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保定S波段双偏振相控阵天气雷达主机系统与测量标校和应用系统建设项目监理</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ZQCD-26059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2026年05月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河北省气象技术装备中心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保定S波段双偏振相控阵天气雷达主机系统与测量标校和应用系统建设项目监理</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ZQCD-26059</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自监理合同签订之日起，至两个项目全部完成最终竣工验收、技术资料移交完毕且约定的缺陷责任期届满之日止。预计总建设周期约为24个月（自资金下达起），监理服务应覆盖全过程。</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河北省保定市</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2026年05月08日 00:00:00</w:t>
      </w:r>
      <w:bookmarkEnd w:id="26"/>
      <w:r>
        <w:rPr>
          <w:rFonts w:ascii="宋体" w:hint="eastAsia"/>
          <w:szCs w:val="21"/>
          <w:highlight w:val="none"/>
        </w:rPr>
        <w:t>至</w:t>
      </w:r>
      <w:bookmarkStart w:id="27" w:name="项目公告_signUpLastTime"/>
      <w:r>
        <w:rPr>
          <w:rFonts w:ascii="宋体" w:hint="eastAsia"/>
          <w:szCs w:val="21"/>
          <w:highlight w:val="none"/>
        </w:rPr>
        <w:t>2026年05月15日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2026年05月29日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河北省气象技术装备中心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朱庚华</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0311-67108883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河北省石家庄市裕华区槐中路253号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河北省气象技术装备中心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6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（1）标的：保定S波段双偏振相控阵天气雷达主机系统与测量标校和应用系统建设项目监理，属于其他未列明行业（专业技术服务业）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是，代理服务费：1.1万元。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59.250000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59.250000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2"/>
        <w:gridCol w:w="266"/>
        <w:gridCol w:w="836"/>
        <w:gridCol w:w="266"/>
        <w:gridCol w:w="747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(25)</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(5)</w:t>
            </w:r>
          </w:p>
        </w:tc>
        <w:tc>
          <w:tcPr/>
          <w:p>
            <w:r>
              <w:t>评审标准：</w:t>
            </w:r>
          </w:p>
          <w:p>
            <w:r>
              <w:t>1、投标人具有 ISO9000系列质量管理体系认证；</w:t>
              <w:cr/>
              <w:t>2、投标人具有ISO45001职业健康安全管理体系认证；</w:t>
              <w:cr/>
              <w:t>每提供一个得2.5分，最高得5分。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每提供1份承接的与本项目类似的监理项目合同得2分，最多得8分。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6、所有复印件应清晰，不得有任何涂改、遮挡。</w:t>
              <w:cr/>
              <w:t>提供的材料不符合以上1-6要求的无效。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(18)</w:t>
            </w:r>
          </w:p>
        </w:tc>
        <w:tc>
          <w:tcPr/>
          <w:p>
            <w:r>
              <w:t>评审标准：</w:t>
            </w:r>
          </w:p>
          <w:p>
            <w:r>
              <w:t>投标人应组成本项目服务团队，团队组织结构清晰，应设总监理工程师、总监理工程师代表，人员专业背景齐全。具体如下：</w:t>
              <w:cr/>
              <w:t>1、总监理工程师应有理工科专业背景，在此基础上：具有机电安装工程类或通信工程类或电子信息类或计算机类或信息系统类或雷达工程类高级职称证书得2分；具有机电安装工程或通信工程注册监理工程师资格证书得3分；具有同类项目工作经验5年及以上得1分；从事过同类项目5个及以上得1分。本项最高7分。</w:t>
              <w:cr/>
              <w:t>2、总监理工程师代表应有理工科专业背景，在此基础上：具有机电安装工程类或通信工程类或电子信息类或计算机类或信息系统类或雷达工程类高级职称证书得2分，具有机电安装工程或通信工程注册监理工程师资格证书得3分，具有同类项目工作经验5年及以上得1分；从事过同类项目5个及以上得1分。本项最高7分。</w:t>
              <w:cr/>
              <w:t>3、除总监理工程师、总监理工程师代表之外，监理团队人员中具备机电安装工程类或通信工程类或电子信息类或计算机类或信息系统类或雷达工程类高级职称证书的，每有一名得1分；具备机电安装工程类或通信工程类或电子信息类或计算机类或信息系统类或雷达工程类中级职称证书的，每有一名得0.5分。本项最多得4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项目理解与分析</w:t>
            </w:r>
          </w:p>
        </w:tc>
        <w:tc>
          <w:tcPr/>
          <w:p>
            <w:r>
              <w:t>勾选打分</w:t>
            </w:r>
            <w:r>
              <w:t>(4)</w:t>
            </w:r>
          </w:p>
        </w:tc>
        <w:tc>
          <w:tcPr/>
          <w:p>
            <w:r>
              <w:t>评审标准：</w:t>
            </w:r>
          </w:p>
          <w:p>
            <w:r>
              <w:t>一档0分</w:t>
              <w:cr/>
              <w:t>二档1分</w:t>
              <w:cr/>
              <w:t>三档2分</w:t>
              <w:cr/>
              <w:t>四档4分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7</w:t>
            </w:r>
          </w:p>
        </w:tc>
        <w:tc>
          <w:tcPr>
            <w:vMerge/>
          </w:tcPr>
          <w:p>
            <w:r>
              <w:t>服务部分</w:t>
            </w:r>
          </w:p>
        </w:tc>
        <w:tc>
          <w:tcPr/>
          <w:p>
            <w:r>
              <w:t>总体服务方案</w:t>
            </w:r>
          </w:p>
        </w:tc>
        <w:tc>
          <w:tcPr/>
          <w:p>
            <w:r>
              <w:t>勾选打分</w:t>
            </w:r>
            <w:r>
              <w:t>(4)</w:t>
            </w:r>
          </w:p>
        </w:tc>
        <w:tc>
          <w:tcPr/>
          <w:p>
            <w:r>
              <w:t>评审标准：</w:t>
            </w:r>
          </w:p>
          <w:p>
            <w:r>
              <w:t>一档0分</w:t>
              <w:cr/>
              <w:t>二档1分</w:t>
              <w:cr/>
              <w:t>三档2分</w:t>
              <w:cr/>
              <w:t>四档4分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8</w:t>
            </w:r>
          </w:p>
        </w:tc>
        <w:tc>
          <w:tcPr>
            <w:vMerge/>
          </w:tcPr>
          <w:p>
            <w:r>
              <w:t>服务部分</w:t>
            </w:r>
          </w:p>
        </w:tc>
        <w:tc>
          <w:tcPr/>
          <w:p>
            <w:r>
              <w:t>具体服务方案（主观分）</w:t>
            </w:r>
          </w:p>
        </w:tc>
        <w:tc>
          <w:tcPr/>
          <w:p>
            <w:r>
              <w:t>区间打分</w:t>
            </w:r>
            <w:r>
              <w:t>(28)</w:t>
            </w:r>
          </w:p>
        </w:tc>
        <w:tc>
          <w:tcPr/>
          <w:p>
            <w:r>
              <w:t>评审标准：</w:t>
            </w:r>
          </w:p>
          <w:p>
            <w:r>
              <w:t>针对以下每项服务内容提交具体服务方案：</w:t>
              <w:cr/>
              <w:t>1、质量控制</w:t>
              <w:cr/>
              <w:t>2、投资控制</w:t>
              <w:cr/>
              <w:t>3、进度控制</w:t>
              <w:cr/>
              <w:t>4、风险控制</w:t>
              <w:cr/>
              <w:t>5、合同管理</w:t>
              <w:cr/>
              <w:t>6、文档管理</w:t>
              <w:cr/>
              <w:t>7、组织协调</w:t>
              <w:cr/>
              <w:t>以上每项服务内容，根据投标人提供具体服务方案进行评分。具体评分标准如下：</w:t>
              <w:cr/>
              <w:t>一档0分</w:t>
              <w:cr/>
              <w:t>二档1分</w:t>
              <w:cr/>
              <w:t>三档2分</w:t>
              <w:cr/>
              <w:t>四档4分</w:t>
              <w:cr/>
              <w:t>以上共计7项服务内容，每项最多得4分，满分28分。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9</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pPr>
        <w:spacing w:before="156" w:beforeLines="50" w:line="360" w:lineRule="auto"/>
        <w:jc w:val="center"/>
        <w:outlineLvl w:val="1"/>
        <w:rPr>
          <w:rFonts w:ascii="宋体" w:hAnsi="宋体" w:hint="eastAsia"/>
          <w:b/>
          <w:sz w:val="30"/>
          <w:szCs w:val="30"/>
        </w:rPr>
      </w:pPr>
      <w:r>
        <w:rPr>
          <w:bCs/>
          <w:szCs w:val="21"/>
          <w:highlight w:val="none"/>
        </w:rPr>
        <w:br w:type="page"/>
      </w:r>
      <w:bookmarkStart w:id="58" w:name="插入_采购需求书"/>
      <w:bookmarkStart w:id="59" w:name="插入_采购需求书_0"/>
      <w:r>
        <w:rPr>
          <w:rFonts w:ascii="宋体" w:hAnsi="宋体" w:hint="eastAsia"/>
          <w:b/>
          <w:sz w:val="30"/>
          <w:szCs w:val="30"/>
        </w:rPr>
        <w:t>第七章  采购需求</w:t>
      </w:r>
      <w:bookmarkEnd w:id="59"/>
    </w:p>
    <w:p>
      <w:pPr>
        <w:widowControl/>
      </w:pPr>
    </w:p>
    <w:p>
      <w:pPr>
        <w:pStyle w:val="Heading3"/>
        <w:widowControl/>
        <w:numPr>
          <w:ilvl w:val="0"/>
          <w:numId w:val="4"/>
        </w:numPr>
        <w:adjustRightInd w:val="0"/>
        <w:snapToGrid w:val="0"/>
        <w:spacing w:before="0" w:after="0" w:line="360" w:lineRule="auto"/>
        <w:ind w:firstLine="640" w:firstLineChars="200"/>
        <w:rPr>
          <w:rFonts w:ascii="黑体" w:eastAsia="黑体" w:hAnsi="黑体" w:cs="黑体" w:hint="eastAsia"/>
          <w:b w:val="0"/>
          <w:bCs w:val="0"/>
          <w:szCs w:val="44"/>
        </w:rPr>
      </w:pPr>
      <w:r>
        <w:rPr>
          <w:rFonts w:eastAsia="黑体" w:hint="eastAsia"/>
          <w:b w:val="0"/>
          <w:bCs w:val="0"/>
          <w:szCs w:val="44"/>
        </w:rPr>
        <w:t>项目概况</w:t>
      </w:r>
    </w:p>
    <w:p>
      <w:pPr>
        <w:pStyle w:val="BodyText"/>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rPr>
        <w:t>本项目包含两个子项目，分别为“保定S波段双偏振相控阵天气雷达测量标校和应用系统建设项目”与“保定S波段双偏振相控阵天气雷达主机系统建设项目”，需提供全过程、一体化的监理服务。</w:t>
      </w:r>
    </w:p>
    <w:p>
      <w:pPr>
        <w:pStyle w:val="BodyText"/>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整体建设目标</w:t>
      </w:r>
      <w:r>
        <w:rPr>
          <w:rFonts w:eastAsia="宋体" w:hint="eastAsia"/>
          <w:color w:val="auto"/>
          <w:sz w:val="24"/>
          <w:szCs w:val="24"/>
        </w:rPr>
        <w:t>：在河北省保定市蠡县高蠡口建设一部国际先进水平的S波段双偏振相控阵天气雷达。采用高峰值功率（≥650kW）、窄脉冲、全相参、数字波束形成（多波束≥20个）等先进技术，弥补保定及周边雷达探测盲区，提升京津冀地区强对流天气精细化探测、预警及防灾减灾能力。</w:t>
      </w:r>
    </w:p>
    <w:p>
      <w:pPr>
        <w:pStyle w:val="BodyText"/>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建设地点</w:t>
      </w:r>
      <w:r>
        <w:rPr>
          <w:rFonts w:eastAsia="宋体" w:hint="eastAsia"/>
          <w:color w:val="auto"/>
          <w:sz w:val="24"/>
          <w:szCs w:val="24"/>
        </w:rPr>
        <w:t>：河北省保定市蠡县（经度：115°43′23″E，纬度：38°36′44″N）。</w:t>
      </w:r>
    </w:p>
    <w:p>
      <w:pPr>
        <w:pStyle w:val="Heading3"/>
        <w:widowControl/>
        <w:numPr>
          <w:ilvl w:val="0"/>
          <w:numId w:val="4"/>
        </w:numPr>
        <w:adjustRightInd w:val="0"/>
        <w:snapToGrid w:val="0"/>
        <w:spacing w:before="0" w:after="0" w:line="360" w:lineRule="auto"/>
        <w:ind w:firstLine="640" w:firstLineChars="200"/>
        <w:rPr>
          <w:rFonts w:ascii="黑体" w:eastAsia="黑体" w:hAnsi="黑体" w:cs="黑体" w:hint="eastAsia"/>
          <w:b w:val="0"/>
          <w:bCs w:val="0"/>
          <w:szCs w:val="44"/>
        </w:rPr>
      </w:pPr>
      <w:r>
        <w:rPr>
          <w:rFonts w:eastAsia="黑体" w:hint="eastAsia"/>
          <w:b w:val="0"/>
          <w:bCs w:val="0"/>
          <w:szCs w:val="44"/>
        </w:rPr>
        <w:t>监理范围</w:t>
      </w:r>
    </w:p>
    <w:p>
      <w:pPr>
        <w:pStyle w:val="BodyText"/>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rPr>
        <w:t>对上述两个子项目从</w:t>
      </w:r>
      <w:r>
        <w:rPr>
          <w:rStyle w:val="Strong"/>
          <w:rFonts w:eastAsia="宋体" w:hint="eastAsia"/>
          <w:b w:val="0"/>
          <w:color w:val="auto"/>
          <w:sz w:val="24"/>
          <w:szCs w:val="24"/>
        </w:rPr>
        <w:t>施工准备阶段、设备采购与生产监造、土建配合、到货验收、安装调试、系统集成、软件部署、标定测试、试运行、竣工验收结束</w:t>
      </w:r>
      <w:r>
        <w:rPr>
          <w:rFonts w:eastAsia="宋体" w:hint="eastAsia"/>
          <w:color w:val="auto"/>
          <w:sz w:val="24"/>
          <w:szCs w:val="24"/>
        </w:rPr>
        <w:t>的全过程提供监理服务。</w:t>
      </w:r>
    </w:p>
    <w:p>
      <w:pPr>
        <w:pStyle w:val="BodyText"/>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rPr>
        <w:t>工作内容包括质量控制、进度控制、投资控制、合同管理、信息管理和组织协调；设备到货验收、安装调试、软件布置等工作；指导监督合同中有关质量标准及要求的实施；参加项目质量检查、质量事故调查处理和工程验收工作等在内的项目建设监理服务。</w:t>
      </w:r>
    </w:p>
    <w:p>
      <w:pPr>
        <w:pStyle w:val="BodyText"/>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监理服务期</w:t>
      </w:r>
      <w:r>
        <w:rPr>
          <w:rFonts w:eastAsia="宋体" w:hint="eastAsia"/>
          <w:color w:val="auto"/>
          <w:sz w:val="24"/>
          <w:szCs w:val="24"/>
        </w:rPr>
        <w:t>：自监理合同签订之日起，至两个项目全部完成最终竣工验收、技术资料移交完毕且约定的缺陷责任期届满之日止。预计总建设周期约为2</w:t>
      </w:r>
      <w:r>
        <w:rPr>
          <w:rFonts w:eastAsia="宋体" w:hint="eastAsia"/>
          <w:color w:val="auto"/>
          <w:sz w:val="24"/>
          <w:szCs w:val="24"/>
          <w:lang w:val="en-US"/>
        </w:rPr>
        <w:t>4</w:t>
      </w:r>
      <w:r>
        <w:rPr>
          <w:rFonts w:eastAsia="宋体" w:hint="eastAsia"/>
          <w:color w:val="auto"/>
          <w:sz w:val="24"/>
          <w:szCs w:val="24"/>
        </w:rPr>
        <w:t>个月（自资金下达起），监理服务应覆盖全过程。</w:t>
      </w:r>
    </w:p>
    <w:p>
      <w:pPr>
        <w:pStyle w:val="Heading3"/>
        <w:widowControl/>
        <w:numPr>
          <w:ilvl w:val="0"/>
          <w:numId w:val="4"/>
        </w:numPr>
        <w:adjustRightInd w:val="0"/>
        <w:snapToGrid w:val="0"/>
        <w:spacing w:before="0" w:after="0" w:line="360" w:lineRule="auto"/>
        <w:ind w:firstLine="640" w:firstLineChars="200"/>
        <w:rPr>
          <w:rFonts w:ascii="黑体" w:eastAsia="黑体" w:hAnsi="黑体" w:cs="黑体" w:hint="eastAsia"/>
          <w:b w:val="0"/>
          <w:bCs w:val="0"/>
          <w:szCs w:val="44"/>
        </w:rPr>
      </w:pPr>
      <w:r>
        <w:rPr>
          <w:rFonts w:eastAsia="黑体" w:hint="eastAsia"/>
          <w:b w:val="0"/>
          <w:bCs w:val="0"/>
          <w:szCs w:val="44"/>
        </w:rPr>
        <w:t>监理工作内容与要求</w:t>
      </w:r>
    </w:p>
    <w:p>
      <w:pPr>
        <w:pStyle w:val="BodyText"/>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rPr>
        <w:t>监理方须严格按照国家及行业相关标准、规范以及本项目特殊技术要求开展以下工作：</w:t>
      </w:r>
    </w:p>
    <w:p>
      <w:pPr>
        <w:pStyle w:val="Heading4"/>
        <w:widowControl/>
        <w:adjustRightInd w:val="0"/>
        <w:snapToGrid w:val="0"/>
        <w:spacing w:before="0" w:after="0" w:line="360" w:lineRule="auto"/>
        <w:ind w:left="420" w:leftChars="200"/>
        <w:rPr>
          <w:rFonts w:ascii="黑体" w:hAnsi="黑体" w:cs="黑体" w:hint="eastAsia"/>
          <w:b w:val="0"/>
          <w:bCs w:val="0"/>
          <w:sz w:val="30"/>
          <w:szCs w:val="32"/>
        </w:rPr>
      </w:pPr>
      <w:r>
        <w:rPr>
          <w:rFonts w:hint="eastAsia"/>
          <w:b w:val="0"/>
          <w:bCs w:val="0"/>
          <w:sz w:val="30"/>
          <w:szCs w:val="32"/>
        </w:rPr>
        <w:t>施工准备阶段监理</w:t>
      </w:r>
    </w:p>
    <w:p>
      <w:pPr>
        <w:pStyle w:val="BodyText"/>
        <w:numPr>
          <w:ilvl w:val="0"/>
          <w:numId w:val="5"/>
        </w:numPr>
        <w:adjustRightInd w:val="0"/>
        <w:snapToGrid w:val="0"/>
        <w:spacing w:after="0" w:line="360" w:lineRule="auto"/>
        <w:ind w:firstLine="480" w:firstLineChars="200"/>
        <w:rPr>
          <w:rFonts w:eastAsia="宋体"/>
          <w:color w:val="auto"/>
          <w:sz w:val="24"/>
          <w:szCs w:val="24"/>
        </w:rPr>
      </w:pPr>
      <w:r>
        <w:rPr>
          <w:rFonts w:eastAsia="宋体"/>
          <w:color w:val="auto"/>
          <w:sz w:val="24"/>
          <w:szCs w:val="24"/>
        </w:rPr>
        <w:t xml:space="preserve">审查承建单位项目管理、质量、安全、进度等管理制度及组织机构，审核项目经理、技术负责人、监理见证人员等资质与到位情况，核查质量保证体系、安全保障体系及技术措施的合规性与可行性。 </w:t>
      </w:r>
    </w:p>
    <w:p>
      <w:pPr>
        <w:pStyle w:val="BodyText"/>
        <w:numPr>
          <w:ilvl w:val="0"/>
          <w:numId w:val="5"/>
        </w:numPr>
        <w:adjustRightInd w:val="0"/>
        <w:snapToGrid w:val="0"/>
        <w:spacing w:after="0" w:line="360" w:lineRule="auto"/>
        <w:ind w:firstLine="480" w:firstLineChars="200"/>
        <w:rPr>
          <w:rFonts w:eastAsia="宋体"/>
          <w:color w:val="auto"/>
          <w:sz w:val="24"/>
          <w:szCs w:val="24"/>
        </w:rPr>
      </w:pPr>
      <w:r>
        <w:rPr>
          <w:rFonts w:eastAsia="宋体"/>
          <w:color w:val="auto"/>
          <w:sz w:val="24"/>
          <w:szCs w:val="24"/>
        </w:rPr>
        <w:t xml:space="preserve">审核承建单位提交的施工组织设计、专项施工方案、应急预案、设备进场计划及技术交底文件，重点核查与天气雷达站场、安装、调试相关的技术要求、质量标准和安全措施。 </w:t>
      </w:r>
    </w:p>
    <w:p>
      <w:pPr>
        <w:pStyle w:val="BodyText"/>
        <w:numPr>
          <w:ilvl w:val="0"/>
          <w:numId w:val="5"/>
        </w:numPr>
        <w:adjustRightInd w:val="0"/>
        <w:snapToGrid w:val="0"/>
        <w:spacing w:after="0" w:line="360" w:lineRule="auto"/>
        <w:ind w:firstLine="480" w:firstLineChars="200"/>
        <w:rPr>
          <w:rFonts w:eastAsia="宋体"/>
          <w:color w:val="auto"/>
          <w:sz w:val="24"/>
          <w:szCs w:val="24"/>
        </w:rPr>
      </w:pPr>
      <w:r>
        <w:rPr>
          <w:rFonts w:eastAsia="宋体"/>
          <w:color w:val="auto"/>
          <w:sz w:val="24"/>
          <w:szCs w:val="24"/>
        </w:rPr>
        <w:t xml:space="preserve">复核天气雷达站址坐标、高程、场地条件、电磁环境及基础条件，审查图纸会审与技术交底记录，核对设计文件、勘察资料与现场实际一致性，提出监理意见并督促整改闭环。 </w:t>
      </w:r>
    </w:p>
    <w:p>
      <w:pPr>
        <w:pStyle w:val="BodyText"/>
        <w:numPr>
          <w:ilvl w:val="0"/>
          <w:numId w:val="5"/>
        </w:numPr>
        <w:adjustRightInd w:val="0"/>
        <w:snapToGrid w:val="0"/>
        <w:spacing w:after="0" w:line="360" w:lineRule="auto"/>
        <w:ind w:firstLine="480" w:firstLineChars="200"/>
        <w:rPr>
          <w:rFonts w:eastAsia="宋体" w:hint="eastAsia"/>
          <w:color w:val="auto"/>
          <w:sz w:val="24"/>
          <w:szCs w:val="24"/>
        </w:rPr>
      </w:pPr>
      <w:r>
        <w:rPr>
          <w:rFonts w:eastAsia="宋体"/>
          <w:color w:val="auto"/>
          <w:sz w:val="24"/>
          <w:szCs w:val="24"/>
        </w:rPr>
        <w:t>核查进场材料、构配件、雷达专用设备及计量器具的质量证明文件、检测报告、合格证及报审手续，监督见证取样送检工作，严禁不合格材料、设备用于本工程。</w:t>
      </w:r>
      <w:r>
        <w:rPr>
          <w:rFonts w:eastAsia="宋体" w:hint="eastAsia"/>
          <w:color w:val="auto"/>
          <w:sz w:val="24"/>
          <w:szCs w:val="24"/>
        </w:rPr>
        <w:t>审查进场施工机械、安全设施及计量器具。</w:t>
      </w:r>
    </w:p>
    <w:p>
      <w:pPr>
        <w:pStyle w:val="Heading4"/>
        <w:widowControl/>
        <w:adjustRightInd w:val="0"/>
        <w:snapToGrid w:val="0"/>
        <w:spacing w:before="0" w:after="0" w:line="360" w:lineRule="auto"/>
        <w:ind w:left="420" w:leftChars="200"/>
        <w:rPr>
          <w:rFonts w:ascii="黑体" w:hAnsi="黑体" w:cs="黑体" w:hint="eastAsia"/>
          <w:b w:val="0"/>
          <w:bCs w:val="0"/>
          <w:sz w:val="30"/>
          <w:szCs w:val="32"/>
        </w:rPr>
      </w:pPr>
      <w:r>
        <w:rPr>
          <w:rFonts w:hint="eastAsia"/>
          <w:b w:val="0"/>
          <w:bCs w:val="0"/>
          <w:sz w:val="30"/>
          <w:szCs w:val="32"/>
        </w:rPr>
        <w:t>设备采购与生产监造监理</w:t>
      </w:r>
    </w:p>
    <w:p>
      <w:pPr>
        <w:pStyle w:val="BodyText"/>
        <w:numPr>
          <w:ilvl w:val="0"/>
          <w:numId w:val="6"/>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关键设备监造</w:t>
      </w:r>
      <w:r>
        <w:rPr>
          <w:rFonts w:eastAsia="宋体" w:hint="eastAsia"/>
          <w:color w:val="auto"/>
          <w:sz w:val="24"/>
          <w:szCs w:val="24"/>
        </w:rPr>
        <w:t>：对雷达主机（天线阵面、TR组件、波束形成机柜等）、测量标校系统（机外标定设备、机内标校模块）、核心服务器、磁盘阵列等关键设备的生产过程进行</w:t>
      </w:r>
      <w:r>
        <w:rPr>
          <w:rStyle w:val="Strong"/>
          <w:rFonts w:eastAsia="宋体" w:hint="eastAsia"/>
          <w:b w:val="0"/>
          <w:color w:val="auto"/>
          <w:sz w:val="24"/>
          <w:szCs w:val="24"/>
        </w:rPr>
        <w:t>重点监造</w:t>
      </w:r>
      <w:r>
        <w:rPr>
          <w:rFonts w:eastAsia="宋体" w:hint="eastAsia"/>
          <w:color w:val="auto"/>
          <w:sz w:val="24"/>
          <w:szCs w:val="24"/>
        </w:rPr>
        <w:t xml:space="preserve">。 </w:t>
      </w:r>
    </w:p>
    <w:p>
      <w:pPr>
        <w:pStyle w:val="BodyText"/>
        <w:numPr>
          <w:ilvl w:val="0"/>
          <w:numId w:val="7"/>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监造方式</w:t>
      </w:r>
      <w:r>
        <w:rPr>
          <w:rFonts w:eastAsia="宋体" w:hint="eastAsia"/>
          <w:color w:val="auto"/>
          <w:sz w:val="24"/>
          <w:szCs w:val="24"/>
        </w:rPr>
        <w:t>：采用</w:t>
      </w:r>
      <w:r>
        <w:rPr>
          <w:rStyle w:val="Strong"/>
          <w:rFonts w:eastAsia="宋体" w:hint="eastAsia"/>
          <w:b w:val="0"/>
          <w:color w:val="auto"/>
          <w:sz w:val="24"/>
          <w:szCs w:val="24"/>
        </w:rPr>
        <w:t>驻厂监造与不定期巡查相结合</w:t>
      </w:r>
      <w:r>
        <w:rPr>
          <w:rFonts w:eastAsia="宋体" w:hint="eastAsia"/>
          <w:color w:val="auto"/>
          <w:sz w:val="24"/>
          <w:szCs w:val="24"/>
        </w:rPr>
        <w:t>。对于核心的TR组件、数字波束形成单元等，应安排监理工程师驻厂，对原材料、元器件、生产工艺、组装调试、出厂测试进行全过程监督与记录。</w:t>
      </w:r>
    </w:p>
    <w:p>
      <w:pPr>
        <w:pStyle w:val="BodyText"/>
        <w:numPr>
          <w:ilvl w:val="0"/>
          <w:numId w:val="7"/>
        </w:numPr>
        <w:adjustRightInd w:val="0"/>
        <w:snapToGrid w:val="0"/>
        <w:spacing w:after="0" w:line="360" w:lineRule="auto"/>
        <w:rPr>
          <w:rFonts w:hint="eastAsia"/>
          <w:color w:val="auto"/>
          <w:sz w:val="24"/>
          <w:szCs w:val="24"/>
        </w:rPr>
      </w:pPr>
      <w:r>
        <w:rPr>
          <w:rStyle w:val="Strong"/>
          <w:rFonts w:eastAsia="宋体" w:hint="eastAsia"/>
          <w:b w:val="0"/>
          <w:color w:val="auto"/>
          <w:sz w:val="24"/>
          <w:szCs w:val="24"/>
        </w:rPr>
        <w:t>监造重点</w:t>
      </w:r>
      <w:r>
        <w:rPr>
          <w:rFonts w:eastAsia="宋体" w:hint="eastAsia"/>
          <w:color w:val="auto"/>
          <w:sz w:val="24"/>
          <w:szCs w:val="24"/>
        </w:rPr>
        <w:t>：</w:t>
      </w:r>
      <w:r>
        <w:rPr>
          <w:rFonts w:ascii="宋体" w:eastAsia="宋体" w:hAnsi="宋体"/>
          <w:bCs/>
          <w:color w:val="000000"/>
          <w:sz w:val="24"/>
          <w:szCs w:val="24"/>
        </w:rPr>
        <w:t>监督承建单位按批准的技术方案（</w:t>
      </w:r>
      <w:r>
        <w:rPr>
          <w:rFonts w:ascii="宋体" w:eastAsia="宋体" w:hAnsi="宋体" w:hint="eastAsia"/>
          <w:bCs/>
          <w:color w:val="000000"/>
          <w:sz w:val="24"/>
          <w:szCs w:val="24"/>
        </w:rPr>
        <w:t>项目可研报告、实施方案等</w:t>
      </w:r>
      <w:r>
        <w:rPr>
          <w:rFonts w:ascii="宋体" w:eastAsia="宋体" w:hAnsi="宋体"/>
          <w:bCs/>
          <w:color w:val="000000"/>
          <w:sz w:val="24"/>
          <w:szCs w:val="24"/>
        </w:rPr>
        <w:t>）开展天气雷达生产、研发、集成与测试，核查研发流程、测试大纲、质量控制点及相关记录，确保符合技术规范及合同要求；对雷达设备出厂检验、现场到货验收、开箱检查进行监理，核对设备型号、数量、技术参数及质量证明文件，监督关键指标检测过程，确认设备合格方可进场安装；现场监理天气雷达安装、接线、校准、联调等工序，监督工艺合规性、操作规范性及安全措施落实，对关键调试数据进行复核，确保系统指标满足设计及行业标准；参与系统试运行及阶段验收，监理试运行方案执行、性能指标测试、故障排查与处理情况，审核试运行记录、测试报告及整改闭环资料，为正式验收提供监理依据。</w:t>
      </w:r>
    </w:p>
    <w:p>
      <w:pPr>
        <w:pStyle w:val="BodyText"/>
        <w:numPr>
          <w:ilvl w:val="0"/>
          <w:numId w:val="7"/>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报告要求</w:t>
      </w:r>
      <w:r>
        <w:rPr>
          <w:rFonts w:eastAsia="宋体" w:hint="eastAsia"/>
          <w:color w:val="auto"/>
          <w:sz w:val="24"/>
          <w:szCs w:val="24"/>
        </w:rPr>
        <w:t>：定期向采购人提交《设备生产监造报告》，如实反映生产进度、质量状况及发现的问题。</w:t>
      </w:r>
    </w:p>
    <w:p>
      <w:pPr>
        <w:pStyle w:val="BodyText"/>
        <w:numPr>
          <w:ilvl w:val="0"/>
          <w:numId w:val="6"/>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采购过程监督</w:t>
      </w:r>
      <w:r>
        <w:rPr>
          <w:rFonts w:eastAsia="宋体" w:hint="eastAsia"/>
          <w:color w:val="auto"/>
          <w:sz w:val="24"/>
          <w:szCs w:val="24"/>
        </w:rPr>
        <w:t>：审核设备采购合同的技术条款，监督采购流程的合规性。</w:t>
      </w:r>
    </w:p>
    <w:p>
      <w:pPr>
        <w:pStyle w:val="Heading4"/>
        <w:widowControl/>
        <w:adjustRightInd w:val="0"/>
        <w:snapToGrid w:val="0"/>
        <w:spacing w:before="0" w:after="0" w:line="360" w:lineRule="auto"/>
        <w:ind w:left="420" w:leftChars="200"/>
        <w:rPr>
          <w:rFonts w:ascii="黑体" w:hAnsi="黑体" w:cs="黑体" w:hint="eastAsia"/>
          <w:b w:val="0"/>
          <w:bCs w:val="0"/>
          <w:sz w:val="30"/>
          <w:szCs w:val="32"/>
        </w:rPr>
      </w:pPr>
      <w:r>
        <w:rPr>
          <w:rFonts w:hint="eastAsia"/>
          <w:b w:val="0"/>
          <w:bCs w:val="0"/>
          <w:sz w:val="30"/>
          <w:szCs w:val="32"/>
        </w:rPr>
        <w:t>配套工程现场监理</w:t>
      </w:r>
    </w:p>
    <w:p>
      <w:pPr>
        <w:pStyle w:val="BodyText"/>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rPr>
        <w:t>对天线底座安装、关键结构节点施工、防雷接地网焊接与测试等关键部位和工序实行旁站监理，并留存影像资料。</w:t>
      </w:r>
    </w:p>
    <w:p>
      <w:pPr>
        <w:pStyle w:val="Heading4"/>
        <w:widowControl/>
        <w:adjustRightInd w:val="0"/>
        <w:snapToGrid w:val="0"/>
        <w:spacing w:before="0" w:after="0" w:line="360" w:lineRule="auto"/>
        <w:ind w:left="420" w:leftChars="200"/>
        <w:rPr>
          <w:rFonts w:ascii="黑体" w:hAnsi="黑体" w:cs="黑体" w:hint="eastAsia"/>
          <w:b w:val="0"/>
          <w:bCs w:val="0"/>
          <w:sz w:val="30"/>
          <w:szCs w:val="32"/>
        </w:rPr>
      </w:pPr>
      <w:r>
        <w:rPr>
          <w:rFonts w:hint="eastAsia"/>
          <w:b w:val="0"/>
          <w:bCs w:val="0"/>
          <w:sz w:val="30"/>
          <w:szCs w:val="32"/>
        </w:rPr>
        <w:t>设备到货与开箱验收监理</w:t>
      </w:r>
    </w:p>
    <w:p>
      <w:pPr>
        <w:pStyle w:val="BodyText"/>
        <w:numPr>
          <w:ilvl w:val="0"/>
          <w:numId w:val="8"/>
        </w:numPr>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rPr>
        <w:t>组织或主持设备到货的开箱验收工作。</w:t>
      </w:r>
    </w:p>
    <w:p>
      <w:pPr>
        <w:pStyle w:val="BodyText"/>
        <w:numPr>
          <w:ilvl w:val="0"/>
          <w:numId w:val="8"/>
        </w:numPr>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rPr>
        <w:t>依据合同和《货物接收清单》，逐一核对设备型号、规格、数量。</w:t>
      </w:r>
    </w:p>
    <w:p>
      <w:pPr>
        <w:pStyle w:val="BodyText"/>
        <w:numPr>
          <w:ilvl w:val="0"/>
          <w:numId w:val="8"/>
        </w:numPr>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rPr>
        <w:t>检查设备外观有无破损、锈蚀、变形。</w:t>
      </w:r>
    </w:p>
    <w:p>
      <w:pPr>
        <w:pStyle w:val="BodyText"/>
        <w:numPr>
          <w:ilvl w:val="0"/>
          <w:numId w:val="8"/>
        </w:numPr>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rPr>
        <w:t>检查随机资料是否齐全，包括：合格证、出厂测试报告、装箱单、安装图纸、技术说明书、软件介质及许可证等。</w:t>
      </w:r>
    </w:p>
    <w:p>
      <w:pPr>
        <w:pStyle w:val="BodyText"/>
        <w:numPr>
          <w:ilvl w:val="0"/>
          <w:numId w:val="8"/>
        </w:numPr>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rPr>
        <w:t>填写《设备开箱检验记录》，各方签字确认。对发现的问题，签发监理通知单，督促责任方处理。</w:t>
      </w:r>
    </w:p>
    <w:p>
      <w:pPr>
        <w:pStyle w:val="Heading4"/>
        <w:widowControl/>
        <w:adjustRightInd w:val="0"/>
        <w:snapToGrid w:val="0"/>
        <w:spacing w:before="0" w:after="0" w:line="360" w:lineRule="auto"/>
        <w:ind w:left="420" w:leftChars="200"/>
        <w:rPr>
          <w:rFonts w:ascii="黑体" w:hAnsi="黑体" w:cs="黑体" w:hint="eastAsia"/>
          <w:b w:val="0"/>
          <w:bCs w:val="0"/>
          <w:sz w:val="30"/>
          <w:szCs w:val="32"/>
        </w:rPr>
      </w:pPr>
      <w:r>
        <w:rPr>
          <w:rFonts w:hint="eastAsia"/>
          <w:b w:val="0"/>
          <w:bCs w:val="0"/>
          <w:sz w:val="30"/>
          <w:szCs w:val="32"/>
        </w:rPr>
        <w:t>安装与调试过程监理</w:t>
      </w:r>
    </w:p>
    <w:p>
      <w:pPr>
        <w:pStyle w:val="BodyText"/>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本部分是监理工作的核心，需投入大量专业技术力量进行旁站和过程控制。</w:t>
      </w:r>
    </w:p>
    <w:p>
      <w:pPr>
        <w:pStyle w:val="BodyText"/>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主机系统安装调试监理</w:t>
      </w:r>
      <w:r>
        <w:rPr>
          <w:rFonts w:eastAsia="宋体" w:hint="eastAsia"/>
          <w:color w:val="auto"/>
          <w:sz w:val="24"/>
          <w:szCs w:val="24"/>
        </w:rPr>
        <w:t>：</w:t>
      </w:r>
    </w:p>
    <w:p>
      <w:pPr>
        <w:pStyle w:val="BodyText"/>
        <w:numPr>
          <w:ilvl w:val="0"/>
          <w:numId w:val="9"/>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天线阵面</w:t>
      </w:r>
      <w:r>
        <w:rPr>
          <w:rStyle w:val="Strong"/>
          <w:rFonts w:eastAsia="宋体" w:hint="eastAsia"/>
          <w:b w:val="0"/>
          <w:color w:val="auto"/>
          <w:sz w:val="24"/>
          <w:szCs w:val="24"/>
          <w:lang w:val="en-US"/>
        </w:rPr>
        <w:t>分系统</w:t>
      </w:r>
      <w:r>
        <w:rPr>
          <w:rFonts w:eastAsia="宋体" w:hint="eastAsia"/>
          <w:color w:val="auto"/>
          <w:sz w:val="24"/>
          <w:szCs w:val="24"/>
        </w:rPr>
        <w:t>：监督天线罩吊装、阵面框架组装、TR组件安装、行馈网络连接。检查安装精度、牢固度、连接器紧固力矩。伺服系统调试，验证方位（0-360°）和俯仰（-2°-92°）转动范围、精度和平稳性。</w:t>
      </w:r>
      <w:r>
        <w:rPr>
          <w:rFonts w:eastAsia="宋体"/>
          <w:color w:val="auto"/>
          <w:sz w:val="24"/>
          <w:szCs w:val="24"/>
          <w:lang w:val="en-US"/>
        </w:rPr>
        <w:t>核查安装精度、连接可靠性、防护措施及操作规范性，对关键工序实施旁站监理，留存过程记录。</w:t>
      </w:r>
    </w:p>
    <w:p>
      <w:pPr>
        <w:pStyle w:val="BodyText"/>
        <w:numPr>
          <w:ilvl w:val="0"/>
          <w:numId w:val="9"/>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波束形成与控制</w:t>
      </w:r>
      <w:r>
        <w:rPr>
          <w:rStyle w:val="Strong"/>
          <w:rFonts w:eastAsia="宋体" w:hint="eastAsia"/>
          <w:b w:val="0"/>
          <w:color w:val="auto"/>
          <w:sz w:val="24"/>
          <w:szCs w:val="24"/>
          <w:lang w:val="en-US"/>
        </w:rPr>
        <w:t>分系统</w:t>
      </w:r>
      <w:r>
        <w:rPr>
          <w:rFonts w:eastAsia="宋体" w:hint="eastAsia"/>
          <w:color w:val="auto"/>
          <w:sz w:val="24"/>
          <w:szCs w:val="24"/>
        </w:rPr>
        <w:t>：监督机柜就位、内部板卡安装、光纤/电缆布线。检查接地、散热。系统上电、初始化和控制功能测试。</w:t>
      </w:r>
      <w:r>
        <w:rPr>
          <w:rFonts w:eastAsia="宋体"/>
          <w:color w:val="auto"/>
          <w:sz w:val="24"/>
          <w:szCs w:val="24"/>
          <w:lang w:val="en-US"/>
        </w:rPr>
        <w:t>核查安装精度、连接可靠性、防护措施及操作规范性，对关键工序实施旁站监理，留存过程记录。</w:t>
      </w:r>
    </w:p>
    <w:p>
      <w:pPr>
        <w:pStyle w:val="BodyText"/>
        <w:numPr>
          <w:ilvl w:val="0"/>
          <w:numId w:val="9"/>
        </w:numPr>
        <w:adjustRightInd w:val="0"/>
        <w:snapToGrid w:val="0"/>
        <w:spacing w:after="0" w:line="360" w:lineRule="auto"/>
        <w:ind w:firstLine="480" w:firstLineChars="200"/>
        <w:rPr>
          <w:rFonts w:ascii="宋体" w:eastAsia="宋体" w:hAnsi="宋体" w:hint="eastAsia"/>
          <w:color w:val="000000"/>
          <w:sz w:val="24"/>
          <w:szCs w:val="24"/>
        </w:rPr>
      </w:pPr>
      <w:r>
        <w:rPr>
          <w:rStyle w:val="Strong"/>
          <w:rFonts w:eastAsia="宋体" w:hint="eastAsia"/>
          <w:b w:val="0"/>
          <w:color w:val="auto"/>
          <w:sz w:val="24"/>
          <w:szCs w:val="24"/>
        </w:rPr>
        <w:t>收发（T/R）分系统：</w:t>
      </w:r>
      <w:r>
        <w:rPr>
          <w:rFonts w:eastAsia="宋体" w:hint="eastAsia"/>
          <w:color w:val="auto"/>
          <w:sz w:val="24"/>
          <w:szCs w:val="24"/>
        </w:rPr>
        <w:t>监督频率源、TR组件供电及监控链路的连接。重点关注高功率系统的安全防护措施。</w:t>
      </w:r>
      <w:r>
        <w:rPr>
          <w:rFonts w:eastAsia="宋体"/>
          <w:color w:val="auto"/>
          <w:sz w:val="24"/>
          <w:szCs w:val="24"/>
          <w:lang w:val="en-US"/>
        </w:rPr>
        <w:t>核查安装精度、连接可靠性、防护措施及操作规范性，</w:t>
      </w:r>
      <w:r>
        <w:rPr>
          <w:rFonts w:ascii="宋体" w:eastAsia="宋体" w:hAnsi="宋体"/>
          <w:color w:val="000000"/>
          <w:sz w:val="24"/>
          <w:szCs w:val="24"/>
          <w:lang w:val="en-US"/>
        </w:rPr>
        <w:t>对关键工序实施旁站监理，留存过程记录。</w:t>
      </w:r>
    </w:p>
    <w:p>
      <w:pPr>
        <w:pStyle w:val="BodyText"/>
        <w:numPr>
          <w:ilvl w:val="0"/>
          <w:numId w:val="9"/>
        </w:numPr>
        <w:adjustRightInd w:val="0"/>
        <w:snapToGrid w:val="0"/>
        <w:spacing w:after="0" w:line="360" w:lineRule="auto"/>
        <w:ind w:firstLine="480" w:firstLineChars="200"/>
        <w:rPr>
          <w:rStyle w:val="Strong"/>
          <w:rFonts w:ascii="宋体" w:eastAsia="宋体" w:hAnsi="宋体"/>
          <w:b w:val="0"/>
          <w:color w:val="000000"/>
          <w:sz w:val="24"/>
          <w:szCs w:val="24"/>
        </w:rPr>
      </w:pPr>
      <w:r>
        <w:rPr>
          <w:rStyle w:val="Strong"/>
          <w:rFonts w:ascii="宋体" w:eastAsia="宋体" w:hAnsi="宋体"/>
          <w:b w:val="0"/>
          <w:color w:val="000000"/>
          <w:sz w:val="24"/>
          <w:szCs w:val="24"/>
        </w:rPr>
        <w:t>监理</w:t>
      </w:r>
      <w:r>
        <w:rPr>
          <w:rStyle w:val="Strong"/>
          <w:rFonts w:eastAsia="宋体" w:hint="eastAsia"/>
          <w:b w:val="0"/>
          <w:color w:val="auto"/>
          <w:sz w:val="24"/>
          <w:szCs w:val="24"/>
        </w:rPr>
        <w:t>主机系统</w:t>
      </w:r>
      <w:r>
        <w:rPr>
          <w:rStyle w:val="Strong"/>
          <w:rFonts w:ascii="宋体" w:eastAsia="宋体" w:hAnsi="宋体"/>
          <w:b w:val="0"/>
          <w:color w:val="000000"/>
          <w:sz w:val="24"/>
          <w:szCs w:val="24"/>
        </w:rPr>
        <w:t>供电、通信、防雷、接地等配套设施的接线与测试，核查接线规范、绝缘性能、接地电阻等指标，确保系统安全稳定运行条件。</w:t>
      </w:r>
    </w:p>
    <w:p>
      <w:pPr>
        <w:pStyle w:val="BodyText"/>
        <w:numPr>
          <w:ilvl w:val="0"/>
          <w:numId w:val="9"/>
        </w:numPr>
        <w:adjustRightInd w:val="0"/>
        <w:snapToGrid w:val="0"/>
        <w:spacing w:after="0" w:line="360" w:lineRule="auto"/>
        <w:ind w:firstLine="480" w:firstLineChars="200"/>
        <w:rPr>
          <w:rStyle w:val="Strong"/>
          <w:rFonts w:ascii="宋体" w:eastAsia="宋体" w:hAnsi="宋体"/>
          <w:b w:val="0"/>
          <w:color w:val="000000"/>
          <w:sz w:val="24"/>
          <w:szCs w:val="24"/>
        </w:rPr>
      </w:pPr>
      <w:r>
        <w:rPr>
          <w:rStyle w:val="Strong"/>
          <w:rFonts w:ascii="宋体" w:eastAsia="宋体" w:hAnsi="宋体"/>
          <w:b w:val="0"/>
          <w:color w:val="000000"/>
          <w:sz w:val="24"/>
          <w:szCs w:val="24"/>
        </w:rPr>
        <w:t>监督设备单机加电、功能自检、模块调试全过程，核查调试步骤、参数设置及测试数据，对不符合项督促整改并闭环验证。</w:t>
      </w:r>
    </w:p>
    <w:p>
      <w:pPr>
        <w:pStyle w:val="BodyText"/>
        <w:numPr>
          <w:ilvl w:val="0"/>
          <w:numId w:val="9"/>
        </w:numPr>
        <w:adjustRightInd w:val="0"/>
        <w:snapToGrid w:val="0"/>
        <w:spacing w:after="0" w:line="360" w:lineRule="auto"/>
        <w:ind w:firstLine="480" w:firstLineChars="200"/>
        <w:rPr>
          <w:rStyle w:val="Strong"/>
          <w:rFonts w:ascii="宋体" w:eastAsia="宋体" w:hAnsi="宋体"/>
          <w:b w:val="0"/>
          <w:color w:val="000000"/>
          <w:sz w:val="24"/>
          <w:szCs w:val="24"/>
        </w:rPr>
      </w:pPr>
      <w:r>
        <w:rPr>
          <w:rStyle w:val="Strong"/>
          <w:rFonts w:ascii="宋体" w:eastAsia="宋体" w:hAnsi="宋体"/>
          <w:b w:val="0"/>
          <w:color w:val="000000"/>
          <w:sz w:val="24"/>
          <w:szCs w:val="24"/>
        </w:rPr>
        <w:t>旁站监理雷达天线伺服系统、方位俯仰精度、扫描逻辑调试，复核定位精度、转速、稳定性等关键性能指标，确保满足技术规范要求。</w:t>
      </w:r>
    </w:p>
    <w:p>
      <w:pPr>
        <w:pStyle w:val="BodyText"/>
        <w:adjustRightInd w:val="0"/>
        <w:snapToGrid w:val="0"/>
        <w:spacing w:after="0" w:line="360" w:lineRule="auto"/>
        <w:ind w:firstLine="480" w:firstLineChars="200"/>
        <w:rPr>
          <w:rStyle w:val="Strong"/>
          <w:rFonts w:ascii="Calibri" w:eastAsia="宋体" w:hAnsi="Calibri"/>
          <w:b w:val="0"/>
          <w:color w:val="auto"/>
          <w:sz w:val="24"/>
          <w:szCs w:val="24"/>
        </w:rPr>
      </w:pPr>
      <w:r>
        <w:rPr>
          <w:rStyle w:val="Strong"/>
          <w:rFonts w:ascii="Calibri" w:eastAsia="宋体" w:hAnsi="Calibri" w:hint="eastAsia"/>
          <w:b w:val="0"/>
          <w:color w:val="auto"/>
          <w:sz w:val="24"/>
          <w:szCs w:val="24"/>
        </w:rPr>
        <w:t>测量标校系统安装调试监理：</w:t>
      </w:r>
    </w:p>
    <w:p>
      <w:pPr>
        <w:pStyle w:val="BodyText"/>
        <w:numPr>
          <w:ilvl w:val="0"/>
          <w:numId w:val="10"/>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机内标校分系统</w:t>
      </w:r>
      <w:r>
        <w:rPr>
          <w:rFonts w:eastAsia="宋体" w:hint="eastAsia"/>
          <w:color w:val="auto"/>
          <w:sz w:val="24"/>
          <w:szCs w:val="24"/>
        </w:rPr>
        <w:t>：监督标校模块、监测功分网络、稳幅稳相馈线与雷达主机的集成连接。检查其接入是否正确、可靠。</w:t>
      </w:r>
    </w:p>
    <w:p>
      <w:pPr>
        <w:pStyle w:val="BodyText"/>
        <w:numPr>
          <w:ilvl w:val="0"/>
          <w:numId w:val="10"/>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机外远场标定系统</w:t>
      </w:r>
      <w:r>
        <w:rPr>
          <w:rFonts w:eastAsia="宋体" w:hint="eastAsia"/>
          <w:color w:val="auto"/>
          <w:sz w:val="24"/>
          <w:szCs w:val="24"/>
        </w:rPr>
        <w:t>：监督标定设备（含无人机、有源标定器、金属球）的现场部署。检查无人机飞行安全预案，旁站远场标定测试过程，确保操作规范、数据采集有效。</w:t>
      </w:r>
    </w:p>
    <w:p>
      <w:pPr>
        <w:pStyle w:val="BodyText"/>
        <w:adjustRightInd w:val="0"/>
        <w:snapToGrid w:val="0"/>
        <w:spacing w:after="0" w:line="360" w:lineRule="auto"/>
        <w:ind w:firstLine="480" w:firstLineChars="200"/>
        <w:rPr>
          <w:rStyle w:val="Strong"/>
          <w:rFonts w:ascii="Calibri" w:eastAsia="宋体" w:hAnsi="Calibri"/>
          <w:b w:val="0"/>
          <w:color w:val="auto"/>
          <w:sz w:val="24"/>
          <w:szCs w:val="24"/>
        </w:rPr>
      </w:pPr>
      <w:r>
        <w:rPr>
          <w:rStyle w:val="Strong"/>
          <w:rFonts w:ascii="Calibri" w:eastAsia="宋体" w:hAnsi="Calibri" w:hint="eastAsia"/>
          <w:b w:val="0"/>
          <w:color w:val="auto"/>
          <w:sz w:val="24"/>
          <w:szCs w:val="24"/>
        </w:rPr>
        <w:t>应用系统安装调试监理：</w:t>
      </w:r>
    </w:p>
    <w:p>
      <w:pPr>
        <w:pStyle w:val="BodyText"/>
        <w:numPr>
          <w:ilvl w:val="0"/>
          <w:numId w:val="11"/>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硬件部署</w:t>
      </w:r>
      <w:r>
        <w:rPr>
          <w:rFonts w:eastAsia="宋体" w:hint="eastAsia"/>
          <w:color w:val="auto"/>
          <w:sz w:val="24"/>
          <w:szCs w:val="24"/>
        </w:rPr>
        <w:t>：监督服务器、磁盘阵列、网络交换机、机柜等设备的安装、上架、接线。</w:t>
      </w:r>
    </w:p>
    <w:p>
      <w:pPr>
        <w:pStyle w:val="BodyText"/>
        <w:numPr>
          <w:ilvl w:val="0"/>
          <w:numId w:val="11"/>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软件部署</w:t>
      </w:r>
      <w:r>
        <w:rPr>
          <w:rFonts w:eastAsia="宋体" w:hint="eastAsia"/>
          <w:color w:val="auto"/>
          <w:sz w:val="24"/>
          <w:szCs w:val="24"/>
        </w:rPr>
        <w:t>：监督操作系统、数据库、雷达控制软件、数据质量控制软件、产品生成软件、流传输软件等的安装、配置与授权。检查软件版本的正确性。</w:t>
      </w:r>
    </w:p>
    <w:p>
      <w:pPr>
        <w:pStyle w:val="BodyText"/>
        <w:numPr>
          <w:ilvl w:val="0"/>
          <w:numId w:val="11"/>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系统联调</w:t>
      </w:r>
      <w:r>
        <w:rPr>
          <w:rFonts w:eastAsia="宋体" w:hint="eastAsia"/>
          <w:color w:val="auto"/>
          <w:sz w:val="24"/>
          <w:szCs w:val="24"/>
        </w:rPr>
        <w:t>：旁站雷达主机、标校系统、应用软件之间的联合调试。核查数据流（IQ数据、基数据、产品数据）从采集、处理、存储到传输的全链路正确性与时效性（如体扫数据90秒内生成并开始传输）。</w:t>
      </w:r>
    </w:p>
    <w:p>
      <w:pPr>
        <w:pStyle w:val="BodyText"/>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调试文件审查</w:t>
      </w:r>
      <w:r>
        <w:rPr>
          <w:rFonts w:eastAsia="宋体" w:hint="eastAsia"/>
          <w:color w:val="auto"/>
          <w:sz w:val="24"/>
          <w:szCs w:val="24"/>
        </w:rPr>
        <w:t>：对所有调试大纲、测试方案、测试记录和报告进行严格审查。确保测试项目完整（覆盖技术规格书所有关键指标，如发射峰值功率、动态范围、标定精度、软件产品生成等），测试方法科学，数据真实可靠，结论明确。</w:t>
      </w:r>
    </w:p>
    <w:p>
      <w:pPr>
        <w:pStyle w:val="Heading4"/>
        <w:widowControl/>
        <w:adjustRightInd w:val="0"/>
        <w:snapToGrid w:val="0"/>
        <w:spacing w:before="0" w:after="0" w:line="360" w:lineRule="auto"/>
        <w:ind w:left="420" w:leftChars="200"/>
        <w:rPr>
          <w:rFonts w:ascii="黑体" w:hAnsi="黑体" w:cs="黑体" w:hint="eastAsia"/>
          <w:b w:val="0"/>
          <w:bCs w:val="0"/>
          <w:sz w:val="30"/>
          <w:szCs w:val="32"/>
        </w:rPr>
      </w:pPr>
      <w:r>
        <w:rPr>
          <w:rFonts w:hint="eastAsia"/>
          <w:b w:val="0"/>
          <w:bCs w:val="0"/>
          <w:sz w:val="30"/>
          <w:szCs w:val="32"/>
        </w:rPr>
        <w:t>标定标校专项监理</w:t>
      </w:r>
    </w:p>
    <w:p>
      <w:pPr>
        <w:pStyle w:val="BodyText"/>
        <w:numPr>
          <w:ilvl w:val="0"/>
          <w:numId w:val="12"/>
        </w:numPr>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rPr>
        <w:t>审核标定标校总体方案，特别是机外远场标定（距离≥1400米）的场地选择与安全措施。</w:t>
      </w:r>
    </w:p>
    <w:p>
      <w:pPr>
        <w:pStyle w:val="BodyText"/>
        <w:numPr>
          <w:ilvl w:val="0"/>
          <w:numId w:val="12"/>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旁站关键标定过程</w:t>
      </w:r>
      <w:r>
        <w:rPr>
          <w:rFonts w:eastAsia="宋体" w:hint="eastAsia"/>
          <w:color w:val="auto"/>
          <w:sz w:val="24"/>
          <w:szCs w:val="24"/>
        </w:rPr>
        <w:t xml:space="preserve">： </w:t>
      </w:r>
    </w:p>
    <w:p>
      <w:pPr>
        <w:pStyle w:val="BodyText"/>
        <w:numPr>
          <w:ilvl w:val="0"/>
          <w:numId w:val="13"/>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机内幅相标定</w:t>
      </w:r>
      <w:r>
        <w:rPr>
          <w:rFonts w:eastAsia="宋体" w:hint="eastAsia"/>
          <w:color w:val="auto"/>
          <w:sz w:val="24"/>
          <w:szCs w:val="24"/>
        </w:rPr>
        <w:t>：监督TR组件发射与接收通道的幅相一致性标定过程。</w:t>
      </w:r>
    </w:p>
    <w:p>
      <w:pPr>
        <w:pStyle w:val="BodyText"/>
        <w:numPr>
          <w:ilvl w:val="0"/>
          <w:numId w:val="13"/>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远场有源标定</w:t>
      </w:r>
      <w:r>
        <w:rPr>
          <w:rFonts w:eastAsia="宋体" w:hint="eastAsia"/>
          <w:color w:val="auto"/>
          <w:sz w:val="24"/>
          <w:szCs w:val="24"/>
        </w:rPr>
        <w:t>：监督无人机载标定系统进行的EIRP、G/T、天线方向图等测试。</w:t>
      </w:r>
    </w:p>
    <w:p>
      <w:pPr>
        <w:pStyle w:val="BodyText"/>
        <w:numPr>
          <w:ilvl w:val="0"/>
          <w:numId w:val="13"/>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金属球标定</w:t>
      </w:r>
      <w:r>
        <w:rPr>
          <w:rFonts w:eastAsia="宋体" w:hint="eastAsia"/>
          <w:color w:val="auto"/>
          <w:sz w:val="24"/>
          <w:szCs w:val="24"/>
        </w:rPr>
        <w:t>：监督利用无人机悬挂金属球进行的反射率（Z）和差分反射率（Zdr）绝对标定。</w:t>
      </w:r>
    </w:p>
    <w:p>
      <w:pPr>
        <w:pStyle w:val="BodyText"/>
        <w:numPr>
          <w:ilvl w:val="0"/>
          <w:numId w:val="12"/>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审核标定报告</w:t>
      </w:r>
      <w:r>
        <w:rPr>
          <w:rFonts w:eastAsia="宋体" w:hint="eastAsia"/>
          <w:color w:val="auto"/>
          <w:sz w:val="24"/>
          <w:szCs w:val="24"/>
        </w:rPr>
        <w:t>：对《雷达系统标定报告》进行技术审查，确认标定流程规范，数据处理正确，系统误差得到校准，最终指标（如强度定标误差≤1.0dB，差分反射率误差≤0.2dB等）满足可行性研究报告中的要求。这是雷达数据质量的根本保证。</w:t>
      </w:r>
    </w:p>
    <w:p>
      <w:pPr>
        <w:pStyle w:val="Heading4"/>
        <w:widowControl/>
        <w:adjustRightInd w:val="0"/>
        <w:snapToGrid w:val="0"/>
        <w:spacing w:before="0" w:after="0" w:line="360" w:lineRule="auto"/>
        <w:ind w:left="420" w:leftChars="200"/>
        <w:rPr>
          <w:rFonts w:ascii="黑体" w:hAnsi="黑体" w:cs="黑体" w:hint="eastAsia"/>
          <w:b w:val="0"/>
          <w:bCs w:val="0"/>
          <w:sz w:val="30"/>
          <w:szCs w:val="32"/>
        </w:rPr>
      </w:pPr>
      <w:r>
        <w:rPr>
          <w:rFonts w:hint="eastAsia"/>
          <w:b w:val="0"/>
          <w:bCs w:val="0"/>
          <w:sz w:val="30"/>
          <w:szCs w:val="32"/>
        </w:rPr>
        <w:t>试运行与竣工验收监理</w:t>
      </w:r>
    </w:p>
    <w:p>
      <w:pPr>
        <w:pStyle w:val="BodyText"/>
        <w:numPr>
          <w:ilvl w:val="0"/>
          <w:numId w:val="14"/>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试运行监督</w:t>
      </w:r>
      <w:r>
        <w:rPr>
          <w:rFonts w:eastAsia="宋体" w:hint="eastAsia"/>
          <w:color w:val="auto"/>
          <w:sz w:val="24"/>
          <w:szCs w:val="24"/>
        </w:rPr>
        <w:t>：监督为期不少于1个月的集中试运行。检查雷达系统7x24小时连续运行的稳定性、业务软件流程的可靠性、数据到中心站的传输完整性与时效性。</w:t>
      </w:r>
    </w:p>
    <w:p>
      <w:pPr>
        <w:pStyle w:val="BodyText"/>
        <w:numPr>
          <w:ilvl w:val="0"/>
          <w:numId w:val="14"/>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竣工验收组织与审核</w:t>
      </w:r>
      <w:r>
        <w:rPr>
          <w:rFonts w:eastAsia="宋体" w:hint="eastAsia"/>
          <w:color w:val="auto"/>
          <w:sz w:val="24"/>
          <w:szCs w:val="24"/>
        </w:rPr>
        <w:t xml:space="preserve">： </w:t>
      </w:r>
    </w:p>
    <w:p>
      <w:pPr>
        <w:pStyle w:val="BodyText"/>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lang w:val="en-US"/>
        </w:rPr>
        <w:t>a</w:t>
      </w:r>
      <w:r>
        <w:rPr>
          <w:rFonts w:hint="eastAsia"/>
          <w:color w:val="auto"/>
          <w:sz w:val="24"/>
          <w:szCs w:val="24"/>
        </w:rPr>
        <w:t>.</w:t>
      </w:r>
      <w:r>
        <w:rPr>
          <w:rFonts w:eastAsia="宋体" w:hint="eastAsia"/>
          <w:color w:val="auto"/>
          <w:sz w:val="24"/>
          <w:szCs w:val="24"/>
        </w:rPr>
        <w:t>协助建设单位制定详细的竣工验收方案。</w:t>
      </w:r>
    </w:p>
    <w:p>
      <w:pPr>
        <w:pStyle w:val="BodyText"/>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lang w:val="en-US"/>
        </w:rPr>
        <w:t>b</w:t>
      </w:r>
      <w:r>
        <w:rPr>
          <w:rFonts w:hint="eastAsia"/>
          <w:color w:val="auto"/>
          <w:sz w:val="24"/>
          <w:szCs w:val="24"/>
        </w:rPr>
        <w:t>.</w:t>
      </w:r>
      <w:r>
        <w:rPr>
          <w:rFonts w:eastAsia="宋体" w:hint="eastAsia"/>
          <w:color w:val="auto"/>
          <w:sz w:val="24"/>
          <w:szCs w:val="24"/>
        </w:rPr>
        <w:t>全面审核施工单位/供应商提交的竣工资料，确保其完整性、准确性和规范性。</w:t>
      </w:r>
    </w:p>
    <w:p>
      <w:pPr>
        <w:pStyle w:val="BodyText"/>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lang w:val="en-US"/>
        </w:rPr>
        <w:t>c</w:t>
      </w:r>
      <w:r>
        <w:rPr>
          <w:rFonts w:hint="eastAsia"/>
          <w:color w:val="auto"/>
          <w:sz w:val="24"/>
          <w:szCs w:val="24"/>
        </w:rPr>
        <w:t>.</w:t>
      </w:r>
      <w:r>
        <w:rPr>
          <w:rFonts w:eastAsia="宋体" w:hint="eastAsia"/>
          <w:color w:val="auto"/>
          <w:sz w:val="24"/>
          <w:szCs w:val="24"/>
        </w:rPr>
        <w:t>根据监理过程中的质量评估，独立、客观地编制《工程质量评估报告》。</w:t>
      </w:r>
    </w:p>
    <w:p>
      <w:pPr>
        <w:pStyle w:val="BodyText"/>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lang w:val="en-US"/>
        </w:rPr>
        <w:t>d</w:t>
      </w:r>
      <w:r>
        <w:rPr>
          <w:rFonts w:hint="eastAsia"/>
          <w:color w:val="auto"/>
          <w:sz w:val="24"/>
          <w:szCs w:val="24"/>
        </w:rPr>
        <w:t>.</w:t>
      </w:r>
      <w:r>
        <w:rPr>
          <w:rFonts w:eastAsia="宋体" w:hint="eastAsia"/>
          <w:color w:val="auto"/>
          <w:sz w:val="24"/>
          <w:szCs w:val="24"/>
        </w:rPr>
        <w:t>组织预验收，督促问题整改。</w:t>
      </w:r>
    </w:p>
    <w:p>
      <w:pPr>
        <w:pStyle w:val="BodyText"/>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lang w:val="en-US"/>
        </w:rPr>
        <w:t>e</w:t>
      </w:r>
      <w:r>
        <w:rPr>
          <w:rFonts w:hint="eastAsia"/>
          <w:color w:val="auto"/>
          <w:sz w:val="24"/>
          <w:szCs w:val="24"/>
        </w:rPr>
        <w:t>.</w:t>
      </w:r>
      <w:r>
        <w:rPr>
          <w:rFonts w:eastAsia="宋体" w:hint="eastAsia"/>
          <w:color w:val="auto"/>
          <w:sz w:val="24"/>
          <w:szCs w:val="24"/>
        </w:rPr>
        <w:t>参与正式的合同验收、技术验收和业务验收，并出具监理意见。</w:t>
      </w:r>
    </w:p>
    <w:p>
      <w:pPr>
        <w:pStyle w:val="Heading4"/>
        <w:widowControl/>
        <w:adjustRightInd w:val="0"/>
        <w:snapToGrid w:val="0"/>
        <w:spacing w:before="0" w:after="0" w:line="360" w:lineRule="auto"/>
        <w:ind w:left="420" w:leftChars="200"/>
        <w:rPr>
          <w:rFonts w:ascii="黑体" w:hAnsi="黑体" w:cs="黑体" w:hint="eastAsia"/>
          <w:b w:val="0"/>
          <w:bCs w:val="0"/>
          <w:sz w:val="30"/>
          <w:szCs w:val="32"/>
        </w:rPr>
      </w:pPr>
      <w:r>
        <w:rPr>
          <w:rFonts w:hint="eastAsia"/>
          <w:b w:val="0"/>
          <w:bCs w:val="0"/>
          <w:sz w:val="30"/>
          <w:szCs w:val="32"/>
        </w:rPr>
        <w:t>安全生产、合同、信息管理与组织协调</w:t>
      </w:r>
    </w:p>
    <w:p>
      <w:pPr>
        <w:pStyle w:val="BodyText"/>
        <w:numPr>
          <w:ilvl w:val="0"/>
          <w:numId w:val="15"/>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安全生产管理</w:t>
      </w:r>
      <w:r>
        <w:rPr>
          <w:rFonts w:eastAsia="宋体" w:hint="eastAsia"/>
          <w:color w:val="auto"/>
          <w:sz w:val="24"/>
          <w:szCs w:val="24"/>
        </w:rPr>
        <w:t>：将安全生产监理贯穿始终。审查安全专项方案，定期检查现场安全措施（特别是高空作业、吊装作业、用电安全、电磁辐射防护），发现隐患及时下达整改通知。</w:t>
      </w:r>
    </w:p>
    <w:p>
      <w:pPr>
        <w:pStyle w:val="BodyText"/>
        <w:numPr>
          <w:ilvl w:val="0"/>
          <w:numId w:val="15"/>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合同与投资控制</w:t>
      </w:r>
      <w:r>
        <w:rPr>
          <w:rFonts w:eastAsia="宋体" w:hint="eastAsia"/>
          <w:color w:val="auto"/>
          <w:sz w:val="24"/>
          <w:szCs w:val="24"/>
        </w:rPr>
        <w:t>：审核工程进度款支付申请，处理工程变更、签证，按程序审核价差，协助处理索赔事宜，严格控制投资。</w:t>
      </w:r>
    </w:p>
    <w:p>
      <w:pPr>
        <w:pStyle w:val="BodyText"/>
        <w:numPr>
          <w:ilvl w:val="0"/>
          <w:numId w:val="15"/>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信息管理</w:t>
      </w:r>
      <w:r>
        <w:rPr>
          <w:rFonts w:eastAsia="宋体" w:hint="eastAsia"/>
          <w:color w:val="auto"/>
          <w:sz w:val="24"/>
          <w:szCs w:val="24"/>
        </w:rPr>
        <w:t>：负责本项目全部监理资料的收集、分类、整理、归档。建立完整的监理档案，包括文字、图纸、图表、声像等不同载体文件。</w:t>
      </w:r>
      <w:r>
        <w:rPr>
          <w:rStyle w:val="Strong"/>
          <w:rFonts w:eastAsia="宋体" w:hint="eastAsia"/>
          <w:b w:val="0"/>
          <w:color w:val="auto"/>
          <w:sz w:val="24"/>
          <w:szCs w:val="24"/>
        </w:rPr>
        <w:t>在服务期满后，向采购人提交一套完整的、符合档案管理要求的监理归档资料（纸质版和电子版）。</w:t>
      </w:r>
    </w:p>
    <w:p>
      <w:pPr>
        <w:pStyle w:val="BodyText"/>
        <w:numPr>
          <w:ilvl w:val="0"/>
          <w:numId w:val="15"/>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组织协调</w:t>
      </w:r>
      <w:r>
        <w:rPr>
          <w:rFonts w:eastAsia="宋体" w:hint="eastAsia"/>
          <w:color w:val="auto"/>
          <w:sz w:val="24"/>
          <w:szCs w:val="24"/>
        </w:rPr>
        <w:t>：主持或参与各类工程例会，协调建设单位、施工单位、设备供应商、设计单位等各方关系，处理工程接口问题，保障项目顺利推进。</w:t>
      </w:r>
    </w:p>
    <w:p>
      <w:pPr>
        <w:pStyle w:val="Heading3"/>
        <w:widowControl/>
        <w:numPr>
          <w:ilvl w:val="0"/>
          <w:numId w:val="4"/>
        </w:numPr>
        <w:adjustRightInd w:val="0"/>
        <w:snapToGrid w:val="0"/>
        <w:spacing w:before="0" w:after="0" w:line="360" w:lineRule="auto"/>
        <w:ind w:firstLine="640" w:firstLineChars="200"/>
        <w:rPr>
          <w:rFonts w:ascii="黑体" w:eastAsia="黑体" w:hAnsi="黑体" w:cs="黑体" w:hint="eastAsia"/>
          <w:b w:val="0"/>
          <w:bCs w:val="0"/>
          <w:szCs w:val="44"/>
        </w:rPr>
      </w:pPr>
      <w:r>
        <w:rPr>
          <w:rFonts w:eastAsia="黑体" w:hint="eastAsia"/>
          <w:b w:val="0"/>
          <w:bCs w:val="0"/>
          <w:szCs w:val="44"/>
        </w:rPr>
        <w:t>监理成果交付要求</w:t>
      </w:r>
    </w:p>
    <w:p>
      <w:pPr>
        <w:pStyle w:val="BodyText"/>
        <w:adjustRightInd w:val="0"/>
        <w:snapToGrid w:val="0"/>
        <w:spacing w:after="0" w:line="360" w:lineRule="auto"/>
        <w:ind w:firstLine="480" w:firstLineChars="200"/>
        <w:rPr>
          <w:rFonts w:hint="eastAsia"/>
          <w:color w:val="auto"/>
          <w:sz w:val="24"/>
          <w:szCs w:val="24"/>
        </w:rPr>
      </w:pPr>
      <w:r>
        <w:rPr>
          <w:rFonts w:eastAsia="宋体" w:hint="eastAsia"/>
          <w:color w:val="auto"/>
          <w:sz w:val="24"/>
          <w:szCs w:val="24"/>
        </w:rPr>
        <w:t>监理方须按阶段向采购人提交</w:t>
      </w:r>
      <w:r>
        <w:rPr>
          <w:rFonts w:eastAsia="宋体" w:hint="eastAsia"/>
          <w:color w:val="auto"/>
          <w:sz w:val="24"/>
          <w:szCs w:val="24"/>
          <w:lang w:val="en-US"/>
        </w:rPr>
        <w:t>不限于以下</w:t>
      </w:r>
      <w:r>
        <w:rPr>
          <w:rFonts w:eastAsia="宋体" w:hint="eastAsia"/>
          <w:color w:val="auto"/>
          <w:sz w:val="24"/>
          <w:szCs w:val="24"/>
        </w:rPr>
        <w:t>成果文件（均需加盖监理单位公章）：</w:t>
      </w:r>
    </w:p>
    <w:p>
      <w:pPr>
        <w:pStyle w:val="BodyText"/>
        <w:numPr>
          <w:ilvl w:val="0"/>
          <w:numId w:val="16"/>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监理规划</w:t>
      </w:r>
      <w:r>
        <w:rPr>
          <w:rFonts w:eastAsia="宋体" w:hint="eastAsia"/>
          <w:color w:val="auto"/>
          <w:sz w:val="24"/>
          <w:szCs w:val="24"/>
        </w:rPr>
        <w:t>及针对雷达主机安装、标定测试、软件部署等关键环节的</w:t>
      </w:r>
      <w:r>
        <w:rPr>
          <w:rStyle w:val="Strong"/>
          <w:rFonts w:eastAsia="宋体" w:hint="eastAsia"/>
          <w:b w:val="0"/>
          <w:color w:val="auto"/>
          <w:sz w:val="24"/>
          <w:szCs w:val="24"/>
        </w:rPr>
        <w:t>监理实施细则</w:t>
      </w:r>
      <w:r>
        <w:rPr>
          <w:rFonts w:eastAsia="宋体" w:hint="eastAsia"/>
          <w:color w:val="auto"/>
          <w:sz w:val="24"/>
          <w:szCs w:val="24"/>
        </w:rPr>
        <w:t>。</w:t>
      </w:r>
    </w:p>
    <w:p>
      <w:pPr>
        <w:pStyle w:val="BodyText"/>
        <w:numPr>
          <w:ilvl w:val="0"/>
          <w:numId w:val="16"/>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监理月报</w:t>
      </w:r>
      <w:r>
        <w:rPr>
          <w:rFonts w:eastAsia="宋体" w:hint="eastAsia"/>
          <w:color w:val="auto"/>
          <w:sz w:val="24"/>
          <w:szCs w:val="24"/>
        </w:rPr>
        <w:t>（每月5日前提交上月月报）、</w:t>
      </w:r>
      <w:r>
        <w:rPr>
          <w:rStyle w:val="Strong"/>
          <w:rFonts w:eastAsia="宋体" w:hint="eastAsia"/>
          <w:b w:val="0"/>
          <w:color w:val="auto"/>
          <w:sz w:val="24"/>
          <w:szCs w:val="24"/>
        </w:rPr>
        <w:t>专题报告</w:t>
      </w:r>
      <w:r>
        <w:rPr>
          <w:rFonts w:eastAsia="宋体" w:hint="eastAsia"/>
          <w:color w:val="auto"/>
          <w:sz w:val="24"/>
          <w:szCs w:val="24"/>
        </w:rPr>
        <w:t>（针对重大技术或管理问题）。</w:t>
      </w:r>
    </w:p>
    <w:p>
      <w:pPr>
        <w:pStyle w:val="BodyText"/>
        <w:numPr>
          <w:ilvl w:val="0"/>
          <w:numId w:val="16"/>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会议纪要</w:t>
      </w:r>
      <w:r>
        <w:rPr>
          <w:rFonts w:eastAsia="宋体" w:hint="eastAsia"/>
          <w:color w:val="auto"/>
          <w:sz w:val="24"/>
          <w:szCs w:val="24"/>
        </w:rPr>
        <w:t>（所有由监理主持或参加的工程会议）。</w:t>
      </w:r>
    </w:p>
    <w:p>
      <w:pPr>
        <w:pStyle w:val="BodyText"/>
        <w:numPr>
          <w:ilvl w:val="0"/>
          <w:numId w:val="16"/>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监理通知单、工作联系单、暂停令、复工令</w:t>
      </w:r>
      <w:r>
        <w:rPr>
          <w:rFonts w:eastAsia="宋体" w:hint="eastAsia"/>
          <w:color w:val="auto"/>
          <w:sz w:val="24"/>
          <w:szCs w:val="24"/>
        </w:rPr>
        <w:t>等过程控制文件。</w:t>
      </w:r>
    </w:p>
    <w:p>
      <w:pPr>
        <w:pStyle w:val="BodyText"/>
        <w:numPr>
          <w:ilvl w:val="0"/>
          <w:numId w:val="16"/>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设备生产监造报告</w:t>
      </w:r>
      <w:r>
        <w:rPr>
          <w:rFonts w:eastAsia="宋体" w:hint="eastAsia"/>
          <w:color w:val="auto"/>
          <w:sz w:val="24"/>
          <w:szCs w:val="24"/>
        </w:rPr>
        <w:t>、</w:t>
      </w:r>
      <w:r>
        <w:rPr>
          <w:rStyle w:val="Strong"/>
          <w:rFonts w:eastAsia="宋体" w:hint="eastAsia"/>
          <w:b w:val="0"/>
          <w:color w:val="auto"/>
          <w:sz w:val="24"/>
          <w:szCs w:val="24"/>
        </w:rPr>
        <w:t>设备开箱检验记录</w:t>
      </w:r>
      <w:r>
        <w:rPr>
          <w:rFonts w:eastAsia="宋体" w:hint="eastAsia"/>
          <w:color w:val="auto"/>
          <w:sz w:val="24"/>
          <w:szCs w:val="24"/>
        </w:rPr>
        <w:t>。</w:t>
      </w:r>
    </w:p>
    <w:p>
      <w:pPr>
        <w:pStyle w:val="BodyText"/>
        <w:numPr>
          <w:ilvl w:val="0"/>
          <w:numId w:val="16"/>
        </w:numPr>
        <w:adjustRightInd w:val="0"/>
        <w:snapToGrid w:val="0"/>
        <w:spacing w:after="0" w:line="360" w:lineRule="auto"/>
        <w:ind w:firstLine="480" w:firstLineChars="200"/>
        <w:rPr>
          <w:rFonts w:hint="eastAsia"/>
          <w:color w:val="auto"/>
          <w:sz w:val="24"/>
          <w:szCs w:val="24"/>
        </w:rPr>
      </w:pPr>
      <w:r>
        <w:rPr>
          <w:rStyle w:val="Strong"/>
          <w:rFonts w:eastAsia="宋体" w:hint="eastAsia"/>
          <w:b w:val="0"/>
          <w:color w:val="auto"/>
          <w:sz w:val="24"/>
          <w:szCs w:val="24"/>
        </w:rPr>
        <w:t>旁站记录表</w:t>
      </w:r>
      <w:r>
        <w:rPr>
          <w:rFonts w:eastAsia="宋体" w:hint="eastAsia"/>
          <w:color w:val="auto"/>
          <w:sz w:val="24"/>
          <w:szCs w:val="24"/>
        </w:rPr>
        <w:t>（用于安装、调试、标定等关键工序）。</w:t>
      </w:r>
    </w:p>
    <w:p>
      <w:pPr>
        <w:pStyle w:val="BodyText"/>
        <w:numPr>
          <w:ilvl w:val="0"/>
          <w:numId w:val="16"/>
        </w:numPr>
        <w:adjustRightInd w:val="0"/>
        <w:snapToGrid w:val="0"/>
        <w:spacing w:after="0" w:line="360" w:lineRule="auto"/>
        <w:ind w:firstLine="480" w:firstLineChars="200"/>
        <w:rPr>
          <w:rFonts w:hint="eastAsia"/>
          <w:color w:val="auto"/>
          <w:sz w:val="24"/>
          <w:szCs w:val="24"/>
          <w:highlight w:val="none"/>
        </w:rPr>
      </w:pPr>
      <w:r>
        <w:rPr>
          <w:rStyle w:val="Strong"/>
          <w:rFonts w:eastAsia="宋体" w:hint="eastAsia"/>
          <w:b/>
          <w:color w:val="auto"/>
          <w:sz w:val="24"/>
          <w:szCs w:val="24"/>
          <w:highlight w:val="none"/>
        </w:rPr>
        <w:t>监理现场检查记录表</w:t>
      </w:r>
      <w:r>
        <w:rPr>
          <w:rFonts w:eastAsia="宋体" w:hint="eastAsia"/>
          <w:color w:val="auto"/>
          <w:sz w:val="24"/>
          <w:szCs w:val="24"/>
          <w:highlight w:val="none"/>
        </w:rPr>
        <w:t>（格式可参考附件）。</w:t>
      </w:r>
    </w:p>
    <w:p>
      <w:pPr>
        <w:pStyle w:val="BodyText"/>
        <w:numPr>
          <w:ilvl w:val="0"/>
          <w:numId w:val="16"/>
        </w:numPr>
        <w:adjustRightInd w:val="0"/>
        <w:snapToGrid w:val="0"/>
        <w:spacing w:after="0" w:line="360" w:lineRule="auto"/>
        <w:ind w:firstLine="480" w:firstLineChars="200"/>
        <w:rPr>
          <w:rFonts w:hint="eastAsia"/>
          <w:color w:val="auto"/>
          <w:sz w:val="24"/>
          <w:szCs w:val="24"/>
          <w:highlight w:val="none"/>
        </w:rPr>
      </w:pPr>
      <w:r>
        <w:rPr>
          <w:rStyle w:val="Strong"/>
          <w:rFonts w:eastAsia="宋体" w:hint="eastAsia"/>
          <w:b/>
          <w:color w:val="auto"/>
          <w:sz w:val="24"/>
          <w:szCs w:val="24"/>
          <w:highlight w:val="none"/>
        </w:rPr>
        <w:t>测试/调试报告审查意见表</w:t>
      </w:r>
      <w:r>
        <w:rPr>
          <w:rFonts w:eastAsia="宋体" w:hint="eastAsia"/>
          <w:color w:val="auto"/>
          <w:sz w:val="24"/>
          <w:szCs w:val="24"/>
          <w:highlight w:val="none"/>
        </w:rPr>
        <w:t>。</w:t>
      </w:r>
    </w:p>
    <w:p>
      <w:pPr>
        <w:pStyle w:val="BodyText"/>
        <w:numPr>
          <w:ilvl w:val="0"/>
          <w:numId w:val="16"/>
        </w:numPr>
        <w:adjustRightInd w:val="0"/>
        <w:snapToGrid w:val="0"/>
        <w:spacing w:after="0" w:line="360" w:lineRule="auto"/>
        <w:ind w:firstLine="480" w:firstLineChars="200"/>
        <w:rPr>
          <w:rFonts w:hint="eastAsia"/>
          <w:color w:val="auto"/>
          <w:sz w:val="24"/>
          <w:szCs w:val="24"/>
          <w:highlight w:val="none"/>
        </w:rPr>
      </w:pPr>
      <w:r>
        <w:rPr>
          <w:rStyle w:val="Strong"/>
          <w:rFonts w:eastAsia="宋体" w:hint="eastAsia"/>
          <w:b/>
          <w:color w:val="auto"/>
          <w:sz w:val="24"/>
          <w:szCs w:val="24"/>
          <w:highlight w:val="none"/>
        </w:rPr>
        <w:t>标定标校专项监理评估报告</w:t>
      </w:r>
      <w:r>
        <w:rPr>
          <w:rFonts w:eastAsia="宋体" w:hint="eastAsia"/>
          <w:color w:val="auto"/>
          <w:sz w:val="24"/>
          <w:szCs w:val="24"/>
          <w:highlight w:val="none"/>
        </w:rPr>
        <w:t>。</w:t>
      </w:r>
    </w:p>
    <w:p>
      <w:pPr>
        <w:pStyle w:val="BodyText"/>
        <w:numPr>
          <w:ilvl w:val="0"/>
          <w:numId w:val="16"/>
        </w:numPr>
        <w:adjustRightInd w:val="0"/>
        <w:snapToGrid w:val="0"/>
        <w:spacing w:after="0" w:line="360" w:lineRule="auto"/>
        <w:ind w:firstLine="480" w:firstLineChars="200"/>
        <w:rPr>
          <w:rFonts w:hint="eastAsia"/>
          <w:color w:val="auto"/>
          <w:sz w:val="24"/>
          <w:szCs w:val="24"/>
          <w:highlight w:val="none"/>
        </w:rPr>
      </w:pPr>
      <w:r>
        <w:rPr>
          <w:rStyle w:val="Strong"/>
          <w:rFonts w:eastAsia="宋体" w:hint="eastAsia"/>
          <w:b/>
          <w:color w:val="auto"/>
          <w:sz w:val="24"/>
          <w:szCs w:val="24"/>
          <w:highlight w:val="none"/>
        </w:rPr>
        <w:t>工程质量评估报告</w:t>
      </w:r>
      <w:r>
        <w:rPr>
          <w:rFonts w:eastAsia="宋体" w:hint="eastAsia"/>
          <w:color w:val="auto"/>
          <w:sz w:val="24"/>
          <w:szCs w:val="24"/>
          <w:highlight w:val="none"/>
        </w:rPr>
        <w:t>（竣工验收前提交）。</w:t>
      </w:r>
    </w:p>
    <w:p>
      <w:pPr>
        <w:pStyle w:val="BodyText"/>
        <w:numPr>
          <w:ilvl w:val="0"/>
          <w:numId w:val="16"/>
        </w:numPr>
        <w:adjustRightInd w:val="0"/>
        <w:snapToGrid w:val="0"/>
        <w:spacing w:after="0" w:line="360" w:lineRule="auto"/>
        <w:ind w:firstLine="480" w:firstLineChars="200"/>
        <w:rPr>
          <w:rFonts w:hint="eastAsia"/>
          <w:color w:val="auto"/>
          <w:sz w:val="24"/>
          <w:szCs w:val="24"/>
          <w:highlight w:val="none"/>
        </w:rPr>
      </w:pPr>
      <w:r>
        <w:rPr>
          <w:rStyle w:val="Strong"/>
          <w:rFonts w:eastAsia="宋体" w:hint="eastAsia"/>
          <w:b/>
          <w:color w:val="auto"/>
          <w:sz w:val="24"/>
          <w:szCs w:val="24"/>
          <w:highlight w:val="none"/>
        </w:rPr>
        <w:t>监理工作总结报告</w:t>
      </w:r>
      <w:r>
        <w:rPr>
          <w:rFonts w:eastAsia="宋体" w:hint="eastAsia"/>
          <w:color w:val="auto"/>
          <w:sz w:val="24"/>
          <w:szCs w:val="24"/>
          <w:highlight w:val="none"/>
        </w:rPr>
        <w:t>（项目全部结束后提交）。</w:t>
      </w:r>
    </w:p>
    <w:p>
      <w:pPr>
        <w:pStyle w:val="BodyText"/>
        <w:numPr>
          <w:ilvl w:val="0"/>
          <w:numId w:val="16"/>
        </w:numPr>
        <w:adjustRightInd w:val="0"/>
        <w:snapToGrid w:val="0"/>
        <w:spacing w:after="0" w:line="360" w:lineRule="auto"/>
        <w:ind w:firstLine="480" w:firstLineChars="200"/>
        <w:rPr>
          <w:rFonts w:hint="eastAsia"/>
          <w:color w:val="auto"/>
          <w:sz w:val="24"/>
          <w:szCs w:val="24"/>
          <w:highlight w:val="none"/>
        </w:rPr>
      </w:pPr>
      <w:r>
        <w:rPr>
          <w:rStyle w:val="Strong"/>
          <w:rFonts w:eastAsia="宋体" w:hint="eastAsia"/>
          <w:b/>
          <w:color w:val="auto"/>
          <w:sz w:val="24"/>
          <w:szCs w:val="24"/>
          <w:highlight w:val="none"/>
        </w:rPr>
        <w:t>完整的项目监理归档资料</w:t>
      </w:r>
      <w:r>
        <w:rPr>
          <w:rFonts w:eastAsia="宋体" w:hint="eastAsia"/>
          <w:color w:val="auto"/>
          <w:sz w:val="24"/>
          <w:szCs w:val="24"/>
          <w:highlight w:val="none"/>
        </w:rPr>
        <w:t>及详细的</w:t>
      </w:r>
      <w:r>
        <w:rPr>
          <w:rStyle w:val="Strong"/>
          <w:rFonts w:eastAsia="宋体" w:hint="eastAsia"/>
          <w:b/>
          <w:color w:val="auto"/>
          <w:sz w:val="24"/>
          <w:szCs w:val="24"/>
          <w:highlight w:val="none"/>
        </w:rPr>
        <w:t>归档资料目录清单</w:t>
      </w:r>
      <w:r>
        <w:rPr>
          <w:rFonts w:eastAsia="宋体" w:hint="eastAsia"/>
          <w:color w:val="auto"/>
          <w:sz w:val="24"/>
          <w:szCs w:val="24"/>
          <w:highlight w:val="none"/>
        </w:rPr>
        <w:t>。</w:t>
      </w:r>
    </w:p>
    <w:p>
      <w:pPr>
        <w:pStyle w:val="Heading3"/>
        <w:widowControl/>
        <w:numPr>
          <w:ilvl w:val="0"/>
          <w:numId w:val="4"/>
        </w:numPr>
        <w:adjustRightInd w:val="0"/>
        <w:snapToGrid w:val="0"/>
        <w:spacing w:before="0" w:after="0" w:line="360" w:lineRule="auto"/>
        <w:ind w:firstLine="640" w:firstLineChars="200"/>
        <w:rPr>
          <w:rFonts w:ascii="黑体" w:eastAsia="黑体" w:hAnsi="黑体" w:cs="黑体" w:hint="eastAsia"/>
          <w:b w:val="0"/>
          <w:bCs w:val="0"/>
          <w:szCs w:val="44"/>
          <w:highlight w:val="none"/>
        </w:rPr>
      </w:pPr>
      <w:r>
        <w:rPr>
          <w:rFonts w:eastAsia="黑体" w:hint="eastAsia"/>
          <w:b w:val="0"/>
          <w:bCs w:val="0"/>
          <w:szCs w:val="44"/>
          <w:highlight w:val="none"/>
        </w:rPr>
        <w:t>监理人员配置要求</w:t>
      </w:r>
    </w:p>
    <w:p>
      <w:pPr>
        <w:pStyle w:val="BodyText"/>
        <w:numPr>
          <w:ilvl w:val="0"/>
          <w:numId w:val="0"/>
        </w:numPr>
        <w:adjustRightInd w:val="0"/>
        <w:snapToGrid w:val="0"/>
        <w:spacing w:after="0" w:line="360" w:lineRule="auto"/>
        <w:ind w:firstLine="480" w:firstLineChars="200"/>
        <w:rPr>
          <w:rFonts w:eastAsia="宋体" w:cs="Times New Roman" w:hint="eastAsia"/>
          <w:color w:val="auto"/>
          <w:sz w:val="24"/>
          <w:szCs w:val="24"/>
        </w:rPr>
      </w:pPr>
      <w:r>
        <w:rPr>
          <w:rFonts w:eastAsia="宋体" w:cs="Times New Roman" w:hint="eastAsia"/>
          <w:color w:val="auto"/>
          <w:sz w:val="24"/>
          <w:szCs w:val="24"/>
          <w:highlight w:val="none"/>
        </w:rPr>
        <w:t>监理人员</w:t>
      </w:r>
      <w:r>
        <w:rPr>
          <w:rFonts w:eastAsia="宋体" w:cs="Times New Roman" w:hint="eastAsia"/>
          <w:color w:val="auto"/>
          <w:sz w:val="24"/>
          <w:szCs w:val="24"/>
        </w:rPr>
        <w:t>应</w:t>
      </w:r>
      <w:r>
        <w:rPr>
          <w:rFonts w:eastAsia="宋体" w:cs="Times New Roman" w:hint="eastAsia"/>
          <w:color w:val="auto"/>
          <w:sz w:val="24"/>
          <w:szCs w:val="24"/>
          <w:lang w:val="en-US" w:eastAsia="zh-CN"/>
        </w:rPr>
        <w:t>设</w:t>
      </w:r>
      <w:r>
        <w:rPr>
          <w:rFonts w:eastAsia="宋体" w:cs="Times New Roman" w:hint="eastAsia"/>
          <w:color w:val="auto"/>
          <w:sz w:val="24"/>
          <w:szCs w:val="24"/>
        </w:rPr>
        <w:t>总监理工程师、总监理工程师代表。项目监理机构的监理人员应专业配套、数量满足工程项目监理工作的需要，为本项目配备的项目组人员不少于6人。</w:t>
      </w:r>
    </w:p>
    <w:p>
      <w:pPr>
        <w:pStyle w:val="BodyText"/>
        <w:numPr>
          <w:ilvl w:val="0"/>
          <w:numId w:val="0"/>
        </w:numPr>
        <w:adjustRightInd w:val="0"/>
        <w:snapToGrid w:val="0"/>
        <w:spacing w:after="0" w:line="360" w:lineRule="auto"/>
        <w:ind w:firstLine="480" w:firstLineChars="200"/>
        <w:rPr>
          <w:rFonts w:eastAsia="宋体" w:cs="Times New Roman" w:hint="eastAsia"/>
          <w:color w:val="auto"/>
          <w:sz w:val="24"/>
          <w:szCs w:val="24"/>
        </w:rPr>
      </w:pPr>
      <w:r>
        <w:rPr>
          <w:rFonts w:eastAsia="宋体" w:cs="Times New Roman" w:hint="eastAsia"/>
          <w:color w:val="auto"/>
          <w:sz w:val="24"/>
          <w:szCs w:val="24"/>
          <w:lang w:val="en-US" w:eastAsia="zh-CN"/>
        </w:rPr>
        <w:t>相关人员资质要求及工作职责</w:t>
      </w:r>
      <w:r>
        <w:rPr>
          <w:rFonts w:eastAsia="宋体" w:cs="Times New Roman" w:hint="eastAsia"/>
          <w:color w:val="auto"/>
          <w:sz w:val="24"/>
          <w:szCs w:val="24"/>
        </w:rPr>
        <w:t>如下：</w:t>
      </w:r>
    </w:p>
    <w:p>
      <w:pPr>
        <w:pStyle w:val="BodyText"/>
        <w:numPr>
          <w:ilvl w:val="0"/>
          <w:numId w:val="0"/>
        </w:numPr>
        <w:adjustRightInd w:val="0"/>
        <w:snapToGrid w:val="0"/>
        <w:spacing w:after="0" w:line="360" w:lineRule="auto"/>
        <w:ind w:firstLine="480" w:firstLineChars="200"/>
        <w:rPr>
          <w:rFonts w:eastAsia="宋体" w:cs="Times New Roman" w:hint="eastAsia"/>
          <w:color w:val="auto"/>
          <w:sz w:val="24"/>
          <w:szCs w:val="24"/>
        </w:rPr>
      </w:pPr>
      <w:r>
        <w:rPr>
          <w:rFonts w:eastAsia="宋体" w:cs="Times New Roman" w:hint="eastAsia"/>
          <w:color w:val="auto"/>
          <w:sz w:val="24"/>
          <w:szCs w:val="24"/>
        </w:rPr>
        <w:t>1、总监理工程师应有理工科专业背景，具有机电安装工程/通信工程注册监理工程师资格证书</w:t>
      </w:r>
      <w:r>
        <w:rPr>
          <w:rFonts w:eastAsia="宋体" w:cs="Times New Roman" w:hint="eastAsia"/>
          <w:color w:val="auto"/>
          <w:sz w:val="24"/>
          <w:szCs w:val="24"/>
          <w:lang w:eastAsia="zh-CN"/>
        </w:rPr>
        <w:t>，</w:t>
      </w:r>
      <w:r>
        <w:rPr>
          <w:rFonts w:eastAsia="宋体" w:cs="Times New Roman" w:hint="eastAsia"/>
          <w:color w:val="auto"/>
          <w:sz w:val="24"/>
          <w:szCs w:val="24"/>
          <w:lang w:val="en-US" w:eastAsia="zh-CN"/>
        </w:rPr>
        <w:t xml:space="preserve"> </w:t>
      </w:r>
      <w:r>
        <w:rPr>
          <w:rFonts w:eastAsia="宋体" w:cs="Times New Roman" w:hint="eastAsia"/>
          <w:color w:val="auto"/>
          <w:sz w:val="24"/>
          <w:szCs w:val="24"/>
        </w:rPr>
        <w:t>具有机电安装工程</w:t>
      </w:r>
      <w:r>
        <w:rPr>
          <w:rFonts w:eastAsia="宋体" w:cs="Times New Roman" w:hint="eastAsia"/>
          <w:color w:val="auto"/>
          <w:sz w:val="24"/>
          <w:szCs w:val="24"/>
          <w:lang w:val="en-US" w:eastAsia="zh-CN"/>
        </w:rPr>
        <w:t>类/</w:t>
      </w:r>
      <w:r>
        <w:rPr>
          <w:rFonts w:eastAsia="宋体" w:cs="Times New Roman" w:hint="eastAsia"/>
          <w:color w:val="auto"/>
          <w:sz w:val="24"/>
          <w:szCs w:val="24"/>
        </w:rPr>
        <w:t>通信工程类/电子信息类/计算机类/信息系统类/雷达工程类高级职称证书（含高级工程师）并担任过类似项目的总监理工程师；负责对本项目进行总体指挥、部署，需实时把握整体进度和重要节点，参加</w:t>
      </w:r>
      <w:r>
        <w:rPr>
          <w:rFonts w:eastAsia="宋体" w:cs="Times New Roman" w:hint="eastAsia"/>
          <w:color w:val="auto"/>
          <w:sz w:val="24"/>
          <w:szCs w:val="24"/>
          <w:lang w:val="en-US" w:eastAsia="zh-CN"/>
        </w:rPr>
        <w:t>项目</w:t>
      </w:r>
      <w:r>
        <w:rPr>
          <w:rFonts w:eastAsia="宋体" w:cs="Times New Roman" w:hint="eastAsia"/>
          <w:color w:val="auto"/>
          <w:sz w:val="24"/>
          <w:szCs w:val="24"/>
        </w:rPr>
        <w:t>建设期间的重要会议并给出实质性的建议和意见。</w:t>
      </w:r>
    </w:p>
    <w:p>
      <w:pPr>
        <w:pStyle w:val="BodyText"/>
        <w:numPr>
          <w:ilvl w:val="0"/>
          <w:numId w:val="0"/>
        </w:numPr>
        <w:adjustRightInd w:val="0"/>
        <w:snapToGrid w:val="0"/>
        <w:spacing w:after="0" w:line="360" w:lineRule="auto"/>
        <w:ind w:firstLine="480" w:firstLineChars="200"/>
        <w:rPr>
          <w:rFonts w:eastAsia="宋体" w:cs="Times New Roman" w:hint="eastAsia"/>
          <w:color w:val="auto"/>
          <w:sz w:val="24"/>
          <w:szCs w:val="24"/>
        </w:rPr>
      </w:pPr>
      <w:r>
        <w:rPr>
          <w:rFonts w:eastAsia="宋体" w:cs="Times New Roman" w:hint="eastAsia"/>
          <w:color w:val="auto"/>
          <w:sz w:val="24"/>
          <w:szCs w:val="24"/>
        </w:rPr>
        <w:t>2、总监理工程师代表应有理工科专业背景，具有机电安装工程/通信工程注册监理工程师资格证书</w:t>
      </w:r>
      <w:r>
        <w:rPr>
          <w:rFonts w:eastAsia="宋体" w:cs="Times New Roman" w:hint="eastAsia"/>
          <w:color w:val="auto"/>
          <w:sz w:val="24"/>
          <w:szCs w:val="24"/>
          <w:lang w:eastAsia="zh-CN"/>
        </w:rPr>
        <w:t>，</w:t>
      </w:r>
      <w:r>
        <w:rPr>
          <w:rFonts w:eastAsia="宋体" w:cs="Times New Roman" w:hint="eastAsia"/>
          <w:color w:val="auto"/>
          <w:sz w:val="24"/>
          <w:szCs w:val="24"/>
        </w:rPr>
        <w:t>具有机电安装工程</w:t>
      </w:r>
      <w:r>
        <w:rPr>
          <w:rFonts w:eastAsia="宋体" w:cs="Times New Roman" w:hint="eastAsia"/>
          <w:color w:val="auto"/>
          <w:sz w:val="24"/>
          <w:szCs w:val="24"/>
          <w:lang w:val="en-US" w:eastAsia="zh-CN"/>
        </w:rPr>
        <w:t>类/</w:t>
      </w:r>
      <w:r>
        <w:rPr>
          <w:rFonts w:eastAsia="宋体" w:cs="Times New Roman" w:hint="eastAsia"/>
          <w:color w:val="auto"/>
          <w:sz w:val="24"/>
          <w:szCs w:val="24"/>
        </w:rPr>
        <w:t>通信工程类/电子信息类/计算机类/信息系统类/雷达工程类高级职称证书（含高级工程师）且具有3年及以上工作经验，并承担过总监理工程师或总监理工程师代表岗位；按照团队负责人的授权，行使部分总监理工程师的部分职责和权力。</w:t>
      </w:r>
    </w:p>
    <w:p>
      <w:pPr>
        <w:pStyle w:val="BodyText"/>
        <w:numPr>
          <w:ilvl w:val="0"/>
          <w:numId w:val="0"/>
        </w:numPr>
        <w:adjustRightInd w:val="0"/>
        <w:snapToGrid w:val="0"/>
        <w:spacing w:after="0" w:line="360" w:lineRule="auto"/>
        <w:ind w:firstLine="480" w:firstLineChars="200"/>
        <w:rPr>
          <w:rFonts w:ascii="黑体" w:hAnsi="黑体" w:cs="黑体" w:hint="eastAsia"/>
          <w:sz w:val="32"/>
          <w:szCs w:val="32"/>
        </w:rPr>
      </w:pPr>
      <w:r>
        <w:rPr>
          <w:rFonts w:eastAsia="宋体" w:cs="Times New Roman" w:hint="eastAsia"/>
          <w:color w:val="auto"/>
          <w:sz w:val="24"/>
          <w:szCs w:val="24"/>
        </w:rPr>
        <w:t>3、除总监理工程师、总监理工程师代表之外，监理团队人员</w:t>
      </w:r>
      <w:r>
        <w:rPr>
          <w:rFonts w:eastAsia="宋体" w:cs="Times New Roman" w:hint="eastAsia"/>
          <w:color w:val="auto"/>
          <w:sz w:val="24"/>
          <w:szCs w:val="24"/>
          <w:lang w:val="en-US" w:eastAsia="zh-CN"/>
        </w:rPr>
        <w:t>应至少</w:t>
      </w:r>
      <w:r>
        <w:rPr>
          <w:rFonts w:eastAsia="宋体" w:cs="Times New Roman" w:hint="eastAsia"/>
          <w:color w:val="auto"/>
          <w:sz w:val="24"/>
          <w:szCs w:val="24"/>
        </w:rPr>
        <w:t>具</w:t>
      </w:r>
      <w:r>
        <w:rPr>
          <w:rFonts w:eastAsia="宋体" w:cs="Times New Roman" w:hint="eastAsia"/>
          <w:color w:val="auto"/>
          <w:sz w:val="24"/>
          <w:szCs w:val="24"/>
          <w:lang w:val="en-US" w:eastAsia="zh-CN"/>
        </w:rPr>
        <w:t>有</w:t>
      </w:r>
      <w:r>
        <w:rPr>
          <w:rFonts w:eastAsia="宋体" w:cs="Times New Roman" w:hint="eastAsia"/>
          <w:color w:val="auto"/>
          <w:sz w:val="24"/>
          <w:szCs w:val="24"/>
        </w:rPr>
        <w:t>机电安装工程</w:t>
      </w:r>
      <w:r>
        <w:rPr>
          <w:rFonts w:eastAsia="宋体" w:cs="Times New Roman" w:hint="eastAsia"/>
          <w:color w:val="auto"/>
          <w:sz w:val="24"/>
          <w:szCs w:val="24"/>
          <w:lang w:val="en-US" w:eastAsia="zh-CN"/>
        </w:rPr>
        <w:t>类/</w:t>
      </w:r>
      <w:r>
        <w:rPr>
          <w:rFonts w:eastAsia="宋体" w:cs="Times New Roman" w:hint="eastAsia"/>
          <w:color w:val="auto"/>
          <w:sz w:val="24"/>
          <w:szCs w:val="24"/>
        </w:rPr>
        <w:t>通信工程类/电子信息类/计算机类/信息系统类/雷达工程类</w:t>
      </w:r>
      <w:r>
        <w:rPr>
          <w:rFonts w:eastAsia="宋体" w:cs="Times New Roman" w:hint="eastAsia"/>
          <w:color w:val="auto"/>
          <w:sz w:val="24"/>
          <w:szCs w:val="24"/>
          <w:lang w:val="en-US" w:eastAsia="zh-CN"/>
        </w:rPr>
        <w:t>中</w:t>
      </w:r>
      <w:r>
        <w:rPr>
          <w:rFonts w:eastAsia="宋体" w:cs="Times New Roman" w:hint="eastAsia"/>
          <w:color w:val="auto"/>
          <w:sz w:val="24"/>
          <w:szCs w:val="24"/>
        </w:rPr>
        <w:t>级职称证书</w:t>
      </w:r>
      <w:r>
        <w:rPr>
          <w:rFonts w:eastAsia="宋体" w:cs="Times New Roman" w:hint="eastAsia"/>
          <w:color w:val="auto"/>
          <w:sz w:val="24"/>
          <w:szCs w:val="24"/>
          <w:lang w:eastAsia="zh-CN"/>
        </w:rPr>
        <w:t>。</w:t>
      </w: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p>
    <w:p>
      <w:pPr>
        <w:ind w:firstLine="640" w:firstLineChars="200"/>
        <w:rPr>
          <w:rFonts w:ascii="黑体" w:hAnsi="黑体" w:cs="黑体" w:hint="eastAsia"/>
          <w:sz w:val="32"/>
          <w:szCs w:val="32"/>
        </w:rPr>
      </w:pPr>
      <w:r>
        <w:rPr>
          <w:rFonts w:ascii="黑体" w:hAnsi="黑体" w:cs="黑体" w:hint="eastAsia"/>
          <w:sz w:val="32"/>
          <w:szCs w:val="32"/>
        </w:rPr>
        <w:t>附录：</w:t>
      </w:r>
    </w:p>
    <w:p>
      <w:pPr>
        <w:jc w:val="center"/>
        <w:rPr>
          <w:rFonts w:ascii="宋体" w:hAnsi="宋体" w:cs="宋体" w:hint="eastAsia"/>
          <w:b/>
          <w:bCs/>
        </w:rPr>
      </w:pPr>
      <w:r>
        <w:rPr>
          <w:rFonts w:ascii="宋体" w:hAnsi="宋体" w:cs="宋体" w:hint="eastAsia"/>
          <w:b/>
          <w:bCs/>
          <w:sz w:val="24"/>
          <w:szCs w:val="24"/>
        </w:rPr>
        <w:t>A.1 保定S波段双偏振相控阵天气雷达主机系统与测量标校和应用系统建设项目监理现场检查内容详情表（示例）</w:t>
      </w:r>
    </w:p>
    <w:tbl>
      <w:tblPr>
        <w:tblStyle w:val="TableNormal"/>
        <w:tblW w:w="4996" w:type="pct"/>
        <w:tblInd w:w="0" w:type="dxa"/>
        <w:tblLayout w:type="fixed"/>
        <w:tblCellMar>
          <w:top w:w="0" w:type="dxa"/>
          <w:left w:w="108" w:type="dxa"/>
          <w:bottom w:w="0" w:type="dxa"/>
          <w:right w:w="108" w:type="dxa"/>
        </w:tblCellMar>
      </w:tblPr>
      <w:tblGrid>
        <w:gridCol w:w="735"/>
        <w:gridCol w:w="493"/>
        <w:gridCol w:w="957"/>
        <w:gridCol w:w="3987"/>
        <w:gridCol w:w="1247"/>
        <w:gridCol w:w="999"/>
        <w:gridCol w:w="578"/>
      </w:tblGrid>
      <w:tr>
        <w:tblPrEx>
          <w:tblW w:w="4996" w:type="pct"/>
          <w:tblInd w:w="0" w:type="dxa"/>
          <w:tblLayout w:type="fixed"/>
          <w:tblCellMar>
            <w:top w:w="0" w:type="dxa"/>
            <w:left w:w="108" w:type="dxa"/>
            <w:bottom w:w="0" w:type="dxa"/>
            <w:right w:w="108" w:type="dxa"/>
          </w:tblCellMar>
        </w:tblPrEx>
        <w:trPr>
          <w:trHeight w:val="600"/>
        </w:trPr>
        <w:tc>
          <w:tcPr>
            <w:tcW w:w="409" w:type="pct"/>
            <w:tcBorders>
              <w:top w:val="single" w:sz="8" w:space="0" w:color="000000"/>
              <w:left w:val="single" w:sz="8" w:space="0" w:color="000000"/>
              <w:bottom w:val="single" w:sz="4" w:space="0" w:color="000000"/>
              <w:right w:val="single" w:sz="4" w:space="0" w:color="000000"/>
            </w:tcBorders>
            <w:noWrap/>
            <w:vAlign w:val="center"/>
          </w:tcPr>
          <w:p>
            <w:pPr>
              <w:widowControl/>
              <w:jc w:val="center"/>
              <w:textAlignment w:val="center"/>
              <w:rPr>
                <w:rFonts w:ascii="宋体" w:hAnsi="宋体" w:cs="宋体" w:hint="eastAsia"/>
                <w:b/>
                <w:bCs/>
                <w:color w:val="000000"/>
              </w:rPr>
            </w:pPr>
            <w:r>
              <w:rPr>
                <w:rFonts w:ascii="宋体" w:hAnsi="宋体" w:cs="宋体" w:hint="eastAsia"/>
                <w:b/>
                <w:bCs/>
                <w:color w:val="000000"/>
                <w:kern w:val="0"/>
                <w:sz w:val="24"/>
                <w:szCs w:val="24"/>
                <w:lang w:bidi="ar"/>
              </w:rPr>
              <w:t>序号</w:t>
            </w:r>
          </w:p>
        </w:tc>
        <w:tc>
          <w:tcPr>
            <w:tcW w:w="274" w:type="pct"/>
            <w:tcBorders>
              <w:top w:val="single" w:sz="8"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b/>
                <w:bCs/>
                <w:color w:val="000000"/>
              </w:rPr>
            </w:pPr>
            <w:r>
              <w:rPr>
                <w:rFonts w:ascii="宋体" w:hAnsi="宋体" w:cs="宋体" w:hint="eastAsia"/>
                <w:b/>
                <w:bCs/>
                <w:color w:val="000000"/>
                <w:kern w:val="0"/>
                <w:sz w:val="24"/>
                <w:szCs w:val="24"/>
                <w:lang w:bidi="ar"/>
              </w:rPr>
              <w:t>项目</w:t>
            </w:r>
          </w:p>
        </w:tc>
        <w:tc>
          <w:tcPr>
            <w:tcW w:w="2748" w:type="pct"/>
            <w:gridSpan w:val="2"/>
            <w:tcBorders>
              <w:top w:val="single" w:sz="8"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b/>
                <w:bCs/>
                <w:color w:val="000000"/>
              </w:rPr>
            </w:pPr>
            <w:r>
              <w:rPr>
                <w:rFonts w:ascii="宋体" w:hAnsi="宋体" w:cs="宋体" w:hint="eastAsia"/>
                <w:b/>
                <w:bCs/>
                <w:color w:val="000000"/>
                <w:kern w:val="0"/>
                <w:sz w:val="24"/>
                <w:szCs w:val="24"/>
                <w:lang w:bidi="ar"/>
              </w:rPr>
              <w:t>检查项</w:t>
            </w:r>
          </w:p>
        </w:tc>
        <w:tc>
          <w:tcPr>
            <w:tcW w:w="693" w:type="pct"/>
            <w:tcBorders>
              <w:top w:val="single" w:sz="8" w:space="0" w:color="000000"/>
              <w:left w:val="single" w:sz="4" w:space="0" w:color="000000"/>
              <w:bottom w:val="single" w:sz="4" w:space="0" w:color="000000"/>
              <w:right w:val="single" w:sz="4" w:space="0" w:color="000000"/>
            </w:tcBorders>
            <w:noWrap/>
            <w:vAlign w:val="center"/>
          </w:tcPr>
          <w:p>
            <w:pPr>
              <w:widowControl/>
              <w:jc w:val="center"/>
              <w:textAlignment w:val="center"/>
              <w:rPr>
                <w:rFonts w:ascii="宋体" w:hAnsi="宋体" w:cs="宋体" w:hint="eastAsia"/>
                <w:b/>
                <w:bCs/>
                <w:color w:val="000000"/>
              </w:rPr>
            </w:pPr>
            <w:r>
              <w:rPr>
                <w:rFonts w:ascii="宋体" w:hAnsi="宋体" w:cs="宋体" w:hint="eastAsia"/>
                <w:b/>
                <w:bCs/>
                <w:color w:val="000000"/>
                <w:kern w:val="0"/>
                <w:sz w:val="24"/>
                <w:szCs w:val="24"/>
                <w:lang w:bidi="ar"/>
              </w:rPr>
              <w:t>检查手段</w:t>
            </w:r>
          </w:p>
        </w:tc>
        <w:tc>
          <w:tcPr>
            <w:tcW w:w="555" w:type="pct"/>
            <w:tcBorders>
              <w:top w:val="single" w:sz="8"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b/>
                <w:bCs/>
                <w:color w:val="000000"/>
              </w:rPr>
            </w:pPr>
            <w:r>
              <w:rPr>
                <w:rFonts w:ascii="宋体" w:hAnsi="宋体" w:cs="宋体" w:hint="eastAsia"/>
                <w:b/>
                <w:bCs/>
                <w:color w:val="000000"/>
                <w:kern w:val="0"/>
                <w:sz w:val="24"/>
                <w:szCs w:val="24"/>
                <w:lang w:bidi="ar"/>
              </w:rPr>
              <w:t>是否满足</w:t>
            </w:r>
          </w:p>
        </w:tc>
        <w:tc>
          <w:tcPr>
            <w:tcW w:w="321" w:type="pct"/>
            <w:tcBorders>
              <w:top w:val="single" w:sz="8" w:space="0" w:color="000000"/>
              <w:left w:val="single" w:sz="4" w:space="0" w:color="000000"/>
              <w:bottom w:val="single" w:sz="4" w:space="0" w:color="000000"/>
              <w:right w:val="single" w:sz="8" w:space="0" w:color="000000"/>
            </w:tcBorders>
            <w:noWrap/>
            <w:vAlign w:val="center"/>
          </w:tcPr>
          <w:p>
            <w:pPr>
              <w:widowControl/>
              <w:jc w:val="center"/>
              <w:textAlignment w:val="center"/>
              <w:rPr>
                <w:rFonts w:ascii="宋体" w:hAnsi="宋体" w:cs="宋体" w:hint="eastAsia"/>
                <w:b/>
                <w:bCs/>
                <w:color w:val="000000"/>
              </w:rPr>
            </w:pPr>
            <w:r>
              <w:rPr>
                <w:rFonts w:ascii="宋体" w:hAnsi="宋体" w:cs="宋体" w:hint="eastAsia"/>
                <w:b/>
                <w:bCs/>
                <w:color w:val="000000"/>
                <w:kern w:val="0"/>
                <w:sz w:val="24"/>
                <w:szCs w:val="24"/>
                <w:lang w:bidi="ar"/>
              </w:rPr>
              <w:t>备注</w:t>
            </w:r>
          </w:p>
        </w:tc>
      </w:tr>
      <w:tr>
        <w:tblPrEx>
          <w:tblW w:w="4996" w:type="pct"/>
          <w:tblInd w:w="0" w:type="dxa"/>
          <w:tblLayout w:type="fixed"/>
          <w:tblCellMar>
            <w:top w:w="0" w:type="dxa"/>
            <w:left w:w="108" w:type="dxa"/>
            <w:bottom w:w="0" w:type="dxa"/>
            <w:right w:w="108" w:type="dxa"/>
          </w:tblCellMar>
        </w:tblPrEx>
        <w:trPr>
          <w:trHeight w:val="400"/>
        </w:trPr>
        <w:tc>
          <w:tcPr>
            <w:tcW w:w="409" w:type="pct"/>
            <w:vMerge w:val="restart"/>
            <w:tcBorders>
              <w:top w:val="single" w:sz="4" w:space="0" w:color="000000"/>
              <w:left w:val="single" w:sz="8" w:space="0" w:color="000000"/>
              <w:bottom w:val="single" w:sz="4" w:space="0" w:color="000000"/>
              <w:right w:val="single" w:sz="4" w:space="0" w:color="000000"/>
            </w:tcBorders>
            <w:noWrap/>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w:t>
            </w:r>
          </w:p>
        </w:tc>
        <w:tc>
          <w:tcPr>
            <w:tcW w:w="274" w:type="pct"/>
            <w:vMerge w:val="restar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档案材料</w:t>
            </w:r>
          </w:p>
        </w:tc>
        <w:tc>
          <w:tcPr>
            <w:tcW w:w="532" w:type="pct"/>
            <w:vMerge w:val="restar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设备材料</w:t>
            </w: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r>
              <w:rPr>
                <w:rFonts w:ascii="宋体" w:hAnsi="宋体" w:cs="宋体" w:hint="eastAsia"/>
                <w:color w:val="000000"/>
                <w:kern w:val="0"/>
                <w:sz w:val="20"/>
                <w:lang w:bidi="ar"/>
              </w:rPr>
              <w:t>1.交付物是否与交付清单一致</w:t>
            </w:r>
          </w:p>
        </w:tc>
        <w:tc>
          <w:tcPr>
            <w:tcW w:w="693" w:type="pct"/>
            <w:vMerge w:val="restart"/>
            <w:tcBorders>
              <w:top w:val="single" w:sz="4" w:space="0" w:color="000000"/>
              <w:left w:val="single" w:sz="4" w:space="0" w:color="000000"/>
              <w:bottom w:val="single" w:sz="4" w:space="0" w:color="000000"/>
              <w:right w:val="single" w:sz="4" w:space="0" w:color="000000"/>
            </w:tcBorders>
            <w:noWrap/>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核查资料</w:t>
            </w: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8"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700"/>
        </w:trPr>
        <w:tc>
          <w:tcPr>
            <w:tcW w:w="409" w:type="pct"/>
            <w:vMerge/>
            <w:tcBorders>
              <w:top w:val="single" w:sz="4" w:space="0" w:color="000000"/>
              <w:left w:val="single" w:sz="8"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r>
              <w:rPr>
                <w:rFonts w:ascii="宋体" w:hAnsi="宋体" w:cs="宋体" w:hint="eastAsia"/>
                <w:color w:val="000000"/>
                <w:kern w:val="0"/>
                <w:sz w:val="20"/>
                <w:lang w:bidi="ar"/>
              </w:rPr>
              <w:t>2.是否具有出厂测试报告、现场测试报告、准入测试报告</w:t>
            </w:r>
          </w:p>
        </w:tc>
        <w:tc>
          <w:tcPr>
            <w:tcW w:w="693"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8"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700"/>
        </w:trPr>
        <w:tc>
          <w:tcPr>
            <w:tcW w:w="409" w:type="pct"/>
            <w:vMerge/>
            <w:tcBorders>
              <w:top w:val="single" w:sz="4" w:space="0" w:color="000000"/>
              <w:left w:val="single" w:sz="8"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r>
              <w:rPr>
                <w:rFonts w:ascii="宋体" w:hAnsi="宋体" w:cs="宋体" w:hint="eastAsia"/>
                <w:color w:val="000000"/>
                <w:kern w:val="0"/>
                <w:sz w:val="20"/>
                <w:lang w:bidi="ar"/>
              </w:rPr>
              <w:t>3.新建站址、经纬度、站名、海拔高度等信息是否有误</w:t>
            </w:r>
          </w:p>
        </w:tc>
        <w:tc>
          <w:tcPr>
            <w:tcW w:w="693"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8"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458"/>
        </w:trPr>
        <w:tc>
          <w:tcPr>
            <w:tcW w:w="409" w:type="pct"/>
            <w:vMerge w:val="restart"/>
            <w:tcBorders>
              <w:top w:val="single" w:sz="4" w:space="0" w:color="000000"/>
              <w:left w:val="single" w:sz="8" w:space="0" w:color="000000"/>
              <w:bottom w:val="single" w:sz="4" w:space="0" w:color="000000"/>
              <w:right w:val="single" w:sz="4" w:space="0" w:color="000000"/>
            </w:tcBorders>
            <w:noWrap/>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2</w:t>
            </w:r>
          </w:p>
        </w:tc>
        <w:tc>
          <w:tcPr>
            <w:tcW w:w="274" w:type="pct"/>
            <w:vMerge w:val="restar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场地要求</w:t>
            </w:r>
          </w:p>
        </w:tc>
        <w:tc>
          <w:tcPr>
            <w:tcW w:w="532" w:type="pct"/>
            <w:vMerge w:val="restar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场地架设要求</w:t>
            </w: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8"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980"/>
        </w:trPr>
        <w:tc>
          <w:tcPr>
            <w:tcW w:w="409" w:type="pct"/>
            <w:vMerge/>
            <w:tcBorders>
              <w:top w:val="single" w:sz="4" w:space="0" w:color="000000"/>
              <w:left w:val="single" w:sz="8"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vMerge w:val="restart"/>
            <w:tcBorders>
              <w:top w:val="single" w:sz="4" w:space="0" w:color="000000"/>
              <w:left w:val="single" w:sz="4" w:space="0" w:color="000000"/>
              <w:bottom w:val="single" w:sz="4" w:space="0" w:color="000000"/>
              <w:right w:val="single" w:sz="4" w:space="0" w:color="000000"/>
            </w:tcBorders>
            <w:noWrap/>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核查现场</w:t>
            </w: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8"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440"/>
        </w:trPr>
        <w:tc>
          <w:tcPr>
            <w:tcW w:w="409" w:type="pct"/>
            <w:vMerge/>
            <w:tcBorders>
              <w:top w:val="single" w:sz="4" w:space="0" w:color="000000"/>
              <w:left w:val="single" w:sz="8"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8"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600"/>
        </w:trPr>
        <w:tc>
          <w:tcPr>
            <w:tcW w:w="409" w:type="pct"/>
            <w:vMerge/>
            <w:tcBorders>
              <w:top w:val="single" w:sz="4" w:space="0" w:color="000000"/>
              <w:left w:val="single" w:sz="8"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8"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401"/>
        </w:trPr>
        <w:tc>
          <w:tcPr>
            <w:tcW w:w="409" w:type="pct"/>
            <w:vMerge/>
            <w:tcBorders>
              <w:top w:val="single" w:sz="4" w:space="0" w:color="000000"/>
              <w:left w:val="single" w:sz="8"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8"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880"/>
        </w:trPr>
        <w:tc>
          <w:tcPr>
            <w:tcW w:w="409" w:type="pct"/>
            <w:vMerge w:val="restart"/>
            <w:tcBorders>
              <w:top w:val="single" w:sz="4" w:space="0" w:color="000000"/>
              <w:left w:val="single" w:sz="8" w:space="0" w:color="000000"/>
              <w:bottom w:val="single" w:sz="4" w:space="0" w:color="000000"/>
              <w:right w:val="single" w:sz="4" w:space="0" w:color="000000"/>
            </w:tcBorders>
            <w:noWrap/>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3</w:t>
            </w:r>
          </w:p>
        </w:tc>
        <w:tc>
          <w:tcPr>
            <w:tcW w:w="274" w:type="pct"/>
            <w:vMerge w:val="restar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运行环境要求</w:t>
            </w:r>
          </w:p>
        </w:tc>
        <w:tc>
          <w:tcPr>
            <w:tcW w:w="532" w:type="pct"/>
            <w:vMerge w:val="restar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雷达机房要求</w:t>
            </w: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8"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920"/>
        </w:trPr>
        <w:tc>
          <w:tcPr>
            <w:tcW w:w="409" w:type="pct"/>
            <w:vMerge/>
            <w:tcBorders>
              <w:top w:val="single" w:sz="4" w:space="0" w:color="000000"/>
              <w:left w:val="single" w:sz="8"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8"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440"/>
        </w:trPr>
        <w:tc>
          <w:tcPr>
            <w:tcW w:w="409" w:type="pct"/>
            <w:vMerge/>
            <w:tcBorders>
              <w:top w:val="single" w:sz="4" w:space="0" w:color="000000"/>
              <w:left w:val="single" w:sz="8"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8"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440"/>
        </w:trPr>
        <w:tc>
          <w:tcPr>
            <w:tcW w:w="409" w:type="pct"/>
            <w:vMerge/>
            <w:tcBorders>
              <w:top w:val="single" w:sz="4" w:space="0" w:color="000000"/>
              <w:left w:val="single" w:sz="8" w:space="0" w:color="000000"/>
              <w:bottom w:val="single" w:sz="4" w:space="0" w:color="auto"/>
              <w:right w:val="single" w:sz="4" w:space="0" w:color="000000"/>
            </w:tcBorders>
            <w:noWrap/>
            <w:vAlign w:val="center"/>
          </w:tcPr>
          <w:p>
            <w:pPr>
              <w:jc w:val="center"/>
              <w:rPr>
                <w:rFonts w:ascii="宋体" w:hAnsi="宋体" w:cs="宋体" w:hint="eastAsia"/>
                <w:color w:val="000000"/>
                <w:sz w:val="20"/>
              </w:rPr>
            </w:pPr>
          </w:p>
        </w:tc>
        <w:tc>
          <w:tcPr>
            <w:tcW w:w="274" w:type="pct"/>
            <w:vMerge/>
            <w:tcBorders>
              <w:top w:val="single" w:sz="4" w:space="0" w:color="000000"/>
              <w:left w:val="single" w:sz="4" w:space="0" w:color="000000"/>
              <w:bottom w:val="single" w:sz="4" w:space="0" w:color="auto"/>
              <w:right w:val="single" w:sz="4" w:space="0" w:color="000000"/>
            </w:tcBorders>
            <w:noWrap w:val="0"/>
            <w:vAlign w:val="center"/>
          </w:tcPr>
          <w:p>
            <w:pPr>
              <w:jc w:val="center"/>
              <w:rPr>
                <w:rFonts w:ascii="宋体" w:hAnsi="宋体" w:cs="宋体" w:hint="eastAsia"/>
                <w:color w:val="000000"/>
                <w:sz w:val="20"/>
              </w:rPr>
            </w:pPr>
          </w:p>
        </w:tc>
        <w:tc>
          <w:tcPr>
            <w:tcW w:w="532" w:type="pct"/>
            <w:vMerge/>
            <w:tcBorders>
              <w:top w:val="single" w:sz="4" w:space="0" w:color="000000"/>
              <w:left w:val="single" w:sz="4" w:space="0" w:color="000000"/>
              <w:bottom w:val="single" w:sz="4" w:space="0" w:color="auto"/>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auto"/>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vMerge/>
            <w:tcBorders>
              <w:top w:val="single" w:sz="4" w:space="0" w:color="000000"/>
              <w:left w:val="single" w:sz="4" w:space="0" w:color="000000"/>
              <w:bottom w:val="single" w:sz="4" w:space="0" w:color="auto"/>
              <w:right w:val="single" w:sz="4" w:space="0" w:color="000000"/>
            </w:tcBorders>
            <w:noWrap/>
            <w:vAlign w:val="center"/>
          </w:tcPr>
          <w:p>
            <w:pPr>
              <w:jc w:val="center"/>
              <w:rPr>
                <w:rFonts w:ascii="宋体" w:hAnsi="宋体" w:cs="宋体" w:hint="eastAsia"/>
                <w:color w:val="000000"/>
                <w:sz w:val="20"/>
              </w:rPr>
            </w:pPr>
          </w:p>
        </w:tc>
        <w:tc>
          <w:tcPr>
            <w:tcW w:w="555" w:type="pct"/>
            <w:tcBorders>
              <w:top w:val="single" w:sz="4" w:space="0" w:color="000000"/>
              <w:left w:val="single" w:sz="4" w:space="0" w:color="000000"/>
              <w:bottom w:val="single" w:sz="4" w:space="0" w:color="auto"/>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auto"/>
              <w:right w:val="single" w:sz="8"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600"/>
        </w:trPr>
        <w:tc>
          <w:tcPr>
            <w:tcW w:w="409" w:type="pct"/>
            <w:vMerge w:val="restart"/>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4</w:t>
            </w:r>
          </w:p>
        </w:tc>
        <w:tc>
          <w:tcPr>
            <w:tcW w:w="274" w:type="pct"/>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设备要求</w:t>
            </w:r>
          </w:p>
        </w:tc>
        <w:tc>
          <w:tcPr>
            <w:tcW w:w="532" w:type="pct"/>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hAnsi="宋体" w:cs="宋体" w:hint="eastAsia"/>
                <w:color w:val="000000"/>
                <w:sz w:val="20"/>
              </w:rPr>
            </w:pPr>
            <w:r>
              <w:rPr>
                <w:rFonts w:ascii="宋体" w:hAnsi="宋体" w:cs="宋体" w:hint="eastAsia"/>
                <w:color w:val="000000"/>
                <w:sz w:val="20"/>
              </w:rPr>
              <w:t>技术指标要求</w:t>
            </w:r>
          </w:p>
        </w:tc>
        <w:tc>
          <w:tcPr>
            <w:tcW w:w="2216" w:type="pct"/>
            <w:tcBorders>
              <w:top w:val="single" w:sz="4" w:space="0" w:color="auto"/>
              <w:left w:val="single" w:sz="4" w:space="0" w:color="auto"/>
              <w:bottom w:val="single" w:sz="4" w:space="0" w:color="auto"/>
              <w:right w:val="single" w:sz="4" w:space="0" w:color="auto"/>
            </w:tcBorders>
            <w:noWrap w:val="0"/>
            <w:vAlign w:val="center"/>
          </w:tcPr>
          <w:p>
            <w:pPr>
              <w:widowControl/>
              <w:jc w:val="left"/>
              <w:textAlignment w:val="center"/>
              <w:rPr>
                <w:rFonts w:ascii="宋体" w:hAnsi="宋体" w:cs="宋体" w:hint="eastAsia"/>
                <w:color w:val="000000"/>
                <w:sz w:val="20"/>
              </w:rPr>
            </w:pPr>
          </w:p>
        </w:tc>
        <w:tc>
          <w:tcPr>
            <w:tcW w:w="693" w:type="pct"/>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核查现场、核查资料</w:t>
            </w:r>
          </w:p>
        </w:tc>
        <w:tc>
          <w:tcPr>
            <w:tcW w:w="555" w:type="pct"/>
            <w:tcBorders>
              <w:top w:val="single" w:sz="4" w:space="0" w:color="auto"/>
              <w:left w:val="single" w:sz="4" w:space="0" w:color="auto"/>
              <w:bottom w:val="single" w:sz="4" w:space="0" w:color="auto"/>
              <w:right w:val="single" w:sz="4" w:space="0" w:color="auto"/>
            </w:tcBorders>
            <w:noWrap/>
            <w:vAlign w:val="center"/>
          </w:tcPr>
          <w:p>
            <w:pPr>
              <w:rPr>
                <w:rFonts w:ascii="宋体" w:hAnsi="宋体" w:cs="宋体" w:hint="eastAsia"/>
                <w:color w:val="000000"/>
              </w:rPr>
            </w:pPr>
          </w:p>
        </w:tc>
        <w:tc>
          <w:tcPr>
            <w:tcW w:w="321" w:type="pct"/>
            <w:tcBorders>
              <w:top w:val="single" w:sz="4" w:space="0" w:color="auto"/>
              <w:left w:val="single" w:sz="4" w:space="0" w:color="auto"/>
              <w:bottom w:val="single" w:sz="4" w:space="0" w:color="auto"/>
              <w:right w:val="single" w:sz="4" w:space="0" w:color="auto"/>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2"/>
        </w:trPr>
        <w:tc>
          <w:tcPr>
            <w:tcW w:w="409" w:type="pct"/>
            <w:vMerge/>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hAnsi="宋体" w:cs="宋体" w:hint="eastAsia"/>
                <w:color w:val="000000"/>
                <w:kern w:val="0"/>
                <w:sz w:val="20"/>
                <w:lang w:bidi="ar"/>
              </w:rPr>
            </w:pPr>
          </w:p>
        </w:tc>
        <w:tc>
          <w:tcPr>
            <w:tcW w:w="274" w:type="pct"/>
            <w:vMerge/>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hAnsi="宋体" w:cs="宋体" w:hint="eastAsia"/>
                <w:color w:val="000000"/>
                <w:kern w:val="0"/>
                <w:sz w:val="20"/>
                <w:lang w:bidi="ar"/>
              </w:rPr>
            </w:pPr>
          </w:p>
        </w:tc>
        <w:tc>
          <w:tcPr>
            <w:tcW w:w="532" w:type="pct"/>
            <w:vMerge w:val="restart"/>
            <w:tcBorders>
              <w:top w:val="single" w:sz="4" w:space="0" w:color="auto"/>
              <w:left w:val="single" w:sz="4" w:space="0" w:color="auto"/>
              <w:bottom w:val="single" w:sz="4" w:space="0" w:color="auto"/>
              <w:right w:val="single" w:sz="4" w:space="0" w:color="auto"/>
            </w:tcBorders>
            <w:noWrap w:val="0"/>
            <w:vAlign w:val="center"/>
          </w:tcPr>
          <w:p>
            <w:pPr>
              <w:jc w:val="center"/>
              <w:textAlignment w:val="center"/>
              <w:rPr>
                <w:rFonts w:ascii="宋体" w:hAnsi="宋体" w:cs="宋体" w:hint="eastAsia"/>
                <w:color w:val="000000"/>
                <w:kern w:val="0"/>
                <w:sz w:val="20"/>
                <w:lang w:bidi="ar"/>
              </w:rPr>
            </w:pPr>
            <w:r>
              <w:rPr>
                <w:rFonts w:ascii="宋体" w:hAnsi="宋体" w:cs="宋体" w:hint="eastAsia"/>
                <w:color w:val="000000"/>
                <w:kern w:val="0"/>
                <w:sz w:val="20"/>
                <w:lang w:bidi="ar"/>
              </w:rPr>
              <w:t>供电要求</w:t>
            </w:r>
          </w:p>
        </w:tc>
        <w:tc>
          <w:tcPr>
            <w:tcW w:w="2216" w:type="pct"/>
            <w:vMerge w:val="restart"/>
            <w:tcBorders>
              <w:top w:val="single" w:sz="4" w:space="0" w:color="auto"/>
              <w:left w:val="single" w:sz="4" w:space="0" w:color="auto"/>
              <w:right w:val="single" w:sz="4" w:space="0" w:color="auto"/>
            </w:tcBorders>
            <w:noWrap w:val="0"/>
            <w:vAlign w:val="center"/>
          </w:tcPr>
          <w:p>
            <w:pPr>
              <w:widowControl/>
              <w:jc w:val="left"/>
              <w:textAlignment w:val="center"/>
              <w:rPr>
                <w:rFonts w:ascii="宋体" w:hAnsi="宋体" w:cs="宋体" w:hint="eastAsia"/>
                <w:color w:val="000000"/>
                <w:sz w:val="20"/>
              </w:rPr>
            </w:pPr>
          </w:p>
        </w:tc>
        <w:tc>
          <w:tcPr>
            <w:tcW w:w="693" w:type="pct"/>
            <w:vMerge w:val="restart"/>
            <w:tcBorders>
              <w:top w:val="single" w:sz="4" w:space="0" w:color="auto"/>
              <w:left w:val="single" w:sz="4" w:space="0" w:color="auto"/>
              <w:bottom w:val="single" w:sz="4" w:space="0" w:color="auto"/>
              <w:right w:val="single" w:sz="4" w:space="0" w:color="auto"/>
            </w:tcBorders>
            <w:noWrap/>
            <w:vAlign w:val="center"/>
          </w:tcPr>
          <w:p>
            <w:pPr>
              <w:jc w:val="center"/>
              <w:textAlignment w:val="center"/>
              <w:rPr>
                <w:rFonts w:ascii="宋体" w:hAnsi="宋体" w:cs="宋体" w:hint="eastAsia"/>
                <w:color w:val="000000"/>
                <w:kern w:val="0"/>
                <w:sz w:val="20"/>
                <w:lang w:bidi="ar"/>
              </w:rPr>
            </w:pPr>
            <w:r>
              <w:rPr>
                <w:rFonts w:ascii="宋体" w:hAnsi="宋体" w:cs="宋体" w:hint="eastAsia"/>
                <w:color w:val="000000"/>
                <w:kern w:val="0"/>
                <w:sz w:val="20"/>
                <w:lang w:bidi="ar"/>
              </w:rPr>
              <w:t>核查资料</w:t>
            </w:r>
          </w:p>
        </w:tc>
        <w:tc>
          <w:tcPr>
            <w:tcW w:w="555" w:type="pct"/>
            <w:tcBorders>
              <w:top w:val="single" w:sz="4" w:space="0" w:color="auto"/>
              <w:left w:val="single" w:sz="4" w:space="0" w:color="auto"/>
              <w:bottom w:val="single" w:sz="4" w:space="0" w:color="auto"/>
              <w:right w:val="single" w:sz="4" w:space="0" w:color="auto"/>
            </w:tcBorders>
            <w:noWrap/>
            <w:vAlign w:val="center"/>
          </w:tcPr>
          <w:p>
            <w:pPr>
              <w:rPr>
                <w:rFonts w:ascii="宋体" w:hAnsi="宋体" w:cs="宋体" w:hint="eastAsia"/>
                <w:color w:val="000000"/>
              </w:rPr>
            </w:pPr>
          </w:p>
        </w:tc>
        <w:tc>
          <w:tcPr>
            <w:tcW w:w="321" w:type="pct"/>
            <w:vMerge w:val="restart"/>
            <w:tcBorders>
              <w:top w:val="single" w:sz="4" w:space="0" w:color="auto"/>
              <w:left w:val="single" w:sz="4" w:space="0" w:color="auto"/>
              <w:right w:val="single" w:sz="4" w:space="0" w:color="auto"/>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584"/>
        </w:trPr>
        <w:tc>
          <w:tcPr>
            <w:tcW w:w="409" w:type="pct"/>
            <w:vMerge/>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hAnsi="宋体" w:cs="宋体" w:hint="eastAsia"/>
                <w:color w:val="000000"/>
                <w:kern w:val="0"/>
                <w:sz w:val="20"/>
                <w:lang w:bidi="ar"/>
              </w:rPr>
            </w:pPr>
          </w:p>
        </w:tc>
        <w:tc>
          <w:tcPr>
            <w:tcW w:w="274" w:type="pct"/>
            <w:vMerge/>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hAnsi="宋体" w:cs="宋体" w:hint="eastAsia"/>
                <w:color w:val="000000"/>
                <w:kern w:val="0"/>
                <w:sz w:val="20"/>
                <w:lang w:bidi="ar"/>
              </w:rPr>
            </w:pPr>
          </w:p>
        </w:tc>
        <w:tc>
          <w:tcPr>
            <w:tcW w:w="532" w:type="pct"/>
            <w:vMerge/>
            <w:tcBorders>
              <w:top w:val="single" w:sz="4" w:space="0" w:color="auto"/>
              <w:left w:val="single" w:sz="4" w:space="0" w:color="auto"/>
              <w:bottom w:val="single" w:sz="4" w:space="0" w:color="auto"/>
              <w:right w:val="single" w:sz="4" w:space="0" w:color="auto"/>
            </w:tcBorders>
            <w:noWrap w:val="0"/>
            <w:vAlign w:val="center"/>
          </w:tcPr>
          <w:p>
            <w:pPr>
              <w:jc w:val="center"/>
              <w:textAlignment w:val="center"/>
              <w:rPr>
                <w:rFonts w:ascii="宋体" w:hAnsi="宋体" w:cs="宋体" w:hint="eastAsia"/>
                <w:color w:val="000000"/>
                <w:kern w:val="0"/>
                <w:sz w:val="20"/>
                <w:lang w:bidi="ar"/>
              </w:rPr>
            </w:pPr>
          </w:p>
        </w:tc>
        <w:tc>
          <w:tcPr>
            <w:tcW w:w="2216" w:type="pct"/>
            <w:vMerge/>
            <w:tcBorders>
              <w:left w:val="single" w:sz="4" w:space="0" w:color="auto"/>
              <w:bottom w:val="single" w:sz="4" w:space="0" w:color="auto"/>
              <w:right w:val="single" w:sz="4" w:space="0" w:color="auto"/>
            </w:tcBorders>
            <w:noWrap w:val="0"/>
            <w:vAlign w:val="center"/>
          </w:tcPr>
          <w:p>
            <w:pPr>
              <w:widowControl/>
              <w:jc w:val="left"/>
              <w:textAlignment w:val="center"/>
              <w:rPr>
                <w:rFonts w:ascii="宋体" w:hAnsi="宋体" w:cs="宋体" w:hint="eastAsia"/>
                <w:color w:val="000000"/>
                <w:sz w:val="20"/>
              </w:rPr>
            </w:pPr>
          </w:p>
        </w:tc>
        <w:tc>
          <w:tcPr>
            <w:tcW w:w="693" w:type="pct"/>
            <w:vMerge/>
            <w:tcBorders>
              <w:top w:val="single" w:sz="4" w:space="0" w:color="auto"/>
              <w:left w:val="single" w:sz="4" w:space="0" w:color="auto"/>
              <w:bottom w:val="single" w:sz="4" w:space="0" w:color="auto"/>
              <w:right w:val="single" w:sz="4" w:space="0" w:color="auto"/>
            </w:tcBorders>
            <w:noWrap/>
            <w:vAlign w:val="center"/>
          </w:tcPr>
          <w:p>
            <w:pPr>
              <w:jc w:val="center"/>
              <w:textAlignment w:val="center"/>
              <w:rPr>
                <w:rFonts w:ascii="宋体" w:hAnsi="宋体" w:cs="宋体" w:hint="eastAsia"/>
                <w:color w:val="000000"/>
                <w:kern w:val="0"/>
                <w:sz w:val="20"/>
                <w:lang w:bidi="ar"/>
              </w:rPr>
            </w:pPr>
          </w:p>
        </w:tc>
        <w:tc>
          <w:tcPr>
            <w:tcW w:w="555" w:type="pct"/>
            <w:tcBorders>
              <w:top w:val="single" w:sz="4" w:space="0" w:color="auto"/>
              <w:left w:val="single" w:sz="4" w:space="0" w:color="auto"/>
              <w:bottom w:val="single" w:sz="4" w:space="0" w:color="auto"/>
              <w:right w:val="single" w:sz="4" w:space="0" w:color="auto"/>
            </w:tcBorders>
            <w:noWrap/>
            <w:vAlign w:val="center"/>
          </w:tcPr>
          <w:p>
            <w:pPr>
              <w:rPr>
                <w:rFonts w:ascii="宋体" w:hAnsi="宋体" w:cs="宋体" w:hint="eastAsia"/>
                <w:color w:val="000000"/>
              </w:rPr>
            </w:pPr>
          </w:p>
        </w:tc>
        <w:tc>
          <w:tcPr>
            <w:tcW w:w="321" w:type="pct"/>
            <w:vMerge/>
            <w:tcBorders>
              <w:left w:val="single" w:sz="4" w:space="0" w:color="auto"/>
              <w:bottom w:val="single" w:sz="4" w:space="0" w:color="auto"/>
              <w:right w:val="single" w:sz="4" w:space="0" w:color="auto"/>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500"/>
        </w:trPr>
        <w:tc>
          <w:tcPr>
            <w:tcW w:w="409" w:type="pct"/>
            <w:vMerge/>
            <w:tcBorders>
              <w:top w:val="single" w:sz="4" w:space="0" w:color="auto"/>
              <w:left w:val="single" w:sz="4" w:space="0" w:color="auto"/>
              <w:bottom w:val="single" w:sz="4" w:space="0" w:color="auto"/>
              <w:right w:val="single" w:sz="4" w:space="0" w:color="auto"/>
            </w:tcBorders>
            <w:noWrap/>
            <w:vAlign w:val="center"/>
          </w:tcPr>
          <w:p>
            <w:pPr>
              <w:jc w:val="center"/>
              <w:rPr>
                <w:rFonts w:ascii="宋体" w:hAnsi="宋体" w:cs="宋体" w:hint="eastAsia"/>
                <w:color w:val="000000"/>
                <w:sz w:val="20"/>
              </w:rPr>
            </w:pPr>
          </w:p>
        </w:tc>
        <w:tc>
          <w:tcPr>
            <w:tcW w:w="274" w:type="pct"/>
            <w:vMerge/>
            <w:tcBorders>
              <w:top w:val="single" w:sz="4" w:space="0" w:color="auto"/>
              <w:left w:val="single" w:sz="4" w:space="0" w:color="auto"/>
              <w:bottom w:val="single" w:sz="4" w:space="0" w:color="auto"/>
              <w:right w:val="single" w:sz="4" w:space="0" w:color="auto"/>
            </w:tcBorders>
            <w:noWrap w:val="0"/>
            <w:vAlign w:val="center"/>
          </w:tcPr>
          <w:p>
            <w:pPr>
              <w:jc w:val="center"/>
              <w:rPr>
                <w:rFonts w:ascii="宋体" w:hAnsi="宋体" w:cs="宋体" w:hint="eastAsia"/>
                <w:color w:val="000000"/>
                <w:sz w:val="20"/>
              </w:rPr>
            </w:pPr>
          </w:p>
        </w:tc>
        <w:tc>
          <w:tcPr>
            <w:tcW w:w="532" w:type="pct"/>
            <w:vMerge/>
            <w:tcBorders>
              <w:top w:val="single" w:sz="4" w:space="0" w:color="auto"/>
              <w:left w:val="single" w:sz="4" w:space="0" w:color="auto"/>
              <w:bottom w:val="single" w:sz="4" w:space="0" w:color="auto"/>
              <w:right w:val="single" w:sz="4" w:space="0" w:color="auto"/>
            </w:tcBorders>
            <w:noWrap w:val="0"/>
            <w:vAlign w:val="center"/>
          </w:tcPr>
          <w:p>
            <w:pPr>
              <w:jc w:val="center"/>
              <w:rPr>
                <w:rFonts w:ascii="宋体" w:hAnsi="宋体" w:cs="宋体" w:hint="eastAsia"/>
                <w:color w:val="000000"/>
                <w:sz w:val="20"/>
              </w:rPr>
            </w:pPr>
          </w:p>
        </w:tc>
        <w:tc>
          <w:tcPr>
            <w:tcW w:w="2216" w:type="pct"/>
            <w:tcBorders>
              <w:top w:val="single" w:sz="4" w:space="0" w:color="auto"/>
              <w:left w:val="single" w:sz="4" w:space="0" w:color="auto"/>
              <w:bottom w:val="single" w:sz="4" w:space="0" w:color="auto"/>
              <w:right w:val="single" w:sz="4" w:space="0" w:color="auto"/>
            </w:tcBorders>
            <w:noWrap w:val="0"/>
            <w:vAlign w:val="center"/>
          </w:tcPr>
          <w:p>
            <w:pPr>
              <w:widowControl/>
              <w:jc w:val="left"/>
              <w:textAlignment w:val="center"/>
              <w:rPr>
                <w:rFonts w:ascii="宋体" w:hAnsi="宋体" w:cs="宋体" w:hint="eastAsia"/>
                <w:color w:val="000000"/>
                <w:sz w:val="20"/>
              </w:rPr>
            </w:pPr>
          </w:p>
        </w:tc>
        <w:tc>
          <w:tcPr>
            <w:tcW w:w="693" w:type="pct"/>
            <w:vMerge/>
            <w:tcBorders>
              <w:top w:val="single" w:sz="4" w:space="0" w:color="auto"/>
              <w:left w:val="single" w:sz="4" w:space="0" w:color="auto"/>
              <w:bottom w:val="single" w:sz="4" w:space="0" w:color="auto"/>
              <w:right w:val="single" w:sz="4" w:space="0" w:color="auto"/>
            </w:tcBorders>
            <w:noWrap/>
            <w:vAlign w:val="center"/>
          </w:tcPr>
          <w:p>
            <w:pPr>
              <w:jc w:val="center"/>
              <w:rPr>
                <w:rFonts w:ascii="宋体" w:hAnsi="宋体" w:cs="宋体" w:hint="eastAsia"/>
                <w:color w:val="000000"/>
                <w:sz w:val="20"/>
              </w:rPr>
            </w:pPr>
          </w:p>
        </w:tc>
        <w:tc>
          <w:tcPr>
            <w:tcW w:w="555" w:type="pct"/>
            <w:tcBorders>
              <w:top w:val="single" w:sz="4" w:space="0" w:color="auto"/>
              <w:left w:val="single" w:sz="4" w:space="0" w:color="auto"/>
              <w:bottom w:val="single" w:sz="4" w:space="0" w:color="auto"/>
              <w:right w:val="single" w:sz="4" w:space="0" w:color="auto"/>
            </w:tcBorders>
            <w:noWrap/>
            <w:vAlign w:val="center"/>
          </w:tcPr>
          <w:p>
            <w:pPr>
              <w:rPr>
                <w:rFonts w:ascii="宋体" w:hAnsi="宋体" w:cs="宋体" w:hint="eastAsia"/>
                <w:color w:val="000000"/>
              </w:rPr>
            </w:pPr>
          </w:p>
        </w:tc>
        <w:tc>
          <w:tcPr>
            <w:tcW w:w="321" w:type="pct"/>
            <w:tcBorders>
              <w:top w:val="single" w:sz="4" w:space="0" w:color="auto"/>
              <w:left w:val="single" w:sz="4" w:space="0" w:color="auto"/>
              <w:bottom w:val="single" w:sz="4" w:space="0" w:color="auto"/>
              <w:right w:val="single" w:sz="4" w:space="0" w:color="auto"/>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500"/>
        </w:trPr>
        <w:tc>
          <w:tcPr>
            <w:tcW w:w="409" w:type="pct"/>
            <w:vMerge/>
            <w:tcBorders>
              <w:top w:val="single" w:sz="4" w:space="0" w:color="auto"/>
              <w:left w:val="single" w:sz="4" w:space="0" w:color="auto"/>
              <w:bottom w:val="single" w:sz="4" w:space="0" w:color="auto"/>
              <w:right w:val="single" w:sz="4" w:space="0" w:color="auto"/>
            </w:tcBorders>
            <w:noWrap/>
            <w:vAlign w:val="center"/>
          </w:tcPr>
          <w:p>
            <w:pPr>
              <w:jc w:val="center"/>
              <w:rPr>
                <w:rFonts w:ascii="宋体" w:hAnsi="宋体" w:cs="宋体" w:hint="eastAsia"/>
                <w:color w:val="000000"/>
                <w:sz w:val="20"/>
              </w:rPr>
            </w:pPr>
          </w:p>
        </w:tc>
        <w:tc>
          <w:tcPr>
            <w:tcW w:w="274" w:type="pct"/>
            <w:vMerge/>
            <w:tcBorders>
              <w:top w:val="single" w:sz="4" w:space="0" w:color="auto"/>
              <w:left w:val="single" w:sz="4" w:space="0" w:color="auto"/>
              <w:bottom w:val="single" w:sz="4" w:space="0" w:color="auto"/>
              <w:right w:val="single" w:sz="4" w:space="0" w:color="auto"/>
            </w:tcBorders>
            <w:noWrap w:val="0"/>
            <w:vAlign w:val="center"/>
          </w:tcPr>
          <w:p>
            <w:pPr>
              <w:jc w:val="center"/>
              <w:rPr>
                <w:rFonts w:ascii="宋体" w:hAnsi="宋体" w:cs="宋体" w:hint="eastAsia"/>
                <w:color w:val="000000"/>
                <w:sz w:val="20"/>
              </w:rPr>
            </w:pPr>
          </w:p>
        </w:tc>
        <w:tc>
          <w:tcPr>
            <w:tcW w:w="532" w:type="pct"/>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通信设施要求</w:t>
            </w:r>
          </w:p>
        </w:tc>
        <w:tc>
          <w:tcPr>
            <w:tcW w:w="2216" w:type="pct"/>
            <w:tcBorders>
              <w:top w:val="single" w:sz="4" w:space="0" w:color="auto"/>
              <w:left w:val="single" w:sz="4" w:space="0" w:color="auto"/>
              <w:bottom w:val="single" w:sz="4" w:space="0" w:color="auto"/>
              <w:right w:val="single" w:sz="4" w:space="0" w:color="auto"/>
            </w:tcBorders>
            <w:noWrap w:val="0"/>
            <w:vAlign w:val="center"/>
          </w:tcPr>
          <w:p>
            <w:pPr>
              <w:widowControl/>
              <w:jc w:val="left"/>
              <w:textAlignment w:val="center"/>
              <w:rPr>
                <w:rFonts w:ascii="宋体" w:hAnsi="宋体" w:cs="宋体" w:hint="eastAsia"/>
                <w:color w:val="000000"/>
                <w:sz w:val="20"/>
              </w:rPr>
            </w:pPr>
          </w:p>
        </w:tc>
        <w:tc>
          <w:tcPr>
            <w:tcW w:w="693" w:type="pct"/>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核查设备</w:t>
            </w:r>
          </w:p>
        </w:tc>
        <w:tc>
          <w:tcPr>
            <w:tcW w:w="555" w:type="pct"/>
            <w:tcBorders>
              <w:top w:val="single" w:sz="4" w:space="0" w:color="auto"/>
              <w:left w:val="single" w:sz="4" w:space="0" w:color="auto"/>
              <w:bottom w:val="single" w:sz="4" w:space="0" w:color="auto"/>
              <w:right w:val="single" w:sz="4" w:space="0" w:color="auto"/>
            </w:tcBorders>
            <w:noWrap/>
            <w:vAlign w:val="center"/>
          </w:tcPr>
          <w:p>
            <w:pPr>
              <w:rPr>
                <w:rFonts w:ascii="宋体" w:hAnsi="宋体" w:cs="宋体" w:hint="eastAsia"/>
                <w:color w:val="000000"/>
              </w:rPr>
            </w:pPr>
          </w:p>
        </w:tc>
        <w:tc>
          <w:tcPr>
            <w:tcW w:w="321" w:type="pct"/>
            <w:tcBorders>
              <w:top w:val="single" w:sz="4" w:space="0" w:color="auto"/>
              <w:left w:val="single" w:sz="4" w:space="0" w:color="auto"/>
              <w:bottom w:val="single" w:sz="4" w:space="0" w:color="auto"/>
              <w:right w:val="single" w:sz="4" w:space="0" w:color="auto"/>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422"/>
        </w:trPr>
        <w:tc>
          <w:tcPr>
            <w:tcW w:w="409" w:type="pct"/>
            <w:vMerge/>
            <w:tcBorders>
              <w:top w:val="single" w:sz="4" w:space="0" w:color="auto"/>
              <w:left w:val="single" w:sz="4" w:space="0" w:color="auto"/>
              <w:bottom w:val="single" w:sz="4" w:space="0" w:color="auto"/>
              <w:right w:val="single" w:sz="4" w:space="0" w:color="auto"/>
            </w:tcBorders>
            <w:noWrap/>
            <w:vAlign w:val="center"/>
          </w:tcPr>
          <w:p>
            <w:pPr>
              <w:jc w:val="center"/>
              <w:rPr>
                <w:rFonts w:ascii="宋体" w:hAnsi="宋体" w:cs="宋体" w:hint="eastAsia"/>
                <w:color w:val="000000"/>
                <w:sz w:val="20"/>
              </w:rPr>
            </w:pPr>
          </w:p>
        </w:tc>
        <w:tc>
          <w:tcPr>
            <w:tcW w:w="274" w:type="pct"/>
            <w:vMerge/>
            <w:tcBorders>
              <w:top w:val="single" w:sz="4" w:space="0" w:color="auto"/>
              <w:left w:val="single" w:sz="4" w:space="0" w:color="auto"/>
              <w:bottom w:val="single" w:sz="4" w:space="0" w:color="auto"/>
              <w:right w:val="single" w:sz="4" w:space="0" w:color="auto"/>
            </w:tcBorders>
            <w:noWrap w:val="0"/>
            <w:vAlign w:val="center"/>
          </w:tcPr>
          <w:p>
            <w:pPr>
              <w:jc w:val="center"/>
              <w:rPr>
                <w:rFonts w:ascii="宋体" w:hAnsi="宋体" w:cs="宋体" w:hint="eastAsia"/>
                <w:color w:val="000000"/>
                <w:sz w:val="20"/>
              </w:rPr>
            </w:pPr>
          </w:p>
        </w:tc>
        <w:tc>
          <w:tcPr>
            <w:tcW w:w="532" w:type="pct"/>
            <w:vMerge/>
            <w:tcBorders>
              <w:top w:val="single" w:sz="4" w:space="0" w:color="auto"/>
              <w:left w:val="single" w:sz="4" w:space="0" w:color="auto"/>
              <w:bottom w:val="single" w:sz="4" w:space="0" w:color="auto"/>
              <w:right w:val="single" w:sz="4" w:space="0" w:color="auto"/>
            </w:tcBorders>
            <w:noWrap w:val="0"/>
            <w:vAlign w:val="center"/>
          </w:tcPr>
          <w:p>
            <w:pPr>
              <w:jc w:val="center"/>
              <w:rPr>
                <w:rFonts w:ascii="宋体" w:hAnsi="宋体" w:cs="宋体" w:hint="eastAsia"/>
                <w:color w:val="000000"/>
                <w:sz w:val="20"/>
              </w:rPr>
            </w:pPr>
          </w:p>
        </w:tc>
        <w:tc>
          <w:tcPr>
            <w:tcW w:w="2216" w:type="pct"/>
            <w:tcBorders>
              <w:top w:val="single" w:sz="4" w:space="0" w:color="auto"/>
              <w:left w:val="single" w:sz="4" w:space="0" w:color="auto"/>
              <w:bottom w:val="single" w:sz="4" w:space="0" w:color="auto"/>
              <w:right w:val="single" w:sz="4" w:space="0" w:color="auto"/>
            </w:tcBorders>
            <w:noWrap w:val="0"/>
            <w:vAlign w:val="center"/>
          </w:tcPr>
          <w:p>
            <w:pPr>
              <w:widowControl/>
              <w:jc w:val="left"/>
              <w:textAlignment w:val="center"/>
              <w:rPr>
                <w:rFonts w:ascii="宋体" w:hAnsi="宋体" w:cs="宋体" w:hint="eastAsia"/>
                <w:b/>
                <w:bCs/>
                <w:color w:val="000000"/>
                <w:sz w:val="20"/>
              </w:rPr>
            </w:pPr>
          </w:p>
        </w:tc>
        <w:tc>
          <w:tcPr>
            <w:tcW w:w="693" w:type="pct"/>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核查资料</w:t>
            </w:r>
          </w:p>
        </w:tc>
        <w:tc>
          <w:tcPr>
            <w:tcW w:w="555" w:type="pct"/>
            <w:tcBorders>
              <w:top w:val="single" w:sz="4" w:space="0" w:color="auto"/>
              <w:left w:val="single" w:sz="4" w:space="0" w:color="auto"/>
              <w:bottom w:val="single" w:sz="4" w:space="0" w:color="auto"/>
              <w:right w:val="single" w:sz="4" w:space="0" w:color="auto"/>
            </w:tcBorders>
            <w:noWrap/>
            <w:vAlign w:val="center"/>
          </w:tcPr>
          <w:p>
            <w:pPr>
              <w:rPr>
                <w:rFonts w:ascii="宋体" w:hAnsi="宋体" w:cs="宋体" w:hint="eastAsia"/>
                <w:color w:val="000000"/>
              </w:rPr>
            </w:pPr>
          </w:p>
        </w:tc>
        <w:tc>
          <w:tcPr>
            <w:tcW w:w="321" w:type="pct"/>
            <w:tcBorders>
              <w:top w:val="single" w:sz="4" w:space="0" w:color="auto"/>
              <w:left w:val="single" w:sz="4" w:space="0" w:color="auto"/>
              <w:bottom w:val="single" w:sz="4" w:space="0" w:color="auto"/>
              <w:right w:val="single" w:sz="4" w:space="0" w:color="auto"/>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500"/>
        </w:trPr>
        <w:tc>
          <w:tcPr>
            <w:tcW w:w="409" w:type="pct"/>
            <w:vMerge/>
            <w:tcBorders>
              <w:top w:val="single" w:sz="4" w:space="0" w:color="auto"/>
              <w:left w:val="single" w:sz="4" w:space="0" w:color="auto"/>
              <w:bottom w:val="single" w:sz="4" w:space="0" w:color="auto"/>
              <w:right w:val="single" w:sz="4" w:space="0" w:color="auto"/>
            </w:tcBorders>
            <w:noWrap/>
            <w:vAlign w:val="center"/>
          </w:tcPr>
          <w:p>
            <w:pPr>
              <w:jc w:val="center"/>
              <w:rPr>
                <w:rFonts w:ascii="宋体" w:hAnsi="宋体" w:cs="宋体" w:hint="eastAsia"/>
                <w:color w:val="000000"/>
                <w:sz w:val="20"/>
              </w:rPr>
            </w:pPr>
          </w:p>
        </w:tc>
        <w:tc>
          <w:tcPr>
            <w:tcW w:w="274" w:type="pct"/>
            <w:vMerge/>
            <w:tcBorders>
              <w:top w:val="single" w:sz="4" w:space="0" w:color="auto"/>
              <w:left w:val="single" w:sz="4" w:space="0" w:color="auto"/>
              <w:bottom w:val="single" w:sz="4" w:space="0" w:color="auto"/>
              <w:right w:val="single" w:sz="4" w:space="0" w:color="auto"/>
            </w:tcBorders>
            <w:noWrap w:val="0"/>
            <w:vAlign w:val="center"/>
          </w:tcPr>
          <w:p>
            <w:pPr>
              <w:jc w:val="center"/>
              <w:rPr>
                <w:rFonts w:ascii="宋体" w:hAnsi="宋体" w:cs="宋体" w:hint="eastAsia"/>
                <w:color w:val="000000"/>
                <w:sz w:val="20"/>
              </w:rPr>
            </w:pPr>
          </w:p>
        </w:tc>
        <w:tc>
          <w:tcPr>
            <w:tcW w:w="532" w:type="pct"/>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附属设备</w:t>
            </w:r>
          </w:p>
        </w:tc>
        <w:tc>
          <w:tcPr>
            <w:tcW w:w="2216" w:type="pct"/>
            <w:tcBorders>
              <w:top w:val="single" w:sz="4" w:space="0" w:color="auto"/>
              <w:left w:val="single" w:sz="4" w:space="0" w:color="auto"/>
              <w:bottom w:val="single" w:sz="4" w:space="0" w:color="auto"/>
              <w:right w:val="single" w:sz="4" w:space="0" w:color="auto"/>
            </w:tcBorders>
            <w:noWrap w:val="0"/>
            <w:vAlign w:val="center"/>
          </w:tcPr>
          <w:p>
            <w:pPr>
              <w:widowControl/>
              <w:jc w:val="left"/>
              <w:textAlignment w:val="center"/>
              <w:rPr>
                <w:rFonts w:ascii="宋体" w:hAnsi="宋体" w:cs="宋体" w:hint="eastAsia"/>
                <w:color w:val="000000"/>
                <w:sz w:val="20"/>
              </w:rPr>
            </w:pPr>
          </w:p>
        </w:tc>
        <w:tc>
          <w:tcPr>
            <w:tcW w:w="693" w:type="pct"/>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核查现场</w:t>
            </w:r>
          </w:p>
        </w:tc>
        <w:tc>
          <w:tcPr>
            <w:tcW w:w="555" w:type="pct"/>
            <w:tcBorders>
              <w:top w:val="single" w:sz="4" w:space="0" w:color="auto"/>
              <w:left w:val="single" w:sz="4" w:space="0" w:color="auto"/>
              <w:bottom w:val="single" w:sz="4" w:space="0" w:color="auto"/>
              <w:right w:val="single" w:sz="4" w:space="0" w:color="auto"/>
            </w:tcBorders>
            <w:noWrap/>
            <w:vAlign w:val="center"/>
          </w:tcPr>
          <w:p>
            <w:pPr>
              <w:rPr>
                <w:rFonts w:ascii="宋体" w:hAnsi="宋体" w:cs="宋体" w:hint="eastAsia"/>
                <w:color w:val="000000"/>
              </w:rPr>
            </w:pPr>
          </w:p>
        </w:tc>
        <w:tc>
          <w:tcPr>
            <w:tcW w:w="321" w:type="pct"/>
            <w:tcBorders>
              <w:top w:val="single" w:sz="4" w:space="0" w:color="auto"/>
              <w:left w:val="single" w:sz="4" w:space="0" w:color="auto"/>
              <w:bottom w:val="single" w:sz="4" w:space="0" w:color="auto"/>
              <w:right w:val="single" w:sz="4" w:space="0" w:color="auto"/>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600"/>
        </w:trPr>
        <w:tc>
          <w:tcPr>
            <w:tcW w:w="409" w:type="pct"/>
            <w:vMerge/>
            <w:tcBorders>
              <w:top w:val="single" w:sz="4" w:space="0" w:color="auto"/>
              <w:left w:val="single" w:sz="4" w:space="0" w:color="auto"/>
              <w:bottom w:val="single" w:sz="4" w:space="0" w:color="auto"/>
              <w:right w:val="single" w:sz="4" w:space="0" w:color="auto"/>
            </w:tcBorders>
            <w:noWrap/>
            <w:vAlign w:val="center"/>
          </w:tcPr>
          <w:p>
            <w:pPr>
              <w:jc w:val="center"/>
              <w:rPr>
                <w:rFonts w:ascii="宋体" w:hAnsi="宋体" w:cs="宋体" w:hint="eastAsia"/>
                <w:color w:val="000000"/>
                <w:sz w:val="20"/>
              </w:rPr>
            </w:pPr>
          </w:p>
        </w:tc>
        <w:tc>
          <w:tcPr>
            <w:tcW w:w="274" w:type="pct"/>
            <w:vMerge/>
            <w:tcBorders>
              <w:top w:val="single" w:sz="4" w:space="0" w:color="auto"/>
              <w:left w:val="single" w:sz="4" w:space="0" w:color="auto"/>
              <w:bottom w:val="single" w:sz="4" w:space="0" w:color="auto"/>
              <w:right w:val="single" w:sz="4" w:space="0" w:color="auto"/>
            </w:tcBorders>
            <w:noWrap w:val="0"/>
            <w:vAlign w:val="center"/>
          </w:tcPr>
          <w:p>
            <w:pPr>
              <w:jc w:val="center"/>
              <w:rPr>
                <w:rFonts w:ascii="宋体" w:hAnsi="宋体" w:cs="宋体" w:hint="eastAsia"/>
                <w:color w:val="000000"/>
                <w:sz w:val="20"/>
              </w:rPr>
            </w:pPr>
          </w:p>
        </w:tc>
        <w:tc>
          <w:tcPr>
            <w:tcW w:w="532" w:type="pct"/>
            <w:vMerge/>
            <w:tcBorders>
              <w:top w:val="single" w:sz="4" w:space="0" w:color="auto"/>
              <w:left w:val="single" w:sz="4" w:space="0" w:color="auto"/>
              <w:bottom w:val="single" w:sz="4" w:space="0" w:color="auto"/>
              <w:right w:val="single" w:sz="4" w:space="0" w:color="auto"/>
            </w:tcBorders>
            <w:noWrap w:val="0"/>
            <w:vAlign w:val="center"/>
          </w:tcPr>
          <w:p>
            <w:pPr>
              <w:jc w:val="center"/>
              <w:rPr>
                <w:rFonts w:ascii="宋体" w:hAnsi="宋体" w:cs="宋体" w:hint="eastAsia"/>
                <w:color w:val="000000"/>
                <w:sz w:val="20"/>
              </w:rPr>
            </w:pPr>
          </w:p>
        </w:tc>
        <w:tc>
          <w:tcPr>
            <w:tcW w:w="2216" w:type="pct"/>
            <w:tcBorders>
              <w:top w:val="single" w:sz="4" w:space="0" w:color="auto"/>
              <w:left w:val="single" w:sz="4" w:space="0" w:color="auto"/>
              <w:bottom w:val="single" w:sz="4" w:space="0" w:color="auto"/>
              <w:right w:val="single" w:sz="4" w:space="0" w:color="auto"/>
            </w:tcBorders>
            <w:noWrap w:val="0"/>
            <w:vAlign w:val="center"/>
          </w:tcPr>
          <w:p>
            <w:pPr>
              <w:widowControl/>
              <w:jc w:val="left"/>
              <w:textAlignment w:val="center"/>
              <w:rPr>
                <w:rFonts w:ascii="宋体" w:hAnsi="宋体" w:cs="宋体" w:hint="eastAsia"/>
                <w:color w:val="000000"/>
                <w:sz w:val="20"/>
              </w:rPr>
            </w:pPr>
          </w:p>
        </w:tc>
        <w:tc>
          <w:tcPr>
            <w:tcW w:w="693" w:type="pct"/>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核查资料</w:t>
            </w:r>
          </w:p>
        </w:tc>
        <w:tc>
          <w:tcPr>
            <w:tcW w:w="555" w:type="pct"/>
            <w:tcBorders>
              <w:top w:val="single" w:sz="4" w:space="0" w:color="auto"/>
              <w:left w:val="single" w:sz="4" w:space="0" w:color="auto"/>
              <w:bottom w:val="single" w:sz="4" w:space="0" w:color="auto"/>
              <w:right w:val="single" w:sz="4" w:space="0" w:color="auto"/>
            </w:tcBorders>
            <w:noWrap/>
            <w:vAlign w:val="center"/>
          </w:tcPr>
          <w:p>
            <w:pPr>
              <w:rPr>
                <w:rFonts w:ascii="宋体" w:hAnsi="宋体" w:cs="宋体" w:hint="eastAsia"/>
                <w:color w:val="000000"/>
              </w:rPr>
            </w:pPr>
          </w:p>
        </w:tc>
        <w:tc>
          <w:tcPr>
            <w:tcW w:w="321" w:type="pct"/>
            <w:tcBorders>
              <w:top w:val="single" w:sz="4" w:space="0" w:color="auto"/>
              <w:left w:val="single" w:sz="4" w:space="0" w:color="auto"/>
              <w:bottom w:val="single" w:sz="4" w:space="0" w:color="auto"/>
              <w:right w:val="single" w:sz="4" w:space="0" w:color="auto"/>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600"/>
        </w:trPr>
        <w:tc>
          <w:tcPr>
            <w:tcW w:w="409" w:type="pct"/>
            <w:vMerge w:val="restart"/>
            <w:tcBorders>
              <w:top w:val="single" w:sz="4" w:space="0" w:color="000000"/>
              <w:left w:val="single" w:sz="4" w:space="0" w:color="000000"/>
              <w:bottom w:val="single" w:sz="4" w:space="0" w:color="000000"/>
              <w:right w:val="single" w:sz="4" w:space="0" w:color="000000"/>
            </w:tcBorders>
            <w:noWrap/>
            <w:vAlign w:val="center"/>
          </w:tcPr>
          <w:p>
            <w:pPr>
              <w:widowControl/>
              <w:jc w:val="center"/>
              <w:textAlignment w:val="center"/>
              <w:rPr>
                <w:rFonts w:ascii="宋体" w:hAnsi="宋体" w:cs="宋体" w:hint="eastAsia"/>
                <w:color w:val="000000"/>
              </w:rPr>
            </w:pPr>
            <w:r>
              <w:rPr>
                <w:rFonts w:ascii="宋体" w:hAnsi="宋体" w:cs="宋体" w:hint="eastAsia"/>
                <w:color w:val="000000"/>
                <w:sz w:val="24"/>
                <w:szCs w:val="24"/>
              </w:rPr>
              <w:t>5</w:t>
            </w:r>
          </w:p>
        </w:tc>
        <w:tc>
          <w:tcPr>
            <w:tcW w:w="274" w:type="pct"/>
            <w:vMerge w:val="restar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color w:val="000000"/>
                <w:kern w:val="0"/>
                <w:sz w:val="20"/>
                <w:lang w:bidi="ar"/>
              </w:rPr>
            </w:pPr>
            <w:r>
              <w:rPr>
                <w:rFonts w:ascii="宋体" w:hAnsi="宋体" w:cs="宋体" w:hint="eastAsia"/>
                <w:color w:val="000000"/>
                <w:kern w:val="0"/>
                <w:sz w:val="20"/>
                <w:lang w:bidi="ar"/>
              </w:rPr>
              <w:t>设备周边</w:t>
            </w:r>
          </w:p>
          <w:p>
            <w:pPr>
              <w:widowControl/>
              <w:jc w:val="center"/>
              <w:textAlignment w:val="center"/>
              <w:rPr>
                <w:rFonts w:ascii="宋体" w:hAnsi="宋体" w:cs="宋体" w:hint="eastAsia"/>
                <w:color w:val="000000"/>
              </w:rPr>
            </w:pPr>
            <w:r>
              <w:rPr>
                <w:rFonts w:ascii="宋体" w:hAnsi="宋体" w:cs="宋体" w:hint="eastAsia"/>
                <w:color w:val="000000"/>
                <w:kern w:val="0"/>
                <w:sz w:val="20"/>
                <w:lang w:bidi="ar"/>
              </w:rPr>
              <w:t>要求</w:t>
            </w:r>
          </w:p>
        </w:tc>
        <w:tc>
          <w:tcPr>
            <w:tcW w:w="532" w:type="pct"/>
            <w:vMerge w:val="restar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设备外观</w:t>
            </w: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vMerge w:val="restart"/>
            <w:tcBorders>
              <w:top w:val="single" w:sz="4" w:space="0" w:color="000000"/>
              <w:left w:val="single" w:sz="4" w:space="0" w:color="000000"/>
              <w:bottom w:val="single" w:sz="4" w:space="0" w:color="000000"/>
              <w:right w:val="single" w:sz="4" w:space="0" w:color="000000"/>
            </w:tcBorders>
            <w:noWrap/>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核查设备</w:t>
            </w: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600"/>
        </w:trPr>
        <w:tc>
          <w:tcPr>
            <w:tcW w:w="409"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600"/>
        </w:trPr>
        <w:tc>
          <w:tcPr>
            <w:tcW w:w="409"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rPr>
            </w:pPr>
          </w:p>
        </w:tc>
        <w:tc>
          <w:tcPr>
            <w:tcW w:w="532" w:type="pct"/>
            <w:vMerge w:val="restar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雷达天线平台要求</w:t>
            </w: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tcBorders>
              <w:top w:val="single" w:sz="4" w:space="0" w:color="000000"/>
              <w:left w:val="single" w:sz="4" w:space="0" w:color="000000"/>
              <w:bottom w:val="single" w:sz="4" w:space="0" w:color="000000"/>
              <w:right w:val="single" w:sz="4" w:space="0" w:color="000000"/>
            </w:tcBorders>
            <w:noWrap/>
            <w:vAlign w:val="center"/>
          </w:tcPr>
          <w:p>
            <w:pPr>
              <w:widowControl/>
              <w:jc w:val="left"/>
              <w:textAlignment w:val="center"/>
              <w:rPr>
                <w:rFonts w:ascii="宋体" w:hAnsi="宋体" w:cs="宋体" w:hint="eastAsia"/>
                <w:color w:val="000000"/>
                <w:sz w:val="20"/>
              </w:rPr>
            </w:pPr>
            <w:r>
              <w:rPr>
                <w:rFonts w:ascii="宋体" w:hAnsi="宋体" w:cs="宋体" w:hint="eastAsia"/>
                <w:color w:val="000000"/>
                <w:kern w:val="0"/>
                <w:sz w:val="20"/>
                <w:lang w:bidi="ar"/>
              </w:rPr>
              <w:t>核查设备</w:t>
            </w: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600"/>
        </w:trPr>
        <w:tc>
          <w:tcPr>
            <w:tcW w:w="409"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vMerge w:val="restart"/>
            <w:tcBorders>
              <w:top w:val="single" w:sz="4" w:space="0" w:color="000000"/>
              <w:left w:val="single" w:sz="4" w:space="0" w:color="000000"/>
              <w:bottom w:val="single" w:sz="4" w:space="0" w:color="000000"/>
              <w:right w:val="single" w:sz="4" w:space="0" w:color="000000"/>
            </w:tcBorders>
            <w:noWrap/>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核查现场</w:t>
            </w: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840"/>
        </w:trPr>
        <w:tc>
          <w:tcPr>
            <w:tcW w:w="409"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600"/>
        </w:trPr>
        <w:tc>
          <w:tcPr>
            <w:tcW w:w="409"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sz w:val="20"/>
              </w:rPr>
            </w:pP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600"/>
        </w:trPr>
        <w:tc>
          <w:tcPr>
            <w:tcW w:w="409"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rPr>
            </w:pPr>
          </w:p>
        </w:tc>
        <w:tc>
          <w:tcPr>
            <w:tcW w:w="532" w:type="pct"/>
            <w:vMerge w:val="restar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消防要求</w:t>
            </w: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tcBorders>
              <w:top w:val="single" w:sz="4" w:space="0" w:color="000000"/>
              <w:left w:val="single" w:sz="4" w:space="0" w:color="000000"/>
              <w:bottom w:val="single" w:sz="4" w:space="0" w:color="000000"/>
              <w:right w:val="single" w:sz="4" w:space="0" w:color="000000"/>
            </w:tcBorders>
            <w:noWrap/>
            <w:vAlign w:val="center"/>
          </w:tcPr>
          <w:p>
            <w:pPr>
              <w:widowControl/>
              <w:jc w:val="left"/>
              <w:textAlignment w:val="center"/>
              <w:rPr>
                <w:rFonts w:ascii="宋体" w:hAnsi="宋体" w:cs="宋体" w:hint="eastAsia"/>
                <w:color w:val="000000"/>
                <w:sz w:val="20"/>
              </w:rPr>
            </w:pPr>
            <w:r>
              <w:rPr>
                <w:rFonts w:ascii="宋体" w:hAnsi="宋体" w:cs="宋体" w:hint="eastAsia"/>
                <w:color w:val="000000"/>
                <w:kern w:val="0"/>
                <w:sz w:val="20"/>
                <w:lang w:bidi="ar"/>
              </w:rPr>
              <w:t>核查设备</w:t>
            </w: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600"/>
        </w:trPr>
        <w:tc>
          <w:tcPr>
            <w:tcW w:w="409"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tcBorders>
              <w:top w:val="single" w:sz="4" w:space="0" w:color="000000"/>
              <w:left w:val="single" w:sz="4" w:space="0" w:color="000000"/>
              <w:bottom w:val="single" w:sz="4" w:space="0" w:color="000000"/>
              <w:right w:val="single" w:sz="4" w:space="0" w:color="000000"/>
            </w:tcBorders>
            <w:noWrap/>
            <w:vAlign w:val="center"/>
          </w:tcPr>
          <w:p>
            <w:pPr>
              <w:widowControl/>
              <w:jc w:val="left"/>
              <w:textAlignment w:val="center"/>
              <w:rPr>
                <w:rFonts w:ascii="宋体" w:hAnsi="宋体" w:cs="宋体" w:hint="eastAsia"/>
                <w:color w:val="000000"/>
                <w:sz w:val="20"/>
              </w:rPr>
            </w:pPr>
            <w:r>
              <w:rPr>
                <w:rFonts w:ascii="宋体" w:hAnsi="宋体" w:cs="宋体" w:hint="eastAsia"/>
                <w:color w:val="000000"/>
                <w:kern w:val="0"/>
                <w:sz w:val="20"/>
                <w:lang w:bidi="ar"/>
              </w:rPr>
              <w:t>核查现场</w:t>
            </w: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600"/>
        </w:trPr>
        <w:tc>
          <w:tcPr>
            <w:tcW w:w="409"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tcBorders>
              <w:top w:val="single" w:sz="4" w:space="0" w:color="000000"/>
              <w:left w:val="single" w:sz="4" w:space="0" w:color="000000"/>
              <w:bottom w:val="single" w:sz="4" w:space="0" w:color="000000"/>
              <w:right w:val="single" w:sz="4" w:space="0" w:color="000000"/>
            </w:tcBorders>
            <w:noWrap/>
            <w:vAlign w:val="center"/>
          </w:tcPr>
          <w:p>
            <w:pPr>
              <w:widowControl/>
              <w:jc w:val="left"/>
              <w:textAlignment w:val="center"/>
              <w:rPr>
                <w:rFonts w:ascii="宋体" w:hAnsi="宋体" w:cs="宋体" w:hint="eastAsia"/>
                <w:color w:val="000000"/>
                <w:sz w:val="20"/>
              </w:rPr>
            </w:pPr>
            <w:r>
              <w:rPr>
                <w:rFonts w:ascii="宋体" w:hAnsi="宋体" w:cs="宋体" w:hint="eastAsia"/>
                <w:color w:val="000000"/>
                <w:kern w:val="0"/>
                <w:sz w:val="20"/>
                <w:lang w:bidi="ar"/>
              </w:rPr>
              <w:t>核查资料</w:t>
            </w: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600"/>
        </w:trPr>
        <w:tc>
          <w:tcPr>
            <w:tcW w:w="409"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rPr>
            </w:pPr>
          </w:p>
        </w:tc>
        <w:tc>
          <w:tcPr>
            <w:tcW w:w="532" w:type="pct"/>
            <w:vMerge w:val="restart"/>
            <w:tcBorders>
              <w:top w:val="single" w:sz="4"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防雷要求</w:t>
            </w: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tcBorders>
              <w:top w:val="single" w:sz="4" w:space="0" w:color="000000"/>
              <w:left w:val="single" w:sz="4" w:space="0" w:color="000000"/>
              <w:bottom w:val="single" w:sz="4" w:space="0" w:color="000000"/>
              <w:right w:val="single" w:sz="4" w:space="0" w:color="000000"/>
            </w:tcBorders>
            <w:noWrap/>
            <w:vAlign w:val="center"/>
          </w:tcPr>
          <w:p>
            <w:pPr>
              <w:widowControl/>
              <w:jc w:val="left"/>
              <w:textAlignment w:val="center"/>
              <w:rPr>
                <w:rFonts w:ascii="宋体" w:hAnsi="宋体" w:cs="宋体" w:hint="eastAsia"/>
                <w:color w:val="000000"/>
                <w:sz w:val="20"/>
              </w:rPr>
            </w:pPr>
            <w:r>
              <w:rPr>
                <w:rFonts w:ascii="宋体" w:hAnsi="宋体" w:cs="宋体" w:hint="eastAsia"/>
                <w:color w:val="000000"/>
                <w:kern w:val="0"/>
                <w:sz w:val="20"/>
                <w:lang w:bidi="ar"/>
              </w:rPr>
              <w:t>核查设备</w:t>
            </w: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600"/>
        </w:trPr>
        <w:tc>
          <w:tcPr>
            <w:tcW w:w="409" w:type="pct"/>
            <w:vMerge/>
            <w:tcBorders>
              <w:top w:val="single" w:sz="4" w:space="0" w:color="000000"/>
              <w:left w:val="single" w:sz="4" w:space="0" w:color="000000"/>
              <w:bottom w:val="single" w:sz="4" w:space="0" w:color="000000"/>
              <w:right w:val="single" w:sz="4" w:space="0" w:color="000000"/>
            </w:tcBorders>
            <w:noWrap/>
            <w:vAlign w:val="center"/>
          </w:tcPr>
          <w:p>
            <w:pPr>
              <w:jc w:val="center"/>
              <w:rPr>
                <w:rFonts w:ascii="宋体" w:hAnsi="宋体" w:cs="宋体" w:hint="eastAsia"/>
                <w:color w:val="000000"/>
              </w:rPr>
            </w:pPr>
          </w:p>
        </w:tc>
        <w:tc>
          <w:tcPr>
            <w:tcW w:w="274"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rPr>
            </w:pPr>
          </w:p>
        </w:tc>
        <w:tc>
          <w:tcPr>
            <w:tcW w:w="532" w:type="pct"/>
            <w:vMerge/>
            <w:tcBorders>
              <w:top w:val="single" w:sz="4"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sz w:val="20"/>
              </w:rPr>
            </w:pPr>
          </w:p>
        </w:tc>
        <w:tc>
          <w:tcPr>
            <w:tcW w:w="2216" w:type="pct"/>
            <w:tcBorders>
              <w:top w:val="single" w:sz="4" w:space="0" w:color="000000"/>
              <w:left w:val="single" w:sz="4" w:space="0" w:color="000000"/>
              <w:bottom w:val="single" w:sz="4" w:space="0" w:color="000000"/>
              <w:right w:val="single" w:sz="4" w:space="0" w:color="000000"/>
            </w:tcBorders>
            <w:noWrap w:val="0"/>
            <w:vAlign w:val="center"/>
          </w:tcPr>
          <w:p>
            <w:pPr>
              <w:widowControl/>
              <w:jc w:val="left"/>
              <w:textAlignment w:val="center"/>
              <w:rPr>
                <w:rFonts w:ascii="宋体" w:hAnsi="宋体" w:cs="宋体" w:hint="eastAsia"/>
                <w:color w:val="000000"/>
                <w:sz w:val="20"/>
              </w:rPr>
            </w:pPr>
          </w:p>
        </w:tc>
        <w:tc>
          <w:tcPr>
            <w:tcW w:w="693" w:type="pct"/>
            <w:tcBorders>
              <w:top w:val="single" w:sz="4" w:space="0" w:color="000000"/>
              <w:left w:val="single" w:sz="4" w:space="0" w:color="000000"/>
              <w:bottom w:val="single" w:sz="4" w:space="0" w:color="000000"/>
              <w:right w:val="single" w:sz="4" w:space="0" w:color="000000"/>
            </w:tcBorders>
            <w:noWrap/>
            <w:vAlign w:val="center"/>
          </w:tcPr>
          <w:p>
            <w:pPr>
              <w:widowControl/>
              <w:jc w:val="left"/>
              <w:textAlignment w:val="center"/>
              <w:rPr>
                <w:rFonts w:ascii="宋体" w:hAnsi="宋体" w:cs="宋体" w:hint="eastAsia"/>
                <w:color w:val="000000"/>
                <w:sz w:val="20"/>
              </w:rPr>
            </w:pPr>
            <w:r>
              <w:rPr>
                <w:rFonts w:ascii="宋体" w:hAnsi="宋体" w:cs="宋体" w:hint="eastAsia"/>
                <w:color w:val="000000"/>
                <w:kern w:val="0"/>
                <w:sz w:val="20"/>
                <w:lang w:bidi="ar"/>
              </w:rPr>
              <w:t>核查资料</w:t>
            </w:r>
          </w:p>
        </w:tc>
        <w:tc>
          <w:tcPr>
            <w:tcW w:w="555"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c>
          <w:tcPr>
            <w:tcW w:w="321" w:type="pct"/>
            <w:tcBorders>
              <w:top w:val="single" w:sz="4" w:space="0" w:color="000000"/>
              <w:left w:val="single" w:sz="4" w:space="0" w:color="000000"/>
              <w:bottom w:val="single" w:sz="4" w:space="0" w:color="000000"/>
              <w:right w:val="single" w:sz="4" w:space="0" w:color="000000"/>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285"/>
        </w:trPr>
        <w:tc>
          <w:tcPr>
            <w:tcW w:w="409" w:type="pct"/>
            <w:tcBorders>
              <w:top w:val="nil"/>
              <w:left w:val="nil"/>
              <w:bottom w:val="nil"/>
              <w:right w:val="nil"/>
            </w:tcBorders>
            <w:noWrap/>
            <w:vAlign w:val="center"/>
          </w:tcPr>
          <w:p>
            <w:pPr>
              <w:rPr>
                <w:rFonts w:ascii="宋体" w:hAnsi="宋体" w:cs="宋体" w:hint="eastAsia"/>
                <w:color w:val="000000"/>
              </w:rPr>
            </w:pPr>
          </w:p>
        </w:tc>
        <w:tc>
          <w:tcPr>
            <w:tcW w:w="274" w:type="pct"/>
            <w:tcBorders>
              <w:top w:val="nil"/>
              <w:left w:val="nil"/>
              <w:bottom w:val="nil"/>
              <w:right w:val="nil"/>
            </w:tcBorders>
            <w:noWrap w:val="0"/>
            <w:vAlign w:val="center"/>
          </w:tcPr>
          <w:p>
            <w:pPr>
              <w:rPr>
                <w:rFonts w:ascii="宋体" w:hAnsi="宋体" w:cs="宋体" w:hint="eastAsia"/>
                <w:color w:val="000000"/>
              </w:rPr>
            </w:pPr>
          </w:p>
        </w:tc>
        <w:tc>
          <w:tcPr>
            <w:tcW w:w="532" w:type="pct"/>
            <w:tcBorders>
              <w:top w:val="nil"/>
              <w:left w:val="nil"/>
              <w:bottom w:val="nil"/>
              <w:right w:val="nil"/>
            </w:tcBorders>
            <w:noWrap w:val="0"/>
            <w:vAlign w:val="center"/>
          </w:tcPr>
          <w:p>
            <w:pPr>
              <w:rPr>
                <w:rFonts w:ascii="宋体" w:hAnsi="宋体" w:cs="宋体" w:hint="eastAsia"/>
                <w:color w:val="000000"/>
              </w:rPr>
            </w:pPr>
          </w:p>
        </w:tc>
        <w:tc>
          <w:tcPr>
            <w:tcW w:w="2216" w:type="pct"/>
            <w:tcBorders>
              <w:top w:val="nil"/>
              <w:left w:val="nil"/>
              <w:bottom w:val="nil"/>
              <w:right w:val="nil"/>
            </w:tcBorders>
            <w:noWrap w:val="0"/>
            <w:vAlign w:val="center"/>
          </w:tcPr>
          <w:p>
            <w:pPr>
              <w:rPr>
                <w:rFonts w:ascii="宋体" w:hAnsi="宋体" w:cs="宋体" w:hint="eastAsia"/>
                <w:color w:val="000000"/>
              </w:rPr>
            </w:pPr>
          </w:p>
        </w:tc>
        <w:tc>
          <w:tcPr>
            <w:tcW w:w="693" w:type="pct"/>
            <w:tcBorders>
              <w:top w:val="nil"/>
              <w:left w:val="nil"/>
              <w:bottom w:val="nil"/>
              <w:right w:val="nil"/>
            </w:tcBorders>
            <w:noWrap/>
            <w:vAlign w:val="center"/>
          </w:tcPr>
          <w:p>
            <w:pPr>
              <w:rPr>
                <w:rFonts w:ascii="宋体" w:hAnsi="宋体" w:cs="宋体" w:hint="eastAsia"/>
                <w:color w:val="000000"/>
              </w:rPr>
            </w:pPr>
          </w:p>
        </w:tc>
        <w:tc>
          <w:tcPr>
            <w:tcW w:w="555" w:type="pct"/>
            <w:tcBorders>
              <w:top w:val="nil"/>
              <w:left w:val="nil"/>
              <w:bottom w:val="nil"/>
              <w:right w:val="nil"/>
            </w:tcBorders>
            <w:noWrap/>
            <w:vAlign w:val="center"/>
          </w:tcPr>
          <w:p>
            <w:pPr>
              <w:rPr>
                <w:rFonts w:ascii="宋体" w:hAnsi="宋体" w:cs="宋体" w:hint="eastAsia"/>
                <w:color w:val="000000"/>
              </w:rPr>
            </w:pPr>
          </w:p>
        </w:tc>
        <w:tc>
          <w:tcPr>
            <w:tcW w:w="321" w:type="pct"/>
            <w:tcBorders>
              <w:top w:val="nil"/>
              <w:left w:val="nil"/>
              <w:bottom w:val="nil"/>
              <w:right w:val="nil"/>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312"/>
        </w:trPr>
        <w:tc>
          <w:tcPr>
            <w:tcW w:w="1214" w:type="pct"/>
            <w:gridSpan w:val="3"/>
            <w:vMerge w:val="restart"/>
            <w:tcBorders>
              <w:top w:val="single" w:sz="8" w:space="0" w:color="000000"/>
              <w:left w:val="single" w:sz="8"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站点人员</w:t>
            </w:r>
          </w:p>
        </w:tc>
        <w:tc>
          <w:tcPr>
            <w:tcW w:w="2909" w:type="pct"/>
            <w:gridSpan w:val="2"/>
            <w:vMerge w:val="restart"/>
            <w:tcBorders>
              <w:top w:val="single" w:sz="8"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检查站点</w:t>
            </w:r>
          </w:p>
        </w:tc>
        <w:tc>
          <w:tcPr>
            <w:tcW w:w="877" w:type="pct"/>
            <w:gridSpan w:val="2"/>
            <w:vMerge w:val="restart"/>
            <w:tcBorders>
              <w:top w:val="single" w:sz="8" w:space="0" w:color="000000"/>
              <w:left w:val="single" w:sz="4" w:space="0" w:color="000000"/>
              <w:bottom w:val="single" w:sz="4" w:space="0" w:color="000000"/>
              <w:right w:val="single" w:sz="4" w:space="0" w:color="000000"/>
            </w:tcBorders>
            <w:noWrap w:val="0"/>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监理巡查人员</w:t>
            </w:r>
          </w:p>
        </w:tc>
      </w:tr>
      <w:tr>
        <w:tblPrEx>
          <w:tblW w:w="4996" w:type="pct"/>
          <w:tblInd w:w="0" w:type="dxa"/>
          <w:tblLayout w:type="fixed"/>
          <w:tblCellMar>
            <w:top w:w="0" w:type="dxa"/>
            <w:left w:w="108" w:type="dxa"/>
            <w:bottom w:w="0" w:type="dxa"/>
            <w:right w:w="108" w:type="dxa"/>
          </w:tblCellMar>
        </w:tblPrEx>
        <w:trPr>
          <w:trHeight w:val="312"/>
        </w:trPr>
        <w:tc>
          <w:tcPr>
            <w:tcW w:w="1214" w:type="pct"/>
            <w:gridSpan w:val="3"/>
            <w:vMerge/>
            <w:tcBorders>
              <w:top w:val="single" w:sz="8" w:space="0" w:color="000000"/>
              <w:left w:val="single" w:sz="8" w:space="0" w:color="000000"/>
              <w:bottom w:val="single" w:sz="4" w:space="0" w:color="000000"/>
              <w:right w:val="single" w:sz="4" w:space="0" w:color="000000"/>
            </w:tcBorders>
            <w:noWrap w:val="0"/>
            <w:vAlign w:val="center"/>
          </w:tcPr>
          <w:p>
            <w:pPr>
              <w:jc w:val="center"/>
              <w:rPr>
                <w:rFonts w:ascii="宋体" w:hAnsi="宋体" w:cs="宋体" w:hint="eastAsia"/>
                <w:color w:val="000000"/>
              </w:rPr>
            </w:pPr>
          </w:p>
        </w:tc>
        <w:tc>
          <w:tcPr>
            <w:tcW w:w="2909" w:type="pct"/>
            <w:gridSpan w:val="2"/>
            <w:vMerge/>
            <w:tcBorders>
              <w:top w:val="single" w:sz="8"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rPr>
            </w:pPr>
          </w:p>
        </w:tc>
        <w:tc>
          <w:tcPr>
            <w:tcW w:w="877" w:type="pct"/>
            <w:gridSpan w:val="2"/>
            <w:vMerge/>
            <w:tcBorders>
              <w:top w:val="single" w:sz="8" w:space="0" w:color="000000"/>
              <w:left w:val="single" w:sz="4" w:space="0" w:color="000000"/>
              <w:bottom w:val="single" w:sz="4" w:space="0" w:color="000000"/>
              <w:right w:val="single" w:sz="4" w:space="0" w:color="000000"/>
            </w:tcBorders>
            <w:noWrap w:val="0"/>
            <w:vAlign w:val="center"/>
          </w:tcPr>
          <w:p>
            <w:pPr>
              <w:jc w:val="cente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1280"/>
        </w:trPr>
        <w:tc>
          <w:tcPr>
            <w:tcW w:w="1214" w:type="pct"/>
            <w:gridSpan w:val="3"/>
            <w:tcBorders>
              <w:top w:val="single" w:sz="4" w:space="0" w:color="000000"/>
              <w:left w:val="single" w:sz="8" w:space="0" w:color="000000"/>
              <w:bottom w:val="single" w:sz="8" w:space="0" w:color="000000"/>
              <w:right w:val="single" w:sz="4" w:space="0" w:color="000000"/>
            </w:tcBorders>
            <w:noWrap w:val="0"/>
            <w:vAlign w:val="center"/>
          </w:tcPr>
          <w:p>
            <w:pPr>
              <w:jc w:val="center"/>
              <w:rPr>
                <w:rFonts w:ascii="宋体" w:hAnsi="宋体" w:cs="宋体" w:hint="eastAsia"/>
                <w:color w:val="000000"/>
              </w:rPr>
            </w:pPr>
          </w:p>
        </w:tc>
        <w:tc>
          <w:tcPr>
            <w:tcW w:w="2909" w:type="pct"/>
            <w:gridSpan w:val="2"/>
            <w:tcBorders>
              <w:top w:val="single" w:sz="4" w:space="0" w:color="000000"/>
              <w:left w:val="single" w:sz="4" w:space="0" w:color="000000"/>
              <w:bottom w:val="single" w:sz="8" w:space="0" w:color="000000"/>
              <w:right w:val="single" w:sz="4" w:space="0" w:color="000000"/>
            </w:tcBorders>
            <w:noWrap w:val="0"/>
            <w:vAlign w:val="center"/>
          </w:tcPr>
          <w:p>
            <w:pPr>
              <w:jc w:val="center"/>
              <w:rPr>
                <w:rFonts w:ascii="宋体" w:hAnsi="宋体" w:cs="宋体" w:hint="eastAsia"/>
                <w:color w:val="000000"/>
              </w:rPr>
            </w:pPr>
          </w:p>
        </w:tc>
        <w:tc>
          <w:tcPr>
            <w:tcW w:w="877" w:type="pct"/>
            <w:gridSpan w:val="2"/>
            <w:tcBorders>
              <w:top w:val="single" w:sz="4" w:space="0" w:color="000000"/>
              <w:left w:val="single" w:sz="4" w:space="0" w:color="000000"/>
              <w:bottom w:val="single" w:sz="8" w:space="0" w:color="000000"/>
              <w:right w:val="single" w:sz="4" w:space="0" w:color="000000"/>
            </w:tcBorders>
            <w:noWrap w:val="0"/>
            <w:vAlign w:val="center"/>
          </w:tcPr>
          <w:p>
            <w:pPr>
              <w:jc w:val="cente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285"/>
        </w:trPr>
        <w:tc>
          <w:tcPr>
            <w:tcW w:w="409" w:type="pct"/>
            <w:tcBorders>
              <w:top w:val="nil"/>
              <w:left w:val="nil"/>
              <w:bottom w:val="nil"/>
              <w:right w:val="nil"/>
            </w:tcBorders>
            <w:noWrap w:val="0"/>
            <w:vAlign w:val="center"/>
          </w:tcPr>
          <w:p>
            <w:pPr>
              <w:rPr>
                <w:rFonts w:ascii="宋体" w:hAnsi="宋体" w:cs="宋体" w:hint="eastAsia"/>
                <w:color w:val="000000"/>
              </w:rPr>
            </w:pPr>
          </w:p>
        </w:tc>
        <w:tc>
          <w:tcPr>
            <w:tcW w:w="274" w:type="pct"/>
            <w:tcBorders>
              <w:top w:val="nil"/>
              <w:left w:val="nil"/>
              <w:bottom w:val="nil"/>
              <w:right w:val="nil"/>
            </w:tcBorders>
            <w:noWrap w:val="0"/>
            <w:vAlign w:val="center"/>
          </w:tcPr>
          <w:p>
            <w:pPr>
              <w:rPr>
                <w:rFonts w:ascii="宋体" w:hAnsi="宋体" w:cs="宋体" w:hint="eastAsia"/>
                <w:color w:val="000000"/>
              </w:rPr>
            </w:pPr>
          </w:p>
        </w:tc>
        <w:tc>
          <w:tcPr>
            <w:tcW w:w="532" w:type="pct"/>
            <w:tcBorders>
              <w:top w:val="nil"/>
              <w:left w:val="nil"/>
              <w:bottom w:val="nil"/>
              <w:right w:val="nil"/>
            </w:tcBorders>
            <w:noWrap w:val="0"/>
            <w:vAlign w:val="center"/>
          </w:tcPr>
          <w:p>
            <w:pPr>
              <w:rPr>
                <w:rFonts w:ascii="宋体" w:hAnsi="宋体" w:cs="宋体" w:hint="eastAsia"/>
                <w:color w:val="000000"/>
              </w:rPr>
            </w:pPr>
          </w:p>
        </w:tc>
        <w:tc>
          <w:tcPr>
            <w:tcW w:w="2216" w:type="pct"/>
            <w:tcBorders>
              <w:top w:val="nil"/>
              <w:left w:val="nil"/>
              <w:bottom w:val="nil"/>
              <w:right w:val="nil"/>
            </w:tcBorders>
            <w:noWrap w:val="0"/>
            <w:vAlign w:val="center"/>
          </w:tcPr>
          <w:p>
            <w:pPr>
              <w:rPr>
                <w:rFonts w:ascii="宋体" w:hAnsi="宋体" w:cs="宋体" w:hint="eastAsia"/>
                <w:color w:val="000000"/>
              </w:rPr>
            </w:pPr>
          </w:p>
        </w:tc>
        <w:tc>
          <w:tcPr>
            <w:tcW w:w="1570" w:type="pct"/>
            <w:gridSpan w:val="3"/>
            <w:tcBorders>
              <w:top w:val="nil"/>
              <w:left w:val="nil"/>
              <w:bottom w:val="nil"/>
              <w:right w:val="nil"/>
            </w:tcBorders>
            <w:noWrap w:val="0"/>
            <w:vAlign w:val="center"/>
          </w:tcPr>
          <w:p>
            <w:pPr>
              <w:widowControl/>
              <w:jc w:val="left"/>
              <w:textAlignment w:val="center"/>
              <w:rPr>
                <w:rFonts w:ascii="宋体" w:hAnsi="宋体" w:cs="宋体" w:hint="eastAsia"/>
                <w:color w:val="000000"/>
              </w:rPr>
            </w:pPr>
            <w:r>
              <w:rPr>
                <w:rFonts w:ascii="宋体" w:hAnsi="宋体" w:cs="宋体" w:hint="eastAsia"/>
                <w:color w:val="000000"/>
                <w:kern w:val="0"/>
                <w:sz w:val="24"/>
                <w:szCs w:val="24"/>
                <w:lang w:bidi="ar"/>
              </w:rPr>
              <w:t>巡查日期：</w:t>
            </w:r>
          </w:p>
        </w:tc>
      </w:tr>
      <w:tr>
        <w:tblPrEx>
          <w:tblW w:w="4996" w:type="pct"/>
          <w:tblInd w:w="0" w:type="dxa"/>
          <w:tblLayout w:type="fixed"/>
          <w:tblCellMar>
            <w:top w:w="0" w:type="dxa"/>
            <w:left w:w="108" w:type="dxa"/>
            <w:bottom w:w="0" w:type="dxa"/>
            <w:right w:w="108" w:type="dxa"/>
          </w:tblCellMar>
        </w:tblPrEx>
        <w:trPr>
          <w:trHeight w:val="285"/>
        </w:trPr>
        <w:tc>
          <w:tcPr>
            <w:tcW w:w="409" w:type="pct"/>
            <w:tcBorders>
              <w:top w:val="nil"/>
              <w:left w:val="nil"/>
              <w:bottom w:val="nil"/>
              <w:right w:val="nil"/>
            </w:tcBorders>
            <w:noWrap/>
            <w:vAlign w:val="center"/>
          </w:tcPr>
          <w:p>
            <w:pPr>
              <w:rPr>
                <w:rFonts w:ascii="宋体" w:hAnsi="宋体" w:cs="宋体" w:hint="eastAsia"/>
                <w:color w:val="000000"/>
              </w:rPr>
            </w:pPr>
          </w:p>
        </w:tc>
        <w:tc>
          <w:tcPr>
            <w:tcW w:w="274" w:type="pct"/>
            <w:tcBorders>
              <w:top w:val="nil"/>
              <w:left w:val="nil"/>
              <w:bottom w:val="nil"/>
              <w:right w:val="nil"/>
            </w:tcBorders>
            <w:noWrap/>
            <w:vAlign w:val="center"/>
          </w:tcPr>
          <w:p>
            <w:pPr>
              <w:rPr>
                <w:rFonts w:ascii="宋体" w:hAnsi="宋体" w:cs="宋体" w:hint="eastAsia"/>
                <w:color w:val="000000"/>
              </w:rPr>
            </w:pPr>
          </w:p>
        </w:tc>
        <w:tc>
          <w:tcPr>
            <w:tcW w:w="532" w:type="pct"/>
            <w:tcBorders>
              <w:top w:val="nil"/>
              <w:left w:val="nil"/>
              <w:bottom w:val="nil"/>
              <w:right w:val="nil"/>
            </w:tcBorders>
            <w:noWrap/>
            <w:vAlign w:val="center"/>
          </w:tcPr>
          <w:p>
            <w:pPr>
              <w:rPr>
                <w:rFonts w:ascii="宋体" w:hAnsi="宋体" w:cs="宋体" w:hint="eastAsia"/>
                <w:color w:val="000000"/>
              </w:rPr>
            </w:pPr>
          </w:p>
        </w:tc>
        <w:tc>
          <w:tcPr>
            <w:tcW w:w="2216" w:type="pct"/>
            <w:tcBorders>
              <w:top w:val="nil"/>
              <w:left w:val="nil"/>
              <w:bottom w:val="nil"/>
              <w:right w:val="nil"/>
            </w:tcBorders>
            <w:noWrap/>
            <w:vAlign w:val="center"/>
          </w:tcPr>
          <w:p>
            <w:pPr>
              <w:rPr>
                <w:rFonts w:ascii="宋体" w:hAnsi="宋体" w:cs="宋体" w:hint="eastAsia"/>
                <w:color w:val="000000"/>
              </w:rPr>
            </w:pPr>
          </w:p>
        </w:tc>
        <w:tc>
          <w:tcPr>
            <w:tcW w:w="693" w:type="pct"/>
            <w:tcBorders>
              <w:top w:val="nil"/>
              <w:left w:val="nil"/>
              <w:bottom w:val="nil"/>
              <w:right w:val="nil"/>
            </w:tcBorders>
            <w:noWrap/>
            <w:vAlign w:val="center"/>
          </w:tcPr>
          <w:p>
            <w:pPr>
              <w:jc w:val="center"/>
              <w:rPr>
                <w:rFonts w:ascii="宋体" w:hAnsi="宋体" w:cs="宋体" w:hint="eastAsia"/>
                <w:color w:val="000000"/>
              </w:rPr>
            </w:pPr>
          </w:p>
        </w:tc>
        <w:tc>
          <w:tcPr>
            <w:tcW w:w="555" w:type="pct"/>
            <w:tcBorders>
              <w:top w:val="nil"/>
              <w:left w:val="nil"/>
              <w:bottom w:val="nil"/>
              <w:right w:val="nil"/>
            </w:tcBorders>
            <w:noWrap/>
            <w:vAlign w:val="center"/>
          </w:tcPr>
          <w:p>
            <w:pPr>
              <w:rPr>
                <w:rFonts w:ascii="宋体" w:hAnsi="宋体" w:cs="宋体" w:hint="eastAsia"/>
                <w:color w:val="000000"/>
              </w:rPr>
            </w:pPr>
          </w:p>
        </w:tc>
        <w:tc>
          <w:tcPr>
            <w:tcW w:w="321" w:type="pct"/>
            <w:tcBorders>
              <w:top w:val="nil"/>
              <w:left w:val="nil"/>
              <w:bottom w:val="nil"/>
              <w:right w:val="nil"/>
            </w:tcBorders>
            <w:noWrap/>
            <w:vAlign w:val="center"/>
          </w:tcPr>
          <w:p>
            <w:pP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312"/>
        </w:trPr>
        <w:tc>
          <w:tcPr>
            <w:tcW w:w="5000" w:type="pct"/>
            <w:gridSpan w:val="7"/>
            <w:vMerge w:val="restart"/>
            <w:tcBorders>
              <w:top w:val="nil"/>
              <w:left w:val="nil"/>
              <w:bottom w:val="nil"/>
              <w:right w:val="nil"/>
            </w:tcBorders>
            <w:noWrap w:val="0"/>
            <w:vAlign w:val="center"/>
          </w:tcPr>
          <w:p>
            <w:pPr>
              <w:widowControl/>
              <w:jc w:val="left"/>
              <w:textAlignment w:val="center"/>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312"/>
        </w:trPr>
        <w:tc>
          <w:tcPr>
            <w:tcW w:w="5000" w:type="pct"/>
            <w:gridSpan w:val="7"/>
            <w:vMerge/>
            <w:tcBorders>
              <w:top w:val="nil"/>
              <w:left w:val="nil"/>
              <w:bottom w:val="nil"/>
              <w:right w:val="nil"/>
            </w:tcBorders>
            <w:noWrap w:val="0"/>
            <w:vAlign w:val="center"/>
          </w:tcPr>
          <w:p>
            <w:pPr>
              <w:jc w:val="left"/>
              <w:rPr>
                <w:rFonts w:ascii="宋体" w:hAnsi="宋体" w:cs="宋体" w:hint="eastAsia"/>
                <w:color w:val="000000"/>
              </w:rPr>
            </w:pPr>
          </w:p>
        </w:tc>
      </w:tr>
      <w:tr>
        <w:tblPrEx>
          <w:tblW w:w="4996" w:type="pct"/>
          <w:tblInd w:w="0" w:type="dxa"/>
          <w:tblLayout w:type="fixed"/>
          <w:tblCellMar>
            <w:top w:w="0" w:type="dxa"/>
            <w:left w:w="108" w:type="dxa"/>
            <w:bottom w:w="0" w:type="dxa"/>
            <w:right w:w="108" w:type="dxa"/>
          </w:tblCellMar>
        </w:tblPrEx>
        <w:trPr>
          <w:trHeight w:val="312"/>
        </w:trPr>
        <w:tc>
          <w:tcPr>
            <w:tcW w:w="5000" w:type="pct"/>
            <w:gridSpan w:val="7"/>
            <w:vMerge/>
            <w:tcBorders>
              <w:top w:val="nil"/>
              <w:left w:val="nil"/>
              <w:bottom w:val="nil"/>
              <w:right w:val="nil"/>
            </w:tcBorders>
            <w:noWrap w:val="0"/>
            <w:vAlign w:val="center"/>
          </w:tcPr>
          <w:p>
            <w:pPr>
              <w:jc w:val="left"/>
              <w:rPr>
                <w:rFonts w:ascii="宋体" w:hAnsi="宋体" w:cs="宋体" w:hint="eastAsia"/>
                <w:color w:val="000000"/>
              </w:rPr>
            </w:pPr>
          </w:p>
        </w:tc>
      </w:tr>
    </w:tbl>
    <w:p>
      <w:pPr>
        <w:jc w:val="center"/>
        <w:rPr>
          <w:rFonts w:ascii="宋体" w:hAnsi="宋体" w:cs="宋体" w:hint="eastAsia"/>
          <w:b/>
          <w:bCs/>
        </w:rPr>
      </w:pPr>
      <w:r>
        <w:rPr>
          <w:rFonts w:ascii="黑体" w:hAnsi="黑体" w:cs="黑体" w:hint="eastAsia"/>
          <w:sz w:val="32"/>
          <w:szCs w:val="32"/>
        </w:rPr>
        <w:br w:type="page"/>
      </w:r>
      <w:bookmarkStart w:id="60" w:name="_Toc3446"/>
      <w:r>
        <w:rPr>
          <w:rFonts w:ascii="宋体" w:hAnsi="宋体" w:cs="宋体" w:hint="eastAsia"/>
          <w:b/>
          <w:bCs/>
          <w:sz w:val="24"/>
          <w:szCs w:val="24"/>
        </w:rPr>
        <w:t xml:space="preserve">A.2 </w:t>
      </w:r>
      <w:bookmarkStart w:id="61" w:name="_Toc11850"/>
      <w:bookmarkStart w:id="62" w:name="_Toc4466"/>
      <w:bookmarkStart w:id="63" w:name="_Toc20606"/>
      <w:r>
        <w:rPr>
          <w:rFonts w:ascii="宋体" w:hAnsi="宋体" w:cs="宋体" w:hint="eastAsia"/>
          <w:b/>
          <w:bCs/>
          <w:sz w:val="24"/>
          <w:szCs w:val="24"/>
        </w:rPr>
        <w:t>影像资料审查反馈意见</w:t>
      </w:r>
      <w:bookmarkEnd w:id="60"/>
    </w:p>
    <w:bookmarkEnd w:id="61"/>
    <w:bookmarkEnd w:id="62"/>
    <w:bookmarkEnd w:id="63"/>
    <w:p>
      <w:pPr>
        <w:jc w:val="right"/>
        <w:rPr>
          <w:rFonts w:ascii="宋体" w:hAnsi="宋体" w:cs="宋体" w:hint="eastAsia"/>
        </w:rPr>
      </w:pPr>
      <w:bookmarkStart w:id="64" w:name="_Toc12644"/>
      <w:r>
        <w:rPr>
          <w:rFonts w:ascii="宋体" w:hAnsi="宋体" w:cs="宋体" w:hint="eastAsia"/>
        </w:rPr>
        <w:t>编号XX-001</w:t>
      </w:r>
      <w:bookmarkEnd w:id="64"/>
    </w:p>
    <w:tbl>
      <w:tblPr>
        <w:tblStyle w:val="TableNormal"/>
        <w:tblW w:w="4998" w:type="pct"/>
        <w:tblInd w:w="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Pr>
      <w:tblGrid>
        <w:gridCol w:w="1762"/>
        <w:gridCol w:w="7077"/>
      </w:tblGrid>
      <w:tr>
        <w:tblPrEx>
          <w:tblW w:w="4998" w:type="pct"/>
          <w:tblInd w:w="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PrEx>
        <w:trPr>
          <w:trHeight w:val="786"/>
        </w:trPr>
        <w:tc>
          <w:tcPr>
            <w:tcW w:w="997" w:type="pct"/>
            <w:noWrap w:val="0"/>
            <w:vAlign w:val="center"/>
          </w:tcPr>
          <w:p>
            <w:pPr>
              <w:spacing w:line="0" w:lineRule="atLeast"/>
              <w:jc w:val="center"/>
              <w:rPr>
                <w:rFonts w:ascii="宋体" w:hAnsi="宋体"/>
              </w:rPr>
            </w:pPr>
            <w:r>
              <w:rPr>
                <w:rFonts w:ascii="宋体" w:hAnsi="宋体" w:hint="eastAsia"/>
                <w:sz w:val="24"/>
              </w:rPr>
              <w:t>项目名称</w:t>
            </w:r>
          </w:p>
        </w:tc>
        <w:tc>
          <w:tcPr>
            <w:tcW w:w="4002" w:type="pct"/>
            <w:noWrap w:val="0"/>
            <w:vAlign w:val="center"/>
          </w:tcPr>
          <w:p>
            <w:pPr>
              <w:spacing w:line="0" w:lineRule="atLeast"/>
              <w:ind w:firstLine="210" w:firstLineChars="100"/>
              <w:rPr>
                <w:rFonts w:ascii="宋体" w:hAnsi="宋体"/>
              </w:rPr>
            </w:pPr>
          </w:p>
        </w:tc>
      </w:tr>
      <w:tr>
        <w:tblPrEx>
          <w:tblW w:w="4998" w:type="pct"/>
          <w:tblInd w:w="0" w:type="dxa"/>
          <w:tblCellMar>
            <w:top w:w="0" w:type="dxa"/>
            <w:left w:w="28" w:type="dxa"/>
            <w:bottom w:w="0" w:type="dxa"/>
            <w:right w:w="28" w:type="dxa"/>
          </w:tblCellMar>
        </w:tblPrEx>
        <w:trPr>
          <w:trHeight w:val="655"/>
        </w:trPr>
        <w:tc>
          <w:tcPr>
            <w:tcW w:w="997" w:type="pct"/>
            <w:noWrap w:val="0"/>
            <w:vAlign w:val="center"/>
          </w:tcPr>
          <w:p>
            <w:pPr>
              <w:spacing w:line="0" w:lineRule="atLeast"/>
              <w:jc w:val="center"/>
              <w:rPr>
                <w:rFonts w:ascii="宋体" w:hAnsi="宋体" w:hint="eastAsia"/>
              </w:rPr>
            </w:pPr>
            <w:r>
              <w:rPr>
                <w:rFonts w:ascii="宋体" w:hAnsi="宋体" w:hint="eastAsia"/>
                <w:sz w:val="24"/>
              </w:rPr>
              <w:t>站点</w:t>
            </w:r>
          </w:p>
        </w:tc>
        <w:tc>
          <w:tcPr>
            <w:tcW w:w="4002" w:type="pct"/>
            <w:noWrap w:val="0"/>
            <w:vAlign w:val="center"/>
          </w:tcPr>
          <w:p>
            <w:pPr>
              <w:spacing w:line="0" w:lineRule="atLeast"/>
              <w:ind w:firstLine="210" w:firstLineChars="100"/>
              <w:rPr>
                <w:rFonts w:ascii="宋体" w:hAnsi="宋体" w:hint="eastAsia"/>
              </w:rPr>
            </w:pPr>
          </w:p>
        </w:tc>
      </w:tr>
      <w:tr>
        <w:tblPrEx>
          <w:tblW w:w="4998" w:type="pct"/>
          <w:tblInd w:w="0" w:type="dxa"/>
          <w:tblCellMar>
            <w:top w:w="0" w:type="dxa"/>
            <w:left w:w="28" w:type="dxa"/>
            <w:bottom w:w="0" w:type="dxa"/>
            <w:right w:w="28" w:type="dxa"/>
          </w:tblCellMar>
        </w:tblPrEx>
        <w:trPr>
          <w:trHeight w:val="9803"/>
        </w:trPr>
        <w:tc>
          <w:tcPr>
            <w:tcW w:w="5000" w:type="pct"/>
            <w:gridSpan w:val="2"/>
            <w:noWrap w:val="0"/>
            <w:vAlign w:val="top"/>
          </w:tcPr>
          <w:p>
            <w:pPr>
              <w:spacing w:before="120"/>
              <w:ind w:firstLine="480" w:firstLineChars="200"/>
              <w:rPr>
                <w:rFonts w:ascii="宋体" w:hAnsi="宋体" w:cs="Arial"/>
              </w:rPr>
            </w:pPr>
            <w:r>
              <w:rPr>
                <w:rFonts w:ascii="宋体" w:hAnsi="宋体" w:cs="Arial" w:hint="eastAsia"/>
                <w:sz w:val="24"/>
              </w:rPr>
              <w:t xml:space="preserve">致： </w:t>
            </w:r>
            <w:r>
              <w:rPr>
                <w:rFonts w:ascii="宋体" w:hAnsi="宋体" w:cs="Arial"/>
                <w:sz w:val="24"/>
              </w:rPr>
              <w:t xml:space="preserve">  </w:t>
            </w:r>
            <w:r>
              <w:rPr>
                <w:rFonts w:ascii="宋体" w:hAnsi="宋体" w:cs="Arial" w:hint="eastAsia"/>
                <w:sz w:val="24"/>
                <w:u w:val="single"/>
              </w:rPr>
              <w:t xml:space="preserve">                    </w:t>
            </w:r>
          </w:p>
          <w:p>
            <w:pPr>
              <w:spacing w:before="120"/>
              <w:ind w:firstLine="480" w:firstLineChars="200"/>
              <w:rPr>
                <w:rFonts w:ascii="宋体" w:hAnsi="宋体" w:cs="Arial"/>
                <w:u w:val="single"/>
              </w:rPr>
            </w:pPr>
            <w:r>
              <w:rPr>
                <w:rFonts w:ascii="宋体" w:hAnsi="宋体" w:cs="Arial" w:hint="eastAsia"/>
                <w:sz w:val="24"/>
              </w:rPr>
              <w:t xml:space="preserve">抄送： </w:t>
            </w:r>
            <w:r>
              <w:rPr>
                <w:rFonts w:ascii="宋体" w:hAnsi="宋体" w:cs="Arial" w:hint="eastAsia"/>
                <w:sz w:val="24"/>
                <w:u w:val="single"/>
              </w:rPr>
              <w:t xml:space="preserve">                   </w:t>
            </w:r>
            <w:r>
              <w:rPr>
                <w:rFonts w:ascii="宋体" w:hAnsi="宋体" w:cs="Arial"/>
                <w:sz w:val="24"/>
                <w:u w:val="single"/>
              </w:rPr>
              <w:t xml:space="preserve"> </w:t>
            </w:r>
          </w:p>
          <w:p>
            <w:pPr>
              <w:spacing w:before="120"/>
              <w:ind w:firstLine="480" w:firstLineChars="200"/>
              <w:rPr>
                <w:rFonts w:ascii="宋体" w:hAnsi="宋体" w:cs="Arial"/>
              </w:rPr>
            </w:pPr>
            <w:r>
              <w:rPr>
                <w:rFonts w:ascii="宋体" w:hAnsi="宋体" w:cs="Arial" w:hint="eastAsia"/>
                <w:sz w:val="24"/>
              </w:rPr>
              <w:t>事由：关于XX站视频检查问题</w:t>
            </w:r>
          </w:p>
          <w:p>
            <w:pPr>
              <w:spacing w:before="120"/>
              <w:ind w:firstLine="480" w:firstLineChars="200"/>
              <w:rPr>
                <w:rFonts w:ascii="宋体" w:hAnsi="宋体" w:cs="Arial"/>
              </w:rPr>
            </w:pPr>
            <w:r>
              <w:rPr>
                <w:rFonts w:ascii="宋体" w:hAnsi="宋体" w:cs="Arial" w:hint="eastAsia"/>
                <w:sz w:val="24"/>
              </w:rPr>
              <w:t>内容：</w:t>
            </w:r>
          </w:p>
          <w:p>
            <w:pPr>
              <w:spacing w:before="120" w:line="440" w:lineRule="exact"/>
              <w:ind w:left="420" w:right="223" w:firstLine="480" w:leftChars="200" w:rightChars="106" w:firstLineChars="200"/>
              <w:rPr>
                <w:rFonts w:ascii="宋体" w:hAnsi="宋体" w:cs="Arial"/>
              </w:rPr>
            </w:pPr>
            <w:r>
              <w:rPr>
                <w:rFonts w:ascii="宋体" w:hAnsi="宋体" w:cs="Arial" w:hint="eastAsia"/>
                <w:sz w:val="24"/>
              </w:rPr>
              <w:t>根据《XXXXX》要求，工程监理对XXX</w:t>
            </w:r>
            <w:r>
              <w:rPr>
                <w:rFonts w:ascii="宋体" w:hAnsi="宋体" w:hint="eastAsia"/>
                <w:sz w:val="24"/>
              </w:rPr>
              <w:t>站</w:t>
            </w:r>
            <w:r>
              <w:rPr>
                <w:rFonts w:ascii="宋体" w:hAnsi="宋体" w:cs="Arial" w:hint="eastAsia"/>
                <w:sz w:val="24"/>
              </w:rPr>
              <w:t>开展视频检查工作，建设项目总体良好，检查中存在以下问题：</w:t>
            </w:r>
          </w:p>
          <w:p>
            <w:pPr>
              <w:spacing w:before="120" w:line="440" w:lineRule="exact"/>
              <w:ind w:left="840" w:leftChars="400"/>
              <w:rPr>
                <w:rFonts w:ascii="宋体" w:hAnsi="宋体" w:cs="Arial"/>
              </w:rPr>
            </w:pPr>
            <w:r>
              <w:rPr>
                <w:rFonts w:ascii="宋体" w:hAnsi="宋体" w:cs="Arial" w:hint="eastAsia"/>
                <w:sz w:val="24"/>
              </w:rPr>
              <w:t>1.</w:t>
            </w:r>
          </w:p>
          <w:p>
            <w:pPr>
              <w:spacing w:before="120" w:line="440" w:lineRule="exact"/>
              <w:ind w:left="840" w:leftChars="400"/>
              <w:rPr>
                <w:rFonts w:ascii="宋体" w:hAnsi="宋体" w:cs="Arial" w:hint="eastAsia"/>
              </w:rPr>
            </w:pPr>
            <w:r>
              <w:rPr>
                <w:rFonts w:ascii="宋体" w:hAnsi="宋体" w:cs="Arial" w:hint="eastAsia"/>
                <w:sz w:val="24"/>
              </w:rPr>
              <w:t>2.</w:t>
            </w:r>
          </w:p>
          <w:p>
            <w:pPr>
              <w:spacing w:before="120" w:line="440" w:lineRule="exact"/>
              <w:ind w:left="840" w:leftChars="400"/>
              <w:rPr>
                <w:rFonts w:ascii="宋体" w:hAnsi="宋体" w:cs="Arial" w:hint="eastAsia"/>
              </w:rPr>
            </w:pPr>
            <w:r>
              <w:rPr>
                <w:rFonts w:ascii="宋体" w:hAnsi="宋体" w:cs="Arial" w:hint="eastAsia"/>
                <w:sz w:val="24"/>
              </w:rPr>
              <w:t>3.</w:t>
            </w:r>
          </w:p>
          <w:p>
            <w:pPr>
              <w:spacing w:before="120" w:line="440" w:lineRule="exact"/>
              <w:ind w:left="840" w:leftChars="400"/>
              <w:rPr>
                <w:rFonts w:ascii="宋体" w:hAnsi="宋体" w:cs="Arial"/>
              </w:rPr>
            </w:pPr>
          </w:p>
          <w:p>
            <w:pPr>
              <w:spacing w:before="120" w:line="440" w:lineRule="exact"/>
              <w:ind w:left="420" w:firstLine="480" w:leftChars="200" w:firstLineChars="200"/>
              <w:rPr>
                <w:rFonts w:ascii="宋体" w:hAnsi="宋体" w:cs="Arial"/>
              </w:rPr>
            </w:pPr>
            <w:r>
              <w:rPr>
                <w:rFonts w:ascii="宋体" w:hAnsi="宋体" w:cs="Arial" w:hint="eastAsia"/>
                <w:sz w:val="24"/>
              </w:rPr>
              <w:t>以上请按要求整改或提供文字说明材料，并将整改资料于30日内报我单位备案。</w:t>
            </w:r>
          </w:p>
          <w:p>
            <w:pPr>
              <w:spacing w:before="120" w:line="440" w:lineRule="exact"/>
              <w:ind w:left="420" w:firstLine="480" w:leftChars="200" w:firstLineChars="200"/>
              <w:rPr>
                <w:rFonts w:ascii="宋体" w:hAnsi="宋体" w:cs="Arial" w:hint="eastAsia"/>
              </w:rPr>
            </w:pPr>
            <w:r>
              <w:rPr>
                <w:rFonts w:ascii="宋体" w:hAnsi="宋体" w:cs="Arial" w:hint="eastAsia"/>
                <w:sz w:val="24"/>
              </w:rPr>
              <w:t>联系人：</w:t>
            </w:r>
          </w:p>
          <w:p>
            <w:pPr>
              <w:spacing w:before="120" w:line="440" w:lineRule="exact"/>
              <w:ind w:left="420" w:firstLine="480" w:leftChars="200" w:firstLineChars="200"/>
              <w:rPr>
                <w:rFonts w:ascii="宋体" w:hAnsi="宋体" w:cs="Arial"/>
              </w:rPr>
            </w:pPr>
            <w:r>
              <w:rPr>
                <w:rFonts w:ascii="宋体" w:hAnsi="宋体" w:cs="Arial" w:hint="eastAsia"/>
                <w:sz w:val="24"/>
              </w:rPr>
              <w:t>联系电话：</w:t>
            </w:r>
          </w:p>
          <w:p>
            <w:pPr>
              <w:spacing w:before="240" w:after="120"/>
              <w:rPr>
                <w:rFonts w:ascii="宋体" w:hAnsi="宋体" w:cs="Arial"/>
              </w:rPr>
            </w:pPr>
          </w:p>
          <w:p>
            <w:pPr>
              <w:spacing w:before="240" w:after="120"/>
              <w:jc w:val="right"/>
              <w:rPr>
                <w:rFonts w:ascii="宋体" w:hAnsi="宋体" w:cs="Arial"/>
              </w:rPr>
            </w:pPr>
            <w:r>
              <w:rPr>
                <w:rFonts w:ascii="宋体" w:hAnsi="宋体" w:cs="Arial" w:hint="eastAsia"/>
                <w:sz w:val="24"/>
              </w:rPr>
              <w:t>20XX年 X</w:t>
            </w:r>
            <w:r>
              <w:rPr>
                <w:rFonts w:ascii="宋体" w:hAnsi="宋体" w:cs="Arial"/>
                <w:sz w:val="24"/>
              </w:rPr>
              <w:t xml:space="preserve"> </w:t>
            </w:r>
            <w:r>
              <w:rPr>
                <w:rFonts w:ascii="宋体" w:hAnsi="宋体" w:cs="Arial" w:hint="eastAsia"/>
                <w:sz w:val="24"/>
              </w:rPr>
              <w:t>月 XX 日</w:t>
            </w:r>
          </w:p>
        </w:tc>
      </w:tr>
    </w:tbl>
    <w:p>
      <w:pPr>
        <w:jc w:val="center"/>
        <w:rPr>
          <w:rFonts w:ascii="宋体" w:hAnsi="宋体" w:cs="宋体" w:hint="eastAsia"/>
          <w:b/>
          <w:bCs/>
        </w:rPr>
      </w:pPr>
      <w:bookmarkStart w:id="65" w:name="_Toc3049"/>
      <w:r>
        <w:rPr>
          <w:rFonts w:hint="eastAsia"/>
        </w:rPr>
        <w:br w:type="page"/>
      </w:r>
      <w:bookmarkEnd w:id="65"/>
      <w:r>
        <w:rPr>
          <w:rFonts w:ascii="宋体" w:hAnsi="宋体" w:cs="宋体" w:hint="eastAsia"/>
          <w:b/>
          <w:bCs/>
          <w:sz w:val="24"/>
          <w:szCs w:val="24"/>
        </w:rPr>
        <w:t>A.3验收材料审查意见</w:t>
      </w:r>
    </w:p>
    <w:tbl>
      <w:tblPr>
        <w:tblStyle w:val="TableNormal"/>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40"/>
        <w:gridCol w:w="7361"/>
      </w:tblGrid>
      <w:tr>
        <w:tblPrEx>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3"/>
          <w:jc w:val="center"/>
        </w:trPr>
        <w:tc>
          <w:tcPr>
            <w:tcW w:w="911" w:type="pct"/>
            <w:noWrap w:val="0"/>
            <w:vAlign w:val="center"/>
          </w:tcPr>
          <w:p>
            <w:pPr>
              <w:spacing w:line="600" w:lineRule="exact"/>
              <w:jc w:val="center"/>
              <w:rPr>
                <w:rFonts w:ascii="宋体" w:hAnsi="宋体" w:cs="宋体" w:hint="eastAsia"/>
                <w:bCs/>
                <w:color w:val="000000"/>
                <w:kern w:val="0"/>
              </w:rPr>
            </w:pPr>
            <w:r>
              <w:rPr>
                <w:rFonts w:ascii="宋体" w:hAnsi="宋体" w:cs="宋体" w:hint="eastAsia"/>
                <w:bCs/>
                <w:color w:val="000000"/>
                <w:kern w:val="0"/>
                <w:sz w:val="24"/>
                <w:szCs w:val="24"/>
              </w:rPr>
              <w:t>项目名称</w:t>
            </w:r>
          </w:p>
        </w:tc>
        <w:tc>
          <w:tcPr>
            <w:tcW w:w="4088" w:type="pct"/>
            <w:noWrap w:val="0"/>
            <w:vAlign w:val="center"/>
          </w:tcPr>
          <w:p>
            <w:pPr>
              <w:spacing w:line="600" w:lineRule="exact"/>
              <w:rPr>
                <w:rFonts w:ascii="宋体" w:hAnsi="宋体" w:cs="宋体" w:hint="eastAsia"/>
                <w:bCs/>
                <w:color w:val="000000"/>
                <w:kern w:val="0"/>
              </w:rPr>
            </w:pPr>
          </w:p>
        </w:tc>
      </w:tr>
      <w:tr>
        <w:tblPrEx>
          <w:tblW w:w="4999" w:type="pct"/>
          <w:jc w:val="center"/>
          <w:tblCellMar>
            <w:top w:w="0" w:type="dxa"/>
            <w:left w:w="108" w:type="dxa"/>
            <w:bottom w:w="0" w:type="dxa"/>
            <w:right w:w="108" w:type="dxa"/>
          </w:tblCellMar>
        </w:tblPrEx>
        <w:trPr>
          <w:trHeight w:val="23"/>
          <w:jc w:val="center"/>
        </w:trPr>
        <w:tc>
          <w:tcPr>
            <w:tcW w:w="911" w:type="pct"/>
            <w:noWrap w:val="0"/>
            <w:vAlign w:val="center"/>
          </w:tcPr>
          <w:p>
            <w:pPr>
              <w:spacing w:line="600" w:lineRule="exact"/>
              <w:jc w:val="center"/>
              <w:rPr>
                <w:rFonts w:ascii="宋体" w:hAnsi="宋体" w:cs="宋体" w:hint="eastAsia"/>
                <w:bCs/>
                <w:color w:val="000000"/>
                <w:kern w:val="0"/>
              </w:rPr>
            </w:pPr>
            <w:r>
              <w:rPr>
                <w:rFonts w:ascii="宋体" w:hAnsi="宋体" w:cs="宋体" w:hint="eastAsia"/>
                <w:bCs/>
                <w:color w:val="000000"/>
                <w:kern w:val="0"/>
                <w:sz w:val="24"/>
                <w:szCs w:val="24"/>
              </w:rPr>
              <w:t>建设单位</w:t>
            </w:r>
          </w:p>
        </w:tc>
        <w:tc>
          <w:tcPr>
            <w:tcW w:w="4088" w:type="pct"/>
            <w:noWrap w:val="0"/>
            <w:vAlign w:val="center"/>
          </w:tcPr>
          <w:p>
            <w:pPr>
              <w:spacing w:line="600" w:lineRule="exact"/>
              <w:rPr>
                <w:rFonts w:ascii="宋体" w:hAnsi="宋体" w:cs="宋体" w:hint="eastAsia"/>
                <w:bCs/>
                <w:color w:val="000000"/>
                <w:kern w:val="0"/>
              </w:rPr>
            </w:pPr>
          </w:p>
        </w:tc>
      </w:tr>
      <w:tr>
        <w:tblPrEx>
          <w:tblW w:w="4999" w:type="pct"/>
          <w:jc w:val="center"/>
          <w:tblCellMar>
            <w:top w:w="0" w:type="dxa"/>
            <w:left w:w="108" w:type="dxa"/>
            <w:bottom w:w="0" w:type="dxa"/>
            <w:right w:w="108" w:type="dxa"/>
          </w:tblCellMar>
        </w:tblPrEx>
        <w:trPr>
          <w:trHeight w:val="23"/>
          <w:jc w:val="center"/>
        </w:trPr>
        <w:tc>
          <w:tcPr>
            <w:tcW w:w="911" w:type="pct"/>
            <w:noWrap w:val="0"/>
            <w:vAlign w:val="center"/>
          </w:tcPr>
          <w:p>
            <w:pPr>
              <w:spacing w:line="600" w:lineRule="exact"/>
              <w:jc w:val="center"/>
              <w:rPr>
                <w:rFonts w:ascii="宋体" w:hAnsi="宋体" w:cs="宋体" w:hint="eastAsia"/>
                <w:bCs/>
                <w:color w:val="000000"/>
                <w:kern w:val="0"/>
              </w:rPr>
            </w:pPr>
            <w:r>
              <w:rPr>
                <w:rFonts w:ascii="宋体" w:hAnsi="宋体" w:cs="宋体" w:hint="eastAsia"/>
                <w:bCs/>
                <w:color w:val="000000"/>
                <w:kern w:val="0"/>
                <w:sz w:val="24"/>
                <w:szCs w:val="24"/>
              </w:rPr>
              <w:t>审查单位</w:t>
            </w:r>
          </w:p>
        </w:tc>
        <w:tc>
          <w:tcPr>
            <w:tcW w:w="4088" w:type="pct"/>
            <w:noWrap w:val="0"/>
            <w:vAlign w:val="center"/>
          </w:tcPr>
          <w:p>
            <w:pPr>
              <w:spacing w:line="600" w:lineRule="exact"/>
              <w:rPr>
                <w:rFonts w:ascii="宋体" w:hAnsi="宋体" w:cs="宋体" w:hint="eastAsia"/>
                <w:bCs/>
                <w:color w:val="000000"/>
                <w:kern w:val="0"/>
              </w:rPr>
            </w:pPr>
          </w:p>
        </w:tc>
      </w:tr>
      <w:tr>
        <w:tblPrEx>
          <w:tblW w:w="4999" w:type="pct"/>
          <w:jc w:val="center"/>
          <w:tblCellMar>
            <w:top w:w="0" w:type="dxa"/>
            <w:left w:w="108" w:type="dxa"/>
            <w:bottom w:w="0" w:type="dxa"/>
            <w:right w:w="108" w:type="dxa"/>
          </w:tblCellMar>
        </w:tblPrEx>
        <w:trPr>
          <w:trHeight w:val="9432"/>
          <w:jc w:val="center"/>
        </w:trPr>
        <w:tc>
          <w:tcPr>
            <w:tcW w:w="5000" w:type="pct"/>
            <w:gridSpan w:val="2"/>
            <w:noWrap w:val="0"/>
            <w:vAlign w:val="top"/>
          </w:tcPr>
          <w:p>
            <w:pPr>
              <w:rPr>
                <w:rFonts w:ascii="宋体" w:hAnsi="宋体" w:cs="宋体" w:hint="eastAsia"/>
              </w:rPr>
            </w:pPr>
            <w:r>
              <w:rPr>
                <w:rFonts w:ascii="宋体" w:hAnsi="宋体" w:cs="宋体" w:hint="eastAsia"/>
                <w:sz w:val="24"/>
                <w:szCs w:val="24"/>
              </w:rPr>
              <w:t>XXXXXXXX：</w:t>
            </w:r>
          </w:p>
          <w:p>
            <w:pPr>
              <w:ind w:firstLine="480" w:firstLineChars="200"/>
              <w:rPr>
                <w:rFonts w:ascii="宋体" w:hAnsi="宋体" w:cs="宋体" w:hint="eastAsia"/>
              </w:rPr>
            </w:pPr>
            <w:bookmarkStart w:id="66" w:name="_Toc17160"/>
            <w:r>
              <w:rPr>
                <w:rFonts w:ascii="宋体" w:hAnsi="宋体" w:cs="宋体" w:hint="eastAsia"/>
                <w:sz w:val="24"/>
                <w:szCs w:val="24"/>
              </w:rPr>
              <w:t>依据XXXXX，我公司组织相关人员对你中心提交的验收材料进行规范性审查，有关意见如下：</w:t>
            </w:r>
            <w:bookmarkEnd w:id="66"/>
          </w:p>
          <w:p>
            <w:pPr>
              <w:ind w:firstLine="480" w:firstLineChars="200"/>
              <w:rPr>
                <w:rFonts w:ascii="宋体" w:hAnsi="宋体" w:cs="宋体" w:hint="eastAsia"/>
              </w:rPr>
            </w:pPr>
            <w:bookmarkStart w:id="67" w:name="_Toc1231"/>
            <w:r>
              <w:rPr>
                <w:rFonts w:ascii="宋体" w:hAnsi="宋体" w:cs="宋体" w:hint="eastAsia"/>
                <w:sz w:val="24"/>
                <w:szCs w:val="24"/>
              </w:rPr>
              <w:t>1.</w:t>
            </w:r>
            <w:bookmarkEnd w:id="67"/>
          </w:p>
          <w:p>
            <w:pPr>
              <w:ind w:firstLine="480" w:firstLineChars="200"/>
              <w:rPr>
                <w:rFonts w:ascii="宋体" w:hAnsi="宋体" w:cs="宋体" w:hint="eastAsia"/>
              </w:rPr>
            </w:pPr>
            <w:bookmarkStart w:id="68" w:name="_Toc9346"/>
            <w:r>
              <w:rPr>
                <w:rFonts w:ascii="宋体" w:hAnsi="宋体" w:cs="宋体" w:hint="eastAsia"/>
                <w:sz w:val="24"/>
                <w:szCs w:val="24"/>
              </w:rPr>
              <w:t>2.</w:t>
            </w:r>
            <w:bookmarkEnd w:id="68"/>
          </w:p>
          <w:p>
            <w:pPr>
              <w:ind w:firstLine="480" w:firstLineChars="200"/>
              <w:rPr>
                <w:rFonts w:ascii="宋体" w:hAnsi="宋体" w:cs="宋体" w:hint="eastAsia"/>
              </w:rPr>
            </w:pPr>
            <w:bookmarkStart w:id="69" w:name="_Toc2558"/>
            <w:r>
              <w:rPr>
                <w:rFonts w:ascii="宋体" w:hAnsi="宋体" w:cs="宋体" w:hint="eastAsia"/>
                <w:sz w:val="24"/>
                <w:szCs w:val="24"/>
              </w:rPr>
              <w:t>3.</w:t>
            </w:r>
            <w:bookmarkEnd w:id="69"/>
          </w:p>
          <w:p>
            <w:pPr>
              <w:ind w:firstLine="480" w:firstLineChars="200"/>
              <w:rPr>
                <w:rFonts w:ascii="宋体" w:hAnsi="宋体" w:cs="宋体" w:hint="eastAsia"/>
              </w:rPr>
            </w:pPr>
            <w:bookmarkStart w:id="70" w:name="_Toc28860"/>
            <w:r>
              <w:rPr>
                <w:rFonts w:ascii="宋体" w:hAnsi="宋体" w:cs="宋体" w:hint="eastAsia"/>
                <w:sz w:val="24"/>
                <w:szCs w:val="24"/>
              </w:rPr>
              <w:t>4.</w:t>
            </w:r>
            <w:bookmarkEnd w:id="70"/>
          </w:p>
          <w:p>
            <w:pPr>
              <w:rPr>
                <w:rFonts w:ascii="宋体" w:hAnsi="宋体" w:cs="宋体" w:hint="eastAsia"/>
              </w:rPr>
            </w:pPr>
          </w:p>
          <w:p>
            <w:pPr>
              <w:rPr>
                <w:rFonts w:ascii="宋体" w:hAnsi="宋体" w:cs="宋体" w:hint="eastAsia"/>
              </w:rPr>
            </w:pPr>
          </w:p>
          <w:p>
            <w:pPr>
              <w:rPr>
                <w:rFonts w:ascii="宋体" w:hAnsi="宋体" w:cs="宋体" w:hint="eastAsia"/>
              </w:rPr>
            </w:pPr>
          </w:p>
          <w:p>
            <w:pPr>
              <w:rPr>
                <w:rFonts w:ascii="宋体" w:hAnsi="宋体" w:cs="宋体" w:hint="eastAsia"/>
              </w:rPr>
            </w:pPr>
            <w:r>
              <w:rPr>
                <w:rFonts w:ascii="宋体" w:hAnsi="宋体" w:cs="宋体" w:hint="eastAsia"/>
                <w:sz w:val="24"/>
                <w:szCs w:val="24"/>
              </w:rPr>
              <w:t xml:space="preserve">    </w:t>
            </w:r>
          </w:p>
          <w:p>
            <w:pPr>
              <w:ind w:firstLine="480" w:firstLineChars="200"/>
              <w:rPr>
                <w:rFonts w:ascii="宋体" w:hAnsi="宋体" w:cs="宋体" w:hint="eastAsia"/>
              </w:rPr>
            </w:pPr>
            <w:r>
              <w:rPr>
                <w:rFonts w:ascii="宋体" w:hAnsi="宋体" w:cs="宋体" w:hint="eastAsia"/>
                <w:sz w:val="24"/>
                <w:szCs w:val="24"/>
              </w:rPr>
              <w:t>联系人：</w:t>
            </w:r>
          </w:p>
          <w:p>
            <w:pPr>
              <w:ind w:firstLine="480" w:firstLineChars="200"/>
              <w:rPr>
                <w:rFonts w:ascii="宋体" w:hAnsi="宋体" w:cs="宋体" w:hint="eastAsia"/>
              </w:rPr>
            </w:pPr>
            <w:r>
              <w:rPr>
                <w:rFonts w:ascii="宋体" w:hAnsi="宋体" w:cs="宋体" w:hint="eastAsia"/>
                <w:sz w:val="24"/>
                <w:szCs w:val="24"/>
              </w:rPr>
              <w:t>联系电话：</w:t>
            </w:r>
          </w:p>
          <w:p>
            <w:pPr>
              <w:rPr>
                <w:rFonts w:ascii="宋体" w:hAnsi="宋体" w:cs="宋体" w:hint="eastAsia"/>
              </w:rPr>
            </w:pPr>
          </w:p>
          <w:p>
            <w:pPr>
              <w:rPr>
                <w:rFonts w:ascii="宋体" w:hAnsi="宋体" w:cs="宋体" w:hint="eastAsia"/>
              </w:rPr>
            </w:pPr>
          </w:p>
          <w:p>
            <w:pPr>
              <w:jc w:val="right"/>
              <w:rPr>
                <w:rFonts w:ascii="宋体" w:hAnsi="宋体" w:cs="宋体" w:hint="eastAsia"/>
              </w:rPr>
            </w:pPr>
            <w:bookmarkStart w:id="71" w:name="_Toc2075"/>
            <w:r>
              <w:rPr>
                <w:rFonts w:ascii="宋体" w:hAnsi="宋体" w:cs="宋体" w:hint="eastAsia"/>
                <w:sz w:val="24"/>
                <w:szCs w:val="24"/>
              </w:rPr>
              <w:t>20XX年 X 月 XX 日</w:t>
            </w:r>
            <w:bookmarkEnd w:id="71"/>
          </w:p>
          <w:p>
            <w:pPr>
              <w:rPr>
                <w:rFonts w:ascii="宋体" w:hAnsi="宋体" w:cs="宋体" w:hint="eastAsia"/>
              </w:rPr>
            </w:pPr>
          </w:p>
        </w:tc>
      </w:tr>
    </w:tbl>
    <w:p>
      <w:pPr>
        <w:jc w:val="center"/>
        <w:rPr>
          <w:rFonts w:ascii="宋体" w:hAnsi="宋体" w:cs="宋体" w:hint="eastAsia"/>
          <w:b/>
          <w:bCs/>
        </w:rPr>
      </w:pPr>
      <w:r>
        <w:rPr>
          <w:rFonts w:hint="eastAsia"/>
        </w:rPr>
        <w:br w:type="page"/>
      </w:r>
      <w:r>
        <w:rPr>
          <w:rFonts w:ascii="宋体" w:hAnsi="宋体" w:cs="宋体" w:hint="eastAsia"/>
          <w:b/>
          <w:bCs/>
          <w:sz w:val="24"/>
          <w:szCs w:val="24"/>
        </w:rPr>
        <w:t>A.4材料归档目录清单</w:t>
      </w:r>
    </w:p>
    <w:tbl>
      <w:tblPr>
        <w:tblStyle w:val="TableNormal"/>
        <w:tblW w:w="5000" w:type="pct"/>
        <w:tblInd w:w="0" w:type="dxa"/>
        <w:tblCellMar>
          <w:top w:w="0" w:type="dxa"/>
          <w:left w:w="108" w:type="dxa"/>
          <w:bottom w:w="0" w:type="dxa"/>
          <w:right w:w="108" w:type="dxa"/>
        </w:tblCellMar>
      </w:tblPr>
      <w:tblGrid>
        <w:gridCol w:w="837"/>
        <w:gridCol w:w="2692"/>
        <w:gridCol w:w="1361"/>
        <w:gridCol w:w="1084"/>
        <w:gridCol w:w="1676"/>
        <w:gridCol w:w="1353"/>
      </w:tblGrid>
      <w:tr>
        <w:tblPrEx>
          <w:tblW w:w="5000" w:type="pct"/>
          <w:tblInd w:w="0" w:type="dxa"/>
          <w:tblCellMar>
            <w:top w:w="0" w:type="dxa"/>
            <w:left w:w="108" w:type="dxa"/>
            <w:bottom w:w="0" w:type="dxa"/>
            <w:right w:w="108" w:type="dxa"/>
          </w:tblCellMar>
        </w:tblPrEx>
        <w:trPr>
          <w:trHeight w:val="450"/>
        </w:trPr>
        <w:tc>
          <w:tcPr>
            <w:tcW w:w="5000" w:type="pct"/>
            <w:gridSpan w:val="6"/>
            <w:tcBorders>
              <w:top w:val="nil"/>
              <w:left w:val="nil"/>
              <w:bottom w:val="single" w:sz="4" w:space="0" w:color="auto"/>
              <w:right w:val="nil"/>
            </w:tcBorders>
            <w:shd w:val="clear" w:color="auto" w:fill="FFFFFF"/>
            <w:noWrap/>
            <w:vAlign w:val="center"/>
          </w:tcPr>
          <w:p>
            <w:pPr>
              <w:widowControl/>
              <w:jc w:val="center"/>
              <w:textAlignment w:val="center"/>
              <w:rPr>
                <w:rFonts w:ascii="宋体" w:hAnsi="宋体" w:cs="宋体" w:hint="eastAsia"/>
                <w:color w:val="000000"/>
              </w:rPr>
            </w:pPr>
            <w:r>
              <w:rPr>
                <w:rFonts w:ascii="宋体" w:hAnsi="宋体" w:cs="宋体" w:hint="eastAsia"/>
                <w:b/>
                <w:bCs/>
                <w:color w:val="000000"/>
                <w:kern w:val="0"/>
                <w:sz w:val="28"/>
                <w:szCs w:val="28"/>
                <w:lang w:bidi="ar"/>
              </w:rPr>
              <w:t>XXX建设项目材料归档清单</w:t>
            </w:r>
          </w:p>
        </w:tc>
      </w:tr>
      <w:tr>
        <w:tblPrEx>
          <w:tblW w:w="5000" w:type="pct"/>
          <w:tblInd w:w="0" w:type="dxa"/>
          <w:tblCellMar>
            <w:top w:w="0" w:type="dxa"/>
            <w:left w:w="108" w:type="dxa"/>
            <w:bottom w:w="0" w:type="dxa"/>
            <w:right w:w="108" w:type="dxa"/>
          </w:tblCellMar>
        </w:tblPrEx>
        <w:trPr>
          <w:trHeight w:val="595"/>
        </w:trPr>
        <w:tc>
          <w:tcPr>
            <w:tcW w:w="465"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b/>
                <w:bCs/>
                <w:color w:val="000000"/>
              </w:rPr>
            </w:pPr>
            <w:r>
              <w:rPr>
                <w:rFonts w:ascii="宋体" w:hAnsi="宋体" w:cs="宋体" w:hint="eastAsia"/>
                <w:b/>
                <w:bCs/>
                <w:color w:val="000000"/>
                <w:kern w:val="0"/>
                <w:sz w:val="24"/>
                <w:szCs w:val="24"/>
                <w:lang w:bidi="ar"/>
              </w:rPr>
              <w:t>序号</w:t>
            </w:r>
          </w:p>
        </w:tc>
        <w:tc>
          <w:tcPr>
            <w:tcW w:w="1495"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b/>
                <w:bCs/>
                <w:color w:val="000000"/>
              </w:rPr>
            </w:pPr>
            <w:r>
              <w:rPr>
                <w:rFonts w:ascii="宋体" w:hAnsi="宋体" w:cs="宋体" w:hint="eastAsia"/>
                <w:b/>
                <w:bCs/>
                <w:color w:val="000000"/>
                <w:kern w:val="0"/>
                <w:sz w:val="24"/>
                <w:szCs w:val="24"/>
                <w:lang w:bidi="ar"/>
              </w:rPr>
              <w:t>文件内容</w:t>
            </w:r>
          </w:p>
        </w:tc>
        <w:tc>
          <w:tcPr>
            <w:tcW w:w="756"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b/>
                <w:bCs/>
                <w:color w:val="000000"/>
              </w:rPr>
            </w:pPr>
            <w:r>
              <w:rPr>
                <w:rFonts w:ascii="宋体" w:hAnsi="宋体" w:cs="宋体" w:hint="eastAsia"/>
                <w:b/>
                <w:bCs/>
                <w:color w:val="000000"/>
                <w:kern w:val="0"/>
                <w:sz w:val="24"/>
                <w:szCs w:val="24"/>
                <w:lang w:bidi="ar"/>
              </w:rPr>
              <w:t>数量</w:t>
            </w:r>
          </w:p>
        </w:tc>
        <w:tc>
          <w:tcPr>
            <w:tcW w:w="602"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b/>
                <w:bCs/>
                <w:color w:val="000000"/>
              </w:rPr>
            </w:pPr>
            <w:r>
              <w:rPr>
                <w:rFonts w:ascii="宋体" w:hAnsi="宋体" w:cs="宋体" w:hint="eastAsia"/>
                <w:b/>
                <w:bCs/>
                <w:color w:val="000000"/>
                <w:kern w:val="0"/>
                <w:sz w:val="24"/>
                <w:szCs w:val="24"/>
                <w:lang w:bidi="ar"/>
              </w:rPr>
              <w:t>单位</w:t>
            </w:r>
          </w:p>
        </w:tc>
        <w:tc>
          <w:tcPr>
            <w:tcW w:w="931"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b/>
                <w:bCs/>
                <w:color w:val="000000"/>
              </w:rPr>
            </w:pPr>
            <w:r>
              <w:rPr>
                <w:rFonts w:ascii="宋体" w:hAnsi="宋体" w:cs="宋体" w:hint="eastAsia"/>
                <w:b/>
                <w:bCs/>
                <w:color w:val="000000"/>
                <w:kern w:val="0"/>
                <w:sz w:val="24"/>
                <w:szCs w:val="24"/>
                <w:lang w:bidi="ar"/>
              </w:rPr>
              <w:t>档案盒编号</w:t>
            </w:r>
          </w:p>
        </w:tc>
        <w:tc>
          <w:tcPr>
            <w:tcW w:w="749" w:type="pct"/>
            <w:tcBorders>
              <w:top w:val="single" w:sz="4" w:space="0" w:color="auto"/>
              <w:left w:val="single" w:sz="4" w:space="0" w:color="auto"/>
              <w:bottom w:val="single" w:sz="4" w:space="0" w:color="auto"/>
              <w:right w:val="single" w:sz="4" w:space="0" w:color="auto"/>
            </w:tcBorders>
            <w:shd w:val="clear" w:color="auto" w:fill="FFFFFF"/>
            <w:noWrap w:val="0"/>
            <w:vAlign w:val="center"/>
          </w:tcPr>
          <w:p>
            <w:pPr>
              <w:widowControl/>
              <w:jc w:val="center"/>
              <w:textAlignment w:val="center"/>
              <w:rPr>
                <w:rFonts w:ascii="宋体" w:hAnsi="宋体" w:cs="宋体" w:hint="eastAsia"/>
                <w:b/>
                <w:bCs/>
                <w:color w:val="000000"/>
              </w:rPr>
            </w:pPr>
            <w:r>
              <w:rPr>
                <w:rFonts w:ascii="宋体" w:hAnsi="宋体" w:cs="宋体" w:hint="eastAsia"/>
                <w:b/>
                <w:bCs/>
                <w:color w:val="000000"/>
                <w:kern w:val="0"/>
                <w:sz w:val="24"/>
                <w:szCs w:val="24"/>
                <w:lang w:bidi="ar"/>
              </w:rPr>
              <w:t>备注</w:t>
            </w:r>
          </w:p>
        </w:tc>
      </w:tr>
      <w:tr>
        <w:tblPrEx>
          <w:tblW w:w="5000" w:type="pct"/>
          <w:tblInd w:w="0" w:type="dxa"/>
          <w:tblCellMar>
            <w:top w:w="0" w:type="dxa"/>
            <w:left w:w="108" w:type="dxa"/>
            <w:bottom w:w="0" w:type="dxa"/>
            <w:right w:w="108" w:type="dxa"/>
          </w:tblCellMar>
        </w:tblPrEx>
        <w:trPr>
          <w:trHeight w:val="567"/>
        </w:trPr>
        <w:tc>
          <w:tcPr>
            <w:tcW w:w="465"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1</w:t>
            </w:r>
          </w:p>
        </w:tc>
        <w:tc>
          <w:tcPr>
            <w:tcW w:w="1495"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立项文件</w:t>
            </w:r>
          </w:p>
        </w:tc>
        <w:tc>
          <w:tcPr>
            <w:tcW w:w="756" w:type="pct"/>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宋体" w:hAnsi="宋体" w:cs="宋体" w:hint="eastAsia"/>
                <w:color w:val="000000"/>
              </w:rPr>
            </w:pPr>
          </w:p>
        </w:tc>
        <w:tc>
          <w:tcPr>
            <w:tcW w:w="602" w:type="pct"/>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宋体" w:hAnsi="宋体" w:cs="宋体" w:hint="eastAsia"/>
                <w:color w:val="000000"/>
              </w:rPr>
            </w:pPr>
          </w:p>
        </w:tc>
        <w:tc>
          <w:tcPr>
            <w:tcW w:w="931" w:type="pct"/>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宋体" w:hAnsi="宋体" w:cs="宋体" w:hint="eastAsia"/>
                <w:color w:val="000000"/>
              </w:rPr>
            </w:pPr>
          </w:p>
        </w:tc>
        <w:tc>
          <w:tcPr>
            <w:tcW w:w="749" w:type="pct"/>
            <w:tcBorders>
              <w:top w:val="single" w:sz="4" w:space="0" w:color="auto"/>
              <w:left w:val="single" w:sz="4" w:space="0" w:color="auto"/>
              <w:bottom w:val="single" w:sz="4" w:space="0" w:color="auto"/>
              <w:right w:val="single" w:sz="4" w:space="0" w:color="auto"/>
            </w:tcBorders>
            <w:shd w:val="clear" w:color="auto" w:fill="FFFFFF"/>
            <w:noWrap w:val="0"/>
            <w:vAlign w:val="center"/>
          </w:tcPr>
          <w:p>
            <w:pPr>
              <w:jc w:val="center"/>
              <w:rPr>
                <w:rFonts w:ascii="宋体" w:hAnsi="宋体" w:cs="宋体" w:hint="eastAsia"/>
                <w:color w:val="000000"/>
              </w:rPr>
            </w:pPr>
          </w:p>
        </w:tc>
      </w:tr>
      <w:tr>
        <w:tblPrEx>
          <w:tblW w:w="5000" w:type="pct"/>
          <w:tblInd w:w="0" w:type="dxa"/>
          <w:tblCellMar>
            <w:top w:w="0" w:type="dxa"/>
            <w:left w:w="108" w:type="dxa"/>
            <w:bottom w:w="0" w:type="dxa"/>
            <w:right w:w="108" w:type="dxa"/>
          </w:tblCellMar>
        </w:tblPrEx>
        <w:trPr>
          <w:trHeight w:val="567"/>
        </w:trPr>
        <w:tc>
          <w:tcPr>
            <w:tcW w:w="465"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2</w:t>
            </w:r>
          </w:p>
        </w:tc>
        <w:tc>
          <w:tcPr>
            <w:tcW w:w="1495"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招标采购、合同文件</w:t>
            </w:r>
          </w:p>
        </w:tc>
        <w:tc>
          <w:tcPr>
            <w:tcW w:w="756" w:type="pct"/>
            <w:tcBorders>
              <w:top w:val="single" w:sz="4" w:space="0" w:color="auto"/>
              <w:left w:val="single" w:sz="4" w:space="0" w:color="auto"/>
              <w:bottom w:val="single" w:sz="4" w:space="0" w:color="auto"/>
              <w:right w:val="single" w:sz="4" w:space="0" w:color="auto"/>
            </w:tcBorders>
            <w:shd w:val="clear" w:color="auto" w:fill="FFFFFF"/>
            <w:noWrap w:val="0"/>
            <w:vAlign w:val="center"/>
          </w:tcPr>
          <w:p>
            <w:pPr>
              <w:jc w:val="center"/>
              <w:rPr>
                <w:rFonts w:ascii="宋体" w:hAnsi="宋体" w:cs="宋体" w:hint="eastAsia"/>
                <w:color w:val="000000"/>
              </w:rPr>
            </w:pPr>
          </w:p>
        </w:tc>
        <w:tc>
          <w:tcPr>
            <w:tcW w:w="602" w:type="pct"/>
            <w:tcBorders>
              <w:top w:val="single" w:sz="4" w:space="0" w:color="auto"/>
              <w:left w:val="single" w:sz="4" w:space="0" w:color="auto"/>
              <w:bottom w:val="single" w:sz="4" w:space="0" w:color="auto"/>
              <w:right w:val="single" w:sz="4" w:space="0" w:color="auto"/>
            </w:tcBorders>
            <w:shd w:val="clear" w:color="auto" w:fill="FFFFFF"/>
            <w:noWrap w:val="0"/>
            <w:vAlign w:val="center"/>
          </w:tcPr>
          <w:p>
            <w:pPr>
              <w:jc w:val="center"/>
              <w:rPr>
                <w:rFonts w:ascii="宋体" w:hAnsi="宋体" w:cs="宋体" w:hint="eastAsia"/>
                <w:color w:val="000000"/>
              </w:rPr>
            </w:pPr>
          </w:p>
        </w:tc>
        <w:tc>
          <w:tcPr>
            <w:tcW w:w="931" w:type="pct"/>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宋体" w:hAnsi="宋体" w:cs="宋体" w:hint="eastAsia"/>
                <w:color w:val="000000"/>
              </w:rPr>
            </w:pPr>
          </w:p>
        </w:tc>
        <w:tc>
          <w:tcPr>
            <w:tcW w:w="749" w:type="pct"/>
            <w:tcBorders>
              <w:top w:val="single" w:sz="4" w:space="0" w:color="auto"/>
              <w:left w:val="single" w:sz="4" w:space="0" w:color="auto"/>
              <w:bottom w:val="single" w:sz="4" w:space="0" w:color="auto"/>
              <w:right w:val="single" w:sz="4" w:space="0" w:color="auto"/>
            </w:tcBorders>
            <w:shd w:val="clear" w:color="auto" w:fill="FFFFFF"/>
            <w:noWrap w:val="0"/>
            <w:vAlign w:val="center"/>
          </w:tcPr>
          <w:p>
            <w:pPr>
              <w:jc w:val="left"/>
              <w:rPr>
                <w:rFonts w:ascii="宋体" w:hAnsi="宋体" w:cs="宋体" w:hint="eastAsia"/>
                <w:color w:val="000000"/>
              </w:rPr>
            </w:pPr>
          </w:p>
        </w:tc>
      </w:tr>
      <w:tr>
        <w:tblPrEx>
          <w:tblW w:w="5000" w:type="pct"/>
          <w:tblInd w:w="0" w:type="dxa"/>
          <w:tblCellMar>
            <w:top w:w="0" w:type="dxa"/>
            <w:left w:w="108" w:type="dxa"/>
            <w:bottom w:w="0" w:type="dxa"/>
            <w:right w:w="108" w:type="dxa"/>
          </w:tblCellMar>
        </w:tblPrEx>
        <w:trPr>
          <w:trHeight w:val="567"/>
        </w:trPr>
        <w:tc>
          <w:tcPr>
            <w:tcW w:w="465"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3</w:t>
            </w:r>
          </w:p>
        </w:tc>
        <w:tc>
          <w:tcPr>
            <w:tcW w:w="1495"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项目实施管理</w:t>
            </w:r>
          </w:p>
        </w:tc>
        <w:tc>
          <w:tcPr>
            <w:tcW w:w="756" w:type="pct"/>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宋体" w:hAnsi="宋体" w:cs="宋体" w:hint="eastAsia"/>
                <w:color w:val="000000"/>
              </w:rPr>
            </w:pPr>
          </w:p>
        </w:tc>
        <w:tc>
          <w:tcPr>
            <w:tcW w:w="602" w:type="pct"/>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宋体" w:hAnsi="宋体" w:cs="宋体" w:hint="eastAsia"/>
                <w:color w:val="000000"/>
              </w:rPr>
            </w:pPr>
          </w:p>
        </w:tc>
        <w:tc>
          <w:tcPr>
            <w:tcW w:w="931" w:type="pct"/>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宋体" w:hAnsi="宋体" w:cs="宋体" w:hint="eastAsia"/>
                <w:color w:val="000000"/>
              </w:rPr>
            </w:pPr>
          </w:p>
        </w:tc>
        <w:tc>
          <w:tcPr>
            <w:tcW w:w="749" w:type="pct"/>
            <w:tcBorders>
              <w:top w:val="single" w:sz="4" w:space="0" w:color="auto"/>
              <w:left w:val="single" w:sz="4" w:space="0" w:color="auto"/>
              <w:bottom w:val="single" w:sz="4" w:space="0" w:color="auto"/>
              <w:right w:val="single" w:sz="4" w:space="0" w:color="auto"/>
            </w:tcBorders>
            <w:shd w:val="clear" w:color="auto" w:fill="FFFFFF"/>
            <w:noWrap w:val="0"/>
            <w:vAlign w:val="center"/>
          </w:tcPr>
          <w:p>
            <w:pPr>
              <w:jc w:val="left"/>
              <w:rPr>
                <w:rFonts w:ascii="宋体" w:hAnsi="宋体" w:cs="宋体" w:hint="eastAsia"/>
                <w:color w:val="000000"/>
              </w:rPr>
            </w:pPr>
          </w:p>
        </w:tc>
      </w:tr>
      <w:tr>
        <w:tblPrEx>
          <w:tblW w:w="5000" w:type="pct"/>
          <w:tblInd w:w="0" w:type="dxa"/>
          <w:tblCellMar>
            <w:top w:w="0" w:type="dxa"/>
            <w:left w:w="108" w:type="dxa"/>
            <w:bottom w:w="0" w:type="dxa"/>
            <w:right w:w="108" w:type="dxa"/>
          </w:tblCellMar>
        </w:tblPrEx>
        <w:trPr>
          <w:trHeight w:val="567"/>
        </w:trPr>
        <w:tc>
          <w:tcPr>
            <w:tcW w:w="465"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4</w:t>
            </w:r>
          </w:p>
        </w:tc>
        <w:tc>
          <w:tcPr>
            <w:tcW w:w="1495"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业务验收</w:t>
            </w:r>
          </w:p>
        </w:tc>
        <w:tc>
          <w:tcPr>
            <w:tcW w:w="756" w:type="pct"/>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宋体" w:hAnsi="宋体" w:cs="宋体" w:hint="eastAsia"/>
                <w:color w:val="000000"/>
              </w:rPr>
            </w:pPr>
          </w:p>
        </w:tc>
        <w:tc>
          <w:tcPr>
            <w:tcW w:w="602" w:type="pct"/>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宋体" w:hAnsi="宋体" w:cs="宋体" w:hint="eastAsia"/>
                <w:color w:val="000000"/>
              </w:rPr>
            </w:pPr>
          </w:p>
        </w:tc>
        <w:tc>
          <w:tcPr>
            <w:tcW w:w="931" w:type="pct"/>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宋体" w:hAnsi="宋体" w:cs="宋体" w:hint="eastAsia"/>
                <w:color w:val="000000"/>
              </w:rPr>
            </w:pPr>
          </w:p>
        </w:tc>
        <w:tc>
          <w:tcPr>
            <w:tcW w:w="749" w:type="pct"/>
            <w:tcBorders>
              <w:top w:val="single" w:sz="4" w:space="0" w:color="auto"/>
              <w:left w:val="single" w:sz="4" w:space="0" w:color="auto"/>
              <w:bottom w:val="single" w:sz="4" w:space="0" w:color="auto"/>
              <w:right w:val="single" w:sz="4" w:space="0" w:color="auto"/>
            </w:tcBorders>
            <w:shd w:val="clear" w:color="auto" w:fill="FFFFFF"/>
            <w:noWrap w:val="0"/>
            <w:vAlign w:val="center"/>
          </w:tcPr>
          <w:p>
            <w:pPr>
              <w:rPr>
                <w:rFonts w:ascii="宋体" w:hAnsi="宋体" w:cs="宋体" w:hint="eastAsia"/>
                <w:color w:val="000000"/>
              </w:rPr>
            </w:pPr>
          </w:p>
        </w:tc>
      </w:tr>
      <w:tr>
        <w:tblPrEx>
          <w:tblW w:w="5000" w:type="pct"/>
          <w:tblInd w:w="0" w:type="dxa"/>
          <w:tblCellMar>
            <w:top w:w="0" w:type="dxa"/>
            <w:left w:w="108" w:type="dxa"/>
            <w:bottom w:w="0" w:type="dxa"/>
            <w:right w:w="108" w:type="dxa"/>
          </w:tblCellMar>
        </w:tblPrEx>
        <w:trPr>
          <w:trHeight w:val="567"/>
        </w:trPr>
        <w:tc>
          <w:tcPr>
            <w:tcW w:w="465"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5</w:t>
            </w:r>
          </w:p>
        </w:tc>
        <w:tc>
          <w:tcPr>
            <w:tcW w:w="1495"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竣工验收</w:t>
            </w:r>
          </w:p>
        </w:tc>
        <w:tc>
          <w:tcPr>
            <w:tcW w:w="756" w:type="pct"/>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宋体" w:hAnsi="宋体" w:cs="宋体" w:hint="eastAsia"/>
                <w:color w:val="000000"/>
              </w:rPr>
            </w:pPr>
          </w:p>
        </w:tc>
        <w:tc>
          <w:tcPr>
            <w:tcW w:w="602" w:type="pct"/>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宋体" w:hAnsi="宋体" w:cs="宋体" w:hint="eastAsia"/>
                <w:color w:val="000000"/>
              </w:rPr>
            </w:pPr>
          </w:p>
        </w:tc>
        <w:tc>
          <w:tcPr>
            <w:tcW w:w="931" w:type="pct"/>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宋体" w:hAnsi="宋体" w:cs="宋体" w:hint="eastAsia"/>
                <w:color w:val="000000"/>
              </w:rPr>
            </w:pPr>
          </w:p>
        </w:tc>
        <w:tc>
          <w:tcPr>
            <w:tcW w:w="749" w:type="pct"/>
            <w:tcBorders>
              <w:top w:val="single" w:sz="4" w:space="0" w:color="auto"/>
              <w:left w:val="single" w:sz="4" w:space="0" w:color="auto"/>
              <w:bottom w:val="single" w:sz="4" w:space="0" w:color="auto"/>
              <w:right w:val="single" w:sz="4" w:space="0" w:color="auto"/>
            </w:tcBorders>
            <w:shd w:val="clear" w:color="auto" w:fill="FFFFFF"/>
            <w:noWrap w:val="0"/>
            <w:vAlign w:val="center"/>
          </w:tcPr>
          <w:p>
            <w:pPr>
              <w:jc w:val="left"/>
              <w:rPr>
                <w:rFonts w:ascii="宋体" w:hAnsi="宋体" w:cs="宋体" w:hint="eastAsia"/>
                <w:color w:val="000000"/>
              </w:rPr>
            </w:pPr>
          </w:p>
        </w:tc>
      </w:tr>
      <w:tr>
        <w:tblPrEx>
          <w:tblW w:w="5000" w:type="pct"/>
          <w:tblInd w:w="0" w:type="dxa"/>
          <w:tblCellMar>
            <w:top w:w="0" w:type="dxa"/>
            <w:left w:w="108" w:type="dxa"/>
            <w:bottom w:w="0" w:type="dxa"/>
            <w:right w:w="108" w:type="dxa"/>
          </w:tblCellMar>
        </w:tblPrEx>
        <w:trPr>
          <w:trHeight w:val="567"/>
        </w:trPr>
        <w:tc>
          <w:tcPr>
            <w:tcW w:w="465"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6</w:t>
            </w:r>
          </w:p>
        </w:tc>
        <w:tc>
          <w:tcPr>
            <w:tcW w:w="1495"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jc w:val="center"/>
              <w:textAlignment w:val="center"/>
              <w:rPr>
                <w:rFonts w:ascii="宋体" w:hAnsi="宋体" w:cs="宋体" w:hint="eastAsia"/>
                <w:color w:val="000000"/>
              </w:rPr>
            </w:pPr>
            <w:r>
              <w:rPr>
                <w:rFonts w:ascii="宋体" w:hAnsi="宋体" w:cs="宋体" w:hint="eastAsia"/>
                <w:color w:val="000000"/>
                <w:kern w:val="0"/>
                <w:sz w:val="24"/>
                <w:szCs w:val="24"/>
                <w:lang w:bidi="ar"/>
              </w:rPr>
              <w:t>项目成果</w:t>
            </w:r>
          </w:p>
        </w:tc>
        <w:tc>
          <w:tcPr>
            <w:tcW w:w="756" w:type="pct"/>
            <w:tcBorders>
              <w:top w:val="single" w:sz="4" w:space="0" w:color="auto"/>
              <w:left w:val="single" w:sz="4" w:space="0" w:color="auto"/>
              <w:bottom w:val="single" w:sz="4" w:space="0" w:color="auto"/>
              <w:right w:val="single" w:sz="4" w:space="0" w:color="auto"/>
            </w:tcBorders>
            <w:shd w:val="clear" w:color="auto" w:fill="FFFFFF"/>
            <w:noWrap/>
            <w:vAlign w:val="center"/>
          </w:tcPr>
          <w:p>
            <w:pPr>
              <w:rPr>
                <w:rFonts w:ascii="宋体" w:hAnsi="宋体" w:cs="宋体" w:hint="eastAsia"/>
                <w:color w:val="000000"/>
              </w:rPr>
            </w:pPr>
          </w:p>
        </w:tc>
        <w:tc>
          <w:tcPr>
            <w:tcW w:w="602" w:type="pct"/>
            <w:tcBorders>
              <w:top w:val="single" w:sz="4" w:space="0" w:color="auto"/>
              <w:left w:val="single" w:sz="4" w:space="0" w:color="auto"/>
              <w:bottom w:val="single" w:sz="4" w:space="0" w:color="auto"/>
              <w:right w:val="single" w:sz="4" w:space="0" w:color="auto"/>
            </w:tcBorders>
            <w:shd w:val="clear" w:color="auto" w:fill="FFFFFF"/>
            <w:noWrap/>
            <w:vAlign w:val="center"/>
          </w:tcPr>
          <w:p>
            <w:pPr>
              <w:rPr>
                <w:rFonts w:ascii="宋体" w:hAnsi="宋体" w:cs="宋体" w:hint="eastAsia"/>
                <w:color w:val="000000"/>
              </w:rPr>
            </w:pPr>
          </w:p>
        </w:tc>
        <w:tc>
          <w:tcPr>
            <w:tcW w:w="931" w:type="pct"/>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宋体" w:hAnsi="宋体" w:cs="宋体" w:hint="eastAsia"/>
                <w:color w:val="000000"/>
              </w:rPr>
            </w:pPr>
          </w:p>
        </w:tc>
        <w:tc>
          <w:tcPr>
            <w:tcW w:w="749" w:type="pct"/>
            <w:tcBorders>
              <w:top w:val="single" w:sz="4" w:space="0" w:color="auto"/>
              <w:left w:val="single" w:sz="4" w:space="0" w:color="auto"/>
              <w:bottom w:val="single" w:sz="4" w:space="0" w:color="auto"/>
              <w:right w:val="single" w:sz="4" w:space="0" w:color="auto"/>
            </w:tcBorders>
            <w:shd w:val="clear" w:color="auto" w:fill="FFFFFF"/>
            <w:noWrap w:val="0"/>
            <w:vAlign w:val="center"/>
          </w:tcPr>
          <w:p>
            <w:pPr>
              <w:rPr>
                <w:rFonts w:ascii="宋体" w:hAnsi="宋体" w:cs="宋体" w:hint="eastAsia"/>
                <w:color w:val="000000"/>
              </w:rPr>
            </w:pPr>
          </w:p>
        </w:tc>
      </w:tr>
    </w:tbl>
    <w:p>
      <w:pPr>
        <w:jc w:val="center"/>
        <w:rPr>
          <w:rFonts w:ascii="宋体" w:hAnsi="宋体" w:cs="宋体" w:hint="eastAsia"/>
          <w:b/>
          <w:bCs/>
        </w:rPr>
      </w:pPr>
      <w:r>
        <w:rPr>
          <w:rFonts w:hint="eastAsia"/>
        </w:rPr>
        <w:br w:type="page"/>
      </w:r>
      <w:r>
        <w:rPr>
          <w:rFonts w:ascii="宋体" w:hAnsi="宋体" w:cs="宋体" w:hint="eastAsia"/>
          <w:b/>
          <w:bCs/>
          <w:sz w:val="24"/>
          <w:szCs w:val="24"/>
        </w:rPr>
        <w:t>A.5巡查反馈意见</w:t>
      </w:r>
    </w:p>
    <w:p>
      <w:pPr>
        <w:jc w:val="right"/>
        <w:rPr>
          <w:rFonts w:ascii="宋体" w:hAnsi="宋体" w:cs="宋体" w:hint="eastAsia"/>
        </w:rPr>
      </w:pPr>
      <w:bookmarkStart w:id="72" w:name="_Toc4047"/>
      <w:r>
        <w:rPr>
          <w:rFonts w:ascii="宋体" w:hAnsi="宋体" w:cs="宋体" w:hint="eastAsia"/>
          <w:sz w:val="24"/>
          <w:szCs w:val="24"/>
        </w:rPr>
        <w:t>编号XX-001</w:t>
      </w:r>
      <w:bookmarkEnd w:id="72"/>
    </w:p>
    <w:tbl>
      <w:tblPr>
        <w:tblStyle w:val="TableNormal"/>
        <w:tblW w:w="4999" w:type="pct"/>
        <w:tblInd w:w="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Pr>
      <w:tblGrid>
        <w:gridCol w:w="1728"/>
        <w:gridCol w:w="7113"/>
      </w:tblGrid>
      <w:tr>
        <w:tblPrEx>
          <w:tblW w:w="4999" w:type="pct"/>
          <w:tblInd w:w="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PrEx>
        <w:trPr>
          <w:trHeight w:val="680"/>
        </w:trPr>
        <w:tc>
          <w:tcPr>
            <w:tcW w:w="977" w:type="pct"/>
            <w:noWrap w:val="0"/>
            <w:vAlign w:val="center"/>
          </w:tcPr>
          <w:p>
            <w:pPr>
              <w:spacing w:line="0" w:lineRule="atLeast"/>
              <w:jc w:val="center"/>
              <w:rPr>
                <w:rFonts w:ascii="宋体" w:hAnsi="宋体"/>
              </w:rPr>
            </w:pPr>
            <w:r>
              <w:rPr>
                <w:rFonts w:ascii="宋体" w:hAnsi="宋体" w:hint="eastAsia"/>
                <w:sz w:val="24"/>
              </w:rPr>
              <w:t>项目名称</w:t>
            </w:r>
          </w:p>
        </w:tc>
        <w:tc>
          <w:tcPr>
            <w:tcW w:w="4023" w:type="pct"/>
            <w:noWrap w:val="0"/>
            <w:vAlign w:val="center"/>
          </w:tcPr>
          <w:p>
            <w:pPr>
              <w:spacing w:line="0" w:lineRule="atLeast"/>
              <w:ind w:firstLine="210" w:firstLineChars="100"/>
              <w:rPr>
                <w:rFonts w:ascii="宋体" w:hAnsi="宋体"/>
              </w:rPr>
            </w:pPr>
          </w:p>
        </w:tc>
      </w:tr>
      <w:tr>
        <w:tblPrEx>
          <w:tblW w:w="4999" w:type="pct"/>
          <w:tblInd w:w="0" w:type="dxa"/>
          <w:tblCellMar>
            <w:top w:w="0" w:type="dxa"/>
            <w:left w:w="28" w:type="dxa"/>
            <w:bottom w:w="0" w:type="dxa"/>
            <w:right w:w="28" w:type="dxa"/>
          </w:tblCellMar>
        </w:tblPrEx>
        <w:trPr>
          <w:trHeight w:val="680"/>
        </w:trPr>
        <w:tc>
          <w:tcPr>
            <w:tcW w:w="977" w:type="pct"/>
            <w:noWrap w:val="0"/>
            <w:vAlign w:val="center"/>
          </w:tcPr>
          <w:p>
            <w:pPr>
              <w:spacing w:line="0" w:lineRule="atLeast"/>
              <w:jc w:val="center"/>
              <w:rPr>
                <w:rFonts w:ascii="宋体" w:hAnsi="宋体" w:hint="eastAsia"/>
              </w:rPr>
            </w:pPr>
            <w:r>
              <w:rPr>
                <w:rFonts w:ascii="宋体" w:hAnsi="宋体" w:hint="eastAsia"/>
                <w:sz w:val="24"/>
              </w:rPr>
              <w:t>站点</w:t>
            </w:r>
          </w:p>
        </w:tc>
        <w:tc>
          <w:tcPr>
            <w:tcW w:w="4023" w:type="pct"/>
            <w:noWrap w:val="0"/>
            <w:vAlign w:val="center"/>
          </w:tcPr>
          <w:p>
            <w:pPr>
              <w:spacing w:line="0" w:lineRule="atLeast"/>
              <w:ind w:firstLine="210" w:firstLineChars="100"/>
              <w:rPr>
                <w:rFonts w:ascii="宋体" w:hAnsi="宋体" w:hint="eastAsia"/>
              </w:rPr>
            </w:pPr>
          </w:p>
        </w:tc>
      </w:tr>
      <w:tr>
        <w:tblPrEx>
          <w:tblW w:w="4999" w:type="pct"/>
          <w:tblInd w:w="0" w:type="dxa"/>
          <w:tblCellMar>
            <w:top w:w="0" w:type="dxa"/>
            <w:left w:w="28" w:type="dxa"/>
            <w:bottom w:w="0" w:type="dxa"/>
            <w:right w:w="28" w:type="dxa"/>
          </w:tblCellMar>
        </w:tblPrEx>
        <w:trPr>
          <w:trHeight w:val="9381"/>
        </w:trPr>
        <w:tc>
          <w:tcPr>
            <w:tcW w:w="5000" w:type="pct"/>
            <w:gridSpan w:val="2"/>
            <w:noWrap w:val="0"/>
            <w:vAlign w:val="top"/>
          </w:tcPr>
          <w:p>
            <w:pPr>
              <w:spacing w:before="120"/>
              <w:ind w:firstLine="480" w:firstLineChars="200"/>
              <w:rPr>
                <w:rFonts w:ascii="宋体" w:hAnsi="宋体" w:cs="Arial"/>
              </w:rPr>
            </w:pPr>
            <w:r>
              <w:rPr>
                <w:rFonts w:ascii="宋体" w:hAnsi="宋体" w:cs="Arial" w:hint="eastAsia"/>
                <w:sz w:val="24"/>
              </w:rPr>
              <w:t xml:space="preserve">致： </w:t>
            </w:r>
            <w:r>
              <w:rPr>
                <w:rFonts w:ascii="宋体" w:hAnsi="宋体" w:cs="Arial"/>
                <w:sz w:val="24"/>
              </w:rPr>
              <w:t xml:space="preserve">  </w:t>
            </w:r>
            <w:r>
              <w:rPr>
                <w:rFonts w:ascii="宋体" w:hAnsi="宋体" w:cs="Arial" w:hint="eastAsia"/>
                <w:sz w:val="24"/>
                <w:u w:val="single"/>
              </w:rPr>
              <w:t xml:space="preserve">                    </w:t>
            </w:r>
          </w:p>
          <w:p>
            <w:pPr>
              <w:spacing w:before="120"/>
              <w:ind w:firstLine="480" w:firstLineChars="200"/>
              <w:rPr>
                <w:rFonts w:ascii="宋体" w:hAnsi="宋体" w:cs="Arial"/>
                <w:u w:val="single"/>
              </w:rPr>
            </w:pPr>
            <w:r>
              <w:rPr>
                <w:rFonts w:ascii="宋体" w:hAnsi="宋体" w:cs="Arial" w:hint="eastAsia"/>
                <w:sz w:val="24"/>
              </w:rPr>
              <w:t xml:space="preserve">抄送： </w:t>
            </w:r>
            <w:r>
              <w:rPr>
                <w:rFonts w:ascii="宋体" w:hAnsi="宋体" w:cs="Arial" w:hint="eastAsia"/>
                <w:sz w:val="24"/>
                <w:u w:val="single"/>
              </w:rPr>
              <w:t xml:space="preserve">                   </w:t>
            </w:r>
            <w:r>
              <w:rPr>
                <w:rFonts w:ascii="宋体" w:hAnsi="宋体" w:cs="Arial"/>
                <w:sz w:val="24"/>
                <w:u w:val="single"/>
              </w:rPr>
              <w:t xml:space="preserve"> </w:t>
            </w:r>
          </w:p>
          <w:p>
            <w:pPr>
              <w:spacing w:before="120"/>
              <w:ind w:firstLine="480" w:firstLineChars="200"/>
              <w:rPr>
                <w:rFonts w:ascii="宋体" w:hAnsi="宋体" w:cs="Arial"/>
              </w:rPr>
            </w:pPr>
            <w:r>
              <w:rPr>
                <w:rFonts w:ascii="宋体" w:hAnsi="宋体" w:cs="Arial" w:hint="eastAsia"/>
                <w:sz w:val="24"/>
              </w:rPr>
              <w:t>事由：关于XX站监理巡查问题</w:t>
            </w:r>
          </w:p>
          <w:p>
            <w:pPr>
              <w:spacing w:before="120"/>
              <w:ind w:firstLine="480" w:firstLineChars="200"/>
              <w:rPr>
                <w:rFonts w:ascii="宋体" w:hAnsi="宋体" w:cs="Arial"/>
              </w:rPr>
            </w:pPr>
            <w:r>
              <w:rPr>
                <w:rFonts w:ascii="宋体" w:hAnsi="宋体" w:cs="Arial" w:hint="eastAsia"/>
                <w:sz w:val="24"/>
              </w:rPr>
              <w:t>内容：</w:t>
            </w:r>
          </w:p>
          <w:p>
            <w:pPr>
              <w:spacing w:before="120" w:line="440" w:lineRule="exact"/>
              <w:ind w:left="420" w:right="223" w:firstLine="480" w:leftChars="200" w:rightChars="106" w:firstLineChars="200"/>
              <w:rPr>
                <w:rFonts w:ascii="宋体" w:hAnsi="宋体" w:cs="Arial"/>
              </w:rPr>
            </w:pPr>
            <w:r>
              <w:rPr>
                <w:rFonts w:ascii="宋体" w:hAnsi="宋体" w:cs="Arial" w:hint="eastAsia"/>
                <w:sz w:val="24"/>
              </w:rPr>
              <w:t>根据《XXXXX》要求，工程监理对XXX</w:t>
            </w:r>
            <w:r>
              <w:rPr>
                <w:rFonts w:ascii="宋体" w:hAnsi="宋体" w:hint="eastAsia"/>
                <w:sz w:val="24"/>
              </w:rPr>
              <w:t>站</w:t>
            </w:r>
            <w:r>
              <w:rPr>
                <w:rFonts w:ascii="宋体" w:hAnsi="宋体" w:cs="Arial" w:hint="eastAsia"/>
                <w:sz w:val="24"/>
              </w:rPr>
              <w:t>开展巡查工作，建设项目总体良好，检查中存在以下问题：</w:t>
            </w:r>
          </w:p>
          <w:p>
            <w:pPr>
              <w:spacing w:before="120" w:line="440" w:lineRule="exact"/>
              <w:ind w:left="840" w:leftChars="400"/>
              <w:rPr>
                <w:rFonts w:ascii="宋体" w:hAnsi="宋体" w:cs="Arial"/>
              </w:rPr>
            </w:pPr>
            <w:r>
              <w:rPr>
                <w:rFonts w:ascii="宋体" w:hAnsi="宋体" w:cs="Arial" w:hint="eastAsia"/>
                <w:sz w:val="24"/>
              </w:rPr>
              <w:t>1.</w:t>
            </w:r>
          </w:p>
          <w:p>
            <w:pPr>
              <w:spacing w:before="120" w:line="440" w:lineRule="exact"/>
              <w:ind w:left="840" w:leftChars="400"/>
              <w:rPr>
                <w:rFonts w:ascii="宋体" w:hAnsi="宋体" w:cs="Arial" w:hint="eastAsia"/>
              </w:rPr>
            </w:pPr>
            <w:r>
              <w:rPr>
                <w:rFonts w:ascii="宋体" w:hAnsi="宋体" w:cs="Arial" w:hint="eastAsia"/>
                <w:sz w:val="24"/>
              </w:rPr>
              <w:t>2.</w:t>
            </w:r>
          </w:p>
          <w:p>
            <w:pPr>
              <w:spacing w:before="120" w:line="440" w:lineRule="exact"/>
              <w:ind w:left="840" w:leftChars="400"/>
              <w:rPr>
                <w:rFonts w:ascii="宋体" w:hAnsi="宋体" w:cs="Arial"/>
              </w:rPr>
            </w:pPr>
            <w:r>
              <w:rPr>
                <w:rFonts w:ascii="宋体" w:hAnsi="宋体" w:cs="Arial" w:hint="eastAsia"/>
                <w:sz w:val="24"/>
              </w:rPr>
              <w:t>3.</w:t>
            </w:r>
          </w:p>
          <w:p>
            <w:pPr>
              <w:spacing w:before="120" w:line="440" w:lineRule="exact"/>
              <w:ind w:left="420" w:firstLine="480" w:leftChars="200" w:firstLineChars="200"/>
              <w:rPr>
                <w:rFonts w:ascii="宋体" w:hAnsi="宋体" w:cs="Arial"/>
              </w:rPr>
            </w:pPr>
            <w:r>
              <w:rPr>
                <w:rFonts w:ascii="宋体" w:hAnsi="宋体" w:cs="Arial" w:hint="eastAsia"/>
                <w:sz w:val="24"/>
              </w:rPr>
              <w:t>以上请按要求整改或提供文字说明材料，并将整改资料于30日内报我单位备案。</w:t>
            </w:r>
          </w:p>
          <w:p>
            <w:pPr>
              <w:spacing w:before="120" w:line="440" w:lineRule="exact"/>
              <w:ind w:left="420" w:firstLine="420" w:leftChars="200" w:firstLineChars="200"/>
              <w:rPr>
                <w:rFonts w:ascii="宋体" w:hAnsi="宋体" w:cs="Arial" w:hint="eastAsia"/>
              </w:rPr>
            </w:pPr>
          </w:p>
          <w:p>
            <w:pPr>
              <w:spacing w:before="120" w:line="440" w:lineRule="exact"/>
              <w:ind w:left="420" w:firstLine="480" w:leftChars="200" w:firstLineChars="200"/>
              <w:rPr>
                <w:rFonts w:ascii="宋体" w:hAnsi="宋体" w:cs="Arial" w:hint="eastAsia"/>
              </w:rPr>
            </w:pPr>
            <w:r>
              <w:rPr>
                <w:rFonts w:ascii="宋体" w:hAnsi="宋体" w:cs="Arial" w:hint="eastAsia"/>
                <w:sz w:val="24"/>
              </w:rPr>
              <w:t>联系人：</w:t>
            </w:r>
          </w:p>
          <w:p>
            <w:pPr>
              <w:spacing w:before="120" w:line="440" w:lineRule="exact"/>
              <w:ind w:left="420" w:firstLine="480" w:leftChars="200" w:firstLineChars="200"/>
              <w:rPr>
                <w:rFonts w:ascii="宋体" w:hAnsi="宋体" w:cs="Arial"/>
              </w:rPr>
            </w:pPr>
            <w:r>
              <w:rPr>
                <w:rFonts w:ascii="宋体" w:hAnsi="宋体" w:cs="Arial" w:hint="eastAsia"/>
                <w:sz w:val="24"/>
              </w:rPr>
              <w:t>联系电话：</w:t>
            </w:r>
          </w:p>
          <w:p>
            <w:pPr>
              <w:spacing w:before="240" w:after="120"/>
              <w:jc w:val="center"/>
              <w:rPr>
                <w:rFonts w:ascii="宋体" w:hAnsi="宋体" w:cs="Arial" w:hint="eastAsia"/>
              </w:rPr>
            </w:pPr>
            <w:r>
              <w:rPr>
                <w:rFonts w:ascii="宋体" w:hAnsi="宋体" w:cs="Arial" w:hint="eastAsia"/>
                <w:sz w:val="24"/>
              </w:rPr>
              <w:t xml:space="preserve">        </w:t>
            </w:r>
          </w:p>
          <w:p>
            <w:pPr>
              <w:spacing w:before="240" w:after="120"/>
              <w:jc w:val="center"/>
              <w:rPr>
                <w:rFonts w:ascii="宋体" w:hAnsi="宋体" w:cs="Arial" w:hint="eastAsia"/>
              </w:rPr>
            </w:pPr>
            <w:r>
              <w:rPr>
                <w:rFonts w:ascii="宋体" w:hAnsi="宋体" w:cs="Arial" w:hint="eastAsia"/>
                <w:sz w:val="24"/>
              </w:rPr>
              <w:t xml:space="preserve">                          项目监理机构（盖章）:</w:t>
            </w:r>
          </w:p>
          <w:p>
            <w:pPr>
              <w:spacing w:before="240" w:after="120"/>
              <w:jc w:val="center"/>
              <w:rPr>
                <w:rFonts w:ascii="宋体" w:hAnsi="宋体" w:cs="Arial"/>
              </w:rPr>
            </w:pPr>
            <w:r>
              <w:rPr>
                <w:rFonts w:ascii="宋体" w:hAnsi="宋体" w:cs="Arial" w:hint="eastAsia"/>
                <w:sz w:val="24"/>
              </w:rPr>
              <w:t xml:space="preserve">                           总监理工程师（签字）：</w:t>
            </w:r>
          </w:p>
          <w:p>
            <w:pPr>
              <w:spacing w:before="240" w:after="120"/>
              <w:ind w:firstLine="4560" w:firstLineChars="1900"/>
              <w:rPr>
                <w:rFonts w:ascii="宋体" w:hAnsi="宋体" w:cs="Arial"/>
              </w:rPr>
            </w:pPr>
            <w:r>
              <w:rPr>
                <w:rFonts w:ascii="宋体" w:hAnsi="宋体" w:cs="Arial" w:hint="eastAsia"/>
                <w:sz w:val="24"/>
              </w:rPr>
              <w:t>20XX 年 XX</w:t>
            </w:r>
            <w:r>
              <w:rPr>
                <w:rFonts w:ascii="宋体" w:hAnsi="宋体" w:cs="Arial"/>
                <w:sz w:val="24"/>
              </w:rPr>
              <w:t xml:space="preserve"> </w:t>
            </w:r>
            <w:r>
              <w:rPr>
                <w:rFonts w:ascii="宋体" w:hAnsi="宋体" w:cs="Arial" w:hint="eastAsia"/>
                <w:sz w:val="24"/>
              </w:rPr>
              <w:t xml:space="preserve">月 XX 日   </w:t>
            </w:r>
          </w:p>
        </w:tc>
      </w:tr>
    </w:tbl>
    <w:p>
      <w:pPr>
        <w:adjustRightInd w:val="0"/>
        <w:snapToGrid w:val="0"/>
        <w:spacing w:line="360" w:lineRule="auto"/>
        <w:jc w:val="left"/>
        <w:rPr>
          <w:rFonts w:ascii="宋体" w:hAnsi="宋体"/>
          <w:b/>
          <w:sz w:val="30"/>
          <w:szCs w:val="30"/>
        </w:rPr>
      </w:pPr>
    </w:p>
    <w:p>
      <w:pPr>
        <w:pStyle w:val="Heading2"/>
        <w:keepNext/>
        <w:keepLines/>
        <w:widowControl w:val="0"/>
        <w:numPr>
          <w:ilvl w:val="1"/>
          <w:numId w:val="1"/>
        </w:numPr>
        <w:spacing w:before="260" w:after="260" w:line="416" w:lineRule="atLeast"/>
        <w:ind w:left="0" w:firstLine="0"/>
        <w:jc w:val="both"/>
        <w:rPr>
          <w:rFonts w:hint="eastAsia"/>
        </w:rPr>
        <w:sectPr>
          <w:pgSz w:w="11906" w:h="16838"/>
          <w:pgMar w:top="1418" w:right="1418" w:bottom="1418" w:left="1701" w:header="851" w:footer="851" w:gutter="0"/>
          <w:cols w:num="1" w:space="720"/>
          <w:docGrid w:type="linesAndChars" w:linePitch="312" w:charSpace="0"/>
        </w:sectPr>
      </w:pPr>
    </w:p>
    <w:p>
      <w:pPr>
        <w:pStyle w:val="Heading3"/>
        <w:rPr>
          <w:rFonts w:hint="eastAsia"/>
        </w:rPr>
      </w:pPr>
      <w:r>
        <w:rPr>
          <w:rFonts w:hint="eastAsia"/>
        </w:rPr>
        <w:t>附录：保定S波段双偏振相控阵天气雷达监理检查技术指标</w:t>
      </w:r>
    </w:p>
    <w:p>
      <w:pPr>
        <w:tabs>
          <w:tab w:val="left" w:pos="1573"/>
        </w:tabs>
        <w:adjustRightInd w:val="0"/>
        <w:snapToGrid w:val="0"/>
        <w:ind w:firstLine="420" w:firstLineChars="200"/>
        <w:rPr>
          <w:rFonts w:ascii="宋体" w:hAnsi="宋体"/>
          <w:szCs w:val="21"/>
        </w:rPr>
      </w:pPr>
      <w:r>
        <w:rPr>
          <w:rFonts w:ascii="宋体" w:hAnsi="宋体"/>
          <w:szCs w:val="21"/>
        </w:rPr>
        <w:t>S波段双偏振相控阵天气雷达应具有同时发射同时接收的全相参体制，包含</w:t>
      </w:r>
      <w:r>
        <w:rPr>
          <w:rFonts w:ascii="仿宋_GB2312" w:hint="eastAsia"/>
          <w:b/>
          <w:bCs/>
        </w:rPr>
        <w:t>天线阵面系统</w:t>
      </w:r>
      <w:r>
        <w:rPr>
          <w:rFonts w:ascii="仿宋_GB2312" w:hint="eastAsia"/>
        </w:rPr>
        <w:t>（含天线罩、阵列天线、天线行馈单元、伺服系统、阵面骨架、天线转台、俯仰支撑等）、</w:t>
      </w:r>
      <w:r>
        <w:rPr>
          <w:rFonts w:ascii="仿宋_GB2312" w:hint="eastAsia"/>
          <w:b/>
          <w:bCs/>
        </w:rPr>
        <w:t>收发系统</w:t>
      </w:r>
      <w:r>
        <w:rPr>
          <w:rFonts w:ascii="仿宋_GB2312" w:hint="eastAsia"/>
        </w:rPr>
        <w:t>（含数字TR、频率源、收发分系统电源等）、</w:t>
      </w:r>
      <w:r>
        <w:rPr>
          <w:rFonts w:ascii="仿宋_GB2312" w:hint="eastAsia"/>
          <w:b/>
          <w:bCs/>
        </w:rPr>
        <w:t>波束形成与控制系统</w:t>
      </w:r>
      <w:r>
        <w:rPr>
          <w:rFonts w:ascii="仿宋_GB2312" w:hint="eastAsia"/>
        </w:rPr>
        <w:t>（含数字波束形成、雷达系统控制、馈线网络、阵面电源等）、</w:t>
      </w:r>
      <w:r>
        <w:rPr>
          <w:rFonts w:ascii="仿宋_GB2312" w:hint="eastAsia"/>
          <w:b/>
          <w:bCs/>
        </w:rPr>
        <w:t>测量标校系统</w:t>
      </w:r>
      <w:r>
        <w:rPr>
          <w:rFonts w:ascii="仿宋_GB2312" w:hint="eastAsia"/>
        </w:rPr>
        <w:t>（</w:t>
      </w:r>
      <w:r>
        <w:rPr>
          <w:rFonts w:hint="eastAsia"/>
        </w:rPr>
        <w:t>机外远场标校系统、机内标校系统</w:t>
      </w:r>
      <w:r>
        <w:rPr>
          <w:rFonts w:ascii="仿宋_GB2312" w:hint="eastAsia"/>
        </w:rPr>
        <w:t>）、</w:t>
      </w:r>
      <w:r>
        <w:rPr>
          <w:rFonts w:ascii="仿宋_GB2312" w:hint="eastAsia"/>
          <w:b/>
          <w:bCs/>
        </w:rPr>
        <w:t>应用系统</w:t>
      </w:r>
      <w:r>
        <w:rPr>
          <w:rFonts w:ascii="仿宋_GB2312" w:hint="eastAsia"/>
        </w:rPr>
        <w:t>（</w:t>
      </w:r>
      <w:r>
        <w:rPr>
          <w:rFonts w:hint="eastAsia"/>
        </w:rPr>
        <w:t>信号处理分系统、业务应用分系统、数据存储和传输链路、数据机房</w:t>
      </w:r>
      <w:r>
        <w:rPr>
          <w:rFonts w:ascii="仿宋_GB2312" w:hint="eastAsia"/>
        </w:rPr>
        <w:t>）、</w:t>
      </w:r>
      <w:r>
        <w:rPr>
          <w:rFonts w:ascii="仿宋_GB2312" w:hint="eastAsia"/>
          <w:b/>
          <w:bCs/>
        </w:rPr>
        <w:t>业务软件系统</w:t>
      </w:r>
      <w:r>
        <w:rPr>
          <w:rFonts w:ascii="仿宋_GB2312" w:hint="eastAsia"/>
        </w:rPr>
        <w:t>（</w:t>
      </w:r>
      <w:r>
        <w:rPr>
          <w:rFonts w:hint="eastAsia"/>
        </w:rPr>
        <w:t>雷达控制与数据采集、数据质量控制、标定标校监测、远场有源标定系统终端软件、无人机载金属球标定软件、相控阵数据压缩、相控阵流传输、相控阵产品生成、相控阵产品应用</w:t>
      </w:r>
      <w:r>
        <w:rPr>
          <w:rFonts w:ascii="仿宋_GB2312" w:hint="eastAsia"/>
        </w:rPr>
        <w:t>）</w:t>
      </w:r>
      <w:r>
        <w:rPr>
          <w:rFonts w:ascii="宋体" w:hAnsi="宋体"/>
          <w:szCs w:val="21"/>
        </w:rPr>
        <w:t>。</w:t>
      </w:r>
      <w:r>
        <w:rPr>
          <w:rFonts w:ascii="宋体" w:hAnsi="宋体" w:hint="eastAsia"/>
          <w:szCs w:val="21"/>
        </w:rPr>
        <w:t>分系统功能要求如下：</w:t>
      </w:r>
    </w:p>
    <w:p>
      <w:pPr>
        <w:tabs>
          <w:tab w:val="left" w:pos="1573"/>
        </w:tabs>
        <w:adjustRightInd w:val="0"/>
        <w:snapToGrid w:val="0"/>
        <w:ind w:firstLine="420" w:firstLineChars="200"/>
        <w:rPr>
          <w:rFonts w:ascii="宋体" w:hAnsi="宋体"/>
          <w:b/>
          <w:bCs/>
          <w:szCs w:val="21"/>
        </w:rPr>
      </w:pPr>
      <w:r>
        <w:rPr>
          <w:rFonts w:ascii="宋体" w:hAnsi="宋体" w:hint="eastAsia"/>
          <w:b/>
          <w:bCs/>
          <w:szCs w:val="21"/>
        </w:rPr>
        <w:t>1.</w:t>
      </w:r>
      <w:r>
        <w:rPr>
          <w:rFonts w:ascii="宋体" w:hAnsi="宋体"/>
          <w:b/>
          <w:bCs/>
          <w:szCs w:val="21"/>
        </w:rPr>
        <w:t>天线阵面系统功能要求</w:t>
      </w:r>
    </w:p>
    <w:p>
      <w:pPr>
        <w:tabs>
          <w:tab w:val="left" w:pos="1573"/>
        </w:tabs>
        <w:adjustRightInd w:val="0"/>
        <w:snapToGrid w:val="0"/>
        <w:ind w:firstLine="420" w:firstLineChars="200"/>
        <w:rPr>
          <w:rFonts w:ascii="宋体" w:hAnsi="宋体"/>
          <w:szCs w:val="21"/>
        </w:rPr>
      </w:pPr>
      <w:r>
        <w:rPr>
          <w:rFonts w:ascii="宋体" w:hAnsi="宋体"/>
          <w:szCs w:val="21"/>
        </w:rPr>
        <w:t>天线阵面系统应采用高功率、低损耗馈电网络及双偏振辐射天线技术，馈线网络具备高峰值功率容量设计，通过天线硬件层面设计，保障雷达探测能力与双偏振探测数据质量。</w:t>
      </w:r>
    </w:p>
    <w:p>
      <w:pPr>
        <w:tabs>
          <w:tab w:val="left" w:pos="1573"/>
        </w:tabs>
        <w:adjustRightInd w:val="0"/>
        <w:snapToGrid w:val="0"/>
        <w:ind w:firstLine="420" w:firstLineChars="200"/>
        <w:rPr>
          <w:rFonts w:ascii="宋体" w:hAnsi="宋体"/>
          <w:b/>
          <w:bCs/>
          <w:szCs w:val="21"/>
        </w:rPr>
      </w:pPr>
      <w:r>
        <w:rPr>
          <w:rFonts w:ascii="宋体" w:hAnsi="宋体" w:hint="eastAsia"/>
          <w:b/>
          <w:bCs/>
          <w:szCs w:val="21"/>
        </w:rPr>
        <w:t>2.</w:t>
      </w:r>
      <w:r>
        <w:rPr>
          <w:rFonts w:ascii="宋体" w:hAnsi="宋体"/>
          <w:b/>
          <w:bCs/>
          <w:szCs w:val="21"/>
        </w:rPr>
        <w:t>收发系统功能要求</w:t>
      </w:r>
    </w:p>
    <w:p>
      <w:pPr>
        <w:tabs>
          <w:tab w:val="left" w:pos="1573"/>
        </w:tabs>
        <w:adjustRightInd w:val="0"/>
        <w:snapToGrid w:val="0"/>
        <w:ind w:firstLine="420" w:firstLineChars="200"/>
        <w:rPr>
          <w:rFonts w:ascii="宋体" w:hAnsi="宋体"/>
          <w:szCs w:val="21"/>
        </w:rPr>
      </w:pPr>
      <w:r>
        <w:rPr>
          <w:rFonts w:ascii="宋体" w:hAnsi="宋体"/>
          <w:szCs w:val="21"/>
        </w:rPr>
        <w:t>收发系统应采用高峰值功率、窄脉冲发射技术，从技术原理上解决传统相控阵天气雷达在强回波条件下存在的脉冲压缩距离副瓣、多脉冲补盲导致的回波台阶等难以消除的问题。</w:t>
      </w:r>
    </w:p>
    <w:p>
      <w:pPr>
        <w:tabs>
          <w:tab w:val="left" w:pos="1573"/>
        </w:tabs>
        <w:adjustRightInd w:val="0"/>
        <w:snapToGrid w:val="0"/>
        <w:ind w:firstLine="420" w:firstLineChars="200"/>
        <w:rPr>
          <w:rFonts w:ascii="宋体" w:hAnsi="宋体"/>
          <w:b/>
          <w:bCs/>
          <w:szCs w:val="21"/>
        </w:rPr>
      </w:pPr>
      <w:r>
        <w:rPr>
          <w:rFonts w:ascii="宋体" w:hAnsi="宋体" w:hint="eastAsia"/>
          <w:b/>
          <w:bCs/>
          <w:szCs w:val="21"/>
        </w:rPr>
        <w:t>3.</w:t>
      </w:r>
      <w:r>
        <w:rPr>
          <w:rFonts w:ascii="宋体" w:hAnsi="宋体"/>
          <w:b/>
          <w:bCs/>
          <w:szCs w:val="21"/>
        </w:rPr>
        <w:t>波束形成与控制系统功能要求</w:t>
      </w:r>
    </w:p>
    <w:p>
      <w:pPr>
        <w:tabs>
          <w:tab w:val="left" w:pos="1573"/>
        </w:tabs>
        <w:adjustRightInd w:val="0"/>
        <w:snapToGrid w:val="0"/>
        <w:ind w:firstLine="420" w:firstLineChars="200"/>
        <w:rPr>
          <w:rFonts w:ascii="宋体" w:hAnsi="宋体"/>
          <w:szCs w:val="21"/>
        </w:rPr>
      </w:pPr>
      <w:r>
        <w:rPr>
          <w:rFonts w:ascii="宋体" w:hAnsi="宋体"/>
          <w:szCs w:val="21"/>
        </w:rPr>
        <w:t>波束形成与控制系统应采用全数字波束形成技术及全光纤链路传输与存储技术，支持并行处理不少于40个波束，可输出32位I/Q数据，并能对合成前所有通道的IQ数据实现不低于半小时的存储，提升天气雷达探测效率。</w:t>
      </w:r>
    </w:p>
    <w:p>
      <w:pPr>
        <w:tabs>
          <w:tab w:val="left" w:pos="1573"/>
        </w:tabs>
        <w:adjustRightInd w:val="0"/>
        <w:snapToGrid w:val="0"/>
        <w:ind w:firstLine="420" w:firstLineChars="200"/>
        <w:rPr>
          <w:rFonts w:ascii="宋体" w:hAnsi="宋体"/>
          <w:b/>
          <w:bCs/>
          <w:szCs w:val="21"/>
        </w:rPr>
      </w:pPr>
      <w:r>
        <w:rPr>
          <w:rFonts w:ascii="宋体" w:hAnsi="宋体" w:hint="eastAsia"/>
          <w:b/>
          <w:bCs/>
          <w:szCs w:val="21"/>
        </w:rPr>
        <w:t>4.</w:t>
      </w:r>
      <w:r>
        <w:rPr>
          <w:rFonts w:ascii="宋体" w:hAnsi="宋体"/>
          <w:b/>
          <w:bCs/>
          <w:szCs w:val="21"/>
        </w:rPr>
        <w:t>测量标校系统功能要求</w:t>
      </w:r>
    </w:p>
    <w:p>
      <w:pPr>
        <w:tabs>
          <w:tab w:val="left" w:pos="1573"/>
        </w:tabs>
        <w:adjustRightInd w:val="0"/>
        <w:snapToGrid w:val="0"/>
        <w:ind w:firstLine="420" w:firstLineChars="200"/>
        <w:rPr>
          <w:rFonts w:ascii="宋体" w:hAnsi="宋体"/>
          <w:szCs w:val="21"/>
        </w:rPr>
      </w:pPr>
      <w:r>
        <w:rPr>
          <w:rFonts w:ascii="宋体" w:hAnsi="宋体"/>
          <w:szCs w:val="21"/>
        </w:rPr>
        <w:t>测量标校系统应继承CINRAD/SA等传统天气雷达成熟的标校功能与技术优势，同时配备完善的状态监测网络，可对雷达所有收发通道幅相特性进行精确校准，确保相控阵雷达各项性能指标稳定可靠。</w:t>
      </w:r>
    </w:p>
    <w:p>
      <w:pPr>
        <w:tabs>
          <w:tab w:val="left" w:pos="1573"/>
        </w:tabs>
        <w:adjustRightInd w:val="0"/>
        <w:snapToGrid w:val="0"/>
        <w:ind w:firstLine="420" w:firstLineChars="200"/>
        <w:rPr>
          <w:rFonts w:ascii="宋体" w:hAnsi="宋体"/>
          <w:b/>
          <w:bCs/>
          <w:szCs w:val="21"/>
        </w:rPr>
      </w:pPr>
      <w:r>
        <w:rPr>
          <w:rFonts w:ascii="宋体" w:hAnsi="宋体" w:hint="eastAsia"/>
          <w:b/>
          <w:bCs/>
          <w:szCs w:val="21"/>
        </w:rPr>
        <w:t>5.</w:t>
      </w:r>
      <w:r>
        <w:rPr>
          <w:rFonts w:ascii="宋体" w:hAnsi="宋体"/>
          <w:b/>
          <w:bCs/>
          <w:szCs w:val="21"/>
        </w:rPr>
        <w:t>应用系统功能要求</w:t>
      </w:r>
    </w:p>
    <w:p>
      <w:pPr>
        <w:tabs>
          <w:tab w:val="left" w:pos="1573"/>
        </w:tabs>
        <w:adjustRightInd w:val="0"/>
        <w:snapToGrid w:val="0"/>
        <w:ind w:firstLine="420" w:firstLineChars="200"/>
        <w:rPr>
          <w:rFonts w:ascii="宋体" w:hAnsi="宋体"/>
          <w:szCs w:val="21"/>
        </w:rPr>
      </w:pPr>
      <w:r>
        <w:rPr>
          <w:rFonts w:ascii="宋体" w:hAnsi="宋体"/>
          <w:szCs w:val="21"/>
        </w:rPr>
        <w:t>应用系统应采用基于GPU运算的高速信号处理技术，支持并行处理不少于16波束的快速扫描数据，通过</w:t>
      </w:r>
      <w:r>
        <w:rPr>
          <w:rFonts w:ascii="宋体" w:hAnsi="宋体" w:hint="eastAsia"/>
          <w:szCs w:val="21"/>
        </w:rPr>
        <w:t>多</w:t>
      </w:r>
      <w:r>
        <w:rPr>
          <w:rFonts w:ascii="宋体" w:hAnsi="宋体"/>
          <w:szCs w:val="21"/>
        </w:rPr>
        <w:t>种标定技术保障数据质量；信号处理分系统算法应基于通用Linux服务器平台，采用全流程GPU并行运算，可实时将相控阵雷达多通道I、Q数据转换为原始基数据。</w:t>
      </w:r>
    </w:p>
    <w:p>
      <w:pPr>
        <w:tabs>
          <w:tab w:val="left" w:pos="1573"/>
        </w:tabs>
        <w:adjustRightInd w:val="0"/>
        <w:snapToGrid w:val="0"/>
        <w:ind w:firstLine="420" w:firstLineChars="200"/>
        <w:rPr>
          <w:rFonts w:ascii="宋体" w:hAnsi="宋体"/>
          <w:b/>
          <w:bCs/>
          <w:szCs w:val="21"/>
        </w:rPr>
      </w:pPr>
      <w:r>
        <w:rPr>
          <w:rFonts w:ascii="宋体" w:hAnsi="宋体" w:hint="eastAsia"/>
          <w:b/>
          <w:bCs/>
          <w:szCs w:val="21"/>
        </w:rPr>
        <w:t>6.</w:t>
      </w:r>
      <w:r>
        <w:rPr>
          <w:rFonts w:ascii="宋体" w:hAnsi="宋体"/>
          <w:b/>
          <w:bCs/>
          <w:szCs w:val="21"/>
        </w:rPr>
        <w:t>业务软件系统功能要求</w:t>
      </w:r>
    </w:p>
    <w:p>
      <w:pPr>
        <w:tabs>
          <w:tab w:val="left" w:pos="1573"/>
        </w:tabs>
        <w:adjustRightInd w:val="0"/>
        <w:snapToGrid w:val="0"/>
        <w:ind w:firstLine="420" w:firstLineChars="200"/>
        <w:rPr>
          <w:rFonts w:ascii="宋体" w:hAnsi="宋体"/>
          <w:szCs w:val="21"/>
        </w:rPr>
      </w:pPr>
      <w:r>
        <w:rPr>
          <w:rFonts w:ascii="宋体" w:hAnsi="宋体"/>
          <w:szCs w:val="21"/>
        </w:rPr>
        <w:t>业务软件系统应适配相控阵雷达快速精细化扫描特点，采用并行快速处理技术，实现对相控阵雷达探测数据的实时处理，提升基于相控阵天气雷达的强天气监测准确性与预警时效。</w:t>
      </w:r>
    </w:p>
    <w:p>
      <w:pPr>
        <w:tabs>
          <w:tab w:val="left" w:pos="1573"/>
        </w:tabs>
        <w:adjustRightInd w:val="0"/>
        <w:snapToGrid w:val="0"/>
        <w:ind w:firstLine="420" w:firstLineChars="200"/>
        <w:rPr>
          <w:rFonts w:ascii="宋体" w:hAnsi="宋体" w:hint="eastAsia"/>
          <w:szCs w:val="21"/>
        </w:rPr>
      </w:pPr>
      <w:r>
        <w:rPr>
          <w:rFonts w:ascii="宋体" w:hAnsi="宋体" w:hint="eastAsia"/>
          <w:szCs w:val="21"/>
        </w:rPr>
        <w:t>雷达系统和部分分系统关键性能指标要求如下：</w:t>
      </w:r>
    </w:p>
    <w:p>
      <w:pPr>
        <w:tabs>
          <w:tab w:val="left" w:pos="1573"/>
        </w:tabs>
        <w:adjustRightInd w:val="0"/>
        <w:snapToGrid w:val="0"/>
        <w:ind w:firstLine="420" w:firstLineChars="200"/>
        <w:rPr>
          <w:rFonts w:ascii="宋体" w:hAnsi="宋体" w:hint="eastAsia"/>
          <w:szCs w:val="21"/>
        </w:rPr>
      </w:pPr>
      <w:r>
        <w:rPr>
          <w:rFonts w:ascii="宋体" w:hAnsi="宋体" w:hint="eastAsia"/>
          <w:szCs w:val="21"/>
        </w:rPr>
        <w:t>雷达系统</w:t>
      </w:r>
      <w:r>
        <w:rPr>
          <w:rFonts w:ascii="宋体" w:hAnsi="宋体"/>
          <w:szCs w:val="21"/>
        </w:rPr>
        <w:t>总体技术指标包括：探测空间范围、气象要素测量范围、测量准确度、结构要求、环境要求、供电要求、使用特性等，具体数据见表</w:t>
      </w:r>
      <w:r>
        <w:rPr>
          <w:rFonts w:ascii="宋体" w:hAnsi="宋体" w:hint="eastAsia"/>
          <w:szCs w:val="21"/>
        </w:rPr>
        <w:t>1</w:t>
      </w:r>
      <w:r>
        <w:rPr>
          <w:rFonts w:ascii="宋体" w:hAnsi="宋体"/>
          <w:szCs w:val="21"/>
        </w:rPr>
        <w:t>。</w:t>
      </w:r>
    </w:p>
    <w:p>
      <w:pPr>
        <w:tabs>
          <w:tab w:val="left" w:pos="1573"/>
        </w:tabs>
        <w:adjustRightInd w:val="0"/>
        <w:snapToGrid w:val="0"/>
        <w:ind w:firstLine="420" w:firstLineChars="200"/>
        <w:rPr>
          <w:rFonts w:ascii="宋体" w:hAnsi="宋体" w:hint="eastAsia"/>
          <w:szCs w:val="21"/>
        </w:rPr>
      </w:pPr>
      <w:r>
        <w:rPr>
          <w:rFonts w:ascii="宋体" w:hAnsi="宋体"/>
          <w:szCs w:val="21"/>
        </w:rPr>
        <w:t>注：</w:t>
      </w:r>
      <w:r>
        <w:rPr>
          <w:rFonts w:ascii="宋体" w:hAnsi="宋体" w:hint="eastAsia"/>
          <w:szCs w:val="21"/>
        </w:rPr>
        <w:t>下表</w:t>
      </w:r>
      <w:r>
        <w:rPr>
          <w:rFonts w:ascii="宋体" w:hAnsi="宋体"/>
          <w:szCs w:val="21"/>
        </w:rPr>
        <w:t>指标都需要在电扫±20°下满足要求。</w:t>
      </w:r>
      <w:r>
        <w:rPr>
          <w:rFonts w:ascii="宋体" w:hAnsi="宋体" w:hint="eastAsia"/>
          <w:szCs w:val="21"/>
        </w:rPr>
        <w:t>主要技术指标应满足无线电频率管理相关标准及要求，如果与相关标准不符，以相关标准为准。表1中总体技术指标要求须同时满足。</w:t>
      </w:r>
    </w:p>
    <w:p>
      <w:pPr>
        <w:pStyle w:val="-HCDC"/>
        <w:widowControl w:val="0"/>
        <w:numPr>
          <w:ilvl w:val="0"/>
          <w:numId w:val="18"/>
        </w:numPr>
        <w:tabs>
          <w:tab w:val="left" w:pos="567"/>
          <w:tab w:val="left" w:pos="720"/>
        </w:tabs>
        <w:spacing w:after="0" w:line="360" w:lineRule="auto"/>
        <w:ind w:left="720" w:hanging="720"/>
        <w:jc w:val="center"/>
        <w:rPr>
          <w:rFonts w:ascii="宋体" w:eastAsia="宋体" w:hAnsi="宋体" w:hint="eastAsia"/>
        </w:rPr>
      </w:pPr>
      <w:r>
        <w:rPr>
          <w:rFonts w:ascii="宋体" w:eastAsia="宋体" w:hAnsi="宋体" w:hint="eastAsia"/>
        </w:rPr>
        <w:t>雷达系统</w:t>
      </w:r>
      <w:r>
        <w:rPr>
          <w:rFonts w:ascii="宋体" w:eastAsia="宋体" w:hAnsi="宋体"/>
        </w:rPr>
        <w:t>总体技术指标</w:t>
      </w:r>
      <w:r>
        <w:rPr>
          <w:rFonts w:ascii="宋体" w:eastAsia="宋体" w:hAnsi="宋体" w:hint="eastAsia"/>
        </w:rPr>
        <w:t>表</w:t>
      </w:r>
    </w:p>
    <w:tbl>
      <w:tblPr>
        <w:tblStyle w:val="TableNormal"/>
        <w:tblW w:w="8820" w:type="dxa"/>
        <w:jc w:val="center"/>
        <w:tblLayout w:type="fixed"/>
        <w:tblCellMar>
          <w:top w:w="0" w:type="dxa"/>
          <w:left w:w="108" w:type="dxa"/>
          <w:bottom w:w="0" w:type="dxa"/>
          <w:right w:w="108" w:type="dxa"/>
        </w:tblCellMar>
      </w:tblPr>
      <w:tblGrid>
        <w:gridCol w:w="1198"/>
        <w:gridCol w:w="2771"/>
        <w:gridCol w:w="3261"/>
        <w:gridCol w:w="1590"/>
      </w:tblGrid>
      <w:tr>
        <w:tblPrEx>
          <w:tblW w:w="8820" w:type="dxa"/>
          <w:jc w:val="center"/>
          <w:tblLayout w:type="fixed"/>
          <w:tblCellMar>
            <w:top w:w="0" w:type="dxa"/>
            <w:left w:w="108" w:type="dxa"/>
            <w:bottom w:w="0" w:type="dxa"/>
            <w:right w:w="108" w:type="dxa"/>
          </w:tblCellMar>
        </w:tblPrEx>
        <w:trPr>
          <w:cantSplit/>
          <w:trHeight w:val="315"/>
          <w:tblHeader/>
          <w:jc w:val="center"/>
        </w:trPr>
        <w:tc>
          <w:tcPr>
            <w:tcW w:w="3969"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项目</w:t>
            </w:r>
          </w:p>
        </w:tc>
        <w:tc>
          <w:tcPr>
            <w:tcW w:w="3261" w:type="dxa"/>
            <w:tcBorders>
              <w:top w:val="single" w:sz="4" w:space="0" w:color="auto"/>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性能指标要求</w:t>
            </w:r>
          </w:p>
        </w:tc>
        <w:tc>
          <w:tcPr>
            <w:tcW w:w="1590" w:type="dxa"/>
            <w:tcBorders>
              <w:top w:val="single" w:sz="4" w:space="0" w:color="auto"/>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备注</w:t>
            </w: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雷达体制</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双偏振、一维相控阵全相参脉冲多普勒体制</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570"/>
          <w:jc w:val="center"/>
        </w:trPr>
        <w:tc>
          <w:tcPr>
            <w:tcW w:w="3969"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工作模式</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具备远程警戒、任务探测模式和自定义探测模式、双发双收、单发双收、宽发窄收、窄发窄收</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工作频率</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S</w:t>
            </w:r>
            <w:r>
              <w:rPr>
                <w:rFonts w:ascii="宋体" w:hAnsi="宋体" w:cs="宋体" w:hint="eastAsia"/>
                <w:kern w:val="0"/>
                <w:szCs w:val="21"/>
                <w:lang w:bidi="ar"/>
              </w:rPr>
              <w:t>波段</w:t>
            </w:r>
            <w:r>
              <w:rPr>
                <w:rFonts w:ascii="宋体" w:hAnsi="宋体" w:cs="宋体"/>
                <w:kern w:val="0"/>
                <w:szCs w:val="21"/>
                <w:lang w:bidi="ar"/>
              </w:rPr>
              <w:t xml:space="preserve"> 2.7GHz</w:t>
            </w:r>
            <w:r>
              <w:rPr>
                <w:rFonts w:ascii="宋体" w:hAnsi="宋体" w:cs="宋体" w:hint="eastAsia"/>
                <w:kern w:val="0"/>
                <w:szCs w:val="21"/>
                <w:lang w:bidi="ar"/>
              </w:rPr>
              <w:t>～</w:t>
            </w:r>
            <w:r>
              <w:rPr>
                <w:rFonts w:ascii="宋体" w:hAnsi="宋体" w:cs="宋体"/>
                <w:kern w:val="0"/>
                <w:szCs w:val="21"/>
                <w:lang w:bidi="ar"/>
              </w:rPr>
              <w:t>3.0GHz</w:t>
            </w:r>
            <w:r>
              <w:rPr>
                <w:rFonts w:ascii="宋体" w:hAnsi="宋体" w:cs="宋体" w:hint="eastAsia"/>
                <w:kern w:val="0"/>
                <w:szCs w:val="21"/>
                <w:lang w:bidi="ar"/>
              </w:rPr>
              <w:t>范围内选定频点</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最小探测距离</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≤1</w:t>
            </w:r>
            <w:r>
              <w:rPr>
                <w:rFonts w:ascii="宋体" w:hAnsi="宋体" w:cs="宋体" w:hint="eastAsia"/>
                <w:kern w:val="0"/>
                <w:szCs w:val="21"/>
                <w:lang w:bidi="ar"/>
              </w:rPr>
              <w:t>km</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val="restart"/>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天线扫描范围</w:t>
            </w: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方位</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w:t>
            </w:r>
            <w:r>
              <w:rPr>
                <w:rFonts w:ascii="宋体" w:hAnsi="宋体" w:cs="宋体" w:hint="eastAsia"/>
                <w:kern w:val="0"/>
                <w:szCs w:val="21"/>
                <w:lang w:bidi="ar"/>
              </w:rPr>
              <w:t>～</w:t>
            </w:r>
            <w:r>
              <w:rPr>
                <w:rFonts w:ascii="宋体" w:hAnsi="宋体" w:cs="宋体"/>
                <w:kern w:val="0"/>
                <w:szCs w:val="21"/>
                <w:lang w:bidi="ar"/>
              </w:rPr>
              <w:t>360°</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俯仰</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偏离</w:t>
            </w:r>
            <w:r>
              <w:rPr>
                <w:rFonts w:ascii="宋体" w:hAnsi="宋体" w:cs="宋体"/>
                <w:kern w:val="0"/>
                <w:szCs w:val="21"/>
                <w:lang w:bidi="ar"/>
              </w:rPr>
              <w:t>法向±20°</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电扫</w:t>
            </w: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val="restart"/>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探测距离范围（</w:t>
            </w:r>
            <w:r>
              <w:rPr>
                <w:rFonts w:ascii="宋体" w:hAnsi="宋体" w:cs="宋体"/>
                <w:kern w:val="0"/>
                <w:szCs w:val="21"/>
                <w:lang w:bidi="ar"/>
              </w:rPr>
              <w:t>km</w:t>
            </w:r>
            <w:r>
              <w:rPr>
                <w:rFonts w:ascii="宋体" w:hAnsi="宋体" w:cs="宋体" w:hint="eastAsia"/>
                <w:kern w:val="0"/>
                <w:szCs w:val="21"/>
                <w:lang w:bidi="ar"/>
              </w:rPr>
              <w:t>）</w:t>
            </w: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强度</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≥460(</w:t>
            </w:r>
            <w:r>
              <w:rPr>
                <w:rFonts w:ascii="宋体" w:hAnsi="宋体" w:cs="宋体" w:hint="eastAsia"/>
                <w:kern w:val="0"/>
                <w:szCs w:val="21"/>
                <w:lang w:bidi="ar"/>
              </w:rPr>
              <w:t>监测</w:t>
            </w:r>
            <w:r>
              <w:rPr>
                <w:rFonts w:ascii="宋体" w:hAnsi="宋体" w:cs="宋体"/>
                <w:kern w:val="0"/>
                <w:szCs w:val="21"/>
                <w:lang w:bidi="ar"/>
              </w:rPr>
              <w:t>)</w:t>
            </w:r>
            <w:r>
              <w:rPr>
                <w:rFonts w:ascii="宋体" w:hAnsi="宋体" w:cs="宋体" w:hint="eastAsia"/>
                <w:kern w:val="0"/>
                <w:szCs w:val="21"/>
                <w:lang w:bidi="ar"/>
              </w:rPr>
              <w:t>，</w:t>
            </w:r>
            <w:r>
              <w:rPr>
                <w:rFonts w:ascii="宋体" w:hAnsi="宋体" w:cs="宋体"/>
                <w:kern w:val="0"/>
                <w:szCs w:val="21"/>
                <w:lang w:bidi="ar"/>
              </w:rPr>
              <w:t>≥230(</w:t>
            </w:r>
            <w:r>
              <w:rPr>
                <w:rFonts w:ascii="宋体" w:hAnsi="宋体" w:cs="宋体" w:hint="eastAsia"/>
                <w:kern w:val="0"/>
                <w:szCs w:val="21"/>
                <w:lang w:bidi="ar"/>
              </w:rPr>
              <w:t>测量</w:t>
            </w:r>
            <w:r>
              <w:rPr>
                <w:rFonts w:ascii="宋体" w:hAnsi="宋体" w:cs="宋体"/>
                <w:kern w:val="0"/>
                <w:szCs w:val="21"/>
                <w:lang w:bidi="ar"/>
              </w:rPr>
              <w:t>)</w:t>
            </w:r>
          </w:p>
        </w:tc>
        <w:tc>
          <w:tcPr>
            <w:tcW w:w="1590" w:type="dxa"/>
            <w:vMerge w:val="restart"/>
            <w:tcBorders>
              <w:top w:val="nil"/>
              <w:left w:val="single" w:sz="4" w:space="0" w:color="auto"/>
              <w:bottom w:val="single" w:sz="4" w:space="0" w:color="000000"/>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速度</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≥230</w:t>
            </w:r>
          </w:p>
        </w:tc>
        <w:tc>
          <w:tcPr>
            <w:tcW w:w="1590" w:type="dxa"/>
            <w:vMerge/>
            <w:tcBorders>
              <w:top w:val="nil"/>
              <w:left w:val="single" w:sz="4" w:space="0" w:color="auto"/>
              <w:bottom w:val="single" w:sz="4" w:space="0" w:color="000000"/>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谱宽</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≥230</w:t>
            </w:r>
          </w:p>
        </w:tc>
        <w:tc>
          <w:tcPr>
            <w:tcW w:w="1590" w:type="dxa"/>
            <w:vMerge/>
            <w:tcBorders>
              <w:top w:val="nil"/>
              <w:left w:val="single" w:sz="4" w:space="0" w:color="auto"/>
              <w:bottom w:val="single" w:sz="4" w:space="0" w:color="000000"/>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极化参数</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≥230</w:t>
            </w:r>
          </w:p>
        </w:tc>
        <w:tc>
          <w:tcPr>
            <w:tcW w:w="1590" w:type="dxa"/>
            <w:vMerge/>
            <w:tcBorders>
              <w:top w:val="nil"/>
              <w:left w:val="single" w:sz="4" w:space="0" w:color="auto"/>
              <w:bottom w:val="single" w:sz="4" w:space="0" w:color="000000"/>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探测高度（</w:t>
            </w:r>
            <w:r>
              <w:rPr>
                <w:rFonts w:ascii="宋体" w:hAnsi="宋体" w:cs="宋体"/>
                <w:kern w:val="0"/>
                <w:szCs w:val="21"/>
                <w:lang w:bidi="ar"/>
              </w:rPr>
              <w:t>km</w:t>
            </w:r>
            <w:r>
              <w:rPr>
                <w:rFonts w:ascii="宋体" w:hAnsi="宋体" w:cs="宋体" w:hint="eastAsia"/>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≥24</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val="restart"/>
            <w:tcBorders>
              <w:top w:val="nil"/>
              <w:left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测量范围</w:t>
            </w: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强度值</w:t>
            </w:r>
            <w:r>
              <w:rPr>
                <w:rFonts w:ascii="宋体" w:hAnsi="宋体" w:cs="宋体"/>
                <w:kern w:val="0"/>
                <w:szCs w:val="21"/>
                <w:lang w:bidi="ar"/>
              </w:rPr>
              <w:t>(dBZ)</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-35</w:t>
            </w:r>
            <w:r>
              <w:rPr>
                <w:rFonts w:ascii="宋体" w:hAnsi="宋体" w:cs="宋体" w:hint="eastAsia"/>
                <w:kern w:val="0"/>
                <w:szCs w:val="21"/>
                <w:lang w:bidi="ar"/>
              </w:rPr>
              <w:t>～</w:t>
            </w:r>
            <w:r>
              <w:rPr>
                <w:rFonts w:ascii="宋体" w:hAnsi="宋体" w:cs="宋体"/>
                <w:kern w:val="0"/>
                <w:szCs w:val="21"/>
                <w:lang w:bidi="ar"/>
              </w:rPr>
              <w:t>75</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速度值</w:t>
            </w:r>
            <w:r>
              <w:rPr>
                <w:rFonts w:ascii="宋体" w:hAnsi="宋体" w:cs="宋体"/>
                <w:kern w:val="0"/>
                <w:szCs w:val="21"/>
                <w:lang w:bidi="ar"/>
              </w:rPr>
              <w:t>(m/s)</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-48</w:t>
            </w:r>
            <w:r>
              <w:rPr>
                <w:rFonts w:ascii="宋体" w:hAnsi="宋体" w:cs="宋体" w:hint="eastAsia"/>
                <w:kern w:val="0"/>
                <w:szCs w:val="21"/>
                <w:lang w:bidi="ar"/>
              </w:rPr>
              <w:t>～</w:t>
            </w:r>
            <w:r>
              <w:rPr>
                <w:rFonts w:ascii="宋体" w:hAnsi="宋体" w:cs="宋体"/>
                <w:kern w:val="0"/>
                <w:szCs w:val="21"/>
                <w:lang w:bidi="ar"/>
              </w:rPr>
              <w:t>48</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谱宽值</w:t>
            </w:r>
            <w:r>
              <w:rPr>
                <w:rFonts w:ascii="宋体" w:hAnsi="宋体" w:cs="宋体"/>
                <w:kern w:val="0"/>
                <w:szCs w:val="21"/>
                <w:lang w:bidi="ar"/>
              </w:rPr>
              <w:t>(m/s)</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w:t>
            </w:r>
            <w:r>
              <w:rPr>
                <w:rFonts w:ascii="宋体" w:hAnsi="宋体" w:cs="宋体" w:hint="eastAsia"/>
                <w:kern w:val="0"/>
                <w:szCs w:val="21"/>
                <w:lang w:bidi="ar"/>
              </w:rPr>
              <w:t>～</w:t>
            </w:r>
            <w:r>
              <w:rPr>
                <w:rFonts w:ascii="宋体" w:hAnsi="宋体" w:cs="宋体"/>
                <w:kern w:val="0"/>
                <w:szCs w:val="21"/>
                <w:lang w:bidi="ar"/>
              </w:rPr>
              <w:t>16</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差分反射率</w:t>
            </w:r>
            <w:r>
              <w:rPr>
                <w:rFonts w:ascii="宋体" w:hAnsi="宋体" w:cs="宋体"/>
                <w:kern w:val="0"/>
                <w:szCs w:val="21"/>
                <w:lang w:bidi="ar"/>
              </w:rPr>
              <w:t>(dB)</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-8.0</w:t>
            </w:r>
            <w:r>
              <w:rPr>
                <w:rFonts w:ascii="宋体" w:hAnsi="宋体" w:cs="宋体" w:hint="eastAsia"/>
                <w:kern w:val="0"/>
                <w:szCs w:val="21"/>
                <w:lang w:bidi="ar"/>
              </w:rPr>
              <w:t>～</w:t>
            </w:r>
            <w:r>
              <w:rPr>
                <w:rFonts w:ascii="宋体" w:hAnsi="宋体" w:cs="宋体"/>
                <w:kern w:val="0"/>
                <w:szCs w:val="21"/>
                <w:lang w:bidi="ar"/>
              </w:rPr>
              <w:t>8.0</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相关系数</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w:t>
            </w:r>
            <w:r>
              <w:rPr>
                <w:rFonts w:ascii="宋体" w:hAnsi="宋体" w:cs="宋体" w:hint="eastAsia"/>
                <w:kern w:val="0"/>
                <w:szCs w:val="21"/>
                <w:lang w:bidi="ar"/>
              </w:rPr>
              <w:t>～</w:t>
            </w:r>
            <w:r>
              <w:rPr>
                <w:rFonts w:ascii="宋体" w:hAnsi="宋体" w:cs="宋体"/>
                <w:kern w:val="0"/>
                <w:szCs w:val="21"/>
                <w:lang w:bidi="ar"/>
              </w:rPr>
              <w:t>1.0</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差分传播相移</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w:t>
            </w:r>
            <w:r>
              <w:rPr>
                <w:rFonts w:ascii="宋体" w:hAnsi="宋体" w:cs="宋体" w:hint="eastAsia"/>
                <w:kern w:val="0"/>
                <w:szCs w:val="21"/>
                <w:lang w:bidi="ar"/>
              </w:rPr>
              <w:t>～</w:t>
            </w:r>
            <w:r>
              <w:rPr>
                <w:rFonts w:ascii="宋体" w:hAnsi="宋体" w:cs="宋体"/>
                <w:kern w:val="0"/>
                <w:szCs w:val="21"/>
                <w:lang w:bidi="ar"/>
              </w:rPr>
              <w:t>360</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差分传播相移率</w:t>
            </w:r>
            <w:r>
              <w:rPr>
                <w:rFonts w:ascii="宋体" w:hAnsi="宋体" w:cs="宋体"/>
                <w:kern w:val="0"/>
                <w:szCs w:val="21"/>
                <w:lang w:bidi="ar"/>
              </w:rPr>
              <w:t>(°/km)</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-2</w:t>
            </w:r>
            <w:r>
              <w:rPr>
                <w:rFonts w:ascii="宋体" w:hAnsi="宋体" w:cs="宋体" w:hint="eastAsia"/>
                <w:kern w:val="0"/>
                <w:szCs w:val="21"/>
                <w:lang w:bidi="ar"/>
              </w:rPr>
              <w:t>～</w:t>
            </w:r>
            <w:r>
              <w:rPr>
                <w:rFonts w:ascii="宋体" w:hAnsi="宋体" w:cs="宋体"/>
                <w:kern w:val="0"/>
                <w:szCs w:val="21"/>
                <w:lang w:bidi="ar"/>
              </w:rPr>
              <w:t>10</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nil"/>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距离库长</w:t>
            </w:r>
            <w:r>
              <w:rPr>
                <w:rFonts w:ascii="宋体" w:hAnsi="宋体" w:cs="宋体"/>
                <w:kern w:val="0"/>
                <w:szCs w:val="21"/>
                <w:lang w:bidi="ar"/>
              </w:rPr>
              <w:t>(m)</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31.25m/</w:t>
            </w:r>
            <w:r>
              <w:rPr>
                <w:rFonts w:ascii="宋体" w:hAnsi="宋体" w:cs="宋体"/>
                <w:kern w:val="0"/>
                <w:szCs w:val="21"/>
                <w:lang w:bidi="ar"/>
              </w:rPr>
              <w:t>62.5m/125m/250m/1000m</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nil"/>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系统动态范围</w:t>
            </w:r>
            <w:r>
              <w:rPr>
                <w:rFonts w:ascii="宋体" w:hAnsi="宋体" w:cs="宋体"/>
                <w:kern w:val="0"/>
                <w:szCs w:val="21"/>
                <w:lang w:bidi="ar"/>
              </w:rPr>
              <w:t>(dB)</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≥110</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000000"/>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系统相位噪声</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≤0.06</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地物杂波抑制能力</w:t>
            </w:r>
            <w:r>
              <w:rPr>
                <w:rFonts w:ascii="宋体" w:hAnsi="宋体" w:cs="宋体"/>
                <w:kern w:val="0"/>
                <w:szCs w:val="21"/>
                <w:lang w:bidi="ar"/>
              </w:rPr>
              <w:t>(dB)</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≥50.0</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val="restart"/>
            <w:tcBorders>
              <w:top w:val="nil"/>
              <w:left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定位标准差</w:t>
            </w: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距离</w:t>
            </w:r>
            <w:r>
              <w:rPr>
                <w:rFonts w:ascii="宋体" w:hAnsi="宋体" w:cs="宋体"/>
                <w:kern w:val="0"/>
                <w:szCs w:val="21"/>
                <w:lang w:bidi="ar"/>
              </w:rPr>
              <w:t>(m)</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≤50</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方位</w:t>
            </w:r>
            <w:r>
              <w:rPr>
                <w:rFonts w:ascii="宋体" w:hAnsi="宋体" w:cs="宋体"/>
                <w:kern w:val="0"/>
                <w:szCs w:val="21"/>
                <w:lang w:bidi="ar"/>
              </w:rPr>
              <w:t>(°)</w:t>
            </w:r>
          </w:p>
        </w:tc>
        <w:tc>
          <w:tcPr>
            <w:tcW w:w="3261" w:type="dxa"/>
            <w:vMerge w:val="restart"/>
            <w:tcBorders>
              <w:top w:val="nil"/>
              <w:left w:val="nil"/>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≤0.05</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bottom w:val="single" w:sz="4" w:space="0" w:color="000000"/>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俯仰</w:t>
            </w:r>
            <w:r>
              <w:rPr>
                <w:rFonts w:ascii="宋体" w:hAnsi="宋体" w:cs="宋体"/>
                <w:kern w:val="0"/>
                <w:szCs w:val="21"/>
                <w:lang w:bidi="ar"/>
              </w:rPr>
              <w:t>(°)</w:t>
            </w:r>
          </w:p>
        </w:tc>
        <w:tc>
          <w:tcPr>
            <w:tcW w:w="3261" w:type="dxa"/>
            <w:vMerge/>
            <w:tcBorders>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val="restart"/>
            <w:tcBorders>
              <w:top w:val="nil"/>
              <w:left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基数据偏差</w:t>
            </w: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强度</w:t>
            </w:r>
            <w:r>
              <w:rPr>
                <w:rFonts w:ascii="宋体" w:hAnsi="宋体" w:cs="宋体"/>
                <w:kern w:val="0"/>
                <w:szCs w:val="21"/>
                <w:lang w:bidi="ar"/>
              </w:rPr>
              <w:t>(dB)</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≤1.0</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速度（m</w:t>
            </w:r>
            <w:r>
              <w:rPr>
                <w:rFonts w:ascii="宋体" w:hAnsi="宋体" w:cs="宋体"/>
                <w:kern w:val="0"/>
                <w:szCs w:val="21"/>
                <w:lang w:bidi="ar"/>
              </w:rPr>
              <w:t>/s</w:t>
            </w:r>
            <w:r>
              <w:rPr>
                <w:rFonts w:ascii="宋体" w:hAnsi="宋体" w:cs="宋体" w:hint="eastAsia"/>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谱宽（m</w:t>
            </w:r>
            <w:r>
              <w:rPr>
                <w:rFonts w:ascii="宋体" w:hAnsi="宋体" w:cs="宋体"/>
                <w:kern w:val="0"/>
                <w:szCs w:val="21"/>
                <w:lang w:bidi="ar"/>
              </w:rPr>
              <w:t>/s</w:t>
            </w:r>
            <w:r>
              <w:rPr>
                <w:rFonts w:ascii="宋体" w:hAnsi="宋体" w:cs="宋体" w:hint="eastAsia"/>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≤0.5</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差分反射率（d</w:t>
            </w:r>
            <w:r>
              <w:rPr>
                <w:rFonts w:ascii="宋体" w:hAnsi="宋体" w:cs="宋体"/>
                <w:kern w:val="0"/>
                <w:szCs w:val="21"/>
                <w:lang w:bidi="ar"/>
              </w:rPr>
              <w:t>B</w:t>
            </w:r>
            <w:r>
              <w:rPr>
                <w:rFonts w:ascii="宋体" w:hAnsi="宋体" w:cs="宋体" w:hint="eastAsia"/>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≤0.2</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相关系数</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≤0.01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left w:val="single" w:sz="4" w:space="0" w:color="auto"/>
              <w:bottom w:val="single" w:sz="4" w:space="0" w:color="000000"/>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差分传播相移</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≤2</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val="restart"/>
            <w:tcBorders>
              <w:top w:val="nil"/>
              <w:left w:val="single" w:sz="4" w:space="0" w:color="auto"/>
              <w:bottom w:val="single" w:sz="4" w:space="0" w:color="000000"/>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基数据标准</w:t>
            </w:r>
            <w:r>
              <w:rPr>
                <w:rFonts w:ascii="宋体" w:hAnsi="宋体" w:cs="宋体" w:hint="eastAsia"/>
                <w:kern w:val="0"/>
                <w:szCs w:val="21"/>
                <w:lang w:bidi="ar"/>
              </w:rPr>
              <w:t>差</w:t>
            </w: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强度</w:t>
            </w:r>
            <w:r>
              <w:rPr>
                <w:rFonts w:ascii="宋体" w:hAnsi="宋体" w:cs="宋体"/>
                <w:kern w:val="0"/>
                <w:szCs w:val="21"/>
                <w:lang w:bidi="ar"/>
              </w:rPr>
              <w:t>(dB)</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000000"/>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速度</w:t>
            </w:r>
            <w:r>
              <w:rPr>
                <w:rFonts w:ascii="宋体" w:hAnsi="宋体" w:cs="宋体"/>
                <w:kern w:val="0"/>
                <w:szCs w:val="21"/>
                <w:lang w:bidi="ar"/>
              </w:rPr>
              <w:t>(m/s)</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000000"/>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谱宽</w:t>
            </w:r>
            <w:r>
              <w:rPr>
                <w:rFonts w:ascii="宋体" w:hAnsi="宋体" w:cs="宋体"/>
                <w:kern w:val="0"/>
                <w:szCs w:val="21"/>
                <w:lang w:bidi="ar"/>
              </w:rPr>
              <w:t>(m/s)</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w:t>
            </w:r>
            <w:r>
              <w:rPr>
                <w:rFonts w:ascii="宋体" w:hAnsi="宋体" w:cs="宋体"/>
                <w:kern w:val="0"/>
                <w:szCs w:val="21"/>
                <w:lang w:bidi="ar"/>
              </w:rPr>
              <w:t>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000000"/>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差分反射率（dB</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≤0</w:t>
            </w:r>
            <w:r>
              <w:rPr>
                <w:rFonts w:ascii="宋体" w:hAnsi="宋体" w:cs="宋体"/>
                <w:kern w:val="0"/>
                <w:szCs w:val="21"/>
                <w:lang w:bidi="ar"/>
              </w:rPr>
              <w:t>.4</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000000"/>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相关系数</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≤0.01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000000"/>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差分传播相移</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≤3.0</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000000"/>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最小可测回波强度</w:t>
            </w:r>
            <w:r>
              <w:rPr>
                <w:rFonts w:ascii="宋体" w:hAnsi="宋体" w:cs="宋体"/>
                <w:kern w:val="0"/>
                <w:szCs w:val="21"/>
                <w:lang w:bidi="ar"/>
              </w:rPr>
              <w:t>(dBZ)</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≤-5</w:t>
            </w:r>
            <w:r>
              <w:rPr>
                <w:rFonts w:ascii="宋体" w:hAnsi="宋体" w:cs="宋体" w:hint="eastAsia"/>
                <w:kern w:val="0"/>
                <w:szCs w:val="21"/>
                <w:lang w:bidi="ar"/>
              </w:rPr>
              <w:t>.0</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1.57us脉冲</w:t>
            </w:r>
            <w:r>
              <w:rPr>
                <w:rFonts w:ascii="宋体" w:hAnsi="宋体" w:cs="宋体"/>
                <w:kern w:val="0"/>
                <w:szCs w:val="21"/>
                <w:lang w:bidi="ar"/>
              </w:rPr>
              <w:t>@ 50km</w:t>
            </w: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000000"/>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校准后EIRP偏差（dB</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≤0</w:t>
            </w:r>
            <w:r>
              <w:rPr>
                <w:rFonts w:ascii="宋体" w:hAnsi="宋体" w:cs="宋体"/>
                <w:kern w:val="0"/>
                <w:szCs w:val="21"/>
                <w:lang w:bidi="ar"/>
              </w:rPr>
              <w:t>.</w:t>
            </w:r>
            <w:r>
              <w:rPr>
                <w:rFonts w:ascii="宋体" w:hAnsi="宋体" w:cs="宋体" w:hint="eastAsia"/>
                <w:kern w:val="0"/>
                <w:szCs w:val="21"/>
                <w:lang w:bidi="ar"/>
              </w:rPr>
              <w:t>8</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000000"/>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校准后G/T偏差（dB</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≤0</w:t>
            </w:r>
            <w:r>
              <w:rPr>
                <w:rFonts w:ascii="宋体" w:hAnsi="宋体" w:cs="宋体"/>
                <w:kern w:val="0"/>
                <w:szCs w:val="21"/>
                <w:lang w:bidi="ar"/>
              </w:rPr>
              <w:t>.</w:t>
            </w:r>
            <w:r>
              <w:rPr>
                <w:rFonts w:ascii="宋体" w:hAnsi="宋体" w:cs="宋体" w:hint="eastAsia"/>
                <w:kern w:val="0"/>
                <w:szCs w:val="21"/>
                <w:lang w:bidi="ar"/>
              </w:rPr>
              <w:t>8</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000000"/>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退距离模糊恢复比例</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≥60%</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val="restart"/>
            <w:tcBorders>
              <w:top w:val="nil"/>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数据分辨力</w:t>
            </w: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方位角</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≤0.01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俯仰角</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≤0.01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强度</w:t>
            </w:r>
            <w:r>
              <w:rPr>
                <w:rFonts w:ascii="宋体" w:hAnsi="宋体" w:cs="宋体"/>
                <w:kern w:val="0"/>
                <w:szCs w:val="21"/>
                <w:lang w:bidi="ar"/>
              </w:rPr>
              <w:t>(dBZ)</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速度</w:t>
            </w:r>
            <w:r>
              <w:rPr>
                <w:rFonts w:ascii="宋体" w:hAnsi="宋体" w:cs="宋体"/>
                <w:kern w:val="0"/>
                <w:szCs w:val="21"/>
                <w:lang w:bidi="ar"/>
              </w:rPr>
              <w:t>(m/s)</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谱宽</w:t>
            </w:r>
            <w:r>
              <w:rPr>
                <w:rFonts w:ascii="宋体" w:hAnsi="宋体" w:cs="宋体"/>
                <w:kern w:val="0"/>
                <w:szCs w:val="21"/>
                <w:lang w:bidi="ar"/>
              </w:rPr>
              <w:t>(m/s)</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差分反射率</w:t>
            </w:r>
            <w:r>
              <w:rPr>
                <w:rFonts w:ascii="宋体" w:hAnsi="宋体" w:cs="宋体"/>
                <w:kern w:val="0"/>
                <w:szCs w:val="21"/>
                <w:lang w:bidi="ar"/>
              </w:rPr>
              <w:t>(dB)</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≤0.01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相关系数</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≤0.001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差分传播相移</w:t>
            </w:r>
            <w:r>
              <w:rPr>
                <w:rFonts w:ascii="宋体" w:hAnsi="宋体" w:cs="宋体"/>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1198" w:type="dxa"/>
            <w:vMerge/>
            <w:tcBorders>
              <w:top w:val="nil"/>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c>
          <w:tcPr>
            <w:tcW w:w="277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差分传播相移率</w:t>
            </w:r>
            <w:r>
              <w:rPr>
                <w:rFonts w:ascii="宋体" w:hAnsi="宋体" w:cs="宋体"/>
                <w:kern w:val="0"/>
                <w:szCs w:val="21"/>
                <w:lang w:bidi="ar"/>
              </w:rPr>
              <w:t>(°/km)</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≤0.01</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nil"/>
              <w:right w:val="single" w:sz="4" w:space="0" w:color="000000"/>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平均无故障时间（</w:t>
            </w:r>
            <w:r>
              <w:rPr>
                <w:rFonts w:ascii="宋体" w:hAnsi="宋体" w:cs="宋体"/>
                <w:kern w:val="0"/>
                <w:szCs w:val="21"/>
                <w:lang w:bidi="ar"/>
              </w:rPr>
              <w:t>h</w:t>
            </w:r>
            <w:r>
              <w:rPr>
                <w:rFonts w:ascii="宋体" w:hAnsi="宋体" w:cs="宋体" w:hint="eastAsia"/>
                <w:kern w:val="0"/>
                <w:szCs w:val="21"/>
                <w:lang w:bidi="ar"/>
              </w:rPr>
              <w:t>）</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≥5000</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630"/>
          <w:jc w:val="center"/>
        </w:trPr>
        <w:tc>
          <w:tcPr>
            <w:tcW w:w="3969"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输出参数</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Z</w:t>
            </w:r>
            <w:r>
              <w:rPr>
                <w:rFonts w:ascii="宋体" w:hAnsi="宋体" w:cs="宋体" w:hint="eastAsia"/>
                <w:kern w:val="0"/>
                <w:szCs w:val="21"/>
                <w:lang w:bidi="ar"/>
              </w:rPr>
              <w:t>、</w:t>
            </w:r>
            <w:r>
              <w:rPr>
                <w:rFonts w:ascii="宋体" w:hAnsi="宋体" w:cs="宋体"/>
                <w:kern w:val="0"/>
                <w:szCs w:val="21"/>
                <w:lang w:bidi="ar"/>
              </w:rPr>
              <w:t>V</w:t>
            </w:r>
            <w:r>
              <w:rPr>
                <w:rFonts w:ascii="宋体" w:hAnsi="宋体" w:cs="宋体" w:hint="eastAsia"/>
                <w:kern w:val="0"/>
                <w:szCs w:val="21"/>
                <w:lang w:bidi="ar"/>
              </w:rPr>
              <w:t>、</w:t>
            </w:r>
            <w:r>
              <w:rPr>
                <w:rFonts w:ascii="宋体" w:hAnsi="宋体" w:cs="宋体"/>
                <w:kern w:val="0"/>
                <w:szCs w:val="21"/>
                <w:lang w:bidi="ar"/>
              </w:rPr>
              <w:t>W</w:t>
            </w:r>
            <w:r>
              <w:rPr>
                <w:rFonts w:ascii="宋体" w:hAnsi="宋体" w:cs="宋体" w:hint="eastAsia"/>
                <w:kern w:val="0"/>
                <w:szCs w:val="21"/>
                <w:lang w:bidi="ar"/>
              </w:rPr>
              <w:t>、</w:t>
            </w:r>
            <w:r>
              <w:rPr>
                <w:rFonts w:ascii="宋体" w:hAnsi="宋体" w:cs="宋体"/>
                <w:kern w:val="0"/>
                <w:szCs w:val="21"/>
                <w:lang w:bidi="ar"/>
              </w:rPr>
              <w:t>ZDR</w:t>
            </w:r>
            <w:r>
              <w:rPr>
                <w:rFonts w:ascii="宋体" w:hAnsi="宋体" w:cs="宋体" w:hint="eastAsia"/>
                <w:kern w:val="0"/>
                <w:szCs w:val="21"/>
                <w:lang w:bidi="ar"/>
              </w:rPr>
              <w:t>、</w:t>
            </w:r>
            <w:r>
              <w:rPr>
                <w:rFonts w:ascii="宋体" w:hAnsi="宋体" w:cs="宋体"/>
                <w:kern w:val="0"/>
                <w:szCs w:val="21"/>
                <w:lang w:bidi="ar"/>
              </w:rPr>
              <w:t>ΦDP</w:t>
            </w:r>
            <w:r>
              <w:rPr>
                <w:rFonts w:ascii="宋体" w:hAnsi="宋体" w:cs="宋体" w:hint="eastAsia"/>
                <w:kern w:val="0"/>
                <w:szCs w:val="21"/>
                <w:lang w:bidi="ar"/>
              </w:rPr>
              <w:t>、</w:t>
            </w:r>
            <w:r>
              <w:rPr>
                <w:rFonts w:ascii="宋体" w:hAnsi="宋体" w:cs="宋体"/>
                <w:kern w:val="0"/>
                <w:szCs w:val="21"/>
                <w:lang w:bidi="ar"/>
              </w:rPr>
              <w:t>KDP</w:t>
            </w:r>
            <w:r>
              <w:rPr>
                <w:rFonts w:ascii="宋体" w:hAnsi="宋体" w:cs="宋体" w:hint="eastAsia"/>
                <w:kern w:val="0"/>
                <w:szCs w:val="21"/>
                <w:lang w:bidi="ar"/>
              </w:rPr>
              <w:t>、</w:t>
            </w:r>
            <w:r>
              <w:rPr>
                <w:rFonts w:ascii="宋体" w:hAnsi="宋体" w:cs="宋体"/>
                <w:kern w:val="0"/>
                <w:szCs w:val="21"/>
                <w:lang w:bidi="ar"/>
              </w:rPr>
              <w:t>ρHV</w:t>
            </w:r>
            <w:r>
              <w:rPr>
                <w:rFonts w:ascii="宋体" w:hAnsi="宋体" w:cs="宋体" w:hint="eastAsia"/>
                <w:kern w:val="0"/>
                <w:szCs w:val="21"/>
                <w:lang w:bidi="ar"/>
              </w:rPr>
              <w:t>、</w:t>
            </w:r>
            <w:r>
              <w:rPr>
                <w:rFonts w:ascii="宋体" w:hAnsi="宋体" w:cs="宋体"/>
                <w:kern w:val="0"/>
                <w:szCs w:val="21"/>
                <w:lang w:bidi="ar"/>
              </w:rPr>
              <w:t>SNR</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体扫时间</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≤90s</w:t>
            </w:r>
            <w:r>
              <w:rPr>
                <w:rFonts w:ascii="宋体" w:hAnsi="宋体" w:cs="宋体" w:hint="eastAsia"/>
                <w:kern w:val="0"/>
                <w:szCs w:val="21"/>
                <w:lang w:bidi="ar"/>
              </w:rPr>
              <w:t>（扫描层数不低于</w:t>
            </w:r>
            <w:r>
              <w:rPr>
                <w:rFonts w:ascii="宋体" w:hAnsi="宋体" w:cs="宋体"/>
                <w:kern w:val="0"/>
                <w:szCs w:val="21"/>
                <w:lang w:bidi="ar"/>
              </w:rPr>
              <w:t xml:space="preserve"> 20 </w:t>
            </w:r>
            <w:r>
              <w:rPr>
                <w:rFonts w:ascii="宋体" w:hAnsi="宋体" w:cs="宋体" w:hint="eastAsia"/>
                <w:kern w:val="0"/>
                <w:szCs w:val="21"/>
                <w:lang w:bidi="ar"/>
              </w:rPr>
              <w:t>层）</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连续工作时间</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24h</w:t>
            </w:r>
            <w:r>
              <w:rPr>
                <w:rFonts w:ascii="宋体" w:hAnsi="宋体" w:cs="宋体" w:hint="eastAsia"/>
                <w:kern w:val="0"/>
                <w:szCs w:val="21"/>
                <w:lang w:bidi="ar"/>
              </w:rPr>
              <w:t>连续运行</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8820" w:type="dxa"/>
          <w:jc w:val="center"/>
          <w:tblLayout w:type="fixed"/>
          <w:tblCellMar>
            <w:top w:w="0" w:type="dxa"/>
            <w:left w:w="108" w:type="dxa"/>
            <w:bottom w:w="0" w:type="dxa"/>
            <w:right w:w="108" w:type="dxa"/>
          </w:tblCellMar>
        </w:tblPrEx>
        <w:trPr>
          <w:cantSplit/>
          <w:trHeight w:val="315"/>
          <w:jc w:val="center"/>
        </w:trPr>
        <w:tc>
          <w:tcPr>
            <w:tcW w:w="3969"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整机寿命</w:t>
            </w:r>
            <w:r>
              <w:rPr>
                <w:rFonts w:ascii="宋体" w:hAnsi="宋体" w:cs="宋体"/>
                <w:kern w:val="0"/>
                <w:szCs w:val="21"/>
                <w:lang w:bidi="ar"/>
              </w:rPr>
              <w:t>(a)</w:t>
            </w:r>
          </w:p>
        </w:tc>
        <w:tc>
          <w:tcPr>
            <w:tcW w:w="3261"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≥19</w:t>
            </w:r>
          </w:p>
        </w:tc>
        <w:tc>
          <w:tcPr>
            <w:tcW w:w="1590" w:type="dxa"/>
            <w:tcBorders>
              <w:top w:val="nil"/>
              <w:left w:val="nil"/>
              <w:bottom w:val="single" w:sz="4" w:space="0" w:color="auto"/>
              <w:right w:val="single" w:sz="4" w:space="0" w:color="auto"/>
            </w:tcBorders>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“a”</w:t>
            </w:r>
            <w:r>
              <w:rPr>
                <w:rFonts w:ascii="宋体" w:hAnsi="宋体" w:cs="宋体" w:hint="eastAsia"/>
                <w:kern w:val="0"/>
                <w:szCs w:val="21"/>
                <w:lang w:bidi="ar"/>
              </w:rPr>
              <w:t>表示</w:t>
            </w:r>
            <w:r>
              <w:rPr>
                <w:rFonts w:ascii="宋体" w:hAnsi="宋体" w:cs="宋体"/>
                <w:kern w:val="0"/>
                <w:szCs w:val="21"/>
                <w:lang w:bidi="ar"/>
              </w:rPr>
              <w:t>“</w:t>
            </w:r>
            <w:r>
              <w:rPr>
                <w:rFonts w:ascii="宋体" w:hAnsi="宋体" w:cs="宋体" w:hint="eastAsia"/>
                <w:kern w:val="0"/>
                <w:szCs w:val="21"/>
                <w:lang w:bidi="ar"/>
              </w:rPr>
              <w:t>年</w:t>
            </w:r>
            <w:r>
              <w:rPr>
                <w:rFonts w:ascii="宋体" w:hAnsi="宋体" w:cs="宋体"/>
                <w:kern w:val="0"/>
                <w:szCs w:val="21"/>
                <w:lang w:bidi="ar"/>
              </w:rPr>
              <w:t>”</w:t>
            </w:r>
          </w:p>
        </w:tc>
      </w:tr>
    </w:tbl>
    <w:p>
      <w:pPr>
        <w:rPr>
          <w:rFonts w:hint="eastAsia"/>
        </w:rPr>
      </w:pPr>
    </w:p>
    <w:p>
      <w:pPr>
        <w:ind w:firstLine="420" w:firstLineChars="200"/>
        <w:rPr>
          <w:rFonts w:ascii="宋体" w:hAnsi="宋体" w:hint="eastAsia"/>
          <w:szCs w:val="21"/>
        </w:rPr>
      </w:pPr>
      <w:r>
        <w:rPr>
          <w:rFonts w:ascii="宋体" w:hAnsi="宋体" w:hint="eastAsia"/>
          <w:szCs w:val="21"/>
        </w:rPr>
        <w:t>机外远场标定系统基于远场有源标定技术和无人机金属球标定技术，实现对待测S波段相控阵雷达天线的辐射方向图、波束宽度、旁瓣电平、极化隔离度、EIRP和G/T、发射性能、接收性能等系统指标的测量标定，还可以通过目标模拟实现对被测雷达距离、强度、速度、谱宽、偏振量等产品算法的检验</w:t>
      </w:r>
      <w:r>
        <w:rPr>
          <w:rFonts w:ascii="宋体" w:hAnsi="宋体"/>
          <w:szCs w:val="21"/>
        </w:rPr>
        <w:t>。</w:t>
      </w:r>
      <w:r>
        <w:rPr>
          <w:rFonts w:ascii="宋体" w:hAnsi="宋体" w:hint="eastAsia"/>
          <w:szCs w:val="21"/>
        </w:rPr>
        <w:t>实现</w:t>
      </w:r>
      <w:r>
        <w:rPr>
          <w:rFonts w:ascii="宋体" w:hAnsi="宋体"/>
          <w:szCs w:val="21"/>
        </w:rPr>
        <w:t>S波段</w:t>
      </w:r>
      <w:r>
        <w:rPr>
          <w:rFonts w:ascii="宋体" w:hAnsi="宋体" w:hint="eastAsia"/>
          <w:szCs w:val="21"/>
        </w:rPr>
        <w:t>相控阵天气</w:t>
      </w:r>
      <w:r>
        <w:rPr>
          <w:rFonts w:ascii="宋体" w:hAnsi="宋体"/>
          <w:szCs w:val="21"/>
        </w:rPr>
        <w:t>雷达远场标定</w:t>
      </w:r>
      <w:r>
        <w:rPr>
          <w:rFonts w:ascii="宋体" w:hAnsi="宋体" w:hint="eastAsia"/>
          <w:szCs w:val="21"/>
        </w:rPr>
        <w:t>，得出雷达系统误差</w:t>
      </w:r>
      <w:r>
        <w:rPr>
          <w:rFonts w:ascii="宋体" w:hAnsi="宋体"/>
          <w:szCs w:val="21"/>
        </w:rPr>
        <w:t>。</w:t>
      </w:r>
      <w:r>
        <w:rPr>
          <w:rFonts w:ascii="宋体" w:hAnsi="宋体" w:hint="eastAsia"/>
          <w:szCs w:val="21"/>
        </w:rPr>
        <w:t>机外远场有源标定系统功能如表2所示。</w:t>
      </w:r>
    </w:p>
    <w:p>
      <w:pPr>
        <w:pStyle w:val="-HCDC"/>
        <w:widowControl w:val="0"/>
        <w:numPr>
          <w:ilvl w:val="0"/>
          <w:numId w:val="18"/>
        </w:numPr>
        <w:tabs>
          <w:tab w:val="left" w:pos="567"/>
          <w:tab w:val="left" w:pos="720"/>
        </w:tabs>
        <w:spacing w:after="0" w:line="360" w:lineRule="auto"/>
        <w:ind w:left="720" w:hanging="720"/>
        <w:jc w:val="center"/>
        <w:rPr>
          <w:rFonts w:ascii="宋体" w:eastAsia="宋体" w:hAnsi="宋体" w:hint="eastAsia"/>
        </w:rPr>
      </w:pPr>
      <w:r>
        <w:rPr>
          <w:rFonts w:ascii="宋体" w:eastAsia="宋体" w:hAnsi="宋体" w:hint="eastAsia"/>
        </w:rPr>
        <w:t>有源远场外标定系统的标定项目表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32"/>
        <w:gridCol w:w="3701"/>
        <w:gridCol w:w="382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73"/>
          <w:jc w:val="center"/>
        </w:trPr>
        <w:tc>
          <w:tcPr>
            <w:tcW w:w="732"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序号</w:t>
            </w:r>
          </w:p>
        </w:tc>
        <w:tc>
          <w:tcPr>
            <w:tcW w:w="3701"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标定项目</w:t>
            </w:r>
          </w:p>
        </w:tc>
        <w:tc>
          <w:tcPr>
            <w:tcW w:w="382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说明</w:t>
            </w:r>
          </w:p>
        </w:tc>
      </w:tr>
      <w:tr>
        <w:tblPrEx>
          <w:tblW w:w="0" w:type="auto"/>
          <w:jc w:val="center"/>
          <w:tblLayout w:type="fixed"/>
          <w:tblCellMar>
            <w:top w:w="0" w:type="dxa"/>
            <w:left w:w="108" w:type="dxa"/>
            <w:bottom w:w="0" w:type="dxa"/>
            <w:right w:w="108" w:type="dxa"/>
          </w:tblCellMar>
        </w:tblPrEx>
        <w:trPr>
          <w:jc w:val="center"/>
        </w:trPr>
        <w:tc>
          <w:tcPr>
            <w:tcW w:w="732"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1</w:t>
            </w:r>
          </w:p>
        </w:tc>
        <w:tc>
          <w:tcPr>
            <w:tcW w:w="3701"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雷达辐射方向图</w:t>
            </w:r>
          </w:p>
        </w:tc>
        <w:tc>
          <w:tcPr>
            <w:tcW w:w="382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0" w:type="auto"/>
          <w:jc w:val="center"/>
          <w:tblLayout w:type="fixed"/>
          <w:tblCellMar>
            <w:top w:w="0" w:type="dxa"/>
            <w:left w:w="108" w:type="dxa"/>
            <w:bottom w:w="0" w:type="dxa"/>
            <w:right w:w="108" w:type="dxa"/>
          </w:tblCellMar>
        </w:tblPrEx>
        <w:trPr>
          <w:jc w:val="center"/>
        </w:trPr>
        <w:tc>
          <w:tcPr>
            <w:tcW w:w="732"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2</w:t>
            </w:r>
          </w:p>
        </w:tc>
        <w:tc>
          <w:tcPr>
            <w:tcW w:w="3701"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雷达合成辐射功率（E</w:t>
            </w:r>
            <w:r>
              <w:rPr>
                <w:rFonts w:ascii="宋体" w:hAnsi="宋体" w:cs="宋体"/>
                <w:kern w:val="0"/>
                <w:szCs w:val="21"/>
                <w:lang w:bidi="ar"/>
              </w:rPr>
              <w:t>IRP</w:t>
            </w:r>
            <w:r>
              <w:rPr>
                <w:rFonts w:ascii="宋体" w:hAnsi="宋体" w:cs="宋体" w:hint="eastAsia"/>
                <w:kern w:val="0"/>
                <w:szCs w:val="21"/>
                <w:lang w:bidi="ar"/>
              </w:rPr>
              <w:t>）</w:t>
            </w:r>
          </w:p>
        </w:tc>
        <w:tc>
          <w:tcPr>
            <w:tcW w:w="382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通过标定系统接收功率和空间位置反算</w:t>
            </w:r>
          </w:p>
        </w:tc>
      </w:tr>
      <w:tr>
        <w:tblPrEx>
          <w:tblW w:w="0" w:type="auto"/>
          <w:jc w:val="center"/>
          <w:tblLayout w:type="fixed"/>
          <w:tblCellMar>
            <w:top w:w="0" w:type="dxa"/>
            <w:left w:w="108" w:type="dxa"/>
            <w:bottom w:w="0" w:type="dxa"/>
            <w:right w:w="108" w:type="dxa"/>
          </w:tblCellMar>
        </w:tblPrEx>
        <w:trPr>
          <w:jc w:val="center"/>
        </w:trPr>
        <w:tc>
          <w:tcPr>
            <w:tcW w:w="732"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3</w:t>
            </w:r>
          </w:p>
        </w:tc>
        <w:tc>
          <w:tcPr>
            <w:tcW w:w="3701"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雷达波束宽度</w:t>
            </w:r>
          </w:p>
        </w:tc>
        <w:tc>
          <w:tcPr>
            <w:tcW w:w="382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方向图中测算参数</w:t>
            </w:r>
          </w:p>
        </w:tc>
      </w:tr>
      <w:tr>
        <w:tblPrEx>
          <w:tblW w:w="0" w:type="auto"/>
          <w:jc w:val="center"/>
          <w:tblLayout w:type="fixed"/>
          <w:tblCellMar>
            <w:top w:w="0" w:type="dxa"/>
            <w:left w:w="108" w:type="dxa"/>
            <w:bottom w:w="0" w:type="dxa"/>
            <w:right w:w="108" w:type="dxa"/>
          </w:tblCellMar>
        </w:tblPrEx>
        <w:trPr>
          <w:jc w:val="center"/>
        </w:trPr>
        <w:tc>
          <w:tcPr>
            <w:tcW w:w="732"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4</w:t>
            </w:r>
          </w:p>
        </w:tc>
        <w:tc>
          <w:tcPr>
            <w:tcW w:w="3701"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雷达波束指向</w:t>
            </w:r>
          </w:p>
        </w:tc>
        <w:tc>
          <w:tcPr>
            <w:tcW w:w="382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方向图中测算参数</w:t>
            </w:r>
          </w:p>
        </w:tc>
      </w:tr>
      <w:tr>
        <w:tblPrEx>
          <w:tblW w:w="0" w:type="auto"/>
          <w:jc w:val="center"/>
          <w:tblLayout w:type="fixed"/>
          <w:tblCellMar>
            <w:top w:w="0" w:type="dxa"/>
            <w:left w:w="108" w:type="dxa"/>
            <w:bottom w:w="0" w:type="dxa"/>
            <w:right w:w="108" w:type="dxa"/>
          </w:tblCellMar>
        </w:tblPrEx>
        <w:trPr>
          <w:jc w:val="center"/>
        </w:trPr>
        <w:tc>
          <w:tcPr>
            <w:tcW w:w="732"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5</w:t>
            </w:r>
          </w:p>
        </w:tc>
        <w:tc>
          <w:tcPr>
            <w:tcW w:w="3701"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雷达副瓣电平</w:t>
            </w:r>
          </w:p>
        </w:tc>
        <w:tc>
          <w:tcPr>
            <w:tcW w:w="382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方向图中测算参数</w:t>
            </w:r>
          </w:p>
        </w:tc>
      </w:tr>
      <w:tr>
        <w:tblPrEx>
          <w:tblW w:w="0" w:type="auto"/>
          <w:jc w:val="center"/>
          <w:tblLayout w:type="fixed"/>
          <w:tblCellMar>
            <w:top w:w="0" w:type="dxa"/>
            <w:left w:w="108" w:type="dxa"/>
            <w:bottom w:w="0" w:type="dxa"/>
            <w:right w:w="108" w:type="dxa"/>
          </w:tblCellMar>
        </w:tblPrEx>
        <w:trPr>
          <w:jc w:val="center"/>
        </w:trPr>
        <w:tc>
          <w:tcPr>
            <w:tcW w:w="732" w:type="dxa"/>
            <w:noWrap w:val="0"/>
            <w:vAlign w:val="top"/>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6</w:t>
            </w:r>
          </w:p>
        </w:tc>
        <w:tc>
          <w:tcPr>
            <w:tcW w:w="3701"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雷达极化隔离度</w:t>
            </w:r>
          </w:p>
        </w:tc>
        <w:tc>
          <w:tcPr>
            <w:tcW w:w="3827" w:type="dxa"/>
            <w:noWrap w:val="0"/>
            <w:vAlign w:val="top"/>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0" w:type="auto"/>
          <w:jc w:val="center"/>
          <w:tblLayout w:type="fixed"/>
          <w:tblCellMar>
            <w:top w:w="0" w:type="dxa"/>
            <w:left w:w="108" w:type="dxa"/>
            <w:bottom w:w="0" w:type="dxa"/>
            <w:right w:w="108" w:type="dxa"/>
          </w:tblCellMar>
        </w:tblPrEx>
        <w:trPr>
          <w:jc w:val="center"/>
        </w:trPr>
        <w:tc>
          <w:tcPr>
            <w:tcW w:w="732" w:type="dxa"/>
            <w:noWrap w:val="0"/>
            <w:vAlign w:val="top"/>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7</w:t>
            </w:r>
          </w:p>
        </w:tc>
        <w:tc>
          <w:tcPr>
            <w:tcW w:w="3701"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雷达G</w:t>
            </w:r>
            <w:r>
              <w:rPr>
                <w:rFonts w:ascii="宋体" w:hAnsi="宋体" w:cs="宋体"/>
                <w:kern w:val="0"/>
                <w:szCs w:val="21"/>
                <w:lang w:bidi="ar"/>
              </w:rPr>
              <w:t>/T</w:t>
            </w:r>
          </w:p>
        </w:tc>
        <w:tc>
          <w:tcPr>
            <w:tcW w:w="3827" w:type="dxa"/>
            <w:noWrap w:val="0"/>
            <w:vAlign w:val="top"/>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0" w:type="auto"/>
          <w:jc w:val="center"/>
          <w:tblLayout w:type="fixed"/>
          <w:tblCellMar>
            <w:top w:w="0" w:type="dxa"/>
            <w:left w:w="108" w:type="dxa"/>
            <w:bottom w:w="0" w:type="dxa"/>
            <w:right w:w="108" w:type="dxa"/>
          </w:tblCellMar>
        </w:tblPrEx>
        <w:trPr>
          <w:jc w:val="center"/>
        </w:trPr>
        <w:tc>
          <w:tcPr>
            <w:tcW w:w="732" w:type="dxa"/>
            <w:noWrap w:val="0"/>
            <w:vAlign w:val="top"/>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8</w:t>
            </w:r>
          </w:p>
        </w:tc>
        <w:tc>
          <w:tcPr>
            <w:tcW w:w="3701"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雷达发射脉冲测试</w:t>
            </w:r>
          </w:p>
        </w:tc>
        <w:tc>
          <w:tcPr>
            <w:tcW w:w="3827" w:type="dxa"/>
            <w:noWrap w:val="0"/>
            <w:vAlign w:val="top"/>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包络、重频、功率</w:t>
            </w:r>
          </w:p>
        </w:tc>
      </w:tr>
      <w:tr>
        <w:tblPrEx>
          <w:tblW w:w="0" w:type="auto"/>
          <w:jc w:val="center"/>
          <w:tblLayout w:type="fixed"/>
          <w:tblCellMar>
            <w:top w:w="0" w:type="dxa"/>
            <w:left w:w="108" w:type="dxa"/>
            <w:bottom w:w="0" w:type="dxa"/>
            <w:right w:w="108" w:type="dxa"/>
          </w:tblCellMar>
        </w:tblPrEx>
        <w:trPr>
          <w:jc w:val="center"/>
        </w:trPr>
        <w:tc>
          <w:tcPr>
            <w:tcW w:w="732" w:type="dxa"/>
            <w:noWrap w:val="0"/>
            <w:vAlign w:val="top"/>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9</w:t>
            </w:r>
          </w:p>
        </w:tc>
        <w:tc>
          <w:tcPr>
            <w:tcW w:w="3701"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双偏振发射幅相一致性</w:t>
            </w:r>
          </w:p>
        </w:tc>
        <w:tc>
          <w:tcPr>
            <w:tcW w:w="3827" w:type="dxa"/>
            <w:noWrap w:val="0"/>
            <w:vAlign w:val="top"/>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0" w:type="auto"/>
          <w:jc w:val="center"/>
          <w:tblLayout w:type="fixed"/>
          <w:tblCellMar>
            <w:top w:w="0" w:type="dxa"/>
            <w:left w:w="108" w:type="dxa"/>
            <w:bottom w:w="0" w:type="dxa"/>
            <w:right w:w="108" w:type="dxa"/>
          </w:tblCellMar>
        </w:tblPrEx>
        <w:trPr>
          <w:jc w:val="center"/>
        </w:trPr>
        <w:tc>
          <w:tcPr>
            <w:tcW w:w="732" w:type="dxa"/>
            <w:noWrap w:val="0"/>
            <w:vAlign w:val="top"/>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10</w:t>
            </w:r>
          </w:p>
        </w:tc>
        <w:tc>
          <w:tcPr>
            <w:tcW w:w="3701"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雷达接收灵敏度</w:t>
            </w:r>
          </w:p>
        </w:tc>
        <w:tc>
          <w:tcPr>
            <w:tcW w:w="3827" w:type="dxa"/>
            <w:noWrap w:val="0"/>
            <w:vAlign w:val="top"/>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0" w:type="auto"/>
          <w:jc w:val="center"/>
          <w:tblLayout w:type="fixed"/>
          <w:tblCellMar>
            <w:top w:w="0" w:type="dxa"/>
            <w:left w:w="108" w:type="dxa"/>
            <w:bottom w:w="0" w:type="dxa"/>
            <w:right w:w="108" w:type="dxa"/>
          </w:tblCellMar>
        </w:tblPrEx>
        <w:trPr>
          <w:jc w:val="center"/>
        </w:trPr>
        <w:tc>
          <w:tcPr>
            <w:tcW w:w="732" w:type="dxa"/>
            <w:noWrap w:val="0"/>
            <w:vAlign w:val="top"/>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11</w:t>
            </w:r>
          </w:p>
        </w:tc>
        <w:tc>
          <w:tcPr>
            <w:tcW w:w="3701"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双偏振接收幅相一致性</w:t>
            </w:r>
          </w:p>
        </w:tc>
        <w:tc>
          <w:tcPr>
            <w:tcW w:w="3827" w:type="dxa"/>
            <w:noWrap w:val="0"/>
            <w:vAlign w:val="top"/>
          </w:tcPr>
          <w:p>
            <w:pPr>
              <w:widowControl/>
              <w:adjustRightInd w:val="0"/>
              <w:snapToGrid w:val="0"/>
              <w:spacing w:line="360" w:lineRule="exact"/>
              <w:jc w:val="center"/>
              <w:textAlignment w:val="center"/>
              <w:rPr>
                <w:rFonts w:ascii="宋体" w:hAnsi="宋体" w:cs="宋体" w:hint="eastAsia"/>
                <w:kern w:val="0"/>
                <w:szCs w:val="21"/>
                <w:lang w:bidi="ar"/>
              </w:rPr>
            </w:pPr>
          </w:p>
        </w:tc>
      </w:tr>
      <w:tr>
        <w:tblPrEx>
          <w:tblW w:w="0" w:type="auto"/>
          <w:jc w:val="center"/>
          <w:tblLayout w:type="fixed"/>
          <w:tblCellMar>
            <w:top w:w="0" w:type="dxa"/>
            <w:left w:w="108" w:type="dxa"/>
            <w:bottom w:w="0" w:type="dxa"/>
            <w:right w:w="108" w:type="dxa"/>
          </w:tblCellMar>
        </w:tblPrEx>
        <w:trPr>
          <w:jc w:val="center"/>
        </w:trPr>
        <w:tc>
          <w:tcPr>
            <w:tcW w:w="732" w:type="dxa"/>
            <w:noWrap w:val="0"/>
            <w:vAlign w:val="top"/>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12</w:t>
            </w:r>
          </w:p>
        </w:tc>
        <w:tc>
          <w:tcPr>
            <w:tcW w:w="3701"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相控阵雷达系统产品算法检验</w:t>
            </w:r>
          </w:p>
        </w:tc>
        <w:tc>
          <w:tcPr>
            <w:tcW w:w="3827" w:type="dxa"/>
            <w:noWrap w:val="0"/>
            <w:vAlign w:val="top"/>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雷达距离、强度、速度、谱宽、偏振量</w:t>
            </w:r>
          </w:p>
        </w:tc>
      </w:tr>
    </w:tbl>
    <w:p>
      <w:pPr>
        <w:rPr>
          <w:rFonts w:hint="eastAsia"/>
        </w:rPr>
      </w:pPr>
    </w:p>
    <w:p>
      <w:pPr>
        <w:ind w:firstLine="420" w:firstLineChars="200"/>
        <w:rPr>
          <w:rFonts w:ascii="宋体" w:hAnsi="宋体" w:hint="eastAsia"/>
          <w:szCs w:val="21"/>
        </w:rPr>
      </w:pPr>
      <w:r>
        <w:rPr>
          <w:rFonts w:ascii="宋体" w:hAnsi="宋体" w:hint="eastAsia"/>
          <w:szCs w:val="21"/>
        </w:rPr>
        <w:t>机外远场标定系统具备对相控阵雷达的天线、发射、接收等系统性能指标的标定测试功能。机外远场标定系统测试内容包括发射功率、脉冲宽度、脉冲重复频率、EIRP、天线波束宽度、天线增益、天线旁瓣、波束指向、差分反射率因子、差分相位等参数的标定测试，并具备点目标模拟功能，可模拟点目标距离、强度、谱宽、速度、双偏振参量等，详见表3。</w:t>
      </w:r>
    </w:p>
    <w:p>
      <w:pPr>
        <w:pStyle w:val="-HCDC"/>
        <w:widowControl w:val="0"/>
        <w:numPr>
          <w:ilvl w:val="0"/>
          <w:numId w:val="18"/>
        </w:numPr>
        <w:tabs>
          <w:tab w:val="left" w:pos="567"/>
          <w:tab w:val="left" w:pos="720"/>
        </w:tabs>
        <w:spacing w:after="0" w:line="360" w:lineRule="auto"/>
        <w:ind w:left="720" w:hanging="720"/>
        <w:jc w:val="center"/>
        <w:rPr>
          <w:rFonts w:ascii="宋体" w:eastAsia="宋体" w:hAnsi="宋体" w:hint="eastAsia"/>
        </w:rPr>
      </w:pPr>
      <w:r>
        <w:rPr>
          <w:rFonts w:ascii="宋体" w:eastAsia="宋体" w:hAnsi="宋体" w:hint="eastAsia"/>
        </w:rPr>
        <w:t>机外远场标定系统性能指标</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897"/>
        <w:gridCol w:w="439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项目</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性能指标</w:t>
            </w:r>
          </w:p>
        </w:tc>
      </w:tr>
      <w:tr>
        <w:tblPrEx>
          <w:tblW w:w="0" w:type="auto"/>
          <w:jc w:val="center"/>
          <w:tblLayout w:type="fixed"/>
          <w:tblCellMar>
            <w:top w:w="0" w:type="dxa"/>
            <w:left w:w="108" w:type="dxa"/>
            <w:bottom w:w="0" w:type="dxa"/>
            <w:right w:w="108" w:type="dxa"/>
          </w:tblCellMar>
        </w:tblPrEx>
        <w:trPr>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工作模式</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单发双收/双发双收</w:t>
            </w:r>
          </w:p>
        </w:tc>
      </w:tr>
      <w:tr>
        <w:tblPrEx>
          <w:tblW w:w="0" w:type="auto"/>
          <w:jc w:val="center"/>
          <w:tblLayout w:type="fixed"/>
          <w:tblCellMar>
            <w:top w:w="0" w:type="dxa"/>
            <w:left w:w="108" w:type="dxa"/>
            <w:bottom w:w="0" w:type="dxa"/>
            <w:right w:w="108" w:type="dxa"/>
          </w:tblCellMar>
        </w:tblPrEx>
        <w:trPr>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双极化通道隔离度</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≥3</w:t>
            </w:r>
            <w:r>
              <w:rPr>
                <w:rFonts w:ascii="宋体" w:hAnsi="宋体" w:cs="宋体"/>
                <w:kern w:val="0"/>
                <w:szCs w:val="21"/>
                <w:lang w:bidi="ar"/>
              </w:rPr>
              <w:t>5</w:t>
            </w:r>
            <w:r>
              <w:rPr>
                <w:rFonts w:ascii="宋体" w:hAnsi="宋体" w:cs="宋体" w:hint="eastAsia"/>
                <w:kern w:val="0"/>
                <w:szCs w:val="21"/>
                <w:lang w:bidi="ar"/>
              </w:rPr>
              <w:t>dB</w:t>
            </w:r>
          </w:p>
        </w:tc>
      </w:tr>
      <w:tr>
        <w:tblPrEx>
          <w:tblW w:w="0" w:type="auto"/>
          <w:jc w:val="center"/>
          <w:tblLayout w:type="fixed"/>
          <w:tblCellMar>
            <w:top w:w="0" w:type="dxa"/>
            <w:left w:w="108" w:type="dxa"/>
            <w:bottom w:w="0" w:type="dxa"/>
            <w:right w:w="108" w:type="dxa"/>
          </w:tblCellMar>
        </w:tblPrEx>
        <w:trPr>
          <w:trHeight w:val="23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工作频率</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kern w:val="0"/>
                <w:szCs w:val="21"/>
                <w:lang w:bidi="ar"/>
              </w:rPr>
              <w:t>2700</w:t>
            </w:r>
            <w:r>
              <w:rPr>
                <w:rFonts w:ascii="宋体" w:hAnsi="宋体" w:cs="宋体" w:hint="eastAsia"/>
                <w:kern w:val="0"/>
                <w:szCs w:val="21"/>
                <w:lang w:bidi="ar"/>
              </w:rPr>
              <w:t>～</w:t>
            </w:r>
            <w:r>
              <w:rPr>
                <w:rFonts w:ascii="宋体" w:hAnsi="宋体" w:cs="宋体"/>
                <w:kern w:val="0"/>
                <w:szCs w:val="21"/>
                <w:lang w:bidi="ar"/>
              </w:rPr>
              <w:t>30</w:t>
            </w:r>
            <w:r>
              <w:rPr>
                <w:rFonts w:ascii="宋体" w:hAnsi="宋体" w:cs="宋体" w:hint="eastAsia"/>
                <w:kern w:val="0"/>
                <w:szCs w:val="21"/>
                <w:lang w:bidi="ar"/>
              </w:rPr>
              <w:t>00MHz</w:t>
            </w:r>
          </w:p>
        </w:tc>
      </w:tr>
      <w:tr>
        <w:tblPrEx>
          <w:tblW w:w="0" w:type="auto"/>
          <w:jc w:val="center"/>
          <w:tblLayout w:type="fixed"/>
          <w:tblCellMar>
            <w:top w:w="0" w:type="dxa"/>
            <w:left w:w="108" w:type="dxa"/>
            <w:bottom w:w="0" w:type="dxa"/>
            <w:right w:w="108" w:type="dxa"/>
          </w:tblCellMar>
        </w:tblPrEx>
        <w:trPr>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发射输出信号频率可调分辨率</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1Hz</w:t>
            </w:r>
          </w:p>
        </w:tc>
      </w:tr>
      <w:tr>
        <w:tblPrEx>
          <w:tblW w:w="0" w:type="auto"/>
          <w:jc w:val="center"/>
          <w:tblLayout w:type="fixed"/>
          <w:tblCellMar>
            <w:top w:w="0" w:type="dxa"/>
            <w:left w:w="108" w:type="dxa"/>
            <w:bottom w:w="0" w:type="dxa"/>
            <w:right w:w="108" w:type="dxa"/>
          </w:tblCellMar>
        </w:tblPrEx>
        <w:trPr>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发射输出信号功率范围</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-70dBm～15dBm</w:t>
            </w:r>
          </w:p>
        </w:tc>
      </w:tr>
      <w:tr>
        <w:tblPrEx>
          <w:tblW w:w="0" w:type="auto"/>
          <w:jc w:val="center"/>
          <w:tblLayout w:type="fixed"/>
          <w:tblCellMar>
            <w:top w:w="0" w:type="dxa"/>
            <w:left w:w="108" w:type="dxa"/>
            <w:bottom w:w="0" w:type="dxa"/>
            <w:right w:w="108" w:type="dxa"/>
          </w:tblCellMar>
        </w:tblPrEx>
        <w:trPr>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发射输出功率可调分辨率</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0.1dB</w:t>
            </w:r>
          </w:p>
        </w:tc>
      </w:tr>
      <w:tr>
        <w:tblPrEx>
          <w:tblW w:w="0" w:type="auto"/>
          <w:jc w:val="center"/>
          <w:tblLayout w:type="fixed"/>
          <w:tblCellMar>
            <w:top w:w="0" w:type="dxa"/>
            <w:left w:w="108" w:type="dxa"/>
            <w:bottom w:w="0" w:type="dxa"/>
            <w:right w:w="108" w:type="dxa"/>
          </w:tblCellMar>
        </w:tblPrEx>
        <w:trPr>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发射输出功率精度</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≤±0.2dB</w:t>
            </w:r>
          </w:p>
        </w:tc>
      </w:tr>
      <w:tr>
        <w:tblPrEx>
          <w:tblW w:w="0" w:type="auto"/>
          <w:jc w:val="center"/>
          <w:tblLayout w:type="fixed"/>
          <w:tblCellMar>
            <w:top w:w="0" w:type="dxa"/>
            <w:left w:w="108" w:type="dxa"/>
            <w:bottom w:w="0" w:type="dxa"/>
            <w:right w:w="108" w:type="dxa"/>
          </w:tblCellMar>
        </w:tblPrEx>
        <w:trPr>
          <w:trHeight w:val="29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信号输出方式</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CW连续波、脉冲</w:t>
            </w:r>
          </w:p>
        </w:tc>
      </w:tr>
      <w:tr>
        <w:tblPrEx>
          <w:tblW w:w="0" w:type="auto"/>
          <w:jc w:val="center"/>
          <w:tblLayout w:type="fixed"/>
          <w:tblCellMar>
            <w:top w:w="0" w:type="dxa"/>
            <w:left w:w="108" w:type="dxa"/>
            <w:bottom w:w="0" w:type="dxa"/>
            <w:right w:w="108" w:type="dxa"/>
          </w:tblCellMar>
        </w:tblPrEx>
        <w:trPr>
          <w:trHeight w:val="29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接收通道幅度测量精度</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≤0.2dB</w:t>
            </w:r>
          </w:p>
        </w:tc>
      </w:tr>
      <w:tr>
        <w:tblPrEx>
          <w:tblW w:w="0" w:type="auto"/>
          <w:jc w:val="center"/>
          <w:tblLayout w:type="fixed"/>
          <w:tblCellMar>
            <w:top w:w="0" w:type="dxa"/>
            <w:left w:w="108" w:type="dxa"/>
            <w:bottom w:w="0" w:type="dxa"/>
            <w:right w:w="108" w:type="dxa"/>
          </w:tblCellMar>
        </w:tblPrEx>
        <w:trPr>
          <w:trHeight w:val="29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接收信号脉宽测量精度</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≤10nS</w:t>
            </w:r>
          </w:p>
        </w:tc>
      </w:tr>
      <w:tr>
        <w:tblPrEx>
          <w:tblW w:w="0" w:type="auto"/>
          <w:jc w:val="center"/>
          <w:tblLayout w:type="fixed"/>
          <w:tblCellMar>
            <w:top w:w="0" w:type="dxa"/>
            <w:left w:w="108" w:type="dxa"/>
            <w:bottom w:w="0" w:type="dxa"/>
            <w:right w:w="108" w:type="dxa"/>
          </w:tblCellMar>
        </w:tblPrEx>
        <w:trPr>
          <w:trHeight w:val="29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天线增益</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≥7dB</w:t>
            </w:r>
          </w:p>
        </w:tc>
      </w:tr>
      <w:tr>
        <w:tblPrEx>
          <w:tblW w:w="0" w:type="auto"/>
          <w:jc w:val="center"/>
          <w:tblLayout w:type="fixed"/>
          <w:tblCellMar>
            <w:top w:w="0" w:type="dxa"/>
            <w:left w:w="108" w:type="dxa"/>
            <w:bottom w:w="0" w:type="dxa"/>
            <w:right w:w="108" w:type="dxa"/>
          </w:tblCellMar>
        </w:tblPrEx>
        <w:trPr>
          <w:trHeight w:val="29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天线极化隔离度</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≥35dB</w:t>
            </w:r>
          </w:p>
        </w:tc>
      </w:tr>
      <w:tr>
        <w:tblPrEx>
          <w:tblW w:w="0" w:type="auto"/>
          <w:jc w:val="center"/>
          <w:tblLayout w:type="fixed"/>
          <w:tblCellMar>
            <w:top w:w="0" w:type="dxa"/>
            <w:left w:w="108" w:type="dxa"/>
            <w:bottom w:w="0" w:type="dxa"/>
            <w:right w:w="108" w:type="dxa"/>
          </w:tblCellMar>
        </w:tblPrEx>
        <w:trPr>
          <w:trHeight w:val="29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电源系统参数</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可充电式直流电池供电</w:t>
            </w:r>
          </w:p>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电池工作时长：≥</w:t>
            </w:r>
            <w:r>
              <w:rPr>
                <w:rFonts w:ascii="宋体" w:hAnsi="宋体" w:cs="宋体"/>
                <w:kern w:val="0"/>
                <w:szCs w:val="21"/>
                <w:lang w:bidi="ar"/>
              </w:rPr>
              <w:t>40</w:t>
            </w:r>
            <w:r>
              <w:rPr>
                <w:rFonts w:ascii="宋体" w:hAnsi="宋体" w:cs="宋体" w:hint="eastAsia"/>
                <w:kern w:val="0"/>
                <w:szCs w:val="21"/>
                <w:lang w:bidi="ar"/>
              </w:rPr>
              <w:t>min</w:t>
            </w:r>
          </w:p>
        </w:tc>
      </w:tr>
      <w:tr>
        <w:tblPrEx>
          <w:tblW w:w="0" w:type="auto"/>
          <w:jc w:val="center"/>
          <w:tblLayout w:type="fixed"/>
          <w:tblCellMar>
            <w:top w:w="0" w:type="dxa"/>
            <w:left w:w="108" w:type="dxa"/>
            <w:bottom w:w="0" w:type="dxa"/>
            <w:right w:w="108" w:type="dxa"/>
          </w:tblCellMar>
        </w:tblPrEx>
        <w:trPr>
          <w:trHeight w:val="29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无线通信距离</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≥3Km</w:t>
            </w:r>
          </w:p>
        </w:tc>
      </w:tr>
      <w:tr>
        <w:tblPrEx>
          <w:tblW w:w="0" w:type="auto"/>
          <w:jc w:val="center"/>
          <w:tblLayout w:type="fixed"/>
          <w:tblCellMar>
            <w:top w:w="0" w:type="dxa"/>
            <w:left w:w="108" w:type="dxa"/>
            <w:bottom w:w="0" w:type="dxa"/>
            <w:right w:w="108" w:type="dxa"/>
          </w:tblCellMar>
        </w:tblPrEx>
        <w:trPr>
          <w:trHeight w:val="29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无线通信带宽</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≥10Mbps</w:t>
            </w:r>
          </w:p>
        </w:tc>
      </w:tr>
      <w:tr>
        <w:tblPrEx>
          <w:tblW w:w="0" w:type="auto"/>
          <w:jc w:val="center"/>
          <w:tblLayout w:type="fixed"/>
          <w:tblCellMar>
            <w:top w:w="0" w:type="dxa"/>
            <w:left w:w="108" w:type="dxa"/>
            <w:bottom w:w="0" w:type="dxa"/>
            <w:right w:w="108" w:type="dxa"/>
          </w:tblCellMar>
        </w:tblPrEx>
        <w:trPr>
          <w:trHeight w:val="29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信号处理采样位数</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≥16位</w:t>
            </w:r>
          </w:p>
        </w:tc>
      </w:tr>
      <w:tr>
        <w:tblPrEx>
          <w:tblW w:w="0" w:type="auto"/>
          <w:jc w:val="center"/>
          <w:tblLayout w:type="fixed"/>
          <w:tblCellMar>
            <w:top w:w="0" w:type="dxa"/>
            <w:left w:w="108" w:type="dxa"/>
            <w:bottom w:w="0" w:type="dxa"/>
            <w:right w:w="108" w:type="dxa"/>
          </w:tblCellMar>
        </w:tblPrEx>
        <w:trPr>
          <w:trHeight w:val="29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信号处理采样率</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≥160MHz</w:t>
            </w:r>
          </w:p>
        </w:tc>
      </w:tr>
      <w:tr>
        <w:tblPrEx>
          <w:tblW w:w="0" w:type="auto"/>
          <w:jc w:val="center"/>
          <w:tblLayout w:type="fixed"/>
          <w:tblCellMar>
            <w:top w:w="0" w:type="dxa"/>
            <w:left w:w="108" w:type="dxa"/>
            <w:bottom w:w="0" w:type="dxa"/>
            <w:right w:w="108" w:type="dxa"/>
          </w:tblCellMar>
        </w:tblPrEx>
        <w:trPr>
          <w:trHeight w:val="29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目标模拟距离范围</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≤200km</w:t>
            </w:r>
          </w:p>
        </w:tc>
      </w:tr>
      <w:tr>
        <w:tblPrEx>
          <w:tblW w:w="0" w:type="auto"/>
          <w:jc w:val="center"/>
          <w:tblLayout w:type="fixed"/>
          <w:tblCellMar>
            <w:top w:w="0" w:type="dxa"/>
            <w:left w:w="108" w:type="dxa"/>
            <w:bottom w:w="0" w:type="dxa"/>
            <w:right w:w="108" w:type="dxa"/>
          </w:tblCellMar>
        </w:tblPrEx>
        <w:trPr>
          <w:trHeight w:val="29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目标模拟位置标准差</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w:t>
            </w:r>
            <w:r>
              <w:rPr>
                <w:rFonts w:ascii="宋体" w:hAnsi="宋体" w:cs="宋体"/>
                <w:kern w:val="0"/>
                <w:szCs w:val="21"/>
                <w:lang w:bidi="ar"/>
              </w:rPr>
              <w:t>15</w:t>
            </w:r>
            <w:r>
              <w:rPr>
                <w:rFonts w:ascii="宋体" w:hAnsi="宋体" w:cs="宋体" w:hint="eastAsia"/>
                <w:kern w:val="0"/>
                <w:szCs w:val="21"/>
                <w:lang w:bidi="ar"/>
              </w:rPr>
              <w:t>m</w:t>
            </w:r>
          </w:p>
        </w:tc>
      </w:tr>
      <w:tr>
        <w:tblPrEx>
          <w:tblW w:w="0" w:type="auto"/>
          <w:jc w:val="center"/>
          <w:tblLayout w:type="fixed"/>
          <w:tblCellMar>
            <w:top w:w="0" w:type="dxa"/>
            <w:left w:w="108" w:type="dxa"/>
            <w:bottom w:w="0" w:type="dxa"/>
            <w:right w:w="108" w:type="dxa"/>
          </w:tblCellMar>
        </w:tblPrEx>
        <w:trPr>
          <w:trHeight w:val="29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目标模拟强度标定范围</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-15～+75dBz</w:t>
            </w:r>
          </w:p>
        </w:tc>
      </w:tr>
      <w:tr>
        <w:tblPrEx>
          <w:tblW w:w="0" w:type="auto"/>
          <w:jc w:val="center"/>
          <w:tblLayout w:type="fixed"/>
          <w:tblCellMar>
            <w:top w:w="0" w:type="dxa"/>
            <w:left w:w="108" w:type="dxa"/>
            <w:bottom w:w="0" w:type="dxa"/>
            <w:right w:w="108" w:type="dxa"/>
          </w:tblCellMar>
        </w:tblPrEx>
        <w:trPr>
          <w:trHeight w:val="291"/>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目标模拟强度标定分辨率</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≤0</w:t>
            </w:r>
            <w:r>
              <w:rPr>
                <w:rFonts w:ascii="宋体" w:hAnsi="宋体" w:cs="宋体"/>
                <w:kern w:val="0"/>
                <w:szCs w:val="21"/>
                <w:lang w:bidi="ar"/>
              </w:rPr>
              <w:t>.1</w:t>
            </w:r>
            <w:r>
              <w:rPr>
                <w:rFonts w:ascii="宋体" w:hAnsi="宋体" w:cs="宋体" w:hint="eastAsia"/>
                <w:kern w:val="0"/>
                <w:szCs w:val="21"/>
                <w:lang w:bidi="ar"/>
              </w:rPr>
              <w:t>dB</w:t>
            </w:r>
          </w:p>
        </w:tc>
      </w:tr>
      <w:tr>
        <w:tblPrEx>
          <w:tblW w:w="0" w:type="auto"/>
          <w:jc w:val="center"/>
          <w:tblLayout w:type="fixed"/>
          <w:tblCellMar>
            <w:top w:w="0" w:type="dxa"/>
            <w:left w:w="108" w:type="dxa"/>
            <w:bottom w:w="0" w:type="dxa"/>
            <w:right w:w="108" w:type="dxa"/>
          </w:tblCellMar>
        </w:tblPrEx>
        <w:trPr>
          <w:trHeight w:val="332"/>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目标模拟强度标定标准差</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≤±1dB</w:t>
            </w:r>
          </w:p>
        </w:tc>
      </w:tr>
      <w:tr>
        <w:tblPrEx>
          <w:tblW w:w="0" w:type="auto"/>
          <w:jc w:val="center"/>
          <w:tblLayout w:type="fixed"/>
          <w:tblCellMar>
            <w:top w:w="0" w:type="dxa"/>
            <w:left w:w="108" w:type="dxa"/>
            <w:bottom w:w="0" w:type="dxa"/>
            <w:right w:w="108" w:type="dxa"/>
          </w:tblCellMar>
        </w:tblPrEx>
        <w:trPr>
          <w:trHeight w:val="332"/>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目标模拟速度标定范围</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≤±60m/s</w:t>
            </w:r>
          </w:p>
        </w:tc>
      </w:tr>
      <w:tr>
        <w:tblPrEx>
          <w:tblW w:w="0" w:type="auto"/>
          <w:jc w:val="center"/>
          <w:tblLayout w:type="fixed"/>
          <w:tblCellMar>
            <w:top w:w="0" w:type="dxa"/>
            <w:left w:w="108" w:type="dxa"/>
            <w:bottom w:w="0" w:type="dxa"/>
            <w:right w:w="108" w:type="dxa"/>
          </w:tblCellMar>
        </w:tblPrEx>
        <w:trPr>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目标模拟速度标定标准差</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≤±1m/s</w:t>
            </w:r>
          </w:p>
        </w:tc>
      </w:tr>
      <w:tr>
        <w:tblPrEx>
          <w:tblW w:w="0" w:type="auto"/>
          <w:jc w:val="center"/>
          <w:tblLayout w:type="fixed"/>
          <w:tblCellMar>
            <w:top w:w="0" w:type="dxa"/>
            <w:left w:w="108" w:type="dxa"/>
            <w:bottom w:w="0" w:type="dxa"/>
            <w:right w:w="108" w:type="dxa"/>
          </w:tblCellMar>
        </w:tblPrEx>
        <w:trPr>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目标模拟Z</w:t>
            </w:r>
            <w:r>
              <w:rPr>
                <w:rFonts w:ascii="宋体" w:hAnsi="宋体" w:cs="宋体"/>
                <w:kern w:val="0"/>
                <w:szCs w:val="21"/>
                <w:lang w:bidi="ar"/>
              </w:rPr>
              <w:t>dr</w:t>
            </w:r>
            <w:r>
              <w:rPr>
                <w:rFonts w:ascii="宋体" w:hAnsi="宋体" w:cs="宋体" w:hint="eastAsia"/>
                <w:kern w:val="0"/>
                <w:szCs w:val="21"/>
                <w:lang w:bidi="ar"/>
              </w:rPr>
              <w:t>模拟范围</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-20～+20dB</w:t>
            </w:r>
          </w:p>
        </w:tc>
      </w:tr>
      <w:tr>
        <w:tblPrEx>
          <w:tblW w:w="0" w:type="auto"/>
          <w:jc w:val="center"/>
          <w:tblLayout w:type="fixed"/>
          <w:tblCellMar>
            <w:top w:w="0" w:type="dxa"/>
            <w:left w:w="108" w:type="dxa"/>
            <w:bottom w:w="0" w:type="dxa"/>
            <w:right w:w="108" w:type="dxa"/>
          </w:tblCellMar>
        </w:tblPrEx>
        <w:trPr>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目标模拟Z</w:t>
            </w:r>
            <w:r>
              <w:rPr>
                <w:rFonts w:ascii="宋体" w:hAnsi="宋体" w:cs="宋体"/>
                <w:kern w:val="0"/>
                <w:szCs w:val="21"/>
                <w:lang w:bidi="ar"/>
              </w:rPr>
              <w:t>dr</w:t>
            </w:r>
            <w:r>
              <w:rPr>
                <w:rFonts w:ascii="宋体" w:hAnsi="宋体" w:cs="宋体" w:hint="eastAsia"/>
                <w:kern w:val="0"/>
                <w:szCs w:val="21"/>
                <w:lang w:bidi="ar"/>
              </w:rPr>
              <w:t>模拟分辨率</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≤0</w:t>
            </w:r>
            <w:r>
              <w:rPr>
                <w:rFonts w:ascii="宋体" w:hAnsi="宋体" w:cs="宋体"/>
                <w:kern w:val="0"/>
                <w:szCs w:val="21"/>
                <w:lang w:bidi="ar"/>
              </w:rPr>
              <w:t>.1</w:t>
            </w:r>
            <w:r>
              <w:rPr>
                <w:rFonts w:ascii="宋体" w:hAnsi="宋体" w:cs="宋体" w:hint="eastAsia"/>
                <w:kern w:val="0"/>
                <w:szCs w:val="21"/>
                <w:lang w:bidi="ar"/>
              </w:rPr>
              <w:t>dB</w:t>
            </w:r>
          </w:p>
        </w:tc>
      </w:tr>
      <w:tr>
        <w:tblPrEx>
          <w:tblW w:w="0" w:type="auto"/>
          <w:jc w:val="center"/>
          <w:tblLayout w:type="fixed"/>
          <w:tblCellMar>
            <w:top w:w="0" w:type="dxa"/>
            <w:left w:w="108" w:type="dxa"/>
            <w:bottom w:w="0" w:type="dxa"/>
            <w:right w:w="108" w:type="dxa"/>
          </w:tblCellMar>
        </w:tblPrEx>
        <w:trPr>
          <w:trHeight w:val="90"/>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 目标模拟Zdr模拟标准差</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≤0.6dB</w:t>
            </w:r>
          </w:p>
        </w:tc>
      </w:tr>
      <w:tr>
        <w:tblPrEx>
          <w:tblW w:w="0" w:type="auto"/>
          <w:jc w:val="center"/>
          <w:tblLayout w:type="fixed"/>
          <w:tblCellMar>
            <w:top w:w="0" w:type="dxa"/>
            <w:left w:w="108" w:type="dxa"/>
            <w:bottom w:w="0" w:type="dxa"/>
            <w:right w:w="108" w:type="dxa"/>
          </w:tblCellMar>
        </w:tblPrEx>
        <w:trPr>
          <w:trHeight w:val="90"/>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目标模拟P</w:t>
            </w:r>
            <w:r>
              <w:rPr>
                <w:rFonts w:ascii="宋体" w:hAnsi="宋体" w:cs="宋体"/>
                <w:kern w:val="0"/>
                <w:szCs w:val="21"/>
                <w:lang w:bidi="ar"/>
              </w:rPr>
              <w:t>hiDP</w:t>
            </w:r>
            <w:r>
              <w:rPr>
                <w:rFonts w:ascii="宋体" w:hAnsi="宋体" w:cs="宋体" w:hint="eastAsia"/>
                <w:kern w:val="0"/>
                <w:szCs w:val="21"/>
                <w:lang w:bidi="ar"/>
              </w:rPr>
              <w:t>标定范围</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-179.</w:t>
            </w:r>
            <w:r>
              <w:rPr>
                <w:rFonts w:ascii="宋体" w:hAnsi="宋体" w:cs="宋体"/>
                <w:kern w:val="0"/>
                <w:szCs w:val="21"/>
                <w:lang w:bidi="ar"/>
              </w:rPr>
              <w:t>9</w:t>
            </w:r>
            <w:r>
              <w:rPr>
                <w:rFonts w:ascii="宋体" w:hAnsi="宋体" w:cs="宋体" w:hint="eastAsia"/>
                <w:kern w:val="0"/>
                <w:szCs w:val="21"/>
                <w:lang w:bidi="ar"/>
              </w:rPr>
              <w:t>°～1</w:t>
            </w:r>
            <w:r>
              <w:rPr>
                <w:rFonts w:ascii="宋体" w:hAnsi="宋体" w:cs="宋体"/>
                <w:kern w:val="0"/>
                <w:szCs w:val="21"/>
                <w:lang w:bidi="ar"/>
              </w:rPr>
              <w:t>79.9</w:t>
            </w:r>
            <w:r>
              <w:rPr>
                <w:rFonts w:ascii="宋体" w:hAnsi="宋体" w:cs="宋体" w:hint="eastAsia"/>
                <w:kern w:val="0"/>
                <w:szCs w:val="21"/>
                <w:lang w:bidi="ar"/>
              </w:rPr>
              <w:t>°</w:t>
            </w:r>
          </w:p>
        </w:tc>
      </w:tr>
      <w:tr>
        <w:tblPrEx>
          <w:tblW w:w="0" w:type="auto"/>
          <w:jc w:val="center"/>
          <w:tblLayout w:type="fixed"/>
          <w:tblCellMar>
            <w:top w:w="0" w:type="dxa"/>
            <w:left w:w="108" w:type="dxa"/>
            <w:bottom w:w="0" w:type="dxa"/>
            <w:right w:w="108" w:type="dxa"/>
          </w:tblCellMar>
        </w:tblPrEx>
        <w:trPr>
          <w:trHeight w:val="90"/>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目标模拟相位控制分辨率</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≤0.1°</w:t>
            </w:r>
          </w:p>
        </w:tc>
      </w:tr>
      <w:tr>
        <w:tblPrEx>
          <w:tblW w:w="0" w:type="auto"/>
          <w:jc w:val="center"/>
          <w:tblLayout w:type="fixed"/>
          <w:tblCellMar>
            <w:top w:w="0" w:type="dxa"/>
            <w:left w:w="108" w:type="dxa"/>
            <w:bottom w:w="0" w:type="dxa"/>
            <w:right w:w="108" w:type="dxa"/>
          </w:tblCellMar>
        </w:tblPrEx>
        <w:trPr>
          <w:trHeight w:val="90"/>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目标模拟相位控制标准差</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≤1°</w:t>
            </w:r>
          </w:p>
        </w:tc>
      </w:tr>
      <w:tr>
        <w:tblPrEx>
          <w:tblW w:w="0" w:type="auto"/>
          <w:jc w:val="center"/>
          <w:tblLayout w:type="fixed"/>
          <w:tblCellMar>
            <w:top w:w="0" w:type="dxa"/>
            <w:left w:w="108" w:type="dxa"/>
            <w:bottom w:w="0" w:type="dxa"/>
            <w:right w:w="108" w:type="dxa"/>
          </w:tblCellMar>
        </w:tblPrEx>
        <w:trPr>
          <w:trHeight w:val="317"/>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设备工作距离范围</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≤3km</w:t>
            </w:r>
          </w:p>
        </w:tc>
      </w:tr>
      <w:tr>
        <w:tblPrEx>
          <w:tblW w:w="0" w:type="auto"/>
          <w:jc w:val="center"/>
          <w:tblLayout w:type="fixed"/>
          <w:tblCellMar>
            <w:top w:w="0" w:type="dxa"/>
            <w:left w:w="108" w:type="dxa"/>
            <w:bottom w:w="0" w:type="dxa"/>
            <w:right w:w="108" w:type="dxa"/>
          </w:tblCellMar>
        </w:tblPrEx>
        <w:trPr>
          <w:trHeight w:val="378"/>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MTBF</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≥5000h</w:t>
            </w:r>
          </w:p>
        </w:tc>
      </w:tr>
      <w:tr>
        <w:tblPrEx>
          <w:tblW w:w="0" w:type="auto"/>
          <w:jc w:val="center"/>
          <w:tblLayout w:type="fixed"/>
          <w:tblCellMar>
            <w:top w:w="0" w:type="dxa"/>
            <w:left w:w="108" w:type="dxa"/>
            <w:bottom w:w="0" w:type="dxa"/>
            <w:right w:w="108" w:type="dxa"/>
          </w:tblCellMar>
        </w:tblPrEx>
        <w:trPr>
          <w:trHeight w:val="339"/>
          <w:jc w:val="center"/>
        </w:trPr>
        <w:tc>
          <w:tcPr>
            <w:tcW w:w="3897"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MTTR</w:t>
            </w:r>
          </w:p>
        </w:tc>
        <w:tc>
          <w:tcPr>
            <w:tcW w:w="4399" w:type="dxa"/>
            <w:noWrap w:val="0"/>
            <w:vAlign w:val="center"/>
          </w:tcPr>
          <w:p>
            <w:pPr>
              <w:widowControl/>
              <w:adjustRightInd w:val="0"/>
              <w:snapToGrid w:val="0"/>
              <w:spacing w:line="360" w:lineRule="exact"/>
              <w:jc w:val="center"/>
              <w:textAlignment w:val="center"/>
              <w:rPr>
                <w:rFonts w:ascii="宋体" w:hAnsi="宋体" w:cs="宋体" w:hint="eastAsia"/>
                <w:kern w:val="0"/>
                <w:szCs w:val="21"/>
                <w:lang w:bidi="ar"/>
              </w:rPr>
            </w:pPr>
            <w:r>
              <w:rPr>
                <w:rFonts w:ascii="宋体" w:hAnsi="宋体" w:cs="宋体" w:hint="eastAsia"/>
                <w:kern w:val="0"/>
                <w:szCs w:val="21"/>
                <w:lang w:bidi="ar"/>
              </w:rPr>
              <w:t>≤0.5h</w:t>
            </w:r>
          </w:p>
        </w:tc>
      </w:tr>
    </w:tbl>
    <w:p>
      <w:pPr>
        <w:rPr>
          <w:rFonts w:hint="eastAsia"/>
        </w:rPr>
      </w:pPr>
    </w:p>
    <w:p>
      <w:pPr>
        <w:ind w:firstLine="420" w:firstLineChars="200"/>
        <w:rPr>
          <w:rFonts w:ascii="宋体" w:hAnsi="宋体" w:hint="eastAsia"/>
          <w:szCs w:val="21"/>
        </w:rPr>
      </w:pPr>
      <w:r>
        <w:rPr>
          <w:rFonts w:ascii="宋体" w:hAnsi="宋体" w:hint="eastAsia"/>
          <w:szCs w:val="21"/>
        </w:rPr>
        <w:t>信号处理软件由杂波抑制、距离/速度退模糊、参数估计以及门限设置等一系列信号处理算法组成，其主要功能是对 I/Q 数据进行处理，并生成经过质量控制的格式化基数据。其中，杂波抑制算法对原始 I/0 数据中的非气象信息(例如地物回波、同频干扰、风电干扰等)进行识别及滤除，仅保留气象信息并进行修复，为后续处理提供准确的气象信号;距离/速度退模糊算法采用多重频切换或相位编码等技术手段，将模糊的距离/速度值还原至真实物理量级，确保雷达可准确监测大范围天气系统;参数估计算法将 I/Q 数据中的关键信息进行提取，生成反射率因子、径向速度、速度谱宽以及双偏振参量，提升天气现象的可解释性:门限设置算法通过合理设置门限参数类型和值，有效剔除噪声及干扰，提升基数据可用性。</w:t>
      </w:r>
    </w:p>
    <w:p>
      <w:pPr>
        <w:ind w:firstLine="420" w:firstLineChars="200"/>
        <w:rPr>
          <w:rFonts w:ascii="宋体" w:hAnsi="宋体"/>
          <w:szCs w:val="21"/>
        </w:rPr>
      </w:pPr>
      <w:r>
        <w:rPr>
          <w:rFonts w:ascii="宋体" w:hAnsi="宋体" w:hint="eastAsia"/>
          <w:szCs w:val="21"/>
        </w:rPr>
        <w:t>信号处理软件需采用模块化、开放式设计，支持算法评估平台接口，并发布标准算法编程接口，详见表4。</w:t>
      </w:r>
      <w:r>
        <w:rPr>
          <w:rFonts w:ascii="宋体" w:hAnsi="宋体"/>
          <w:szCs w:val="21"/>
        </w:rPr>
        <w:t xml:space="preserve"> </w:t>
      </w:r>
    </w:p>
    <w:p>
      <w:pPr>
        <w:pStyle w:val="-HCDC"/>
        <w:widowControl w:val="0"/>
        <w:numPr>
          <w:ilvl w:val="0"/>
          <w:numId w:val="18"/>
        </w:numPr>
        <w:tabs>
          <w:tab w:val="left" w:pos="567"/>
          <w:tab w:val="left" w:pos="720"/>
        </w:tabs>
        <w:spacing w:after="0" w:line="360" w:lineRule="auto"/>
        <w:ind w:left="720" w:hanging="720"/>
        <w:jc w:val="center"/>
        <w:rPr>
          <w:rFonts w:ascii="宋体" w:eastAsia="宋体" w:hAnsi="宋体" w:hint="eastAsia"/>
        </w:rPr>
      </w:pPr>
      <w:r>
        <w:rPr>
          <w:rFonts w:ascii="宋体" w:eastAsia="宋体" w:hAnsi="宋体" w:hint="eastAsia"/>
        </w:rPr>
        <w:t>信号处理算法技术指标表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49"/>
        <w:gridCol w:w="3110"/>
        <w:gridCol w:w="4944"/>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0"/>
          <w:jc w:val="center"/>
        </w:trPr>
        <w:tc>
          <w:tcPr>
            <w:tcW w:w="527" w:type="pct"/>
            <w:noWrap/>
            <w:vAlign w:val="center"/>
          </w:tcPr>
          <w:p>
            <w:pPr>
              <w:spacing w:line="360" w:lineRule="exact"/>
              <w:jc w:val="center"/>
              <w:rPr>
                <w:rFonts w:ascii="仿宋_GB2312" w:hint="eastAsia"/>
                <w:b/>
                <w:bCs/>
                <w:szCs w:val="21"/>
              </w:rPr>
            </w:pPr>
            <w:r>
              <w:rPr>
                <w:rFonts w:ascii="仿宋_GB2312" w:hint="eastAsia"/>
                <w:b/>
                <w:bCs/>
                <w:szCs w:val="21"/>
              </w:rPr>
              <w:t>序号</w:t>
            </w:r>
          </w:p>
        </w:tc>
        <w:tc>
          <w:tcPr>
            <w:tcW w:w="1727" w:type="pct"/>
            <w:noWrap/>
            <w:vAlign w:val="center"/>
          </w:tcPr>
          <w:p>
            <w:pPr>
              <w:spacing w:line="360" w:lineRule="exact"/>
              <w:jc w:val="center"/>
              <w:rPr>
                <w:rFonts w:ascii="仿宋_GB2312" w:hint="eastAsia"/>
                <w:b/>
                <w:bCs/>
                <w:szCs w:val="21"/>
              </w:rPr>
            </w:pPr>
            <w:r>
              <w:rPr>
                <w:rFonts w:ascii="仿宋_GB2312" w:hint="eastAsia"/>
                <w:b/>
                <w:bCs/>
                <w:szCs w:val="21"/>
              </w:rPr>
              <w:t>项目</w:t>
            </w:r>
          </w:p>
        </w:tc>
        <w:tc>
          <w:tcPr>
            <w:tcW w:w="2746" w:type="pct"/>
            <w:noWrap/>
            <w:vAlign w:val="center"/>
          </w:tcPr>
          <w:p>
            <w:pPr>
              <w:spacing w:line="360" w:lineRule="exact"/>
              <w:jc w:val="center"/>
              <w:rPr>
                <w:rFonts w:ascii="仿宋_GB2312" w:hint="eastAsia"/>
                <w:b/>
                <w:bCs/>
                <w:szCs w:val="21"/>
              </w:rPr>
            </w:pPr>
            <w:r>
              <w:rPr>
                <w:rFonts w:ascii="仿宋_GB2312" w:hint="eastAsia"/>
                <w:b/>
                <w:bCs/>
                <w:szCs w:val="21"/>
              </w:rPr>
              <w:t>指标要求</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1</w:t>
            </w:r>
          </w:p>
        </w:tc>
        <w:tc>
          <w:tcPr>
            <w:tcW w:w="1727" w:type="pct"/>
            <w:vMerge w:val="restar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杂波抑制</w:t>
            </w: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电磁干扰识别</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2</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宋体" w:hAnsi="宋体" w:cs="宋体" w:hint="eastAsia"/>
                <w:kern w:val="0"/>
                <w:szCs w:val="21"/>
                <w:lang w:bidi="ar"/>
              </w:rPr>
              <w:t xml:space="preserve">* </w:t>
            </w:r>
            <w:r>
              <w:rPr>
                <w:rFonts w:ascii="仿宋_GB2312" w:hint="eastAsia"/>
                <w:szCs w:val="21"/>
              </w:rPr>
              <w:t>电磁干扰滤除</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3</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风电干扰识别</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4</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风电干扰滤除</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5</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宋体" w:hAnsi="宋体" w:cs="宋体" w:hint="eastAsia"/>
                <w:kern w:val="0"/>
                <w:szCs w:val="21"/>
                <w:lang w:bidi="ar"/>
              </w:rPr>
              <w:t xml:space="preserve"> </w:t>
            </w:r>
            <w:r>
              <w:rPr>
                <w:rFonts w:ascii="仿宋_GB2312" w:hint="eastAsia"/>
                <w:szCs w:val="21"/>
              </w:rPr>
              <w:t>地杂波识别</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6</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宋体" w:hAnsi="宋体" w:cs="宋体" w:hint="eastAsia"/>
                <w:kern w:val="0"/>
                <w:szCs w:val="21"/>
                <w:lang w:bidi="ar"/>
              </w:rPr>
              <w:t xml:space="preserve">* </w:t>
            </w:r>
            <w:r>
              <w:rPr>
                <w:rFonts w:ascii="仿宋_GB2312" w:hint="eastAsia"/>
                <w:szCs w:val="21"/>
              </w:rPr>
              <w:t>地杂波滤除</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7</w:t>
            </w:r>
          </w:p>
        </w:tc>
        <w:tc>
          <w:tcPr>
            <w:tcW w:w="1727" w:type="pct"/>
            <w:vMerge w:val="restar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距离/速度退模糊</w:t>
            </w: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双重频（DPRF）</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8</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参差重频（SPRT）</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9</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随机相位调制</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10</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SZ相位编码</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11</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批处理</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12</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分层处理</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13</w:t>
            </w:r>
          </w:p>
        </w:tc>
        <w:tc>
          <w:tcPr>
            <w:tcW w:w="1727" w:type="pct"/>
            <w:vMerge w:val="restar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参数估计</w:t>
            </w: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常规估计（反射率因子、径向速度、速度谱宽、差分反射率、差分传播相移、相关系数）</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14</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频域估计（反射率因子、径向速度、速度谱宽、差分反射率、差分传播相移、相关系数）</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15</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多阶相关估计（反射率因子、径向速度、速度谱宽、差分反射率、差分传播相移、相关系数）</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1</w:t>
            </w:r>
            <w:r>
              <w:rPr>
                <w:rFonts w:ascii="仿宋_GB2312" w:hAnsi="宋体" w:cs="宋体"/>
                <w:color w:val="000000"/>
                <w:kern w:val="0"/>
                <w:szCs w:val="21"/>
              </w:rPr>
              <w:t>6</w:t>
            </w:r>
          </w:p>
        </w:tc>
        <w:tc>
          <w:tcPr>
            <w:tcW w:w="1727" w:type="pct"/>
            <w:vMerge w:val="restar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门限设置</w:t>
            </w: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信号质量指数（SQI）</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1</w:t>
            </w:r>
            <w:r>
              <w:rPr>
                <w:rFonts w:ascii="仿宋_GB2312" w:hAnsi="宋体" w:cs="宋体"/>
                <w:color w:val="000000"/>
                <w:kern w:val="0"/>
                <w:szCs w:val="21"/>
              </w:rPr>
              <w:t>7</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天气信号强度指数（SIG）</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color w:val="000000"/>
                <w:kern w:val="0"/>
                <w:szCs w:val="21"/>
              </w:rPr>
              <w:t>18</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杂波订正指数（CCOR）</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color w:val="000000"/>
                <w:kern w:val="0"/>
                <w:szCs w:val="21"/>
              </w:rPr>
              <w:t>19</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杂信比（CSR）</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2</w:t>
            </w:r>
            <w:r>
              <w:rPr>
                <w:rFonts w:ascii="仿宋_GB2312" w:hAnsi="宋体" w:cs="宋体"/>
                <w:color w:val="000000"/>
                <w:kern w:val="0"/>
                <w:szCs w:val="21"/>
              </w:rPr>
              <w:t>0</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信噪比（LOG）</w:t>
            </w:r>
          </w:p>
        </w:tc>
      </w:tr>
      <w:tr>
        <w:tblPrEx>
          <w:tblW w:w="5000" w:type="pct"/>
          <w:jc w:val="center"/>
          <w:tblLayout w:type="fixed"/>
          <w:tblCellMar>
            <w:top w:w="0" w:type="dxa"/>
            <w:left w:w="108" w:type="dxa"/>
            <w:bottom w:w="0" w:type="dxa"/>
            <w:right w:w="108" w:type="dxa"/>
          </w:tblCellMar>
        </w:tblPrEx>
        <w:trPr>
          <w:trHeight w:val="280"/>
          <w:jc w:val="center"/>
        </w:trPr>
        <w:tc>
          <w:tcPr>
            <w:tcW w:w="527" w:type="pct"/>
            <w:noWrap/>
            <w:vAlign w:val="center"/>
          </w:tcPr>
          <w:p>
            <w:pPr>
              <w:widowControl/>
              <w:adjustRightInd w:val="0"/>
              <w:snapToGrid w:val="0"/>
              <w:spacing w:line="360" w:lineRule="exact"/>
              <w:jc w:val="center"/>
              <w:rPr>
                <w:rFonts w:ascii="仿宋_GB2312" w:hAnsi="宋体" w:cs="宋体" w:hint="eastAsia"/>
                <w:color w:val="000000"/>
                <w:kern w:val="0"/>
                <w:szCs w:val="21"/>
              </w:rPr>
            </w:pPr>
            <w:r>
              <w:rPr>
                <w:rFonts w:ascii="仿宋_GB2312" w:hAnsi="宋体" w:cs="宋体" w:hint="eastAsia"/>
                <w:color w:val="000000"/>
                <w:kern w:val="0"/>
                <w:szCs w:val="21"/>
              </w:rPr>
              <w:t>2</w:t>
            </w:r>
            <w:r>
              <w:rPr>
                <w:rFonts w:ascii="仿宋_GB2312" w:hAnsi="宋体" w:cs="宋体"/>
                <w:color w:val="000000"/>
                <w:kern w:val="0"/>
                <w:szCs w:val="21"/>
              </w:rPr>
              <w:t>1</w:t>
            </w:r>
          </w:p>
        </w:tc>
        <w:tc>
          <w:tcPr>
            <w:tcW w:w="1727" w:type="pct"/>
            <w:vMerge/>
            <w:noWrap w:val="0"/>
            <w:vAlign w:val="center"/>
          </w:tcPr>
          <w:p>
            <w:pPr>
              <w:widowControl/>
              <w:adjustRightInd w:val="0"/>
              <w:snapToGrid w:val="0"/>
              <w:spacing w:line="360" w:lineRule="exact"/>
              <w:rPr>
                <w:rFonts w:ascii="仿宋_GB2312" w:hint="eastAsia"/>
                <w:szCs w:val="21"/>
              </w:rPr>
            </w:pPr>
          </w:p>
        </w:tc>
        <w:tc>
          <w:tcPr>
            <w:tcW w:w="2746" w:type="pct"/>
            <w:noWrap/>
            <w:vAlign w:val="center"/>
          </w:tcPr>
          <w:p>
            <w:pPr>
              <w:widowControl/>
              <w:adjustRightInd w:val="0"/>
              <w:snapToGrid w:val="0"/>
              <w:spacing w:line="360" w:lineRule="exact"/>
              <w:jc w:val="center"/>
              <w:rPr>
                <w:rFonts w:ascii="仿宋_GB2312" w:hint="eastAsia"/>
                <w:szCs w:val="21"/>
              </w:rPr>
            </w:pPr>
            <w:r>
              <w:rPr>
                <w:rFonts w:ascii="仿宋_GB2312" w:hint="eastAsia"/>
                <w:szCs w:val="21"/>
              </w:rPr>
              <w:t>偏振量信噪比（DPLOG）</w:t>
            </w:r>
          </w:p>
        </w:tc>
      </w:tr>
    </w:tbl>
    <w:p>
      <w:pPr>
        <w:rPr>
          <w:rFonts w:hint="eastAsia"/>
        </w:rPr>
      </w:pPr>
    </w:p>
    <w:p>
      <w:pPr>
        <w:ind w:firstLine="420" w:firstLineChars="200"/>
        <w:rPr>
          <w:rFonts w:ascii="宋体" w:hAnsi="宋体" w:hint="eastAsia"/>
          <w:szCs w:val="21"/>
        </w:rPr>
      </w:pPr>
      <w:r>
        <w:rPr>
          <w:rFonts w:ascii="宋体" w:hAnsi="宋体" w:hint="eastAsia"/>
          <w:szCs w:val="21"/>
        </w:rPr>
        <w:t>业务软件能够实时生成和上传业务考核要求的3</w:t>
      </w:r>
      <w:r>
        <w:rPr>
          <w:rFonts w:ascii="宋体" w:hAnsi="宋体"/>
          <w:szCs w:val="21"/>
        </w:rPr>
        <w:t>6个单偏振和</w:t>
      </w:r>
      <w:r>
        <w:rPr>
          <w:rFonts w:ascii="宋体" w:hAnsi="宋体" w:hint="eastAsia"/>
          <w:szCs w:val="21"/>
        </w:rPr>
        <w:t>2</w:t>
      </w:r>
      <w:r>
        <w:rPr>
          <w:rFonts w:ascii="宋体" w:hAnsi="宋体"/>
          <w:szCs w:val="21"/>
        </w:rPr>
        <w:t>1个双偏振气象产品，</w:t>
      </w:r>
      <w:r>
        <w:rPr>
          <w:rFonts w:ascii="宋体" w:hAnsi="宋体" w:hint="eastAsia"/>
          <w:szCs w:val="21"/>
        </w:rPr>
        <w:t>满足中国气象局现有业务应用要求。</w:t>
      </w:r>
    </w:p>
    <w:p>
      <w:pPr>
        <w:ind w:firstLine="420" w:firstLineChars="200"/>
        <w:rPr>
          <w:rFonts w:ascii="宋体" w:hAnsi="宋体" w:hint="eastAsia"/>
          <w:szCs w:val="21"/>
        </w:rPr>
      </w:pPr>
      <w:r>
        <w:rPr>
          <w:rFonts w:ascii="宋体" w:hAnsi="宋体"/>
          <w:szCs w:val="21"/>
        </w:rPr>
        <w:t>相控阵雷达系统全天</w:t>
      </w:r>
      <w:r>
        <w:rPr>
          <w:rFonts w:ascii="宋体" w:hAnsi="宋体" w:hint="eastAsia"/>
          <w:szCs w:val="21"/>
        </w:rPr>
        <w:t>侯连续运行，产品生成与应用系统</w:t>
      </w:r>
      <w:r>
        <w:rPr>
          <w:rFonts w:ascii="宋体" w:hAnsi="宋体"/>
          <w:szCs w:val="21"/>
        </w:rPr>
        <w:t>能够稳定、不间断地生成下表中所有气象应用产品，产品的分辨率、范围及专业</w:t>
      </w:r>
      <w:r>
        <w:rPr>
          <w:rFonts w:ascii="宋体" w:hAnsi="宋体" w:hint="eastAsia"/>
          <w:szCs w:val="21"/>
        </w:rPr>
        <w:t>气象参数可以在线修改和配置优化，详见表5</w:t>
      </w:r>
      <w:r>
        <w:rPr>
          <w:rFonts w:ascii="宋体" w:hAnsi="宋体"/>
          <w:szCs w:val="21"/>
        </w:rPr>
        <w:t>。</w:t>
      </w:r>
    </w:p>
    <w:p>
      <w:pPr>
        <w:numPr>
          <w:ilvl w:val="0"/>
          <w:numId w:val="18"/>
        </w:numPr>
        <w:spacing w:line="360" w:lineRule="auto"/>
        <w:jc w:val="center"/>
        <w:rPr>
          <w:rFonts w:ascii="宋体" w:hAnsi="宋体" w:hint="eastAsia"/>
        </w:rPr>
      </w:pPr>
      <w:r>
        <w:rPr>
          <w:rFonts w:ascii="宋体" w:hAnsi="宋体" w:hint="eastAsia"/>
        </w:rPr>
        <w:t>业务软件气象产品表</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9"/>
        <w:gridCol w:w="851"/>
        <w:gridCol w:w="1417"/>
        <w:gridCol w:w="1276"/>
        <w:gridCol w:w="2126"/>
        <w:gridCol w:w="709"/>
        <w:gridCol w:w="1417"/>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5"/>
          <w:tblHeader/>
        </w:trPr>
        <w:tc>
          <w:tcPr>
            <w:tcW w:w="709" w:type="dxa"/>
            <w:noWrap w:val="0"/>
            <w:vAlign w:val="center"/>
          </w:tcPr>
          <w:p>
            <w:pPr>
              <w:spacing w:line="360" w:lineRule="exact"/>
              <w:contextualSpacing/>
              <w:jc w:val="center"/>
              <w:rPr>
                <w:rFonts w:ascii="宋体" w:hAnsi="宋体" w:hint="eastAsia"/>
                <w:b/>
                <w:szCs w:val="21"/>
              </w:rPr>
            </w:pPr>
            <w:r>
              <w:rPr>
                <w:rFonts w:ascii="宋体" w:hAnsi="宋体"/>
                <w:b/>
                <w:szCs w:val="21"/>
              </w:rPr>
              <w:t>产品</w:t>
            </w:r>
          </w:p>
          <w:p>
            <w:pPr>
              <w:spacing w:line="360" w:lineRule="exact"/>
              <w:contextualSpacing/>
              <w:jc w:val="center"/>
              <w:rPr>
                <w:rFonts w:ascii="宋体" w:hAnsi="宋体" w:hint="eastAsia"/>
                <w:b/>
                <w:szCs w:val="21"/>
              </w:rPr>
            </w:pPr>
            <w:r>
              <w:rPr>
                <w:rFonts w:ascii="宋体" w:hAnsi="宋体"/>
                <w:b/>
                <w:szCs w:val="21"/>
              </w:rPr>
              <w:t>序号</w:t>
            </w:r>
          </w:p>
        </w:tc>
        <w:tc>
          <w:tcPr>
            <w:tcW w:w="851" w:type="dxa"/>
            <w:noWrap w:val="0"/>
            <w:vAlign w:val="center"/>
          </w:tcPr>
          <w:p>
            <w:pPr>
              <w:spacing w:line="360" w:lineRule="exact"/>
              <w:contextualSpacing/>
              <w:jc w:val="center"/>
              <w:rPr>
                <w:rFonts w:ascii="宋体" w:hAnsi="宋体" w:hint="eastAsia"/>
                <w:b/>
                <w:szCs w:val="21"/>
              </w:rPr>
            </w:pPr>
            <w:r>
              <w:rPr>
                <w:rFonts w:ascii="宋体" w:hAnsi="宋体"/>
                <w:b/>
                <w:szCs w:val="21"/>
              </w:rPr>
              <w:t>产品代码</w:t>
            </w:r>
          </w:p>
        </w:tc>
        <w:tc>
          <w:tcPr>
            <w:tcW w:w="1417" w:type="dxa"/>
            <w:noWrap w:val="0"/>
            <w:vAlign w:val="center"/>
          </w:tcPr>
          <w:p>
            <w:pPr>
              <w:spacing w:line="360" w:lineRule="exact"/>
              <w:contextualSpacing/>
              <w:jc w:val="center"/>
              <w:rPr>
                <w:rFonts w:ascii="宋体" w:hAnsi="宋体" w:hint="eastAsia"/>
                <w:b/>
                <w:szCs w:val="21"/>
              </w:rPr>
            </w:pPr>
            <w:r>
              <w:rPr>
                <w:rFonts w:ascii="宋体" w:hAnsi="宋体"/>
                <w:b/>
                <w:szCs w:val="21"/>
              </w:rPr>
              <w:t>分辨率</w:t>
            </w:r>
          </w:p>
        </w:tc>
        <w:tc>
          <w:tcPr>
            <w:tcW w:w="1276" w:type="dxa"/>
            <w:noWrap w:val="0"/>
            <w:vAlign w:val="center"/>
          </w:tcPr>
          <w:p>
            <w:pPr>
              <w:spacing w:line="360" w:lineRule="exact"/>
              <w:contextualSpacing/>
              <w:jc w:val="center"/>
              <w:rPr>
                <w:rFonts w:ascii="宋体" w:hAnsi="宋体" w:hint="eastAsia"/>
                <w:b/>
                <w:szCs w:val="21"/>
              </w:rPr>
            </w:pPr>
            <w:r>
              <w:rPr>
                <w:rFonts w:ascii="宋体" w:hAnsi="宋体"/>
                <w:b/>
                <w:szCs w:val="21"/>
              </w:rPr>
              <w:t>覆盖范围</w:t>
            </w:r>
          </w:p>
        </w:tc>
        <w:tc>
          <w:tcPr>
            <w:tcW w:w="2126" w:type="dxa"/>
            <w:noWrap w:val="0"/>
            <w:vAlign w:val="center"/>
          </w:tcPr>
          <w:p>
            <w:pPr>
              <w:spacing w:line="360" w:lineRule="exact"/>
              <w:contextualSpacing/>
              <w:jc w:val="center"/>
              <w:rPr>
                <w:rFonts w:ascii="宋体" w:hAnsi="宋体" w:hint="eastAsia"/>
                <w:b/>
                <w:szCs w:val="21"/>
              </w:rPr>
            </w:pPr>
            <w:r>
              <w:rPr>
                <w:rFonts w:ascii="宋体" w:hAnsi="宋体"/>
                <w:b/>
                <w:szCs w:val="21"/>
              </w:rPr>
              <w:t>产品名称</w:t>
            </w:r>
          </w:p>
        </w:tc>
        <w:tc>
          <w:tcPr>
            <w:tcW w:w="709" w:type="dxa"/>
            <w:noWrap w:val="0"/>
            <w:vAlign w:val="center"/>
          </w:tcPr>
          <w:p>
            <w:pPr>
              <w:spacing w:line="360" w:lineRule="exact"/>
              <w:contextualSpacing/>
              <w:jc w:val="center"/>
              <w:rPr>
                <w:rFonts w:ascii="宋体" w:hAnsi="宋体" w:hint="eastAsia"/>
                <w:b/>
                <w:szCs w:val="21"/>
              </w:rPr>
            </w:pPr>
            <w:r>
              <w:rPr>
                <w:rFonts w:ascii="宋体" w:hAnsi="宋体"/>
                <w:b/>
                <w:szCs w:val="21"/>
              </w:rPr>
              <w:t>数据等级</w:t>
            </w:r>
          </w:p>
        </w:tc>
        <w:tc>
          <w:tcPr>
            <w:tcW w:w="1417" w:type="dxa"/>
            <w:noWrap w:val="0"/>
            <w:vAlign w:val="center"/>
          </w:tcPr>
          <w:p>
            <w:pPr>
              <w:spacing w:line="360" w:lineRule="exact"/>
              <w:contextualSpacing/>
              <w:jc w:val="center"/>
              <w:rPr>
                <w:rFonts w:ascii="宋体" w:hAnsi="宋体" w:hint="eastAsia"/>
                <w:b/>
                <w:szCs w:val="21"/>
              </w:rPr>
            </w:pPr>
            <w:r>
              <w:rPr>
                <w:rFonts w:ascii="宋体" w:hAnsi="宋体"/>
                <w:b/>
                <w:szCs w:val="21"/>
              </w:rPr>
              <w:t>产品生成</w:t>
            </w:r>
          </w:p>
          <w:p>
            <w:pPr>
              <w:spacing w:line="360" w:lineRule="exact"/>
              <w:contextualSpacing/>
              <w:jc w:val="center"/>
              <w:rPr>
                <w:rFonts w:ascii="宋体" w:hAnsi="宋体" w:hint="eastAsia"/>
                <w:b/>
                <w:szCs w:val="21"/>
              </w:rPr>
            </w:pPr>
            <w:r>
              <w:rPr>
                <w:rFonts w:ascii="宋体" w:hAnsi="宋体"/>
                <w:b/>
                <w:szCs w:val="21"/>
              </w:rPr>
              <w:t>周期</w:t>
            </w:r>
          </w:p>
        </w:tc>
      </w:tr>
      <w:tr>
        <w:tblPrEx>
          <w:tblW w:w="0" w:type="auto"/>
          <w:tblInd w:w="108" w:type="dxa"/>
          <w:tblLayout w:type="fixed"/>
          <w:tblCellMar>
            <w:top w:w="0" w:type="dxa"/>
            <w:left w:w="108" w:type="dxa"/>
            <w:bottom w:w="0" w:type="dxa"/>
            <w:right w:w="108" w:type="dxa"/>
          </w:tblCellMar>
        </w:tblPrEx>
        <w:trPr>
          <w:trHeight w:val="145"/>
        </w:trPr>
        <w:tc>
          <w:tcPr>
            <w:tcW w:w="8505" w:type="dxa"/>
            <w:gridSpan w:val="7"/>
            <w:noWrap w:val="0"/>
            <w:vAlign w:val="center"/>
          </w:tcPr>
          <w:p>
            <w:pPr>
              <w:spacing w:line="360" w:lineRule="exact"/>
              <w:contextualSpacing/>
              <w:jc w:val="center"/>
              <w:rPr>
                <w:rFonts w:ascii="宋体" w:hAnsi="宋体" w:hint="eastAsia"/>
                <w:szCs w:val="21"/>
              </w:rPr>
            </w:pPr>
            <w:r>
              <w:rPr>
                <w:rFonts w:ascii="宋体" w:hAnsi="宋体"/>
                <w:szCs w:val="21"/>
              </w:rPr>
              <w:t>（1）图像产品</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19</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62.5m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基本反射率(R)</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20</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125m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460km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基本反射率(R)</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21</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245m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460km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基本反射率(R)</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25</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62.5m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60km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基本速度(V)</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26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125m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115km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基本速度(V)</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27</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62.5m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基本速度(V)</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28</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62.5m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60km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基本谱宽(SW)</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29</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125m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115km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基本谱宽(SW)</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30</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62.5m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基本谱宽(SW)</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31</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125m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用户可选降水（USP）</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33</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125m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混合扫描反射率（HSR）</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37</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250m</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组合反射率（CR）</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38</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460km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组合反射率（CR）</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39</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250m</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组合反射率等值线（CRC）</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12</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40</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460km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组合反射率等值线（CRC）</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12</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41</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回波顶（ET）</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42</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回波顶等值线（ETC）</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12</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43</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50km</w:t>
            </w:r>
            <w:r>
              <w:rPr>
                <w:rFonts w:ascii="Symbol" w:hAnsi="Symbol"/>
                <w:szCs w:val="21"/>
              </w:rPr>
              <w:sym w:font="Symbol" w:char="F0B4"/>
            </w:r>
            <w:r>
              <w:rPr>
                <w:rFonts w:ascii="宋体" w:hAnsi="宋体"/>
                <w:szCs w:val="21"/>
              </w:rPr>
              <w:t>50km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强天气分析反射率（SWR）</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44</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50km</w:t>
            </w:r>
            <w:r>
              <w:rPr>
                <w:rFonts w:ascii="Symbol" w:hAnsi="Symbol"/>
                <w:szCs w:val="21"/>
              </w:rPr>
              <w:sym w:font="Symbol" w:char="F0B4"/>
            </w:r>
            <w:r>
              <w:rPr>
                <w:rFonts w:ascii="宋体" w:hAnsi="宋体"/>
                <w:szCs w:val="21"/>
              </w:rPr>
              <w:t>50km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强天气分析速度（SWV）</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45</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50km</w:t>
            </w:r>
            <w:r>
              <w:rPr>
                <w:rFonts w:ascii="Symbol" w:hAnsi="Symbol"/>
                <w:szCs w:val="21"/>
              </w:rPr>
              <w:sym w:font="Symbol" w:char="F0B4"/>
            </w:r>
            <w:r>
              <w:rPr>
                <w:rFonts w:ascii="宋体" w:hAnsi="宋体"/>
                <w:szCs w:val="21"/>
              </w:rPr>
              <w:t>50km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强天气分析谱宽（SWW）</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46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50km</w:t>
            </w:r>
            <w:r>
              <w:rPr>
                <w:rFonts w:ascii="Symbol" w:hAnsi="Symbol"/>
                <w:szCs w:val="21"/>
              </w:rPr>
              <w:sym w:font="Symbol" w:char="F0B4"/>
            </w:r>
            <w:r>
              <w:rPr>
                <w:rFonts w:ascii="宋体" w:hAnsi="宋体"/>
                <w:szCs w:val="21"/>
              </w:rPr>
              <w:t>50km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强天气分析切变（SWS）</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47</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强天气概率（SWP）</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48</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2.0m/s</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VAD风廓线（VWP）</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50</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230km</w:t>
            </w:r>
            <w:r>
              <w:rPr>
                <w:rFonts w:ascii="Symbol" w:hAnsi="Symbol"/>
                <w:szCs w:val="21"/>
              </w:rPr>
              <w:sym w:font="Symbol" w:char="F0B4"/>
            </w:r>
            <w:r>
              <w:rPr>
                <w:rFonts w:ascii="宋体" w:hAnsi="宋体"/>
                <w:szCs w:val="21"/>
              </w:rPr>
              <w:t>21km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反射率剖面（RCS ）</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51</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230km</w:t>
            </w:r>
            <w:r>
              <w:rPr>
                <w:rFonts w:ascii="Symbol" w:hAnsi="Symbol"/>
                <w:szCs w:val="21"/>
              </w:rPr>
              <w:sym w:font="Symbol" w:char="F0B4"/>
            </w:r>
            <w:r>
              <w:rPr>
                <w:rFonts w:ascii="宋体" w:hAnsi="宋体"/>
                <w:szCs w:val="21"/>
              </w:rPr>
              <w:t>21km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速度剖面（VCS）</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52</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230km</w:t>
            </w:r>
            <w:r>
              <w:rPr>
                <w:rFonts w:ascii="Symbol" w:hAnsi="Symbol"/>
                <w:szCs w:val="21"/>
              </w:rPr>
              <w:sym w:font="Symbol" w:char="F0B4"/>
            </w:r>
            <w:r>
              <w:rPr>
                <w:rFonts w:ascii="宋体" w:hAnsi="宋体"/>
                <w:szCs w:val="21"/>
              </w:rPr>
              <w:t>21km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谱宽剖面（SCS）</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53</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50km</w:t>
            </w:r>
            <w:r>
              <w:rPr>
                <w:rFonts w:ascii="Symbol" w:hAnsi="Symbol"/>
                <w:szCs w:val="21"/>
              </w:rPr>
              <w:sym w:font="Symbol" w:char="F0B4"/>
            </w:r>
            <w:r>
              <w:rPr>
                <w:rFonts w:ascii="宋体" w:hAnsi="宋体"/>
                <w:szCs w:val="21"/>
              </w:rPr>
              <w:t>50km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弱回波区（WER）</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55</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50km</w:t>
            </w:r>
            <w:r>
              <w:rPr>
                <w:rFonts w:ascii="Symbol" w:hAnsi="Symbol"/>
                <w:szCs w:val="21"/>
              </w:rPr>
              <w:sym w:font="Symbol" w:char="F0B4"/>
            </w:r>
            <w:r>
              <w:rPr>
                <w:rFonts w:ascii="宋体" w:hAnsi="宋体"/>
                <w:szCs w:val="21"/>
              </w:rPr>
              <w:t>50km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局部风暴相对径向速度（SRR）</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风暴相对径向速度（SRM）</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57</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垂直累计液态水含量（VIL）</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58</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345km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风暴追踪信息（STI）</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59</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460km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冰雹指数（HI）</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60</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中尺度气旋（M）</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61</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龙卷涡旋特征（TVS）</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62</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345km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风暴结构（SS）</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63</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460km</w:t>
            </w:r>
            <w:r>
              <w:rPr>
                <w:rFonts w:ascii="Symbol" w:hAnsi="Symbol"/>
                <w:szCs w:val="21"/>
              </w:rPr>
              <w:sym w:font="Symbol" w:char="F0B4"/>
            </w:r>
            <w:r>
              <w:rPr>
                <w:rFonts w:ascii="宋体" w:hAnsi="宋体"/>
                <w:szCs w:val="21"/>
              </w:rPr>
              <w:t>460km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分层(1)组合反射率平均值(LRA)</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64</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460km</w:t>
            </w:r>
            <w:r>
              <w:rPr>
                <w:rFonts w:ascii="Symbol" w:hAnsi="Symbol"/>
                <w:szCs w:val="21"/>
              </w:rPr>
              <w:sym w:font="Symbol" w:char="F0B4"/>
            </w:r>
            <w:r>
              <w:rPr>
                <w:rFonts w:ascii="宋体" w:hAnsi="宋体"/>
                <w:szCs w:val="21"/>
              </w:rPr>
              <w:t>460km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分层(2)组合反射率平均值(LRA)</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65</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460km</w:t>
            </w:r>
            <w:r>
              <w:rPr>
                <w:rFonts w:ascii="Symbol" w:hAnsi="Symbol"/>
                <w:szCs w:val="21"/>
              </w:rPr>
              <w:sym w:font="Symbol" w:char="F0B4"/>
            </w:r>
            <w:r>
              <w:rPr>
                <w:rFonts w:ascii="宋体" w:hAnsi="宋体"/>
                <w:szCs w:val="21"/>
              </w:rPr>
              <w:t>460km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分层(1)组合反射率最大值(LRM)</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145"/>
        </w:trPr>
        <w:tc>
          <w:tcPr>
            <w:tcW w:w="709" w:type="dxa"/>
            <w:tcBorders>
              <w:top w:val="single" w:sz="4" w:space="0" w:color="auto"/>
              <w:left w:val="single" w:sz="4" w:space="0" w:color="auto"/>
              <w:bottom w:val="single" w:sz="4" w:space="0" w:color="auto"/>
              <w:right w:val="single" w:sz="4" w:space="0" w:color="auto"/>
            </w:tcBorders>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66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460km</w:t>
            </w:r>
            <w:r>
              <w:rPr>
                <w:rFonts w:ascii="Symbol" w:hAnsi="Symbol"/>
                <w:szCs w:val="21"/>
              </w:rPr>
              <w:sym w:font="Symbol" w:char="F0B4"/>
            </w:r>
            <w:r>
              <w:rPr>
                <w:rFonts w:ascii="宋体" w:hAnsi="宋体"/>
                <w:szCs w:val="21"/>
              </w:rPr>
              <w:t>460km</w:t>
            </w:r>
          </w:p>
        </w:tc>
        <w:tc>
          <w:tcPr>
            <w:tcW w:w="2126"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分层(2)组合反射率最大值(LRM)</w:t>
            </w:r>
          </w:p>
        </w:tc>
        <w:tc>
          <w:tcPr>
            <w:tcW w:w="709"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tcBorders>
              <w:top w:val="single" w:sz="4" w:space="0" w:color="auto"/>
              <w:left w:val="single" w:sz="4" w:space="0" w:color="auto"/>
              <w:bottom w:val="single" w:sz="4" w:space="0" w:color="auto"/>
              <w:right w:val="single" w:sz="4" w:space="0" w:color="auto"/>
            </w:tcBorders>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97"/>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73</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用户警报信息（UAM）</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97"/>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78</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1小时降水（OHP）</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512"/>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79</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3小时降水（THP）</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97"/>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80</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风暴总降水（STP）</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84</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2.5m/s</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速度方位显示（VAD）</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87</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 xml:space="preserve">1 km </w:t>
            </w:r>
            <w:r>
              <w:rPr>
                <w:rFonts w:ascii="Symbol" w:hAnsi="Symbol"/>
                <w:szCs w:val="21"/>
              </w:rPr>
              <w:sym w:font="Symbol" w:char="F0B4"/>
            </w:r>
            <w:r>
              <w:rPr>
                <w:rFonts w:ascii="宋体" w:hAnsi="宋体"/>
                <w:szCs w:val="21"/>
              </w:rPr>
              <w:t>1km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r>
              <w:rPr>
                <w:rFonts w:ascii="Symbol" w:hAnsi="Symbol"/>
                <w:szCs w:val="21"/>
              </w:rPr>
              <w:sym w:font="Symbol" w:char="F0B4"/>
            </w: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综合切变（CS）</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88</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 xml:space="preserve">1 km </w:t>
            </w:r>
            <w:r>
              <w:rPr>
                <w:rFonts w:ascii="Symbol" w:hAnsi="Symbol"/>
                <w:szCs w:val="21"/>
              </w:rPr>
              <w:sym w:font="Symbol" w:char="F0B4"/>
            </w:r>
            <w:r>
              <w:rPr>
                <w:rFonts w:ascii="宋体" w:hAnsi="宋体"/>
                <w:szCs w:val="21"/>
              </w:rPr>
              <w:t>1km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r>
              <w:rPr>
                <w:rFonts w:ascii="Symbol" w:hAnsi="Symbol"/>
                <w:szCs w:val="21"/>
              </w:rPr>
              <w:sym w:font="Symbol" w:char="F0B4"/>
            </w: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综合切变等值线（CSC）</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89</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460km</w:t>
            </w:r>
            <w:r>
              <w:rPr>
                <w:rFonts w:ascii="Symbol" w:hAnsi="Symbol"/>
                <w:szCs w:val="21"/>
              </w:rPr>
              <w:sym w:font="Symbol" w:char="F0B4"/>
            </w:r>
            <w:r>
              <w:rPr>
                <w:rFonts w:ascii="宋体" w:hAnsi="宋体"/>
                <w:szCs w:val="21"/>
              </w:rPr>
              <w:t>460km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分层(3)组合反射率平均值（LRA）</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90</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1.0km</w:t>
            </w:r>
            <w:r>
              <w:rPr>
                <w:rFonts w:ascii="Symbol" w:hAnsi="Symbol"/>
                <w:szCs w:val="21"/>
              </w:rPr>
              <w:sym w:font="Symbol" w:char="F0B4"/>
            </w:r>
            <w:r>
              <w:rPr>
                <w:rFonts w:ascii="宋体" w:hAnsi="宋体"/>
                <w:szCs w:val="21"/>
              </w:rPr>
              <w:t>1.0km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460km</w:t>
            </w:r>
            <w:r>
              <w:rPr>
                <w:rFonts w:ascii="Symbol" w:hAnsi="Symbol"/>
                <w:szCs w:val="21"/>
              </w:rPr>
              <w:sym w:font="Symbol" w:char="F0B4"/>
            </w:r>
            <w:r>
              <w:rPr>
                <w:rFonts w:ascii="宋体" w:hAnsi="宋体"/>
                <w:szCs w:val="21"/>
              </w:rPr>
              <w:t>460km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分层(3)组合反射率最大值（LRM）</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110</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CAPPI</w:t>
            </w:r>
            <w:r>
              <w:rPr>
                <w:rFonts w:ascii="宋体" w:hAnsi="宋体"/>
                <w:kern w:val="0"/>
                <w:szCs w:val="21"/>
              </w:rPr>
              <w:t>反射率等高面位置显示</w:t>
            </w:r>
            <w:r>
              <w:rPr>
                <w:rFonts w:ascii="宋体" w:hAnsi="宋体"/>
                <w:szCs w:val="21"/>
              </w:rPr>
              <w:t>（</w:t>
            </w:r>
            <w:r>
              <w:rPr>
                <w:rFonts w:ascii="宋体" w:hAnsi="宋体"/>
                <w:kern w:val="0"/>
                <w:szCs w:val="21"/>
              </w:rPr>
              <w:t>CAR</w:t>
            </w:r>
            <w:r>
              <w:rPr>
                <w:rFonts w:ascii="宋体" w:hAnsi="宋体"/>
                <w:szCs w:val="21"/>
              </w:rPr>
              <w:t>）</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8505" w:type="dxa"/>
            <w:gridSpan w:val="7"/>
            <w:noWrap w:val="0"/>
            <w:vAlign w:val="center"/>
          </w:tcPr>
          <w:p>
            <w:pPr>
              <w:spacing w:line="360" w:lineRule="exact"/>
              <w:contextualSpacing/>
              <w:jc w:val="center"/>
              <w:rPr>
                <w:rFonts w:ascii="宋体" w:hAnsi="宋体" w:hint="eastAsia"/>
                <w:szCs w:val="21"/>
              </w:rPr>
            </w:pPr>
            <w:r>
              <w:rPr>
                <w:rFonts w:ascii="宋体" w:hAnsi="宋体"/>
                <w:szCs w:val="21"/>
              </w:rPr>
              <w:t>（2）双偏振产品</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158</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差分反射率(ZDR)</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160</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相关系数(CC)</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161</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差分传播相移（ΦDP）</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162</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差分传播相移率（KDP）</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163</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退偏振比（LDR）</w:t>
            </w:r>
          </w:p>
          <w:p>
            <w:pPr>
              <w:spacing w:line="360" w:lineRule="exact"/>
              <w:contextualSpacing/>
              <w:jc w:val="center"/>
              <w:rPr>
                <w:rFonts w:ascii="宋体" w:hAnsi="宋体" w:hint="eastAsia"/>
                <w:szCs w:val="21"/>
              </w:rPr>
            </w:pPr>
            <w:r>
              <w:rPr>
                <w:rFonts w:ascii="宋体" w:hAnsi="宋体"/>
                <w:szCs w:val="21"/>
              </w:rPr>
              <w:t>（单发双收模式下）</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164</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粒子相态分类（HCL）</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10</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166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融化层识别（ML）</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30秒</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168</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双偏振定量降水估计</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169</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1小时降水（OHP）</w:t>
            </w:r>
          </w:p>
          <w:p>
            <w:pPr>
              <w:spacing w:line="360" w:lineRule="exact"/>
              <w:contextualSpacing/>
              <w:jc w:val="center"/>
              <w:rPr>
                <w:rFonts w:ascii="宋体" w:hAnsi="宋体" w:hint="eastAsia"/>
                <w:szCs w:val="21"/>
              </w:rPr>
            </w:pPr>
            <w:r>
              <w:rPr>
                <w:rFonts w:ascii="宋体" w:hAnsi="宋体"/>
                <w:szCs w:val="21"/>
              </w:rPr>
              <w:t>（双偏振算法）</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170</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3小时降水（THP）</w:t>
            </w:r>
          </w:p>
          <w:p>
            <w:pPr>
              <w:spacing w:line="360" w:lineRule="exact"/>
              <w:contextualSpacing/>
              <w:jc w:val="center"/>
              <w:rPr>
                <w:rFonts w:ascii="宋体" w:hAnsi="宋体" w:hint="eastAsia"/>
                <w:szCs w:val="21"/>
              </w:rPr>
            </w:pPr>
            <w:r>
              <w:rPr>
                <w:rFonts w:ascii="宋体" w:hAnsi="宋体"/>
                <w:szCs w:val="21"/>
              </w:rPr>
              <w:t>（双偏振算法）</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171</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1º</w:t>
            </w:r>
            <w:r>
              <w:rPr>
                <w:rFonts w:ascii="Symbol" w:hAnsi="Symbol"/>
                <w:szCs w:val="21"/>
              </w:rPr>
              <w:sym w:font="Symbol" w:char="F0B4"/>
            </w:r>
            <w:r>
              <w:rPr>
                <w:rFonts w:ascii="宋体" w:hAnsi="宋体"/>
                <w:szCs w:val="21"/>
              </w:rPr>
              <w:t>250m</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230km</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风暴总降水（STP）</w:t>
            </w:r>
          </w:p>
          <w:p>
            <w:pPr>
              <w:spacing w:line="360" w:lineRule="exact"/>
              <w:contextualSpacing/>
              <w:jc w:val="center"/>
              <w:rPr>
                <w:rFonts w:ascii="宋体" w:hAnsi="宋体" w:hint="eastAsia"/>
                <w:szCs w:val="21"/>
              </w:rPr>
            </w:pPr>
            <w:r>
              <w:rPr>
                <w:rFonts w:ascii="宋体" w:hAnsi="宋体"/>
                <w:szCs w:val="21"/>
              </w:rPr>
              <w:t>（双偏振算法）</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16</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8505" w:type="dxa"/>
            <w:gridSpan w:val="7"/>
            <w:noWrap w:val="0"/>
            <w:vAlign w:val="center"/>
          </w:tcPr>
          <w:p>
            <w:pPr>
              <w:spacing w:line="360" w:lineRule="exact"/>
              <w:contextualSpacing/>
              <w:jc w:val="center"/>
              <w:rPr>
                <w:rFonts w:ascii="宋体" w:hAnsi="宋体" w:cs="黑体" w:hint="eastAsia"/>
                <w:szCs w:val="21"/>
              </w:rPr>
            </w:pPr>
            <w:r>
              <w:rPr>
                <w:rFonts w:ascii="宋体" w:hAnsi="宋体" w:cs="黑体"/>
                <w:szCs w:val="21"/>
              </w:rPr>
              <w:t>（3）文字信息产品</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59</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冰雹指数字母数值列表</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60</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中气旋字母数值列表</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61</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龙卷风涡旋字母数值列表</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75</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自由文本信息（FTM）</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78</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1小时降水字母数值列表</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79</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3小时降水字母数值列表</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80</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风暴总降水字母数值列表</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r>
        <w:tblPrEx>
          <w:tblW w:w="0" w:type="auto"/>
          <w:tblInd w:w="108" w:type="dxa"/>
          <w:tblLayout w:type="fixed"/>
          <w:tblCellMar>
            <w:top w:w="0" w:type="dxa"/>
            <w:left w:w="108" w:type="dxa"/>
            <w:bottom w:w="0" w:type="dxa"/>
            <w:right w:w="108" w:type="dxa"/>
          </w:tblCellMar>
        </w:tblPrEx>
        <w:trPr>
          <w:trHeight w:val="445"/>
        </w:trPr>
        <w:tc>
          <w:tcPr>
            <w:tcW w:w="709" w:type="dxa"/>
            <w:noWrap w:val="0"/>
            <w:vAlign w:val="center"/>
          </w:tcPr>
          <w:p>
            <w:pPr>
              <w:numPr>
                <w:ilvl w:val="0"/>
                <w:numId w:val="19"/>
              </w:numPr>
              <w:spacing w:line="360" w:lineRule="exact"/>
              <w:ind w:left="0" w:firstLine="0"/>
              <w:contextualSpacing/>
              <w:jc w:val="center"/>
              <w:rPr>
                <w:rFonts w:ascii="宋体" w:hAnsi="宋体" w:cs="黑体" w:hint="eastAsia"/>
                <w:szCs w:val="21"/>
              </w:rPr>
            </w:pPr>
          </w:p>
        </w:tc>
        <w:tc>
          <w:tcPr>
            <w:tcW w:w="851" w:type="dxa"/>
            <w:noWrap w:val="0"/>
            <w:vAlign w:val="center"/>
          </w:tcPr>
          <w:p>
            <w:pPr>
              <w:spacing w:line="360" w:lineRule="exact"/>
              <w:contextualSpacing/>
              <w:jc w:val="center"/>
              <w:rPr>
                <w:rFonts w:ascii="宋体" w:hAnsi="宋体" w:hint="eastAsia"/>
                <w:szCs w:val="21"/>
              </w:rPr>
            </w:pPr>
            <w:r>
              <w:rPr>
                <w:rFonts w:ascii="宋体" w:hAnsi="宋体"/>
                <w:szCs w:val="21"/>
              </w:rPr>
              <w:t>82</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276"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2126" w:type="dxa"/>
            <w:noWrap w:val="0"/>
            <w:vAlign w:val="center"/>
          </w:tcPr>
          <w:p>
            <w:pPr>
              <w:spacing w:line="360" w:lineRule="exact"/>
              <w:contextualSpacing/>
              <w:jc w:val="center"/>
              <w:rPr>
                <w:rFonts w:ascii="宋体" w:hAnsi="宋体" w:hint="eastAsia"/>
                <w:szCs w:val="21"/>
              </w:rPr>
            </w:pPr>
            <w:r>
              <w:rPr>
                <w:rFonts w:ascii="宋体" w:hAnsi="宋体"/>
                <w:szCs w:val="21"/>
              </w:rPr>
              <w:t>降水补充数据（SPD）</w:t>
            </w:r>
          </w:p>
        </w:tc>
        <w:tc>
          <w:tcPr>
            <w:tcW w:w="709" w:type="dxa"/>
            <w:noWrap w:val="0"/>
            <w:vAlign w:val="center"/>
          </w:tcPr>
          <w:p>
            <w:pPr>
              <w:spacing w:line="360" w:lineRule="exact"/>
              <w:contextualSpacing/>
              <w:jc w:val="center"/>
              <w:rPr>
                <w:rFonts w:ascii="宋体" w:hAnsi="宋体" w:hint="eastAsia"/>
                <w:szCs w:val="21"/>
              </w:rPr>
            </w:pPr>
            <w:r>
              <w:rPr>
                <w:rFonts w:ascii="宋体" w:hAnsi="宋体"/>
                <w:szCs w:val="21"/>
              </w:rPr>
              <w:t>N/A</w:t>
            </w:r>
          </w:p>
        </w:tc>
        <w:tc>
          <w:tcPr>
            <w:tcW w:w="1417" w:type="dxa"/>
            <w:noWrap w:val="0"/>
            <w:vAlign w:val="center"/>
          </w:tcPr>
          <w:p>
            <w:pPr>
              <w:spacing w:line="360" w:lineRule="exact"/>
              <w:contextualSpacing/>
              <w:jc w:val="center"/>
              <w:rPr>
                <w:rFonts w:ascii="宋体" w:hAnsi="宋体" w:hint="eastAsia"/>
                <w:szCs w:val="21"/>
              </w:rPr>
            </w:pPr>
            <w:r>
              <w:rPr>
                <w:rFonts w:ascii="宋体" w:hAnsi="宋体"/>
                <w:szCs w:val="21"/>
              </w:rPr>
              <w:t>1.5分钟</w:t>
            </w:r>
          </w:p>
        </w:tc>
      </w:tr>
    </w:tbl>
    <w:p>
      <w:pPr>
        <w:adjustRightInd w:val="0"/>
        <w:snapToGrid w:val="0"/>
        <w:spacing w:line="360" w:lineRule="auto"/>
        <w:jc w:val="left"/>
        <w:rPr>
          <w:rFonts w:ascii="宋体" w:hAnsi="宋体"/>
          <w:b/>
          <w:sz w:val="30"/>
          <w:szCs w:val="30"/>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highlight w:val="none"/>
        </w:rPr>
      </w:pPr>
      <w:bookmarkStart w:id="73"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3"/>
              </w:numPr>
              <w:rPr>
                <w:rFonts w:ascii="宋体" w:hAnsi="宋体"/>
                <w:sz w:val="18"/>
                <w:szCs w:val="18"/>
                <w:highlight w:val="none"/>
              </w:rPr>
            </w:pPr>
          </w:p>
        </w:tc>
        <w:tc>
          <w:tcPr>
            <w:tcW w:w="898" w:type="dxa"/>
            <w:noWrap w:val="0"/>
            <w:vAlign w:val="center"/>
          </w:tcPr>
          <w:p>
            <w:pPr>
              <w:jc w:val="both"/>
              <w:rPr>
                <w:rFonts w:ascii="宋体" w:hAnsi="宋体"/>
                <w:sz w:val="18"/>
                <w:szCs w:val="18"/>
                <w:highlight w:val="none"/>
              </w:rPr>
            </w:pPr>
          </w:p>
        </w:tc>
        <w:tc>
          <w:tcPr>
            <w:tcW w:w="7347" w:type="dxa"/>
            <w:noWrap w:val="0"/>
            <w:vAlign w:val="top"/>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3"/>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3"/>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20"/>
        </w:numPr>
        <w:spacing w:line="360" w:lineRule="auto"/>
        <w:ind w:firstLine="3066" w:firstLineChars="1460"/>
        <w:jc w:val="left"/>
        <w:rPr>
          <w:rFonts w:ascii="Times New Roman" w:eastAsia="宋体" w:hAnsi="Times New Roman" w:cs="Times New Roman" w:hint="eastAsia"/>
          <w:b/>
          <w:bCs/>
          <w:szCs w:val="21"/>
          <w:highlight w:val="none"/>
        </w:rPr>
      </w:pPr>
      <w:bookmarkStart w:id="74"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21"/>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21"/>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21"/>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snapToGrid w:val="0"/>
        <w:spacing w:line="360" w:lineRule="auto"/>
        <w:ind w:firstLine="420"/>
        <w:jc w:val="center"/>
        <w:rPr>
          <w:rFonts w:ascii="宋体" w:eastAsia="宋体" w:hAnsi="宋体" w:cs="Times New Roman"/>
          <w:szCs w:val="21"/>
          <w:highlight w:val="none"/>
        </w:rPr>
      </w:pP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auto" w:val="0"/>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tblPrEx>
          <w:tblW w:w="0" w:type="auto"/>
          <w:jc w:val="center"/>
          <w:tblLayout w:type="fixed"/>
          <w:tblCellMar>
            <w:top w:w="0" w:type="dxa"/>
            <w:left w:w="108" w:type="dxa"/>
            <w:bottom w:w="0" w:type="dxa"/>
            <w:right w:w="108" w:type="dxa"/>
          </w:tblCellMar>
        </w:tblPrEx>
        <w:trPr>
          <w:trHeight w:hRule="auto" w:val="0"/>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trHeight w:hRule="auto" w:val="0"/>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trHeight w:hRule="auto" w:val="0"/>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2、合同生效后付款：双方签署合同后7个工作日内，甲方向乙方支付合同总金额的</w:t>
      </w:r>
      <w:r>
        <w:rPr>
          <w:rFonts w:ascii="宋体" w:eastAsia="宋体" w:hAnsi="宋体" w:cs="Times New Roman" w:hint="eastAsia"/>
          <w:szCs w:val="21"/>
          <w:highlight w:val="none"/>
        </w:rPr>
        <w:t>30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w:t>
      </w:r>
      <w:r>
        <w:rPr>
          <w:rFonts w:ascii="宋体" w:eastAsia="宋体" w:hAnsi="宋体" w:cs="Times New Roman" w:hint="eastAsia"/>
          <w:szCs w:val="21"/>
          <w:highlight w:val="none"/>
        </w:rPr>
        <w:t>2026年年底（6个分系统的样件通过测试）后</w:t>
      </w:r>
      <w:r>
        <w:rPr>
          <w:rFonts w:ascii="宋体" w:eastAsia="宋体" w:hAnsi="宋体" w:cs="Times New Roman" w:hint="eastAsia"/>
          <w:szCs w:val="21"/>
          <w:highlight w:val="none"/>
        </w:rPr>
        <w:t>，甲方向乙方支付合同总金额的</w:t>
      </w:r>
      <w:r>
        <w:rPr>
          <w:rFonts w:ascii="宋体" w:eastAsia="宋体" w:hAnsi="宋体" w:cs="Times New Roman" w:hint="eastAsia"/>
          <w:szCs w:val="21"/>
          <w:highlight w:val="none"/>
        </w:rPr>
        <w:t>30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元（小写）； </w:t>
      </w:r>
    </w:p>
    <w:p>
      <w:pPr>
        <w:pBdr>
          <w:bottom w:val="none" w:sz="0" w:space="0" w:color="auto"/>
        </w:pBd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4、6个分系统通过整机联调，甲方向乙方支付合同总金额的30%，即人民币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元（小写）； </w:t>
      </w:r>
    </w:p>
    <w:p>
      <w:pPr>
        <w:pBdr>
          <w:bottom w:val="none" w:sz="0" w:space="0" w:color="auto"/>
        </w:pBd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5、</w:t>
      </w:r>
      <w:r>
        <w:rPr>
          <w:rFonts w:ascii="宋体" w:eastAsia="宋体" w:hAnsi="宋体" w:cs="宋体"/>
          <w:i w:val="0"/>
          <w:strike w:val="0"/>
          <w:spacing w:val="0"/>
          <w:u w:val="none"/>
        </w:rPr>
        <w:t>根据结转资金要求，甲乙双方通过协商</w:t>
      </w:r>
      <w:r>
        <w:rPr>
          <w:rFonts w:ascii="宋体" w:eastAsia="宋体" w:hAnsi="宋体" w:cs="Times New Roman" w:hint="eastAsia"/>
          <w:szCs w:val="21"/>
          <w:highlight w:val="none"/>
        </w:rPr>
        <w:t>，甲方向乙方支付合同总金额的10%，即人民币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8"/>
          <w:highlight w:val="none"/>
        </w:rPr>
        <w:t>1、</w:t>
      </w:r>
      <w:r>
        <w:rPr>
          <w:rFonts w:ascii="宋体" w:eastAsia="宋体" w:hAnsi="宋体" w:cs="Times New Roman" w:hint="eastAsia"/>
          <w:szCs w:val="21"/>
          <w:highlight w:val="none"/>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的比例向对方支付违约金，但该违约金累计不得超过合同总金额的</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%；上述逾期超过</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2、其它违约责任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违约方应就每一单项违约向对方支付合同总金额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%的违约金。</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2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2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2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2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2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2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2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2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2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spacing w:line="360" w:lineRule="auto"/>
        <w:ind w:firstLine="3066" w:firstLineChars="1460"/>
        <w:jc w:val="left"/>
        <w:rPr>
          <w:b/>
          <w:bCs/>
          <w:szCs w:val="21"/>
          <w:highlight w:val="none"/>
        </w:rPr>
      </w:pPr>
      <w:bookmarkEnd w:id="74"/>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1A5FEAC"/>
    <w:multiLevelType w:val="multilevel"/>
    <w:tmpl w:val="91A5FEAC"/>
    <w:lvl w:ilvl="0">
      <w:start w:val="1"/>
      <w:numFmt w:val="decimal"/>
      <w:suff w:val="space"/>
      <w:lvlText w:val="%1."/>
      <w:lvlJc w:val="left"/>
      <w:pPr>
        <w:ind w:left="0" w:firstLine="480"/>
      </w:pPr>
      <w:rPr>
        <w:rFonts w:hint="default"/>
        <w:u w:val="none" w:color="auto"/>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93FE6617"/>
    <w:multiLevelType w:val="singleLevel"/>
    <w:tmpl w:val="93FE6617"/>
    <w:lvl w:ilvl="0">
      <w:start w:val="1"/>
      <w:numFmt w:val="decimal"/>
      <w:lvlText w:val="%1."/>
      <w:lvlJc w:val="left"/>
      <w:pPr>
        <w:tabs>
          <w:tab w:val="left" w:pos="880"/>
        </w:tabs>
      </w:pPr>
    </w:lvl>
  </w:abstractNum>
  <w:abstractNum w:abstractNumId="2">
    <w:nsid w:val="9BDEECA8"/>
    <w:multiLevelType w:val="singleLevel"/>
    <w:tmpl w:val="9BDEECA8"/>
    <w:lvl w:ilvl="0">
      <w:start w:val="9"/>
      <w:numFmt w:val="chineseCounting"/>
      <w:suff w:val="space"/>
      <w:lvlText w:val="第%1章"/>
      <w:lvlJc w:val="left"/>
      <w:rPr>
        <w:rFonts w:hint="eastAsia"/>
      </w:rPr>
    </w:lvl>
  </w:abstractNum>
  <w:abstractNum w:abstractNumId="3">
    <w:nsid w:val="ACA72C0A"/>
    <w:multiLevelType w:val="multilevel"/>
    <w:tmpl w:val="ACA72C0A"/>
    <w:lvl w:ilvl="0">
      <w:start w:val="1"/>
      <w:numFmt w:val="decimal"/>
      <w:lvlText w:val="（%1）"/>
      <w:lvlJc w:val="left"/>
      <w:pPr>
        <w:ind w:left="0" w:firstLine="480"/>
      </w:pPr>
      <w:rPr>
        <w:rFonts w:hint="default"/>
        <w:u w:val="none" w:color="auto"/>
      </w:rPr>
    </w:lvl>
    <w:lvl w:ilvl="1">
      <w:start w:val="1"/>
      <w:numFmt w:val="decimal"/>
      <w:lvlJc w:val="left"/>
      <w:pPr>
        <w:ind w:left="0" w:firstLine="0"/>
      </w:pPr>
      <w:rPr>
        <w:rFonts w:hint="eastAsia"/>
      </w:rPr>
    </w:lvl>
    <w:lvl w:ilvl="2">
      <w:start w:val="1"/>
      <w:numFmt w:val="decimal"/>
      <w:lvlJc w:val="left"/>
      <w:pPr>
        <w:ind w:left="0" w:firstLine="0"/>
      </w:pPr>
      <w:rPr>
        <w:rFonts w:hint="eastAsia"/>
      </w:rPr>
    </w:lvl>
    <w:lvl w:ilvl="3">
      <w:start w:val="1"/>
      <w:numFmt w:val="decimal"/>
      <w:lvlJc w:val="left"/>
      <w:pPr>
        <w:ind w:left="0" w:firstLine="0"/>
      </w:pPr>
      <w:rPr>
        <w:rFonts w:hint="eastAsia"/>
      </w:rPr>
    </w:lvl>
    <w:lvl w:ilvl="4">
      <w:start w:val="1"/>
      <w:numFmt w:val="decimal"/>
      <w:lvlJc w:val="left"/>
      <w:pPr>
        <w:ind w:left="0" w:firstLine="0"/>
      </w:pPr>
      <w:rPr>
        <w:rFonts w:hint="eastAsia"/>
      </w:rPr>
    </w:lvl>
    <w:lvl w:ilvl="5">
      <w:start w:val="1"/>
      <w:numFmt w:val="decimal"/>
      <w:lvlJc w:val="left"/>
      <w:pPr>
        <w:ind w:left="0" w:firstLine="0"/>
      </w:pPr>
      <w:rPr>
        <w:rFonts w:hint="eastAsia"/>
      </w:rPr>
    </w:lvl>
    <w:lvl w:ilvl="6">
      <w:start w:val="1"/>
      <w:numFmt w:val="decimal"/>
      <w:lvlJc w:val="left"/>
      <w:pPr>
        <w:ind w:left="0" w:firstLine="0"/>
      </w:pPr>
      <w:rPr>
        <w:rFonts w:hint="eastAsia"/>
      </w:rPr>
    </w:lvl>
    <w:lvl w:ilvl="7">
      <w:start w:val="1"/>
      <w:numFmt w:val="decimal"/>
      <w:lvlJc w:val="left"/>
      <w:pPr>
        <w:ind w:left="0" w:firstLine="0"/>
      </w:pPr>
      <w:rPr>
        <w:rFonts w:hint="eastAsia"/>
      </w:rPr>
    </w:lvl>
    <w:lvl w:ilvl="8">
      <w:start w:val="1"/>
      <w:numFmt w:val="decimal"/>
      <w:lvlJc w:val="left"/>
      <w:pPr>
        <w:ind w:left="0" w:firstLine="0"/>
      </w:pPr>
      <w:rPr>
        <w:rFonts w:hint="eastAsia"/>
      </w:rPr>
    </w:lvl>
  </w:abstractNum>
  <w:abstractNum w:abstractNumId="4">
    <w:nsid w:val="B77EB986"/>
    <w:multiLevelType w:val="multilevel"/>
    <w:tmpl w:val="B77EB986"/>
    <w:lvl w:ilvl="0">
      <w:start w:val="1"/>
      <w:numFmt w:val="chineseCounting"/>
      <w:suff w:val="nothing"/>
      <w:lvlText w:val="%1、"/>
      <w:lvlJc w:val="left"/>
      <w:pPr>
        <w:ind w:left="0" w:firstLine="0"/>
      </w:pPr>
      <w:rPr>
        <w:rFonts w:hint="default"/>
        <w:u w:val="none" w:color="auto"/>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5">
    <w:nsid w:val="DFB51D89"/>
    <w:multiLevelType w:val="multilevel"/>
    <w:tmpl w:val="DFB51D89"/>
    <w:lvl w:ilvl="0">
      <w:start w:val="1"/>
      <w:numFmt w:val="decimal"/>
      <w:suff w:val="space"/>
      <w:lvlText w:val="%1."/>
      <w:lvlJc w:val="left"/>
      <w:pPr>
        <w:ind w:left="0" w:firstLine="480"/>
      </w:pPr>
      <w:rPr>
        <w:rFonts w:hint="default"/>
        <w:u w:val="none" w:color="auto"/>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6">
    <w:nsid w:val="F85DF3DD"/>
    <w:multiLevelType w:val="multilevel"/>
    <w:tmpl w:val="F85DF3DD"/>
    <w:lvl w:ilvl="0">
      <w:start w:val="1"/>
      <w:numFmt w:val="decimal"/>
      <w:suff w:val="space"/>
      <w:lvlText w:val="%1."/>
      <w:lvlJc w:val="left"/>
      <w:pPr>
        <w:ind w:left="0" w:firstLine="480"/>
      </w:pPr>
      <w:rPr>
        <w:rFonts w:hint="default"/>
        <w:u w:val="none" w:color="auto"/>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7">
    <w:nsid w:val="FEBFD927"/>
    <w:multiLevelType w:val="multilevel"/>
    <w:tmpl w:val="FEBFD927"/>
    <w:lvl w:ilvl="0">
      <w:start w:val="1"/>
      <w:numFmt w:val="decimal"/>
      <w:lvlText w:val="%1"/>
      <w:lvlJc w:val="left"/>
      <w:pPr>
        <w:ind w:left="420" w:hanging="420"/>
      </w:pPr>
      <w:rPr>
        <w:rFonts w:ascii="宋体" w:eastAsia="宋体" w:hAnsi="宋体"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0">
    <w:nsid w:val="07D63BE3"/>
    <w:multiLevelType w:val="multilevel"/>
    <w:tmpl w:val="07D63BE3"/>
    <w:lvl w:ilvl="0">
      <w:start w:val="1"/>
      <w:numFmt w:val="decimal"/>
      <w:pStyle w:val="-HCDC"/>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1">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1C96C17D"/>
    <w:multiLevelType w:val="multilevel"/>
    <w:tmpl w:val="1C96C17D"/>
    <w:lvl w:ilvl="0">
      <w:start w:val="1"/>
      <w:numFmt w:val="decimal"/>
      <w:suff w:val="space"/>
      <w:lvlText w:val="%1."/>
      <w:lvlJc w:val="left"/>
      <w:pPr>
        <w:ind w:left="0" w:firstLine="480"/>
      </w:pPr>
      <w:rPr>
        <w:rFonts w:hint="default"/>
        <w:u w:val="none" w:color="auto"/>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3">
    <w:nsid w:val="1EECD168"/>
    <w:multiLevelType w:val="multilevel"/>
    <w:tmpl w:val="1EECD168"/>
    <w:lvl w:ilvl="0">
      <w:start w:val="1"/>
      <w:numFmt w:val="decimal"/>
      <w:suff w:val="space"/>
      <w:lvlText w:val="%1."/>
      <w:lvlJc w:val="left"/>
      <w:pPr>
        <w:ind w:left="0" w:firstLine="480"/>
      </w:pPr>
      <w:rPr>
        <w:rFonts w:hint="default"/>
        <w:u w:val="none" w:color="auto"/>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4">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1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368D0C74"/>
    <w:multiLevelType w:val="multilevel"/>
    <w:tmpl w:val="368D0C74"/>
    <w:lvl w:ilvl="0">
      <w:start w:val="1"/>
      <w:numFmt w:val="decimal"/>
      <w:lvlText w:val="表%1"/>
      <w:lvlJc w:val="left"/>
      <w:pPr>
        <w:tabs>
          <w:tab w:val="left" w:pos="567"/>
        </w:tabs>
        <w:ind w:left="0" w:firstLine="0"/>
      </w:pPr>
      <w:rPr>
        <w:rFonts w:ascii="宋体" w:eastAsia="宋体" w:hAnsi="宋体"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nsid w:val="5A60FBC1"/>
    <w:multiLevelType w:val="multilevel"/>
    <w:tmpl w:val="5A60FBC1"/>
    <w:lvl w:ilvl="0">
      <w:start w:val="1"/>
      <w:numFmt w:val="decimal"/>
      <w:suff w:val="space"/>
      <w:lvlText w:val="%1."/>
      <w:lvlJc w:val="left"/>
      <w:pPr>
        <w:ind w:left="0" w:firstLine="480"/>
      </w:pPr>
      <w:rPr>
        <w:rFonts w:hint="default"/>
        <w:u w:val="none" w:color="auto"/>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8">
    <w:nsid w:val="5B22545D"/>
    <w:multiLevelType w:val="multilevel"/>
    <w:tmpl w:val="5B22545D"/>
    <w:lvl w:ilvl="0">
      <w:start w:val="1"/>
      <w:numFmt w:val="decimal"/>
      <w:suff w:val="space"/>
      <w:lvlText w:val="%1."/>
      <w:lvlJc w:val="left"/>
      <w:pPr>
        <w:ind w:left="0" w:firstLine="480"/>
      </w:pPr>
      <w:rPr>
        <w:rFonts w:hint="default"/>
        <w:u w:val="none" w:color="auto"/>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9">
    <w:nsid w:val="638A6870"/>
    <w:multiLevelType w:val="multilevel"/>
    <w:tmpl w:val="638A6870"/>
    <w:lvl w:ilvl="0">
      <w:start w:val="1"/>
      <w:numFmt w:val="decimal"/>
      <w:suff w:val="space"/>
      <w:lvlText w:val="%1."/>
      <w:lvlJc w:val="left"/>
      <w:pPr>
        <w:ind w:left="0" w:firstLine="480"/>
      </w:pPr>
      <w:rPr>
        <w:rFonts w:hint="default"/>
        <w:u w:val="none" w:color="auto"/>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0">
    <w:nsid w:val="64F9F93A"/>
    <w:multiLevelType w:val="multilevel"/>
    <w:tmpl w:val="64F9F93A"/>
    <w:lvl w:ilvl="0">
      <w:start w:val="1"/>
      <w:numFmt w:val="decimal"/>
      <w:suff w:val="space"/>
      <w:lvlText w:val="%1."/>
      <w:lvlJc w:val="left"/>
      <w:pPr>
        <w:ind w:left="0" w:firstLine="480"/>
      </w:pPr>
      <w:rPr>
        <w:rFonts w:hint="default"/>
        <w:u w:val="none" w:color="auto"/>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1">
    <w:nsid w:val="6A34B526"/>
    <w:multiLevelType w:val="multilevel"/>
    <w:tmpl w:val="6A34B526"/>
    <w:lvl w:ilvl="0">
      <w:start w:val="1"/>
      <w:numFmt w:val="decimal"/>
      <w:suff w:val="space"/>
      <w:lvlText w:val="%1."/>
      <w:lvlJc w:val="left"/>
      <w:pPr>
        <w:ind w:left="0" w:firstLine="480"/>
      </w:pPr>
      <w:rPr>
        <w:rFonts w:hint="default"/>
        <w:u w:val="none" w:color="auto"/>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2">
    <w:nsid w:val="74617743"/>
    <w:multiLevelType w:val="multilevel"/>
    <w:tmpl w:val="74617743"/>
    <w:lvl w:ilvl="0">
      <w:start w:val="1"/>
      <w:numFmt w:val="decimal"/>
      <w:suff w:val="space"/>
      <w:lvlText w:val="%1."/>
      <w:lvlJc w:val="left"/>
      <w:pPr>
        <w:ind w:left="0" w:firstLine="480"/>
      </w:pPr>
      <w:rPr>
        <w:rFonts w:hint="default"/>
        <w:u w:val="none" w:color="auto"/>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9"/>
  </w:num>
  <w:num w:numId="2">
    <w:abstractNumId w:val="8"/>
  </w:num>
  <w:num w:numId="3">
    <w:abstractNumId w:val="11"/>
  </w:num>
  <w:num w:numId="4">
    <w:abstractNumId w:val="4"/>
  </w:num>
  <w:num w:numId="5">
    <w:abstractNumId w:val="22"/>
  </w:num>
  <w:num w:numId="6">
    <w:abstractNumId w:val="18"/>
  </w:num>
  <w:num w:numId="7">
    <w:abstractNumId w:val="3"/>
  </w:num>
  <w:num w:numId="8">
    <w:abstractNumId w:val="19"/>
  </w:num>
  <w:num w:numId="9">
    <w:abstractNumId w:val="0"/>
  </w:num>
  <w:num w:numId="10">
    <w:abstractNumId w:val="21"/>
  </w:num>
  <w:num w:numId="11">
    <w:abstractNumId w:val="17"/>
  </w:num>
  <w:num w:numId="12">
    <w:abstractNumId w:val="12"/>
  </w:num>
  <w:num w:numId="13">
    <w:abstractNumId w:val="20"/>
  </w:num>
  <w:num w:numId="14">
    <w:abstractNumId w:val="13"/>
  </w:num>
  <w:num w:numId="15">
    <w:abstractNumId w:val="5"/>
  </w:num>
  <w:num w:numId="16">
    <w:abstractNumId w:val="6"/>
  </w:num>
  <w:num w:numId="17">
    <w:abstractNumId w:val="10"/>
  </w:num>
  <w:num w:numId="18">
    <w:abstractNumId w:val="16"/>
  </w:num>
  <w:num w:numId="19">
    <w:abstractNumId w:val="7"/>
  </w:num>
  <w:num w:numId="20">
    <w:abstractNumId w:val="2"/>
  </w:num>
  <w:num w:numId="21">
    <w:abstractNumId w:val="1"/>
  </w:num>
  <w:num w:numId="22">
    <w:abstractNumId w:val="14"/>
  </w:num>
  <w:num w:numId="2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character" w:styleId="Strong">
    <w:name w:val="Strong"/>
    <w:uiPriority w:val="22"/>
    <w:qFormat/>
    <w:rPr>
      <w:b/>
    </w:rPr>
  </w:style>
  <w:style w:type="paragraph" w:customStyle="1" w:styleId="-HCDC">
    <w:name w:val="表样式-HCDC"/>
    <w:basedOn w:val="Normal"/>
    <w:next w:val="Normal"/>
    <w:qFormat/>
    <w:pPr>
      <w:numPr>
        <w:numId w:val="17"/>
      </w:numPr>
      <w:tabs>
        <w:tab w:val="left" w:pos="567"/>
      </w:tabs>
      <w:spacing w:line="360" w:lineRule="auto"/>
      <w:jc w:val="center"/>
    </w:pPr>
    <w:rPr>
      <w:rFonts w:ascii="仿宋_GB2312" w:eastAsia="仿宋_GB231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