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2025年短临工程X波段双线偏振一维平面相控阵天气雷达采购项目（百色市气象局）</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ZQCD-25467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广西壮族自治区百色市气象局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2025年短临工程X波段双线偏振一维平面相控阵天气雷达采购项目（百色市气象局）</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ZQCD-25467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百色市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2025年12月09日 00:00:00</w:t>
      </w:r>
      <w:bookmarkEnd w:id="26"/>
      <w:r>
        <w:rPr>
          <w:rFonts w:ascii="宋体" w:hint="eastAsia"/>
          <w:szCs w:val="21"/>
          <w:highlight w:val="none"/>
        </w:rPr>
        <w:t>至</w:t>
      </w:r>
      <w:bookmarkStart w:id="27" w:name="项目公告_signUpLastTime"/>
      <w:r>
        <w:rPr>
          <w:rFonts w:ascii="宋体" w:hint="eastAsia"/>
          <w:szCs w:val="21"/>
          <w:highlight w:val="none"/>
        </w:rPr>
        <w:t>2025年12月16日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2026年01月09日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广西壮族自治区百色市气象局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乃杰</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0776-2827926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广西壮族自治区百色市右江区城北二路15号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广西壮族自治区百色市气象局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不允许（仅针对以下产品：X波段双线偏振相控阵天气雷达不允许代理商投标）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X波段双线偏振相控阵天气雷达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825.000000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825.000000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销售合同必须包括X波段双线偏振一维相控阵天气雷达 ，每提供1份合同得1分，最多得5分。否则不得分。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针对本项目采购的X波段双线偏振一维相控阵天气雷达 ，承诺每提前5天交货的得0.2分，最多得1分。否则不得分。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针对X波段双线偏振一维相控阵天气雷达，每提供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针对X波段双线偏振相控阵天气雷达设备，测试报告应涵盖低温试验、高温使用、低气压试验等内容，每包含一项得1分，最多得3分。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240" w:lineRule="auto"/>
        <w:ind w:firstLine="560" w:firstLineChars="200"/>
        <w:outlineLvl w:val="2"/>
        <w:rPr>
          <w:rFonts w:ascii="仿宋_GB2312" w:eastAsia="仿宋_GB2312" w:hAnsi="仿宋_GB2312" w:cs="仿宋_GB2312" w:hint="eastAsia"/>
          <w:bCs/>
          <w:sz w:val="28"/>
          <w:szCs w:val="28"/>
        </w:rPr>
      </w:pPr>
      <w:r>
        <w:rPr>
          <w:rFonts w:ascii="仿宋" w:eastAsia="仿宋" w:hAnsi="仿宋" w:cs="仿宋" w:hint="eastAsia"/>
          <w:sz w:val="28"/>
          <w:szCs w:val="20"/>
        </w:rPr>
        <w:t>一</w:t>
      </w:r>
      <w:r>
        <w:rPr>
          <w:rFonts w:ascii="仿宋_GB2312" w:eastAsia="仿宋_GB2312" w:hAnsi="仿宋_GB2312" w:cs="仿宋_GB2312" w:hint="eastAsia"/>
          <w:bCs/>
          <w:sz w:val="28"/>
          <w:szCs w:val="28"/>
        </w:rPr>
        <w:t xml:space="preserve"> 项目概况及总体要求（采购需求-其他技术及商务需求）</w:t>
      </w:r>
    </w:p>
    <w:p>
      <w:pPr>
        <w:spacing w:line="240" w:lineRule="auto"/>
        <w:ind w:firstLine="560" w:firstLineChars="200"/>
        <w:outlineLvl w:val="2"/>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二 设备需求一览表（详见采购需求附表）</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三</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技术性能指标</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按照《X波段双线偏振一维相控阵天气雷达系统功能规格需求书》（气测函〔20</w:t>
      </w:r>
      <w:r>
        <w:rPr>
          <w:rFonts w:ascii="仿宋" w:eastAsia="仿宋" w:hAnsi="仿宋" w:hint="eastAsia"/>
          <w:sz w:val="28"/>
          <w:szCs w:val="28"/>
          <w:lang w:val="en-US" w:eastAsia="zh-CN"/>
        </w:rPr>
        <w:t>24</w:t>
      </w:r>
      <w:r>
        <w:rPr>
          <w:rFonts w:ascii="仿宋" w:eastAsia="仿宋" w:hAnsi="仿宋" w:hint="eastAsia"/>
          <w:sz w:val="28"/>
          <w:szCs w:val="28"/>
        </w:rPr>
        <w:t>〕</w:t>
      </w:r>
      <w:r>
        <w:rPr>
          <w:rFonts w:ascii="仿宋" w:eastAsia="仿宋" w:hAnsi="仿宋" w:hint="eastAsia"/>
          <w:sz w:val="28"/>
          <w:szCs w:val="28"/>
          <w:lang w:val="en-US" w:eastAsia="zh-CN"/>
        </w:rPr>
        <w:t>302</w:t>
      </w:r>
      <w:r>
        <w:rPr>
          <w:rFonts w:ascii="仿宋" w:eastAsia="仿宋" w:hAnsi="仿宋" w:hint="eastAsia"/>
          <w:sz w:val="28"/>
          <w:szCs w:val="28"/>
        </w:rPr>
        <w:t>号）研制生产雷达。</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outlineLvl w:val="1"/>
        <w:rPr>
          <w:rFonts w:ascii="仿宋" w:eastAsia="仿宋" w:hAnsi="仿宋" w:cs="仿宋" w:hint="eastAsia"/>
          <w:sz w:val="28"/>
          <w:szCs w:val="20"/>
        </w:rPr>
      </w:pPr>
      <w:r>
        <w:rPr>
          <w:rFonts w:ascii="仿宋" w:eastAsia="仿宋" w:hAnsi="仿宋" w:cs="仿宋" w:hint="eastAsia"/>
          <w:sz w:val="28"/>
          <w:szCs w:val="20"/>
        </w:rPr>
        <w:t>（一）</w:t>
      </w:r>
      <w:r>
        <w:rPr>
          <w:rFonts w:ascii="仿宋" w:eastAsia="仿宋" w:hAnsi="仿宋" w:cs="仿宋" w:hint="eastAsia"/>
          <w:sz w:val="28"/>
          <w:szCs w:val="20"/>
          <w:lang w:val="en-US" w:eastAsia="zh-CN"/>
        </w:rPr>
        <w:t>结构要求</w:t>
      </w:r>
    </w:p>
    <w:p>
      <w:pPr>
        <w:keepNext w:val="0"/>
        <w:keepLines w:val="0"/>
        <w:pageBreakBefore w:val="0"/>
        <w:widowControl w:val="0"/>
        <w:numPr>
          <w:ilvl w:val="1"/>
          <w:numId w:val="4"/>
        </w:numPr>
        <w:kinsoku/>
        <w:wordWrap/>
        <w:overflowPunct/>
        <w:topLinePunct w:val="0"/>
        <w:autoSpaceDE/>
        <w:autoSpaceDN/>
        <w:bidi w:val="0"/>
        <w:adjustRightInd/>
        <w:snapToGrid/>
        <w:spacing w:line="240" w:lineRule="auto"/>
        <w:ind w:firstLine="560" w:firstLineChars="200"/>
        <w:textAlignment w:val="auto"/>
        <w:outlineLvl w:val="2"/>
        <w:rPr>
          <w:rFonts w:ascii="仿宋" w:eastAsia="仿宋" w:hAnsi="仿宋" w:cs="仿宋" w:hint="eastAsia"/>
          <w:sz w:val="28"/>
          <w:szCs w:val="28"/>
        </w:rPr>
      </w:pPr>
      <w:r>
        <w:rPr>
          <w:rFonts w:ascii="仿宋" w:eastAsia="仿宋" w:hAnsi="仿宋" w:cs="仿宋" w:hint="eastAsia"/>
          <w:sz w:val="28"/>
          <w:szCs w:val="28"/>
          <w:lang w:val="en-US" w:eastAsia="zh-CN"/>
        </w:rPr>
        <w:t>系统组成</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一套完整的X波段双线偏振一维平面相控阵天气雷达系统包括：天线罩、天线、伺服、数字收发单元、标定单元、数字波束控制与合成单元、信号处理单元、监控与显示单元和附属设备等。</w:t>
      </w:r>
    </w:p>
    <w:p>
      <w:pPr>
        <w:keepNext w:val="0"/>
        <w:keepLines w:val="0"/>
        <w:pageBreakBefore w:val="0"/>
        <w:widowControl w:val="0"/>
        <w:numPr>
          <w:ilvl w:val="1"/>
          <w:numId w:val="4"/>
        </w:numPr>
        <w:kinsoku/>
        <w:wordWrap/>
        <w:overflowPunct/>
        <w:topLinePunct w:val="0"/>
        <w:autoSpaceDE/>
        <w:autoSpaceDN/>
        <w:bidi w:val="0"/>
        <w:adjustRightInd/>
        <w:snapToGrid/>
        <w:spacing w:line="240" w:lineRule="auto"/>
        <w:ind w:firstLine="560" w:firstLineChars="200"/>
        <w:textAlignment w:val="auto"/>
        <w:outlineLvl w:val="2"/>
        <w:rPr>
          <w:rFonts w:ascii="仿宋" w:eastAsia="仿宋" w:hAnsi="仿宋" w:cs="仿宋" w:hint="default"/>
          <w:sz w:val="28"/>
          <w:szCs w:val="28"/>
        </w:rPr>
      </w:pPr>
      <w:r>
        <w:rPr>
          <w:rFonts w:ascii="仿宋" w:eastAsia="仿宋" w:hAnsi="仿宋" w:cs="仿宋" w:hint="eastAsia"/>
          <w:sz w:val="28"/>
          <w:szCs w:val="28"/>
          <w:lang w:val="en-US" w:eastAsia="zh-CN"/>
        </w:rPr>
        <w:t>总体结构</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X波段双线偏振一维平面相控阵天气雷达在结构上分为本地系统和远程系统。图1为雷达系统结构框图。</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雷达本地系统主要包含天线罩、天线、伺服、数字收发单元、数字波束控制与合成单元、标定单元、信号处理单元和监控与显示单元。其中，数字收发单元、数字波束控制与合成单元、标定单元负责雷达的波束控制和信号收发，其它部分负责雷达天线转动控制、信号处理和状态监控。终端由通用计算机（或工作站）及显示器组成。其结构设计符合通用商业产品的设计标准。</w:t>
      </w:r>
    </w:p>
    <w:p>
      <w:pPr>
        <w:spacing w:line="240" w:lineRule="auto"/>
        <w:jc w:val="center"/>
        <w:rPr>
          <w:rFonts w:ascii="Calibri" w:eastAsia="宋体" w:hAnsi="Calibri"/>
          <w:sz w:val="21"/>
          <w:szCs w:val="22"/>
        </w:rPr>
      </w:pPr>
      <w:r>
        <w:rPr>
          <w:rFonts w:ascii="Calibri" w:eastAsia="宋体" w:hAnsi="Calibri" w:cs="Times New Roman"/>
          <w:sz w:val="21"/>
          <w:szCs w:val="22"/>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4.5pt;height:219.3pt" o:oleicon="f" o:ole="" coordsize="21600,21600" o:preferrelative="t" filled="f" stroked="f">
            <v:imagedata r:id="rId6" o:title=""/>
            <o:lock v:ext="edit" aspectratio="t"/>
            <w10:anchorlock/>
          </v:shape>
          <o:OLEObject Type="Embed" ProgID="Visio.Drawing.11" ShapeID="_x0000_i1026" DrawAspect="Content" ObjectID="_1468075725" r:id="rId7"/>
        </w:object>
      </w:r>
    </w:p>
    <w:p>
      <w:pPr>
        <w:jc w:val="center"/>
        <w:rPr>
          <w:rFonts w:ascii="仿宋_GB2312" w:eastAsia="宋体" w:hAnsi="Calibri" w:hint="eastAsia"/>
          <w:szCs w:val="28"/>
        </w:rPr>
      </w:pPr>
      <w:r>
        <w:rPr>
          <w:rFonts w:ascii="仿宋_GB2312" w:eastAsia="宋体" w:hAnsi="Calibri" w:cs="Times New Roman" w:hint="eastAsia"/>
          <w:sz w:val="24"/>
          <w:szCs w:val="28"/>
        </w:rPr>
        <w:t>图1 雷达系统结构框图</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远程系统主要为远程终端，通过网络通信进行数据传输和雷达控制，可安装在用户要求的任意场所。</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本地监控与显示单元和远程终端之间采用标准的TCP/IP网络协议和RJ45硬件接口或光纤连接。</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firstLine="560" w:firstLineChars="200"/>
        <w:textAlignment w:val="auto"/>
        <w:outlineLvl w:val="1"/>
        <w:rPr>
          <w:rFonts w:ascii="仿宋" w:eastAsia="仿宋" w:hAnsi="仿宋" w:cs="仿宋" w:hint="eastAsia"/>
          <w:sz w:val="28"/>
          <w:szCs w:val="20"/>
        </w:rPr>
      </w:pPr>
      <w:r>
        <w:rPr>
          <w:rFonts w:ascii="仿宋" w:eastAsia="仿宋" w:hAnsi="仿宋" w:cs="仿宋" w:hint="eastAsia"/>
          <w:sz w:val="28"/>
          <w:szCs w:val="20"/>
          <w:lang w:val="en-US" w:eastAsia="zh-CN"/>
        </w:rPr>
        <w:t>功能要求</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.1</w:t>
      </w:r>
      <w:r>
        <w:rPr>
          <w:rFonts w:ascii="仿宋" w:eastAsia="仿宋" w:hAnsi="仿宋" w:cs="仿宋" w:hint="eastAsia"/>
          <w:sz w:val="28"/>
          <w:szCs w:val="28"/>
          <w:lang w:val="en-US" w:eastAsia="zh-CN"/>
        </w:rPr>
        <w:t>概述</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X波段双线偏振一维平面相控阵天气雷达采用双线偏振同发同收全相参体制。应包括双发双收方式，即同时发射水平、垂直线偏振波，同时接收水平、垂直线偏振波。单发双收方式，即发射水平线偏振波，同时接收水平、垂直线偏振波；或发射垂直线偏振波，同时接收水平、垂直线偏振波。</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雷达应具有自动或人工干预检测和标定功能，并可根据标定结果对探测数据进行必要的修正以保证其准确性。</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X波段双线偏振一维平面相控阵天气雷达采用全固态数字收发单元、大动态数字接收机、低副瓣数字波束平面相控阵天线、实时图像显示等技术，具有高灵敏度、高可靠性、使用维护方便等特点。系统可连续自动运行，能在预置的扫描策略控制下覆盖指定体积空间以获得探测数据。雷达可根据标定结果对探测数据进行必要的修正以保证其准确性，并具备下列功能：</w:t>
      </w:r>
    </w:p>
    <w:p>
      <w:pPr>
        <w:keepNext w:val="0"/>
        <w:keepLines w:val="0"/>
        <w:pageBreakBefore w:val="0"/>
        <w:widowControl w:val="0"/>
        <w:numPr>
          <w:ilvl w:val="0"/>
          <w:numId w:val="6"/>
        </w:numPr>
        <w:kinsoku/>
        <w:wordWrap/>
        <w:overflowPunct/>
        <w:topLinePunct w:val="0"/>
        <w:autoSpaceDE/>
        <w:autoSpaceDN/>
        <w:bidi w:val="0"/>
        <w:adjustRightInd/>
        <w:snapToGrid/>
        <w:spacing w:line="57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产生微波脉冲信号并以双线偏振的形式发射的功能</w:t>
      </w:r>
    </w:p>
    <w:p>
      <w:pPr>
        <w:keepNext w:val="0"/>
        <w:keepLines w:val="0"/>
        <w:pageBreakBefore w:val="0"/>
        <w:widowControl w:val="0"/>
        <w:numPr>
          <w:ilvl w:val="0"/>
          <w:numId w:val="6"/>
        </w:numPr>
        <w:kinsoku/>
        <w:wordWrap/>
        <w:overflowPunct/>
        <w:topLinePunct w:val="0"/>
        <w:autoSpaceDE/>
        <w:autoSpaceDN/>
        <w:bidi w:val="0"/>
        <w:adjustRightInd/>
        <w:snapToGrid/>
        <w:spacing w:line="57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以双线偏振的形式接收，对气象回波进行处理，产生高质量数据的功能</w:t>
      </w:r>
    </w:p>
    <w:p>
      <w:pPr>
        <w:keepNext w:val="0"/>
        <w:keepLines w:val="0"/>
        <w:pageBreakBefore w:val="0"/>
        <w:widowControl w:val="0"/>
        <w:numPr>
          <w:ilvl w:val="0"/>
          <w:numId w:val="6"/>
        </w:numPr>
        <w:kinsoku/>
        <w:wordWrap/>
        <w:overflowPunct/>
        <w:topLinePunct w:val="0"/>
        <w:autoSpaceDE/>
        <w:autoSpaceDN/>
        <w:bidi w:val="0"/>
        <w:adjustRightInd/>
        <w:snapToGrid/>
        <w:spacing w:line="57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在线和离线标定功能（包含脉压得益、脉压损失、幅相校正等），实现关键参数的监测与校正</w:t>
      </w:r>
    </w:p>
    <w:p>
      <w:pPr>
        <w:keepNext w:val="0"/>
        <w:keepLines w:val="0"/>
        <w:pageBreakBefore w:val="0"/>
        <w:widowControl w:val="0"/>
        <w:numPr>
          <w:ilvl w:val="0"/>
          <w:numId w:val="6"/>
        </w:numPr>
        <w:kinsoku/>
        <w:wordWrap/>
        <w:overflowPunct/>
        <w:topLinePunct w:val="0"/>
        <w:autoSpaceDE/>
        <w:autoSpaceDN/>
        <w:bidi w:val="0"/>
        <w:adjustRightInd/>
        <w:snapToGrid/>
        <w:spacing w:line="57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自动故障检测和告警功能</w:t>
      </w:r>
    </w:p>
    <w:p>
      <w:pPr>
        <w:keepNext w:val="0"/>
        <w:keepLines w:val="0"/>
        <w:pageBreakBefore w:val="0"/>
        <w:widowControl w:val="0"/>
        <w:numPr>
          <w:ilvl w:val="0"/>
          <w:numId w:val="6"/>
        </w:numPr>
        <w:kinsoku/>
        <w:wordWrap/>
        <w:overflowPunct/>
        <w:topLinePunct w:val="0"/>
        <w:autoSpaceDE/>
        <w:autoSpaceDN/>
        <w:bidi w:val="0"/>
        <w:adjustRightInd/>
        <w:snapToGrid/>
        <w:spacing w:line="57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在本地和远程系统间自动实时传输数据和接受其指令的功能</w:t>
      </w:r>
    </w:p>
    <w:p>
      <w:pPr>
        <w:keepNext w:val="0"/>
        <w:keepLines w:val="0"/>
        <w:pageBreakBefore w:val="0"/>
        <w:widowControl w:val="0"/>
        <w:numPr>
          <w:ilvl w:val="0"/>
          <w:numId w:val="6"/>
        </w:numPr>
        <w:kinsoku/>
        <w:wordWrap/>
        <w:overflowPunct/>
        <w:topLinePunct w:val="0"/>
        <w:autoSpaceDE/>
        <w:autoSpaceDN/>
        <w:bidi w:val="0"/>
        <w:adjustRightInd/>
        <w:snapToGrid/>
        <w:spacing w:line="57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远程控制与实时监测功能</w:t>
      </w:r>
    </w:p>
    <w:p>
      <w:pPr>
        <w:keepNext w:val="0"/>
        <w:keepLines w:val="0"/>
        <w:pageBreakBefore w:val="0"/>
        <w:widowControl w:val="0"/>
        <w:numPr>
          <w:ilvl w:val="0"/>
          <w:numId w:val="6"/>
        </w:numPr>
        <w:kinsoku/>
        <w:wordWrap/>
        <w:overflowPunct/>
        <w:topLinePunct w:val="0"/>
        <w:autoSpaceDE/>
        <w:autoSpaceDN/>
        <w:bidi w:val="0"/>
        <w:adjustRightInd/>
        <w:snapToGrid/>
        <w:spacing w:line="57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组网协同控制功能，能够通过网络发送指令控制并调整雷达扫描策略</w:t>
      </w:r>
    </w:p>
    <w:p>
      <w:pPr>
        <w:keepNext w:val="0"/>
        <w:keepLines w:val="0"/>
        <w:pageBreakBefore w:val="0"/>
        <w:widowControl w:val="0"/>
        <w:numPr>
          <w:ilvl w:val="0"/>
          <w:numId w:val="6"/>
        </w:numPr>
        <w:kinsoku/>
        <w:wordWrap/>
        <w:overflowPunct/>
        <w:topLinePunct w:val="0"/>
        <w:autoSpaceDE/>
        <w:autoSpaceDN/>
        <w:bidi w:val="0"/>
        <w:adjustRightInd/>
        <w:snapToGrid/>
        <w:spacing w:line="57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通过参数设置实现基于径向的扫描策略</w:t>
      </w:r>
    </w:p>
    <w:p>
      <w:pPr>
        <w:keepNext w:val="0"/>
        <w:keepLines w:val="0"/>
        <w:pageBreakBefore w:val="0"/>
        <w:widowControl w:val="0"/>
        <w:numPr>
          <w:ilvl w:val="0"/>
          <w:numId w:val="6"/>
        </w:numPr>
        <w:kinsoku/>
        <w:wordWrap/>
        <w:overflowPunct/>
        <w:topLinePunct w:val="0"/>
        <w:autoSpaceDE/>
        <w:autoSpaceDN/>
        <w:bidi w:val="0"/>
        <w:adjustRightInd/>
        <w:snapToGrid/>
        <w:spacing w:line="57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能够按照要求的格式存储至少4min每个接收通道波束合成前和合成后的I/Q数据</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.2</w:t>
      </w:r>
      <w:r>
        <w:rPr>
          <w:rFonts w:ascii="仿宋" w:eastAsia="仿宋" w:hAnsi="仿宋" w:cs="仿宋" w:hint="eastAsia"/>
          <w:sz w:val="28"/>
          <w:szCs w:val="28"/>
          <w:lang w:val="en-US" w:eastAsia="zh-CN"/>
        </w:rPr>
        <w:t>天线功能</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天线采用双线偏振平面相控阵天线，用于辐射微波能量和接收目标后向散射的微波信号。天线采用有源形式，天线与分布式数字收发单元相连接，通过控制各个信号通道幅度和相位，实现波束在垂直方向上的电子扫描，覆盖-2°～+60°扫描范围。</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.3</w:t>
      </w:r>
      <w:r>
        <w:rPr>
          <w:rFonts w:ascii="仿宋" w:eastAsia="仿宋" w:hAnsi="仿宋" w:cs="仿宋" w:hint="eastAsia"/>
          <w:sz w:val="28"/>
          <w:szCs w:val="28"/>
          <w:lang w:val="en-US" w:eastAsia="zh-CN"/>
        </w:rPr>
        <w:t>伺服功能</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方位方向采用机械扫描，方位控制选用数字式伺服系统，高精度伺服电机驱动，实现360°连续旋转扫描。雷达应支持平面位置扫描、体积扫描、扇形扫描、定点扫描等多种扫描方式，各种扫描方式均由软件控制完成。俯仰方向机械转动采用电机驱动，伺服应具备使天线阵面法向在俯仰0°～90°转动和定位的能力。</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.4</w:t>
      </w:r>
      <w:r>
        <w:rPr>
          <w:rFonts w:ascii="仿宋" w:eastAsia="仿宋" w:hAnsi="仿宋" w:cs="仿宋" w:hint="eastAsia"/>
          <w:kern w:val="2"/>
          <w:sz w:val="28"/>
          <w:szCs w:val="28"/>
          <w:lang w:val="en-US" w:eastAsia="zh-CN" w:bidi="ar-SA"/>
        </w:rPr>
        <w:t>数字收发单元功能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数字收发单元采用全固态体制，完成发射信号由数字信号到模拟信号的转换，并进行上变频和功率放大；完成接收信号低噪声放大、下变频、滤波及数字采集等功能。</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2.4.1发射单元功能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雷达采用分布式发射结构，每一个发射单元与对应天线单元相连接，通过有源方式在空间进行功率合成。雷达发射单元主要由上变频链路、功率放大器、收发开关、电源、故障检测及保护电路组成，用于产生雷达系统所需要的大功率射频信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雷达发射单元采用全固态放大链功率合成的方式，将激励信号通过功率放大后，输出大功率微波信号。分布式发射单元输出的微波功率信号送入天线的每一个辐射单元，由天线向空间辐射；接收雷达监控单元的控制指令，完成对发射单元的各种控制，并向监控单元反馈发射单元的工作状态和故障信息。</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2.4.2 接受单元功能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雷达采用分布式接收结构，每一个接收单元与相对应天线单元相连接。接收单元主要完成回波信号的低噪声放大、滤波、下变频和数字中频采样；接收雷达监控单元的控制指令，完成对接收单元的各种控制，并向监控单元反馈接收单元的工作状态和故障信息。</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.5</w:t>
      </w:r>
      <w:r>
        <w:rPr>
          <w:rFonts w:ascii="仿宋" w:eastAsia="仿宋" w:hAnsi="仿宋" w:cs="仿宋" w:hint="eastAsia"/>
          <w:kern w:val="2"/>
          <w:sz w:val="28"/>
          <w:szCs w:val="28"/>
          <w:lang w:val="en-US" w:eastAsia="zh-CN" w:bidi="ar-SA"/>
        </w:rPr>
        <w:t>数字波束控制与合成功能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数字波束控制与合成单元可根据终端指令控制每个收发单元的幅度和相位，使波束在工作范围内精准指向；幅度/相位控制应支持多种加权模式，使雷达的收发旁瓣受控，适用于不同场合；具备同时多波束接收能力，并可完成接收多波束数字合成。具备空间波束捷变功能。所有单元的波束控制与合成都应该是独立的。</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波束控制和合成在数字域上完成，并应具备宽发窄收和窄发窄收能力。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能够对每个单元的幅相测量值进行处理，并能够记录和输出订正前和订正后的数据。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能够对宽发导致的发射天线方向图变化进行订正。</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.6</w:t>
      </w:r>
      <w:r>
        <w:rPr>
          <w:rFonts w:ascii="仿宋" w:eastAsia="仿宋" w:hAnsi="仿宋" w:cs="仿宋" w:hint="eastAsia"/>
          <w:kern w:val="2"/>
          <w:sz w:val="28"/>
          <w:szCs w:val="28"/>
          <w:lang w:val="en-US" w:eastAsia="zh-CN" w:bidi="ar-SA"/>
        </w:rPr>
        <w:t>信号处理功能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信号处理单元具有多普勒和双线偏振信号的处理能力。信号处理主要包括脉冲压缩处理、积分处理、脉冲对处理（PPP）和快速傅里叶变换（FFT），可输出强度Z（滤波前和滤波后）、径向速度V、速度谱宽W、差分反射率因子ZDR、差分传播相移ΦDP、差分传播相移率KDP、相关系数ρhv和信噪比SNR等数据，同时具有速度退模糊和距离退折叠的能力。该模块还能向终端提供观测数据和状态信息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信号处理单元对信号强度的估算，在距离上采用可由用户选择的按库累积平均，在方位角上采用累积平均。径向速度、速度谱宽的估算采用PPP、FFT或其他等效算法，并可使用双重频进行扫描。具有地物、电磁干扰、风电场等非气象回波识别和抑制的能力。</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.7</w:t>
      </w:r>
      <w:r>
        <w:rPr>
          <w:rFonts w:ascii="仿宋" w:eastAsia="仿宋" w:hAnsi="仿宋" w:cs="仿宋" w:hint="eastAsia"/>
          <w:kern w:val="2"/>
          <w:sz w:val="28"/>
          <w:szCs w:val="28"/>
          <w:lang w:val="en-US" w:eastAsia="zh-CN" w:bidi="ar-SA"/>
        </w:rPr>
        <w:t>雷达标定功能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系统应具有通过机内外仪表等设备开展系统主要参数指标的自动测试及标定的功能。标定功能按照在线标定、离线标定两类进行设计</w:t>
      </w:r>
      <w:bookmarkStart w:id="61" w:name="_Hlk14795891"/>
      <w:r>
        <w:rPr>
          <w:rFonts w:ascii="仿宋" w:eastAsia="仿宋" w:hAnsi="仿宋" w:cs="仿宋" w:hint="eastAsia"/>
          <w:sz w:val="28"/>
          <w:szCs w:val="28"/>
          <w:lang w:val="en-US" w:eastAsia="zh-CN"/>
        </w:rPr>
        <w:t>。雷达根据预先设置的测试程序，自动完成各项参数的测试和结果存储。</w:t>
      </w:r>
      <w:bookmarkEnd w:id="61"/>
      <w:r>
        <w:rPr>
          <w:rFonts w:ascii="仿宋" w:eastAsia="仿宋" w:hAnsi="仿宋" w:cs="仿宋" w:hint="eastAsia"/>
          <w:sz w:val="28"/>
          <w:szCs w:val="28"/>
          <w:lang w:val="en-US" w:eastAsia="zh-CN"/>
        </w:rPr>
        <w:t>标定结果设有独立告警门限并在记录文件中保存，在本地可保存不少于6个月的数据，并可在固定目录下查看历史标定记录。</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2.7.1在线标定功能</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default"/>
          <w:sz w:val="28"/>
          <w:szCs w:val="28"/>
        </w:rPr>
      </w:pPr>
      <w:r>
        <w:rPr>
          <w:rFonts w:ascii="仿宋" w:eastAsia="仿宋" w:hAnsi="仿宋" w:cs="仿宋" w:hint="default"/>
          <w:kern w:val="2"/>
          <w:sz w:val="28"/>
          <w:szCs w:val="28"/>
          <w:lang w:val="en-US" w:eastAsia="zh-CN" w:bidi="ar-SA"/>
        </w:rPr>
        <w:t>（1）收发单元标定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每个收发单元具备收发幅相测试能力，标定周期可任意设置，做完一次包含所有单元标定的时间不超过4min（标准型）、6min（增强型）。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收发单元在线标定项包括但不限于发射峰值功率、接收噪声系数、相位噪声等。</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default"/>
          <w:sz w:val="28"/>
          <w:szCs w:val="28"/>
        </w:rPr>
      </w:pPr>
      <w:r>
        <w:rPr>
          <w:rFonts w:ascii="仿宋" w:eastAsia="仿宋" w:hAnsi="仿宋" w:cs="仿宋" w:hint="default"/>
          <w:kern w:val="2"/>
          <w:sz w:val="28"/>
          <w:szCs w:val="28"/>
          <w:lang w:val="en-US" w:eastAsia="zh-CN" w:bidi="ar-SA"/>
        </w:rPr>
        <w:t>（2）系统标定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default"/>
          <w:sz w:val="28"/>
          <w:szCs w:val="28"/>
          <w:lang w:val="en-US" w:eastAsia="zh-CN"/>
        </w:rPr>
        <w:t>系统在线标定应能够使用每个收发单元的测试数据通过特定算法形成系统标定结果，标定项目包括但不限于发射峰值功率、接收噪声系数、接收动态范围、系统相位噪声、回波强度、滤波前后功率比、径向速度、差分反射率因子、差分传播相移、通道间幅相一致性、标定常数等。雷达可依据标定结果自动修正偏差，提高雷达探测准确度</w:t>
      </w:r>
      <w:r>
        <w:rPr>
          <w:rFonts w:ascii="仿宋" w:eastAsia="仿宋" w:hAnsi="仿宋" w:cs="仿宋" w:hint="eastAsia"/>
          <w:sz w:val="28"/>
          <w:szCs w:val="28"/>
          <w:lang w:val="en-US" w:eastAsia="zh-CN"/>
        </w:rPr>
        <w:t>。</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2.7.2离线标定功能</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default"/>
          <w:sz w:val="28"/>
          <w:szCs w:val="28"/>
        </w:rPr>
      </w:pPr>
      <w:r>
        <w:rPr>
          <w:rFonts w:ascii="仿宋" w:eastAsia="仿宋" w:hAnsi="仿宋" w:cs="仿宋" w:hint="default"/>
          <w:kern w:val="2"/>
          <w:sz w:val="28"/>
          <w:szCs w:val="28"/>
          <w:lang w:val="en-US" w:eastAsia="zh-CN" w:bidi="ar-SA"/>
        </w:rPr>
        <w:t>（1）收发单元标定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收发单元离线标定项包括但不限于发射脉冲宽度、发射峰值功率、发射信号相位、发射脉冲射频频谱、发射输出极限改善因子、接收噪声系数、最小可测功率、接收动态范围、相位噪声等。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根据离线标定结果订正在线标定误差。</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default"/>
          <w:sz w:val="28"/>
          <w:szCs w:val="28"/>
        </w:rPr>
      </w:pPr>
      <w:r>
        <w:rPr>
          <w:rFonts w:ascii="仿宋" w:eastAsia="仿宋" w:hAnsi="仿宋" w:cs="仿宋" w:hint="default"/>
          <w:kern w:val="2"/>
          <w:sz w:val="28"/>
          <w:szCs w:val="28"/>
          <w:lang w:val="en-US" w:eastAsia="zh-CN" w:bidi="ar-SA"/>
        </w:rPr>
        <w:t>（2）系统标定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系统离线标定主要采用远场方式，根据离线标定结果订正在线标定误差。标定项包括但不限于天线波束指向误差、发射脉冲宽度、等效全向辐射功率（EIRP）、发射脉冲射频频谱、发射输出极限改善因子、增益与噪声温度比（G/T）、最小可测功率、接收动态范围、脉冲压缩主副瓣比、系统相位噪声、地物对消能力、回波强度、径向速度、差分反射率因子、差分传播相移等。主要测试项目及测试方法包括：</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1）天线波束指向误差：采用太阳作为信号源或使用等效方法检查天线波束指向误差。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2）发射脉冲宽度、EIRP、发射脉冲射频频谱、发射输出极限改善因子、G/T、最小可测功率、接收动态范围、脉冲压缩主副瓣比、系统相位噪声、回波强度、径向速度、差分反射率因子、差分传播相移：使用专用测量设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3）地物对消能力：比较对消前和对消后的回波强度，检查系统对实际地物的抑制能力。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4）金属球标定：使用标准反射金属球对回波强度、差分反射率因子、差分传播相移、相关系数进行标定。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5）天顶法：采用小雨滴作为球形散射体检查两个极化的一致性。</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.8</w:t>
      </w:r>
      <w:r>
        <w:rPr>
          <w:rFonts w:ascii="仿宋" w:eastAsia="仿宋" w:hAnsi="仿宋" w:cs="仿宋" w:hint="eastAsia"/>
          <w:kern w:val="2"/>
          <w:sz w:val="28"/>
          <w:szCs w:val="28"/>
          <w:lang w:val="en-US" w:eastAsia="zh-CN" w:bidi="ar-SA"/>
        </w:rPr>
        <w:t>监控与显示功能</w:t>
      </w:r>
    </w:p>
    <w:p>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240" w:lineRule="auto"/>
        <w:ind w:firstLine="560" w:firstLineChars="200"/>
        <w:jc w:val="both"/>
        <w:textAlignment w:val="auto"/>
        <w:outlineLvl w:val="3"/>
        <w:rPr>
          <w:rFonts w:ascii="仿宋" w:eastAsia="仿宋" w:hAnsi="仿宋" w:cs="仿宋" w:hint="eastAsia"/>
          <w:b w:val="0"/>
          <w:sz w:val="28"/>
          <w:szCs w:val="28"/>
        </w:rPr>
      </w:pPr>
      <w:r>
        <w:rPr>
          <w:rFonts w:ascii="仿宋" w:eastAsia="仿宋" w:hAnsi="仿宋" w:cs="仿宋" w:hint="eastAsia"/>
          <w:b w:val="0"/>
          <w:kern w:val="2"/>
          <w:sz w:val="28"/>
          <w:szCs w:val="28"/>
          <w:lang w:val="en-US" w:eastAsia="zh-CN" w:bidi="ar-SA"/>
        </w:rPr>
        <w:t>2.8.1 雷达及附属设备监测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1）具备本地和远程在线监测，显示雷达自动测试结果，并上传基础参数的能力，其中基础参数包括但不限于：雷达静态参数、雷达运行模式参数、雷达在线标定参数等。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2）完整记录适配参数变更、软件更迭等信息。</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3）雷达机内测试设备应实时监测对雷达工作有影响的因素，并根据影响情况分为有影响和严重影响两类，分别对应于一般告警和自动停机告警两种，并自动存储、上传工作状态和告警信息。</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4）对雷达运行环境状态参数进行在线采集、监测、显示、记录并上传，上传参数包括但不限于天线阵面温度、底座温度。</w:t>
      </w:r>
    </w:p>
    <w:p>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240" w:lineRule="auto"/>
        <w:ind w:firstLine="560" w:firstLineChars="200"/>
        <w:jc w:val="both"/>
        <w:textAlignment w:val="auto"/>
        <w:outlineLvl w:val="3"/>
        <w:rPr>
          <w:rFonts w:ascii="仿宋" w:eastAsia="仿宋" w:hAnsi="仿宋" w:cs="仿宋" w:hint="eastAsia"/>
          <w:b w:val="0"/>
          <w:sz w:val="28"/>
          <w:szCs w:val="28"/>
        </w:rPr>
      </w:pPr>
      <w:r>
        <w:rPr>
          <w:rFonts w:ascii="仿宋" w:eastAsia="仿宋" w:hAnsi="仿宋" w:cs="仿宋" w:hint="eastAsia"/>
          <w:b w:val="0"/>
          <w:kern w:val="2"/>
          <w:sz w:val="28"/>
          <w:szCs w:val="28"/>
          <w:lang w:val="en-US" w:eastAsia="zh-CN" w:bidi="ar-SA"/>
        </w:rPr>
        <w:t>2.8.2远程控制功能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1）具备本地、远程监视和遥控能力，包括但不限于控制开关机、观测模式切换、查看标定结果、修改适配参数等。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2）具有软件远程升级功能，并具有雷达运行与维护的远程支持能力，测试项包括但不限于伺服角度控制误差、天线波束指向误差、发射峰值功率、接收噪声系数、接收动态范围、脉冲压缩主副瓣比、系统相位噪声、滤波前后功率比、回波强度、径向速度、差分反射率因子、差分传播相移等。</w:t>
      </w:r>
    </w:p>
    <w:p>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240" w:lineRule="auto"/>
        <w:ind w:firstLine="560" w:firstLineChars="200"/>
        <w:jc w:val="both"/>
        <w:textAlignment w:val="auto"/>
        <w:outlineLvl w:val="3"/>
        <w:rPr>
          <w:rFonts w:ascii="仿宋" w:eastAsia="仿宋" w:hAnsi="仿宋" w:cs="仿宋" w:hint="eastAsia"/>
          <w:b w:val="0"/>
          <w:sz w:val="28"/>
          <w:szCs w:val="28"/>
        </w:rPr>
      </w:pPr>
      <w:bookmarkStart w:id="62" w:name="_Toc524551142"/>
      <w:r>
        <w:rPr>
          <w:rFonts w:ascii="仿宋" w:eastAsia="仿宋" w:hAnsi="仿宋" w:cs="仿宋" w:hint="eastAsia"/>
          <w:b w:val="0"/>
          <w:kern w:val="2"/>
          <w:sz w:val="28"/>
          <w:szCs w:val="28"/>
          <w:lang w:val="en-US" w:eastAsia="zh-CN" w:bidi="ar-SA"/>
        </w:rPr>
        <w:t>2.8.3设备级质控及气象产品显示</w:t>
      </w:r>
      <w:bookmarkEnd w:id="62"/>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对基数据进行设备级质控，包括滤波、杂波校正因子（CCOR）门限、电磁干扰抑制、速度退模糊、距离退折叠、异常回波标记等。</w:t>
      </w:r>
      <w:bookmarkStart w:id="63" w:name="_Hlk19004266"/>
      <w:r>
        <w:rPr>
          <w:rFonts w:ascii="仿宋" w:eastAsia="仿宋" w:hAnsi="仿宋" w:cs="Times New Roman" w:hint="eastAsia"/>
          <w:sz w:val="28"/>
          <w:szCs w:val="28"/>
          <w:lang w:val="en-US" w:eastAsia="zh-CN"/>
        </w:rPr>
        <w:t>质控前后的基数据都具备存储功能。</w:t>
      </w:r>
      <w:bookmarkEnd w:id="63"/>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雷达能够输出强度（Z）、速度（V）、谱宽（W）、差分反射率因子（ZDR）、差分传播相移（ΦDP）、差分传播相移率（KDP）、相关系数（ρhv）、信噪比（SNR）等基本量，在单发双收模式下能够输出退偏振比（LDR）。</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雷达通过图形、图像方式将产品提供给用户，作天气现象分析和预报使用。</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1）气象产品实时图形显示；</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2）具备对监测的所有参数显示及超限告警提示显示功能等；</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3）气象产品查询；</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4）鼠标位置显示，数值及产品信息显示；</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5）数据分层显示；</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6）多仰角、多要素同时显示功能；</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7）游标显示（方位、距离、高度和数值等）。</w:t>
      </w:r>
    </w:p>
    <w:p>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240" w:lineRule="auto"/>
        <w:ind w:firstLine="560" w:firstLineChars="200"/>
        <w:jc w:val="both"/>
        <w:textAlignment w:val="auto"/>
        <w:outlineLvl w:val="3"/>
        <w:rPr>
          <w:rFonts w:ascii="仿宋" w:eastAsia="仿宋" w:hAnsi="仿宋" w:cs="仿宋" w:hint="eastAsia"/>
          <w:b w:val="0"/>
          <w:sz w:val="28"/>
          <w:szCs w:val="28"/>
        </w:rPr>
      </w:pPr>
      <w:r>
        <w:rPr>
          <w:rFonts w:ascii="仿宋" w:eastAsia="仿宋" w:hAnsi="仿宋" w:cs="仿宋" w:hint="eastAsia"/>
          <w:b w:val="0"/>
          <w:kern w:val="2"/>
          <w:sz w:val="28"/>
          <w:szCs w:val="28"/>
          <w:lang w:val="en-US" w:eastAsia="zh-CN" w:bidi="ar-SA"/>
        </w:rPr>
        <w:t>2.8.4授时功能</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能够通过卫星授时或网络授时定期校准时间，使雷达时间准确度优于1s。</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firstLine="560" w:firstLineChars="200"/>
        <w:textAlignment w:val="auto"/>
        <w:outlineLvl w:val="1"/>
        <w:rPr>
          <w:rFonts w:ascii="仿宋" w:eastAsia="仿宋" w:hAnsi="仿宋" w:cs="仿宋" w:hint="eastAsia"/>
          <w:sz w:val="28"/>
          <w:szCs w:val="20"/>
        </w:rPr>
      </w:pPr>
      <w:r>
        <w:rPr>
          <w:rFonts w:ascii="仿宋" w:eastAsia="仿宋" w:hAnsi="仿宋" w:cs="仿宋" w:hint="eastAsia"/>
          <w:sz w:val="28"/>
          <w:szCs w:val="20"/>
          <w:lang w:val="en-US" w:eastAsia="zh-CN"/>
        </w:rPr>
        <w:t>技术指标</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3.1总体技术指标</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总体技术指标包括：探测空间范围、气象要素测量范围、测量准确度等，具体指标见表1。</w:t>
      </w: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表1 总体技术指标表</w:t>
      </w:r>
    </w:p>
    <w:tbl>
      <w:tblPr>
        <w:tblStyle w:val="TableNormal0"/>
        <w:tblW w:w="5011"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938"/>
        <w:gridCol w:w="1405"/>
        <w:gridCol w:w="6469"/>
      </w:tblGrid>
      <w:tr>
        <w:tblPrEx>
          <w:tblW w:w="5011"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337"/>
        </w:trPr>
        <w:tc>
          <w:tcPr>
            <w:tcW w:w="1329" w:type="pct"/>
            <w:gridSpan w:val="2"/>
            <w:tcBorders>
              <w:tl2br w:val="nil"/>
              <w:tr2bl w:val="nil"/>
            </w:tcBorders>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lang w:eastAsia="en-US"/>
              </w:rPr>
            </w:pPr>
            <w:r>
              <w:rPr>
                <w:rFonts w:ascii="宋体" w:eastAsia="宋体" w:hAnsi="宋体" w:cs="宋体" w:hint="eastAsia"/>
                <w:b/>
                <w:bCs/>
                <w:kern w:val="2"/>
                <w:sz w:val="24"/>
                <w:szCs w:val="24"/>
                <w:lang w:val="en-US" w:eastAsia="en-US" w:bidi="ar-SA"/>
              </w:rPr>
              <w:t>项目</w:t>
            </w:r>
          </w:p>
        </w:tc>
        <w:tc>
          <w:tcPr>
            <w:tcW w:w="3670" w:type="pct"/>
            <w:tcBorders>
              <w:tl2br w:val="nil"/>
              <w:tr2bl w:val="nil"/>
            </w:tcBorders>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lang w:eastAsia="en-US"/>
              </w:rPr>
            </w:pPr>
            <w:r>
              <w:rPr>
                <w:rFonts w:ascii="宋体" w:eastAsia="宋体" w:hAnsi="宋体" w:cs="宋体" w:hint="eastAsia"/>
                <w:b/>
                <w:bCs/>
                <w:kern w:val="2"/>
                <w:sz w:val="24"/>
                <w:szCs w:val="24"/>
                <w:lang w:val="en-US" w:eastAsia="en-US" w:bidi="ar-SA"/>
              </w:rPr>
              <w:t>性能指标</w:t>
            </w:r>
          </w:p>
        </w:tc>
      </w:tr>
      <w:tr>
        <w:tblPrEx>
          <w:tblW w:w="5011" w:type="pct"/>
          <w:tblInd w:w="0" w:type="dxa"/>
          <w:tblCellMar>
            <w:top w:w="0" w:type="dxa"/>
            <w:left w:w="0" w:type="dxa"/>
            <w:bottom w:w="0" w:type="dxa"/>
            <w:right w:w="0" w:type="dxa"/>
          </w:tblCellMar>
        </w:tblPrEx>
        <w:trPr>
          <w:trHeight w:val="569"/>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highlight w:val="yellow"/>
              </w:rPr>
              <w:t>#</w:t>
            </w:r>
            <w:r>
              <w:rPr>
                <w:rFonts w:ascii="宋体" w:eastAsia="宋体" w:hAnsi="宋体" w:cs="宋体" w:hint="eastAsia"/>
                <w:sz w:val="24"/>
                <w:szCs w:val="24"/>
              </w:rPr>
              <w:t>雷达体制</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双线偏振一维全固态数字平面相控阵体制</w:t>
            </w:r>
          </w:p>
        </w:tc>
      </w:tr>
      <w:tr>
        <w:tblPrEx>
          <w:tblW w:w="5011" w:type="pct"/>
          <w:tblInd w:w="0" w:type="dxa"/>
          <w:tblCellMar>
            <w:top w:w="0" w:type="dxa"/>
            <w:left w:w="0" w:type="dxa"/>
            <w:bottom w:w="0" w:type="dxa"/>
            <w:right w:w="0" w:type="dxa"/>
          </w:tblCellMar>
        </w:tblPrEx>
        <w:trPr>
          <w:trHeight w:val="56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highlight w:val="yellow"/>
              </w:rPr>
              <w:t>#</w:t>
            </w:r>
            <w:r>
              <w:rPr>
                <w:rFonts w:ascii="宋体" w:eastAsia="宋体" w:hAnsi="宋体" w:cs="宋体" w:hint="eastAsia"/>
                <w:sz w:val="24"/>
                <w:szCs w:val="24"/>
              </w:rPr>
              <w:t>收发模式</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双发双收、单发双收、宽发窄收、窄发窄收</w:t>
            </w:r>
          </w:p>
        </w:tc>
      </w:tr>
      <w:tr>
        <w:tblPrEx>
          <w:tblW w:w="5011" w:type="pct"/>
          <w:tblInd w:w="0" w:type="dxa"/>
          <w:tblCellMar>
            <w:top w:w="0" w:type="dxa"/>
            <w:left w:w="0" w:type="dxa"/>
            <w:bottom w:w="0" w:type="dxa"/>
            <w:right w:w="0" w:type="dxa"/>
          </w:tblCellMar>
        </w:tblPrEx>
        <w:trPr>
          <w:trHeight w:val="56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工作频率</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9.3～9.5GHz，点频工作</w:t>
            </w:r>
          </w:p>
        </w:tc>
      </w:tr>
      <w:tr>
        <w:tblPrEx>
          <w:tblW w:w="5011" w:type="pct"/>
          <w:tblInd w:w="0" w:type="dxa"/>
          <w:tblCellMar>
            <w:top w:w="0" w:type="dxa"/>
            <w:left w:w="0" w:type="dxa"/>
            <w:bottom w:w="0" w:type="dxa"/>
            <w:right w:w="0" w:type="dxa"/>
          </w:tblCellMar>
        </w:tblPrEx>
        <w:trPr>
          <w:trHeight w:val="56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整机寿命</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≥15年</w:t>
            </w:r>
          </w:p>
        </w:tc>
      </w:tr>
      <w:tr>
        <w:tblPrEx>
          <w:tblW w:w="5011" w:type="pct"/>
          <w:tblInd w:w="0" w:type="dxa"/>
          <w:tblCellMar>
            <w:top w:w="0" w:type="dxa"/>
            <w:left w:w="0" w:type="dxa"/>
            <w:bottom w:w="0" w:type="dxa"/>
            <w:right w:w="0" w:type="dxa"/>
          </w:tblCellMar>
        </w:tblPrEx>
        <w:trPr>
          <w:trHeight w:val="1224"/>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探测距离范围</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强度：警戒≥120km</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定量≥60km</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速度：≥60km</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谱宽：≥60km</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偏振参数：≥60km</w:t>
            </w:r>
          </w:p>
        </w:tc>
      </w:tr>
      <w:tr>
        <w:tblPrEx>
          <w:tblW w:w="5011" w:type="pct"/>
          <w:tblInd w:w="0" w:type="dxa"/>
          <w:tblCellMar>
            <w:top w:w="0" w:type="dxa"/>
            <w:left w:w="0" w:type="dxa"/>
            <w:bottom w:w="0" w:type="dxa"/>
            <w:right w:w="0" w:type="dxa"/>
          </w:tblCellMar>
        </w:tblPrEx>
        <w:trPr>
          <w:trHeight w:val="56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highlight w:val="yellow"/>
              </w:rPr>
              <w:t>#</w:t>
            </w:r>
            <w:r>
              <w:rPr>
                <w:rFonts w:ascii="宋体" w:eastAsia="宋体" w:hAnsi="宋体" w:cs="宋体" w:hint="eastAsia"/>
                <w:sz w:val="24"/>
                <w:szCs w:val="24"/>
              </w:rPr>
              <w:t>近距离盲区范围</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≤300米</w:t>
            </w:r>
          </w:p>
        </w:tc>
      </w:tr>
      <w:tr>
        <w:tblPrEx>
          <w:tblW w:w="5011" w:type="pct"/>
          <w:tblInd w:w="0" w:type="dxa"/>
          <w:tblCellMar>
            <w:top w:w="0" w:type="dxa"/>
            <w:left w:w="0" w:type="dxa"/>
            <w:bottom w:w="0" w:type="dxa"/>
            <w:right w:w="0" w:type="dxa"/>
          </w:tblCellMar>
        </w:tblPrEx>
        <w:trPr>
          <w:trHeight w:val="659"/>
        </w:trPr>
        <w:tc>
          <w:tcPr>
            <w:tcW w:w="1329" w:type="pct"/>
            <w:gridSpan w:val="2"/>
            <w:vMerge w:val="restar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highlight w:val="yellow"/>
              </w:rPr>
              <w:t>#</w:t>
            </w:r>
            <w:r>
              <w:rPr>
                <w:rFonts w:ascii="宋体" w:eastAsia="宋体" w:hAnsi="宋体" w:cs="宋体" w:hint="eastAsia"/>
                <w:sz w:val="24"/>
                <w:szCs w:val="24"/>
              </w:rPr>
              <w:t>可探测的最小反射率因子</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≤8dBZ（3千米处、脉宽0.5μs、分辨率75m、法向、单极化）</w:t>
            </w:r>
          </w:p>
        </w:tc>
      </w:tr>
      <w:tr>
        <w:tblPrEx>
          <w:tblW w:w="5011" w:type="pct"/>
          <w:tblInd w:w="0" w:type="dxa"/>
          <w:tblCellMar>
            <w:top w:w="0" w:type="dxa"/>
            <w:left w:w="0" w:type="dxa"/>
            <w:bottom w:w="0" w:type="dxa"/>
            <w:right w:w="0" w:type="dxa"/>
          </w:tblCellMar>
        </w:tblPrEx>
        <w:trPr>
          <w:trHeight w:val="364"/>
        </w:trPr>
        <w:tc>
          <w:tcPr>
            <w:tcW w:w="1329" w:type="pct"/>
            <w:gridSpan w:val="2"/>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≤5dBZ（12千米处、脉宽20μs、分辨率75m、法向、单极化）</w:t>
            </w:r>
          </w:p>
        </w:tc>
      </w:tr>
      <w:tr>
        <w:tblPrEx>
          <w:tblW w:w="5011" w:type="pct"/>
          <w:tblInd w:w="0" w:type="dxa"/>
          <w:tblCellMar>
            <w:top w:w="0" w:type="dxa"/>
            <w:left w:w="0" w:type="dxa"/>
            <w:bottom w:w="0" w:type="dxa"/>
            <w:right w:w="0" w:type="dxa"/>
          </w:tblCellMar>
        </w:tblPrEx>
        <w:trPr>
          <w:trHeight w:val="679"/>
        </w:trPr>
        <w:tc>
          <w:tcPr>
            <w:tcW w:w="1329" w:type="pct"/>
            <w:gridSpan w:val="2"/>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≤11dBZ（50千米处、脉宽100μs、分辨率75m、法向、单极化）</w:t>
            </w:r>
          </w:p>
        </w:tc>
      </w:tr>
      <w:tr>
        <w:tblPrEx>
          <w:tblW w:w="5011" w:type="pct"/>
          <w:tblInd w:w="0" w:type="dxa"/>
          <w:tblCellMar>
            <w:top w:w="0" w:type="dxa"/>
            <w:left w:w="0" w:type="dxa"/>
            <w:bottom w:w="0" w:type="dxa"/>
            <w:right w:w="0" w:type="dxa"/>
          </w:tblCellMar>
        </w:tblPrEx>
        <w:trPr>
          <w:trHeight w:val="747"/>
        </w:trPr>
        <w:tc>
          <w:tcPr>
            <w:tcW w:w="1329" w:type="pct"/>
            <w:gridSpan w:val="2"/>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≤16dBZ（3千米处、脉宽0.5μs、分辨率75m、发射4倍波束展宽、单极化）</w:t>
            </w:r>
          </w:p>
        </w:tc>
      </w:tr>
      <w:tr>
        <w:tblPrEx>
          <w:tblW w:w="5011" w:type="pct"/>
          <w:tblInd w:w="0" w:type="dxa"/>
          <w:tblCellMar>
            <w:top w:w="0" w:type="dxa"/>
            <w:left w:w="0" w:type="dxa"/>
            <w:bottom w:w="0" w:type="dxa"/>
            <w:right w:w="0" w:type="dxa"/>
          </w:tblCellMar>
        </w:tblPrEx>
        <w:trPr>
          <w:trHeight w:val="1109"/>
        </w:trPr>
        <w:tc>
          <w:tcPr>
            <w:tcW w:w="1329" w:type="pct"/>
            <w:gridSpan w:val="2"/>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≤13dBZ（12千米处、脉宽20μs、分辨率75m、发射4倍波束展宽、单极化）</w:t>
            </w:r>
          </w:p>
        </w:tc>
      </w:tr>
      <w:tr>
        <w:tblPrEx>
          <w:tblW w:w="5011" w:type="pct"/>
          <w:tblInd w:w="0" w:type="dxa"/>
          <w:tblCellMar>
            <w:top w:w="0" w:type="dxa"/>
            <w:left w:w="0" w:type="dxa"/>
            <w:bottom w:w="0" w:type="dxa"/>
            <w:right w:w="0" w:type="dxa"/>
          </w:tblCellMar>
        </w:tblPrEx>
        <w:trPr>
          <w:trHeight w:val="344"/>
        </w:trPr>
        <w:tc>
          <w:tcPr>
            <w:tcW w:w="1329" w:type="pct"/>
            <w:gridSpan w:val="2"/>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≤19dBZ（50千米处、脉宽100μs、分辨率75m、发射4倍波束展宽、单极化）</w:t>
            </w:r>
          </w:p>
        </w:tc>
      </w:tr>
      <w:tr>
        <w:tblPrEx>
          <w:tblW w:w="5011" w:type="pct"/>
          <w:tblInd w:w="0" w:type="dxa"/>
          <w:tblCellMar>
            <w:top w:w="0" w:type="dxa"/>
            <w:left w:w="0" w:type="dxa"/>
            <w:bottom w:w="0" w:type="dxa"/>
            <w:right w:w="0" w:type="dxa"/>
          </w:tblCellMar>
        </w:tblPrEx>
        <w:trPr>
          <w:trHeight w:val="554"/>
        </w:trPr>
        <w:tc>
          <w:tcPr>
            <w:tcW w:w="1329" w:type="pct"/>
            <w:gridSpan w:val="2"/>
            <w:vMerge/>
            <w:tcBorders>
              <w:tl2br w:val="nil"/>
              <w:tr2bl w:val="nil"/>
            </w:tcBorders>
            <w:vAlign w:val="center"/>
          </w:tcPr>
          <w:p>
            <w:pPr>
              <w:widowControl/>
              <w:adjustRightInd w:val="0"/>
              <w:snapToGrid w:val="0"/>
              <w:spacing w:line="400" w:lineRule="exact"/>
              <w:jc w:val="left"/>
              <w:rPr>
                <w:rFonts w:ascii="仿宋_GB2312" w:hint="eastAsia"/>
              </w:rPr>
            </w:pP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≤19dBZ（3千米处、脉宽0.5μs、分辨率75m、发射8倍波束展宽、单极化）</w:t>
            </w:r>
          </w:p>
        </w:tc>
      </w:tr>
      <w:tr>
        <w:tblPrEx>
          <w:tblW w:w="5011" w:type="pct"/>
          <w:tblInd w:w="0" w:type="dxa"/>
          <w:tblCellMar>
            <w:top w:w="0" w:type="dxa"/>
            <w:left w:w="0" w:type="dxa"/>
            <w:bottom w:w="0" w:type="dxa"/>
            <w:right w:w="0" w:type="dxa"/>
          </w:tblCellMar>
        </w:tblPrEx>
        <w:trPr>
          <w:trHeight w:val="869"/>
        </w:trPr>
        <w:tc>
          <w:tcPr>
            <w:tcW w:w="1329" w:type="pct"/>
            <w:gridSpan w:val="2"/>
            <w:vMerge/>
            <w:tcBorders>
              <w:tl2br w:val="nil"/>
              <w:tr2bl w:val="nil"/>
            </w:tcBorders>
            <w:vAlign w:val="center"/>
          </w:tcPr>
          <w:p>
            <w:pPr>
              <w:widowControl/>
              <w:adjustRightInd w:val="0"/>
              <w:snapToGrid w:val="0"/>
              <w:spacing w:line="400" w:lineRule="exact"/>
              <w:jc w:val="left"/>
              <w:rPr>
                <w:rFonts w:ascii="仿宋_GB2312" w:hint="eastAsia"/>
              </w:rPr>
            </w:pP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≤16dBZ（12千米处、脉宽20μs、分辨率75m、发射8倍波束展宽、单极化）</w:t>
            </w:r>
          </w:p>
        </w:tc>
      </w:tr>
      <w:tr>
        <w:tblPrEx>
          <w:tblW w:w="5011" w:type="pct"/>
          <w:tblInd w:w="0" w:type="dxa"/>
          <w:tblCellMar>
            <w:top w:w="0" w:type="dxa"/>
            <w:left w:w="0" w:type="dxa"/>
            <w:bottom w:w="0" w:type="dxa"/>
            <w:right w:w="0" w:type="dxa"/>
          </w:tblCellMar>
        </w:tblPrEx>
        <w:trPr>
          <w:trHeight w:val="339"/>
        </w:trPr>
        <w:tc>
          <w:tcPr>
            <w:tcW w:w="1329" w:type="pct"/>
            <w:gridSpan w:val="2"/>
            <w:vMerge/>
            <w:tcBorders>
              <w:tl2br w:val="nil"/>
              <w:tr2bl w:val="nil"/>
            </w:tcBorders>
            <w:vAlign w:val="center"/>
          </w:tcPr>
          <w:p>
            <w:pPr>
              <w:widowControl/>
              <w:adjustRightInd w:val="0"/>
              <w:snapToGrid w:val="0"/>
              <w:spacing w:line="400" w:lineRule="exact"/>
              <w:jc w:val="left"/>
              <w:rPr>
                <w:rFonts w:ascii="仿宋_GB2312" w:hint="eastAsia"/>
              </w:rPr>
            </w:pP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≤22dBZ（50千米处、脉宽100μs、分辨率75m、发射8倍波束展宽、单极化）</w:t>
            </w:r>
          </w:p>
        </w:tc>
      </w:tr>
      <w:tr>
        <w:tblPrEx>
          <w:tblW w:w="5011" w:type="pct"/>
          <w:tblInd w:w="0" w:type="dxa"/>
          <w:tblCellMar>
            <w:top w:w="0" w:type="dxa"/>
            <w:left w:w="0" w:type="dxa"/>
            <w:bottom w:w="0" w:type="dxa"/>
            <w:right w:w="0" w:type="dxa"/>
          </w:tblCellMar>
        </w:tblPrEx>
        <w:trPr>
          <w:trHeight w:val="565"/>
        </w:trPr>
        <w:tc>
          <w:tcPr>
            <w:tcW w:w="532" w:type="pct"/>
            <w:vMerge w:val="restar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测量</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范围</w:t>
            </w: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强度</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-15dBZ～+80dBZ</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速度</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±48m/s</w:t>
            </w:r>
          </w:p>
        </w:tc>
      </w:tr>
      <w:tr>
        <w:tblPrEx>
          <w:tblW w:w="5011" w:type="pct"/>
          <w:tblInd w:w="0" w:type="dxa"/>
          <w:tblCellMar>
            <w:top w:w="0" w:type="dxa"/>
            <w:left w:w="0" w:type="dxa"/>
            <w:bottom w:w="0" w:type="dxa"/>
            <w:right w:w="0" w:type="dxa"/>
          </w:tblCellMar>
        </w:tblPrEx>
        <w:trPr>
          <w:trHeight w:val="567"/>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谱宽</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0m/s～16m/s</w:t>
            </w:r>
          </w:p>
        </w:tc>
      </w:tr>
      <w:tr>
        <w:tblPrEx>
          <w:tblW w:w="5011" w:type="pct"/>
          <w:tblInd w:w="0" w:type="dxa"/>
          <w:tblCellMar>
            <w:top w:w="0" w:type="dxa"/>
            <w:left w:w="0" w:type="dxa"/>
            <w:bottom w:w="0" w:type="dxa"/>
            <w:right w:w="0" w:type="dxa"/>
          </w:tblCellMar>
        </w:tblPrEx>
        <w:trPr>
          <w:trHeight w:val="569"/>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差分反射率因子</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-7.9dB～+7.9dB</w:t>
            </w:r>
          </w:p>
        </w:tc>
      </w:tr>
      <w:tr>
        <w:tblPrEx>
          <w:tblW w:w="5011" w:type="pct"/>
          <w:tblInd w:w="0" w:type="dxa"/>
          <w:tblCellMar>
            <w:top w:w="0" w:type="dxa"/>
            <w:left w:w="0" w:type="dxa"/>
            <w:bottom w:w="0" w:type="dxa"/>
            <w:right w:w="0" w:type="dxa"/>
          </w:tblCellMar>
        </w:tblPrEx>
        <w:trPr>
          <w:trHeight w:val="564"/>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差分传播相移</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-180°～+180°</w:t>
            </w:r>
          </w:p>
        </w:tc>
      </w:tr>
      <w:tr>
        <w:tblPrEx>
          <w:tblW w:w="5011" w:type="pct"/>
          <w:tblInd w:w="0" w:type="dxa"/>
          <w:tblCellMar>
            <w:top w:w="0" w:type="dxa"/>
            <w:left w:w="0" w:type="dxa"/>
            <w:bottom w:w="0" w:type="dxa"/>
            <w:right w:w="0" w:type="dxa"/>
          </w:tblCellMar>
        </w:tblPrEx>
        <w:trPr>
          <w:trHeight w:val="564"/>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差分传播相移率</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-2°/km～+20°/km</w:t>
            </w:r>
          </w:p>
        </w:tc>
      </w:tr>
      <w:tr>
        <w:tblPrEx>
          <w:tblW w:w="5011" w:type="pct"/>
          <w:tblInd w:w="0" w:type="dxa"/>
          <w:tblCellMar>
            <w:top w:w="0" w:type="dxa"/>
            <w:left w:w="0" w:type="dxa"/>
            <w:bottom w:w="0" w:type="dxa"/>
            <w:right w:w="0" w:type="dxa"/>
          </w:tblCellMar>
        </w:tblPrEx>
        <w:trPr>
          <w:trHeight w:val="564"/>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相关系数</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0～1</w:t>
            </w:r>
          </w:p>
        </w:tc>
      </w:tr>
      <w:tr>
        <w:tblPrEx>
          <w:tblW w:w="5011" w:type="pct"/>
          <w:tblInd w:w="0" w:type="dxa"/>
          <w:tblCellMar>
            <w:top w:w="0" w:type="dxa"/>
            <w:left w:w="0" w:type="dxa"/>
            <w:bottom w:w="0" w:type="dxa"/>
            <w:right w:w="0" w:type="dxa"/>
          </w:tblCellMar>
        </w:tblPrEx>
        <w:trPr>
          <w:trHeight w:val="565"/>
        </w:trPr>
        <w:tc>
          <w:tcPr>
            <w:tcW w:w="532" w:type="pct"/>
            <w:vMerge w:val="restar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参数</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测量</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精度</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（标准差）</w:t>
            </w: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强度</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≤1dB</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速度</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≤1m/s</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谱宽</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≤1m/s</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差分反射率因子</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≤0.2dB</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差分传播相移</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≤3°</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差分传播相移率</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≤0.2°/km</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相关系数</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≤0.01</w:t>
            </w:r>
          </w:p>
        </w:tc>
      </w:tr>
      <w:tr>
        <w:tblPrEx>
          <w:tblW w:w="5011" w:type="pct"/>
          <w:tblInd w:w="0" w:type="dxa"/>
          <w:tblCellMar>
            <w:top w:w="0" w:type="dxa"/>
            <w:left w:w="0" w:type="dxa"/>
            <w:bottom w:w="0" w:type="dxa"/>
            <w:right w:w="0" w:type="dxa"/>
          </w:tblCellMar>
        </w:tblPrEx>
        <w:trPr>
          <w:trHeight w:val="56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距离分辨率</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≤75m</w:t>
            </w:r>
          </w:p>
        </w:tc>
      </w:tr>
      <w:tr>
        <w:tblPrEx>
          <w:tblW w:w="5011" w:type="pct"/>
          <w:tblInd w:w="0" w:type="dxa"/>
          <w:tblCellMar>
            <w:top w:w="0" w:type="dxa"/>
            <w:left w:w="0" w:type="dxa"/>
            <w:bottom w:w="0" w:type="dxa"/>
            <w:right w:w="0" w:type="dxa"/>
          </w:tblCellMar>
        </w:tblPrEx>
        <w:trPr>
          <w:trHeight w:val="565"/>
        </w:trPr>
        <w:tc>
          <w:tcPr>
            <w:tcW w:w="532" w:type="pct"/>
            <w:vMerge w:val="restar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数据分辨力</w:t>
            </w: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方位角和俯仰角</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≤0.01°</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lang w:eastAsia="en-US"/>
              </w:rPr>
            </w:pPr>
            <w:r>
              <w:rPr>
                <w:rFonts w:ascii="宋体" w:eastAsia="宋体" w:hAnsi="宋体" w:cs="宋体" w:hint="eastAsia"/>
                <w:sz w:val="24"/>
              </w:rPr>
              <w:t>强度</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lang w:eastAsia="en-US"/>
              </w:rPr>
            </w:pPr>
            <w:r>
              <w:rPr>
                <w:rFonts w:ascii="宋体" w:eastAsia="宋体" w:hAnsi="宋体" w:cs="宋体" w:hint="eastAsia"/>
                <w:sz w:val="24"/>
              </w:rPr>
              <w:t>≤0.1dB</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lang w:eastAsia="en-US"/>
              </w:rPr>
            </w:pPr>
            <w:r>
              <w:rPr>
                <w:rFonts w:ascii="宋体" w:eastAsia="宋体" w:hAnsi="宋体" w:cs="宋体" w:hint="eastAsia"/>
                <w:sz w:val="24"/>
              </w:rPr>
              <w:t>速度</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lang w:eastAsia="en-US"/>
              </w:rPr>
            </w:pPr>
            <w:r>
              <w:rPr>
                <w:rFonts w:ascii="宋体" w:eastAsia="宋体" w:hAnsi="宋体" w:cs="宋体" w:hint="eastAsia"/>
                <w:sz w:val="24"/>
              </w:rPr>
              <w:t>≤0.1m/s</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lang w:eastAsia="en-US"/>
              </w:rPr>
            </w:pPr>
            <w:r>
              <w:rPr>
                <w:rFonts w:ascii="宋体" w:eastAsia="宋体" w:hAnsi="宋体" w:cs="宋体" w:hint="eastAsia"/>
                <w:sz w:val="24"/>
              </w:rPr>
              <w:t>谱宽</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lang w:eastAsia="en-US"/>
              </w:rPr>
            </w:pPr>
            <w:r>
              <w:rPr>
                <w:rFonts w:ascii="宋体" w:eastAsia="宋体" w:hAnsi="宋体" w:cs="宋体" w:hint="eastAsia"/>
                <w:sz w:val="24"/>
              </w:rPr>
              <w:t>≤0.1m/s</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lang w:eastAsia="en-US"/>
              </w:rPr>
            </w:pPr>
            <w:r>
              <w:rPr>
                <w:rFonts w:ascii="宋体" w:eastAsia="宋体" w:hAnsi="宋体" w:cs="宋体" w:hint="eastAsia"/>
                <w:sz w:val="24"/>
              </w:rPr>
              <w:t>差分反射率因子</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lang w:eastAsia="en-US"/>
              </w:rPr>
            </w:pPr>
            <w:r>
              <w:rPr>
                <w:rFonts w:ascii="宋体" w:eastAsia="宋体" w:hAnsi="宋体" w:cs="宋体" w:hint="eastAsia"/>
                <w:sz w:val="24"/>
              </w:rPr>
              <w:t>≤0.01dB</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lang w:eastAsia="en-US"/>
              </w:rPr>
            </w:pPr>
            <w:r>
              <w:rPr>
                <w:rFonts w:ascii="宋体" w:eastAsia="宋体" w:hAnsi="宋体" w:cs="宋体" w:hint="eastAsia"/>
                <w:sz w:val="24"/>
              </w:rPr>
              <w:t>差分传播相移</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lang w:eastAsia="en-US"/>
              </w:rPr>
            </w:pPr>
            <w:r>
              <w:rPr>
                <w:rFonts w:ascii="宋体" w:eastAsia="宋体" w:hAnsi="宋体" w:cs="宋体" w:hint="eastAsia"/>
                <w:sz w:val="24"/>
              </w:rPr>
              <w:t>≤0.1°</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lang w:eastAsia="en-US"/>
              </w:rPr>
            </w:pPr>
            <w:r>
              <w:rPr>
                <w:rFonts w:ascii="宋体" w:eastAsia="宋体" w:hAnsi="宋体" w:cs="宋体" w:hint="eastAsia"/>
                <w:sz w:val="24"/>
              </w:rPr>
              <w:t>差分传播相移率</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lang w:eastAsia="en-US"/>
              </w:rPr>
            </w:pPr>
            <w:r>
              <w:rPr>
                <w:rFonts w:ascii="宋体" w:eastAsia="宋体" w:hAnsi="宋体" w:cs="宋体" w:hint="eastAsia"/>
                <w:sz w:val="24"/>
              </w:rPr>
              <w:t>≤0.01°/km</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相关系数</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≤0.001</w:t>
            </w:r>
          </w:p>
        </w:tc>
      </w:tr>
      <w:tr>
        <w:tblPrEx>
          <w:tblW w:w="5011" w:type="pct"/>
          <w:tblInd w:w="0" w:type="dxa"/>
          <w:tblCellMar>
            <w:top w:w="0" w:type="dxa"/>
            <w:left w:w="0" w:type="dxa"/>
            <w:bottom w:w="0" w:type="dxa"/>
            <w:right w:w="0" w:type="dxa"/>
          </w:tblCellMar>
        </w:tblPrEx>
        <w:trPr>
          <w:trHeight w:val="56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系统噪声系数</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≤3.5dB（脉宽1μs，带宽1MHz）</w:t>
            </w:r>
          </w:p>
        </w:tc>
      </w:tr>
      <w:tr>
        <w:tblPrEx>
          <w:tblW w:w="5011" w:type="pct"/>
          <w:tblInd w:w="0" w:type="dxa"/>
          <w:tblCellMar>
            <w:top w:w="0" w:type="dxa"/>
            <w:left w:w="0" w:type="dxa"/>
            <w:bottom w:w="0" w:type="dxa"/>
            <w:right w:w="0" w:type="dxa"/>
          </w:tblCellMar>
        </w:tblPrEx>
        <w:trPr>
          <w:trHeight w:val="56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系统线性动态范围</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≥95dB（脉宽1μs，带宽1MHz）</w:t>
            </w:r>
          </w:p>
        </w:tc>
      </w:tr>
      <w:tr>
        <w:tblPrEx>
          <w:tblW w:w="5011" w:type="pct"/>
          <w:tblInd w:w="0" w:type="dxa"/>
          <w:tblCellMar>
            <w:top w:w="0" w:type="dxa"/>
            <w:left w:w="0" w:type="dxa"/>
            <w:bottom w:w="0" w:type="dxa"/>
            <w:right w:w="0" w:type="dxa"/>
          </w:tblCellMar>
        </w:tblPrEx>
        <w:trPr>
          <w:trHeight w:val="567"/>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系统相位噪声</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≤0.1°（脉宽1μs，带宽1MHz）</w:t>
            </w:r>
          </w:p>
        </w:tc>
      </w:tr>
      <w:tr>
        <w:tblPrEx>
          <w:tblW w:w="5011" w:type="pct"/>
          <w:tblInd w:w="0" w:type="dxa"/>
          <w:tblCellMar>
            <w:top w:w="0" w:type="dxa"/>
            <w:left w:w="0" w:type="dxa"/>
            <w:bottom w:w="0" w:type="dxa"/>
            <w:right w:w="0" w:type="dxa"/>
          </w:tblCellMar>
        </w:tblPrEx>
        <w:trPr>
          <w:trHeight w:val="570"/>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实际地物对消能力</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≥50dB</w:t>
            </w:r>
          </w:p>
        </w:tc>
      </w:tr>
      <w:tr>
        <w:tblPrEx>
          <w:tblW w:w="5011" w:type="pct"/>
          <w:tblInd w:w="0" w:type="dxa"/>
          <w:tblCellMar>
            <w:top w:w="0" w:type="dxa"/>
            <w:left w:w="0" w:type="dxa"/>
            <w:bottom w:w="0" w:type="dxa"/>
            <w:right w:w="0" w:type="dxa"/>
          </w:tblCellMar>
        </w:tblPrEx>
        <w:trPr>
          <w:trHeight w:val="1124"/>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输出参数</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强度、速度、谱宽、差分反射率因子、差分传播相移、差分传播相移率、相关系数、信噪比</w:t>
            </w:r>
          </w:p>
        </w:tc>
      </w:tr>
      <w:tr>
        <w:tblPrEx>
          <w:tblW w:w="5011" w:type="pct"/>
          <w:tblInd w:w="0" w:type="dxa"/>
          <w:tblCellMar>
            <w:top w:w="0" w:type="dxa"/>
            <w:left w:w="0" w:type="dxa"/>
            <w:bottom w:w="0" w:type="dxa"/>
            <w:right w:w="0" w:type="dxa"/>
          </w:tblCellMar>
        </w:tblPrEx>
        <w:trPr>
          <w:trHeight w:val="1124"/>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电源要求</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三相AC380V±10%，50Hz±5%</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或单相AC220V±10%，50Hz±5%</w:t>
            </w:r>
          </w:p>
        </w:tc>
      </w:tr>
      <w:tr>
        <w:tblPrEx>
          <w:tblW w:w="5011" w:type="pct"/>
          <w:tblInd w:w="0" w:type="dxa"/>
          <w:tblCellMar>
            <w:top w:w="0" w:type="dxa"/>
            <w:left w:w="0" w:type="dxa"/>
            <w:bottom w:w="0" w:type="dxa"/>
            <w:right w:w="0" w:type="dxa"/>
          </w:tblCellMar>
        </w:tblPrEx>
        <w:trPr>
          <w:trHeight w:val="56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重量</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≤3吨</w:t>
            </w:r>
          </w:p>
        </w:tc>
      </w:tr>
      <w:tr>
        <w:tblPrEx>
          <w:tblW w:w="5011" w:type="pct"/>
          <w:tblInd w:w="0" w:type="dxa"/>
          <w:tblCellMar>
            <w:top w:w="0" w:type="dxa"/>
            <w:left w:w="0" w:type="dxa"/>
            <w:bottom w:w="0" w:type="dxa"/>
            <w:right w:w="0" w:type="dxa"/>
          </w:tblCellMar>
        </w:tblPrEx>
        <w:trPr>
          <w:trHeight w:val="1124"/>
        </w:trPr>
        <w:tc>
          <w:tcPr>
            <w:tcW w:w="532" w:type="pct"/>
            <w:vMerge w:val="restar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环境</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要求</w:t>
            </w: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环境温度</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室内：0～+40℃</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室外：-40～+50℃</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宋体" w:eastAsia="宋体" w:hAnsi="宋体" w:cs="宋体"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贮存温度</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-40～+60℃</w:t>
            </w:r>
          </w:p>
        </w:tc>
      </w:tr>
      <w:tr>
        <w:tblPrEx>
          <w:tblW w:w="5011" w:type="pct"/>
          <w:tblInd w:w="0" w:type="dxa"/>
          <w:tblCellMar>
            <w:top w:w="0" w:type="dxa"/>
            <w:left w:w="0" w:type="dxa"/>
            <w:bottom w:w="0" w:type="dxa"/>
            <w:right w:w="0" w:type="dxa"/>
          </w:tblCellMar>
        </w:tblPrEx>
        <w:trPr>
          <w:trHeight w:val="1124"/>
        </w:trPr>
        <w:tc>
          <w:tcPr>
            <w:tcW w:w="532" w:type="pct"/>
            <w:vMerge/>
            <w:tcBorders>
              <w:tl2br w:val="nil"/>
              <w:tr2bl w:val="nil"/>
            </w:tcBorders>
            <w:vAlign w:val="center"/>
          </w:tcPr>
          <w:p>
            <w:pPr>
              <w:widowControl/>
              <w:adjustRightInd w:val="0"/>
              <w:snapToGrid w:val="0"/>
              <w:spacing w:line="400" w:lineRule="exact"/>
              <w:jc w:val="left"/>
              <w:rPr>
                <w:rFonts w:ascii="仿宋_GB2312"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环境最大湿度</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室内：≤90%（+30℃)</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室外：≤95%（+35℃)</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仿宋_GB2312"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工作高度</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海拔高度：≤5000m</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仿宋_GB2312"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冲击、振动、淋雨</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符合国家有关部门规定，且满足野外运输要求。</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仿宋_GB2312"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抗干扰</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电源干扰、电磁干扰、无线电频率干扰</w:t>
            </w:r>
          </w:p>
        </w:tc>
      </w:tr>
      <w:tr>
        <w:tblPrEx>
          <w:tblW w:w="5011" w:type="pct"/>
          <w:tblInd w:w="0" w:type="dxa"/>
          <w:tblCellMar>
            <w:top w:w="0" w:type="dxa"/>
            <w:left w:w="0" w:type="dxa"/>
            <w:bottom w:w="0" w:type="dxa"/>
            <w:right w:w="0" w:type="dxa"/>
          </w:tblCellMar>
        </w:tblPrEx>
        <w:trPr>
          <w:trHeight w:val="565"/>
        </w:trPr>
        <w:tc>
          <w:tcPr>
            <w:tcW w:w="532" w:type="pct"/>
            <w:vMerge/>
            <w:tcBorders>
              <w:tl2br w:val="nil"/>
              <w:tr2bl w:val="nil"/>
            </w:tcBorders>
            <w:vAlign w:val="center"/>
          </w:tcPr>
          <w:p>
            <w:pPr>
              <w:widowControl/>
              <w:adjustRightInd w:val="0"/>
              <w:snapToGrid w:val="0"/>
              <w:spacing w:line="400" w:lineRule="exact"/>
              <w:jc w:val="left"/>
              <w:rPr>
                <w:rFonts w:ascii="仿宋_GB2312" w:hint="eastAsia"/>
              </w:rPr>
            </w:pPr>
          </w:p>
        </w:tc>
        <w:tc>
          <w:tcPr>
            <w:tcW w:w="797"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其它</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防水、防霉、防盐雾</w:t>
            </w:r>
          </w:p>
        </w:tc>
      </w:tr>
      <w:tr>
        <w:tblPrEx>
          <w:tblW w:w="5011" w:type="pct"/>
          <w:tblInd w:w="0" w:type="dxa"/>
          <w:tblCellMar>
            <w:top w:w="0" w:type="dxa"/>
            <w:left w:w="0" w:type="dxa"/>
            <w:bottom w:w="0" w:type="dxa"/>
            <w:right w:w="0" w:type="dxa"/>
          </w:tblCellMar>
        </w:tblPrEx>
        <w:trPr>
          <w:trHeight w:val="1124"/>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平均严重故障间隔时间</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（MTBCF）</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≥5000h</w:t>
            </w:r>
          </w:p>
        </w:tc>
      </w:tr>
      <w:tr>
        <w:tblPrEx>
          <w:tblW w:w="5011" w:type="pct"/>
          <w:tblInd w:w="0" w:type="dxa"/>
          <w:tblCellMar>
            <w:top w:w="0" w:type="dxa"/>
            <w:left w:w="0" w:type="dxa"/>
            <w:bottom w:w="0" w:type="dxa"/>
            <w:right w:w="0" w:type="dxa"/>
          </w:tblCellMar>
        </w:tblPrEx>
        <w:trPr>
          <w:trHeight w:val="56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平均故障修复时间</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≤0.5h</w:t>
            </w:r>
          </w:p>
        </w:tc>
      </w:tr>
      <w:tr>
        <w:tblPrEx>
          <w:tblW w:w="5011" w:type="pct"/>
          <w:tblInd w:w="0" w:type="dxa"/>
          <w:tblCellMar>
            <w:top w:w="0" w:type="dxa"/>
            <w:left w:w="0" w:type="dxa"/>
            <w:bottom w:w="0" w:type="dxa"/>
            <w:right w:w="0" w:type="dxa"/>
          </w:tblCellMar>
        </w:tblPrEx>
        <w:trPr>
          <w:trHeight w:val="56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架设方式</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固定架设</w:t>
            </w:r>
          </w:p>
        </w:tc>
      </w:tr>
      <w:tr>
        <w:tblPrEx>
          <w:tblW w:w="5011" w:type="pct"/>
          <w:tblInd w:w="0" w:type="dxa"/>
          <w:tblCellMar>
            <w:top w:w="0" w:type="dxa"/>
            <w:left w:w="0" w:type="dxa"/>
            <w:bottom w:w="0" w:type="dxa"/>
            <w:right w:w="0" w:type="dxa"/>
          </w:tblCellMar>
        </w:tblPrEx>
        <w:trPr>
          <w:trHeight w:val="56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雷达整机功耗</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≤15kW</w:t>
            </w:r>
          </w:p>
        </w:tc>
      </w:tr>
      <w:tr>
        <w:tblPrEx>
          <w:tblW w:w="5011" w:type="pct"/>
          <w:tblInd w:w="0" w:type="dxa"/>
          <w:tblCellMar>
            <w:top w:w="0" w:type="dxa"/>
            <w:left w:w="0" w:type="dxa"/>
            <w:bottom w:w="0" w:type="dxa"/>
            <w:right w:w="0" w:type="dxa"/>
          </w:tblCellMar>
        </w:tblPrEx>
        <w:trPr>
          <w:trHeight w:val="56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连续工作时间</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无人值守7×24h工作</w:t>
            </w:r>
          </w:p>
        </w:tc>
      </w:tr>
      <w:tr>
        <w:tblPrEx>
          <w:tblW w:w="5011" w:type="pct"/>
          <w:tblInd w:w="0" w:type="dxa"/>
          <w:tblCellMar>
            <w:top w:w="0" w:type="dxa"/>
            <w:left w:w="0" w:type="dxa"/>
            <w:bottom w:w="0" w:type="dxa"/>
            <w:right w:w="0" w:type="dxa"/>
          </w:tblCellMar>
        </w:tblPrEx>
        <w:trPr>
          <w:trHeight w:val="777"/>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微波辐射安全性</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电磁辐射暴露限制应符合GJB5313A-2017的要求。</w:t>
            </w:r>
          </w:p>
        </w:tc>
      </w:tr>
      <w:tr>
        <w:tblPrEx>
          <w:tblW w:w="5011" w:type="pct"/>
          <w:tblInd w:w="0" w:type="dxa"/>
          <w:tblCellMar>
            <w:top w:w="0" w:type="dxa"/>
            <w:left w:w="0" w:type="dxa"/>
            <w:bottom w:w="0" w:type="dxa"/>
            <w:right w:w="0" w:type="dxa"/>
          </w:tblCellMar>
        </w:tblPrEx>
        <w:trPr>
          <w:trHeight w:val="974"/>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安全标记</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雷达高压部位、微波泄漏部位、机械转动部位应有清晰、醒目的安全警示标记。</w:t>
            </w:r>
          </w:p>
        </w:tc>
      </w:tr>
      <w:tr>
        <w:tblPrEx>
          <w:tblW w:w="5011" w:type="pct"/>
          <w:tblInd w:w="0" w:type="dxa"/>
          <w:tblCellMar>
            <w:top w:w="0" w:type="dxa"/>
            <w:left w:w="0" w:type="dxa"/>
            <w:bottom w:w="0" w:type="dxa"/>
            <w:right w:w="0" w:type="dxa"/>
          </w:tblCellMar>
        </w:tblPrEx>
        <w:trPr>
          <w:trHeight w:val="700"/>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互换性</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雷达备份零件、部件、组件和功能单元均能在现场更换，无需调整而正常工作。</w:t>
            </w:r>
          </w:p>
        </w:tc>
      </w:tr>
      <w:tr>
        <w:tblPrEx>
          <w:tblW w:w="5011" w:type="pct"/>
          <w:tblInd w:w="0" w:type="dxa"/>
          <w:tblCellMar>
            <w:top w:w="0" w:type="dxa"/>
            <w:left w:w="0" w:type="dxa"/>
            <w:bottom w:w="0" w:type="dxa"/>
            <w:right w:w="0" w:type="dxa"/>
          </w:tblCellMar>
        </w:tblPrEx>
        <w:trPr>
          <w:trHeight w:val="1364"/>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电磁兼容性</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雷达具有市电滤波和防电磁干扰的能力，设置静电屏蔽、磁屏蔽、电磁屏蔽，模拟地线、数字地线和安全地线严格分开。</w:t>
            </w:r>
          </w:p>
        </w:tc>
      </w:tr>
      <w:tr>
        <w:tblPrEx>
          <w:tblW w:w="5011" w:type="pct"/>
          <w:tblInd w:w="0" w:type="dxa"/>
          <w:tblCellMar>
            <w:top w:w="0" w:type="dxa"/>
            <w:left w:w="0" w:type="dxa"/>
            <w:bottom w:w="0" w:type="dxa"/>
            <w:right w:w="0" w:type="dxa"/>
          </w:tblCellMar>
        </w:tblPrEx>
        <w:trPr>
          <w:trHeight w:val="974"/>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安全性</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雷达应有安全性设计,确保雷达按规定条件进行制造、安装、运输、贮存、使用和维护时的人身安全和设备安全。</w:t>
            </w:r>
          </w:p>
        </w:tc>
      </w:tr>
      <w:tr>
        <w:tblPrEx>
          <w:tblW w:w="5011" w:type="pct"/>
          <w:tblInd w:w="0" w:type="dxa"/>
          <w:tblCellMar>
            <w:top w:w="0" w:type="dxa"/>
            <w:left w:w="0" w:type="dxa"/>
            <w:bottom w:w="0" w:type="dxa"/>
            <w:right w:w="0" w:type="dxa"/>
          </w:tblCellMar>
        </w:tblPrEx>
        <w:trPr>
          <w:trHeight w:val="86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防雷要求</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雷达电源线输入端应加装防雷滤波器，室外电缆一律采用屏蔽电缆。</w:t>
            </w:r>
          </w:p>
        </w:tc>
      </w:tr>
      <w:tr>
        <w:tblPrEx>
          <w:tblW w:w="5011" w:type="pct"/>
          <w:tblInd w:w="0" w:type="dxa"/>
          <w:tblCellMar>
            <w:top w:w="0" w:type="dxa"/>
            <w:left w:w="0" w:type="dxa"/>
            <w:bottom w:w="0" w:type="dxa"/>
            <w:right w:w="0" w:type="dxa"/>
          </w:tblCellMar>
        </w:tblPrEx>
        <w:trPr>
          <w:trHeight w:val="475"/>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绝缘性</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雷达各初级电源与大地间绝缘电阻应大于1MΩ。</w:t>
            </w:r>
          </w:p>
        </w:tc>
      </w:tr>
      <w:tr>
        <w:tblPrEx>
          <w:tblW w:w="5011" w:type="pct"/>
          <w:tblInd w:w="0" w:type="dxa"/>
          <w:tblCellMar>
            <w:top w:w="0" w:type="dxa"/>
            <w:left w:w="0" w:type="dxa"/>
            <w:bottom w:w="0" w:type="dxa"/>
            <w:right w:w="0" w:type="dxa"/>
          </w:tblCellMar>
        </w:tblPrEx>
        <w:trPr>
          <w:trHeight w:val="1684"/>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外观质量</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外观应协调一致。外表面应无凹痕、碰伤、裂痕和变形等缺陷；镀涂层不起泡、龟裂和脱落；金属零件无锈蚀、毛刺及其它机械损伤。</w:t>
            </w:r>
          </w:p>
        </w:tc>
      </w:tr>
      <w:tr>
        <w:tblPrEx>
          <w:tblW w:w="5011" w:type="pct"/>
          <w:tblInd w:w="0" w:type="dxa"/>
          <w:tblCellMar>
            <w:top w:w="0" w:type="dxa"/>
            <w:left w:w="0" w:type="dxa"/>
            <w:bottom w:w="0" w:type="dxa"/>
            <w:right w:w="0" w:type="dxa"/>
          </w:tblCellMar>
        </w:tblPrEx>
        <w:trPr>
          <w:trHeight w:val="1936"/>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标记与代号</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机柜、机箱、插件和线缆等应有统一的编号和标记，符合国家标准。</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印制板、主要元器件等应在相应位置印有与电路图中项目代号相符的标记。</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标记的文字、字母和符号应完整、规范、清晰和牢固，且便于识读。</w:t>
            </w:r>
          </w:p>
        </w:tc>
      </w:tr>
      <w:tr>
        <w:tblPrEx>
          <w:tblW w:w="5011" w:type="pct"/>
          <w:tblInd w:w="0" w:type="dxa"/>
          <w:tblCellMar>
            <w:top w:w="0" w:type="dxa"/>
            <w:left w:w="0" w:type="dxa"/>
            <w:bottom w:w="0" w:type="dxa"/>
            <w:right w:w="0" w:type="dxa"/>
          </w:tblCellMar>
        </w:tblPrEx>
        <w:trPr>
          <w:trHeight w:val="537"/>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环境噪声要求</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终端操作室噪声不大于65dB。</w:t>
            </w:r>
          </w:p>
        </w:tc>
      </w:tr>
      <w:tr>
        <w:tblPrEx>
          <w:tblW w:w="5011" w:type="pct"/>
          <w:tblInd w:w="0" w:type="dxa"/>
          <w:tblCellMar>
            <w:top w:w="0" w:type="dxa"/>
            <w:left w:w="0" w:type="dxa"/>
            <w:bottom w:w="0" w:type="dxa"/>
            <w:right w:w="0" w:type="dxa"/>
          </w:tblCellMar>
        </w:tblPrEx>
        <w:trPr>
          <w:trHeight w:val="617"/>
        </w:trPr>
        <w:tc>
          <w:tcPr>
            <w:tcW w:w="1329"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雷达应有的铭牌包括的内容</w:t>
            </w:r>
          </w:p>
        </w:tc>
        <w:tc>
          <w:tcPr>
            <w:tcW w:w="3670"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雷达的名称、型号（代号）；出厂编号；出厂年月；制造厂商标。</w:t>
            </w:r>
          </w:p>
        </w:tc>
      </w:tr>
    </w:tbl>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bookmarkStart w:id="64" w:name="bookmark20"/>
      <w:bookmarkEnd w:id="64"/>
      <w:bookmarkStart w:id="65" w:name="bookmark19"/>
      <w:bookmarkEnd w:id="65"/>
      <w:r>
        <w:rPr>
          <w:rFonts w:ascii="仿宋" w:eastAsia="仿宋" w:hAnsi="仿宋" w:cs="仿宋" w:hint="eastAsia"/>
          <w:kern w:val="2"/>
          <w:sz w:val="28"/>
          <w:szCs w:val="28"/>
          <w:lang w:val="en-US" w:eastAsia="zh-CN" w:bidi="ar-SA"/>
        </w:rPr>
        <w:t>3.2天线罩技术指标</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天线罩的技术指标包括：引入波束偏差、引入波束展宽、射频损失、引入交叉极化隔离度影响、引入副瓣影响等。具体指标见表2。</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雷达应具备天线罩。增强型须配套截球形天线罩，标准型根据台站实际情况选配截球形天线罩或平面天线罩中的一种。</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天线罩外表面须涂覆疏水层。</w:t>
      </w: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表2 天线罩技术性能指标表</w:t>
      </w:r>
    </w:p>
    <w:tbl>
      <w:tblPr>
        <w:tblStyle w:val="TableNormal"/>
        <w:tblW w:w="7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88"/>
        <w:gridCol w:w="1276"/>
        <w:gridCol w:w="4481"/>
      </w:tblGrid>
      <w:tr>
        <w:tblPrEx>
          <w:tblW w:w="7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73"/>
          <w:jc w:val="center"/>
        </w:trPr>
        <w:tc>
          <w:tcPr>
            <w:tcW w:w="3264" w:type="dxa"/>
            <w:gridSpan w:val="2"/>
            <w:noWrap w:val="0"/>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lang w:eastAsia="en-US"/>
              </w:rPr>
            </w:pPr>
            <w:r>
              <w:rPr>
                <w:rFonts w:ascii="宋体" w:eastAsia="宋体" w:hAnsi="宋体" w:cs="宋体" w:hint="eastAsia"/>
                <w:b/>
                <w:bCs/>
                <w:kern w:val="2"/>
                <w:sz w:val="24"/>
                <w:szCs w:val="24"/>
                <w:lang w:val="en-US" w:eastAsia="en-US" w:bidi="ar-SA"/>
              </w:rPr>
              <w:t>项目</w:t>
            </w:r>
          </w:p>
        </w:tc>
        <w:tc>
          <w:tcPr>
            <w:tcW w:w="4481" w:type="dxa"/>
            <w:noWrap w:val="0"/>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lang w:eastAsia="en-US"/>
              </w:rPr>
            </w:pPr>
            <w:r>
              <w:rPr>
                <w:rFonts w:ascii="宋体" w:eastAsia="宋体" w:hAnsi="宋体" w:cs="宋体" w:hint="eastAsia"/>
                <w:b/>
                <w:bCs/>
                <w:kern w:val="2"/>
                <w:sz w:val="24"/>
                <w:szCs w:val="24"/>
                <w:lang w:val="en-US" w:eastAsia="en-US" w:bidi="ar-SA"/>
              </w:rPr>
              <w:t>性能指标</w:t>
            </w:r>
          </w:p>
        </w:tc>
      </w:tr>
      <w:tr>
        <w:tblPrEx>
          <w:tblW w:w="7745" w:type="dxa"/>
          <w:jc w:val="center"/>
          <w:tblLayout w:type="fixed"/>
          <w:tblCellMar>
            <w:top w:w="0" w:type="dxa"/>
            <w:left w:w="108" w:type="dxa"/>
            <w:bottom w:w="0" w:type="dxa"/>
            <w:right w:w="108" w:type="dxa"/>
          </w:tblCellMar>
        </w:tblPrEx>
        <w:trPr>
          <w:trHeight w:val="290"/>
          <w:jc w:val="center"/>
        </w:trPr>
        <w:tc>
          <w:tcPr>
            <w:tcW w:w="1988" w:type="dxa"/>
            <w:vMerge w:val="restart"/>
            <w:tcBorders>
              <w:top w:val="single" w:sz="4" w:space="0" w:color="auto"/>
              <w:left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引入波束偏差</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球面罩</w:t>
            </w:r>
          </w:p>
        </w:tc>
        <w:tc>
          <w:tcPr>
            <w:tcW w:w="4481" w:type="dxa"/>
            <w:tcBorders>
              <w:top w:val="single" w:sz="4" w:space="0" w:color="auto"/>
              <w:left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≤0.05°</w:t>
            </w:r>
          </w:p>
        </w:tc>
      </w:tr>
      <w:tr>
        <w:tblPrEx>
          <w:tblW w:w="7745" w:type="dxa"/>
          <w:jc w:val="center"/>
          <w:tblLayout w:type="fixed"/>
          <w:tblCellMar>
            <w:top w:w="0" w:type="dxa"/>
            <w:left w:w="108" w:type="dxa"/>
            <w:bottom w:w="0" w:type="dxa"/>
            <w:right w:w="108" w:type="dxa"/>
          </w:tblCellMar>
        </w:tblPrEx>
        <w:trPr>
          <w:trHeight w:val="290"/>
          <w:jc w:val="center"/>
        </w:trPr>
        <w:tc>
          <w:tcPr>
            <w:tcW w:w="1988" w:type="dxa"/>
            <w:vMerge/>
            <w:tcBorders>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平面罩</w:t>
            </w:r>
          </w:p>
        </w:tc>
        <w:tc>
          <w:tcPr>
            <w:tcW w:w="4481" w:type="dxa"/>
            <w:tcBorders>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≤0.03°</w:t>
            </w:r>
          </w:p>
        </w:tc>
      </w:tr>
      <w:tr>
        <w:tblPrEx>
          <w:tblW w:w="7745" w:type="dxa"/>
          <w:jc w:val="center"/>
          <w:tblLayout w:type="fixed"/>
          <w:tblCellMar>
            <w:top w:w="0" w:type="dxa"/>
            <w:left w:w="108" w:type="dxa"/>
            <w:bottom w:w="0" w:type="dxa"/>
            <w:right w:w="108" w:type="dxa"/>
          </w:tblCellMar>
        </w:tblPrEx>
        <w:trPr>
          <w:trHeight w:val="395"/>
          <w:jc w:val="center"/>
        </w:trPr>
        <w:tc>
          <w:tcPr>
            <w:tcW w:w="1988" w:type="dxa"/>
            <w:vMerge w:val="restart"/>
            <w:tcBorders>
              <w:top w:val="single" w:sz="4" w:space="0" w:color="auto"/>
              <w:left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引入波束展宽</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球面罩</w:t>
            </w:r>
          </w:p>
        </w:tc>
        <w:tc>
          <w:tcPr>
            <w:tcW w:w="4481" w:type="dxa"/>
            <w:tcBorders>
              <w:top w:val="single" w:sz="4" w:space="0" w:color="auto"/>
              <w:left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≤0.05°</w:t>
            </w:r>
          </w:p>
        </w:tc>
      </w:tr>
      <w:tr>
        <w:tblPrEx>
          <w:tblW w:w="7745" w:type="dxa"/>
          <w:jc w:val="center"/>
          <w:tblLayout w:type="fixed"/>
          <w:tblCellMar>
            <w:top w:w="0" w:type="dxa"/>
            <w:left w:w="108" w:type="dxa"/>
            <w:bottom w:w="0" w:type="dxa"/>
            <w:right w:w="108" w:type="dxa"/>
          </w:tblCellMar>
        </w:tblPrEx>
        <w:trPr>
          <w:trHeight w:val="395"/>
          <w:jc w:val="center"/>
        </w:trPr>
        <w:tc>
          <w:tcPr>
            <w:tcW w:w="1988" w:type="dxa"/>
            <w:vMerge/>
            <w:tcBorders>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平面罩</w:t>
            </w:r>
          </w:p>
        </w:tc>
        <w:tc>
          <w:tcPr>
            <w:tcW w:w="4481" w:type="dxa"/>
            <w:tcBorders>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≤0.03°</w:t>
            </w:r>
          </w:p>
        </w:tc>
      </w:tr>
      <w:tr>
        <w:tblPrEx>
          <w:tblW w:w="7745" w:type="dxa"/>
          <w:jc w:val="center"/>
          <w:tblLayout w:type="fixed"/>
          <w:tblCellMar>
            <w:top w:w="0" w:type="dxa"/>
            <w:left w:w="108" w:type="dxa"/>
            <w:bottom w:w="0" w:type="dxa"/>
            <w:right w:w="108" w:type="dxa"/>
          </w:tblCellMar>
        </w:tblPrEx>
        <w:trPr>
          <w:trHeight w:val="395"/>
          <w:jc w:val="center"/>
        </w:trPr>
        <w:tc>
          <w:tcPr>
            <w:tcW w:w="1988" w:type="dxa"/>
            <w:vMerge w:val="restart"/>
            <w:tcBorders>
              <w:top w:val="single" w:sz="4" w:space="0" w:color="auto"/>
              <w:left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射频损失（双程）</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球面罩</w:t>
            </w:r>
          </w:p>
        </w:tc>
        <w:tc>
          <w:tcPr>
            <w:tcW w:w="4481" w:type="dxa"/>
            <w:tcBorders>
              <w:top w:val="single" w:sz="4" w:space="0" w:color="auto"/>
              <w:left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≤1.2dB</w:t>
            </w:r>
          </w:p>
        </w:tc>
      </w:tr>
      <w:tr>
        <w:tblPrEx>
          <w:tblW w:w="7745" w:type="dxa"/>
          <w:jc w:val="center"/>
          <w:tblLayout w:type="fixed"/>
          <w:tblCellMar>
            <w:top w:w="0" w:type="dxa"/>
            <w:left w:w="108" w:type="dxa"/>
            <w:bottom w:w="0" w:type="dxa"/>
            <w:right w:w="108" w:type="dxa"/>
          </w:tblCellMar>
        </w:tblPrEx>
        <w:trPr>
          <w:trHeight w:val="395"/>
          <w:jc w:val="center"/>
        </w:trPr>
        <w:tc>
          <w:tcPr>
            <w:tcW w:w="1988" w:type="dxa"/>
            <w:vMerge/>
            <w:tcBorders>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平面罩</w:t>
            </w:r>
          </w:p>
        </w:tc>
        <w:tc>
          <w:tcPr>
            <w:tcW w:w="4481" w:type="dxa"/>
            <w:tcBorders>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≤0.6dB</w:t>
            </w:r>
          </w:p>
        </w:tc>
      </w:tr>
      <w:tr>
        <w:tblPrEx>
          <w:tblW w:w="7745" w:type="dxa"/>
          <w:jc w:val="center"/>
          <w:tblLayout w:type="fixed"/>
          <w:tblCellMar>
            <w:top w:w="0" w:type="dxa"/>
            <w:left w:w="108" w:type="dxa"/>
            <w:bottom w:w="0" w:type="dxa"/>
            <w:right w:w="108" w:type="dxa"/>
          </w:tblCellMar>
        </w:tblPrEx>
        <w:trPr>
          <w:trHeight w:val="89"/>
          <w:jc w:val="center"/>
        </w:trPr>
        <w:tc>
          <w:tcPr>
            <w:tcW w:w="3264"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引入交叉极化隔离度影响</w:t>
            </w:r>
          </w:p>
        </w:tc>
        <w:tc>
          <w:tcPr>
            <w:tcW w:w="4481" w:type="dxa"/>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≤1.0dB</w:t>
            </w:r>
          </w:p>
        </w:tc>
      </w:tr>
      <w:tr>
        <w:tblPrEx>
          <w:tblW w:w="7745" w:type="dxa"/>
          <w:jc w:val="center"/>
          <w:tblLayout w:type="fixed"/>
          <w:tblCellMar>
            <w:top w:w="0" w:type="dxa"/>
            <w:left w:w="108" w:type="dxa"/>
            <w:bottom w:w="0" w:type="dxa"/>
            <w:right w:w="108" w:type="dxa"/>
          </w:tblCellMar>
        </w:tblPrEx>
        <w:trPr>
          <w:trHeight w:val="96"/>
          <w:jc w:val="center"/>
        </w:trPr>
        <w:tc>
          <w:tcPr>
            <w:tcW w:w="3264"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引入副瓣影响</w:t>
            </w:r>
          </w:p>
        </w:tc>
        <w:tc>
          <w:tcPr>
            <w:tcW w:w="4481" w:type="dxa"/>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≤3.0dB</w:t>
            </w:r>
          </w:p>
        </w:tc>
      </w:tr>
      <w:tr>
        <w:tblPrEx>
          <w:tblW w:w="7745" w:type="dxa"/>
          <w:jc w:val="center"/>
          <w:tblLayout w:type="fixed"/>
          <w:tblCellMar>
            <w:top w:w="0" w:type="dxa"/>
            <w:left w:w="108" w:type="dxa"/>
            <w:bottom w:w="0" w:type="dxa"/>
            <w:right w:w="108" w:type="dxa"/>
          </w:tblCellMar>
        </w:tblPrEx>
        <w:trPr>
          <w:trHeight w:val="54"/>
          <w:jc w:val="center"/>
        </w:trPr>
        <w:tc>
          <w:tcPr>
            <w:tcW w:w="3264"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抗风能力（阵风）</w:t>
            </w:r>
          </w:p>
        </w:tc>
        <w:tc>
          <w:tcPr>
            <w:tcW w:w="4481" w:type="dxa"/>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17级风不损坏</w:t>
            </w:r>
          </w:p>
        </w:tc>
      </w:tr>
      <w:tr>
        <w:tblPrEx>
          <w:tblW w:w="7745" w:type="dxa"/>
          <w:jc w:val="center"/>
          <w:tblLayout w:type="fixed"/>
          <w:tblCellMar>
            <w:top w:w="0" w:type="dxa"/>
            <w:left w:w="108" w:type="dxa"/>
            <w:bottom w:w="0" w:type="dxa"/>
            <w:right w:w="108" w:type="dxa"/>
          </w:tblCellMar>
        </w:tblPrEx>
        <w:trPr>
          <w:trHeight w:val="54"/>
          <w:jc w:val="center"/>
        </w:trPr>
        <w:tc>
          <w:tcPr>
            <w:tcW w:w="3264" w:type="dxa"/>
            <w:gridSpan w:val="2"/>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疏水层</w:t>
            </w:r>
          </w:p>
        </w:tc>
        <w:tc>
          <w:tcPr>
            <w:tcW w:w="4481" w:type="dxa"/>
            <w:tcBorders>
              <w:top w:val="single" w:sz="4" w:space="0" w:color="auto"/>
              <w:left w:val="single" w:sz="4" w:space="0" w:color="auto"/>
              <w:bottom w:val="single" w:sz="4" w:space="0" w:color="auto"/>
              <w:right w:val="single" w:sz="4" w:space="0" w:color="auto"/>
            </w:tcBorders>
            <w:noWrap w:val="0"/>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接触角＞150°</w:t>
            </w:r>
          </w:p>
        </w:tc>
      </w:tr>
    </w:tbl>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3.3天线技术指标</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天线的技术指标包括：极化方式、波束宽度、交叉极化隔离度等。</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具体指标见表</w:t>
      </w:r>
      <w:r>
        <w:rPr>
          <w:rFonts w:ascii="仿宋" w:eastAsia="仿宋" w:hAnsi="仿宋" w:cs="Times New Roman" w:hint="eastAsia"/>
          <w:sz w:val="28"/>
          <w:szCs w:val="28"/>
          <w:lang w:val="en-US" w:eastAsia="zh-CN"/>
        </w:rPr>
        <w:t>3</w:t>
      </w:r>
      <w:r>
        <w:rPr>
          <w:rFonts w:ascii="仿宋" w:eastAsia="仿宋" w:hAnsi="仿宋" w:cs="Times New Roman" w:hint="eastAsia"/>
          <w:sz w:val="28"/>
          <w:szCs w:val="28"/>
        </w:rPr>
        <w:t>。</w:t>
      </w: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表</w:t>
      </w:r>
      <w:r>
        <w:rPr>
          <w:rFonts w:ascii="Times New Roman" w:eastAsia="方正小标宋简体" w:hAnsi="Times New Roman" w:cs="Times New Roman" w:hint="eastAsia"/>
          <w:sz w:val="28"/>
          <w:szCs w:val="28"/>
          <w:lang w:val="en-US" w:eastAsia="zh-CN"/>
        </w:rPr>
        <w:t>3</w:t>
      </w:r>
      <w:r>
        <w:rPr>
          <w:rFonts w:ascii="Times New Roman" w:eastAsia="方正小标宋简体" w:hAnsi="Times New Roman" w:cs="Times New Roman" w:hint="eastAsia"/>
          <w:sz w:val="28"/>
          <w:szCs w:val="28"/>
        </w:rPr>
        <w:t xml:space="preserve"> 天线技术性能指标表</w:t>
      </w:r>
    </w:p>
    <w:tbl>
      <w:tblPr>
        <w:tblStyle w:val="TableNormal0"/>
        <w:tblW w:w="5011"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3651"/>
        <w:gridCol w:w="5161"/>
      </w:tblGrid>
      <w:tr>
        <w:tblPrEx>
          <w:tblW w:w="5011"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463"/>
        </w:trPr>
        <w:tc>
          <w:tcPr>
            <w:tcW w:w="2071" w:type="pct"/>
            <w:tcBorders>
              <w:tl2br w:val="nil"/>
              <w:tr2bl w:val="nil"/>
            </w:tcBorders>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lang w:eastAsia="en-US"/>
              </w:rPr>
            </w:pPr>
            <w:r>
              <w:rPr>
                <w:rFonts w:ascii="宋体" w:eastAsia="宋体" w:hAnsi="宋体" w:cs="宋体" w:hint="eastAsia"/>
                <w:b/>
                <w:bCs/>
                <w:kern w:val="2"/>
                <w:sz w:val="24"/>
                <w:szCs w:val="24"/>
                <w:lang w:val="en-US" w:eastAsia="en-US" w:bidi="ar-SA"/>
              </w:rPr>
              <w:t>项目</w:t>
            </w:r>
          </w:p>
        </w:tc>
        <w:tc>
          <w:tcPr>
            <w:tcW w:w="2928" w:type="pct"/>
            <w:tcBorders>
              <w:tl2br w:val="nil"/>
              <w:tr2bl w:val="nil"/>
            </w:tcBorders>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lang w:eastAsia="en-US"/>
              </w:rPr>
            </w:pPr>
            <w:r>
              <w:rPr>
                <w:rFonts w:ascii="宋体" w:eastAsia="宋体" w:hAnsi="宋体" w:cs="宋体" w:hint="eastAsia"/>
                <w:b/>
                <w:bCs/>
                <w:kern w:val="2"/>
                <w:sz w:val="24"/>
                <w:szCs w:val="24"/>
                <w:lang w:val="en-US" w:eastAsia="en-US" w:bidi="ar-SA"/>
              </w:rPr>
              <w:t>性能指标</w:t>
            </w:r>
          </w:p>
        </w:tc>
      </w:tr>
      <w:tr>
        <w:tblPrEx>
          <w:tblW w:w="5011" w:type="pct"/>
          <w:tblInd w:w="0" w:type="dxa"/>
          <w:tblCellMar>
            <w:top w:w="0" w:type="dxa"/>
            <w:left w:w="0" w:type="dxa"/>
            <w:bottom w:w="0" w:type="dxa"/>
            <w:right w:w="0" w:type="dxa"/>
          </w:tblCellMar>
        </w:tblPrEx>
        <w:trPr>
          <w:trHeight w:val="595"/>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天线形式</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平面双线偏振相控阵天线</w:t>
            </w:r>
          </w:p>
        </w:tc>
      </w:tr>
      <w:tr>
        <w:tblPrEx>
          <w:tblW w:w="5011" w:type="pct"/>
          <w:tblInd w:w="0" w:type="dxa"/>
          <w:tblCellMar>
            <w:top w:w="0" w:type="dxa"/>
            <w:left w:w="0" w:type="dxa"/>
            <w:bottom w:w="0" w:type="dxa"/>
            <w:right w:w="0" w:type="dxa"/>
          </w:tblCellMar>
        </w:tblPrEx>
        <w:trPr>
          <w:trHeight w:val="618"/>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极化方式</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线性水平、垂直极化</w:t>
            </w:r>
          </w:p>
        </w:tc>
      </w:tr>
      <w:tr>
        <w:tblPrEx>
          <w:tblW w:w="5011" w:type="pct"/>
          <w:tblInd w:w="0" w:type="dxa"/>
          <w:tblCellMar>
            <w:top w:w="0" w:type="dxa"/>
            <w:left w:w="0" w:type="dxa"/>
            <w:bottom w:w="0" w:type="dxa"/>
            <w:right w:w="0" w:type="dxa"/>
          </w:tblCellMar>
        </w:tblPrEx>
        <w:trPr>
          <w:trHeight w:val="804"/>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方位波束宽度（水平极化和垂直极化）</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发射、接收均≤1.8°</w:t>
            </w:r>
          </w:p>
        </w:tc>
      </w:tr>
      <w:tr>
        <w:tblPrEx>
          <w:tblW w:w="5011" w:type="pct"/>
          <w:tblInd w:w="0" w:type="dxa"/>
          <w:tblCellMar>
            <w:top w:w="0" w:type="dxa"/>
            <w:left w:w="0" w:type="dxa"/>
            <w:bottom w:w="0" w:type="dxa"/>
            <w:right w:w="0" w:type="dxa"/>
          </w:tblCellMar>
        </w:tblPrEx>
        <w:trPr>
          <w:trHeight w:val="829"/>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电扫波束宽度（水平极化和垂直极化）</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发射、接收均法向≤1.8°</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偏离法向±20°H面和E面发射、接收均≤1.91°</w:t>
            </w:r>
          </w:p>
        </w:tc>
      </w:tr>
      <w:tr>
        <w:tblPrEx>
          <w:tblW w:w="5011" w:type="pct"/>
          <w:tblInd w:w="0" w:type="dxa"/>
          <w:tblCellMar>
            <w:top w:w="0" w:type="dxa"/>
            <w:left w:w="0" w:type="dxa"/>
            <w:bottom w:w="0" w:type="dxa"/>
            <w:right w:w="0" w:type="dxa"/>
          </w:tblCellMar>
        </w:tblPrEx>
        <w:trPr>
          <w:trHeight w:val="804"/>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发射增益（法向、不含馈线）</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≥38.5dB</w:t>
            </w:r>
          </w:p>
        </w:tc>
      </w:tr>
      <w:tr>
        <w:tblPrEx>
          <w:tblW w:w="5011" w:type="pct"/>
          <w:tblInd w:w="0" w:type="dxa"/>
          <w:tblCellMar>
            <w:top w:w="0" w:type="dxa"/>
            <w:left w:w="0" w:type="dxa"/>
            <w:bottom w:w="0" w:type="dxa"/>
            <w:right w:w="0" w:type="dxa"/>
          </w:tblCellMar>
        </w:tblPrEx>
        <w:trPr>
          <w:trHeight w:val="804"/>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发射增益（偏离法向±20°、不含馈线）</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≥37.5dB</w:t>
            </w:r>
          </w:p>
        </w:tc>
      </w:tr>
      <w:tr>
        <w:tblPrEx>
          <w:tblW w:w="5011" w:type="pct"/>
          <w:tblInd w:w="0" w:type="dxa"/>
          <w:tblCellMar>
            <w:top w:w="0" w:type="dxa"/>
            <w:left w:w="0" w:type="dxa"/>
            <w:bottom w:w="0" w:type="dxa"/>
            <w:right w:w="0" w:type="dxa"/>
          </w:tblCellMar>
        </w:tblPrEx>
        <w:trPr>
          <w:trHeight w:val="805"/>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发射增益（发射4倍波束展宽、不含馈线）</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≥30.5dB</w:t>
            </w:r>
          </w:p>
        </w:tc>
      </w:tr>
      <w:tr>
        <w:tblPrEx>
          <w:tblW w:w="5011" w:type="pct"/>
          <w:tblInd w:w="0" w:type="dxa"/>
          <w:tblCellMar>
            <w:top w:w="0" w:type="dxa"/>
            <w:left w:w="0" w:type="dxa"/>
            <w:bottom w:w="0" w:type="dxa"/>
            <w:right w:w="0" w:type="dxa"/>
          </w:tblCellMar>
        </w:tblPrEx>
        <w:trPr>
          <w:trHeight w:val="805"/>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发射增益（发射8倍波束展宽、不含馈线）</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≥27.5dB</w:t>
            </w:r>
          </w:p>
        </w:tc>
      </w:tr>
      <w:tr>
        <w:tblPrEx>
          <w:tblW w:w="5011" w:type="pct"/>
          <w:tblInd w:w="0" w:type="dxa"/>
          <w:tblCellMar>
            <w:top w:w="0" w:type="dxa"/>
            <w:left w:w="0" w:type="dxa"/>
            <w:bottom w:w="0" w:type="dxa"/>
            <w:right w:w="0" w:type="dxa"/>
          </w:tblCellMar>
        </w:tblPrEx>
        <w:trPr>
          <w:trHeight w:val="805"/>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发射增益波动（发射4倍波束展宽）</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≤1dB</w:t>
            </w:r>
          </w:p>
        </w:tc>
      </w:tr>
      <w:tr>
        <w:tblPrEx>
          <w:tblW w:w="5011" w:type="pct"/>
          <w:tblInd w:w="0" w:type="dxa"/>
          <w:tblCellMar>
            <w:top w:w="0" w:type="dxa"/>
            <w:left w:w="0" w:type="dxa"/>
            <w:bottom w:w="0" w:type="dxa"/>
            <w:right w:w="0" w:type="dxa"/>
          </w:tblCellMar>
        </w:tblPrEx>
        <w:trPr>
          <w:trHeight w:val="805"/>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发射增益波动（发射8倍波束展宽）</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≤2dB</w:t>
            </w:r>
          </w:p>
        </w:tc>
      </w:tr>
      <w:tr>
        <w:tblPrEx>
          <w:tblW w:w="5011" w:type="pct"/>
          <w:tblInd w:w="0" w:type="dxa"/>
          <w:tblCellMar>
            <w:top w:w="0" w:type="dxa"/>
            <w:left w:w="0" w:type="dxa"/>
            <w:bottom w:w="0" w:type="dxa"/>
            <w:right w:w="0" w:type="dxa"/>
          </w:tblCellMar>
        </w:tblPrEx>
        <w:trPr>
          <w:trHeight w:val="805"/>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接收增益（法向、不含馈线）</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≥37.5dB</w:t>
            </w:r>
          </w:p>
        </w:tc>
      </w:tr>
      <w:tr>
        <w:tblPrEx>
          <w:tblW w:w="5011" w:type="pct"/>
          <w:tblInd w:w="0" w:type="dxa"/>
          <w:tblCellMar>
            <w:top w:w="0" w:type="dxa"/>
            <w:left w:w="0" w:type="dxa"/>
            <w:bottom w:w="0" w:type="dxa"/>
            <w:right w:w="0" w:type="dxa"/>
          </w:tblCellMar>
        </w:tblPrEx>
        <w:trPr>
          <w:trHeight w:val="805"/>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接收增益（偏离法向±20°、不含馈线）</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≥36.5dB</w:t>
            </w:r>
          </w:p>
        </w:tc>
      </w:tr>
      <w:tr>
        <w:tblPrEx>
          <w:tblW w:w="5011" w:type="pct"/>
          <w:tblInd w:w="0" w:type="dxa"/>
          <w:tblCellMar>
            <w:top w:w="0" w:type="dxa"/>
            <w:left w:w="0" w:type="dxa"/>
            <w:bottom w:w="0" w:type="dxa"/>
            <w:right w:w="0" w:type="dxa"/>
          </w:tblCellMar>
        </w:tblPrEx>
        <w:trPr>
          <w:trHeight w:val="135"/>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方位方向最大副瓣电平</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发射、接收均≤-30dB</w:t>
            </w:r>
          </w:p>
        </w:tc>
      </w:tr>
      <w:tr>
        <w:tblPrEx>
          <w:tblW w:w="5011" w:type="pct"/>
          <w:tblInd w:w="0" w:type="dxa"/>
          <w:tblCellMar>
            <w:top w:w="0" w:type="dxa"/>
            <w:left w:w="0" w:type="dxa"/>
            <w:bottom w:w="0" w:type="dxa"/>
            <w:right w:w="0" w:type="dxa"/>
          </w:tblCellMar>
        </w:tblPrEx>
        <w:trPr>
          <w:trHeight w:val="917"/>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交叉极化隔离度</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发射、接收均满足且偏离法向±10°≥35dB</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发射、接收均满足且偏离法向±10°～±20°≥33dB</w:t>
            </w:r>
          </w:p>
        </w:tc>
      </w:tr>
      <w:tr>
        <w:tblPrEx>
          <w:tblW w:w="5011" w:type="pct"/>
          <w:tblInd w:w="0" w:type="dxa"/>
          <w:tblCellMar>
            <w:top w:w="0" w:type="dxa"/>
            <w:left w:w="0" w:type="dxa"/>
            <w:bottom w:w="0" w:type="dxa"/>
            <w:right w:w="0" w:type="dxa"/>
          </w:tblCellMar>
        </w:tblPrEx>
        <w:trPr>
          <w:trHeight w:val="289"/>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双极化波束宽度差异</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H面和E面发射、接收均≤波束宽度*5%</w:t>
            </w:r>
          </w:p>
        </w:tc>
      </w:tr>
      <w:tr>
        <w:tblPrEx>
          <w:tblW w:w="5011" w:type="pct"/>
          <w:tblInd w:w="0" w:type="dxa"/>
          <w:tblCellMar>
            <w:top w:w="0" w:type="dxa"/>
            <w:left w:w="0" w:type="dxa"/>
            <w:bottom w:w="0" w:type="dxa"/>
            <w:right w:w="0" w:type="dxa"/>
          </w:tblCellMar>
        </w:tblPrEx>
        <w:trPr>
          <w:trHeight w:val="594"/>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双极化波束指向一致性</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发射、接收均≤波束宽度*5%</w:t>
            </w:r>
          </w:p>
        </w:tc>
      </w:tr>
      <w:tr>
        <w:tblPrEx>
          <w:tblW w:w="5011" w:type="pct"/>
          <w:tblInd w:w="0" w:type="dxa"/>
          <w:tblCellMar>
            <w:top w:w="0" w:type="dxa"/>
            <w:left w:w="0" w:type="dxa"/>
            <w:bottom w:w="0" w:type="dxa"/>
            <w:right w:w="0" w:type="dxa"/>
          </w:tblCellMar>
        </w:tblPrEx>
        <w:trPr>
          <w:trHeight w:val="404"/>
        </w:trPr>
        <w:tc>
          <w:tcPr>
            <w:tcW w:w="2071"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驻波比</w:t>
            </w:r>
          </w:p>
        </w:tc>
        <w:tc>
          <w:tcPr>
            <w:tcW w:w="2928"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≤1.5</w:t>
            </w:r>
          </w:p>
        </w:tc>
      </w:tr>
    </w:tbl>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bookmarkStart w:id="66" w:name="bookmark21"/>
      <w:bookmarkEnd w:id="66"/>
      <w:r>
        <w:rPr>
          <w:rFonts w:ascii="仿宋" w:eastAsia="仿宋" w:hAnsi="仿宋" w:cs="仿宋" w:hint="eastAsia"/>
          <w:kern w:val="2"/>
          <w:sz w:val="28"/>
          <w:szCs w:val="28"/>
          <w:lang w:val="en-US" w:eastAsia="zh-CN" w:bidi="ar-SA"/>
        </w:rPr>
        <w:t>3.4天线阵面和伺服系统技术指标</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天线阵面和伺服系统的技术指标包括：扫描方式、天线扫描范围、扫描速度、波束指向误差、伺服控制误差等。具体指标见下表。具体指标见表</w:t>
      </w:r>
      <w:r>
        <w:rPr>
          <w:rFonts w:ascii="仿宋" w:eastAsia="仿宋" w:hAnsi="仿宋" w:cs="Times New Roman" w:hint="eastAsia"/>
          <w:sz w:val="28"/>
          <w:szCs w:val="28"/>
          <w:lang w:val="en-US" w:eastAsia="zh-CN"/>
        </w:rPr>
        <w:t>4</w:t>
      </w:r>
      <w:r>
        <w:rPr>
          <w:rFonts w:ascii="仿宋" w:eastAsia="仿宋" w:hAnsi="仿宋" w:cs="Times New Roman" w:hint="eastAsia"/>
          <w:sz w:val="28"/>
          <w:szCs w:val="28"/>
        </w:rPr>
        <w:t>。</w:t>
      </w: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表</w:t>
      </w:r>
      <w:r>
        <w:rPr>
          <w:rFonts w:ascii="Times New Roman" w:eastAsia="方正小标宋简体" w:hAnsi="Times New Roman" w:cs="Times New Roman" w:hint="eastAsia"/>
          <w:sz w:val="28"/>
          <w:szCs w:val="28"/>
          <w:lang w:val="en-US" w:eastAsia="zh-CN"/>
        </w:rPr>
        <w:t>4</w:t>
      </w:r>
      <w:r>
        <w:rPr>
          <w:rFonts w:ascii="Times New Roman" w:eastAsia="方正小标宋简体" w:hAnsi="Times New Roman" w:cs="Times New Roman" w:hint="eastAsia"/>
          <w:sz w:val="28"/>
          <w:szCs w:val="28"/>
        </w:rPr>
        <w:t xml:space="preserve"> 天线阵面和伺服系统技术性能指标表</w:t>
      </w:r>
    </w:p>
    <w:tbl>
      <w:tblPr>
        <w:tblStyle w:val="TableNormal0"/>
        <w:tblW w:w="4999"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2284"/>
        <w:gridCol w:w="1774"/>
        <w:gridCol w:w="4733"/>
      </w:tblGrid>
      <w:tr>
        <w:tblPrEx>
          <w:tblW w:w="4999"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409"/>
        </w:trPr>
        <w:tc>
          <w:tcPr>
            <w:tcW w:w="2308" w:type="pct"/>
            <w:gridSpan w:val="2"/>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lang w:eastAsia="en-US"/>
              </w:rPr>
            </w:pPr>
            <w:r>
              <w:rPr>
                <w:rFonts w:ascii="宋体" w:eastAsia="宋体" w:hAnsi="宋体" w:cs="宋体" w:hint="eastAsia"/>
                <w:b/>
                <w:bCs/>
                <w:kern w:val="2"/>
                <w:sz w:val="24"/>
                <w:szCs w:val="24"/>
                <w:lang w:val="en-US" w:eastAsia="en-US" w:bidi="ar-SA"/>
              </w:rPr>
              <w:t>项目</w:t>
            </w:r>
          </w:p>
        </w:tc>
        <w:tc>
          <w:tcPr>
            <w:tcW w:w="2691"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lang w:eastAsia="en-US"/>
              </w:rPr>
            </w:pPr>
            <w:r>
              <w:rPr>
                <w:rFonts w:ascii="宋体" w:eastAsia="宋体" w:hAnsi="宋体" w:cs="宋体" w:hint="eastAsia"/>
                <w:b/>
                <w:bCs/>
                <w:kern w:val="2"/>
                <w:sz w:val="24"/>
                <w:szCs w:val="24"/>
                <w:lang w:val="en-US" w:eastAsia="en-US" w:bidi="ar-SA"/>
              </w:rPr>
              <w:t>性能指标</w:t>
            </w:r>
          </w:p>
        </w:tc>
      </w:tr>
      <w:tr>
        <w:tblPrEx>
          <w:tblW w:w="4999" w:type="pct"/>
          <w:tblInd w:w="0" w:type="dxa"/>
          <w:tblCellMar>
            <w:top w:w="0" w:type="dxa"/>
            <w:left w:w="0" w:type="dxa"/>
            <w:bottom w:w="0" w:type="dxa"/>
            <w:right w:w="0" w:type="dxa"/>
          </w:tblCellMar>
        </w:tblPrEx>
        <w:trPr>
          <w:trHeight w:val="804"/>
        </w:trPr>
        <w:tc>
          <w:tcPr>
            <w:tcW w:w="2308" w:type="pct"/>
            <w:gridSpan w:val="2"/>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波束扫描方式</w:t>
            </w:r>
          </w:p>
        </w:tc>
        <w:tc>
          <w:tcPr>
            <w:tcW w:w="2691"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szCs w:val="24"/>
              </w:rPr>
              <w:t>平面位置扫描、体积扫描、扇形扫描、定点扫描、用户自定义</w:t>
            </w:r>
          </w:p>
        </w:tc>
      </w:tr>
      <w:tr>
        <w:tblPrEx>
          <w:tblW w:w="4999" w:type="pct"/>
          <w:tblInd w:w="0" w:type="dxa"/>
          <w:tblCellMar>
            <w:top w:w="0" w:type="dxa"/>
            <w:left w:w="0" w:type="dxa"/>
            <w:bottom w:w="0" w:type="dxa"/>
            <w:right w:w="0" w:type="dxa"/>
          </w:tblCellMar>
        </w:tblPrEx>
        <w:trPr>
          <w:trHeight w:val="404"/>
        </w:trPr>
        <w:tc>
          <w:tcPr>
            <w:tcW w:w="1299" w:type="pct"/>
            <w:vMerge w:val="restart"/>
            <w:tcBorders>
              <w:bottom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波束扫描范围</w:t>
            </w:r>
          </w:p>
        </w:tc>
        <w:tc>
          <w:tcPr>
            <w:tcW w:w="1008"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方位机械扫描</w:t>
            </w:r>
          </w:p>
        </w:tc>
        <w:tc>
          <w:tcPr>
            <w:tcW w:w="2691"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0～360°连续扫描</w:t>
            </w:r>
          </w:p>
        </w:tc>
      </w:tr>
      <w:tr>
        <w:tblPrEx>
          <w:tblW w:w="4999" w:type="pct"/>
          <w:tblInd w:w="0" w:type="dxa"/>
          <w:tblCellMar>
            <w:top w:w="0" w:type="dxa"/>
            <w:left w:w="0" w:type="dxa"/>
            <w:bottom w:w="0" w:type="dxa"/>
            <w:right w:w="0" w:type="dxa"/>
          </w:tblCellMar>
        </w:tblPrEx>
        <w:trPr>
          <w:trHeight w:val="404"/>
        </w:trPr>
        <w:tc>
          <w:tcPr>
            <w:tcW w:w="1299" w:type="pct"/>
            <w:vMerge/>
            <w:tcBorders>
              <w:top w:val="nil"/>
              <w:bottom w:val="nil"/>
            </w:tcBorders>
            <w:vAlign w:val="center"/>
          </w:tcPr>
          <w:p>
            <w:pPr>
              <w:widowControl/>
              <w:adjustRightInd w:val="0"/>
              <w:snapToGrid w:val="0"/>
              <w:spacing w:line="400" w:lineRule="exact"/>
              <w:jc w:val="left"/>
              <w:rPr>
                <w:rFonts w:ascii="宋体" w:eastAsia="宋体" w:hAnsi="宋体" w:cs="宋体" w:hint="eastAsia"/>
              </w:rPr>
            </w:pPr>
          </w:p>
        </w:tc>
        <w:tc>
          <w:tcPr>
            <w:tcW w:w="1008"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俯仰电子扫描</w:t>
            </w:r>
          </w:p>
        </w:tc>
        <w:tc>
          <w:tcPr>
            <w:tcW w:w="2691"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-2～+60°</w:t>
            </w:r>
          </w:p>
        </w:tc>
      </w:tr>
      <w:tr>
        <w:tblPrEx>
          <w:tblW w:w="4999" w:type="pct"/>
          <w:tblInd w:w="0" w:type="dxa"/>
          <w:tblCellMar>
            <w:top w:w="0" w:type="dxa"/>
            <w:left w:w="0" w:type="dxa"/>
            <w:bottom w:w="0" w:type="dxa"/>
            <w:right w:w="0" w:type="dxa"/>
          </w:tblCellMar>
        </w:tblPrEx>
        <w:trPr>
          <w:trHeight w:val="404"/>
        </w:trPr>
        <w:tc>
          <w:tcPr>
            <w:tcW w:w="1299" w:type="pct"/>
            <w:vMerge/>
            <w:tcBorders>
              <w:top w:val="nil"/>
            </w:tcBorders>
            <w:vAlign w:val="center"/>
          </w:tcPr>
          <w:p>
            <w:pPr>
              <w:widowControl/>
              <w:adjustRightInd w:val="0"/>
              <w:snapToGrid w:val="0"/>
              <w:spacing w:line="400" w:lineRule="exact"/>
              <w:jc w:val="left"/>
              <w:rPr>
                <w:rFonts w:ascii="宋体" w:eastAsia="宋体" w:hAnsi="宋体" w:cs="宋体" w:hint="eastAsia"/>
              </w:rPr>
            </w:pPr>
          </w:p>
        </w:tc>
        <w:tc>
          <w:tcPr>
            <w:tcW w:w="1008"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俯仰机械调整</w:t>
            </w:r>
          </w:p>
        </w:tc>
        <w:tc>
          <w:tcPr>
            <w:tcW w:w="2691"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天线阵面法向0～+90°</w:t>
            </w:r>
          </w:p>
        </w:tc>
      </w:tr>
      <w:tr>
        <w:tblPrEx>
          <w:tblW w:w="4999" w:type="pct"/>
          <w:tblInd w:w="0" w:type="dxa"/>
          <w:tblCellMar>
            <w:top w:w="0" w:type="dxa"/>
            <w:left w:w="0" w:type="dxa"/>
            <w:bottom w:w="0" w:type="dxa"/>
            <w:right w:w="0" w:type="dxa"/>
          </w:tblCellMar>
        </w:tblPrEx>
        <w:trPr>
          <w:trHeight w:val="405"/>
        </w:trPr>
        <w:tc>
          <w:tcPr>
            <w:tcW w:w="1299"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天线阵面扫描速度</w:t>
            </w:r>
          </w:p>
        </w:tc>
        <w:tc>
          <w:tcPr>
            <w:tcW w:w="1008"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方位</w:t>
            </w:r>
          </w:p>
        </w:tc>
        <w:tc>
          <w:tcPr>
            <w:tcW w:w="2691"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0～36°/s，≥6°/s时误差不大于5%</w:t>
            </w:r>
          </w:p>
        </w:tc>
      </w:tr>
      <w:tr>
        <w:tblPrEx>
          <w:tblW w:w="4999" w:type="pct"/>
          <w:tblInd w:w="0" w:type="dxa"/>
          <w:tblCellMar>
            <w:top w:w="0" w:type="dxa"/>
            <w:left w:w="0" w:type="dxa"/>
            <w:bottom w:w="0" w:type="dxa"/>
            <w:right w:w="0" w:type="dxa"/>
          </w:tblCellMar>
        </w:tblPrEx>
        <w:trPr>
          <w:trHeight w:val="405"/>
        </w:trPr>
        <w:tc>
          <w:tcPr>
            <w:tcW w:w="1299" w:type="pct"/>
            <w:vMerge w:val="restart"/>
            <w:tcBorders>
              <w:bottom w:val="nil"/>
            </w:tcBorders>
            <w:vAlign w:val="center"/>
          </w:tcPr>
          <w:p>
            <w:pPr>
              <w:widowControl/>
              <w:kinsoku w:val="0"/>
              <w:autoSpaceDE w:val="0"/>
              <w:autoSpaceDN w:val="0"/>
              <w:adjustRightInd w:val="0"/>
              <w:snapToGrid w:val="0"/>
              <w:spacing w:line="360" w:lineRule="auto"/>
              <w:ind w:left="105" w:leftChars="50"/>
              <w:textAlignment w:val="baseline"/>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波束指向误差</w:t>
            </w:r>
          </w:p>
        </w:tc>
        <w:tc>
          <w:tcPr>
            <w:tcW w:w="1008"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方位</w:t>
            </w:r>
          </w:p>
        </w:tc>
        <w:tc>
          <w:tcPr>
            <w:tcW w:w="2691"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≤0.05°</w:t>
            </w:r>
          </w:p>
        </w:tc>
      </w:tr>
      <w:tr>
        <w:tblPrEx>
          <w:tblW w:w="4999" w:type="pct"/>
          <w:tblInd w:w="0" w:type="dxa"/>
          <w:tblCellMar>
            <w:top w:w="0" w:type="dxa"/>
            <w:left w:w="0" w:type="dxa"/>
            <w:bottom w:w="0" w:type="dxa"/>
            <w:right w:w="0" w:type="dxa"/>
          </w:tblCellMar>
        </w:tblPrEx>
        <w:trPr>
          <w:trHeight w:val="405"/>
        </w:trPr>
        <w:tc>
          <w:tcPr>
            <w:tcW w:w="1299" w:type="pct"/>
            <w:vMerge/>
            <w:tcBorders>
              <w:top w:val="nil"/>
            </w:tcBorders>
            <w:vAlign w:val="center"/>
          </w:tcPr>
          <w:p>
            <w:pPr>
              <w:widowControl/>
              <w:kinsoku w:val="0"/>
              <w:autoSpaceDE w:val="0"/>
              <w:autoSpaceDN w:val="0"/>
              <w:adjustRightInd w:val="0"/>
              <w:snapToGrid w:val="0"/>
              <w:spacing w:line="360" w:lineRule="auto"/>
              <w:ind w:left="105" w:leftChars="50"/>
              <w:textAlignment w:val="baseline"/>
              <w:rPr>
                <w:rFonts w:ascii="宋体" w:eastAsia="宋体" w:hAnsi="宋体" w:cs="宋体" w:hint="eastAsia"/>
              </w:rPr>
            </w:pPr>
          </w:p>
        </w:tc>
        <w:tc>
          <w:tcPr>
            <w:tcW w:w="1008"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俯仰</w:t>
            </w:r>
          </w:p>
        </w:tc>
        <w:tc>
          <w:tcPr>
            <w:tcW w:w="2691"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≤0.05°</w:t>
            </w:r>
          </w:p>
        </w:tc>
      </w:tr>
      <w:tr>
        <w:tblPrEx>
          <w:tblW w:w="4999" w:type="pct"/>
          <w:tblInd w:w="0" w:type="dxa"/>
          <w:tblCellMar>
            <w:top w:w="0" w:type="dxa"/>
            <w:left w:w="0" w:type="dxa"/>
            <w:bottom w:w="0" w:type="dxa"/>
            <w:right w:w="0" w:type="dxa"/>
          </w:tblCellMar>
        </w:tblPrEx>
        <w:trPr>
          <w:trHeight w:val="405"/>
        </w:trPr>
        <w:tc>
          <w:tcPr>
            <w:tcW w:w="1299"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伺服控制误差</w:t>
            </w:r>
          </w:p>
        </w:tc>
        <w:tc>
          <w:tcPr>
            <w:tcW w:w="1008"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方位</w:t>
            </w:r>
          </w:p>
        </w:tc>
        <w:tc>
          <w:tcPr>
            <w:tcW w:w="2691"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≤0.05°</w:t>
            </w:r>
          </w:p>
        </w:tc>
      </w:tr>
      <w:tr>
        <w:tblPrEx>
          <w:tblW w:w="4999" w:type="pct"/>
          <w:tblInd w:w="0" w:type="dxa"/>
          <w:tblCellMar>
            <w:top w:w="0" w:type="dxa"/>
            <w:left w:w="0" w:type="dxa"/>
            <w:bottom w:w="0" w:type="dxa"/>
            <w:right w:w="0" w:type="dxa"/>
          </w:tblCellMar>
        </w:tblPrEx>
        <w:trPr>
          <w:trHeight w:val="405"/>
        </w:trPr>
        <w:tc>
          <w:tcPr>
            <w:tcW w:w="2308" w:type="pct"/>
            <w:gridSpan w:val="2"/>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天线座水平度</w:t>
            </w:r>
          </w:p>
        </w:tc>
        <w:tc>
          <w:tcPr>
            <w:tcW w:w="2691"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≤30″</w:t>
            </w:r>
          </w:p>
        </w:tc>
      </w:tr>
      <w:tr>
        <w:tblPrEx>
          <w:tblW w:w="4999" w:type="pct"/>
          <w:tblInd w:w="0" w:type="dxa"/>
          <w:tblCellMar>
            <w:top w:w="0" w:type="dxa"/>
            <w:left w:w="0" w:type="dxa"/>
            <w:bottom w:w="0" w:type="dxa"/>
            <w:right w:w="0" w:type="dxa"/>
          </w:tblCellMar>
        </w:tblPrEx>
        <w:trPr>
          <w:trHeight w:val="405"/>
        </w:trPr>
        <w:tc>
          <w:tcPr>
            <w:tcW w:w="2308" w:type="pct"/>
            <w:gridSpan w:val="2"/>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天线阵面控制字长</w:t>
            </w:r>
          </w:p>
        </w:tc>
        <w:tc>
          <w:tcPr>
            <w:tcW w:w="2691"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≥16位</w:t>
            </w:r>
          </w:p>
        </w:tc>
      </w:tr>
      <w:tr>
        <w:tblPrEx>
          <w:tblW w:w="4999" w:type="pct"/>
          <w:tblInd w:w="0" w:type="dxa"/>
          <w:tblCellMar>
            <w:top w:w="0" w:type="dxa"/>
            <w:left w:w="0" w:type="dxa"/>
            <w:bottom w:w="0" w:type="dxa"/>
            <w:right w:w="0" w:type="dxa"/>
          </w:tblCellMar>
        </w:tblPrEx>
        <w:trPr>
          <w:trHeight w:val="405"/>
        </w:trPr>
        <w:tc>
          <w:tcPr>
            <w:tcW w:w="2308" w:type="pct"/>
            <w:gridSpan w:val="2"/>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角度编码器字长</w:t>
            </w:r>
          </w:p>
        </w:tc>
        <w:tc>
          <w:tcPr>
            <w:tcW w:w="2691"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≥16位</w:t>
            </w:r>
          </w:p>
        </w:tc>
      </w:tr>
      <w:tr>
        <w:tblPrEx>
          <w:tblW w:w="4999" w:type="pct"/>
          <w:tblInd w:w="0" w:type="dxa"/>
          <w:tblCellMar>
            <w:top w:w="0" w:type="dxa"/>
            <w:left w:w="0" w:type="dxa"/>
            <w:bottom w:w="0" w:type="dxa"/>
            <w:right w:w="0" w:type="dxa"/>
          </w:tblCellMar>
        </w:tblPrEx>
        <w:trPr>
          <w:trHeight w:val="542"/>
        </w:trPr>
        <w:tc>
          <w:tcPr>
            <w:tcW w:w="2308" w:type="pct"/>
            <w:gridSpan w:val="2"/>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安全与保护</w:t>
            </w:r>
          </w:p>
        </w:tc>
        <w:tc>
          <w:tcPr>
            <w:tcW w:w="2691" w:type="pct"/>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天线阵面应设有辅助支撑锁定机构，以保证其在运输架设时的安全性和稳定性。天线阵面的方位和俯仰运转系统中应具有安全保护措施并具备锁定功能。</w:t>
            </w:r>
          </w:p>
        </w:tc>
      </w:tr>
    </w:tbl>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bookmarkStart w:id="67" w:name="bookmark22"/>
      <w:bookmarkEnd w:id="67"/>
      <w:r>
        <w:rPr>
          <w:rFonts w:ascii="仿宋" w:eastAsia="仿宋" w:hAnsi="仿宋" w:cs="仿宋" w:hint="eastAsia"/>
          <w:kern w:val="2"/>
          <w:sz w:val="28"/>
          <w:szCs w:val="28"/>
          <w:lang w:val="en-US" w:eastAsia="zh-CN" w:bidi="ar-SA"/>
        </w:rPr>
        <w:t>3.5数字收发单元技术指标</w:t>
      </w:r>
    </w:p>
    <w:p>
      <w:pPr>
        <w:keepNext w:val="0"/>
        <w:keepLines w:val="0"/>
        <w:pageBreakBefore w:val="0"/>
        <w:widowControl w:val="0"/>
        <w:tabs>
          <w:tab w:val="left" w:pos="2340"/>
        </w:tabs>
        <w:kinsoku/>
        <w:wordWrap/>
        <w:overflowPunct/>
        <w:topLinePunct w:val="0"/>
        <w:autoSpaceDE/>
        <w:autoSpaceDN/>
        <w:bidi w:val="0"/>
        <w:adjustRightInd/>
        <w:snapToGrid/>
        <w:spacing w:line="240" w:lineRule="auto"/>
        <w:ind w:firstLine="482"/>
        <w:textAlignment w:val="auto"/>
        <w:rPr>
          <w:rFonts w:ascii="仿宋" w:eastAsia="仿宋" w:hAnsi="仿宋" w:cs="仿宋" w:hint="eastAsia"/>
          <w:bCs/>
          <w:sz w:val="28"/>
          <w:szCs w:val="28"/>
        </w:rPr>
      </w:pPr>
      <w:r>
        <w:rPr>
          <w:rFonts w:ascii="仿宋" w:eastAsia="仿宋" w:hAnsi="仿宋" w:cs="仿宋" w:hint="eastAsia"/>
          <w:bCs/>
          <w:sz w:val="28"/>
          <w:szCs w:val="28"/>
        </w:rPr>
        <w:t>（1）发射单元技术指标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主要包括：EIRP、脉冲峰值总功率、脉冲宽度、重复频率、改善因子、频谱特性等，具体指标见表</w:t>
      </w:r>
      <w:r>
        <w:rPr>
          <w:rFonts w:ascii="仿宋" w:eastAsia="仿宋" w:hAnsi="仿宋" w:hint="eastAsia"/>
          <w:sz w:val="28"/>
          <w:szCs w:val="28"/>
          <w:lang w:val="en-US" w:eastAsia="zh-CN"/>
        </w:rPr>
        <w:t>5</w:t>
      </w:r>
      <w:r>
        <w:rPr>
          <w:rFonts w:ascii="仿宋" w:eastAsia="仿宋" w:hAnsi="仿宋" w:hint="eastAsia"/>
          <w:sz w:val="28"/>
          <w:szCs w:val="28"/>
        </w:rPr>
        <w:t>。</w:t>
      </w: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表</w:t>
      </w:r>
      <w:r>
        <w:rPr>
          <w:rFonts w:ascii="Times New Roman" w:eastAsia="方正小标宋简体" w:hAnsi="Times New Roman" w:cs="Times New Roman" w:hint="eastAsia"/>
          <w:sz w:val="28"/>
          <w:szCs w:val="28"/>
          <w:lang w:val="en-US" w:eastAsia="zh-CN"/>
        </w:rPr>
        <w:t xml:space="preserve">5 </w:t>
      </w:r>
      <w:r>
        <w:rPr>
          <w:rFonts w:ascii="Times New Roman" w:eastAsia="方正小标宋简体" w:hAnsi="Times New Roman" w:cs="Times New Roman" w:hint="eastAsia"/>
          <w:sz w:val="28"/>
          <w:szCs w:val="28"/>
        </w:rPr>
        <w:t>发射单元技术性能指标表</w:t>
      </w:r>
    </w:p>
    <w:tbl>
      <w:tblPr>
        <w:tblStyle w:val="TableNormal0"/>
        <w:tblW w:w="5014"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2118"/>
        <w:gridCol w:w="2193"/>
        <w:gridCol w:w="4507"/>
      </w:tblGrid>
      <w:tr>
        <w:tblPrEx>
          <w:tblW w:w="5014"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520"/>
        </w:trPr>
        <w:tc>
          <w:tcPr>
            <w:tcW w:w="2444" w:type="pct"/>
            <w:gridSpan w:val="2"/>
            <w:tcBorders>
              <w:tl2br w:val="nil"/>
              <w:tr2bl w:val="nil"/>
            </w:tcBorders>
            <w:vAlign w:val="center"/>
          </w:tcPr>
          <w:p>
            <w:pPr>
              <w:spacing w:line="380" w:lineRule="exact"/>
              <w:jc w:val="center"/>
              <w:rPr>
                <w:rFonts w:ascii="宋体" w:eastAsia="宋体" w:hAnsi="宋体" w:cs="宋体" w:hint="eastAsia"/>
                <w:b/>
                <w:bCs/>
                <w:lang w:eastAsia="en-US"/>
              </w:rPr>
            </w:pPr>
            <w:r>
              <w:rPr>
                <w:rFonts w:ascii="宋体" w:eastAsia="宋体" w:hAnsi="宋体" w:cs="宋体" w:hint="eastAsia"/>
                <w:b/>
                <w:bCs/>
                <w:sz w:val="24"/>
                <w:lang w:val="en-US" w:eastAsia="en-US"/>
              </w:rPr>
              <w:t>项目</w:t>
            </w:r>
          </w:p>
        </w:tc>
        <w:tc>
          <w:tcPr>
            <w:tcW w:w="2555" w:type="pct"/>
            <w:tcBorders>
              <w:tl2br w:val="nil"/>
              <w:tr2bl w:val="nil"/>
            </w:tcBorders>
            <w:vAlign w:val="center"/>
          </w:tcPr>
          <w:p>
            <w:pPr>
              <w:spacing w:line="380" w:lineRule="exact"/>
              <w:jc w:val="center"/>
              <w:rPr>
                <w:rFonts w:ascii="宋体" w:eastAsia="宋体" w:hAnsi="宋体" w:cs="宋体" w:hint="eastAsia"/>
                <w:b/>
                <w:bCs/>
                <w:lang w:eastAsia="en-US"/>
              </w:rPr>
            </w:pPr>
            <w:r>
              <w:rPr>
                <w:rFonts w:ascii="宋体" w:eastAsia="宋体" w:hAnsi="宋体" w:cs="宋体" w:hint="eastAsia"/>
                <w:b/>
                <w:bCs/>
                <w:sz w:val="24"/>
                <w:lang w:val="en-US" w:eastAsia="en-US"/>
              </w:rPr>
              <w:t>性能指标</w:t>
            </w:r>
          </w:p>
        </w:tc>
      </w:tr>
      <w:tr>
        <w:tblPrEx>
          <w:tblW w:w="5014" w:type="pct"/>
          <w:tblInd w:w="0" w:type="dxa"/>
          <w:tblCellMar>
            <w:top w:w="0" w:type="dxa"/>
            <w:left w:w="0" w:type="dxa"/>
            <w:bottom w:w="0" w:type="dxa"/>
            <w:right w:w="0" w:type="dxa"/>
          </w:tblCellMar>
        </w:tblPrEx>
        <w:trPr>
          <w:trHeight w:val="638"/>
        </w:trPr>
        <w:tc>
          <w:tcPr>
            <w:tcW w:w="2444"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发射通道形式</w:t>
            </w:r>
          </w:p>
        </w:tc>
        <w:tc>
          <w:tcPr>
            <w:tcW w:w="2555"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全固态分布式</w:t>
            </w:r>
          </w:p>
        </w:tc>
      </w:tr>
      <w:tr>
        <w:tblPrEx>
          <w:tblW w:w="5014" w:type="pct"/>
          <w:tblInd w:w="0" w:type="dxa"/>
          <w:tblCellMar>
            <w:top w:w="0" w:type="dxa"/>
            <w:left w:w="0" w:type="dxa"/>
            <w:bottom w:w="0" w:type="dxa"/>
            <w:right w:w="0" w:type="dxa"/>
          </w:tblCellMar>
        </w:tblPrEx>
        <w:trPr>
          <w:trHeight w:val="638"/>
        </w:trPr>
        <w:tc>
          <w:tcPr>
            <w:tcW w:w="2444"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脉冲峰值功率（单极化）</w:t>
            </w:r>
          </w:p>
        </w:tc>
        <w:tc>
          <w:tcPr>
            <w:tcW w:w="2555"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≥1000W</w:t>
            </w:r>
          </w:p>
        </w:tc>
      </w:tr>
      <w:tr>
        <w:tblPrEx>
          <w:tblW w:w="5014" w:type="pct"/>
          <w:tblInd w:w="0" w:type="dxa"/>
          <w:tblCellMar>
            <w:top w:w="0" w:type="dxa"/>
            <w:left w:w="0" w:type="dxa"/>
            <w:bottom w:w="0" w:type="dxa"/>
            <w:right w:w="0" w:type="dxa"/>
          </w:tblCellMar>
        </w:tblPrEx>
        <w:trPr>
          <w:trHeight w:val="405"/>
        </w:trPr>
        <w:tc>
          <w:tcPr>
            <w:tcW w:w="2444"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EIRP（法向、单极化）</w:t>
            </w:r>
          </w:p>
        </w:tc>
        <w:tc>
          <w:tcPr>
            <w:tcW w:w="2555"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≥96.5dBm</w:t>
            </w:r>
          </w:p>
        </w:tc>
      </w:tr>
      <w:tr>
        <w:tblPrEx>
          <w:tblW w:w="5014" w:type="pct"/>
          <w:tblInd w:w="0" w:type="dxa"/>
          <w:tblCellMar>
            <w:top w:w="0" w:type="dxa"/>
            <w:left w:w="0" w:type="dxa"/>
            <w:bottom w:w="0" w:type="dxa"/>
            <w:right w:w="0" w:type="dxa"/>
          </w:tblCellMar>
        </w:tblPrEx>
        <w:trPr>
          <w:trHeight w:val="405"/>
        </w:trPr>
        <w:tc>
          <w:tcPr>
            <w:tcW w:w="2444"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EIRP(±20°、单极化)</w:t>
            </w:r>
          </w:p>
        </w:tc>
        <w:tc>
          <w:tcPr>
            <w:tcW w:w="2555"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≥95.5dBm</w:t>
            </w:r>
          </w:p>
        </w:tc>
      </w:tr>
      <w:tr>
        <w:tblPrEx>
          <w:tblW w:w="5014" w:type="pct"/>
          <w:tblInd w:w="0" w:type="dxa"/>
          <w:tblCellMar>
            <w:top w:w="0" w:type="dxa"/>
            <w:left w:w="0" w:type="dxa"/>
            <w:bottom w:w="0" w:type="dxa"/>
            <w:right w:w="0" w:type="dxa"/>
          </w:tblCellMar>
        </w:tblPrEx>
        <w:trPr>
          <w:trHeight w:val="405"/>
        </w:trPr>
        <w:tc>
          <w:tcPr>
            <w:tcW w:w="2444"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EIRP（4倍波束展宽、单极化）</w:t>
            </w:r>
          </w:p>
        </w:tc>
        <w:tc>
          <w:tcPr>
            <w:tcW w:w="2555"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≥88.5dBm</w:t>
            </w:r>
          </w:p>
        </w:tc>
      </w:tr>
      <w:tr>
        <w:tblPrEx>
          <w:tblW w:w="5014" w:type="pct"/>
          <w:tblInd w:w="0" w:type="dxa"/>
          <w:tblCellMar>
            <w:top w:w="0" w:type="dxa"/>
            <w:left w:w="0" w:type="dxa"/>
            <w:bottom w:w="0" w:type="dxa"/>
            <w:right w:w="0" w:type="dxa"/>
          </w:tblCellMar>
        </w:tblPrEx>
        <w:trPr>
          <w:trHeight w:val="405"/>
        </w:trPr>
        <w:tc>
          <w:tcPr>
            <w:tcW w:w="2444"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EIRP（8倍波束展宽、单极化）</w:t>
            </w:r>
          </w:p>
        </w:tc>
        <w:tc>
          <w:tcPr>
            <w:tcW w:w="2555"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≥85.5dBm</w:t>
            </w:r>
          </w:p>
        </w:tc>
      </w:tr>
      <w:tr>
        <w:tblPrEx>
          <w:tblW w:w="5014" w:type="pct"/>
          <w:tblInd w:w="0" w:type="dxa"/>
          <w:tblCellMar>
            <w:top w:w="0" w:type="dxa"/>
            <w:left w:w="0" w:type="dxa"/>
            <w:bottom w:w="0" w:type="dxa"/>
            <w:right w:w="0" w:type="dxa"/>
          </w:tblCellMar>
        </w:tblPrEx>
        <w:trPr>
          <w:trHeight w:val="405"/>
        </w:trPr>
        <w:tc>
          <w:tcPr>
            <w:tcW w:w="2444"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校准后EIRP偏差</w:t>
            </w:r>
          </w:p>
        </w:tc>
        <w:tc>
          <w:tcPr>
            <w:tcW w:w="2555"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≤0.8dB</w:t>
            </w:r>
          </w:p>
        </w:tc>
      </w:tr>
      <w:tr>
        <w:tblPrEx>
          <w:tblW w:w="5014" w:type="pct"/>
          <w:tblInd w:w="0" w:type="dxa"/>
          <w:tblCellMar>
            <w:top w:w="0" w:type="dxa"/>
            <w:left w:w="0" w:type="dxa"/>
            <w:bottom w:w="0" w:type="dxa"/>
            <w:right w:w="0" w:type="dxa"/>
          </w:tblCellMar>
        </w:tblPrEx>
        <w:trPr>
          <w:trHeight w:val="405"/>
        </w:trPr>
        <w:tc>
          <w:tcPr>
            <w:tcW w:w="2444"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最大发射占空比</w:t>
            </w:r>
          </w:p>
        </w:tc>
        <w:tc>
          <w:tcPr>
            <w:tcW w:w="2555"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≥20%</w:t>
            </w:r>
          </w:p>
        </w:tc>
      </w:tr>
      <w:tr>
        <w:tblPrEx>
          <w:tblW w:w="5014" w:type="pct"/>
          <w:tblInd w:w="0" w:type="dxa"/>
          <w:tblCellMar>
            <w:top w:w="0" w:type="dxa"/>
            <w:left w:w="0" w:type="dxa"/>
            <w:bottom w:w="0" w:type="dxa"/>
            <w:right w:w="0" w:type="dxa"/>
          </w:tblCellMar>
        </w:tblPrEx>
        <w:trPr>
          <w:trHeight w:val="2404"/>
        </w:trPr>
        <w:tc>
          <w:tcPr>
            <w:tcW w:w="2444"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发射脉冲宽度</w:t>
            </w:r>
          </w:p>
        </w:tc>
        <w:tc>
          <w:tcPr>
            <w:tcW w:w="2555"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0.2～200μs可选，典型脉冲宽度包括0.5μs、</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1.0μs、2.0μs、10μs、20μs、40μs、80μs等。</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脉冲宽度≥0.5μs时，上升沿：≤200ns，下降沿：≤200ns。</w:t>
            </w:r>
          </w:p>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脉冲宽度≥1.0μs时，顶降：≤5%。</w:t>
            </w:r>
          </w:p>
        </w:tc>
      </w:tr>
      <w:tr>
        <w:tblPrEx>
          <w:tblW w:w="5014" w:type="pct"/>
          <w:tblInd w:w="0" w:type="dxa"/>
          <w:tblCellMar>
            <w:top w:w="0" w:type="dxa"/>
            <w:left w:w="0" w:type="dxa"/>
            <w:bottom w:w="0" w:type="dxa"/>
            <w:right w:w="0" w:type="dxa"/>
          </w:tblCellMar>
        </w:tblPrEx>
        <w:trPr>
          <w:trHeight w:val="405"/>
        </w:trPr>
        <w:tc>
          <w:tcPr>
            <w:tcW w:w="2444"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脉冲重复频率</w:t>
            </w:r>
          </w:p>
        </w:tc>
        <w:tc>
          <w:tcPr>
            <w:tcW w:w="2555" w:type="pc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300～5000Hz</w:t>
            </w:r>
          </w:p>
        </w:tc>
      </w:tr>
      <w:tr>
        <w:tblPrEx>
          <w:tblW w:w="5014" w:type="pct"/>
          <w:tblInd w:w="0" w:type="dxa"/>
          <w:tblCellMar>
            <w:top w:w="0" w:type="dxa"/>
            <w:left w:w="0" w:type="dxa"/>
            <w:bottom w:w="0" w:type="dxa"/>
            <w:right w:w="0" w:type="dxa"/>
          </w:tblCellMar>
        </w:tblPrEx>
        <w:trPr>
          <w:trHeight w:val="804"/>
        </w:trPr>
        <w:tc>
          <w:tcPr>
            <w:tcW w:w="2444"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输出端极限改善因子</w:t>
            </w:r>
          </w:p>
        </w:tc>
        <w:tc>
          <w:tcPr>
            <w:tcW w:w="2555" w:type="pct"/>
            <w:tcBorders>
              <w:tl2br w:val="nil"/>
              <w:tr2bl w:val="nil"/>
            </w:tcBorders>
            <w:vAlign w:val="center"/>
          </w:tcPr>
          <w:p>
            <w:pPr>
              <w:widowControl/>
              <w:adjustRightInd w:val="0"/>
              <w:snapToGrid w:val="0"/>
              <w:spacing w:line="400" w:lineRule="exact"/>
              <w:jc w:val="center"/>
              <w:rPr>
                <w:rFonts w:ascii="宋体" w:eastAsia="宋体" w:hAnsi="宋体" w:cs="宋体" w:hint="eastAsia"/>
              </w:rPr>
            </w:pPr>
            <w:r>
              <w:rPr>
                <w:rFonts w:ascii="宋体" w:eastAsia="宋体" w:hAnsi="宋体" w:cs="宋体" w:hint="eastAsia"/>
                <w:sz w:val="24"/>
              </w:rPr>
              <w:t>≥52dB（重复频率1000Hz、脉冲宽度1μs、带宽1MHz）</w:t>
            </w:r>
          </w:p>
        </w:tc>
      </w:tr>
      <w:tr>
        <w:tblPrEx>
          <w:tblW w:w="5014" w:type="pct"/>
          <w:tblInd w:w="0" w:type="dxa"/>
          <w:tblCellMar>
            <w:top w:w="0" w:type="dxa"/>
            <w:left w:w="0" w:type="dxa"/>
            <w:bottom w:w="0" w:type="dxa"/>
            <w:right w:w="0" w:type="dxa"/>
          </w:tblCellMar>
        </w:tblPrEx>
        <w:trPr>
          <w:trHeight w:val="577"/>
        </w:trPr>
        <w:tc>
          <w:tcPr>
            <w:tcW w:w="1201" w:type="pct"/>
            <w:vMerge w:val="restart"/>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highlight w:val="yellow"/>
              </w:rPr>
              <w:t>#</w:t>
            </w:r>
            <w:r>
              <w:rPr>
                <w:rFonts w:ascii="宋体" w:eastAsia="宋体" w:hAnsi="宋体" w:cs="宋体" w:hint="eastAsia"/>
                <w:sz w:val="24"/>
              </w:rPr>
              <w:t>频谱特性（距中心频率频谱线衰减量-40dB处）</w:t>
            </w:r>
          </w:p>
        </w:tc>
        <w:tc>
          <w:tcPr>
            <w:tcW w:w="1243" w:type="pct"/>
            <w:tcBorders>
              <w:tl2br w:val="nil"/>
              <w:tr2bl w:val="nil"/>
            </w:tcBorders>
            <w:vAlign w:val="center"/>
          </w:tcPr>
          <w:p>
            <w:pPr>
              <w:widowControl/>
              <w:adjustRightInd w:val="0"/>
              <w:snapToGrid w:val="0"/>
              <w:spacing w:line="400" w:lineRule="exact"/>
              <w:jc w:val="center"/>
              <w:rPr>
                <w:rFonts w:ascii="宋体" w:eastAsia="宋体" w:hAnsi="宋体" w:cs="宋体" w:hint="eastAsia"/>
              </w:rPr>
            </w:pPr>
            <w:r>
              <w:rPr>
                <w:rFonts w:ascii="宋体" w:eastAsia="宋体" w:hAnsi="宋体" w:cs="宋体" w:hint="eastAsia"/>
                <w:sz w:val="24"/>
              </w:rPr>
              <w:t>左频偏</w:t>
            </w:r>
          </w:p>
        </w:tc>
        <w:tc>
          <w:tcPr>
            <w:tcW w:w="2555" w:type="pct"/>
            <w:tcBorders>
              <w:tl2br w:val="nil"/>
              <w:tr2bl w:val="nil"/>
            </w:tcBorders>
            <w:vAlign w:val="center"/>
          </w:tcPr>
          <w:p>
            <w:pPr>
              <w:widowControl/>
              <w:adjustRightInd w:val="0"/>
              <w:snapToGrid w:val="0"/>
              <w:spacing w:line="400" w:lineRule="exact"/>
              <w:jc w:val="center"/>
              <w:rPr>
                <w:rFonts w:ascii="宋体" w:eastAsia="宋体" w:hAnsi="宋体" w:cs="宋体" w:hint="eastAsia"/>
              </w:rPr>
            </w:pPr>
            <w:r>
              <w:rPr>
                <w:rFonts w:ascii="宋体" w:eastAsia="宋体" w:hAnsi="宋体" w:cs="宋体" w:hint="eastAsia"/>
                <w:sz w:val="24"/>
              </w:rPr>
              <w:t>≥-15MHz（脉宽1μs，带宽1MHz）</w:t>
            </w:r>
          </w:p>
        </w:tc>
      </w:tr>
      <w:tr>
        <w:tblPrEx>
          <w:tblW w:w="5014" w:type="pct"/>
          <w:tblInd w:w="0" w:type="dxa"/>
          <w:tblCellMar>
            <w:top w:w="0" w:type="dxa"/>
            <w:left w:w="0" w:type="dxa"/>
            <w:bottom w:w="0" w:type="dxa"/>
            <w:right w:w="0" w:type="dxa"/>
          </w:tblCellMar>
        </w:tblPrEx>
        <w:trPr>
          <w:trHeight w:val="90"/>
        </w:trPr>
        <w:tc>
          <w:tcPr>
            <w:tcW w:w="1201" w:type="pct"/>
            <w:vMerge/>
            <w:tcBorders>
              <w:tl2br w:val="nil"/>
              <w:tr2bl w:val="nil"/>
            </w:tcBorders>
            <w:vAlign w:val="center"/>
          </w:tcPr>
          <w:p>
            <w:pPr>
              <w:widowControl/>
              <w:adjustRightInd w:val="0"/>
              <w:snapToGrid w:val="0"/>
              <w:spacing w:line="400" w:lineRule="exact"/>
              <w:jc w:val="center"/>
              <w:rPr>
                <w:rFonts w:ascii="宋体" w:eastAsia="宋体" w:hAnsi="宋体" w:cs="宋体" w:hint="eastAsia"/>
              </w:rPr>
            </w:pPr>
          </w:p>
        </w:tc>
        <w:tc>
          <w:tcPr>
            <w:tcW w:w="1243" w:type="pct"/>
            <w:tcBorders>
              <w:tl2br w:val="nil"/>
              <w:tr2bl w:val="nil"/>
            </w:tcBorders>
            <w:vAlign w:val="center"/>
          </w:tcPr>
          <w:p>
            <w:pPr>
              <w:widowControl/>
              <w:adjustRightInd w:val="0"/>
              <w:snapToGrid w:val="0"/>
              <w:spacing w:line="400" w:lineRule="exact"/>
              <w:jc w:val="center"/>
              <w:rPr>
                <w:rFonts w:ascii="宋体" w:eastAsia="宋体" w:hAnsi="宋体" w:cs="宋体" w:hint="eastAsia"/>
              </w:rPr>
            </w:pPr>
            <w:r>
              <w:rPr>
                <w:rFonts w:ascii="宋体" w:eastAsia="宋体" w:hAnsi="宋体" w:cs="宋体" w:hint="eastAsia"/>
                <w:sz w:val="24"/>
              </w:rPr>
              <w:t>右频偏</w:t>
            </w:r>
          </w:p>
        </w:tc>
        <w:tc>
          <w:tcPr>
            <w:tcW w:w="2555" w:type="pct"/>
            <w:tcBorders>
              <w:tl2br w:val="nil"/>
              <w:tr2bl w:val="nil"/>
            </w:tcBorders>
            <w:vAlign w:val="center"/>
          </w:tcPr>
          <w:p>
            <w:pPr>
              <w:widowControl/>
              <w:adjustRightInd w:val="0"/>
              <w:snapToGrid w:val="0"/>
              <w:spacing w:line="400" w:lineRule="exact"/>
              <w:jc w:val="center"/>
              <w:rPr>
                <w:rFonts w:ascii="宋体" w:eastAsia="宋体" w:hAnsi="宋体" w:cs="宋体" w:hint="eastAsia"/>
              </w:rPr>
            </w:pPr>
            <w:r>
              <w:rPr>
                <w:rFonts w:ascii="宋体" w:eastAsia="宋体" w:hAnsi="宋体" w:cs="宋体" w:hint="eastAsia"/>
                <w:sz w:val="24"/>
              </w:rPr>
              <w:t>≤15MHz（脉宽1μs，带宽1MHz）</w:t>
            </w:r>
          </w:p>
        </w:tc>
      </w:tr>
      <w:tr>
        <w:tblPrEx>
          <w:tblW w:w="5014" w:type="pct"/>
          <w:tblInd w:w="0" w:type="dxa"/>
          <w:tblCellMar>
            <w:top w:w="0" w:type="dxa"/>
            <w:left w:w="0" w:type="dxa"/>
            <w:bottom w:w="0" w:type="dxa"/>
            <w:right w:w="0" w:type="dxa"/>
          </w:tblCellMar>
        </w:tblPrEx>
        <w:trPr>
          <w:trHeight w:val="408"/>
        </w:trPr>
        <w:tc>
          <w:tcPr>
            <w:tcW w:w="2444"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谐波和杂散抑制</w:t>
            </w:r>
          </w:p>
        </w:tc>
        <w:tc>
          <w:tcPr>
            <w:tcW w:w="2555" w:type="pct"/>
            <w:tcBorders>
              <w:tl2br w:val="nil"/>
              <w:tr2bl w:val="nil"/>
            </w:tcBorders>
            <w:vAlign w:val="center"/>
          </w:tcPr>
          <w:p>
            <w:pPr>
              <w:widowControl/>
              <w:adjustRightInd w:val="0"/>
              <w:snapToGrid w:val="0"/>
              <w:spacing w:line="400" w:lineRule="exact"/>
              <w:jc w:val="center"/>
              <w:rPr>
                <w:rFonts w:ascii="宋体" w:eastAsia="宋体" w:hAnsi="宋体" w:cs="宋体" w:hint="eastAsia"/>
              </w:rPr>
            </w:pPr>
            <w:r>
              <w:rPr>
                <w:rFonts w:ascii="宋体" w:eastAsia="宋体" w:hAnsi="宋体" w:cs="宋体" w:hint="eastAsia"/>
                <w:sz w:val="24"/>
              </w:rPr>
              <w:t>≥40dB</w:t>
            </w:r>
          </w:p>
        </w:tc>
      </w:tr>
      <w:tr>
        <w:tblPrEx>
          <w:tblW w:w="5014" w:type="pct"/>
          <w:tblInd w:w="0" w:type="dxa"/>
          <w:tblCellMar>
            <w:top w:w="0" w:type="dxa"/>
            <w:left w:w="0" w:type="dxa"/>
            <w:bottom w:w="0" w:type="dxa"/>
            <w:right w:w="0" w:type="dxa"/>
          </w:tblCellMar>
        </w:tblPrEx>
        <w:trPr>
          <w:trHeight w:val="798"/>
        </w:trPr>
        <w:tc>
          <w:tcPr>
            <w:tcW w:w="2444" w:type="pct"/>
            <w:gridSpan w:val="2"/>
            <w:tcBorders>
              <w:tl2br w:val="nil"/>
              <w:tr2bl w:val="nil"/>
            </w:tcBorders>
            <w:vAlign w:val="center"/>
          </w:tcPr>
          <w:p>
            <w:pPr>
              <w:widowControl/>
              <w:adjustRightInd w:val="0"/>
              <w:snapToGrid w:val="0"/>
              <w:spacing w:line="400" w:lineRule="exact"/>
              <w:jc w:val="left"/>
              <w:rPr>
                <w:rFonts w:ascii="宋体" w:eastAsia="宋体" w:hAnsi="宋体" w:cs="宋体" w:hint="eastAsia"/>
              </w:rPr>
            </w:pPr>
            <w:r>
              <w:rPr>
                <w:rFonts w:ascii="宋体" w:eastAsia="宋体" w:hAnsi="宋体" w:cs="宋体" w:hint="eastAsia"/>
                <w:sz w:val="24"/>
              </w:rPr>
              <w:t>故障检测和保护</w:t>
            </w:r>
          </w:p>
        </w:tc>
        <w:tc>
          <w:tcPr>
            <w:tcW w:w="2555" w:type="pct"/>
            <w:tcBorders>
              <w:tl2br w:val="nil"/>
              <w:tr2bl w:val="nil"/>
            </w:tcBorders>
            <w:vAlign w:val="center"/>
          </w:tcPr>
          <w:p>
            <w:pPr>
              <w:widowControl/>
              <w:adjustRightInd w:val="0"/>
              <w:snapToGrid w:val="0"/>
              <w:spacing w:line="400" w:lineRule="exact"/>
              <w:jc w:val="center"/>
              <w:rPr>
                <w:rFonts w:ascii="宋体" w:eastAsia="宋体" w:hAnsi="宋体" w:cs="宋体" w:hint="eastAsia"/>
              </w:rPr>
            </w:pPr>
            <w:r>
              <w:rPr>
                <w:rFonts w:ascii="宋体" w:eastAsia="宋体" w:hAnsi="宋体" w:cs="宋体" w:hint="eastAsia"/>
                <w:sz w:val="24"/>
              </w:rPr>
              <w:t>发生过温，过压，过流等情况时可报警并实现自保，输出功率低时输出报警信号</w:t>
            </w:r>
          </w:p>
        </w:tc>
      </w:tr>
    </w:tbl>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ascii="仿宋" w:eastAsia="仿宋" w:hAnsi="仿宋" w:hint="eastAsia"/>
          <w:sz w:val="28"/>
          <w:szCs w:val="28"/>
        </w:rPr>
      </w:pPr>
      <w:r>
        <w:rPr>
          <w:rFonts w:ascii="仿宋" w:eastAsia="仿宋" w:hAnsi="仿宋" w:cs="Times New Roman" w:hint="eastAsia"/>
          <w:sz w:val="28"/>
          <w:szCs w:val="28"/>
        </w:rPr>
        <w:t>（2）接收单元技术指标</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主要包括：G/T、动态范围、最小可测功率等，具体指标见表</w:t>
      </w:r>
      <w:r>
        <w:rPr>
          <w:rFonts w:ascii="仿宋" w:eastAsia="仿宋" w:hAnsi="仿宋" w:cs="Times New Roman" w:hint="eastAsia"/>
          <w:sz w:val="28"/>
          <w:szCs w:val="28"/>
          <w:lang w:val="en-US" w:eastAsia="zh-CN"/>
        </w:rPr>
        <w:t>6</w:t>
      </w:r>
      <w:r>
        <w:rPr>
          <w:rFonts w:ascii="仿宋" w:eastAsia="仿宋" w:hAnsi="仿宋" w:cs="Times New Roman" w:hint="eastAsia"/>
          <w:sz w:val="28"/>
          <w:szCs w:val="28"/>
        </w:rPr>
        <w:t>。</w:t>
      </w: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表</w:t>
      </w:r>
      <w:r>
        <w:rPr>
          <w:rFonts w:ascii="Times New Roman" w:eastAsia="方正小标宋简体" w:hAnsi="Times New Roman" w:cs="Times New Roman" w:hint="eastAsia"/>
          <w:sz w:val="28"/>
          <w:szCs w:val="28"/>
          <w:lang w:val="en-US" w:eastAsia="zh-CN"/>
        </w:rPr>
        <w:t>6</w:t>
      </w:r>
      <w:r>
        <w:rPr>
          <w:rFonts w:ascii="Times New Roman" w:eastAsia="方正小标宋简体" w:hAnsi="Times New Roman" w:cs="Times New Roman" w:hint="eastAsia"/>
          <w:sz w:val="28"/>
          <w:szCs w:val="28"/>
        </w:rPr>
        <w:t xml:space="preserve"> 接收单元技术性能指标表</w:t>
      </w:r>
    </w:p>
    <w:tbl>
      <w:tblPr>
        <w:tblStyle w:val="TableNormal0"/>
        <w:tblW w:w="4999"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3667"/>
        <w:gridCol w:w="5124"/>
      </w:tblGrid>
      <w:tr>
        <w:tblPrEx>
          <w:tblW w:w="4999"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362"/>
        </w:trPr>
        <w:tc>
          <w:tcPr>
            <w:tcW w:w="2085" w:type="pct"/>
            <w:tcBorders>
              <w:tl2br w:val="nil"/>
              <w:tr2bl w:val="nil"/>
            </w:tcBorders>
            <w:vAlign w:val="top"/>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spacing w:val="-9"/>
                <w:lang w:eastAsia="en-US"/>
              </w:rPr>
            </w:pPr>
            <w:r>
              <w:rPr>
                <w:rFonts w:ascii="宋体" w:eastAsia="宋体" w:hAnsi="宋体" w:cs="宋体" w:hint="eastAsia"/>
                <w:b/>
                <w:bCs/>
                <w:spacing w:val="-9"/>
                <w:kern w:val="2"/>
                <w:sz w:val="24"/>
                <w:szCs w:val="24"/>
                <w:lang w:val="en-US" w:eastAsia="en-US" w:bidi="ar-SA"/>
              </w:rPr>
              <w:t>项目</w:t>
            </w:r>
          </w:p>
        </w:tc>
        <w:tc>
          <w:tcPr>
            <w:tcW w:w="2914" w:type="pct"/>
            <w:tcBorders>
              <w:tl2br w:val="nil"/>
              <w:tr2bl w:val="nil"/>
            </w:tcBorders>
            <w:vAlign w:val="top"/>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spacing w:val="-9"/>
                <w:lang w:eastAsia="en-US"/>
              </w:rPr>
            </w:pPr>
            <w:r>
              <w:rPr>
                <w:rFonts w:ascii="宋体" w:eastAsia="宋体" w:hAnsi="宋体" w:cs="宋体" w:hint="eastAsia"/>
                <w:b/>
                <w:bCs/>
                <w:spacing w:val="-9"/>
                <w:kern w:val="2"/>
                <w:sz w:val="24"/>
                <w:szCs w:val="24"/>
                <w:lang w:val="en-US" w:eastAsia="en-US" w:bidi="ar-SA"/>
              </w:rPr>
              <w:t>性能指标</w:t>
            </w:r>
          </w:p>
        </w:tc>
      </w:tr>
      <w:tr>
        <w:tblPrEx>
          <w:tblW w:w="4999" w:type="pct"/>
          <w:tblInd w:w="0" w:type="dxa"/>
          <w:tblCellMar>
            <w:top w:w="0" w:type="dxa"/>
            <w:left w:w="0" w:type="dxa"/>
            <w:bottom w:w="0" w:type="dxa"/>
            <w:right w:w="0" w:type="dxa"/>
          </w:tblCellMar>
        </w:tblPrEx>
        <w:trPr>
          <w:trHeight w:val="404"/>
        </w:trPr>
        <w:tc>
          <w:tcPr>
            <w:tcW w:w="2085" w:type="pct"/>
            <w:tcBorders>
              <w:tl2br w:val="nil"/>
              <w:tr2bl w:val="nil"/>
            </w:tcBorders>
            <w:vAlign w:val="top"/>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G/T（法向、带宽1MHz）</w:t>
            </w:r>
          </w:p>
        </w:tc>
        <w:tc>
          <w:tcPr>
            <w:tcW w:w="2914" w:type="pct"/>
            <w:tcBorders>
              <w:tl2br w:val="nil"/>
              <w:tr2bl w:val="nil"/>
            </w:tcBorders>
            <w:vAlign w:val="top"/>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≥6.5dB/K</w:t>
            </w:r>
          </w:p>
        </w:tc>
      </w:tr>
      <w:tr>
        <w:tblPrEx>
          <w:tblW w:w="4999" w:type="pct"/>
          <w:tblInd w:w="0" w:type="dxa"/>
          <w:tblCellMar>
            <w:top w:w="0" w:type="dxa"/>
            <w:left w:w="0" w:type="dxa"/>
            <w:bottom w:w="0" w:type="dxa"/>
            <w:right w:w="0" w:type="dxa"/>
          </w:tblCellMar>
        </w:tblPrEx>
        <w:trPr>
          <w:trHeight w:val="405"/>
        </w:trPr>
        <w:tc>
          <w:tcPr>
            <w:tcW w:w="2085" w:type="pct"/>
            <w:tcBorders>
              <w:tl2br w:val="nil"/>
              <w:tr2bl w:val="nil"/>
            </w:tcBorders>
            <w:vAlign w:val="top"/>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sz w:val="24"/>
              </w:rPr>
              <w:t>G/T(±20°、带宽1MHz)</w:t>
            </w:r>
          </w:p>
        </w:tc>
        <w:tc>
          <w:tcPr>
            <w:tcW w:w="2914" w:type="pct"/>
            <w:tcBorders>
              <w:tl2br w:val="nil"/>
              <w:tr2bl w:val="nil"/>
            </w:tcBorders>
            <w:vAlign w:val="top"/>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≥5.5dB/K</w:t>
            </w:r>
          </w:p>
        </w:tc>
      </w:tr>
      <w:tr>
        <w:tblPrEx>
          <w:tblW w:w="4999" w:type="pct"/>
          <w:tblInd w:w="0" w:type="dxa"/>
          <w:tblCellMar>
            <w:top w:w="0" w:type="dxa"/>
            <w:left w:w="0" w:type="dxa"/>
            <w:bottom w:w="0" w:type="dxa"/>
            <w:right w:w="0" w:type="dxa"/>
          </w:tblCellMar>
        </w:tblPrEx>
        <w:trPr>
          <w:trHeight w:val="404"/>
        </w:trPr>
        <w:tc>
          <w:tcPr>
            <w:tcW w:w="2085" w:type="pct"/>
            <w:tcBorders>
              <w:tl2br w:val="nil"/>
              <w:tr2bl w:val="nil"/>
            </w:tcBorders>
            <w:vAlign w:val="top"/>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校准后G/T</w:t>
            </w:r>
            <w:r>
              <w:rPr>
                <w:rFonts w:ascii="宋体" w:eastAsia="宋体" w:hAnsi="宋体" w:cs="宋体" w:hint="eastAsia"/>
                <w:sz w:val="24"/>
              </w:rPr>
              <w:t>偏</w:t>
            </w:r>
            <w:r>
              <w:rPr>
                <w:rFonts w:ascii="宋体" w:eastAsia="宋体" w:hAnsi="宋体" w:cs="宋体" w:hint="eastAsia"/>
                <w:kern w:val="0"/>
                <w:sz w:val="24"/>
                <w:szCs w:val="24"/>
              </w:rPr>
              <w:t>差</w:t>
            </w:r>
          </w:p>
        </w:tc>
        <w:tc>
          <w:tcPr>
            <w:tcW w:w="2914" w:type="pct"/>
            <w:tcBorders>
              <w:tl2br w:val="nil"/>
              <w:tr2bl w:val="nil"/>
            </w:tcBorders>
            <w:vAlign w:val="top"/>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≤0.8dB</w:t>
            </w:r>
          </w:p>
        </w:tc>
      </w:tr>
      <w:tr>
        <w:tblPrEx>
          <w:tblW w:w="4999" w:type="pct"/>
          <w:tblInd w:w="0" w:type="dxa"/>
          <w:tblCellMar>
            <w:top w:w="0" w:type="dxa"/>
            <w:left w:w="0" w:type="dxa"/>
            <w:bottom w:w="0" w:type="dxa"/>
            <w:right w:w="0" w:type="dxa"/>
          </w:tblCellMar>
        </w:tblPrEx>
        <w:trPr>
          <w:trHeight w:val="404"/>
        </w:trPr>
        <w:tc>
          <w:tcPr>
            <w:tcW w:w="2085" w:type="pct"/>
            <w:tcBorders>
              <w:tl2br w:val="nil"/>
              <w:tr2bl w:val="nil"/>
            </w:tcBorders>
            <w:vAlign w:val="top"/>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#噪声系数</w:t>
            </w:r>
          </w:p>
        </w:tc>
        <w:tc>
          <w:tcPr>
            <w:tcW w:w="2914" w:type="pct"/>
            <w:tcBorders>
              <w:tl2br w:val="nil"/>
              <w:tr2bl w:val="nil"/>
            </w:tcBorders>
            <w:vAlign w:val="top"/>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≤3dB（脉宽1μs，带宽1MHz）</w:t>
            </w:r>
          </w:p>
        </w:tc>
      </w:tr>
      <w:tr>
        <w:tblPrEx>
          <w:tblW w:w="4999" w:type="pct"/>
          <w:tblInd w:w="0" w:type="dxa"/>
          <w:tblCellMar>
            <w:top w:w="0" w:type="dxa"/>
            <w:left w:w="0" w:type="dxa"/>
            <w:bottom w:w="0" w:type="dxa"/>
            <w:right w:w="0" w:type="dxa"/>
          </w:tblCellMar>
        </w:tblPrEx>
        <w:trPr>
          <w:trHeight w:val="405"/>
        </w:trPr>
        <w:tc>
          <w:tcPr>
            <w:tcW w:w="2085" w:type="pct"/>
            <w:tcBorders>
              <w:tl2br w:val="nil"/>
              <w:tr2bl w:val="nil"/>
            </w:tcBorders>
            <w:vAlign w:val="top"/>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#线性动态范围</w:t>
            </w:r>
          </w:p>
        </w:tc>
        <w:tc>
          <w:tcPr>
            <w:tcW w:w="2914" w:type="pct"/>
            <w:tcBorders>
              <w:tl2br w:val="nil"/>
              <w:tr2bl w:val="nil"/>
            </w:tcBorders>
            <w:vAlign w:val="top"/>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≥77dB（脉宽1μs，带宽1MHz）</w:t>
            </w:r>
          </w:p>
        </w:tc>
      </w:tr>
      <w:tr>
        <w:tblPrEx>
          <w:tblW w:w="4999" w:type="pct"/>
          <w:tblInd w:w="0" w:type="dxa"/>
          <w:tblCellMar>
            <w:top w:w="0" w:type="dxa"/>
            <w:left w:w="0" w:type="dxa"/>
            <w:bottom w:w="0" w:type="dxa"/>
            <w:right w:w="0" w:type="dxa"/>
          </w:tblCellMar>
        </w:tblPrEx>
        <w:trPr>
          <w:trHeight w:val="405"/>
        </w:trPr>
        <w:tc>
          <w:tcPr>
            <w:tcW w:w="2085" w:type="pct"/>
            <w:tcBorders>
              <w:tl2br w:val="nil"/>
              <w:tr2bl w:val="nil"/>
            </w:tcBorders>
            <w:vAlign w:val="top"/>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#最小可测功率（灵敏度）</w:t>
            </w:r>
          </w:p>
        </w:tc>
        <w:tc>
          <w:tcPr>
            <w:tcW w:w="2914" w:type="pct"/>
            <w:tcBorders>
              <w:tl2br w:val="nil"/>
              <w:tr2bl w:val="nil"/>
            </w:tcBorders>
            <w:vAlign w:val="top"/>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≤-110dBm（脉宽1μs，带宽1MHz）</w:t>
            </w:r>
          </w:p>
        </w:tc>
      </w:tr>
      <w:tr>
        <w:tblPrEx>
          <w:tblW w:w="4999" w:type="pct"/>
          <w:tblInd w:w="0" w:type="dxa"/>
          <w:tblCellMar>
            <w:top w:w="0" w:type="dxa"/>
            <w:left w:w="0" w:type="dxa"/>
            <w:bottom w:w="0" w:type="dxa"/>
            <w:right w:w="0" w:type="dxa"/>
          </w:tblCellMar>
        </w:tblPrEx>
        <w:trPr>
          <w:trHeight w:val="409"/>
        </w:trPr>
        <w:tc>
          <w:tcPr>
            <w:tcW w:w="2085" w:type="pct"/>
            <w:tcBorders>
              <w:tl2br w:val="nil"/>
              <w:tr2bl w:val="nil"/>
            </w:tcBorders>
            <w:vAlign w:val="top"/>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镜频抑制度</w:t>
            </w:r>
          </w:p>
        </w:tc>
        <w:tc>
          <w:tcPr>
            <w:tcW w:w="2914" w:type="pct"/>
            <w:tcBorders>
              <w:tl2br w:val="nil"/>
              <w:tr2bl w:val="nil"/>
            </w:tcBorders>
            <w:vAlign w:val="top"/>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≥60dBc</w:t>
            </w:r>
          </w:p>
        </w:tc>
      </w:tr>
    </w:tbl>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bookmarkStart w:id="68" w:name="bookmark23"/>
      <w:bookmarkEnd w:id="68"/>
      <w:r>
        <w:rPr>
          <w:rFonts w:ascii="仿宋" w:eastAsia="仿宋" w:hAnsi="仿宋" w:cs="仿宋" w:hint="eastAsia"/>
          <w:kern w:val="2"/>
          <w:sz w:val="28"/>
          <w:szCs w:val="28"/>
          <w:lang w:val="en-US" w:eastAsia="zh-CN" w:bidi="ar-SA"/>
        </w:rPr>
        <w:t>3.6数字波束控制与合成单元技术指标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主要包括：波束控制和合成形式、波束控制精度、电扫方向最大副瓣电平等，具体指标见表</w:t>
      </w:r>
      <w:r>
        <w:rPr>
          <w:rFonts w:ascii="仿宋" w:eastAsia="仿宋" w:hAnsi="仿宋" w:hint="eastAsia"/>
          <w:sz w:val="28"/>
          <w:szCs w:val="28"/>
          <w:lang w:val="en-US" w:eastAsia="zh-CN"/>
        </w:rPr>
        <w:t>7</w:t>
      </w:r>
      <w:r>
        <w:rPr>
          <w:rFonts w:ascii="仿宋" w:eastAsia="仿宋" w:hAnsi="仿宋" w:hint="eastAsia"/>
          <w:sz w:val="28"/>
          <w:szCs w:val="28"/>
        </w:rPr>
        <w:t>。</w:t>
      </w: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表</w:t>
      </w:r>
      <w:r>
        <w:rPr>
          <w:rFonts w:ascii="Times New Roman" w:eastAsia="方正小标宋简体" w:hAnsi="Times New Roman" w:cs="Times New Roman" w:hint="eastAsia"/>
          <w:sz w:val="28"/>
          <w:szCs w:val="28"/>
          <w:lang w:val="en-US" w:eastAsia="zh-CN"/>
        </w:rPr>
        <w:t>7</w:t>
      </w:r>
      <w:r>
        <w:rPr>
          <w:rFonts w:ascii="Times New Roman" w:eastAsia="方正小标宋简体" w:hAnsi="Times New Roman" w:cs="Times New Roman" w:hint="eastAsia"/>
          <w:sz w:val="28"/>
          <w:szCs w:val="28"/>
        </w:rPr>
        <w:t xml:space="preserve"> 数字波束控制与合成单元技术性能指标表</w:t>
      </w:r>
    </w:p>
    <w:tbl>
      <w:tblPr>
        <w:tblStyle w:val="TableNormal0"/>
        <w:tblW w:w="5002"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3562"/>
        <w:gridCol w:w="5235"/>
      </w:tblGrid>
      <w:tr>
        <w:tblPrEx>
          <w:tblW w:w="5002"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362"/>
        </w:trPr>
        <w:tc>
          <w:tcPr>
            <w:tcW w:w="2024" w:type="pct"/>
            <w:tcBorders>
              <w:tl2br w:val="nil"/>
              <w:tr2bl w:val="nil"/>
            </w:tcBorders>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spacing w:val="-9"/>
                <w:lang w:eastAsia="en-US"/>
              </w:rPr>
            </w:pPr>
            <w:r>
              <w:rPr>
                <w:rFonts w:ascii="宋体" w:eastAsia="宋体" w:hAnsi="宋体" w:cs="宋体" w:hint="eastAsia"/>
                <w:b/>
                <w:bCs/>
                <w:kern w:val="2"/>
                <w:sz w:val="24"/>
                <w:szCs w:val="24"/>
                <w:lang w:val="en-US" w:eastAsia="en-US" w:bidi="ar-SA"/>
              </w:rPr>
              <w:t>项目</w:t>
            </w:r>
          </w:p>
        </w:tc>
        <w:tc>
          <w:tcPr>
            <w:tcW w:w="2976" w:type="pct"/>
            <w:tcBorders>
              <w:tl2br w:val="nil"/>
              <w:tr2bl w:val="nil"/>
            </w:tcBorders>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spacing w:val="-9"/>
                <w:lang w:eastAsia="en-US"/>
              </w:rPr>
            </w:pPr>
            <w:r>
              <w:rPr>
                <w:rFonts w:ascii="宋体" w:eastAsia="宋体" w:hAnsi="宋体" w:cs="宋体" w:hint="eastAsia"/>
                <w:b/>
                <w:bCs/>
                <w:kern w:val="2"/>
                <w:sz w:val="24"/>
                <w:szCs w:val="24"/>
                <w:lang w:val="en-US" w:eastAsia="en-US" w:bidi="ar-SA"/>
              </w:rPr>
              <w:t>性能指标</w:t>
            </w:r>
          </w:p>
        </w:tc>
      </w:tr>
      <w:tr>
        <w:tblPrEx>
          <w:tblW w:w="5002" w:type="pct"/>
          <w:tblInd w:w="0" w:type="dxa"/>
          <w:tblCellMar>
            <w:top w:w="0" w:type="dxa"/>
            <w:left w:w="0" w:type="dxa"/>
            <w:bottom w:w="0" w:type="dxa"/>
            <w:right w:w="0" w:type="dxa"/>
          </w:tblCellMar>
        </w:tblPrEx>
        <w:trPr>
          <w:trHeight w:val="404"/>
        </w:trPr>
        <w:tc>
          <w:tcPr>
            <w:tcW w:w="2024" w:type="pct"/>
            <w:tcBorders>
              <w:tl2br w:val="nil"/>
              <w:tr2bl w:val="nil"/>
            </w:tcBorders>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波束控制和合成形式</w:t>
            </w:r>
          </w:p>
        </w:tc>
        <w:tc>
          <w:tcPr>
            <w:tcW w:w="2976" w:type="pct"/>
            <w:tcBorders>
              <w:tl2br w:val="nil"/>
              <w:tr2bl w:val="nil"/>
            </w:tcBorders>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数字域</w:t>
            </w:r>
          </w:p>
        </w:tc>
      </w:tr>
      <w:tr>
        <w:tblPrEx>
          <w:tblW w:w="5002" w:type="pct"/>
          <w:tblInd w:w="0" w:type="dxa"/>
          <w:tblCellMar>
            <w:top w:w="0" w:type="dxa"/>
            <w:left w:w="0" w:type="dxa"/>
            <w:bottom w:w="0" w:type="dxa"/>
            <w:right w:w="0" w:type="dxa"/>
          </w:tblCellMar>
        </w:tblPrEx>
        <w:trPr>
          <w:trHeight w:val="404"/>
        </w:trPr>
        <w:tc>
          <w:tcPr>
            <w:tcW w:w="2024" w:type="pct"/>
            <w:tcBorders>
              <w:tl2br w:val="nil"/>
              <w:tr2bl w:val="nil"/>
            </w:tcBorders>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波束控制精度（基于波束宽度）</w:t>
            </w:r>
          </w:p>
        </w:tc>
        <w:tc>
          <w:tcPr>
            <w:tcW w:w="2976" w:type="pct"/>
            <w:tcBorders>
              <w:tl2br w:val="nil"/>
              <w:tr2bl w:val="nil"/>
            </w:tcBorders>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≤5%</w:t>
            </w:r>
          </w:p>
        </w:tc>
      </w:tr>
      <w:tr>
        <w:tblPrEx>
          <w:tblW w:w="5002" w:type="pct"/>
          <w:tblInd w:w="0" w:type="dxa"/>
          <w:tblCellMar>
            <w:top w:w="0" w:type="dxa"/>
            <w:left w:w="0" w:type="dxa"/>
            <w:bottom w:w="0" w:type="dxa"/>
            <w:right w:w="0" w:type="dxa"/>
          </w:tblCellMar>
        </w:tblPrEx>
        <w:trPr>
          <w:trHeight w:val="379"/>
        </w:trPr>
        <w:tc>
          <w:tcPr>
            <w:tcW w:w="2024" w:type="pct"/>
            <w:tcBorders>
              <w:tl2br w:val="nil"/>
              <w:tr2bl w:val="nil"/>
            </w:tcBorders>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电扫方向上双线偏振波束指向误差（基于波束宽度）</w:t>
            </w:r>
          </w:p>
        </w:tc>
        <w:tc>
          <w:tcPr>
            <w:tcW w:w="2976" w:type="pct"/>
            <w:tcBorders>
              <w:tl2br w:val="nil"/>
              <w:tr2bl w:val="nil"/>
            </w:tcBorders>
            <w:vAlign w:val="center"/>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≤5%</w:t>
            </w:r>
          </w:p>
        </w:tc>
      </w:tr>
      <w:tr>
        <w:tblPrEx>
          <w:tblW w:w="5002" w:type="pct"/>
          <w:tblInd w:w="0" w:type="dxa"/>
          <w:tblCellMar>
            <w:top w:w="0" w:type="dxa"/>
            <w:left w:w="0" w:type="dxa"/>
            <w:bottom w:w="0" w:type="dxa"/>
            <w:right w:w="0" w:type="dxa"/>
          </w:tblCellMar>
        </w:tblPrEx>
        <w:trPr>
          <w:trHeight w:val="990"/>
        </w:trPr>
        <w:tc>
          <w:tcPr>
            <w:tcW w:w="2024" w:type="pct"/>
            <w:tcBorders>
              <w:tl2br w:val="nil"/>
              <w:tr2bl w:val="nil"/>
            </w:tcBorders>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电扫方向上双线偏振3dB波束宽</w:t>
            </w:r>
          </w:p>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度误差（基于波束宽度）</w:t>
            </w:r>
          </w:p>
        </w:tc>
        <w:tc>
          <w:tcPr>
            <w:tcW w:w="2976" w:type="pct"/>
            <w:tcBorders>
              <w:tl2br w:val="nil"/>
              <w:tr2bl w:val="nil"/>
            </w:tcBorders>
            <w:vAlign w:val="center"/>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≤5%</w:t>
            </w:r>
          </w:p>
        </w:tc>
      </w:tr>
      <w:tr>
        <w:tblPrEx>
          <w:tblW w:w="5002" w:type="pct"/>
          <w:tblInd w:w="0" w:type="dxa"/>
          <w:tblCellMar>
            <w:top w:w="0" w:type="dxa"/>
            <w:left w:w="0" w:type="dxa"/>
            <w:bottom w:w="0" w:type="dxa"/>
            <w:right w:w="0" w:type="dxa"/>
          </w:tblCellMar>
        </w:tblPrEx>
        <w:trPr>
          <w:trHeight w:val="404"/>
        </w:trPr>
        <w:tc>
          <w:tcPr>
            <w:tcW w:w="2024" w:type="pct"/>
            <w:tcBorders>
              <w:tl2br w:val="nil"/>
              <w:tr2bl w:val="nil"/>
            </w:tcBorders>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同时接收波束数（单极化）</w:t>
            </w:r>
          </w:p>
        </w:tc>
        <w:tc>
          <w:tcPr>
            <w:tcW w:w="2976" w:type="pct"/>
            <w:tcBorders>
              <w:tl2br w:val="nil"/>
              <w:tr2bl w:val="nil"/>
            </w:tcBorders>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≥16个波束</w:t>
            </w:r>
          </w:p>
        </w:tc>
      </w:tr>
      <w:tr>
        <w:tblPrEx>
          <w:tblW w:w="5002" w:type="pct"/>
          <w:tblInd w:w="0" w:type="dxa"/>
          <w:tblCellMar>
            <w:top w:w="0" w:type="dxa"/>
            <w:left w:w="0" w:type="dxa"/>
            <w:bottom w:w="0" w:type="dxa"/>
            <w:right w:w="0" w:type="dxa"/>
          </w:tblCellMar>
        </w:tblPrEx>
        <w:trPr>
          <w:trHeight w:val="1062"/>
        </w:trPr>
        <w:tc>
          <w:tcPr>
            <w:tcW w:w="2024" w:type="pct"/>
            <w:tcBorders>
              <w:tl2br w:val="nil"/>
              <w:tr2bl w:val="nil"/>
            </w:tcBorders>
            <w:vAlign w:val="center"/>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电扫方向发射最大副瓣电平</w:t>
            </w:r>
          </w:p>
        </w:tc>
        <w:tc>
          <w:tcPr>
            <w:tcW w:w="2976" w:type="pct"/>
            <w:tcBorders>
              <w:tl2br w:val="nil"/>
              <w:tr2bl w:val="nil"/>
            </w:tcBorders>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≤-23dB（法向波束宽度≤1.8°，偏离法向±20°波束宽度≤1.91°）</w:t>
            </w:r>
          </w:p>
        </w:tc>
      </w:tr>
      <w:tr>
        <w:tblPrEx>
          <w:tblW w:w="5002" w:type="pct"/>
          <w:tblInd w:w="0" w:type="dxa"/>
          <w:tblCellMar>
            <w:top w:w="0" w:type="dxa"/>
            <w:left w:w="0" w:type="dxa"/>
            <w:bottom w:w="0" w:type="dxa"/>
            <w:right w:w="0" w:type="dxa"/>
          </w:tblCellMar>
        </w:tblPrEx>
        <w:trPr>
          <w:trHeight w:val="1083"/>
        </w:trPr>
        <w:tc>
          <w:tcPr>
            <w:tcW w:w="2024" w:type="pct"/>
            <w:tcBorders>
              <w:tl2br w:val="nil"/>
              <w:tr2bl w:val="nil"/>
            </w:tcBorders>
            <w:vAlign w:val="center"/>
          </w:tcPr>
          <w:p>
            <w:pPr>
              <w:widowControl/>
              <w:adjustRightInd w:val="0"/>
              <w:snapToGrid w:val="0"/>
              <w:spacing w:line="400" w:lineRule="exact"/>
              <w:jc w:val="left"/>
              <w:rPr>
                <w:rFonts w:ascii="宋体" w:eastAsia="宋体" w:hAnsi="宋体" w:cs="宋体" w:hint="eastAsia"/>
                <w:kern w:val="0"/>
              </w:rPr>
            </w:pPr>
            <w:r>
              <w:rPr>
                <w:rFonts w:ascii="宋体" w:eastAsia="宋体" w:hAnsi="宋体" w:cs="宋体" w:hint="eastAsia"/>
                <w:kern w:val="0"/>
                <w:sz w:val="24"/>
                <w:szCs w:val="24"/>
              </w:rPr>
              <w:t>电扫方向接收最大副瓣电平</w:t>
            </w:r>
          </w:p>
        </w:tc>
        <w:tc>
          <w:tcPr>
            <w:tcW w:w="2976" w:type="pct"/>
            <w:tcBorders>
              <w:tl2br w:val="nil"/>
              <w:tr2bl w:val="nil"/>
            </w:tcBorders>
          </w:tcPr>
          <w:p>
            <w:pPr>
              <w:widowControl/>
              <w:adjustRightInd w:val="0"/>
              <w:snapToGrid w:val="0"/>
              <w:spacing w:line="400" w:lineRule="exact"/>
              <w:jc w:val="center"/>
              <w:rPr>
                <w:rFonts w:ascii="宋体" w:eastAsia="宋体" w:hAnsi="宋体" w:cs="宋体" w:hint="eastAsia"/>
                <w:kern w:val="0"/>
              </w:rPr>
            </w:pPr>
            <w:r>
              <w:rPr>
                <w:rFonts w:ascii="宋体" w:eastAsia="宋体" w:hAnsi="宋体" w:cs="宋体" w:hint="eastAsia"/>
                <w:kern w:val="0"/>
                <w:sz w:val="24"/>
                <w:szCs w:val="24"/>
              </w:rPr>
              <w:t>≤-35dB（法向波束宽度≤1.8°，偏离法向±20°波束宽度≤1.91°）</w:t>
            </w:r>
          </w:p>
        </w:tc>
      </w:tr>
    </w:tbl>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bookmarkStart w:id="69" w:name="bookmark24"/>
      <w:bookmarkEnd w:id="69"/>
      <w:r>
        <w:rPr>
          <w:rFonts w:ascii="仿宋" w:eastAsia="仿宋" w:hAnsi="仿宋" w:cs="仿宋" w:hint="eastAsia"/>
          <w:kern w:val="2"/>
          <w:sz w:val="28"/>
          <w:szCs w:val="28"/>
          <w:lang w:val="en-US" w:eastAsia="zh-CN" w:bidi="ar-SA"/>
        </w:rPr>
        <w:t>3.7信号处理单元技术指标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lang w:val="en-US" w:eastAsia="zh-CN"/>
        </w:rPr>
        <w:t>主要包括：脉冲压缩主副瓣比、脉冲累计平均次数、处理方式等指标，具体指标见表8。</w:t>
      </w: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表</w:t>
      </w:r>
      <w:r>
        <w:rPr>
          <w:rFonts w:ascii="Times New Roman" w:eastAsia="方正小标宋简体" w:hAnsi="Times New Roman" w:cs="Times New Roman" w:hint="eastAsia"/>
          <w:sz w:val="28"/>
          <w:szCs w:val="28"/>
          <w:lang w:val="en-US" w:eastAsia="zh-CN"/>
        </w:rPr>
        <w:t>8</w:t>
      </w:r>
      <w:r>
        <w:rPr>
          <w:rFonts w:ascii="Times New Roman" w:eastAsia="方正小标宋简体" w:hAnsi="Times New Roman" w:cs="Times New Roman" w:hint="eastAsia"/>
          <w:sz w:val="28"/>
          <w:szCs w:val="28"/>
        </w:rPr>
        <w:t xml:space="preserve"> 信号处理单元技术性能指标表</w:t>
      </w:r>
    </w:p>
    <w:tbl>
      <w:tblPr>
        <w:tblStyle w:val="TableNormal0"/>
        <w:tblW w:w="4999"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2798"/>
        <w:gridCol w:w="5993"/>
      </w:tblGrid>
      <w:tr>
        <w:tblPrEx>
          <w:tblW w:w="4999"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397"/>
        </w:trPr>
        <w:tc>
          <w:tcPr>
            <w:tcW w:w="1591" w:type="pct"/>
            <w:tcBorders>
              <w:tl2br w:val="nil"/>
              <w:tr2bl w:val="nil"/>
            </w:tcBorders>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eastAsia="宋体" w:hint="eastAsia"/>
                <w:b/>
                <w:bCs/>
                <w:lang w:val="en-US" w:bidi="ar-SA"/>
              </w:rPr>
            </w:pPr>
            <w:r>
              <w:rPr>
                <w:rFonts w:ascii="宋体" w:eastAsia="宋体" w:hAnsi="宋体" w:cs="宋体" w:hint="eastAsia"/>
                <w:b/>
                <w:bCs/>
                <w:kern w:val="2"/>
                <w:sz w:val="24"/>
                <w:szCs w:val="24"/>
                <w:lang w:val="en-US" w:eastAsia="en-US" w:bidi="ar-SA"/>
              </w:rPr>
              <w:t>项目</w:t>
            </w:r>
          </w:p>
        </w:tc>
        <w:tc>
          <w:tcPr>
            <w:tcW w:w="3408" w:type="pct"/>
            <w:tcBorders>
              <w:tl2br w:val="nil"/>
              <w:tr2bl w:val="nil"/>
            </w:tcBorders>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eastAsia="宋体" w:hint="eastAsia"/>
                <w:b/>
                <w:bCs/>
                <w:lang w:val="en-US" w:bidi="ar-SA"/>
              </w:rPr>
            </w:pPr>
            <w:r>
              <w:rPr>
                <w:rFonts w:ascii="宋体" w:eastAsia="宋体" w:hAnsi="宋体" w:cs="宋体" w:hint="eastAsia"/>
                <w:b/>
                <w:bCs/>
                <w:kern w:val="2"/>
                <w:sz w:val="24"/>
                <w:szCs w:val="24"/>
                <w:lang w:val="en-US" w:eastAsia="en-US" w:bidi="ar-SA"/>
              </w:rPr>
              <w:t>性能指标</w:t>
            </w:r>
          </w:p>
        </w:tc>
      </w:tr>
      <w:tr>
        <w:tblPrEx>
          <w:tblW w:w="4999" w:type="pct"/>
          <w:tblInd w:w="0" w:type="dxa"/>
          <w:tblCellMar>
            <w:top w:w="0" w:type="dxa"/>
            <w:left w:w="0" w:type="dxa"/>
            <w:bottom w:w="0" w:type="dxa"/>
            <w:right w:w="0" w:type="dxa"/>
          </w:tblCellMar>
        </w:tblPrEx>
        <w:trPr>
          <w:trHeight w:val="90"/>
        </w:trPr>
        <w:tc>
          <w:tcPr>
            <w:tcW w:w="1591" w:type="pct"/>
            <w:tcBorders>
              <w:tl2br w:val="nil"/>
              <w:tr2bl w:val="nil"/>
            </w:tcBorders>
          </w:tcPr>
          <w:p>
            <w:pPr>
              <w:widowControl/>
              <w:kinsoku w:val="0"/>
              <w:autoSpaceDE w:val="0"/>
              <w:autoSpaceDN w:val="0"/>
              <w:adjustRightInd w:val="0"/>
              <w:snapToGrid w:val="0"/>
              <w:spacing w:line="360" w:lineRule="auto"/>
              <w:ind w:firstLine="0" w:firstLineChars="0"/>
              <w:jc w:val="left"/>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最大脉冲压缩比</w:t>
            </w:r>
          </w:p>
        </w:tc>
        <w:tc>
          <w:tcPr>
            <w:tcW w:w="3408" w:type="pct"/>
            <w:tcBorders>
              <w:tl2br w:val="nil"/>
              <w:tr2bl w:val="nil"/>
            </w:tcBorders>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≥100</w:t>
            </w:r>
          </w:p>
        </w:tc>
      </w:tr>
      <w:tr>
        <w:tblPrEx>
          <w:tblW w:w="4999" w:type="pct"/>
          <w:tblInd w:w="0" w:type="dxa"/>
          <w:tblCellMar>
            <w:top w:w="0" w:type="dxa"/>
            <w:left w:w="0" w:type="dxa"/>
            <w:bottom w:w="0" w:type="dxa"/>
            <w:right w:w="0" w:type="dxa"/>
          </w:tblCellMar>
        </w:tblPrEx>
        <w:trPr>
          <w:trHeight w:val="404"/>
        </w:trPr>
        <w:tc>
          <w:tcPr>
            <w:tcW w:w="1591" w:type="pct"/>
            <w:tcBorders>
              <w:tl2br w:val="nil"/>
              <w:tr2bl w:val="nil"/>
            </w:tcBorders>
          </w:tcPr>
          <w:p>
            <w:pPr>
              <w:widowControl/>
              <w:kinsoku w:val="0"/>
              <w:autoSpaceDE w:val="0"/>
              <w:autoSpaceDN w:val="0"/>
              <w:adjustRightInd w:val="0"/>
              <w:snapToGrid w:val="0"/>
              <w:spacing w:line="360" w:lineRule="auto"/>
              <w:ind w:firstLine="0" w:firstLineChars="0"/>
              <w:jc w:val="left"/>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脉冲压缩主副瓣比</w:t>
            </w:r>
          </w:p>
        </w:tc>
        <w:tc>
          <w:tcPr>
            <w:tcW w:w="3408" w:type="pct"/>
            <w:tcBorders>
              <w:tl2br w:val="nil"/>
              <w:tr2bl w:val="nil"/>
            </w:tcBorders>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≥50dB（脉压比≥100）</w:t>
            </w:r>
          </w:p>
        </w:tc>
      </w:tr>
      <w:tr>
        <w:tblPrEx>
          <w:tblW w:w="4999" w:type="pct"/>
          <w:tblInd w:w="0" w:type="dxa"/>
          <w:tblCellMar>
            <w:top w:w="0" w:type="dxa"/>
            <w:left w:w="0" w:type="dxa"/>
            <w:bottom w:w="0" w:type="dxa"/>
            <w:right w:w="0" w:type="dxa"/>
          </w:tblCellMar>
        </w:tblPrEx>
        <w:trPr>
          <w:trHeight w:val="404"/>
        </w:trPr>
        <w:tc>
          <w:tcPr>
            <w:tcW w:w="1591" w:type="pct"/>
            <w:tcBorders>
              <w:tl2br w:val="nil"/>
              <w:tr2bl w:val="nil"/>
            </w:tcBorders>
          </w:tcPr>
          <w:p>
            <w:pPr>
              <w:widowControl/>
              <w:kinsoku w:val="0"/>
              <w:autoSpaceDE w:val="0"/>
              <w:autoSpaceDN w:val="0"/>
              <w:adjustRightInd w:val="0"/>
              <w:snapToGrid w:val="0"/>
              <w:spacing w:line="360" w:lineRule="auto"/>
              <w:ind w:firstLine="0" w:firstLineChars="0"/>
              <w:jc w:val="left"/>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脉冲累计平均次数</w:t>
            </w:r>
          </w:p>
        </w:tc>
        <w:tc>
          <w:tcPr>
            <w:tcW w:w="3408" w:type="pct"/>
            <w:tcBorders>
              <w:tl2br w:val="nil"/>
              <w:tr2bl w:val="nil"/>
            </w:tcBorders>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16～512可选</w:t>
            </w:r>
          </w:p>
        </w:tc>
      </w:tr>
      <w:tr>
        <w:tblPrEx>
          <w:tblW w:w="4999" w:type="pct"/>
          <w:tblInd w:w="0" w:type="dxa"/>
          <w:tblCellMar>
            <w:top w:w="0" w:type="dxa"/>
            <w:left w:w="0" w:type="dxa"/>
            <w:bottom w:w="0" w:type="dxa"/>
            <w:right w:w="0" w:type="dxa"/>
          </w:tblCellMar>
        </w:tblPrEx>
        <w:trPr>
          <w:trHeight w:val="405"/>
        </w:trPr>
        <w:tc>
          <w:tcPr>
            <w:tcW w:w="1591" w:type="pct"/>
            <w:tcBorders>
              <w:tl2br w:val="nil"/>
              <w:tr2bl w:val="nil"/>
            </w:tcBorders>
          </w:tcPr>
          <w:p>
            <w:pPr>
              <w:widowControl/>
              <w:kinsoku w:val="0"/>
              <w:autoSpaceDE w:val="0"/>
              <w:autoSpaceDN w:val="0"/>
              <w:adjustRightInd w:val="0"/>
              <w:snapToGrid w:val="0"/>
              <w:spacing w:line="360" w:lineRule="auto"/>
              <w:ind w:firstLine="0" w:firstLineChars="0"/>
              <w:jc w:val="left"/>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强度、速度处理方式</w:t>
            </w:r>
          </w:p>
        </w:tc>
        <w:tc>
          <w:tcPr>
            <w:tcW w:w="3408" w:type="pct"/>
            <w:tcBorders>
              <w:tl2br w:val="nil"/>
              <w:tr2bl w:val="nil"/>
            </w:tcBorders>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FFT/PPP处理</w:t>
            </w:r>
          </w:p>
        </w:tc>
      </w:tr>
      <w:tr>
        <w:tblPrEx>
          <w:tblW w:w="4999" w:type="pct"/>
          <w:tblInd w:w="0" w:type="dxa"/>
          <w:tblCellMar>
            <w:top w:w="0" w:type="dxa"/>
            <w:left w:w="0" w:type="dxa"/>
            <w:bottom w:w="0" w:type="dxa"/>
            <w:right w:w="0" w:type="dxa"/>
          </w:tblCellMar>
        </w:tblPrEx>
        <w:trPr>
          <w:trHeight w:val="405"/>
        </w:trPr>
        <w:tc>
          <w:tcPr>
            <w:tcW w:w="1591" w:type="pct"/>
            <w:tcBorders>
              <w:tl2br w:val="nil"/>
              <w:tr2bl w:val="nil"/>
            </w:tcBorders>
          </w:tcPr>
          <w:p>
            <w:pPr>
              <w:widowControl/>
              <w:kinsoku w:val="0"/>
              <w:autoSpaceDE w:val="0"/>
              <w:autoSpaceDN w:val="0"/>
              <w:adjustRightInd w:val="0"/>
              <w:snapToGrid w:val="0"/>
              <w:spacing w:line="360" w:lineRule="auto"/>
              <w:ind w:firstLine="0" w:firstLineChars="0"/>
              <w:jc w:val="left"/>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相关系数处理方式</w:t>
            </w:r>
          </w:p>
        </w:tc>
        <w:tc>
          <w:tcPr>
            <w:tcW w:w="3408" w:type="pct"/>
            <w:tcBorders>
              <w:tl2br w:val="nil"/>
              <w:tr2bl w:val="nil"/>
            </w:tcBorders>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一阶相关或多阶相关</w:t>
            </w:r>
          </w:p>
        </w:tc>
      </w:tr>
      <w:tr>
        <w:tblPrEx>
          <w:tblW w:w="4999" w:type="pct"/>
          <w:tblInd w:w="0" w:type="dxa"/>
          <w:tblCellMar>
            <w:top w:w="0" w:type="dxa"/>
            <w:left w:w="0" w:type="dxa"/>
            <w:bottom w:w="0" w:type="dxa"/>
            <w:right w:w="0" w:type="dxa"/>
          </w:tblCellMar>
        </w:tblPrEx>
        <w:trPr>
          <w:trHeight w:val="405"/>
        </w:trPr>
        <w:tc>
          <w:tcPr>
            <w:tcW w:w="1591" w:type="pct"/>
            <w:tcBorders>
              <w:tl2br w:val="nil"/>
              <w:tr2bl w:val="nil"/>
            </w:tcBorders>
          </w:tcPr>
          <w:p>
            <w:pPr>
              <w:widowControl/>
              <w:kinsoku w:val="0"/>
              <w:autoSpaceDE w:val="0"/>
              <w:autoSpaceDN w:val="0"/>
              <w:adjustRightInd w:val="0"/>
              <w:snapToGrid w:val="0"/>
              <w:spacing w:line="360" w:lineRule="auto"/>
              <w:ind w:firstLine="0" w:firstLineChars="0"/>
              <w:jc w:val="left"/>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距离退模糊方法</w:t>
            </w:r>
          </w:p>
        </w:tc>
        <w:tc>
          <w:tcPr>
            <w:tcW w:w="3408" w:type="pct"/>
            <w:tcBorders>
              <w:tl2br w:val="nil"/>
              <w:tr2bl w:val="nil"/>
            </w:tcBorders>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相位编码或其他等效方法</w:t>
            </w:r>
          </w:p>
        </w:tc>
      </w:tr>
      <w:tr>
        <w:tblPrEx>
          <w:tblW w:w="4999" w:type="pct"/>
          <w:tblInd w:w="0" w:type="dxa"/>
          <w:tblCellMar>
            <w:top w:w="0" w:type="dxa"/>
            <w:left w:w="0" w:type="dxa"/>
            <w:bottom w:w="0" w:type="dxa"/>
            <w:right w:w="0" w:type="dxa"/>
          </w:tblCellMar>
        </w:tblPrEx>
        <w:trPr>
          <w:trHeight w:val="405"/>
        </w:trPr>
        <w:tc>
          <w:tcPr>
            <w:tcW w:w="1591" w:type="pct"/>
            <w:tcBorders>
              <w:tl2br w:val="nil"/>
              <w:tr2bl w:val="nil"/>
            </w:tcBorders>
          </w:tcPr>
          <w:p>
            <w:pPr>
              <w:widowControl/>
              <w:kinsoku w:val="0"/>
              <w:autoSpaceDE w:val="0"/>
              <w:autoSpaceDN w:val="0"/>
              <w:adjustRightInd w:val="0"/>
              <w:snapToGrid w:val="0"/>
              <w:spacing w:line="360" w:lineRule="auto"/>
              <w:ind w:firstLine="0" w:firstLineChars="0"/>
              <w:jc w:val="left"/>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速度退模糊方法</w:t>
            </w:r>
          </w:p>
        </w:tc>
        <w:tc>
          <w:tcPr>
            <w:tcW w:w="3408" w:type="pct"/>
            <w:tcBorders>
              <w:tl2br w:val="nil"/>
              <w:tr2bl w:val="nil"/>
            </w:tcBorders>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双重频或其他等效方法</w:t>
            </w:r>
          </w:p>
        </w:tc>
      </w:tr>
      <w:tr>
        <w:tblPrEx>
          <w:tblW w:w="4999" w:type="pct"/>
          <w:tblInd w:w="0" w:type="dxa"/>
          <w:tblCellMar>
            <w:top w:w="0" w:type="dxa"/>
            <w:left w:w="0" w:type="dxa"/>
            <w:bottom w:w="0" w:type="dxa"/>
            <w:right w:w="0" w:type="dxa"/>
          </w:tblCellMar>
        </w:tblPrEx>
        <w:trPr>
          <w:trHeight w:val="405"/>
        </w:trPr>
        <w:tc>
          <w:tcPr>
            <w:tcW w:w="1591" w:type="pct"/>
            <w:tcBorders>
              <w:tl2br w:val="nil"/>
              <w:tr2bl w:val="nil"/>
            </w:tcBorders>
          </w:tcPr>
          <w:p>
            <w:pPr>
              <w:widowControl/>
              <w:kinsoku w:val="0"/>
              <w:autoSpaceDE w:val="0"/>
              <w:autoSpaceDN w:val="0"/>
              <w:adjustRightInd w:val="0"/>
              <w:snapToGrid w:val="0"/>
              <w:spacing w:line="360" w:lineRule="auto"/>
              <w:ind w:firstLine="0" w:firstLineChars="0"/>
              <w:jc w:val="left"/>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非气象回波识别和抑制</w:t>
            </w:r>
          </w:p>
        </w:tc>
        <w:tc>
          <w:tcPr>
            <w:tcW w:w="3408" w:type="pct"/>
            <w:tcBorders>
              <w:tl2br w:val="nil"/>
              <w:tr2bl w:val="nil"/>
            </w:tcBorders>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具有电磁干扰、风电干扰及其它干扰的自动处理能力</w:t>
            </w:r>
          </w:p>
        </w:tc>
      </w:tr>
      <w:tr>
        <w:tblPrEx>
          <w:tblW w:w="4999" w:type="pct"/>
          <w:tblInd w:w="0" w:type="dxa"/>
          <w:tblCellMar>
            <w:top w:w="0" w:type="dxa"/>
            <w:left w:w="0" w:type="dxa"/>
            <w:bottom w:w="0" w:type="dxa"/>
            <w:right w:w="0" w:type="dxa"/>
          </w:tblCellMar>
        </w:tblPrEx>
        <w:trPr>
          <w:trHeight w:val="405"/>
        </w:trPr>
        <w:tc>
          <w:tcPr>
            <w:tcW w:w="1591" w:type="pct"/>
            <w:tcBorders>
              <w:tl2br w:val="nil"/>
              <w:tr2bl w:val="nil"/>
            </w:tcBorders>
          </w:tcPr>
          <w:p>
            <w:pPr>
              <w:widowControl/>
              <w:kinsoku w:val="0"/>
              <w:autoSpaceDE w:val="0"/>
              <w:autoSpaceDN w:val="0"/>
              <w:adjustRightInd w:val="0"/>
              <w:snapToGrid w:val="0"/>
              <w:spacing w:line="360" w:lineRule="auto"/>
              <w:ind w:firstLine="0" w:firstLineChars="0"/>
              <w:jc w:val="left"/>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参数估计</w:t>
            </w:r>
          </w:p>
        </w:tc>
        <w:tc>
          <w:tcPr>
            <w:tcW w:w="3408" w:type="pct"/>
            <w:tcBorders>
              <w:tl2br w:val="nil"/>
              <w:tr2bl w:val="nil"/>
            </w:tcBorders>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合理方法处理多脉宽条件下参数估算</w:t>
            </w:r>
          </w:p>
        </w:tc>
      </w:tr>
      <w:tr>
        <w:tblPrEx>
          <w:tblW w:w="4999" w:type="pct"/>
          <w:tblInd w:w="0" w:type="dxa"/>
          <w:tblCellMar>
            <w:top w:w="0" w:type="dxa"/>
            <w:left w:w="0" w:type="dxa"/>
            <w:bottom w:w="0" w:type="dxa"/>
            <w:right w:w="0" w:type="dxa"/>
          </w:tblCellMar>
        </w:tblPrEx>
        <w:trPr>
          <w:trHeight w:val="405"/>
        </w:trPr>
        <w:tc>
          <w:tcPr>
            <w:tcW w:w="1591" w:type="pct"/>
            <w:tcBorders>
              <w:tl2br w:val="nil"/>
              <w:tr2bl w:val="nil"/>
            </w:tcBorders>
          </w:tcPr>
          <w:p>
            <w:pPr>
              <w:widowControl/>
              <w:kinsoku w:val="0"/>
              <w:autoSpaceDE w:val="0"/>
              <w:autoSpaceDN w:val="0"/>
              <w:adjustRightInd w:val="0"/>
              <w:snapToGrid w:val="0"/>
              <w:spacing w:line="360" w:lineRule="auto"/>
              <w:ind w:firstLine="0" w:firstLineChars="0"/>
              <w:jc w:val="left"/>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地物抑制</w:t>
            </w:r>
          </w:p>
        </w:tc>
        <w:tc>
          <w:tcPr>
            <w:tcW w:w="3408" w:type="pct"/>
            <w:tcBorders>
              <w:tl2br w:val="nil"/>
              <w:tr2bl w:val="nil"/>
            </w:tcBorders>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深度学习或其他等效方法</w:t>
            </w:r>
          </w:p>
        </w:tc>
      </w:tr>
      <w:tr>
        <w:tblPrEx>
          <w:tblW w:w="4999" w:type="pct"/>
          <w:tblInd w:w="0" w:type="dxa"/>
          <w:tblCellMar>
            <w:top w:w="0" w:type="dxa"/>
            <w:left w:w="0" w:type="dxa"/>
            <w:bottom w:w="0" w:type="dxa"/>
            <w:right w:w="0" w:type="dxa"/>
          </w:tblCellMar>
        </w:tblPrEx>
        <w:trPr>
          <w:trHeight w:val="478"/>
        </w:trPr>
        <w:tc>
          <w:tcPr>
            <w:tcW w:w="1591" w:type="pct"/>
            <w:tcBorders>
              <w:tl2br w:val="nil"/>
              <w:tr2bl w:val="nil"/>
            </w:tcBorders>
          </w:tcPr>
          <w:p>
            <w:pPr>
              <w:widowControl/>
              <w:kinsoku w:val="0"/>
              <w:autoSpaceDE w:val="0"/>
              <w:autoSpaceDN w:val="0"/>
              <w:adjustRightInd w:val="0"/>
              <w:snapToGrid w:val="0"/>
              <w:spacing w:line="360" w:lineRule="auto"/>
              <w:ind w:firstLine="0" w:firstLineChars="0"/>
              <w:jc w:val="left"/>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故障检测和保护</w:t>
            </w:r>
          </w:p>
        </w:tc>
        <w:tc>
          <w:tcPr>
            <w:tcW w:w="3408" w:type="pct"/>
            <w:tcBorders>
              <w:tl2br w:val="nil"/>
              <w:tr2bl w:val="nil"/>
            </w:tcBorders>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数据丢包，参数输出等故障</w:t>
            </w:r>
          </w:p>
        </w:tc>
      </w:tr>
    </w:tbl>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bookmarkStart w:id="70" w:name="bookmark25"/>
      <w:bookmarkEnd w:id="70"/>
      <w:r>
        <w:rPr>
          <w:rFonts w:ascii="仿宋" w:eastAsia="仿宋" w:hAnsi="仿宋" w:cs="仿宋" w:hint="eastAsia"/>
          <w:kern w:val="2"/>
          <w:sz w:val="28"/>
          <w:szCs w:val="28"/>
          <w:lang w:val="en-US" w:eastAsia="zh-CN" w:bidi="ar-SA"/>
        </w:rPr>
        <w:t>3.8</w:t>
      </w:r>
      <w:r>
        <w:rPr>
          <w:rFonts w:ascii="仿宋" w:eastAsia="仿宋" w:hAnsi="仿宋" w:cs="仿宋" w:hint="eastAsia"/>
          <w:kern w:val="2"/>
          <w:sz w:val="28"/>
          <w:szCs w:val="28"/>
          <w:highlight w:val="yellow"/>
          <w:lang w:val="en-US" w:eastAsia="zh-CN" w:bidi="ar-SA"/>
        </w:rPr>
        <w:t>#</w:t>
      </w:r>
      <w:r>
        <w:rPr>
          <w:rFonts w:ascii="仿宋" w:eastAsia="仿宋" w:hAnsi="仿宋" w:cs="仿宋" w:hint="eastAsia"/>
          <w:kern w:val="2"/>
          <w:sz w:val="28"/>
          <w:szCs w:val="28"/>
          <w:lang w:val="en-US" w:eastAsia="zh-CN" w:bidi="ar-SA"/>
        </w:rPr>
        <w:t>监控技术指标</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在线监测参数详见表9。</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上传周期可任意设置，具备每次扫描完上传参数的功能。</w:t>
      </w: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表</w:t>
      </w:r>
      <w:r>
        <w:rPr>
          <w:rFonts w:ascii="Times New Roman" w:eastAsia="方正小标宋简体" w:hAnsi="Times New Roman" w:cs="Times New Roman" w:hint="eastAsia"/>
          <w:sz w:val="28"/>
          <w:szCs w:val="28"/>
          <w:lang w:val="en-US" w:eastAsia="zh-CN"/>
        </w:rPr>
        <w:t>9</w:t>
      </w:r>
      <w:r>
        <w:rPr>
          <w:rFonts w:ascii="Times New Roman" w:eastAsia="方正小标宋简体" w:hAnsi="Times New Roman" w:cs="Times New Roman" w:hint="eastAsia"/>
          <w:sz w:val="28"/>
          <w:szCs w:val="28"/>
        </w:rPr>
        <w:t xml:space="preserve"> 上传参数列表</w:t>
      </w:r>
    </w:p>
    <w:tbl>
      <w:tblPr>
        <w:tblStyle w:val="TableNormal0"/>
        <w:tblW w:w="4998"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921"/>
        <w:gridCol w:w="3994"/>
        <w:gridCol w:w="3874"/>
      </w:tblGrid>
      <w:tr>
        <w:tblPrEx>
          <w:tblW w:w="4998"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569"/>
        </w:trPr>
        <w:tc>
          <w:tcPr>
            <w:tcW w:w="524" w:type="pct"/>
            <w:vAlign w:val="center"/>
          </w:tcPr>
          <w:p>
            <w:pPr>
              <w:widowControl/>
              <w:kinsoku w:val="0"/>
              <w:autoSpaceDE w:val="0"/>
              <w:autoSpaceDN w:val="0"/>
              <w:adjustRightInd w:val="0"/>
              <w:snapToGrid w:val="0"/>
              <w:spacing w:line="360" w:lineRule="auto"/>
              <w:ind w:left="105" w:leftChars="50"/>
              <w:jc w:val="center"/>
              <w:textAlignment w:val="baseline"/>
              <w:rPr>
                <w:rFonts w:ascii="宋体" w:eastAsia="宋体" w:hAnsi="宋体" w:cs="宋体" w:hint="eastAsia"/>
                <w:b/>
                <w:bCs/>
                <w:kern w:val="0"/>
                <w:lang w:eastAsia="en-US"/>
              </w:rPr>
            </w:pPr>
            <w:r>
              <w:rPr>
                <w:rFonts w:ascii="宋体" w:eastAsia="宋体" w:hAnsi="宋体" w:cs="宋体" w:hint="eastAsia"/>
                <w:b/>
                <w:bCs/>
                <w:kern w:val="0"/>
                <w:sz w:val="24"/>
                <w:szCs w:val="24"/>
                <w:lang w:val="en-US" w:eastAsia="en-US" w:bidi="ar-SA"/>
              </w:rPr>
              <w:t>序号</w:t>
            </w:r>
          </w:p>
        </w:tc>
        <w:tc>
          <w:tcPr>
            <w:tcW w:w="2272" w:type="pct"/>
            <w:vAlign w:val="center"/>
          </w:tcPr>
          <w:p>
            <w:pPr>
              <w:widowControl/>
              <w:kinsoku w:val="0"/>
              <w:autoSpaceDE w:val="0"/>
              <w:autoSpaceDN w:val="0"/>
              <w:adjustRightInd w:val="0"/>
              <w:snapToGrid w:val="0"/>
              <w:spacing w:line="360" w:lineRule="auto"/>
              <w:ind w:left="105" w:leftChars="50"/>
              <w:jc w:val="center"/>
              <w:textAlignment w:val="baseline"/>
              <w:rPr>
                <w:rFonts w:ascii="宋体" w:eastAsia="宋体" w:hAnsi="宋体" w:cs="宋体" w:hint="eastAsia"/>
                <w:b/>
                <w:bCs/>
                <w:kern w:val="0"/>
                <w:lang w:eastAsia="en-US"/>
              </w:rPr>
            </w:pPr>
            <w:r>
              <w:rPr>
                <w:rFonts w:ascii="宋体" w:eastAsia="宋体" w:hAnsi="宋体" w:cs="宋体" w:hint="eastAsia"/>
                <w:b/>
                <w:bCs/>
                <w:kern w:val="0"/>
                <w:sz w:val="24"/>
                <w:szCs w:val="24"/>
                <w:lang w:val="en-US" w:eastAsia="en-US" w:bidi="ar-SA"/>
              </w:rPr>
              <w:t>上传参数</w:t>
            </w:r>
          </w:p>
        </w:tc>
        <w:tc>
          <w:tcPr>
            <w:tcW w:w="2202" w:type="pct"/>
            <w:vAlign w:val="center"/>
          </w:tcPr>
          <w:p>
            <w:pPr>
              <w:widowControl/>
              <w:kinsoku w:val="0"/>
              <w:autoSpaceDE w:val="0"/>
              <w:autoSpaceDN w:val="0"/>
              <w:adjustRightInd w:val="0"/>
              <w:snapToGrid w:val="0"/>
              <w:spacing w:line="360" w:lineRule="auto"/>
              <w:ind w:left="105" w:leftChars="50"/>
              <w:jc w:val="center"/>
              <w:textAlignment w:val="baseline"/>
              <w:rPr>
                <w:rFonts w:ascii="宋体" w:eastAsia="宋体" w:hAnsi="宋体" w:cs="宋体" w:hint="eastAsia"/>
                <w:b/>
                <w:bCs/>
                <w:kern w:val="0"/>
                <w:lang w:eastAsia="en-US"/>
              </w:rPr>
            </w:pPr>
            <w:r>
              <w:rPr>
                <w:rFonts w:ascii="宋体" w:eastAsia="宋体" w:hAnsi="宋体" w:cs="宋体" w:hint="eastAsia"/>
                <w:b/>
                <w:bCs/>
                <w:kern w:val="0"/>
                <w:sz w:val="24"/>
                <w:szCs w:val="24"/>
                <w:lang w:val="en-US" w:eastAsia="en-US" w:bidi="ar-SA"/>
              </w:rPr>
              <w:t>备注</w:t>
            </w:r>
          </w:p>
        </w:tc>
      </w:tr>
      <w:tr>
        <w:tblPrEx>
          <w:tblW w:w="4998" w:type="pct"/>
          <w:tblInd w:w="0" w:type="dxa"/>
          <w:tblCellMar>
            <w:top w:w="0" w:type="dxa"/>
            <w:left w:w="0" w:type="dxa"/>
            <w:bottom w:w="0" w:type="dxa"/>
            <w:right w:w="0" w:type="dxa"/>
          </w:tblCellMar>
        </w:tblPrEx>
        <w:trPr>
          <w:trHeight w:val="564"/>
        </w:trPr>
        <w:tc>
          <w:tcPr>
            <w:tcW w:w="5000" w:type="pct"/>
            <w:gridSpan w:val="3"/>
            <w:vAlign w:val="center"/>
          </w:tcPr>
          <w:p>
            <w:pPr>
              <w:widowControl/>
              <w:kinsoku w:val="0"/>
              <w:autoSpaceDE w:val="0"/>
              <w:autoSpaceDN w:val="0"/>
              <w:adjustRightInd w:val="0"/>
              <w:snapToGrid w:val="0"/>
              <w:spacing w:line="360" w:lineRule="auto"/>
              <w:ind w:left="105" w:leftChars="50"/>
              <w:jc w:val="center"/>
              <w:textAlignment w:val="baseline"/>
              <w:rPr>
                <w:rFonts w:ascii="宋体" w:eastAsia="宋体" w:hAnsi="宋体" w:cs="宋体" w:hint="eastAsia"/>
              </w:rPr>
            </w:pPr>
            <w:r>
              <w:rPr>
                <w:rFonts w:ascii="宋体" w:eastAsia="宋体" w:hAnsi="宋体" w:cs="宋体" w:hint="eastAsia"/>
                <w:b/>
                <w:bCs/>
                <w:kern w:val="0"/>
                <w:sz w:val="24"/>
                <w:szCs w:val="24"/>
                <w:lang w:val="en-US" w:eastAsia="en-US" w:bidi="ar-SA"/>
              </w:rPr>
              <w:t>雷达静态参数</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雷达站号</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2</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站点名称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3</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纬度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4</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经度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5</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天线高度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天线阵面中心高度，单位：m</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6</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地面高度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单位：m</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7</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雷达类型</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8</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雷达型号</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9</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终端软件版本号</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监控软件</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10</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工作频率</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单位：MHz</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11</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水平通道发射增益</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12</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垂直通道发射增益</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13</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水平通道接收增益</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14</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垂直通道接收增益</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15</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水平极化发射波束宽度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16</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垂直极化发射波束宽度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t>
            </w:r>
          </w:p>
        </w:tc>
      </w:tr>
      <w:tr>
        <w:tblPrEx>
          <w:tblW w:w="4998" w:type="pct"/>
          <w:tblInd w:w="0" w:type="dxa"/>
          <w:tblCellMar>
            <w:top w:w="0" w:type="dxa"/>
            <w:left w:w="0" w:type="dxa"/>
            <w:bottom w:w="0" w:type="dxa"/>
            <w:right w:w="0" w:type="dxa"/>
          </w:tblCellMar>
        </w:tblPrEx>
        <w:trPr>
          <w:trHeight w:val="567"/>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17</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水平极化接收波束宽度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18</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垂直极化接收波束宽度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19</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发射馈线损耗</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20</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接收馈线损耗</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21</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其他损耗</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000" w:type="pct"/>
            <w:gridSpan w:val="3"/>
            <w:vAlign w:val="center"/>
          </w:tcPr>
          <w:p>
            <w:pPr>
              <w:widowControl/>
              <w:kinsoku w:val="0"/>
              <w:autoSpaceDE w:val="0"/>
              <w:autoSpaceDN w:val="0"/>
              <w:adjustRightInd w:val="0"/>
              <w:snapToGrid w:val="0"/>
              <w:spacing w:line="360" w:lineRule="auto"/>
              <w:ind w:left="105" w:leftChars="50"/>
              <w:jc w:val="center"/>
              <w:textAlignment w:val="baseline"/>
              <w:rPr>
                <w:rFonts w:ascii="宋体" w:eastAsia="宋体" w:hAnsi="宋体" w:cs="宋体" w:hint="eastAsia"/>
              </w:rPr>
            </w:pPr>
            <w:r>
              <w:rPr>
                <w:rFonts w:ascii="宋体" w:eastAsia="宋体" w:hAnsi="宋体" w:cs="宋体" w:hint="eastAsia"/>
                <w:b/>
                <w:bCs/>
                <w:kern w:val="0"/>
                <w:sz w:val="24"/>
                <w:szCs w:val="24"/>
                <w:lang w:val="en-US" w:eastAsia="en-US" w:bidi="ar-SA"/>
              </w:rPr>
              <w:t>雷达运行模式参数</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22</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日期</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23</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时间</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24</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体扫模式</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25</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控制权标志</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本控、遥控</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26</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系统状态</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正常、可用、需维护、故障、关机</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27</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上传状态数据格式版本号</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28</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雷达标记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相控阵、多普勒、双偏振</w:t>
            </w:r>
          </w:p>
        </w:tc>
      </w:tr>
      <w:tr>
        <w:tblPrEx>
          <w:tblW w:w="4998" w:type="pct"/>
          <w:tblInd w:w="0" w:type="dxa"/>
          <w:tblCellMar>
            <w:top w:w="0" w:type="dxa"/>
            <w:left w:w="0" w:type="dxa"/>
            <w:bottom w:w="0" w:type="dxa"/>
            <w:right w:w="0" w:type="dxa"/>
          </w:tblCellMar>
        </w:tblPrEx>
        <w:trPr>
          <w:trHeight w:val="565"/>
        </w:trPr>
        <w:tc>
          <w:tcPr>
            <w:tcW w:w="5000" w:type="pct"/>
            <w:gridSpan w:val="3"/>
            <w:vAlign w:val="center"/>
          </w:tcPr>
          <w:p>
            <w:pPr>
              <w:widowControl/>
              <w:kinsoku w:val="0"/>
              <w:autoSpaceDE w:val="0"/>
              <w:autoSpaceDN w:val="0"/>
              <w:adjustRightInd w:val="0"/>
              <w:snapToGrid w:val="0"/>
              <w:spacing w:line="360" w:lineRule="auto"/>
              <w:ind w:left="105" w:leftChars="50"/>
              <w:jc w:val="center"/>
              <w:textAlignment w:val="baseline"/>
              <w:rPr>
                <w:rFonts w:ascii="宋体" w:eastAsia="宋体" w:hAnsi="宋体" w:cs="宋体" w:hint="eastAsia"/>
              </w:rPr>
            </w:pPr>
            <w:r>
              <w:rPr>
                <w:rFonts w:ascii="宋体" w:eastAsia="宋体" w:hAnsi="宋体" w:cs="宋体" w:hint="eastAsia"/>
                <w:b/>
                <w:bCs/>
                <w:kern w:val="0"/>
                <w:sz w:val="24"/>
                <w:szCs w:val="24"/>
                <w:lang w:val="en-US" w:eastAsia="en-US" w:bidi="ar-SA"/>
              </w:rPr>
              <w:t>雷达运行环境参数</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29</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阵面温度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30</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各组件温度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31</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底座温度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32</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组件总电压</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单位：V</w:t>
            </w:r>
          </w:p>
        </w:tc>
      </w:tr>
      <w:tr>
        <w:tblPrEx>
          <w:tblW w:w="4998" w:type="pct"/>
          <w:tblInd w:w="0" w:type="dxa"/>
          <w:tblCellMar>
            <w:top w:w="0" w:type="dxa"/>
            <w:left w:w="0" w:type="dxa"/>
            <w:bottom w:w="0" w:type="dxa"/>
            <w:right w:w="0" w:type="dxa"/>
          </w:tblCellMar>
        </w:tblPrEx>
        <w:trPr>
          <w:trHeight w:val="578"/>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33</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组件总电流</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单位：A</w:t>
            </w:r>
          </w:p>
        </w:tc>
      </w:tr>
      <w:tr>
        <w:tblPrEx>
          <w:tblW w:w="4998" w:type="pct"/>
          <w:tblInd w:w="0" w:type="dxa"/>
          <w:tblCellMar>
            <w:top w:w="0" w:type="dxa"/>
            <w:left w:w="0" w:type="dxa"/>
            <w:bottom w:w="0" w:type="dxa"/>
            <w:right w:w="0" w:type="dxa"/>
          </w:tblCellMar>
        </w:tblPrEx>
        <w:trPr>
          <w:trHeight w:val="578"/>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34</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各组件功率</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35</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各组件工作状态</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正常、警告、故障</w:t>
            </w:r>
          </w:p>
        </w:tc>
      </w:tr>
      <w:tr>
        <w:tblPrEx>
          <w:tblW w:w="4998" w:type="pct"/>
          <w:tblInd w:w="0" w:type="dxa"/>
          <w:tblCellMar>
            <w:top w:w="0" w:type="dxa"/>
            <w:left w:w="0" w:type="dxa"/>
            <w:bottom w:w="0" w:type="dxa"/>
            <w:right w:w="0" w:type="dxa"/>
          </w:tblCellMar>
        </w:tblPrEx>
        <w:trPr>
          <w:trHeight w:val="565"/>
        </w:trPr>
        <w:tc>
          <w:tcPr>
            <w:tcW w:w="5000" w:type="pct"/>
            <w:gridSpan w:val="3"/>
            <w:vAlign w:val="center"/>
          </w:tcPr>
          <w:p>
            <w:pPr>
              <w:widowControl/>
              <w:kinsoku w:val="0"/>
              <w:autoSpaceDE w:val="0"/>
              <w:autoSpaceDN w:val="0"/>
              <w:adjustRightInd w:val="0"/>
              <w:snapToGrid w:val="0"/>
              <w:spacing w:line="360" w:lineRule="auto"/>
              <w:ind w:left="105" w:leftChars="50"/>
              <w:jc w:val="center"/>
              <w:textAlignment w:val="baseline"/>
              <w:rPr>
                <w:rFonts w:ascii="宋体" w:eastAsia="宋体" w:hAnsi="宋体" w:cs="宋体" w:hint="eastAsia"/>
              </w:rPr>
            </w:pPr>
            <w:r>
              <w:rPr>
                <w:rFonts w:ascii="宋体" w:eastAsia="宋体" w:hAnsi="宋体" w:cs="宋体" w:hint="eastAsia"/>
                <w:b/>
                <w:bCs/>
                <w:sz w:val="24"/>
                <w:szCs w:val="24"/>
              </w:rPr>
              <w:t>雷达在线标定参数</w:t>
            </w:r>
          </w:p>
        </w:tc>
      </w:tr>
      <w:tr>
        <w:tblPrEx>
          <w:tblW w:w="4998" w:type="pct"/>
          <w:tblInd w:w="0" w:type="dxa"/>
          <w:tblCellMar>
            <w:top w:w="0" w:type="dxa"/>
            <w:left w:w="0" w:type="dxa"/>
            <w:bottom w:w="0" w:type="dxa"/>
            <w:right w:w="0" w:type="dxa"/>
          </w:tblCellMar>
        </w:tblPrEx>
        <w:trPr>
          <w:trHeight w:val="567"/>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36</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水平通道滤波前回波强度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单位：dBZ</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37</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水平通道滤波后回波强度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单位：dBZ</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38</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垂直通道滤波前回波强度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单位：dBZ</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39</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垂直通道滤波后回波强度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单位：dBZ</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40</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各水平极化单元峰值功率</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41</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各垂直极化单元峰值功率</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42</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水平极化短脉冲宽度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单位：μs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43</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水平极化中脉冲宽度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单位：μs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44</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水平极化长脉冲宽度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单位：μs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45</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垂直极化短脉冲宽度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单位：μs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46</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垂直极化中脉冲宽度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单位：μs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47</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垂直极化长脉冲宽度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单位：μs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48</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水平极化短脉冲噪声系数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49</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水平极化中脉冲噪声系数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50</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水平极化长脉冲噪声系数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51</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垂直极化短脉冲噪声系数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52</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垂直极化中脉冲噪声系数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53</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垂直极化长脉冲噪声系数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54</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反射率因子期望值</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单位：dBZ</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55</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反射率因子测量值</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单位：dBZ</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56</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速度期望值</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单位：m/s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57</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速度测量值</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单位：m/s</w:t>
            </w:r>
          </w:p>
        </w:tc>
      </w:tr>
      <w:tr>
        <w:tblPrEx>
          <w:tblW w:w="4998" w:type="pct"/>
          <w:tblInd w:w="0" w:type="dxa"/>
          <w:tblCellMar>
            <w:top w:w="0" w:type="dxa"/>
            <w:left w:w="0" w:type="dxa"/>
            <w:bottom w:w="0" w:type="dxa"/>
            <w:right w:w="0" w:type="dxa"/>
          </w:tblCellMar>
        </w:tblPrEx>
        <w:trPr>
          <w:trHeight w:val="567"/>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58</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谱宽期望值</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单位：m/s</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59</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谱宽测量值</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单位：m/s</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60</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ZDR标定值</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61</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ΦDP标定值</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62</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短脉冲系统标定常数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63</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中脉冲系统标定常数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64</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长脉冲系统标定常数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65</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其他脉冲宽度系统标定常数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66</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各发射单元幅度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67</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各发射单元相位</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68</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各接收单元幅度</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69</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各接收单元相位</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70</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水平极化系统发射功率</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71</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垂直极化系统发射功率</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72</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水平极化系统接收增益</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73</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垂直极化系统接收增益</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74</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各水平极化单元相位噪声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75</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各垂直极化单元相位噪声</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76</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各水平极化单元不同脉宽噪声电平</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r>
        <w:tblPrEx>
          <w:tblW w:w="4998" w:type="pct"/>
          <w:tblInd w:w="0" w:type="dxa"/>
          <w:tblCellMar>
            <w:top w:w="0" w:type="dxa"/>
            <w:left w:w="0" w:type="dxa"/>
            <w:bottom w:w="0" w:type="dxa"/>
            <w:right w:w="0" w:type="dxa"/>
          </w:tblCellMar>
        </w:tblPrEx>
        <w:trPr>
          <w:trHeight w:val="569"/>
        </w:trPr>
        <w:tc>
          <w:tcPr>
            <w:tcW w:w="524"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77</w:t>
            </w:r>
          </w:p>
        </w:tc>
        <w:tc>
          <w:tcPr>
            <w:tcW w:w="227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各垂直极化单元不同脉宽噪声电平</w:t>
            </w:r>
          </w:p>
        </w:tc>
        <w:tc>
          <w:tcPr>
            <w:tcW w:w="22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单位：dB</w:t>
            </w:r>
          </w:p>
        </w:tc>
      </w:tr>
    </w:tbl>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3.9气象产品要求</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（1）数据质量控制</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质量控制算法不少于7种，利用不少于3年的雷达标准数据集进行评估，算法质量需满足指标要求，具体见表10。</w:t>
      </w: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表</w:t>
      </w:r>
      <w:r>
        <w:rPr>
          <w:rFonts w:ascii="Times New Roman" w:eastAsia="方正小标宋简体" w:hAnsi="Times New Roman" w:cs="Times New Roman" w:hint="eastAsia"/>
          <w:sz w:val="28"/>
          <w:szCs w:val="28"/>
          <w:lang w:val="en-US" w:eastAsia="zh-CN"/>
        </w:rPr>
        <w:t>10</w:t>
      </w:r>
      <w:r>
        <w:rPr>
          <w:rFonts w:ascii="Times New Roman" w:eastAsia="方正小标宋简体" w:hAnsi="Times New Roman" w:cs="Times New Roman" w:hint="eastAsia"/>
          <w:sz w:val="28"/>
          <w:szCs w:val="28"/>
        </w:rPr>
        <w:t xml:space="preserve"> 质控算法列表</w:t>
      </w:r>
    </w:p>
    <w:tbl>
      <w:tblPr>
        <w:tblStyle w:val="TableNormal0"/>
        <w:tblW w:w="5002"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766"/>
        <w:gridCol w:w="3963"/>
        <w:gridCol w:w="4068"/>
      </w:tblGrid>
      <w:tr>
        <w:tblPrEx>
          <w:tblW w:w="5002"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570"/>
        </w:trPr>
        <w:tc>
          <w:tcPr>
            <w:tcW w:w="435"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b/>
                <w:bCs/>
              </w:rPr>
            </w:pPr>
            <w:r>
              <w:rPr>
                <w:rFonts w:ascii="宋体" w:eastAsia="宋体" w:hAnsi="宋体" w:cs="宋体" w:hint="eastAsia"/>
                <w:b/>
                <w:bCs/>
                <w:kern w:val="0"/>
                <w:sz w:val="24"/>
                <w:szCs w:val="24"/>
                <w:lang w:val="en-US" w:eastAsia="en-US" w:bidi="ar-SA"/>
              </w:rPr>
              <w:t>序号</w:t>
            </w:r>
          </w:p>
        </w:tc>
        <w:tc>
          <w:tcPr>
            <w:tcW w:w="225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kern w:val="0"/>
                <w:lang w:eastAsia="en-US"/>
              </w:rPr>
            </w:pPr>
            <w:r>
              <w:rPr>
                <w:rFonts w:ascii="宋体" w:eastAsia="宋体" w:hAnsi="宋体" w:cs="宋体" w:hint="eastAsia"/>
                <w:b/>
                <w:bCs/>
                <w:kern w:val="0"/>
                <w:sz w:val="24"/>
                <w:szCs w:val="24"/>
                <w:lang w:val="en-US" w:eastAsia="en-US" w:bidi="ar-SA"/>
              </w:rPr>
              <w:t>算法名称</w:t>
            </w:r>
          </w:p>
        </w:tc>
        <w:tc>
          <w:tcPr>
            <w:tcW w:w="231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kern w:val="0"/>
                <w:lang w:eastAsia="en-US"/>
              </w:rPr>
            </w:pPr>
            <w:r>
              <w:rPr>
                <w:rFonts w:ascii="宋体" w:eastAsia="宋体" w:hAnsi="宋体" w:cs="宋体" w:hint="eastAsia"/>
                <w:b/>
                <w:bCs/>
                <w:kern w:val="0"/>
                <w:sz w:val="24"/>
                <w:szCs w:val="24"/>
                <w:lang w:val="en-US" w:eastAsia="en-US" w:bidi="ar-SA"/>
              </w:rPr>
              <w:t>指标要求</w:t>
            </w:r>
          </w:p>
        </w:tc>
      </w:tr>
      <w:tr>
        <w:tblPrEx>
          <w:tblW w:w="5002" w:type="pct"/>
          <w:tblInd w:w="0" w:type="dxa"/>
          <w:tblCellMar>
            <w:top w:w="0" w:type="dxa"/>
            <w:left w:w="0" w:type="dxa"/>
            <w:bottom w:w="0" w:type="dxa"/>
            <w:right w:w="0" w:type="dxa"/>
          </w:tblCellMar>
        </w:tblPrEx>
        <w:trPr>
          <w:trHeight w:val="963"/>
        </w:trPr>
        <w:tc>
          <w:tcPr>
            <w:tcW w:w="435"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1</w:t>
            </w:r>
          </w:p>
        </w:tc>
        <w:tc>
          <w:tcPr>
            <w:tcW w:w="225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反射率因子衰减订正</w:t>
            </w:r>
          </w:p>
        </w:tc>
        <w:tc>
          <w:tcPr>
            <w:tcW w:w="231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衰减订正后，与相邻S波段雷达相比平均偏差≤2.5dB</w:t>
            </w:r>
          </w:p>
        </w:tc>
      </w:tr>
      <w:tr>
        <w:tblPrEx>
          <w:tblW w:w="5002" w:type="pct"/>
          <w:tblInd w:w="0" w:type="dxa"/>
          <w:tblCellMar>
            <w:top w:w="0" w:type="dxa"/>
            <w:left w:w="0" w:type="dxa"/>
            <w:bottom w:w="0" w:type="dxa"/>
            <w:right w:w="0" w:type="dxa"/>
          </w:tblCellMar>
        </w:tblPrEx>
        <w:trPr>
          <w:trHeight w:val="963"/>
        </w:trPr>
        <w:tc>
          <w:tcPr>
            <w:tcW w:w="435"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2</w:t>
            </w:r>
          </w:p>
        </w:tc>
        <w:tc>
          <w:tcPr>
            <w:tcW w:w="225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差分反射率因子衰减订正</w:t>
            </w:r>
          </w:p>
        </w:tc>
        <w:tc>
          <w:tcPr>
            <w:tcW w:w="231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衰减订正后，与相邻S波段雷达相比平均偏差≤0.5dB</w:t>
            </w:r>
          </w:p>
        </w:tc>
      </w:tr>
      <w:tr>
        <w:tblPrEx>
          <w:tblW w:w="5002" w:type="pct"/>
          <w:tblInd w:w="0" w:type="dxa"/>
          <w:tblCellMar>
            <w:top w:w="0" w:type="dxa"/>
            <w:left w:w="0" w:type="dxa"/>
            <w:bottom w:w="0" w:type="dxa"/>
            <w:right w:w="0" w:type="dxa"/>
          </w:tblCellMar>
        </w:tblPrEx>
        <w:trPr>
          <w:trHeight w:val="855"/>
        </w:trPr>
        <w:tc>
          <w:tcPr>
            <w:tcW w:w="435"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3</w:t>
            </w:r>
          </w:p>
        </w:tc>
        <w:tc>
          <w:tcPr>
            <w:tcW w:w="225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地物、超折射、海浪等非降水回波消除</w:t>
            </w:r>
          </w:p>
        </w:tc>
        <w:tc>
          <w:tcPr>
            <w:tcW w:w="231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非降水回波识别准确率≥90%，且降水回波误判率≤5%</w:t>
            </w:r>
          </w:p>
        </w:tc>
      </w:tr>
      <w:tr>
        <w:tblPrEx>
          <w:tblW w:w="5002" w:type="pct"/>
          <w:tblInd w:w="0" w:type="dxa"/>
          <w:tblCellMar>
            <w:top w:w="0" w:type="dxa"/>
            <w:left w:w="0" w:type="dxa"/>
            <w:bottom w:w="0" w:type="dxa"/>
            <w:right w:w="0" w:type="dxa"/>
          </w:tblCellMar>
        </w:tblPrEx>
        <w:trPr>
          <w:trHeight w:val="903"/>
        </w:trPr>
        <w:tc>
          <w:tcPr>
            <w:tcW w:w="435"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4</w:t>
            </w:r>
          </w:p>
        </w:tc>
        <w:tc>
          <w:tcPr>
            <w:tcW w:w="225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径向干扰剔除</w:t>
            </w:r>
          </w:p>
        </w:tc>
        <w:tc>
          <w:tcPr>
            <w:tcW w:w="231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径向干扰识别准确率≥90%，且降水回波误判率≤5%</w:t>
            </w:r>
          </w:p>
        </w:tc>
      </w:tr>
      <w:tr>
        <w:tblPrEx>
          <w:tblW w:w="5002" w:type="pct"/>
          <w:tblInd w:w="0" w:type="dxa"/>
          <w:tblCellMar>
            <w:top w:w="0" w:type="dxa"/>
            <w:left w:w="0" w:type="dxa"/>
            <w:bottom w:w="0" w:type="dxa"/>
            <w:right w:w="0" w:type="dxa"/>
          </w:tblCellMar>
        </w:tblPrEx>
        <w:trPr>
          <w:trHeight w:val="855"/>
        </w:trPr>
        <w:tc>
          <w:tcPr>
            <w:tcW w:w="435"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5</w:t>
            </w:r>
          </w:p>
        </w:tc>
        <w:tc>
          <w:tcPr>
            <w:tcW w:w="225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径向速度退模糊</w:t>
            </w:r>
          </w:p>
        </w:tc>
        <w:tc>
          <w:tcPr>
            <w:tcW w:w="231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速度退模糊正确率≥90%，且标准偏差≤2m/s</w:t>
            </w:r>
          </w:p>
        </w:tc>
      </w:tr>
      <w:tr>
        <w:tblPrEx>
          <w:tblW w:w="5002" w:type="pct"/>
          <w:tblInd w:w="0" w:type="dxa"/>
          <w:tblCellMar>
            <w:top w:w="0" w:type="dxa"/>
            <w:left w:w="0" w:type="dxa"/>
            <w:bottom w:w="0" w:type="dxa"/>
            <w:right w:w="0" w:type="dxa"/>
          </w:tblCellMar>
        </w:tblPrEx>
        <w:trPr>
          <w:trHeight w:val="565"/>
        </w:trPr>
        <w:tc>
          <w:tcPr>
            <w:tcW w:w="435"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6</w:t>
            </w:r>
          </w:p>
        </w:tc>
        <w:tc>
          <w:tcPr>
            <w:tcW w:w="225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差分相移退折叠</w:t>
            </w:r>
          </w:p>
        </w:tc>
        <w:tc>
          <w:tcPr>
            <w:tcW w:w="231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退折叠正确率≥95%</w:t>
            </w:r>
          </w:p>
        </w:tc>
      </w:tr>
      <w:tr>
        <w:tblPrEx>
          <w:tblW w:w="5002" w:type="pct"/>
          <w:tblInd w:w="0" w:type="dxa"/>
          <w:tblCellMar>
            <w:top w:w="0" w:type="dxa"/>
            <w:left w:w="0" w:type="dxa"/>
            <w:bottom w:w="0" w:type="dxa"/>
            <w:right w:w="0" w:type="dxa"/>
          </w:tblCellMar>
        </w:tblPrEx>
        <w:trPr>
          <w:trHeight w:val="413"/>
        </w:trPr>
        <w:tc>
          <w:tcPr>
            <w:tcW w:w="435"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7</w:t>
            </w:r>
          </w:p>
        </w:tc>
        <w:tc>
          <w:tcPr>
            <w:tcW w:w="225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差分传播相移率估算</w:t>
            </w:r>
          </w:p>
        </w:tc>
        <w:tc>
          <w:tcPr>
            <w:tcW w:w="231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满足合理性评估要求</w:t>
            </w:r>
          </w:p>
        </w:tc>
      </w:tr>
    </w:tbl>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（2）气象产品种类</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气象产品应包含但不限于以下内容，可以根据雷达实际用途进行扩展。</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1）基本产品</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基本产品不少于10种，具体见表11。</w:t>
      </w: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表1</w:t>
      </w:r>
      <w:r>
        <w:rPr>
          <w:rFonts w:ascii="Times New Roman" w:eastAsia="方正小标宋简体" w:hAnsi="Times New Roman" w:cs="Times New Roman" w:hint="eastAsia"/>
          <w:sz w:val="28"/>
          <w:szCs w:val="28"/>
          <w:lang w:val="en-US" w:eastAsia="zh-CN"/>
        </w:rPr>
        <w:t>1</w:t>
      </w:r>
      <w:r>
        <w:rPr>
          <w:rFonts w:ascii="Times New Roman" w:eastAsia="方正小标宋简体" w:hAnsi="Times New Roman" w:cs="Times New Roman" w:hint="eastAsia"/>
          <w:sz w:val="28"/>
          <w:szCs w:val="28"/>
        </w:rPr>
        <w:t xml:space="preserve"> 基本产品列表</w:t>
      </w:r>
    </w:p>
    <w:tbl>
      <w:tblPr>
        <w:tblStyle w:val="TableNormal0"/>
        <w:tblpPr w:leftFromText="180" w:rightFromText="180" w:vertAnchor="text" w:horzAnchor="page" w:tblpX="1695" w:tblpY="462"/>
        <w:tblOverlap w:val="never"/>
        <w:tblW w:w="5002"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1359"/>
        <w:gridCol w:w="4433"/>
        <w:gridCol w:w="3063"/>
      </w:tblGrid>
      <w:tr>
        <w:tblPrEx>
          <w:tblW w:w="5002"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569"/>
        </w:trPr>
        <w:tc>
          <w:tcPr>
            <w:tcW w:w="767"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kern w:val="0"/>
                <w:lang w:eastAsia="en-US"/>
              </w:rPr>
            </w:pPr>
            <w:r>
              <w:rPr>
                <w:rFonts w:ascii="宋体" w:eastAsia="宋体" w:hAnsi="宋体" w:cs="宋体" w:hint="eastAsia"/>
                <w:b/>
                <w:bCs/>
                <w:kern w:val="0"/>
                <w:sz w:val="24"/>
                <w:szCs w:val="24"/>
                <w:lang w:val="en-US" w:eastAsia="en-US" w:bidi="ar-SA"/>
              </w:rPr>
              <w:t>序号</w:t>
            </w:r>
          </w:p>
        </w:tc>
        <w:tc>
          <w:tcPr>
            <w:tcW w:w="25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kern w:val="0"/>
                <w:lang w:eastAsia="en-US"/>
              </w:rPr>
            </w:pPr>
            <w:r>
              <w:rPr>
                <w:rFonts w:ascii="宋体" w:eastAsia="宋体" w:hAnsi="宋体" w:cs="宋体" w:hint="eastAsia"/>
                <w:b/>
                <w:bCs/>
                <w:kern w:val="0"/>
                <w:sz w:val="24"/>
                <w:szCs w:val="24"/>
                <w:lang w:val="en-US" w:eastAsia="en-US" w:bidi="ar-SA"/>
              </w:rPr>
              <w:t>产品名称</w:t>
            </w:r>
          </w:p>
        </w:tc>
        <w:tc>
          <w:tcPr>
            <w:tcW w:w="1729"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kern w:val="0"/>
                <w:lang w:eastAsia="en-US"/>
              </w:rPr>
            </w:pPr>
            <w:r>
              <w:rPr>
                <w:rFonts w:ascii="宋体" w:eastAsia="宋体" w:hAnsi="宋体" w:cs="宋体" w:hint="eastAsia"/>
                <w:b/>
                <w:bCs/>
                <w:kern w:val="0"/>
                <w:sz w:val="24"/>
                <w:szCs w:val="24"/>
                <w:lang w:val="en-US" w:eastAsia="en-US" w:bidi="ar-SA"/>
              </w:rPr>
              <w:t>产品标识</w:t>
            </w:r>
          </w:p>
        </w:tc>
      </w:tr>
      <w:tr>
        <w:tblPrEx>
          <w:tblW w:w="5002" w:type="pct"/>
          <w:tblInd w:w="0" w:type="dxa"/>
          <w:tblCellMar>
            <w:top w:w="0" w:type="dxa"/>
            <w:left w:w="0" w:type="dxa"/>
            <w:bottom w:w="0" w:type="dxa"/>
            <w:right w:w="0" w:type="dxa"/>
          </w:tblCellMar>
        </w:tblPrEx>
        <w:trPr>
          <w:trHeight w:val="564"/>
        </w:trPr>
        <w:tc>
          <w:tcPr>
            <w:tcW w:w="767"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1</w:t>
            </w:r>
          </w:p>
        </w:tc>
        <w:tc>
          <w:tcPr>
            <w:tcW w:w="25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滤波前回波强度</w:t>
            </w:r>
          </w:p>
        </w:tc>
        <w:tc>
          <w:tcPr>
            <w:tcW w:w="1729"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TR</w:t>
            </w:r>
          </w:p>
        </w:tc>
      </w:tr>
      <w:tr>
        <w:tblPrEx>
          <w:tblW w:w="5002" w:type="pct"/>
          <w:tblInd w:w="0" w:type="dxa"/>
          <w:tblCellMar>
            <w:top w:w="0" w:type="dxa"/>
            <w:left w:w="0" w:type="dxa"/>
            <w:bottom w:w="0" w:type="dxa"/>
            <w:right w:w="0" w:type="dxa"/>
          </w:tblCellMar>
        </w:tblPrEx>
        <w:trPr>
          <w:trHeight w:val="564"/>
        </w:trPr>
        <w:tc>
          <w:tcPr>
            <w:tcW w:w="767"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2</w:t>
            </w:r>
          </w:p>
        </w:tc>
        <w:tc>
          <w:tcPr>
            <w:tcW w:w="25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滤波后回波强度</w:t>
            </w:r>
          </w:p>
        </w:tc>
        <w:tc>
          <w:tcPr>
            <w:tcW w:w="1729"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R</w:t>
            </w:r>
          </w:p>
        </w:tc>
      </w:tr>
      <w:tr>
        <w:tblPrEx>
          <w:tblW w:w="5002" w:type="pct"/>
          <w:tblInd w:w="0" w:type="dxa"/>
          <w:tblCellMar>
            <w:top w:w="0" w:type="dxa"/>
            <w:left w:w="0" w:type="dxa"/>
            <w:bottom w:w="0" w:type="dxa"/>
            <w:right w:w="0" w:type="dxa"/>
          </w:tblCellMar>
        </w:tblPrEx>
        <w:trPr>
          <w:trHeight w:val="564"/>
        </w:trPr>
        <w:tc>
          <w:tcPr>
            <w:tcW w:w="767"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3</w:t>
            </w:r>
          </w:p>
        </w:tc>
        <w:tc>
          <w:tcPr>
            <w:tcW w:w="25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径向速度</w:t>
            </w:r>
          </w:p>
        </w:tc>
        <w:tc>
          <w:tcPr>
            <w:tcW w:w="1729"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V</w:t>
            </w:r>
          </w:p>
        </w:tc>
      </w:tr>
      <w:tr>
        <w:tblPrEx>
          <w:tblW w:w="5002" w:type="pct"/>
          <w:tblInd w:w="0" w:type="dxa"/>
          <w:tblCellMar>
            <w:top w:w="0" w:type="dxa"/>
            <w:left w:w="0" w:type="dxa"/>
            <w:bottom w:w="0" w:type="dxa"/>
            <w:right w:w="0" w:type="dxa"/>
          </w:tblCellMar>
        </w:tblPrEx>
        <w:trPr>
          <w:trHeight w:val="564"/>
        </w:trPr>
        <w:tc>
          <w:tcPr>
            <w:tcW w:w="767"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4</w:t>
            </w:r>
          </w:p>
        </w:tc>
        <w:tc>
          <w:tcPr>
            <w:tcW w:w="25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速度谱宽</w:t>
            </w:r>
          </w:p>
        </w:tc>
        <w:tc>
          <w:tcPr>
            <w:tcW w:w="1729"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SW</w:t>
            </w:r>
          </w:p>
        </w:tc>
      </w:tr>
      <w:tr>
        <w:tblPrEx>
          <w:tblW w:w="5002" w:type="pct"/>
          <w:tblInd w:w="0" w:type="dxa"/>
          <w:tblCellMar>
            <w:top w:w="0" w:type="dxa"/>
            <w:left w:w="0" w:type="dxa"/>
            <w:bottom w:w="0" w:type="dxa"/>
            <w:right w:w="0" w:type="dxa"/>
          </w:tblCellMar>
        </w:tblPrEx>
        <w:trPr>
          <w:trHeight w:val="565"/>
        </w:trPr>
        <w:tc>
          <w:tcPr>
            <w:tcW w:w="767"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5</w:t>
            </w:r>
          </w:p>
        </w:tc>
        <w:tc>
          <w:tcPr>
            <w:tcW w:w="25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差分反射率因子</w:t>
            </w:r>
          </w:p>
        </w:tc>
        <w:tc>
          <w:tcPr>
            <w:tcW w:w="1729"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ZDR</w:t>
            </w:r>
          </w:p>
        </w:tc>
      </w:tr>
      <w:tr>
        <w:tblPrEx>
          <w:tblW w:w="5002" w:type="pct"/>
          <w:tblInd w:w="0" w:type="dxa"/>
          <w:tblCellMar>
            <w:top w:w="0" w:type="dxa"/>
            <w:left w:w="0" w:type="dxa"/>
            <w:bottom w:w="0" w:type="dxa"/>
            <w:right w:w="0" w:type="dxa"/>
          </w:tblCellMar>
        </w:tblPrEx>
        <w:trPr>
          <w:trHeight w:val="565"/>
        </w:trPr>
        <w:tc>
          <w:tcPr>
            <w:tcW w:w="767"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6</w:t>
            </w:r>
          </w:p>
        </w:tc>
        <w:tc>
          <w:tcPr>
            <w:tcW w:w="25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差分传播相移</w:t>
            </w:r>
          </w:p>
        </w:tc>
        <w:tc>
          <w:tcPr>
            <w:tcW w:w="1729"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PDP</w:t>
            </w:r>
          </w:p>
        </w:tc>
      </w:tr>
      <w:tr>
        <w:tblPrEx>
          <w:tblW w:w="5002" w:type="pct"/>
          <w:tblInd w:w="0" w:type="dxa"/>
          <w:tblCellMar>
            <w:top w:w="0" w:type="dxa"/>
            <w:left w:w="0" w:type="dxa"/>
            <w:bottom w:w="0" w:type="dxa"/>
            <w:right w:w="0" w:type="dxa"/>
          </w:tblCellMar>
        </w:tblPrEx>
        <w:trPr>
          <w:trHeight w:val="565"/>
        </w:trPr>
        <w:tc>
          <w:tcPr>
            <w:tcW w:w="767"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7</w:t>
            </w:r>
          </w:p>
        </w:tc>
        <w:tc>
          <w:tcPr>
            <w:tcW w:w="25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差分传播相移率</w:t>
            </w:r>
          </w:p>
        </w:tc>
        <w:tc>
          <w:tcPr>
            <w:tcW w:w="1729"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KDP</w:t>
            </w:r>
          </w:p>
        </w:tc>
      </w:tr>
      <w:tr>
        <w:tblPrEx>
          <w:tblW w:w="5002" w:type="pct"/>
          <w:tblInd w:w="0" w:type="dxa"/>
          <w:tblCellMar>
            <w:top w:w="0" w:type="dxa"/>
            <w:left w:w="0" w:type="dxa"/>
            <w:bottom w:w="0" w:type="dxa"/>
            <w:right w:w="0" w:type="dxa"/>
          </w:tblCellMar>
        </w:tblPrEx>
        <w:trPr>
          <w:trHeight w:val="565"/>
        </w:trPr>
        <w:tc>
          <w:tcPr>
            <w:tcW w:w="767"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8</w:t>
            </w:r>
          </w:p>
        </w:tc>
        <w:tc>
          <w:tcPr>
            <w:tcW w:w="25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相关系数</w:t>
            </w:r>
          </w:p>
        </w:tc>
        <w:tc>
          <w:tcPr>
            <w:tcW w:w="1729"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CC</w:t>
            </w:r>
          </w:p>
        </w:tc>
      </w:tr>
      <w:tr>
        <w:tblPrEx>
          <w:tblW w:w="5002" w:type="pct"/>
          <w:tblInd w:w="0" w:type="dxa"/>
          <w:tblCellMar>
            <w:top w:w="0" w:type="dxa"/>
            <w:left w:w="0" w:type="dxa"/>
            <w:bottom w:w="0" w:type="dxa"/>
            <w:right w:w="0" w:type="dxa"/>
          </w:tblCellMar>
        </w:tblPrEx>
        <w:trPr>
          <w:trHeight w:val="565"/>
        </w:trPr>
        <w:tc>
          <w:tcPr>
            <w:tcW w:w="767"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9</w:t>
            </w:r>
          </w:p>
        </w:tc>
        <w:tc>
          <w:tcPr>
            <w:tcW w:w="25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水平通道信噪比</w:t>
            </w:r>
          </w:p>
        </w:tc>
        <w:tc>
          <w:tcPr>
            <w:tcW w:w="1729"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SNRH</w:t>
            </w:r>
          </w:p>
        </w:tc>
      </w:tr>
      <w:tr>
        <w:tblPrEx>
          <w:tblW w:w="5002" w:type="pct"/>
          <w:tblInd w:w="0" w:type="dxa"/>
          <w:tblCellMar>
            <w:top w:w="0" w:type="dxa"/>
            <w:left w:w="0" w:type="dxa"/>
            <w:bottom w:w="0" w:type="dxa"/>
            <w:right w:w="0" w:type="dxa"/>
          </w:tblCellMar>
        </w:tblPrEx>
        <w:trPr>
          <w:trHeight w:val="569"/>
        </w:trPr>
        <w:tc>
          <w:tcPr>
            <w:tcW w:w="767"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10</w:t>
            </w:r>
          </w:p>
        </w:tc>
        <w:tc>
          <w:tcPr>
            <w:tcW w:w="25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垂直通道信噪比</w:t>
            </w:r>
          </w:p>
        </w:tc>
        <w:tc>
          <w:tcPr>
            <w:tcW w:w="1729"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SNRV</w:t>
            </w:r>
          </w:p>
        </w:tc>
      </w:tr>
    </w:tbl>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2）二次产品</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二次产品包括物理量产品和识别类产品2类，其中物理量产品不少于14种、识别类产品不少于9种。如表12所示。</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二次产品需利用不少于3年的雷达标准数据集，对产品的合理性进行评估，即利用探测覆盖区域重叠的最相邻机械扫描雷达生成的对应产品进行一致性、连续性对比，判断产品的变化是否一致，前后时序变化是否连续等。</w:t>
      </w: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表1</w:t>
      </w:r>
      <w:r>
        <w:rPr>
          <w:rFonts w:ascii="Times New Roman" w:eastAsia="方正小标宋简体" w:hAnsi="Times New Roman" w:cs="Times New Roman" w:hint="eastAsia"/>
          <w:sz w:val="28"/>
          <w:szCs w:val="28"/>
          <w:lang w:val="en-US" w:eastAsia="zh-CN"/>
        </w:rPr>
        <w:t>2</w:t>
      </w:r>
      <w:r>
        <w:rPr>
          <w:rFonts w:ascii="Times New Roman" w:eastAsia="方正小标宋简体" w:hAnsi="Times New Roman" w:cs="Times New Roman" w:hint="eastAsia"/>
          <w:sz w:val="28"/>
          <w:szCs w:val="28"/>
        </w:rPr>
        <w:t xml:space="preserve"> 二次产品列表</w:t>
      </w:r>
    </w:p>
    <w:tbl>
      <w:tblPr>
        <w:tblStyle w:val="TableNormal0"/>
        <w:tblW w:w="5001"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846"/>
        <w:gridCol w:w="1435"/>
        <w:gridCol w:w="4223"/>
        <w:gridCol w:w="2291"/>
      </w:tblGrid>
      <w:tr>
        <w:tblPrEx>
          <w:tblW w:w="5001"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568"/>
        </w:trPr>
        <w:tc>
          <w:tcPr>
            <w:tcW w:w="481"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kern w:val="0"/>
                <w:lang w:eastAsia="en-US"/>
              </w:rPr>
            </w:pPr>
            <w:r>
              <w:rPr>
                <w:rFonts w:ascii="宋体" w:eastAsia="宋体" w:hAnsi="宋体" w:cs="宋体" w:hint="eastAsia"/>
                <w:b/>
                <w:bCs/>
                <w:kern w:val="0"/>
                <w:sz w:val="24"/>
                <w:szCs w:val="24"/>
                <w:lang w:val="en-US" w:eastAsia="en-US" w:bidi="ar-SA"/>
              </w:rPr>
              <w:t>序号</w:t>
            </w:r>
          </w:p>
        </w:tc>
        <w:tc>
          <w:tcPr>
            <w:tcW w:w="815"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kern w:val="0"/>
                <w:lang w:eastAsia="en-US"/>
              </w:rPr>
            </w:pPr>
            <w:r>
              <w:rPr>
                <w:rFonts w:ascii="宋体" w:eastAsia="宋体" w:hAnsi="宋体" w:cs="宋体" w:hint="eastAsia"/>
                <w:b/>
                <w:bCs/>
                <w:kern w:val="0"/>
                <w:sz w:val="24"/>
                <w:szCs w:val="24"/>
                <w:lang w:val="en-US" w:eastAsia="en-US" w:bidi="ar-SA"/>
              </w:rPr>
              <w:t>类别</w:t>
            </w: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kern w:val="0"/>
                <w:lang w:eastAsia="en-US"/>
              </w:rPr>
            </w:pPr>
            <w:r>
              <w:rPr>
                <w:rFonts w:ascii="宋体" w:eastAsia="宋体" w:hAnsi="宋体" w:cs="宋体" w:hint="eastAsia"/>
                <w:b/>
                <w:bCs/>
                <w:kern w:val="0"/>
                <w:sz w:val="24"/>
                <w:szCs w:val="24"/>
                <w:lang w:val="en-US" w:eastAsia="en-US" w:bidi="ar-SA"/>
              </w:rPr>
              <w:t>产品名称</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b/>
                <w:bCs/>
                <w:kern w:val="0"/>
                <w:lang w:eastAsia="en-US"/>
              </w:rPr>
            </w:pPr>
            <w:r>
              <w:rPr>
                <w:rFonts w:ascii="宋体" w:eastAsia="宋体" w:hAnsi="宋体" w:cs="宋体" w:hint="eastAsia"/>
                <w:b/>
                <w:bCs/>
                <w:kern w:val="0"/>
                <w:sz w:val="24"/>
                <w:szCs w:val="24"/>
                <w:lang w:val="en-US" w:eastAsia="en-US" w:bidi="ar-SA"/>
              </w:rPr>
              <w:t>产品标识</w:t>
            </w:r>
          </w:p>
        </w:tc>
      </w:tr>
      <w:tr>
        <w:tblPrEx>
          <w:tblW w:w="5001" w:type="pct"/>
          <w:tblInd w:w="0" w:type="dxa"/>
          <w:tblCellMar>
            <w:top w:w="0" w:type="dxa"/>
            <w:left w:w="0" w:type="dxa"/>
            <w:bottom w:w="0" w:type="dxa"/>
            <w:right w:w="0" w:type="dxa"/>
          </w:tblCellMar>
        </w:tblPrEx>
        <w:trPr>
          <w:trHeight w:val="563"/>
        </w:trPr>
        <w:tc>
          <w:tcPr>
            <w:tcW w:w="481"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lang w:eastAsia="en-US"/>
              </w:rPr>
            </w:pPr>
            <w:r>
              <w:rPr>
                <w:rFonts w:ascii="宋体" w:eastAsia="宋体" w:hAnsi="宋体" w:cs="宋体" w:hint="eastAsia"/>
                <w:kern w:val="2"/>
                <w:sz w:val="24"/>
                <w:szCs w:val="24"/>
                <w:lang w:val="en-US" w:eastAsia="en-US" w:bidi="ar-SA"/>
              </w:rPr>
              <w:t>1</w:t>
            </w:r>
          </w:p>
        </w:tc>
        <w:tc>
          <w:tcPr>
            <w:tcW w:w="815" w:type="pct"/>
            <w:vMerge w:val="restar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物理量产</w:t>
            </w:r>
          </w:p>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品</w:t>
            </w: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回波顶高</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ET</w:t>
            </w:r>
          </w:p>
        </w:tc>
      </w:tr>
      <w:tr>
        <w:tblPrEx>
          <w:tblW w:w="5001" w:type="pct"/>
          <w:tblInd w:w="0" w:type="dxa"/>
          <w:tblCellMar>
            <w:top w:w="0" w:type="dxa"/>
            <w:left w:w="0" w:type="dxa"/>
            <w:bottom w:w="0" w:type="dxa"/>
            <w:right w:w="0" w:type="dxa"/>
          </w:tblCellMar>
        </w:tblPrEx>
        <w:trPr>
          <w:trHeight w:val="566"/>
        </w:trPr>
        <w:tc>
          <w:tcPr>
            <w:tcW w:w="481"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lang w:eastAsia="en-US"/>
              </w:rPr>
            </w:pPr>
            <w:r>
              <w:rPr>
                <w:rFonts w:ascii="宋体" w:eastAsia="宋体" w:hAnsi="宋体" w:cs="宋体" w:hint="eastAsia"/>
                <w:kern w:val="2"/>
                <w:sz w:val="24"/>
                <w:szCs w:val="24"/>
                <w:lang w:val="en-US" w:eastAsia="en-US" w:bidi="ar-SA"/>
              </w:rPr>
              <w:t>2</w:t>
            </w:r>
          </w:p>
        </w:tc>
        <w:tc>
          <w:tcPr>
            <w:tcW w:w="815" w:type="pct"/>
            <w:vMerge/>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回波底高</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EB</w:t>
            </w:r>
          </w:p>
        </w:tc>
      </w:tr>
      <w:tr>
        <w:tblPrEx>
          <w:tblW w:w="5001" w:type="pct"/>
          <w:tblInd w:w="0" w:type="dxa"/>
          <w:tblCellMar>
            <w:top w:w="0" w:type="dxa"/>
            <w:left w:w="0" w:type="dxa"/>
            <w:bottom w:w="0" w:type="dxa"/>
            <w:right w:w="0" w:type="dxa"/>
          </w:tblCellMar>
        </w:tblPrEx>
        <w:trPr>
          <w:trHeight w:val="564"/>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3</w:t>
            </w:r>
          </w:p>
        </w:tc>
        <w:tc>
          <w:tcPr>
            <w:tcW w:w="815" w:type="pct"/>
            <w:vMerge/>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rPr>
            </w:pPr>
            <w:r>
              <w:rPr>
                <w:rFonts w:ascii="宋体" w:eastAsia="宋体" w:hAnsi="宋体" w:cs="宋体" w:hint="eastAsia"/>
                <w:kern w:val="0"/>
                <w:sz w:val="24"/>
                <w:szCs w:val="24"/>
                <w:lang w:val="en-US" w:eastAsia="zh-CN" w:bidi="ar-SA"/>
              </w:rPr>
              <w:t>垂直积分液态水</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VIL</w:t>
            </w:r>
          </w:p>
        </w:tc>
      </w:tr>
      <w:tr>
        <w:tblPrEx>
          <w:tblW w:w="5001" w:type="pct"/>
          <w:tblInd w:w="0" w:type="dxa"/>
          <w:tblCellMar>
            <w:top w:w="0" w:type="dxa"/>
            <w:left w:w="0" w:type="dxa"/>
            <w:bottom w:w="0" w:type="dxa"/>
            <w:right w:w="0" w:type="dxa"/>
          </w:tblCellMar>
        </w:tblPrEx>
        <w:trPr>
          <w:trHeight w:val="564"/>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4</w:t>
            </w:r>
          </w:p>
        </w:tc>
        <w:tc>
          <w:tcPr>
            <w:tcW w:w="815" w:type="pct"/>
            <w:vMerge/>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rPr>
            </w:pPr>
            <w:r>
              <w:rPr>
                <w:rFonts w:ascii="宋体" w:eastAsia="宋体" w:hAnsi="宋体" w:cs="宋体" w:hint="eastAsia"/>
                <w:kern w:val="0"/>
                <w:sz w:val="24"/>
                <w:szCs w:val="24"/>
                <w:lang w:val="en-US" w:eastAsia="zh-CN" w:bidi="ar-SA"/>
              </w:rPr>
              <w:t>最强回波高度</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HMAX</w:t>
            </w:r>
          </w:p>
        </w:tc>
      </w:tr>
      <w:tr>
        <w:tblPrEx>
          <w:tblW w:w="5001" w:type="pct"/>
          <w:tblInd w:w="0" w:type="dxa"/>
          <w:tblCellMar>
            <w:top w:w="0" w:type="dxa"/>
            <w:left w:w="0" w:type="dxa"/>
            <w:bottom w:w="0" w:type="dxa"/>
            <w:right w:w="0" w:type="dxa"/>
          </w:tblCellMar>
        </w:tblPrEx>
        <w:trPr>
          <w:trHeight w:val="564"/>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5</w:t>
            </w:r>
          </w:p>
        </w:tc>
        <w:tc>
          <w:tcPr>
            <w:tcW w:w="815" w:type="pct"/>
            <w:vMerge/>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rPr>
            </w:pPr>
            <w:r>
              <w:rPr>
                <w:rFonts w:ascii="宋体" w:eastAsia="宋体" w:hAnsi="宋体" w:cs="宋体" w:hint="eastAsia"/>
                <w:kern w:val="0"/>
                <w:sz w:val="24"/>
                <w:szCs w:val="24"/>
                <w:lang w:val="en-US" w:eastAsia="zh-CN" w:bidi="ar-SA"/>
              </w:rPr>
              <w:t>组合反射率</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CR</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6</w:t>
            </w:r>
          </w:p>
        </w:tc>
        <w:tc>
          <w:tcPr>
            <w:tcW w:w="815" w:type="pct"/>
            <w:vMerge/>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rPr>
            </w:pPr>
            <w:r>
              <w:rPr>
                <w:rFonts w:ascii="宋体" w:eastAsia="宋体" w:hAnsi="宋体" w:cs="宋体" w:hint="eastAsia"/>
                <w:kern w:val="0"/>
                <w:sz w:val="24"/>
                <w:szCs w:val="24"/>
                <w:lang w:val="en-US" w:eastAsia="zh-CN" w:bidi="ar-SA"/>
              </w:rPr>
              <w:t>反射率等高平面位置显示</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CAP</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7</w:t>
            </w:r>
          </w:p>
        </w:tc>
        <w:tc>
          <w:tcPr>
            <w:tcW w:w="815" w:type="pct"/>
            <w:vMerge/>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速度方位显示</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VAD</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8</w:t>
            </w:r>
          </w:p>
        </w:tc>
        <w:tc>
          <w:tcPr>
            <w:tcW w:w="815" w:type="pct"/>
            <w:vMerge/>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速度方位显示风廓线</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VWP</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z w:val="24"/>
                <w:szCs w:val="24"/>
              </w:rPr>
              <w:t>9</w:t>
            </w:r>
          </w:p>
        </w:tc>
        <w:tc>
          <w:tcPr>
            <w:tcW w:w="815" w:type="pct"/>
            <w:vMerge/>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1小时累积降水量</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OHP</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14"/>
                <w:sz w:val="24"/>
                <w:szCs w:val="24"/>
              </w:rPr>
              <w:t>10</w:t>
            </w:r>
          </w:p>
        </w:tc>
        <w:tc>
          <w:tcPr>
            <w:tcW w:w="815" w:type="pct"/>
            <w:vMerge/>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3小时累积降水量</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THP</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14"/>
                <w:sz w:val="24"/>
                <w:szCs w:val="24"/>
              </w:rPr>
              <w:t>11</w:t>
            </w:r>
          </w:p>
        </w:tc>
        <w:tc>
          <w:tcPr>
            <w:tcW w:w="815" w:type="pct"/>
            <w:vMerge/>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N小时累积降水量</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NHP</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14"/>
                <w:sz w:val="24"/>
                <w:szCs w:val="24"/>
              </w:rPr>
              <w:t>12</w:t>
            </w:r>
          </w:p>
        </w:tc>
        <w:tc>
          <w:tcPr>
            <w:tcW w:w="815" w:type="pct"/>
            <w:vMerge/>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质心高度</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RCH</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14"/>
                <w:sz w:val="24"/>
                <w:szCs w:val="24"/>
              </w:rPr>
              <w:t>13</w:t>
            </w:r>
          </w:p>
        </w:tc>
        <w:tc>
          <w:tcPr>
            <w:tcW w:w="815" w:type="pct"/>
            <w:vMerge/>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风场反演</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WIND</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14"/>
                <w:sz w:val="24"/>
                <w:szCs w:val="24"/>
              </w:rPr>
              <w:t>14</w:t>
            </w:r>
          </w:p>
        </w:tc>
        <w:tc>
          <w:tcPr>
            <w:tcW w:w="815" w:type="pct"/>
            <w:vMerge/>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风暴相对径向速度</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SRM</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14"/>
                <w:sz w:val="24"/>
                <w:szCs w:val="24"/>
              </w:rPr>
              <w:t>15</w:t>
            </w:r>
          </w:p>
        </w:tc>
        <w:tc>
          <w:tcPr>
            <w:tcW w:w="815" w:type="pct"/>
            <w:vMerge w:val="restart"/>
            <w:tcBorders>
              <w:bottom w:val="nil"/>
            </w:tcBorders>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识别类产</w:t>
            </w:r>
          </w:p>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品</w:t>
            </w: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冰雹指数</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HI</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14"/>
                <w:sz w:val="24"/>
                <w:szCs w:val="24"/>
              </w:rPr>
              <w:t>16</w:t>
            </w:r>
          </w:p>
        </w:tc>
        <w:tc>
          <w:tcPr>
            <w:tcW w:w="815" w:type="pct"/>
            <w:vMerge/>
            <w:tcBorders>
              <w:top w:val="nil"/>
              <w:bottom w:val="nil"/>
            </w:tcBorders>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风暴追踪信息</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STI</w:t>
            </w:r>
          </w:p>
        </w:tc>
      </w:tr>
      <w:tr>
        <w:tblPrEx>
          <w:tblW w:w="5001" w:type="pct"/>
          <w:tblInd w:w="0" w:type="dxa"/>
          <w:tblCellMar>
            <w:top w:w="0" w:type="dxa"/>
            <w:left w:w="0" w:type="dxa"/>
            <w:bottom w:w="0" w:type="dxa"/>
            <w:right w:w="0" w:type="dxa"/>
          </w:tblCellMar>
        </w:tblPrEx>
        <w:trPr>
          <w:trHeight w:val="564"/>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14"/>
                <w:sz w:val="24"/>
                <w:szCs w:val="24"/>
              </w:rPr>
              <w:t>17</w:t>
            </w:r>
          </w:p>
        </w:tc>
        <w:tc>
          <w:tcPr>
            <w:tcW w:w="815" w:type="pct"/>
            <w:vMerge/>
            <w:tcBorders>
              <w:top w:val="nil"/>
              <w:bottom w:val="nil"/>
            </w:tcBorders>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风暴结构分析</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SS</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14"/>
                <w:sz w:val="24"/>
                <w:szCs w:val="24"/>
              </w:rPr>
              <w:t>18</w:t>
            </w:r>
          </w:p>
        </w:tc>
        <w:tc>
          <w:tcPr>
            <w:tcW w:w="815" w:type="pct"/>
            <w:vMerge/>
            <w:tcBorders>
              <w:top w:val="nil"/>
              <w:bottom w:val="nil"/>
            </w:tcBorders>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中尺度气旋</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M</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14"/>
                <w:sz w:val="24"/>
                <w:szCs w:val="24"/>
              </w:rPr>
              <w:t>19</w:t>
            </w:r>
          </w:p>
        </w:tc>
        <w:tc>
          <w:tcPr>
            <w:tcW w:w="815" w:type="pct"/>
            <w:vMerge/>
            <w:tcBorders>
              <w:top w:val="nil"/>
              <w:bottom w:val="nil"/>
            </w:tcBorders>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龙卷涡旋特征</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TVS</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6"/>
                <w:sz w:val="24"/>
                <w:szCs w:val="24"/>
              </w:rPr>
              <w:t>20</w:t>
            </w:r>
          </w:p>
        </w:tc>
        <w:tc>
          <w:tcPr>
            <w:tcW w:w="815" w:type="pct"/>
            <w:vMerge/>
            <w:tcBorders>
              <w:top w:val="nil"/>
              <w:bottom w:val="nil"/>
            </w:tcBorders>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粒子相态识别</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HCL</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6"/>
                <w:sz w:val="24"/>
                <w:szCs w:val="24"/>
              </w:rPr>
              <w:t>21</w:t>
            </w:r>
          </w:p>
        </w:tc>
        <w:tc>
          <w:tcPr>
            <w:tcW w:w="815" w:type="pct"/>
            <w:vMerge/>
            <w:tcBorders>
              <w:top w:val="nil"/>
              <w:bottom w:val="nil"/>
            </w:tcBorders>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融化层识别</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ML</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6"/>
                <w:sz w:val="24"/>
                <w:szCs w:val="24"/>
              </w:rPr>
              <w:t>22</w:t>
            </w:r>
          </w:p>
        </w:tc>
        <w:tc>
          <w:tcPr>
            <w:tcW w:w="815" w:type="pct"/>
            <w:vMerge/>
            <w:tcBorders>
              <w:top w:val="nil"/>
              <w:bottom w:val="nil"/>
            </w:tcBorders>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雷暴大风</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TS</w:t>
            </w:r>
          </w:p>
        </w:tc>
      </w:tr>
      <w:tr>
        <w:tblPrEx>
          <w:tblW w:w="5001" w:type="pct"/>
          <w:tblInd w:w="0" w:type="dxa"/>
          <w:tblCellMar>
            <w:top w:w="0" w:type="dxa"/>
            <w:left w:w="0" w:type="dxa"/>
            <w:bottom w:w="0" w:type="dxa"/>
            <w:right w:w="0" w:type="dxa"/>
          </w:tblCellMar>
        </w:tblPrEx>
        <w:trPr>
          <w:trHeight w:val="569"/>
        </w:trPr>
        <w:tc>
          <w:tcPr>
            <w:tcW w:w="481" w:type="pct"/>
            <w:vAlign w:val="center"/>
          </w:tcPr>
          <w:p>
            <w:pPr>
              <w:widowControl/>
              <w:kinsoku w:val="0"/>
              <w:autoSpaceDE w:val="0"/>
              <w:autoSpaceDN w:val="0"/>
              <w:adjustRightInd w:val="0"/>
              <w:snapToGrid w:val="0"/>
              <w:spacing w:line="360" w:lineRule="auto"/>
              <w:jc w:val="center"/>
              <w:textAlignment w:val="baseline"/>
              <w:rPr>
                <w:rFonts w:ascii="宋体" w:eastAsia="宋体" w:hAnsi="宋体" w:cs="宋体" w:hint="eastAsia"/>
              </w:rPr>
            </w:pPr>
            <w:r>
              <w:rPr>
                <w:rFonts w:ascii="宋体" w:eastAsia="宋体" w:hAnsi="宋体" w:cs="宋体" w:hint="eastAsia"/>
                <w:spacing w:val="-6"/>
                <w:sz w:val="24"/>
                <w:szCs w:val="24"/>
              </w:rPr>
              <w:t>23</w:t>
            </w:r>
          </w:p>
        </w:tc>
        <w:tc>
          <w:tcPr>
            <w:tcW w:w="815" w:type="pct"/>
            <w:vMerge/>
            <w:tcBorders>
              <w:top w:val="nil"/>
            </w:tcBorders>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p>
        </w:tc>
        <w:tc>
          <w:tcPr>
            <w:tcW w:w="2400"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双偏振定量降水估测</w:t>
            </w:r>
          </w:p>
        </w:tc>
        <w:tc>
          <w:tcPr>
            <w:tcW w:w="1302" w:type="pct"/>
            <w:vAlign w:val="center"/>
          </w:tcPr>
          <w:p>
            <w:pPr>
              <w:widowControl/>
              <w:kinsoku w:val="0"/>
              <w:autoSpaceDE w:val="0"/>
              <w:autoSpaceDN w:val="0"/>
              <w:adjustRightInd w:val="0"/>
              <w:snapToGrid w:val="0"/>
              <w:spacing w:line="360" w:lineRule="auto"/>
              <w:ind w:firstLine="0" w:firstLineChars="0"/>
              <w:jc w:val="center"/>
              <w:textAlignment w:val="baseline"/>
              <w:rPr>
                <w:rFonts w:ascii="宋体" w:eastAsia="宋体" w:hAnsi="宋体" w:cs="宋体" w:hint="eastAsia"/>
                <w:kern w:val="0"/>
                <w:lang w:eastAsia="en-US"/>
              </w:rPr>
            </w:pPr>
            <w:r>
              <w:rPr>
                <w:rFonts w:ascii="宋体" w:eastAsia="宋体" w:hAnsi="宋体" w:cs="宋体" w:hint="eastAsia"/>
                <w:kern w:val="0"/>
                <w:sz w:val="24"/>
                <w:szCs w:val="24"/>
                <w:lang w:val="en-US" w:eastAsia="en-US" w:bidi="ar-SA"/>
              </w:rPr>
              <w:t>QPE</w:t>
            </w:r>
          </w:p>
        </w:tc>
      </w:tr>
    </w:tbl>
    <w:p>
      <w:pPr>
        <w:keepNext w:val="0"/>
        <w:keepLines w:val="0"/>
        <w:pageBreakBefore w:val="0"/>
        <w:widowControl w:val="0"/>
        <w:tabs>
          <w:tab w:val="left" w:pos="2340"/>
        </w:tabs>
        <w:kinsoku/>
        <w:wordWrap/>
        <w:overflowPunct/>
        <w:topLinePunct w:val="0"/>
        <w:autoSpaceDE/>
        <w:autoSpaceDN/>
        <w:bidi w:val="0"/>
        <w:adjustRightInd/>
        <w:snapToGrid/>
        <w:spacing w:line="240" w:lineRule="auto"/>
        <w:ind w:firstLine="560" w:firstLineChars="200"/>
        <w:textAlignment w:val="auto"/>
        <w:rPr>
          <w:rFonts w:ascii="仿宋" w:eastAsia="仿宋" w:hAnsi="仿宋" w:cs="仿宋" w:hint="eastAsia"/>
          <w:bCs/>
          <w:sz w:val="28"/>
          <w:szCs w:val="28"/>
        </w:rPr>
      </w:pPr>
      <w:r>
        <w:rPr>
          <w:rFonts w:ascii="仿宋" w:eastAsia="仿宋" w:hAnsi="仿宋" w:cs="仿宋" w:hint="eastAsia"/>
          <w:bCs/>
          <w:sz w:val="28"/>
          <w:szCs w:val="28"/>
        </w:rPr>
        <w:t>（3）软件功能要求</w:t>
      </w:r>
    </w:p>
    <w:p>
      <w:pPr>
        <w:spacing w:line="570" w:lineRule="exact"/>
        <w:ind w:firstLine="480" w:firstLineChars="200"/>
        <w:rPr>
          <w:rFonts w:ascii="仿宋" w:eastAsia="仿宋" w:hAnsi="仿宋" w:hint="eastAsia"/>
          <w:sz w:val="28"/>
          <w:szCs w:val="28"/>
        </w:rPr>
      </w:pPr>
      <w:r>
        <w:rPr>
          <w:rFonts w:ascii="Times New Roman" w:eastAsia="宋体" w:hAnsi="Times New Roman" w:cs="Times New Roman"/>
          <w:bCs/>
          <w:sz w:val="24"/>
          <w:szCs w:val="24"/>
        </w:rPr>
        <w:t>1</w:t>
      </w:r>
      <w:r>
        <w:rPr>
          <w:rFonts w:ascii="仿宋" w:eastAsia="仿宋" w:hAnsi="仿宋" w:cs="Times New Roman" w:hint="eastAsia"/>
          <w:sz w:val="28"/>
          <w:szCs w:val="28"/>
          <w:lang w:val="en-US" w:eastAsia="zh-CN"/>
        </w:rPr>
        <w:t>）产品显示：平面位置产品、距离高度产品、等高面位置产品、二次产品等显示功能。</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2）分屏显示：二分屏、四分屏等分屏显示功能、支持光标联动信息显示。</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3）垂直剖面：基本产品任意垂直剖面显示功能，支持折线剖面，可同时显示多个产品，可保存图像。</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4）最大值显示：体扫各层反射率垂直、东西、南北三个方向最大值可投影显示。</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5）图形缩放、拖曳：产品图像可放大缩小，拖曳移动。</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6）图像保存：产品图像可保存为图片格式，分辨率可调。</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7）动态展示：支持产品时序播放、动图制作。</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8）地图加载：产品显示可加载离线地图文件，同时应支持API接口获取在线瓦片，底图包括但不限于地图、地形、影像，支持各级界线、名称显隐。</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9）测距功能：产品显示界面可显示两点间距离、折线距离。</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10）游标引导：游标所在点的经纬度、方位、距离、高度、产品数值、地理位置等信息显示。</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11）产品色标：提供默认配色，支持自定义配色。</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12）阈值过滤：显示阈值范围内数据，过滤超限数据；可单一范围显隐；可调整产品透明度。</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13）自动刷新：可启停的自动显示最新产品数据。</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14）状态监控：包括数据接收、产品制作、产品传输状态监控。</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15）数据归档：本地或异地产品数据归档，支持定时清理。</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16）数据上传：产品数据多节点上传，支持恢复网络后自动补传、手动补传。</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17）算法参数：算法参数可本地化调整。</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18）算法接口：支持外部算法接入，使用统一数据接口调用。</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19）系统日志：包括软件运行日志、数据接收日志、产品生成日志、数据上传日志、告警日志、预警日志。</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20）日志查询：可按日期、类型、关键词等方式查询系统日志。</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21）多用户并发：每个产品生成终端应至少能够满足30位用户同时访问。</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22）数据库接口：可从天擎等数据库的接口获取雷达基数据作为数据源。</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23）快捷操作：可通过键盘进行产品切换、时间切换、仰角层切换等快捷操作。</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24）关注点标记：设定不同类型的关注点，可设置备注信息并保存；可单选、多选、分类选择叠加在产品上进行显示；可设定关注点预警范围。支持关注点信息导入导出。</w:t>
      </w:r>
    </w:p>
    <w:p>
      <w:pPr>
        <w:keepNext w:val="0"/>
        <w:keepLines w:val="0"/>
        <w:pageBreakBefore w:val="0"/>
        <w:widowControl w:val="0"/>
        <w:tabs>
          <w:tab w:val="left" w:pos="2340"/>
        </w:tabs>
        <w:kinsoku/>
        <w:wordWrap/>
        <w:overflowPunct/>
        <w:topLinePunct w:val="0"/>
        <w:autoSpaceDE/>
        <w:autoSpaceDN/>
        <w:bidi w:val="0"/>
        <w:adjustRightInd/>
        <w:snapToGrid/>
        <w:spacing w:line="240" w:lineRule="auto"/>
        <w:ind w:firstLine="560" w:firstLineChars="200"/>
        <w:textAlignment w:val="auto"/>
        <w:rPr>
          <w:rFonts w:ascii="仿宋" w:eastAsia="仿宋" w:hAnsi="仿宋" w:cs="仿宋" w:hint="eastAsia"/>
          <w:bCs/>
          <w:sz w:val="28"/>
          <w:szCs w:val="28"/>
        </w:rPr>
      </w:pPr>
      <w:r>
        <w:rPr>
          <w:rFonts w:ascii="仿宋" w:eastAsia="仿宋" w:hAnsi="仿宋" w:cs="仿宋" w:hint="eastAsia"/>
          <w:bCs/>
          <w:sz w:val="28"/>
          <w:szCs w:val="28"/>
        </w:rPr>
        <w:t>（</w:t>
      </w:r>
      <w:r>
        <w:rPr>
          <w:rFonts w:ascii="仿宋" w:eastAsia="仿宋" w:hAnsi="仿宋" w:cs="仿宋" w:hint="eastAsia"/>
          <w:bCs/>
          <w:sz w:val="28"/>
          <w:szCs w:val="28"/>
          <w:lang w:val="en-US" w:eastAsia="zh-CN"/>
        </w:rPr>
        <w:t>4</w:t>
      </w:r>
      <w:r>
        <w:rPr>
          <w:rFonts w:ascii="仿宋" w:eastAsia="仿宋" w:hAnsi="仿宋" w:cs="仿宋" w:hint="eastAsia"/>
          <w:bCs/>
          <w:sz w:val="28"/>
          <w:szCs w:val="28"/>
        </w:rPr>
        <w:t>）软件</w:t>
      </w:r>
      <w:r>
        <w:rPr>
          <w:rFonts w:ascii="仿宋" w:eastAsia="仿宋" w:hAnsi="仿宋" w:cs="仿宋" w:hint="eastAsia"/>
          <w:b w:val="0"/>
          <w:kern w:val="2"/>
          <w:sz w:val="28"/>
          <w:szCs w:val="28"/>
          <w:lang w:val="en-US" w:eastAsia="zh-CN" w:bidi="ar-SA"/>
        </w:rPr>
        <w:t>运行环境要求</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1）雷达应至少配置2台独立产品终端，负责产品制作及数据归档。</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2）应支持国产化操作系统。</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lang w:val="en-US" w:eastAsia="zh-CN"/>
        </w:rPr>
        <w:t>3）产品终端数据处理能力应满足产品制作整体耗时小于雷达最短体扫用时，避免造成数据积压。</w:t>
      </w:r>
    </w:p>
    <w:p>
      <w:pPr>
        <w:spacing w:line="570" w:lineRule="exact"/>
        <w:ind w:firstLine="560" w:firstLineChars="200"/>
        <w:rPr>
          <w:rFonts w:ascii="仿宋" w:eastAsia="仿宋" w:hAnsi="仿宋" w:hint="default"/>
          <w:sz w:val="28"/>
          <w:szCs w:val="28"/>
        </w:rPr>
      </w:pPr>
      <w:r>
        <w:rPr>
          <w:rFonts w:ascii="仿宋" w:eastAsia="仿宋" w:hAnsi="仿宋" w:cs="Times New Roman" w:hint="eastAsia"/>
          <w:sz w:val="28"/>
          <w:szCs w:val="28"/>
          <w:lang w:val="en-US" w:eastAsia="zh-CN"/>
        </w:rPr>
        <w:t>4）产品终端能存储不少于3个月的基数据及对应雷达产品。</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四</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质保服务要求</w:t>
      </w:r>
    </w:p>
    <w:p>
      <w:pPr>
        <w:spacing w:line="240" w:lineRule="auto"/>
        <w:ind w:firstLine="560" w:firstLineChars="200"/>
        <w:outlineLvl w:val="3"/>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4.1培训</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在采购方指定地点，中标方对相关技术人员进行不低于2人*5</w:t>
      </w:r>
      <w:r>
        <w:rPr>
          <w:rFonts w:ascii="仿宋" w:eastAsia="仿宋" w:hAnsi="仿宋" w:cs="Times New Roman" w:hint="eastAsia"/>
          <w:sz w:val="28"/>
          <w:szCs w:val="28"/>
        </w:rPr>
        <w:t>天的雷达使用培训和机务培训，使相关人员能够熟练掌握雷达基本操作、维护维修方法等，培训至少应包括以下内容：</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1）熟悉雷达系统工作原理；</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2）掌握雷达总体、各系统和配套设备的安装与布局位置；</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3）掌握雷达的结构和性能特点；</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4）在使用过程中，台站人员能熟练进行雷达操作；</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5）能完成雷达常见故障的判断；</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6）掌握雷达的日常维护、标定流程；</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7）具备雷达回波识别能力。</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8）掌握仪器仪表使用方法。</w:t>
      </w:r>
    </w:p>
    <w:p>
      <w:pPr>
        <w:spacing w:line="240" w:lineRule="auto"/>
        <w:ind w:firstLine="560" w:firstLineChars="200"/>
        <w:outlineLvl w:val="3"/>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4.2质保期服务</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中标方按照中国气象局有关要求和双方协商约定的内容</w:t>
      </w:r>
      <w:r>
        <w:rPr>
          <w:rFonts w:ascii="仿宋" w:eastAsia="仿宋" w:hAnsi="仿宋" w:cs="Times New Roman" w:hint="eastAsia"/>
          <w:sz w:val="28"/>
          <w:szCs w:val="28"/>
        </w:rPr>
        <w:t>提供服务，确保设备稳定运行，以及自验收合格后</w:t>
      </w:r>
      <w:r>
        <w:rPr>
          <w:rFonts w:ascii="仿宋" w:eastAsia="仿宋" w:hAnsi="仿宋" w:cs="Times New Roman" w:hint="eastAsia"/>
          <w:sz w:val="28"/>
          <w:szCs w:val="28"/>
          <w:lang w:val="en-US" w:eastAsia="zh-CN"/>
        </w:rPr>
        <w:t>5</w:t>
      </w:r>
      <w:r>
        <w:rPr>
          <w:rFonts w:ascii="仿宋" w:eastAsia="仿宋" w:hAnsi="仿宋" w:cs="Times New Roman" w:hint="eastAsia"/>
          <w:sz w:val="28"/>
          <w:szCs w:val="28"/>
        </w:rPr>
        <w:t>年的整机及雷达分系统质保服务等。</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按照中国气象局有关业务规范要求，在三级及以上气象应急响应期间，24小时全天候现场值守保障，并定期编制和上报雷达运行状态及故障处置报告。</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备品备件、维护标校、故障维修和巡检巡查等各项要求参照《X波段天气雷达观测规范（试行）》、《X波段天气雷达标校业务规范（试行）》等文件要求执行。</w:t>
      </w:r>
    </w:p>
    <w:p>
      <w:pPr>
        <w:spacing w:line="570" w:lineRule="exact"/>
        <w:ind w:firstLine="560" w:firstLineChars="200"/>
        <w:rPr>
          <w:rFonts w:ascii="仿宋" w:eastAsia="仿宋" w:hAnsi="仿宋" w:cs="仿宋" w:hint="eastAsia"/>
          <w:sz w:val="28"/>
          <w:szCs w:val="28"/>
        </w:rPr>
      </w:pPr>
      <w:r>
        <w:rPr>
          <w:rFonts w:ascii="仿宋" w:eastAsia="仿宋" w:hAnsi="仿宋" w:cs="Times New Roman" w:hint="eastAsia"/>
          <w:sz w:val="28"/>
          <w:szCs w:val="28"/>
        </w:rPr>
        <w:t>质保期服务提供相关承诺函</w:t>
      </w:r>
      <w:r>
        <w:rPr>
          <w:rFonts w:ascii="仿宋" w:eastAsia="仿宋" w:hAnsi="仿宋" w:cs="仿宋" w:hint="eastAsia"/>
          <w:sz w:val="28"/>
          <w:szCs w:val="28"/>
        </w:rPr>
        <w:t>。</w:t>
      </w:r>
    </w:p>
    <w:p>
      <w:pPr>
        <w:spacing w:line="240" w:lineRule="auto"/>
        <w:ind w:firstLine="560" w:firstLineChars="200"/>
        <w:outlineLvl w:val="3"/>
        <w:rPr>
          <w:rFonts w:ascii="仿宋" w:eastAsia="仿宋" w:hAnsi="仿宋" w:cs="仿宋" w:hint="eastAsia"/>
          <w:sz w:val="28"/>
          <w:szCs w:val="28"/>
          <w:highlight w:val="yellow"/>
        </w:rPr>
      </w:pPr>
      <w:r>
        <w:rPr>
          <w:rFonts w:ascii="仿宋_GB2312" w:eastAsia="仿宋_GB2312" w:hAnsi="仿宋_GB2312" w:cs="仿宋_GB2312" w:hint="eastAsia"/>
          <w:bCs/>
          <w:sz w:val="28"/>
          <w:szCs w:val="28"/>
          <w:highlight w:val="yellow"/>
        </w:rPr>
        <w:t>4.</w:t>
      </w:r>
      <w:r>
        <w:rPr>
          <w:rFonts w:ascii="仿宋_GB2312" w:eastAsia="仿宋_GB2312" w:hAnsi="仿宋_GB2312" w:cs="仿宋_GB2312" w:hint="eastAsia"/>
          <w:bCs/>
          <w:sz w:val="28"/>
          <w:szCs w:val="28"/>
          <w:highlight w:val="yellow"/>
          <w:lang w:val="en-US" w:eastAsia="zh-CN"/>
        </w:rPr>
        <w:t xml:space="preserve">3 </w:t>
      </w:r>
      <w:r>
        <w:rPr>
          <w:rFonts w:ascii="仿宋_GB2312" w:eastAsia="仿宋_GB2312" w:hAnsi="仿宋_GB2312" w:cs="仿宋_GB2312" w:hint="eastAsia"/>
          <w:bCs/>
          <w:sz w:val="28"/>
          <w:szCs w:val="28"/>
          <w:highlight w:val="yellow"/>
        </w:rPr>
        <w:t>软件调试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中标方需配合采购方，完成配套软件的</w:t>
      </w:r>
      <w:r>
        <w:rPr>
          <w:rFonts w:ascii="仿宋" w:eastAsia="仿宋" w:hAnsi="仿宋" w:cs="Times New Roman" w:hint="eastAsia"/>
          <w:sz w:val="28"/>
          <w:szCs w:val="28"/>
        </w:rPr>
        <w:t>安装调试，保证上站后能够安全稳定运行。投标方须提供承诺函。</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五</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验收要求（检验考核要求等）</w:t>
      </w:r>
    </w:p>
    <w:p>
      <w:pPr>
        <w:spacing w:line="570" w:lineRule="exact"/>
        <w:ind w:firstLine="560" w:firstLineChars="200"/>
        <w:rPr>
          <w:rFonts w:ascii="仿宋" w:eastAsia="仿宋" w:hAnsi="仿宋" w:hint="eastAsia"/>
          <w:sz w:val="28"/>
          <w:szCs w:val="28"/>
        </w:rPr>
      </w:pPr>
      <w:bookmarkStart w:id="71" w:name="_Hlk168594784"/>
      <w:r>
        <w:rPr>
          <w:rFonts w:ascii="仿宋" w:eastAsia="仿宋" w:hAnsi="仿宋" w:hint="eastAsia"/>
          <w:sz w:val="28"/>
          <w:szCs w:val="28"/>
          <w:lang w:val="en-US" w:eastAsia="zh-CN"/>
        </w:rPr>
        <w:t>参照可行性研究报告、合同、</w:t>
      </w:r>
      <w:r>
        <w:rPr>
          <w:rFonts w:ascii="仿宋_GB2312" w:eastAsia="仿宋_GB2312" w:hAnsi="仿宋_GB2312" w:cs="仿宋_GB2312" w:hint="eastAsia"/>
          <w:color w:val="auto"/>
          <w:sz w:val="32"/>
          <w:szCs w:val="32"/>
          <w:lang w:val="en-US" w:eastAsia="zh-CN"/>
        </w:rPr>
        <w:t>《X波段双线偏振一维相控阵天气雷达系统功能规格需求书》（气测函〔2024〕302号）</w:t>
      </w:r>
      <w:r>
        <w:rPr>
          <w:rFonts w:ascii="仿宋" w:eastAsia="仿宋" w:hAnsi="仿宋" w:hint="eastAsia"/>
          <w:sz w:val="28"/>
          <w:szCs w:val="28"/>
          <w:lang w:val="en-US" w:eastAsia="zh-CN"/>
        </w:rPr>
        <w:t>、《气象监测预警补短板工程X波段天气雷达现场验收规定（试行）》等文件的要求开展检验考核。同时，采购人可根据合同以及采购人的有关规定修改完善验收文件，经双方确认后作为验收依据。</w:t>
      </w:r>
    </w:p>
    <w:bookmarkEnd w:id="71"/>
    <w:p>
      <w:pPr>
        <w:spacing w:line="240" w:lineRule="auto"/>
        <w:ind w:firstLine="560" w:firstLineChars="200"/>
        <w:outlineLvl w:val="2"/>
        <w:rPr>
          <w:rFonts w:ascii="仿宋" w:eastAsia="仿宋" w:hAnsi="仿宋" w:cs="仿宋" w:hint="eastAsia"/>
          <w:sz w:val="28"/>
          <w:szCs w:val="20"/>
        </w:rPr>
      </w:pPr>
      <w:r>
        <w:rPr>
          <w:rFonts w:ascii="仿宋_GB2312" w:eastAsia="仿宋_GB2312" w:hAnsi="仿宋_GB2312" w:cs="仿宋_GB2312" w:hint="eastAsia"/>
          <w:bCs/>
          <w:sz w:val="28"/>
          <w:szCs w:val="28"/>
          <w:highlight w:val="none"/>
        </w:rPr>
        <w:t>六 其他要求</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hint="eastAsia"/>
          <w:sz w:val="28"/>
          <w:szCs w:val="28"/>
        </w:rPr>
        <w:t>详见采购需求-其他技术及商务需求。</w:t>
      </w:r>
    </w:p>
    <w:p>
      <w:pPr>
        <w:spacing w:line="560" w:lineRule="exact"/>
        <w:ind w:left="420" w:leftChars="200"/>
        <w:rPr>
          <w:rFonts w:ascii="仿宋" w:eastAsia="仿宋" w:hAnsi="仿宋" w:cs="仿宋" w:hint="eastAsia"/>
          <w:sz w:val="28"/>
          <w:szCs w:val="20"/>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 w:eastAsia="仿宋" w:hAnsi="仿宋" w:cs="仿宋" w:hint="eastAsia"/>
          <w:sz w:val="36"/>
          <w:szCs w:val="36"/>
        </w:rPr>
      </w:pPr>
      <w:r>
        <w:rPr>
          <w:rFonts w:ascii="仿宋" w:eastAsia="仿宋" w:hAnsi="仿宋" w:cs="仿宋" w:hint="eastAsia"/>
          <w:sz w:val="36"/>
          <w:szCs w:val="36"/>
        </w:rPr>
        <w:t>采购需求-其他技术及商务需求</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ascii="仿宋" w:eastAsia="仿宋" w:hAnsi="仿宋" w:cs="仿宋"/>
          <w:b w:val="0"/>
          <w:bCs w:val="0"/>
          <w:sz w:val="28"/>
          <w:szCs w:val="20"/>
        </w:rPr>
      </w:pPr>
      <w:r>
        <w:rPr>
          <w:rFonts w:ascii="仿宋" w:eastAsia="仿宋" w:hAnsi="仿宋" w:cs="仿宋" w:hint="eastAsia"/>
          <w:b w:val="0"/>
          <w:bCs w:val="0"/>
          <w:sz w:val="28"/>
          <w:szCs w:val="20"/>
          <w:lang w:val="en-US" w:eastAsia="zh-CN"/>
        </w:rPr>
        <w:t>1.</w:t>
      </w:r>
      <w:r>
        <w:rPr>
          <w:rFonts w:ascii="仿宋" w:eastAsia="仿宋" w:hAnsi="仿宋" w:cs="仿宋" w:hint="eastAsia"/>
          <w:b w:val="0"/>
          <w:bCs w:val="0"/>
          <w:sz w:val="28"/>
          <w:szCs w:val="20"/>
        </w:rPr>
        <w:t>项目概况及总体要求</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eastAsia="zh-CN"/>
        </w:rPr>
        <w:t>依据</w:t>
      </w:r>
      <w:r>
        <w:rPr>
          <w:rFonts w:ascii="仿宋" w:eastAsia="仿宋" w:hAnsi="仿宋" w:cs="仿宋" w:hint="eastAsia"/>
          <w:sz w:val="28"/>
          <w:szCs w:val="20"/>
          <w:lang w:val="en-US" w:eastAsia="zh-CN"/>
        </w:rPr>
        <w:t>2025年云南、广西X波段天气雷达建设项目的要求，在中小河流山洪地质灾害易发区的观测盲区，建设X波段天气雷达，填补S波段全相参多普勒体制的新一代天气雷达存在探测盲区，增强灾害易发区中小尺度强对流灾害性天气监测预警能力。百色市是广西面积最大的地级市，地貌类型多样，目前仅有</w:t>
      </w:r>
      <w:r>
        <w:rPr>
          <w:rFonts w:ascii="仿宋" w:eastAsia="仿宋" w:hAnsi="仿宋" w:cs="仿宋" w:hint="eastAsia"/>
          <w:sz w:val="28"/>
          <w:szCs w:val="20"/>
          <w:highlight w:val="none"/>
        </w:rPr>
        <w:t>一部S波段天气雷达及</w:t>
      </w:r>
      <w:r>
        <w:rPr>
          <w:rFonts w:ascii="仿宋" w:eastAsia="仿宋" w:hAnsi="仿宋" w:cs="仿宋" w:hint="eastAsia"/>
          <w:sz w:val="28"/>
          <w:szCs w:val="20"/>
          <w:highlight w:val="none"/>
          <w:lang w:eastAsia="zh-CN"/>
        </w:rPr>
        <w:t>两</w:t>
      </w:r>
      <w:r>
        <w:rPr>
          <w:rFonts w:ascii="仿宋" w:eastAsia="仿宋" w:hAnsi="仿宋" w:cs="仿宋" w:hint="eastAsia"/>
          <w:sz w:val="28"/>
          <w:szCs w:val="20"/>
          <w:highlight w:val="none"/>
        </w:rPr>
        <w:t>部X波段天气雷达</w:t>
      </w:r>
      <w:r>
        <w:rPr>
          <w:rFonts w:ascii="仿宋" w:eastAsia="仿宋" w:hAnsi="仿宋" w:cs="仿宋" w:hint="eastAsia"/>
          <w:sz w:val="28"/>
          <w:szCs w:val="20"/>
          <w:highlight w:val="none"/>
          <w:lang w:eastAsia="zh-CN"/>
        </w:rPr>
        <w:t>，探测精细化程度不足，难以精确探测中小尺度灾害性天气系统的内部结构和微物理结构与演变过程。为</w:t>
      </w:r>
      <w:r>
        <w:rPr>
          <w:rFonts w:ascii="仿宋" w:eastAsia="仿宋" w:hAnsi="仿宋" w:cs="仿宋" w:hint="eastAsia"/>
          <w:sz w:val="28"/>
          <w:szCs w:val="20"/>
          <w:lang w:val="en-US" w:eastAsia="zh-CN"/>
        </w:rPr>
        <w:t>提升灾害易发区复杂地形下距地1千米高度观测覆盖率，</w:t>
      </w:r>
      <w:r>
        <w:rPr>
          <w:rFonts w:ascii="仿宋" w:eastAsia="仿宋" w:hAnsi="仿宋" w:cs="仿宋" w:hint="eastAsia"/>
          <w:sz w:val="28"/>
          <w:szCs w:val="20"/>
          <w:highlight w:val="none"/>
        </w:rPr>
        <w:t>紧紧围绕监测精密，</w:t>
      </w:r>
      <w:r>
        <w:rPr>
          <w:rFonts w:ascii="仿宋" w:eastAsia="仿宋" w:hAnsi="仿宋" w:cs="仿宋" w:hint="eastAsia"/>
          <w:sz w:val="28"/>
          <w:szCs w:val="20"/>
          <w:highlight w:val="none"/>
          <w:lang w:eastAsia="zh-CN"/>
        </w:rPr>
        <w:t>在百色市新增一部X波段双线偏振相控阵天气雷达，</w:t>
      </w:r>
      <w:r>
        <w:rPr>
          <w:rFonts w:ascii="仿宋" w:eastAsia="仿宋" w:hAnsi="仿宋" w:cs="仿宋" w:hint="eastAsia"/>
          <w:sz w:val="28"/>
          <w:szCs w:val="20"/>
          <w:highlight w:val="none"/>
          <w:lang w:val="en-US" w:eastAsia="zh-CN"/>
        </w:rPr>
        <w:t>进一步提高建设地区天气系统的精细化探测能力，有力促进强降水、冰雹和雷暴大风预报预警能力和防灾减灾气象保障水平提升，为当地生态文明建设、人工影响天气等气象保障服务提供科技支撑，有效助力当地经济社会发展。</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ascii="仿宋" w:eastAsia="仿宋" w:hAnsi="仿宋" w:cs="仿宋" w:hint="eastAsia"/>
          <w:b w:val="0"/>
          <w:bCs w:val="0"/>
          <w:sz w:val="28"/>
          <w:szCs w:val="20"/>
        </w:rPr>
      </w:pPr>
      <w:r>
        <w:rPr>
          <w:rFonts w:ascii="仿宋" w:eastAsia="仿宋" w:hAnsi="仿宋" w:cs="仿宋" w:hint="eastAsia"/>
          <w:b w:val="0"/>
          <w:bCs w:val="0"/>
          <w:sz w:val="28"/>
          <w:szCs w:val="20"/>
          <w:lang w:val="en-US" w:eastAsia="zh-CN"/>
        </w:rPr>
        <w:t>2.售后服务要求</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eastAsia="zh-CN"/>
        </w:rPr>
        <w:t>设备供应商需提供详细售后服务方案，包括设备售后服务组织机构、人员组成、技术支持文档等。其中，售后服务组织机构设置合理，人员技术能力强，技术文档内容全面。</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ascii="仿宋" w:eastAsia="仿宋" w:hAnsi="仿宋" w:cs="仿宋" w:hint="eastAsia"/>
          <w:b w:val="0"/>
          <w:bCs w:val="0"/>
          <w:sz w:val="28"/>
          <w:szCs w:val="20"/>
        </w:rPr>
      </w:pPr>
      <w:r>
        <w:rPr>
          <w:rFonts w:ascii="仿宋" w:eastAsia="仿宋" w:hAnsi="仿宋" w:cs="仿宋" w:hint="eastAsia"/>
          <w:b w:val="0"/>
          <w:bCs w:val="0"/>
          <w:sz w:val="28"/>
          <w:szCs w:val="20"/>
          <w:lang w:val="en-US" w:eastAsia="zh-CN"/>
        </w:rPr>
        <w:t>3.培训要求</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eastAsia="zh-CN"/>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需要特定的安全操作规程，工作人员需要了解并遵守这些规程，以确保自身和他人的安全。书面承诺每种设备的培训讲师具有中级以上职称或从事该设备技术工作至少2年；</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eastAsia="zh-CN"/>
        </w:rPr>
        <w:t>设备供应商对每套投标产品提供至少2次技术培训，培训课时不少于</w:t>
      </w:r>
      <w:r>
        <w:rPr>
          <w:rFonts w:ascii="仿宋" w:eastAsia="仿宋" w:hAnsi="仿宋" w:cs="仿宋" w:hint="eastAsia"/>
          <w:sz w:val="28"/>
          <w:szCs w:val="20"/>
          <w:lang w:val="en-US" w:eastAsia="zh-CN"/>
        </w:rPr>
        <w:t>24</w:t>
      </w:r>
      <w:r>
        <w:rPr>
          <w:rFonts w:ascii="仿宋" w:eastAsia="仿宋" w:hAnsi="仿宋" w:cs="仿宋" w:hint="eastAsia"/>
          <w:sz w:val="28"/>
          <w:szCs w:val="20"/>
          <w:lang w:eastAsia="zh-CN"/>
        </w:rPr>
        <w:t>个课时，培训人数不少于</w:t>
      </w:r>
      <w:r>
        <w:rPr>
          <w:rFonts w:ascii="仿宋" w:eastAsia="仿宋" w:hAnsi="仿宋" w:cs="仿宋" w:hint="eastAsia"/>
          <w:sz w:val="28"/>
          <w:szCs w:val="20"/>
          <w:lang w:val="en-US" w:eastAsia="zh-CN"/>
        </w:rPr>
        <w:t>10</w:t>
      </w:r>
      <w:r>
        <w:rPr>
          <w:rFonts w:ascii="仿宋" w:eastAsia="仿宋" w:hAnsi="仿宋" w:cs="仿宋" w:hint="eastAsia"/>
          <w:sz w:val="28"/>
          <w:szCs w:val="20"/>
          <w:lang w:eastAsia="zh-CN"/>
        </w:rPr>
        <w:t>人。培训内容包括设备安装、使用、日常维护、观测原理及产品应用，培训时间及地点双方协商确定。</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ascii="仿宋" w:eastAsia="仿宋" w:hAnsi="仿宋" w:cs="仿宋" w:hint="eastAsia"/>
          <w:b w:val="0"/>
          <w:bCs w:val="0"/>
          <w:sz w:val="28"/>
          <w:szCs w:val="20"/>
        </w:rPr>
      </w:pPr>
      <w:r>
        <w:rPr>
          <w:rFonts w:ascii="仿宋" w:eastAsia="仿宋" w:hAnsi="仿宋" w:cs="仿宋" w:hint="eastAsia"/>
          <w:b w:val="0"/>
          <w:bCs w:val="0"/>
          <w:sz w:val="28"/>
          <w:szCs w:val="20"/>
          <w:lang w:val="en-US" w:eastAsia="zh-CN"/>
        </w:rPr>
        <w:t>4.交货要求及履约地点</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eastAsia="zh-CN"/>
        </w:rPr>
        <w:t>中标供应商将所有设备运送至百色市（运输相关费用由供应商负责），并负责安装调试。</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eastAsia="zh-CN"/>
        </w:rPr>
        <w:t>合同签订后120天内完成供货、安装调试并具备验收条件。</w:t>
      </w:r>
    </w:p>
    <w:p>
      <w:pPr>
        <w:ind w:firstLine="560" w:firstLineChars="200"/>
        <w:rPr>
          <w:rFonts w:ascii="仿宋" w:eastAsia="仿宋" w:hAnsi="仿宋" w:cs="仿宋"/>
          <w:b/>
          <w:bCs/>
          <w:sz w:val="28"/>
          <w:szCs w:val="20"/>
        </w:rPr>
      </w:pPr>
      <w:r>
        <w:rPr>
          <w:rFonts w:ascii="仿宋" w:eastAsia="仿宋" w:hAnsi="仿宋" w:cs="仿宋" w:hint="eastAsia"/>
          <w:b w:val="0"/>
          <w:bCs w:val="0"/>
          <w:sz w:val="28"/>
          <w:szCs w:val="20"/>
          <w:lang w:val="en-US" w:eastAsia="zh-CN"/>
        </w:rPr>
        <w:t>5.服务团队要求</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eastAsia="zh-CN"/>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hint="eastAsia"/>
          <w:b w:val="0"/>
          <w:bCs w:val="0"/>
          <w:sz w:val="28"/>
          <w:szCs w:val="20"/>
        </w:rPr>
      </w:pPr>
      <w:r>
        <w:rPr>
          <w:rFonts w:ascii="仿宋" w:eastAsia="仿宋" w:hAnsi="仿宋" w:cs="仿宋" w:hint="eastAsia"/>
          <w:b w:val="0"/>
          <w:bCs w:val="0"/>
          <w:sz w:val="28"/>
          <w:szCs w:val="20"/>
          <w:lang w:val="en-US" w:eastAsia="zh-CN"/>
        </w:rPr>
        <w:t>6.投标产品软件兼容性要求</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eastAsia="zh-CN"/>
        </w:rPr>
        <w:t>设备软件兼容性强，设备数据传输模式、数据格式、数据通讯协议满足气象部门功能要求，可无缝接入气象业务内网网络系统，实现与气象业务内网网络系统省级业务平台无缝接入，完全符合甲方相关要求和规范，保证其系统的兼容性和功能的完整性。</w:t>
      </w:r>
    </w:p>
    <w:p>
      <w:pPr>
        <w:ind w:firstLine="560" w:firstLineChars="200"/>
        <w:rPr>
          <w:rFonts w:ascii="仿宋" w:eastAsia="仿宋" w:hAnsi="仿宋" w:cs="仿宋" w:hint="eastAsia"/>
          <w:b w:val="0"/>
          <w:bCs w:val="0"/>
          <w:sz w:val="28"/>
          <w:szCs w:val="20"/>
        </w:rPr>
      </w:pPr>
      <w:r>
        <w:rPr>
          <w:rFonts w:ascii="仿宋" w:eastAsia="仿宋" w:hAnsi="仿宋" w:cs="仿宋" w:hint="eastAsia"/>
          <w:b w:val="0"/>
          <w:bCs w:val="0"/>
          <w:sz w:val="28"/>
          <w:szCs w:val="20"/>
          <w:lang w:val="en-US" w:eastAsia="zh-CN"/>
        </w:rPr>
        <w:t>7.其他</w:t>
      </w:r>
    </w:p>
    <w:p>
      <w:pPr>
        <w:keepNext w:val="0"/>
        <w:keepLines w:val="0"/>
        <w:pageBreakBefore w:val="0"/>
        <w:widowControl w:val="0"/>
        <w:kinsoku/>
        <w:wordWrap/>
        <w:overflowPunct/>
        <w:topLinePunct w:val="0"/>
        <w:autoSpaceDE/>
        <w:autoSpaceDN/>
        <w:bidi w:val="0"/>
        <w:adjustRightInd/>
        <w:snapToGrid/>
        <w:spacing w:line="57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eastAsia="zh-CN"/>
        </w:rPr>
        <w:t>采购内容包含主设备（</w:t>
      </w:r>
      <w:r>
        <w:rPr>
          <w:rFonts w:ascii="仿宋" w:eastAsia="仿宋" w:hAnsi="仿宋" w:cs="仿宋" w:hint="eastAsia"/>
          <w:sz w:val="28"/>
          <w:szCs w:val="20"/>
          <w:lang w:val="en-US" w:eastAsia="zh-CN"/>
        </w:rPr>
        <w:t>质保</w:t>
      </w:r>
      <w:r>
        <w:rPr>
          <w:rFonts w:ascii="仿宋" w:eastAsia="仿宋" w:hAnsi="仿宋" w:cs="仿宋" w:hint="eastAsia"/>
          <w:sz w:val="28"/>
          <w:szCs w:val="20"/>
          <w:lang w:eastAsia="zh-CN"/>
        </w:rPr>
        <w:t>期5年）、附属设备（含UPS不间断电源、发电机、电站设备、通信辅助设备、防雷设施）、基础设施建设（含铁塔、方舱、安防摄像头）等。</w:t>
      </w:r>
    </w:p>
    <w:p>
      <w:pPr>
        <w:spacing w:line="560" w:lineRule="exact"/>
        <w:ind w:left="420" w:leftChars="200"/>
        <w:rPr>
          <w:rFonts w:ascii="仿宋" w:eastAsia="仿宋" w:hAnsi="仿宋" w:cs="仿宋" w:hint="eastAsia"/>
          <w:sz w:val="28"/>
          <w:szCs w:val="20"/>
        </w:rPr>
      </w:pPr>
    </w:p>
    <w:p>
      <w:pPr>
        <w:spacing w:line="570" w:lineRule="exact"/>
        <w:ind w:left="0" w:firstLine="560" w:leftChars="0" w:firstLineChars="200"/>
        <w:rPr>
          <w:rFonts w:ascii="仿宋_GB2312" w:eastAsia="仿宋_GB2312" w:hAnsi="仿宋_GB2312" w:cs="仿宋_GB2312" w:hint="eastAsia"/>
          <w:b/>
          <w:bCs/>
          <w:color w:val="auto"/>
          <w:szCs w:val="32"/>
        </w:rPr>
      </w:pPr>
      <w:r>
        <w:rPr>
          <w:rFonts w:ascii="仿宋" w:eastAsia="仿宋" w:hAnsi="仿宋" w:hint="eastAsia"/>
          <w:sz w:val="28"/>
          <w:szCs w:val="28"/>
        </w:rPr>
        <w:t>采购需求 附表</w:t>
      </w:r>
    </w:p>
    <w:p>
      <w:pPr>
        <w:rPr>
          <w:rFonts w:ascii="Calibri" w:eastAsia="宋体" w:hAnsi="Calibri"/>
          <w:sz w:val="21"/>
          <w:szCs w:val="22"/>
        </w:rPr>
      </w:pP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48"/>
        <w:gridCol w:w="645"/>
        <w:gridCol w:w="407"/>
        <w:gridCol w:w="566"/>
        <w:gridCol w:w="645"/>
        <w:gridCol w:w="407"/>
        <w:gridCol w:w="564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2" w:name="货物一览表_index"/>
            <w:r>
              <w:rPr>
                <w:rFonts w:asciiTheme="minorEastAsia" w:eastAsiaTheme="minorEastAsia" w:hAnsiTheme="minorEastAsia" w:cstheme="minorEastAsia" w:hint="eastAsia"/>
                <w:kern w:val="0"/>
                <w:szCs w:val="21"/>
              </w:rPr>
              <w:t>序号</w:t>
            </w:r>
            <w:bookmarkEnd w:id="72"/>
          </w:p>
        </w:tc>
        <w:tc>
          <w:tcPr>
            <w:tcW w:w="1135" w:type="dxa"/>
          </w:tcPr>
          <w:p>
            <w:pPr>
              <w:autoSpaceDE w:val="0"/>
              <w:jc w:val="center"/>
              <w:rPr>
                <w:rFonts w:asciiTheme="minorEastAsia" w:hAnsiTheme="minorEastAsia" w:cstheme="minorEastAsia"/>
                <w:kern w:val="0"/>
                <w:szCs w:val="21"/>
              </w:rPr>
            </w:pPr>
            <w:bookmarkStart w:id="73" w:name="货物一览表_goodsName"/>
            <w:r>
              <w:rPr>
                <w:rFonts w:asciiTheme="minorEastAsia" w:eastAsiaTheme="minorEastAsia" w:hAnsiTheme="minorEastAsia" w:cstheme="minorEastAsia" w:hint="eastAsia"/>
                <w:kern w:val="0"/>
                <w:szCs w:val="21"/>
              </w:rPr>
              <w:t>设备名称</w:t>
            </w:r>
            <w:bookmarkEnd w:id="73"/>
          </w:p>
        </w:tc>
        <w:tc>
          <w:tcPr>
            <w:tcW w:w="965" w:type="dxa"/>
          </w:tcPr>
          <w:p>
            <w:pPr>
              <w:autoSpaceDE w:val="0"/>
              <w:jc w:val="center"/>
              <w:rPr>
                <w:rFonts w:asciiTheme="minorEastAsia" w:hAnsiTheme="minorEastAsia" w:cstheme="minorEastAsia"/>
                <w:kern w:val="0"/>
                <w:szCs w:val="21"/>
              </w:rPr>
            </w:pPr>
            <w:bookmarkStart w:id="74" w:name="货物一览表_nums"/>
            <w:r>
              <w:rPr>
                <w:rFonts w:asciiTheme="minorEastAsia" w:eastAsiaTheme="minorEastAsia" w:hAnsiTheme="minorEastAsia" w:cstheme="minorEastAsia" w:hint="eastAsia"/>
                <w:kern w:val="0"/>
                <w:szCs w:val="21"/>
              </w:rPr>
              <w:t>采购数量</w:t>
            </w:r>
            <w:bookmarkEnd w:id="74"/>
          </w:p>
        </w:tc>
        <w:tc>
          <w:tcPr>
            <w:tcW w:w="1062" w:type="dxa"/>
          </w:tcPr>
          <w:p>
            <w:pPr>
              <w:autoSpaceDE w:val="0"/>
              <w:jc w:val="center"/>
              <w:rPr>
                <w:rFonts w:asciiTheme="minorEastAsia" w:hAnsiTheme="minorEastAsia" w:cstheme="minorEastAsia"/>
                <w:kern w:val="0"/>
                <w:szCs w:val="21"/>
              </w:rPr>
            </w:pPr>
            <w:bookmarkStart w:id="75" w:name="货物一览表_units"/>
            <w:r>
              <w:rPr>
                <w:rFonts w:asciiTheme="minorEastAsia" w:eastAsiaTheme="minorEastAsia" w:hAnsiTheme="minorEastAsia" w:cstheme="minorEastAsia" w:hint="eastAsia"/>
                <w:kern w:val="0"/>
                <w:szCs w:val="21"/>
              </w:rPr>
              <w:t>计量单位</w:t>
            </w:r>
            <w:bookmarkEnd w:id="75"/>
          </w:p>
        </w:tc>
        <w:tc>
          <w:tcPr>
            <w:tcW w:w="1220" w:type="dxa"/>
          </w:tcPr>
          <w:p>
            <w:pPr>
              <w:autoSpaceDE w:val="0"/>
              <w:jc w:val="center"/>
              <w:rPr>
                <w:rFonts w:asciiTheme="minorEastAsia" w:hAnsiTheme="minorEastAsia" w:cstheme="minorEastAsia"/>
                <w:kern w:val="0"/>
                <w:szCs w:val="21"/>
              </w:rPr>
            </w:pPr>
            <w:bookmarkStart w:id="76" w:name="货物一览表_procurementBudget"/>
            <w:r>
              <w:rPr>
                <w:rFonts w:asciiTheme="minorEastAsia" w:eastAsiaTheme="minorEastAsia" w:hAnsiTheme="minorEastAsia" w:cstheme="minorEastAsia" w:hint="eastAsia"/>
                <w:kern w:val="0"/>
                <w:szCs w:val="21"/>
              </w:rPr>
              <w:t>采购预算（元）</w:t>
            </w:r>
            <w:bookmarkEnd w:id="76"/>
          </w:p>
        </w:tc>
        <w:tc>
          <w:tcPr>
            <w:tcW w:w="1329" w:type="dxa"/>
          </w:tcPr>
          <w:p>
            <w:pPr>
              <w:autoSpaceDE w:val="0"/>
              <w:jc w:val="center"/>
              <w:rPr>
                <w:rFonts w:asciiTheme="minorEastAsia" w:hAnsiTheme="minorEastAsia" w:cstheme="minorEastAsia" w:hint="eastAsia"/>
                <w:kern w:val="0"/>
                <w:szCs w:val="21"/>
              </w:rPr>
            </w:pPr>
            <w:bookmarkStart w:id="7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8" w:name="货物一览表_remark"/>
            <w:r>
              <w:rPr>
                <w:rFonts w:asciiTheme="minorEastAsia" w:eastAsiaTheme="minorEastAsia" w:hAnsiTheme="minorEastAsia" w:cstheme="minorEastAsia" w:hint="eastAsia"/>
                <w:kern w:val="0"/>
                <w:szCs w:val="21"/>
              </w:rPr>
              <w:t>备注</w:t>
            </w:r>
            <w:bookmarkEnd w:id="7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相控阵天气雷达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8,250,000.00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包含主设备（质保期5年）、附属设备（含UPS不间断电源、发电机、电站设备、通信辅助设备、防雷设施）、基础设施建设（含铁塔、方舱、安防摄像头）等。</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8,250,000.00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35"/>
        <w:gridCol w:w="1818"/>
        <w:gridCol w:w="1390"/>
        <w:gridCol w:w="535"/>
        <w:gridCol w:w="1219"/>
        <w:gridCol w:w="1016"/>
        <w:gridCol w:w="877"/>
        <w:gridCol w:w="113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百色市局(001049036)</w:t>
            </w:r>
          </w:p>
        </w:tc>
        <w:tc>
          <w:tcPr/>
          <w:p>
            <w:r>
              <w:t>相控阵天气雷达</w:t>
            </w:r>
          </w:p>
        </w:tc>
        <w:tc>
          <w:tcPr/>
          <w:p>
            <w:r>
              <w:t>1</w:t>
            </w:r>
          </w:p>
        </w:tc>
        <w:tc>
          <w:tcPr/>
          <w:p>
            <w:r>
              <w:t>8250000.00</w:t>
            </w:r>
          </w:p>
        </w:tc>
        <w:tc>
          <w:tcPr/>
          <w:p>
            <w:r>
              <w:t xml:space="preserve">8250000.00  </w:t>
            </w:r>
          </w:p>
        </w:tc>
        <w:tc>
          <w:tcPr/>
          <w:p>
            <w:r>
              <w:t>百色市</w:t>
            </w:r>
          </w:p>
        </w:tc>
        <w:tc>
          <w:tcPr/>
          <w:p>
            <w:r>
              <w:t>李红 17754752909</w:t>
            </w:r>
          </w:p>
        </w:tc>
      </w:tr>
    </w:tbl>
    <w:p w:rsidR="00A77B3E"/>
    <w:p>
      <w:pPr>
        <w:spacing w:line="360" w:lineRule="auto"/>
        <w:rPr>
          <w:rFonts w:ascii="宋体" w:hAnsi="宋体"/>
          <w:szCs w:val="21"/>
        </w:rPr>
      </w:pPr>
      <w:bookmarkEnd w:id="7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80"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软件调试</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中标方需配合采购方，完成</w:t>
            </w:r>
            <w:r>
              <w:rPr>
                <w:rFonts w:ascii="宋体" w:hAnsi="宋体" w:cs="微软雅黑" w:hint="eastAsia"/>
                <w:b/>
                <w:color w:val="0000FF"/>
                <w:kern w:val="0"/>
                <w:sz w:val="18"/>
                <w:szCs w:val="18"/>
                <w:highlight w:val="none"/>
                <w:lang w:val="en-US" w:eastAsia="zh-CN"/>
              </w:rPr>
              <w:t>配套</w:t>
            </w:r>
            <w:r>
              <w:rPr>
                <w:rFonts w:ascii="宋体" w:hAnsi="宋体" w:cs="微软雅黑" w:hint="eastAsia"/>
                <w:b/>
                <w:color w:val="0000FF"/>
                <w:kern w:val="0"/>
                <w:sz w:val="18"/>
                <w:szCs w:val="18"/>
                <w:highlight w:val="none"/>
              </w:rPr>
              <w:t>软件的安装调试，保证上站后能够安全稳定运行。投标方须提供承诺函。</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质保期服务</w:t>
            </w:r>
          </w:p>
        </w:tc>
        <w:tc>
          <w:tcPr>
            <w:tcW w:w="7347" w:type="dxa"/>
            <w:noWrap w:val="0"/>
            <w:vAlign w:val="center"/>
          </w:tcPr>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中标方按照中国气象局有关要求和双方协商约定的内容</w:t>
            </w:r>
            <w:r>
              <w:rPr>
                <w:rFonts w:ascii="仿宋" w:eastAsia="仿宋" w:hAnsi="仿宋" w:cs="Times New Roman" w:hint="eastAsia"/>
                <w:sz w:val="28"/>
                <w:szCs w:val="28"/>
              </w:rPr>
              <w:t>提供服务，确保设备稳定运行，以及自验收合格后</w:t>
            </w:r>
            <w:r>
              <w:rPr>
                <w:rFonts w:ascii="仿宋" w:eastAsia="仿宋" w:hAnsi="仿宋" w:cs="Times New Roman" w:hint="eastAsia"/>
                <w:sz w:val="28"/>
                <w:szCs w:val="28"/>
                <w:lang w:val="en-US" w:eastAsia="zh-CN"/>
              </w:rPr>
              <w:t>5</w:t>
            </w:r>
            <w:r>
              <w:rPr>
                <w:rFonts w:ascii="仿宋" w:eastAsia="仿宋" w:hAnsi="仿宋" w:cs="Times New Roman" w:hint="eastAsia"/>
                <w:sz w:val="28"/>
                <w:szCs w:val="28"/>
              </w:rPr>
              <w:t>年的整机及雷达分系统质保服务等。</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按照中国气象局有关业务规范要求，在三级及以上气象应急响应期间，24小时全天候现场值守保障，并定期编制和上报雷达运行状态及故障处置报告。</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备品备件、维护标校、故障维修和巡检巡查等各项要求参照《X波段天气雷达观测规范（试行）》、《X波段天气雷达标校业务规范（试行）》等文件要求执行。</w:t>
            </w:r>
          </w:p>
          <w:p>
            <w:pPr>
              <w:tabs>
                <w:tab w:val="left" w:pos="709"/>
              </w:tabs>
              <w:spacing w:line="360" w:lineRule="auto"/>
              <w:jc w:val="left"/>
              <w:rPr>
                <w:rFonts w:ascii="宋体" w:hAnsi="宋体" w:cs="微软雅黑" w:hint="eastAsia"/>
                <w:b/>
                <w:color w:val="0000FF"/>
                <w:kern w:val="0"/>
                <w:sz w:val="18"/>
                <w:szCs w:val="18"/>
                <w:highlight w:val="none"/>
              </w:rPr>
            </w:pPr>
            <w:r>
              <w:rPr>
                <w:rFonts w:ascii="仿宋" w:eastAsia="仿宋" w:hAnsi="仿宋" w:cs="Times New Roman" w:hint="eastAsia"/>
                <w:sz w:val="28"/>
                <w:szCs w:val="28"/>
              </w:rPr>
              <w:t>质保期服务提供相关承诺函</w:t>
            </w:r>
            <w:r>
              <w:rPr>
                <w:rFonts w:ascii="仿宋" w:eastAsia="仿宋" w:hAnsi="仿宋" w:cs="仿宋" w:hint="eastAsia"/>
                <w:sz w:val="28"/>
                <w:szCs w:val="28"/>
              </w:rPr>
              <w:t>。</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8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b/>
          <w:bCs/>
          <w:szCs w:val="21"/>
        </w:rPr>
      </w:pPr>
      <w:bookmarkStart w:id="81" w:name="采购公告合同部分_ZBGGHT"/>
      <w:r>
        <w:rPr>
          <w:b/>
          <w:bCs/>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b/>
          <w:bCs/>
          <w:szCs w:val="21"/>
        </w:rPr>
        <w:instrText>ADDIN CNKISM.UserStyle</w:instrText>
      </w:r>
      <w:r>
        <w:rPr>
          <w:b/>
          <w:bCs/>
          <w:szCs w:val="21"/>
        </w:rPr>
        <w:fldChar w:fldCharType="separate"/>
      </w:r>
      <w:r>
        <w:rPr>
          <w:b/>
          <w:bCs/>
          <w:szCs w:val="21"/>
        </w:rPr>
        <w:fldChar w:fldCharType="end"/>
      </w:r>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82"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space="708"/>
          <w:docGrid w:type="lines" w:linePitch="312"/>
        </w:sectPr>
      </w:pPr>
    </w:p>
    <w:p>
      <w:pPr>
        <w:pStyle w:val="Heading2"/>
        <w:numPr>
          <w:ilvl w:val="0"/>
          <w:numId w:val="0"/>
        </w:numPr>
        <w:adjustRightInd w:val="0"/>
        <w:snapToGrid w:val="0"/>
        <w:spacing w:line="400" w:lineRule="exact"/>
        <w:jc w:val="center"/>
        <w:rPr>
          <w:rFonts w:ascii="黑体" w:hAnsi="华文中宋"/>
          <w:b w:val="0"/>
          <w:bCs w:val="0"/>
          <w:sz w:val="28"/>
          <w:szCs w:val="28"/>
        </w:rPr>
      </w:pPr>
      <w:bookmarkStart w:id="83" w:name="_Toc22209"/>
      <w:bookmarkEnd w:id="82"/>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83"/>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tbl>
      <w:tblPr>
        <w:tblStyle w:val="TableNormal"/>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3"/>
        <w:gridCol w:w="956"/>
        <w:gridCol w:w="669"/>
        <w:gridCol w:w="537"/>
        <w:gridCol w:w="1489"/>
        <w:gridCol w:w="1489"/>
        <w:gridCol w:w="644"/>
        <w:gridCol w:w="668"/>
        <w:gridCol w:w="966"/>
      </w:tblGrid>
      <w:tr>
        <w:tblPrEx>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37"/>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序号</w:t>
            </w: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服务产品名称</w:t>
            </w: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数量</w:t>
            </w: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cs="宋体" w:hint="eastAsia"/>
                <w:szCs w:val="21"/>
              </w:rPr>
            </w:pPr>
            <w:r>
              <w:rPr>
                <w:rFonts w:ascii="宋体" w:hAnsi="宋体" w:cs="宋体" w:hint="eastAsia"/>
                <w:szCs w:val="21"/>
              </w:rPr>
              <w:t>品牌</w:t>
            </w: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cs="宋体" w:hint="eastAsia"/>
                <w:szCs w:val="21"/>
              </w:rPr>
              <w:t>规格型号</w:t>
            </w: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单价（元）</w:t>
            </w: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总价（元）</w:t>
            </w: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交付时间</w:t>
            </w:r>
          </w:p>
        </w:tc>
      </w:tr>
      <w:tr>
        <w:tblPrEx>
          <w:tblW w:w="7951" w:type="dxa"/>
          <w:jc w:val="center"/>
          <w:tblLayout w:type="fixed"/>
          <w:tblCellMar>
            <w:top w:w="0" w:type="dxa"/>
            <w:left w:w="108" w:type="dxa"/>
            <w:bottom w:w="0" w:type="dxa"/>
            <w:right w:w="108" w:type="dxa"/>
          </w:tblCellMar>
          <w:tblLook w:val="0000"/>
        </w:tblPrEx>
        <w:trPr>
          <w:trHeight w:val="372"/>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65"/>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72"/>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65"/>
          <w:jc w:val="center"/>
        </w:trPr>
        <w:tc>
          <w:tcPr>
            <w:tcW w:w="1489" w:type="dxa"/>
            <w:gridSpan w:val="2"/>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jc w:val="center"/>
              <w:rPr>
                <w:rFonts w:ascii="宋体" w:hAnsi="宋体" w:hint="eastAsia"/>
                <w:sz w:val="20"/>
                <w:szCs w:val="21"/>
              </w:rPr>
            </w:pPr>
          </w:p>
        </w:tc>
        <w:tc>
          <w:tcPr>
            <w:tcW w:w="4828" w:type="dxa"/>
            <w:gridSpan w:val="5"/>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合计</w:t>
            </w: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bl>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采购标的的技术要求、商务要求具体见招标文件。</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color w:val="FF0000"/>
          <w:szCs w:val="21"/>
          <w:highlight w:val="none"/>
          <w:u w:val="single"/>
          <w:lang w:eastAsia="zh-CN"/>
        </w:rPr>
        <w:t>签订合同后合同款</w:t>
      </w:r>
      <w:r>
        <w:rPr>
          <w:rFonts w:ascii="宋体" w:hAnsi="宋体" w:hint="eastAsia"/>
          <w:color w:val="FF0000"/>
          <w:szCs w:val="21"/>
          <w:highlight w:val="none"/>
          <w:u w:val="single"/>
          <w:lang w:val="en-US" w:eastAsia="zh-CN"/>
        </w:rPr>
        <w:t>90%，完成验收后支付合同款尾款10%</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pPr>
        <w:numPr>
          <w:ilvl w:val="0"/>
          <w:numId w:val="8"/>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FE"/>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r>
        <w:rPr>
          <w:rFonts w:ascii="宋体" w:eastAsia="宋体" w:hAnsi="宋体" w:cs="宋体" w:hint="eastAsia"/>
          <w:bCs/>
          <w:color w:val="FF0000"/>
          <w:sz w:val="21"/>
          <w:highlight w:val="none"/>
          <w:u w:val="single"/>
          <w:lang w:eastAsia="zh-CN"/>
        </w:rPr>
        <w:t>银行保函</w:t>
      </w:r>
      <w:r>
        <w:rPr>
          <w:rFonts w:ascii="宋体" w:eastAsia="宋体" w:hAnsi="宋体" w:cs="宋体" w:hint="eastAsia"/>
          <w:bCs/>
          <w:sz w:val="21"/>
          <w:u w:val="single"/>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r>
        <w:rPr>
          <w:rFonts w:ascii="宋体" w:eastAsia="宋体" w:hAnsi="宋体" w:cs="宋体" w:hint="eastAsia"/>
          <w:bCs/>
          <w:color w:val="FF0000"/>
          <w:sz w:val="21"/>
          <w:highlight w:val="none"/>
          <w:u w:val="single"/>
          <w:lang w:eastAsia="zh-CN"/>
        </w:rPr>
        <w:t>合同金额</w:t>
      </w:r>
      <w:r>
        <w:rPr>
          <w:rFonts w:ascii="宋体" w:eastAsia="宋体" w:hAnsi="宋体" w:cs="宋体" w:hint="eastAsia"/>
          <w:bCs/>
          <w:color w:val="FF0000"/>
          <w:sz w:val="21"/>
          <w:highlight w:val="none"/>
          <w:u w:val="single"/>
          <w:lang w:val="en-US" w:eastAsia="zh-CN"/>
        </w:rPr>
        <w:t>5%</w:t>
      </w:r>
      <w:r>
        <w:rPr>
          <w:rFonts w:ascii="宋体" w:eastAsia="宋体" w:hAnsi="宋体" w:cs="宋体" w:hint="eastAsia"/>
          <w:bCs/>
          <w:color w:val="FF0000"/>
          <w:sz w:val="21"/>
          <w:highlight w:val="none"/>
          <w:u w:val="single"/>
        </w:rPr>
        <w:t xml:space="preserve"> </w:t>
      </w:r>
      <w:r>
        <w:rPr>
          <w:rFonts w:ascii="宋体" w:eastAsia="宋体" w:hAnsi="宋体" w:cs="宋体" w:hint="eastAsia"/>
          <w:bCs/>
          <w:sz w:val="21"/>
          <w:u w:val="single"/>
        </w:rPr>
        <w:t xml:space="preserve">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8"/>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合同履行及验收</w:t>
      </w:r>
    </w:p>
    <w:p>
      <w:pPr>
        <w:adjustRightInd w:val="0"/>
        <w:snapToGrid w:val="0"/>
        <w:spacing w:line="360" w:lineRule="auto"/>
        <w:ind w:left="420"/>
        <w:rPr>
          <w:b/>
        </w:rPr>
      </w:pPr>
      <w:r>
        <w:rPr>
          <w:rFonts w:ascii="宋体" w:hAnsi="宋体" w:hint="eastAsia"/>
          <w:b/>
          <w:szCs w:val="21"/>
        </w:rPr>
        <w:t xml:space="preserve"> </w:t>
      </w:r>
      <w:r>
        <w:rPr>
          <w:rFonts w:hint="eastAsia"/>
          <w:b/>
        </w:rPr>
        <w:t>（1）质量标准及保证</w:t>
      </w:r>
    </w:p>
    <w:p>
      <w:pPr>
        <w:numPr>
          <w:ilvl w:val="0"/>
          <w:numId w:val="10"/>
        </w:numPr>
        <w:tabs>
          <w:tab w:val="left" w:pos="1573"/>
        </w:tabs>
        <w:adjustRightInd w:val="0"/>
        <w:snapToGrid w:val="0"/>
        <w:spacing w:line="360" w:lineRule="auto"/>
        <w:ind w:firstLine="420" w:firstLineChars="200"/>
        <w:rPr>
          <w:rFonts w:hint="eastAsia"/>
        </w:rPr>
      </w:pPr>
      <w:r>
        <w:rPr>
          <w:rFonts w:hint="eastAsia"/>
        </w:rPr>
        <w:t>乙方应提供产品达到合格标准的出厂测试报告。</w:t>
      </w:r>
    </w:p>
    <w:p>
      <w:pPr>
        <w:numPr>
          <w:ilvl w:val="0"/>
          <w:numId w:val="10"/>
        </w:numPr>
        <w:tabs>
          <w:tab w:val="left" w:pos="1573"/>
        </w:tabs>
        <w:adjustRightInd w:val="0"/>
        <w:snapToGrid w:val="0"/>
        <w:spacing w:line="360" w:lineRule="auto"/>
        <w:ind w:firstLine="420" w:firstLineChars="200"/>
        <w:rPr>
          <w:rFonts w:hint="eastAsia"/>
        </w:rPr>
      </w:pPr>
      <w:r>
        <w:rPr>
          <w:rFonts w:hint="eastAsia"/>
        </w:rPr>
        <w:t>合同签订后XXX天内，完成设备出厂测试，XXX天内发货</w:t>
      </w:r>
    </w:p>
    <w:p>
      <w:pPr>
        <w:numPr>
          <w:ilvl w:val="0"/>
          <w:numId w:val="10"/>
        </w:numPr>
        <w:tabs>
          <w:tab w:val="left" w:pos="1573"/>
        </w:tabs>
        <w:adjustRightInd w:val="0"/>
        <w:snapToGrid w:val="0"/>
        <w:spacing w:line="360" w:lineRule="auto"/>
        <w:ind w:firstLine="420" w:firstLineChars="200"/>
        <w:rPr>
          <w:rFonts w:hint="eastAsia"/>
        </w:rPr>
      </w:pPr>
      <w:r>
        <w:rPr>
          <w:rFonts w:hint="eastAsia"/>
        </w:rPr>
        <w:t>合同签订后XXX天内，完成现场后安装、测试和数据上传。</w:t>
      </w:r>
    </w:p>
    <w:p>
      <w:pPr>
        <w:numPr>
          <w:ilvl w:val="0"/>
          <w:numId w:val="10"/>
        </w:numPr>
        <w:tabs>
          <w:tab w:val="left" w:pos="1573"/>
        </w:tabs>
        <w:adjustRightInd w:val="0"/>
        <w:snapToGrid w:val="0"/>
        <w:spacing w:line="360" w:lineRule="auto"/>
        <w:ind w:firstLine="420" w:firstLineChars="200"/>
      </w:pPr>
      <w:r>
        <w:rPr>
          <w:rFonts w:hint="eastAsia"/>
        </w:rPr>
        <w:t>合同签订后XXX天内，完成现场验收。</w:t>
      </w:r>
    </w:p>
    <w:p>
      <w:pPr>
        <w:numPr>
          <w:ilvl w:val="0"/>
          <w:numId w:val="10"/>
        </w:numPr>
        <w:tabs>
          <w:tab w:val="left" w:pos="1573"/>
        </w:tabs>
        <w:adjustRightInd w:val="0"/>
        <w:snapToGrid w:val="0"/>
        <w:spacing w:line="360" w:lineRule="auto"/>
        <w:ind w:firstLine="420" w:firstLineChars="200"/>
        <w:rPr>
          <w:rFonts w:hint="eastAsia"/>
        </w:rPr>
      </w:pPr>
      <w:r>
        <w:rPr>
          <w:rFonts w:hint="eastAsia"/>
        </w:rPr>
        <w:t>备品备件、故障维修、巡检巡查等具体要求按照《2024年气象观测站网工程新上设备建设及质保指导意见（7种生态观测设备）》、《</w:t>
      </w:r>
      <w:r>
        <w:rPr>
          <w:rFonts w:hint="eastAsia"/>
        </w:rPr>
        <w:t>“</w:t>
      </w:r>
      <w:r>
        <w:rPr>
          <w:rFonts w:hint="eastAsia"/>
        </w:rPr>
        <w:t>十四五</w:t>
      </w:r>
      <w:r>
        <w:rPr>
          <w:rFonts w:hint="eastAsia"/>
        </w:rPr>
        <w:t>”</w:t>
      </w:r>
      <w:r>
        <w:rPr>
          <w:rFonts w:hint="eastAsia"/>
        </w:rPr>
        <w:t>期间综合观测类工程项目新上设备建设及质保指导意见》</w:t>
      </w:r>
      <w:r>
        <w:rPr>
          <w:rFonts w:hint="eastAsia"/>
          <w:lang w:eastAsia="zh-CN"/>
        </w:rPr>
        <w:t>、项目可研</w:t>
      </w:r>
      <w:r>
        <w:rPr>
          <w:rFonts w:hint="eastAsia"/>
        </w:rPr>
        <w:t>文件执行。</w:t>
      </w:r>
    </w:p>
    <w:p>
      <w:pPr>
        <w:numPr>
          <w:ilvl w:val="0"/>
          <w:numId w:val="9"/>
        </w:numPr>
        <w:adjustRightInd w:val="0"/>
        <w:snapToGrid w:val="0"/>
        <w:spacing w:line="360" w:lineRule="auto"/>
        <w:ind w:left="420"/>
        <w:rPr>
          <w:b/>
        </w:rPr>
      </w:pPr>
      <w:r>
        <w:rPr>
          <w:rFonts w:hint="eastAsia"/>
          <w:b/>
        </w:rPr>
        <w:t>验收</w:t>
      </w:r>
    </w:p>
    <w:p>
      <w:pPr>
        <w:pStyle w:val="BodyTextFirstIndent2"/>
        <w:numPr>
          <w:ilvl w:val="0"/>
          <w:numId w:val="11"/>
        </w:numPr>
        <w:ind w:leftChars="0" w:firstLineChars="0"/>
        <w:rPr>
          <w:rFonts w:hint="eastAsia"/>
          <w:highlight w:val="yellow"/>
        </w:rPr>
      </w:pPr>
      <w:r>
        <w:rPr>
          <w:rFonts w:hint="eastAsia"/>
          <w:highlight w:val="yellow"/>
        </w:rPr>
        <w:t>乙方应按照甲方要求提交合同实施情况报告、出厂测试报告、货物/服务接收清单、现场验收报告、安装后测试报告、业务运行准入测试报告等。</w:t>
      </w:r>
      <w:r>
        <w:rPr>
          <w:rFonts w:hint="eastAsia"/>
          <w:color w:val="FF0000"/>
          <w:highlight w:val="yellow"/>
        </w:rPr>
        <w:t>XX</w:t>
      </w:r>
      <w:r>
        <w:rPr>
          <w:rFonts w:hint="eastAsia"/>
          <w:highlight w:val="yellow"/>
        </w:rPr>
        <w:t>设备需具备装备许可，否则验收为不合格，追究乙方责任。满足《</w:t>
      </w:r>
      <w:r>
        <w:rPr>
          <w:rFonts w:hint="eastAsia"/>
          <w:highlight w:val="yellow"/>
        </w:rPr>
        <w:t>“</w:t>
      </w:r>
      <w:r>
        <w:rPr>
          <w:rFonts w:hint="eastAsia"/>
          <w:highlight w:val="yellow"/>
        </w:rPr>
        <w:t>十四五</w:t>
      </w:r>
      <w:r>
        <w:rPr>
          <w:rFonts w:hint="eastAsia"/>
          <w:highlight w:val="yellow"/>
        </w:rPr>
        <w:t>”</w:t>
      </w:r>
      <w:r>
        <w:rPr>
          <w:rFonts w:hint="eastAsia"/>
          <w:highlight w:val="yellow"/>
        </w:rPr>
        <w:t>期间综合观测类工程项目新上设备验收技术指南》验收要求。</w:t>
      </w:r>
    </w:p>
    <w:p>
      <w:pPr>
        <w:pStyle w:val="BodyTextFirstIndent2"/>
        <w:numPr>
          <w:ilvl w:val="0"/>
          <w:numId w:val="11"/>
        </w:numPr>
        <w:ind w:leftChars="0" w:firstLineChars="0"/>
        <w:rPr>
          <w:rFonts w:hint="eastAsia"/>
          <w:highlight w:val="yellow"/>
        </w:rPr>
      </w:pPr>
      <w:r>
        <w:rPr>
          <w:rFonts w:hint="eastAsia"/>
          <w:highlight w:val="yellow"/>
        </w:rPr>
        <w:t>乙方按照相关规范和投标设备说明书的规定完成设备供货、安装、调试及试运行。</w:t>
      </w:r>
    </w:p>
    <w:p>
      <w:pPr>
        <w:pStyle w:val="BodyTextFirstIndent2"/>
        <w:numPr>
          <w:ilvl w:val="0"/>
          <w:numId w:val="11"/>
        </w:numPr>
        <w:ind w:leftChars="0" w:firstLineChars="0"/>
        <w:rPr>
          <w:rFonts w:hint="eastAsia"/>
          <w:highlight w:val="yellow"/>
        </w:rPr>
      </w:pPr>
      <w:r>
        <w:rPr>
          <w:rFonts w:hint="eastAsia"/>
          <w:highlight w:val="yellow"/>
        </w:rPr>
        <w:t>在设备安装、调试合格后，提交检验测试报告，经甲方验收合格后签署现场验收报告。</w:t>
      </w:r>
    </w:p>
    <w:p>
      <w:pPr>
        <w:pStyle w:val="BodyTextFirstIndent2"/>
        <w:numPr>
          <w:ilvl w:val="0"/>
          <w:numId w:val="11"/>
        </w:numPr>
        <w:ind w:leftChars="0" w:firstLineChars="0"/>
        <w:rPr>
          <w:rFonts w:hint="eastAsia"/>
          <w:highlight w:val="yellow"/>
        </w:rPr>
      </w:pPr>
      <w:r>
        <w:rPr>
          <w:rFonts w:hint="eastAsia"/>
          <w:highlight w:val="yellow"/>
        </w:rPr>
        <w:t>在设备试运行结束后，经甲方验收合格后签署合同验收报告。</w:t>
      </w:r>
      <w:r>
        <w:rPr>
          <w:rFonts w:hint="eastAsia"/>
          <w:color w:val="FF0000"/>
          <w:highlight w:val="yellow"/>
        </w:rPr>
        <w:t>各省根据设备情况补充，</w:t>
      </w:r>
      <w:r>
        <w:rPr>
          <w:rFonts w:hint="eastAsia"/>
          <w:highlight w:val="yellow"/>
        </w:rPr>
        <w:t>按照验收技术指导意见完善。</w:t>
      </w:r>
    </w:p>
    <w:p>
      <w:pPr>
        <w:pStyle w:val="BodyTextFirstIndent2"/>
        <w:numPr>
          <w:ilvl w:val="0"/>
          <w:numId w:val="11"/>
        </w:numPr>
        <w:ind w:leftChars="0" w:firstLineChars="0"/>
        <w:rPr>
          <w:rFonts w:hint="eastAsia"/>
          <w:highlight w:val="yellow"/>
        </w:rPr>
      </w:pPr>
      <w:r>
        <w:rPr>
          <w:rFonts w:hint="eastAsia"/>
          <w:color w:val="FF0000"/>
          <w:highlight w:val="yellow"/>
        </w:rPr>
        <w:t>各省根据情况补充。</w:t>
      </w:r>
    </w:p>
    <w:p>
      <w:pPr>
        <w:adjustRightInd w:val="0"/>
        <w:snapToGrid w:val="0"/>
        <w:spacing w:line="360" w:lineRule="auto"/>
        <w:ind w:left="420"/>
        <w:rPr>
          <w:b/>
        </w:rPr>
      </w:pPr>
      <w:r>
        <w:rPr>
          <w:rFonts w:hint="eastAsia"/>
          <w:b/>
        </w:rPr>
        <w:t>（3）运输</w:t>
      </w:r>
    </w:p>
    <w:p>
      <w:pPr>
        <w:pStyle w:val="BodyTextFirstIndent2"/>
        <w:ind w:left="0" w:leftChars="0"/>
        <w:rPr>
          <w:highlight w:val="yellow"/>
        </w:rPr>
      </w:pPr>
      <w:r>
        <w:rPr>
          <w:rFonts w:hint="eastAsia"/>
          <w:highlight w:val="yellow"/>
        </w:rPr>
        <w:t>各省根据情况可补充。</w:t>
      </w:r>
    </w:p>
    <w:p>
      <w:pPr>
        <w:adjustRightInd w:val="0"/>
        <w:snapToGrid w:val="0"/>
        <w:spacing w:line="360" w:lineRule="auto"/>
        <w:ind w:left="420"/>
        <w:rPr>
          <w:b/>
        </w:rPr>
      </w:pPr>
      <w:r>
        <w:rPr>
          <w:rFonts w:hint="eastAsia"/>
          <w:b/>
        </w:rPr>
        <w:t>（4）技术服务和保修责任方式</w:t>
      </w:r>
    </w:p>
    <w:p>
      <w:pPr>
        <w:tabs>
          <w:tab w:val="left" w:pos="1573"/>
        </w:tabs>
        <w:adjustRightInd w:val="0"/>
        <w:snapToGrid w:val="0"/>
        <w:spacing w:line="360" w:lineRule="auto"/>
        <w:ind w:left="840"/>
        <w:rPr>
          <w:rFonts w:ascii="宋体" w:hAnsi="宋体"/>
          <w:szCs w:val="21"/>
        </w:rPr>
      </w:pPr>
      <w:r>
        <w:rPr>
          <w:rFonts w:ascii="宋体" w:hAnsi="宋体" w:hint="eastAsia"/>
          <w:szCs w:val="21"/>
        </w:rPr>
        <w:t>1）乙方对合同货物的质量保修期为验收报告签署之日起96 个月。</w:t>
      </w:r>
    </w:p>
    <w:p>
      <w:pPr>
        <w:tabs>
          <w:tab w:val="left" w:pos="1573"/>
        </w:tabs>
        <w:adjustRightInd w:val="0"/>
        <w:snapToGrid w:val="0"/>
        <w:spacing w:line="360" w:lineRule="auto"/>
        <w:ind w:left="840"/>
        <w:rPr>
          <w:rFonts w:ascii="宋体" w:hAnsi="宋体"/>
          <w:szCs w:val="21"/>
        </w:rPr>
      </w:pPr>
      <w:r>
        <w:rPr>
          <w:rFonts w:ascii="宋体" w:hAnsi="宋体" w:hint="eastAsia"/>
          <w:szCs w:val="21"/>
        </w:rPr>
        <w:t>2）在保修期内，如果设备发生故障，乙方将调查故障原因及修复情况及时上报甲方。</w:t>
      </w:r>
    </w:p>
    <w:p>
      <w:pPr>
        <w:tabs>
          <w:tab w:val="left" w:pos="1573"/>
        </w:tabs>
        <w:adjustRightInd w:val="0"/>
        <w:snapToGrid w:val="0"/>
        <w:spacing w:line="360" w:lineRule="auto"/>
        <w:ind w:left="840"/>
        <w:rPr>
          <w:rFonts w:ascii="宋体" w:hAnsi="宋体" w:hint="eastAsia"/>
          <w:szCs w:val="21"/>
          <w:highlight w:val="yellow"/>
        </w:rPr>
      </w:pPr>
      <w:r>
        <w:rPr>
          <w:rFonts w:ascii="宋体" w:hAnsi="宋体" w:hint="eastAsia"/>
          <w:color w:val="FF0000"/>
          <w:szCs w:val="21"/>
        </w:rPr>
        <w:t>3）</w:t>
      </w:r>
      <w:r>
        <w:rPr>
          <w:rFonts w:ascii="宋体" w:hAnsi="宋体" w:hint="eastAsia"/>
          <w:szCs w:val="21"/>
          <w:highlight w:val="yellow"/>
        </w:rPr>
        <w:t>乙方承诺为甲方提供终身免费7天</w:t>
      </w:r>
      <w:r>
        <w:rPr>
          <w:rFonts w:ascii="宋体" w:hAnsi="宋体" w:hint="eastAsia"/>
          <w:szCs w:val="21"/>
          <w:highlight w:val="yellow"/>
        </w:rPr>
        <w:t>×</w:t>
      </w:r>
      <w:r>
        <w:rPr>
          <w:rFonts w:ascii="宋体" w:hAnsi="宋体"/>
          <w:szCs w:val="21"/>
          <w:highlight w:val="yellow"/>
        </w:rPr>
        <w:t>24</w:t>
      </w:r>
      <w:r>
        <w:rPr>
          <w:rFonts w:ascii="宋体" w:hAnsi="宋体" w:hint="eastAsia"/>
          <w:szCs w:val="21"/>
          <w:highlight w:val="yellow"/>
        </w:rPr>
        <w:t>小时远程技术支持服务。在货物出现故障或接到甲方提出的技术服务要求后2小时内予以答复，1</w:t>
      </w:r>
      <w:r>
        <w:rPr>
          <w:rFonts w:ascii="宋体" w:hAnsi="宋体"/>
          <w:szCs w:val="21"/>
          <w:highlight w:val="yellow"/>
        </w:rPr>
        <w:t>2</w:t>
      </w:r>
      <w:r>
        <w:rPr>
          <w:rFonts w:ascii="宋体" w:hAnsi="宋体" w:hint="eastAsia"/>
          <w:szCs w:val="21"/>
          <w:highlight w:val="yellow"/>
        </w:rPr>
        <w:t>小时内给出维修方案。甲方有要求或必要时，乙方将在接到甲方通知后7</w:t>
      </w:r>
      <w:r>
        <w:rPr>
          <w:rFonts w:ascii="宋体" w:hAnsi="宋体"/>
          <w:szCs w:val="21"/>
          <w:highlight w:val="yellow"/>
        </w:rPr>
        <w:t>2</w:t>
      </w:r>
      <w:r>
        <w:rPr>
          <w:rFonts w:ascii="宋体" w:hAnsi="宋体" w:hint="eastAsia"/>
          <w:szCs w:val="21"/>
          <w:highlight w:val="yellow"/>
        </w:rPr>
        <w:t>小时内到达现场。</w:t>
      </w:r>
    </w:p>
    <w:p>
      <w:pPr>
        <w:tabs>
          <w:tab w:val="left" w:pos="1573"/>
        </w:tabs>
        <w:adjustRightInd w:val="0"/>
        <w:snapToGrid w:val="0"/>
        <w:spacing w:line="360" w:lineRule="auto"/>
        <w:ind w:left="840"/>
        <w:rPr>
          <w:rFonts w:ascii="宋体" w:hAnsi="宋体" w:hint="eastAsia"/>
          <w:szCs w:val="21"/>
          <w:highlight w:val="yellow"/>
        </w:rPr>
      </w:pPr>
      <w:r>
        <w:rPr>
          <w:rFonts w:ascii="宋体" w:hAnsi="宋体" w:hint="eastAsia"/>
          <w:szCs w:val="21"/>
          <w:highlight w:val="yellow"/>
        </w:rPr>
        <w:t>4）质保期内提供XX 次现场培训</w:t>
      </w:r>
    </w:p>
    <w:p>
      <w:pPr>
        <w:adjustRightInd w:val="0"/>
        <w:snapToGrid w:val="0"/>
        <w:spacing w:line="360" w:lineRule="auto"/>
        <w:ind w:left="420"/>
        <w:rPr>
          <w:b/>
        </w:rPr>
      </w:pPr>
      <w:r>
        <w:rPr>
          <w:rFonts w:hint="eastAsia"/>
          <w:b/>
        </w:rPr>
        <w:t>（5）安全生产责任</w:t>
      </w:r>
    </w:p>
    <w:p>
      <w:pPr>
        <w:pStyle w:val="BodyTextFirstIndent2"/>
        <w:ind w:left="0" w:leftChars="0"/>
        <w:rPr>
          <w:rFonts w:ascii="宋体" w:hAnsi="宋体"/>
          <w:color w:val="FF0000"/>
          <w:szCs w:val="21"/>
          <w:highlight w:val="yellow"/>
        </w:rPr>
      </w:pPr>
      <w:r>
        <w:rPr>
          <w:rFonts w:hint="eastAsia"/>
          <w:color w:val="FF0000"/>
          <w:highlight w:val="yellow"/>
        </w:rPr>
        <w:t>各省根据情况可补充</w:t>
      </w:r>
    </w:p>
    <w:p>
      <w:pPr>
        <w:adjustRightInd w:val="0"/>
        <w:snapToGrid w:val="0"/>
        <w:spacing w:line="400" w:lineRule="exact"/>
        <w:ind w:left="420"/>
        <w:rPr>
          <w:rFonts w:ascii="宋体" w:hAnsi="宋体"/>
          <w:bCs/>
          <w:szCs w:val="21"/>
        </w:rPr>
      </w:pPr>
      <w:r>
        <w:rPr>
          <w:rFonts w:ascii="宋体" w:hAnsi="宋体" w:hint="eastAsia"/>
          <w:bCs/>
          <w:szCs w:val="21"/>
        </w:rPr>
        <w:t>（6）验收组织方式：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履约验收程序：</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735" w:firstLineChars="350"/>
        <w:rPr>
          <w:rFonts w:ascii="宋体" w:hAnsi="宋体"/>
          <w:bCs/>
          <w:szCs w:val="21"/>
          <w:u w:val="single"/>
        </w:rPr>
      </w:pPr>
      <w:r>
        <w:rPr>
          <w:rFonts w:ascii="宋体" w:hAnsi="宋体" w:hint="eastAsia"/>
          <w:bCs/>
          <w:szCs w:val="21"/>
        </w:rPr>
        <w:t>履约验收标准：</w:t>
      </w:r>
      <w:r>
        <w:rPr>
          <w:rFonts w:ascii="宋体" w:hAnsi="宋体" w:hint="eastAsia"/>
          <w:bCs/>
          <w:szCs w:val="21"/>
          <w:u w:val="single"/>
        </w:rPr>
        <w:t xml:space="preserve">                                         </w:t>
      </w:r>
    </w:p>
    <w:p>
      <w:pPr>
        <w:pStyle w:val="AONormal"/>
        <w:ind w:firstLine="735" w:firstLineChars="350"/>
        <w:rPr>
          <w:rFonts w:ascii="宋体" w:eastAsia="宋体" w:hAnsi="宋体" w:cs="宋体"/>
          <w:sz w:val="21"/>
        </w:rPr>
      </w:pP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735" w:firstLineChars="350"/>
        <w:rPr>
          <w:rFonts w:ascii="宋体" w:hAnsi="宋体" w:cs="宋体"/>
          <w:bCs/>
          <w:szCs w:val="21"/>
          <w:u w:val="single"/>
        </w:rPr>
      </w:pPr>
      <w:r>
        <w:rPr>
          <w:rFonts w:ascii="宋体" w:hAnsi="宋体" w:cs="宋体" w:hint="eastAsia"/>
          <w:bCs/>
          <w:szCs w:val="21"/>
        </w:rPr>
        <w:t>履约验收其他事项：</w:t>
      </w:r>
      <w:r>
        <w:rPr>
          <w:rFonts w:ascii="宋体" w:hAnsi="宋体" w:cs="宋体" w:hint="eastAsia"/>
          <w:bCs/>
          <w:szCs w:val="21"/>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00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000"/>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CellMar>
            <w:top w:w="0" w:type="dxa"/>
            <w:left w:w="108" w:type="dxa"/>
            <w:bottom w:w="0" w:type="dxa"/>
            <w:right w:w="108" w:type="dxa"/>
          </w:tblCellMar>
          <w:tblLook w:val="0000"/>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CellMar>
            <w:top w:w="0" w:type="dxa"/>
            <w:left w:w="108" w:type="dxa"/>
            <w:bottom w:w="0" w:type="dxa"/>
            <w:right w:w="108" w:type="dxa"/>
          </w:tblCellMar>
          <w:tblLook w:val="0000"/>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84" w:name="_Toc27624"/>
      <w:r>
        <w:rPr>
          <w:rFonts w:ascii="黑体" w:hAnsi="黑体" w:hint="eastAsia"/>
          <w:b w:val="0"/>
          <w:bCs w:val="0"/>
          <w:sz w:val="28"/>
          <w:szCs w:val="28"/>
        </w:rPr>
        <w:t>第二节 政府采购合同通用条款</w:t>
      </w:r>
      <w:bookmarkEnd w:id="84"/>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w:t>
      </w:r>
      <w:r>
        <w:rPr>
          <w:rFonts w:ascii="宋体" w:hAnsi="宋体" w:hint="eastAsia"/>
          <w:szCs w:val="21"/>
        </w:rPr>
        <w:t>“</w:t>
      </w:r>
      <w:r>
        <w:rPr>
          <w:rFonts w:ascii="宋体" w:hAnsi="宋体" w:hint="eastAsia"/>
          <w:szCs w:val="21"/>
        </w:rPr>
        <w:t>合同</w:t>
      </w:r>
      <w:r>
        <w:rPr>
          <w:rFonts w:ascii="宋体" w:hAnsi="宋体" w:hint="eastAsia"/>
          <w:szCs w:val="21"/>
        </w:rPr>
        <w:t>”</w:t>
      </w:r>
      <w:r>
        <w:rPr>
          <w:rFonts w:ascii="宋体" w:hAnsi="宋体" w:hint="eastAsia"/>
          <w:szCs w:val="21"/>
        </w:rPr>
        <w:t>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w:t>
      </w:r>
      <w:r>
        <w:rPr>
          <w:rFonts w:ascii="宋体" w:hAnsi="宋体" w:hint="eastAsia"/>
          <w:szCs w:val="21"/>
        </w:rPr>
        <w:t>“</w:t>
      </w:r>
      <w:r>
        <w:rPr>
          <w:rFonts w:ascii="宋体" w:hAnsi="宋体" w:hint="eastAsia"/>
          <w:szCs w:val="21"/>
        </w:rPr>
        <w:t>合同价款</w:t>
      </w:r>
      <w:r>
        <w:rPr>
          <w:rFonts w:ascii="宋体" w:hAnsi="宋体" w:hint="eastAsia"/>
          <w:szCs w:val="21"/>
        </w:rPr>
        <w:t>”</w:t>
      </w:r>
      <w:r>
        <w:rPr>
          <w:rFonts w:ascii="宋体" w:hAnsi="宋体" w:hint="eastAsia"/>
          <w:szCs w:val="21"/>
        </w:rPr>
        <w:t>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w:t>
      </w:r>
      <w:r>
        <w:rPr>
          <w:rFonts w:ascii="宋体" w:hAnsi="宋体" w:hint="eastAsia"/>
          <w:szCs w:val="21"/>
        </w:rPr>
        <w:t>“</w:t>
      </w:r>
      <w:r>
        <w:rPr>
          <w:rFonts w:ascii="宋体" w:hAnsi="宋体" w:hint="eastAsia"/>
          <w:szCs w:val="21"/>
        </w:rPr>
        <w:t>货物</w:t>
      </w:r>
      <w:r>
        <w:rPr>
          <w:rFonts w:ascii="宋体" w:hAnsi="宋体" w:hint="eastAsia"/>
          <w:szCs w:val="21"/>
        </w:rPr>
        <w:t>”</w:t>
      </w:r>
      <w:r>
        <w:rPr>
          <w:rFonts w:ascii="宋体" w:hAnsi="宋体" w:hint="eastAsia"/>
          <w:szCs w:val="21"/>
        </w:rPr>
        <w:t>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w:t>
      </w:r>
      <w:r>
        <w:rPr>
          <w:rFonts w:ascii="宋体" w:hAnsi="宋体" w:hint="eastAsia"/>
          <w:color w:val="000000"/>
          <w:szCs w:val="21"/>
        </w:rPr>
        <w:t>”</w:t>
      </w:r>
      <w:r>
        <w:rPr>
          <w:rFonts w:ascii="宋体" w:hAnsi="宋体" w:hint="eastAsia"/>
          <w:color w:val="000000"/>
          <w:szCs w:val="21"/>
        </w:rPr>
        <w:t>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hint="eastAsia"/>
          <w:color w:val="000000"/>
          <w:szCs w:val="21"/>
        </w:rPr>
        <w:t>“</w:t>
      </w:r>
      <w:r>
        <w:rPr>
          <w:rFonts w:ascii="宋体" w:hAnsi="宋体" w:hint="eastAsia"/>
          <w:color w:val="000000"/>
          <w:szCs w:val="21"/>
        </w:rPr>
        <w:t>分包</w:t>
      </w:r>
      <w:r>
        <w:rPr>
          <w:rFonts w:ascii="宋体" w:hAnsi="宋体" w:hint="eastAsia"/>
          <w:color w:val="000000"/>
          <w:szCs w:val="21"/>
        </w:rPr>
        <w:t>”</w:t>
      </w:r>
      <w:r>
        <w:rPr>
          <w:rFonts w:ascii="宋体" w:hAnsi="宋体" w:hint="eastAsia"/>
          <w:color w:val="000000"/>
          <w:szCs w:val="21"/>
        </w:rPr>
        <w:t>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w:t>
      </w:r>
      <w:r>
        <w:rPr>
          <w:rFonts w:ascii="宋体" w:hAnsi="宋体" w:hint="eastAsia"/>
          <w:szCs w:val="21"/>
        </w:rPr>
        <w:t>联合体</w:t>
      </w:r>
      <w:r>
        <w:rPr>
          <w:rFonts w:ascii="宋体" w:hAnsi="宋体" w:hint="eastAsia"/>
          <w:szCs w:val="21"/>
        </w:rPr>
        <w:t>”</w:t>
      </w:r>
      <w:r>
        <w:rPr>
          <w:rFonts w:ascii="宋体" w:hAnsi="宋体" w:hint="eastAsia"/>
          <w:szCs w:val="21"/>
        </w:rPr>
        <w:t>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12"/>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13"/>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85"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85"/>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4"/>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5"/>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16"/>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86"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8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0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Merge w:val="restart"/>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Merge/>
            <w:vAlign w:val="center"/>
          </w:tcPr>
          <w:p>
            <w:pPr>
              <w:adjustRightInd w:val="0"/>
              <w:snapToGrid w:val="0"/>
              <w:jc w:val="center"/>
              <w:rPr>
                <w:rFonts w:ascii="宋体" w:hAnsi="宋体"/>
                <w:szCs w:val="21"/>
              </w:rPr>
            </w:pPr>
          </w:p>
        </w:tc>
        <w:tc>
          <w:tcPr>
            <w:tcW w:w="1742" w:type="dxa"/>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772"/>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Look w:val="0000"/>
        </w:tblPrEx>
        <w:trPr>
          <w:trHeight w:val="770"/>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szCs w:val="21"/>
              </w:rPr>
            </w:pPr>
          </w:p>
        </w:tc>
      </w:tr>
    </w:tbl>
    <w:p/>
    <w:p>
      <w:pPr>
        <w:rPr>
          <w:b/>
          <w:bCs/>
          <w:sz w:val="44"/>
          <w:szCs w:val="44"/>
        </w:rPr>
      </w:pPr>
    </w:p>
    <w:p/>
    <w:p w:rsidR="00A77B3E"/>
    <w:p>
      <w:pPr>
        <w:spacing w:line="360" w:lineRule="auto"/>
        <w:ind w:firstLine="3066" w:firstLineChars="1460"/>
        <w:jc w:val="left"/>
        <w:rPr>
          <w:b/>
          <w:bCs/>
          <w:szCs w:val="21"/>
          <w:highlight w:val="none"/>
        </w:rPr>
      </w:pPr>
      <w:bookmarkEnd w:id="81"/>
    </w:p>
    <w:sectPr>
      <w:headerReference w:type="even" r:id="rId10"/>
      <w:headerReference w:type="default" r:id="rId11"/>
      <w:footerReference w:type="default" r:id="rId12"/>
      <w:headerReference w:type="first" r:id="rId13"/>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10600030101010101"/>
    <w:charset w:val="86"/>
    <w:family w:val="script"/>
    <w:pitch w:val="default"/>
    <w:sig w:usb0="00000000" w:usb1="0000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WPSEMBED1">
    <w:panose1 w:val="02010609030101010101"/>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multilevel"/>
    <w:tmpl w:val="CFE7C3F8"/>
    <w:lvl w:ilvl="0">
      <w:start w:val="1"/>
      <w:numFmt w:val="decimal"/>
      <w:suff w:val="nothing"/>
      <w:lvlText w:val="（%1）"/>
      <w:lvlJc w:val="left"/>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462F18A"/>
    <w:multiLevelType w:val="singleLevel"/>
    <w:tmpl w:val="F462F18A"/>
    <w:lvl w:ilvl="0">
      <w:start w:val="1"/>
      <w:numFmt w:val="bullet"/>
      <w:lvlText w:val=""/>
      <w:lvlJc w:val="left"/>
      <w:pPr>
        <w:ind w:left="420" w:hanging="420"/>
      </w:pPr>
      <w:rPr>
        <w:rFonts w:ascii="Wingdings" w:hAnsi="Wingdings" w:hint="default"/>
      </w:rPr>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4649CC0"/>
    <w:multiLevelType w:val="singleLevel"/>
    <w:tmpl w:val="04649CC0"/>
    <w:lvl w:ilvl="0">
      <w:start w:val="2"/>
      <w:numFmt w:val="chineseCounting"/>
      <w:suff w:val="nothing"/>
      <w:lvlText w:val="（%1）"/>
      <w:lvlJc w:val="left"/>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1530C5B"/>
    <w:multiLevelType w:val="singleLevel"/>
    <w:tmpl w:val="21530C5B"/>
    <w:lvl w:ilvl="0">
      <w:start w:val="1"/>
      <w:numFmt w:val="decimal"/>
      <w:lvlText w:val="%1)"/>
      <w:lvlJc w:val="left"/>
      <w:pPr>
        <w:ind w:left="562" w:hanging="42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1DFBFFE"/>
    <w:multiLevelType w:val="multilevel"/>
    <w:tmpl w:val="31DFBFFE"/>
    <w:lvl w:ilvl="0">
      <w:start w:val="1"/>
      <w:numFmt w:val="decimal"/>
      <w:suff w:val="space"/>
      <w:lvlText w:val="%1"/>
      <w:lvlJc w:val="left"/>
      <w:pPr>
        <w:ind w:left="0" w:firstLine="0" w:leftChars="0" w:firstLineChars="0"/>
      </w:pPr>
      <w:rPr>
        <w:rFonts w:hint="default"/>
      </w:rPr>
    </w:lvl>
    <w:lvl w:ilvl="1">
      <w:start w:val="1"/>
      <w:numFmt w:val="decimal"/>
      <w:suff w:val="space"/>
      <w:lvlText w:val="%1.%2"/>
      <w:lvlJc w:val="left"/>
      <w:pPr>
        <w:ind w:left="0" w:firstLine="0" w:leftChars="0" w:firstLineChars="0"/>
      </w:pPr>
      <w:rPr>
        <w:rFonts w:hint="default"/>
      </w:rPr>
    </w:lvl>
    <w:lvl w:ilvl="2">
      <w:start w:val="1"/>
      <w:numFmt w:val="decimal"/>
      <w:suff w:val="space"/>
      <w:lvlText w:val="%1.%2.%3"/>
      <w:lvlJc w:val="left"/>
      <w:pPr>
        <w:ind w:left="0" w:firstLine="0" w:leftChars="0" w:firstLineChars="0"/>
      </w:pPr>
      <w:rPr>
        <w:rFonts w:hint="default"/>
      </w:rPr>
    </w:lvl>
    <w:lvl w:ilvl="3">
      <w:start w:val="1"/>
      <w:numFmt w:val="decimal"/>
      <w:suff w:val="space"/>
      <w:lvlText w:val="%1.%2.%3.%4"/>
      <w:lvlJc w:val="left"/>
      <w:pPr>
        <w:ind w:left="0" w:firstLine="0" w:leftChars="0" w:firstLineChars="0"/>
      </w:pPr>
      <w:rPr>
        <w:rFonts w:hint="default"/>
      </w:rPr>
    </w:lvl>
    <w:lvl w:ilvl="4">
      <w:start w:val="1"/>
      <w:numFmt w:val="decimal"/>
      <w:suff w:val="space"/>
      <w:lvlText w:val="%1.%2.%3.%4.%5"/>
      <w:lvlJc w:val="left"/>
      <w:pPr>
        <w:ind w:left="0" w:firstLine="0" w:leftChars="0" w:firstLineChars="0"/>
      </w:pPr>
      <w:rPr>
        <w:rFonts w:hint="default"/>
      </w:rPr>
    </w:lvl>
    <w:lvl w:ilvl="5">
      <w:start w:val="1"/>
      <w:numFmt w:val="decimal"/>
      <w:suff w:val="space"/>
      <w:lvlText w:val="%1.%2.%3.%4.%5.%6"/>
      <w:lvlJc w:val="left"/>
      <w:pPr>
        <w:ind w:left="0" w:firstLine="0" w:leftChars="0" w:firstLineChars="0"/>
      </w:pPr>
      <w:rPr>
        <w:rFonts w:hint="default"/>
      </w:rPr>
    </w:lvl>
    <w:lvl w:ilvl="6">
      <w:start w:val="1"/>
      <w:numFmt w:val="decimal"/>
      <w:suff w:val="space"/>
      <w:lvlText w:val="%1.%2.%3.%4.%5.%6.%7"/>
      <w:lvlJc w:val="left"/>
      <w:pPr>
        <w:ind w:left="0" w:firstLine="0" w:leftChars="0" w:firstLineChars="0"/>
      </w:pPr>
      <w:rPr>
        <w:rFonts w:hint="default"/>
      </w:rPr>
    </w:lvl>
    <w:lvl w:ilvl="7">
      <w:start w:val="1"/>
      <w:numFmt w:val="decimal"/>
      <w:suff w:val="space"/>
      <w:lvlText w:val="%1.%2.%3.%4.%5.%6.%7.%8"/>
      <w:lvlJc w:val="left"/>
      <w:pPr>
        <w:ind w:left="0" w:firstLine="0" w:leftChars="0" w:firstLineChars="0"/>
      </w:pPr>
      <w:rPr>
        <w:rFonts w:hint="default"/>
      </w:rPr>
    </w:lvl>
    <w:lvl w:ilvl="8">
      <w:start w:val="1"/>
      <w:numFmt w:val="decimal"/>
      <w:suff w:val="space"/>
      <w:lvlText w:val="%1.%2.%3.%4.%5.%6.%7.%8.%9"/>
      <w:lvlJc w:val="left"/>
      <w:pPr>
        <w:ind w:left="0" w:firstLine="0" w:leftChars="0" w:firstLineChars="0"/>
      </w:pPr>
      <w:rPr>
        <w:rFonts w:hint="default"/>
      </w:rPr>
    </w:lvl>
  </w:abstractNum>
  <w:abstractNum w:abstractNumId="13">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71896B7A"/>
    <w:multiLevelType w:val="multilevel"/>
    <w:tmpl w:val="71896B7A"/>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16">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9"/>
  </w:num>
  <w:num w:numId="4">
    <w:abstractNumId w:val="12"/>
  </w:num>
  <w:num w:numId="5">
    <w:abstractNumId w:val="8"/>
  </w:num>
  <w:num w:numId="6">
    <w:abstractNumId w:val="5"/>
  </w:num>
  <w:num w:numId="7">
    <w:abstractNumId w:val="14"/>
  </w:num>
  <w:num w:numId="8">
    <w:abstractNumId w:val="16"/>
  </w:num>
  <w:num w:numId="9">
    <w:abstractNumId w:val="1"/>
  </w:num>
  <w:num w:numId="10">
    <w:abstractNumId w:val="10"/>
  </w:num>
  <w:num w:numId="11">
    <w:abstractNumId w:val="15"/>
  </w:num>
  <w:num w:numId="12">
    <w:abstractNumId w:val="3"/>
  </w:num>
  <w:num w:numId="13">
    <w:abstractNumId w:val="2"/>
  </w:num>
  <w:num w:numId="14">
    <w:abstractNumId w:val="13"/>
  </w:num>
  <w:num w:numId="15">
    <w:abstractNumId w:val="0"/>
  </w:num>
  <w:num w:numId="16">
    <w:abstractNumId w:val="4"/>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table" w:customStyle="1" w:styleId="TableNormal0">
    <w:name w:val="Table Normal_0"/>
    <w:unhideWhenUsed/>
    <w:qFormat/>
    <w:rPr>
      <w:rFonts w:ascii="Calibri" w:hAnsi="Calibri"/>
    </w:rPr>
    <w:tblPr>
      <w:tblCellMar>
        <w:top w:w="0" w:type="dxa"/>
        <w:left w:w="0" w:type="dxa"/>
        <w:bottom w:w="0" w:type="dxa"/>
        <w:right w:w="0" w:type="dxa"/>
      </w:tblCellMar>
    </w:tblPr>
  </w:style>
  <w:style w:type="paragraph" w:customStyle="1" w:styleId="TableText">
    <w:name w:val="Table Text"/>
    <w:basedOn w:val="Normal"/>
    <w:semiHidden/>
    <w:qFormat/>
    <w:pPr>
      <w:spacing w:line="500" w:lineRule="exact"/>
      <w:ind w:firstLine="200" w:firstLineChars="200"/>
      <w:jc w:val="left"/>
    </w:pPr>
    <w:rPr>
      <w:rFonts w:ascii="宋体" w:eastAsia="方正仿宋" w:hAnsi="宋体" w:cs="宋体"/>
      <w:sz w:val="24"/>
      <w:szCs w:val="24"/>
      <w:lang w:eastAsia="en-US"/>
    </w:rPr>
  </w:style>
  <w:style w:type="paragraph" w:styleId="BodyTextFirstIndent2">
    <w:name w:val="Body Text First Indent 2"/>
    <w:basedOn w:val="BodyTextIndent"/>
    <w:link w:val="2Char"/>
    <w:pPr>
      <w:ind w:firstLine="420" w:firstLineChars="200"/>
    </w:pPr>
    <w:rPr>
      <w:rFonts w:ascii="Calibri" w:hAnsi="Calibri"/>
      <w:szCs w:val="22"/>
    </w:rPr>
  </w:style>
  <w:style w:type="character" w:customStyle="1" w:styleId="2Char">
    <w:name w:val="正文首行缩进 2 Char"/>
    <w:link w:val="BodyTextFirstIndent2"/>
    <w:rPr>
      <w:rFonts w:ascii="Calibri" w:hAnsi="Calibri"/>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vsd"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