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江苏省“十四五”生态气象建设工程气溶胶激光雷达项目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ZQCD-25498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如东县气象局；常州市气象局；扬州市气象局；镇江市丹徒区气象局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江苏省“十四五”生态气象建设工程气溶胶激光雷达项目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ZQCD-25498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江苏省内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2025年12月25日 00:00:00</w:t>
      </w:r>
      <w:bookmarkEnd w:id="26"/>
      <w:r>
        <w:rPr>
          <w:rFonts w:ascii="宋体" w:hint="eastAsia"/>
          <w:szCs w:val="21"/>
          <w:highlight w:val="none"/>
        </w:rPr>
        <w:t>至</w:t>
      </w:r>
      <w:bookmarkStart w:id="27" w:name="项目公告_signUpLastTime"/>
      <w:r>
        <w:rPr>
          <w:rFonts w:ascii="宋体" w:hint="eastAsia"/>
          <w:szCs w:val="21"/>
          <w:highlight w:val="none"/>
        </w:rPr>
        <w:t>2025年12月31日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2026年01月15日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如东县气象局；常州市气象局；扬州市气象局；镇江市丹徒区气象局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周金磊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0513-84512108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如东县城中街道长江路23号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如东县气象局；常州市气象局；扬州市气象局；镇江市丹徒区气象局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设有，核心产品为气溶胶激光雷达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必须，以下产品需要提供至投标截止日仍有效的《气象专用技术装备使用许可证》：气溶胶激光雷达（单波长双通道）</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气溶胶激光雷达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本项目包含4套气溶胶激光雷达设备及建设安装和8年质保。</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投标人（或产品制造商）具有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投标人（或产品制造商）的销售合同必须包括气溶胶激光雷达（单波长双通道），每提供1份近三年合同得1分，最多得4分。否则不得分。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勾选打分</w:t>
            </w:r>
            <w:r>
              <w:t>(3)</w:t>
            </w:r>
          </w:p>
        </w:tc>
        <w:tc>
          <w:tcPr/>
          <w:p>
            <w:r>
              <w:t>评审标准：</w:t>
            </w:r>
          </w:p>
          <w:p>
            <w:r>
              <w:t xml:space="preserve">1. 投标人为本项目拟派的服务团队中项目经理应具有3年以上相关工作经验的得1分； </w:t>
              <w:cr/>
              <w:t>2. 除项目经理外至少3人具有2年及以上相关工作经验的，得2分；为本项目派出的技术人员至少1人具有2年及以上相关工作经验的，得1分；其他不得分。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7</w:t>
            </w:r>
          </w:p>
        </w:tc>
        <w:tc>
          <w:tcPr>
            <w:vMerge/>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(2)</w:t>
            </w:r>
          </w:p>
        </w:tc>
        <w:tc>
          <w:tcPr/>
          <w:p>
            <w:r>
              <w:t>评审标准：</w:t>
            </w:r>
          </w:p>
          <w:p>
            <w:r>
              <w:t>针对本项目采购的气溶胶激光雷达，</w:t>
              <w:cr/>
              <w:t>承诺每提前10天交货的得1分，最多得2分。否则不得分。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(3)</w:t>
            </w:r>
          </w:p>
        </w:tc>
        <w:tc>
          <w:tcPr/>
          <w:p>
            <w:r>
              <w:t>评审标准：</w:t>
            </w:r>
          </w:p>
          <w:p>
            <w:r>
              <w:t>针对气溶胶激光雷达设备，每提供1份近三年用户证明材料得0.5分，最多得3分。否则不得分。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(30)</w:t>
            </w:r>
          </w:p>
        </w:tc>
        <w:tc>
          <w:tcPr/>
          <w:p>
            <w:r>
              <w:t>评审标准：</w:t>
            </w:r>
          </w:p>
          <w:p>
            <w:r>
              <w:t>标注#的重要指标共10项，每满足1项（如有多个下级指标，则每个下级指标均应满足）得3分，满分30分。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投标产品软件需求分析方案及兼容性（主观分）</w:t>
            </w:r>
          </w:p>
        </w:tc>
        <w:tc>
          <w:tcPr/>
          <w:p>
            <w:r>
              <w:t>勾选打分</w:t>
            </w:r>
            <w:r>
              <w:t>(4)</w:t>
            </w:r>
          </w:p>
        </w:tc>
        <w:tc>
          <w:tcPr/>
          <w:p>
            <w:r>
              <w:t>评审标准：</w:t>
            </w:r>
          </w:p>
          <w:p>
            <w:r>
              <w:t>一档0分</w:t>
              <w:cr/>
              <w:t>二档1分</w:t>
              <w:cr/>
              <w:t>三档2分</w:t>
              <w:cr/>
              <w:t>四档4分</w:t>
              <w:cr/>
              <w:t>评审标准说明：</w:t>
              <w:cr/>
              <w:t>根据投标人提供软件需求分析方案进行评分，软件均需支持Windows、Linux及国产信创操作系统，具体评分标准如下：</w:t>
              <w:cr/>
              <w:t>一档：未提供软件需求分析方案。</w:t>
              <w:cr/>
              <w:t>二档：提供软件需求方案能按照招标文件的需求进行响应，技术响应比较浅显，缺乏针对性，技术性能不满足采购文件要求。</w:t>
              <w:cr/>
              <w:t>三档：提供软件需求方案基本能按照招标文件的要求进行响应，有一定针对性，基本满足采购文件的需求。</w:t>
              <w:cr/>
              <w:t>四档：提供软件需求方案能按照招标文件的要求进行响应，详细具体，针对性强，与项目实际情况相契合，完全满足采购文件的需求。</w:t>
            </w:r>
          </w:p>
          <w:p>
            <w:r>
              <w:t>评审标准说明：</w:t>
            </w:r>
          </w:p>
          <w:p>
            <w:r>
              <w:t>需提供用户证明或详细可行的接入方案。</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针对气溶胶激光雷达设备，测试报告应涵盖性能测试（耐腐蚀等）、环境指标（高低温湿等）、防护等级等方面内容，每包含一项得1分，最多得3分。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rsidR="00DB5C23" w:rsidRPr="002F5310" w:rsidP="002F5310">
      <w:pPr>
        <w:spacing w:line="560" w:lineRule="exact"/>
        <w:jc w:val="center"/>
        <w:rPr>
          <w:rFonts w:ascii="仿宋" w:eastAsia="仿宋" w:hAnsi="仿宋" w:cs="仿宋" w:hint="eastAsia"/>
          <w:b/>
          <w:szCs w:val="32"/>
        </w:rPr>
      </w:pPr>
      <w:r>
        <w:rPr>
          <w:bCs/>
          <w:szCs w:val="21"/>
          <w:highlight w:val="none"/>
        </w:rPr>
        <w:br w:type="page"/>
      </w:r>
      <w:bookmarkStart w:id="59" w:name="插入_采购需求书"/>
      <w:r w:rsidRPr="002F5310">
        <w:rPr>
          <w:rFonts w:ascii="仿宋" w:eastAsia="仿宋" w:hAnsi="仿宋" w:cs="仿宋" w:hint="eastAsia"/>
          <w:b/>
          <w:szCs w:val="32"/>
        </w:rPr>
        <w:t>第七章  采购</w:t>
      </w:r>
      <w:r w:rsidRPr="002F5310">
        <w:rPr>
          <w:rFonts w:ascii="仿宋" w:eastAsia="仿宋" w:hAnsi="仿宋" w:cs="仿宋"/>
          <w:b/>
          <w:szCs w:val="32"/>
        </w:rPr>
        <w:t>需求</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w:t>
      </w:r>
      <w:r>
        <w:rPr>
          <w:rFonts w:ascii="仿宋" w:eastAsia="仿宋" w:hAnsi="仿宋" w:cs="仿宋" w:hint="eastAsia"/>
          <w:sz w:val="28"/>
          <w:szCs w:val="20"/>
        </w:rPr>
        <w:t>项目概况及总体要求</w:t>
      </w:r>
    </w:p>
    <w:p w:rsidR="00DB5C23">
      <w:pPr>
        <w:pStyle w:val="20"/>
        <w:spacing w:line="560" w:lineRule="exact"/>
        <w:ind w:firstLine="560" w:firstLineChars="200"/>
        <w:rPr>
          <w:rFonts w:ascii="仿宋" w:eastAsia="仿宋" w:hAnsi="仿宋" w:cs="仿宋"/>
          <w:kern w:val="2"/>
          <w:szCs w:val="20"/>
        </w:rPr>
      </w:pPr>
      <w:r>
        <w:rPr>
          <w:rFonts w:ascii="仿宋" w:eastAsia="仿宋" w:hAnsi="仿宋" w:cs="仿宋" w:hint="eastAsia"/>
          <w:kern w:val="2"/>
          <w:szCs w:val="20"/>
        </w:rPr>
        <w:t>为进一步提高综合气象观测能力、气象监测预报能力和环境气象服务水平，更加有效开展城市大气污染预报和防治工作，对标“监测</w:t>
      </w:r>
      <w:r>
        <w:rPr>
          <w:rFonts w:ascii="仿宋" w:eastAsia="仿宋" w:hAnsi="仿宋" w:cs="仿宋" w:hint="eastAsia"/>
          <w:kern w:val="2"/>
          <w:szCs w:val="20"/>
        </w:rPr>
        <w:t>精密”要求，弥补监测盲区和空白，加强气溶胶及颗粒物垂直分布观测和气溶胶、大气水汽和温度的时空分布评估研究，需在江苏如东、常州、扬州、镇江丹徒四地建设</w:t>
      </w:r>
      <w:r>
        <w:rPr>
          <w:rFonts w:ascii="仿宋" w:eastAsia="仿宋" w:hAnsi="仿宋" w:cs="仿宋" w:hint="eastAsia"/>
          <w:kern w:val="2"/>
          <w:szCs w:val="20"/>
        </w:rPr>
        <w:t>4</w:t>
      </w:r>
      <w:r>
        <w:rPr>
          <w:rFonts w:ascii="仿宋" w:eastAsia="仿宋" w:hAnsi="仿宋" w:cs="仿宋" w:hint="eastAsia"/>
          <w:kern w:val="2"/>
          <w:szCs w:val="20"/>
        </w:rPr>
        <w:t>套气溶胶激光雷达。</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二、技术性能指标</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w:t>
      </w:r>
      <w:r>
        <w:rPr>
          <w:rFonts w:ascii="仿宋" w:eastAsia="仿宋" w:hAnsi="仿宋" w:cs="仿宋" w:hint="eastAsia"/>
          <w:sz w:val="28"/>
          <w:szCs w:val="20"/>
        </w:rPr>
        <w:t>.1</w:t>
      </w:r>
      <w:r>
        <w:rPr>
          <w:rFonts w:ascii="仿宋" w:eastAsia="仿宋" w:hAnsi="仿宋" w:cs="仿宋" w:hint="eastAsia"/>
          <w:sz w:val="28"/>
          <w:szCs w:val="20"/>
        </w:rPr>
        <w:t>气溶胶激光观测仪基本要求</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气溶胶激光观测仪以</w:t>
      </w:r>
      <w:r>
        <w:rPr>
          <w:rFonts w:ascii="仿宋" w:eastAsia="仿宋" w:hAnsi="仿宋" w:cs="仿宋" w:hint="eastAsia"/>
          <w:sz w:val="28"/>
          <w:szCs w:val="20"/>
        </w:rPr>
        <w:t>单</w:t>
      </w:r>
      <w:r>
        <w:rPr>
          <w:rFonts w:ascii="仿宋" w:eastAsia="仿宋" w:hAnsi="仿宋" w:cs="仿宋" w:hint="eastAsia"/>
          <w:sz w:val="28"/>
          <w:szCs w:val="20"/>
        </w:rPr>
        <w:t>波长激光器为光源，发射</w:t>
      </w:r>
      <w:r>
        <w:rPr>
          <w:rFonts w:ascii="仿宋" w:eastAsia="仿宋" w:hAnsi="仿宋" w:cs="仿宋" w:hint="eastAsia"/>
          <w:sz w:val="28"/>
          <w:szCs w:val="20"/>
        </w:rPr>
        <w:t>355nm</w:t>
      </w:r>
      <w:r>
        <w:rPr>
          <w:rFonts w:ascii="仿宋" w:eastAsia="仿宋" w:hAnsi="仿宋" w:cs="仿宋" w:hint="eastAsia"/>
          <w:sz w:val="28"/>
          <w:szCs w:val="20"/>
        </w:rPr>
        <w:t>的激光光束，光束通过扩束镜扩束整形后经过反射镜反射进入大气中。望远镜系统对视场内的激光光束的散射信息进行接收，通过光电转换和信号采集处理后经过相应的雷达反演算法，通过计算</w:t>
      </w:r>
      <w:r>
        <w:rPr>
          <w:rFonts w:ascii="仿宋" w:eastAsia="仿宋" w:hAnsi="仿宋" w:cs="仿宋" w:hint="eastAsia"/>
          <w:sz w:val="28"/>
          <w:szCs w:val="20"/>
        </w:rPr>
        <w:t>等方式输出</w:t>
      </w:r>
      <w:r>
        <w:rPr>
          <w:rFonts w:ascii="仿宋" w:eastAsia="仿宋" w:hAnsi="仿宋" w:cs="仿宋" w:hint="eastAsia"/>
          <w:sz w:val="28"/>
          <w:szCs w:val="20"/>
        </w:rPr>
        <w:t>颗粒物浓度廓线、气溶胶消光系数、气溶胶后向散射系数、气溶胶粒子退偏振比、云信息、光学厚度、污染物混合层高度、能见度等数据产品。</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w:t>
      </w:r>
      <w:r>
        <w:rPr>
          <w:rFonts w:ascii="仿宋" w:eastAsia="仿宋" w:hAnsi="仿宋" w:cs="仿宋" w:hint="eastAsia"/>
          <w:sz w:val="28"/>
          <w:szCs w:val="20"/>
        </w:rPr>
        <w:t>.2</w:t>
      </w:r>
      <w:r>
        <w:rPr>
          <w:rFonts w:ascii="仿宋" w:eastAsia="仿宋" w:hAnsi="仿宋" w:cs="仿宋" w:hint="eastAsia"/>
          <w:sz w:val="28"/>
          <w:szCs w:val="20"/>
        </w:rPr>
        <w:t>技术指标要求</w:t>
      </w:r>
    </w:p>
    <w:p w:rsidR="00DB5C23">
      <w:pPr>
        <w:pStyle w:val="20"/>
        <w:spacing w:line="560" w:lineRule="exact"/>
        <w:ind w:left="140" w:firstLine="0" w:firstLineChars="0"/>
        <w:rPr>
          <w:rFonts w:ascii="楷体_GB2312" w:eastAsia="楷体_GB2312" w:hAnsi="楷体_GB2312" w:cs="楷体_GB2312"/>
          <w:bCs/>
          <w:color w:val="000000"/>
          <w:sz w:val="32"/>
          <w:szCs w:val="32"/>
        </w:rPr>
      </w:pPr>
      <w:r>
        <w:rPr>
          <w:rFonts w:ascii="仿宋" w:eastAsia="仿宋" w:hAnsi="仿宋" w:cs="仿宋" w:hint="eastAsia"/>
          <w:b/>
          <w:bCs/>
          <w:szCs w:val="20"/>
        </w:rPr>
        <w:t>表</w:t>
      </w:r>
      <w:r>
        <w:rPr>
          <w:rFonts w:ascii="仿宋" w:eastAsia="仿宋" w:hAnsi="仿宋" w:cs="仿宋" w:hint="eastAsia"/>
          <w:b/>
          <w:bCs/>
          <w:szCs w:val="20"/>
        </w:rPr>
        <w:t>2</w:t>
      </w:r>
      <w:r>
        <w:rPr>
          <w:rFonts w:ascii="仿宋" w:eastAsia="仿宋" w:hAnsi="仿宋" w:cs="仿宋" w:hint="eastAsia"/>
          <w:b/>
          <w:bCs/>
          <w:szCs w:val="20"/>
        </w:rPr>
        <w:t xml:space="preserve">-1 </w:t>
      </w:r>
      <w:r>
        <w:rPr>
          <w:rFonts w:ascii="仿宋" w:eastAsia="仿宋" w:hAnsi="仿宋" w:cs="仿宋" w:hint="eastAsia"/>
          <w:b/>
          <w:bCs/>
          <w:szCs w:val="20"/>
        </w:rPr>
        <w:t>气溶胶激光观测仪主要性能指标要求</w:t>
      </w:r>
    </w:p>
    <w:tbl>
      <w:tblPr>
        <w:tblStyle w:val="TableNormal"/>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2577"/>
        <w:gridCol w:w="5575"/>
      </w:tblGrid>
      <w:tr w:rsidTr="00A924F4">
        <w:tblPrEx>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
          <w:jc w:val="center"/>
        </w:trPr>
        <w:tc>
          <w:tcPr>
            <w:tcW w:w="470" w:type="pct"/>
            <w:shd w:val="clear" w:color="auto" w:fill="auto"/>
            <w:vAlign w:val="center"/>
          </w:tcPr>
          <w:p w:rsidR="00DB5C23">
            <w:pPr>
              <w:pStyle w:val="a2"/>
            </w:pPr>
            <w:r>
              <w:rPr>
                <w:rFonts w:hint="eastAsia"/>
              </w:rPr>
              <w:t>序号</w:t>
            </w:r>
          </w:p>
        </w:tc>
        <w:tc>
          <w:tcPr>
            <w:tcW w:w="1431" w:type="pct"/>
            <w:shd w:val="clear" w:color="auto" w:fill="auto"/>
            <w:vAlign w:val="center"/>
          </w:tcPr>
          <w:p w:rsidR="00DB5C23">
            <w:pPr>
              <w:pStyle w:val="a2"/>
            </w:pPr>
            <w:r>
              <w:rPr>
                <w:rFonts w:hint="eastAsia"/>
              </w:rPr>
              <w:t>指标名称</w:t>
            </w:r>
          </w:p>
        </w:tc>
        <w:tc>
          <w:tcPr>
            <w:tcW w:w="3097" w:type="pct"/>
            <w:shd w:val="clear" w:color="auto" w:fill="auto"/>
            <w:vAlign w:val="center"/>
          </w:tcPr>
          <w:p w:rsidR="00DB5C23">
            <w:pPr>
              <w:pStyle w:val="a2"/>
            </w:pPr>
            <w:r>
              <w:rPr>
                <w:rFonts w:hint="eastAsia"/>
              </w:rPr>
              <w:t>规格参数</w:t>
            </w:r>
          </w:p>
        </w:tc>
      </w:tr>
      <w:tr w:rsidTr="00A924F4">
        <w:tblPrEx>
          <w:tblW w:w="4997" w:type="pct"/>
          <w:jc w:val="center"/>
          <w:tblLook w:val="04A0"/>
        </w:tblPrEx>
        <w:trPr>
          <w:trHeight w:val="23"/>
          <w:jc w:val="center"/>
        </w:trPr>
        <w:tc>
          <w:tcPr>
            <w:tcW w:w="470" w:type="pct"/>
            <w:shd w:val="clear" w:color="auto" w:fill="auto"/>
            <w:vAlign w:val="center"/>
          </w:tcPr>
          <w:p w:rsidR="00DB5C23">
            <w:pPr>
              <w:pStyle w:val="a3"/>
            </w:pPr>
            <w:r>
              <w:rPr>
                <w:rFonts w:hint="eastAsia"/>
              </w:rPr>
              <w:t>1</w:t>
            </w:r>
          </w:p>
        </w:tc>
        <w:tc>
          <w:tcPr>
            <w:tcW w:w="1431" w:type="pct"/>
            <w:shd w:val="clear" w:color="auto" w:fill="auto"/>
            <w:vAlign w:val="center"/>
          </w:tcPr>
          <w:p w:rsidR="00DB5C23">
            <w:pPr>
              <w:pStyle w:val="a3"/>
            </w:pPr>
            <w:r>
              <w:rPr>
                <w:rFonts w:hint="eastAsia"/>
              </w:rPr>
              <w:t>#</w:t>
            </w:r>
            <w:r>
              <w:rPr>
                <w:rFonts w:hint="eastAsia"/>
              </w:rPr>
              <w:t>有效探测距离</w:t>
            </w:r>
          </w:p>
        </w:tc>
        <w:tc>
          <w:tcPr>
            <w:tcW w:w="3097" w:type="pct"/>
            <w:shd w:val="clear" w:color="auto" w:fill="auto"/>
            <w:vAlign w:val="center"/>
          </w:tcPr>
          <w:p w:rsidR="00DB5C23" w:rsidP="00A924F4">
            <w:pPr>
              <w:pStyle w:val="a3"/>
              <w:jc w:val="left"/>
            </w:pPr>
            <w:r>
              <w:rPr>
                <w:rFonts w:hint="eastAsia"/>
              </w:rPr>
              <w:t>气溶胶可达</w:t>
            </w:r>
            <w:r>
              <w:rPr>
                <w:rFonts w:hint="eastAsia"/>
              </w:rPr>
              <w:t>15km</w:t>
            </w:r>
            <w:r>
              <w:rPr>
                <w:rFonts w:hint="eastAsia"/>
              </w:rPr>
              <w:t>以上</w:t>
            </w:r>
          </w:p>
          <w:p w:rsidR="00DB5C23" w:rsidP="00A924F4">
            <w:pPr>
              <w:pStyle w:val="a3"/>
              <w:jc w:val="left"/>
            </w:pPr>
            <w:r>
              <w:rPr>
                <w:rFonts w:hint="eastAsia"/>
              </w:rPr>
              <w:t>水汽可达</w:t>
            </w:r>
            <w:r>
              <w:rPr>
                <w:rFonts w:hint="eastAsia"/>
              </w:rPr>
              <w:t>3km</w:t>
            </w:r>
            <w:r>
              <w:rPr>
                <w:rFonts w:hint="eastAsia"/>
              </w:rPr>
              <w:t>以上（能见度≥</w:t>
            </w:r>
            <w:r>
              <w:rPr>
                <w:rFonts w:hint="eastAsia"/>
              </w:rPr>
              <w:t>15km</w:t>
            </w:r>
            <w:r>
              <w:rPr>
                <w:rFonts w:hint="eastAsia"/>
              </w:rPr>
              <w:t>）</w:t>
            </w:r>
          </w:p>
        </w:tc>
      </w:tr>
      <w:tr w:rsidTr="00A924F4">
        <w:tblPrEx>
          <w:tblW w:w="4997" w:type="pct"/>
          <w:jc w:val="center"/>
          <w:tblLook w:val="04A0"/>
        </w:tblPrEx>
        <w:trPr>
          <w:trHeight w:val="531"/>
          <w:jc w:val="center"/>
        </w:trPr>
        <w:tc>
          <w:tcPr>
            <w:tcW w:w="470" w:type="pct"/>
            <w:shd w:val="clear" w:color="auto" w:fill="auto"/>
            <w:vAlign w:val="center"/>
          </w:tcPr>
          <w:p w:rsidR="00DB5C23">
            <w:pPr>
              <w:pStyle w:val="a3"/>
            </w:pPr>
            <w:r>
              <w:rPr>
                <w:rFonts w:hint="eastAsia"/>
              </w:rPr>
              <w:t>2</w:t>
            </w:r>
          </w:p>
        </w:tc>
        <w:tc>
          <w:tcPr>
            <w:tcW w:w="1431" w:type="pct"/>
            <w:shd w:val="clear" w:color="auto" w:fill="auto"/>
            <w:vAlign w:val="center"/>
          </w:tcPr>
          <w:p w:rsidR="00DB5C23">
            <w:pPr>
              <w:pStyle w:val="a3"/>
            </w:pPr>
            <w:r>
              <w:rPr>
                <w:rFonts w:hint="eastAsia"/>
              </w:rPr>
              <w:t>#</w:t>
            </w:r>
            <w:r>
              <w:t>时间分辨率</w:t>
            </w:r>
            <w:r>
              <w:rPr>
                <w:rFonts w:hint="eastAsia"/>
              </w:rPr>
              <w:t>、</w:t>
            </w:r>
            <w:r>
              <w:t>空间分辨率</w:t>
            </w:r>
          </w:p>
        </w:tc>
        <w:tc>
          <w:tcPr>
            <w:tcW w:w="3097" w:type="pct"/>
            <w:shd w:val="clear" w:color="auto" w:fill="auto"/>
            <w:vAlign w:val="center"/>
          </w:tcPr>
          <w:p w:rsidR="00DB5C23" w:rsidP="00A924F4">
            <w:pPr>
              <w:pStyle w:val="a3"/>
              <w:jc w:val="left"/>
            </w:pPr>
            <w:r>
              <w:rPr>
                <w:rFonts w:hint="eastAsia"/>
              </w:rPr>
              <w:t>1min</w:t>
            </w:r>
            <w:r>
              <w:rPr>
                <w:rFonts w:hint="eastAsia"/>
              </w:rPr>
              <w:t>可调</w:t>
            </w:r>
            <w:r>
              <w:rPr>
                <w:rFonts w:hint="eastAsia"/>
              </w:rPr>
              <w:t>、</w:t>
            </w:r>
            <w:r>
              <w:rPr>
                <w:rFonts w:hint="eastAsia"/>
              </w:rPr>
              <w:t>7.5m</w:t>
            </w:r>
          </w:p>
        </w:tc>
      </w:tr>
      <w:tr w:rsidTr="00A924F4">
        <w:tblPrEx>
          <w:tblW w:w="4997" w:type="pct"/>
          <w:jc w:val="center"/>
          <w:tblLook w:val="04A0"/>
        </w:tblPrEx>
        <w:trPr>
          <w:trHeight w:val="531"/>
          <w:jc w:val="center"/>
        </w:trPr>
        <w:tc>
          <w:tcPr>
            <w:tcW w:w="470" w:type="pct"/>
            <w:shd w:val="clear" w:color="auto" w:fill="auto"/>
            <w:vAlign w:val="center"/>
          </w:tcPr>
          <w:p w:rsidR="00DB5C23">
            <w:pPr>
              <w:pStyle w:val="a3"/>
            </w:pPr>
            <w:r>
              <w:rPr>
                <w:rFonts w:hint="eastAsia"/>
              </w:rPr>
              <w:t>3</w:t>
            </w:r>
          </w:p>
        </w:tc>
        <w:tc>
          <w:tcPr>
            <w:tcW w:w="1431" w:type="pct"/>
            <w:shd w:val="clear" w:color="auto" w:fill="auto"/>
            <w:vAlign w:val="center"/>
          </w:tcPr>
          <w:p w:rsidR="00DB5C23">
            <w:pPr>
              <w:pStyle w:val="a3"/>
            </w:pPr>
            <w:r>
              <w:rPr>
                <w:rFonts w:hint="eastAsia"/>
              </w:rPr>
              <w:t>#</w:t>
            </w:r>
            <w:r>
              <w:t>测量通道</w:t>
            </w:r>
          </w:p>
        </w:tc>
        <w:tc>
          <w:tcPr>
            <w:tcW w:w="3097" w:type="pct"/>
            <w:shd w:val="clear" w:color="auto" w:fill="auto"/>
            <w:vAlign w:val="center"/>
          </w:tcPr>
          <w:p w:rsidR="00DB5C23" w:rsidRPr="00A924F4" w:rsidP="00A924F4">
            <w:pPr>
              <w:pStyle w:val="a3"/>
              <w:jc w:val="left"/>
              <w:rPr>
                <w:color w:val="000000"/>
              </w:rPr>
            </w:pPr>
            <w:r w:rsidRPr="00A924F4">
              <w:rPr>
                <w:color w:val="000000"/>
              </w:rPr>
              <w:t>355</w:t>
            </w:r>
            <w:r w:rsidRPr="00A924F4">
              <w:rPr>
                <w:rFonts w:hint="eastAsia"/>
                <w:color w:val="000000"/>
              </w:rPr>
              <w:t>nm</w:t>
            </w:r>
            <w:r w:rsidRPr="00A924F4">
              <w:rPr>
                <w:rFonts w:hint="eastAsia"/>
                <w:color w:val="000000"/>
              </w:rPr>
              <w:t>偏振平行、</w:t>
            </w:r>
            <w:r w:rsidRPr="00A924F4">
              <w:rPr>
                <w:color w:val="000000"/>
              </w:rPr>
              <w:t>355</w:t>
            </w:r>
            <w:r w:rsidRPr="00A924F4">
              <w:rPr>
                <w:rFonts w:hint="eastAsia"/>
                <w:color w:val="000000"/>
              </w:rPr>
              <w:t>nm</w:t>
            </w:r>
            <w:r w:rsidRPr="00A924F4">
              <w:rPr>
                <w:rFonts w:hint="eastAsia"/>
                <w:color w:val="000000"/>
              </w:rPr>
              <w:t>偏振垂直、</w:t>
            </w:r>
          </w:p>
          <w:p w:rsidR="00DB5C23" w:rsidP="00A924F4">
            <w:pPr>
              <w:pStyle w:val="a3"/>
              <w:jc w:val="left"/>
            </w:pPr>
            <w:r w:rsidRPr="00A924F4">
              <w:rPr>
                <w:color w:val="000000"/>
              </w:rPr>
              <w:t>386</w:t>
            </w:r>
            <w:r w:rsidRPr="00A924F4">
              <w:rPr>
                <w:rFonts w:hint="eastAsia"/>
                <w:color w:val="000000"/>
              </w:rPr>
              <w:t>nm</w:t>
            </w:r>
            <w:r w:rsidRPr="00A924F4">
              <w:rPr>
                <w:rFonts w:hint="eastAsia"/>
                <w:color w:val="000000"/>
              </w:rPr>
              <w:t>拉曼散射、</w:t>
            </w:r>
            <w:r w:rsidRPr="00A924F4">
              <w:rPr>
                <w:color w:val="000000"/>
              </w:rPr>
              <w:t>407</w:t>
            </w:r>
            <w:r w:rsidRPr="00A924F4">
              <w:rPr>
                <w:rFonts w:hint="eastAsia"/>
                <w:color w:val="000000"/>
              </w:rPr>
              <w:t>nm</w:t>
            </w:r>
            <w:r w:rsidRPr="00A924F4">
              <w:rPr>
                <w:rFonts w:hint="eastAsia"/>
                <w:color w:val="000000"/>
              </w:rPr>
              <w:t>拉曼散射</w:t>
            </w:r>
          </w:p>
        </w:tc>
      </w:tr>
      <w:tr w:rsidTr="00A924F4">
        <w:tblPrEx>
          <w:tblW w:w="4997" w:type="pct"/>
          <w:jc w:val="center"/>
          <w:tblLook w:val="04A0"/>
        </w:tblPrEx>
        <w:trPr>
          <w:trHeight w:val="562"/>
          <w:jc w:val="center"/>
        </w:trPr>
        <w:tc>
          <w:tcPr>
            <w:tcW w:w="470" w:type="pct"/>
            <w:shd w:val="clear" w:color="auto" w:fill="auto"/>
            <w:vAlign w:val="center"/>
          </w:tcPr>
          <w:p w:rsidR="00DB5C23">
            <w:pPr>
              <w:pStyle w:val="a3"/>
            </w:pPr>
            <w:r>
              <w:rPr>
                <w:rFonts w:hint="eastAsia"/>
              </w:rPr>
              <w:t>4</w:t>
            </w:r>
          </w:p>
        </w:tc>
        <w:tc>
          <w:tcPr>
            <w:tcW w:w="1431" w:type="pct"/>
            <w:shd w:val="clear" w:color="auto" w:fill="auto"/>
            <w:vAlign w:val="center"/>
          </w:tcPr>
          <w:p w:rsidR="00DB5C23">
            <w:pPr>
              <w:pStyle w:val="a3"/>
            </w:pPr>
            <w:r>
              <w:rPr>
                <w:rFonts w:hint="eastAsia"/>
              </w:rPr>
              <w:t>#</w:t>
            </w:r>
            <w:r>
              <w:t>发射单元</w:t>
            </w:r>
          </w:p>
        </w:tc>
        <w:tc>
          <w:tcPr>
            <w:tcW w:w="3097" w:type="pct"/>
            <w:shd w:val="clear" w:color="auto" w:fill="auto"/>
            <w:vAlign w:val="center"/>
          </w:tcPr>
          <w:p w:rsidR="00DB5C23" w:rsidRPr="00A924F4" w:rsidP="00A924F4">
            <w:pPr>
              <w:pStyle w:val="a3"/>
              <w:jc w:val="left"/>
              <w:rPr>
                <w:color w:val="000000"/>
              </w:rPr>
            </w:pPr>
            <w:r w:rsidRPr="00A924F4">
              <w:rPr>
                <w:rFonts w:hint="eastAsia"/>
                <w:color w:val="000000"/>
              </w:rPr>
              <w:t>输出波长：</w:t>
            </w:r>
            <w:r w:rsidRPr="00A924F4">
              <w:rPr>
                <w:color w:val="000000"/>
              </w:rPr>
              <w:t>355</w:t>
            </w:r>
            <w:r w:rsidRPr="00A924F4">
              <w:rPr>
                <w:rFonts w:hint="eastAsia"/>
                <w:color w:val="000000"/>
              </w:rPr>
              <w:t>nm</w:t>
            </w:r>
          </w:p>
          <w:p w:rsidR="00DB5C23" w:rsidRPr="00A924F4" w:rsidP="00A924F4">
            <w:pPr>
              <w:pStyle w:val="a3"/>
              <w:jc w:val="left"/>
              <w:rPr>
                <w:color w:val="000000"/>
              </w:rPr>
            </w:pPr>
            <w:r w:rsidRPr="00A924F4">
              <w:rPr>
                <w:rFonts w:hint="eastAsia"/>
                <w:color w:val="000000"/>
              </w:rPr>
              <w:t>脉冲频率：≥</w:t>
            </w:r>
            <w:r w:rsidRPr="00A924F4">
              <w:rPr>
                <w:rFonts w:hint="eastAsia"/>
                <w:color w:val="000000"/>
              </w:rPr>
              <w:t>20</w:t>
            </w:r>
            <w:r w:rsidRPr="00A924F4">
              <w:rPr>
                <w:color w:val="000000"/>
              </w:rPr>
              <w:t>00</w:t>
            </w:r>
            <w:r w:rsidRPr="00A924F4">
              <w:rPr>
                <w:rFonts w:hint="eastAsia"/>
                <w:color w:val="000000"/>
              </w:rPr>
              <w:t>Hz</w:t>
            </w:r>
          </w:p>
          <w:p w:rsidR="00DB5C23" w:rsidRPr="00A924F4" w:rsidP="00A924F4">
            <w:pPr>
              <w:pStyle w:val="a3"/>
              <w:jc w:val="left"/>
              <w:rPr>
                <w:color w:val="000000"/>
              </w:rPr>
            </w:pPr>
            <w:r w:rsidRPr="00A924F4">
              <w:rPr>
                <w:rFonts w:hint="eastAsia"/>
                <w:color w:val="000000"/>
              </w:rPr>
              <w:t>平均功率（单个波长）：≥</w:t>
            </w:r>
            <w:r w:rsidRPr="00A924F4">
              <w:rPr>
                <w:color w:val="000000"/>
              </w:rPr>
              <w:t>2</w:t>
            </w:r>
            <w:r w:rsidRPr="00A924F4">
              <w:rPr>
                <w:rFonts w:hint="eastAsia"/>
                <w:color w:val="000000"/>
              </w:rPr>
              <w:t>W</w:t>
            </w:r>
          </w:p>
          <w:p w:rsidR="00DB5C23" w:rsidP="00A924F4">
            <w:pPr>
              <w:pStyle w:val="a3"/>
              <w:jc w:val="left"/>
            </w:pPr>
            <w:r w:rsidRPr="00A924F4">
              <w:rPr>
                <w:rFonts w:hint="eastAsia"/>
                <w:color w:val="000000"/>
              </w:rPr>
              <w:t>激光器寿命：≥</w:t>
            </w:r>
            <w:r w:rsidRPr="00A924F4">
              <w:rPr>
                <w:rFonts w:hint="eastAsia"/>
                <w:color w:val="000000"/>
              </w:rPr>
              <w:t>3000h</w:t>
            </w:r>
          </w:p>
        </w:tc>
      </w:tr>
      <w:tr w:rsidTr="00A924F4">
        <w:tblPrEx>
          <w:tblW w:w="4997" w:type="pct"/>
          <w:jc w:val="center"/>
          <w:tblLook w:val="04A0"/>
        </w:tblPrEx>
        <w:trPr>
          <w:trHeight w:val="739"/>
          <w:jc w:val="center"/>
        </w:trPr>
        <w:tc>
          <w:tcPr>
            <w:tcW w:w="470" w:type="pct"/>
            <w:shd w:val="clear" w:color="auto" w:fill="auto"/>
            <w:vAlign w:val="center"/>
          </w:tcPr>
          <w:p w:rsidR="00DB5C23">
            <w:pPr>
              <w:pStyle w:val="a3"/>
            </w:pPr>
            <w:r>
              <w:rPr>
                <w:rFonts w:hint="eastAsia"/>
              </w:rPr>
              <w:t>5</w:t>
            </w:r>
          </w:p>
        </w:tc>
        <w:tc>
          <w:tcPr>
            <w:tcW w:w="1431" w:type="pct"/>
            <w:shd w:val="clear" w:color="auto" w:fill="auto"/>
            <w:vAlign w:val="center"/>
          </w:tcPr>
          <w:p w:rsidR="00DB5C23">
            <w:pPr>
              <w:pStyle w:val="a3"/>
            </w:pPr>
            <w:r>
              <w:rPr>
                <w:rFonts w:hint="eastAsia"/>
              </w:rPr>
              <w:t>#</w:t>
            </w:r>
            <w:r>
              <w:t>接收单元</w:t>
            </w:r>
          </w:p>
        </w:tc>
        <w:tc>
          <w:tcPr>
            <w:tcW w:w="3097" w:type="pct"/>
            <w:shd w:val="clear" w:color="auto" w:fill="auto"/>
            <w:vAlign w:val="center"/>
          </w:tcPr>
          <w:p w:rsidR="00DB5C23" w:rsidRPr="00A924F4" w:rsidP="00A924F4">
            <w:pPr>
              <w:pStyle w:val="a3"/>
              <w:jc w:val="left"/>
              <w:rPr>
                <w:color w:val="000000"/>
              </w:rPr>
            </w:pPr>
            <w:r w:rsidRPr="00A924F4">
              <w:rPr>
                <w:rFonts w:hint="eastAsia"/>
                <w:color w:val="000000"/>
              </w:rPr>
              <w:t>接收口径：≥</w:t>
            </w:r>
            <w:r w:rsidRPr="00A924F4">
              <w:rPr>
                <w:color w:val="000000"/>
              </w:rPr>
              <w:t>300</w:t>
            </w:r>
            <w:r w:rsidRPr="00A924F4">
              <w:rPr>
                <w:rFonts w:hint="eastAsia"/>
                <w:color w:val="000000"/>
              </w:rPr>
              <w:t>mm</w:t>
            </w:r>
          </w:p>
          <w:p w:rsidR="00DB5C23" w:rsidP="00A924F4">
            <w:pPr>
              <w:pStyle w:val="a3"/>
              <w:jc w:val="left"/>
            </w:pPr>
            <w:r w:rsidRPr="00A924F4">
              <w:rPr>
                <w:rFonts w:hint="eastAsia"/>
                <w:color w:val="000000"/>
              </w:rPr>
              <w:t>视场角：≤</w:t>
            </w:r>
            <w:r w:rsidRPr="00A924F4">
              <w:rPr>
                <w:color w:val="000000"/>
              </w:rPr>
              <w:t>0.25</w:t>
            </w:r>
            <w:r w:rsidRPr="00A924F4">
              <w:rPr>
                <w:rFonts w:hint="eastAsia"/>
                <w:color w:val="000000"/>
              </w:rPr>
              <w:t>mrad</w:t>
            </w:r>
          </w:p>
        </w:tc>
      </w:tr>
      <w:tr w:rsidTr="00A924F4">
        <w:tblPrEx>
          <w:tblW w:w="4997" w:type="pct"/>
          <w:jc w:val="center"/>
          <w:tblLook w:val="04A0"/>
        </w:tblPrEx>
        <w:trPr>
          <w:trHeight w:val="23"/>
          <w:jc w:val="center"/>
        </w:trPr>
        <w:tc>
          <w:tcPr>
            <w:tcW w:w="470" w:type="pct"/>
            <w:shd w:val="clear" w:color="auto" w:fill="auto"/>
            <w:vAlign w:val="center"/>
          </w:tcPr>
          <w:p w:rsidR="00DB5C23">
            <w:pPr>
              <w:pStyle w:val="a3"/>
            </w:pPr>
            <w:r>
              <w:rPr>
                <w:rFonts w:hint="eastAsia"/>
              </w:rPr>
              <w:t>6</w:t>
            </w:r>
          </w:p>
        </w:tc>
        <w:tc>
          <w:tcPr>
            <w:tcW w:w="1431" w:type="pct"/>
            <w:shd w:val="clear" w:color="auto" w:fill="auto"/>
            <w:vAlign w:val="center"/>
          </w:tcPr>
          <w:p w:rsidR="00DB5C23">
            <w:pPr>
              <w:pStyle w:val="a3"/>
            </w:pPr>
            <w:r>
              <w:rPr>
                <w:rFonts w:hint="eastAsia"/>
              </w:rPr>
              <w:t>#</w:t>
            </w:r>
            <w:r>
              <w:t>探测单元</w:t>
            </w:r>
          </w:p>
        </w:tc>
        <w:tc>
          <w:tcPr>
            <w:tcW w:w="3097" w:type="pct"/>
            <w:shd w:val="clear" w:color="auto" w:fill="auto"/>
            <w:vAlign w:val="center"/>
          </w:tcPr>
          <w:p w:rsidR="00DB5C23" w:rsidP="00A924F4">
            <w:pPr>
              <w:pStyle w:val="a3"/>
              <w:jc w:val="left"/>
            </w:pPr>
            <w:r w:rsidRPr="00A924F4">
              <w:rPr>
                <w:rFonts w:hint="eastAsia"/>
                <w:color w:val="000000"/>
              </w:rPr>
              <w:t>探测器：光电倍增管（</w:t>
            </w:r>
            <w:r w:rsidRPr="00A924F4">
              <w:rPr>
                <w:rFonts w:hint="eastAsia"/>
                <w:color w:val="000000"/>
              </w:rPr>
              <w:t>PMT</w:t>
            </w:r>
            <w:r w:rsidRPr="00A924F4">
              <w:rPr>
                <w:rFonts w:hint="eastAsia"/>
                <w:color w:val="000000"/>
              </w:rPr>
              <w:t>）</w:t>
            </w:r>
          </w:p>
        </w:tc>
      </w:tr>
      <w:tr w:rsidTr="00A924F4">
        <w:tblPrEx>
          <w:tblW w:w="4997" w:type="pct"/>
          <w:jc w:val="center"/>
          <w:tblLook w:val="04A0"/>
        </w:tblPrEx>
        <w:trPr>
          <w:trHeight w:val="698"/>
          <w:jc w:val="center"/>
        </w:trPr>
        <w:tc>
          <w:tcPr>
            <w:tcW w:w="470" w:type="pct"/>
            <w:shd w:val="clear" w:color="auto" w:fill="auto"/>
            <w:vAlign w:val="center"/>
          </w:tcPr>
          <w:p w:rsidR="00DB5C23">
            <w:pPr>
              <w:pStyle w:val="a3"/>
            </w:pPr>
            <w:r>
              <w:rPr>
                <w:rFonts w:hint="eastAsia"/>
              </w:rPr>
              <w:t>7</w:t>
            </w:r>
          </w:p>
        </w:tc>
        <w:tc>
          <w:tcPr>
            <w:tcW w:w="1431" w:type="pct"/>
            <w:shd w:val="clear" w:color="auto" w:fill="auto"/>
            <w:vAlign w:val="center"/>
          </w:tcPr>
          <w:p w:rsidR="00DB5C23">
            <w:pPr>
              <w:pStyle w:val="a3"/>
            </w:pPr>
            <w:r>
              <w:rPr>
                <w:rFonts w:hint="eastAsia"/>
              </w:rPr>
              <w:t>#</w:t>
            </w:r>
            <w:r>
              <w:t>采集控制单元</w:t>
            </w:r>
          </w:p>
        </w:tc>
        <w:tc>
          <w:tcPr>
            <w:tcW w:w="3097" w:type="pct"/>
            <w:shd w:val="clear" w:color="auto" w:fill="auto"/>
            <w:vAlign w:val="center"/>
          </w:tcPr>
          <w:p w:rsidR="00DB5C23" w:rsidRPr="00A924F4" w:rsidP="00A924F4">
            <w:pPr>
              <w:pStyle w:val="a3"/>
              <w:jc w:val="left"/>
              <w:rPr>
                <w:color w:val="000000"/>
              </w:rPr>
            </w:pPr>
            <w:r w:rsidRPr="00A924F4">
              <w:rPr>
                <w:rFonts w:hint="eastAsia"/>
                <w:color w:val="000000"/>
              </w:rPr>
              <w:t>采样频率：≥</w:t>
            </w:r>
            <w:r w:rsidRPr="00A924F4">
              <w:rPr>
                <w:color w:val="000000"/>
              </w:rPr>
              <w:t>20</w:t>
            </w:r>
            <w:r w:rsidRPr="00A924F4">
              <w:rPr>
                <w:rFonts w:hint="eastAsia"/>
                <w:color w:val="000000"/>
              </w:rPr>
              <w:t>MHz</w:t>
            </w:r>
            <w:r w:rsidRPr="00A924F4">
              <w:rPr>
                <w:rFonts w:hint="eastAsia"/>
                <w:color w:val="000000"/>
              </w:rPr>
              <w:t>或光子计数通道：</w:t>
            </w:r>
            <w:r w:rsidRPr="00A924F4">
              <w:rPr>
                <w:rFonts w:hint="eastAsia"/>
                <w:color w:val="000000"/>
              </w:rPr>
              <w:t>200M c/s</w:t>
            </w:r>
          </w:p>
          <w:p w:rsidR="00DB5C23" w:rsidRPr="00A924F4" w:rsidP="00A924F4">
            <w:pPr>
              <w:pStyle w:val="a3"/>
              <w:jc w:val="left"/>
              <w:rPr>
                <w:color w:val="000000"/>
              </w:rPr>
            </w:pPr>
            <w:r w:rsidRPr="00A924F4">
              <w:rPr>
                <w:rFonts w:hint="eastAsia"/>
                <w:color w:val="000000"/>
              </w:rPr>
              <w:t>采集方式：模拟或光子采集</w:t>
            </w:r>
          </w:p>
          <w:p w:rsidR="00DB5C23" w:rsidRPr="00A924F4" w:rsidP="00A924F4">
            <w:pPr>
              <w:pStyle w:val="a3"/>
              <w:jc w:val="left"/>
              <w:rPr>
                <w:color w:val="000000"/>
              </w:rPr>
            </w:pPr>
            <w:r w:rsidRPr="00A924F4">
              <w:rPr>
                <w:rFonts w:hint="eastAsia"/>
                <w:color w:val="000000"/>
              </w:rPr>
              <w:t>采样精度：</w:t>
            </w:r>
            <w:r w:rsidRPr="00A924F4">
              <w:rPr>
                <w:rFonts w:hint="eastAsia"/>
                <w:color w:val="000000"/>
              </w:rPr>
              <w:t>16bit</w:t>
            </w:r>
          </w:p>
          <w:p w:rsidR="00DB5C23" w:rsidRPr="00A924F4" w:rsidP="00A924F4">
            <w:pPr>
              <w:pStyle w:val="a3"/>
              <w:jc w:val="left"/>
              <w:rPr>
                <w:color w:val="000000"/>
              </w:rPr>
            </w:pPr>
            <w:r w:rsidRPr="00A924F4">
              <w:rPr>
                <w:rFonts w:hint="eastAsia"/>
                <w:color w:val="000000"/>
              </w:rPr>
              <w:t>主频：≥</w:t>
            </w:r>
            <w:r w:rsidRPr="00A924F4">
              <w:rPr>
                <w:rFonts w:hint="eastAsia"/>
                <w:color w:val="000000"/>
              </w:rPr>
              <w:t>3.0GHz</w:t>
            </w:r>
          </w:p>
          <w:p w:rsidR="00DB5C23" w:rsidRPr="00A924F4" w:rsidP="00A924F4">
            <w:pPr>
              <w:pStyle w:val="a3"/>
              <w:jc w:val="left"/>
              <w:rPr>
                <w:color w:val="000000"/>
              </w:rPr>
            </w:pPr>
            <w:r w:rsidRPr="00A924F4">
              <w:rPr>
                <w:rFonts w:hint="eastAsia"/>
                <w:color w:val="000000"/>
              </w:rPr>
              <w:t>内存：≥</w:t>
            </w:r>
            <w:r w:rsidRPr="00A924F4">
              <w:rPr>
                <w:rFonts w:hint="eastAsia"/>
                <w:color w:val="000000"/>
              </w:rPr>
              <w:t>4G</w:t>
            </w:r>
          </w:p>
          <w:p w:rsidR="00DB5C23" w:rsidP="00A924F4">
            <w:pPr>
              <w:pStyle w:val="a3"/>
              <w:jc w:val="left"/>
            </w:pPr>
            <w:r w:rsidRPr="00A924F4">
              <w:rPr>
                <w:rFonts w:hint="eastAsia"/>
                <w:color w:val="000000"/>
              </w:rPr>
              <w:t>硬盘：≥</w:t>
            </w:r>
            <w:r w:rsidRPr="00A924F4">
              <w:rPr>
                <w:rFonts w:hint="eastAsia"/>
                <w:color w:val="000000"/>
              </w:rPr>
              <w:t>500G</w:t>
            </w:r>
          </w:p>
        </w:tc>
      </w:tr>
      <w:tr w:rsidTr="00A924F4">
        <w:tblPrEx>
          <w:tblW w:w="4997" w:type="pct"/>
          <w:jc w:val="center"/>
          <w:tblLook w:val="04A0"/>
        </w:tblPrEx>
        <w:trPr>
          <w:trHeight w:val="627"/>
          <w:jc w:val="center"/>
        </w:trPr>
        <w:tc>
          <w:tcPr>
            <w:tcW w:w="470" w:type="pct"/>
            <w:shd w:val="clear" w:color="auto" w:fill="auto"/>
            <w:vAlign w:val="center"/>
          </w:tcPr>
          <w:p w:rsidR="00DB5C23">
            <w:pPr>
              <w:pStyle w:val="a3"/>
            </w:pPr>
            <w:r>
              <w:rPr>
                <w:rFonts w:hint="eastAsia"/>
              </w:rPr>
              <w:t>8</w:t>
            </w:r>
          </w:p>
        </w:tc>
        <w:tc>
          <w:tcPr>
            <w:tcW w:w="1431" w:type="pct"/>
            <w:shd w:val="clear" w:color="auto" w:fill="auto"/>
            <w:vAlign w:val="center"/>
          </w:tcPr>
          <w:p w:rsidR="00DB5C23">
            <w:pPr>
              <w:pStyle w:val="a3"/>
            </w:pPr>
            <w:r>
              <w:rPr>
                <w:rFonts w:hint="eastAsia"/>
              </w:rPr>
              <w:t>#</w:t>
            </w:r>
            <w:r>
              <w:rPr>
                <w:rFonts w:hint="eastAsia"/>
              </w:rPr>
              <w:t>配套单元</w:t>
            </w:r>
          </w:p>
        </w:tc>
        <w:tc>
          <w:tcPr>
            <w:tcW w:w="3097" w:type="pct"/>
            <w:shd w:val="clear" w:color="auto" w:fill="auto"/>
            <w:vAlign w:val="center"/>
          </w:tcPr>
          <w:p w:rsidR="00DB5C23" w:rsidRPr="00A924F4" w:rsidP="00A924F4">
            <w:pPr>
              <w:pStyle w:val="a3"/>
              <w:jc w:val="left"/>
              <w:rPr>
                <w:color w:val="000000"/>
              </w:rPr>
            </w:pPr>
            <w:r w:rsidRPr="00A924F4">
              <w:rPr>
                <w:rFonts w:hint="eastAsia"/>
                <w:color w:val="000000"/>
              </w:rPr>
              <w:t>窗口吹扫加热单元：加热吹扫可程控，工作时间段可设置</w:t>
            </w:r>
          </w:p>
          <w:p w:rsidR="00DB5C23" w:rsidP="00A924F4">
            <w:pPr>
              <w:pStyle w:val="a3"/>
              <w:jc w:val="left"/>
            </w:pPr>
            <w:r w:rsidRPr="00A924F4">
              <w:rPr>
                <w:color w:val="000000"/>
              </w:rPr>
              <w:t>UPS</w:t>
            </w:r>
            <w:r w:rsidRPr="00A924F4">
              <w:rPr>
                <w:rFonts w:hint="eastAsia"/>
                <w:color w:val="000000"/>
              </w:rPr>
              <w:t>：</w:t>
            </w:r>
            <w:r w:rsidRPr="00A924F4">
              <w:rPr>
                <w:rFonts w:hint="eastAsia"/>
                <w:color w:val="000000"/>
              </w:rPr>
              <w:t>3kVA</w:t>
            </w:r>
          </w:p>
        </w:tc>
      </w:tr>
      <w:tr w:rsidTr="00A924F4">
        <w:tblPrEx>
          <w:tblW w:w="4997" w:type="pct"/>
          <w:jc w:val="center"/>
          <w:tblLook w:val="04A0"/>
        </w:tblPrEx>
        <w:trPr>
          <w:trHeight w:val="23"/>
          <w:jc w:val="center"/>
        </w:trPr>
        <w:tc>
          <w:tcPr>
            <w:tcW w:w="470" w:type="pct"/>
            <w:shd w:val="clear" w:color="auto" w:fill="auto"/>
            <w:vAlign w:val="center"/>
          </w:tcPr>
          <w:p w:rsidR="00DB5C23">
            <w:pPr>
              <w:pStyle w:val="a3"/>
            </w:pPr>
            <w:r>
              <w:rPr>
                <w:rFonts w:hint="eastAsia"/>
              </w:rPr>
              <w:t>9</w:t>
            </w:r>
          </w:p>
        </w:tc>
        <w:tc>
          <w:tcPr>
            <w:tcW w:w="1431" w:type="pct"/>
            <w:shd w:val="clear" w:color="auto" w:fill="auto"/>
            <w:vAlign w:val="center"/>
          </w:tcPr>
          <w:p w:rsidR="00DB5C23" w:rsidRPr="00A924F4">
            <w:pPr>
              <w:pStyle w:val="a3"/>
              <w:rPr>
                <w:color w:val="000000"/>
              </w:rPr>
            </w:pPr>
            <w:r w:rsidRPr="00A924F4">
              <w:rPr>
                <w:rFonts w:hint="eastAsia"/>
                <w:color w:val="000000"/>
              </w:rPr>
              <w:t>#</w:t>
            </w:r>
            <w:r w:rsidRPr="00A924F4">
              <w:rPr>
                <w:color w:val="000000"/>
              </w:rPr>
              <w:t>工作适应性</w:t>
            </w:r>
          </w:p>
        </w:tc>
        <w:tc>
          <w:tcPr>
            <w:tcW w:w="3097" w:type="pct"/>
            <w:shd w:val="clear" w:color="auto" w:fill="auto"/>
            <w:vAlign w:val="center"/>
          </w:tcPr>
          <w:p w:rsidR="00DB5C23" w:rsidRPr="00A924F4" w:rsidP="00A924F4">
            <w:pPr>
              <w:pStyle w:val="a3"/>
              <w:jc w:val="left"/>
              <w:rPr>
                <w:color w:val="000000"/>
              </w:rPr>
            </w:pPr>
            <w:r w:rsidRPr="00A924F4">
              <w:rPr>
                <w:color w:val="000000"/>
              </w:rPr>
              <w:t>工作温度：</w:t>
            </w:r>
            <w:r w:rsidRPr="00A924F4">
              <w:rPr>
                <w:color w:val="000000"/>
              </w:rPr>
              <w:t xml:space="preserve">-40~55℃ </w:t>
            </w:r>
          </w:p>
          <w:p w:rsidR="00DB5C23" w:rsidRPr="00A924F4" w:rsidP="00A924F4">
            <w:pPr>
              <w:pStyle w:val="a3"/>
              <w:jc w:val="left"/>
              <w:rPr>
                <w:color w:val="000000"/>
              </w:rPr>
            </w:pPr>
            <w:r w:rsidRPr="00A924F4">
              <w:rPr>
                <w:color w:val="000000"/>
              </w:rPr>
              <w:t>工作湿度：</w:t>
            </w:r>
            <w:r w:rsidRPr="00A924F4">
              <w:rPr>
                <w:rFonts w:hint="eastAsia"/>
                <w:color w:val="000000"/>
              </w:rPr>
              <w:t>0</w:t>
            </w:r>
            <w:r w:rsidRPr="00A924F4">
              <w:rPr>
                <w:rFonts w:hint="eastAsia"/>
                <w:color w:val="000000"/>
              </w:rPr>
              <w:t>～</w:t>
            </w:r>
            <w:r w:rsidRPr="00A924F4">
              <w:rPr>
                <w:rFonts w:hint="eastAsia"/>
                <w:color w:val="000000"/>
              </w:rPr>
              <w:t>90%</w:t>
            </w:r>
            <w:r w:rsidRPr="00A924F4">
              <w:rPr>
                <w:color w:val="000000"/>
              </w:rPr>
              <w:t>RH</w:t>
            </w:r>
          </w:p>
        </w:tc>
      </w:tr>
      <w:tr w:rsidTr="00A924F4">
        <w:tblPrEx>
          <w:tblW w:w="4997" w:type="pct"/>
          <w:jc w:val="center"/>
          <w:tblLook w:val="04A0"/>
        </w:tblPrEx>
        <w:trPr>
          <w:trHeight w:val="780"/>
          <w:jc w:val="center"/>
        </w:trPr>
        <w:tc>
          <w:tcPr>
            <w:tcW w:w="470" w:type="pct"/>
            <w:shd w:val="clear" w:color="auto" w:fill="auto"/>
            <w:vAlign w:val="center"/>
          </w:tcPr>
          <w:p w:rsidR="00DB5C23">
            <w:pPr>
              <w:pStyle w:val="a3"/>
            </w:pPr>
            <w:r>
              <w:rPr>
                <w:rFonts w:hint="eastAsia"/>
              </w:rPr>
              <w:t>10</w:t>
            </w:r>
          </w:p>
        </w:tc>
        <w:tc>
          <w:tcPr>
            <w:tcW w:w="1431" w:type="pct"/>
            <w:shd w:val="clear" w:color="auto" w:fill="auto"/>
            <w:vAlign w:val="center"/>
          </w:tcPr>
          <w:p w:rsidR="00DB5C23">
            <w:pPr>
              <w:pStyle w:val="a3"/>
            </w:pPr>
            <w:r>
              <w:rPr>
                <w:rFonts w:hint="eastAsia"/>
              </w:rPr>
              <w:t>#</w:t>
            </w:r>
            <w:r>
              <w:rPr>
                <w:rFonts w:hint="eastAsia"/>
              </w:rPr>
              <w:t>数据产品</w:t>
            </w:r>
          </w:p>
        </w:tc>
        <w:tc>
          <w:tcPr>
            <w:tcW w:w="3097" w:type="pct"/>
            <w:shd w:val="clear" w:color="auto" w:fill="auto"/>
            <w:vAlign w:val="center"/>
          </w:tcPr>
          <w:p w:rsidR="00DB5C23" w:rsidP="00A924F4">
            <w:pPr>
              <w:pStyle w:val="a3"/>
              <w:jc w:val="left"/>
            </w:pPr>
            <w:r w:rsidRPr="00A924F4">
              <w:rPr>
                <w:color w:val="000000"/>
              </w:rPr>
              <w:t>颗粒物浓度廓线、气溶胶消光系数、气溶胶后向散射系数、气溶胶粒子退偏振比、云信息、光学厚度、污染物混合层高度、能见度</w:t>
            </w:r>
          </w:p>
        </w:tc>
      </w:tr>
    </w:tbl>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.3</w:t>
      </w:r>
      <w:r>
        <w:rPr>
          <w:rFonts w:ascii="仿宋" w:eastAsia="仿宋" w:hAnsi="仿宋" w:cs="仿宋" w:hint="eastAsia"/>
          <w:sz w:val="28"/>
          <w:szCs w:val="28"/>
        </w:rPr>
        <w:t>气溶胶激光观测仪内置软件包要求</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.3.1</w:t>
      </w:r>
      <w:r>
        <w:rPr>
          <w:rFonts w:ascii="仿宋" w:eastAsia="仿宋" w:hAnsi="仿宋" w:cs="仿宋" w:hint="eastAsia"/>
          <w:sz w:val="28"/>
          <w:szCs w:val="28"/>
        </w:rPr>
        <w:t>气溶胶激光观测仪采集控制软件</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）采集控制：能够采集</w:t>
      </w:r>
      <w:r>
        <w:rPr>
          <w:rFonts w:ascii="仿宋" w:eastAsia="仿宋" w:hAnsi="仿宋" w:cs="仿宋" w:hint="eastAsia"/>
          <w:sz w:val="28"/>
          <w:szCs w:val="28"/>
        </w:rPr>
        <w:t>355nm</w:t>
      </w:r>
      <w:r>
        <w:rPr>
          <w:rFonts w:ascii="仿宋" w:eastAsia="仿宋" w:hAnsi="仿宋" w:cs="仿宋" w:hint="eastAsia"/>
          <w:sz w:val="28"/>
          <w:szCs w:val="28"/>
        </w:rPr>
        <w:t>信号，能够对信号曲线进行缩放。</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）参数设置：能够对站点信息、数据存储路径、采集时间间隔、每组采集脉冲数进行设置。</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）状态显示：界面上可实时显示激光器、采集卡模块工作状态；可显示采集日志和系统错误提示信息。</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）软件自恢复：软件具有自动恢复监测功能，能够在设备故障重启后使用上一次有效监测模式进行监测。</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.3.2</w:t>
      </w:r>
      <w:r>
        <w:rPr>
          <w:rFonts w:ascii="仿宋" w:eastAsia="仿宋" w:hAnsi="仿宋" w:cs="仿宋" w:hint="eastAsia"/>
          <w:sz w:val="28"/>
          <w:szCs w:val="28"/>
        </w:rPr>
        <w:t>气溶胶激光观测仪数据分析软件</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）数据展示：实时展示雷达当前</w:t>
      </w:r>
      <w:r>
        <w:rPr>
          <w:rFonts w:ascii="仿宋" w:eastAsia="仿宋" w:hAnsi="仿宋" w:cs="仿宋" w:hint="eastAsia"/>
          <w:sz w:val="28"/>
          <w:szCs w:val="28"/>
        </w:rPr>
        <w:t>24</w:t>
      </w:r>
      <w:r>
        <w:rPr>
          <w:rFonts w:ascii="仿宋" w:eastAsia="仿宋" w:hAnsi="仿宋" w:cs="仿宋" w:hint="eastAsia"/>
          <w:sz w:val="28"/>
          <w:szCs w:val="28"/>
        </w:rPr>
        <w:t>小时采集的数据结果。</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）数据产品：颗粒物浓度廓线、气溶胶消光系数、气溶胶后向散射系数、</w:t>
      </w:r>
      <w:r>
        <w:rPr>
          <w:rFonts w:ascii="仿宋" w:eastAsia="仿宋" w:hAnsi="仿宋" w:cs="仿宋" w:hint="eastAsia"/>
          <w:sz w:val="28"/>
          <w:szCs w:val="28"/>
        </w:rPr>
        <w:t>气溶胶粒子退偏振比、云信息、光学厚度、污染物混合层高度、能见度等。</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）数据导入：可将历史数据进行导入加载，反演展示。</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）参数设置：可实现对数据路径、位置信息、算法参数等参数的配置。</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.3.</w:t>
      </w:r>
      <w:r>
        <w:rPr>
          <w:rFonts w:ascii="仿宋" w:eastAsia="仿宋" w:hAnsi="仿宋" w:cs="仿宋" w:hint="eastAsia"/>
          <w:sz w:val="28"/>
          <w:szCs w:val="28"/>
        </w:rPr>
        <w:t>3</w:t>
      </w:r>
      <w:r>
        <w:rPr>
          <w:rFonts w:ascii="仿宋" w:eastAsia="仿宋" w:hAnsi="仿宋" w:cs="仿宋" w:hint="eastAsia"/>
          <w:sz w:val="28"/>
          <w:szCs w:val="28"/>
        </w:rPr>
        <w:t>气溶胶激光观测仪数据上传软件</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支持</w:t>
      </w:r>
      <w:r>
        <w:rPr>
          <w:rFonts w:ascii="仿宋" w:eastAsia="仿宋" w:hAnsi="仿宋" w:cs="仿宋" w:hint="eastAsia"/>
          <w:sz w:val="28"/>
          <w:szCs w:val="28"/>
        </w:rPr>
        <w:t>FTP/SFTP/FTPS</w:t>
      </w:r>
      <w:r>
        <w:rPr>
          <w:rFonts w:ascii="仿宋" w:eastAsia="仿宋" w:hAnsi="仿宋" w:cs="仿宋" w:hint="eastAsia"/>
          <w:sz w:val="28"/>
          <w:szCs w:val="28"/>
        </w:rPr>
        <w:t>等上传方式。具备可视化操作界面，可配置上传参数，显示上传进度并记录日志，支持多地址管理与上传。</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2.3.4</w:t>
      </w:r>
      <w:r>
        <w:rPr>
          <w:rFonts w:ascii="仿宋" w:eastAsia="仿宋" w:hAnsi="仿宋" w:cs="仿宋" w:hint="eastAsia"/>
          <w:sz w:val="28"/>
          <w:szCs w:val="28"/>
        </w:rPr>
        <w:t>软件兼容性</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软件支持</w:t>
      </w:r>
      <w:r>
        <w:rPr>
          <w:rFonts w:ascii="仿宋" w:eastAsia="仿宋" w:hAnsi="仿宋" w:cs="仿宋" w:hint="eastAsia"/>
          <w:sz w:val="28"/>
          <w:szCs w:val="28"/>
        </w:rPr>
        <w:t>Windows</w:t>
      </w:r>
      <w:r>
        <w:rPr>
          <w:rFonts w:ascii="仿宋" w:eastAsia="仿宋" w:hAnsi="仿宋" w:cs="仿宋" w:hint="eastAsia"/>
          <w:sz w:val="28"/>
          <w:szCs w:val="28"/>
        </w:rPr>
        <w:t>、</w:t>
      </w:r>
      <w:r>
        <w:rPr>
          <w:rFonts w:ascii="仿宋" w:eastAsia="仿宋" w:hAnsi="仿宋" w:cs="仿宋" w:hint="eastAsia"/>
          <w:sz w:val="28"/>
          <w:szCs w:val="28"/>
        </w:rPr>
        <w:t>Linux</w:t>
      </w:r>
      <w:r>
        <w:rPr>
          <w:rFonts w:ascii="仿宋" w:eastAsia="仿宋" w:hAnsi="仿宋" w:cs="仿宋" w:hint="eastAsia"/>
          <w:sz w:val="28"/>
          <w:szCs w:val="28"/>
        </w:rPr>
        <w:t>及国产信创操作系统，预留多类型标准化接口；数据支持</w:t>
      </w:r>
      <w:r>
        <w:rPr>
          <w:rFonts w:ascii="仿宋" w:eastAsia="仿宋" w:hAnsi="仿宋" w:cs="仿宋" w:hint="eastAsia"/>
          <w:sz w:val="28"/>
          <w:szCs w:val="28"/>
        </w:rPr>
        <w:t>CSV</w:t>
      </w:r>
      <w:r>
        <w:rPr>
          <w:rFonts w:ascii="仿宋" w:eastAsia="仿宋" w:hAnsi="仿宋" w:cs="仿宋" w:hint="eastAsia"/>
          <w:sz w:val="28"/>
          <w:szCs w:val="28"/>
        </w:rPr>
        <w:t>、</w:t>
      </w:r>
      <w:r>
        <w:rPr>
          <w:rFonts w:ascii="仿宋" w:eastAsia="仿宋" w:hAnsi="仿宋" w:cs="仿宋" w:hint="eastAsia"/>
          <w:sz w:val="28"/>
          <w:szCs w:val="28"/>
        </w:rPr>
        <w:t>XML</w:t>
      </w:r>
      <w:r>
        <w:rPr>
          <w:rFonts w:ascii="仿宋" w:eastAsia="仿宋" w:hAnsi="仿宋" w:cs="仿宋" w:hint="eastAsia"/>
          <w:sz w:val="28"/>
          <w:szCs w:val="28"/>
        </w:rPr>
        <w:t>等主流格式导出，可接入现有气象数据平台。</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2.3.5</w:t>
      </w:r>
      <w:r>
        <w:rPr>
          <w:rFonts w:ascii="仿宋" w:eastAsia="仿宋" w:hAnsi="仿宋" w:cs="仿宋" w:hint="eastAsia"/>
          <w:sz w:val="28"/>
          <w:szCs w:val="28"/>
        </w:rPr>
        <w:t>投标产品组件开发及产品展示需求</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采用组件化设计，核心功能模块化封装，预留标准化接口便于扩展与接入。产品需实时展示核心指标，支持多维数据图形化呈现、多站点对比分析，具备查询统计与多格式导出功能，界面自适应多终端显示。</w:t>
      </w:r>
    </w:p>
    <w:p w:rsidR="00DB5C23">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.4</w:t>
      </w:r>
      <w:r>
        <w:rPr>
          <w:rFonts w:ascii="仿宋" w:eastAsia="仿宋" w:hAnsi="仿宋" w:cs="仿宋" w:hint="eastAsia"/>
          <w:sz w:val="28"/>
          <w:szCs w:val="28"/>
        </w:rPr>
        <w:t xml:space="preserve"> </w:t>
      </w:r>
      <w:r>
        <w:rPr>
          <w:rFonts w:ascii="仿宋" w:eastAsia="仿宋" w:hAnsi="仿宋" w:cs="仿宋" w:hint="eastAsia"/>
          <w:sz w:val="28"/>
          <w:szCs w:val="28"/>
        </w:rPr>
        <w:t>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spacing w:before="42"/>
              <w:ind w:left="107"/>
              <w:jc w:val="center"/>
              <w:rPr>
                <w:rFonts w:ascii="仿宋" w:eastAsia="仿宋" w:hAnsi="仿宋" w:cs="仿宋"/>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spacing w:before="42"/>
              <w:ind w:left="107"/>
              <w:jc w:val="center"/>
              <w:rPr>
                <w:rFonts w:ascii="仿宋" w:eastAsia="仿宋" w:hAnsi="仿宋" w:cs="仿宋"/>
                <w:b/>
                <w:sz w:val="24"/>
                <w:szCs w:val="24"/>
                <w:lang w:eastAsia="zh-CN"/>
              </w:rPr>
            </w:pPr>
            <w:r>
              <w:rPr>
                <w:rFonts w:ascii="仿宋" w:eastAsia="仿宋" w:hAnsi="仿宋" w:cs="仿宋" w:hint="eastAsia"/>
                <w:b/>
                <w:sz w:val="24"/>
                <w:szCs w:val="24"/>
                <w:lang w:eastAsia="zh-CN"/>
              </w:rPr>
              <w:t>项目</w:t>
            </w:r>
          </w:p>
        </w:tc>
      </w:tr>
      <w:tr>
        <w:tblPrEx>
          <w:tblW w:w="4363" w:type="pct"/>
          <w:jc w:val="center"/>
          <w:tblLook w:val="04A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气溶胶激光观测仪主机</w:t>
            </w:r>
          </w:p>
        </w:tc>
      </w:tr>
      <w:tr>
        <w:tblPrEx>
          <w:tblW w:w="4363" w:type="pct"/>
          <w:jc w:val="center"/>
          <w:tblLook w:val="04A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气溶胶激光观测仪内置软件包</w:t>
            </w:r>
          </w:p>
        </w:tc>
      </w:tr>
      <w:tr>
        <w:tblPrEx>
          <w:tblW w:w="4363" w:type="pct"/>
          <w:jc w:val="center"/>
          <w:tblLook w:val="04A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观测方舱、观测天窗及其附属件</w:t>
            </w:r>
          </w:p>
        </w:tc>
      </w:tr>
      <w:tr>
        <w:tblPrEx>
          <w:tblW w:w="4363" w:type="pct"/>
          <w:jc w:val="center"/>
          <w:tblLook w:val="04A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备用电源（</w:t>
            </w:r>
            <w:r>
              <w:rPr>
                <w:rFonts w:ascii="仿宋" w:eastAsia="仿宋" w:hAnsi="仿宋" w:cs="仿宋" w:hint="eastAsia"/>
                <w:bCs/>
                <w:sz w:val="24"/>
                <w:szCs w:val="24"/>
                <w:lang w:eastAsia="zh-CN"/>
              </w:rPr>
              <w:t>UPS</w:t>
            </w:r>
            <w:r>
              <w:rPr>
                <w:rFonts w:ascii="仿宋" w:eastAsia="仿宋" w:hAnsi="仿宋" w:cs="仿宋" w:hint="eastAsia"/>
                <w:bCs/>
                <w:sz w:val="24"/>
                <w:szCs w:val="24"/>
                <w:lang w:eastAsia="zh-CN"/>
              </w:rPr>
              <w:t>）及其附属件</w:t>
            </w:r>
          </w:p>
        </w:tc>
      </w:tr>
      <w:tr>
        <w:tblPrEx>
          <w:tblW w:w="4363" w:type="pct"/>
          <w:jc w:val="center"/>
          <w:tblLook w:val="04A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工具包</w:t>
            </w:r>
          </w:p>
        </w:tc>
      </w:tr>
      <w:tr>
        <w:tblPrEx>
          <w:tblW w:w="4363" w:type="pct"/>
          <w:jc w:val="center"/>
          <w:tblLook w:val="04A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rsidR="00DB5C23">
            <w:pPr>
              <w:pStyle w:val="TableParagraph"/>
              <w:autoSpaceDE w:val="0"/>
              <w:autoSpaceDN w:val="0"/>
              <w:adjustRightInd w:val="0"/>
              <w:snapToGrid w:val="0"/>
              <w:jc w:val="center"/>
              <w:rPr>
                <w:rFonts w:ascii="仿宋" w:eastAsia="仿宋" w:hAnsi="仿宋" w:cs="仿宋"/>
                <w:bCs/>
                <w:sz w:val="24"/>
                <w:szCs w:val="24"/>
                <w:lang w:eastAsia="zh-CN"/>
              </w:rPr>
            </w:pPr>
            <w:r>
              <w:rPr>
                <w:rFonts w:ascii="仿宋" w:eastAsia="仿宋" w:hAnsi="仿宋" w:cs="仿宋" w:hint="eastAsia"/>
                <w:bCs/>
                <w:sz w:val="24"/>
                <w:szCs w:val="24"/>
                <w:lang w:eastAsia="zh-CN"/>
              </w:rPr>
              <w:t>包装箱</w:t>
            </w:r>
          </w:p>
        </w:tc>
      </w:tr>
    </w:tbl>
    <w:p w:rsidR="00DB5C23">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）正式交付运行，并通过合同验收次日起质保期为</w:t>
      </w:r>
      <w:r>
        <w:rPr>
          <w:rFonts w:ascii="仿宋" w:eastAsia="仿宋" w:hAnsi="仿宋" w:cs="仿宋" w:hint="eastAsia"/>
          <w:sz w:val="28"/>
          <w:szCs w:val="20"/>
        </w:rPr>
        <w:t>8</w:t>
      </w:r>
      <w:r>
        <w:rPr>
          <w:rFonts w:ascii="仿宋" w:eastAsia="仿宋" w:hAnsi="仿宋" w:cs="仿宋" w:hint="eastAsia"/>
          <w:sz w:val="28"/>
          <w:szCs w:val="20"/>
        </w:rPr>
        <w:t>年。设备供应商对所有设备提供自验收合格后</w:t>
      </w:r>
      <w:r>
        <w:rPr>
          <w:rFonts w:ascii="仿宋" w:eastAsia="仿宋" w:hAnsi="仿宋" w:cs="仿宋" w:hint="eastAsia"/>
          <w:sz w:val="28"/>
          <w:szCs w:val="20"/>
        </w:rPr>
        <w:t>8</w:t>
      </w:r>
      <w:r>
        <w:rPr>
          <w:rFonts w:ascii="仿宋" w:eastAsia="仿宋" w:hAnsi="仿宋" w:cs="仿宋" w:hint="eastAsia"/>
          <w:sz w:val="28"/>
          <w:szCs w:val="20"/>
        </w:rPr>
        <w:t>年的免费维护维修服务，并提供相关承诺函。按照业务运行规范要求执行，确保设备可稳定运行，主要工作包括：汛前巡检、周维护、月维护、年维护等巡检巡查工作，以及关键器件及系统故障的维修等。故障维修和巡检巡查等需按照《</w:t>
      </w:r>
      <w:r>
        <w:rPr>
          <w:rFonts w:ascii="仿宋" w:eastAsia="仿宋" w:hAnsi="仿宋" w:cs="仿宋" w:hint="eastAsia"/>
          <w:sz w:val="28"/>
          <w:szCs w:val="20"/>
        </w:rPr>
        <w:t>2022</w:t>
      </w:r>
      <w:r>
        <w:rPr>
          <w:rFonts w:ascii="仿宋" w:eastAsia="仿宋" w:hAnsi="仿宋" w:cs="仿宋" w:hint="eastAsia"/>
          <w:sz w:val="28"/>
          <w:szCs w:val="20"/>
        </w:rPr>
        <w:t>年度补短板工程新上设备建设及质保指导意见（地基遥感垂直观测系统）》要求执行。</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）在质保期内，设备供应商服务时间应为</w:t>
      </w:r>
      <w:r>
        <w:rPr>
          <w:rFonts w:ascii="仿宋" w:eastAsia="仿宋" w:hAnsi="仿宋" w:cs="仿宋" w:hint="eastAsia"/>
          <w:sz w:val="28"/>
          <w:szCs w:val="20"/>
        </w:rPr>
        <w:t xml:space="preserve"> </w:t>
      </w:r>
      <w:r>
        <w:rPr>
          <w:rFonts w:ascii="仿宋" w:eastAsia="仿宋" w:hAnsi="仿宋" w:cs="仿宋" w:hint="eastAsia"/>
          <w:sz w:val="28"/>
          <w:szCs w:val="20"/>
        </w:rPr>
        <w:t>7</w:t>
      </w:r>
      <w:r>
        <w:rPr>
          <w:rFonts w:ascii="仿宋" w:eastAsia="仿宋" w:hAnsi="仿宋" w:cs="仿宋" w:hint="eastAsia"/>
          <w:sz w:val="28"/>
          <w:szCs w:val="20"/>
        </w:rPr>
        <w:t>×</w:t>
      </w:r>
      <w:r>
        <w:rPr>
          <w:rFonts w:ascii="仿宋" w:eastAsia="仿宋" w:hAnsi="仿宋" w:cs="仿宋" w:hint="eastAsia"/>
          <w:sz w:val="28"/>
          <w:szCs w:val="20"/>
        </w:rPr>
        <w:t>24</w:t>
      </w:r>
      <w:r>
        <w:rPr>
          <w:rFonts w:ascii="仿宋" w:eastAsia="仿宋" w:hAnsi="仿宋" w:cs="仿宋" w:hint="eastAsia"/>
          <w:sz w:val="28"/>
          <w:szCs w:val="20"/>
        </w:rPr>
        <w:t>小时，当投标产品或软件遭到损坏或出现故障时，要在用户报修之时起</w:t>
      </w:r>
      <w:r>
        <w:rPr>
          <w:rFonts w:ascii="仿宋" w:eastAsia="仿宋" w:hAnsi="仿宋" w:cs="仿宋" w:hint="eastAsia"/>
          <w:sz w:val="28"/>
          <w:szCs w:val="20"/>
        </w:rPr>
        <w:t>4</w:t>
      </w:r>
      <w:r>
        <w:rPr>
          <w:rFonts w:ascii="仿宋" w:eastAsia="仿宋" w:hAnsi="仿宋" w:cs="仿宋" w:hint="eastAsia"/>
          <w:sz w:val="28"/>
          <w:szCs w:val="20"/>
        </w:rPr>
        <w:t>小时内做出响应，并在</w:t>
      </w:r>
      <w:r>
        <w:rPr>
          <w:rFonts w:ascii="仿宋" w:eastAsia="仿宋" w:hAnsi="仿宋" w:cs="仿宋" w:hint="eastAsia"/>
          <w:sz w:val="28"/>
          <w:szCs w:val="20"/>
        </w:rPr>
        <w:t>48</w:t>
      </w:r>
      <w:r>
        <w:rPr>
          <w:rFonts w:ascii="仿宋" w:eastAsia="仿宋" w:hAnsi="仿宋" w:cs="仿宋" w:hint="eastAsia"/>
          <w:sz w:val="28"/>
          <w:szCs w:val="20"/>
        </w:rPr>
        <w:t>小时内到达现场，开展维修维护工作，视情况双方协商设备恢复正常运行时限。</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）正式交付运行，并通过合同验收次日起质保期为</w:t>
      </w:r>
      <w:r>
        <w:rPr>
          <w:rFonts w:ascii="仿宋" w:eastAsia="仿宋" w:hAnsi="仿宋" w:cs="仿宋" w:hint="eastAsia"/>
          <w:sz w:val="28"/>
          <w:szCs w:val="20"/>
        </w:rPr>
        <w:t>8</w:t>
      </w:r>
      <w:r>
        <w:rPr>
          <w:rFonts w:ascii="仿宋" w:eastAsia="仿宋" w:hAnsi="仿宋" w:cs="仿宋" w:hint="eastAsia"/>
          <w:sz w:val="28"/>
          <w:szCs w:val="20"/>
        </w:rPr>
        <w:t>年。维保包括设备维护维修、相关附属软件及附属设备维护维修，保证每年至少</w:t>
      </w:r>
      <w:r>
        <w:rPr>
          <w:rFonts w:ascii="仿宋" w:eastAsia="仿宋" w:hAnsi="仿宋" w:cs="仿宋" w:hint="eastAsia"/>
          <w:sz w:val="28"/>
          <w:szCs w:val="20"/>
        </w:rPr>
        <w:t>1</w:t>
      </w:r>
      <w:r>
        <w:rPr>
          <w:rFonts w:ascii="仿宋" w:eastAsia="仿宋" w:hAnsi="仿宋" w:cs="仿宋" w:hint="eastAsia"/>
          <w:sz w:val="28"/>
          <w:szCs w:val="20"/>
        </w:rPr>
        <w:t>次的现场巡检和</w:t>
      </w:r>
      <w:r>
        <w:rPr>
          <w:rFonts w:ascii="仿宋" w:eastAsia="仿宋" w:hAnsi="仿宋" w:cs="仿宋" w:hint="eastAsia"/>
          <w:sz w:val="28"/>
          <w:szCs w:val="20"/>
        </w:rPr>
        <w:t>4</w:t>
      </w:r>
      <w:r>
        <w:rPr>
          <w:rFonts w:ascii="仿宋" w:eastAsia="仿宋" w:hAnsi="仿宋" w:cs="仿宋" w:hint="eastAsia"/>
          <w:sz w:val="28"/>
          <w:szCs w:val="20"/>
        </w:rPr>
        <w:t>次远程维护检查，设备发生故障时在业务规定时间内完成维修、维护保障或更换组件，投标人应提供</w:t>
      </w:r>
      <w:r>
        <w:rPr>
          <w:rFonts w:ascii="仿宋" w:eastAsia="仿宋" w:hAnsi="仿宋" w:cs="仿宋" w:hint="eastAsia"/>
          <w:sz w:val="28"/>
          <w:szCs w:val="20"/>
        </w:rPr>
        <w:t>7</w:t>
      </w:r>
      <w:r>
        <w:rPr>
          <w:rFonts w:ascii="仿宋" w:eastAsia="仿宋" w:hAnsi="仿宋" w:cs="仿宋" w:hint="eastAsia"/>
          <w:sz w:val="28"/>
          <w:szCs w:val="20"/>
        </w:rPr>
        <w:t>（天）×</w:t>
      </w:r>
      <w:r>
        <w:rPr>
          <w:rFonts w:ascii="仿宋" w:eastAsia="仿宋" w:hAnsi="仿宋" w:cs="仿宋" w:hint="eastAsia"/>
          <w:sz w:val="28"/>
          <w:szCs w:val="20"/>
        </w:rPr>
        <w:t>24</w:t>
      </w:r>
      <w:r>
        <w:rPr>
          <w:rFonts w:ascii="仿宋" w:eastAsia="仿宋" w:hAnsi="仿宋" w:cs="仿宋" w:hint="eastAsia"/>
          <w:sz w:val="28"/>
          <w:szCs w:val="20"/>
        </w:rPr>
        <w:t>（小时）技术支持热线电话。</w:t>
      </w:r>
    </w:p>
    <w:p w:rsidR="00DB5C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）质保期过后，设备供应商仍有义务提供技术服务（包括提供设备维护、备件等）</w:t>
      </w:r>
      <w:r>
        <w:rPr>
          <w:rFonts w:ascii="仿宋" w:eastAsia="仿宋" w:hAnsi="仿宋" w:cs="仿宋" w:hint="eastAsia"/>
          <w:sz w:val="28"/>
          <w:szCs w:val="20"/>
        </w:rPr>
        <w:t>。</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rsidR="00DB5C23">
      <w:pPr>
        <w:spacing w:line="560" w:lineRule="exact"/>
        <w:ind w:left="365" w:leftChars="174"/>
        <w:rPr>
          <w:rFonts w:ascii="仿宋" w:eastAsia="仿宋" w:hAnsi="仿宋" w:cs="仿宋"/>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w:t>
      </w:r>
      <w:r>
        <w:rPr>
          <w:rFonts w:ascii="仿宋" w:eastAsia="仿宋" w:hAnsi="仿宋" w:cs="仿宋" w:hint="eastAsia"/>
          <w:sz w:val="28"/>
          <w:szCs w:val="20"/>
        </w:rPr>
        <w:t>-</w:t>
      </w:r>
      <w:r>
        <w:rPr>
          <w:rFonts w:ascii="仿宋" w:eastAsia="仿宋" w:hAnsi="仿宋" w:cs="仿宋" w:hint="eastAsia"/>
          <w:sz w:val="28"/>
          <w:szCs w:val="20"/>
        </w:rPr>
        <w:t>其他技术及商务需求。</w:t>
      </w:r>
      <w:bookmarkStart w:id="60" w:name="_Hlk168594784"/>
    </w:p>
    <w:bookmarkEnd w:id="60"/>
    <w:p w:rsidR="00DB5C23">
      <w:pPr>
        <w:spacing w:line="560" w:lineRule="exact"/>
        <w:ind w:firstLine="560" w:firstLineChars="200"/>
        <w:rPr>
          <w:rFonts w:ascii="仿宋" w:eastAsia="仿宋" w:hAnsi="仿宋" w:cs="仿宋"/>
          <w:sz w:val="28"/>
          <w:szCs w:val="20"/>
        </w:rPr>
      </w:pPr>
    </w:p>
    <w:p w:rsidR="00DB5C23">
      <w:pPr>
        <w:spacing w:line="560" w:lineRule="exact"/>
        <w:ind w:firstLine="560" w:firstLineChars="200"/>
        <w:rPr>
          <w:rFonts w:ascii="仿宋" w:eastAsia="仿宋" w:hAnsi="仿宋" w:cs="仿宋"/>
          <w:sz w:val="28"/>
          <w:szCs w:val="20"/>
        </w:rPr>
      </w:pPr>
    </w:p>
    <w:p w:rsidR="00DB5C23">
      <w:pPr>
        <w:spacing w:line="560" w:lineRule="exact"/>
        <w:ind w:firstLine="560" w:firstLineChars="200"/>
        <w:rPr>
          <w:rFonts w:ascii="仿宋" w:eastAsia="仿宋" w:hAnsi="仿宋" w:cs="仿宋"/>
          <w:sz w:val="28"/>
          <w:szCs w:val="20"/>
        </w:rPr>
      </w:pPr>
    </w:p>
    <w:p w:rsidR="00DB5C23">
      <w:pPr>
        <w:spacing w:line="560" w:lineRule="exact"/>
        <w:ind w:firstLine="560" w:firstLineChars="200"/>
        <w:rPr>
          <w:rFonts w:ascii="仿宋" w:eastAsia="仿宋" w:hAnsi="仿宋" w:cs="仿宋"/>
          <w:sz w:val="28"/>
          <w:szCs w:val="20"/>
        </w:rPr>
      </w:pPr>
    </w:p>
    <w:p w:rsidR="00DB5C23">
      <w:pPr>
        <w:spacing w:line="560" w:lineRule="exact"/>
        <w:ind w:firstLine="560" w:firstLineChars="200"/>
        <w:rPr>
          <w:rFonts w:ascii="仿宋" w:eastAsia="仿宋" w:hAnsi="仿宋" w:cs="仿宋"/>
          <w:sz w:val="28"/>
          <w:szCs w:val="20"/>
        </w:rPr>
      </w:pPr>
    </w:p>
    <w:p w:rsidR="00DB5C23">
      <w:pPr>
        <w:spacing w:line="560" w:lineRule="exact"/>
        <w:ind w:firstLine="560" w:firstLineChars="200"/>
        <w:rPr>
          <w:rFonts w:ascii="仿宋" w:eastAsia="仿宋" w:hAnsi="仿宋" w:cs="仿宋"/>
          <w:sz w:val="28"/>
          <w:szCs w:val="20"/>
        </w:rPr>
      </w:pPr>
    </w:p>
    <w:p w:rsidR="00DB5C23">
      <w:pPr>
        <w:spacing w:line="560" w:lineRule="exact"/>
        <w:ind w:firstLine="720" w:firstLineChars="200"/>
        <w:jc w:val="center"/>
        <w:rPr>
          <w:rFonts w:ascii="仿宋" w:eastAsia="仿宋" w:hAnsi="仿宋" w:cs="仿宋"/>
          <w:b/>
          <w:sz w:val="36"/>
          <w:szCs w:val="36"/>
        </w:rPr>
      </w:pPr>
    </w:p>
    <w:p w:rsidR="00DB5C23">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DB5C23">
      <w:pPr>
        <w:ind w:firstLine="560" w:firstLineChars="200"/>
        <w:rPr>
          <w:rFonts w:ascii="仿宋" w:eastAsia="仿宋" w:hAnsi="仿宋" w:cs="仿宋"/>
          <w:b/>
          <w:bCs/>
          <w:sz w:val="28"/>
          <w:szCs w:val="20"/>
        </w:rPr>
      </w:pPr>
      <w:r>
        <w:rPr>
          <w:rFonts w:ascii="仿宋" w:eastAsia="仿宋" w:hAnsi="仿宋" w:cs="仿宋" w:hint="eastAsia"/>
          <w:b/>
          <w:bCs/>
          <w:sz w:val="28"/>
          <w:szCs w:val="20"/>
        </w:rPr>
        <w:t>一、售后服务要求</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DB5C23">
      <w:pPr>
        <w:ind w:firstLine="560" w:firstLineChars="200"/>
        <w:rPr>
          <w:rFonts w:ascii="仿宋" w:eastAsia="仿宋" w:hAnsi="仿宋" w:cs="仿宋"/>
          <w:b/>
          <w:bCs/>
          <w:sz w:val="28"/>
          <w:szCs w:val="20"/>
        </w:rPr>
      </w:pPr>
      <w:r>
        <w:rPr>
          <w:rFonts w:ascii="仿宋" w:eastAsia="仿宋" w:hAnsi="仿宋" w:cs="仿宋" w:hint="eastAsia"/>
          <w:b/>
          <w:bCs/>
          <w:sz w:val="28"/>
          <w:szCs w:val="20"/>
        </w:rPr>
        <w:t>二</w:t>
      </w:r>
      <w:r>
        <w:rPr>
          <w:rFonts w:ascii="仿宋" w:eastAsia="仿宋" w:hAnsi="仿宋" w:cs="仿宋" w:hint="eastAsia"/>
          <w:b/>
          <w:bCs/>
          <w:sz w:val="28"/>
          <w:szCs w:val="20"/>
        </w:rPr>
        <w:t>、培训要求</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次技术培训，培训课时不少于</w:t>
      </w:r>
      <w:r>
        <w:rPr>
          <w:rFonts w:ascii="仿宋" w:eastAsia="仿宋" w:hAnsi="仿宋" w:cs="仿宋" w:hint="eastAsia"/>
          <w:sz w:val="28"/>
          <w:szCs w:val="20"/>
        </w:rPr>
        <w:t>24</w:t>
      </w:r>
      <w:r>
        <w:rPr>
          <w:rFonts w:ascii="仿宋" w:eastAsia="仿宋" w:hAnsi="仿宋" w:cs="仿宋" w:hint="eastAsia"/>
          <w:sz w:val="28"/>
          <w:szCs w:val="20"/>
        </w:rPr>
        <w:t>个课时，培训人数不少于</w:t>
      </w:r>
      <w:r>
        <w:rPr>
          <w:rFonts w:ascii="仿宋" w:eastAsia="仿宋" w:hAnsi="仿宋" w:cs="仿宋" w:hint="eastAsia"/>
          <w:sz w:val="28"/>
          <w:szCs w:val="20"/>
        </w:rPr>
        <w:t>6</w:t>
      </w:r>
      <w:r>
        <w:rPr>
          <w:rFonts w:ascii="仿宋" w:eastAsia="仿宋" w:hAnsi="仿宋" w:cs="仿宋" w:hint="eastAsia"/>
          <w:sz w:val="28"/>
          <w:szCs w:val="20"/>
        </w:rPr>
        <w:t>人。培训内容包括设备安装、使用、日常维护、观测原理及产品应用，培训时间及地</w:t>
      </w:r>
      <w:r>
        <w:rPr>
          <w:rFonts w:ascii="仿宋" w:eastAsia="仿宋" w:hAnsi="仿宋" w:cs="仿宋" w:hint="eastAsia"/>
          <w:sz w:val="28"/>
          <w:szCs w:val="20"/>
        </w:rPr>
        <w:t>点由</w:t>
      </w:r>
      <w:r>
        <w:rPr>
          <w:rFonts w:ascii="仿宋" w:eastAsia="仿宋" w:hAnsi="仿宋" w:cs="仿宋" w:hint="eastAsia"/>
          <w:sz w:val="28"/>
          <w:szCs w:val="20"/>
        </w:rPr>
        <w:t>双方协商确定。</w:t>
      </w:r>
    </w:p>
    <w:p w:rsidR="00DB5C23">
      <w:pPr>
        <w:ind w:firstLine="560" w:firstLineChars="200"/>
        <w:rPr>
          <w:rFonts w:ascii="仿宋" w:eastAsia="仿宋" w:hAnsi="仿宋" w:cs="仿宋"/>
          <w:b/>
          <w:bCs/>
          <w:sz w:val="28"/>
          <w:szCs w:val="20"/>
        </w:rPr>
      </w:pPr>
      <w:r>
        <w:rPr>
          <w:rFonts w:ascii="仿宋" w:eastAsia="仿宋" w:hAnsi="仿宋" w:cs="仿宋" w:hint="eastAsia"/>
          <w:b/>
          <w:bCs/>
          <w:sz w:val="28"/>
          <w:szCs w:val="20"/>
        </w:rPr>
        <w:t>三</w:t>
      </w:r>
      <w:r>
        <w:rPr>
          <w:rFonts w:ascii="仿宋" w:eastAsia="仿宋" w:hAnsi="仿宋" w:cs="仿宋" w:hint="eastAsia"/>
          <w:b/>
          <w:bCs/>
          <w:sz w:val="28"/>
          <w:szCs w:val="20"/>
        </w:rPr>
        <w:t>、交货要求及履约地点</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rPr>
        <w:t>江苏省内</w:t>
      </w:r>
      <w:r>
        <w:rPr>
          <w:rFonts w:ascii="仿宋" w:eastAsia="仿宋" w:hAnsi="仿宋" w:cs="仿宋" w:hint="eastAsia"/>
          <w:sz w:val="28"/>
          <w:szCs w:val="20"/>
        </w:rPr>
        <w:t>甲方指定地点（运输相关费用由供应商负责），并负责安装调试。</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60</w:t>
      </w:r>
      <w:r>
        <w:rPr>
          <w:rFonts w:ascii="仿宋" w:eastAsia="仿宋" w:hAnsi="仿宋" w:cs="仿宋" w:hint="eastAsia"/>
          <w:sz w:val="28"/>
          <w:szCs w:val="20"/>
        </w:rPr>
        <w:t>天内完成供货、安装调试并具备验收条件。</w:t>
      </w:r>
    </w:p>
    <w:p w:rsidR="00DB5C23">
      <w:pPr>
        <w:ind w:firstLine="560" w:firstLineChars="200"/>
        <w:rPr>
          <w:rFonts w:ascii="仿宋" w:eastAsia="仿宋" w:hAnsi="仿宋" w:cs="仿宋"/>
          <w:b/>
          <w:bCs/>
          <w:sz w:val="28"/>
          <w:szCs w:val="20"/>
        </w:rPr>
      </w:pPr>
      <w:r>
        <w:rPr>
          <w:rFonts w:ascii="仿宋" w:eastAsia="仿宋" w:hAnsi="仿宋" w:cs="仿宋" w:hint="eastAsia"/>
          <w:b/>
          <w:bCs/>
          <w:sz w:val="28"/>
          <w:szCs w:val="20"/>
        </w:rPr>
        <w:t>四</w:t>
      </w:r>
      <w:r>
        <w:rPr>
          <w:rFonts w:ascii="仿宋" w:eastAsia="仿宋" w:hAnsi="仿宋" w:cs="仿宋" w:hint="eastAsia"/>
          <w:b/>
          <w:bCs/>
          <w:sz w:val="28"/>
          <w:szCs w:val="20"/>
        </w:rPr>
        <w:t>、服务团队要求</w:t>
      </w:r>
    </w:p>
    <w:p w:rsidR="00DB5C23">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个月团队人员在投标人所在公司的社保缴纳证明（有关人员为退休人员的，可提供聘用合同）。</w:t>
      </w:r>
    </w:p>
    <w:p w:rsidR="00DB5C23">
      <w:pPr>
        <w:ind w:firstLine="560" w:firstLineChars="200"/>
        <w:rPr>
          <w:rFonts w:ascii="仿宋" w:eastAsia="仿宋" w:hAnsi="仿宋" w:cs="仿宋"/>
          <w:b/>
          <w:bCs/>
          <w:sz w:val="28"/>
          <w:szCs w:val="20"/>
        </w:rPr>
      </w:pPr>
      <w:r>
        <w:rPr>
          <w:rFonts w:ascii="仿宋" w:eastAsia="仿宋" w:hAnsi="仿宋" w:cs="仿宋" w:hint="eastAsia"/>
          <w:b/>
          <w:bCs/>
          <w:sz w:val="28"/>
          <w:szCs w:val="20"/>
        </w:rPr>
        <w:t>五</w:t>
      </w:r>
      <w:r>
        <w:rPr>
          <w:rFonts w:ascii="仿宋" w:eastAsia="仿宋" w:hAnsi="仿宋" w:cs="仿宋" w:hint="eastAsia"/>
          <w:b/>
          <w:bCs/>
          <w:sz w:val="28"/>
          <w:szCs w:val="20"/>
        </w:rPr>
        <w:t>、投标产品软件兼容性要求</w:t>
      </w:r>
    </w:p>
    <w:p w:rsidR="00DB5C23">
      <w:pPr>
        <w:ind w:firstLine="560" w:firstLineChars="200"/>
        <w:rPr>
          <w:rFonts w:ascii="黑体" w:eastAsia="黑体" w:hAnsi="黑体"/>
          <w:bCs/>
          <w:snapToGrid w:val="0"/>
          <w:kern w:val="0"/>
          <w:sz w:val="44"/>
          <w:szCs w:val="44"/>
        </w:rPr>
      </w:pPr>
      <w:r>
        <w:rPr>
          <w:rFonts w:ascii="仿宋" w:eastAsia="仿宋" w:hAnsi="仿宋" w:cs="仿宋" w:hint="eastAsia"/>
          <w:sz w:val="28"/>
          <w:szCs w:val="20"/>
        </w:rPr>
        <w:t>设备数据格式可无缝接入气象网络系统，实现与原有省级业务平台无缝接入，</w:t>
      </w:r>
      <w:r>
        <w:rPr>
          <w:rFonts w:ascii="仿宋" w:eastAsia="仿宋" w:hAnsi="仿宋" w:cs="仿宋" w:hint="eastAsia"/>
          <w:sz w:val="28"/>
          <w:szCs w:val="20"/>
        </w:rPr>
        <w:t>能</w:t>
      </w:r>
      <w:r>
        <w:rPr>
          <w:rFonts w:ascii="仿宋" w:eastAsia="仿宋" w:hAnsi="仿宋" w:cs="仿宋" w:hint="eastAsia"/>
          <w:sz w:val="28"/>
          <w:szCs w:val="20"/>
        </w:rPr>
        <w:t>兼容国产信创系统</w:t>
      </w:r>
      <w:r>
        <w:rPr>
          <w:rFonts w:ascii="仿宋" w:eastAsia="仿宋" w:hAnsi="仿宋" w:cs="仿宋" w:hint="eastAsia"/>
          <w:sz w:val="28"/>
          <w:szCs w:val="20"/>
        </w:rPr>
        <w:t>，</w:t>
      </w:r>
      <w:r>
        <w:rPr>
          <w:rFonts w:ascii="仿宋" w:eastAsia="仿宋" w:hAnsi="仿宋" w:cs="仿宋" w:hint="eastAsia"/>
          <w:sz w:val="28"/>
          <w:szCs w:val="20"/>
        </w:rPr>
        <w:t>完全符合甲方相关要求和规范，保证其系统的兼容性和功能的完整性。</w:t>
      </w:r>
      <w:r>
        <w:rPr>
          <w:rFonts w:ascii="仿宋" w:eastAsia="仿宋" w:hAnsi="仿宋" w:cs="仿宋" w:hint="eastAsia"/>
          <w:sz w:val="28"/>
          <w:szCs w:val="20"/>
        </w:rPr>
        <w:t xml:space="preserve"> </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5"/>
        <w:gridCol w:w="2453"/>
        <w:gridCol w:w="780"/>
        <w:gridCol w:w="1084"/>
        <w:gridCol w:w="1236"/>
        <w:gridCol w:w="780"/>
        <w:gridCol w:w="175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气溶胶激光雷达（单波长双通道）</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4,000,000.00</w:t>
            </w:r>
          </w:p>
        </w:tc>
        <w:tc>
          <w:tcPr/>
          <w:p>
            <w:pPr>
              <w:autoSpaceDE w:val="0"/>
              <w:jc w:val="center"/>
              <w:rPr>
                <w:rFonts w:asciiTheme="minorEastAsia" w:hAnsiTheme="minorEastAsia" w:cstheme="minorEastAsia" w:hint="eastAsia"/>
                <w:kern w:val="0"/>
                <w:szCs w:val="21"/>
              </w:rPr>
            </w:pPr>
            <w:r>
              <w:t>60天</w:t>
            </w:r>
          </w:p>
        </w:tc>
        <w:tc>
          <w:tcPr/>
          <w:p>
            <w:pPr>
              <w:autoSpaceDE w:val="0"/>
              <w:autoSpaceDN w:val="0"/>
              <w:adjustRightInd w:val="0"/>
              <w:spacing w:before="48"/>
              <w:ind w:right="-20"/>
              <w:jc w:val="center"/>
              <w:rPr>
                <w:rFonts w:asciiTheme="minorEastAsia" w:hAnsiTheme="minorEastAsia" w:cstheme="minorEastAsia"/>
                <w:kern w:val="0"/>
                <w:szCs w:val="21"/>
              </w:rPr>
            </w:pPr>
            <w:r>
              <w:t>需包含8年维保、检定等</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87"/>
        <w:gridCol w:w="1564"/>
        <w:gridCol w:w="1997"/>
        <w:gridCol w:w="387"/>
        <w:gridCol w:w="882"/>
        <w:gridCol w:w="735"/>
        <w:gridCol w:w="1254"/>
        <w:gridCol w:w="131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常州市气象局(001040024)</w:t>
            </w:r>
          </w:p>
        </w:tc>
        <w:tc>
          <w:tcPr/>
          <w:p>
            <w:r>
              <w:t>气溶胶激光雷达（单波长双通道）</w:t>
            </w:r>
          </w:p>
        </w:tc>
        <w:tc>
          <w:tcPr/>
          <w:p>
            <w:r>
              <w:t>1</w:t>
            </w:r>
          </w:p>
        </w:tc>
        <w:tc>
          <w:tcPr/>
          <w:p>
            <w:r>
              <w:t>1000000.00</w:t>
            </w:r>
          </w:p>
        </w:tc>
        <w:tc>
          <w:tcPr/>
          <w:p>
            <w:r>
              <w:t xml:space="preserve">1000000.00  </w:t>
            </w:r>
          </w:p>
        </w:tc>
        <w:tc>
          <w:tcPr/>
          <w:p>
            <w:r>
              <w:t>常州市气象局</w:t>
            </w:r>
          </w:p>
        </w:tc>
        <w:tc>
          <w:tcPr/>
          <w:p>
            <w:r>
              <w:t>刘文伟；18912309630</w:t>
            </w:r>
          </w:p>
        </w:tc>
      </w:tr>
      <w:tr>
        <w:tblPrEx>
          <w:tblW w:w="5000" w:type="pct"/>
          <w:tblCellMar>
            <w:left w:w="108" w:type="dxa"/>
            <w:right w:w="108" w:type="dxa"/>
          </w:tblCellMar>
        </w:tblPrEx>
        <w:tc>
          <w:tcPr/>
          <w:p>
            <w:r>
              <w:t>2</w:t>
            </w:r>
          </w:p>
        </w:tc>
        <w:tc>
          <w:tcPr/>
          <w:p>
            <w:r>
              <w:t>如东县局(001040026011)</w:t>
            </w:r>
          </w:p>
        </w:tc>
        <w:tc>
          <w:tcPr/>
          <w:p>
            <w:r>
              <w:t>气溶胶激光雷达（单波长双通道）</w:t>
            </w:r>
          </w:p>
        </w:tc>
        <w:tc>
          <w:tcPr/>
          <w:p>
            <w:r>
              <w:t>1</w:t>
            </w:r>
          </w:p>
        </w:tc>
        <w:tc>
          <w:tcPr/>
          <w:p>
            <w:r>
              <w:t>1000000.00</w:t>
            </w:r>
          </w:p>
        </w:tc>
        <w:tc>
          <w:tcPr/>
          <w:p>
            <w:r>
              <w:t xml:space="preserve">1000000.00 </w:t>
            </w:r>
          </w:p>
        </w:tc>
        <w:tc>
          <w:tcPr/>
          <w:p>
            <w:r>
              <w:t>如东县气象局</w:t>
            </w:r>
          </w:p>
        </w:tc>
        <w:tc>
          <w:tcPr/>
          <w:p>
            <w:r>
              <w:t>周金磊；15996680876</w:t>
            </w:r>
          </w:p>
        </w:tc>
      </w:tr>
      <w:tr>
        <w:tblPrEx>
          <w:tblW w:w="5000" w:type="pct"/>
          <w:tblCellMar>
            <w:left w:w="108" w:type="dxa"/>
            <w:right w:w="108" w:type="dxa"/>
          </w:tblCellMar>
        </w:tblPrEx>
        <w:tc>
          <w:tcPr/>
          <w:p>
            <w:r>
              <w:t>3</w:t>
            </w:r>
          </w:p>
        </w:tc>
        <w:tc>
          <w:tcPr/>
          <w:p>
            <w:r>
              <w:t>扬州市气象局(001040030)</w:t>
            </w:r>
          </w:p>
        </w:tc>
        <w:tc>
          <w:tcPr/>
          <w:p>
            <w:r>
              <w:t>气溶胶激光雷达（单波长双通道）</w:t>
            </w:r>
          </w:p>
        </w:tc>
        <w:tc>
          <w:tcPr/>
          <w:p>
            <w:r>
              <w:t>1</w:t>
            </w:r>
          </w:p>
        </w:tc>
        <w:tc>
          <w:tcPr/>
          <w:p>
            <w:r>
              <w:t>1000000.00</w:t>
            </w:r>
          </w:p>
        </w:tc>
        <w:tc>
          <w:tcPr/>
          <w:p>
            <w:r>
              <w:t xml:space="preserve">1000000.00  </w:t>
            </w:r>
          </w:p>
        </w:tc>
        <w:tc>
          <w:tcPr/>
          <w:p>
            <w:r>
              <w:t>扬州市气象局</w:t>
            </w:r>
          </w:p>
        </w:tc>
        <w:tc>
          <w:tcPr/>
          <w:p>
            <w:r>
              <w:t>万仕全；13815805838</w:t>
            </w:r>
          </w:p>
        </w:tc>
      </w:tr>
      <w:tr>
        <w:tblPrEx>
          <w:tblW w:w="5000" w:type="pct"/>
          <w:tblCellMar>
            <w:left w:w="108" w:type="dxa"/>
            <w:right w:w="108" w:type="dxa"/>
          </w:tblCellMar>
        </w:tblPrEx>
        <w:tc>
          <w:tcPr/>
          <w:p>
            <w:r>
              <w:t>4</w:t>
            </w:r>
          </w:p>
        </w:tc>
        <w:tc>
          <w:tcPr/>
          <w:p>
            <w:r>
              <w:t>丹徒区局(001040031008)</w:t>
            </w:r>
          </w:p>
        </w:tc>
        <w:tc>
          <w:tcPr/>
          <w:p>
            <w:r>
              <w:t>气溶胶激光雷达（单波长双通道）</w:t>
            </w:r>
          </w:p>
        </w:tc>
        <w:tc>
          <w:tcPr/>
          <w:p>
            <w:r>
              <w:t>1</w:t>
            </w:r>
          </w:p>
        </w:tc>
        <w:tc>
          <w:tcPr/>
          <w:p>
            <w:r>
              <w:t>1000000.00</w:t>
            </w:r>
          </w:p>
        </w:tc>
        <w:tc>
          <w:tcPr/>
          <w:p>
            <w:r>
              <w:t xml:space="preserve">1000000.00 </w:t>
            </w:r>
          </w:p>
        </w:tc>
        <w:tc>
          <w:tcPr/>
          <w:p>
            <w:r>
              <w:t>镇江市丹徒区气象局</w:t>
            </w:r>
          </w:p>
        </w:tc>
        <w:tc>
          <w:tcPr/>
          <w:p>
            <w:r>
              <w:t>巫培源；13815178476</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DB5C23" w:rsidRPr="002F5310" w:rsidP="002F5310">
      <w:pPr>
        <w:spacing w:line="560" w:lineRule="exact"/>
        <w:jc w:val="center"/>
        <w:rPr>
          <w:rFonts w:ascii="仿宋" w:eastAsia="仿宋" w:hAnsi="仿宋" w:cs="仿宋" w:hint="eastAsia"/>
          <w:b/>
          <w:szCs w:val="32"/>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以下产品需要提供至投标截止日仍有效的《气象专用技术装备使用许可证》：气溶胶激光雷达（单波长双通道）</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b/>
                <w:color w:val="0000FF"/>
                <w:kern w:val="0"/>
                <w:sz w:val="18"/>
                <w:szCs w:val="18"/>
                <w:highlight w:val="none"/>
              </w:rPr>
              <w:t xml:space="preserve">        </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adjustRightInd w:val="0"/>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A8"/>
      </w:r>
      <w:r>
        <w:rPr>
          <w:rFonts w:ascii="宋体" w:hAnsi="宋体" w:hint="eastAsia"/>
          <w:szCs w:val="21"/>
          <w:highlight w:val="none"/>
        </w:rPr>
        <w:t>分期付款：合同价格及付款方式</w:t>
      </w:r>
    </w:p>
    <w:p>
      <w:pPr>
        <w:adjustRightInd w:val="0"/>
        <w:snapToGrid w:val="0"/>
        <w:spacing w:line="400" w:lineRule="exact"/>
        <w:ind w:firstLine="630" w:firstLineChars="300"/>
        <w:rPr>
          <w:rFonts w:ascii="宋体" w:hAnsi="宋体" w:hint="eastAsia"/>
          <w:szCs w:val="21"/>
          <w:highlight w:val="none"/>
        </w:rPr>
      </w:pPr>
      <w:r>
        <w:rPr>
          <w:rFonts w:ascii="宋体" w:hAnsi="宋体" w:hint="eastAsia"/>
          <w:szCs w:val="21"/>
          <w:highlight w:val="none"/>
          <w:lang w:val="en-US" w:eastAsia="zh-CN"/>
        </w:rPr>
        <w:t>a</w:t>
      </w:r>
      <w:r>
        <w:rPr>
          <w:rFonts w:ascii="宋体" w:hAnsi="宋体" w:hint="eastAsia"/>
          <w:szCs w:val="21"/>
          <w:highlight w:val="none"/>
        </w:rPr>
        <w:t>.合同总金额为人民币</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元</w:t>
      </w:r>
      <w:r>
        <w:rPr>
          <w:rFonts w:ascii="宋体" w:hAnsi="宋体" w:hint="eastAsia"/>
          <w:szCs w:val="21"/>
          <w:highlight w:val="none"/>
        </w:rPr>
        <w:t>整</w:t>
      </w:r>
      <w:r>
        <w:rPr>
          <w:rFonts w:ascii="宋体" w:hAnsi="宋体" w:hint="eastAsia"/>
          <w:szCs w:val="21"/>
          <w:highlight w:val="none"/>
          <w:lang w:eastAsia="zh-CN"/>
        </w:rPr>
        <w:t>（</w:t>
      </w:r>
      <w:r>
        <w:rPr>
          <w:rFonts w:ascii="宋体" w:hAnsi="宋体" w:hint="eastAsia"/>
          <w:szCs w:val="21"/>
          <w:highlight w:val="none"/>
        </w:rPr>
        <w:t>大写</w:t>
      </w:r>
      <w:r>
        <w:rPr>
          <w:rFonts w:ascii="宋体" w:hAnsi="宋体" w:hint="eastAsia"/>
          <w:szCs w:val="21"/>
          <w:highlight w:val="none"/>
          <w:lang w:eastAsia="zh-CN"/>
        </w:rPr>
        <w:t>）；</w:t>
      </w:r>
      <w:r>
        <w:rPr>
          <w:rFonts w:ascii="宋体" w:hAnsi="宋体" w:hint="eastAsia"/>
          <w:szCs w:val="21"/>
          <w:highlight w:val="none"/>
          <w:u w:val="single"/>
          <w:lang w:val="en-US" w:eastAsia="zh-CN"/>
        </w:rPr>
        <w:t xml:space="preserve">      </w:t>
      </w:r>
      <w:r>
        <w:rPr>
          <w:rFonts w:ascii="宋体" w:hAnsi="宋体" w:hint="eastAsia"/>
          <w:szCs w:val="21"/>
          <w:highlight w:val="none"/>
        </w:rPr>
        <w:t>元</w:t>
      </w:r>
      <w:r>
        <w:rPr>
          <w:rFonts w:ascii="宋体" w:hAnsi="宋体" w:hint="eastAsia"/>
          <w:szCs w:val="21"/>
          <w:highlight w:val="none"/>
          <w:lang w:eastAsia="zh-CN"/>
        </w:rPr>
        <w:t>（</w:t>
      </w:r>
      <w:r>
        <w:rPr>
          <w:rFonts w:ascii="宋体" w:hAnsi="宋体" w:hint="eastAsia"/>
          <w:szCs w:val="21"/>
          <w:highlight w:val="none"/>
        </w:rPr>
        <w:t>小写</w:t>
      </w:r>
      <w:r>
        <w:rPr>
          <w:rFonts w:ascii="宋体" w:hAnsi="宋体" w:hint="eastAsia"/>
          <w:szCs w:val="21"/>
          <w:highlight w:val="none"/>
          <w:lang w:eastAsia="zh-CN"/>
        </w:rPr>
        <w:t>）</w:t>
      </w:r>
      <w:r>
        <w:rPr>
          <w:rFonts w:ascii="宋体" w:hAnsi="宋体" w:hint="eastAsia"/>
          <w:szCs w:val="21"/>
          <w:highlight w:val="none"/>
        </w:rPr>
        <w:t>。</w:t>
      </w:r>
    </w:p>
    <w:p>
      <w:pPr>
        <w:adjustRightInd w:val="0"/>
        <w:snapToGrid w:val="0"/>
        <w:spacing w:line="400" w:lineRule="exact"/>
        <w:ind w:firstLine="630" w:firstLineChars="300"/>
        <w:rPr>
          <w:rFonts w:ascii="宋体" w:hAnsi="宋体" w:hint="eastAsia"/>
          <w:szCs w:val="21"/>
          <w:highlight w:val="none"/>
        </w:rPr>
      </w:pPr>
      <w:r>
        <w:rPr>
          <w:rFonts w:ascii="宋体" w:hAnsi="宋体" w:hint="eastAsia"/>
          <w:szCs w:val="21"/>
          <w:highlight w:val="none"/>
          <w:lang w:val="en-US" w:eastAsia="zh-CN"/>
        </w:rPr>
        <w:t>b</w:t>
      </w:r>
      <w:r>
        <w:rPr>
          <w:rFonts w:ascii="宋体" w:hAnsi="宋体" w:hint="eastAsia"/>
          <w:szCs w:val="21"/>
          <w:highlight w:val="none"/>
        </w:rPr>
        <w:t>.合同生效后付款</w:t>
      </w:r>
      <w:r>
        <w:rPr>
          <w:rFonts w:ascii="宋体" w:hAnsi="宋体" w:hint="eastAsia"/>
          <w:szCs w:val="21"/>
          <w:highlight w:val="none"/>
          <w:lang w:eastAsia="zh-CN"/>
        </w:rPr>
        <w:t>：</w:t>
      </w:r>
      <w:r>
        <w:rPr>
          <w:rFonts w:ascii="宋体" w:hAnsi="宋体" w:hint="eastAsia"/>
          <w:szCs w:val="21"/>
          <w:highlight w:val="none"/>
        </w:rPr>
        <w:t>双方签署合同后7个工作日内，乙方开具合同总金额</w:t>
      </w:r>
      <w:r>
        <w:rPr>
          <w:rFonts w:ascii="宋体" w:hAnsi="宋体" w:hint="eastAsia"/>
          <w:szCs w:val="21"/>
          <w:highlight w:val="none"/>
          <w:lang w:val="en-US" w:eastAsia="zh-CN"/>
        </w:rPr>
        <w:t>2</w:t>
      </w:r>
      <w:r>
        <w:rPr>
          <w:rFonts w:ascii="宋体" w:hAnsi="宋体" w:hint="eastAsia"/>
          <w:szCs w:val="21"/>
          <w:highlight w:val="none"/>
        </w:rPr>
        <w:t>0%增值税普通发票，甲方收到发票后向乙方支付合同总金额的</w:t>
      </w:r>
      <w:r>
        <w:rPr>
          <w:rFonts w:ascii="宋体" w:hAnsi="宋体" w:hint="eastAsia"/>
          <w:szCs w:val="21"/>
          <w:highlight w:val="none"/>
          <w:lang w:val="en-US" w:eastAsia="zh-CN"/>
        </w:rPr>
        <w:t>2</w:t>
      </w:r>
      <w:r>
        <w:rPr>
          <w:rFonts w:ascii="宋体" w:hAnsi="宋体" w:hint="eastAsia"/>
          <w:szCs w:val="21"/>
          <w:highlight w:val="none"/>
        </w:rPr>
        <w:t>0</w:t>
      </w:r>
      <w:r>
        <w:rPr>
          <w:rFonts w:ascii="宋体" w:hAnsi="宋体" w:hint="eastAsia"/>
          <w:szCs w:val="21"/>
          <w:highlight w:val="none"/>
          <w:lang w:val="en-US" w:eastAsia="zh-CN"/>
        </w:rPr>
        <w:t>%</w:t>
      </w:r>
      <w:r>
        <w:rPr>
          <w:rFonts w:ascii="宋体" w:hAnsi="宋体" w:hint="eastAsia"/>
          <w:szCs w:val="21"/>
          <w:highlight w:val="none"/>
        </w:rPr>
        <w:t>，即人民币</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元</w:t>
      </w:r>
      <w:r>
        <w:rPr>
          <w:rFonts w:ascii="宋体" w:hAnsi="宋体" w:hint="eastAsia"/>
          <w:szCs w:val="21"/>
          <w:highlight w:val="none"/>
        </w:rPr>
        <w:t>整</w:t>
      </w:r>
      <w:r>
        <w:rPr>
          <w:rFonts w:ascii="宋体" w:hAnsi="宋体" w:hint="eastAsia"/>
          <w:szCs w:val="21"/>
          <w:highlight w:val="none"/>
          <w:lang w:eastAsia="zh-CN"/>
        </w:rPr>
        <w:t>（</w:t>
      </w:r>
      <w:r>
        <w:rPr>
          <w:rFonts w:ascii="宋体" w:hAnsi="宋体" w:hint="eastAsia"/>
          <w:szCs w:val="21"/>
          <w:highlight w:val="none"/>
        </w:rPr>
        <w:t>大写</w:t>
      </w:r>
      <w:r>
        <w:rPr>
          <w:rFonts w:ascii="宋体" w:hAnsi="宋体" w:hint="eastAsia"/>
          <w:szCs w:val="21"/>
          <w:highlight w:val="none"/>
          <w:lang w:eastAsia="zh-CN"/>
        </w:rPr>
        <w:t>）；</w:t>
      </w:r>
      <w:r>
        <w:rPr>
          <w:rFonts w:ascii="宋体" w:hAnsi="宋体" w:hint="eastAsia"/>
          <w:szCs w:val="21"/>
          <w:highlight w:val="none"/>
          <w:u w:val="single"/>
          <w:lang w:val="en-US" w:eastAsia="zh-CN"/>
        </w:rPr>
        <w:t xml:space="preserve">    </w:t>
      </w:r>
      <w:r>
        <w:rPr>
          <w:rFonts w:ascii="宋体" w:hAnsi="宋体" w:hint="eastAsia"/>
          <w:szCs w:val="21"/>
          <w:highlight w:val="none"/>
        </w:rPr>
        <w:t>元</w:t>
      </w:r>
      <w:r>
        <w:rPr>
          <w:rFonts w:ascii="宋体" w:hAnsi="宋体" w:hint="eastAsia"/>
          <w:szCs w:val="21"/>
          <w:highlight w:val="none"/>
          <w:lang w:eastAsia="zh-CN"/>
        </w:rPr>
        <w:t>（</w:t>
      </w:r>
      <w:r>
        <w:rPr>
          <w:rFonts w:ascii="宋体" w:hAnsi="宋体" w:hint="eastAsia"/>
          <w:szCs w:val="21"/>
          <w:highlight w:val="none"/>
        </w:rPr>
        <w:t>小写</w:t>
      </w:r>
      <w:r>
        <w:rPr>
          <w:rFonts w:ascii="宋体" w:hAnsi="宋体" w:hint="eastAsia"/>
          <w:szCs w:val="21"/>
          <w:highlight w:val="none"/>
          <w:lang w:eastAsia="zh-CN"/>
        </w:rPr>
        <w:t>）</w:t>
      </w:r>
      <w:r>
        <w:rPr>
          <w:rFonts w:ascii="宋体" w:hAnsi="宋体" w:hint="eastAsia"/>
          <w:szCs w:val="21"/>
          <w:highlight w:val="none"/>
        </w:rPr>
        <w:t>。</w:t>
      </w:r>
    </w:p>
    <w:p>
      <w:pPr>
        <w:adjustRightInd w:val="0"/>
        <w:snapToGrid w:val="0"/>
        <w:spacing w:line="400" w:lineRule="exact"/>
        <w:ind w:firstLine="630" w:firstLineChars="300"/>
        <w:rPr>
          <w:rFonts w:ascii="宋体" w:hAnsi="宋体" w:hint="eastAsia"/>
          <w:szCs w:val="21"/>
          <w:highlight w:val="none"/>
        </w:rPr>
      </w:pPr>
      <w:r>
        <w:rPr>
          <w:rFonts w:ascii="宋体" w:hAnsi="宋体" w:hint="eastAsia"/>
          <w:szCs w:val="21"/>
          <w:highlight w:val="none"/>
          <w:lang w:val="en-US" w:eastAsia="zh-CN"/>
        </w:rPr>
        <w:t>c</w:t>
      </w:r>
      <w:r>
        <w:rPr>
          <w:rFonts w:ascii="宋体" w:hAnsi="宋体" w:hint="eastAsia"/>
          <w:szCs w:val="21"/>
          <w:highlight w:val="none"/>
        </w:rPr>
        <w:t>.出厂验收合格后付款</w:t>
      </w:r>
      <w:r>
        <w:rPr>
          <w:rFonts w:ascii="宋体" w:hAnsi="宋体" w:hint="eastAsia"/>
          <w:szCs w:val="21"/>
          <w:highlight w:val="none"/>
          <w:lang w:eastAsia="zh-CN"/>
        </w:rPr>
        <w:t>：</w:t>
      </w:r>
      <w:r>
        <w:rPr>
          <w:rFonts w:ascii="宋体" w:hAnsi="宋体" w:hint="eastAsia"/>
          <w:szCs w:val="21"/>
          <w:highlight w:val="none"/>
        </w:rPr>
        <w:t>雷达出厂验收合格</w:t>
      </w:r>
      <w:r>
        <w:rPr>
          <w:rFonts w:ascii="宋体" w:hAnsi="宋体" w:hint="eastAsia"/>
          <w:szCs w:val="21"/>
          <w:highlight w:val="none"/>
          <w:lang w:eastAsia="zh-CN"/>
        </w:rPr>
        <w:t>，</w:t>
      </w:r>
      <w:r>
        <w:rPr>
          <w:rFonts w:ascii="宋体" w:hAnsi="宋体" w:hint="eastAsia"/>
          <w:szCs w:val="21"/>
          <w:highlight w:val="none"/>
        </w:rPr>
        <w:t>签署验收报告后7个工作日内，乙方开具合同总金额30%增值税普通发票，甲方收到发票后向乙方支付合同总金额的30%，即人民币</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元</w:t>
      </w:r>
      <w:r>
        <w:rPr>
          <w:rFonts w:ascii="宋体" w:hAnsi="宋体" w:hint="eastAsia"/>
          <w:szCs w:val="21"/>
          <w:highlight w:val="none"/>
        </w:rPr>
        <w:t>整</w:t>
      </w:r>
      <w:r>
        <w:rPr>
          <w:rFonts w:ascii="宋体" w:hAnsi="宋体" w:hint="eastAsia"/>
          <w:szCs w:val="21"/>
          <w:highlight w:val="none"/>
          <w:lang w:eastAsia="zh-CN"/>
        </w:rPr>
        <w:t>（</w:t>
      </w:r>
      <w:r>
        <w:rPr>
          <w:rFonts w:ascii="宋体" w:hAnsi="宋体" w:hint="eastAsia"/>
          <w:szCs w:val="21"/>
          <w:highlight w:val="none"/>
        </w:rPr>
        <w:t>大写</w:t>
      </w:r>
      <w:r>
        <w:rPr>
          <w:rFonts w:ascii="宋体" w:hAnsi="宋体" w:hint="eastAsia"/>
          <w:szCs w:val="21"/>
          <w:highlight w:val="none"/>
          <w:lang w:eastAsia="zh-CN"/>
        </w:rPr>
        <w:t>）；</w:t>
      </w:r>
      <w:r>
        <w:rPr>
          <w:rFonts w:ascii="宋体" w:hAnsi="宋体" w:hint="eastAsia"/>
          <w:szCs w:val="21"/>
          <w:highlight w:val="none"/>
          <w:u w:val="single"/>
          <w:lang w:val="en-US" w:eastAsia="zh-CN"/>
        </w:rPr>
        <w:t xml:space="preserve">     </w:t>
      </w:r>
      <w:r>
        <w:rPr>
          <w:rFonts w:ascii="宋体" w:hAnsi="宋体" w:hint="eastAsia"/>
          <w:szCs w:val="21"/>
          <w:highlight w:val="none"/>
        </w:rPr>
        <w:t>元</w:t>
      </w:r>
      <w:r>
        <w:rPr>
          <w:rFonts w:ascii="宋体" w:hAnsi="宋体" w:hint="eastAsia"/>
          <w:szCs w:val="21"/>
          <w:highlight w:val="none"/>
          <w:lang w:eastAsia="zh-CN"/>
        </w:rPr>
        <w:t>（</w:t>
      </w:r>
      <w:r>
        <w:rPr>
          <w:rFonts w:ascii="宋体" w:hAnsi="宋体" w:hint="eastAsia"/>
          <w:szCs w:val="21"/>
          <w:highlight w:val="none"/>
        </w:rPr>
        <w:t>小写</w:t>
      </w:r>
      <w:r>
        <w:rPr>
          <w:rFonts w:ascii="宋体" w:hAnsi="宋体" w:hint="eastAsia"/>
          <w:szCs w:val="21"/>
          <w:highlight w:val="none"/>
          <w:lang w:eastAsia="zh-CN"/>
        </w:rPr>
        <w:t>）</w:t>
      </w:r>
      <w:r>
        <w:rPr>
          <w:rFonts w:ascii="宋体" w:hAnsi="宋体" w:hint="eastAsia"/>
          <w:szCs w:val="21"/>
          <w:highlight w:val="none"/>
        </w:rPr>
        <w:t>。</w:t>
      </w:r>
    </w:p>
    <w:p>
      <w:pPr>
        <w:adjustRightInd w:val="0"/>
        <w:snapToGrid w:val="0"/>
        <w:spacing w:line="400" w:lineRule="exact"/>
        <w:ind w:firstLine="630" w:firstLineChars="300"/>
        <w:rPr>
          <w:rFonts w:ascii="宋体" w:hAnsi="宋体" w:hint="eastAsia"/>
          <w:szCs w:val="21"/>
          <w:highlight w:val="none"/>
        </w:rPr>
      </w:pPr>
      <w:r>
        <w:rPr>
          <w:rFonts w:ascii="宋体" w:hAnsi="宋体" w:hint="eastAsia"/>
          <w:szCs w:val="21"/>
          <w:highlight w:val="none"/>
          <w:lang w:val="en-US" w:eastAsia="zh-CN"/>
        </w:rPr>
        <w:t>d.合同验收（含现场验收）合格</w:t>
      </w:r>
      <w:r>
        <w:rPr>
          <w:rFonts w:ascii="宋体" w:hAnsi="宋体" w:hint="eastAsia"/>
          <w:szCs w:val="21"/>
          <w:highlight w:val="none"/>
        </w:rPr>
        <w:t>后</w:t>
      </w:r>
      <w:r>
        <w:rPr>
          <w:rFonts w:ascii="宋体" w:hAnsi="宋体" w:hint="eastAsia"/>
          <w:szCs w:val="21"/>
          <w:highlight w:val="none"/>
          <w:lang w:val="en-US" w:eastAsia="zh-CN"/>
        </w:rPr>
        <w:t>付款：现场安装测试运行正常，现场、合同验收合格完成后</w:t>
      </w:r>
      <w:r>
        <w:rPr>
          <w:rFonts w:ascii="宋体" w:hAnsi="宋体" w:hint="eastAsia"/>
          <w:szCs w:val="21"/>
          <w:highlight w:val="none"/>
        </w:rPr>
        <w:t>7个工作日内乙方开具合同总金额30%增值税普通发票，甲方收到发票后向乙方支付合同总金额的30%，即人民币</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元</w:t>
      </w:r>
      <w:r>
        <w:rPr>
          <w:rFonts w:ascii="宋体" w:hAnsi="宋体" w:hint="eastAsia"/>
          <w:szCs w:val="21"/>
          <w:highlight w:val="none"/>
        </w:rPr>
        <w:t>整</w:t>
      </w:r>
      <w:r>
        <w:rPr>
          <w:rFonts w:ascii="宋体" w:hAnsi="宋体" w:hint="eastAsia"/>
          <w:szCs w:val="21"/>
          <w:highlight w:val="none"/>
          <w:lang w:eastAsia="zh-CN"/>
        </w:rPr>
        <w:t>（</w:t>
      </w:r>
      <w:r>
        <w:rPr>
          <w:rFonts w:ascii="宋体" w:hAnsi="宋体" w:hint="eastAsia"/>
          <w:szCs w:val="21"/>
          <w:highlight w:val="none"/>
        </w:rPr>
        <w:t>大写</w:t>
      </w:r>
      <w:r>
        <w:rPr>
          <w:rFonts w:ascii="宋体" w:hAnsi="宋体" w:hint="eastAsia"/>
          <w:szCs w:val="21"/>
          <w:highlight w:val="none"/>
          <w:lang w:eastAsia="zh-CN"/>
        </w:rPr>
        <w:t>）；</w:t>
      </w:r>
      <w:r>
        <w:rPr>
          <w:rFonts w:ascii="宋体" w:hAnsi="宋体" w:hint="eastAsia"/>
          <w:szCs w:val="21"/>
          <w:highlight w:val="none"/>
          <w:u w:val="single"/>
          <w:lang w:val="en-US" w:eastAsia="zh-CN"/>
        </w:rPr>
        <w:t xml:space="preserve">     </w:t>
      </w:r>
      <w:r>
        <w:rPr>
          <w:rFonts w:ascii="宋体" w:hAnsi="宋体" w:hint="eastAsia"/>
          <w:szCs w:val="21"/>
          <w:highlight w:val="none"/>
        </w:rPr>
        <w:t>元</w:t>
      </w:r>
      <w:r>
        <w:rPr>
          <w:rFonts w:ascii="宋体" w:hAnsi="宋体" w:hint="eastAsia"/>
          <w:szCs w:val="21"/>
          <w:highlight w:val="none"/>
          <w:lang w:eastAsia="zh-CN"/>
        </w:rPr>
        <w:t>（</w:t>
      </w:r>
      <w:r>
        <w:rPr>
          <w:rFonts w:ascii="宋体" w:hAnsi="宋体" w:hint="eastAsia"/>
          <w:szCs w:val="21"/>
          <w:highlight w:val="none"/>
        </w:rPr>
        <w:t>小写</w:t>
      </w:r>
      <w:r>
        <w:rPr>
          <w:rFonts w:ascii="宋体" w:hAnsi="宋体" w:hint="eastAsia"/>
          <w:szCs w:val="21"/>
          <w:highlight w:val="none"/>
          <w:lang w:eastAsia="zh-CN"/>
        </w:rPr>
        <w:t>）</w:t>
      </w:r>
      <w:r>
        <w:rPr>
          <w:rFonts w:ascii="宋体" w:hAnsi="宋体" w:hint="eastAsia"/>
          <w:szCs w:val="21"/>
          <w:highlight w:val="none"/>
        </w:rPr>
        <w:t>。</w:t>
      </w:r>
    </w:p>
    <w:p>
      <w:pPr>
        <w:adjustRightInd w:val="0"/>
        <w:snapToGrid w:val="0"/>
        <w:spacing w:line="400" w:lineRule="exact"/>
        <w:ind w:firstLine="630" w:firstLineChars="300"/>
        <w:rPr>
          <w:rFonts w:hint="eastAsia"/>
          <w:highlight w:val="none"/>
        </w:rPr>
      </w:pPr>
      <w:r>
        <w:rPr>
          <w:rFonts w:ascii="宋体" w:hAnsi="宋体" w:hint="eastAsia"/>
          <w:szCs w:val="21"/>
          <w:highlight w:val="none"/>
          <w:lang w:val="en-US" w:eastAsia="zh-CN"/>
        </w:rPr>
        <w:t>e</w:t>
      </w:r>
      <w:r>
        <w:rPr>
          <w:rFonts w:ascii="宋体" w:hAnsi="宋体" w:hint="eastAsia"/>
          <w:szCs w:val="21"/>
          <w:highlight w:val="none"/>
        </w:rPr>
        <w:t>.</w:t>
      </w:r>
      <w:r>
        <w:rPr>
          <w:rFonts w:ascii="宋体" w:hAnsi="宋体" w:hint="eastAsia"/>
          <w:szCs w:val="21"/>
          <w:highlight w:val="none"/>
          <w:lang w:val="en-US" w:eastAsia="zh-CN"/>
        </w:rPr>
        <w:t>业务</w:t>
      </w:r>
      <w:r>
        <w:rPr>
          <w:rFonts w:ascii="宋体" w:hAnsi="宋体" w:hint="eastAsia"/>
          <w:szCs w:val="21"/>
          <w:highlight w:val="none"/>
        </w:rPr>
        <w:t>验收合格后付款</w:t>
      </w:r>
      <w:r>
        <w:rPr>
          <w:rFonts w:ascii="宋体" w:hAnsi="宋体" w:hint="eastAsia"/>
          <w:szCs w:val="21"/>
          <w:highlight w:val="none"/>
          <w:lang w:eastAsia="zh-CN"/>
        </w:rPr>
        <w:t>：</w:t>
      </w:r>
      <w:r>
        <w:rPr>
          <w:rFonts w:ascii="宋体" w:hAnsi="宋体" w:hint="eastAsia"/>
          <w:szCs w:val="21"/>
          <w:highlight w:val="none"/>
        </w:rPr>
        <w:t>甲方出具</w:t>
      </w:r>
      <w:r>
        <w:rPr>
          <w:rFonts w:ascii="宋体" w:hAnsi="宋体" w:hint="eastAsia"/>
          <w:szCs w:val="21"/>
          <w:highlight w:val="none"/>
          <w:lang w:val="en-US" w:eastAsia="zh-CN"/>
        </w:rPr>
        <w:t>业务</w:t>
      </w:r>
      <w:r>
        <w:rPr>
          <w:rFonts w:ascii="宋体" w:hAnsi="宋体" w:hint="eastAsia"/>
          <w:szCs w:val="21"/>
          <w:highlight w:val="none"/>
        </w:rPr>
        <w:t>验收合格报告后，乙方向甲方提供有效期至质保期结束后的金额为合同总额5%的银行履约保函即人民币</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元</w:t>
      </w:r>
      <w:r>
        <w:rPr>
          <w:rFonts w:ascii="宋体" w:hAnsi="宋体" w:hint="eastAsia"/>
          <w:szCs w:val="21"/>
          <w:highlight w:val="none"/>
        </w:rPr>
        <w:t>整</w:t>
      </w:r>
      <w:r>
        <w:rPr>
          <w:rFonts w:ascii="宋体" w:hAnsi="宋体" w:hint="eastAsia"/>
          <w:szCs w:val="21"/>
          <w:highlight w:val="none"/>
          <w:lang w:eastAsia="zh-CN"/>
        </w:rPr>
        <w:t>（</w:t>
      </w:r>
      <w:r>
        <w:rPr>
          <w:rFonts w:ascii="宋体" w:hAnsi="宋体" w:hint="eastAsia"/>
          <w:szCs w:val="21"/>
          <w:highlight w:val="none"/>
        </w:rPr>
        <w:t>大写</w:t>
      </w:r>
      <w:r>
        <w:rPr>
          <w:rFonts w:ascii="宋体" w:hAnsi="宋体" w:hint="eastAsia"/>
          <w:szCs w:val="21"/>
          <w:highlight w:val="none"/>
          <w:lang w:eastAsia="zh-CN"/>
        </w:rPr>
        <w:t>）</w:t>
      </w:r>
      <w:r>
        <w:rPr>
          <w:rFonts w:ascii="宋体" w:hAnsi="宋体" w:hint="eastAsia"/>
          <w:szCs w:val="21"/>
          <w:highlight w:val="none"/>
        </w:rPr>
        <w:t>，</w:t>
      </w:r>
      <w:r>
        <w:rPr>
          <w:rFonts w:ascii="宋体" w:hAnsi="宋体" w:hint="eastAsia"/>
          <w:szCs w:val="21"/>
          <w:highlight w:val="none"/>
          <w:u w:val="single"/>
          <w:lang w:val="en-US" w:eastAsia="zh-CN"/>
        </w:rPr>
        <w:t xml:space="preserve">     </w:t>
      </w:r>
      <w:r>
        <w:rPr>
          <w:rFonts w:ascii="宋体" w:hAnsi="宋体" w:hint="eastAsia"/>
          <w:szCs w:val="21"/>
          <w:highlight w:val="none"/>
        </w:rPr>
        <w:t>元</w:t>
      </w:r>
      <w:r>
        <w:rPr>
          <w:rFonts w:ascii="宋体" w:hAnsi="宋体" w:hint="eastAsia"/>
          <w:szCs w:val="21"/>
          <w:highlight w:val="none"/>
          <w:lang w:eastAsia="zh-CN"/>
        </w:rPr>
        <w:t>（</w:t>
      </w:r>
      <w:r>
        <w:rPr>
          <w:rFonts w:ascii="宋体" w:hAnsi="宋体" w:hint="eastAsia"/>
          <w:szCs w:val="21"/>
          <w:highlight w:val="none"/>
        </w:rPr>
        <w:t>小写</w:t>
      </w:r>
      <w:r>
        <w:rPr>
          <w:rFonts w:ascii="宋体" w:hAnsi="宋体" w:hint="eastAsia"/>
          <w:szCs w:val="21"/>
          <w:highlight w:val="none"/>
          <w:lang w:eastAsia="zh-CN"/>
        </w:rPr>
        <w:t>）</w:t>
      </w:r>
      <w:r>
        <w:rPr>
          <w:rFonts w:ascii="宋体" w:hAnsi="宋体" w:hint="eastAsia"/>
          <w:szCs w:val="21"/>
          <w:highlight w:val="none"/>
        </w:rPr>
        <w:t>，甲方收到履约保函且资金到位后7个工作日内，乙方开具合同总金额20%增值税普通发票，甲方收到发票后向乙方支付合同总金额的20%，即人民币</w:t>
      </w:r>
      <w:r>
        <w:rPr>
          <w:rFonts w:ascii="宋体" w:hAnsi="宋体" w:hint="eastAsia"/>
          <w:szCs w:val="21"/>
          <w:highlight w:val="none"/>
          <w:u w:val="single"/>
          <w:lang w:val="en-US" w:eastAsia="zh-CN"/>
        </w:rPr>
        <w:t xml:space="preserve">      </w:t>
      </w:r>
      <w:r>
        <w:rPr>
          <w:rFonts w:ascii="宋体" w:hAnsi="宋体" w:hint="eastAsia"/>
          <w:szCs w:val="21"/>
          <w:highlight w:val="none"/>
          <w:lang w:val="en-US" w:eastAsia="zh-CN"/>
        </w:rPr>
        <w:t>元</w:t>
      </w:r>
      <w:r>
        <w:rPr>
          <w:rFonts w:ascii="宋体" w:hAnsi="宋体" w:hint="eastAsia"/>
          <w:szCs w:val="21"/>
          <w:highlight w:val="none"/>
        </w:rPr>
        <w:t>整</w:t>
      </w:r>
      <w:r>
        <w:rPr>
          <w:rFonts w:ascii="宋体" w:hAnsi="宋体" w:hint="eastAsia"/>
          <w:szCs w:val="21"/>
          <w:highlight w:val="none"/>
          <w:lang w:eastAsia="zh-CN"/>
        </w:rPr>
        <w:t>（</w:t>
      </w:r>
      <w:r>
        <w:rPr>
          <w:rFonts w:ascii="宋体" w:hAnsi="宋体" w:hint="eastAsia"/>
          <w:szCs w:val="21"/>
          <w:highlight w:val="none"/>
        </w:rPr>
        <w:t>大写</w:t>
      </w:r>
      <w:r>
        <w:rPr>
          <w:rFonts w:ascii="宋体" w:hAnsi="宋体" w:hint="eastAsia"/>
          <w:szCs w:val="21"/>
          <w:highlight w:val="none"/>
          <w:lang w:eastAsia="zh-CN"/>
        </w:rPr>
        <w:t>）；</w:t>
      </w:r>
      <w:r>
        <w:rPr>
          <w:rFonts w:ascii="宋体" w:hAnsi="宋体" w:hint="eastAsia"/>
          <w:szCs w:val="21"/>
          <w:highlight w:val="none"/>
          <w:u w:val="single"/>
          <w:lang w:val="en-US" w:eastAsia="zh-CN"/>
        </w:rPr>
        <w:t xml:space="preserve">      </w:t>
      </w:r>
      <w:r>
        <w:rPr>
          <w:rFonts w:ascii="宋体" w:hAnsi="宋体" w:hint="eastAsia"/>
          <w:szCs w:val="21"/>
          <w:highlight w:val="none"/>
        </w:rPr>
        <w:t>元</w:t>
      </w:r>
      <w:r>
        <w:rPr>
          <w:rFonts w:ascii="宋体" w:hAnsi="宋体" w:hint="eastAsia"/>
          <w:szCs w:val="21"/>
          <w:highlight w:val="none"/>
          <w:lang w:eastAsia="zh-CN"/>
        </w:rPr>
        <w:t>（</w:t>
      </w:r>
      <w:r>
        <w:rPr>
          <w:rFonts w:ascii="宋体" w:hAnsi="宋体" w:hint="eastAsia"/>
          <w:szCs w:val="21"/>
          <w:highlight w:val="none"/>
        </w:rPr>
        <w:t>小写</w:t>
      </w:r>
      <w:r>
        <w:rPr>
          <w:rFonts w:ascii="宋体" w:hAnsi="宋体" w:hint="eastAsia"/>
          <w:szCs w:val="21"/>
          <w:highlight w:val="none"/>
          <w:lang w:eastAsia="zh-CN"/>
        </w:rPr>
        <w:t>）</w:t>
      </w:r>
      <w:r>
        <w:rPr>
          <w:rFonts w:ascii="宋体" w:hAnsi="宋体" w:hint="eastAsia"/>
          <w:szCs w:val="21"/>
          <w:highlight w:val="none"/>
        </w:rPr>
        <w:t>。</w:t>
      </w:r>
      <w:r>
        <w:rPr>
          <w:rFonts w:ascii="宋体" w:hAnsi="宋体" w:hint="eastAsia"/>
          <w:szCs w:val="21"/>
          <w:highlight w:val="none"/>
          <w:lang w:eastAsia="zh-CN"/>
        </w:rPr>
        <w:t>（</w:t>
      </w:r>
      <w:r>
        <w:rPr>
          <w:rFonts w:ascii="宋体" w:hAnsi="宋体" w:hint="eastAsia"/>
          <w:szCs w:val="21"/>
          <w:highlight w:val="none"/>
          <w:lang w:val="en-US" w:eastAsia="zh-CN"/>
        </w:rPr>
        <w:t>注：银行履约保函到期后需及时更换新保函</w:t>
      </w:r>
      <w:r>
        <w:rPr>
          <w:rFonts w:ascii="宋体" w:hAnsi="宋体" w:hint="eastAsia"/>
          <w:szCs w:val="21"/>
          <w:highlight w:val="non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variable"/>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charset w:val="86"/>
    <w:family w:val="script"/>
    <w:pitch w:val="default"/>
    <w:sig w:usb0="00000000" w:usb1="00000000" w:usb2="00000000" w:usb3="00000000" w:csb0="00040000"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Verdana">
    <w:panose1 w:val="020B0604030504040204"/>
    <w:charset w:val="00"/>
    <w:family w:val="swiss"/>
    <w:pitch w:val="variable"/>
    <w:sig w:usb0="A10006FF" w:usb1="4000205B" w:usb2="00000010" w:usb3="00000000" w:csb0="0000019F" w:csb1="00000000"/>
  </w:font>
  <w:font w:name="方正黑体_GBK">
    <w:altName w:val="Microsoft YaHei UI"/>
    <w:charset w:val="86"/>
    <w:family w:val="auto"/>
    <w:pitch w:val="default"/>
    <w:sig w:usb0="00000000"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5310"/>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24F4"/>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C23"/>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20">
    <w:name w:val="2级"/>
    <w:basedOn w:val="Normal"/>
    <w:qFormat/>
    <w:pPr>
      <w:autoSpaceDE w:val="0"/>
      <w:autoSpaceDN w:val="0"/>
      <w:ind w:firstLine="140" w:firstLineChars="50"/>
      <w:jc w:val="left"/>
      <w:outlineLvl w:val="1"/>
    </w:pPr>
    <w:rPr>
      <w:rFonts w:eastAsia="黑体"/>
      <w:kern w:val="0"/>
      <w:sz w:val="28"/>
      <w:szCs w:val="28"/>
    </w:rPr>
  </w:style>
  <w:style w:type="paragraph" w:customStyle="1" w:styleId="a2">
    <w:name w:val="表头"/>
    <w:basedOn w:val="Normal"/>
    <w:qFormat/>
    <w:pPr>
      <w:spacing w:line="400" w:lineRule="exact"/>
      <w:jc w:val="center"/>
    </w:pPr>
    <w:rPr>
      <w:rFonts w:eastAsia="方正黑体_GBK"/>
      <w:b/>
      <w:szCs w:val="21"/>
    </w:rPr>
  </w:style>
  <w:style w:type="paragraph" w:customStyle="1" w:styleId="a3">
    <w:name w:val="表体"/>
    <w:basedOn w:val="Normal"/>
    <w:qFormat/>
    <w:pPr>
      <w:spacing w:line="320" w:lineRule="exact"/>
      <w:jc w:val="center"/>
    </w:pPr>
    <w:rPr>
      <w:rFonts w:eastAsia="方正仿宋"/>
      <w:szCs w:val="21"/>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