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2025年青海等7省生态观测站建设项目涡动梯度采购项目（重新招标）</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ZQCD-25409</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2025年11月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20"/>
        <w:outlineLvl w:val="3"/>
        <w:rPr>
          <w:rFonts w:ascii="宋体" w:eastAsia="宋体" w:hAnsi="宋体" w:cs="Times New Roman"/>
          <w:b/>
          <w:szCs w:val="21"/>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青海省气象科学研究所；江西省气象探测中心；浙江省大气探测技术保障中心；山东省德州市气象局；山西省气候中心；宁夏固原市气象局；新乡市气象局</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2025年青海等7省生态观测站建设项目涡动梯度采购项目（重新招标）</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ZQCD-25409</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合同签订后90天内交货，30天内完成安装调试并具备验收条件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青海省境内；山东省境内；浙江省境内；山西省境内；江西省境内；河南省境内；山东省境内</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2025年11月24日 00:00:00</w:t>
      </w:r>
      <w:bookmarkEnd w:id="26"/>
      <w:r>
        <w:rPr>
          <w:rFonts w:ascii="宋体" w:hint="eastAsia"/>
          <w:szCs w:val="21"/>
          <w:highlight w:val="none"/>
        </w:rPr>
        <w:t>至</w:t>
      </w:r>
      <w:bookmarkStart w:id="27" w:name="项目公告_signUpLastTime"/>
      <w:r>
        <w:rPr>
          <w:rFonts w:ascii="宋体" w:hint="eastAsia"/>
          <w:szCs w:val="21"/>
          <w:highlight w:val="none"/>
        </w:rPr>
        <w:t>2025年12月01日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2025年12月16日 14:30:00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北京市海淀区中关村南大街46号中国气象局北区8号楼4层404会议室，届时投标人的法定代表人或其授权的投标人授权代表可到场参加。</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杜建君</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58995155</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青海省气象科学研究所；江西省气象探测中心；浙江省大气探测技术保障中心；山东省德州市气象局；山西省气候中心；宁夏固原市气象局；新乡市气象局</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姬海娟</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0971-6151653</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青海省西宁市城西区五四大街19号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青海省气象科学研究所；江西省气象探测中心；浙江省大气探测技术保障中心；山东省德州市气象局；山西省气候中心；宁夏固原市气象局；新乡市气象局</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不允许（仅针对以下产品：涡动梯度观测系统不允许代理商投标）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必须，以下产品需要提供至投标截止日仍有效的《气象专用技术装备使用许可证》：通量观测仪（水，二氧化碳气体分析仪和三维超声风）</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（1）标的涡动梯度观测系统：    ，属于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是，中标服务费：8.1万元。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1,475.000000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1,475.000000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290"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5"/>
        <w:gridCol w:w="254"/>
        <w:gridCol w:w="1296"/>
        <w:gridCol w:w="254"/>
        <w:gridCol w:w="71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销售合同必须包括涡动梯度观测系统(产品名称)，每提供1份合同得1分，最多得5分。否则不得分。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针对本项目采购的涡动梯度观测系统（产品名称），</w:t>
              <w:cr/>
              <w:t>承诺每提前10天交货的得0.5分，最多得1分。否则不得分。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针对涡动梯度观测系统设备，每提供 1份用户证明材料得1分，最多得3分。否则不得分。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2、除项目经理外至少2人具有2年及以上相关工作经验的，得2分；为本项目派出的技术人员至少2人具有1年及以上相关工作经验的，得1分；其他不得分。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一档：未提供技术方案，或者投标产品综合技术性能不能满足采购文件要求。</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针对涡动梯度系统设备，测试报告应涵盖耐水耐尘、盐水喷雾、高低温等内容，每包含一项得1分，最多得3分。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rsidR="00A77B3E">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三、技术性能指标</w:t>
      </w:r>
    </w:p>
    <w:p>
      <w:pPr>
        <w:spacing w:line="560" w:lineRule="exact"/>
        <w:jc w:val="center"/>
        <w:rPr>
          <w:rFonts w:ascii="仿宋" w:eastAsia="仿宋" w:hAnsi="仿宋" w:cs="仿宋" w:hint="eastAsia"/>
          <w:b/>
          <w:bCs/>
          <w:sz w:val="28"/>
          <w:szCs w:val="20"/>
        </w:rPr>
      </w:pPr>
      <w:r>
        <w:rPr>
          <w:rFonts w:ascii="仿宋" w:eastAsia="仿宋" w:hAnsi="仿宋" w:cs="仿宋" w:hint="eastAsia"/>
          <w:b/>
          <w:bCs/>
          <w:sz w:val="28"/>
          <w:szCs w:val="20"/>
        </w:rPr>
        <w:t>技术性能指标</w:t>
      </w:r>
    </w:p>
    <w:tbl>
      <w:tblPr>
        <w:tblStyle w:val="TableNormal"/>
        <w:tblW w:w="512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680"/>
        <w:gridCol w:w="712"/>
        <w:gridCol w:w="853"/>
        <w:gridCol w:w="2001"/>
        <w:gridCol w:w="1984"/>
        <w:gridCol w:w="3058"/>
      </w:tblGrid>
      <w:tr>
        <w:tblPrEx>
          <w:tblW w:w="512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blHeader/>
          <w:jc w:val="center"/>
        </w:trPr>
        <w:tc>
          <w:tcPr>
            <w:tcW w:w="366" w:type="pct"/>
            <w:vAlign w:val="center"/>
          </w:tcPr>
          <w:p>
            <w:pPr>
              <w:jc w:val="center"/>
              <w:rPr>
                <w:rFonts w:ascii="仿宋" w:eastAsia="仿宋" w:hAnsi="仿宋" w:cs="仿宋" w:hint="eastAsia"/>
                <w:b/>
                <w:bCs/>
              </w:rPr>
            </w:pPr>
            <w:r>
              <w:rPr>
                <w:rFonts w:ascii="仿宋" w:eastAsia="仿宋" w:hAnsi="仿宋" w:cs="仿宋" w:hint="eastAsia"/>
                <w:b/>
                <w:bCs/>
                <w:sz w:val="24"/>
              </w:rPr>
              <w:t>序号</w:t>
            </w:r>
          </w:p>
        </w:tc>
        <w:tc>
          <w:tcPr>
            <w:tcW w:w="1919" w:type="pct"/>
            <w:gridSpan w:val="3"/>
            <w:vAlign w:val="center"/>
          </w:tcPr>
          <w:p>
            <w:pPr>
              <w:jc w:val="center"/>
              <w:rPr>
                <w:rFonts w:ascii="仿宋" w:eastAsia="仿宋" w:hAnsi="仿宋" w:cs="仿宋" w:hint="eastAsia"/>
                <w:b/>
                <w:bCs/>
              </w:rPr>
            </w:pPr>
            <w:r>
              <w:rPr>
                <w:rFonts w:ascii="仿宋" w:eastAsia="仿宋" w:hAnsi="仿宋" w:cs="仿宋" w:hint="eastAsia"/>
                <w:b/>
                <w:bCs/>
                <w:sz w:val="24"/>
              </w:rPr>
              <w:t>名称</w:t>
            </w:r>
          </w:p>
        </w:tc>
        <w:tc>
          <w:tcPr>
            <w:tcW w:w="2714" w:type="pct"/>
            <w:gridSpan w:val="2"/>
            <w:vAlign w:val="center"/>
          </w:tcPr>
          <w:p>
            <w:pPr>
              <w:jc w:val="center"/>
              <w:rPr>
                <w:rFonts w:ascii="仿宋" w:eastAsia="仿宋" w:hAnsi="仿宋" w:cs="仿宋" w:hint="eastAsia"/>
                <w:b/>
                <w:bCs/>
              </w:rPr>
            </w:pPr>
            <w:r>
              <w:rPr>
                <w:rFonts w:ascii="仿宋" w:eastAsia="仿宋" w:hAnsi="仿宋" w:cs="仿宋" w:hint="eastAsia"/>
                <w:b/>
                <w:bCs/>
                <w:sz w:val="24"/>
              </w:rPr>
              <w:t>技术要求</w:t>
            </w:r>
          </w:p>
        </w:tc>
      </w:tr>
      <w:tr>
        <w:tblPrEx>
          <w:tblW w:w="5125" w:type="pct"/>
          <w:jc w:val="center"/>
          <w:tblLayout w:type="fixed"/>
          <w:tblCellMar>
            <w:top w:w="0" w:type="dxa"/>
            <w:left w:w="108" w:type="dxa"/>
            <w:bottom w:w="0" w:type="dxa"/>
            <w:right w:w="108" w:type="dxa"/>
          </w:tblCellMar>
          <w:tblLook w:val="0000"/>
        </w:tblPrEx>
        <w:trPr>
          <w:trHeight w:val="2280"/>
          <w:jc w:val="center"/>
        </w:trPr>
        <w:tc>
          <w:tcPr>
            <w:tcW w:w="366" w:type="pct"/>
            <w:vMerge w:val="restart"/>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restart"/>
            <w:vAlign w:val="center"/>
          </w:tcPr>
          <w:p>
            <w:pPr>
              <w:rPr>
                <w:rFonts w:ascii="仿宋" w:eastAsia="仿宋" w:hAnsi="仿宋" w:cs="仿宋" w:hint="eastAsia"/>
              </w:rPr>
            </w:pPr>
            <w:r>
              <w:rPr>
                <w:rFonts w:ascii="仿宋" w:eastAsia="仿宋" w:hAnsi="仿宋" w:cs="仿宋" w:hint="eastAsia"/>
                <w:sz w:val="24"/>
              </w:rPr>
              <w:t>涡动梯度观测系统</w:t>
            </w:r>
          </w:p>
        </w:tc>
        <w:tc>
          <w:tcPr>
            <w:tcW w:w="459" w:type="pct"/>
            <w:vMerge w:val="restart"/>
            <w:vAlign w:val="center"/>
          </w:tcPr>
          <w:p>
            <w:pPr>
              <w:rPr>
                <w:rFonts w:ascii="仿宋" w:eastAsia="仿宋" w:hAnsi="仿宋" w:cs="仿宋" w:hint="eastAsia"/>
              </w:rPr>
            </w:pPr>
            <w:r>
              <w:rPr>
                <w:rFonts w:ascii="仿宋" w:eastAsia="仿宋" w:hAnsi="仿宋" w:cs="仿宋" w:hint="eastAsia"/>
                <w:sz w:val="24"/>
              </w:rPr>
              <w:t>通量观测仪(水、二氧化碳气体分析仪加三维超声风)</w:t>
            </w:r>
          </w:p>
        </w:tc>
        <w:tc>
          <w:tcPr>
            <w:tcW w:w="1076" w:type="pct"/>
            <w:vAlign w:val="center"/>
          </w:tcPr>
          <w:p>
            <w:pPr>
              <w:rPr>
                <w:rFonts w:ascii="仿宋" w:eastAsia="仿宋" w:hAnsi="仿宋" w:cs="仿宋" w:hint="eastAsia"/>
              </w:rPr>
            </w:pPr>
            <w:r>
              <w:rPr>
                <w:rFonts w:ascii="仿宋" w:eastAsia="仿宋" w:hAnsi="仿宋" w:cs="仿宋" w:hint="eastAsia"/>
                <w:sz w:val="24"/>
              </w:rPr>
              <w:t>采集系统</w:t>
            </w:r>
          </w:p>
        </w:tc>
        <w:tc>
          <w:tcPr>
            <w:tcW w:w="2714" w:type="pct"/>
            <w:gridSpan w:val="2"/>
            <w:vAlign w:val="center"/>
          </w:tcPr>
          <w:p>
            <w:pPr>
              <w:rPr>
                <w:rFonts w:ascii="仿宋" w:eastAsia="仿宋" w:hAnsi="仿宋" w:cs="仿宋" w:hint="eastAsia"/>
              </w:rPr>
            </w:pPr>
            <w:r>
              <w:rPr>
                <w:rFonts w:ascii="仿宋" w:eastAsia="仿宋" w:hAnsi="仿宋" w:cs="仿宋" w:hint="eastAsia"/>
                <w:sz w:val="24"/>
              </w:rPr>
              <w:t>有传感器信号防雷保护模块</w:t>
            </w:r>
          </w:p>
          <w:p>
            <w:pPr>
              <w:rPr>
                <w:rFonts w:ascii="仿宋" w:eastAsia="仿宋" w:hAnsi="仿宋" w:cs="仿宋" w:hint="eastAsia"/>
              </w:rPr>
            </w:pPr>
            <w:r>
              <w:rPr>
                <w:rFonts w:ascii="仿宋" w:eastAsia="仿宋" w:hAnsi="仿宋" w:cs="仿宋" w:hint="eastAsia"/>
                <w:sz w:val="24"/>
              </w:rPr>
              <w:t>有无线传输报文功能</w:t>
            </w:r>
          </w:p>
          <w:p>
            <w:pPr>
              <w:rPr>
                <w:rFonts w:ascii="仿宋" w:eastAsia="仿宋" w:hAnsi="仿宋" w:cs="仿宋" w:hint="eastAsia"/>
              </w:rPr>
            </w:pPr>
            <w:r>
              <w:rPr>
                <w:rFonts w:ascii="仿宋" w:eastAsia="仿宋" w:hAnsi="仿宋" w:cs="仿宋" w:hint="eastAsia"/>
                <w:sz w:val="24"/>
              </w:rPr>
              <w:t>在采集器内可保存高频数据文件、通量数据文件、状态监控与下垫面图片资料、温湿度气压传感器数据和系统状态信息（太阳能充电电压电流、蓄电池供电电压电流、门开关）</w:t>
            </w:r>
          </w:p>
          <w:p>
            <w:pPr>
              <w:rPr>
                <w:rFonts w:ascii="仿宋" w:eastAsia="仿宋" w:hAnsi="仿宋" w:cs="仿宋" w:hint="eastAsia"/>
              </w:rPr>
            </w:pPr>
            <w:r>
              <w:rPr>
                <w:rFonts w:ascii="仿宋" w:eastAsia="仿宋" w:hAnsi="仿宋" w:cs="仿宋" w:hint="eastAsia"/>
                <w:sz w:val="24"/>
              </w:rPr>
              <w:t>具有生成并上传需求书XML文件与图片的功能</w:t>
            </w:r>
          </w:p>
        </w:tc>
      </w:tr>
      <w:tr>
        <w:tblPrEx>
          <w:tblW w:w="5125" w:type="pct"/>
          <w:jc w:val="center"/>
          <w:tblLayout w:type="fixed"/>
          <w:tblCellMar>
            <w:top w:w="0" w:type="dxa"/>
            <w:left w:w="108" w:type="dxa"/>
            <w:bottom w:w="0" w:type="dxa"/>
            <w:right w:w="108" w:type="dxa"/>
          </w:tblCellMar>
          <w:tblLook w:val="0000"/>
        </w:tblPrEx>
        <w:trPr>
          <w:trHeight w:val="7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Align w:val="center"/>
          </w:tcPr>
          <w:p>
            <w:pPr>
              <w:rPr>
                <w:rFonts w:ascii="仿宋" w:eastAsia="仿宋" w:hAnsi="仿宋" w:cs="仿宋" w:hint="eastAsia"/>
              </w:rPr>
            </w:pPr>
            <w:r>
              <w:rPr>
                <w:rFonts w:ascii="仿宋" w:eastAsia="仿宋" w:hAnsi="仿宋" w:cs="仿宋" w:hint="eastAsia"/>
                <w:sz w:val="24"/>
              </w:rPr>
              <w:t>传感器</w:t>
            </w:r>
          </w:p>
        </w:tc>
        <w:tc>
          <w:tcPr>
            <w:tcW w:w="2714" w:type="pct"/>
            <w:gridSpan w:val="2"/>
            <w:vAlign w:val="center"/>
          </w:tcPr>
          <w:p>
            <w:pPr>
              <w:rPr>
                <w:rFonts w:ascii="仿宋" w:eastAsia="仿宋" w:hAnsi="仿宋" w:cs="仿宋" w:hint="eastAsia"/>
              </w:rPr>
            </w:pPr>
            <w:r>
              <w:rPr>
                <w:rFonts w:ascii="仿宋" w:eastAsia="仿宋" w:hAnsi="仿宋" w:cs="仿宋" w:hint="eastAsia"/>
                <w:sz w:val="24"/>
              </w:rPr>
              <w:t>包括：三维超声波风、二氧化碳和水汽气体分析仪、空气温度、空气湿度、气压、状态监控和下垫面传感器</w:t>
            </w:r>
          </w:p>
        </w:tc>
      </w:tr>
      <w:tr>
        <w:tblPrEx>
          <w:tblW w:w="5125" w:type="pct"/>
          <w:jc w:val="center"/>
          <w:tblLayout w:type="fixed"/>
          <w:tblCellMar>
            <w:top w:w="0" w:type="dxa"/>
            <w:left w:w="108" w:type="dxa"/>
            <w:bottom w:w="0" w:type="dxa"/>
            <w:right w:w="108" w:type="dxa"/>
          </w:tblCellMar>
          <w:tblLook w:val="0000"/>
        </w:tblPrEx>
        <w:trPr>
          <w:trHeight w:val="7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Align w:val="center"/>
          </w:tcPr>
          <w:p>
            <w:pPr>
              <w:rPr>
                <w:rFonts w:ascii="仿宋" w:eastAsia="仿宋" w:hAnsi="仿宋" w:cs="仿宋" w:hint="eastAsia"/>
              </w:rPr>
            </w:pPr>
            <w:r>
              <w:rPr>
                <w:rFonts w:ascii="仿宋" w:eastAsia="仿宋" w:hAnsi="仿宋" w:cs="仿宋" w:hint="eastAsia"/>
                <w:sz w:val="24"/>
              </w:rPr>
              <w:t>供电系统</w:t>
            </w:r>
          </w:p>
        </w:tc>
        <w:tc>
          <w:tcPr>
            <w:tcW w:w="2714" w:type="pct"/>
            <w:gridSpan w:val="2"/>
            <w:vAlign w:val="center"/>
          </w:tcPr>
          <w:p>
            <w:pPr>
              <w:rPr>
                <w:rFonts w:ascii="仿宋" w:eastAsia="仿宋" w:hAnsi="仿宋" w:cs="仿宋" w:hint="eastAsia"/>
              </w:rPr>
            </w:pPr>
            <w:r>
              <w:rPr>
                <w:rFonts w:ascii="仿宋" w:eastAsia="仿宋" w:hAnsi="仿宋" w:cs="仿宋" w:hint="eastAsia"/>
                <w:sz w:val="24"/>
              </w:rPr>
              <w:t>使用蓄电池和太阳能板完成系统供电，续航14天</w:t>
            </w:r>
          </w:p>
        </w:tc>
      </w:tr>
      <w:tr>
        <w:tblPrEx>
          <w:tblW w:w="5125" w:type="pct"/>
          <w:jc w:val="center"/>
          <w:tblLayout w:type="fixed"/>
          <w:tblCellMar>
            <w:top w:w="0" w:type="dxa"/>
            <w:left w:w="108" w:type="dxa"/>
            <w:bottom w:w="0" w:type="dxa"/>
            <w:right w:w="108" w:type="dxa"/>
          </w:tblCellMar>
          <w:tblLook w:val="0000"/>
        </w:tblPrEx>
        <w:trPr>
          <w:trHeight w:val="7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Align w:val="center"/>
          </w:tcPr>
          <w:p>
            <w:pPr>
              <w:rPr>
                <w:rFonts w:ascii="仿宋" w:eastAsia="仿宋" w:hAnsi="仿宋" w:cs="仿宋" w:hint="eastAsia"/>
              </w:rPr>
            </w:pPr>
            <w:r>
              <w:rPr>
                <w:rFonts w:ascii="仿宋" w:eastAsia="仿宋" w:hAnsi="仿宋" w:cs="仿宋" w:hint="eastAsia"/>
                <w:sz w:val="24"/>
              </w:rPr>
              <w:t>安装结构</w:t>
            </w:r>
          </w:p>
        </w:tc>
        <w:tc>
          <w:tcPr>
            <w:tcW w:w="2714" w:type="pct"/>
            <w:gridSpan w:val="2"/>
            <w:vAlign w:val="center"/>
          </w:tcPr>
          <w:p>
            <w:pPr>
              <w:rPr>
                <w:rFonts w:ascii="仿宋" w:eastAsia="仿宋" w:hAnsi="仿宋" w:cs="仿宋" w:hint="eastAsia"/>
              </w:rPr>
            </w:pPr>
            <w:r>
              <w:rPr>
                <w:rFonts w:ascii="仿宋" w:eastAsia="仿宋" w:hAnsi="仿宋" w:cs="仿宋" w:hint="eastAsia"/>
                <w:sz w:val="24"/>
              </w:rPr>
              <w:t>传感器安装于同一高度、配备采集系统和供电系统机箱</w:t>
            </w:r>
          </w:p>
        </w:tc>
      </w:tr>
      <w:tr>
        <w:tblPrEx>
          <w:tblW w:w="5125" w:type="pct"/>
          <w:jc w:val="center"/>
          <w:tblLayout w:type="fixed"/>
          <w:tblCellMar>
            <w:top w:w="0" w:type="dxa"/>
            <w:left w:w="108" w:type="dxa"/>
            <w:bottom w:w="0" w:type="dxa"/>
            <w:right w:w="108" w:type="dxa"/>
          </w:tblCellMar>
          <w:tblLook w:val="0000"/>
        </w:tblPrEx>
        <w:trPr>
          <w:trHeight w:val="7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Align w:val="center"/>
          </w:tcPr>
          <w:p>
            <w:pPr>
              <w:rPr>
                <w:rFonts w:ascii="仿宋" w:eastAsia="仿宋" w:hAnsi="仿宋" w:cs="仿宋" w:hint="eastAsia"/>
              </w:rPr>
            </w:pPr>
            <w:r>
              <w:rPr>
                <w:rFonts w:ascii="仿宋" w:eastAsia="仿宋" w:hAnsi="仿宋" w:cs="仿宋" w:hint="eastAsia"/>
                <w:sz w:val="24"/>
              </w:rPr>
              <w:t>配套线缆</w:t>
            </w:r>
          </w:p>
        </w:tc>
        <w:tc>
          <w:tcPr>
            <w:tcW w:w="2714" w:type="pct"/>
            <w:gridSpan w:val="2"/>
            <w:vAlign w:val="center"/>
          </w:tcPr>
          <w:p>
            <w:pPr>
              <w:rPr>
                <w:rFonts w:ascii="仿宋" w:eastAsia="仿宋" w:hAnsi="仿宋" w:cs="仿宋" w:hint="eastAsia"/>
              </w:rPr>
            </w:pPr>
            <w:r>
              <w:rPr>
                <w:rFonts w:ascii="仿宋" w:eastAsia="仿宋" w:hAnsi="仿宋" w:cs="仿宋" w:hint="eastAsia"/>
                <w:sz w:val="24"/>
              </w:rPr>
              <w:t>传感器线缆与供电线缆</w:t>
            </w:r>
          </w:p>
        </w:tc>
      </w:tr>
      <w:tr>
        <w:tblPrEx>
          <w:tblW w:w="5125" w:type="pct"/>
          <w:jc w:val="center"/>
          <w:tblLayout w:type="fixed"/>
          <w:tblCellMar>
            <w:top w:w="0" w:type="dxa"/>
            <w:left w:w="108" w:type="dxa"/>
            <w:bottom w:w="0" w:type="dxa"/>
            <w:right w:w="108" w:type="dxa"/>
          </w:tblCellMar>
          <w:tblLook w:val="0000"/>
        </w:tblPrEx>
        <w:trPr>
          <w:trHeight w:val="228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Align w:val="center"/>
          </w:tcPr>
          <w:p>
            <w:pPr>
              <w:rPr>
                <w:rFonts w:ascii="仿宋" w:eastAsia="仿宋" w:hAnsi="仿宋" w:cs="仿宋" w:hint="eastAsia"/>
              </w:rPr>
            </w:pPr>
            <w:r>
              <w:rPr>
                <w:rFonts w:ascii="仿宋" w:eastAsia="仿宋" w:hAnsi="仿宋" w:cs="仿宋" w:hint="eastAsia"/>
                <w:sz w:val="24"/>
              </w:rPr>
              <w:t>红外CO</w:t>
            </w:r>
            <w:r>
              <w:rPr>
                <w:rFonts w:ascii="仿宋" w:eastAsia="仿宋" w:hAnsi="仿宋" w:cs="仿宋" w:hint="eastAsia"/>
                <w:sz w:val="24"/>
                <w:vertAlign w:val="subscript"/>
              </w:rPr>
              <w:t>2</w:t>
            </w:r>
            <w:r>
              <w:rPr>
                <w:rFonts w:ascii="仿宋" w:eastAsia="仿宋" w:hAnsi="仿宋" w:cs="仿宋" w:hint="eastAsia"/>
                <w:sz w:val="24"/>
              </w:rPr>
              <w:t>/H</w:t>
            </w:r>
            <w:r>
              <w:rPr>
                <w:rFonts w:ascii="仿宋" w:eastAsia="仿宋" w:hAnsi="仿宋" w:cs="仿宋" w:hint="eastAsia"/>
                <w:sz w:val="24"/>
                <w:vertAlign w:val="subscript"/>
              </w:rPr>
              <w:t>2</w:t>
            </w:r>
            <w:r>
              <w:rPr>
                <w:rFonts w:ascii="仿宋" w:eastAsia="仿宋" w:hAnsi="仿宋" w:cs="仿宋" w:hint="eastAsia"/>
                <w:sz w:val="24"/>
              </w:rPr>
              <w:t>O分析仪</w:t>
            </w:r>
          </w:p>
        </w:tc>
        <w:tc>
          <w:tcPr>
            <w:tcW w:w="2714" w:type="pct"/>
            <w:gridSpan w:val="2"/>
            <w:vAlign w:val="center"/>
          </w:tcPr>
          <w:p>
            <w:pPr>
              <w:pStyle w:val="NormalWeb"/>
              <w:shd w:val="clear" w:color="auto" w:fill="FFFFFF"/>
              <w:spacing w:before="0" w:beforeAutospacing="0" w:after="0" w:afterAutospacing="0"/>
              <w:contextualSpacing/>
              <w:rPr>
                <w:rFonts w:ascii="仿宋" w:eastAsia="仿宋" w:hAnsi="仿宋" w:cs="仿宋" w:hint="eastAsia"/>
                <w:sz w:val="24"/>
                <w:szCs w:val="24"/>
                <w:highlight w:val="yellow"/>
              </w:rPr>
            </w:pPr>
            <w:r>
              <w:rPr>
                <w:rFonts w:ascii="仿宋" w:eastAsia="仿宋" w:hAnsi="仿宋" w:cs="仿宋" w:hint="eastAsia"/>
                <w:sz w:val="24"/>
                <w:szCs w:val="24"/>
                <w:highlight w:val="yellow"/>
              </w:rPr>
              <w:t>#测量范围：</w:t>
            </w:r>
          </w:p>
          <w:p>
            <w:pPr>
              <w:pStyle w:val="NormalWeb"/>
              <w:shd w:val="clear" w:color="auto" w:fill="FFFFFF"/>
              <w:spacing w:before="0" w:beforeAutospacing="0" w:after="0" w:afterAutospacing="0"/>
              <w:contextualSpacing/>
              <w:rPr>
                <w:rFonts w:ascii="仿宋" w:eastAsia="仿宋" w:hAnsi="仿宋" w:cs="仿宋" w:hint="eastAsia"/>
                <w:sz w:val="24"/>
                <w:szCs w:val="24"/>
                <w:highlight w:val="yellow"/>
              </w:rPr>
            </w:pPr>
            <w:r>
              <w:rPr>
                <w:rFonts w:ascii="仿宋" w:eastAsia="仿宋" w:hAnsi="仿宋" w:cs="仿宋" w:hint="eastAsia"/>
                <w:sz w:val="24"/>
                <w:szCs w:val="24"/>
                <w:highlight w:val="yellow"/>
              </w:rPr>
              <w:t>CO</w:t>
            </w:r>
            <w:r>
              <w:rPr>
                <w:rFonts w:ascii="仿宋" w:eastAsia="仿宋" w:hAnsi="仿宋" w:cs="仿宋" w:hint="eastAsia"/>
                <w:sz w:val="24"/>
                <w:szCs w:val="24"/>
                <w:highlight w:val="yellow"/>
                <w:vertAlign w:val="subscript"/>
              </w:rPr>
              <w:t>2</w:t>
            </w:r>
            <w:r>
              <w:rPr>
                <w:rFonts w:ascii="仿宋" w:eastAsia="仿宋" w:hAnsi="仿宋" w:cs="仿宋" w:hint="eastAsia"/>
                <w:sz w:val="24"/>
                <w:szCs w:val="24"/>
                <w:highlight w:val="yellow"/>
              </w:rPr>
              <w:t>浓度：0～1000</w:t>
            </w:r>
            <w:r>
              <w:rPr>
                <w:rFonts w:ascii="仿宋" w:eastAsia="仿宋" w:hAnsi="仿宋" w:cs="仿宋" w:hint="eastAsia"/>
                <w:sz w:val="24"/>
                <w:szCs w:val="24"/>
                <w:highlight w:val="yellow"/>
              </w:rPr>
              <w:t>μ</w:t>
            </w:r>
            <w:r>
              <w:rPr>
                <w:rFonts w:ascii="仿宋" w:eastAsia="仿宋" w:hAnsi="仿宋" w:cs="仿宋" w:hint="eastAsia"/>
                <w:sz w:val="24"/>
                <w:szCs w:val="24"/>
                <w:highlight w:val="yellow"/>
              </w:rPr>
              <w:t>mol/mol</w:t>
            </w:r>
          </w:p>
          <w:p>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highlight w:val="yellow"/>
              </w:rPr>
              <w:t>H</w:t>
            </w:r>
            <w:r>
              <w:rPr>
                <w:rFonts w:ascii="仿宋" w:eastAsia="仿宋" w:hAnsi="仿宋" w:cs="仿宋" w:hint="eastAsia"/>
                <w:sz w:val="24"/>
                <w:szCs w:val="24"/>
                <w:highlight w:val="yellow"/>
                <w:vertAlign w:val="subscript"/>
              </w:rPr>
              <w:t>2</w:t>
            </w:r>
            <w:r>
              <w:rPr>
                <w:rFonts w:ascii="仿宋" w:eastAsia="仿宋" w:hAnsi="仿宋" w:cs="仿宋" w:hint="eastAsia"/>
                <w:sz w:val="24"/>
                <w:szCs w:val="24"/>
                <w:highlight w:val="yellow"/>
              </w:rPr>
              <w:t>O浓度：0～72mmol/mol</w:t>
            </w:r>
          </w:p>
          <w:p>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rPr>
              <w:t>分辨力：</w:t>
            </w:r>
          </w:p>
          <w:p>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rPr>
              <w:t>CO</w:t>
            </w:r>
            <w:r>
              <w:rPr>
                <w:rFonts w:ascii="仿宋" w:eastAsia="仿宋" w:hAnsi="仿宋" w:cs="仿宋" w:hint="eastAsia"/>
                <w:sz w:val="24"/>
                <w:szCs w:val="24"/>
                <w:vertAlign w:val="subscript"/>
              </w:rPr>
              <w:t>2</w:t>
            </w:r>
            <w:r>
              <w:rPr>
                <w:rFonts w:ascii="仿宋" w:eastAsia="仿宋" w:hAnsi="仿宋" w:cs="仿宋" w:hint="eastAsia"/>
                <w:sz w:val="24"/>
                <w:szCs w:val="24"/>
              </w:rPr>
              <w:t>：0.15</w:t>
            </w:r>
            <w:r>
              <w:rPr>
                <w:rFonts w:ascii="仿宋" w:eastAsia="仿宋" w:hAnsi="仿宋" w:cs="仿宋" w:hint="eastAsia"/>
                <w:sz w:val="24"/>
                <w:szCs w:val="24"/>
              </w:rPr>
              <w:t>μ</w:t>
            </w:r>
            <w:r>
              <w:rPr>
                <w:rFonts w:ascii="仿宋" w:eastAsia="仿宋" w:hAnsi="仿宋" w:cs="仿宋" w:hint="eastAsia"/>
                <w:sz w:val="24"/>
                <w:szCs w:val="24"/>
              </w:rPr>
              <w:t>mol/mol，H</w:t>
            </w:r>
            <w:r>
              <w:rPr>
                <w:rFonts w:ascii="仿宋" w:eastAsia="仿宋" w:hAnsi="仿宋" w:cs="仿宋" w:hint="eastAsia"/>
                <w:sz w:val="24"/>
                <w:szCs w:val="24"/>
                <w:vertAlign w:val="subscript"/>
              </w:rPr>
              <w:t>2</w:t>
            </w:r>
            <w:r>
              <w:rPr>
                <w:rFonts w:ascii="仿宋" w:eastAsia="仿宋" w:hAnsi="仿宋" w:cs="仿宋" w:hint="eastAsia"/>
                <w:sz w:val="24"/>
                <w:szCs w:val="24"/>
              </w:rPr>
              <w:t>O：0.006mmol/mol</w:t>
            </w:r>
          </w:p>
          <w:p>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highlight w:val="yellow"/>
              </w:rPr>
              <w:t>#最大允许误差：CO</w:t>
            </w:r>
            <w:r>
              <w:rPr>
                <w:rFonts w:ascii="仿宋" w:eastAsia="仿宋" w:hAnsi="仿宋" w:cs="仿宋" w:hint="eastAsia"/>
                <w:sz w:val="24"/>
                <w:szCs w:val="24"/>
                <w:highlight w:val="yellow"/>
                <w:vertAlign w:val="subscript"/>
              </w:rPr>
              <w:t>2</w:t>
            </w:r>
            <w:r>
              <w:rPr>
                <w:rFonts w:ascii="仿宋" w:eastAsia="仿宋" w:hAnsi="仿宋" w:cs="仿宋" w:hint="eastAsia"/>
                <w:sz w:val="24"/>
                <w:szCs w:val="24"/>
                <w:highlight w:val="yellow"/>
              </w:rPr>
              <w:t>：1%，H</w:t>
            </w:r>
            <w:r>
              <w:rPr>
                <w:rFonts w:ascii="仿宋" w:eastAsia="仿宋" w:hAnsi="仿宋" w:cs="仿宋" w:hint="eastAsia"/>
                <w:sz w:val="24"/>
                <w:szCs w:val="24"/>
                <w:highlight w:val="yellow"/>
                <w:vertAlign w:val="subscript"/>
              </w:rPr>
              <w:t>2</w:t>
            </w:r>
            <w:r>
              <w:rPr>
                <w:rFonts w:ascii="仿宋" w:eastAsia="仿宋" w:hAnsi="仿宋" w:cs="仿宋" w:hint="eastAsia"/>
                <w:sz w:val="24"/>
                <w:szCs w:val="24"/>
                <w:highlight w:val="yellow"/>
              </w:rPr>
              <w:t>O：2%</w:t>
            </w:r>
          </w:p>
          <w:p>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rPr>
              <w:t>信号输出方式：数字型传感器</w:t>
            </w:r>
          </w:p>
          <w:p>
            <w:pPr>
              <w:pStyle w:val="NormalWeb"/>
              <w:shd w:val="clear" w:color="auto" w:fill="FFFFFF"/>
              <w:spacing w:before="0" w:beforeAutospacing="0" w:after="0" w:afterAutospacing="0"/>
              <w:contextualSpacing/>
              <w:rPr>
                <w:rFonts w:ascii="仿宋" w:eastAsia="仿宋" w:hAnsi="仿宋" w:cs="仿宋" w:hint="eastAsia"/>
                <w:b/>
                <w:bCs/>
                <w:sz w:val="24"/>
                <w:szCs w:val="24"/>
                <w:highlight w:val="green"/>
              </w:rPr>
            </w:pPr>
            <w:r>
              <w:rPr>
                <w:rFonts w:ascii="仿宋" w:eastAsia="仿宋" w:hAnsi="仿宋" w:cs="仿宋" w:hint="eastAsia"/>
                <w:sz w:val="24"/>
                <w:szCs w:val="24"/>
              </w:rPr>
              <w:t>接口标准：SDM/RS485</w:t>
            </w:r>
          </w:p>
        </w:tc>
      </w:tr>
      <w:tr>
        <w:tblPrEx>
          <w:tblW w:w="5125" w:type="pct"/>
          <w:jc w:val="center"/>
          <w:tblLayout w:type="fixed"/>
          <w:tblCellMar>
            <w:top w:w="0" w:type="dxa"/>
            <w:left w:w="108" w:type="dxa"/>
            <w:bottom w:w="0" w:type="dxa"/>
            <w:right w:w="108" w:type="dxa"/>
          </w:tblCellMar>
          <w:tblLook w:val="0000"/>
        </w:tblPrEx>
        <w:trPr>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Align w:val="center"/>
          </w:tcPr>
          <w:p>
            <w:pPr>
              <w:rPr>
                <w:rFonts w:ascii="仿宋" w:eastAsia="仿宋" w:hAnsi="仿宋" w:cs="仿宋" w:hint="eastAsia"/>
              </w:rPr>
            </w:pPr>
            <w:r>
              <w:rPr>
                <w:rFonts w:ascii="仿宋" w:eastAsia="仿宋" w:hAnsi="仿宋" w:cs="仿宋" w:hint="eastAsia"/>
                <w:sz w:val="24"/>
              </w:rPr>
              <w:t>三维超声风传感器</w:t>
            </w:r>
          </w:p>
        </w:tc>
        <w:tc>
          <w:tcPr>
            <w:tcW w:w="2714" w:type="pct"/>
            <w:gridSpan w:val="2"/>
            <w:vAlign w:val="center"/>
          </w:tcPr>
          <w:p>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rPr>
              <w:t>测量范围：Ux风速：</w:t>
            </w:r>
            <w:r>
              <w:rPr>
                <w:rFonts w:ascii="仿宋" w:eastAsia="仿宋" w:hAnsi="仿宋" w:cs="仿宋" w:hint="eastAsia"/>
                <w:sz w:val="24"/>
                <w:szCs w:val="24"/>
              </w:rPr>
              <w:t>±</w:t>
            </w:r>
            <w:r>
              <w:rPr>
                <w:rFonts w:ascii="仿宋" w:eastAsia="仿宋" w:hAnsi="仿宋" w:cs="仿宋" w:hint="eastAsia"/>
                <w:sz w:val="24"/>
                <w:szCs w:val="24"/>
              </w:rPr>
              <w:t>60m/s，Uy风速：</w:t>
            </w:r>
            <w:r>
              <w:rPr>
                <w:rFonts w:ascii="仿宋" w:eastAsia="仿宋" w:hAnsi="仿宋" w:cs="仿宋" w:hint="eastAsia"/>
                <w:sz w:val="24"/>
                <w:szCs w:val="24"/>
              </w:rPr>
              <w:t>±</w:t>
            </w:r>
            <w:r>
              <w:rPr>
                <w:rFonts w:ascii="仿宋" w:eastAsia="仿宋" w:hAnsi="仿宋" w:cs="仿宋" w:hint="eastAsia"/>
                <w:sz w:val="24"/>
                <w:szCs w:val="24"/>
              </w:rPr>
              <w:t>60m/s，Uz风速：</w:t>
            </w:r>
            <w:r>
              <w:rPr>
                <w:rFonts w:ascii="仿宋" w:eastAsia="仿宋" w:hAnsi="仿宋" w:cs="仿宋" w:hint="eastAsia"/>
                <w:sz w:val="24"/>
                <w:szCs w:val="24"/>
              </w:rPr>
              <w:t>±</w:t>
            </w:r>
            <w:r>
              <w:rPr>
                <w:rFonts w:ascii="仿宋" w:eastAsia="仿宋" w:hAnsi="仿宋" w:cs="仿宋" w:hint="eastAsia"/>
                <w:sz w:val="24"/>
                <w:szCs w:val="24"/>
              </w:rPr>
              <w:t>8m/s</w:t>
            </w:r>
          </w:p>
          <w:p>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rPr>
              <w:t>分辨力：0.1m/s</w:t>
            </w:r>
          </w:p>
          <w:p>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highlight w:val="yellow"/>
              </w:rPr>
              <w:t>#最大允许误差：</w:t>
            </w:r>
            <w:r>
              <w:rPr>
                <w:rFonts w:ascii="仿宋" w:eastAsia="仿宋" w:hAnsi="仿宋" w:cs="仿宋" w:hint="eastAsia"/>
                <w:sz w:val="24"/>
                <w:szCs w:val="24"/>
                <w:highlight w:val="yellow"/>
              </w:rPr>
              <w:t>±</w:t>
            </w:r>
            <w:r>
              <w:rPr>
                <w:rFonts w:ascii="仿宋" w:eastAsia="仿宋" w:hAnsi="仿宋" w:cs="仿宋" w:hint="eastAsia"/>
                <w:sz w:val="24"/>
                <w:szCs w:val="24"/>
                <w:highlight w:val="yellow"/>
              </w:rPr>
              <w:t>3%</w:t>
            </w:r>
          </w:p>
          <w:p>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rPr>
              <w:t>信号输出方式：数字型传感器</w:t>
            </w:r>
          </w:p>
          <w:p>
            <w:pPr>
              <w:rPr>
                <w:rFonts w:ascii="仿宋" w:eastAsia="仿宋" w:hAnsi="仿宋" w:cs="仿宋" w:hint="eastAsia"/>
              </w:rPr>
            </w:pPr>
            <w:r>
              <w:rPr>
                <w:rFonts w:ascii="仿宋" w:eastAsia="仿宋" w:hAnsi="仿宋" w:cs="仿宋" w:hint="eastAsia"/>
                <w:sz w:val="24"/>
              </w:rPr>
              <w:t>接口标准：SDM/RS485</w:t>
            </w:r>
          </w:p>
        </w:tc>
      </w:tr>
      <w:tr>
        <w:tblPrEx>
          <w:tblW w:w="5125" w:type="pct"/>
          <w:jc w:val="center"/>
          <w:tblLayout w:type="fixed"/>
          <w:tblCellMar>
            <w:top w:w="0" w:type="dxa"/>
            <w:left w:w="108" w:type="dxa"/>
            <w:bottom w:w="0" w:type="dxa"/>
            <w:right w:w="108" w:type="dxa"/>
          </w:tblCellMar>
          <w:tblLook w:val="0000"/>
        </w:tblPrEx>
        <w:trPr>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Align w:val="center"/>
          </w:tcPr>
          <w:p>
            <w:pPr>
              <w:rPr>
                <w:rFonts w:ascii="仿宋" w:eastAsia="仿宋" w:hAnsi="仿宋" w:cs="仿宋" w:hint="eastAsia"/>
              </w:rPr>
            </w:pPr>
            <w:r>
              <w:rPr>
                <w:rFonts w:ascii="仿宋" w:eastAsia="仿宋" w:hAnsi="仿宋" w:cs="仿宋" w:hint="eastAsia"/>
                <w:sz w:val="24"/>
              </w:rPr>
              <w:t>气压传感器</w:t>
            </w:r>
          </w:p>
        </w:tc>
        <w:tc>
          <w:tcPr>
            <w:tcW w:w="2714" w:type="pct"/>
            <w:gridSpan w:val="2"/>
            <w:vAlign w:val="center"/>
          </w:tcPr>
          <w:p>
            <w:pPr>
              <w:rPr>
                <w:rFonts w:ascii="仿宋" w:eastAsia="仿宋" w:hAnsi="仿宋" w:cs="仿宋" w:hint="eastAsia"/>
              </w:rPr>
            </w:pPr>
            <w:r>
              <w:rPr>
                <w:rFonts w:ascii="仿宋" w:eastAsia="仿宋" w:hAnsi="仿宋" w:cs="仿宋" w:hint="eastAsia"/>
                <w:sz w:val="24"/>
              </w:rPr>
              <w:t>测量范围：500hPa～1100hPa</w:t>
            </w:r>
          </w:p>
          <w:p>
            <w:pPr>
              <w:rPr>
                <w:rFonts w:ascii="仿宋" w:eastAsia="仿宋" w:hAnsi="仿宋" w:cs="仿宋" w:hint="eastAsia"/>
                <w:highlight w:val="yellow"/>
              </w:rPr>
            </w:pPr>
            <w:r>
              <w:rPr>
                <w:rFonts w:ascii="仿宋" w:eastAsia="仿宋" w:hAnsi="仿宋" w:cs="仿宋" w:hint="eastAsia"/>
                <w:sz w:val="24"/>
              </w:rPr>
              <w:t>分辨力：0.1hP</w:t>
            </w:r>
          </w:p>
          <w:p>
            <w:pPr>
              <w:rPr>
                <w:rFonts w:ascii="仿宋" w:eastAsia="仿宋" w:hAnsi="仿宋" w:cs="仿宋" w:hint="eastAsia"/>
              </w:rPr>
            </w:pPr>
            <w:r>
              <w:rPr>
                <w:rFonts w:ascii="仿宋" w:eastAsia="仿宋" w:hAnsi="仿宋" w:cs="仿宋" w:hint="eastAsia"/>
                <w:sz w:val="24"/>
                <w:highlight w:val="yellow"/>
              </w:rPr>
              <w:t>#最大允许误差：</w:t>
            </w:r>
            <w:r>
              <w:rPr>
                <w:rFonts w:ascii="仿宋" w:eastAsia="仿宋" w:hAnsi="仿宋" w:cs="仿宋" w:hint="eastAsia"/>
                <w:sz w:val="24"/>
                <w:highlight w:val="yellow"/>
              </w:rPr>
              <w:t>±</w:t>
            </w:r>
            <w:r>
              <w:rPr>
                <w:rFonts w:ascii="仿宋" w:eastAsia="仿宋" w:hAnsi="仿宋" w:cs="仿宋" w:hint="eastAsia"/>
                <w:sz w:val="24"/>
                <w:highlight w:val="yellow"/>
              </w:rPr>
              <w:t>0.3hPa</w:t>
            </w:r>
          </w:p>
          <w:p>
            <w:pPr>
              <w:rPr>
                <w:rFonts w:ascii="仿宋" w:eastAsia="仿宋" w:hAnsi="仿宋" w:cs="仿宋" w:hint="eastAsia"/>
              </w:rPr>
            </w:pPr>
            <w:r>
              <w:rPr>
                <w:rFonts w:ascii="仿宋" w:eastAsia="仿宋" w:hAnsi="仿宋" w:cs="仿宋" w:hint="eastAsia"/>
                <w:sz w:val="24"/>
              </w:rPr>
              <w:t>信号输出方式：数字型传感器</w:t>
            </w:r>
          </w:p>
          <w:p>
            <w:pPr>
              <w:rPr>
                <w:rFonts w:ascii="仿宋" w:eastAsia="仿宋" w:hAnsi="仿宋" w:cs="仿宋" w:hint="eastAsia"/>
              </w:rPr>
            </w:pPr>
            <w:r>
              <w:rPr>
                <w:rFonts w:ascii="仿宋" w:eastAsia="仿宋" w:hAnsi="仿宋" w:cs="仿宋" w:hint="eastAsia"/>
                <w:sz w:val="24"/>
              </w:rPr>
              <w:t>接口标准：SDM/RSRS232</w:t>
            </w:r>
          </w:p>
        </w:tc>
      </w:tr>
      <w:tr>
        <w:tblPrEx>
          <w:tblW w:w="5125" w:type="pct"/>
          <w:jc w:val="center"/>
          <w:tblLayout w:type="fixed"/>
          <w:tblCellMar>
            <w:top w:w="0" w:type="dxa"/>
            <w:left w:w="108" w:type="dxa"/>
            <w:bottom w:w="0" w:type="dxa"/>
            <w:right w:w="108" w:type="dxa"/>
          </w:tblCellMar>
          <w:tblLook w:val="0000"/>
        </w:tblPrEx>
        <w:trPr>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Align w:val="center"/>
          </w:tcPr>
          <w:p>
            <w:pPr>
              <w:rPr>
                <w:rFonts w:ascii="仿宋" w:eastAsia="仿宋" w:hAnsi="仿宋" w:cs="仿宋" w:hint="eastAsia"/>
              </w:rPr>
            </w:pPr>
            <w:r>
              <w:rPr>
                <w:rFonts w:ascii="仿宋" w:eastAsia="仿宋" w:hAnsi="仿宋" w:cs="仿宋" w:hint="eastAsia"/>
                <w:sz w:val="24"/>
              </w:rPr>
              <w:t>空气温湿度传感器</w:t>
            </w:r>
          </w:p>
        </w:tc>
        <w:tc>
          <w:tcPr>
            <w:tcW w:w="2714" w:type="pct"/>
            <w:gridSpan w:val="2"/>
            <w:vAlign w:val="center"/>
          </w:tcPr>
          <w:p>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rPr>
              <w:t>测量范围：气温：－50</w:t>
            </w:r>
            <w:r>
              <w:rPr>
                <w:rFonts w:ascii="仿宋" w:eastAsia="仿宋" w:hAnsi="仿宋" w:cs="仿宋" w:hint="eastAsia"/>
                <w:sz w:val="24"/>
                <w:szCs w:val="24"/>
              </w:rPr>
              <w:t>℃</w:t>
            </w:r>
            <w:r>
              <w:rPr>
                <w:rFonts w:ascii="仿宋" w:eastAsia="仿宋" w:hAnsi="仿宋" w:cs="仿宋" w:hint="eastAsia"/>
                <w:sz w:val="24"/>
                <w:szCs w:val="24"/>
              </w:rPr>
              <w:t>～50</w:t>
            </w:r>
            <w:r>
              <w:rPr>
                <w:rFonts w:ascii="仿宋" w:eastAsia="仿宋" w:hAnsi="仿宋" w:cs="仿宋" w:hint="eastAsia"/>
                <w:sz w:val="24"/>
                <w:szCs w:val="24"/>
              </w:rPr>
              <w:t>℃</w:t>
            </w:r>
            <w:r>
              <w:rPr>
                <w:rFonts w:ascii="仿宋" w:eastAsia="仿宋" w:hAnsi="仿宋" w:cs="仿宋" w:hint="eastAsia"/>
                <w:sz w:val="24"/>
                <w:szCs w:val="24"/>
              </w:rPr>
              <w:t>，相对湿度：0%～100%</w:t>
            </w:r>
          </w:p>
          <w:p>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rPr>
              <w:t>分辨力：气温：0.1</w:t>
            </w:r>
            <w:r>
              <w:rPr>
                <w:rFonts w:ascii="仿宋" w:eastAsia="仿宋" w:hAnsi="仿宋" w:cs="仿宋" w:hint="eastAsia"/>
                <w:sz w:val="24"/>
                <w:szCs w:val="24"/>
              </w:rPr>
              <w:t>℃</w:t>
            </w:r>
            <w:r>
              <w:rPr>
                <w:rFonts w:ascii="仿宋" w:eastAsia="仿宋" w:hAnsi="仿宋" w:cs="仿宋" w:hint="eastAsia"/>
                <w:sz w:val="24"/>
                <w:szCs w:val="24"/>
              </w:rPr>
              <w:t>，相对湿度：1%</w:t>
            </w:r>
          </w:p>
          <w:p>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highlight w:val="yellow"/>
              </w:rPr>
              <w:t>#最大允许误差：气温：</w:t>
            </w:r>
            <w:r>
              <w:rPr>
                <w:rFonts w:ascii="仿宋" w:eastAsia="仿宋" w:hAnsi="仿宋" w:cs="仿宋" w:hint="eastAsia"/>
                <w:sz w:val="24"/>
                <w:szCs w:val="24"/>
                <w:highlight w:val="yellow"/>
              </w:rPr>
              <w:t>±</w:t>
            </w:r>
            <w:r>
              <w:rPr>
                <w:rFonts w:ascii="仿宋" w:eastAsia="仿宋" w:hAnsi="仿宋" w:cs="仿宋" w:hint="eastAsia"/>
                <w:sz w:val="24"/>
                <w:szCs w:val="24"/>
                <w:highlight w:val="yellow"/>
              </w:rPr>
              <w:t>0.2</w:t>
            </w:r>
            <w:r>
              <w:rPr>
                <w:rFonts w:ascii="仿宋" w:eastAsia="仿宋" w:hAnsi="仿宋" w:cs="仿宋" w:hint="eastAsia"/>
                <w:sz w:val="24"/>
                <w:szCs w:val="24"/>
                <w:highlight w:val="yellow"/>
              </w:rPr>
              <w:t>℃</w:t>
            </w:r>
            <w:r>
              <w:rPr>
                <w:rFonts w:ascii="仿宋" w:eastAsia="仿宋" w:hAnsi="仿宋" w:cs="仿宋" w:hint="eastAsia"/>
                <w:sz w:val="24"/>
                <w:szCs w:val="24"/>
                <w:highlight w:val="yellow"/>
              </w:rPr>
              <w:t>，相对湿度：</w:t>
            </w:r>
            <w:r>
              <w:rPr>
                <w:rFonts w:ascii="仿宋" w:eastAsia="仿宋" w:hAnsi="仿宋" w:cs="仿宋" w:hint="eastAsia"/>
                <w:sz w:val="24"/>
                <w:szCs w:val="24"/>
                <w:highlight w:val="yellow"/>
              </w:rPr>
              <w:t>±</w:t>
            </w:r>
            <w:r>
              <w:rPr>
                <w:rFonts w:ascii="仿宋" w:eastAsia="仿宋" w:hAnsi="仿宋" w:cs="仿宋" w:hint="eastAsia"/>
                <w:sz w:val="24"/>
                <w:szCs w:val="24"/>
                <w:highlight w:val="yellow"/>
              </w:rPr>
              <w:t>3%（</w:t>
            </w:r>
            <w:r>
              <w:rPr>
                <w:rFonts w:ascii="仿宋" w:eastAsia="仿宋" w:hAnsi="仿宋" w:cs="仿宋" w:hint="eastAsia"/>
                <w:sz w:val="24"/>
                <w:szCs w:val="24"/>
                <w:highlight w:val="yellow"/>
              </w:rPr>
              <w:t>≤</w:t>
            </w:r>
            <w:r>
              <w:rPr>
                <w:rFonts w:ascii="仿宋" w:eastAsia="仿宋" w:hAnsi="仿宋" w:cs="仿宋" w:hint="eastAsia"/>
                <w:sz w:val="24"/>
                <w:szCs w:val="24"/>
                <w:highlight w:val="yellow"/>
              </w:rPr>
              <w:t>80%）</w:t>
            </w:r>
            <w:r>
              <w:rPr>
                <w:rFonts w:ascii="仿宋" w:eastAsia="仿宋" w:hAnsi="仿宋" w:cs="仿宋" w:hint="eastAsia"/>
                <w:sz w:val="24"/>
                <w:szCs w:val="24"/>
                <w:highlight w:val="yellow"/>
              </w:rPr>
              <w:t>±</w:t>
            </w:r>
            <w:r>
              <w:rPr>
                <w:rFonts w:ascii="仿宋" w:eastAsia="仿宋" w:hAnsi="仿宋" w:cs="仿宋" w:hint="eastAsia"/>
                <w:sz w:val="24"/>
                <w:szCs w:val="24"/>
                <w:highlight w:val="yellow"/>
              </w:rPr>
              <w:t>5%（＞80%）</w:t>
            </w:r>
          </w:p>
          <w:p>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rPr>
              <w:t>信号输出方式：数字型传感器</w:t>
            </w:r>
          </w:p>
          <w:p>
            <w:pPr>
              <w:rPr>
                <w:rFonts w:ascii="仿宋" w:eastAsia="仿宋" w:hAnsi="仿宋" w:cs="仿宋" w:hint="eastAsia"/>
              </w:rPr>
            </w:pPr>
            <w:r>
              <w:rPr>
                <w:rFonts w:ascii="仿宋" w:eastAsia="仿宋" w:hAnsi="仿宋" w:cs="仿宋" w:hint="eastAsia"/>
                <w:sz w:val="24"/>
              </w:rPr>
              <w:t>接口标准：RS232/四线制电阻</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restart"/>
            <w:vAlign w:val="center"/>
          </w:tcPr>
          <w:p>
            <w:pPr>
              <w:rPr>
                <w:rFonts w:ascii="仿宋" w:eastAsia="仿宋" w:hAnsi="仿宋" w:cs="仿宋" w:hint="eastAsia"/>
              </w:rPr>
            </w:pPr>
            <w:r>
              <w:rPr>
                <w:rFonts w:ascii="仿宋" w:eastAsia="仿宋" w:hAnsi="仿宋" w:cs="仿宋" w:hint="eastAsia"/>
                <w:sz w:val="24"/>
              </w:rPr>
              <w:t>梯度气象自动观测仪</w:t>
            </w:r>
          </w:p>
        </w:tc>
        <w:tc>
          <w:tcPr>
            <w:tcW w:w="1076" w:type="pct"/>
            <w:vMerge w:val="restart"/>
            <w:vAlign w:val="center"/>
          </w:tcPr>
          <w:p>
            <w:pPr>
              <w:snapToGrid w:val="0"/>
              <w:rPr>
                <w:rFonts w:ascii="仿宋" w:eastAsia="仿宋" w:hAnsi="仿宋" w:cs="仿宋" w:hint="eastAsia"/>
              </w:rPr>
            </w:pPr>
            <w:r>
              <w:rPr>
                <w:rFonts w:ascii="仿宋" w:eastAsia="仿宋" w:hAnsi="仿宋" w:cs="仿宋" w:hint="eastAsia"/>
                <w:sz w:val="24"/>
              </w:rPr>
              <w:t>智能风测量仪</w:t>
            </w: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测量范围</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0～60m/s</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ign w:val="center"/>
          </w:tcPr>
          <w:p>
            <w:pPr>
              <w:snapToGrid w:val="0"/>
              <w:rPr>
                <w:rFonts w:ascii="仿宋" w:eastAsia="仿宋" w:hAnsi="仿宋" w:cs="仿宋" w:hint="eastAsia"/>
              </w:rPr>
            </w:pP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精度</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（0.5m/s+0.03V）</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ign w:val="center"/>
          </w:tcPr>
          <w:p>
            <w:pPr>
              <w:snapToGrid w:val="0"/>
              <w:rPr>
                <w:rFonts w:ascii="仿宋" w:eastAsia="仿宋" w:hAnsi="仿宋" w:cs="仿宋" w:hint="eastAsia"/>
              </w:rPr>
            </w:pP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测量范围</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0～360</w:t>
            </w:r>
            <w:r>
              <w:rPr>
                <w:rFonts w:ascii="仿宋" w:eastAsia="仿宋" w:hAnsi="仿宋" w:cs="仿宋" w:hint="eastAsia"/>
                <w:sz w:val="24"/>
              </w:rPr>
              <w:t>°</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ign w:val="center"/>
          </w:tcPr>
          <w:p>
            <w:pPr>
              <w:snapToGrid w:val="0"/>
              <w:rPr>
                <w:rFonts w:ascii="仿宋" w:eastAsia="仿宋" w:hAnsi="仿宋" w:cs="仿宋" w:hint="eastAsia"/>
              </w:rPr>
            </w:pP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精度</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5</w:t>
            </w:r>
            <w:r>
              <w:rPr>
                <w:rFonts w:ascii="仿宋" w:eastAsia="仿宋" w:hAnsi="仿宋" w:cs="仿宋" w:hint="eastAsia"/>
                <w:sz w:val="24"/>
              </w:rPr>
              <w:t>°</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restart"/>
            <w:vAlign w:val="center"/>
          </w:tcPr>
          <w:p>
            <w:pPr>
              <w:snapToGrid w:val="0"/>
              <w:rPr>
                <w:rFonts w:ascii="仿宋" w:eastAsia="仿宋" w:hAnsi="仿宋" w:cs="仿宋" w:hint="eastAsia"/>
              </w:rPr>
            </w:pPr>
            <w:r>
              <w:rPr>
                <w:rFonts w:ascii="仿宋" w:eastAsia="仿宋" w:hAnsi="仿宋" w:cs="仿宋" w:hint="eastAsia"/>
                <w:sz w:val="24"/>
              </w:rPr>
              <w:t>智能气温测量仪</w:t>
            </w: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温度范围</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-50～60</w:t>
            </w:r>
            <w:r>
              <w:rPr>
                <w:rFonts w:ascii="仿宋" w:eastAsia="仿宋" w:hAnsi="仿宋" w:cs="仿宋" w:hint="eastAsia"/>
                <w:sz w:val="24"/>
              </w:rPr>
              <w:t>℃</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ign w:val="center"/>
          </w:tcPr>
          <w:p>
            <w:pPr>
              <w:snapToGrid w:val="0"/>
              <w:rPr>
                <w:rFonts w:ascii="仿宋" w:eastAsia="仿宋" w:hAnsi="仿宋" w:cs="仿宋" w:hint="eastAsia"/>
              </w:rPr>
            </w:pP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精度</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0.1</w:t>
            </w:r>
            <w:r>
              <w:rPr>
                <w:rFonts w:ascii="仿宋" w:eastAsia="仿宋" w:hAnsi="仿宋" w:cs="仿宋" w:hint="eastAsia"/>
                <w:sz w:val="24"/>
              </w:rPr>
              <w:t>℃</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restart"/>
            <w:vAlign w:val="center"/>
          </w:tcPr>
          <w:p>
            <w:pPr>
              <w:snapToGrid w:val="0"/>
              <w:rPr>
                <w:rFonts w:ascii="仿宋" w:eastAsia="仿宋" w:hAnsi="仿宋" w:cs="仿宋" w:hint="eastAsia"/>
              </w:rPr>
            </w:pPr>
            <w:r>
              <w:rPr>
                <w:rFonts w:ascii="仿宋" w:eastAsia="仿宋" w:hAnsi="仿宋" w:cs="仿宋" w:hint="eastAsia"/>
                <w:sz w:val="24"/>
              </w:rPr>
              <w:t>智能湿度测量仪</w:t>
            </w: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湿度范围</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0～100% RH</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ign w:val="center"/>
          </w:tcPr>
          <w:p>
            <w:pPr>
              <w:snapToGrid w:val="0"/>
              <w:rPr>
                <w:rFonts w:ascii="仿宋" w:eastAsia="仿宋" w:hAnsi="仿宋" w:cs="仿宋" w:hint="eastAsia"/>
              </w:rPr>
            </w:pP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精度</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5%RH</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restart"/>
            <w:vAlign w:val="center"/>
          </w:tcPr>
          <w:p>
            <w:pPr>
              <w:snapToGrid w:val="0"/>
              <w:rPr>
                <w:rFonts w:ascii="仿宋" w:eastAsia="仿宋" w:hAnsi="仿宋" w:cs="仿宋" w:hint="eastAsia"/>
              </w:rPr>
            </w:pPr>
            <w:r>
              <w:rPr>
                <w:rFonts w:ascii="仿宋" w:eastAsia="仿宋" w:hAnsi="仿宋" w:cs="仿宋" w:hint="eastAsia"/>
                <w:sz w:val="24"/>
              </w:rPr>
              <w:t>智能气压测量仪</w:t>
            </w: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测量范围</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500 hPa～1100 hPa</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ign w:val="center"/>
          </w:tcPr>
          <w:p>
            <w:pPr>
              <w:snapToGrid w:val="0"/>
              <w:rPr>
                <w:rFonts w:ascii="仿宋" w:eastAsia="仿宋" w:hAnsi="仿宋" w:cs="仿宋" w:hint="eastAsia"/>
              </w:rPr>
            </w:pPr>
          </w:p>
        </w:tc>
        <w:tc>
          <w:tcPr>
            <w:tcW w:w="1068" w:type="pct"/>
            <w:vAlign w:val="bottom"/>
          </w:tcPr>
          <w:p>
            <w:pPr>
              <w:snapToGrid w:val="0"/>
              <w:rPr>
                <w:rFonts w:ascii="仿宋" w:eastAsia="仿宋" w:hAnsi="仿宋" w:cs="仿宋" w:hint="eastAsia"/>
              </w:rPr>
            </w:pPr>
            <w:r>
              <w:rPr>
                <w:rFonts w:ascii="仿宋" w:eastAsia="仿宋" w:hAnsi="仿宋" w:cs="仿宋" w:hint="eastAsia"/>
                <w:sz w:val="24"/>
              </w:rPr>
              <w:t>分辨力</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0.1 hPa</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ign w:val="center"/>
          </w:tcPr>
          <w:p>
            <w:pPr>
              <w:snapToGrid w:val="0"/>
              <w:rPr>
                <w:rFonts w:ascii="仿宋" w:eastAsia="仿宋" w:hAnsi="仿宋" w:cs="仿宋" w:hint="eastAsia"/>
              </w:rPr>
            </w:pP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准确性</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0.3 hPa</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restart"/>
            <w:vAlign w:val="center"/>
          </w:tcPr>
          <w:p>
            <w:pPr>
              <w:snapToGrid w:val="0"/>
              <w:rPr>
                <w:rFonts w:ascii="仿宋" w:eastAsia="仿宋" w:hAnsi="仿宋" w:cs="仿宋" w:hint="eastAsia"/>
              </w:rPr>
            </w:pPr>
            <w:r>
              <w:rPr>
                <w:rFonts w:ascii="仿宋" w:eastAsia="仿宋" w:hAnsi="仿宋" w:cs="仿宋" w:hint="eastAsia"/>
                <w:sz w:val="24"/>
              </w:rPr>
              <w:t>四分量-总辐射传感器</w:t>
            </w:r>
          </w:p>
        </w:tc>
        <w:tc>
          <w:tcPr>
            <w:tcW w:w="1068" w:type="pct"/>
            <w:vAlign w:val="center"/>
          </w:tcPr>
          <w:p>
            <w:pPr>
              <w:snapToGrid w:val="0"/>
              <w:rPr>
                <w:rFonts w:ascii="仿宋" w:eastAsia="仿宋" w:hAnsi="仿宋" w:cs="仿宋" w:hint="eastAsia"/>
                <w:highlight w:val="yellow"/>
              </w:rPr>
            </w:pPr>
            <w:r>
              <w:rPr>
                <w:rFonts w:ascii="仿宋" w:eastAsia="仿宋" w:hAnsi="仿宋" w:cs="仿宋" w:hint="eastAsia"/>
                <w:sz w:val="24"/>
                <w:highlight w:val="yellow"/>
              </w:rPr>
              <w:t>#响应时间</w:t>
            </w:r>
          </w:p>
        </w:tc>
        <w:tc>
          <w:tcPr>
            <w:tcW w:w="1645" w:type="pct"/>
            <w:vAlign w:val="center"/>
          </w:tcPr>
          <w:p>
            <w:pPr>
              <w:snapToGrid w:val="0"/>
              <w:rPr>
                <w:rFonts w:ascii="仿宋" w:eastAsia="仿宋" w:hAnsi="仿宋" w:cs="仿宋" w:hint="eastAsia"/>
                <w:highlight w:val="yellow"/>
              </w:rPr>
            </w:pPr>
            <w:r>
              <w:rPr>
                <w:rFonts w:ascii="仿宋" w:eastAsia="仿宋" w:hAnsi="仿宋" w:cs="仿宋" w:hint="eastAsia"/>
                <w:sz w:val="24"/>
                <w:highlight w:val="yellow"/>
              </w:rPr>
              <w:t>＜30 s</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ign w:val="center"/>
          </w:tcPr>
          <w:p>
            <w:pPr>
              <w:snapToGrid w:val="0"/>
              <w:rPr>
                <w:rFonts w:ascii="仿宋" w:eastAsia="仿宋" w:hAnsi="仿宋" w:cs="仿宋" w:hint="eastAsia"/>
              </w:rPr>
            </w:pP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温度响应</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8%</w:t>
            </w:r>
          </w:p>
        </w:tc>
      </w:tr>
      <w:tr>
        <w:tblPrEx>
          <w:tblW w:w="5125" w:type="pct"/>
          <w:jc w:val="center"/>
          <w:tblLayout w:type="fixed"/>
          <w:tblCellMar>
            <w:top w:w="0" w:type="dxa"/>
            <w:left w:w="108" w:type="dxa"/>
            <w:bottom w:w="0" w:type="dxa"/>
            <w:right w:w="108" w:type="dxa"/>
          </w:tblCellMar>
          <w:tblLook w:val="0000"/>
        </w:tblPrEx>
        <w:trPr>
          <w:trHeight w:val="7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ign w:val="center"/>
          </w:tcPr>
          <w:p>
            <w:pPr>
              <w:snapToGrid w:val="0"/>
              <w:rPr>
                <w:rFonts w:ascii="仿宋" w:eastAsia="仿宋" w:hAnsi="仿宋" w:cs="仿宋" w:hint="eastAsia"/>
              </w:rPr>
            </w:pPr>
          </w:p>
        </w:tc>
        <w:tc>
          <w:tcPr>
            <w:tcW w:w="1068" w:type="pct"/>
            <w:vAlign w:val="center"/>
          </w:tcPr>
          <w:p>
            <w:pPr>
              <w:snapToGrid w:val="0"/>
              <w:rPr>
                <w:rFonts w:ascii="仿宋" w:eastAsia="仿宋" w:hAnsi="仿宋" w:cs="仿宋" w:hint="eastAsia"/>
                <w:highlight w:val="yellow"/>
              </w:rPr>
            </w:pPr>
            <w:r>
              <w:rPr>
                <w:rFonts w:ascii="仿宋" w:eastAsia="仿宋" w:hAnsi="仿宋" w:cs="仿宋" w:hint="eastAsia"/>
                <w:sz w:val="24"/>
                <w:highlight w:val="yellow"/>
              </w:rPr>
              <w:t>#方向性相应误差</w:t>
            </w:r>
          </w:p>
        </w:tc>
        <w:tc>
          <w:tcPr>
            <w:tcW w:w="1645" w:type="pct"/>
            <w:vAlign w:val="center"/>
          </w:tcPr>
          <w:p>
            <w:pPr>
              <w:snapToGrid w:val="0"/>
              <w:rPr>
                <w:rFonts w:ascii="仿宋" w:eastAsia="仿宋" w:hAnsi="仿宋" w:cs="仿宋" w:hint="eastAsia"/>
                <w:highlight w:val="yellow"/>
              </w:rPr>
            </w:pPr>
            <w:r>
              <w:rPr>
                <w:rFonts w:ascii="仿宋" w:eastAsia="仿宋" w:hAnsi="仿宋" w:cs="仿宋" w:hint="eastAsia"/>
                <w:sz w:val="24"/>
                <w:highlight w:val="yellow"/>
              </w:rPr>
              <w:t>±</w:t>
            </w:r>
            <w:r>
              <w:rPr>
                <w:rFonts w:ascii="仿宋" w:eastAsia="仿宋" w:hAnsi="仿宋" w:cs="仿宋" w:hint="eastAsia"/>
                <w:sz w:val="24"/>
                <w:highlight w:val="yellow"/>
              </w:rPr>
              <w:t>20W/m</w:t>
            </w:r>
            <w:r>
              <w:rPr>
                <w:rFonts w:ascii="仿宋" w:eastAsia="仿宋" w:hAnsi="仿宋" w:cs="仿宋" w:hint="eastAsia"/>
                <w:sz w:val="24"/>
                <w:highlight w:val="yellow"/>
                <w:vertAlign w:val="superscript"/>
              </w:rPr>
              <w:t>2</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ign w:val="center"/>
          </w:tcPr>
          <w:p>
            <w:pPr>
              <w:snapToGrid w:val="0"/>
              <w:rPr>
                <w:rFonts w:ascii="仿宋" w:eastAsia="仿宋" w:hAnsi="仿宋" w:cs="仿宋" w:hint="eastAsia"/>
              </w:rPr>
            </w:pP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接口标准</w:t>
            </w:r>
          </w:p>
        </w:tc>
        <w:tc>
          <w:tcPr>
            <w:tcW w:w="1645" w:type="pct"/>
            <w:vAlign w:val="center"/>
          </w:tcPr>
          <w:p>
            <w:pPr>
              <w:snapToGrid w:val="0"/>
              <w:rPr>
                <w:rFonts w:ascii="仿宋" w:eastAsia="仿宋" w:hAnsi="仿宋" w:cs="仿宋"/>
              </w:rPr>
            </w:pPr>
            <w:r>
              <w:rPr>
                <w:rFonts w:ascii="仿宋" w:eastAsia="仿宋" w:hAnsi="仿宋" w:cs="仿宋" w:hint="eastAsia"/>
                <w:sz w:val="24"/>
              </w:rPr>
              <w:t>差分模拟量</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restart"/>
            <w:vAlign w:val="center"/>
          </w:tcPr>
          <w:p>
            <w:pPr>
              <w:snapToGrid w:val="0"/>
              <w:rPr>
                <w:rFonts w:ascii="仿宋" w:eastAsia="仿宋" w:hAnsi="仿宋" w:cs="仿宋" w:hint="eastAsia"/>
              </w:rPr>
            </w:pPr>
            <w:r>
              <w:rPr>
                <w:rFonts w:ascii="仿宋" w:eastAsia="仿宋" w:hAnsi="仿宋" w:cs="仿宋" w:hint="eastAsia"/>
                <w:sz w:val="24"/>
              </w:rPr>
              <w:t>四分量-长波辐射传感器</w:t>
            </w:r>
          </w:p>
        </w:tc>
        <w:tc>
          <w:tcPr>
            <w:tcW w:w="1068" w:type="pct"/>
            <w:vAlign w:val="center"/>
          </w:tcPr>
          <w:p>
            <w:pPr>
              <w:snapToGrid w:val="0"/>
              <w:rPr>
                <w:rFonts w:ascii="仿宋" w:eastAsia="仿宋" w:hAnsi="仿宋" w:cs="仿宋" w:hint="eastAsia"/>
                <w:highlight w:val="yellow"/>
              </w:rPr>
            </w:pPr>
            <w:r>
              <w:rPr>
                <w:rFonts w:ascii="仿宋" w:eastAsia="仿宋" w:hAnsi="仿宋" w:cs="仿宋" w:hint="eastAsia"/>
                <w:sz w:val="24"/>
                <w:highlight w:val="yellow"/>
              </w:rPr>
              <w:t>#响应时间</w:t>
            </w:r>
          </w:p>
        </w:tc>
        <w:tc>
          <w:tcPr>
            <w:tcW w:w="1645" w:type="pct"/>
            <w:vAlign w:val="center"/>
          </w:tcPr>
          <w:p>
            <w:pPr>
              <w:snapToGrid w:val="0"/>
              <w:rPr>
                <w:rFonts w:ascii="仿宋" w:eastAsia="仿宋" w:hAnsi="仿宋" w:cs="仿宋" w:hint="eastAsia"/>
                <w:highlight w:val="yellow"/>
              </w:rPr>
            </w:pPr>
            <w:r>
              <w:rPr>
                <w:rFonts w:ascii="仿宋" w:eastAsia="仿宋" w:hAnsi="仿宋" w:cs="仿宋" w:hint="eastAsia"/>
                <w:sz w:val="24"/>
                <w:highlight w:val="yellow"/>
              </w:rPr>
              <w:t>&lt;30 s</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ign w:val="center"/>
          </w:tcPr>
          <w:p>
            <w:pPr>
              <w:snapToGrid w:val="0"/>
              <w:rPr>
                <w:rFonts w:ascii="仿宋" w:eastAsia="仿宋" w:hAnsi="仿宋" w:cs="仿宋" w:hint="eastAsia"/>
              </w:rPr>
            </w:pP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不稳定性</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2%</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ign w:val="center"/>
          </w:tcPr>
          <w:p>
            <w:pPr>
              <w:snapToGrid w:val="0"/>
              <w:rPr>
                <w:rFonts w:ascii="仿宋" w:eastAsia="仿宋" w:hAnsi="仿宋" w:cs="仿宋" w:hint="eastAsia"/>
              </w:rPr>
            </w:pP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接口标准</w:t>
            </w:r>
          </w:p>
        </w:tc>
        <w:tc>
          <w:tcPr>
            <w:tcW w:w="1645" w:type="pct"/>
            <w:vAlign w:val="center"/>
          </w:tcPr>
          <w:p>
            <w:pPr>
              <w:snapToGrid w:val="0"/>
              <w:rPr>
                <w:rFonts w:ascii="仿宋" w:eastAsia="仿宋" w:hAnsi="仿宋" w:cs="仿宋" w:hint="eastAsia"/>
              </w:rPr>
            </w:pPr>
            <w:r>
              <w:rPr>
                <w:rFonts w:ascii="微软雅黑" w:eastAsia="微软雅黑" w:hAnsi="微软雅黑" w:cs="宋体"/>
                <w:kern w:val="0"/>
                <w:sz w:val="20"/>
                <w:szCs w:val="20"/>
              </w:rPr>
              <w:t>差分模拟量</w:t>
            </w:r>
            <w:r>
              <w:rPr>
                <w:rFonts w:ascii="仿宋" w:eastAsia="仿宋" w:hAnsi="仿宋" w:cs="仿宋" w:hint="eastAsia"/>
                <w:sz w:val="24"/>
              </w:rPr>
              <w:t xml:space="preserve"> </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restart"/>
            <w:vAlign w:val="center"/>
          </w:tcPr>
          <w:p>
            <w:pPr>
              <w:snapToGrid w:val="0"/>
              <w:rPr>
                <w:rFonts w:ascii="仿宋" w:eastAsia="仿宋" w:hAnsi="仿宋" w:cs="仿宋" w:hint="eastAsia"/>
              </w:rPr>
            </w:pPr>
            <w:r>
              <w:rPr>
                <w:rFonts w:ascii="仿宋" w:eastAsia="仿宋" w:hAnsi="仿宋" w:cs="仿宋" w:hint="eastAsia"/>
                <w:sz w:val="24"/>
              </w:rPr>
              <w:t>紫外（A+B）辐射传感器</w:t>
            </w: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光谱范围</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280～400nm（UV AB)</w:t>
            </w:r>
          </w:p>
          <w:p>
            <w:pPr>
              <w:snapToGrid w:val="0"/>
              <w:rPr>
                <w:rFonts w:ascii="仿宋" w:eastAsia="仿宋" w:hAnsi="仿宋" w:cs="仿宋" w:hint="eastAsia"/>
              </w:rPr>
            </w:pPr>
            <w:r>
              <w:rPr>
                <w:rFonts w:ascii="仿宋" w:eastAsia="仿宋" w:hAnsi="仿宋" w:cs="仿宋" w:hint="eastAsia"/>
                <w:sz w:val="24"/>
              </w:rPr>
              <w:t>315～400nm(UV A)</w:t>
            </w:r>
          </w:p>
          <w:p>
            <w:pPr>
              <w:snapToGrid w:val="0"/>
              <w:rPr>
                <w:rFonts w:ascii="仿宋" w:eastAsia="仿宋" w:hAnsi="仿宋" w:cs="仿宋" w:hint="eastAsia"/>
              </w:rPr>
            </w:pPr>
            <w:r>
              <w:rPr>
                <w:rFonts w:ascii="仿宋" w:eastAsia="仿宋" w:hAnsi="仿宋" w:cs="仿宋" w:hint="eastAsia"/>
                <w:sz w:val="24"/>
              </w:rPr>
              <w:t>280～315nm(UV B)</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ign w:val="center"/>
          </w:tcPr>
          <w:p>
            <w:pPr>
              <w:snapToGrid w:val="0"/>
              <w:rPr>
                <w:rFonts w:ascii="仿宋" w:eastAsia="仿宋" w:hAnsi="仿宋" w:cs="仿宋" w:hint="eastAsia"/>
              </w:rPr>
            </w:pP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精度</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2%</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restart"/>
            <w:vAlign w:val="center"/>
          </w:tcPr>
          <w:p>
            <w:pPr>
              <w:snapToGrid w:val="0"/>
              <w:rPr>
                <w:rFonts w:ascii="仿宋" w:eastAsia="仿宋" w:hAnsi="仿宋" w:cs="仿宋" w:hint="eastAsia"/>
              </w:rPr>
            </w:pPr>
            <w:r>
              <w:rPr>
                <w:rFonts w:ascii="仿宋" w:eastAsia="仿宋" w:hAnsi="仿宋" w:cs="仿宋" w:hint="eastAsia"/>
                <w:sz w:val="24"/>
              </w:rPr>
              <w:t>光合有效辐射传感器</w:t>
            </w: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光谱范围</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400nm-700nm</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ign w:val="center"/>
          </w:tcPr>
          <w:p>
            <w:pPr>
              <w:snapToGrid w:val="0"/>
              <w:rPr>
                <w:rFonts w:ascii="仿宋" w:eastAsia="仿宋" w:hAnsi="仿宋" w:cs="仿宋" w:hint="eastAsia"/>
              </w:rPr>
            </w:pPr>
          </w:p>
        </w:tc>
        <w:tc>
          <w:tcPr>
            <w:tcW w:w="1068" w:type="pct"/>
            <w:vAlign w:val="center"/>
          </w:tcPr>
          <w:p>
            <w:pPr>
              <w:snapToGrid w:val="0"/>
              <w:rPr>
                <w:rFonts w:ascii="仿宋" w:eastAsia="仿宋" w:hAnsi="仿宋" w:cs="仿宋" w:hint="eastAsia"/>
                <w:highlight w:val="yellow"/>
              </w:rPr>
            </w:pPr>
            <w:r>
              <w:rPr>
                <w:rFonts w:ascii="仿宋" w:eastAsia="仿宋" w:hAnsi="仿宋" w:cs="仿宋" w:hint="eastAsia"/>
                <w:sz w:val="24"/>
                <w:highlight w:val="yellow"/>
              </w:rPr>
              <w:t>#响应时间</w:t>
            </w:r>
          </w:p>
        </w:tc>
        <w:tc>
          <w:tcPr>
            <w:tcW w:w="1645" w:type="pct"/>
            <w:vAlign w:val="center"/>
          </w:tcPr>
          <w:p>
            <w:pPr>
              <w:snapToGrid w:val="0"/>
              <w:rPr>
                <w:rFonts w:ascii="仿宋" w:eastAsia="仿宋" w:hAnsi="仿宋" w:cs="仿宋" w:hint="eastAsia"/>
                <w:highlight w:val="yellow"/>
              </w:rPr>
            </w:pPr>
            <w:r>
              <w:rPr>
                <w:rFonts w:ascii="仿宋" w:eastAsia="仿宋" w:hAnsi="仿宋" w:cs="仿宋" w:hint="eastAsia"/>
                <w:sz w:val="24"/>
                <w:highlight w:val="yellow"/>
              </w:rPr>
              <w:t>≤</w:t>
            </w:r>
            <w:r>
              <w:rPr>
                <w:rFonts w:ascii="仿宋" w:eastAsia="仿宋" w:hAnsi="仿宋" w:cs="仿宋" w:hint="eastAsia"/>
                <w:sz w:val="24"/>
                <w:highlight w:val="yellow"/>
              </w:rPr>
              <w:t>1s</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ign w:val="center"/>
          </w:tcPr>
          <w:p>
            <w:pPr>
              <w:snapToGrid w:val="0"/>
              <w:rPr>
                <w:rFonts w:ascii="仿宋" w:eastAsia="仿宋" w:hAnsi="仿宋" w:cs="仿宋" w:hint="eastAsia"/>
              </w:rPr>
            </w:pP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方向性响应（天顶角80</w:t>
            </w:r>
            <w:r>
              <w:rPr>
                <w:rFonts w:ascii="仿宋" w:eastAsia="仿宋" w:hAnsi="仿宋" w:cs="仿宋" w:hint="eastAsia"/>
                <w:sz w:val="24"/>
              </w:rPr>
              <w:t>°</w:t>
            </w:r>
            <w:r>
              <w:rPr>
                <w:rFonts w:ascii="仿宋" w:eastAsia="仿宋" w:hAnsi="仿宋" w:cs="仿宋" w:hint="eastAsia"/>
                <w:sz w:val="24"/>
              </w:rPr>
              <w:t>以内）</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10%</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ign w:val="center"/>
          </w:tcPr>
          <w:p>
            <w:pPr>
              <w:snapToGrid w:val="0"/>
              <w:rPr>
                <w:rFonts w:ascii="仿宋" w:eastAsia="仿宋" w:hAnsi="仿宋" w:cs="仿宋" w:hint="eastAsia"/>
              </w:rPr>
            </w:pP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温度依存性</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0.15%/</w:t>
            </w:r>
            <w:r>
              <w:rPr>
                <w:rFonts w:ascii="仿宋" w:eastAsia="仿宋" w:hAnsi="仿宋" w:cs="仿宋" w:hint="eastAsia"/>
                <w:sz w:val="24"/>
              </w:rPr>
              <w:t>℃</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restart"/>
            <w:vAlign w:val="center"/>
          </w:tcPr>
          <w:p>
            <w:pPr>
              <w:snapToGrid w:val="0"/>
              <w:rPr>
                <w:rFonts w:ascii="仿宋" w:eastAsia="仿宋" w:hAnsi="仿宋" w:cs="仿宋" w:hint="eastAsia"/>
              </w:rPr>
            </w:pPr>
            <w:r>
              <w:rPr>
                <w:rFonts w:ascii="仿宋" w:eastAsia="仿宋" w:hAnsi="仿宋" w:cs="仿宋" w:hint="eastAsia"/>
                <w:sz w:val="24"/>
              </w:rPr>
              <w:t>智能翻斗式雨量测量仪</w:t>
            </w: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测量范围</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0mm/min～4mm/min</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ign w:val="center"/>
          </w:tcPr>
          <w:p>
            <w:pPr>
              <w:snapToGrid w:val="0"/>
              <w:rPr>
                <w:rFonts w:ascii="仿宋" w:eastAsia="仿宋" w:hAnsi="仿宋" w:cs="仿宋" w:hint="eastAsia"/>
              </w:rPr>
            </w:pP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精度</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0.4mm（</w:t>
            </w:r>
            <w:r>
              <w:rPr>
                <w:rFonts w:ascii="仿宋" w:eastAsia="仿宋" w:hAnsi="仿宋" w:cs="仿宋" w:hint="eastAsia"/>
                <w:sz w:val="24"/>
              </w:rPr>
              <w:t>≤</w:t>
            </w:r>
            <w:r>
              <w:rPr>
                <w:rFonts w:ascii="仿宋" w:eastAsia="仿宋" w:hAnsi="仿宋" w:cs="仿宋" w:hint="eastAsia"/>
                <w:sz w:val="24"/>
              </w:rPr>
              <w:t>10mm）</w:t>
            </w:r>
          </w:p>
          <w:p>
            <w:pPr>
              <w:snapToGrid w:val="0"/>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 xml:space="preserve"> 4％（＞10mm）</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Align w:val="center"/>
          </w:tcPr>
          <w:p>
            <w:pPr>
              <w:snapToGrid w:val="0"/>
              <w:rPr>
                <w:rFonts w:ascii="仿宋" w:eastAsia="仿宋" w:hAnsi="仿宋" w:cs="仿宋" w:hint="eastAsia"/>
              </w:rPr>
            </w:pPr>
            <w:r>
              <w:rPr>
                <w:rFonts w:ascii="仿宋" w:eastAsia="仿宋" w:hAnsi="仿宋" w:cs="仿宋" w:hint="eastAsia"/>
                <w:sz w:val="24"/>
              </w:rPr>
              <w:t>土壤热通量传感器</w:t>
            </w: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测量范围</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-800 W/m</w:t>
            </w:r>
            <w:r>
              <w:rPr>
                <w:rFonts w:ascii="仿宋" w:eastAsia="仿宋" w:hAnsi="仿宋" w:cs="仿宋" w:hint="eastAsia"/>
                <w:sz w:val="24"/>
                <w:vertAlign w:val="superscript"/>
              </w:rPr>
              <w:t>2</w:t>
            </w:r>
            <w:r>
              <w:rPr>
                <w:rFonts w:ascii="仿宋" w:eastAsia="仿宋" w:hAnsi="仿宋" w:cs="仿宋" w:hint="eastAsia"/>
                <w:sz w:val="24"/>
              </w:rPr>
              <w:t>~800 W/m</w:t>
            </w:r>
            <w:r>
              <w:rPr>
                <w:rFonts w:ascii="仿宋" w:eastAsia="仿宋" w:hAnsi="仿宋" w:cs="仿宋" w:hint="eastAsia"/>
                <w:sz w:val="24"/>
                <w:vertAlign w:val="superscript"/>
              </w:rPr>
              <w:t>2</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restart"/>
            <w:vAlign w:val="center"/>
          </w:tcPr>
          <w:p>
            <w:pPr>
              <w:snapToGrid w:val="0"/>
              <w:rPr>
                <w:rFonts w:ascii="仿宋" w:eastAsia="仿宋" w:hAnsi="仿宋" w:cs="仿宋" w:hint="eastAsia"/>
              </w:rPr>
            </w:pPr>
            <w:r>
              <w:rPr>
                <w:rFonts w:ascii="仿宋" w:eastAsia="仿宋" w:hAnsi="仿宋" w:cs="仿宋" w:hint="eastAsia"/>
                <w:sz w:val="24"/>
              </w:rPr>
              <w:t>红外温度传感器</w:t>
            </w: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测量范围</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-55</w:t>
            </w:r>
            <w:r>
              <w:rPr>
                <w:rFonts w:ascii="仿宋" w:eastAsia="仿宋" w:hAnsi="仿宋" w:cs="仿宋" w:hint="eastAsia"/>
                <w:sz w:val="24"/>
              </w:rPr>
              <w:t>℃</w:t>
            </w:r>
            <w:r>
              <w:rPr>
                <w:rFonts w:ascii="仿宋" w:eastAsia="仿宋" w:hAnsi="仿宋" w:cs="仿宋" w:hint="eastAsia"/>
                <w:sz w:val="24"/>
              </w:rPr>
              <w:t>～80</w:t>
            </w:r>
            <w:r>
              <w:rPr>
                <w:rFonts w:ascii="仿宋" w:eastAsia="仿宋" w:hAnsi="仿宋" w:cs="仿宋" w:hint="eastAsia"/>
                <w:sz w:val="24"/>
              </w:rPr>
              <w:t>℃</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ign w:val="center"/>
          </w:tcPr>
          <w:p>
            <w:pPr>
              <w:snapToGrid w:val="0"/>
              <w:rPr>
                <w:rFonts w:ascii="仿宋" w:eastAsia="仿宋" w:hAnsi="仿宋" w:cs="仿宋" w:hint="eastAsia"/>
              </w:rPr>
            </w:pPr>
          </w:p>
        </w:tc>
        <w:tc>
          <w:tcPr>
            <w:tcW w:w="1068" w:type="pct"/>
            <w:vAlign w:val="center"/>
          </w:tcPr>
          <w:p>
            <w:pPr>
              <w:snapToGrid w:val="0"/>
              <w:rPr>
                <w:rFonts w:ascii="仿宋" w:eastAsia="仿宋" w:hAnsi="仿宋" w:cs="仿宋" w:hint="eastAsia"/>
                <w:highlight w:val="yellow"/>
              </w:rPr>
            </w:pPr>
            <w:r>
              <w:rPr>
                <w:rFonts w:ascii="仿宋" w:eastAsia="仿宋" w:hAnsi="仿宋" w:cs="仿宋" w:hint="eastAsia"/>
                <w:sz w:val="24"/>
                <w:highlight w:val="yellow"/>
              </w:rPr>
              <w:t>#精度</w:t>
            </w:r>
          </w:p>
        </w:tc>
        <w:tc>
          <w:tcPr>
            <w:tcW w:w="1645" w:type="pct"/>
            <w:vAlign w:val="center"/>
          </w:tcPr>
          <w:p>
            <w:pPr>
              <w:snapToGrid w:val="0"/>
              <w:rPr>
                <w:rFonts w:ascii="仿宋" w:eastAsia="仿宋" w:hAnsi="仿宋" w:cs="仿宋" w:hint="eastAsia"/>
                <w:highlight w:val="yellow"/>
              </w:rPr>
            </w:pPr>
            <w:r>
              <w:rPr>
                <w:rFonts w:ascii="仿宋" w:eastAsia="仿宋" w:hAnsi="仿宋" w:cs="仿宋" w:hint="eastAsia"/>
                <w:sz w:val="24"/>
                <w:highlight w:val="yellow"/>
              </w:rPr>
              <w:t>±</w:t>
            </w:r>
            <w:r>
              <w:rPr>
                <w:rFonts w:ascii="仿宋" w:eastAsia="仿宋" w:hAnsi="仿宋" w:cs="仿宋" w:hint="eastAsia"/>
                <w:sz w:val="24"/>
                <w:highlight w:val="yellow"/>
              </w:rPr>
              <w:t>0.2</w:t>
            </w:r>
            <w:r>
              <w:rPr>
                <w:rFonts w:ascii="仿宋" w:eastAsia="仿宋" w:hAnsi="仿宋" w:cs="仿宋" w:hint="eastAsia"/>
                <w:sz w:val="24"/>
                <w:highlight w:val="yellow"/>
              </w:rPr>
              <w:t>℃</w:t>
            </w:r>
            <w:r>
              <w:rPr>
                <w:rFonts w:ascii="仿宋" w:eastAsia="仿宋" w:hAnsi="仿宋" w:cs="仿宋" w:hint="eastAsia"/>
                <w:sz w:val="24"/>
                <w:highlight w:val="yellow"/>
              </w:rPr>
              <w:t>（-10</w:t>
            </w:r>
            <w:r>
              <w:rPr>
                <w:rFonts w:ascii="仿宋" w:eastAsia="仿宋" w:hAnsi="仿宋" w:cs="仿宋" w:hint="eastAsia"/>
                <w:sz w:val="24"/>
                <w:highlight w:val="yellow"/>
              </w:rPr>
              <w:t>℃</w:t>
            </w:r>
            <w:r>
              <w:rPr>
                <w:rFonts w:ascii="仿宋" w:eastAsia="仿宋" w:hAnsi="仿宋" w:cs="仿宋" w:hint="eastAsia"/>
                <w:sz w:val="24"/>
                <w:highlight w:val="yellow"/>
              </w:rPr>
              <w:t>~65</w:t>
            </w:r>
            <w:r>
              <w:rPr>
                <w:rFonts w:ascii="仿宋" w:eastAsia="仿宋" w:hAnsi="仿宋" w:cs="仿宋" w:hint="eastAsia"/>
                <w:sz w:val="24"/>
                <w:highlight w:val="yellow"/>
              </w:rPr>
              <w:t>℃</w:t>
            </w:r>
            <w:r>
              <w:rPr>
                <w:rFonts w:ascii="仿宋" w:eastAsia="仿宋" w:hAnsi="仿宋" w:cs="仿宋" w:hint="eastAsia"/>
                <w:sz w:val="24"/>
                <w:highlight w:val="yellow"/>
              </w:rPr>
              <w:t>时）</w:t>
            </w:r>
          </w:p>
        </w:tc>
      </w:tr>
      <w:tr>
        <w:tblPrEx>
          <w:tblW w:w="5125" w:type="pct"/>
          <w:jc w:val="center"/>
          <w:tblLayout w:type="fixed"/>
          <w:tblCellMar>
            <w:top w:w="0" w:type="dxa"/>
            <w:left w:w="108" w:type="dxa"/>
            <w:bottom w:w="0" w:type="dxa"/>
            <w:right w:w="108" w:type="dxa"/>
          </w:tblCellMar>
          <w:tblLook w:val="0000"/>
        </w:tblPrEx>
        <w:trPr>
          <w:jc w:val="center"/>
        </w:trPr>
        <w:tc>
          <w:tcPr>
            <w:tcW w:w="366" w:type="pct"/>
            <w:vMerge/>
            <w:vAlign w:val="center"/>
          </w:tcPr>
          <w:p>
            <w:pPr>
              <w:pStyle w:val="ListParagraph"/>
              <w:ind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Align w:val="center"/>
          </w:tcPr>
          <w:p>
            <w:pPr>
              <w:rPr>
                <w:rFonts w:ascii="仿宋" w:eastAsia="仿宋" w:hAnsi="仿宋" w:cs="仿宋" w:hint="eastAsia"/>
              </w:rPr>
            </w:pPr>
            <w:r>
              <w:rPr>
                <w:rFonts w:ascii="仿宋" w:eastAsia="仿宋" w:hAnsi="仿宋" w:cs="仿宋" w:hint="eastAsia"/>
                <w:sz w:val="24"/>
              </w:rPr>
              <w:t>观测塔</w:t>
            </w:r>
          </w:p>
        </w:tc>
        <w:tc>
          <w:tcPr>
            <w:tcW w:w="2714" w:type="pct"/>
            <w:gridSpan w:val="2"/>
            <w:vAlign w:val="center"/>
          </w:tcPr>
          <w:p>
            <w:pPr>
              <w:pStyle w:val="W"/>
              <w:snapToGrid w:val="0"/>
              <w:spacing w:line="240" w:lineRule="auto"/>
              <w:jc w:val="left"/>
              <w:rPr>
                <w:rFonts w:ascii="仿宋" w:eastAsia="仿宋" w:hAnsi="仿宋" w:cs="仿宋" w:hint="eastAsia"/>
                <w:szCs w:val="24"/>
              </w:rPr>
            </w:pPr>
            <w:r>
              <w:rPr>
                <w:rFonts w:ascii="仿宋" w:eastAsia="仿宋" w:hAnsi="仿宋" w:cs="仿宋" w:hint="eastAsia"/>
                <w:szCs w:val="24"/>
              </w:rPr>
              <w:t>含防雷、结构件、50米观测塔、机箱、横臂、预埋以及必要的线缆。空气温湿度传感器、风速传感器安装高度分别为地上2米、4米、10米、15米、25米、35米、45米、50米，风向传感器安装在10米、50米位置，辐射观测系统地上2米。</w:t>
            </w:r>
          </w:p>
          <w:p>
            <w:pPr>
              <w:pStyle w:val="W"/>
              <w:snapToGrid w:val="0"/>
              <w:spacing w:line="240" w:lineRule="auto"/>
              <w:jc w:val="left"/>
              <w:rPr>
                <w:rFonts w:ascii="仿宋" w:eastAsia="仿宋" w:hAnsi="仿宋" w:cs="仿宋" w:hint="eastAsia"/>
                <w:szCs w:val="24"/>
              </w:rPr>
            </w:pPr>
            <w:r>
              <w:rPr>
                <w:rFonts w:ascii="仿宋" w:eastAsia="仿宋" w:hAnsi="仿宋" w:cs="仿宋" w:hint="eastAsia"/>
                <w:szCs w:val="24"/>
              </w:rPr>
              <w:t>立柱按照防雷要求架设，保证避雷针通过单独的铜导线引入地下避雷铁板上；</w:t>
            </w:r>
          </w:p>
          <w:p>
            <w:pPr>
              <w:pStyle w:val="W"/>
              <w:snapToGrid w:val="0"/>
              <w:spacing w:line="240" w:lineRule="auto"/>
              <w:jc w:val="left"/>
              <w:rPr>
                <w:rFonts w:ascii="仿宋" w:eastAsia="仿宋" w:hAnsi="仿宋" w:cs="仿宋" w:hint="eastAsia"/>
                <w:szCs w:val="24"/>
              </w:rPr>
            </w:pPr>
            <w:r>
              <w:rPr>
                <w:rFonts w:ascii="仿宋" w:eastAsia="仿宋" w:hAnsi="仿宋" w:cs="仿宋" w:hint="eastAsia"/>
                <w:szCs w:val="24"/>
              </w:rPr>
              <w:t>结构安全等级二级，抗震烈度8度设防抗风速25米/秒，抗震烈度8度，适宜温度-35</w:t>
            </w:r>
            <w:r>
              <w:rPr>
                <w:rFonts w:ascii="仿宋" w:eastAsia="仿宋" w:hAnsi="仿宋" w:cs="仿宋" w:hint="eastAsia"/>
                <w:szCs w:val="24"/>
              </w:rPr>
              <w:t>℃</w:t>
            </w:r>
            <w:r>
              <w:rPr>
                <w:rFonts w:ascii="仿宋" w:eastAsia="仿宋" w:hAnsi="仿宋" w:cs="仿宋" w:hint="eastAsia"/>
                <w:szCs w:val="24"/>
              </w:rPr>
              <w:t>-45</w:t>
            </w:r>
            <w:r>
              <w:rPr>
                <w:rFonts w:ascii="仿宋" w:eastAsia="仿宋" w:hAnsi="仿宋" w:cs="仿宋" w:hint="eastAsia"/>
                <w:szCs w:val="24"/>
              </w:rPr>
              <w:t>℃</w:t>
            </w:r>
            <w:r>
              <w:rPr>
                <w:rFonts w:ascii="仿宋" w:eastAsia="仿宋" w:hAnsi="仿宋" w:cs="仿宋" w:hint="eastAsia"/>
                <w:szCs w:val="24"/>
              </w:rPr>
              <w:t>；</w:t>
            </w:r>
          </w:p>
          <w:p>
            <w:pPr>
              <w:pStyle w:val="W"/>
              <w:snapToGrid w:val="0"/>
              <w:spacing w:line="240" w:lineRule="auto"/>
              <w:jc w:val="left"/>
              <w:rPr>
                <w:rFonts w:ascii="仿宋" w:eastAsia="仿宋" w:hAnsi="仿宋" w:cs="仿宋" w:hint="eastAsia"/>
                <w:szCs w:val="24"/>
              </w:rPr>
            </w:pPr>
            <w:r>
              <w:rPr>
                <w:rFonts w:ascii="仿宋" w:eastAsia="仿宋" w:hAnsi="仿宋" w:cs="仿宋" w:hint="eastAsia"/>
                <w:szCs w:val="24"/>
              </w:rPr>
              <w:t>塔顶端采用避雷针设计，整体镀锌。所用型钢、圆钢、钢板、角钢均采用Q235B型钢；</w:t>
            </w:r>
          </w:p>
          <w:p>
            <w:pPr>
              <w:snapToGrid w:val="0"/>
              <w:rPr>
                <w:rFonts w:ascii="仿宋" w:eastAsia="仿宋" w:hAnsi="仿宋" w:cs="仿宋" w:hint="eastAsia"/>
              </w:rPr>
            </w:pPr>
            <w:r>
              <w:rPr>
                <w:rFonts w:ascii="仿宋" w:eastAsia="仿宋" w:hAnsi="仿宋" w:cs="仿宋" w:hint="eastAsia"/>
                <w:sz w:val="24"/>
              </w:rPr>
              <w:t>传感器安装支架：采用不锈钢方管材质，可伸缩，支架固定传感器位置距离立柱最少1.5m</w:t>
            </w:r>
          </w:p>
        </w:tc>
      </w:tr>
    </w:tbl>
    <w:p>
      <w:pPr>
        <w:widowControl/>
        <w:spacing w:line="560" w:lineRule="exact"/>
        <w:ind w:firstLine="560" w:firstLineChars="200"/>
        <w:jc w:val="left"/>
        <w:rPr>
          <w:rFonts w:ascii="仿宋" w:eastAsia="仿宋" w:hAnsi="仿宋" w:cs="仿宋" w:hint="eastAsia"/>
          <w:sz w:val="28"/>
          <w:szCs w:val="28"/>
        </w:rPr>
      </w:pPr>
      <w:r>
        <w:rPr>
          <w:rFonts w:ascii="仿宋" w:eastAsia="仿宋" w:hAnsi="仿宋" w:cs="仿宋" w:hint="eastAsia"/>
          <w:sz w:val="28"/>
          <w:szCs w:val="28"/>
        </w:rPr>
        <w:t>四、质保服务要求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中标方按照业务运行规范要求执行，确保设备可稳定运行，主要工作包括：巡检、年维护等巡检巡查工作，以及关键器件及系统故障的维修等。故障维修和巡检巡查等需按照质保指导意见要求执行，并提供相关承诺函。</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highlight w:val="yellow"/>
        </w:rPr>
        <w:t>（1）设备供应商对所有设备提供自验收合格后8年的质保服务*，</w:t>
      </w:r>
      <w:r>
        <w:rPr>
          <w:rFonts w:ascii="仿宋" w:eastAsia="仿宋" w:hAnsi="仿宋" w:cs="仿宋" w:hint="eastAsia"/>
          <w:sz w:val="28"/>
          <w:szCs w:val="20"/>
        </w:rPr>
        <w:t>需提供设备质保承诺函原件（格式自拟）。保修期内因设备设计、质量出现问题，均由设备供应商即时无偿解决（包括更换器件）；设备安装后的试运行期间（六个月）内，遇设备故障或数据明显异常、性能不达标等，中标人负责48小时内到站对故障设备进行测试和更换，确保设备正常投入业务运行。</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（2）在质保期内，设备供应商服务时间应为7</w:t>
      </w:r>
      <w:r>
        <w:rPr>
          <w:rFonts w:ascii="仿宋" w:eastAsia="仿宋" w:hAnsi="仿宋" w:cs="仿宋" w:hint="eastAsia"/>
          <w:sz w:val="28"/>
          <w:szCs w:val="20"/>
        </w:rPr>
        <w:t>×</w:t>
      </w:r>
      <w:r>
        <w:rPr>
          <w:rFonts w:ascii="仿宋" w:eastAsia="仿宋" w:hAnsi="仿宋" w:cs="仿宋" w:hint="eastAsia"/>
          <w:sz w:val="28"/>
          <w:szCs w:val="20"/>
        </w:rPr>
        <w:t>24小时，当投标产品或软件遭到损坏或出现故障时，要在用户报修之时起4小时内做出响应，开展维修维护工作，视情况双方协商设备恢复正常运行时限。</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（3）质保期过后，设备供应商仍有义务提供技术服务（包括提供设备维护、备件等）。</w:t>
      </w:r>
    </w:p>
    <w:p>
      <w:pPr>
        <w:ind w:firstLine="560" w:firstLineChars="200"/>
        <w:rPr>
          <w:rFonts w:ascii="仿宋" w:eastAsia="仿宋" w:hAnsi="仿宋" w:cs="仿宋"/>
          <w:sz w:val="28"/>
          <w:szCs w:val="20"/>
        </w:rPr>
      </w:pPr>
      <w:r>
        <w:rPr>
          <w:rFonts w:ascii="仿宋" w:eastAsia="仿宋" w:hAnsi="仿宋" w:cs="仿宋" w:hint="eastAsia"/>
          <w:sz w:val="28"/>
          <w:szCs w:val="20"/>
        </w:rPr>
        <w:t>五、验收要求（检验考核要求等）</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参照功能规格需求书、测试大纲，以及中国气象局最新业务管理规定等有关文件要求开展检验考核。</w:t>
      </w:r>
    </w:p>
    <w:p>
      <w:pPr>
        <w:ind w:firstLine="560" w:firstLineChars="200"/>
        <w:rPr>
          <w:rFonts w:ascii="仿宋" w:eastAsia="仿宋" w:hAnsi="仿宋" w:cs="仿宋"/>
          <w:sz w:val="28"/>
          <w:szCs w:val="20"/>
        </w:rPr>
      </w:pPr>
      <w:r>
        <w:rPr>
          <w:rFonts w:ascii="仿宋" w:eastAsia="仿宋" w:hAnsi="仿宋" w:cs="仿宋" w:hint="eastAsia"/>
          <w:sz w:val="28"/>
          <w:szCs w:val="20"/>
        </w:rPr>
        <w:t>（1）设备出厂前，采购人有权派人到中标厂家进行检验，中标人应在设备出厂前提供出厂检验项目指标测试程序和检验方法，供采购人参考，采购人可根据需要进行补充和修改。采购人委托有关部门赴生产厂家按验收规程做出厂抽检验收，这种验收不能降低中标人的责任。</w:t>
      </w:r>
    </w:p>
    <w:p>
      <w:pPr>
        <w:ind w:firstLine="560" w:firstLineChars="200"/>
        <w:rPr>
          <w:rFonts w:ascii="仿宋" w:eastAsia="仿宋" w:hAnsi="仿宋" w:cs="仿宋"/>
          <w:sz w:val="28"/>
          <w:szCs w:val="20"/>
        </w:rPr>
      </w:pPr>
      <w:r>
        <w:rPr>
          <w:rFonts w:ascii="仿宋" w:eastAsia="仿宋" w:hAnsi="仿宋" w:cs="仿宋" w:hint="eastAsia"/>
          <w:sz w:val="28"/>
          <w:szCs w:val="20"/>
        </w:rPr>
        <w:t>（2）设备安装、调试达到功能规格需求书规定的指标后，可进行初步验收。验收规范(包括项目、指标、方式和测试仪器等)应由中标人在前一个月提交给采购人。采购人可根据合同及功能规格需求书和以及采购人的有关规定进行修改和补充，经双方确认后形成验收文件作为验收依据。验收测试合格后，双方签署初验合格协议，设备进入试运行期。</w:t>
      </w:r>
    </w:p>
    <w:p>
      <w:pPr>
        <w:ind w:firstLine="560" w:firstLineChars="200"/>
        <w:rPr>
          <w:rFonts w:ascii="仿宋" w:eastAsia="仿宋" w:hAnsi="仿宋" w:cs="仿宋"/>
          <w:sz w:val="28"/>
          <w:szCs w:val="20"/>
        </w:rPr>
      </w:pPr>
      <w:r>
        <w:rPr>
          <w:rFonts w:ascii="仿宋" w:eastAsia="仿宋" w:hAnsi="仿宋" w:cs="仿宋" w:hint="eastAsia"/>
          <w:sz w:val="28"/>
          <w:szCs w:val="20"/>
        </w:rPr>
        <w:t>（3）设备经过3个月试运行期，达到功能规格需求书的要求时，可进行最终验收。在试运行期间，由于设备质量等造成某些指标达不到要求，允许中标人更换或进行修复，但试运行期另加3个月。</w:t>
      </w:r>
    </w:p>
    <w:p>
      <w:pPr>
        <w:ind w:firstLine="560" w:firstLineChars="200"/>
        <w:rPr>
          <w:rFonts w:ascii="仿宋" w:eastAsia="仿宋" w:hAnsi="仿宋" w:cs="仿宋"/>
          <w:sz w:val="28"/>
          <w:szCs w:val="20"/>
        </w:rPr>
      </w:pPr>
      <w:r>
        <w:rPr>
          <w:rFonts w:ascii="仿宋" w:eastAsia="仿宋" w:hAnsi="仿宋" w:cs="仿宋" w:hint="eastAsia"/>
          <w:sz w:val="28"/>
          <w:szCs w:val="20"/>
        </w:rPr>
        <w:t>（4）设备安装调试和试运行结束后，采购人组织最终验收。当满足以下条件时，采购人确认验收合格签署验收合格证：</w:t>
      </w:r>
    </w:p>
    <w:p>
      <w:pPr>
        <w:ind w:firstLine="560" w:firstLineChars="200"/>
        <w:rPr>
          <w:rFonts w:ascii="仿宋" w:eastAsia="仿宋" w:hAnsi="仿宋" w:cs="仿宋"/>
          <w:sz w:val="28"/>
          <w:szCs w:val="20"/>
        </w:rPr>
      </w:pPr>
      <w:r>
        <w:rPr>
          <w:rFonts w:ascii="仿宋" w:eastAsia="仿宋" w:hAnsi="仿宋" w:cs="仿宋"/>
          <w:sz w:val="28"/>
          <w:szCs w:val="20"/>
        </w:rPr>
        <w:sym w:font="仿宋" w:char="F06C"/>
      </w:r>
      <w:r>
        <w:rPr>
          <w:rFonts w:ascii="仿宋" w:eastAsia="仿宋" w:hAnsi="仿宋" w:cs="仿宋"/>
          <w:sz w:val="28"/>
          <w:szCs w:val="20"/>
        </w:rPr>
        <w:tab/>
      </w:r>
      <w:r>
        <w:rPr>
          <w:rFonts w:ascii="仿宋" w:eastAsia="仿宋" w:hAnsi="仿宋" w:cs="仿宋" w:hint="eastAsia"/>
          <w:sz w:val="28"/>
          <w:szCs w:val="20"/>
        </w:rPr>
        <w:t>中标人已提供合同中签署的全部货物及完整技术资料；</w:t>
      </w:r>
    </w:p>
    <w:p>
      <w:pPr>
        <w:ind w:firstLine="560" w:firstLineChars="200"/>
        <w:rPr>
          <w:rFonts w:ascii="仿宋" w:eastAsia="仿宋" w:hAnsi="仿宋" w:cs="仿宋"/>
          <w:sz w:val="28"/>
          <w:szCs w:val="20"/>
        </w:rPr>
      </w:pPr>
      <w:r>
        <w:rPr>
          <w:rFonts w:ascii="仿宋" w:eastAsia="仿宋" w:hAnsi="仿宋" w:cs="仿宋"/>
          <w:sz w:val="28"/>
          <w:szCs w:val="20"/>
        </w:rPr>
        <w:sym w:font="仿宋" w:char="F06C"/>
      </w:r>
      <w:r>
        <w:rPr>
          <w:rFonts w:ascii="仿宋" w:eastAsia="仿宋" w:hAnsi="仿宋" w:cs="仿宋"/>
          <w:sz w:val="28"/>
          <w:szCs w:val="20"/>
        </w:rPr>
        <w:tab/>
      </w:r>
      <w:r>
        <w:rPr>
          <w:rFonts w:ascii="仿宋" w:eastAsia="仿宋" w:hAnsi="仿宋" w:cs="仿宋" w:hint="eastAsia"/>
          <w:sz w:val="28"/>
          <w:szCs w:val="20"/>
        </w:rPr>
        <w:t>货物符合技术规格，性能满足要求；</w:t>
      </w:r>
    </w:p>
    <w:p>
      <w:pPr>
        <w:ind w:firstLine="560" w:firstLineChars="200"/>
        <w:rPr>
          <w:rFonts w:ascii="仿宋" w:eastAsia="仿宋" w:hAnsi="仿宋" w:cs="仿宋"/>
          <w:sz w:val="28"/>
          <w:szCs w:val="20"/>
        </w:rPr>
      </w:pPr>
      <w:r>
        <w:rPr>
          <w:rFonts w:ascii="仿宋" w:eastAsia="仿宋" w:hAnsi="仿宋" w:cs="仿宋"/>
          <w:sz w:val="28"/>
          <w:szCs w:val="20"/>
        </w:rPr>
        <w:sym w:font="仿宋" w:char="F06C"/>
      </w:r>
      <w:r>
        <w:rPr>
          <w:rFonts w:ascii="仿宋" w:eastAsia="仿宋" w:hAnsi="仿宋" w:cs="仿宋"/>
          <w:sz w:val="28"/>
          <w:szCs w:val="20"/>
        </w:rPr>
        <w:tab/>
      </w:r>
      <w:r>
        <w:rPr>
          <w:rFonts w:ascii="仿宋" w:eastAsia="仿宋" w:hAnsi="仿宋" w:cs="仿宋" w:hint="eastAsia"/>
          <w:sz w:val="28"/>
          <w:szCs w:val="20"/>
        </w:rPr>
        <w:t>安装工程符合技术要求，系统性能满足要求，设备正常运行。</w:t>
      </w:r>
    </w:p>
    <w:p>
      <w:pPr>
        <w:spacing w:line="560" w:lineRule="exact"/>
        <w:ind w:left="630"/>
        <w:rPr>
          <w:rFonts w:ascii="仿宋" w:eastAsia="仿宋" w:hAnsi="仿宋" w:cs="仿宋" w:hint="eastAsia"/>
          <w:sz w:val="28"/>
          <w:szCs w:val="20"/>
        </w:rPr>
      </w:pPr>
      <w:r>
        <w:rPr>
          <w:rFonts w:ascii="仿宋" w:eastAsia="仿宋" w:hAnsi="仿宋" w:cs="仿宋" w:hint="eastAsia"/>
          <w:sz w:val="28"/>
          <w:szCs w:val="20"/>
        </w:rPr>
        <w:t>六、其他要求</w:t>
      </w:r>
    </w:p>
    <w:p>
      <w:pPr>
        <w:spacing w:line="560" w:lineRule="exact"/>
        <w:ind w:left="420" w:leftChars="200"/>
        <w:rPr>
          <w:rFonts w:ascii="仿宋_GB2312" w:eastAsia="仿宋_GB2312" w:hAnsi="仿宋_GB2312" w:cs="仿宋_GB2312" w:hint="eastAsia"/>
          <w:sz w:val="28"/>
          <w:szCs w:val="20"/>
        </w:rPr>
      </w:pPr>
      <w:r>
        <w:rPr>
          <w:rFonts w:ascii="仿宋" w:eastAsia="仿宋" w:hAnsi="仿宋" w:cs="仿宋" w:hint="eastAsia"/>
          <w:sz w:val="28"/>
          <w:szCs w:val="20"/>
        </w:rPr>
        <w:t>详见采购需求-其他技术及商务需求。</w:t>
      </w:r>
    </w:p>
    <w:p>
      <w:pPr>
        <w:spacing w:line="560" w:lineRule="exact"/>
        <w:ind w:firstLine="560" w:firstLineChars="200"/>
        <w:rPr>
          <w:rFonts w:ascii="仿宋" w:eastAsia="仿宋" w:hAnsi="仿宋" w:cs="仿宋" w:hint="eastAsia"/>
          <w:sz w:val="28"/>
          <w:szCs w:val="20"/>
        </w:rPr>
      </w:pPr>
    </w:p>
    <w:p>
      <w:pPr>
        <w:spacing w:line="560" w:lineRule="exact"/>
        <w:ind w:firstLine="560" w:firstLineChars="200"/>
        <w:rPr>
          <w:rFonts w:ascii="仿宋" w:eastAsia="仿宋" w:hAnsi="仿宋" w:cs="仿宋" w:hint="eastAsia"/>
          <w:sz w:val="28"/>
          <w:szCs w:val="20"/>
        </w:rPr>
        <w:sectPr>
          <w:type w:val="nextPage"/>
          <w:pgSz w:w="11906" w:h="16838"/>
          <w:pgMar w:top="2154" w:right="1474" w:bottom="2041" w:left="1587" w:header="709" w:footer="1417" w:gutter="0"/>
          <w:cols w:space="708"/>
          <w:docGrid w:type="linesAndChars" w:linePitch="579" w:charSpace="-849"/>
        </w:sectPr>
      </w:pPr>
    </w:p>
    <w:p>
      <w:pPr>
        <w:spacing w:line="560" w:lineRule="exact"/>
        <w:outlineLvl w:val="1"/>
        <w:rPr>
          <w:rFonts w:ascii="黑体" w:eastAsia="黑体" w:hAnsi="黑体" w:hint="eastAsia"/>
          <w:bCs/>
          <w:snapToGrid w:val="0"/>
          <w:kern w:val="0"/>
          <w:sz w:val="44"/>
          <w:szCs w:val="44"/>
        </w:rPr>
      </w:pPr>
      <w:r>
        <w:rPr>
          <w:rFonts w:ascii="仿宋" w:eastAsia="仿宋" w:hAnsi="仿宋" w:cs="仿宋" w:hint="eastAsia"/>
          <w:sz w:val="28"/>
          <w:szCs w:val="20"/>
        </w:rPr>
        <w:t>采购需求 附表</w:t>
      </w: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656"/>
        <w:gridCol w:w="1916"/>
        <w:gridCol w:w="1076"/>
        <w:gridCol w:w="1496"/>
        <w:gridCol w:w="1706"/>
        <w:gridCol w:w="1076"/>
        <w:gridCol w:w="636"/>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1" w:name="货物一览表_index"/>
            <w:r>
              <w:rPr>
                <w:rFonts w:asciiTheme="minorEastAsia" w:eastAsiaTheme="minorEastAsia" w:hAnsiTheme="minorEastAsia" w:cstheme="minorEastAsia" w:hint="eastAsia"/>
                <w:kern w:val="0"/>
                <w:szCs w:val="21"/>
              </w:rPr>
              <w:t>序号</w:t>
            </w:r>
            <w:bookmarkEnd w:id="61"/>
          </w:p>
        </w:tc>
        <w:tc>
          <w:tcPr>
            <w:tcW w:w="1135" w:type="dxa"/>
          </w:tcPr>
          <w:p>
            <w:pPr>
              <w:autoSpaceDE w:val="0"/>
              <w:jc w:val="center"/>
              <w:rPr>
                <w:rFonts w:asciiTheme="minorEastAsia" w:hAnsiTheme="minorEastAsia" w:cstheme="minorEastAsia"/>
                <w:kern w:val="0"/>
                <w:szCs w:val="21"/>
              </w:rPr>
            </w:pPr>
            <w:bookmarkStart w:id="62" w:name="货物一览表_goodsName"/>
            <w:r>
              <w:rPr>
                <w:rFonts w:asciiTheme="minorEastAsia" w:eastAsiaTheme="minorEastAsia" w:hAnsiTheme="minorEastAsia" w:cstheme="minorEastAsia" w:hint="eastAsia"/>
                <w:kern w:val="0"/>
                <w:szCs w:val="21"/>
              </w:rPr>
              <w:t>设备名称</w:t>
            </w:r>
            <w:bookmarkEnd w:id="62"/>
          </w:p>
        </w:tc>
        <w:tc>
          <w:tcPr>
            <w:tcW w:w="965" w:type="dxa"/>
          </w:tcPr>
          <w:p>
            <w:pPr>
              <w:autoSpaceDE w:val="0"/>
              <w:jc w:val="center"/>
              <w:rPr>
                <w:rFonts w:asciiTheme="minorEastAsia" w:hAnsiTheme="minorEastAsia" w:cstheme="minorEastAsia"/>
                <w:kern w:val="0"/>
                <w:szCs w:val="21"/>
              </w:rPr>
            </w:pPr>
            <w:bookmarkStart w:id="63" w:name="货物一览表_nums"/>
            <w:r>
              <w:rPr>
                <w:rFonts w:asciiTheme="minorEastAsia" w:eastAsiaTheme="minorEastAsia" w:hAnsiTheme="minorEastAsia" w:cstheme="minorEastAsia" w:hint="eastAsia"/>
                <w:kern w:val="0"/>
                <w:szCs w:val="21"/>
              </w:rPr>
              <w:t>采购数量</w:t>
            </w:r>
            <w:bookmarkEnd w:id="63"/>
          </w:p>
        </w:tc>
        <w:tc>
          <w:tcPr>
            <w:tcW w:w="1062" w:type="dxa"/>
          </w:tcPr>
          <w:p>
            <w:pPr>
              <w:autoSpaceDE w:val="0"/>
              <w:jc w:val="center"/>
              <w:rPr>
                <w:rFonts w:asciiTheme="minorEastAsia" w:hAnsiTheme="minorEastAsia" w:cstheme="minorEastAsia"/>
                <w:kern w:val="0"/>
                <w:szCs w:val="21"/>
              </w:rPr>
            </w:pPr>
            <w:bookmarkStart w:id="64" w:name="货物一览表_units"/>
            <w:r>
              <w:rPr>
                <w:rFonts w:asciiTheme="minorEastAsia" w:eastAsiaTheme="minorEastAsia" w:hAnsiTheme="minorEastAsia" w:cstheme="minorEastAsia" w:hint="eastAsia"/>
                <w:kern w:val="0"/>
                <w:szCs w:val="21"/>
              </w:rPr>
              <w:t>计量单位</w:t>
            </w:r>
            <w:bookmarkEnd w:id="64"/>
          </w:p>
        </w:tc>
        <w:tc>
          <w:tcPr>
            <w:tcW w:w="1220" w:type="dxa"/>
          </w:tcPr>
          <w:p>
            <w:pPr>
              <w:autoSpaceDE w:val="0"/>
              <w:jc w:val="center"/>
              <w:rPr>
                <w:rFonts w:asciiTheme="minorEastAsia" w:hAnsiTheme="minorEastAsia" w:cstheme="minorEastAsia"/>
                <w:kern w:val="0"/>
                <w:szCs w:val="21"/>
              </w:rPr>
            </w:pPr>
            <w:bookmarkStart w:id="65" w:name="货物一览表_procurementBudget"/>
            <w:r>
              <w:rPr>
                <w:rFonts w:asciiTheme="minorEastAsia" w:eastAsiaTheme="minorEastAsia" w:hAnsiTheme="minorEastAsia" w:cstheme="minorEastAsia" w:hint="eastAsia"/>
                <w:kern w:val="0"/>
                <w:szCs w:val="21"/>
              </w:rPr>
              <w:t>采购预算（元）</w:t>
            </w:r>
            <w:bookmarkEnd w:id="65"/>
          </w:p>
        </w:tc>
        <w:tc>
          <w:tcPr>
            <w:tcW w:w="1329" w:type="dxa"/>
          </w:tcPr>
          <w:p>
            <w:pPr>
              <w:autoSpaceDE w:val="0"/>
              <w:jc w:val="center"/>
              <w:rPr>
                <w:rFonts w:asciiTheme="minorEastAsia" w:hAnsiTheme="minorEastAsia" w:cstheme="minorEastAsia" w:hint="eastAsia"/>
                <w:kern w:val="0"/>
                <w:szCs w:val="21"/>
              </w:rPr>
            </w:pPr>
            <w:bookmarkStart w:id="6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6"/>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7" w:name="货物一览表_remark"/>
            <w:r>
              <w:rPr>
                <w:rFonts w:asciiTheme="minorEastAsia" w:eastAsiaTheme="minorEastAsia" w:hAnsiTheme="minorEastAsia" w:cstheme="minorEastAsia" w:hint="eastAsia"/>
                <w:kern w:val="0"/>
                <w:szCs w:val="21"/>
              </w:rPr>
              <w:t>备注</w:t>
            </w:r>
            <w:bookmarkEnd w:id="67"/>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涡动梯度观测系统</w:t>
            </w:r>
          </w:p>
        </w:tc>
        <w:tc>
          <w:tcPr/>
          <w:p>
            <w:pPr>
              <w:autoSpaceDE w:val="0"/>
              <w:jc w:val="center"/>
              <w:rPr>
                <w:rFonts w:asciiTheme="minorEastAsia" w:hAnsiTheme="minorEastAsia" w:cstheme="minorEastAsia"/>
                <w:kern w:val="0"/>
                <w:szCs w:val="21"/>
              </w:rPr>
            </w:pPr>
            <w:r>
              <w:t>10</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14,750,000.00</w:t>
            </w:r>
          </w:p>
        </w:tc>
        <w:tc>
          <w:tcPr/>
          <w:p>
            <w:pPr>
              <w:autoSpaceDE w:val="0"/>
              <w:jc w:val="center"/>
              <w:rPr>
                <w:rFonts w:asciiTheme="minorEastAsia" w:hAnsiTheme="minorEastAsia" w:cstheme="minorEastAsia" w:hint="eastAsia"/>
                <w:kern w:val="0"/>
                <w:szCs w:val="21"/>
              </w:rPr>
            </w:pPr>
            <w:r>
              <w:t>90</w:t>
            </w:r>
          </w:p>
        </w:tc>
        <w:tc>
          <w:tcPr/>
          <w:p>
            <w:pPr>
              <w:autoSpaceDE w:val="0"/>
              <w:autoSpaceDN w:val="0"/>
              <w:adjustRightInd w:val="0"/>
              <w:spacing w:before="48"/>
              <w:ind w:right="-20"/>
              <w:jc w:val="center"/>
              <w:rPr>
                <w:rFonts w:asciiTheme="minorEastAsia" w:hAnsiTheme="minorEastAsia" w:cstheme="minorEastAsia"/>
                <w:kern w:val="0"/>
                <w:szCs w:val="21"/>
              </w:rPr>
            </w:pPr>
            <w:r>
              <w:t>无</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14,750,000.00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376"/>
        <w:gridCol w:w="1640"/>
        <w:gridCol w:w="1098"/>
        <w:gridCol w:w="376"/>
        <w:gridCol w:w="857"/>
        <w:gridCol w:w="715"/>
        <w:gridCol w:w="737"/>
        <w:gridCol w:w="2723"/>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8"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vMerge w:val="restart"/>
          </w:tcPr>
          <w:p>
            <w:r>
              <w:t>山西省气候中心(001034013)</w:t>
            </w:r>
          </w:p>
        </w:tc>
        <w:tc>
          <w:tcPr/>
          <w:p>
            <w:r>
              <w:t>涡动梯度观测系统</w:t>
            </w:r>
          </w:p>
        </w:tc>
        <w:tc>
          <w:tcPr/>
          <w:p>
            <w:r>
              <w:t>2</w:t>
            </w:r>
          </w:p>
        </w:tc>
        <w:tc>
          <w:tcPr/>
          <w:p>
            <w:r>
              <w:t>2940000.00</w:t>
            </w:r>
          </w:p>
        </w:tc>
        <w:tc>
          <w:tcPr>
            <w:vMerge w:val="restart"/>
          </w:tcPr>
          <w:p>
            <w:r>
              <w:t xml:space="preserve">2940000.00  </w:t>
            </w:r>
          </w:p>
        </w:tc>
        <w:tc>
          <w:tcPr/>
          <w:p>
            <w:r>
              <w:t>运城，临汾</w:t>
            </w:r>
          </w:p>
        </w:tc>
        <w:tc>
          <w:tcPr/>
          <w:p>
            <w:r>
              <w:t>山西省气候中心赵海燕18636667215</w:t>
            </w:r>
          </w:p>
        </w:tc>
      </w:tr>
      <w:tr>
        <w:tblPrEx>
          <w:tblW w:w="5000" w:type="pct"/>
          <w:tblCellMar>
            <w:left w:w="108" w:type="dxa"/>
            <w:right w:w="108" w:type="dxa"/>
          </w:tblCellMar>
        </w:tblPrEx>
        <w:tc>
          <w:tcPr/>
          <w:p>
            <w:r>
              <w:t>2</w:t>
            </w:r>
          </w:p>
        </w:tc>
        <w:tc>
          <w:tcPr>
            <w:vMerge w:val="restart"/>
          </w:tcPr>
          <w:p>
            <w:r>
              <w:t>省大探中心(001041017)</w:t>
            </w:r>
          </w:p>
        </w:tc>
        <w:tc>
          <w:tcPr/>
          <w:p>
            <w:r>
              <w:t>涡动梯度观测系统</w:t>
            </w:r>
          </w:p>
        </w:tc>
        <w:tc>
          <w:tcPr/>
          <w:p>
            <w:r>
              <w:t>2</w:t>
            </w:r>
          </w:p>
        </w:tc>
        <w:tc>
          <w:tcPr/>
          <w:p>
            <w:r>
              <w:t>2990000.00</w:t>
            </w:r>
          </w:p>
        </w:tc>
        <w:tc>
          <w:tcPr>
            <w:vMerge w:val="restart"/>
          </w:tcPr>
          <w:p>
            <w:r>
              <w:t xml:space="preserve">2990000.00 </w:t>
            </w:r>
          </w:p>
        </w:tc>
        <w:tc>
          <w:tcPr/>
          <w:p>
            <w:r>
              <w:t>龙游，庆元</w:t>
            </w:r>
          </w:p>
        </w:tc>
        <w:tc>
          <w:tcPr/>
          <w:p>
            <w:r>
              <w:t>浙江省大气探测技术保障中心王明明18268153689</w:t>
            </w:r>
          </w:p>
        </w:tc>
      </w:tr>
      <w:tr>
        <w:tblPrEx>
          <w:tblW w:w="5000" w:type="pct"/>
          <w:tblCellMar>
            <w:left w:w="108" w:type="dxa"/>
            <w:right w:w="108" w:type="dxa"/>
          </w:tblCellMar>
        </w:tblPrEx>
        <w:tc>
          <w:tcPr/>
          <w:p>
            <w:r>
              <w:t>3</w:t>
            </w:r>
          </w:p>
        </w:tc>
        <w:tc>
          <w:tcPr>
            <w:vMerge w:val="restart"/>
          </w:tcPr>
          <w:p>
            <w:r>
              <w:t>探测中心(001044022)</w:t>
            </w:r>
          </w:p>
        </w:tc>
        <w:tc>
          <w:tcPr/>
          <w:p>
            <w:r>
              <w:t>涡动梯度观测系统</w:t>
            </w:r>
          </w:p>
        </w:tc>
        <w:tc>
          <w:tcPr/>
          <w:p>
            <w:r>
              <w:t>1</w:t>
            </w:r>
          </w:p>
        </w:tc>
        <w:tc>
          <w:tcPr/>
          <w:p>
            <w:r>
              <w:t>1470000.00</w:t>
            </w:r>
          </w:p>
        </w:tc>
        <w:tc>
          <w:tcPr>
            <w:vMerge w:val="restart"/>
          </w:tcPr>
          <w:p>
            <w:r>
              <w:t xml:space="preserve">1470000.00  </w:t>
            </w:r>
          </w:p>
        </w:tc>
        <w:tc>
          <w:tcPr/>
          <w:p>
            <w:r>
              <w:t>九江都昌县</w:t>
            </w:r>
          </w:p>
        </w:tc>
        <w:tc>
          <w:tcPr/>
          <w:p>
            <w:r>
              <w:t>江西省气象探测中心计博严15070812213</w:t>
            </w:r>
          </w:p>
        </w:tc>
      </w:tr>
      <w:tr>
        <w:tblPrEx>
          <w:tblW w:w="5000" w:type="pct"/>
          <w:tblCellMar>
            <w:left w:w="108" w:type="dxa"/>
            <w:right w:w="108" w:type="dxa"/>
          </w:tblCellMar>
        </w:tblPrEx>
        <w:tc>
          <w:tcPr/>
          <w:p>
            <w:r>
              <w:t>4</w:t>
            </w:r>
          </w:p>
        </w:tc>
        <w:tc>
          <w:tcPr>
            <w:vMerge w:val="restart"/>
          </w:tcPr>
          <w:p>
            <w:r>
              <w:t>德州市局(001045034)</w:t>
            </w:r>
          </w:p>
        </w:tc>
        <w:tc>
          <w:tcPr/>
          <w:p>
            <w:r>
              <w:t>涡动梯度观测系统</w:t>
            </w:r>
          </w:p>
        </w:tc>
        <w:tc>
          <w:tcPr/>
          <w:p>
            <w:r>
              <w:t>1</w:t>
            </w:r>
          </w:p>
        </w:tc>
        <w:tc>
          <w:tcPr/>
          <w:p>
            <w:r>
              <w:t>1470000.00</w:t>
            </w:r>
          </w:p>
        </w:tc>
        <w:tc>
          <w:tcPr>
            <w:vMerge w:val="restart"/>
          </w:tcPr>
          <w:p>
            <w:r>
              <w:t xml:space="preserve">1470000.00 </w:t>
            </w:r>
          </w:p>
        </w:tc>
        <w:tc>
          <w:tcPr/>
          <w:p>
            <w:r>
              <w:t>陵城</w:t>
            </w:r>
          </w:p>
        </w:tc>
        <w:tc>
          <w:tcPr/>
          <w:p>
            <w:r>
              <w:t>山东省德州市气象局张庆19520586356</w:t>
            </w:r>
          </w:p>
        </w:tc>
      </w:tr>
      <w:tr>
        <w:tblPrEx>
          <w:tblW w:w="5000" w:type="pct"/>
          <w:tblCellMar>
            <w:left w:w="108" w:type="dxa"/>
            <w:right w:w="108" w:type="dxa"/>
          </w:tblCellMar>
        </w:tblPrEx>
        <w:tc>
          <w:tcPr/>
          <w:p>
            <w:r>
              <w:t>5</w:t>
            </w:r>
          </w:p>
        </w:tc>
        <w:tc>
          <w:tcPr/>
          <w:p>
            <w:r>
              <w:t>新乡市局(001046029)</w:t>
            </w:r>
          </w:p>
        </w:tc>
        <w:tc>
          <w:tcPr/>
          <w:p>
            <w:r>
              <w:t>涡动梯度观测系统</w:t>
            </w:r>
          </w:p>
        </w:tc>
        <w:tc>
          <w:tcPr/>
          <w:p>
            <w:r>
              <w:t>1</w:t>
            </w:r>
          </w:p>
        </w:tc>
        <w:tc>
          <w:tcPr/>
          <w:p>
            <w:r>
              <w:t>1470000.00</w:t>
            </w:r>
          </w:p>
        </w:tc>
        <w:tc>
          <w:tcPr/>
          <w:p>
            <w:r>
              <w:t xml:space="preserve">1470000.00  </w:t>
            </w:r>
          </w:p>
        </w:tc>
        <w:tc>
          <w:tcPr/>
          <w:p>
            <w:r>
              <w:t>中原农谷</w:t>
            </w:r>
          </w:p>
        </w:tc>
        <w:tc>
          <w:tcPr/>
          <w:p>
            <w:r>
              <w:t>新乡市气象局马进15737990800</w:t>
            </w:r>
          </w:p>
        </w:tc>
      </w:tr>
      <w:tr>
        <w:tblPrEx>
          <w:tblW w:w="5000" w:type="pct"/>
          <w:tblCellMar>
            <w:left w:w="108" w:type="dxa"/>
            <w:right w:w="108" w:type="dxa"/>
          </w:tblCellMar>
        </w:tblPrEx>
        <w:tc>
          <w:tcPr/>
          <w:p>
            <w:r>
              <w:t>6</w:t>
            </w:r>
          </w:p>
        </w:tc>
        <w:tc>
          <w:tcPr/>
          <w:p>
            <w:r>
              <w:t>科研所(001057013)</w:t>
            </w:r>
          </w:p>
        </w:tc>
        <w:tc>
          <w:tcPr/>
          <w:p>
            <w:r>
              <w:t>涡动梯度观测系统</w:t>
            </w:r>
          </w:p>
        </w:tc>
        <w:tc>
          <w:tcPr/>
          <w:p>
            <w:r>
              <w:t>2</w:t>
            </w:r>
          </w:p>
        </w:tc>
        <w:tc>
          <w:tcPr/>
          <w:p>
            <w:r>
              <w:t>2940000.00</w:t>
            </w:r>
          </w:p>
        </w:tc>
        <w:tc>
          <w:tcPr/>
          <w:p>
            <w:r>
              <w:t xml:space="preserve">2940000.00 </w:t>
            </w:r>
          </w:p>
        </w:tc>
        <w:tc>
          <w:tcPr/>
          <w:p>
            <w:r>
              <w:t>共和，杂多</w:t>
            </w:r>
          </w:p>
        </w:tc>
        <w:tc>
          <w:tcPr/>
          <w:p>
            <w:r>
              <w:t>青海省气象科学研究所姬海娟13770539067</w:t>
            </w:r>
          </w:p>
        </w:tc>
      </w:tr>
      <w:tr>
        <w:tblPrEx>
          <w:tblW w:w="5000" w:type="pct"/>
          <w:tblCellMar>
            <w:left w:w="108" w:type="dxa"/>
            <w:right w:w="108" w:type="dxa"/>
          </w:tblCellMar>
        </w:tblPrEx>
        <w:tc>
          <w:tcPr/>
          <w:p>
            <w:r>
              <w:t>7</w:t>
            </w:r>
          </w:p>
        </w:tc>
        <w:tc>
          <w:tcPr/>
          <w:p>
            <w:r>
              <w:t>固原市局(001058025)</w:t>
            </w:r>
          </w:p>
        </w:tc>
        <w:tc>
          <w:tcPr/>
          <w:p>
            <w:r>
              <w:t>涡动梯度观测系统</w:t>
            </w:r>
          </w:p>
        </w:tc>
        <w:tc>
          <w:tcPr/>
          <w:p>
            <w:r>
              <w:t>1</w:t>
            </w:r>
          </w:p>
        </w:tc>
        <w:tc>
          <w:tcPr/>
          <w:p>
            <w:r>
              <w:t>1470000.00</w:t>
            </w:r>
          </w:p>
        </w:tc>
        <w:tc>
          <w:tcPr/>
          <w:p>
            <w:r>
              <w:t xml:space="preserve">1470000.00  </w:t>
            </w:r>
          </w:p>
        </w:tc>
        <w:tc>
          <w:tcPr/>
          <w:p>
            <w:r>
              <w:t>隆德县</w:t>
            </w:r>
          </w:p>
        </w:tc>
        <w:tc>
          <w:tcPr/>
          <w:p>
            <w:r>
              <w:t>宁夏固原市气象局陈利伟18009549510</w:t>
            </w:r>
          </w:p>
        </w:tc>
      </w:tr>
    </w:tbl>
    <w:p w:rsidR="00A77B3E"/>
    <w:p>
      <w:pPr>
        <w:spacing w:line="360" w:lineRule="auto"/>
        <w:rPr>
          <w:rFonts w:ascii="宋体" w:hAnsi="宋体"/>
          <w:szCs w:val="21"/>
        </w:rPr>
      </w:pPr>
      <w:bookmarkEnd w:id="68"/>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rsidR="00B56C95">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rsidR="00B56C95">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rsidR="00B56C95">
      <w:pPr>
        <w:ind w:firstLine="560" w:firstLineChars="200"/>
        <w:rPr>
          <w:rFonts w:ascii="仿宋" w:eastAsia="仿宋" w:hAnsi="仿宋" w:cs="仿宋"/>
          <w:sz w:val="28"/>
          <w:szCs w:val="20"/>
        </w:rPr>
      </w:pPr>
      <w:r>
        <w:rPr>
          <w:rFonts w:ascii="仿宋" w:eastAsia="仿宋" w:hAnsi="仿宋" w:cs="仿宋" w:hint="eastAsia"/>
          <w:sz w:val="28"/>
          <w:szCs w:val="20"/>
        </w:rPr>
        <w:t>依据中国气象局《2</w:t>
      </w:r>
      <w:r>
        <w:rPr>
          <w:rFonts w:ascii="仿宋" w:eastAsia="仿宋" w:hAnsi="仿宋" w:cs="仿宋"/>
          <w:sz w:val="28"/>
          <w:szCs w:val="20"/>
        </w:rPr>
        <w:t>025</w:t>
      </w:r>
      <w:r>
        <w:rPr>
          <w:rFonts w:ascii="仿宋" w:eastAsia="仿宋" w:hAnsi="仿宋" w:cs="仿宋" w:hint="eastAsia"/>
          <w:sz w:val="28"/>
          <w:szCs w:val="20"/>
        </w:rPr>
        <w:t>年站网和雷达工程建设初步设计安排》，在青海、</w:t>
      </w:r>
      <w:r w:rsidR="00A930E1">
        <w:rPr>
          <w:rFonts w:ascii="仿宋" w:eastAsia="仿宋" w:hAnsi="仿宋" w:cs="仿宋" w:hint="eastAsia"/>
          <w:sz w:val="28"/>
          <w:szCs w:val="20"/>
        </w:rPr>
        <w:t>江西</w:t>
      </w:r>
      <w:r>
        <w:rPr>
          <w:rFonts w:ascii="仿宋" w:eastAsia="仿宋" w:hAnsi="仿宋" w:cs="仿宋" w:hint="eastAsia"/>
          <w:sz w:val="28"/>
          <w:szCs w:val="20"/>
        </w:rPr>
        <w:t>、浙江、</w:t>
      </w:r>
      <w:r w:rsidR="00A930E1">
        <w:rPr>
          <w:rFonts w:ascii="仿宋" w:eastAsia="仿宋" w:hAnsi="仿宋" w:cs="仿宋" w:hint="eastAsia"/>
          <w:sz w:val="28"/>
          <w:szCs w:val="20"/>
        </w:rPr>
        <w:t>山东</w:t>
      </w:r>
      <w:r>
        <w:rPr>
          <w:rFonts w:ascii="仿宋" w:eastAsia="仿宋" w:hAnsi="仿宋" w:cs="仿宋" w:hint="eastAsia"/>
          <w:sz w:val="28"/>
          <w:szCs w:val="20"/>
        </w:rPr>
        <w:t>等</w:t>
      </w:r>
      <w:r w:rsidR="00A930E1">
        <w:rPr>
          <w:rFonts w:ascii="仿宋" w:eastAsia="仿宋" w:hAnsi="仿宋" w:cs="仿宋"/>
          <w:sz w:val="28"/>
          <w:szCs w:val="20"/>
        </w:rPr>
        <w:t>7</w:t>
      </w:r>
      <w:r>
        <w:rPr>
          <w:rFonts w:ascii="仿宋" w:eastAsia="仿宋" w:hAnsi="仿宋" w:cs="仿宋" w:hint="eastAsia"/>
          <w:sz w:val="28"/>
          <w:szCs w:val="20"/>
        </w:rPr>
        <w:t>省份共建设</w:t>
      </w:r>
      <w:r w:rsidR="00A930E1">
        <w:rPr>
          <w:rFonts w:ascii="仿宋" w:eastAsia="仿宋" w:hAnsi="仿宋" w:cs="仿宋"/>
          <w:sz w:val="28"/>
          <w:szCs w:val="20"/>
        </w:rPr>
        <w:t>10</w:t>
      </w:r>
      <w:r>
        <w:rPr>
          <w:rFonts w:ascii="仿宋" w:eastAsia="仿宋" w:hAnsi="仿宋" w:cs="仿宋" w:hint="eastAsia"/>
          <w:sz w:val="28"/>
          <w:szCs w:val="20"/>
        </w:rPr>
        <w:t>套涡动梯度观测系统，通过新建</w:t>
      </w:r>
      <w:r w:rsidR="00A930E1">
        <w:rPr>
          <w:rFonts w:ascii="仿宋" w:eastAsia="仿宋" w:hAnsi="仿宋" w:cs="仿宋"/>
          <w:sz w:val="28"/>
          <w:szCs w:val="20"/>
        </w:rPr>
        <w:t>10</w:t>
      </w:r>
      <w:r>
        <w:rPr>
          <w:rFonts w:ascii="仿宋" w:eastAsia="仿宋" w:hAnsi="仿宋" w:cs="仿宋" w:hint="eastAsia"/>
          <w:sz w:val="28"/>
          <w:szCs w:val="20"/>
        </w:rPr>
        <w:t>套涡动梯度观测系统，提升野外数据获取能力，提升气候与天气预测准确性，结合梯度观测，区分垂直传输与平流效应，深化对边界层过程的认知，为气象高质量发展提供数据和技术支撑</w:t>
      </w:r>
      <w:r w:rsidR="00572858">
        <w:rPr>
          <w:rFonts w:ascii="仿宋" w:eastAsia="仿宋" w:hAnsi="仿宋" w:cs="仿宋" w:hint="eastAsia"/>
          <w:sz w:val="28"/>
          <w:szCs w:val="20"/>
        </w:rPr>
        <w:t>。</w:t>
      </w:r>
    </w:p>
    <w:p w:rsidR="00B56C95">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rsidR="00B56C95">
      <w:pPr>
        <w:ind w:firstLine="560" w:firstLineChars="200"/>
        <w:rPr>
          <w:rFonts w:ascii="仿宋" w:eastAsia="仿宋" w:hAnsi="仿宋" w:cs="仿宋"/>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rsidR="00B56C95">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rsidR="00B56C95">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rsidR="00B56C95">
      <w:pPr>
        <w:ind w:firstLine="560" w:firstLineChars="200"/>
        <w:rPr>
          <w:rFonts w:ascii="仿宋" w:eastAsia="仿宋" w:hAnsi="仿宋" w:cs="仿宋"/>
          <w:sz w:val="28"/>
          <w:szCs w:val="20"/>
        </w:rPr>
      </w:pPr>
      <w:r w:rsidRPr="00EB5436">
        <w:rPr>
          <w:rFonts w:ascii="仿宋" w:eastAsia="仿宋" w:hAnsi="仿宋" w:cs="仿宋" w:hint="eastAsia"/>
          <w:sz w:val="28"/>
          <w:szCs w:val="20"/>
        </w:rPr>
        <w:t>设备供应商对每套投标产品提供至少2次技术培训，培训课时</w:t>
      </w:r>
      <w:r w:rsidRPr="00EB5436">
        <w:rPr>
          <w:rFonts w:ascii="仿宋" w:eastAsia="仿宋" w:hAnsi="仿宋" w:cs="仿宋"/>
          <w:sz w:val="28"/>
          <w:szCs w:val="20"/>
        </w:rPr>
        <w:t>不少于</w:t>
      </w:r>
      <w:r w:rsidR="00A930E1">
        <w:rPr>
          <w:rFonts w:ascii="仿宋" w:eastAsia="仿宋" w:hAnsi="仿宋" w:cs="仿宋"/>
          <w:sz w:val="28"/>
          <w:szCs w:val="20"/>
        </w:rPr>
        <w:t>10</w:t>
      </w:r>
      <w:r w:rsidRPr="00EB5436">
        <w:rPr>
          <w:rFonts w:ascii="仿宋" w:eastAsia="仿宋" w:hAnsi="仿宋" w:cs="仿宋" w:hint="eastAsia"/>
          <w:sz w:val="28"/>
          <w:szCs w:val="20"/>
        </w:rPr>
        <w:t>个</w:t>
      </w:r>
      <w:r w:rsidRPr="00EB5436">
        <w:rPr>
          <w:rFonts w:ascii="仿宋" w:eastAsia="仿宋" w:hAnsi="仿宋" w:cs="仿宋"/>
          <w:sz w:val="28"/>
          <w:szCs w:val="20"/>
        </w:rPr>
        <w:t>课时，培训人数不少于</w:t>
      </w:r>
      <w:r w:rsidR="00A930E1">
        <w:rPr>
          <w:rFonts w:ascii="仿宋" w:eastAsia="仿宋" w:hAnsi="仿宋" w:cs="仿宋"/>
          <w:sz w:val="28"/>
          <w:szCs w:val="20"/>
        </w:rPr>
        <w:t>10</w:t>
      </w:r>
      <w:r w:rsidRPr="00EB5436">
        <w:rPr>
          <w:rFonts w:ascii="仿宋" w:eastAsia="仿宋" w:hAnsi="仿宋" w:cs="仿宋" w:hint="eastAsia"/>
          <w:sz w:val="28"/>
          <w:szCs w:val="20"/>
        </w:rPr>
        <w:t>人</w:t>
      </w:r>
      <w:r w:rsidRPr="00EB5436">
        <w:rPr>
          <w:rFonts w:ascii="仿宋" w:eastAsia="仿宋" w:hAnsi="仿宋" w:cs="仿宋"/>
          <w:sz w:val="28"/>
          <w:szCs w:val="20"/>
        </w:rPr>
        <w:t>。</w:t>
      </w:r>
      <w:r w:rsidRPr="00EB5436">
        <w:rPr>
          <w:rFonts w:ascii="仿宋" w:eastAsia="仿宋" w:hAnsi="仿宋" w:cs="仿宋" w:hint="eastAsia"/>
          <w:sz w:val="28"/>
          <w:szCs w:val="20"/>
        </w:rPr>
        <w:t>培训内容包括设备安装、使用、日常维护、观测原理及产品应用，培训时间及</w:t>
      </w:r>
      <w:r>
        <w:rPr>
          <w:rFonts w:ascii="仿宋" w:eastAsia="仿宋" w:hAnsi="仿宋" w:cs="仿宋" w:hint="eastAsia"/>
          <w:sz w:val="28"/>
          <w:szCs w:val="20"/>
        </w:rPr>
        <w:t>地点双方协商确定。</w:t>
      </w:r>
    </w:p>
    <w:p w:rsidR="00B56C95">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rsidR="00B56C95">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w:t>
      </w:r>
      <w:r w:rsidR="00E52E49">
        <w:rPr>
          <w:rFonts w:ascii="仿宋" w:eastAsia="仿宋" w:hAnsi="仿宋" w:cs="仿宋" w:hint="eastAsia"/>
          <w:sz w:val="28"/>
          <w:szCs w:val="20"/>
        </w:rPr>
        <w:t>青海域内（共和、杂多）、山东域内（德州陵城）</w:t>
      </w:r>
      <w:r>
        <w:rPr>
          <w:rFonts w:ascii="仿宋" w:eastAsia="仿宋" w:hAnsi="仿宋" w:cs="仿宋" w:hint="eastAsia"/>
          <w:sz w:val="28"/>
          <w:szCs w:val="20"/>
        </w:rPr>
        <w:t>、</w:t>
      </w:r>
      <w:r w:rsidR="00220562">
        <w:rPr>
          <w:rFonts w:ascii="仿宋" w:eastAsia="仿宋" w:hAnsi="仿宋" w:cs="仿宋" w:hint="eastAsia"/>
          <w:sz w:val="28"/>
          <w:szCs w:val="20"/>
        </w:rPr>
        <w:t>浙江域内（龙游、庆元）、宁夏域内（固原隆德）、江西域内（九江都昌）、山西域内</w:t>
      </w:r>
      <w:r>
        <w:rPr>
          <w:rFonts w:ascii="仿宋" w:eastAsia="仿宋" w:hAnsi="仿宋" w:cs="仿宋" w:hint="eastAsia"/>
          <w:sz w:val="28"/>
          <w:szCs w:val="20"/>
        </w:rPr>
        <w:t>（运城、临汾）</w:t>
      </w:r>
      <w:r w:rsidR="00A930E1">
        <w:rPr>
          <w:rFonts w:ascii="仿宋" w:eastAsia="仿宋" w:hAnsi="仿宋" w:cs="仿宋" w:hint="eastAsia"/>
          <w:sz w:val="28"/>
          <w:szCs w:val="20"/>
        </w:rPr>
        <w:t>和河南（新乡中原农谷）</w:t>
      </w:r>
      <w:r>
        <w:rPr>
          <w:rFonts w:ascii="仿宋" w:eastAsia="仿宋" w:hAnsi="仿宋" w:cs="仿宋" w:hint="eastAsia"/>
          <w:sz w:val="28"/>
          <w:szCs w:val="20"/>
        </w:rPr>
        <w:t>（运输相关费用由供应商负责），并负责安装调试。</w:t>
      </w:r>
    </w:p>
    <w:p w:rsidR="00B56C95">
      <w:pPr>
        <w:ind w:left="559" w:leftChars="266"/>
        <w:rPr>
          <w:rFonts w:ascii="仿宋" w:eastAsia="仿宋" w:hAnsi="仿宋" w:cs="仿宋"/>
          <w:b/>
          <w:bCs/>
          <w:sz w:val="28"/>
          <w:szCs w:val="20"/>
        </w:rPr>
      </w:pPr>
      <w:r>
        <w:rPr>
          <w:rFonts w:ascii="仿宋" w:eastAsia="仿宋" w:hAnsi="仿宋" w:cs="仿宋" w:hint="eastAsia"/>
          <w:sz w:val="28"/>
          <w:szCs w:val="20"/>
        </w:rPr>
        <w:t>合同签订后</w:t>
      </w:r>
      <w:r w:rsidR="00A930E1">
        <w:rPr>
          <w:rFonts w:ascii="仿宋" w:eastAsia="仿宋" w:hAnsi="仿宋" w:cs="仿宋"/>
          <w:sz w:val="28"/>
          <w:szCs w:val="20"/>
        </w:rPr>
        <w:t>90</w:t>
      </w:r>
      <w:r>
        <w:rPr>
          <w:rFonts w:ascii="仿宋" w:eastAsia="仿宋" w:hAnsi="仿宋" w:cs="仿宋" w:hint="eastAsia"/>
          <w:sz w:val="28"/>
          <w:szCs w:val="20"/>
        </w:rPr>
        <w:t>天内完成供货、安装调试并具备验收条件。</w:t>
      </w:r>
      <w:r>
        <w:rPr>
          <w:rFonts w:ascii="仿宋" w:eastAsia="仿宋" w:hAnsi="仿宋" w:cs="仿宋" w:hint="eastAsia"/>
          <w:sz w:val="28"/>
          <w:szCs w:val="20"/>
        </w:rPr>
        <w:br/>
      </w:r>
      <w:r>
        <w:rPr>
          <w:rFonts w:ascii="仿宋" w:eastAsia="仿宋" w:hAnsi="仿宋" w:cs="仿宋" w:hint="eastAsia"/>
          <w:b/>
          <w:bCs/>
          <w:sz w:val="28"/>
          <w:szCs w:val="20"/>
        </w:rPr>
        <w:t>五、服务团队要求</w:t>
      </w:r>
    </w:p>
    <w:p w:rsidR="00B56C95">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rsidR="00B56C95">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rsidR="00E52E49">
      <w:pPr>
        <w:ind w:firstLine="560" w:firstLineChars="200"/>
        <w:rPr>
          <w:rFonts w:ascii="仿宋" w:eastAsia="仿宋" w:hAnsi="仿宋" w:cs="仿宋"/>
          <w:sz w:val="28"/>
          <w:szCs w:val="20"/>
        </w:rPr>
      </w:pPr>
      <w:r>
        <w:rPr>
          <w:rFonts w:ascii="仿宋" w:eastAsia="仿宋" w:hAnsi="仿宋" w:cs="仿宋" w:hint="eastAsia"/>
          <w:sz w:val="28"/>
          <w:szCs w:val="20"/>
        </w:rPr>
        <w:t>设备软件兼容性强，支持U</w:t>
      </w:r>
      <w:r>
        <w:rPr>
          <w:rFonts w:ascii="仿宋" w:eastAsia="仿宋" w:hAnsi="仿宋" w:cs="仿宋"/>
          <w:sz w:val="28"/>
          <w:szCs w:val="20"/>
        </w:rPr>
        <w:t>DP</w:t>
      </w:r>
      <w:r>
        <w:rPr>
          <w:rFonts w:ascii="仿宋" w:eastAsia="仿宋" w:hAnsi="仿宋" w:cs="仿宋" w:hint="eastAsia"/>
          <w:sz w:val="28"/>
          <w:szCs w:val="20"/>
        </w:rPr>
        <w:t>、T</w:t>
      </w:r>
      <w:r>
        <w:rPr>
          <w:rFonts w:ascii="仿宋" w:eastAsia="仿宋" w:hAnsi="仿宋" w:cs="仿宋"/>
          <w:sz w:val="28"/>
          <w:szCs w:val="20"/>
        </w:rPr>
        <w:t>CP</w:t>
      </w:r>
      <w:r>
        <w:rPr>
          <w:rFonts w:ascii="仿宋" w:eastAsia="仿宋" w:hAnsi="仿宋" w:cs="仿宋" w:hint="eastAsia"/>
          <w:sz w:val="28"/>
          <w:szCs w:val="20"/>
        </w:rPr>
        <w:t>等协议，可无缝接入局域网，也可接入互联网网络系统，实现与局域网或者互联网网络系统、大数据云平台无缝接入，完全符合甲方相关要求和规范，保证其系统的兼容性和功能的完整性。</w:t>
      </w:r>
    </w:p>
    <w:p w:rsidR="00B56C95">
      <w:pPr>
        <w:ind w:firstLine="560" w:firstLineChars="200"/>
        <w:rPr>
          <w:rFonts w:ascii="仿宋" w:eastAsia="仿宋" w:hAnsi="仿宋" w:cs="仿宋"/>
          <w:sz w:val="28"/>
          <w:szCs w:val="20"/>
        </w:rPr>
      </w:pPr>
      <w:r>
        <w:rPr>
          <w:rFonts w:ascii="仿宋" w:eastAsia="仿宋" w:hAnsi="仿宋" w:cs="仿宋" w:hint="eastAsia"/>
          <w:b/>
          <w:bCs/>
          <w:sz w:val="28"/>
          <w:szCs w:val="20"/>
        </w:rPr>
        <w:t>七、其他</w:t>
      </w:r>
    </w:p>
    <w:p w:rsidR="00B56C95">
      <w:pPr>
        <w:ind w:firstLine="560" w:firstLineChars="200"/>
        <w:rPr>
          <w:rFonts w:ascii="仿宋" w:eastAsia="仿宋" w:hAnsi="仿宋" w:cs="仿宋"/>
          <w:sz w:val="28"/>
          <w:szCs w:val="20"/>
        </w:rPr>
      </w:pPr>
      <w:r w:rsidRPr="00572858">
        <w:rPr>
          <w:rFonts w:ascii="仿宋" w:eastAsia="仿宋" w:hAnsi="仿宋" w:cs="仿宋" w:hint="eastAsia"/>
          <w:sz w:val="28"/>
          <w:szCs w:val="20"/>
        </w:rPr>
        <w:t>本项目招标代理费用由中标单位承担；项目采购内容包括仪器设备采购（含8年质保费用）、仪器设备建设安装以及8年运维费用、土地使用费、电磁环境测试、选址勘查费、数据传输等与此项目建设及维护相关内容。</w:t>
      </w:r>
    </w:p>
    <w:p w:rsidR="00A77B3E"/>
    <w:p>
      <w:pPr>
        <w:adjustRightInd w:val="0"/>
        <w:snapToGrid w:val="0"/>
        <w:spacing w:line="360" w:lineRule="auto"/>
        <w:jc w:val="center"/>
        <w:outlineLvl w:val="1"/>
        <w:rPr>
          <w:rFonts w:hint="default"/>
          <w:b/>
          <w:bCs/>
          <w:sz w:val="30"/>
          <w:szCs w:val="30"/>
        </w:rPr>
        <w:sectPr>
          <w:type w:val="nextPage"/>
          <w:pgSz w:w="11906" w:h="16838"/>
          <w:pgMar w:top="2154" w:right="1474" w:bottom="2041" w:left="1587" w:header="709" w:footer="1417" w:gutter="0"/>
          <w:cols w:space="708"/>
          <w:docGrid w:type="linesAndChars" w:linePitch="579" w:charSpace="-849"/>
        </w:sectPr>
      </w:pPr>
      <w:bookmarkEnd w:id="59"/>
    </w:p>
    <w:p>
      <w:pPr>
        <w:tabs>
          <w:tab w:val="left" w:pos="1573"/>
        </w:tabs>
        <w:adjustRightInd w:val="0"/>
        <w:snapToGrid w:val="0"/>
        <w:spacing w:line="360" w:lineRule="auto"/>
        <w:jc w:val="center"/>
        <w:outlineLvl w:val="1"/>
        <w:rPr>
          <w:b/>
          <w:bCs/>
          <w:sz w:val="30"/>
          <w:szCs w:val="30"/>
        </w:rPr>
      </w:pPr>
      <w:bookmarkStart w:id="69" w:name="投标被拒绝条款专用部分_JJTK"/>
      <w:r>
        <w:rPr>
          <w:rFonts w:hint="eastAsia"/>
          <w:b/>
          <w:sz w:val="30"/>
          <w:szCs w:val="30"/>
        </w:rPr>
        <w:t>第八章  投标被拒绝条款专用部分</w:t>
      </w:r>
    </w:p>
    <w:p>
      <w:pPr>
        <w:adjustRightInd w:val="0"/>
        <w:snapToGrid w:val="0"/>
        <w:spacing w:before="156" w:beforeLines="50" w:line="360" w:lineRule="auto"/>
        <w:ind w:firstLine="420"/>
        <w:rPr>
          <w:rFonts w:ascii="宋体" w:hAnsi="宋体"/>
          <w:szCs w:val="21"/>
        </w:rPr>
      </w:pPr>
      <w:r>
        <w:rPr>
          <w:rFonts w:ascii="宋体" w:hAnsi="宋体" w:hint="eastAsia"/>
          <w:szCs w:val="21"/>
        </w:rPr>
        <w:t>本项目投标被拒绝专用条款详见下表。除下表及</w:t>
      </w:r>
      <w:r>
        <w:rPr>
          <w:rFonts w:ascii="黑体" w:eastAsia="黑体" w:hAnsi="黑体" w:hint="eastAsia"/>
          <w:b/>
          <w:bCs/>
          <w:szCs w:val="21"/>
        </w:rPr>
        <w:t>第三章投标被拒绝条款通用部分</w:t>
      </w:r>
      <w:r>
        <w:rPr>
          <w:rFonts w:ascii="宋体" w:hAnsi="宋体" w:hint="eastAsia"/>
          <w:szCs w:val="21"/>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vAlign w:val="center"/>
          </w:tcPr>
          <w:p>
            <w:pPr>
              <w:rPr>
                <w:sz w:val="18"/>
                <w:szCs w:val="18"/>
              </w:rPr>
            </w:pPr>
            <w:r>
              <w:rPr>
                <w:rFonts w:hint="eastAsia"/>
                <w:sz w:val="18"/>
                <w:szCs w:val="18"/>
              </w:rPr>
              <w:t>序号</w:t>
            </w:r>
          </w:p>
        </w:tc>
        <w:tc>
          <w:tcPr>
            <w:tcW w:w="898" w:type="dxa"/>
            <w:vAlign w:val="center"/>
          </w:tcPr>
          <w:p>
            <w:pPr>
              <w:jc w:val="center"/>
              <w:rPr>
                <w:sz w:val="18"/>
                <w:szCs w:val="18"/>
              </w:rPr>
            </w:pPr>
            <w:r>
              <w:rPr>
                <w:rFonts w:hint="eastAsia"/>
                <w:sz w:val="18"/>
                <w:szCs w:val="18"/>
              </w:rPr>
              <w:t>对应</w:t>
            </w:r>
          </w:p>
          <w:p>
            <w:pPr>
              <w:jc w:val="center"/>
              <w:rPr>
                <w:sz w:val="18"/>
                <w:szCs w:val="18"/>
              </w:rPr>
            </w:pPr>
            <w:r>
              <w:rPr>
                <w:rFonts w:hint="eastAsia"/>
                <w:sz w:val="18"/>
                <w:szCs w:val="18"/>
              </w:rPr>
              <w:t>条款号</w:t>
            </w:r>
          </w:p>
        </w:tc>
        <w:tc>
          <w:tcPr>
            <w:tcW w:w="7347" w:type="dxa"/>
            <w:vAlign w:val="center"/>
          </w:tcPr>
          <w:p>
            <w:pPr>
              <w:jc w:val="center"/>
              <w:rPr>
                <w:sz w:val="18"/>
                <w:szCs w:val="18"/>
              </w:rPr>
            </w:pPr>
            <w:r>
              <w:rPr>
                <w:rFonts w:hint="eastAsia"/>
                <w:sz w:val="18"/>
                <w:szCs w:val="18"/>
              </w:rPr>
              <w:t>内 容</w:t>
            </w:r>
          </w:p>
        </w:tc>
      </w:tr>
      <w:tr>
        <w:tblPrEx>
          <w:tblW w:w="0" w:type="auto"/>
          <w:tblInd w:w="0" w:type="dxa"/>
          <w:tblLayout w:type="fixed"/>
          <w:tblCellMar>
            <w:top w:w="0" w:type="dxa"/>
            <w:left w:w="108" w:type="dxa"/>
            <w:bottom w:w="0" w:type="dxa"/>
            <w:right w:w="108" w:type="dxa"/>
          </w:tblCellMar>
        </w:tblPrEx>
        <w:trPr>
          <w:cantSplit/>
        </w:trPr>
        <w:tc>
          <w:tcPr>
            <w:tcW w:w="8789" w:type="dxa"/>
            <w:gridSpan w:val="3"/>
            <w:vAlign w:val="center"/>
          </w:tcPr>
          <w:p>
            <w:pPr>
              <w:jc w:val="center"/>
              <w:rPr>
                <w:b/>
                <w:sz w:val="18"/>
                <w:szCs w:val="18"/>
              </w:rPr>
            </w:pPr>
            <w:r>
              <w:rPr>
                <w:rFonts w:hint="eastAsia"/>
                <w:b/>
                <w:sz w:val="18"/>
                <w:szCs w:val="18"/>
              </w:rPr>
              <w:t>第五章 投标人须知专用部分</w:t>
            </w:r>
          </w:p>
        </w:tc>
      </w:tr>
      <w:tr>
        <w:tblPrEx>
          <w:tblW w:w="0" w:type="auto"/>
          <w:tblInd w:w="0" w:type="dxa"/>
          <w:tblLayout w:type="fixed"/>
          <w:tblCellMar>
            <w:top w:w="0" w:type="dxa"/>
            <w:left w:w="108" w:type="dxa"/>
            <w:bottom w:w="0" w:type="dxa"/>
            <w:right w:w="108" w:type="dxa"/>
          </w:tblCellMar>
        </w:tblPrEx>
        <w:trPr>
          <w:cantSplit/>
        </w:trPr>
        <w:tc>
          <w:tcPr>
            <w:tcW w:w="544" w:type="dxa"/>
            <w:vAlign w:val="center"/>
          </w:tcPr>
          <w:p>
            <w:pPr>
              <w:numPr>
                <w:ilvl w:val="0"/>
                <w:numId w:val="14"/>
              </w:numPr>
              <w:rPr>
                <w:rFonts w:ascii="宋体" w:hAnsi="宋体"/>
                <w:sz w:val="18"/>
                <w:szCs w:val="18"/>
              </w:rPr>
            </w:pPr>
          </w:p>
        </w:tc>
        <w:tc>
          <w:tcPr>
            <w:tcW w:w="898" w:type="dxa"/>
            <w:vAlign w:val="center"/>
          </w:tcPr>
          <w:p>
            <w:pPr>
              <w:jc w:val="center"/>
              <w:rPr>
                <w:rFonts w:ascii="仿宋" w:eastAsia="仿宋" w:hAnsi="仿宋" w:cs="仿宋"/>
                <w:sz w:val="28"/>
                <w:highlight w:val="yellow"/>
              </w:rPr>
            </w:pPr>
          </w:p>
        </w:tc>
        <w:tc>
          <w:tcPr>
            <w:tcW w:w="7347" w:type="dxa"/>
          </w:tcPr>
          <w:p>
            <w:pPr>
              <w:tabs>
                <w:tab w:val="left" w:pos="709"/>
              </w:tabs>
              <w:spacing w:line="360" w:lineRule="auto"/>
              <w:jc w:val="left"/>
              <w:rPr>
                <w:rFonts w:ascii="仿宋" w:eastAsia="仿宋" w:hAnsi="仿宋" w:cs="仿宋"/>
                <w:sz w:val="28"/>
                <w:highlight w:val="yellow"/>
              </w:rPr>
            </w:pPr>
            <w:r>
              <w:rPr>
                <w:rFonts w:ascii="仿宋" w:eastAsia="仿宋" w:hAnsi="仿宋" w:cs="仿宋" w:hint="eastAsia"/>
                <w:sz w:val="28"/>
                <w:highlight w:val="yellow"/>
              </w:rPr>
              <w:t>投标</w:t>
            </w:r>
            <w:r>
              <w:rPr>
                <w:rFonts w:ascii="仿宋" w:eastAsia="仿宋" w:hAnsi="仿宋" w:cs="仿宋" w:hint="eastAsia"/>
                <w:sz w:val="28"/>
                <w:highlight w:val="yellow"/>
                <w:lang w:val="en-US" w:eastAsia="zh-CN"/>
              </w:rPr>
              <w:t>产品</w:t>
            </w:r>
            <w:r>
              <w:rPr>
                <w:rFonts w:ascii="仿宋" w:eastAsia="仿宋" w:hAnsi="仿宋" w:cs="仿宋" w:hint="eastAsia"/>
                <w:sz w:val="28"/>
                <w:highlight w:val="yellow"/>
              </w:rPr>
              <w:t>应具有以下到投标截止日仍在有效期内的资质：通量观测仪（水、二氧化碳气体分析仪加三维超声风）</w:t>
            </w:r>
          </w:p>
        </w:tc>
      </w:tr>
      <w:tr>
        <w:tblPrEx>
          <w:tblW w:w="0" w:type="auto"/>
          <w:tblInd w:w="0" w:type="dxa"/>
          <w:tblLayout w:type="fixed"/>
          <w:tblCellMar>
            <w:top w:w="0" w:type="dxa"/>
            <w:left w:w="108" w:type="dxa"/>
            <w:bottom w:w="0" w:type="dxa"/>
            <w:right w:w="108" w:type="dxa"/>
          </w:tblCellMar>
        </w:tblPrEx>
        <w:trPr>
          <w:cantSplit/>
        </w:trPr>
        <w:tc>
          <w:tcPr>
            <w:tcW w:w="544" w:type="dxa"/>
            <w:vAlign w:val="center"/>
          </w:tcPr>
          <w:p>
            <w:pPr>
              <w:numPr>
                <w:ilvl w:val="0"/>
                <w:numId w:val="14"/>
              </w:numPr>
              <w:rPr>
                <w:rFonts w:ascii="宋体" w:hAnsi="宋体"/>
                <w:sz w:val="18"/>
                <w:szCs w:val="18"/>
              </w:rPr>
            </w:pPr>
          </w:p>
        </w:tc>
        <w:tc>
          <w:tcPr>
            <w:tcW w:w="898" w:type="dxa"/>
            <w:vAlign w:val="center"/>
          </w:tcPr>
          <w:p>
            <w:pPr>
              <w:jc w:val="center"/>
              <w:rPr>
                <w:rFonts w:ascii="宋体" w:hAnsi="宋体"/>
                <w:sz w:val="18"/>
                <w:szCs w:val="18"/>
              </w:rPr>
            </w:pPr>
            <w:r>
              <w:rPr>
                <w:rFonts w:ascii="宋体" w:hAnsi="宋体"/>
                <w:sz w:val="18"/>
                <w:szCs w:val="18"/>
              </w:rPr>
              <w:t>……</w:t>
            </w:r>
          </w:p>
        </w:tc>
        <w:tc>
          <w:tcPr>
            <w:tcW w:w="7347" w:type="dxa"/>
            <w:vAlign w:val="center"/>
          </w:tcPr>
          <w:p>
            <w:pPr>
              <w:rPr>
                <w:rFonts w:cs="微软雅黑"/>
                <w:b/>
                <w:color w:val="0000FF"/>
                <w:kern w:val="0"/>
                <w:sz w:val="18"/>
                <w:szCs w:val="18"/>
              </w:rPr>
            </w:pPr>
            <w:r>
              <w:rPr>
                <w:rFonts w:cs="微软雅黑"/>
                <w:b/>
                <w:color w:val="0000FF"/>
                <w:kern w:val="0"/>
                <w:sz w:val="18"/>
                <w:szCs w:val="18"/>
              </w:rPr>
              <w:t>……</w:t>
            </w:r>
          </w:p>
        </w:tc>
      </w:tr>
      <w:tr>
        <w:tblPrEx>
          <w:tblW w:w="0" w:type="auto"/>
          <w:tblInd w:w="0" w:type="dxa"/>
          <w:tblLayout w:type="fixed"/>
          <w:tblCellMar>
            <w:top w:w="0" w:type="dxa"/>
            <w:left w:w="108" w:type="dxa"/>
            <w:bottom w:w="0" w:type="dxa"/>
            <w:right w:w="108" w:type="dxa"/>
          </w:tblCellMar>
        </w:tblPrEx>
        <w:trPr>
          <w:cantSplit/>
        </w:trPr>
        <w:tc>
          <w:tcPr>
            <w:tcW w:w="544" w:type="dxa"/>
            <w:vAlign w:val="center"/>
          </w:tcPr>
          <w:p>
            <w:pPr>
              <w:numPr>
                <w:ilvl w:val="0"/>
                <w:numId w:val="14"/>
              </w:numPr>
              <w:rPr>
                <w:rFonts w:ascii="宋体" w:hAnsi="宋体"/>
                <w:sz w:val="18"/>
                <w:szCs w:val="18"/>
              </w:rPr>
            </w:pPr>
          </w:p>
        </w:tc>
        <w:tc>
          <w:tcPr>
            <w:tcW w:w="898" w:type="dxa"/>
            <w:vAlign w:val="center"/>
          </w:tcPr>
          <w:p>
            <w:pPr>
              <w:jc w:val="center"/>
              <w:rPr>
                <w:rFonts w:ascii="宋体" w:hAnsi="宋体"/>
                <w:sz w:val="18"/>
                <w:szCs w:val="18"/>
              </w:rPr>
            </w:pPr>
            <w:r>
              <w:rPr>
                <w:rFonts w:ascii="宋体" w:hAnsi="宋体"/>
                <w:sz w:val="18"/>
                <w:szCs w:val="18"/>
              </w:rPr>
              <w:t>……</w:t>
            </w:r>
          </w:p>
        </w:tc>
        <w:tc>
          <w:tcPr>
            <w:tcW w:w="7347" w:type="dxa"/>
            <w:vAlign w:val="center"/>
          </w:tcPr>
          <w:p>
            <w:pPr>
              <w:tabs>
                <w:tab w:val="left" w:pos="709"/>
              </w:tabs>
              <w:spacing w:line="360" w:lineRule="auto"/>
              <w:jc w:val="left"/>
              <w:rPr>
                <w:rFonts w:ascii="宋体" w:hAnsi="宋体" w:cs="微软雅黑"/>
                <w:b/>
                <w:color w:val="0000FF"/>
                <w:kern w:val="0"/>
                <w:sz w:val="18"/>
                <w:szCs w:val="18"/>
              </w:rPr>
            </w:pPr>
            <w:r>
              <w:rPr>
                <w:rFonts w:ascii="宋体" w:hAnsi="宋体" w:cs="微软雅黑"/>
                <w:b/>
                <w:color w:val="0000FF"/>
                <w:kern w:val="0"/>
                <w:sz w:val="18"/>
                <w:szCs w:val="18"/>
              </w:rPr>
              <w:t>……</w:t>
            </w:r>
          </w:p>
        </w:tc>
      </w:tr>
      <w:tr>
        <w:tblPrEx>
          <w:tblW w:w="0" w:type="auto"/>
          <w:tblInd w:w="0" w:type="dxa"/>
          <w:tblLayout w:type="fixed"/>
          <w:tblCellMar>
            <w:top w:w="0" w:type="dxa"/>
            <w:left w:w="108" w:type="dxa"/>
            <w:bottom w:w="0" w:type="dxa"/>
            <w:right w:w="108" w:type="dxa"/>
          </w:tblCellMar>
        </w:tblPrEx>
        <w:trPr>
          <w:cantSplit/>
        </w:trPr>
        <w:tc>
          <w:tcPr>
            <w:tcW w:w="544" w:type="dxa"/>
            <w:vAlign w:val="center"/>
          </w:tcPr>
          <w:p>
            <w:pPr>
              <w:numPr>
                <w:ilvl w:val="0"/>
                <w:numId w:val="14"/>
              </w:numPr>
              <w:rPr>
                <w:rFonts w:ascii="宋体" w:hAnsi="宋体"/>
                <w:sz w:val="18"/>
                <w:szCs w:val="18"/>
              </w:rPr>
            </w:pPr>
          </w:p>
        </w:tc>
        <w:tc>
          <w:tcPr>
            <w:tcW w:w="898" w:type="dxa"/>
            <w:vAlign w:val="center"/>
          </w:tcPr>
          <w:p>
            <w:pPr>
              <w:jc w:val="center"/>
              <w:rPr>
                <w:rFonts w:ascii="宋体" w:hAnsi="宋体"/>
                <w:sz w:val="18"/>
                <w:szCs w:val="18"/>
              </w:rPr>
            </w:pPr>
            <w:r>
              <w:rPr>
                <w:rFonts w:ascii="宋体" w:hAnsi="宋体"/>
                <w:sz w:val="18"/>
                <w:szCs w:val="18"/>
              </w:rPr>
              <w:t>……</w:t>
            </w:r>
          </w:p>
        </w:tc>
        <w:tc>
          <w:tcPr>
            <w:tcW w:w="7347" w:type="dxa"/>
            <w:vAlign w:val="center"/>
          </w:tcPr>
          <w:p>
            <w:pPr>
              <w:tabs>
                <w:tab w:val="left" w:pos="709"/>
              </w:tabs>
              <w:spacing w:line="360" w:lineRule="auto"/>
              <w:jc w:val="left"/>
              <w:rPr>
                <w:rFonts w:ascii="宋体" w:hAnsi="宋体" w:cs="微软雅黑"/>
                <w:b/>
                <w:color w:val="0000FF"/>
                <w:kern w:val="0"/>
                <w:sz w:val="18"/>
                <w:szCs w:val="18"/>
              </w:rPr>
            </w:pPr>
            <w:r>
              <w:rPr>
                <w:rFonts w:ascii="宋体" w:hAnsi="宋体" w:cs="微软雅黑"/>
                <w:b/>
                <w:color w:val="0000FF"/>
                <w:kern w:val="0"/>
                <w:sz w:val="18"/>
                <w:szCs w:val="18"/>
              </w:rPr>
              <w:t>……</w:t>
            </w:r>
          </w:p>
        </w:tc>
      </w:tr>
      <w:tr>
        <w:tblPrEx>
          <w:tblW w:w="0" w:type="auto"/>
          <w:tblInd w:w="0" w:type="dxa"/>
          <w:tblLayout w:type="fixed"/>
          <w:tblCellMar>
            <w:top w:w="0" w:type="dxa"/>
            <w:left w:w="108" w:type="dxa"/>
            <w:bottom w:w="0" w:type="dxa"/>
            <w:right w:w="108" w:type="dxa"/>
          </w:tblCellMar>
        </w:tblPrEx>
        <w:trPr>
          <w:cantSplit/>
        </w:trPr>
        <w:tc>
          <w:tcPr>
            <w:tcW w:w="544" w:type="dxa"/>
            <w:vAlign w:val="center"/>
          </w:tcPr>
          <w:p>
            <w:pPr>
              <w:numPr>
                <w:ilvl w:val="0"/>
                <w:numId w:val="14"/>
              </w:numPr>
              <w:rPr>
                <w:rFonts w:ascii="宋体" w:hAnsi="宋体"/>
                <w:sz w:val="18"/>
                <w:szCs w:val="18"/>
              </w:rPr>
            </w:pPr>
          </w:p>
        </w:tc>
        <w:tc>
          <w:tcPr>
            <w:tcW w:w="898" w:type="dxa"/>
            <w:vAlign w:val="center"/>
          </w:tcPr>
          <w:p>
            <w:pPr>
              <w:jc w:val="center"/>
              <w:rPr>
                <w:rFonts w:ascii="宋体" w:hAnsi="宋体"/>
                <w:sz w:val="18"/>
                <w:szCs w:val="18"/>
              </w:rPr>
            </w:pPr>
            <w:r>
              <w:rPr>
                <w:rFonts w:ascii="宋体" w:hAnsi="宋体"/>
                <w:sz w:val="18"/>
                <w:szCs w:val="18"/>
              </w:rPr>
              <w:t>……</w:t>
            </w:r>
          </w:p>
        </w:tc>
        <w:tc>
          <w:tcPr>
            <w:tcW w:w="7347" w:type="dxa"/>
            <w:vAlign w:val="center"/>
          </w:tcPr>
          <w:p>
            <w:pPr>
              <w:tabs>
                <w:tab w:val="left" w:pos="709"/>
              </w:tabs>
              <w:spacing w:line="360" w:lineRule="auto"/>
              <w:jc w:val="left"/>
              <w:rPr>
                <w:rFonts w:ascii="宋体" w:hAnsi="宋体" w:cs="微软雅黑"/>
                <w:b/>
                <w:color w:val="0000FF"/>
                <w:kern w:val="0"/>
                <w:sz w:val="18"/>
                <w:szCs w:val="18"/>
              </w:rPr>
            </w:pPr>
            <w:r>
              <w:rPr>
                <w:rFonts w:ascii="宋体" w:hAnsi="宋体" w:cs="微软雅黑" w:hint="eastAsia"/>
                <w:b/>
                <w:color w:val="0000FF"/>
                <w:kern w:val="0"/>
                <w:sz w:val="18"/>
                <w:szCs w:val="18"/>
              </w:rPr>
              <w:t>……</w:t>
            </w:r>
            <w:r>
              <w:rPr>
                <w:rFonts w:ascii="宋体" w:hAnsi="宋体" w:cs="微软雅黑"/>
                <w:b/>
                <w:color w:val="0000FF"/>
                <w:kern w:val="0"/>
                <w:sz w:val="18"/>
                <w:szCs w:val="18"/>
              </w:rPr>
              <w:t xml:space="preserve">      ……            ……</w:t>
            </w:r>
          </w:p>
        </w:tc>
      </w:tr>
      <w:tr>
        <w:tblPrEx>
          <w:tblW w:w="0" w:type="auto"/>
          <w:tblInd w:w="0" w:type="dxa"/>
          <w:tblLayout w:type="fixed"/>
          <w:tblCellMar>
            <w:top w:w="0" w:type="dxa"/>
            <w:left w:w="108" w:type="dxa"/>
            <w:bottom w:w="0" w:type="dxa"/>
            <w:right w:w="108" w:type="dxa"/>
          </w:tblCellMar>
        </w:tblPrEx>
        <w:trPr>
          <w:cantSplit/>
        </w:trPr>
        <w:tc>
          <w:tcPr>
            <w:tcW w:w="8789" w:type="dxa"/>
            <w:gridSpan w:val="3"/>
            <w:vAlign w:val="center"/>
          </w:tcPr>
          <w:p>
            <w:pPr>
              <w:jc w:val="center"/>
              <w:rPr>
                <w:sz w:val="18"/>
                <w:szCs w:val="18"/>
              </w:rPr>
            </w:pPr>
            <w:r>
              <w:rPr>
                <w:rFonts w:hint="eastAsia"/>
                <w:b/>
                <w:sz w:val="18"/>
                <w:szCs w:val="18"/>
              </w:rPr>
              <w:t>第七章  采购需求</w:t>
            </w:r>
          </w:p>
        </w:tc>
      </w:tr>
      <w:tr>
        <w:tblPrEx>
          <w:tblW w:w="0" w:type="auto"/>
          <w:tblInd w:w="0" w:type="dxa"/>
          <w:tblLayout w:type="fixed"/>
          <w:tblCellMar>
            <w:top w:w="0" w:type="dxa"/>
            <w:left w:w="108" w:type="dxa"/>
            <w:bottom w:w="0" w:type="dxa"/>
            <w:right w:w="108" w:type="dxa"/>
          </w:tblCellMar>
        </w:tblPrEx>
        <w:trPr>
          <w:cantSplit/>
        </w:trPr>
        <w:tc>
          <w:tcPr>
            <w:tcW w:w="544" w:type="dxa"/>
            <w:vAlign w:val="center"/>
          </w:tcPr>
          <w:p>
            <w:pPr>
              <w:numPr>
                <w:ilvl w:val="0"/>
                <w:numId w:val="14"/>
              </w:numPr>
              <w:rPr>
                <w:rFonts w:ascii="宋体" w:hAnsi="宋体"/>
                <w:sz w:val="18"/>
                <w:szCs w:val="18"/>
              </w:rPr>
            </w:pPr>
          </w:p>
        </w:tc>
        <w:tc>
          <w:tcPr>
            <w:tcW w:w="898" w:type="dxa"/>
            <w:vAlign w:val="center"/>
          </w:tcPr>
          <w:p>
            <w:pPr>
              <w:jc w:val="center"/>
              <w:rPr>
                <w:rFonts w:ascii="宋体" w:hAnsi="宋体"/>
                <w:sz w:val="18"/>
                <w:szCs w:val="18"/>
              </w:rPr>
            </w:pPr>
            <w:r>
              <w:rPr>
                <w:rFonts w:ascii="宋体" w:hAnsi="宋体"/>
                <w:sz w:val="18"/>
                <w:szCs w:val="18"/>
              </w:rPr>
              <w:t>……</w:t>
            </w:r>
          </w:p>
        </w:tc>
        <w:tc>
          <w:tcPr>
            <w:tcW w:w="7347" w:type="dxa"/>
            <w:vAlign w:val="center"/>
          </w:tcPr>
          <w:p>
            <w:pPr>
              <w:tabs>
                <w:tab w:val="left" w:pos="709"/>
              </w:tabs>
              <w:spacing w:line="360" w:lineRule="auto"/>
              <w:jc w:val="left"/>
              <w:rPr>
                <w:rFonts w:ascii="宋体" w:hAnsi="宋体"/>
                <w:sz w:val="18"/>
                <w:szCs w:val="18"/>
              </w:rPr>
            </w:pPr>
            <w:r>
              <w:rPr>
                <w:rFonts w:ascii="仿宋" w:eastAsia="仿宋" w:hAnsi="仿宋" w:cs="仿宋" w:hint="eastAsia"/>
                <w:sz w:val="28"/>
                <w:highlight w:val="yellow"/>
              </w:rPr>
              <w:t>设备供应商对所有设备提供自验收合格后8年的质保服务*</w:t>
            </w:r>
          </w:p>
        </w:tc>
      </w:tr>
    </w:tbl>
    <w:p>
      <w:pPr>
        <w:spacing w:before="156" w:beforeLines="50" w:line="360" w:lineRule="auto"/>
        <w:ind w:firstLine="420"/>
      </w:pPr>
      <w:r>
        <w:rPr>
          <w:rFonts w:ascii="宋体" w:hAnsi="宋体" w:hint="eastAsia"/>
          <w:szCs w:val="21"/>
        </w:rPr>
        <w:t>注：根据项目具体情况，对投标人有具体要求，且投标人必须遵守的，逐条列出。</w:t>
      </w:r>
    </w:p>
    <w:p w:rsidR="00A77B3E"/>
    <w:p>
      <w:pPr>
        <w:tabs>
          <w:tab w:val="left" w:pos="1573"/>
        </w:tabs>
        <w:adjustRightInd w:val="0"/>
        <w:snapToGrid w:val="0"/>
        <w:spacing w:line="360" w:lineRule="auto"/>
        <w:jc w:val="center"/>
        <w:outlineLvl w:val="1"/>
        <w:rPr>
          <w:b/>
          <w:bCs/>
          <w:sz w:val="30"/>
          <w:szCs w:val="30"/>
        </w:rPr>
        <w:sectPr>
          <w:headerReference w:type="default" r:id="rId6"/>
          <w:footerReference w:type="default" r:id="rId7"/>
          <w:pgSz w:w="11906" w:h="16838"/>
          <w:pgMar w:top="1440" w:right="1800" w:bottom="1440" w:left="1800" w:header="851" w:footer="992" w:gutter="0"/>
          <w:cols w:space="708"/>
          <w:docGrid w:type="lines" w:linePitch="312"/>
        </w:sectPr>
      </w:pPr>
      <w:bookmarkEnd w:id="6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pPr>
        <w:numPr>
          <w:ilvl w:val="0"/>
          <w:numId w:val="5"/>
        </w:numPr>
        <w:spacing w:line="360" w:lineRule="auto"/>
        <w:ind w:firstLine="3066" w:firstLineChars="1460"/>
        <w:jc w:val="left"/>
        <w:rPr>
          <w:rFonts w:hint="eastAsia"/>
          <w:b/>
          <w:bCs/>
          <w:szCs w:val="21"/>
          <w:highlight w:val="none"/>
        </w:rPr>
      </w:pPr>
      <w:bookmarkStart w:id="70" w:name="采购公告合同部分_ZBGGHT"/>
      <w:r>
        <w:rPr>
          <w:rFonts w:hint="eastAsia"/>
          <w:b/>
          <w:bCs/>
          <w:szCs w:val="21"/>
          <w:highlight w:val="none"/>
        </w:rPr>
        <w:t xml:space="preserve"> 采购合同</w:t>
      </w:r>
    </w:p>
    <w:p>
      <w:pPr>
        <w:numPr>
          <w:numId w:val="0"/>
        </w:numPr>
        <w:spacing w:line="360" w:lineRule="auto"/>
        <w:ind w:left="1680" w:firstLine="420" w:leftChars="0" w:firstLineChars="0"/>
        <w:jc w:val="left"/>
        <w:rPr>
          <w:rFonts w:hint="eastAsia"/>
          <w:b/>
          <w:bCs/>
          <w:szCs w:val="21"/>
          <w:highlight w:val="none"/>
        </w:rPr>
      </w:pPr>
      <w:r>
        <w:rPr>
          <w:rFonts w:hint="eastAsia"/>
          <w:b/>
          <w:bCs/>
          <w:szCs w:val="21"/>
          <w:highlight w:val="none"/>
        </w:rPr>
        <w:t>必须明确合同金额支付条件及支付比例</w:t>
      </w:r>
    </w:p>
    <w:p>
      <w:pPr>
        <w:pStyle w:val="BodyText"/>
        <w:spacing w:after="0"/>
        <w:jc w:val="center"/>
        <w:rPr>
          <w:rFonts w:ascii="宋体" w:hAnsi="宋体" w:cs="宋体"/>
          <w:b/>
          <w:bCs/>
          <w:spacing w:val="-20"/>
          <w:kern w:val="44"/>
          <w:sz w:val="48"/>
          <w:szCs w:val="48"/>
          <w:highlight w:val="none"/>
        </w:rPr>
      </w:pPr>
      <w:r>
        <w:rPr>
          <w:b/>
          <w:bCs/>
          <w:szCs w:val="21"/>
          <w:highlight w:val="none"/>
        </w:rPr>
        <w:br w:type="page"/>
      </w:r>
      <w:bookmarkStart w:id="71" w:name="_Toc3995"/>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政府采购货物买卖合同</w:t>
      </w:r>
    </w:p>
    <w:p>
      <w:pPr>
        <w:pStyle w:val="BodyText"/>
        <w:spacing w:after="0"/>
        <w:jc w:val="center"/>
        <w:rPr>
          <w:rFonts w:ascii="宋体" w:hAnsi="宋体" w:cs="宋体"/>
          <w:b/>
          <w:bCs/>
          <w:spacing w:val="-20"/>
          <w:kern w:val="44"/>
          <w:sz w:val="48"/>
          <w:szCs w:val="48"/>
          <w:highlight w:val="none"/>
        </w:rPr>
      </w:pPr>
      <w:r>
        <w:rPr>
          <w:rFonts w:ascii="宋体" w:hAnsi="宋体" w:cs="宋体" w:hint="eastAsia"/>
          <w:b/>
          <w:bCs/>
          <w:spacing w:val="-20"/>
          <w:kern w:val="44"/>
          <w:sz w:val="48"/>
          <w:szCs w:val="48"/>
          <w:highlight w:val="none"/>
        </w:rPr>
        <w:t>（试行）</w:t>
      </w: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rPr>
          <w:rFonts w:ascii="宋体" w:hAnsi="宋体" w:cs="宋体"/>
          <w:b/>
          <w:bCs/>
          <w:spacing w:val="-20"/>
          <w:kern w:val="44"/>
          <w:sz w:val="40"/>
          <w:szCs w:val="40"/>
          <w:highlight w:val="none"/>
        </w:rPr>
      </w:pPr>
    </w:p>
    <w:p>
      <w:pPr>
        <w:spacing w:line="360" w:lineRule="auto"/>
        <w:ind w:left="420" w:leftChars="200"/>
        <w:rPr>
          <w:sz w:val="32"/>
          <w:szCs w:val="32"/>
          <w:highlight w:val="none"/>
        </w:rPr>
      </w:pPr>
      <w:r>
        <w:rPr>
          <w:rFonts w:ascii="宋体" w:hAnsi="宋体" w:cs="宋体" w:hint="eastAsia"/>
          <w:kern w:val="0"/>
          <w:sz w:val="32"/>
          <w:szCs w:val="32"/>
          <w:highlight w:val="none"/>
        </w:rPr>
        <w:t>项目名称：</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合同编号：</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甲    方：</w:t>
      </w:r>
      <w:r>
        <w:rPr>
          <w:rFonts w:hint="eastAsia"/>
          <w:sz w:val="32"/>
          <w:szCs w:val="32"/>
          <w:highlight w:val="none"/>
          <w:u w:val="single"/>
        </w:rPr>
        <w:t xml:space="preserve">                             </w:t>
      </w:r>
    </w:p>
    <w:p>
      <w:pPr>
        <w:spacing w:line="360" w:lineRule="auto"/>
        <w:ind w:left="420" w:leftChars="200"/>
        <w:rPr>
          <w:sz w:val="32"/>
          <w:szCs w:val="32"/>
          <w:highlight w:val="none"/>
          <w:u w:val="single"/>
        </w:rPr>
      </w:pPr>
      <w:r>
        <w:rPr>
          <w:rFonts w:hint="eastAsia"/>
          <w:sz w:val="32"/>
          <w:szCs w:val="32"/>
          <w:highlight w:val="none"/>
        </w:rPr>
        <w:t>乙    方：</w:t>
      </w:r>
      <w:r>
        <w:rPr>
          <w:rFonts w:hint="eastAsia"/>
          <w:sz w:val="32"/>
          <w:szCs w:val="32"/>
          <w:highlight w:val="none"/>
          <w:u w:val="single"/>
        </w:rPr>
        <w:t xml:space="preserve">                             </w:t>
      </w:r>
    </w:p>
    <w:p>
      <w:pPr>
        <w:spacing w:line="360" w:lineRule="auto"/>
        <w:ind w:left="420" w:leftChars="200"/>
        <w:rPr>
          <w:sz w:val="32"/>
          <w:szCs w:val="32"/>
          <w:highlight w:val="none"/>
        </w:rPr>
      </w:pPr>
      <w:r>
        <w:rPr>
          <w:rFonts w:hint="eastAsia"/>
          <w:sz w:val="32"/>
          <w:szCs w:val="32"/>
          <w:highlight w:val="none"/>
        </w:rPr>
        <w:t>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p>
    <w:p>
      <w:pPr>
        <w:rPr>
          <w:highlight w:val="none"/>
        </w:rPr>
      </w:pPr>
    </w:p>
    <w:p>
      <w:pPr>
        <w:rPr>
          <w:rFonts w:eastAsia="黑体"/>
          <w:sz w:val="44"/>
          <w:szCs w:val="44"/>
          <w:highlight w:val="none"/>
        </w:rPr>
      </w:pPr>
      <w:r>
        <w:rPr>
          <w:rFonts w:eastAsia="黑体"/>
          <w:sz w:val="44"/>
          <w:szCs w:val="44"/>
          <w:highlight w:val="none"/>
        </w:rPr>
        <w:br w:type="page"/>
      </w:r>
    </w:p>
    <w:p>
      <w:pPr>
        <w:rPr>
          <w:rFonts w:eastAsia="黑体"/>
          <w:sz w:val="44"/>
          <w:szCs w:val="44"/>
          <w:highlight w:val="none"/>
        </w:rPr>
      </w:pPr>
    </w:p>
    <w:p>
      <w:pPr>
        <w:rPr>
          <w:rFonts w:eastAsia="黑体"/>
          <w:sz w:val="44"/>
          <w:szCs w:val="44"/>
          <w:highlight w:val="none"/>
        </w:rPr>
      </w:pPr>
    </w:p>
    <w:p>
      <w:pPr>
        <w:jc w:val="center"/>
        <w:rPr>
          <w:rFonts w:eastAsia="黑体"/>
          <w:sz w:val="44"/>
          <w:szCs w:val="44"/>
          <w:highlight w:val="none"/>
        </w:rPr>
      </w:pPr>
      <w:r>
        <w:rPr>
          <w:rFonts w:eastAsia="黑体" w:hint="eastAsia"/>
          <w:sz w:val="44"/>
          <w:szCs w:val="44"/>
          <w:highlight w:val="none"/>
        </w:rPr>
        <w:t>使 用 说 明</w:t>
      </w:r>
    </w:p>
    <w:p>
      <w:pPr>
        <w:ind w:firstLine="640" w:firstLineChars="200"/>
        <w:rPr>
          <w:rFonts w:ascii="仿宋_GB2312" w:eastAsia="仿宋_GB2312" w:hAnsi="仿宋_GB2312" w:cs="仿宋_GB2312"/>
          <w:sz w:val="32"/>
          <w:szCs w:val="32"/>
          <w:highlight w:val="none"/>
        </w:rPr>
      </w:pP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1.本合同标准文本适用于购买现成货物的采购项目，不包括需要供应商定制开发、创新研发的货物采购项目。</w:t>
      </w:r>
    </w:p>
    <w:p>
      <w:pPr>
        <w:rPr>
          <w:rFonts w:eastAsia="黑体"/>
          <w:sz w:val="44"/>
          <w:szCs w:val="44"/>
          <w:highlight w:val="none"/>
        </w:rPr>
      </w:pPr>
      <w:r>
        <w:rPr>
          <w:rFonts w:eastAsia="黑体" w:hint="eastAsia"/>
          <w:sz w:val="44"/>
          <w:szCs w:val="44"/>
          <w:highlight w:val="none"/>
        </w:rPr>
        <w:t xml:space="preserve">   </w:t>
      </w:r>
      <w:r>
        <w:rPr>
          <w:rFonts w:ascii="仿宋_GB2312" w:eastAsia="仿宋_GB2312" w:hAnsi="仿宋_GB2312" w:cs="仿宋_GB2312" w:hint="eastAsia"/>
          <w:sz w:val="32"/>
          <w:szCs w:val="32"/>
          <w:highlight w:val="none"/>
        </w:rPr>
        <w:t>2.本合同标准文本为政府采购货物买卖合同编制提供参考，可以结合采购项目具体情况，对文本作必要的调整修订后使用。</w:t>
      </w:r>
    </w:p>
    <w:p>
      <w:pPr>
        <w:ind w:firstLine="640" w:firstLineChars="200"/>
        <w:rPr>
          <w:rFonts w:ascii="仿宋_GB2312" w:eastAsia="仿宋_GB2312" w:hAnsi="仿宋_GB2312" w:cs="仿宋_GB2312"/>
          <w:sz w:val="32"/>
          <w:szCs w:val="32"/>
          <w:highlight w:val="none"/>
        </w:rPr>
      </w:pPr>
      <w:r>
        <w:rPr>
          <w:rFonts w:ascii="仿宋_GB2312" w:eastAsia="仿宋_GB2312" w:hAnsi="仿宋_GB2312" w:cs="仿宋_GB2312" w:hint="eastAsia"/>
          <w:sz w:val="32"/>
          <w:szCs w:val="32"/>
          <w:highlight w:val="none"/>
        </w:rPr>
        <w:t>3.本合同标准文本各条款中，如涉及填写多家供应商、制造商，多种采购标的、分包主要内容等信息的，可根据采购项目具体情况添加信息项。</w:t>
      </w:r>
    </w:p>
    <w:p>
      <w:pPr>
        <w:ind w:firstLine="0" w:firstLineChars="0"/>
        <w:rPr>
          <w:rFonts w:eastAsia="黑体"/>
          <w:sz w:val="44"/>
          <w:szCs w:val="44"/>
          <w:highlight w:val="none"/>
        </w:rPr>
        <w:sectPr>
          <w:pgSz w:w="11906" w:h="16838"/>
          <w:pgMar w:top="1440" w:right="1800" w:bottom="1440" w:left="1800" w:header="851" w:footer="992" w:gutter="0"/>
          <w:cols w:num="1" w:space="425"/>
          <w:docGrid w:type="lines" w:linePitch="312" w:charSpace="0"/>
        </w:sectPr>
      </w:pPr>
    </w:p>
    <w:bookmarkEnd w:id="71"/>
    <w:p>
      <w:pPr>
        <w:pStyle w:val="Heading2"/>
        <w:numPr>
          <w:ilvl w:val="0"/>
          <w:numId w:val="0"/>
        </w:numPr>
        <w:adjustRightInd w:val="0"/>
        <w:snapToGrid w:val="0"/>
        <w:spacing w:line="400" w:lineRule="exact"/>
        <w:jc w:val="center"/>
        <w:rPr>
          <w:rFonts w:ascii="黑体" w:hAnsi="华文中宋"/>
          <w:b w:val="0"/>
          <w:bCs w:val="0"/>
          <w:sz w:val="28"/>
          <w:szCs w:val="28"/>
          <w:highlight w:val="none"/>
        </w:rPr>
      </w:pPr>
      <w:bookmarkStart w:id="72" w:name="_Toc22209"/>
      <w:r>
        <w:rPr>
          <w:rFonts w:ascii="黑体" w:hAnsi="黑体" w:hint="eastAsia"/>
          <w:b w:val="0"/>
          <w:bCs w:val="0"/>
          <w:sz w:val="28"/>
          <w:szCs w:val="28"/>
          <w:highlight w:val="none"/>
        </w:rPr>
        <w:t xml:space="preserve">第一节 </w:t>
      </w:r>
      <w:r>
        <w:rPr>
          <w:rFonts w:ascii="黑体" w:hAnsi="华文中宋" w:hint="eastAsia"/>
          <w:b w:val="0"/>
          <w:bCs w:val="0"/>
          <w:sz w:val="28"/>
          <w:szCs w:val="28"/>
          <w:highlight w:val="none"/>
        </w:rPr>
        <w:t>政府采购合同协议书</w:t>
      </w:r>
      <w:bookmarkEnd w:id="72"/>
    </w:p>
    <w:p>
      <w:pPr>
        <w:adjustRightInd w:val="0"/>
        <w:snapToGrid w:val="0"/>
        <w:spacing w:line="400" w:lineRule="exact"/>
        <w:rPr>
          <w:rFonts w:ascii="宋体" w:hAnsi="宋体"/>
          <w:szCs w:val="21"/>
          <w:highlight w:val="none"/>
        </w:rPr>
      </w:pPr>
      <w:r>
        <w:rPr>
          <w:rFonts w:ascii="宋体" w:hAnsi="宋体" w:hint="eastAsia"/>
          <w:szCs w:val="21"/>
          <w:highlight w:val="none"/>
        </w:rPr>
        <w:t>甲方（全称）：</w:t>
      </w:r>
      <w:r>
        <w:rPr>
          <w:rFonts w:ascii="宋体" w:hAnsi="宋体" w:hint="eastAsia"/>
          <w:szCs w:val="21"/>
          <w:highlight w:val="none"/>
          <w:u w:val="single"/>
        </w:rPr>
        <w:t xml:space="preserve">                        </w:t>
      </w:r>
      <w:r>
        <w:rPr>
          <w:rFonts w:ascii="宋体" w:hAnsi="宋体" w:hint="eastAsia"/>
          <w:szCs w:val="21"/>
          <w:highlight w:val="none"/>
        </w:rPr>
        <w:t>（采购人、受采购人委托签订合同的单位或采购</w:t>
      </w:r>
      <w:r>
        <w:rPr>
          <w:rFonts w:ascii="宋体" w:hAnsi="宋体" w:hint="eastAsia"/>
          <w:szCs w:val="21"/>
          <w:highlight w:val="none"/>
        </w:rPr>
        <w:tab/>
      </w:r>
      <w:r>
        <w:rPr>
          <w:rFonts w:ascii="宋体" w:hAnsi="宋体" w:hint="eastAsia"/>
          <w:szCs w:val="21"/>
          <w:highlight w:val="none"/>
        </w:rPr>
        <w:t xml:space="preserve">                                   文件约定的合同甲方）</w:t>
      </w:r>
    </w:p>
    <w:p>
      <w:pPr>
        <w:adjustRightInd w:val="0"/>
        <w:snapToGrid w:val="0"/>
        <w:spacing w:line="400" w:lineRule="exact"/>
        <w:rPr>
          <w:rFonts w:ascii="宋体" w:hAnsi="宋体"/>
          <w:szCs w:val="21"/>
          <w:highlight w:val="none"/>
        </w:rPr>
      </w:pPr>
      <w:r>
        <w:rPr>
          <w:rFonts w:ascii="宋体" w:hAnsi="宋体" w:hint="eastAsia"/>
          <w:szCs w:val="21"/>
          <w:highlight w:val="none"/>
        </w:rPr>
        <w:t>乙方1（全称）：</w:t>
      </w:r>
      <w:r>
        <w:rPr>
          <w:rFonts w:ascii="宋体" w:hAnsi="宋体" w:hint="eastAsia"/>
          <w:szCs w:val="21"/>
          <w:highlight w:val="none"/>
          <w:u w:val="single"/>
        </w:rPr>
        <w:t xml:space="preserve">                       </w:t>
      </w:r>
      <w:r>
        <w:rPr>
          <w:rFonts w:ascii="宋体" w:hAnsi="宋体" w:hint="eastAsia"/>
          <w:szCs w:val="21"/>
          <w:highlight w:val="none"/>
        </w:rPr>
        <w:t>（供应商）</w:t>
      </w:r>
    </w:p>
    <w:p>
      <w:pPr>
        <w:adjustRightInd w:val="0"/>
        <w:snapToGrid w:val="0"/>
        <w:spacing w:line="400" w:lineRule="exact"/>
        <w:rPr>
          <w:rFonts w:ascii="宋体" w:hAnsi="宋体"/>
          <w:szCs w:val="21"/>
          <w:highlight w:val="none"/>
        </w:rPr>
      </w:pPr>
      <w:r>
        <w:rPr>
          <w:rFonts w:ascii="宋体" w:hAnsi="宋体" w:hint="eastAsia"/>
          <w:szCs w:val="21"/>
          <w:highlight w:val="none"/>
        </w:rPr>
        <w:t>乙方2（全称）：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adjustRightInd w:val="0"/>
        <w:snapToGrid w:val="0"/>
        <w:spacing w:line="400" w:lineRule="exact"/>
        <w:rPr>
          <w:rFonts w:ascii="宋体" w:hAnsi="宋体"/>
          <w:szCs w:val="21"/>
          <w:highlight w:val="none"/>
        </w:rPr>
      </w:pPr>
      <w:r>
        <w:rPr>
          <w:rFonts w:hint="eastAsia"/>
          <w:highlight w:val="none"/>
        </w:rPr>
        <w:t>乙方</w:t>
      </w:r>
      <w:r>
        <w:rPr>
          <w:rFonts w:ascii="宋体" w:hAnsi="宋体" w:hint="eastAsia"/>
          <w:szCs w:val="21"/>
          <w:highlight w:val="none"/>
        </w:rPr>
        <w:t>3</w:t>
      </w:r>
      <w:r>
        <w:rPr>
          <w:rFonts w:hint="eastAsia"/>
          <w:highlight w:val="none"/>
        </w:rPr>
        <w:t>（全称）</w:t>
      </w:r>
      <w:r>
        <w:rPr>
          <w:rFonts w:ascii="宋体" w:hAnsi="宋体" w:hint="eastAsia"/>
          <w:szCs w:val="21"/>
          <w:highlight w:val="none"/>
          <w:u w:val="single"/>
        </w:rPr>
        <w:t xml:space="preserve">                          </w:t>
      </w:r>
      <w:r>
        <w:rPr>
          <w:rFonts w:ascii="宋体" w:hAnsi="宋体" w:hint="eastAsia"/>
          <w:szCs w:val="21"/>
          <w:highlight w:val="none"/>
        </w:rPr>
        <w:t>（联合体成员供应商或其他合同主体）（如有）</w:t>
      </w:r>
    </w:p>
    <w:p>
      <w:pPr>
        <w:spacing w:line="400" w:lineRule="exact"/>
        <w:rPr>
          <w:highlight w:val="none"/>
        </w:rPr>
      </w:pP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项目信息</w:t>
      </w:r>
    </w:p>
    <w:p>
      <w:pPr>
        <w:pStyle w:val="BodyTextIndent"/>
        <w:numPr>
          <w:ilvl w:val="0"/>
          <w:numId w:val="7"/>
        </w:numPr>
        <w:adjustRightInd w:val="0"/>
        <w:snapToGrid w:val="0"/>
        <w:spacing w:after="0" w:line="400" w:lineRule="exact"/>
        <w:ind w:left="0" w:firstLine="420" w:leftChars="0" w:firstLineChars="200"/>
        <w:rPr>
          <w:rFonts w:ascii="宋体" w:hAnsi="宋体"/>
          <w:szCs w:val="21"/>
          <w:highlight w:val="none"/>
          <w:u w:val="single"/>
        </w:rPr>
      </w:pPr>
      <w:r>
        <w:rPr>
          <w:rFonts w:ascii="宋体" w:hAnsi="宋体" w:hint="eastAsia"/>
          <w:szCs w:val="21"/>
          <w:highlight w:val="none"/>
        </w:rPr>
        <w:t>采购项目名称：</w:t>
      </w:r>
      <w:r>
        <w:rPr>
          <w:rFonts w:ascii="宋体" w:hAnsi="宋体"/>
          <w:szCs w:val="21"/>
          <w:highlight w:val="none"/>
          <w:u w:val="single"/>
        </w:rPr>
        <w:t xml:space="preserve">                                          </w:t>
      </w:r>
    </w:p>
    <w:p>
      <w:pPr>
        <w:pStyle w:val="BodyTextIndent"/>
        <w:numPr>
          <w:ilvl w:val="0"/>
          <w:numId w:val="0"/>
        </w:numPr>
        <w:tabs>
          <w:tab w:val="left" w:pos="999"/>
        </w:tabs>
        <w:adjustRightInd w:val="0"/>
        <w:snapToGrid w:val="0"/>
        <w:spacing w:after="0" w:line="400" w:lineRule="exact"/>
        <w:rPr>
          <w:rFonts w:ascii="宋体" w:hAnsi="宋体"/>
          <w:szCs w:val="21"/>
          <w:highlight w:val="none"/>
        </w:rPr>
      </w:pPr>
      <w:r>
        <w:rPr>
          <w:rFonts w:ascii="宋体" w:hAnsi="宋体" w:hint="eastAsia"/>
          <w:szCs w:val="21"/>
          <w:highlight w:val="none"/>
        </w:rPr>
        <w:t xml:space="preserve">         采购项目编号：</w:t>
      </w:r>
      <w:r>
        <w:rPr>
          <w:rFonts w:ascii="宋体" w:hAnsi="宋体"/>
          <w:szCs w:val="21"/>
          <w:highlight w:val="none"/>
          <w:u w:val="single"/>
        </w:rPr>
        <w:t xml:space="preserve">                                          </w:t>
      </w:r>
    </w:p>
    <w:p>
      <w:pPr>
        <w:pStyle w:val="BodyTextIndent"/>
        <w:adjustRightInd w:val="0"/>
        <w:snapToGrid w:val="0"/>
        <w:spacing w:after="0" w:line="400" w:lineRule="exact"/>
        <w:ind w:left="0" w:firstLine="420" w:leftChars="0" w:firstLineChars="200"/>
        <w:rPr>
          <w:rFonts w:ascii="宋体" w:hAnsi="宋体"/>
          <w:szCs w:val="21"/>
          <w:highlight w:val="none"/>
        </w:rPr>
      </w:pPr>
      <w:r>
        <w:rPr>
          <w:rFonts w:ascii="宋体" w:hAnsi="宋体" w:hint="eastAsia"/>
          <w:szCs w:val="21"/>
          <w:highlight w:val="none"/>
        </w:rPr>
        <w:t>（2）采购计划编号：</w:t>
      </w:r>
      <w:r>
        <w:rPr>
          <w:rFonts w:ascii="宋体" w:hAnsi="宋体"/>
          <w:szCs w:val="21"/>
          <w:highlight w:val="none"/>
          <w:u w:val="single"/>
        </w:rPr>
        <w:t xml:space="preserve">                     </w:t>
      </w:r>
      <w:r>
        <w:rPr>
          <w:rFonts w:ascii="宋体" w:hAnsi="宋体" w:hint="eastAsia"/>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（3）项目内容：</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 xml:space="preserve">     采购标的及数量（台/套</w:t>
      </w:r>
      <w:r>
        <w:rPr>
          <w:rFonts w:ascii="宋体" w:hAnsi="宋体"/>
          <w:szCs w:val="21"/>
          <w:highlight w:val="none"/>
          <w:lang w:val="en"/>
        </w:rPr>
        <w:t>/</w:t>
      </w:r>
      <w:r>
        <w:rPr>
          <w:rFonts w:ascii="宋体" w:hAnsi="宋体" w:hint="eastAsia"/>
          <w:szCs w:val="21"/>
          <w:highlight w:val="none"/>
          <w:lang w:val="en"/>
        </w:rPr>
        <w:t>个</w:t>
      </w:r>
      <w:r>
        <w:rPr>
          <w:rFonts w:ascii="宋体" w:hAnsi="宋体"/>
          <w:szCs w:val="21"/>
          <w:highlight w:val="none"/>
          <w:lang w:val="en"/>
        </w:rPr>
        <w:t>/</w:t>
      </w:r>
      <w:r>
        <w:rPr>
          <w:rFonts w:ascii="宋体" w:hAnsi="宋体" w:hint="eastAsia"/>
          <w:szCs w:val="21"/>
          <w:highlight w:val="none"/>
          <w:lang w:val="en"/>
        </w:rPr>
        <w:t>架</w:t>
      </w:r>
      <w:r>
        <w:rPr>
          <w:rFonts w:ascii="宋体" w:hAnsi="宋体"/>
          <w:szCs w:val="21"/>
          <w:highlight w:val="none"/>
          <w:lang w:val="en"/>
        </w:rPr>
        <w:t>/</w:t>
      </w:r>
      <w:r>
        <w:rPr>
          <w:rFonts w:ascii="宋体" w:hAnsi="宋体" w:hint="eastAsia"/>
          <w:szCs w:val="21"/>
          <w:highlight w:val="none"/>
          <w:lang w:val="en"/>
        </w:rPr>
        <w:t>组等</w:t>
      </w:r>
      <w:r>
        <w:rPr>
          <w:rFonts w:ascii="宋体" w:hAnsi="宋体" w:hint="eastAsia"/>
          <w:szCs w:val="21"/>
          <w:highlight w:val="none"/>
        </w:rPr>
        <w:t>）：</w:t>
      </w:r>
      <w:r>
        <w:rPr>
          <w:rFonts w:ascii="宋体" w:hAnsi="宋体" w:hint="eastAsia"/>
          <w:szCs w:val="21"/>
          <w:highlight w:val="none"/>
          <w:u w:val="single"/>
        </w:rPr>
        <w:t xml:space="preserve">                       </w:t>
      </w:r>
      <w:r>
        <w:rPr>
          <w:rFonts w:ascii="宋体" w:hAnsi="宋体" w:hint="eastAsia"/>
          <w:szCs w:val="21"/>
          <w:highlight w:val="none"/>
        </w:rPr>
        <w:t xml:space="preserve">            </w:t>
      </w:r>
      <w:r>
        <w:rPr>
          <w:rFonts w:ascii="宋体" w:hAnsi="宋体" w:hint="eastAsia"/>
          <w:szCs w:val="21"/>
          <w:highlight w:val="none"/>
          <w:u w:val="single"/>
        </w:rPr>
        <w:t xml:space="preserve">                  </w:t>
      </w:r>
      <w:r>
        <w:rPr>
          <w:rFonts w:ascii="宋体" w:hAnsi="宋体" w:hint="eastAsia"/>
          <w:szCs w:val="21"/>
          <w:highlight w:val="none"/>
        </w:rPr>
        <w:t xml:space="preserve"> </w:t>
      </w:r>
    </w:p>
    <w:p>
      <w:pPr>
        <w:numPr>
          <w:ilvl w:val="0"/>
          <w:numId w:val="0"/>
        </w:numPr>
        <w:adjustRightInd w:val="0"/>
        <w:snapToGrid w:val="0"/>
        <w:spacing w:line="400" w:lineRule="exact"/>
        <w:ind w:firstLine="420" w:firstLineChars="200"/>
        <w:rPr>
          <w:rFonts w:ascii="宋体" w:hAnsi="宋体" w:cs="宋体"/>
          <w:szCs w:val="21"/>
          <w:highlight w:val="none"/>
          <w:lang w:val="en"/>
        </w:rPr>
      </w:pPr>
      <w:r>
        <w:rPr>
          <w:rFonts w:ascii="宋体" w:hAnsi="宋体" w:hint="eastAsia"/>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lang w:val="en"/>
        </w:rPr>
        <w:t xml:space="preserve">     </w:t>
      </w:r>
      <w:r>
        <w:rPr>
          <w:rFonts w:ascii="宋体" w:hAnsi="宋体" w:cs="宋体" w:hint="eastAsia"/>
          <w:szCs w:val="21"/>
          <w:highlight w:val="none"/>
        </w:rPr>
        <w:t>规格型号：</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r>
        <w:rPr>
          <w:rFonts w:ascii="宋体" w:hAnsi="宋体" w:cs="宋体" w:hint="eastAsia"/>
          <w:szCs w:val="21"/>
          <w:highlight w:val="none"/>
          <w:u w:val="single"/>
        </w:rPr>
        <w:t xml:space="preserve">       </w:t>
      </w:r>
      <w:r>
        <w:rPr>
          <w:rFonts w:ascii="宋体" w:hAnsi="宋体" w:cs="宋体"/>
          <w:szCs w:val="21"/>
          <w:highlight w:val="none"/>
          <w:u w:val="single"/>
          <w:lang w:val="en"/>
        </w:rPr>
        <w:t xml:space="preserve">   </w:t>
      </w:r>
    </w:p>
    <w:p>
      <w:pPr>
        <w:adjustRightInd w:val="0"/>
        <w:snapToGrid w:val="0"/>
        <w:spacing w:line="400" w:lineRule="exact"/>
        <w:ind w:firstLine="945" w:firstLineChars="450"/>
        <w:rPr>
          <w:rFonts w:ascii="宋体" w:hAnsi="宋体"/>
          <w:szCs w:val="21"/>
          <w:highlight w:val="none"/>
          <w:u w:val="single"/>
        </w:rPr>
      </w:pPr>
      <w:r>
        <w:rPr>
          <w:rFonts w:ascii="宋体" w:hAnsi="宋体" w:hint="eastAsia"/>
          <w:szCs w:val="21"/>
          <w:highlight w:val="none"/>
        </w:rPr>
        <w:t>采购标的的技术要求、商务要求具体见附件。</w:t>
      </w:r>
    </w:p>
    <w:p>
      <w:pPr>
        <w:numPr>
          <w:ilvl w:val="0"/>
          <w:numId w:val="0"/>
        </w:numPr>
        <w:adjustRightInd w:val="0"/>
        <w:snapToGrid w:val="0"/>
        <w:spacing w:line="400" w:lineRule="exact"/>
        <w:ind w:firstLine="945" w:firstLineChars="450"/>
        <w:rPr>
          <w:rFonts w:ascii="宋体" w:hAnsi="宋体" w:cs="宋体"/>
          <w:szCs w:val="21"/>
          <w:highlight w:val="none"/>
        </w:rPr>
      </w:pPr>
      <w:r>
        <w:rPr>
          <w:rFonts w:ascii="汉仪书宋二S" w:eastAsia="汉仪书宋二S" w:hAnsi="汉仪书宋二S" w:cs="汉仪书宋二S" w:hint="eastAsia"/>
          <w:szCs w:val="21"/>
          <w:highlight w:val="none"/>
        </w:rPr>
        <w:t>①</w:t>
      </w:r>
      <w:r>
        <w:rPr>
          <w:rFonts w:ascii="宋体" w:hAnsi="宋体" w:cs="宋体" w:hint="eastAsia"/>
          <w:szCs w:val="21"/>
          <w:highlight w:val="none"/>
        </w:rPr>
        <w:t>涉及信息类产品，请填写该产品关键部件的品牌、型号：</w:t>
      </w:r>
    </w:p>
    <w:p>
      <w:pPr>
        <w:numPr>
          <w:ilvl w:val="0"/>
          <w:numId w:val="0"/>
        </w:numPr>
        <w:adjustRightInd w:val="0"/>
        <w:snapToGrid w:val="0"/>
        <w:spacing w:line="400" w:lineRule="exact"/>
        <w:ind w:firstLine="420" w:firstLineChars="200"/>
        <w:rPr>
          <w:rFonts w:ascii="宋体" w:hAnsi="宋体" w:cs="宋体"/>
          <w:kern w:val="0"/>
          <w:szCs w:val="21"/>
          <w:highlight w:val="none"/>
          <w:u w:val="single"/>
        </w:rPr>
      </w:pPr>
      <w:r>
        <w:rPr>
          <w:rFonts w:ascii="宋体" w:hAnsi="宋体" w:cs="宋体" w:hint="eastAsia"/>
          <w:szCs w:val="21"/>
          <w:highlight w:val="none"/>
        </w:rPr>
        <w:t xml:space="preserve">     标的名称：</w:t>
      </w:r>
      <w:r>
        <w:rPr>
          <w:rFonts w:ascii="宋体" w:hAnsi="宋体" w:cs="宋体" w:hint="eastAsia"/>
          <w:kern w:val="0"/>
          <w:szCs w:val="21"/>
          <w:highlight w:val="none"/>
          <w:u w:val="single"/>
        </w:rPr>
        <w:t xml:space="preserve">      </w:t>
      </w:r>
      <w:r>
        <w:rPr>
          <w:rFonts w:ascii="宋体" w:hAnsi="宋体" w:cs="宋体"/>
          <w:kern w:val="0"/>
          <w:szCs w:val="21"/>
          <w:highlight w:val="none"/>
          <w:u w:val="single"/>
          <w:lang w:val="en"/>
        </w:rPr>
        <w:t xml:space="preserve">               </w:t>
      </w:r>
      <w:r>
        <w:rPr>
          <w:rFonts w:ascii="宋体" w:hAnsi="宋体" w:cs="宋体" w:hint="eastAsia"/>
          <w:kern w:val="0"/>
          <w:szCs w:val="21"/>
          <w:highlight w:val="none"/>
          <w:u w:val="single"/>
        </w:rPr>
        <w:t xml:space="preserve">    </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 xml:space="preserve">     关键部件：</w:t>
      </w:r>
      <w:r>
        <w:rPr>
          <w:rFonts w:ascii="宋体" w:hAnsi="宋体" w:cs="宋体" w:hint="eastAsia"/>
          <w:kern w:val="0"/>
          <w:szCs w:val="21"/>
          <w:highlight w:val="none"/>
          <w:u w:val="single"/>
        </w:rPr>
        <w:t xml:space="preserve">          </w:t>
      </w:r>
      <w:r>
        <w:rPr>
          <w:rFonts w:ascii="宋体" w:hAnsi="宋体" w:cs="宋体" w:hint="eastAsia"/>
          <w:kern w:val="0"/>
          <w:szCs w:val="21"/>
          <w:highlight w:val="none"/>
        </w:rPr>
        <w:t xml:space="preserve"> </w:t>
      </w:r>
      <w:r>
        <w:rPr>
          <w:rFonts w:ascii="宋体" w:hAnsi="宋体" w:cs="宋体" w:hint="eastAsia"/>
          <w:szCs w:val="21"/>
          <w:highlight w:val="none"/>
        </w:rPr>
        <w:t>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型号：</w:t>
      </w:r>
      <w:r>
        <w:rPr>
          <w:rFonts w:ascii="宋体" w:hAnsi="宋体" w:cs="宋体" w:hint="eastAsia"/>
          <w:szCs w:val="21"/>
          <w:highlight w:val="none"/>
          <w:u w:val="single"/>
        </w:rPr>
        <w:t xml:space="preserve">       </w:t>
      </w:r>
      <w:r>
        <w:rPr>
          <w:rFonts w:ascii="宋体" w:hAnsi="宋体" w:cs="宋体" w:hint="eastAsia"/>
          <w:szCs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hint="eastAsia"/>
          <w:kern w:val="2"/>
          <w:sz w:val="21"/>
          <w:highlight w:val="none"/>
        </w:rPr>
        <w:t>关键部件</w:t>
      </w:r>
      <w:r>
        <w:rPr>
          <w:rFonts w:ascii="宋体" w:eastAsia="宋体" w:hAnsi="宋体" w:cs="宋体" w:hint="eastAsia"/>
          <w:sz w:val="21"/>
          <w:highlight w:val="none"/>
        </w:rPr>
        <w:t>：</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关键部件：</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品牌：</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型号：</w:t>
      </w:r>
      <w:r>
        <w:rPr>
          <w:rFonts w:ascii="宋体" w:eastAsia="宋体" w:hAnsi="宋体" w:cs="宋体" w:hint="eastAsia"/>
          <w:sz w:val="21"/>
          <w:highlight w:val="none"/>
          <w:u w:val="singl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汉仪书宋二S" w:eastAsia="汉仪书宋二S" w:hAnsi="汉仪书宋二S" w:cs="汉仪书宋二S" w:hint="eastAsia"/>
          <w:sz w:val="21"/>
          <w:highlight w:val="none"/>
        </w:rPr>
        <w:t>②</w:t>
      </w:r>
      <w:r>
        <w:rPr>
          <w:rFonts w:ascii="宋体" w:eastAsia="宋体" w:hAnsi="宋体" w:cs="宋体" w:hint="eastAsia"/>
          <w:sz w:val="21"/>
          <w:highlight w:val="none"/>
        </w:rPr>
        <w:t>涉及车辆采购，请填写是否属于新能源汽车：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是，《政府采购品目分类目录》底级品目名称：</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数量：</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金额：</w:t>
      </w:r>
      <w:r>
        <w:rPr>
          <w:rFonts w:ascii="宋体" w:eastAsia="宋体" w:hAnsi="宋体" w:cs="宋体" w:hint="eastAsia"/>
          <w:sz w:val="21"/>
          <w:highlight w:val="none"/>
          <w:u w:val="single"/>
        </w:rPr>
        <w:t xml:space="preserve">     </w:t>
      </w:r>
      <w:r>
        <w:rPr>
          <w:rFonts w:ascii="宋体" w:eastAsia="宋体" w:hAnsi="宋体" w:cs="宋体" w:hint="eastAsia"/>
          <w:sz w:val="21"/>
          <w:highlight w:val="none"/>
        </w:rPr>
        <w:t xml:space="preserve"> </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否</w:t>
      </w:r>
    </w:p>
    <w:p>
      <w:pPr>
        <w:pStyle w:val="AONormal"/>
        <w:numPr>
          <w:ilvl w:val="0"/>
          <w:numId w:val="0"/>
        </w:numPr>
        <w:snapToGrid w:val="0"/>
        <w:rPr>
          <w:rFonts w:ascii="宋体" w:eastAsia="宋体" w:hAnsi="宋体" w:cs="宋体"/>
          <w:sz w:val="21"/>
          <w:highlight w:val="none"/>
        </w:rPr>
      </w:pPr>
      <w:r>
        <w:rPr>
          <w:rFonts w:ascii="宋体" w:eastAsia="宋体" w:hAnsi="宋体" w:cs="宋体" w:hint="eastAsia"/>
          <w:sz w:val="21"/>
          <w:highlight w:val="none"/>
        </w:rPr>
        <w:t xml:space="preserve">    （</w:t>
      </w:r>
      <w:r>
        <w:rPr>
          <w:rFonts w:ascii="宋体" w:eastAsia="宋体" w:hAnsi="宋体" w:cs="宋体"/>
          <w:sz w:val="21"/>
          <w:highlight w:val="none"/>
          <w:lang w:val="en"/>
        </w:rPr>
        <w:t>4</w:t>
      </w:r>
      <w:r>
        <w:rPr>
          <w:rFonts w:ascii="宋体" w:eastAsia="宋体" w:hAnsi="宋体" w:cs="宋体" w:hint="eastAsia"/>
          <w:sz w:val="21"/>
          <w:highlight w:val="none"/>
        </w:rPr>
        <w:t>）政府采购组织形式：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政府集中采购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部门集中采购  </w:t>
      </w:r>
      <w:r>
        <w:rPr>
          <w:rFonts w:ascii="Wingdings" w:eastAsia="宋体" w:hAnsi="Wingdings" w:cs="宋体"/>
          <w:sz w:val="21"/>
          <w:highlight w:val="none"/>
        </w:rPr>
        <w:sym w:font="Wingdings" w:char="F0A8"/>
      </w:r>
      <w:r>
        <w:rPr>
          <w:rFonts w:ascii="宋体" w:eastAsia="宋体" w:hAnsi="宋体" w:cs="宋体" w:hint="eastAsia"/>
          <w:sz w:val="21"/>
          <w:highlight w:val="none"/>
        </w:rPr>
        <w:t>分散采购</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w:t>
      </w:r>
      <w:r>
        <w:rPr>
          <w:rFonts w:ascii="宋体" w:eastAsia="宋体" w:hAnsi="宋体" w:cs="宋体"/>
          <w:sz w:val="21"/>
          <w:highlight w:val="none"/>
          <w:lang w:val="en"/>
        </w:rPr>
        <w:t>5</w:t>
      </w:r>
      <w:r>
        <w:rPr>
          <w:rFonts w:ascii="宋体" w:eastAsia="宋体" w:hAnsi="宋体" w:cs="宋体" w:hint="eastAsia"/>
          <w:sz w:val="21"/>
          <w:highlight w:val="none"/>
        </w:rPr>
        <w:t>）政府采购方式：</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公开招标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邀请招标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竞争性谈判 </w:t>
      </w:r>
      <w:r>
        <w:rPr>
          <w:rFonts w:ascii="Wingdings" w:eastAsia="宋体" w:hAnsi="Wingdings" w:cs="宋体"/>
          <w:sz w:val="21"/>
          <w:highlight w:val="none"/>
        </w:rPr>
        <w:sym w:font="Wingdings" w:char="F0A8"/>
      </w:r>
      <w:r>
        <w:rPr>
          <w:rFonts w:ascii="宋体" w:eastAsia="宋体" w:hAnsi="宋体" w:cs="宋体" w:hint="eastAsia"/>
          <w:sz w:val="21"/>
          <w:highlight w:val="none"/>
        </w:rPr>
        <w:t>竞争性磋商</w:t>
      </w:r>
    </w:p>
    <w:p>
      <w:pPr>
        <w:pStyle w:val="AONormal"/>
        <w:numPr>
          <w:ilvl w:val="0"/>
          <w:numId w:val="0"/>
        </w:numPr>
        <w:snapToGrid w:val="0"/>
        <w:ind w:firstLine="420"/>
        <w:rPr>
          <w:rFonts w:ascii="宋体" w:eastAsia="宋体" w:hAnsi="宋体" w:cs="宋体"/>
          <w:sz w:val="21"/>
          <w:highlight w:val="none"/>
          <w:u w:val="single"/>
        </w:rPr>
      </w:pPr>
      <w:r>
        <w:rPr>
          <w:rFonts w:ascii="宋体" w:hAnsi="宋体" w:cs="宋体" w:hint="eastAsia"/>
          <w:highlight w:val="none"/>
        </w:rPr>
        <w:t xml:space="preserve">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询价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单一来源 </w:t>
      </w:r>
      <w:r>
        <w:rPr>
          <w:rFonts w:ascii="Wingdings" w:eastAsia="宋体" w:hAnsi="Wingdings" w:cs="宋体"/>
          <w:sz w:val="21"/>
          <w:highlight w:val="none"/>
        </w:rPr>
        <w:sym w:font="Wingdings" w:char="F0A8"/>
      </w:r>
      <w:r>
        <w:rPr>
          <w:rFonts w:ascii="宋体" w:eastAsia="宋体" w:hAnsi="宋体" w:cs="宋体" w:hint="eastAsia"/>
          <w:sz w:val="21"/>
          <w:highlight w:val="none"/>
        </w:rPr>
        <w:t xml:space="preserve">框架协议 </w:t>
      </w:r>
      <w:r>
        <w:rPr>
          <w:rFonts w:ascii="Wingdings" w:eastAsia="宋体" w:hAnsi="Wingdings" w:cs="宋体"/>
          <w:sz w:val="21"/>
          <w:highlight w:val="none"/>
        </w:rPr>
        <w:sym w:font="Wingdings" w:char="F0A8"/>
      </w:r>
      <w:r>
        <w:rPr>
          <w:rFonts w:ascii="宋体" w:eastAsia="宋体" w:hAnsi="宋体" w:cs="宋体" w:hint="eastAsia"/>
          <w:sz w:val="21"/>
          <w:highlight w:val="none"/>
        </w:rPr>
        <w:t>其他：</w:t>
      </w:r>
      <w:r>
        <w:rPr>
          <w:rFonts w:ascii="宋体" w:eastAsia="宋体" w:hAnsi="宋体" w:cs="宋体" w:hint="eastAsia"/>
          <w:sz w:val="21"/>
          <w:highlight w:val="none"/>
          <w:u w:val="single"/>
        </w:rPr>
        <w:t xml:space="preserve">          </w:t>
      </w:r>
    </w:p>
    <w:p>
      <w:pPr>
        <w:pStyle w:val="AONormal"/>
        <w:numPr>
          <w:ilvl w:val="0"/>
          <w:numId w:val="0"/>
        </w:numPr>
        <w:snapToGrid w:val="0"/>
        <w:ind w:firstLine="420"/>
        <w:rPr>
          <w:rFonts w:ascii="宋体" w:eastAsia="宋体" w:hAnsi="宋体" w:cs="宋体"/>
          <w:sz w:val="21"/>
          <w:highlight w:val="none"/>
        </w:rPr>
      </w:pPr>
      <w:r>
        <w:rPr>
          <w:rFonts w:ascii="宋体" w:eastAsia="宋体" w:hAnsi="宋体" w:cs="宋体" w:hint="eastAsia"/>
          <w:sz w:val="21"/>
          <w:highlight w:val="none"/>
        </w:rPr>
        <w:t>（注：在框架协议采购的第二阶段，可选择使用该合同文本）</w:t>
      </w:r>
    </w:p>
    <w:p>
      <w:pPr>
        <w:pStyle w:val="AONormal"/>
        <w:numPr>
          <w:ilvl w:val="0"/>
          <w:numId w:val="0"/>
        </w:numPr>
        <w:snapToGrid w:val="0"/>
        <w:ind w:firstLine="220" w:firstLineChars="100"/>
        <w:rPr>
          <w:rFonts w:ascii="宋体" w:eastAsia="宋体" w:hAnsi="宋体" w:cs="Times New Roman"/>
          <w:kern w:val="2"/>
          <w:sz w:val="21"/>
          <w:highlight w:val="none"/>
        </w:rPr>
      </w:pPr>
      <w:r>
        <w:rPr>
          <w:rFonts w:ascii="宋体" w:hAnsi="宋体" w:hint="eastAsia"/>
          <w:highlight w:val="none"/>
        </w:rPr>
        <w:t xml:space="preserve"> （</w:t>
      </w:r>
      <w:r>
        <w:rPr>
          <w:rFonts w:ascii="宋体" w:hAnsi="宋体"/>
          <w:highlight w:val="none"/>
          <w:lang w:val="en"/>
        </w:rPr>
        <w:t>6</w:t>
      </w:r>
      <w:r>
        <w:rPr>
          <w:rFonts w:ascii="宋体" w:hAnsi="宋体" w:hint="eastAsia"/>
          <w:highlight w:val="none"/>
        </w:rPr>
        <w:t>）</w:t>
      </w:r>
      <w:r>
        <w:rPr>
          <w:rFonts w:ascii="宋体" w:eastAsia="宋体" w:hAnsi="宋体" w:cs="Times New Roman" w:hint="eastAsia"/>
          <w:kern w:val="2"/>
          <w:sz w:val="21"/>
          <w:highlight w:val="none"/>
        </w:rPr>
        <w:t>中标（成交）采购标的制造商是否为中小企业：</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 xml:space="preserve">是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iCs/>
          <w:szCs w:val="21"/>
          <w:highlight w:val="none"/>
        </w:rPr>
      </w:pPr>
      <w:r>
        <w:rPr>
          <w:rFonts w:ascii="宋体" w:hAnsi="宋体" w:hint="eastAsia"/>
          <w:szCs w:val="21"/>
          <w:highlight w:val="none"/>
        </w:rPr>
        <w:t xml:space="preserve">         本合同是否为专门面向中小企业的采购合同（中小企业预留合同）：</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若本项目不专门面向中小企业采购，是否给予小微企业评审优惠：</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numPr>
          <w:ilvl w:val="0"/>
          <w:numId w:val="0"/>
        </w:numPr>
        <w:adjustRightInd w:val="0"/>
        <w:snapToGrid w:val="0"/>
        <w:spacing w:line="400" w:lineRule="exact"/>
        <w:rPr>
          <w:rFonts w:ascii="宋体" w:hAnsi="宋体"/>
          <w:iCs/>
          <w:szCs w:val="21"/>
          <w:highlight w:val="none"/>
        </w:rPr>
      </w:pPr>
      <w:r>
        <w:rPr>
          <w:rFonts w:hint="eastAsia"/>
          <w:highlight w:val="none"/>
        </w:rPr>
        <w:t xml:space="preserve">         中标（成交）采购标的制造商是否为残疾人福利性单位：</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snapToGrid w:val="0"/>
        <w:spacing w:line="400" w:lineRule="exact"/>
        <w:rPr>
          <w:highlight w:val="none"/>
        </w:rPr>
      </w:pPr>
      <w:r>
        <w:rPr>
          <w:rFonts w:hint="eastAsia"/>
          <w:highlight w:val="none"/>
        </w:rPr>
        <w:t xml:space="preserve">         中标（成交）采购标的制造商是否为监狱企业：</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w:t>
      </w:r>
      <w:r>
        <w:rPr>
          <w:rFonts w:ascii="宋体" w:hAnsi="宋体"/>
          <w:szCs w:val="21"/>
          <w:highlight w:val="none"/>
          <w:lang w:val="en"/>
        </w:rPr>
        <w:t>7</w:t>
      </w:r>
      <w:r>
        <w:rPr>
          <w:rFonts w:ascii="宋体" w:hAnsi="宋体" w:hint="eastAsia"/>
          <w:szCs w:val="21"/>
          <w:highlight w:val="none"/>
        </w:rPr>
        <w:t>）合同是否分包：</w:t>
      </w:r>
      <w:r>
        <w:rPr>
          <w:rFonts w:ascii="Wingdings" w:hAnsi="Wingdings"/>
          <w:iCs/>
          <w:szCs w:val="21"/>
          <w:highlight w:val="none"/>
        </w:rPr>
        <w:sym w:font="Wingdings" w:char="F0A8"/>
      </w:r>
      <w:r>
        <w:rPr>
          <w:rFonts w:ascii="宋体" w:hAnsi="宋体" w:hint="eastAsia"/>
          <w:iCs/>
          <w:szCs w:val="21"/>
          <w:highlight w:val="none"/>
        </w:rPr>
        <w:t xml:space="preserve">是       </w:t>
      </w:r>
      <w:r>
        <w:rPr>
          <w:rFonts w:ascii="Wingdings" w:hAnsi="Wingdings"/>
          <w:iCs/>
          <w:szCs w:val="21"/>
          <w:highlight w:val="none"/>
        </w:rPr>
        <w:sym w:font="Wingdings" w:char="F0A8"/>
      </w:r>
      <w:r>
        <w:rPr>
          <w:rFonts w:ascii="宋体" w:hAnsi="宋体" w:hint="eastAsia"/>
          <w:iCs/>
          <w:szCs w:val="21"/>
          <w:highlight w:val="none"/>
        </w:rPr>
        <w:t>否</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分包主要内容：</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分包供应商/制造商名称（如供应商和制造商不同，请分别填写）：</w:t>
      </w:r>
    </w:p>
    <w:p>
      <w:pPr>
        <w:adjustRightInd w:val="0"/>
        <w:snapToGrid w:val="0"/>
        <w:spacing w:line="400" w:lineRule="exact"/>
        <w:ind w:firstLine="840" w:firstLineChars="400"/>
        <w:rPr>
          <w:rFonts w:ascii="宋体" w:hAnsi="宋体"/>
          <w:szCs w:val="21"/>
          <w:highlight w:val="none"/>
          <w:u w:val="single"/>
        </w:rPr>
      </w:pPr>
      <w:r>
        <w:rPr>
          <w:rFonts w:ascii="宋体" w:hAnsi="宋体" w:hint="eastAsia"/>
          <w:szCs w:val="21"/>
          <w:highlight w:val="none"/>
        </w:rPr>
        <w:t xml:space="preserve"> </w:t>
      </w:r>
      <w:r>
        <w:rPr>
          <w:rFonts w:ascii="宋体" w:hAnsi="宋体" w:hint="eastAsia"/>
          <w:szCs w:val="21"/>
          <w:highlight w:val="none"/>
          <w:u w:val="singl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分包供应商/制造商类型（如果供应商和制造商不同，只填写制造商类型）：</w:t>
      </w:r>
    </w:p>
    <w:p>
      <w:pPr>
        <w:adjustRightInd w:val="0"/>
        <w:snapToGrid w:val="0"/>
        <w:spacing w:line="400" w:lineRule="exact"/>
        <w:ind w:firstLine="840" w:firstLineChars="400"/>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大型企业  </w:t>
      </w:r>
      <w:r>
        <w:rPr>
          <w:rFonts w:ascii="Wingdings" w:hAnsi="Wingdings"/>
          <w:iCs/>
          <w:szCs w:val="21"/>
          <w:highlight w:val="none"/>
        </w:rPr>
        <w:sym w:font="Wingdings" w:char="F0A8"/>
      </w:r>
      <w:r>
        <w:rPr>
          <w:rFonts w:ascii="宋体" w:hAnsi="宋体" w:hint="eastAsia"/>
          <w:iCs/>
          <w:szCs w:val="21"/>
          <w:highlight w:val="none"/>
        </w:rPr>
        <w:t xml:space="preserve">中型企业  </w:t>
      </w:r>
      <w:r>
        <w:rPr>
          <w:rFonts w:ascii="Wingdings" w:hAnsi="Wingdings"/>
          <w:iCs/>
          <w:szCs w:val="21"/>
          <w:highlight w:val="none"/>
        </w:rPr>
        <w:sym w:font="Wingdings" w:char="F0A8"/>
      </w:r>
      <w:r>
        <w:rPr>
          <w:rFonts w:ascii="宋体" w:hAnsi="宋体" w:hint="eastAsia"/>
          <w:iCs/>
          <w:szCs w:val="21"/>
          <w:highlight w:val="none"/>
        </w:rPr>
        <w:t xml:space="preserve">小微型企业  </w:t>
      </w:r>
    </w:p>
    <w:p>
      <w:pPr>
        <w:adjustRightInd w:val="0"/>
        <w:snapToGrid w:val="0"/>
        <w:spacing w:line="400" w:lineRule="exact"/>
        <w:ind w:firstLine="840" w:firstLineChars="400"/>
        <w:rPr>
          <w:rFonts w:eastAsia="华文楷体"/>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残疾人福利性单位 </w:t>
      </w:r>
      <w:r>
        <w:rPr>
          <w:rFonts w:ascii="Wingdings" w:hAnsi="Wingdings"/>
          <w:iCs/>
          <w:szCs w:val="21"/>
          <w:highlight w:val="none"/>
        </w:rPr>
        <w:sym w:font="Wingdings" w:char="F0A8"/>
      </w:r>
      <w:r>
        <w:rPr>
          <w:rFonts w:ascii="宋体" w:hAnsi="宋体" w:hint="eastAsia"/>
          <w:iCs/>
          <w:szCs w:val="21"/>
          <w:highlight w:val="none"/>
        </w:rPr>
        <w:t xml:space="preserve">监狱企业 </w:t>
      </w:r>
      <w:r>
        <w:rPr>
          <w:rFonts w:ascii="Wingdings" w:hAnsi="Wingdings"/>
          <w:iCs/>
          <w:szCs w:val="21"/>
          <w:highlight w:val="none"/>
        </w:rPr>
        <w:sym w:font="Wingdings" w:char="F0A8"/>
      </w:r>
      <w:r>
        <w:rPr>
          <w:rFonts w:ascii="宋体" w:hAnsi="宋体" w:hint="eastAsia"/>
          <w:iCs/>
          <w:szCs w:val="21"/>
          <w:highlight w:val="none"/>
        </w:rPr>
        <w:t>其他</w:t>
      </w:r>
    </w:p>
    <w:p>
      <w:pPr>
        <w:numPr>
          <w:ilvl w:val="0"/>
          <w:numId w:val="0"/>
        </w:numPr>
        <w:adjustRightInd w:val="0"/>
        <w:snapToGrid w:val="0"/>
        <w:spacing w:line="400" w:lineRule="exact"/>
        <w:rPr>
          <w:rFonts w:ascii="宋体" w:hAnsi="宋体" w:cs="宋体"/>
          <w:iCs/>
          <w:szCs w:val="21"/>
          <w:highlight w:val="none"/>
        </w:rPr>
      </w:pPr>
      <w:r>
        <w:rPr>
          <w:rFonts w:ascii="宋体" w:hAnsi="宋体" w:hint="eastAsia"/>
          <w:szCs w:val="21"/>
          <w:highlight w:val="none"/>
        </w:rPr>
        <w:t xml:space="preserve">    </w:t>
      </w:r>
      <w:r>
        <w:rPr>
          <w:rFonts w:ascii="宋体" w:hAnsi="宋体" w:cs="宋体" w:hint="eastAsia"/>
          <w:szCs w:val="21"/>
          <w:highlight w:val="none"/>
        </w:rPr>
        <w:t>（</w:t>
      </w:r>
      <w:r>
        <w:rPr>
          <w:rFonts w:ascii="宋体" w:hAnsi="宋体" w:cs="宋体"/>
          <w:szCs w:val="21"/>
          <w:highlight w:val="none"/>
          <w:lang w:val="en"/>
        </w:rPr>
        <w:t>8</w:t>
      </w:r>
      <w:r>
        <w:rPr>
          <w:rFonts w:ascii="宋体" w:hAnsi="宋体" w:cs="宋体" w:hint="eastAsia"/>
          <w:szCs w:val="21"/>
          <w:highlight w:val="none"/>
        </w:rPr>
        <w:t>）中标（成交）供应商是否为外商投资企业：</w:t>
      </w:r>
      <w:r>
        <w:rPr>
          <w:rFonts w:ascii="Wingdings" w:hAnsi="Wingdings" w:cs="宋体"/>
          <w:iCs/>
          <w:szCs w:val="21"/>
          <w:highlight w:val="none"/>
        </w:rPr>
        <w:sym w:font="Wingdings" w:char="F0A8"/>
      </w:r>
      <w:r>
        <w:rPr>
          <w:rFonts w:ascii="宋体" w:hAnsi="宋体" w:cs="宋体" w:hint="eastAsia"/>
          <w:iCs/>
          <w:szCs w:val="21"/>
          <w:highlight w:val="none"/>
        </w:rPr>
        <w:t xml:space="preserve">是       </w:t>
      </w:r>
      <w:r>
        <w:rPr>
          <w:rFonts w:ascii="Wingdings" w:hAnsi="Wingdings" w:cs="宋体"/>
          <w:iCs/>
          <w:szCs w:val="21"/>
          <w:highlight w:val="none"/>
        </w:rPr>
        <w:sym w:font="Wingdings" w:char="F0A8"/>
      </w:r>
      <w:r>
        <w:rPr>
          <w:rFonts w:ascii="宋体" w:hAnsi="宋体" w:cs="宋体" w:hint="eastAsia"/>
          <w:iCs/>
          <w:szCs w:val="21"/>
          <w:highlight w:val="none"/>
        </w:rPr>
        <w:t>否</w:t>
      </w:r>
    </w:p>
    <w:p>
      <w:pPr>
        <w:pStyle w:val="AONormal"/>
        <w:tabs>
          <w:tab w:val="left" w:pos="1340"/>
        </w:tabs>
        <w:ind w:firstLine="420"/>
        <w:rPr>
          <w:rFonts w:ascii="宋体" w:eastAsia="宋体" w:hAnsi="宋体" w:cs="宋体"/>
          <w:sz w:val="21"/>
          <w:highlight w:val="none"/>
          <w:u w:val="single"/>
        </w:rPr>
      </w:pPr>
      <w:r>
        <w:rPr>
          <w:rFonts w:ascii="宋体" w:eastAsia="宋体" w:hAnsi="宋体" w:cs="宋体" w:hint="eastAsia"/>
          <w:sz w:val="21"/>
          <w:highlight w:val="none"/>
        </w:rPr>
        <w:t xml:space="preserve">     外商投资企业类型：</w:t>
      </w:r>
      <w:r>
        <w:rPr>
          <w:rFonts w:ascii="Wingdings" w:eastAsia="宋体" w:hAnsi="Wingdings" w:cs="宋体"/>
          <w:iCs/>
          <w:sz w:val="21"/>
          <w:highlight w:val="none"/>
        </w:rPr>
        <w:sym w:font="Wingdings" w:char="F0A8"/>
      </w:r>
      <w:r>
        <w:rPr>
          <w:rFonts w:ascii="宋体" w:eastAsia="宋体" w:hAnsi="宋体" w:cs="宋体" w:hint="eastAsia"/>
          <w:sz w:val="21"/>
          <w:highlight w:val="none"/>
        </w:rPr>
        <w:t xml:space="preserve">全部由外国投资者投资  </w:t>
      </w:r>
      <w:r>
        <w:rPr>
          <w:rFonts w:ascii="Wingdings" w:eastAsia="宋体" w:hAnsi="Wingdings" w:cs="宋体"/>
          <w:iCs/>
          <w:sz w:val="21"/>
          <w:highlight w:val="none"/>
        </w:rPr>
        <w:sym w:font="Wingdings" w:char="F0A8"/>
      </w:r>
      <w:r>
        <w:rPr>
          <w:rFonts w:ascii="宋体" w:eastAsia="宋体" w:hAnsi="宋体" w:cs="宋体" w:hint="eastAsia"/>
          <w:iCs/>
          <w:sz w:val="21"/>
          <w:highlight w:val="none"/>
        </w:rPr>
        <w:t>部分由外国投资者投资</w:t>
      </w:r>
    </w:p>
    <w:p>
      <w:pPr>
        <w:numPr>
          <w:ilvl w:val="0"/>
          <w:numId w:val="0"/>
        </w:num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w:t>
      </w:r>
      <w:r>
        <w:rPr>
          <w:rFonts w:ascii="宋体" w:hAnsi="宋体" w:cs="宋体"/>
          <w:szCs w:val="21"/>
          <w:highlight w:val="none"/>
          <w:lang w:val="en"/>
        </w:rPr>
        <w:t>9</w:t>
      </w:r>
      <w:r>
        <w:rPr>
          <w:rFonts w:ascii="宋体" w:hAnsi="宋体" w:cs="宋体" w:hint="eastAsia"/>
          <w:szCs w:val="21"/>
          <w:highlight w:val="none"/>
        </w:rPr>
        <w:t>）是否涉及进口产品：</w:t>
      </w:r>
    </w:p>
    <w:p>
      <w:pPr>
        <w:numPr>
          <w:ilvl w:val="0"/>
          <w:numId w:val="0"/>
        </w:numPr>
        <w:adjustRightInd w:val="0"/>
        <w:snapToGrid w:val="0"/>
        <w:spacing w:line="400" w:lineRule="exact"/>
        <w:ind w:firstLine="840" w:firstLineChars="400"/>
        <w:rPr>
          <w:rFonts w:ascii="宋体" w:hAnsi="宋体" w:cs="宋体"/>
          <w:szCs w:val="21"/>
          <w:highlight w:val="none"/>
          <w:u w:val="single"/>
        </w:rPr>
      </w:pPr>
      <w:r>
        <w:rPr>
          <w:rFonts w:ascii="宋体" w:hAnsi="宋体" w:cs="宋体" w:hint="eastAsia"/>
          <w:szCs w:val="21"/>
          <w:highlight w:val="none"/>
        </w:rPr>
        <w:t xml:space="preserve"> </w:t>
      </w:r>
      <w:r>
        <w:rPr>
          <w:rFonts w:ascii="Wingdings" w:hAnsi="Wingdings" w:cs="宋体"/>
          <w:szCs w:val="21"/>
          <w:highlight w:val="none"/>
        </w:rPr>
        <w:sym w:font="Wingdings" w:char="F0A8"/>
      </w:r>
      <w:r>
        <w:rPr>
          <w:rFonts w:ascii="宋体" w:hAnsi="宋体" w:cs="宋体" w:hint="eastAsia"/>
          <w:szCs w:val="21"/>
          <w:highlight w:val="none"/>
        </w:rPr>
        <w:t>是，《政府采购品目分类目录》底级品目名称：</w:t>
      </w:r>
      <w:r>
        <w:rPr>
          <w:rFonts w:ascii="宋体" w:hAnsi="宋体" w:cs="宋体" w:hint="eastAsia"/>
          <w:szCs w:val="21"/>
          <w:highlight w:val="none"/>
          <w:u w:val="single"/>
        </w:rPr>
        <w:t xml:space="preserve">         </w:t>
      </w:r>
      <w:r>
        <w:rPr>
          <w:rFonts w:ascii="宋体" w:hAnsi="宋体" w:cs="宋体" w:hint="eastAsia"/>
          <w:szCs w:val="21"/>
          <w:highlight w:val="none"/>
        </w:rPr>
        <w:t xml:space="preserve"> 金额：</w:t>
      </w:r>
      <w:r>
        <w:rPr>
          <w:rFonts w:ascii="宋体" w:hAnsi="宋体" w:cs="宋体" w:hint="eastAsia"/>
          <w:szCs w:val="21"/>
          <w:highlight w:val="none"/>
          <w:u w:val="single"/>
        </w:rPr>
        <w:t xml:space="preserve">        </w:t>
      </w:r>
    </w:p>
    <w:p>
      <w:pPr>
        <w:numPr>
          <w:ilvl w:val="0"/>
          <w:numId w:val="0"/>
        </w:numPr>
        <w:adjustRightInd w:val="0"/>
        <w:snapToGrid w:val="0"/>
        <w:spacing w:line="400" w:lineRule="exact"/>
        <w:ind w:firstLine="840" w:firstLineChars="400"/>
        <w:rPr>
          <w:rFonts w:ascii="宋体" w:hAnsi="宋体"/>
          <w:szCs w:val="21"/>
          <w:highlight w:val="none"/>
        </w:rPr>
      </w:pPr>
      <w:r>
        <w:rPr>
          <w:rFonts w:ascii="宋体" w:hAnsi="宋体" w:cs="宋体" w:hint="eastAsia"/>
          <w:szCs w:val="21"/>
          <w:highlight w:val="none"/>
        </w:rPr>
        <w:t xml:space="preserve">        国别：</w:t>
      </w:r>
      <w:r>
        <w:rPr>
          <w:rFonts w:ascii="宋体" w:hAnsi="宋体" w:cs="宋体" w:hint="eastAsia"/>
          <w:szCs w:val="21"/>
          <w:highlight w:val="none"/>
          <w:u w:val="single"/>
        </w:rPr>
        <w:t xml:space="preserve">        </w:t>
      </w:r>
      <w:r>
        <w:rPr>
          <w:rFonts w:ascii="宋体" w:hAnsi="宋体" w:cs="宋体" w:hint="eastAsia"/>
          <w:szCs w:val="21"/>
          <w:highlight w:val="none"/>
        </w:rPr>
        <w:t xml:space="preserve"> 品牌：</w:t>
      </w:r>
      <w:r>
        <w:rPr>
          <w:rFonts w:ascii="宋体" w:hAnsi="宋体" w:cs="宋体" w:hint="eastAsia"/>
          <w:szCs w:val="21"/>
          <w:highlight w:val="none"/>
          <w:u w:val="single"/>
        </w:rPr>
        <w:t xml:space="preserve">        </w:t>
      </w:r>
      <w:r>
        <w:rPr>
          <w:rFonts w:ascii="宋体" w:hAnsi="宋体" w:cs="宋体" w:hint="eastAsia"/>
          <w:szCs w:val="21"/>
          <w:highlight w:val="none"/>
        </w:rPr>
        <w:t xml:space="preserve"> 规格型号：</w:t>
      </w:r>
      <w:r>
        <w:rPr>
          <w:rFonts w:ascii="宋体" w:hAnsi="宋体" w:cs="宋体" w:hint="eastAsia"/>
          <w:szCs w:val="21"/>
          <w:highlight w:val="none"/>
          <w:u w:val="single"/>
        </w:rPr>
        <w:t xml:space="preserve">        </w:t>
      </w:r>
      <w:r>
        <w:rPr>
          <w:rFonts w:ascii="宋体" w:hAnsi="宋体" w:hint="eastAsia"/>
          <w:szCs w:val="21"/>
          <w:highlight w:val="none"/>
        </w:rPr>
        <w:t xml:space="preserve">      </w:t>
      </w:r>
    </w:p>
    <w:p>
      <w:pPr>
        <w:adjustRightInd w:val="0"/>
        <w:snapToGrid w:val="0"/>
        <w:spacing w:line="400" w:lineRule="exact"/>
        <w:ind w:firstLine="840" w:firstLineChars="400"/>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0</w:t>
      </w:r>
      <w:r>
        <w:rPr>
          <w:rFonts w:ascii="宋体" w:hAnsi="宋体" w:hint="eastAsia"/>
          <w:szCs w:val="21"/>
          <w:highlight w:val="none"/>
        </w:rPr>
        <w:t>）是否涉及节能产品：</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是，《节能产品政府采购品目清单》的底级品目名称：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是否涉及环境标志产品：</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是，《环境标志产品政府采购品目清单》的底级品目名称：</w:t>
      </w:r>
      <w:r>
        <w:rPr>
          <w:rFonts w:ascii="宋体" w:hAnsi="宋体" w:hint="eastAsia"/>
          <w:szCs w:val="21"/>
          <w:highlight w:val="none"/>
          <w:u w:val="single"/>
        </w:rPr>
        <w:t xml:space="preserve">         </w:t>
      </w:r>
      <w:r>
        <w:rPr>
          <w:rFonts w:ascii="宋体" w:hAnsi="宋体" w:hint="eastAsia"/>
          <w:iCs/>
          <w:szCs w:val="21"/>
          <w:highlight w:val="non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numPr>
          <w:ilvl w:val="0"/>
          <w:numId w:val="0"/>
        </w:numPr>
        <w:tabs>
          <w:tab w:val="left" w:pos="740"/>
        </w:tabs>
        <w:adjustRightInd w:val="0"/>
        <w:snapToGrid w:val="0"/>
        <w:spacing w:line="400" w:lineRule="exact"/>
        <w:rPr>
          <w:rFonts w:ascii="宋体" w:hAnsi="宋体"/>
          <w:szCs w:val="21"/>
          <w:highlight w:val="none"/>
        </w:rPr>
      </w:pPr>
      <w:r>
        <w:rPr>
          <w:rFonts w:ascii="宋体" w:hAnsi="宋体" w:hint="eastAsia"/>
          <w:iCs/>
          <w:szCs w:val="21"/>
          <w:highlight w:val="none"/>
        </w:rPr>
        <w:t xml:space="preserve">         </w:t>
      </w:r>
      <w:r>
        <w:rPr>
          <w:rFonts w:ascii="Wingdings" w:hAnsi="Wingdings"/>
          <w:szCs w:val="21"/>
          <w:highlight w:val="none"/>
        </w:rPr>
        <w:sym w:font="Wingdings" w:char="F0A8"/>
      </w:r>
      <w:r>
        <w:rPr>
          <w:rFonts w:ascii="宋体" w:hAnsi="宋体" w:hint="eastAsia"/>
          <w:szCs w:val="21"/>
          <w:highlight w:val="none"/>
        </w:rPr>
        <w:t>否</w:t>
      </w:r>
    </w:p>
    <w:p>
      <w:pPr>
        <w:pStyle w:val="AONormal"/>
        <w:numPr>
          <w:ilvl w:val="0"/>
          <w:numId w:val="0"/>
        </w:numPr>
        <w:snapToGrid w:val="0"/>
        <w:rPr>
          <w:rFonts w:ascii="宋体" w:eastAsia="宋体" w:hAnsi="宋体" w:cs="Times New Roman"/>
          <w:kern w:val="2"/>
          <w:sz w:val="21"/>
          <w:highlight w:val="none"/>
        </w:rPr>
      </w:pPr>
      <w:r>
        <w:rPr>
          <w:rFonts w:ascii="宋体" w:hAnsi="宋体" w:hint="eastAsia"/>
          <w:sz w:val="21"/>
          <w:highlight w:val="none"/>
        </w:rPr>
        <w:t xml:space="preserve">          </w:t>
      </w:r>
      <w:r>
        <w:rPr>
          <w:rFonts w:ascii="宋体" w:eastAsia="宋体" w:hAnsi="宋体" w:cs="Times New Roman" w:hint="eastAsia"/>
          <w:kern w:val="2"/>
          <w:sz w:val="21"/>
          <w:highlight w:val="none"/>
        </w:rPr>
        <w:t xml:space="preserve">是否涉及绿色产品： </w:t>
      </w:r>
    </w:p>
    <w:p>
      <w:pPr>
        <w:pStyle w:val="AONormal"/>
        <w:ind w:firstLine="420" w:firstLineChars="0"/>
        <w:rPr>
          <w:rFonts w:ascii="宋体" w:eastAsia="宋体" w:hAnsi="宋体"/>
          <w:highlight w:val="none"/>
          <w:u w:val="singl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是，绿色产品政府采购相关政策确定的底级品目名称：</w:t>
      </w:r>
      <w:r>
        <w:rPr>
          <w:rFonts w:ascii="宋体" w:eastAsia="宋体" w:hAnsi="宋体" w:hint="eastAsia"/>
          <w:highlight w:val="none"/>
          <w:u w:val="single"/>
        </w:rPr>
        <w:t xml:space="preserve">         </w:t>
      </w:r>
    </w:p>
    <w:p>
      <w:pPr>
        <w:numPr>
          <w:ilvl w:val="0"/>
          <w:numId w:val="0"/>
        </w:numPr>
        <w:tabs>
          <w:tab w:val="left" w:pos="740"/>
        </w:tabs>
        <w:adjustRightInd w:val="0"/>
        <w:snapToGrid w:val="0"/>
        <w:spacing w:line="400" w:lineRule="exact"/>
        <w:rPr>
          <w:rFonts w:ascii="宋体" w:hAnsi="宋体"/>
          <w:iCs/>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强制采购       </w:t>
      </w:r>
      <w:r>
        <w:rPr>
          <w:rFonts w:ascii="Wingdings" w:hAnsi="Wingdings"/>
          <w:iCs/>
          <w:szCs w:val="21"/>
          <w:highlight w:val="none"/>
        </w:rPr>
        <w:sym w:font="Wingdings" w:char="F0A8"/>
      </w:r>
      <w:r>
        <w:rPr>
          <w:rFonts w:ascii="宋体" w:hAnsi="宋体" w:hint="eastAsia"/>
          <w:iCs/>
          <w:szCs w:val="21"/>
          <w:highlight w:val="none"/>
        </w:rPr>
        <w:t xml:space="preserve">优先采购    </w:t>
      </w:r>
    </w:p>
    <w:p>
      <w:pPr>
        <w:pStyle w:val="AONormal"/>
        <w:ind w:firstLine="420" w:firstLineChars="0"/>
        <w:rPr>
          <w:rFonts w:ascii="宋体" w:hAnsi="宋体"/>
          <w:sz w:val="21"/>
          <w:highlight w:val="none"/>
        </w:rPr>
      </w:pPr>
      <w:r>
        <w:rPr>
          <w:rFonts w:ascii="宋体" w:eastAsia="宋体" w:hAnsi="宋体" w:cs="Times New Roman" w:hint="eastAsia"/>
          <w:kern w:val="2"/>
          <w:sz w:val="21"/>
          <w:highlight w:val="none"/>
        </w:rPr>
        <w:t xml:space="preserve">     </w:t>
      </w:r>
      <w:r>
        <w:rPr>
          <w:rFonts w:ascii="Wingdings" w:eastAsia="宋体" w:hAnsi="Wingdings" w:cs="Times New Roman"/>
          <w:kern w:val="2"/>
          <w:sz w:val="21"/>
          <w:highlight w:val="none"/>
        </w:rPr>
        <w:sym w:font="Wingdings" w:char="F0A8"/>
      </w:r>
      <w:r>
        <w:rPr>
          <w:rFonts w:ascii="宋体" w:eastAsia="宋体" w:hAnsi="宋体" w:cs="Times New Roman" w:hint="eastAsia"/>
          <w:kern w:val="2"/>
          <w:sz w:val="21"/>
          <w:highlight w:val="none"/>
        </w:rPr>
        <w:t>否</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（1</w:t>
      </w:r>
      <w:r>
        <w:rPr>
          <w:rFonts w:ascii="宋体" w:hAnsi="宋体"/>
          <w:szCs w:val="21"/>
          <w:highlight w:val="none"/>
          <w:lang w:val="en"/>
        </w:rPr>
        <w:t>1</w:t>
      </w:r>
      <w:r>
        <w:rPr>
          <w:rFonts w:ascii="宋体" w:hAnsi="宋体" w:hint="eastAsia"/>
          <w:szCs w:val="21"/>
          <w:highlight w:val="none"/>
        </w:rPr>
        <w:t>）涉及商品包装和快递包装的，是否参考《商品包装政府采购需求标准（试行）》、《快递包装政府采购需求标准（试行）》明确产品及相关快递服务的具体包装要求：</w:t>
      </w:r>
    </w:p>
    <w:p>
      <w:pPr>
        <w:numPr>
          <w:ilvl w:val="0"/>
          <w:numId w:val="0"/>
        </w:numPr>
        <w:adjustRightInd w:val="0"/>
        <w:snapToGrid w:val="0"/>
        <w:spacing w:line="400" w:lineRule="exact"/>
        <w:ind w:firstLine="840" w:firstLineChars="4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 xml:space="preserve">是       </w:t>
      </w:r>
      <w:r>
        <w:rPr>
          <w:rFonts w:ascii="Wingdings" w:hAnsi="Wingdings"/>
          <w:szCs w:val="21"/>
          <w:highlight w:val="none"/>
        </w:rPr>
        <w:sym w:font="Wingdings" w:char="F0A8"/>
      </w:r>
      <w:r>
        <w:rPr>
          <w:rFonts w:ascii="宋体" w:hAnsi="宋体" w:hint="eastAsia"/>
          <w:szCs w:val="21"/>
          <w:highlight w:val="none"/>
        </w:rPr>
        <w:t xml:space="preserve">否      </w:t>
      </w:r>
      <w:r>
        <w:rPr>
          <w:rFonts w:ascii="Wingdings" w:hAnsi="Wingdings"/>
          <w:szCs w:val="21"/>
          <w:highlight w:val="none"/>
        </w:rPr>
        <w:sym w:font="Wingdings" w:char="F0A8"/>
      </w:r>
      <w:r>
        <w:rPr>
          <w:rFonts w:ascii="宋体" w:hAnsi="宋体" w:hint="eastAsia"/>
          <w:szCs w:val="21"/>
          <w:highlight w:val="none"/>
        </w:rPr>
        <w:t>不涉及</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合同金额</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（1）合同金额小写：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分包金额（如有）小写：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u w:val="single"/>
        </w:rPr>
      </w:pPr>
      <w:r>
        <w:rPr>
          <w:rFonts w:ascii="宋体" w:hAnsi="宋体" w:hint="eastAsia"/>
          <w:szCs w:val="21"/>
          <w:highlight w:val="none"/>
        </w:rPr>
        <w:t xml:space="preserve">                     大写：</w:t>
      </w:r>
      <w:r>
        <w:rPr>
          <w:rFonts w:ascii="宋体" w:hAnsi="宋体" w:hint="eastAsia"/>
          <w:szCs w:val="21"/>
          <w:highlight w:val="none"/>
          <w:u w:val="single"/>
        </w:rPr>
        <w:t xml:space="preserve">                       </w:t>
      </w:r>
    </w:p>
    <w:p>
      <w:pPr>
        <w:adjustRightInd w:val="0"/>
        <w:snapToGrid w:val="0"/>
        <w:spacing w:line="400" w:lineRule="exact"/>
        <w:rPr>
          <w:rFonts w:ascii="宋体" w:hAnsi="宋体"/>
          <w:szCs w:val="21"/>
          <w:highlight w:val="none"/>
        </w:rPr>
      </w:pPr>
      <w:r>
        <w:rPr>
          <w:rFonts w:ascii="宋体" w:hAnsi="宋体" w:hint="eastAsia"/>
          <w:szCs w:val="21"/>
          <w:highlight w:val="none"/>
        </w:rPr>
        <w:t xml:space="preserve">    （注：固定单价合同应填写单价和最高限价）</w:t>
      </w:r>
    </w:p>
    <w:p>
      <w:pPr>
        <w:numPr>
          <w:ilvl w:val="0"/>
          <w:numId w:val="0"/>
        </w:numPr>
        <w:adjustRightInd w:val="0"/>
        <w:snapToGrid w:val="0"/>
        <w:spacing w:line="400" w:lineRule="exact"/>
        <w:rPr>
          <w:rFonts w:ascii="宋体" w:hAnsi="宋体"/>
          <w:szCs w:val="21"/>
          <w:highlight w:val="none"/>
        </w:rPr>
      </w:pPr>
      <w:r>
        <w:rPr>
          <w:rFonts w:ascii="宋体" w:hAnsi="宋体" w:hint="eastAsia"/>
          <w:szCs w:val="21"/>
          <w:highlight w:val="none"/>
        </w:rPr>
        <w:t xml:space="preserve">    （2）合同定价方式（采用组合定价方式的，可以勾选多项）：</w:t>
      </w:r>
    </w:p>
    <w:p>
      <w:pPr>
        <w:adjustRightInd w:val="0"/>
        <w:snapToGrid w:val="0"/>
        <w:spacing w:line="400" w:lineRule="exact"/>
        <w:ind w:firstLine="420" w:firstLineChars="200"/>
        <w:rPr>
          <w:rFonts w:ascii="宋体" w:hAnsi="宋体"/>
          <w:szCs w:val="21"/>
          <w:highlight w:val="none"/>
        </w:rPr>
      </w:pPr>
      <w:r>
        <w:rPr>
          <w:rFonts w:ascii="宋体" w:hAnsi="宋体" w:hint="eastAsia"/>
          <w:iCs/>
          <w:szCs w:val="21"/>
          <w:highlight w:val="none"/>
        </w:rPr>
        <w:t xml:space="preserve">  </w:t>
      </w:r>
      <w:r>
        <w:rPr>
          <w:rFonts w:ascii="Wingdings" w:hAnsi="Wingdings"/>
          <w:iCs/>
          <w:szCs w:val="21"/>
          <w:highlight w:val="none"/>
        </w:rPr>
        <w:sym w:font="Wingdings" w:char="F0A8"/>
      </w:r>
      <w:r>
        <w:rPr>
          <w:rFonts w:ascii="宋体" w:hAnsi="宋体" w:hint="eastAsia"/>
          <w:iCs/>
          <w:szCs w:val="21"/>
          <w:highlight w:val="none"/>
        </w:rPr>
        <w:t xml:space="preserve">固定总价 </w:t>
      </w:r>
      <w:r>
        <w:rPr>
          <w:rFonts w:ascii="Wingdings" w:hAnsi="Wingdings"/>
          <w:iCs/>
          <w:szCs w:val="21"/>
          <w:highlight w:val="none"/>
        </w:rPr>
        <w:sym w:font="Wingdings" w:char="F0A8"/>
      </w:r>
      <w:r>
        <w:rPr>
          <w:rFonts w:ascii="宋体" w:hAnsi="宋体" w:hint="eastAsia"/>
          <w:iCs/>
          <w:szCs w:val="21"/>
          <w:highlight w:val="none"/>
        </w:rPr>
        <w:t xml:space="preserve">固定单价 </w:t>
      </w:r>
      <w:r>
        <w:rPr>
          <w:rFonts w:ascii="Wingdings" w:hAnsi="Wingdings"/>
          <w:iCs/>
          <w:szCs w:val="21"/>
          <w:highlight w:val="none"/>
        </w:rPr>
        <w:sym w:font="Wingdings" w:char="F0A8"/>
      </w:r>
      <w:r>
        <w:rPr>
          <w:rFonts w:ascii="宋体" w:hAnsi="宋体" w:hint="eastAsia"/>
          <w:iCs/>
          <w:szCs w:val="21"/>
          <w:highlight w:val="none"/>
        </w:rPr>
        <w:t xml:space="preserve">固定费率 </w:t>
      </w:r>
      <w:r>
        <w:rPr>
          <w:rFonts w:ascii="Wingdings" w:hAnsi="Wingdings"/>
          <w:iCs/>
          <w:szCs w:val="21"/>
          <w:highlight w:val="none"/>
        </w:rPr>
        <w:sym w:font="Wingdings" w:char="F0A8"/>
      </w:r>
      <w:r>
        <w:rPr>
          <w:rFonts w:ascii="宋体" w:hAnsi="宋体" w:hint="eastAsia"/>
          <w:iCs/>
          <w:szCs w:val="21"/>
          <w:highlight w:val="none"/>
        </w:rPr>
        <w:t xml:space="preserve">成本补偿 </w:t>
      </w:r>
      <w:r>
        <w:rPr>
          <w:rFonts w:ascii="Wingdings" w:hAnsi="Wingdings"/>
          <w:iCs/>
          <w:szCs w:val="21"/>
          <w:highlight w:val="none"/>
        </w:rPr>
        <w:sym w:font="Wingdings" w:char="F0A8"/>
      </w:r>
      <w:r>
        <w:rPr>
          <w:rFonts w:ascii="宋体" w:hAnsi="宋体" w:hint="eastAsia"/>
          <w:iCs/>
          <w:szCs w:val="21"/>
          <w:highlight w:val="none"/>
        </w:rPr>
        <w:t xml:space="preserve">绩效激励 </w:t>
      </w:r>
      <w:r>
        <w:rPr>
          <w:rFonts w:ascii="Wingdings" w:hAnsi="Wingdings"/>
          <w:iCs/>
          <w:szCs w:val="21"/>
          <w:highlight w:val="none"/>
        </w:rPr>
        <w:sym w:font="Wingdings" w:char="F0A8"/>
      </w:r>
      <w:r>
        <w:rPr>
          <w:rFonts w:ascii="宋体" w:hAnsi="宋体" w:hint="eastAsia"/>
          <w:iCs/>
          <w:szCs w:val="21"/>
          <w:highlight w:val="none"/>
        </w:rPr>
        <w:t>其他</w:t>
      </w:r>
      <w:r>
        <w:rPr>
          <w:rFonts w:ascii="宋体" w:hAnsi="宋体" w:hint="eastAsia"/>
          <w:szCs w:val="21"/>
          <w:highlight w:val="none"/>
          <w:u w:val="single"/>
        </w:rPr>
        <w:t xml:space="preserve">       </w:t>
      </w:r>
    </w:p>
    <w:p>
      <w:pPr>
        <w:pStyle w:val="12"/>
        <w:spacing w:line="400" w:lineRule="exact"/>
        <w:rPr>
          <w:highlight w:val="none"/>
        </w:rPr>
      </w:pPr>
      <w:r>
        <w:rPr>
          <w:rFonts w:ascii="宋体" w:hAnsi="宋体" w:hint="eastAsia"/>
          <w:highlight w:val="none"/>
        </w:rPr>
        <w:t>（3）付款方式（按项目实际勾选填写）：</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全额付款：</w:t>
      </w:r>
      <w:r>
        <w:rPr>
          <w:rFonts w:ascii="宋体" w:hAnsi="宋体" w:hint="eastAsia"/>
          <w:szCs w:val="21"/>
          <w:highlight w:val="none"/>
          <w:u w:val="single"/>
        </w:rPr>
        <w:t xml:space="preserve">     （应明确一次性支付合同款项的条件）                    </w:t>
      </w:r>
    </w:p>
    <w:p>
      <w:pPr>
        <w:snapToGrid w:val="0"/>
        <w:spacing w:line="400" w:lineRule="exact"/>
        <w:ind w:firstLine="630" w:firstLineChars="300"/>
        <w:rPr>
          <w:highlight w:val="none"/>
        </w:rPr>
      </w:pPr>
      <w:r>
        <w:rPr>
          <w:rFonts w:ascii="Wingdings" w:hAnsi="Wingdings"/>
          <w:szCs w:val="21"/>
          <w:highlight w:val="none"/>
        </w:rPr>
        <w:sym w:font="Wingdings" w:char="F0A8"/>
      </w:r>
      <w:r>
        <w:rPr>
          <w:rFonts w:ascii="宋体" w:hAnsi="宋体" w:hint="eastAsia"/>
          <w:szCs w:val="21"/>
          <w:highlight w:val="none"/>
        </w:rPr>
        <w:t>分期付款：</w:t>
      </w:r>
      <w:r>
        <w:rPr>
          <w:rFonts w:ascii="宋体" w:hAnsi="宋体" w:hint="eastAsia"/>
          <w:szCs w:val="21"/>
          <w:highlight w:val="none"/>
          <w:u w:val="single"/>
        </w:rPr>
        <w:t xml:space="preserve">  （应明确分期支付合同款项的各期比例和支付条件，各期支付条件应与分期履约验收情况挂钩） </w:t>
      </w:r>
      <w:r>
        <w:rPr>
          <w:rFonts w:ascii="宋体" w:hAnsi="宋体" w:hint="eastAsia"/>
          <w:szCs w:val="21"/>
          <w:highlight w:val="none"/>
        </w:rPr>
        <w:t>，其中涉及预付款的：</w:t>
      </w:r>
      <w:r>
        <w:rPr>
          <w:rFonts w:ascii="宋体" w:hAnsi="宋体" w:hint="eastAsia"/>
          <w:szCs w:val="21"/>
          <w:highlight w:val="none"/>
          <w:u w:val="single"/>
        </w:rPr>
        <w:t xml:space="preserve"> （应明确预付款的支付比例和支付条件） </w:t>
      </w:r>
    </w:p>
    <w:p>
      <w:pPr>
        <w:adjustRightInd w:val="0"/>
        <w:snapToGrid w:val="0"/>
        <w:spacing w:line="400" w:lineRule="exact"/>
        <w:ind w:firstLine="630" w:firstLineChars="300"/>
        <w:rPr>
          <w:rFonts w:ascii="宋体" w:hAnsi="宋体"/>
          <w:szCs w:val="21"/>
          <w:highlight w:val="none"/>
          <w:u w:val="single"/>
        </w:rPr>
      </w:pPr>
      <w:r>
        <w:rPr>
          <w:rFonts w:ascii="Wingdings" w:hAnsi="Wingdings"/>
          <w:szCs w:val="21"/>
          <w:highlight w:val="none"/>
        </w:rPr>
        <w:sym w:font="Wingdings" w:char="F0A8"/>
      </w:r>
      <w:r>
        <w:rPr>
          <w:rFonts w:ascii="宋体" w:hAnsi="宋体" w:hint="eastAsia"/>
          <w:szCs w:val="21"/>
          <w:highlight w:val="none"/>
        </w:rPr>
        <w:t>成本补偿：</w:t>
      </w:r>
      <w:r>
        <w:rPr>
          <w:rFonts w:ascii="宋体" w:hAnsi="宋体" w:hint="eastAsia"/>
          <w:szCs w:val="21"/>
          <w:highlight w:val="none"/>
          <w:u w:val="single"/>
        </w:rPr>
        <w:t xml:space="preserve">      （应明确按照成本补偿方式的支付方式和支付条件）   </w:t>
      </w:r>
    </w:p>
    <w:p>
      <w:pPr>
        <w:adjustRightInd w:val="0"/>
        <w:snapToGrid w:val="0"/>
        <w:spacing w:line="400" w:lineRule="exact"/>
        <w:ind w:firstLine="630" w:firstLineChars="300"/>
        <w:rPr>
          <w:rFonts w:ascii="宋体" w:hAnsi="宋体"/>
          <w:szCs w:val="21"/>
          <w:highlight w:val="none"/>
        </w:rPr>
      </w:pPr>
      <w:r>
        <w:rPr>
          <w:rFonts w:ascii="Wingdings" w:hAnsi="Wingdings"/>
          <w:szCs w:val="21"/>
          <w:highlight w:val="none"/>
        </w:rPr>
        <w:sym w:font="Wingdings" w:char="F0A8"/>
      </w:r>
      <w:r>
        <w:rPr>
          <w:rFonts w:ascii="宋体" w:hAnsi="宋体" w:hint="eastAsia"/>
          <w:szCs w:val="21"/>
          <w:highlight w:val="none"/>
        </w:rPr>
        <w:t>绩效激励：</w:t>
      </w:r>
      <w:r>
        <w:rPr>
          <w:rFonts w:ascii="宋体" w:hAnsi="宋体" w:hint="eastAsia"/>
          <w:szCs w:val="21"/>
          <w:highlight w:val="none"/>
          <w:u w:val="single"/>
        </w:rPr>
        <w:t xml:space="preserve">      （应明确按照绩效激励方式的支付方式和支付条件）   </w:t>
      </w:r>
    </w:p>
    <w:p>
      <w:pPr>
        <w:numPr>
          <w:ilvl w:val="0"/>
          <w:numId w:val="6"/>
        </w:numPr>
        <w:adjustRightInd w:val="0"/>
        <w:snapToGrid w:val="0"/>
        <w:spacing w:line="400" w:lineRule="exact"/>
        <w:ind w:firstLine="420" w:firstLineChars="200"/>
        <w:rPr>
          <w:rFonts w:ascii="宋体" w:hAnsi="宋体"/>
          <w:b/>
          <w:szCs w:val="21"/>
          <w:highlight w:val="none"/>
          <w:u w:val="single"/>
        </w:rPr>
      </w:pPr>
      <w:r>
        <w:rPr>
          <w:rFonts w:ascii="宋体" w:hAnsi="宋体" w:hint="eastAsia"/>
          <w:b/>
          <w:szCs w:val="21"/>
          <w:highlight w:val="none"/>
        </w:rPr>
        <w:t>合同履行</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szCs w:val="21"/>
          <w:highlight w:val="none"/>
        </w:rPr>
        <w:t>（1）起始日期：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日，完成日期：</w:t>
      </w:r>
      <w:r>
        <w:rPr>
          <w:rFonts w:ascii="宋体" w:hAnsi="宋体" w:cs="宋体" w:hint="eastAsia"/>
          <w:szCs w:val="21"/>
          <w:highlight w:val="none"/>
          <w:u w:val="single"/>
        </w:rPr>
        <w:t xml:space="preserve">    </w:t>
      </w:r>
      <w:r>
        <w:rPr>
          <w:rFonts w:ascii="宋体" w:hAnsi="宋体" w:cs="宋体" w:hint="eastAsia"/>
          <w:szCs w:val="21"/>
          <w:highlight w:val="none"/>
        </w:rPr>
        <w:t>年</w:t>
      </w:r>
      <w:r>
        <w:rPr>
          <w:rFonts w:ascii="宋体" w:hAnsi="宋体" w:cs="宋体" w:hint="eastAsia"/>
          <w:szCs w:val="21"/>
          <w:highlight w:val="none"/>
          <w:u w:val="single"/>
        </w:rPr>
        <w:t xml:space="preserve">   </w:t>
      </w:r>
      <w:r>
        <w:rPr>
          <w:rFonts w:ascii="宋体" w:hAnsi="宋体" w:cs="宋体" w:hint="eastAsia"/>
          <w:szCs w:val="21"/>
          <w:highlight w:val="none"/>
        </w:rPr>
        <w:t>月</w:t>
      </w:r>
      <w:r>
        <w:rPr>
          <w:rFonts w:ascii="宋体" w:hAnsi="宋体" w:cs="宋体" w:hint="eastAsia"/>
          <w:szCs w:val="21"/>
          <w:highlight w:val="none"/>
          <w:u w:val="single"/>
        </w:rPr>
        <w:t xml:space="preserve">   </w:t>
      </w:r>
      <w:r>
        <w:rPr>
          <w:rFonts w:ascii="宋体" w:hAnsi="宋体" w:cs="宋体" w:hint="eastAsia"/>
          <w:szCs w:val="21"/>
          <w:highlight w:val="none"/>
        </w:rPr>
        <w:t>日。</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szCs w:val="21"/>
          <w:highlight w:val="none"/>
        </w:rPr>
        <w:t>（2）履约地点</w:t>
      </w:r>
      <w:r>
        <w:rPr>
          <w:rFonts w:ascii="宋体" w:hAnsi="宋体" w:cs="宋体" w:hint="eastAsia"/>
          <w:bCs/>
          <w:szCs w:val="21"/>
          <w:highlight w:val="none"/>
        </w:rPr>
        <w:t>：</w:t>
      </w:r>
      <w:r>
        <w:rPr>
          <w:rFonts w:ascii="宋体" w:hAnsi="宋体" w:cs="宋体" w:hint="eastAsia"/>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rPr>
      </w:pPr>
      <w:r>
        <w:rPr>
          <w:rFonts w:ascii="宋体" w:hAnsi="宋体" w:cs="宋体" w:hint="eastAsia"/>
          <w:bCs/>
          <w:szCs w:val="21"/>
          <w:highlight w:val="none"/>
        </w:rPr>
        <w:t>（3）履约担保：</w:t>
      </w:r>
      <w:r>
        <w:rPr>
          <w:rFonts w:ascii="宋体" w:hAnsi="宋体" w:cs="宋体" w:hint="eastAsia"/>
          <w:highlight w:val="none"/>
        </w:rPr>
        <w:t>是否收取履约保证金：</w:t>
      </w:r>
      <w:r>
        <w:rPr>
          <w:rFonts w:ascii="Wingdings" w:hAnsi="Wingdings" w:cs="宋体"/>
          <w:szCs w:val="21"/>
          <w:highlight w:val="none"/>
        </w:rPr>
        <w:sym w:font="Wingdings" w:char="F0A8"/>
      </w:r>
      <w:r>
        <w:rPr>
          <w:rFonts w:ascii="宋体" w:hAnsi="宋体" w:cs="宋体" w:hint="eastAsia"/>
          <w:szCs w:val="21"/>
          <w:highlight w:val="none"/>
        </w:rPr>
        <w:t xml:space="preserve">是    </w:t>
      </w:r>
      <w:r>
        <w:rPr>
          <w:rFonts w:ascii="Wingdings" w:hAnsi="Wingdings" w:cs="宋体"/>
          <w:szCs w:val="21"/>
          <w:highlight w:val="none"/>
        </w:rPr>
        <w:sym w:font="Wingdings" w:char="F0A8"/>
      </w:r>
      <w:r>
        <w:rPr>
          <w:rFonts w:ascii="宋体" w:hAnsi="宋体" w:cs="宋体" w:hint="eastAsia"/>
          <w:szCs w:val="21"/>
          <w:highlight w:val="none"/>
        </w:rPr>
        <w:t>否</w:t>
      </w:r>
    </w:p>
    <w:p>
      <w:pPr>
        <w:pStyle w:val="AONormal"/>
        <w:rPr>
          <w:rFonts w:ascii="宋体" w:eastAsia="宋体" w:hAnsi="宋体" w:cs="宋体"/>
          <w:sz w:val="21"/>
          <w:highlight w:val="none"/>
        </w:rPr>
      </w:pPr>
      <w:r>
        <w:rPr>
          <w:rFonts w:ascii="宋体" w:hAnsi="宋体" w:cs="宋体" w:hint="eastAsia"/>
          <w:bCs/>
          <w:highlight w:val="none"/>
        </w:rPr>
        <w:t xml:space="preserve">  </w:t>
      </w:r>
      <w:r>
        <w:rPr>
          <w:rFonts w:ascii="宋体" w:eastAsia="宋体" w:hAnsi="宋体" w:cs="宋体" w:hint="eastAsia"/>
          <w:sz w:val="21"/>
          <w:highlight w:val="none"/>
        </w:rPr>
        <w:t xml:space="preserve">  收取履约保证金形式：</w:t>
      </w:r>
      <w:r>
        <w:rPr>
          <w:rFonts w:ascii="宋体" w:eastAsia="宋体" w:hAnsi="宋体" w:cs="宋体" w:hint="eastAsia"/>
          <w:bCs/>
          <w:sz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 xml:space="preserve">    收取履约保证金金额：</w:t>
      </w:r>
      <w:r>
        <w:rPr>
          <w:rFonts w:ascii="宋体" w:eastAsia="宋体" w:hAnsi="宋体" w:cs="宋体" w:hint="eastAsia"/>
          <w:bCs/>
          <w:sz w:val="21"/>
          <w:highlight w:val="none"/>
          <w:u w:val="single"/>
        </w:rPr>
        <w:t xml:space="preserve">                            </w:t>
      </w:r>
    </w:p>
    <w:p>
      <w:pPr>
        <w:snapToGrid w:val="0"/>
        <w:spacing w:line="400" w:lineRule="exact"/>
        <w:ind w:firstLine="420" w:firstLineChars="200"/>
        <w:rPr>
          <w:rFonts w:ascii="宋体" w:hAnsi="宋体" w:cs="宋体"/>
          <w:highlight w:val="none"/>
        </w:rPr>
      </w:pPr>
      <w:r>
        <w:rPr>
          <w:rFonts w:ascii="宋体" w:hAnsi="宋体" w:cs="宋体" w:hint="eastAsia"/>
          <w:bCs/>
          <w:szCs w:val="21"/>
          <w:highlight w:val="none"/>
        </w:rPr>
        <w:t xml:space="preserve">    履约担保期限：</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bCs/>
          <w:szCs w:val="21"/>
          <w:highlight w:val="none"/>
        </w:rPr>
      </w:pPr>
      <w:r>
        <w:rPr>
          <w:rFonts w:ascii="宋体" w:hAnsi="宋体" w:cs="宋体" w:hint="eastAsia"/>
          <w:bCs/>
          <w:szCs w:val="21"/>
          <w:highlight w:val="none"/>
        </w:rPr>
        <w:t>（4）分期履行要求：</w:t>
      </w:r>
      <w:r>
        <w:rPr>
          <w:rFonts w:ascii="宋体" w:hAnsi="宋体" w:cs="宋体" w:hint="eastAsia"/>
          <w:bCs/>
          <w:szCs w:val="21"/>
          <w:highlight w:val="none"/>
          <w:u w:val="single"/>
        </w:rPr>
        <w:t xml:space="preserve">                                                        </w:t>
      </w:r>
    </w:p>
    <w:p>
      <w:pPr>
        <w:adjustRightInd w:val="0"/>
        <w:snapToGrid w:val="0"/>
        <w:spacing w:line="400" w:lineRule="exact"/>
        <w:ind w:firstLine="420" w:firstLineChars="200"/>
        <w:rPr>
          <w:rFonts w:ascii="宋体" w:hAnsi="宋体" w:cs="宋体"/>
          <w:szCs w:val="21"/>
          <w:highlight w:val="none"/>
          <w:u w:val="single"/>
        </w:rPr>
      </w:pPr>
      <w:r>
        <w:rPr>
          <w:rFonts w:ascii="宋体" w:hAnsi="宋体" w:cs="宋体" w:hint="eastAsia"/>
          <w:bCs/>
          <w:szCs w:val="21"/>
          <w:highlight w:val="none"/>
        </w:rPr>
        <w:t>（5）风险处置措施和替代方案：</w:t>
      </w:r>
      <w:r>
        <w:rPr>
          <w:rFonts w:ascii="宋体" w:hAnsi="宋体" w:cs="宋体" w:hint="eastAsia"/>
          <w:color w:val="0000FF"/>
          <w:szCs w:val="21"/>
          <w:highlight w:val="none"/>
          <w:u w:val="single"/>
        </w:rPr>
        <w:t xml:space="preserve"> </w:t>
      </w:r>
      <w:r>
        <w:rPr>
          <w:rFonts w:ascii="宋体" w:hAnsi="宋体" w:cs="宋体" w:hint="eastAsia"/>
          <w:color w:val="000000"/>
          <w:szCs w:val="21"/>
          <w:highlight w:val="none"/>
          <w:u w:val="single"/>
        </w:rPr>
        <w:t xml:space="preserve">              </w:t>
      </w:r>
      <w:r>
        <w:rPr>
          <w:rFonts w:ascii="宋体" w:hAnsi="宋体" w:cs="宋体" w:hint="eastAsia"/>
          <w:szCs w:val="21"/>
          <w:highlight w:val="none"/>
          <w:u w:val="single"/>
        </w:rPr>
        <w:t xml:space="preserve">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合同验收</w:t>
      </w:r>
    </w:p>
    <w:p>
      <w:pPr>
        <w:numPr>
          <w:ilvl w:val="0"/>
          <w:numId w:val="8"/>
        </w:num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验收组织方式：</w:t>
      </w:r>
      <w:r>
        <w:rPr>
          <w:rFonts w:ascii="Wingdings" w:hAnsi="Wingdings" w:cs="宋体"/>
          <w:szCs w:val="21"/>
          <w:highlight w:val="none"/>
        </w:rPr>
        <w:sym w:font="Wingdings" w:char="F0A8"/>
      </w:r>
      <w:r>
        <w:rPr>
          <w:rFonts w:ascii="宋体" w:hAnsi="宋体" w:hint="eastAsia"/>
          <w:bCs/>
          <w:szCs w:val="21"/>
          <w:highlight w:val="none"/>
        </w:rPr>
        <w:t xml:space="preserve">自行组织 </w:t>
      </w:r>
      <w:r>
        <w:rPr>
          <w:rFonts w:ascii="Wingdings" w:hAnsi="Wingdings" w:cs="宋体"/>
          <w:szCs w:val="21"/>
          <w:highlight w:val="none"/>
        </w:rPr>
        <w:sym w:font="Wingdings" w:char="F0A8"/>
      </w:r>
      <w:r>
        <w:rPr>
          <w:rFonts w:ascii="宋体" w:hAnsi="宋体" w:hint="eastAsia"/>
          <w:bCs/>
          <w:szCs w:val="21"/>
          <w:highlight w:val="none"/>
        </w:rPr>
        <w:t>委托第三方组织</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验收主体：</w:t>
      </w:r>
      <w:r>
        <w:rPr>
          <w:rFonts w:ascii="宋体" w:hAnsi="宋体" w:hint="eastAsia"/>
          <w:bCs/>
          <w:szCs w:val="21"/>
          <w:highlight w:val="none"/>
          <w:u w:val="single"/>
        </w:rPr>
        <w:t xml:space="preserve">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是否邀请本项目的其他供应商参加验收：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是否邀请专家参加验收：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是否邀请服务对象参加验收：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是否邀请第三方检测机构参加验收：</w:t>
      </w:r>
      <w:r>
        <w:rPr>
          <w:rFonts w:ascii="Wingdings" w:hAnsi="Wingdings" w:cs="宋体"/>
          <w:szCs w:val="21"/>
          <w:highlight w:val="none"/>
        </w:rPr>
        <w:sym w:font="Wingdings" w:char="F0A8"/>
      </w:r>
      <w:r>
        <w:rPr>
          <w:rFonts w:ascii="宋体" w:hAnsi="宋体" w:hint="eastAsia"/>
          <w:bCs/>
          <w:szCs w:val="21"/>
          <w:highlight w:val="none"/>
        </w:rPr>
        <w:t xml:space="preserve">是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是否进行抽查检测：</w:t>
      </w:r>
      <w:r>
        <w:rPr>
          <w:rFonts w:ascii="Wingdings" w:hAnsi="Wingdings" w:cs="宋体"/>
          <w:szCs w:val="21"/>
          <w:highlight w:val="none"/>
        </w:rPr>
        <w:sym w:font="Wingdings" w:char="F0A8"/>
      </w:r>
      <w:r>
        <w:rPr>
          <w:rFonts w:ascii="宋体" w:hAnsi="宋体" w:hint="eastAsia"/>
          <w:bCs/>
          <w:szCs w:val="21"/>
          <w:highlight w:val="none"/>
        </w:rPr>
        <w:t>是，抽查比例：</w:t>
      </w:r>
      <w:r>
        <w:rPr>
          <w:rFonts w:ascii="宋体" w:hAnsi="宋体" w:hint="eastAsia"/>
          <w:bCs/>
          <w:szCs w:val="21"/>
          <w:highlight w:val="none"/>
          <w:u w:val="single"/>
        </w:rPr>
        <w:t xml:space="preserve">        </w:t>
      </w: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是否存在破坏性检测：</w:t>
      </w:r>
      <w:r>
        <w:rPr>
          <w:rFonts w:ascii="Wingdings" w:hAnsi="Wingdings" w:cs="宋体"/>
          <w:szCs w:val="21"/>
          <w:highlight w:val="none"/>
        </w:rPr>
        <w:sym w:font="Wingdings" w:char="F0A8"/>
      </w:r>
      <w:r>
        <w:rPr>
          <w:rFonts w:ascii="宋体" w:hAnsi="宋体" w:hint="eastAsia"/>
          <w:bCs/>
          <w:szCs w:val="21"/>
          <w:highlight w:val="none"/>
        </w:rPr>
        <w:t>是，</w:t>
      </w:r>
      <w:r>
        <w:rPr>
          <w:rFonts w:ascii="宋体" w:hAnsi="宋体" w:hint="eastAsia"/>
          <w:bCs/>
          <w:szCs w:val="21"/>
          <w:highlight w:val="none"/>
          <w:u w:val="single"/>
        </w:rPr>
        <w:t>（应明确对被破坏的检测产品的处理方式）</w:t>
      </w:r>
    </w:p>
    <w:p>
      <w:pPr>
        <w:adjustRightInd w:val="0"/>
        <w:snapToGrid w:val="0"/>
        <w:spacing w:line="400" w:lineRule="exact"/>
        <w:ind w:firstLine="840" w:firstLineChars="400"/>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否</w:t>
      </w:r>
    </w:p>
    <w:p>
      <w:pPr>
        <w:adjustRightInd w:val="0"/>
        <w:snapToGrid w:val="0"/>
        <w:spacing w:line="400" w:lineRule="exact"/>
        <w:ind w:firstLine="840" w:firstLineChars="400"/>
        <w:rPr>
          <w:rFonts w:ascii="宋体" w:hAnsi="宋体"/>
          <w:bCs/>
          <w:szCs w:val="21"/>
          <w:highlight w:val="none"/>
          <w:u w:val="single"/>
        </w:rPr>
      </w:pPr>
      <w:r>
        <w:rPr>
          <w:rFonts w:ascii="宋体" w:hAnsi="宋体" w:hint="eastAsia"/>
          <w:bCs/>
          <w:szCs w:val="21"/>
          <w:highlight w:val="none"/>
        </w:rPr>
        <w:t>验收组织的其他事项：</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（2）履约验收时间：</w:t>
      </w:r>
      <w:r>
        <w:rPr>
          <w:rFonts w:ascii="宋体" w:hAnsi="宋体" w:hint="eastAsia"/>
          <w:bCs/>
          <w:szCs w:val="21"/>
          <w:highlight w:val="none"/>
          <w:u w:val="single"/>
        </w:rPr>
        <w:t xml:space="preserve">（计划于何时验收/供应商提出验收申请之日起   日内组织验收）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（3）履约验收方式：</w:t>
      </w:r>
      <w:r>
        <w:rPr>
          <w:rFonts w:ascii="Wingdings" w:hAnsi="Wingdings" w:cs="宋体"/>
          <w:szCs w:val="21"/>
          <w:highlight w:val="none"/>
        </w:rPr>
        <w:sym w:font="Wingdings" w:char="F0A8"/>
      </w:r>
      <w:r>
        <w:rPr>
          <w:rFonts w:ascii="宋体" w:hAnsi="宋体" w:hint="eastAsia"/>
          <w:bCs/>
          <w:szCs w:val="21"/>
          <w:highlight w:val="none"/>
        </w:rPr>
        <w:t xml:space="preserve">一次性验收         </w:t>
      </w:r>
    </w:p>
    <w:p>
      <w:pPr>
        <w:adjustRightInd w:val="0"/>
        <w:snapToGrid w:val="0"/>
        <w:spacing w:line="400" w:lineRule="exact"/>
        <w:rPr>
          <w:rFonts w:ascii="宋体" w:hAnsi="宋体"/>
          <w:bCs/>
          <w:szCs w:val="21"/>
          <w:highlight w:val="none"/>
        </w:rPr>
      </w:pPr>
      <w:r>
        <w:rPr>
          <w:rFonts w:ascii="宋体" w:hAnsi="宋体" w:hint="eastAsia"/>
          <w:bCs/>
          <w:szCs w:val="21"/>
          <w:highlight w:val="none"/>
        </w:rPr>
        <w:t xml:space="preserve">                       </w:t>
      </w:r>
      <w:r>
        <w:rPr>
          <w:rFonts w:ascii="Wingdings" w:hAnsi="Wingdings" w:cs="宋体"/>
          <w:szCs w:val="21"/>
          <w:highlight w:val="none"/>
        </w:rPr>
        <w:sym w:font="Wingdings" w:char="F0A8"/>
      </w:r>
      <w:r>
        <w:rPr>
          <w:rFonts w:ascii="宋体" w:hAnsi="宋体" w:hint="eastAsia"/>
          <w:bCs/>
          <w:szCs w:val="21"/>
          <w:highlight w:val="none"/>
        </w:rPr>
        <w:t>分期/分项验收：</w:t>
      </w:r>
      <w:r>
        <w:rPr>
          <w:rFonts w:ascii="宋体" w:hAnsi="宋体" w:hint="eastAsia"/>
          <w:bCs/>
          <w:szCs w:val="21"/>
          <w:highlight w:val="none"/>
          <w:u w:val="single"/>
        </w:rPr>
        <w:t xml:space="preserve"> （应明确分期</w:t>
      </w:r>
      <w:r>
        <w:rPr>
          <w:rFonts w:ascii="宋体" w:hAnsi="宋体"/>
          <w:bCs/>
          <w:szCs w:val="21"/>
          <w:highlight w:val="none"/>
          <w:u w:val="single"/>
          <w:lang w:val="en"/>
        </w:rPr>
        <w:t>/</w:t>
      </w:r>
      <w:r>
        <w:rPr>
          <w:rFonts w:ascii="宋体" w:hAnsi="宋体" w:hint="eastAsia"/>
          <w:bCs/>
          <w:szCs w:val="21"/>
          <w:highlight w:val="none"/>
          <w:u w:val="single"/>
          <w:lang w:val="en"/>
        </w:rPr>
        <w:t>分项验收的工作安排</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rPr>
      </w:pPr>
      <w:r>
        <w:rPr>
          <w:rFonts w:ascii="宋体" w:hAnsi="宋体" w:hint="eastAsia"/>
          <w:bCs/>
          <w:szCs w:val="21"/>
          <w:highlight w:val="none"/>
        </w:rPr>
        <w:t>（4）履约验收程序：</w:t>
      </w:r>
      <w:r>
        <w:rPr>
          <w:rFonts w:ascii="宋体" w:hAnsi="宋体" w:hint="eastAsia"/>
          <w:bCs/>
          <w:szCs w:val="21"/>
          <w:highlight w:val="none"/>
          <w:u w:val="single"/>
        </w:rPr>
        <w:t xml:space="preserve">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（5）履约验收的内容：</w:t>
      </w:r>
      <w:r>
        <w:rPr>
          <w:rFonts w:ascii="宋体" w:hAnsi="宋体" w:hint="eastAsia"/>
          <w:bCs/>
          <w:szCs w:val="21"/>
          <w:highlight w:val="none"/>
          <w:u w:val="single"/>
        </w:rPr>
        <w:t xml:space="preserve"> （应当包括每一项技术和商务要求的履约情况，特别是落实政府采购扶持中小企业，支持绿色发展和乡村振兴等政策情况）                                      </w:t>
      </w:r>
    </w:p>
    <w:p>
      <w:pPr>
        <w:adjustRightInd w:val="0"/>
        <w:snapToGrid w:val="0"/>
        <w:spacing w:line="400" w:lineRule="exact"/>
        <w:ind w:firstLine="420" w:firstLineChars="200"/>
        <w:rPr>
          <w:rFonts w:ascii="宋体" w:hAnsi="宋体"/>
          <w:bCs/>
          <w:szCs w:val="21"/>
          <w:highlight w:val="none"/>
          <w:u w:val="single"/>
        </w:rPr>
      </w:pPr>
      <w:r>
        <w:rPr>
          <w:rFonts w:ascii="宋体" w:hAnsi="宋体" w:hint="eastAsia"/>
          <w:bCs/>
          <w:szCs w:val="21"/>
          <w:highlight w:val="none"/>
        </w:rPr>
        <w:t>（6）履约验收标准：</w:t>
      </w:r>
      <w:r>
        <w:rPr>
          <w:rFonts w:ascii="宋体" w:hAnsi="宋体" w:hint="eastAsia"/>
          <w:bCs/>
          <w:szCs w:val="21"/>
          <w:highlight w:val="none"/>
          <w:u w:val="single"/>
        </w:rPr>
        <w:t xml:space="preserve">                                         </w:t>
      </w:r>
    </w:p>
    <w:p>
      <w:pPr>
        <w:pStyle w:val="AONormal"/>
        <w:ind w:firstLine="420"/>
        <w:rPr>
          <w:rFonts w:ascii="宋体" w:eastAsia="宋体" w:hAnsi="宋体" w:cs="宋体"/>
          <w:sz w:val="21"/>
          <w:highlight w:val="none"/>
        </w:rPr>
      </w:pPr>
      <w:r>
        <w:rPr>
          <w:rFonts w:ascii="宋体" w:eastAsia="宋体" w:hAnsi="宋体" w:cs="宋体" w:hint="eastAsia"/>
          <w:bCs/>
          <w:sz w:val="21"/>
          <w:highlight w:val="none"/>
        </w:rPr>
        <w:t>（7）是否以采购活动中供应商提供的样品作为参考：</w:t>
      </w:r>
      <w:r>
        <w:rPr>
          <w:rFonts w:ascii="Wingdings" w:eastAsia="宋体" w:hAnsi="Wingdings" w:cs="宋体"/>
          <w:sz w:val="21"/>
          <w:highlight w:val="none"/>
        </w:rPr>
        <w:sym w:font="Wingdings" w:char="F0A8"/>
      </w:r>
      <w:r>
        <w:rPr>
          <w:rFonts w:ascii="宋体" w:eastAsia="宋体" w:hAnsi="宋体" w:cs="宋体" w:hint="eastAsia"/>
          <w:bCs/>
          <w:sz w:val="21"/>
          <w:highlight w:val="none"/>
        </w:rPr>
        <w:t xml:space="preserve">是  </w:t>
      </w:r>
      <w:r>
        <w:rPr>
          <w:rFonts w:ascii="Wingdings" w:eastAsia="宋体" w:hAnsi="Wingdings" w:cs="宋体"/>
          <w:sz w:val="21"/>
          <w:highlight w:val="none"/>
        </w:rPr>
        <w:sym w:font="Wingdings" w:char="F0A8"/>
      </w:r>
      <w:r>
        <w:rPr>
          <w:rFonts w:ascii="宋体" w:eastAsia="宋体" w:hAnsi="宋体" w:cs="宋体" w:hint="eastAsia"/>
          <w:bCs/>
          <w:sz w:val="21"/>
          <w:highlight w:val="none"/>
        </w:rPr>
        <w:t>否</w:t>
      </w:r>
    </w:p>
    <w:p>
      <w:pPr>
        <w:adjustRightInd w:val="0"/>
        <w:snapToGrid w:val="0"/>
        <w:spacing w:line="400" w:lineRule="exact"/>
        <w:ind w:firstLine="420" w:firstLineChars="200"/>
        <w:rPr>
          <w:rFonts w:ascii="宋体" w:hAnsi="宋体" w:cs="宋体"/>
          <w:bCs/>
          <w:szCs w:val="21"/>
          <w:highlight w:val="none"/>
          <w:u w:val="single"/>
        </w:rPr>
      </w:pPr>
      <w:r>
        <w:rPr>
          <w:rFonts w:ascii="宋体" w:hAnsi="宋体" w:cs="宋体" w:hint="eastAsia"/>
          <w:bCs/>
          <w:szCs w:val="21"/>
          <w:highlight w:val="none"/>
        </w:rPr>
        <w:t>（8）履约验收其他事项：</w:t>
      </w:r>
      <w:r>
        <w:rPr>
          <w:rFonts w:ascii="宋体" w:hAnsi="宋体" w:cs="宋体" w:hint="eastAsia"/>
          <w:bCs/>
          <w:szCs w:val="21"/>
          <w:highlight w:val="none"/>
          <w:u w:val="single"/>
        </w:rPr>
        <w:t xml:space="preserve">      （产权过户登记等）          </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组成合同的文件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本协议书与下列文件一起构成合同文件，如下述文件之间有任何抵触、矛盾或歧义，应按以下顺序解释：</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（1）政府采购合同协议书及其变更、补充协议</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（2）政府采购合同专用条款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（3）政府采购合同通用条款</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（4）中标（成交）通知书</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（5）投标（响应）文件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（6）采购文件</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（7）有关技术文件，图纸</w:t>
      </w:r>
    </w:p>
    <w:p>
      <w:pPr>
        <w:pStyle w:val="AONormal"/>
        <w:ind w:firstLine="420"/>
        <w:rPr>
          <w:rFonts w:ascii="宋体" w:eastAsia="宋体" w:hAnsi="宋体" w:cs="宋体"/>
          <w:kern w:val="2"/>
          <w:sz w:val="21"/>
          <w:highlight w:val="none"/>
        </w:rPr>
      </w:pPr>
      <w:r>
        <w:rPr>
          <w:rFonts w:ascii="宋体" w:eastAsia="宋体" w:hAnsi="宋体" w:cs="宋体" w:hint="eastAsia"/>
          <w:sz w:val="21"/>
          <w:highlight w:val="none"/>
        </w:rPr>
        <w:t>（8）</w:t>
      </w:r>
      <w:r>
        <w:rPr>
          <w:rFonts w:ascii="宋体" w:eastAsia="宋体" w:hAnsi="宋体" w:cs="宋体" w:hint="eastAsia"/>
          <w:color w:val="000000"/>
          <w:kern w:val="2"/>
          <w:sz w:val="21"/>
          <w:highlight w:val="none"/>
        </w:rPr>
        <w:t>国家法律、行政法规和规章制度规定或合同约定的作为合同组成部分的其他文件</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合同生效</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本合同自</w:t>
      </w:r>
      <w:r>
        <w:rPr>
          <w:rFonts w:ascii="宋体" w:hAnsi="宋体" w:hint="eastAsia"/>
          <w:szCs w:val="21"/>
          <w:highlight w:val="none"/>
          <w:u w:val="single"/>
        </w:rPr>
        <w:t xml:space="preserve">                             </w:t>
      </w:r>
      <w:r>
        <w:rPr>
          <w:rFonts w:ascii="宋体" w:hAnsi="宋体" w:hint="eastAsia"/>
          <w:szCs w:val="21"/>
          <w:highlight w:val="none"/>
        </w:rPr>
        <w:t>生效。</w:t>
      </w:r>
    </w:p>
    <w:p>
      <w:pPr>
        <w:numPr>
          <w:ilvl w:val="0"/>
          <w:numId w:val="6"/>
        </w:numPr>
        <w:adjustRightInd w:val="0"/>
        <w:snapToGrid w:val="0"/>
        <w:spacing w:line="400" w:lineRule="exact"/>
        <w:ind w:firstLine="420" w:firstLineChars="200"/>
        <w:rPr>
          <w:rFonts w:ascii="宋体" w:hAnsi="宋体"/>
          <w:b/>
          <w:szCs w:val="21"/>
          <w:highlight w:val="none"/>
        </w:rPr>
      </w:pPr>
      <w:r>
        <w:rPr>
          <w:rFonts w:ascii="宋体" w:hAnsi="宋体" w:hint="eastAsia"/>
          <w:b/>
          <w:szCs w:val="21"/>
          <w:highlight w:val="none"/>
        </w:rPr>
        <w:t>合同份数</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本合同一式</w:t>
      </w:r>
      <w:r>
        <w:rPr>
          <w:rFonts w:ascii="宋体" w:hAnsi="宋体" w:hint="eastAsia"/>
          <w:szCs w:val="21"/>
          <w:highlight w:val="none"/>
          <w:u w:val="single"/>
        </w:rPr>
        <w:t xml:space="preserve">    </w:t>
      </w:r>
      <w:r>
        <w:rPr>
          <w:rFonts w:ascii="宋体" w:hAnsi="宋体" w:hint="eastAsia"/>
          <w:szCs w:val="21"/>
          <w:highlight w:val="none"/>
        </w:rPr>
        <w:t>份，甲方执</w:t>
      </w:r>
      <w:r>
        <w:rPr>
          <w:rFonts w:ascii="宋体" w:hAnsi="宋体" w:hint="eastAsia"/>
          <w:szCs w:val="21"/>
          <w:highlight w:val="none"/>
          <w:u w:val="single"/>
        </w:rPr>
        <w:t xml:space="preserve">    </w:t>
      </w:r>
      <w:r>
        <w:rPr>
          <w:rFonts w:ascii="宋体" w:hAnsi="宋体" w:hint="eastAsia"/>
          <w:szCs w:val="21"/>
          <w:highlight w:val="none"/>
        </w:rPr>
        <w:t>份，乙方执</w:t>
      </w:r>
      <w:r>
        <w:rPr>
          <w:rFonts w:ascii="宋体" w:hAnsi="宋体" w:hint="eastAsia"/>
          <w:szCs w:val="21"/>
          <w:highlight w:val="none"/>
          <w:u w:val="single"/>
        </w:rPr>
        <w:t xml:space="preserve">    </w:t>
      </w:r>
      <w:r>
        <w:rPr>
          <w:rFonts w:ascii="宋体" w:hAnsi="宋体" w:hint="eastAsia"/>
          <w:szCs w:val="21"/>
          <w:highlight w:val="none"/>
        </w:rPr>
        <w:t>份，均具有同等法律效力。</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合同订立时间：</w:t>
      </w:r>
      <w:r>
        <w:rPr>
          <w:rFonts w:ascii="宋体" w:hAnsi="宋体" w:hint="eastAsia"/>
          <w:szCs w:val="21"/>
          <w:highlight w:val="none"/>
          <w:u w:val="single"/>
        </w:rPr>
        <w:t xml:space="preserve">         </w:t>
      </w:r>
      <w:r>
        <w:rPr>
          <w:rFonts w:ascii="宋体" w:hAnsi="宋体" w:hint="eastAsia"/>
          <w:szCs w:val="21"/>
          <w:highlight w:val="none"/>
        </w:rPr>
        <w:t>年</w:t>
      </w:r>
      <w:r>
        <w:rPr>
          <w:rFonts w:ascii="宋体" w:hAnsi="宋体" w:hint="eastAsia"/>
          <w:szCs w:val="21"/>
          <w:highlight w:val="none"/>
          <w:u w:val="single"/>
        </w:rPr>
        <w:t xml:space="preserve">      </w:t>
      </w:r>
      <w:r>
        <w:rPr>
          <w:rFonts w:ascii="宋体" w:hAnsi="宋体" w:hint="eastAsia"/>
          <w:szCs w:val="21"/>
          <w:highlight w:val="none"/>
        </w:rPr>
        <w:t>月</w:t>
      </w:r>
      <w:r>
        <w:rPr>
          <w:rFonts w:ascii="宋体" w:hAnsi="宋体" w:hint="eastAsia"/>
          <w:szCs w:val="21"/>
          <w:highlight w:val="none"/>
          <w:u w:val="single"/>
        </w:rPr>
        <w:t xml:space="preserve">      </w:t>
      </w:r>
      <w:r>
        <w:rPr>
          <w:rFonts w:ascii="宋体" w:hAnsi="宋体" w:hint="eastAsia"/>
          <w:szCs w:val="21"/>
          <w:highlight w:val="none"/>
        </w:rPr>
        <w:t>日</w:t>
      </w:r>
    </w:p>
    <w:p>
      <w:pPr>
        <w:adjustRightInd w:val="0"/>
        <w:snapToGrid w:val="0"/>
        <w:spacing w:line="400" w:lineRule="exact"/>
        <w:ind w:firstLine="420" w:firstLineChars="200"/>
        <w:rPr>
          <w:rFonts w:ascii="宋体" w:hAnsi="宋体"/>
          <w:szCs w:val="21"/>
          <w:highlight w:val="none"/>
        </w:rPr>
      </w:pPr>
      <w:r>
        <w:rPr>
          <w:rFonts w:ascii="宋体" w:hAnsi="宋体" w:hint="eastAsia"/>
          <w:szCs w:val="21"/>
          <w:highlight w:val="none"/>
        </w:rPr>
        <w:t>合同订立地点：</w:t>
      </w:r>
      <w:r>
        <w:rPr>
          <w:rFonts w:ascii="宋体" w:hAnsi="宋体" w:hint="eastAsia"/>
          <w:szCs w:val="21"/>
          <w:highlight w:val="none"/>
          <w:u w:val="single"/>
        </w:rPr>
        <w:t xml:space="preserve">                           </w:t>
      </w:r>
    </w:p>
    <w:p>
      <w:pPr>
        <w:adjustRightInd w:val="0"/>
        <w:snapToGrid w:val="0"/>
        <w:spacing w:line="400" w:lineRule="exact"/>
        <w:ind w:firstLine="420" w:firstLineChars="200"/>
        <w:rPr>
          <w:highlight w:val="none"/>
        </w:rPr>
      </w:pPr>
      <w:r>
        <w:rPr>
          <w:rFonts w:ascii="宋体" w:hAnsi="宋体" w:hint="eastAsia"/>
          <w:szCs w:val="21"/>
          <w:highlight w:val="none"/>
        </w:rPr>
        <w:t>附件：具体标的及其技术要求和商务要求、联合协议、分包意向协议等。</w:t>
      </w:r>
    </w:p>
    <w:p>
      <w:pPr>
        <w:rPr>
          <w:highlight w:val="none"/>
        </w:rPr>
      </w:pPr>
      <w:r>
        <w:rPr>
          <w:rFonts w:hint="eastAsia"/>
          <w:highlight w:val="none"/>
        </w:rPr>
        <w:br w:type="page"/>
      </w:r>
    </w:p>
    <w:p>
      <w:pPr>
        <w:pStyle w:val="12"/>
        <w:rPr>
          <w:highlight w:val="none"/>
        </w:rPr>
      </w:pPr>
    </w:p>
    <w:tbl>
      <w:tblPr>
        <w:tblStyle w:val="TableNormal"/>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
      <w:tblGrid>
        <w:gridCol w:w="1891"/>
        <w:gridCol w:w="2412"/>
        <w:gridCol w:w="1978"/>
        <w:gridCol w:w="2117"/>
      </w:tblGrid>
      <w:tr>
        <w:tblPrEx>
          <w:tblW w:w="4927" w:type="pct"/>
          <w:tblInd w:w="0" w:type="dxa"/>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CellMar>
            <w:top w:w="0" w:type="dxa"/>
            <w:left w:w="108" w:type="dxa"/>
            <w:bottom w:w="0" w:type="dxa"/>
            <w:right w:w="108" w:type="dxa"/>
          </w:tblCellMar>
        </w:tblPrEx>
        <w:trPr>
          <w:trHeight w:val="490"/>
        </w:trPr>
        <w:tc>
          <w:tcPr>
            <w:tcW w:w="2562" w:type="pct"/>
            <w:gridSpan w:val="2"/>
            <w:tcBorders>
              <w:bottom w:val="single" w:sz="2" w:space="0" w:color="auto"/>
              <w:right w:val="single" w:sz="2" w:space="0" w:color="auto"/>
            </w:tcBorders>
            <w:noWrap w:val="0"/>
            <w:vAlign w:val="center"/>
          </w:tcPr>
          <w:p>
            <w:pPr>
              <w:adjustRightInd w:val="0"/>
              <w:snapToGrid w:val="0"/>
              <w:spacing w:line="300" w:lineRule="exact"/>
              <w:jc w:val="center"/>
              <w:rPr>
                <w:highlight w:val="none"/>
              </w:rPr>
            </w:pPr>
            <w:r>
              <w:rPr>
                <w:szCs w:val="21"/>
                <w:highlight w:val="none"/>
              </w:rPr>
              <w:t>甲方</w:t>
            </w:r>
            <w:r>
              <w:rPr>
                <w:rFonts w:hint="eastAsia"/>
                <w:szCs w:val="21"/>
                <w:highlight w:val="none"/>
              </w:rPr>
              <w:t>（采购人</w:t>
            </w:r>
            <w:r>
              <w:rPr>
                <w:rFonts w:ascii="宋体" w:hAnsi="宋体" w:hint="eastAsia"/>
                <w:szCs w:val="21"/>
                <w:highlight w:val="none"/>
              </w:rPr>
              <w:t>、受采购人委托签订合同的单位或</w:t>
            </w:r>
            <w:r>
              <w:rPr>
                <w:rFonts w:hint="eastAsia"/>
                <w:szCs w:val="21"/>
                <w:highlight w:val="none"/>
              </w:rPr>
              <w:t>采购文件约定的合同甲方）</w:t>
            </w:r>
          </w:p>
        </w:tc>
        <w:tc>
          <w:tcPr>
            <w:tcW w:w="2437" w:type="pct"/>
            <w:gridSpan w:val="2"/>
            <w:tcBorders>
              <w:left w:val="single" w:sz="2" w:space="0" w:color="auto"/>
              <w:bottom w:val="single" w:sz="2" w:space="0" w:color="auto"/>
            </w:tcBorders>
            <w:noWrap w:val="0"/>
            <w:vAlign w:val="center"/>
          </w:tcPr>
          <w:p>
            <w:pPr>
              <w:adjustRightInd w:val="0"/>
              <w:snapToGrid w:val="0"/>
              <w:spacing w:line="300" w:lineRule="exact"/>
              <w:jc w:val="center"/>
              <w:rPr>
                <w:highlight w:val="none"/>
              </w:rPr>
            </w:pPr>
            <w:r>
              <w:rPr>
                <w:szCs w:val="21"/>
                <w:highlight w:val="none"/>
              </w:rPr>
              <w:t>乙方</w:t>
            </w:r>
            <w:r>
              <w:rPr>
                <w:rFonts w:hint="eastAsia"/>
                <w:szCs w:val="21"/>
                <w:highlight w:val="none"/>
              </w:rPr>
              <w:t>（供应商）</w:t>
            </w:r>
          </w:p>
        </w:tc>
      </w:tr>
      <w:tr>
        <w:tblPrEx>
          <w:tblW w:w="4927" w:type="pct"/>
          <w:tblInd w:w="0" w:type="dxa"/>
          <w:tblCellMar>
            <w:top w:w="0" w:type="dxa"/>
            <w:left w:w="108" w:type="dxa"/>
            <w:bottom w:w="0" w:type="dxa"/>
            <w:right w:w="108" w:type="dxa"/>
          </w:tblCellMar>
        </w:tblPrEx>
        <w:trPr>
          <w:trHeight w:val="917"/>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单位名称</w:t>
            </w:r>
            <w:r>
              <w:rPr>
                <w:rFonts w:hint="eastAsia"/>
                <w:szCs w:val="21"/>
                <w:highlight w:val="none"/>
              </w:rPr>
              <w:t>（公章或合同章）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1171"/>
        </w:trPr>
        <w:tc>
          <w:tcPr>
            <w:tcW w:w="1126" w:type="pct"/>
            <w:vMerge w:val="restart"/>
            <w:tcBorders>
              <w:top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ind w:firstLine="101" w:firstLineChars="48"/>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436" w:type="pct"/>
            <w:vMerge w:val="restar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法定代表人</w:t>
            </w:r>
          </w:p>
          <w:p>
            <w:pPr>
              <w:adjustRightInd w:val="0"/>
              <w:snapToGrid w:val="0"/>
              <w:spacing w:line="300" w:lineRule="exact"/>
              <w:jc w:val="center"/>
              <w:rPr>
                <w:szCs w:val="21"/>
                <w:highlight w:val="none"/>
              </w:rPr>
            </w:pPr>
            <w:r>
              <w:rPr>
                <w:rFonts w:hint="eastAsia"/>
                <w:szCs w:val="21"/>
                <w:highlight w:val="none"/>
              </w:rPr>
              <w:t>或其</w:t>
            </w:r>
            <w:r>
              <w:rPr>
                <w:szCs w:val="21"/>
                <w:highlight w:val="none"/>
              </w:rPr>
              <w:t>委托代理人</w:t>
            </w:r>
            <w:r>
              <w:rPr>
                <w:rFonts w:hint="eastAsia"/>
                <w:szCs w:val="21"/>
                <w:highlight w:val="none"/>
              </w:rPr>
              <w:t>（签章）</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vMerge/>
            <w:tcBorders>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vMerge/>
            <w:tcBorders>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拥有者性别</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住  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 系 人</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联系电话</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通信地址</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邮政编码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电子邮箱</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rFonts w:hint="eastAsia"/>
                <w:szCs w:val="21"/>
                <w:highlight w:val="none"/>
              </w:rPr>
              <w:t>统一社会信用代码</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开户名称</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开户银行</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483"/>
        </w:trPr>
        <w:tc>
          <w:tcPr>
            <w:tcW w:w="1126" w:type="pct"/>
            <w:tcBorders>
              <w:top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436"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p>
        </w:tc>
        <w:tc>
          <w:tcPr>
            <w:tcW w:w="1178" w:type="pct"/>
            <w:tcBorders>
              <w:top w:val="single" w:sz="2" w:space="0" w:color="auto"/>
              <w:left w:val="single" w:sz="2" w:space="0" w:color="auto"/>
              <w:bottom w:val="single" w:sz="2" w:space="0" w:color="auto"/>
              <w:right w:val="single" w:sz="2" w:space="0" w:color="auto"/>
            </w:tcBorders>
            <w:noWrap w:val="0"/>
            <w:vAlign w:val="center"/>
          </w:tcPr>
          <w:p>
            <w:pPr>
              <w:adjustRightInd w:val="0"/>
              <w:snapToGrid w:val="0"/>
              <w:spacing w:line="300" w:lineRule="exact"/>
              <w:jc w:val="center"/>
              <w:rPr>
                <w:szCs w:val="21"/>
                <w:highlight w:val="none"/>
              </w:rPr>
            </w:pPr>
            <w:r>
              <w:rPr>
                <w:szCs w:val="21"/>
                <w:highlight w:val="none"/>
              </w:rPr>
              <w:t>银行账号</w:t>
            </w:r>
          </w:p>
        </w:tc>
        <w:tc>
          <w:tcPr>
            <w:tcW w:w="1259" w:type="pct"/>
            <w:tcBorders>
              <w:top w:val="single" w:sz="2" w:space="0" w:color="auto"/>
              <w:left w:val="single" w:sz="2" w:space="0" w:color="auto"/>
              <w:bottom w:val="single" w:sz="2" w:space="0" w:color="auto"/>
            </w:tcBorders>
            <w:noWrap w:val="0"/>
            <w:vAlign w:val="center"/>
          </w:tcPr>
          <w:p>
            <w:pPr>
              <w:adjustRightInd w:val="0"/>
              <w:snapToGrid w:val="0"/>
              <w:spacing w:line="300" w:lineRule="exact"/>
              <w:jc w:val="center"/>
              <w:rPr>
                <w:spacing w:val="20"/>
                <w:szCs w:val="21"/>
                <w:highlight w:val="none"/>
              </w:rPr>
            </w:pPr>
          </w:p>
        </w:tc>
      </w:tr>
      <w:tr>
        <w:tblPrEx>
          <w:tblW w:w="4927" w:type="pct"/>
          <w:tblInd w:w="0" w:type="dxa"/>
          <w:tblCellMar>
            <w:top w:w="0" w:type="dxa"/>
            <w:left w:w="108" w:type="dxa"/>
            <w:bottom w:w="0" w:type="dxa"/>
            <w:right w:w="108" w:type="dxa"/>
          </w:tblCellMar>
        </w:tblPrEx>
        <w:trPr>
          <w:trHeight w:val="586"/>
        </w:trPr>
        <w:tc>
          <w:tcPr>
            <w:tcW w:w="5000" w:type="pct"/>
            <w:gridSpan w:val="4"/>
            <w:tcBorders>
              <w:top w:val="single" w:sz="2" w:space="0" w:color="auto"/>
            </w:tcBorders>
            <w:noWrap w:val="0"/>
            <w:vAlign w:val="center"/>
          </w:tcPr>
          <w:p>
            <w:pPr>
              <w:pStyle w:val="BodyTextIndent"/>
              <w:adjustRightInd w:val="0"/>
              <w:snapToGrid w:val="0"/>
              <w:spacing w:before="156" w:beforeLines="50" w:after="0" w:line="360" w:lineRule="auto"/>
              <w:ind w:left="0" w:leftChars="0"/>
              <w:jc w:val="left"/>
              <w:rPr>
                <w:spacing w:val="20"/>
                <w:szCs w:val="21"/>
                <w:highlight w:val="none"/>
              </w:rPr>
            </w:pPr>
            <w:r>
              <w:rPr>
                <w:rFonts w:ascii="宋体" w:hAnsi="宋体" w:hint="eastAsia"/>
                <w:szCs w:val="21"/>
                <w:highlight w:val="none"/>
              </w:rPr>
              <w:t>注：涉及联合体或其他合同主体的信息应按上表格式加列。</w:t>
            </w:r>
          </w:p>
        </w:tc>
      </w:tr>
    </w:tbl>
    <w:p>
      <w:pPr>
        <w:pStyle w:val="Heading2"/>
        <w:numPr>
          <w:ilvl w:val="0"/>
          <w:numId w:val="0"/>
        </w:numPr>
        <w:adjustRightInd w:val="0"/>
        <w:snapToGrid w:val="0"/>
        <w:spacing w:before="156" w:beforeLines="50"/>
        <w:jc w:val="center"/>
        <w:rPr>
          <w:rFonts w:ascii="黑体" w:hAnsi="黑体"/>
          <w:sz w:val="28"/>
          <w:szCs w:val="28"/>
          <w:highlight w:val="none"/>
        </w:rPr>
      </w:pPr>
      <w:r>
        <w:rPr>
          <w:rFonts w:ascii="宋体" w:hAnsi="宋体"/>
          <w:sz w:val="21"/>
          <w:szCs w:val="21"/>
          <w:highlight w:val="none"/>
          <w:u w:val="single"/>
        </w:rPr>
        <w:br w:type="page"/>
      </w:r>
      <w:bookmarkStart w:id="73" w:name="_Toc27624"/>
      <w:r>
        <w:rPr>
          <w:rFonts w:ascii="黑体" w:hAnsi="黑体" w:hint="eastAsia"/>
          <w:b w:val="0"/>
          <w:bCs w:val="0"/>
          <w:sz w:val="28"/>
          <w:szCs w:val="28"/>
          <w:highlight w:val="none"/>
        </w:rPr>
        <w:t>第二节 政府采购合同通用条款</w:t>
      </w:r>
      <w:bookmarkEnd w:id="73"/>
    </w:p>
    <w:p>
      <w:pPr>
        <w:tabs>
          <w:tab w:val="left" w:pos="8820"/>
          <w:tab w:val="left" w:pos="9345"/>
          <w:tab w:val="left" w:pos="9765"/>
        </w:tabs>
        <w:adjustRightInd w:val="0"/>
        <w:snapToGrid w:val="0"/>
        <w:spacing w:line="400" w:lineRule="exact"/>
        <w:jc w:val="left"/>
        <w:rPr>
          <w:rFonts w:ascii="宋体" w:hAnsi="宋体"/>
          <w:b/>
          <w:bCs/>
          <w:highlight w:val="none"/>
        </w:rPr>
      </w:pPr>
      <w:r>
        <w:rPr>
          <w:rFonts w:ascii="宋体" w:hAnsi="宋体" w:hint="eastAsia"/>
          <w:b/>
          <w:sz w:val="24"/>
          <w:highlight w:val="none"/>
        </w:rPr>
        <w:t xml:space="preserve">1. </w:t>
      </w:r>
      <w:r>
        <w:rPr>
          <w:rFonts w:ascii="宋体" w:hAnsi="宋体" w:hint="eastAsia"/>
          <w:b/>
          <w:bCs/>
          <w:sz w:val="24"/>
          <w:highlight w:val="none"/>
        </w:rPr>
        <w:t>定义</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1.1合同当事人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（1）采购人（以下称甲方）是指使用财政性资金，通过政府采购方式向供应商购买货物及其相关服务的国家机关、事业单位、团体组织。</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（2）供应商（以下称乙方）是指参加政府采购活动并且中标（成交），向采购人提供合同约定的货物及其相关服务的法人、非法人组织或者自然人。</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（3）其他合同主体是指除采购人和供应商以外，</w:t>
      </w:r>
      <w:r>
        <w:rPr>
          <w:rFonts w:ascii="宋体" w:hAnsi="宋体" w:cs="宋体" w:hint="eastAsia"/>
          <w:bCs/>
          <w:color w:val="000000"/>
          <w:szCs w:val="21"/>
          <w:highlight w:val="none"/>
        </w:rPr>
        <w:t>依法参与合同缔结或履行，享有权利、承担义务的合同当事人</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1.2本合同下列术语应解释为：</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（1）“合同”系指</w:t>
      </w:r>
      <w:r>
        <w:rPr>
          <w:rFonts w:ascii="宋体" w:hAnsi="宋体" w:cs="宋体" w:hint="eastAsia"/>
          <w:bCs/>
          <w:color w:val="000000"/>
          <w:szCs w:val="21"/>
          <w:highlight w:val="none"/>
        </w:rPr>
        <w:t>合同当事人意思表示达成一致的任何协议，包括签署的</w:t>
      </w:r>
      <w:r>
        <w:rPr>
          <w:rFonts w:ascii="宋体" w:hAnsi="宋体" w:hint="eastAsia"/>
          <w:szCs w:val="21"/>
          <w:highlight w:val="none"/>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highlight w:val="none"/>
        </w:rPr>
        <w:t>国家法律、行政法规和规章制度规定或合同约定的作为合同组成部分的其他文件</w:t>
      </w:r>
      <w:r>
        <w:rPr>
          <w:rFonts w:ascii="宋体" w:hAnsi="宋体" w:hint="eastAsia"/>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（2）“合同价款”系指根据本合同规定乙方在全面履行合同义务后甲方应支付给乙方的价款。</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szCs w:val="21"/>
          <w:highlight w:val="none"/>
        </w:rPr>
        <w:t>（3）“货物”系指乙方根据本合同规定须向甲方提供的各种形态和种类的物品，包括原材料、设备、产品（</w:t>
      </w:r>
      <w:r>
        <w:rPr>
          <w:rFonts w:ascii="宋体" w:hAnsi="宋体" w:hint="eastAsia"/>
          <w:color w:val="000000"/>
          <w:szCs w:val="21"/>
          <w:highlight w:val="none"/>
        </w:rPr>
        <w:t>包括软件）及相关的其备品备件、工具、手册及</w:t>
      </w:r>
      <w:r>
        <w:rPr>
          <w:rFonts w:ascii="宋体" w:hAnsi="宋体"/>
          <w:color w:val="000000"/>
          <w:szCs w:val="21"/>
          <w:highlight w:val="none"/>
          <w:lang w:val="en"/>
        </w:rPr>
        <w:t>其他</w:t>
      </w:r>
      <w:r>
        <w:rPr>
          <w:rFonts w:ascii="宋体" w:hAnsi="宋体" w:hint="eastAsia"/>
          <w:color w:val="000000"/>
          <w:szCs w:val="21"/>
          <w:highlight w:val="none"/>
        </w:rPr>
        <w:t>技术资料和材料等。</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hint="eastAsia"/>
          <w:szCs w:val="21"/>
          <w:highlight w:val="none"/>
        </w:rPr>
        <w:t>相关</w:t>
      </w:r>
      <w:r>
        <w:rPr>
          <w:rFonts w:ascii="宋体" w:hAnsi="宋体" w:hint="eastAsia"/>
          <w:color w:val="000000"/>
          <w:szCs w:val="21"/>
          <w:highlight w:val="none"/>
        </w:rPr>
        <w:t>服务”系指根据合同规定，乙方应提供的与货物有关的技术、管理和</w:t>
      </w:r>
      <w:r>
        <w:rPr>
          <w:rFonts w:ascii="宋体" w:hAnsi="宋体"/>
          <w:color w:val="000000"/>
          <w:szCs w:val="21"/>
          <w:highlight w:val="none"/>
          <w:lang w:val="en"/>
        </w:rPr>
        <w:t>其他</w:t>
      </w:r>
      <w:r>
        <w:rPr>
          <w:rFonts w:ascii="宋体" w:hAnsi="宋体" w:hint="eastAsia"/>
          <w:color w:val="000000"/>
          <w:szCs w:val="21"/>
          <w:highlight w:val="none"/>
        </w:rPr>
        <w:t>服务，包括但不限于：管理和质量保证、运输、保险、检验、现场准备、安装、集成、调试、培训、维修、废弃处置、技术支持等以及合同中规定乙方应承担的</w:t>
      </w:r>
      <w:r>
        <w:rPr>
          <w:rFonts w:ascii="宋体" w:hAnsi="宋体"/>
          <w:color w:val="000000"/>
          <w:szCs w:val="21"/>
          <w:highlight w:val="none"/>
          <w:lang w:val="en"/>
        </w:rPr>
        <w:t>其他</w:t>
      </w:r>
      <w:r>
        <w:rPr>
          <w:rFonts w:ascii="宋体" w:hAnsi="宋体" w:hint="eastAsia"/>
          <w:color w:val="000000"/>
          <w:szCs w:val="21"/>
          <w:highlight w:val="none"/>
        </w:rPr>
        <w:t>义务。</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（5）“分包”系指中标（成交）供应商按采购文件、投标（响应）文件的规定，根据分包意向协议，将中标（成交）项目中的部分履约内容，分给具有相应资质条件的供应商履行合同的行为。</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w:t>
      </w:r>
      <w:r>
        <w:rPr>
          <w:rFonts w:ascii="宋体" w:hAnsi="宋体" w:hint="eastAsia"/>
          <w:szCs w:val="21"/>
          <w:highlight w:val="none"/>
        </w:rPr>
        <w:t>“联合体”系指由两个以上的自然人、法人或者非法人组织组成，以一个供应商的身份共同参加政府采购的主体</w:t>
      </w:r>
      <w:r>
        <w:rPr>
          <w:rFonts w:ascii="宋体" w:hAnsi="宋体" w:hint="eastAsia"/>
          <w:color w:val="000000"/>
          <w:szCs w:val="21"/>
          <w:highlight w:val="none"/>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（7）其他术语解释，见【</w:t>
      </w:r>
      <w:r>
        <w:rPr>
          <w:rFonts w:ascii="宋体" w:hAnsi="宋体" w:hint="eastAsia"/>
          <w:b/>
          <w:bCs/>
          <w:color w:val="000000"/>
          <w:szCs w:val="21"/>
          <w:highlight w:val="none"/>
        </w:rPr>
        <w:t>政府采购合同专用条款</w:t>
      </w:r>
      <w:r>
        <w:rPr>
          <w:rFonts w:ascii="宋体" w:hAnsi="宋体" w:hint="eastAsia"/>
          <w:color w:val="000000"/>
          <w:szCs w:val="21"/>
          <w:highlight w:val="none"/>
        </w:rPr>
        <w:t>】。</w:t>
      </w:r>
    </w:p>
    <w:p>
      <w:pPr>
        <w:numPr>
          <w:ilvl w:val="0"/>
          <w:numId w:val="9"/>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color w:val="000000"/>
          <w:sz w:val="24"/>
          <w:highlight w:val="none"/>
        </w:rPr>
        <w:t>合同标的及金额</w:t>
      </w:r>
    </w:p>
    <w:p>
      <w:pPr>
        <w:autoSpaceDE w:val="0"/>
        <w:autoSpaceDN w:val="0"/>
        <w:adjustRightInd w:val="0"/>
        <w:snapToGrid w:val="0"/>
        <w:spacing w:line="400" w:lineRule="exact"/>
        <w:ind w:firstLine="420" w:firstLineChars="200"/>
        <w:jc w:val="left"/>
        <w:rPr>
          <w:rFonts w:ascii="宋体" w:hAnsi="宋体"/>
          <w:b/>
          <w:bCs/>
          <w:i/>
          <w:iCs/>
          <w:color w:val="000000"/>
          <w:szCs w:val="21"/>
          <w:highlight w:val="none"/>
        </w:rPr>
      </w:pPr>
      <w:r>
        <w:rPr>
          <w:rFonts w:ascii="宋体" w:hAnsi="宋体" w:hint="eastAsia"/>
          <w:color w:val="000000"/>
          <w:szCs w:val="21"/>
          <w:highlight w:val="none"/>
        </w:rPr>
        <w:t>2.1 合同标的及金额应与中标（成交）结果一致。乙方为履行本合同而发生的所有费用均应包含在合同价款中，甲方不再另行支付</w:t>
      </w:r>
      <w:r>
        <w:rPr>
          <w:rFonts w:ascii="宋体" w:hAnsi="宋体"/>
          <w:color w:val="000000"/>
          <w:szCs w:val="21"/>
          <w:highlight w:val="none"/>
          <w:lang w:val="en"/>
        </w:rPr>
        <w:t>其他</w:t>
      </w:r>
      <w:r>
        <w:rPr>
          <w:rFonts w:ascii="宋体" w:hAnsi="宋体" w:hint="eastAsia"/>
          <w:color w:val="000000"/>
          <w:szCs w:val="21"/>
          <w:highlight w:val="none"/>
        </w:rPr>
        <w:t>任何费用。</w:t>
      </w:r>
    </w:p>
    <w:p>
      <w:pPr>
        <w:adjustRightInd w:val="0"/>
        <w:snapToGrid w:val="0"/>
        <w:spacing w:line="400" w:lineRule="exact"/>
        <w:jc w:val="left"/>
        <w:rPr>
          <w:rFonts w:ascii="宋体" w:hAnsi="宋体"/>
          <w:b/>
          <w:color w:val="000000"/>
          <w:highlight w:val="none"/>
        </w:rPr>
      </w:pPr>
      <w:r>
        <w:rPr>
          <w:rFonts w:ascii="宋体" w:hAnsi="宋体" w:hint="eastAsia"/>
          <w:b/>
          <w:color w:val="000000"/>
          <w:sz w:val="24"/>
          <w:highlight w:val="none"/>
        </w:rPr>
        <w:t>3. 履行合同的时间、地点和方式</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3.1 </w:t>
      </w:r>
      <w:r>
        <w:rPr>
          <w:rFonts w:ascii="宋体" w:hAnsi="宋体" w:cs="宋体" w:hint="eastAsia"/>
          <w:szCs w:val="21"/>
          <w:highlight w:val="none"/>
        </w:rPr>
        <w:t>乙方应当在约定的时间、地点，按照约定方式履行合同。</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4. 甲方的权利和义务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4.1</w:t>
      </w:r>
      <w:r>
        <w:rPr>
          <w:rFonts w:ascii="宋体" w:hAnsi="宋体"/>
          <w:color w:val="000000"/>
          <w:szCs w:val="21"/>
          <w:highlight w:val="none"/>
        </w:rPr>
        <w:t xml:space="preserve"> 签署合同后，甲方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r>
        <w:rPr>
          <w:rFonts w:ascii="宋体" w:hAnsi="宋体" w:hint="eastAsia"/>
          <w:color w:val="000000"/>
          <w:szCs w:val="21"/>
          <w:highlight w:val="none"/>
        </w:rPr>
        <w:t>甲方有权对乙方的履约行为进行检查，并</w:t>
      </w:r>
      <w:r>
        <w:rPr>
          <w:rFonts w:ascii="宋体" w:hAnsi="宋体"/>
          <w:color w:val="000000"/>
          <w:szCs w:val="21"/>
          <w:highlight w:val="none"/>
        </w:rPr>
        <w:t>及时确认乙方提交的事项</w:t>
      </w:r>
      <w:r>
        <w:rPr>
          <w:rFonts w:ascii="宋体" w:hAnsi="宋体" w:hint="eastAsia"/>
          <w:color w:val="000000"/>
          <w:szCs w:val="21"/>
          <w:highlight w:val="none"/>
        </w:rPr>
        <w:t>。甲方应当</w:t>
      </w:r>
      <w:r>
        <w:rPr>
          <w:rFonts w:ascii="宋体" w:hAnsi="宋体"/>
          <w:color w:val="000000"/>
          <w:szCs w:val="21"/>
          <w:highlight w:val="none"/>
        </w:rPr>
        <w:t>配合乙方完成</w:t>
      </w:r>
      <w:r>
        <w:rPr>
          <w:rFonts w:ascii="宋体" w:hAnsi="宋体" w:hint="eastAsia"/>
          <w:color w:val="000000"/>
          <w:szCs w:val="21"/>
          <w:highlight w:val="none"/>
        </w:rPr>
        <w:t>相关项目</w:t>
      </w:r>
      <w:r>
        <w:rPr>
          <w:rFonts w:ascii="宋体" w:hAnsi="宋体"/>
          <w:color w:val="000000"/>
          <w:szCs w:val="21"/>
          <w:highlight w:val="none"/>
        </w:rPr>
        <w:t>实施工作。</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4.2 </w:t>
      </w:r>
      <w:r>
        <w:rPr>
          <w:rFonts w:ascii="宋体" w:hAnsi="宋体"/>
          <w:color w:val="000000"/>
          <w:szCs w:val="21"/>
          <w:highlight w:val="none"/>
        </w:rPr>
        <w:t>甲方有权要求乙方按时提交各阶段有关</w:t>
      </w:r>
      <w:r>
        <w:rPr>
          <w:rFonts w:ascii="宋体" w:hAnsi="宋体" w:hint="eastAsia"/>
          <w:color w:val="000000"/>
          <w:szCs w:val="21"/>
          <w:highlight w:val="none"/>
        </w:rPr>
        <w:t>安排计划</w:t>
      </w:r>
      <w:r>
        <w:rPr>
          <w:rFonts w:ascii="宋体" w:hAnsi="宋体"/>
          <w:color w:val="000000"/>
          <w:szCs w:val="21"/>
          <w:highlight w:val="none"/>
        </w:rPr>
        <w:t>，并有权</w:t>
      </w:r>
      <w:r>
        <w:rPr>
          <w:rFonts w:ascii="宋体" w:hAnsi="宋体" w:hint="eastAsia"/>
          <w:color w:val="000000"/>
          <w:szCs w:val="21"/>
          <w:highlight w:val="none"/>
        </w:rPr>
        <w:t>定期核对乙方提供货物数量、规格、质量等内容。甲方</w:t>
      </w:r>
      <w:r>
        <w:rPr>
          <w:rFonts w:ascii="宋体" w:hAnsi="宋体"/>
          <w:color w:val="000000"/>
          <w:szCs w:val="21"/>
          <w:highlight w:val="none"/>
        </w:rPr>
        <w:t>有权督促乙方工作并要求乙方</w:t>
      </w:r>
      <w:r>
        <w:rPr>
          <w:rFonts w:ascii="宋体" w:hAnsi="宋体" w:hint="eastAsia"/>
          <w:color w:val="000000"/>
          <w:szCs w:val="21"/>
          <w:highlight w:val="none"/>
        </w:rPr>
        <w:t>更</w:t>
      </w:r>
      <w:r>
        <w:rPr>
          <w:rFonts w:ascii="宋体" w:hAnsi="宋体"/>
          <w:color w:val="000000"/>
          <w:szCs w:val="21"/>
          <w:highlight w:val="none"/>
        </w:rPr>
        <w:t>换不符合要求的</w:t>
      </w:r>
      <w:r>
        <w:rPr>
          <w:rFonts w:ascii="宋体" w:hAnsi="宋体" w:hint="eastAsia"/>
          <w:color w:val="000000"/>
          <w:szCs w:val="21"/>
          <w:highlight w:val="none"/>
        </w:rPr>
        <w:t>货物</w:t>
      </w:r>
      <w:r>
        <w:rPr>
          <w:rFonts w:ascii="宋体" w:hAnsi="宋体"/>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w:t>
      </w:r>
      <w:r>
        <w:rPr>
          <w:rFonts w:ascii="宋体" w:hAnsi="宋体"/>
          <w:color w:val="000000"/>
          <w:szCs w:val="21"/>
          <w:highlight w:val="none"/>
        </w:rPr>
        <w:t>3</w:t>
      </w:r>
      <w:r>
        <w:rPr>
          <w:rFonts w:ascii="宋体" w:hAnsi="宋体" w:hint="eastAsia"/>
          <w:color w:val="000000"/>
          <w:szCs w:val="21"/>
          <w:highlight w:val="none"/>
        </w:rPr>
        <w:t xml:space="preserve"> </w:t>
      </w:r>
      <w:r>
        <w:rPr>
          <w:rFonts w:ascii="宋体" w:hAnsi="宋体"/>
          <w:color w:val="000000"/>
          <w:szCs w:val="21"/>
          <w:highlight w:val="none"/>
        </w:rPr>
        <w:t>甲方</w:t>
      </w:r>
      <w:r>
        <w:rPr>
          <w:rFonts w:ascii="宋体" w:hAnsi="宋体" w:hint="eastAsia"/>
          <w:color w:val="000000"/>
          <w:szCs w:val="21"/>
          <w:highlight w:val="none"/>
        </w:rPr>
        <w:t>有权要求乙方对缺陷部分予以修复，并按合同约定享有货物保修及其他合同约定的权利。</w:t>
      </w:r>
    </w:p>
    <w:p>
      <w:pPr>
        <w:snapToGrid w:val="0"/>
        <w:spacing w:line="400" w:lineRule="exact"/>
        <w:ind w:firstLine="420" w:firstLineChars="200"/>
        <w:rPr>
          <w:rFonts w:eastAsia="华文楷体"/>
          <w:highlight w:val="none"/>
        </w:rPr>
      </w:pPr>
      <w:r>
        <w:rPr>
          <w:rFonts w:ascii="宋体" w:hAnsi="宋体"/>
          <w:color w:val="000000"/>
          <w:szCs w:val="21"/>
          <w:highlight w:val="none"/>
        </w:rPr>
        <w:t>4.4 甲方应当按照合同约定及时对交付的货物进行验收</w:t>
      </w:r>
      <w:r>
        <w:rPr>
          <w:rFonts w:ascii="宋体" w:hAnsi="宋体" w:hint="eastAsia"/>
          <w:color w:val="000000"/>
          <w:szCs w:val="21"/>
          <w:highlight w:val="none"/>
        </w:rPr>
        <w:t>，</w:t>
      </w:r>
      <w:r>
        <w:rPr>
          <w:rFonts w:ascii="宋体" w:hAnsi="宋体" w:cs="宋体" w:hint="eastAsia"/>
          <w:szCs w:val="21"/>
          <w:highlight w:val="none"/>
        </w:rPr>
        <w:t>未</w:t>
      </w:r>
      <w:r>
        <w:rPr>
          <w:rFonts w:ascii="宋体" w:hAnsi="宋体" w:hint="eastAsia"/>
          <w:color w:val="000000"/>
          <w:szCs w:val="21"/>
          <w:highlight w:val="none"/>
        </w:rPr>
        <w:t>在</w:t>
      </w:r>
      <w:r>
        <w:rPr>
          <w:rFonts w:ascii="宋体" w:hAnsi="宋体" w:cs="宋体" w:hint="eastAsia"/>
          <w:b/>
          <w:bCs/>
          <w:szCs w:val="21"/>
          <w:highlight w:val="none"/>
        </w:rPr>
        <w:t>【政府采购合同专用条款】</w:t>
      </w:r>
      <w:r>
        <w:rPr>
          <w:rFonts w:ascii="宋体" w:hAnsi="宋体" w:cs="宋体" w:hint="eastAsia"/>
          <w:szCs w:val="21"/>
          <w:highlight w:val="none"/>
        </w:rPr>
        <w:t>约定的期限内对乙方履约提出任何异议或者向乙方作出任何说明的，</w:t>
      </w:r>
      <w:r>
        <w:rPr>
          <w:rFonts w:ascii="宋体" w:hAnsi="宋体" w:hint="eastAsia"/>
          <w:color w:val="000000"/>
          <w:szCs w:val="21"/>
          <w:highlight w:val="none"/>
        </w:rPr>
        <w:t>视为验收通过。</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color w:val="000000"/>
          <w:szCs w:val="21"/>
          <w:highlight w:val="none"/>
        </w:rPr>
        <w:t>4</w:t>
      </w:r>
      <w:r>
        <w:rPr>
          <w:rFonts w:ascii="宋体" w:hAnsi="宋体" w:hint="eastAsia"/>
          <w:color w:val="000000"/>
          <w:szCs w:val="21"/>
          <w:highlight w:val="none"/>
        </w:rPr>
        <w:t>.</w:t>
      </w:r>
      <w:r>
        <w:rPr>
          <w:rFonts w:ascii="宋体" w:hAnsi="宋体"/>
          <w:color w:val="000000"/>
          <w:szCs w:val="21"/>
          <w:highlight w:val="none"/>
        </w:rPr>
        <w:t xml:space="preserve">5 </w:t>
      </w:r>
      <w:r>
        <w:rPr>
          <w:rFonts w:ascii="宋体" w:hAnsi="宋体" w:hint="eastAsia"/>
          <w:color w:val="000000"/>
          <w:szCs w:val="21"/>
          <w:highlight w:val="none"/>
        </w:rPr>
        <w:t>甲方应当根据合同约定及时向乙方支付合同价款</w:t>
      </w:r>
      <w:r>
        <w:rPr>
          <w:rFonts w:ascii="宋体" w:hAnsi="宋体"/>
          <w:color w:val="000000"/>
          <w:szCs w:val="21"/>
          <w:highlight w:val="none"/>
        </w:rPr>
        <w:t>，不得以内部人员变更、履行内部付款流程等为由，拒绝或迟延支付。</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4.6</w:t>
      </w:r>
      <w:r>
        <w:rPr>
          <w:rFonts w:ascii="宋体" w:hAnsi="宋体"/>
          <w:color w:val="000000"/>
          <w:szCs w:val="21"/>
          <w:highlight w:val="none"/>
        </w:rPr>
        <w:t xml:space="preserve"> </w:t>
      </w:r>
      <w:r>
        <w:rPr>
          <w:rFonts w:ascii="宋体" w:hAnsi="宋体" w:hint="eastAsia"/>
          <w:color w:val="000000"/>
          <w:szCs w:val="21"/>
          <w:highlight w:val="none"/>
        </w:rPr>
        <w:t>国家法律法规规定及</w:t>
      </w:r>
      <w:r>
        <w:rPr>
          <w:rFonts w:ascii="宋体" w:hAnsi="宋体" w:cs="宋体" w:hint="eastAsia"/>
          <w:b/>
          <w:bCs/>
          <w:szCs w:val="21"/>
          <w:highlight w:val="none"/>
        </w:rPr>
        <w:t>【政府采购合同专用条款】</w:t>
      </w:r>
      <w:r>
        <w:rPr>
          <w:rFonts w:ascii="宋体" w:hAnsi="宋体" w:hint="eastAsia"/>
          <w:color w:val="000000"/>
          <w:szCs w:val="21"/>
          <w:highlight w:val="none"/>
        </w:rPr>
        <w:t>约定应由甲方承担的其他义务和责任。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5. 乙方的权利和义务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5.1 </w:t>
      </w:r>
      <w:r>
        <w:rPr>
          <w:rFonts w:ascii="宋体" w:hAnsi="宋体"/>
          <w:color w:val="000000"/>
          <w:szCs w:val="21"/>
          <w:highlight w:val="none"/>
        </w:rPr>
        <w:t>签署合同后，乙方</w:t>
      </w:r>
      <w:r>
        <w:rPr>
          <w:rFonts w:ascii="宋体" w:hAnsi="宋体" w:hint="eastAsia"/>
          <w:color w:val="000000"/>
          <w:szCs w:val="21"/>
          <w:highlight w:val="none"/>
        </w:rPr>
        <w:t>应</w:t>
      </w:r>
      <w:r>
        <w:rPr>
          <w:rFonts w:ascii="宋体" w:hAnsi="宋体"/>
          <w:color w:val="000000"/>
          <w:szCs w:val="21"/>
          <w:highlight w:val="none"/>
        </w:rPr>
        <w:t>确定</w:t>
      </w:r>
      <w:r>
        <w:rPr>
          <w:rFonts w:ascii="宋体" w:hAnsi="宋体" w:hint="eastAsia"/>
          <w:color w:val="000000"/>
          <w:szCs w:val="21"/>
          <w:highlight w:val="none"/>
        </w:rPr>
        <w:t>项目负责人（或项目联系人）</w:t>
      </w:r>
      <w:r>
        <w:rPr>
          <w:rFonts w:ascii="宋体" w:hAnsi="宋体"/>
          <w:color w:val="000000"/>
          <w:szCs w:val="21"/>
          <w:highlight w:val="none"/>
        </w:rPr>
        <w:t>，负责与本合同有关的事务。</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2 乙方应按照合同要求</w:t>
      </w:r>
      <w:r>
        <w:rPr>
          <w:rFonts w:ascii="宋体" w:hAnsi="宋体" w:hint="eastAsia"/>
          <w:color w:val="000000"/>
          <w:szCs w:val="21"/>
          <w:highlight w:val="none"/>
        </w:rPr>
        <w:t>履约</w:t>
      </w:r>
      <w:r>
        <w:rPr>
          <w:rFonts w:ascii="宋体" w:hAnsi="宋体"/>
          <w:color w:val="000000"/>
          <w:szCs w:val="21"/>
          <w:highlight w:val="none"/>
        </w:rPr>
        <w:t>，充分合理安排，确保</w:t>
      </w:r>
      <w:r>
        <w:rPr>
          <w:rFonts w:ascii="宋体" w:hAnsi="宋体" w:hint="eastAsia"/>
          <w:color w:val="000000"/>
          <w:szCs w:val="21"/>
          <w:highlight w:val="none"/>
        </w:rPr>
        <w:t>提供的货物及相关服务符合合同有关</w:t>
      </w:r>
      <w:r>
        <w:rPr>
          <w:rFonts w:ascii="宋体" w:hAnsi="宋体"/>
          <w:color w:val="000000"/>
          <w:szCs w:val="21"/>
          <w:highlight w:val="none"/>
        </w:rPr>
        <w:t>要求</w:t>
      </w:r>
      <w:r>
        <w:rPr>
          <w:rFonts w:ascii="宋体" w:hAnsi="宋体" w:hint="eastAsia"/>
          <w:color w:val="000000"/>
          <w:szCs w:val="21"/>
          <w:highlight w:val="none"/>
        </w:rPr>
        <w:t>。接受项目行业管理部门及政府有关部门的指导，配合甲方的履约检查及验收，并</w:t>
      </w:r>
      <w:r>
        <w:rPr>
          <w:rFonts w:ascii="宋体" w:hAnsi="宋体"/>
          <w:color w:val="000000"/>
          <w:szCs w:val="21"/>
          <w:highlight w:val="none"/>
        </w:rPr>
        <w:t>负责项目实施过程中的所有协调工作。</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3</w:t>
      </w:r>
      <w:r>
        <w:rPr>
          <w:rFonts w:ascii="宋体" w:hAnsi="宋体" w:hint="eastAsia"/>
          <w:color w:val="000000"/>
          <w:szCs w:val="21"/>
          <w:highlight w:val="none"/>
        </w:rPr>
        <w:t>乙方有权</w:t>
      </w:r>
      <w:r>
        <w:rPr>
          <w:rFonts w:ascii="宋体" w:hAnsi="宋体" w:cs="宋体" w:hint="eastAsia"/>
          <w:color w:val="000000"/>
          <w:szCs w:val="21"/>
          <w:highlight w:val="none"/>
        </w:rPr>
        <w:t>根据合同约定向甲方收取合同价款。</w:t>
      </w:r>
    </w:p>
    <w:p>
      <w:pPr>
        <w:pStyle w:val="BodyText"/>
        <w:spacing w:after="0" w:line="400" w:lineRule="exact"/>
        <w:ind w:firstLine="370" w:firstLineChars="176"/>
        <w:rPr>
          <w:rFonts w:ascii="宋体" w:hAnsi="宋体" w:cs="宋体"/>
          <w:color w:val="000000"/>
          <w:szCs w:val="21"/>
          <w:highlight w:val="none"/>
        </w:rPr>
      </w:pPr>
      <w:r>
        <w:rPr>
          <w:rFonts w:ascii="宋体" w:hAnsi="宋体" w:hint="eastAsia"/>
          <w:color w:val="000000"/>
          <w:szCs w:val="21"/>
          <w:highlight w:val="none"/>
        </w:rPr>
        <w:t>5.</w:t>
      </w:r>
      <w:r>
        <w:rPr>
          <w:rFonts w:ascii="宋体" w:hAnsi="宋体"/>
          <w:color w:val="000000"/>
          <w:szCs w:val="21"/>
          <w:highlight w:val="none"/>
        </w:rPr>
        <w:t>4</w:t>
      </w:r>
      <w:r>
        <w:rPr>
          <w:rFonts w:ascii="宋体" w:hAnsi="宋体" w:cs="宋体" w:hint="eastAsia"/>
          <w:color w:val="000000"/>
          <w:szCs w:val="21"/>
          <w:highlight w:val="none"/>
        </w:rPr>
        <w:t>国家法律法规规定</w:t>
      </w:r>
      <w:r>
        <w:rPr>
          <w:rFonts w:ascii="宋体" w:hAnsi="宋体" w:hint="eastAsia"/>
          <w:color w:val="000000"/>
          <w:szCs w:val="21"/>
          <w:highlight w:val="none"/>
        </w:rPr>
        <w:t>及</w:t>
      </w:r>
      <w:r>
        <w:rPr>
          <w:rFonts w:ascii="宋体" w:eastAsia="宋体" w:hAnsi="宋体" w:cs="宋体" w:hint="eastAsia"/>
          <w:b/>
          <w:bCs/>
          <w:szCs w:val="21"/>
          <w:highlight w:val="none"/>
        </w:rPr>
        <w:t>【政府采购合同专用条款】</w:t>
      </w:r>
      <w:r>
        <w:rPr>
          <w:rFonts w:ascii="宋体" w:hAnsi="宋体" w:cs="宋体" w:hint="eastAsia"/>
          <w:szCs w:val="21"/>
          <w:highlight w:val="none"/>
        </w:rPr>
        <w:t>约定应</w:t>
      </w:r>
      <w:r>
        <w:rPr>
          <w:rFonts w:ascii="宋体" w:hAnsi="宋体" w:cs="宋体" w:hint="eastAsia"/>
          <w:color w:val="000000"/>
          <w:szCs w:val="21"/>
          <w:highlight w:val="none"/>
        </w:rPr>
        <w:t>由乙方承担的其他义务和责任。</w:t>
      </w:r>
    </w:p>
    <w:p>
      <w:pPr>
        <w:numPr>
          <w:ilvl w:val="0"/>
          <w:numId w:val="10"/>
        </w:num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合同履行</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6.1 甲乙双方应当按照</w:t>
      </w:r>
      <w:r>
        <w:rPr>
          <w:rFonts w:ascii="宋体" w:hAnsi="宋体" w:cs="宋体" w:hint="eastAsia"/>
          <w:b/>
          <w:bCs/>
          <w:szCs w:val="21"/>
          <w:highlight w:val="none"/>
        </w:rPr>
        <w:t>【政府采购合同专用条款】</w:t>
      </w:r>
      <w:r>
        <w:rPr>
          <w:rFonts w:ascii="宋体" w:hAnsi="宋体" w:hint="eastAsia"/>
          <w:color w:val="000000"/>
          <w:szCs w:val="21"/>
          <w:highlight w:val="none"/>
        </w:rPr>
        <w:t>约定顺序履行合同义务；如果没有先后顺序的，应当同时履行。</w:t>
      </w:r>
    </w:p>
    <w:p>
      <w:pPr>
        <w:autoSpaceDE w:val="0"/>
        <w:autoSpaceDN w:val="0"/>
        <w:adjustRightInd w:val="0"/>
        <w:snapToGrid w:val="0"/>
        <w:spacing w:line="400" w:lineRule="exact"/>
        <w:ind w:firstLine="420" w:firstLineChars="200"/>
        <w:jc w:val="left"/>
        <w:rPr>
          <w:highlight w:val="none"/>
        </w:rPr>
      </w:pPr>
      <w:r>
        <w:rPr>
          <w:rFonts w:ascii="宋体" w:hAnsi="宋体" w:hint="eastAsia"/>
          <w:color w:val="000000"/>
          <w:szCs w:val="21"/>
          <w:highlight w:val="none"/>
        </w:rPr>
        <w:t>6.2 甲乙双方按照合同约定顺序履行合同义务时，应当先履行一方未履行的，后履行一方有权拒绝其履行请求。先履行一方履行不符合约定的，后履行一方有权拒绝其相应的履行请求。</w:t>
      </w:r>
    </w:p>
    <w:p>
      <w:pPr>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7. 货物包装、运输、保险和交付要求</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7.1 本合同</w:t>
      </w:r>
      <w:r>
        <w:rPr>
          <w:rFonts w:ascii="宋体" w:hAnsi="宋体" w:hint="eastAsia"/>
          <w:bCs/>
          <w:color w:val="000000"/>
          <w:szCs w:val="21"/>
          <w:highlight w:val="none"/>
        </w:rPr>
        <w:t>涉及商品包装、快递包装的，</w:t>
      </w:r>
      <w:r>
        <w:rPr>
          <w:rFonts w:ascii="宋体" w:hAnsi="宋体" w:hint="eastAsia"/>
          <w:color w:val="000000"/>
          <w:szCs w:val="21"/>
          <w:highlight w:val="none"/>
        </w:rPr>
        <w:t>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包装应适应远距离运输、防潮、防震、防锈和防野蛮装卸等要求，确保货物安全无损地运抵</w:t>
      </w:r>
      <w:r>
        <w:rPr>
          <w:rFonts w:ascii="宋体" w:hAnsi="宋体" w:hint="eastAsia"/>
          <w:b/>
          <w:color w:val="000000"/>
          <w:szCs w:val="21"/>
          <w:highlight w:val="none"/>
        </w:rPr>
        <w:t>【政府采购合同专用条款】</w:t>
      </w:r>
      <w:r>
        <w:rPr>
          <w:rFonts w:ascii="宋体" w:hAnsi="宋体" w:hint="eastAsia"/>
          <w:bCs/>
          <w:color w:val="000000"/>
          <w:szCs w:val="21"/>
          <w:highlight w:val="none"/>
        </w:rPr>
        <w:t>约定的</w:t>
      </w:r>
      <w:r>
        <w:rPr>
          <w:rFonts w:ascii="宋体" w:hAnsi="宋体" w:hint="eastAsia"/>
          <w:color w:val="000000"/>
          <w:szCs w:val="21"/>
          <w:highlight w:val="none"/>
        </w:rPr>
        <w:t>指定现场。</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7.2 除</w:t>
      </w:r>
      <w:r>
        <w:rPr>
          <w:rFonts w:ascii="宋体" w:hAnsi="宋体" w:hint="eastAsia"/>
          <w:b/>
          <w:color w:val="000000"/>
          <w:szCs w:val="21"/>
          <w:highlight w:val="none"/>
        </w:rPr>
        <w:t>【政府采购合同专用条款】</w:t>
      </w:r>
      <w:r>
        <w:rPr>
          <w:rFonts w:ascii="宋体" w:hAnsi="宋体" w:hint="eastAsia"/>
          <w:bCs/>
          <w:color w:val="000000"/>
          <w:szCs w:val="21"/>
          <w:highlight w:val="none"/>
        </w:rPr>
        <w:t>另有约定外，</w:t>
      </w:r>
      <w:r>
        <w:rPr>
          <w:rFonts w:ascii="宋体" w:hAnsi="宋体" w:hint="eastAsia"/>
          <w:color w:val="000000"/>
          <w:szCs w:val="21"/>
          <w:highlight w:val="none"/>
        </w:rPr>
        <w:t>乙方负责办理将货物运抵本合同规定的交货地点，并装卸、交付至甲方的一切运输事项，相关费用应包含在合同价款中。</w:t>
      </w:r>
    </w:p>
    <w:p>
      <w:pPr>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7.3 货物保险要求按</w:t>
      </w:r>
      <w:r>
        <w:rPr>
          <w:rFonts w:ascii="宋体" w:hAnsi="宋体" w:hint="eastAsia"/>
          <w:b/>
          <w:color w:val="000000"/>
          <w:szCs w:val="21"/>
          <w:highlight w:val="none"/>
        </w:rPr>
        <w:t>【政府采购合同专用条款】</w:t>
      </w:r>
      <w:r>
        <w:rPr>
          <w:rFonts w:ascii="宋体" w:hAnsi="宋体" w:hint="eastAsia"/>
          <w:bCs/>
          <w:color w:val="000000"/>
          <w:szCs w:val="21"/>
          <w:highlight w:val="none"/>
        </w:rPr>
        <w:t>规定执行</w:t>
      </w:r>
      <w:r>
        <w:rPr>
          <w:rFonts w:ascii="宋体" w:hAnsi="宋体" w:hint="eastAsia"/>
          <w:color w:val="000000"/>
          <w:szCs w:val="21"/>
          <w:highlight w:val="none"/>
        </w:rPr>
        <w:t>。</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7.5 </w:t>
      </w:r>
      <w:r>
        <w:rPr>
          <w:rFonts w:ascii="宋体" w:hAnsi="宋体" w:cs="宋体" w:hint="eastAsia"/>
          <w:color w:val="000000"/>
          <w:szCs w:val="21"/>
          <w:highlight w:val="none"/>
        </w:rPr>
        <w:t>乙方在运输到达之前应提前通知甲方，并提示货物运输装卸的注意事项，甲方配合乙方做好货物的接收工作。</w:t>
      </w:r>
    </w:p>
    <w:p>
      <w:pPr>
        <w:pStyle w:val="AONormal"/>
        <w:ind w:firstLine="420"/>
        <w:rPr>
          <w:sz w:val="21"/>
          <w:highlight w:val="none"/>
        </w:rPr>
      </w:pPr>
      <w:r>
        <w:rPr>
          <w:rFonts w:ascii="宋体" w:eastAsia="宋体" w:hAnsi="宋体" w:cs="Times New Roman" w:hint="eastAsia"/>
          <w:color w:val="000000"/>
          <w:kern w:val="2"/>
          <w:sz w:val="21"/>
          <w:highlight w:val="none"/>
        </w:rPr>
        <w:t>7.6 如因包装、运输问题导致货物损毁、丢失或者品质下降，甲方有权要求降价、换货、拒收部分或整批货物，由此产生的费用和损失，均由乙方承担。</w:t>
      </w:r>
    </w:p>
    <w:p>
      <w:pPr>
        <w:adjustRightInd w:val="0"/>
        <w:snapToGrid w:val="0"/>
        <w:spacing w:line="400" w:lineRule="exact"/>
        <w:jc w:val="left"/>
        <w:rPr>
          <w:rFonts w:ascii="宋体" w:hAnsi="宋体"/>
          <w:b/>
          <w:highlight w:val="none"/>
        </w:rPr>
      </w:pPr>
      <w:r>
        <w:rPr>
          <w:rFonts w:ascii="宋体" w:hAnsi="宋体" w:hint="eastAsia"/>
          <w:b/>
          <w:color w:val="000000"/>
          <w:sz w:val="24"/>
          <w:highlight w:val="none"/>
        </w:rPr>
        <w:t xml:space="preserve">8. </w:t>
      </w:r>
      <w:r>
        <w:rPr>
          <w:rFonts w:ascii="宋体" w:hAnsi="宋体" w:hint="eastAsia"/>
          <w:b/>
          <w:sz w:val="24"/>
          <w:highlight w:val="none"/>
        </w:rPr>
        <w:t>质量标准和保证</w:t>
      </w:r>
    </w:p>
    <w:p>
      <w:pPr>
        <w:pStyle w:val="PlainText"/>
        <w:adjustRightInd w:val="0"/>
        <w:snapToGrid w:val="0"/>
        <w:spacing w:line="400" w:lineRule="exact"/>
        <w:ind w:firstLine="420" w:firstLineChars="200"/>
        <w:jc w:val="left"/>
        <w:rPr>
          <w:rFonts w:hAnsi="宋体"/>
          <w:b/>
          <w:highlight w:val="none"/>
        </w:rPr>
      </w:pPr>
      <w:r>
        <w:rPr>
          <w:rFonts w:hAnsi="宋体" w:hint="eastAsia"/>
          <w:highlight w:val="none"/>
        </w:rPr>
        <w:t>8.1 质量标准</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（1）本合同下提供的货物应符合合同</w:t>
      </w:r>
      <w:r>
        <w:rPr>
          <w:rFonts w:ascii="宋体" w:hAnsi="宋体" w:cs="宋体" w:hint="eastAsia"/>
          <w:color w:val="000000"/>
          <w:szCs w:val="21"/>
          <w:highlight w:val="none"/>
        </w:rPr>
        <w:t>约定的</w:t>
      </w:r>
      <w:r>
        <w:rPr>
          <w:rFonts w:ascii="宋体" w:hAnsi="宋体" w:cs="宋体" w:hint="eastAsia"/>
          <w:szCs w:val="21"/>
          <w:highlight w:val="none"/>
        </w:rPr>
        <w:t>品牌、规格型号、技术性能、配置、质量、数量等要求。</w:t>
      </w:r>
      <w:r>
        <w:rPr>
          <w:rFonts w:ascii="宋体" w:hAnsi="宋体" w:hint="eastAsia"/>
          <w:szCs w:val="21"/>
          <w:highlight w:val="none"/>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pPr>
        <w:pStyle w:val="PlainText"/>
        <w:adjustRightInd w:val="0"/>
        <w:snapToGrid w:val="0"/>
        <w:spacing w:line="400" w:lineRule="exact"/>
        <w:ind w:firstLine="420" w:firstLineChars="200"/>
        <w:jc w:val="left"/>
        <w:rPr>
          <w:rFonts w:hAnsi="宋体"/>
          <w:highlight w:val="none"/>
        </w:rPr>
      </w:pPr>
      <w:r>
        <w:rPr>
          <w:rFonts w:hAnsi="宋体" w:hint="eastAsia"/>
          <w:highlight w:val="none"/>
        </w:rPr>
        <w:t>（2）采用中华人民共和国法定计量单位。</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（3）乙方所提供的货物应符合国家有关安全、环保、卫生的规定。</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（4）乙方应向甲方提交所提供货物的技术文件，包括相应的中文技术文件，如：产品目录、图纸、操作手册、使用说明、维护手册或服务指南等。上述文件应包装好随货物一同发运。</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8.2 保证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（1）乙方应保证提供的货物完全符合合同规定的质量、规格和性能要求。乙方应保证货物在正确安装、正常使用和保养条件下，</w:t>
      </w:r>
      <w:r>
        <w:rPr>
          <w:rFonts w:ascii="宋体" w:hAnsi="宋体" w:cs="宋体" w:hint="eastAsia"/>
          <w:szCs w:val="21"/>
          <w:highlight w:val="none"/>
        </w:rPr>
        <w:t>在其使用寿命期内具备合同约定的性能</w:t>
      </w:r>
      <w:r>
        <w:rPr>
          <w:rFonts w:ascii="宋体" w:hAnsi="宋体" w:hint="eastAsia"/>
          <w:szCs w:val="21"/>
          <w:highlight w:val="none"/>
        </w:rPr>
        <w:t>。存在质量保证期的，货物最终交付验收合格后在</w:t>
      </w:r>
      <w:r>
        <w:rPr>
          <w:rFonts w:ascii="宋体" w:hAnsi="宋体" w:hint="eastAsia"/>
          <w:b/>
          <w:szCs w:val="21"/>
          <w:highlight w:val="none"/>
        </w:rPr>
        <w:t>【政府采购合同专用条款】</w:t>
      </w:r>
      <w:r>
        <w:rPr>
          <w:rFonts w:ascii="宋体" w:hAnsi="宋体" w:hint="eastAsia"/>
          <w:szCs w:val="21"/>
          <w:highlight w:val="none"/>
        </w:rPr>
        <w:t>规定或乙方书面承诺（两者以较长的为准）的质量保证期内，本保证保持有效。</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（2）在质量保证期内所发现的缺陷，甲方应尽快以书面形式通知乙方。</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（3）乙方收到通知后，应在</w:t>
      </w:r>
      <w:r>
        <w:rPr>
          <w:rFonts w:ascii="宋体" w:hAnsi="宋体" w:hint="eastAsia"/>
          <w:b/>
          <w:szCs w:val="21"/>
          <w:highlight w:val="none"/>
        </w:rPr>
        <w:t>【政府采购合同专用条款】</w:t>
      </w:r>
      <w:r>
        <w:rPr>
          <w:rFonts w:ascii="宋体" w:hAnsi="宋体" w:hint="eastAsia"/>
          <w:szCs w:val="21"/>
          <w:highlight w:val="none"/>
        </w:rPr>
        <w:t>规定的响应时间内以合理的速度免费维修或更换有缺陷的货物或部件。</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highlight w:val="none"/>
        </w:rPr>
        <w:t>5</w:t>
      </w:r>
      <w:r>
        <w:rPr>
          <w:rFonts w:ascii="宋体" w:hAnsi="宋体" w:hint="eastAsia"/>
          <w:szCs w:val="21"/>
          <w:highlight w:val="none"/>
        </w:rPr>
        <w:t>.1条规定以书面形式</w:t>
      </w:r>
      <w:r>
        <w:rPr>
          <w:rFonts w:ascii="宋体" w:hAnsi="宋体" w:hint="eastAsia"/>
          <w:color w:val="000000"/>
          <w:szCs w:val="21"/>
          <w:highlight w:val="none"/>
        </w:rPr>
        <w:t>追究</w:t>
      </w:r>
      <w:r>
        <w:rPr>
          <w:rFonts w:ascii="宋体" w:hAnsi="宋体" w:hint="eastAsia"/>
          <w:szCs w:val="21"/>
          <w:highlight w:val="none"/>
        </w:rPr>
        <w:t>乙方</w:t>
      </w:r>
      <w:r>
        <w:rPr>
          <w:rFonts w:ascii="宋体" w:hAnsi="宋体" w:hint="eastAsia"/>
          <w:color w:val="000000"/>
          <w:szCs w:val="21"/>
          <w:highlight w:val="none"/>
        </w:rPr>
        <w:t>的违约责任</w:t>
      </w:r>
      <w:r>
        <w:rPr>
          <w:rFonts w:ascii="宋体" w:hAnsi="宋体" w:hint="eastAsia"/>
          <w:szCs w:val="21"/>
          <w:highlight w:val="none"/>
        </w:rPr>
        <w:t>。</w:t>
      </w:r>
    </w:p>
    <w:p>
      <w:pPr>
        <w:adjustRightInd w:val="0"/>
        <w:snapToGrid w:val="0"/>
        <w:spacing w:line="400" w:lineRule="exact"/>
        <w:ind w:firstLine="420" w:firstLineChars="200"/>
        <w:jc w:val="left"/>
        <w:rPr>
          <w:highlight w:val="none"/>
        </w:rPr>
      </w:pPr>
      <w:r>
        <w:rPr>
          <w:rFonts w:ascii="宋体" w:hAnsi="宋体" w:hint="eastAsia"/>
          <w:szCs w:val="21"/>
          <w:highlight w:val="none"/>
        </w:rPr>
        <w:t>（5）乙方在约定的时间内未能弥补缺陷，甲方可采取必要的补救措施，但其风险和费用将由乙方承担，甲方根据合同约定对乙方行使的其他权利不受影响。</w:t>
      </w:r>
    </w:p>
    <w:p>
      <w:pPr>
        <w:adjustRightInd w:val="0"/>
        <w:snapToGrid w:val="0"/>
        <w:spacing w:line="400" w:lineRule="exact"/>
        <w:jc w:val="left"/>
        <w:rPr>
          <w:rFonts w:ascii="宋体" w:hAnsi="宋体"/>
          <w:b/>
          <w:bCs/>
          <w:highlight w:val="none"/>
        </w:rPr>
      </w:pPr>
      <w:r>
        <w:rPr>
          <w:rFonts w:ascii="宋体" w:hAnsi="宋体" w:hint="eastAsia"/>
          <w:b/>
          <w:bCs/>
          <w:color w:val="000000"/>
          <w:sz w:val="24"/>
          <w:highlight w:val="none"/>
        </w:rPr>
        <w:t>9</w:t>
      </w:r>
      <w:r>
        <w:rPr>
          <w:rFonts w:ascii="宋体" w:hAnsi="宋体" w:hint="eastAsia"/>
          <w:b/>
          <w:bCs/>
          <w:sz w:val="24"/>
          <w:highlight w:val="none"/>
        </w:rPr>
        <w:t>.</w:t>
      </w:r>
      <w:r>
        <w:rPr>
          <w:rFonts w:ascii="宋体" w:hAnsi="宋体" w:hint="eastAsia"/>
          <w:b/>
          <w:bCs/>
          <w:color w:val="000000"/>
          <w:sz w:val="24"/>
          <w:highlight w:val="none"/>
        </w:rPr>
        <w:t xml:space="preserve"> </w:t>
      </w:r>
      <w:r>
        <w:rPr>
          <w:rFonts w:ascii="宋体" w:hAnsi="宋体" w:hint="eastAsia"/>
          <w:b/>
          <w:bCs/>
          <w:sz w:val="24"/>
          <w:highlight w:val="none"/>
        </w:rPr>
        <w:t>权利瑕疵担保</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9.1 乙方保证对其出售的货物享有合法的权利。</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 xml:space="preserve">9.2 </w:t>
      </w:r>
      <w:r>
        <w:rPr>
          <w:rFonts w:ascii="宋体" w:hAnsi="宋体" w:cs="宋体" w:hint="eastAsia"/>
          <w:szCs w:val="15"/>
          <w:highlight w:val="none"/>
        </w:rPr>
        <w:t>乙方保证在交付的货物上不存在抵押权等担保物权。</w:t>
      </w:r>
    </w:p>
    <w:p>
      <w:pPr>
        <w:autoSpaceDE w:val="0"/>
        <w:autoSpaceDN w:val="0"/>
        <w:adjustRightInd w:val="0"/>
        <w:snapToGrid w:val="0"/>
        <w:spacing w:line="400" w:lineRule="exact"/>
        <w:ind w:firstLine="420" w:firstLineChars="200"/>
        <w:jc w:val="left"/>
        <w:rPr>
          <w:rFonts w:ascii="宋体" w:hAnsi="宋体"/>
          <w:color w:val="000000"/>
          <w:szCs w:val="21"/>
          <w:highlight w:val="none"/>
        </w:rPr>
      </w:pPr>
      <w:r>
        <w:rPr>
          <w:rFonts w:ascii="宋体" w:hAnsi="宋体" w:hint="eastAsia"/>
          <w:color w:val="000000"/>
          <w:szCs w:val="21"/>
          <w:highlight w:val="none"/>
        </w:rPr>
        <w:t>9.3 如甲方使用上述货物构成对第三人侵权的，则由乙方承担全部责任。</w:t>
      </w:r>
    </w:p>
    <w:p>
      <w:pPr>
        <w:autoSpaceDE w:val="0"/>
        <w:autoSpaceDN w:val="0"/>
        <w:adjustRightInd w:val="0"/>
        <w:snapToGrid w:val="0"/>
        <w:spacing w:line="400" w:lineRule="exact"/>
        <w:jc w:val="left"/>
        <w:rPr>
          <w:rFonts w:ascii="宋体" w:hAnsi="宋体"/>
          <w:b/>
          <w:bCs/>
          <w:color w:val="000000"/>
          <w:highlight w:val="none"/>
        </w:rPr>
      </w:pPr>
      <w:r>
        <w:rPr>
          <w:rFonts w:ascii="宋体" w:hAnsi="宋体" w:hint="eastAsia"/>
          <w:b/>
          <w:bCs/>
          <w:color w:val="000000"/>
          <w:sz w:val="24"/>
          <w:highlight w:val="none"/>
        </w:rPr>
        <w:t>10. 知识产权保护</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color w:val="000000"/>
          <w:szCs w:val="21"/>
          <w:highlight w:val="none"/>
        </w:rPr>
        <w:t>10.1 乙方对其所销售的货物应当享有知识产权或经权利人合法授权，保证没有侵犯任</w:t>
      </w:r>
      <w:r>
        <w:rPr>
          <w:rFonts w:ascii="宋体" w:hAnsi="宋体" w:hint="eastAsia"/>
          <w:szCs w:val="21"/>
          <w:highlight w:val="none"/>
        </w:rPr>
        <w:t>何第三人的知识产权等权利。</w:t>
      </w:r>
      <w:bookmarkStart w:id="74" w:name="_Hlk163047038"/>
      <w:r>
        <w:rPr>
          <w:rFonts w:ascii="宋体" w:hAnsi="宋体" w:cs="宋体" w:hint="eastAsia"/>
          <w:szCs w:val="15"/>
          <w:highlight w:val="none"/>
        </w:rPr>
        <w:t>因违反前述约定对第三人构成侵权的，应当由乙方向第三人承担法律责任；甲方依法向第三人赔偿后，有权向乙方追偿。甲方有其他损失的，乙方应当赔偿</w:t>
      </w:r>
      <w:bookmarkEnd w:id="74"/>
      <w:r>
        <w:rPr>
          <w:rFonts w:ascii="宋体" w:hAnsi="宋体" w:hint="eastAsia"/>
          <w:szCs w:val="21"/>
          <w:highlight w:val="none"/>
        </w:rPr>
        <w:t>。</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11. 保密义务</w:t>
      </w:r>
    </w:p>
    <w:p>
      <w:pPr>
        <w:autoSpaceDE w:val="0"/>
        <w:autoSpaceDN w:val="0"/>
        <w:adjustRightInd w:val="0"/>
        <w:snapToGrid w:val="0"/>
        <w:spacing w:line="400" w:lineRule="exact"/>
        <w:ind w:firstLine="420" w:firstLineChars="200"/>
        <w:jc w:val="left"/>
        <w:rPr>
          <w:rFonts w:ascii="宋体" w:hAnsi="宋体" w:cs="宋体"/>
          <w:szCs w:val="15"/>
          <w:highlight w:val="none"/>
        </w:rPr>
      </w:pPr>
      <w:r>
        <w:rPr>
          <w:rFonts w:ascii="宋体" w:hAnsi="宋体" w:cs="宋体" w:hint="eastAsia"/>
          <w:szCs w:val="15"/>
          <w:highlight w:val="none"/>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highlight w:val="none"/>
        </w:rPr>
        <w:t>【政府采购合同专用条款】</w:t>
      </w:r>
      <w:r>
        <w:rPr>
          <w:rFonts w:ascii="宋体" w:hAnsi="宋体" w:cs="宋体" w:hint="eastAsia"/>
          <w:szCs w:val="15"/>
          <w:highlight w:val="none"/>
        </w:rPr>
        <w:t>中约定。</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12. 合同价款支付</w:t>
      </w:r>
    </w:p>
    <w:p>
      <w:pPr>
        <w:numPr>
          <w:ilvl w:val="1"/>
          <w:numId w:val="11"/>
        </w:numPr>
        <w:adjustRightInd w:val="0"/>
        <w:snapToGrid w:val="0"/>
        <w:spacing w:line="400" w:lineRule="exact"/>
        <w:jc w:val="left"/>
        <w:rPr>
          <w:rFonts w:ascii="宋体" w:hAnsi="宋体"/>
          <w:szCs w:val="21"/>
          <w:highlight w:val="none"/>
        </w:rPr>
      </w:pPr>
      <w:r>
        <w:rPr>
          <w:rFonts w:ascii="宋体" w:hAnsi="宋体" w:hint="eastAsia"/>
          <w:szCs w:val="21"/>
          <w:highlight w:val="none"/>
        </w:rPr>
        <w:t>合同价款支付按照国库集中支付制度及财政管理相关规定执行。</w:t>
      </w:r>
    </w:p>
    <w:p>
      <w:pPr>
        <w:numPr>
          <w:ilvl w:val="0"/>
          <w:numId w:val="0"/>
        </w:numPr>
        <w:spacing w:line="400" w:lineRule="exact"/>
        <w:ind w:firstLine="420" w:firstLineChars="200"/>
        <w:outlineLvl w:val="9"/>
        <w:rPr>
          <w:highlight w:val="none"/>
        </w:rPr>
      </w:pPr>
      <w:r>
        <w:rPr>
          <w:rFonts w:ascii="宋体" w:hAnsi="宋体" w:hint="eastAsia"/>
          <w:b w:val="0"/>
          <w:bCs w:val="0"/>
          <w:sz w:val="21"/>
          <w:szCs w:val="21"/>
          <w:highlight w:val="none"/>
        </w:rPr>
        <w:t xml:space="preserve">12.2 </w:t>
      </w:r>
      <w:r>
        <w:rPr>
          <w:rFonts w:ascii="宋体" w:eastAsia="宋体" w:hAnsi="宋体" w:hint="eastAsia"/>
          <w:b w:val="0"/>
          <w:bCs w:val="0"/>
          <w:sz w:val="21"/>
          <w:szCs w:val="21"/>
          <w:highlight w:val="none"/>
        </w:rPr>
        <w:t>对于满足合同约定支付条件的，甲方原则上应当自收到发票后10个工作日内将资金支付到合同约定的</w:t>
      </w:r>
      <w:r>
        <w:rPr>
          <w:rFonts w:ascii="宋体" w:hAnsi="宋体" w:hint="eastAsia"/>
          <w:b w:val="0"/>
          <w:bCs w:val="0"/>
          <w:sz w:val="21"/>
          <w:szCs w:val="21"/>
          <w:highlight w:val="none"/>
        </w:rPr>
        <w:t>乙方</w:t>
      </w:r>
      <w:r>
        <w:rPr>
          <w:rFonts w:ascii="宋体" w:eastAsia="宋体" w:hAnsi="宋体" w:hint="eastAsia"/>
          <w:b w:val="0"/>
          <w:bCs w:val="0"/>
          <w:sz w:val="21"/>
          <w:szCs w:val="21"/>
          <w:highlight w:val="none"/>
        </w:rPr>
        <w:t>账户，不得以机构变动、人员更替、政策调整等为由迟延付款，不得将采购文件和合同中未规定的义务作为向乙方付款的条件。具体合同价款支付时间在【</w:t>
      </w:r>
      <w:r>
        <w:rPr>
          <w:rFonts w:ascii="宋体" w:eastAsia="宋体" w:hAnsi="宋体" w:hint="eastAsia"/>
          <w:sz w:val="21"/>
          <w:szCs w:val="21"/>
          <w:highlight w:val="none"/>
        </w:rPr>
        <w:t>政府采购合同专用条款</w:t>
      </w:r>
      <w:r>
        <w:rPr>
          <w:rFonts w:ascii="宋体" w:eastAsia="宋体" w:hAnsi="宋体" w:hint="eastAsia"/>
          <w:b w:val="0"/>
          <w:bCs w:val="0"/>
          <w:sz w:val="21"/>
          <w:szCs w:val="21"/>
          <w:highlight w:val="none"/>
        </w:rPr>
        <w:t>】中</w:t>
      </w:r>
      <w:r>
        <w:rPr>
          <w:rFonts w:ascii="宋体" w:hAnsi="宋体" w:hint="eastAsia"/>
          <w:b w:val="0"/>
          <w:bCs w:val="0"/>
          <w:sz w:val="21"/>
          <w:szCs w:val="21"/>
          <w:highlight w:val="none"/>
        </w:rPr>
        <w:t>约</w:t>
      </w:r>
      <w:r>
        <w:rPr>
          <w:rFonts w:ascii="宋体" w:eastAsia="宋体" w:hAnsi="宋体" w:hint="eastAsia"/>
          <w:b w:val="0"/>
          <w:bCs w:val="0"/>
          <w:sz w:val="21"/>
          <w:szCs w:val="21"/>
          <w:highlight w:val="none"/>
        </w:rPr>
        <w:t>定。</w:t>
      </w:r>
    </w:p>
    <w:p>
      <w:pPr>
        <w:pStyle w:val="BodyText"/>
        <w:spacing w:after="0" w:line="400" w:lineRule="exact"/>
        <w:rPr>
          <w:rFonts w:ascii="宋体" w:hAnsi="宋体"/>
          <w:b/>
          <w:bCs/>
          <w:sz w:val="24"/>
          <w:szCs w:val="24"/>
          <w:highlight w:val="none"/>
        </w:rPr>
      </w:pPr>
      <w:r>
        <w:rPr>
          <w:rFonts w:ascii="宋体" w:hAnsi="宋体" w:hint="eastAsia"/>
          <w:b/>
          <w:bCs/>
          <w:color w:val="auto"/>
          <w:sz w:val="24"/>
          <w:szCs w:val="24"/>
          <w:highlight w:val="none"/>
        </w:rPr>
        <w:t>13.</w:t>
      </w:r>
      <w:r>
        <w:rPr>
          <w:rFonts w:ascii="宋体" w:hAnsi="宋体" w:hint="eastAsia"/>
          <w:b/>
          <w:bCs/>
          <w:color w:val="auto"/>
          <w:sz w:val="24"/>
          <w:szCs w:val="24"/>
          <w:highlight w:val="none"/>
          <w:lang w:val="en-US"/>
        </w:rPr>
        <w:t xml:space="preserve"> </w:t>
      </w:r>
      <w:r>
        <w:rPr>
          <w:rFonts w:ascii="宋体" w:hAnsi="宋体" w:hint="eastAsia"/>
          <w:b/>
          <w:bCs/>
          <w:color w:val="auto"/>
          <w:sz w:val="24"/>
          <w:szCs w:val="24"/>
          <w:highlight w:val="none"/>
        </w:rPr>
        <w:t>履约保证金</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13.1 </w:t>
      </w:r>
      <w:r>
        <w:rPr>
          <w:rFonts w:ascii="宋体" w:hAnsi="宋体" w:cs="宋体" w:hint="eastAsia"/>
          <w:szCs w:val="15"/>
          <w:highlight w:val="none"/>
        </w:rPr>
        <w:t>乙方应当以支票、汇票、本票或者金融机构、担保机构出具的保函等非现金形式提交。</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13.2 如果乙方出现</w:t>
      </w:r>
      <w:r>
        <w:rPr>
          <w:rFonts w:ascii="宋体" w:hAnsi="宋体" w:cs="宋体" w:hint="eastAsia"/>
          <w:b/>
          <w:bCs/>
          <w:szCs w:val="15"/>
          <w:highlight w:val="none"/>
        </w:rPr>
        <w:t>【政府采购合同专用条款】</w:t>
      </w:r>
      <w:r>
        <w:rPr>
          <w:rFonts w:ascii="宋体" w:hAnsi="宋体" w:cs="宋体" w:hint="eastAsia"/>
          <w:szCs w:val="15"/>
          <w:highlight w:val="none"/>
        </w:rPr>
        <w:t>约定情形的</w:t>
      </w:r>
      <w:r>
        <w:rPr>
          <w:rFonts w:ascii="宋体" w:hAnsi="宋体" w:hint="eastAsia"/>
          <w:szCs w:val="21"/>
          <w:highlight w:val="none"/>
        </w:rPr>
        <w:t>，履约保证金不予退还；如果乙方未能按合同约定全面履行义务，甲方有权从履约保证金中取得补偿或赔偿，且不影响甲方要求乙方承担合同约定的超过履约保证金的违约责任的权利。</w:t>
      </w:r>
    </w:p>
    <w:p>
      <w:pPr>
        <w:spacing w:line="400" w:lineRule="exact"/>
        <w:ind w:firstLine="420"/>
        <w:rPr>
          <w:highlight w:val="none"/>
        </w:rPr>
      </w:pPr>
      <w:r>
        <w:rPr>
          <w:rFonts w:ascii="宋体" w:hAnsi="宋体" w:hint="eastAsia"/>
          <w:szCs w:val="21"/>
          <w:highlight w:val="none"/>
        </w:rPr>
        <w:t>13.3 甲方在项目通过验收后按照</w:t>
      </w:r>
      <w:r>
        <w:rPr>
          <w:rFonts w:ascii="宋体" w:hAnsi="宋体" w:hint="eastAsia"/>
          <w:b/>
          <w:szCs w:val="21"/>
          <w:highlight w:val="none"/>
        </w:rPr>
        <w:t>【政府采购合同专用条款】</w:t>
      </w:r>
      <w:r>
        <w:rPr>
          <w:rFonts w:ascii="宋体" w:hAnsi="宋体" w:hint="eastAsia"/>
          <w:szCs w:val="21"/>
          <w:highlight w:val="none"/>
        </w:rPr>
        <w:t>规定的时间内将履约保证金退还乙方；逾期退还的，乙方可要求甲方支付违约金，违约金按照</w:t>
      </w:r>
      <w:r>
        <w:rPr>
          <w:rFonts w:ascii="宋体" w:hAnsi="宋体" w:hint="eastAsia"/>
          <w:b/>
          <w:szCs w:val="21"/>
          <w:highlight w:val="none"/>
        </w:rPr>
        <w:t>【政府采购合同专用条款】</w:t>
      </w:r>
      <w:r>
        <w:rPr>
          <w:rFonts w:ascii="宋体" w:hAnsi="宋体" w:hint="eastAsia"/>
          <w:szCs w:val="21"/>
          <w:highlight w:val="none"/>
        </w:rPr>
        <w:t>规定支付。</w:t>
      </w:r>
    </w:p>
    <w:p>
      <w:pPr>
        <w:autoSpaceDE w:val="0"/>
        <w:autoSpaceDN w:val="0"/>
        <w:adjustRightInd w:val="0"/>
        <w:snapToGrid w:val="0"/>
        <w:spacing w:line="400" w:lineRule="exact"/>
        <w:jc w:val="left"/>
        <w:rPr>
          <w:rFonts w:ascii="宋体" w:hAnsi="宋体"/>
          <w:b/>
          <w:highlight w:val="none"/>
        </w:rPr>
      </w:pPr>
      <w:r>
        <w:rPr>
          <w:rFonts w:ascii="宋体" w:hAnsi="宋体" w:hint="eastAsia"/>
          <w:b/>
          <w:bCs/>
          <w:sz w:val="24"/>
          <w:highlight w:val="none"/>
        </w:rPr>
        <w:t xml:space="preserve">14. </w:t>
      </w:r>
      <w:r>
        <w:rPr>
          <w:rFonts w:hint="eastAsia"/>
          <w:b/>
          <w:sz w:val="24"/>
          <w:highlight w:val="none"/>
        </w:rPr>
        <w:t>售后</w:t>
      </w:r>
      <w:r>
        <w:rPr>
          <w:rFonts w:ascii="宋体" w:hAnsi="宋体" w:hint="eastAsia"/>
          <w:b/>
          <w:sz w:val="24"/>
          <w:highlight w:val="none"/>
        </w:rPr>
        <w:t>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14.1 除项目不涉及或采购活动中明确约定无须承担外，乙方还应提供下列服务：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（1）货物的现场移动、安装、调试、启动监督及技术支持；</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（2）提供货物组装和维修所需的专用工具和辅助材料；</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（3）在</w:t>
      </w:r>
      <w:r>
        <w:rPr>
          <w:rFonts w:ascii="宋体" w:hAnsi="宋体" w:cs="宋体" w:hint="eastAsia"/>
          <w:b/>
          <w:bCs/>
          <w:szCs w:val="15"/>
          <w:highlight w:val="none"/>
        </w:rPr>
        <w:t>【政府采购合同专用条款】</w:t>
      </w:r>
      <w:r>
        <w:rPr>
          <w:rFonts w:ascii="宋体" w:hAnsi="宋体" w:hint="eastAsia"/>
          <w:szCs w:val="21"/>
          <w:highlight w:val="none"/>
        </w:rPr>
        <w:t>约定的期限内对所有的货物实施运行监督、维修，但前提条件是该服务并不能免除乙方在质量保证期内所承担的义务；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（4）在制造商所在地或指定现场就货物的安装、启动、运营、维护、废弃处置等对甲方操作人员进行培训</w:t>
      </w:r>
      <w:r>
        <w:rPr>
          <w:rFonts w:ascii="宋体" w:hAnsi="宋体" w:cs="宋体" w:hint="eastAsia"/>
          <w:szCs w:val="15"/>
          <w:highlight w:val="none"/>
        </w:rPr>
        <w:t>；</w:t>
      </w:r>
    </w:p>
    <w:p>
      <w:pPr>
        <w:pStyle w:val="AONormal"/>
        <w:ind w:firstLine="420"/>
        <w:rPr>
          <w:rFonts w:ascii="宋体" w:eastAsia="宋体" w:hAnsi="宋体" w:cs="宋体"/>
          <w:sz w:val="21"/>
          <w:highlight w:val="none"/>
        </w:rPr>
      </w:pPr>
      <w:r>
        <w:rPr>
          <w:rFonts w:ascii="宋体" w:eastAsia="宋体" w:hAnsi="宋体" w:cs="宋体" w:hint="eastAsia"/>
          <w:sz w:val="21"/>
          <w:highlight w:val="none"/>
        </w:rPr>
        <w:t>（5）依照法律、行政法规的规定或者按照</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约定，货物在有效使用年限届满后应予回收的，乙方负有自行或者委托第三人对货物予以回收的义务；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（6）</w:t>
      </w:r>
      <w:r>
        <w:rPr>
          <w:rFonts w:ascii="宋体" w:hAnsi="宋体" w:hint="eastAsia"/>
          <w:b/>
          <w:szCs w:val="21"/>
          <w:highlight w:val="none"/>
        </w:rPr>
        <w:t>【政府采购合同专用条款】</w:t>
      </w:r>
      <w:r>
        <w:rPr>
          <w:rFonts w:ascii="宋体" w:hAnsi="宋体" w:hint="eastAsia"/>
          <w:szCs w:val="21"/>
          <w:highlight w:val="none"/>
        </w:rPr>
        <w:t>规定由乙方提供的其他服务。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14.2 乙方提供的售后服务的费用已包含在合同价款中，甲方不再另行支付。</w:t>
      </w:r>
    </w:p>
    <w:p>
      <w:pPr>
        <w:adjustRightInd w:val="0"/>
        <w:snapToGrid w:val="0"/>
        <w:spacing w:line="400" w:lineRule="exact"/>
        <w:jc w:val="left"/>
        <w:rPr>
          <w:rFonts w:ascii="宋体" w:hAnsi="宋体"/>
          <w:b/>
          <w:bCs/>
          <w:highlight w:val="none"/>
        </w:rPr>
      </w:pPr>
      <w:r>
        <w:rPr>
          <w:rFonts w:ascii="宋体" w:hAnsi="宋体" w:hint="eastAsia"/>
          <w:b/>
          <w:bCs/>
          <w:sz w:val="24"/>
          <w:highlight w:val="none"/>
        </w:rPr>
        <w:t>15. 违约责任</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15.1质量瑕疵的违约责任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乙方提供的产品不符合合同约定的质量标准或存在产品质量缺陷，甲方有权要求乙方根据</w:t>
      </w:r>
      <w:r>
        <w:rPr>
          <w:rFonts w:ascii="宋体" w:hAnsi="宋体" w:hint="eastAsia"/>
          <w:b/>
          <w:szCs w:val="21"/>
          <w:highlight w:val="none"/>
        </w:rPr>
        <w:t>【政府采购合同专用条款】</w:t>
      </w:r>
      <w:r>
        <w:rPr>
          <w:rFonts w:ascii="宋体" w:hAnsi="宋体" w:hint="eastAsia"/>
          <w:bCs/>
          <w:szCs w:val="21"/>
          <w:highlight w:val="none"/>
        </w:rPr>
        <w:t>要求</w:t>
      </w:r>
      <w:r>
        <w:rPr>
          <w:rFonts w:ascii="宋体" w:hAnsi="宋体" w:hint="eastAsia"/>
          <w:szCs w:val="21"/>
          <w:highlight w:val="none"/>
        </w:rPr>
        <w:t>及时修理、重作、更换，并承担由此给甲方造成的损失。</w:t>
      </w:r>
    </w:p>
    <w:p>
      <w:pPr>
        <w:autoSpaceDE w:val="0"/>
        <w:autoSpaceDN w:val="0"/>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15.2 迟延交货的违约责任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（2）如果乙方没有按照合同规定的时间交货和提供相关服务，甲方有权从货款中扣除误期赔偿费而不影响合同项下的其他补救方法，赔偿费按</w:t>
      </w:r>
      <w:r>
        <w:rPr>
          <w:rFonts w:ascii="宋体" w:hAnsi="宋体" w:hint="eastAsia"/>
          <w:b/>
          <w:szCs w:val="21"/>
          <w:highlight w:val="none"/>
        </w:rPr>
        <w:t>【政府采购合同专用条款】</w:t>
      </w:r>
      <w:r>
        <w:rPr>
          <w:rFonts w:ascii="宋体" w:hAnsi="宋体" w:hint="eastAsia"/>
          <w:szCs w:val="21"/>
          <w:highlight w:val="none"/>
        </w:rPr>
        <w:t>规定执行。如果涉及公共利益，且赔偿金额无法弥补公共利益损失，甲方可要求继续履行或者采取其他补救措施。</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15.3 迟延支付的违约责任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甲方存在迟延支付乙方合同款项的，应当承担</w:t>
      </w:r>
      <w:r>
        <w:rPr>
          <w:rFonts w:ascii="宋体" w:hAnsi="宋体" w:hint="eastAsia"/>
          <w:b/>
          <w:bCs/>
          <w:szCs w:val="21"/>
          <w:highlight w:val="none"/>
        </w:rPr>
        <w:t>【政府采购合同专用条款】</w:t>
      </w:r>
      <w:r>
        <w:rPr>
          <w:rFonts w:ascii="宋体" w:hAnsi="宋体" w:hint="eastAsia"/>
          <w:szCs w:val="21"/>
          <w:highlight w:val="none"/>
        </w:rPr>
        <w:t>规定的逾期付款利息。</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bCs/>
          <w:szCs w:val="21"/>
          <w:highlight w:val="none"/>
        </w:rPr>
        <w:t>15.4其他违约责任根据项目实际需要按</w:t>
      </w:r>
      <w:r>
        <w:rPr>
          <w:rFonts w:ascii="宋体" w:hAnsi="宋体" w:hint="eastAsia"/>
          <w:b/>
          <w:bCs/>
          <w:szCs w:val="21"/>
          <w:highlight w:val="none"/>
        </w:rPr>
        <w:t>【政府采购合同专用条款】</w:t>
      </w:r>
      <w:r>
        <w:rPr>
          <w:rFonts w:ascii="宋体" w:hAnsi="宋体" w:hint="eastAsia"/>
          <w:szCs w:val="21"/>
          <w:highlight w:val="none"/>
        </w:rPr>
        <w:t>规定执行。</w:t>
      </w:r>
    </w:p>
    <w:p>
      <w:pPr>
        <w:numPr>
          <w:ilvl w:val="0"/>
          <w:numId w:val="12"/>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合同变更、中止与终止</w:t>
      </w:r>
    </w:p>
    <w:p>
      <w:pPr>
        <w:adjustRightInd w:val="0"/>
        <w:snapToGrid w:val="0"/>
        <w:spacing w:line="400" w:lineRule="exact"/>
        <w:jc w:val="left"/>
        <w:rPr>
          <w:rFonts w:ascii="宋体" w:hAnsi="宋体"/>
          <w:szCs w:val="21"/>
          <w:highlight w:val="none"/>
        </w:rPr>
      </w:pPr>
      <w:r>
        <w:rPr>
          <w:rFonts w:ascii="宋体" w:hAnsi="宋体" w:hint="eastAsia"/>
          <w:szCs w:val="21"/>
          <w:highlight w:val="none"/>
        </w:rPr>
        <w:t xml:space="preserve">    16.1合同的变更</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政府采购合同履行中，在不改变合同其他条款的前提下，甲方可以在合同价款10%的范围内追加与合同标的相同的货物，并就此与乙方协商一致后签订补充协议。</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16.2合同的中止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（1）合同履行过程中因供应商就采购文件、采购过程或结果提起投诉的，甲方认为有必要的，可以中止合同的履行。</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pPr>
        <w:pStyle w:val="AONormal"/>
        <w:ind w:firstLine="420"/>
        <w:jc w:val="both"/>
        <w:rPr>
          <w:sz w:val="21"/>
          <w:highlight w:val="none"/>
        </w:rPr>
      </w:pPr>
      <w:r>
        <w:rPr>
          <w:rFonts w:ascii="宋体" w:eastAsia="宋体" w:hAnsi="宋体" w:cs="宋体" w:hint="eastAsia"/>
          <w:sz w:val="21"/>
          <w:highlight w:val="none"/>
        </w:rPr>
        <w:t>（3）乙方分立、合并或者变更住所的，应当及时以书面形式告知甲方。乙方没有及时告知甲方，致使合同履行发生困难的，甲方可以中止合同履行并要求乙方承担由此给甲方造成的损失。</w:t>
      </w:r>
    </w:p>
    <w:p>
      <w:pPr>
        <w:snapToGrid w:val="0"/>
        <w:spacing w:line="400" w:lineRule="exact"/>
        <w:ind w:firstLine="420" w:firstLineChars="200"/>
        <w:jc w:val="left"/>
        <w:rPr>
          <w:highlight w:val="none"/>
        </w:rPr>
      </w:pPr>
      <w:r>
        <w:rPr>
          <w:rFonts w:ascii="宋体" w:hAnsi="宋体" w:hint="eastAsia"/>
          <w:szCs w:val="21"/>
          <w:highlight w:val="none"/>
        </w:rPr>
        <w:t>（4）甲方不得以行政区划调整、政府换届、机构或者职能调整以及相关责任人更替为由中止合同。</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16.3合同的终止</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（1）合同因有效期限届满而终止；</w:t>
      </w:r>
    </w:p>
    <w:p>
      <w:pPr>
        <w:snapToGrid w:val="0"/>
        <w:spacing w:line="400" w:lineRule="exact"/>
        <w:ind w:firstLine="420" w:firstLineChars="200"/>
        <w:rPr>
          <w:rFonts w:ascii="宋体" w:hAnsi="宋体" w:cs="宋体"/>
          <w:szCs w:val="21"/>
          <w:highlight w:val="none"/>
        </w:rPr>
      </w:pPr>
      <w:r>
        <w:rPr>
          <w:rFonts w:ascii="宋体" w:hAnsi="宋体" w:hint="eastAsia"/>
          <w:szCs w:val="21"/>
          <w:highlight w:val="none"/>
        </w:rPr>
        <w:t>（2）乙方未按合同约定履行，构成根本性违约的，甲方有权终止合同，</w:t>
      </w:r>
      <w:r>
        <w:rPr>
          <w:rFonts w:ascii="宋体" w:hAnsi="宋体" w:cs="宋体" w:hint="eastAsia"/>
          <w:szCs w:val="21"/>
          <w:highlight w:val="none"/>
        </w:rPr>
        <w:t>并追究乙方的违约责任</w:t>
      </w:r>
      <w:r>
        <w:rPr>
          <w:rFonts w:ascii="宋体" w:hAnsi="宋体" w:hint="eastAsia"/>
          <w:szCs w:val="21"/>
          <w:highlight w:val="none"/>
        </w:rPr>
        <w:t>。</w:t>
      </w:r>
    </w:p>
    <w:p>
      <w:pPr>
        <w:pStyle w:val="AONormal"/>
        <w:rPr>
          <w:rFonts w:ascii="宋体" w:hAnsi="宋体"/>
          <w:highlight w:val="none"/>
        </w:rPr>
      </w:pPr>
      <w:r>
        <w:rPr>
          <w:rFonts w:ascii="宋体" w:hAnsi="宋体" w:hint="eastAsia"/>
          <w:highlight w:val="none"/>
        </w:rPr>
        <w:t xml:space="preserve">16.4 </w:t>
      </w:r>
      <w:r>
        <w:rPr>
          <w:rFonts w:ascii="宋体" w:eastAsia="宋体" w:hAnsi="宋体" w:cs="Times New Roman" w:hint="eastAsia"/>
          <w:kern w:val="2"/>
          <w:sz w:val="21"/>
          <w:highlight w:val="none"/>
        </w:rPr>
        <w:t>涉及国家利益、社会公共利益的情形</w:t>
      </w:r>
    </w:p>
    <w:p>
      <w:pPr>
        <w:pStyle w:val="AONormal"/>
        <w:ind w:firstLine="420"/>
        <w:jc w:val="both"/>
        <w:rPr>
          <w:sz w:val="21"/>
          <w:highlight w:val="none"/>
        </w:rPr>
      </w:pPr>
      <w:r>
        <w:rPr>
          <w:rFonts w:ascii="宋体" w:eastAsia="宋体" w:hAnsi="宋体" w:cs="宋体" w:hint="eastAsia"/>
          <w:sz w:val="21"/>
          <w:highlight w:val="none"/>
        </w:rPr>
        <w:t>政府采购合同继续履行将损害国家利益和社会公共利益的，双方当事人应当变更、中止或者终止合同。有过错的一方应当承担赔偿责任，双方都有过错的，各自承担相应的责任。</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17. 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17.1 乙方不得将合同转包给其他供应商。涉及合同分包的，乙方应根据采购文件和投标（响应）文件规定进行合同分包。</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17.2 乙方执行政府采购政策向中小企业依法分包的，乙方应当按采购文件和投标（响应）文件签订分包意向协议，分包意向协议属于本合同组成部分。</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18. 不可抗力</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18.1 不可抗力是指合同双方不能预见、不能避免且不能克服的客观情况。</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18.2 任何一方对由于不可抗力造成的部分或全部不能履行合同不承担违约责任。但迟延履行后发生不可抗力的，不能免除责任。</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pPr>
        <w:autoSpaceDE w:val="0"/>
        <w:autoSpaceDN w:val="0"/>
        <w:adjustRightInd w:val="0"/>
        <w:snapToGrid w:val="0"/>
        <w:spacing w:line="400" w:lineRule="exact"/>
        <w:jc w:val="left"/>
        <w:rPr>
          <w:rFonts w:ascii="宋体" w:hAnsi="宋体"/>
          <w:b/>
          <w:bCs/>
          <w:highlight w:val="none"/>
        </w:rPr>
      </w:pPr>
      <w:r>
        <w:rPr>
          <w:rFonts w:ascii="宋体" w:hAnsi="宋体" w:hint="eastAsia"/>
          <w:b/>
          <w:bCs/>
          <w:sz w:val="24"/>
          <w:highlight w:val="none"/>
        </w:rPr>
        <w:t>19. 解决争议的方法</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19.1 因本合同及合同有关事项发生的争议，由甲乙双方友好协商解决。协商不成时，可以向有关组织申请调解。合同一方或双方不愿调解或调解不成的，可以通过仲裁或诉讼的方式解决争议。</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19.2 选择仲裁的，应在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中明确仲裁机构及仲裁地；通过诉讼方式解决的，可以在</w:t>
      </w:r>
      <w:r>
        <w:rPr>
          <w:rFonts w:ascii="宋体" w:eastAsia="宋体" w:hAnsi="宋体" w:cs="宋体" w:hint="eastAsia"/>
          <w:b/>
          <w:bCs/>
          <w:sz w:val="21"/>
          <w:highlight w:val="none"/>
        </w:rPr>
        <w:t>【政府采购合同专用条款】</w:t>
      </w:r>
      <w:r>
        <w:rPr>
          <w:rFonts w:ascii="宋体" w:eastAsia="宋体" w:hAnsi="宋体" w:cs="宋体" w:hint="eastAsia"/>
          <w:sz w:val="21"/>
          <w:highlight w:val="none"/>
        </w:rPr>
        <w:t>中进一步约定选择与争议有实际联系的地点的人民法院管辖，但管辖法院的约定不得违反级别管辖和专属管辖的规定。</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19.3 如甲乙双方有争议的事项不影响合同其他部分的履行，在争议解决期间，合同其他部分应当继续履行。</w:t>
      </w:r>
    </w:p>
    <w:p>
      <w:pPr>
        <w:autoSpaceDE w:val="0"/>
        <w:autoSpaceDN w:val="0"/>
        <w:adjustRightInd w:val="0"/>
        <w:snapToGrid w:val="0"/>
        <w:spacing w:line="400" w:lineRule="exact"/>
        <w:jc w:val="left"/>
        <w:rPr>
          <w:rFonts w:ascii="宋体" w:hAnsi="宋体"/>
          <w:highlight w:val="none"/>
        </w:rPr>
      </w:pPr>
      <w:r>
        <w:rPr>
          <w:rFonts w:ascii="宋体" w:hAnsi="宋体" w:hint="eastAsia"/>
          <w:b/>
          <w:sz w:val="24"/>
          <w:highlight w:val="none"/>
        </w:rPr>
        <w:t>20. 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 xml:space="preserve">20.1 </w:t>
      </w:r>
      <w:r>
        <w:rPr>
          <w:rFonts w:ascii="宋体" w:hAnsi="宋体" w:cs="宋体" w:hint="eastAsia"/>
          <w:highlight w:val="none"/>
          <w:lang w:val="en-GB"/>
        </w:rPr>
        <w:t>本合同应当按照规定执行政府采购政策。</w:t>
      </w:r>
    </w:p>
    <w:p>
      <w:pPr>
        <w:autoSpaceDE w:val="0"/>
        <w:autoSpaceDN w:val="0"/>
        <w:adjustRightInd w:val="0"/>
        <w:snapToGrid w:val="0"/>
        <w:spacing w:line="400" w:lineRule="exact"/>
        <w:ind w:firstLine="420" w:firstLineChars="200"/>
        <w:jc w:val="left"/>
        <w:rPr>
          <w:rFonts w:ascii="宋体" w:hAnsi="宋体"/>
          <w:szCs w:val="21"/>
          <w:highlight w:val="none"/>
        </w:rPr>
      </w:pPr>
      <w:r>
        <w:rPr>
          <w:rFonts w:ascii="宋体" w:hAnsi="宋体"/>
          <w:szCs w:val="21"/>
          <w:highlight w:val="none"/>
        </w:rPr>
        <w:t>2</w:t>
      </w:r>
      <w:r>
        <w:rPr>
          <w:rFonts w:ascii="宋体" w:hAnsi="宋体" w:hint="eastAsia"/>
          <w:szCs w:val="21"/>
          <w:highlight w:val="none"/>
        </w:rPr>
        <w:t>0.2 本合同依法执行政府采购政策的方式和内容，属于合同履约验收的范围。</w:t>
      </w:r>
      <w:r>
        <w:rPr>
          <w:rFonts w:ascii="宋体" w:hAnsi="宋体" w:cs="宋体" w:hint="eastAsia"/>
          <w:highlight w:val="none"/>
        </w:rPr>
        <w:t>甲乙双方</w:t>
      </w:r>
      <w:r>
        <w:rPr>
          <w:rFonts w:ascii="宋体" w:hAnsi="宋体" w:cs="宋体" w:hint="eastAsia"/>
          <w:highlight w:val="none"/>
          <w:lang w:val="en-GB"/>
        </w:rPr>
        <w:t>未按规定要求执行政府采购政策造成损失的</w:t>
      </w:r>
      <w:r>
        <w:rPr>
          <w:rFonts w:ascii="宋体" w:hAnsi="宋体" w:hint="eastAsia"/>
          <w:szCs w:val="21"/>
          <w:highlight w:val="none"/>
        </w:rPr>
        <w:t>，有过错的一方应当承担赔偿责任，双方都有过错的，各自承担相应的责任。</w:t>
      </w:r>
    </w:p>
    <w:p>
      <w:pPr>
        <w:pStyle w:val="BodyText"/>
        <w:spacing w:after="0" w:line="400" w:lineRule="exact"/>
        <w:ind w:firstLine="420" w:firstLineChars="200"/>
        <w:rPr>
          <w:highlight w:val="none"/>
        </w:rPr>
      </w:pPr>
      <w:r>
        <w:rPr>
          <w:rFonts w:ascii="宋体" w:hAnsi="宋体"/>
          <w:color w:val="auto"/>
          <w:szCs w:val="21"/>
          <w:highlight w:val="none"/>
        </w:rPr>
        <w:t>2</w:t>
      </w:r>
      <w:r>
        <w:rPr>
          <w:rFonts w:ascii="宋体" w:hAnsi="宋体" w:hint="eastAsia"/>
          <w:color w:val="auto"/>
          <w:szCs w:val="21"/>
          <w:highlight w:val="none"/>
          <w:lang w:val="en-US"/>
        </w:rPr>
        <w:t>0</w:t>
      </w:r>
      <w:r>
        <w:rPr>
          <w:rFonts w:ascii="宋体" w:hAnsi="宋体" w:hint="eastAsia"/>
          <w:color w:val="auto"/>
          <w:szCs w:val="21"/>
          <w:highlight w:val="none"/>
        </w:rPr>
        <w:t>.</w:t>
      </w:r>
      <w:r>
        <w:rPr>
          <w:rFonts w:ascii="宋体" w:hAnsi="宋体" w:hint="eastAsia"/>
          <w:color w:val="auto"/>
          <w:szCs w:val="21"/>
          <w:highlight w:val="none"/>
          <w:lang w:val="en-US"/>
        </w:rPr>
        <w:t>3</w:t>
      </w:r>
      <w:r>
        <w:rPr>
          <w:rFonts w:ascii="宋体" w:hAnsi="宋体" w:hint="eastAsia"/>
          <w:color w:val="auto"/>
          <w:szCs w:val="21"/>
          <w:highlight w:val="none"/>
        </w:rPr>
        <w:t xml:space="preserve">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p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21. 法律适用</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21.1 本合同的订立、生效、解释、履行及与本合同有关的争议解决，均适用法律、行政法规。</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21.2 本合同条款与法律、行政法规的强制性规定不一致的，双方当事人应按照法律、行政法规的强制性规定修改本合同的相关条款。</w:t>
      </w:r>
    </w:p>
    <w:p>
      <w:pPr>
        <w:numPr>
          <w:ilvl w:val="0"/>
          <w:numId w:val="0"/>
        </w:numPr>
        <w:autoSpaceDE w:val="0"/>
        <w:autoSpaceDN w:val="0"/>
        <w:adjustRightInd w:val="0"/>
        <w:snapToGrid w:val="0"/>
        <w:spacing w:line="400" w:lineRule="exact"/>
        <w:jc w:val="left"/>
        <w:rPr>
          <w:rFonts w:ascii="宋体" w:hAnsi="宋体"/>
          <w:b/>
          <w:highlight w:val="none"/>
        </w:rPr>
      </w:pPr>
      <w:r>
        <w:rPr>
          <w:rFonts w:ascii="宋体" w:hAnsi="宋体" w:hint="eastAsia"/>
          <w:b/>
          <w:sz w:val="24"/>
          <w:highlight w:val="none"/>
        </w:rPr>
        <w:t>22. 通知</w:t>
      </w:r>
    </w:p>
    <w:p>
      <w:pPr>
        <w:pStyle w:val="AONormal"/>
        <w:ind w:firstLine="420"/>
        <w:jc w:val="both"/>
        <w:rPr>
          <w:rFonts w:ascii="宋体" w:eastAsia="宋体" w:hAnsi="宋体" w:cs="宋体"/>
          <w:sz w:val="21"/>
          <w:highlight w:val="none"/>
        </w:rPr>
      </w:pPr>
      <w:r>
        <w:rPr>
          <w:rFonts w:ascii="宋体" w:eastAsia="宋体" w:hAnsi="宋体" w:cs="宋体" w:hint="eastAsia"/>
          <w:sz w:val="21"/>
          <w:highlight w:val="none"/>
        </w:rPr>
        <w:t>22.1 本合同任何一方向对方发出的通知、信件、数据电文等，应当发送至本合同第一部分《政府采购合同协议书》所约定的通讯地址、联系人、联系电话或电子邮箱。</w:t>
      </w:r>
    </w:p>
    <w:p>
      <w:pPr>
        <w:pStyle w:val="AONormal"/>
        <w:ind w:firstLine="0" w:firstLineChars="0"/>
        <w:jc w:val="both"/>
        <w:rPr>
          <w:sz w:val="21"/>
          <w:highlight w:val="none"/>
        </w:rPr>
      </w:pPr>
      <w:r>
        <w:rPr>
          <w:rFonts w:ascii="宋体" w:eastAsia="宋体" w:hAnsi="宋体" w:cs="宋体" w:hint="eastAsia"/>
          <w:sz w:val="21"/>
          <w:highlight w:val="none"/>
        </w:rPr>
        <w:t xml:space="preserve">    22.2 一方当事人变更名称、住所、联系人、联系电话或电子邮箱等信息的，应当在变更后3日内及时书面通知对方，对方实际收到变更通知前的送达仍为有效送达。</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22.3本合同一方给另一方的通知均应采用书面形式，传真或快递送到本合同中规定的对方的地址和办理签收手续。</w:t>
      </w:r>
    </w:p>
    <w:p>
      <w:pPr>
        <w:adjustRightInd w:val="0"/>
        <w:snapToGrid w:val="0"/>
        <w:spacing w:line="400" w:lineRule="exact"/>
        <w:ind w:firstLine="420" w:firstLineChars="200"/>
        <w:jc w:val="left"/>
        <w:rPr>
          <w:rFonts w:ascii="宋体" w:hAnsi="宋体"/>
          <w:szCs w:val="21"/>
          <w:highlight w:val="none"/>
        </w:rPr>
      </w:pPr>
      <w:r>
        <w:rPr>
          <w:rFonts w:ascii="宋体" w:hAnsi="宋体" w:hint="eastAsia"/>
          <w:szCs w:val="21"/>
          <w:highlight w:val="none"/>
        </w:rPr>
        <w:t>22.4通知以送达之日或通知书中规定的生效之日起生效，两者中以较迟之日为准。</w:t>
      </w:r>
    </w:p>
    <w:p>
      <w:pPr>
        <w:numPr>
          <w:ilvl w:val="0"/>
          <w:numId w:val="13"/>
        </w:numPr>
        <w:adjustRightInd w:val="0"/>
        <w:snapToGrid w:val="0"/>
        <w:spacing w:line="400" w:lineRule="exact"/>
        <w:jc w:val="left"/>
        <w:rPr>
          <w:rFonts w:ascii="宋体" w:hAnsi="宋体"/>
          <w:b/>
          <w:bCs/>
          <w:highlight w:val="none"/>
        </w:rPr>
      </w:pPr>
      <w:r>
        <w:rPr>
          <w:rFonts w:ascii="宋体" w:hAnsi="宋体" w:hint="eastAsia"/>
          <w:b/>
          <w:bCs/>
          <w:sz w:val="24"/>
          <w:highlight w:val="none"/>
        </w:rPr>
        <w:t>合同未尽事项</w:t>
      </w:r>
    </w:p>
    <w:p>
      <w:pPr>
        <w:adjustRightInd w:val="0"/>
        <w:snapToGrid w:val="0"/>
        <w:spacing w:line="400" w:lineRule="exact"/>
        <w:ind w:firstLine="420" w:firstLineChars="200"/>
        <w:jc w:val="left"/>
        <w:rPr>
          <w:rFonts w:ascii="宋体" w:hAnsi="宋体"/>
          <w:bCs/>
          <w:szCs w:val="21"/>
          <w:highlight w:val="none"/>
        </w:rPr>
      </w:pPr>
      <w:r>
        <w:rPr>
          <w:rFonts w:ascii="宋体" w:hAnsi="宋体" w:hint="eastAsia"/>
          <w:bCs/>
          <w:szCs w:val="21"/>
          <w:highlight w:val="none"/>
        </w:rPr>
        <w:t>23.1合同未尽事项见</w:t>
      </w:r>
      <w:r>
        <w:rPr>
          <w:rFonts w:ascii="宋体" w:hAnsi="宋体" w:hint="eastAsia"/>
          <w:b/>
          <w:szCs w:val="21"/>
          <w:highlight w:val="none"/>
        </w:rPr>
        <w:t>【政府采购合同专用条款】</w:t>
      </w:r>
      <w:r>
        <w:rPr>
          <w:rFonts w:ascii="宋体" w:hAnsi="宋体" w:hint="eastAsia"/>
          <w:bCs/>
          <w:szCs w:val="21"/>
          <w:highlight w:val="none"/>
        </w:rPr>
        <w:t>。</w:t>
      </w:r>
    </w:p>
    <w:p>
      <w:pPr>
        <w:adjustRightInd w:val="0"/>
        <w:snapToGrid w:val="0"/>
        <w:spacing w:line="400" w:lineRule="exact"/>
        <w:jc w:val="left"/>
        <w:rPr>
          <w:rFonts w:ascii="黑体" w:eastAsia="黑体" w:hAnsi="华文中宋"/>
          <w:sz w:val="28"/>
          <w:szCs w:val="28"/>
          <w:highlight w:val="none"/>
        </w:rPr>
      </w:pPr>
      <w:r>
        <w:rPr>
          <w:rFonts w:ascii="宋体" w:hAnsi="宋体" w:hint="eastAsia"/>
          <w:bCs/>
          <w:szCs w:val="21"/>
          <w:highlight w:val="none"/>
        </w:rPr>
        <w:t xml:space="preserve">    23.2 合同附件与合同正文具有同等的法律效力。</w:t>
      </w:r>
      <w:bookmarkStart w:id="75" w:name="_Toc20313"/>
    </w:p>
    <w:p>
      <w:pPr>
        <w:adjustRightInd w:val="0"/>
        <w:snapToGrid w:val="0"/>
        <w:jc w:val="center"/>
        <w:rPr>
          <w:rFonts w:ascii="黑体" w:eastAsia="黑体" w:hAnsi="华文中宋"/>
          <w:sz w:val="28"/>
          <w:szCs w:val="28"/>
          <w:highlight w:val="none"/>
        </w:rPr>
      </w:pPr>
      <w:r>
        <w:rPr>
          <w:rFonts w:ascii="黑体" w:eastAsia="黑体" w:hAnsi="华文中宋" w:hint="eastAsia"/>
          <w:sz w:val="28"/>
          <w:szCs w:val="28"/>
          <w:highlight w:val="none"/>
        </w:rPr>
        <w:br w:type="page"/>
      </w:r>
    </w:p>
    <w:p>
      <w:pPr>
        <w:pStyle w:val="Heading2"/>
        <w:numPr>
          <w:ilvl w:val="0"/>
          <w:numId w:val="0"/>
        </w:numPr>
        <w:adjustRightInd w:val="0"/>
        <w:snapToGrid w:val="0"/>
        <w:jc w:val="center"/>
        <w:rPr>
          <w:rFonts w:ascii="黑体" w:hAnsi="华文中宋"/>
          <w:b w:val="0"/>
          <w:bCs w:val="0"/>
          <w:sz w:val="28"/>
          <w:szCs w:val="28"/>
          <w:highlight w:val="none"/>
        </w:rPr>
      </w:pPr>
      <w:r>
        <w:rPr>
          <w:rFonts w:ascii="黑体" w:hAnsi="华文中宋" w:hint="eastAsia"/>
          <w:b w:val="0"/>
          <w:bCs w:val="0"/>
          <w:sz w:val="28"/>
          <w:szCs w:val="28"/>
          <w:highlight w:val="none"/>
        </w:rPr>
        <w:t>第三节 政府采购合同专用条款</w:t>
      </w:r>
      <w:bookmarkEnd w:id="75"/>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联合体具体要求</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0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第1.2（7）项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其他术语解释</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履约验收中甲方提出异议或作出说明的期限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第4.6款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约定甲方承担的其他义务和责任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highlight w:val="none"/>
              </w:rPr>
            </w:pPr>
            <w:r>
              <w:rPr>
                <w:rFonts w:ascii="宋体" w:hAnsi="宋体" w:hint="eastAsia"/>
                <w:szCs w:val="21"/>
                <w:highlight w:val="none"/>
              </w:rPr>
              <w:t>第5.4款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约定乙方承担的其他义务和责任</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snapToGrid w:val="0"/>
              <w:jc w:val="center"/>
              <w:rPr>
                <w:rFonts w:ascii="宋体" w:hAnsi="宋体"/>
                <w:szCs w:val="21"/>
                <w:highlight w:val="none"/>
              </w:rPr>
            </w:pPr>
            <w:r>
              <w:rPr>
                <w:rFonts w:ascii="宋体" w:hAnsi="宋体" w:hint="eastAsia"/>
                <w:szCs w:val="21"/>
                <w:highlight w:val="none"/>
              </w:rPr>
              <w:t>第6.1款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履行合同义务的顺序</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val="restart"/>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包装特殊要求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vMerge/>
            <w:noWrap w:val="0"/>
            <w:vAlign w:val="center"/>
          </w:tcPr>
          <w:p>
            <w:pPr>
              <w:adjustRightInd w:val="0"/>
              <w:snapToGrid w:val="0"/>
              <w:jc w:val="center"/>
              <w:rPr>
                <w:rFonts w:ascii="宋体" w:hAnsi="宋体"/>
                <w:szCs w:val="21"/>
                <w:highlight w:val="none"/>
              </w:rPr>
            </w:pP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指定现场</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72"/>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运输特殊要求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66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第7.3款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保险要求</w:t>
            </w:r>
          </w:p>
        </w:tc>
        <w:tc>
          <w:tcPr>
            <w:tcW w:w="5170" w:type="dxa"/>
            <w:noWrap w:val="0"/>
            <w:vAlign w:val="center"/>
          </w:tcPr>
          <w:p>
            <w:pPr>
              <w:rPr>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第8.2（1）项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质量保证期</w:t>
            </w:r>
          </w:p>
        </w:tc>
        <w:tc>
          <w:tcPr>
            <w:tcW w:w="5170" w:type="dxa"/>
            <w:noWrap w:val="0"/>
            <w:vAlign w:val="center"/>
          </w:tcPr>
          <w:p>
            <w:pPr>
              <w:autoSpaceDE w:val="0"/>
              <w:autoSpaceDN w:val="0"/>
              <w:adjustRightInd w:val="0"/>
              <w:snapToGrid w:val="0"/>
              <w:ind w:firstLine="420" w:firstLineChars="20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第8.2（3）项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货物质量缺陷</w:t>
            </w:r>
          </w:p>
          <w:p>
            <w:pPr>
              <w:adjustRightInd w:val="0"/>
              <w:snapToGrid w:val="0"/>
              <w:jc w:val="left"/>
              <w:rPr>
                <w:rFonts w:ascii="宋体" w:hAnsi="宋体"/>
                <w:szCs w:val="21"/>
                <w:highlight w:val="none"/>
              </w:rPr>
            </w:pPr>
            <w:r>
              <w:rPr>
                <w:rFonts w:ascii="宋体" w:hAnsi="宋体" w:hint="eastAsia"/>
                <w:szCs w:val="21"/>
                <w:highlight w:val="none"/>
              </w:rPr>
              <w:t>响应时间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snapToGrid w:val="0"/>
              <w:jc w:val="center"/>
              <w:rPr>
                <w:rFonts w:ascii="宋体" w:hAnsi="宋体" w:cs="宋体"/>
                <w:szCs w:val="21"/>
                <w:highlight w:val="none"/>
              </w:rPr>
            </w:pPr>
            <w:r>
              <w:rPr>
                <w:rFonts w:ascii="宋体" w:hAnsi="宋体" w:cs="宋体" w:hint="eastAsia"/>
                <w:szCs w:val="21"/>
                <w:highlight w:val="none"/>
              </w:rPr>
              <w:t>第二节</w:t>
            </w:r>
          </w:p>
          <w:p>
            <w:pPr>
              <w:pStyle w:val="AONormal"/>
              <w:ind w:firstLine="0" w:firstLineChars="0"/>
              <w:jc w:val="center"/>
              <w:rPr>
                <w:highlight w:val="none"/>
              </w:rPr>
            </w:pPr>
            <w:r>
              <w:rPr>
                <w:rFonts w:ascii="宋体" w:eastAsia="宋体" w:hAnsi="宋体" w:cs="宋体" w:hint="eastAsia"/>
                <w:highlight w:val="none"/>
              </w:rPr>
              <w:t>第11.1款</w:t>
            </w:r>
          </w:p>
        </w:tc>
        <w:tc>
          <w:tcPr>
            <w:tcW w:w="1742" w:type="dxa"/>
            <w:noWrap w:val="0"/>
            <w:vAlign w:val="center"/>
          </w:tcPr>
          <w:p>
            <w:pPr>
              <w:adjustRightInd w:val="0"/>
              <w:snapToGrid w:val="0"/>
              <w:rPr>
                <w:rFonts w:ascii="宋体" w:hAnsi="宋体"/>
                <w:szCs w:val="21"/>
                <w:highlight w:val="none"/>
              </w:rPr>
            </w:pPr>
            <w:r>
              <w:rPr>
                <w:rFonts w:ascii="宋体" w:hAnsi="宋体" w:hint="eastAsia"/>
                <w:szCs w:val="21"/>
                <w:highlight w:val="none"/>
              </w:rPr>
              <w:t>其他应当保密的信息</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第12.2款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合同价款支付时间</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697"/>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第13.2款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履约保证金不予退还的情形</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第13.3款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履约保证金退还时间及逾期退还的违约金</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第14.1（3）项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运行监督、维修期限</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84"/>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第14.1（5）项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货物回收的约定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第14.1（6）项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乙方提供的其他服务</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修理、重作、更换相关具体规定</w:t>
            </w:r>
          </w:p>
        </w:tc>
        <w:tc>
          <w:tcPr>
            <w:tcW w:w="5170" w:type="dxa"/>
            <w:noWrap w:val="0"/>
            <w:vAlign w:val="center"/>
          </w:tcPr>
          <w:p>
            <w:pPr>
              <w:adjustRightInd w:val="0"/>
              <w:snapToGrid w:val="0"/>
              <w:jc w:val="left"/>
              <w:rPr>
                <w:rFonts w:ascii="宋体" w:hAnsi="宋体"/>
                <w:szCs w:val="21"/>
                <w:highlight w:val="non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第15.2（2）项</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迟延交货赔偿费</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736"/>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第15.3款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szCs w:val="21"/>
                <w:highlight w:val="none"/>
              </w:rPr>
              <w:t>逾期付款利息</w:t>
            </w:r>
          </w:p>
        </w:tc>
        <w:tc>
          <w:tcPr>
            <w:tcW w:w="5170" w:type="dxa"/>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876"/>
        </w:trPr>
        <w:tc>
          <w:tcPr>
            <w:tcW w:w="1607" w:type="dxa"/>
            <w:tcBorders>
              <w:bottom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第15.4款</w:t>
            </w:r>
          </w:p>
        </w:tc>
        <w:tc>
          <w:tcPr>
            <w:tcW w:w="1742" w:type="dxa"/>
            <w:tcBorders>
              <w:left w:val="single" w:sz="2" w:space="0" w:color="auto"/>
              <w:bottom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其他违约责任</w:t>
            </w:r>
          </w:p>
        </w:tc>
        <w:tc>
          <w:tcPr>
            <w:tcW w:w="5170" w:type="dxa"/>
            <w:tcBorders>
              <w:left w:val="single" w:sz="2" w:space="0" w:color="auto"/>
              <w:bottom w:val="single" w:sz="2" w:space="0" w:color="auto"/>
            </w:tcBorders>
            <w:noWrap w:val="0"/>
            <w:vAlign w:val="center"/>
          </w:tcPr>
          <w:p>
            <w:pPr>
              <w:adjustRightInd w:val="0"/>
              <w:snapToGrid w:val="0"/>
              <w:jc w:val="left"/>
              <w:rPr>
                <w:rFonts w:ascii="宋体" w:hAnsi="宋体"/>
                <w:szCs w:val="21"/>
                <w:highlight w:val="none"/>
                <w:u w:val="single"/>
              </w:rPr>
            </w:pPr>
          </w:p>
        </w:tc>
      </w:tr>
      <w:tr>
        <w:tblPrEx>
          <w:tblW w:w="8519" w:type="dxa"/>
          <w:tblInd w:w="108" w:type="dxa"/>
          <w:tblLayout w:type="fixed"/>
          <w:tblCellMar>
            <w:top w:w="0" w:type="dxa"/>
            <w:left w:w="108" w:type="dxa"/>
            <w:bottom w:w="0" w:type="dxa"/>
            <w:right w:w="108" w:type="dxa"/>
          </w:tblCellMar>
        </w:tblPrEx>
        <w:trPr>
          <w:trHeight w:val="90"/>
        </w:trPr>
        <w:tc>
          <w:tcPr>
            <w:tcW w:w="1607" w:type="dxa"/>
            <w:tcBorders>
              <w:top w:val="single" w:sz="2" w:space="0" w:color="auto"/>
              <w:right w:val="single" w:sz="2" w:space="0" w:color="auto"/>
            </w:tcBorders>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第19.2款</w:t>
            </w:r>
          </w:p>
        </w:tc>
        <w:tc>
          <w:tcPr>
            <w:tcW w:w="1742" w:type="dxa"/>
            <w:tcBorders>
              <w:top w:val="single" w:sz="2" w:space="0" w:color="auto"/>
              <w:left w:val="single" w:sz="2" w:space="0" w:color="auto"/>
              <w:right w:val="single" w:sz="2" w:space="0" w:color="auto"/>
            </w:tcBorders>
            <w:noWrap w:val="0"/>
            <w:vAlign w:val="center"/>
          </w:tcPr>
          <w:p>
            <w:pPr>
              <w:adjustRightInd w:val="0"/>
              <w:snapToGrid w:val="0"/>
              <w:jc w:val="left"/>
              <w:rPr>
                <w:rFonts w:ascii="宋体" w:hAnsi="宋体"/>
                <w:szCs w:val="21"/>
                <w:highlight w:val="none"/>
              </w:rPr>
            </w:pPr>
            <w:r>
              <w:rPr>
                <w:rFonts w:ascii="宋体" w:hAnsi="宋体" w:hint="eastAsia"/>
                <w:szCs w:val="21"/>
                <w:highlight w:val="none"/>
              </w:rPr>
              <w:t>解决争议的方法</w:t>
            </w:r>
          </w:p>
        </w:tc>
        <w:tc>
          <w:tcPr>
            <w:tcW w:w="5170" w:type="dxa"/>
            <w:tcBorders>
              <w:top w:val="single" w:sz="2" w:space="0" w:color="auto"/>
              <w:left w:val="single" w:sz="2" w:space="0" w:color="auto"/>
            </w:tcBorders>
            <w:noWrap w:val="0"/>
            <w:vAlign w:val="center"/>
          </w:tcPr>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因本合同及合同有关事项发生的争议，按下列第</w:t>
            </w:r>
            <w:r>
              <w:rPr>
                <w:rFonts w:ascii="宋体" w:hAnsi="宋体" w:cs="宋体" w:hint="eastAsia"/>
                <w:iCs/>
                <w:szCs w:val="21"/>
                <w:highlight w:val="none"/>
                <w:u w:val="single"/>
              </w:rPr>
              <w:t xml:space="preserve">   </w:t>
            </w:r>
            <w:r>
              <w:rPr>
                <w:rFonts w:ascii="宋体" w:hAnsi="宋体" w:cs="宋体" w:hint="eastAsia"/>
                <w:iCs/>
                <w:szCs w:val="21"/>
                <w:highlight w:val="none"/>
              </w:rPr>
              <w:t>种方式解决：</w:t>
            </w:r>
          </w:p>
          <w:p>
            <w:pPr>
              <w:autoSpaceDE w:val="0"/>
              <w:autoSpaceDN w:val="0"/>
              <w:adjustRightInd w:val="0"/>
              <w:snapToGrid w:val="0"/>
              <w:spacing w:line="400" w:lineRule="exact"/>
              <w:jc w:val="left"/>
              <w:rPr>
                <w:rFonts w:ascii="宋体" w:hAnsi="宋体" w:cs="宋体"/>
                <w:iCs/>
                <w:szCs w:val="21"/>
                <w:highlight w:val="none"/>
              </w:rPr>
            </w:pPr>
            <w:r>
              <w:rPr>
                <w:rFonts w:ascii="宋体" w:hAnsi="宋体" w:cs="宋体" w:hint="eastAsia"/>
                <w:iCs/>
                <w:szCs w:val="21"/>
                <w:highlight w:val="none"/>
              </w:rPr>
              <w:t>（1）向</w:t>
            </w:r>
            <w:r>
              <w:rPr>
                <w:rFonts w:ascii="宋体" w:hAnsi="宋体" w:cs="宋体" w:hint="eastAsia"/>
                <w:iCs/>
                <w:szCs w:val="21"/>
                <w:highlight w:val="none"/>
                <w:u w:val="single"/>
              </w:rPr>
              <w:t xml:space="preserve">                    </w:t>
            </w:r>
            <w:r>
              <w:rPr>
                <w:rFonts w:ascii="宋体" w:hAnsi="宋体" w:cs="宋体" w:hint="eastAsia"/>
                <w:iCs/>
                <w:szCs w:val="21"/>
                <w:highlight w:val="none"/>
              </w:rPr>
              <w:t>仲裁委员会申请仲裁，仲裁地点为</w:t>
            </w:r>
            <w:r>
              <w:rPr>
                <w:rFonts w:ascii="宋体" w:hAnsi="宋体" w:cs="宋体" w:hint="eastAsia"/>
                <w:iCs/>
                <w:szCs w:val="21"/>
                <w:highlight w:val="none"/>
                <w:u w:val="single"/>
              </w:rPr>
              <w:t xml:space="preserve">           </w:t>
            </w:r>
            <w:r>
              <w:rPr>
                <w:rFonts w:ascii="宋体" w:hAnsi="宋体" w:cs="宋体" w:hint="eastAsia"/>
                <w:iCs/>
                <w:szCs w:val="21"/>
                <w:highlight w:val="none"/>
              </w:rPr>
              <w:t>；</w:t>
            </w:r>
          </w:p>
          <w:p>
            <w:pPr>
              <w:adjustRightInd w:val="0"/>
              <w:snapToGrid w:val="0"/>
              <w:jc w:val="left"/>
              <w:rPr>
                <w:rFonts w:ascii="宋体" w:hAnsi="宋体"/>
                <w:szCs w:val="21"/>
                <w:highlight w:val="none"/>
                <w:u w:val="single"/>
              </w:rPr>
            </w:pPr>
            <w:r>
              <w:rPr>
                <w:rFonts w:ascii="宋体" w:hAnsi="宋体" w:cs="宋体" w:hint="eastAsia"/>
                <w:iCs/>
                <w:szCs w:val="21"/>
                <w:highlight w:val="none"/>
              </w:rPr>
              <w:t>（2）向</w:t>
            </w:r>
            <w:r>
              <w:rPr>
                <w:rFonts w:ascii="宋体" w:hAnsi="宋体" w:cs="宋体" w:hint="eastAsia"/>
                <w:iCs/>
                <w:szCs w:val="21"/>
                <w:highlight w:val="none"/>
                <w:u w:val="single"/>
              </w:rPr>
              <w:t xml:space="preserve">                    </w:t>
            </w:r>
            <w:r>
              <w:rPr>
                <w:rFonts w:ascii="宋体" w:hAnsi="宋体" w:cs="宋体" w:hint="eastAsia"/>
                <w:iCs/>
                <w:szCs w:val="21"/>
                <w:highlight w:val="none"/>
              </w:rPr>
              <w:t>人民法院起诉。</w:t>
            </w:r>
          </w:p>
        </w:tc>
      </w:tr>
      <w:tr>
        <w:tblPrEx>
          <w:tblW w:w="8519" w:type="dxa"/>
          <w:tblInd w:w="108" w:type="dxa"/>
          <w:tblLayout w:type="fixed"/>
          <w:tblCellMar>
            <w:top w:w="0" w:type="dxa"/>
            <w:left w:w="108" w:type="dxa"/>
            <w:bottom w:w="0" w:type="dxa"/>
            <w:right w:w="108" w:type="dxa"/>
          </w:tblCellMar>
        </w:tblPrEx>
        <w:trPr>
          <w:trHeight w:val="770"/>
        </w:trPr>
        <w:tc>
          <w:tcPr>
            <w:tcW w:w="1607" w:type="dxa"/>
            <w:noWrap w:val="0"/>
            <w:vAlign w:val="center"/>
          </w:tcPr>
          <w:p>
            <w:pPr>
              <w:adjustRightInd w:val="0"/>
              <w:snapToGrid w:val="0"/>
              <w:jc w:val="center"/>
              <w:rPr>
                <w:rFonts w:ascii="宋体" w:hAnsi="宋体"/>
                <w:szCs w:val="21"/>
                <w:highlight w:val="none"/>
              </w:rPr>
            </w:pPr>
            <w:r>
              <w:rPr>
                <w:rFonts w:ascii="宋体" w:hAnsi="宋体" w:hint="eastAsia"/>
                <w:szCs w:val="21"/>
                <w:highlight w:val="none"/>
              </w:rPr>
              <w:t>第二节</w:t>
            </w:r>
          </w:p>
          <w:p>
            <w:pPr>
              <w:adjustRightInd w:val="0"/>
              <w:snapToGrid w:val="0"/>
              <w:jc w:val="center"/>
              <w:rPr>
                <w:rFonts w:ascii="宋体" w:hAnsi="宋体"/>
                <w:szCs w:val="21"/>
                <w:highlight w:val="none"/>
              </w:rPr>
            </w:pPr>
            <w:r>
              <w:rPr>
                <w:rFonts w:ascii="宋体" w:hAnsi="宋体" w:hint="eastAsia"/>
                <w:szCs w:val="21"/>
                <w:highlight w:val="none"/>
              </w:rPr>
              <w:t>第23.1款</w:t>
            </w:r>
          </w:p>
        </w:tc>
        <w:tc>
          <w:tcPr>
            <w:tcW w:w="1742" w:type="dxa"/>
            <w:noWrap w:val="0"/>
            <w:vAlign w:val="center"/>
          </w:tcPr>
          <w:p>
            <w:pPr>
              <w:adjustRightInd w:val="0"/>
              <w:snapToGrid w:val="0"/>
              <w:jc w:val="left"/>
              <w:rPr>
                <w:rFonts w:ascii="宋体" w:hAnsi="宋体"/>
                <w:szCs w:val="21"/>
                <w:highlight w:val="none"/>
              </w:rPr>
            </w:pPr>
            <w:r>
              <w:rPr>
                <w:rFonts w:ascii="宋体" w:hAnsi="宋体" w:hint="eastAsia"/>
                <w:bCs/>
                <w:szCs w:val="21"/>
                <w:highlight w:val="none"/>
              </w:rPr>
              <w:t>其他专用条款</w:t>
            </w:r>
          </w:p>
        </w:tc>
        <w:tc>
          <w:tcPr>
            <w:tcW w:w="5170" w:type="dxa"/>
            <w:noWrap w:val="0"/>
            <w:vAlign w:val="center"/>
          </w:tcPr>
          <w:p>
            <w:pPr>
              <w:adjustRightInd w:val="0"/>
              <w:snapToGrid w:val="0"/>
              <w:jc w:val="left"/>
              <w:rPr>
                <w:rFonts w:ascii="宋体" w:hAnsi="宋体"/>
                <w:szCs w:val="21"/>
                <w:highlight w:val="none"/>
              </w:rPr>
            </w:pPr>
          </w:p>
        </w:tc>
      </w:tr>
    </w:tbl>
    <w:p>
      <w:pPr>
        <w:rPr>
          <w:highlight w:val="none"/>
        </w:rPr>
      </w:pPr>
    </w:p>
    <w:p>
      <w:pPr>
        <w:rPr>
          <w:b/>
          <w:bCs/>
          <w:sz w:val="44"/>
          <w:szCs w:val="44"/>
          <w:highlight w:val="none"/>
        </w:rPr>
      </w:pPr>
    </w:p>
    <w:p>
      <w:pPr>
        <w:rPr>
          <w:highlight w:val="none"/>
        </w:rPr>
      </w:pPr>
    </w:p>
    <w:p w:rsidR="00A77B3E"/>
    <w:p>
      <w:pPr>
        <w:numPr>
          <w:ilvl w:val="0"/>
          <w:numId w:val="5"/>
        </w:numPr>
        <w:spacing w:line="360" w:lineRule="auto"/>
        <w:ind w:firstLine="3066" w:firstLineChars="1460"/>
        <w:jc w:val="left"/>
        <w:rPr>
          <w:rFonts w:hint="eastAsia"/>
          <w:b/>
          <w:bCs/>
          <w:szCs w:val="21"/>
          <w:highlight w:val="none"/>
        </w:rPr>
      </w:pPr>
      <w:bookmarkEnd w:id="70"/>
    </w:p>
    <w:sectPr>
      <w:pgSz w:w="11906" w:h="16838"/>
      <w:pgMar w:top="1440" w:right="1800" w:bottom="1440" w:left="1800" w:header="851" w:footer="992" w:gutter="0"/>
      <w:cols w:num="1" w:space="425"/>
      <w:docGrid w:type="lines" w:linePitch="312" w:charSpace="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swiss"/>
    <w:pitch w:val="default"/>
    <w:sig w:usb0="80000287" w:usb1="2ACF3C50" w:usb2="00000016" w:usb3="00000000" w:csb0="0004001F" w:csb1="00000000"/>
  </w:font>
  <w:font w:name="Courier New">
    <w:panose1 w:val="02070309020205020404"/>
    <w:charset w:val="01"/>
    <w:family w:val="modern"/>
    <w:pitch w:val="default"/>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fixed"/>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panose1 w:val="02000000000000000000"/>
    <w:charset w:val="86"/>
    <w:family w:val="auto"/>
    <w:pitch w:val="default"/>
    <w:sig w:usb0="A00002BF" w:usb1="184F6CFA" w:usb2="00000012" w:usb3="00000000" w:csb0="00040001" w:csb1="00000000"/>
  </w:font>
  <w:font w:name="Verdana">
    <w:panose1 w:val="020B0604030504040204"/>
    <w:charset w:val="00"/>
    <w:family w:val="swiss"/>
    <w:pitch w:val="default"/>
    <w:sig w:usb0="A00006FF" w:usb1="4000205B" w:usb2="00000010" w:usb3="00000000" w:csb0="2000019F"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default"/>
    <w:sig w:usb0="00000287" w:usb1="080F0000" w:usb2="00000000" w:usb3="00000000" w:csb0="0004009F" w:csb1="DFD70000"/>
  </w:font>
  <w:font w:name="汉仪书宋二S">
    <w:altName w:val="Times New Roman"/>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8240"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7216" o:allowincell="f" filled="t"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1BB937ED"/>
    <w:multiLevelType w:val="multilevel"/>
    <w:tmpl w:val="1BB937ED"/>
    <w:lvl w:ilvl="0">
      <w:start w:val="1"/>
      <w:numFmt w:val="decimal"/>
      <w:lvlText w:val="%1"/>
      <w:lvlJc w:val="left"/>
      <w:pPr>
        <w:ind w:left="866" w:hanging="440"/>
      </w:pPr>
    </w:lvl>
    <w:lvl w:ilvl="1">
      <w:start w:val="1"/>
      <w:numFmt w:val="lowerLetter"/>
      <w:lvlText w:val="%2)"/>
      <w:lvlJc w:val="left"/>
      <w:pPr>
        <w:ind w:left="1306" w:hanging="440"/>
      </w:p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10">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2">
    <w:nsid w:val="53A08313"/>
    <w:multiLevelType w:val="singleLevel"/>
    <w:tmpl w:val="53A08313"/>
    <w:lvl w:ilvl="0">
      <w:start w:val="9"/>
      <w:numFmt w:val="chineseCounting"/>
      <w:suff w:val="space"/>
      <w:lvlText w:val="第%1章"/>
      <w:lvlJc w:val="left"/>
      <w:rPr>
        <w:rFonts w:hint="eastAsia"/>
      </w:rPr>
    </w:lvl>
  </w:abstractNum>
  <w:abstractNum w:abstractNumId="13">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9"/>
  </w:num>
  <w:num w:numId="5">
    <w:abstractNumId w:val="12"/>
  </w:num>
  <w:num w:numId="6">
    <w:abstractNumId w:val="13"/>
  </w:num>
  <w:num w:numId="7">
    <w:abstractNumId w:val="1"/>
  </w:num>
  <w:num w:numId="8">
    <w:abstractNumId w:val="5"/>
  </w:num>
  <w:num w:numId="9">
    <w:abstractNumId w:val="3"/>
  </w:num>
  <w:num w:numId="10">
    <w:abstractNumId w:val="2"/>
  </w:num>
  <w:num w:numId="11">
    <w:abstractNumId w:val="11"/>
  </w:num>
  <w:num w:numId="12">
    <w:abstractNumId w:val="0"/>
  </w:num>
  <w:num w:numId="13">
    <w:abstractNumId w:val="4"/>
  </w:num>
  <w:num w:numId="1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0562"/>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2858"/>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30E1"/>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6C95"/>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2E49"/>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5436"/>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customStyle="1" w:styleId="ListParagraph0">
    <w:name w:val="List Paragraph_0"/>
    <w:basedOn w:val="Normal"/>
    <w:pPr>
      <w:ind w:firstLine="420" w:firstLineChars="200"/>
    </w:pPr>
    <w:rPr>
      <w:rFonts w:ascii="Calibri" w:hAnsi="Calibri"/>
      <w:sz w:val="32"/>
      <w:szCs w:val="22"/>
    </w:rPr>
  </w:style>
  <w:style w:type="paragraph" w:customStyle="1" w:styleId="W">
    <w:name w:val="W表内"/>
    <w:basedOn w:val="Normal"/>
    <w:qFormat/>
    <w:pPr>
      <w:spacing w:line="240" w:lineRule="atLeast"/>
      <w:jc w:val="center"/>
    </w:pPr>
    <w:rPr>
      <w:rFonts w:eastAsia="仿宋_GB2312"/>
      <w:sz w:val="24"/>
      <w:szCs w:val="2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theme" Target="theme/theme1.xml" /><Relationship Id="rId9" Type="http://schemas.openxmlformats.org/officeDocument/2006/relationships/numbering" Target="numbering.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