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农业气候区划技术研发类2025年委托服务项目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ZQCD-25191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农业气候区划技术研发类2025年委托服务项目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ZQCD-25191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合同签订后12个月交付完毕，交付验收通过后，提供本项目成果1年免费质量保障服务。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2025年08月01日 00:00:00</w:t>
      </w:r>
      <w:bookmarkEnd w:id="26"/>
      <w:r>
        <w:rPr>
          <w:rFonts w:ascii="宋体" w:hint="eastAsia"/>
          <w:szCs w:val="21"/>
          <w:highlight w:val="none"/>
        </w:rPr>
        <w:t>至</w:t>
      </w:r>
      <w:bookmarkStart w:id="27" w:name="项目公告_signUpLastTime"/>
      <w:r>
        <w:rPr>
          <w:rFonts w:ascii="宋体" w:hint="eastAsia"/>
          <w:szCs w:val="21"/>
          <w:highlight w:val="none"/>
        </w:rPr>
        <w:t>2025年08月08日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2025年09月12日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王蕾</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010-58993464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国家气候中心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（1）标的：农业气候区划技术研发类2025年委托服务    ，属于农学研究服务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120.000000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120.000000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6"/>
        <w:gridCol w:w="304"/>
        <w:gridCol w:w="957"/>
        <w:gridCol w:w="304"/>
        <w:gridCol w:w="72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(9)</w:t>
            </w:r>
          </w:p>
        </w:tc>
        <w:tc>
          <w:tcPr/>
          <w:p>
            <w:r>
              <w:t>评审标准：</w:t>
            </w:r>
          </w:p>
          <w:p>
            <w:r>
              <w:t>1、投标人具有 ISO9001系列或同等质量管理体系认证；</w:t>
              <w:cr/>
              <w:t>2、投标人具有ISO27001信息安全管理体系认证；</w:t>
              <w:cr/>
              <w:t>3、投标人具有ISO20000信息技术服务管理体系认证。</w:t>
              <w:cr/>
              <w:t>每提供1个得3分，最高得9分。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每提供1份本项目同类软件开发项目合同得2分，最多得10分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每提供1份用户满意度证明得2分，最多得4分。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商务部分</w:t>
            </w:r>
          </w:p>
        </w:tc>
        <w:tc>
          <w:tcPr/>
          <w:p>
            <w:r>
              <w:t>技术自主研发能力（客观分）</w:t>
            </w:r>
          </w:p>
        </w:tc>
        <w:tc>
          <w:tcPr/>
          <w:p>
            <w:r>
              <w:t>勾选打分</w:t>
            </w:r>
            <w:r>
              <w:t>(5)</w:t>
            </w:r>
          </w:p>
        </w:tc>
        <w:tc>
          <w:tcPr/>
          <w:p>
            <w:r>
              <w:t>评审标准：</w:t>
            </w:r>
          </w:p>
          <w:p>
            <w:r>
              <w:t>每提供一个软件著作权登记证书、专利证书或1篇相关领域学术论文得1分，最多得5分。</w:t>
            </w:r>
          </w:p>
          <w:p>
            <w:r>
              <w:t>评审标准说明：</w:t>
            </w:r>
          </w:p>
          <w:p>
            <w:r>
              <w:t>投标人应具备相关领域的农业气候区划技术自主研发能力，应提供截止到本招标公告发出之前有效的中华人民共和国版权局颁发的软件著作权登记证书、专利证书或公开发表的相关学术论文复印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勾选打分</w:t>
            </w:r>
            <w:r>
              <w:t>(10)</w:t>
            </w:r>
          </w:p>
        </w:tc>
        <w:tc>
          <w:tcPr/>
          <w:p>
            <w:r>
              <w:t>评审标准：</w:t>
            </w:r>
          </w:p>
          <w:p>
            <w:r>
              <w:t>投标人应组成本项目服务团队，团队组织结构清晰，应设服务团队负责人，人员专业背景齐全。具体如下：</w:t>
              <w:cr/>
              <w:t>1、项目负责人为投标人单位正式员工，在此基础上，项目负责人：①具备农业气象相关领域高级职称，②具有3年以上同类项目经验。每满足一项得2分，最高得4分。</w:t>
              <w:cr/>
              <w:t>2、除项目负责人外，项目团队应包含高级职称人员（需提供相关证书复印件及社保缴纳证明），每提供一份满足要求的证明，得1分，最多得2分。</w:t>
              <w:cr/>
              <w:t>3、投标人为该项目组建专门的项目实施团队，其中：（1）项目团队人员不少于8人；（2）团队具备农业气候/气象等相关专业知识背景的人员不少于5人。满足1项得2分，最高得4分。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技术研发服务计划（主观分）</w:t>
            </w:r>
          </w:p>
        </w:tc>
        <w:tc>
          <w:tcPr/>
          <w:p>
            <w:r>
              <w:t>勾选打分</w:t>
            </w:r>
            <w:r>
              <w:t>(3)</w:t>
            </w:r>
          </w:p>
        </w:tc>
        <w:tc>
          <w:tcPr/>
          <w:p>
            <w:r>
              <w:t>评审标准：</w:t>
            </w:r>
          </w:p>
          <w:p>
            <w:r>
              <w:t>一档0分</w:t>
              <w:cr/>
              <w:t>二档1分</w:t>
              <w:cr/>
              <w:t>三档2分</w:t>
              <w:cr/>
              <w:t>四档3分</w:t>
            </w:r>
          </w:p>
          <w:p>
            <w:r>
              <w:t>评审标准说明：</w:t>
            </w:r>
          </w:p>
          <w:p>
            <w:r>
              <w:t>根据投标人提供的项目执行计划进行评分。具体标准评分如下：</w:t>
              <w:cr/>
              <w:t>一档：未提供项目执行计划；</w:t>
              <w:cr/>
              <w:t>二档：项目执行计划有缺项，可行性较差，项目工作分解与人员安排合理性较差，里程碑设计较差；</w:t>
              <w:cr/>
              <w:t>三档：项目执行计划完整性有瑕疵，可行性一般，项目工作分解与人员安排较合理，里程碑设计较合理；</w:t>
              <w:cr/>
              <w:t>四档：项目执行计划完整可行，项目工作分解与人员安排合理，里程碑设计合理。</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(3)</w:t>
            </w:r>
          </w:p>
        </w:tc>
        <w:tc>
          <w:tcPr/>
          <w:p>
            <w:r>
              <w:t>评审标准：</w:t>
            </w:r>
          </w:p>
          <w:p>
            <w:r>
              <w:t>一档0分</w:t>
              <w:cr/>
              <w:t>二档1分</w:t>
              <w:cr/>
              <w:t>三档2分</w:t>
              <w:cr/>
              <w:t>四档3分</w:t>
            </w:r>
          </w:p>
          <w:p>
            <w:r>
              <w:t>评审标准说明：</w:t>
            </w:r>
          </w:p>
          <w:p>
            <w:r>
              <w:t>投标人应提供该项评审标准中要求的培训课时及培训人数的承诺，以及培训方案。具体标准评分如下：</w:t>
              <w:cr/>
              <w:t>一档：未同时提供承诺和培训方案；</w:t>
              <w:cr/>
              <w:t>二档：同时提供承诺和培训方案，但培训方案不完整（指缺失培训计划、培训材料、培训课表、主要授课教师介绍任意一项）；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根据投标人提供总体服务方案进行评分。具体评分标准如下：</w:t>
              <w:c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三档：售后服务方案完整，但针对性一般，没有建立合理的技术支持机构或技术支持小组，技术支持内容不明确，未提供质保期内的7×24小时电话技术支持和保修的承诺；</w:t>
              <w:cr/>
              <w:t>四档：提供售后服务方案，售后服务内容全面，流程清晰，响应及时；建立合理的技术支持团队，明确技术支持的内容,成立专门的技术支持小组，并提交书面承诺服务。</w:t>
            </w:r>
          </w:p>
          <w:p/>
        </w:tc>
      </w:tr>
      <w:tr>
        <w:tblPrEx>
          <w:tblW w:w="5000" w:type="pct"/>
          <w:tblCellMar>
            <w:left w:w="108" w:type="dxa"/>
            <w:right w:w="108" w:type="dxa"/>
          </w:tblCellMar>
        </w:tblPrEx>
        <w:tc>
          <w:tcPr/>
          <w:p>
            <w:r>
              <w:t>10</w:t>
            </w:r>
          </w:p>
        </w:tc>
        <w:tc>
          <w:tcPr>
            <w:vMerge/>
          </w:tcPr>
          <w:p>
            <w:r>
              <w:t>服务部分</w:t>
            </w:r>
          </w:p>
        </w:tc>
        <w:tc>
          <w:tcPr/>
          <w:p>
            <w:r>
              <w:t>项目需求分析（主观分）</w:t>
            </w:r>
          </w:p>
        </w:tc>
        <w:tc>
          <w:tcPr/>
          <w:p>
            <w:r>
              <w:t>勾选打分</w:t>
            </w:r>
            <w:r>
              <w:t>(2)</w:t>
            </w:r>
          </w:p>
        </w:tc>
        <w:tc>
          <w:tcPr/>
          <w:p>
            <w:r>
              <w:t>评审标准：</w:t>
            </w:r>
          </w:p>
          <w:p>
            <w:r>
              <w:t>一档0分</w:t>
              <w:cr/>
              <w:t>二档0.5分</w:t>
              <w:cr/>
              <w:t>三档1分</w:t>
              <w:cr/>
              <w:t>四档2分</w:t>
            </w:r>
          </w:p>
          <w:p>
            <w:r>
              <w:t>评审标准说明：</w:t>
            </w:r>
          </w:p>
          <w:p>
            <w:r>
              <w:t>提供项目各任务需求分析。具体评分标准如下：</w:t>
              <w:cr/>
              <w:t>一档：未提供项目需求分析；</w:t>
              <w:cr/>
              <w:t>二档：对项目范围和内容理解偏差较大，未抓住重点、难点，描述逻辑混乱，或不提供分析材料；</w:t>
              <w:cr/>
              <w:t>三档：对项目范围和内容及用户总体需求分析存在偏差，重点、难点不突出，描述不够清楚；</w:t>
              <w:cr/>
              <w:t>四档：对项目范围和内容理解清晰，对用户总体需求分析正确，重点、难点分析到位，问题描述清楚。</w:t>
            </w:r>
          </w:p>
          <w:p/>
        </w:tc>
      </w:tr>
      <w:tr>
        <w:tblPrEx>
          <w:tblW w:w="5000" w:type="pct"/>
          <w:tblCellMar>
            <w:left w:w="108" w:type="dxa"/>
            <w:right w:w="108" w:type="dxa"/>
          </w:tblCellMar>
        </w:tblPrEx>
        <w:tc>
          <w:tcPr/>
          <w:p>
            <w:r>
              <w:t>11</w:t>
            </w:r>
          </w:p>
        </w:tc>
        <w:tc>
          <w:tcPr>
            <w:vMerge/>
          </w:tcPr>
          <w:p>
            <w:r>
              <w:t>服务部分</w:t>
            </w:r>
          </w:p>
        </w:tc>
        <w:tc>
          <w:tcPr/>
          <w:p>
            <w:r>
              <w:t>总体技术方案（主观分）</w:t>
            </w:r>
          </w:p>
        </w:tc>
        <w:tc>
          <w:tcPr/>
          <w:p>
            <w:r>
              <w:t>勾选打分</w:t>
            </w:r>
            <w:r>
              <w:t>(3)</w:t>
            </w:r>
          </w:p>
        </w:tc>
        <w:tc>
          <w:tcPr/>
          <w:p>
            <w:r>
              <w:t>评审标准：</w:t>
            </w:r>
          </w:p>
          <w:p>
            <w:r>
              <w:t>一档0分</w:t>
              <w:cr/>
              <w:t>二档1分</w:t>
              <w:cr/>
              <w:t>三档2分</w:t>
              <w:cr/>
              <w:t>四档3分</w:t>
            </w:r>
          </w:p>
          <w:p>
            <w:r>
              <w:t>评审标准说明：</w:t>
            </w:r>
          </w:p>
          <w:p>
            <w:r>
              <w:t>依据招标人提供的设计约束条件，采用成熟、先进且可行的技术路线，具体评分标准如下：</w:t>
              <w:cr/>
              <w:t>一档：未提供总体技术方案；</w:t>
              <w:cr/>
              <w:t>二档：技术路线整体架构设计有一定合理性，但无针对性，功能不完整；</w:t>
              <w:cr/>
              <w:t>三档：技术路线整体架构设计基本合理可行，有一定针对性，功能完整；</w:t>
              <w:cr/>
              <w:t>四档：系技术路线整体架构设计合理可行，技术先进，功能完整，针对性强。</w:t>
            </w:r>
          </w:p>
          <w:p/>
        </w:tc>
      </w:tr>
      <w:tr>
        <w:tblPrEx>
          <w:tblW w:w="5000" w:type="pct"/>
          <w:tblCellMar>
            <w:left w:w="108" w:type="dxa"/>
            <w:right w:w="108" w:type="dxa"/>
          </w:tblCellMar>
        </w:tblPrEx>
        <w:tc>
          <w:tcPr/>
          <w:p>
            <w:r>
              <w:t>12</w:t>
            </w:r>
          </w:p>
        </w:tc>
        <w:tc>
          <w:tcPr>
            <w:vMerge/>
          </w:tcPr>
          <w:p>
            <w:r>
              <w:t>服务部分</w:t>
            </w:r>
          </w:p>
        </w:tc>
        <w:tc>
          <w:tcPr/>
          <w:p>
            <w:r>
              <w:t>技术研发方案（主观分）</w:t>
            </w:r>
          </w:p>
        </w:tc>
        <w:tc>
          <w:tcPr/>
          <w:p>
            <w:r>
              <w:t>区间打分</w:t>
            </w:r>
            <w:r>
              <w:t>(6)</w:t>
            </w:r>
          </w:p>
        </w:tc>
        <w:tc>
          <w:tcPr/>
          <w:p>
            <w:r>
              <w:t>评审标准：</w:t>
            </w:r>
          </w:p>
          <w:p>
            <w:r>
              <w:t>提交如下技术服务内容的研发方案</w:t>
              <w:cr/>
              <w:t>1、全国春玉米气候区划</w:t>
              <w:cr/>
              <w:t>2、全国苹果气候区划</w:t>
              <w:cr/>
              <w:t>3、气候经济效益区划</w:t>
              <w:cr/>
              <w:t>以上每个技术服务内容</w:t>
              <w:cr/>
              <w:t>一档0分</w:t>
              <w:cr/>
              <w:t>二档0.5分</w:t>
              <w:cr/>
              <w:t>三档1分</w:t>
              <w:cr/>
              <w:t>四档2分</w:t>
              <w:cr/>
              <w:t>以上共计3项技术服务内容，满分6分。</w:t>
            </w:r>
          </w:p>
          <w:p>
            <w:r>
              <w:t>评审标准说明：</w:t>
            </w:r>
          </w:p>
          <w:p>
            <w:r>
              <w:t>按照技术服务内容提出研发方案，每个技术服务内容评分标准如下：</w:t>
              <w:cr/>
              <w:t>一档：未提供技术研发方案；</w:t>
              <w:cr/>
              <w:t>二档：技术研发方案内容不完整，描述不清楚，仅提供了部分该分支业务的设计方案，未能全面覆盖技术流程；</w:t>
              <w:cr/>
              <w:t>三档：系统功能设计方案内容较完整，描述较清楚，设计方案较为基础，对某些特定业务技术细节描述不足，内容基本满足项目需求；</w:t>
              <w:cr/>
              <w:t>四档：技术研发方案内容完整、详实，描述清楚，针对项目的专业领域需求，提供针对性强且详细的技术体系和相关成果编制方案，完全满足采购需求。</w:t>
            </w:r>
          </w:p>
          <w:p/>
        </w:tc>
      </w:tr>
      <w:tr>
        <w:tblPrEx>
          <w:tblW w:w="5000" w:type="pct"/>
          <w:tblCellMar>
            <w:left w:w="108" w:type="dxa"/>
            <w:right w:w="108" w:type="dxa"/>
          </w:tblCellMar>
        </w:tblPrEx>
        <w:tc>
          <w:tcPr/>
          <w:p>
            <w:r>
              <w:t>13</w:t>
            </w:r>
          </w:p>
        </w:tc>
        <w:tc>
          <w:tcPr>
            <w:vMerge/>
          </w:tcPr>
          <w:p>
            <w:r>
              <w:t>服务部分</w:t>
            </w:r>
          </w:p>
        </w:tc>
        <w:tc>
          <w:tcPr/>
          <w:p>
            <w:r>
              <w:t>关键技术解决方案（主观分）</w:t>
            </w:r>
          </w:p>
        </w:tc>
        <w:tc>
          <w:tcPr/>
          <w:p>
            <w:r>
              <w:t>区间打分</w:t>
            </w:r>
            <w:r>
              <w:t>(15)</w:t>
            </w:r>
          </w:p>
        </w:tc>
        <w:tc>
          <w:tcPr/>
          <w:p>
            <w:r>
              <w:t>评审标准：</w:t>
            </w:r>
          </w:p>
          <w:p>
            <w:r>
              <w:t>请输入评提交如下技术服务内容的关键技术解决方案</w:t>
              <w:cr/>
              <w:t>1、全国春玉米气候区划</w:t>
              <w:cr/>
              <w:t>2、全国苹果气候区划</w:t>
              <w:cr/>
              <w:t>3、气候经济效益区划</w:t>
              <w:cr/>
              <w:t>以上每个技术服务内容</w:t>
              <w:cr/>
              <w:t>一档0分</w:t>
              <w:cr/>
              <w:t>二档1分</w:t>
              <w:cr/>
              <w:t>三档3分</w:t>
              <w:cr/>
              <w:t>四档5分</w:t>
              <w:cr/>
              <w:t>以上共计3个技术服务内容，满分15分。</w:t>
            </w:r>
          </w:p>
          <w:p>
            <w:r>
              <w:t>评审标准说明：</w:t>
            </w:r>
          </w:p>
          <w:p>
            <w:r>
              <w:t>按照技术服务内容提出关键技术解决方案，每个技术服务内容评分标准如下：</w:t>
              <w:cr/>
              <w:t>一档：未提供关键技术解决方案；</w:t>
              <w:cr/>
              <w:t>二档：技术识别存在明显偏差，与业务需求匹配度较低，关键技术无法支撑核心业务场景；</w:t>
              <w:cr/>
              <w:t>三档：能识别主要技术需求，提出的解决方案基本满足业务需求，但在技术先进性、创新性或可操作性方面存在局部不足；</w:t>
              <w:cr/>
              <w:t>四档：能精准识别项目核心关键技术，提出具有创新性的解决方案，技术路径科学严谨且可操作性强，技术方案能全面覆盖业务需求，关键技术选择合理且具备先进性，能够全面满足项目目标的技术要求。</w:t>
            </w:r>
          </w:p>
          <w:p/>
        </w:tc>
      </w:tr>
      <w:tr>
        <w:tblPrEx>
          <w:tblW w:w="5000" w:type="pct"/>
          <w:tblCellMar>
            <w:left w:w="108" w:type="dxa"/>
            <w:right w:w="108" w:type="dxa"/>
          </w:tblCellMar>
        </w:tblPrEx>
        <w:tc>
          <w:tcPr/>
          <w:p>
            <w:r>
              <w:t>14</w:t>
            </w:r>
          </w:p>
        </w:tc>
        <w:tc>
          <w:tcPr>
            <w:vMerge/>
          </w:tcPr>
          <w:p>
            <w:r>
              <w:t>服务部分</w:t>
            </w:r>
          </w:p>
        </w:tc>
        <w:tc>
          <w:tcPr/>
          <w:p>
            <w:r>
              <w:t>风险管理方案（主观分）</w:t>
            </w:r>
          </w:p>
        </w:tc>
        <w:tc>
          <w:tcPr/>
          <w:p>
            <w:r>
              <w:t>勾选打分</w:t>
            </w:r>
            <w:r>
              <w:t>(3)</w:t>
            </w:r>
          </w:p>
        </w:tc>
        <w:tc>
          <w:tcPr/>
          <w:p>
            <w:r>
              <w:t>评审标准：</w:t>
            </w:r>
          </w:p>
          <w:p>
            <w:r>
              <w:t>一档0分</w:t>
              <w:cr/>
              <w:t>二档1分</w:t>
              <w:cr/>
              <w:t>三档2分</w:t>
              <w:cr/>
              <w:t>四档3分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pStyle w:val="Heading1"/>
        <w:numPr>
          <w:ilvl w:val="0"/>
          <w:numId w:val="4"/>
        </w:numPr>
        <w:spacing w:before="100" w:beforeAutospacing="1" w:after="100" w:afterAutospacing="1" w:line="240" w:lineRule="auto"/>
        <w:rPr>
          <w:rFonts w:eastAsia="黑体"/>
          <w:sz w:val="32"/>
        </w:rPr>
      </w:pPr>
      <w:bookmarkStart w:id="59" w:name="_Toc198818649"/>
      <w:r>
        <w:rPr>
          <w:rFonts w:eastAsia="黑体" w:hint="eastAsia"/>
          <w:sz w:val="32"/>
        </w:rPr>
        <w:t>采购</w:t>
      </w:r>
      <w:r>
        <w:rPr>
          <w:rFonts w:eastAsia="黑体"/>
          <w:sz w:val="32"/>
        </w:rPr>
        <w:t>项目</w:t>
      </w:r>
      <w:bookmarkEnd w:id="59"/>
      <w:r>
        <w:rPr>
          <w:rFonts w:eastAsia="黑体" w:hint="eastAsia"/>
          <w:sz w:val="32"/>
        </w:rPr>
        <w:t>简介</w:t>
      </w:r>
    </w:p>
    <w:p>
      <w:pPr>
        <w:spacing w:line="360" w:lineRule="auto"/>
        <w:ind w:firstLine="480" w:firstLineChars="200"/>
      </w:pPr>
      <w:r>
        <w:rPr>
          <w:sz w:val="24"/>
        </w:rPr>
        <w:t>国家气候中心为进一步深化农业气候区划工作，指导农作物合理布局、优化种植结构、提高农业生产效益以及保障国家粮食安全，聚焦中国农业气候区划检验验证与指标调整、全国春玉米</w:t>
      </w:r>
      <w:r>
        <w:rPr>
          <w:rFonts w:hint="eastAsia"/>
          <w:sz w:val="24"/>
        </w:rPr>
        <w:t>与苹果</w:t>
      </w:r>
      <w:r>
        <w:rPr>
          <w:sz w:val="24"/>
        </w:rPr>
        <w:t>气候区划、山东省夏玉米</w:t>
      </w:r>
      <w:r>
        <w:rPr>
          <w:rFonts w:hint="eastAsia"/>
          <w:sz w:val="24"/>
        </w:rPr>
        <w:t>与</w:t>
      </w:r>
      <w:r>
        <w:rPr>
          <w:sz w:val="24"/>
        </w:rPr>
        <w:t>冬小麦气候经济效益区划需求，结合农业气候资源普查数据和多源观测资料，研发覆盖种植、产量、品质、病虫害、气象灾害的技术方法体系，提升区划成果的科学性、实用性和适应性，为农业气候资源普查向常态化、业务化应用转化奠定基础。</w:t>
      </w:r>
    </w:p>
    <w:p>
      <w:pPr>
        <w:pStyle w:val="Heading1"/>
        <w:tabs>
          <w:tab w:val="left" w:pos="360"/>
        </w:tabs>
        <w:spacing w:before="100" w:beforeAutospacing="1" w:after="100" w:afterAutospacing="1" w:line="240" w:lineRule="auto"/>
        <w:rPr>
          <w:rFonts w:eastAsia="黑体"/>
          <w:sz w:val="32"/>
        </w:rPr>
      </w:pPr>
      <w:bookmarkStart w:id="60" w:name="_Toc198818650"/>
      <w:r>
        <w:rPr>
          <w:rFonts w:eastAsia="黑体"/>
          <w:sz w:val="32"/>
        </w:rPr>
        <w:t>2.</w:t>
      </w:r>
      <w:r>
        <w:rPr>
          <w:rFonts w:eastAsia="黑体"/>
          <w:sz w:val="32"/>
        </w:rPr>
        <w:tab/>
      </w:r>
      <w:r>
        <w:rPr>
          <w:rFonts w:eastAsia="黑体" w:hint="eastAsia"/>
          <w:sz w:val="32"/>
        </w:rPr>
        <w:t>项目</w:t>
      </w:r>
      <w:r>
        <w:rPr>
          <w:rFonts w:eastAsia="黑体"/>
          <w:sz w:val="32"/>
        </w:rPr>
        <w:t>建设目标</w:t>
      </w:r>
      <w:bookmarkEnd w:id="60"/>
    </w:p>
    <w:p>
      <w:pPr>
        <w:spacing w:line="360" w:lineRule="auto"/>
        <w:ind w:firstLine="480" w:firstLineChars="200"/>
      </w:pPr>
      <w:r>
        <w:rPr>
          <w:sz w:val="24"/>
        </w:rPr>
        <w:t>构建农业气候区划技术体系。完成中国农业气候区划检验验证与指标调整、全国春玉米气候区划、全国苹果气候区划、山东省夏玉米和冬小麦气候经济效益区划，为农业气候区划工作提供标准化、规范化的技术支撑；收集区划过程中产生的农业气候资源数据及农业生产相关数据，形成农业气候区划图件数据库，为农业气候区划的动态更新与应用提供数据基础；编制成果分析报告和技术总结报告，将区划成果应用于农业生产布局规划、农业气象灾害防御、农业保险理赔等实际工作中，为政策制定和产业规划提供科学依据。</w:t>
      </w:r>
    </w:p>
    <w:p>
      <w:pPr>
        <w:pStyle w:val="Heading1"/>
        <w:tabs>
          <w:tab w:val="left" w:pos="360"/>
        </w:tabs>
        <w:spacing w:before="100" w:beforeAutospacing="1" w:after="100" w:afterAutospacing="1" w:line="240" w:lineRule="auto"/>
        <w:rPr>
          <w:rFonts w:eastAsia="黑体"/>
          <w:sz w:val="32"/>
        </w:rPr>
      </w:pPr>
      <w:bookmarkStart w:id="61" w:name="_Toc198818651"/>
      <w:r>
        <w:rPr>
          <w:rFonts w:eastAsia="黑体"/>
          <w:sz w:val="32"/>
        </w:rPr>
        <w:t>3.</w:t>
      </w:r>
      <w:r>
        <w:rPr>
          <w:rFonts w:eastAsia="黑体"/>
          <w:sz w:val="32"/>
        </w:rPr>
        <w:tab/>
      </w:r>
      <w:r>
        <w:rPr>
          <w:rFonts w:eastAsia="黑体" w:hint="eastAsia"/>
          <w:sz w:val="32"/>
        </w:rPr>
        <w:t>项目</w:t>
      </w:r>
      <w:r>
        <w:rPr>
          <w:rFonts w:eastAsia="黑体"/>
          <w:sz w:val="32"/>
        </w:rPr>
        <w:t>建设内容</w:t>
      </w:r>
      <w:bookmarkEnd w:id="61"/>
    </w:p>
    <w:p>
      <w:pPr>
        <w:spacing w:line="360" w:lineRule="auto"/>
        <w:ind w:firstLine="480" w:firstLineChars="200"/>
      </w:pPr>
      <w:r>
        <w:rPr>
          <w:sz w:val="24"/>
        </w:rPr>
        <w:t>本项目建设内容</w:t>
      </w:r>
      <w:r>
        <w:rPr>
          <w:rFonts w:hint="eastAsia"/>
          <w:sz w:val="24"/>
        </w:rPr>
        <w:t>包括：</w:t>
      </w:r>
      <w:r>
        <w:rPr>
          <w:sz w:val="24"/>
        </w:rPr>
        <w:t>中国农业气候区划检验验证与指标调整、全国春玉米</w:t>
      </w:r>
      <w:r>
        <w:rPr>
          <w:rFonts w:hint="eastAsia"/>
          <w:sz w:val="24"/>
        </w:rPr>
        <w:t>种植</w:t>
      </w:r>
      <w:r>
        <w:rPr>
          <w:sz w:val="24"/>
        </w:rPr>
        <w:t>气候区划、全国春玉米产量气候区划、全国春玉米</w:t>
      </w:r>
      <w:r>
        <w:rPr>
          <w:rFonts w:hint="eastAsia"/>
          <w:sz w:val="24"/>
        </w:rPr>
        <w:t>品质</w:t>
      </w:r>
      <w:r>
        <w:rPr>
          <w:sz w:val="24"/>
        </w:rPr>
        <w:t>气候区划、全国春玉米</w:t>
      </w:r>
      <w:r>
        <w:rPr>
          <w:rFonts w:hint="eastAsia"/>
          <w:sz w:val="24"/>
        </w:rPr>
        <w:t>主要气象灾害</w:t>
      </w:r>
      <w:r>
        <w:rPr>
          <w:sz w:val="24"/>
        </w:rPr>
        <w:t>气候区划、全国春玉米</w:t>
      </w:r>
      <w:r>
        <w:rPr>
          <w:rFonts w:hint="eastAsia"/>
          <w:sz w:val="24"/>
        </w:rPr>
        <w:t>病虫害</w:t>
      </w:r>
      <w:r>
        <w:rPr>
          <w:sz w:val="24"/>
        </w:rPr>
        <w:t>气候区划、全国苹果产量气候区划、全国苹果品质气候区划、</w:t>
      </w:r>
      <w:bookmarkStart w:id="62" w:name="_Hlk198807520"/>
      <w:r>
        <w:rPr>
          <w:sz w:val="24"/>
        </w:rPr>
        <w:t>全国苹果</w:t>
      </w:r>
      <w:r>
        <w:rPr>
          <w:rFonts w:hint="eastAsia"/>
          <w:sz w:val="24"/>
        </w:rPr>
        <w:t>主要气象</w:t>
      </w:r>
      <w:r>
        <w:rPr>
          <w:sz w:val="24"/>
        </w:rPr>
        <w:t>灾害气候区划</w:t>
      </w:r>
      <w:bookmarkEnd w:id="62"/>
      <w:r>
        <w:rPr>
          <w:sz w:val="24"/>
        </w:rPr>
        <w:t>、全国苹果病虫害气候区划、全国苹果种植气候区划、山东省夏玉米经济效益气候区划、山东省冬小麦经济效益气候区划。</w:t>
      </w:r>
    </w:p>
    <w:p>
      <w:pPr>
        <w:spacing w:line="360" w:lineRule="auto"/>
        <w:ind w:firstLine="480" w:firstLineChars="200"/>
      </w:pPr>
      <w:r>
        <w:rPr>
          <w:rFonts w:hint="eastAsia"/>
          <w:sz w:val="24"/>
        </w:rPr>
        <w:t>具体地，完成</w:t>
      </w:r>
      <w:r>
        <w:rPr>
          <w:sz w:val="24"/>
        </w:rPr>
        <w:t>编制农业气候大区三级区划技术规范、全国春玉米区划技术规范、全国苹果气候区划技术规范、山东省</w:t>
      </w:r>
      <w:r>
        <w:rPr>
          <w:rFonts w:hint="eastAsia"/>
          <w:sz w:val="24"/>
        </w:rPr>
        <w:t>冬小麦和春玉米</w:t>
      </w:r>
      <w:r>
        <w:rPr>
          <w:sz w:val="24"/>
        </w:rPr>
        <w:t>经济效益气候区划技术规范；建立</w:t>
      </w:r>
      <w:r>
        <w:rPr>
          <w:rFonts w:hint="eastAsia"/>
          <w:sz w:val="24"/>
        </w:rPr>
        <w:t>全国</w:t>
      </w:r>
      <w:r>
        <w:rPr>
          <w:sz w:val="24"/>
        </w:rPr>
        <w:t>春玉米、苹果气候区划和山东省冬小麦、夏玉米经济效益气候区划技术体系；收集区划过程中产生的农业气候资源数据及农业生产相关数据；绘制区划图，形成图件数据库；编制成果分析报告和技术总结报告，提交指标算法相关的技术文档</w:t>
      </w:r>
      <w:r>
        <w:rPr>
          <w:rFonts w:hint="eastAsia"/>
          <w:sz w:val="24"/>
        </w:rPr>
        <w:t>与程序代码</w:t>
      </w:r>
      <w:r>
        <w:rPr>
          <w:sz w:val="24"/>
        </w:rPr>
        <w:t>；开展区划结果</w:t>
      </w:r>
      <w:r>
        <w:rPr>
          <w:rFonts w:hint="eastAsia"/>
          <w:sz w:val="24"/>
        </w:rPr>
        <w:t>检验验证与</w:t>
      </w:r>
      <w:r>
        <w:rPr>
          <w:sz w:val="24"/>
        </w:rPr>
        <w:t>应用推广，支撑政策与产业规划。</w:t>
      </w:r>
    </w:p>
    <w:p>
      <w:pPr>
        <w:pStyle w:val="Heading2"/>
        <w:tabs>
          <w:tab w:val="left" w:pos="576"/>
        </w:tabs>
        <w:spacing w:line="240" w:lineRule="auto"/>
        <w:ind w:left="576" w:hanging="576"/>
        <w:rPr>
          <w:rFonts w:ascii="Times New Roman" w:eastAsia="黑体" w:hAnsi="Times New Roman" w:cs="Times New Roman"/>
          <w:sz w:val="28"/>
          <w:szCs w:val="28"/>
        </w:rPr>
      </w:pPr>
      <w:bookmarkStart w:id="63" w:name="_Toc198818652"/>
      <w:r>
        <w:rPr>
          <w:rFonts w:ascii="Times New Roman" w:eastAsia="黑体" w:hAnsi="Times New Roman" w:cs="Times New Roman"/>
          <w:sz w:val="28"/>
          <w:szCs w:val="28"/>
        </w:rPr>
        <w:t>3.1.</w:t>
      </w:r>
      <w:r>
        <w:rPr>
          <w:rFonts w:ascii="Times New Roman" w:eastAsia="黑体" w:hAnsi="Times New Roman" w:cs="Times New Roman"/>
          <w:sz w:val="28"/>
          <w:szCs w:val="28"/>
        </w:rPr>
        <w:tab/>
      </w:r>
      <w:r>
        <w:rPr>
          <w:rFonts w:ascii="Times New Roman" w:eastAsia="黑体" w:hAnsi="Times New Roman" w:cs="Times New Roman"/>
          <w:sz w:val="28"/>
          <w:szCs w:val="28"/>
        </w:rPr>
        <w:t>中国农业气候区划检验验证与指标调整</w:t>
      </w:r>
      <w:bookmarkEnd w:id="63"/>
    </w:p>
    <w:p>
      <w:pPr>
        <w:spacing w:line="360" w:lineRule="auto"/>
        <w:ind w:firstLine="480" w:firstLineChars="200"/>
      </w:pPr>
      <w:r>
        <w:rPr>
          <w:sz w:val="24"/>
        </w:rPr>
        <w:t>进一步开展东部季风农业气候大区、西北干旱农业气候大区和青藏高寒农业气候大区区划结果的检验验证和指标调整工作。</w:t>
      </w:r>
    </w:p>
    <w:p>
      <w:pPr>
        <w:spacing w:line="360" w:lineRule="auto"/>
        <w:ind w:firstLine="480" w:firstLineChars="200"/>
      </w:pPr>
      <w:r>
        <w:rPr>
          <w:sz w:val="24"/>
        </w:rPr>
        <w:t>验证气候变化背景下东部季风农业气候大区变化，编写东部季风农业气候大区区划检验验证报告；建立东部季风农业气候大区区划指标修正规范，调整并验证东部季风农业气候三级区划指标体系，协助国家气候中心完成东部季风农业气候大区内三级区划图绘制。基于2024年国家气候中心完成的中国农业气候区划，进一步完善对西北干旱农业气候大区和青藏高寒农业气候大区区划的检验验证和指标调整。</w:t>
      </w:r>
    </w:p>
    <w:p>
      <w:pPr>
        <w:spacing w:line="360" w:lineRule="auto"/>
        <w:ind w:firstLine="480" w:firstLineChars="200"/>
      </w:pPr>
      <w:r>
        <w:rPr>
          <w:sz w:val="24"/>
        </w:rPr>
        <w:t>基于长时序遥感资料、统计资料、生产资料等，验证东部季风农业气候大区界限变化，基于2024年完成的中国农业气候资源区划结果、结合实际资料，提出区划指标体系修正原则与方法。编写东部季风农业气候大区区划指标修正规范和农业气候三级区划指标体系调整规范；依据修正规范与新指标体系，编写东部季风农业气候大区区划检验验证报告，协助绘制东部季风农业气候大区内三级区划图；通过实地考察、文献调研、专家咨询等明确西北干旱农业气候大区和青藏高寒农业气候大区的一、二、三级指标体系及其农业气候学意义，保证区划结果的科学性和合理性。</w:t>
      </w:r>
    </w:p>
    <w:p>
      <w:pPr>
        <w:pStyle w:val="Heading2"/>
        <w:tabs>
          <w:tab w:val="left" w:pos="576"/>
        </w:tabs>
        <w:spacing w:line="240" w:lineRule="auto"/>
        <w:ind w:left="576" w:hanging="576"/>
        <w:rPr>
          <w:rFonts w:ascii="Times New Roman" w:eastAsia="黑体" w:hAnsi="Times New Roman" w:cs="Times New Roman"/>
          <w:sz w:val="28"/>
          <w:szCs w:val="28"/>
        </w:rPr>
      </w:pPr>
      <w:bookmarkStart w:id="64" w:name="_Toc198818653"/>
      <w:r>
        <w:rPr>
          <w:rFonts w:ascii="Times New Roman" w:eastAsia="黑体" w:hAnsi="Times New Roman" w:cs="Times New Roman"/>
          <w:sz w:val="28"/>
          <w:szCs w:val="28"/>
        </w:rPr>
        <w:t>3.2.</w:t>
      </w:r>
      <w:r>
        <w:rPr>
          <w:rFonts w:ascii="Times New Roman" w:eastAsia="黑体" w:hAnsi="Times New Roman" w:cs="Times New Roman"/>
          <w:sz w:val="28"/>
          <w:szCs w:val="28"/>
        </w:rPr>
        <w:tab/>
      </w:r>
      <w:r>
        <w:rPr>
          <w:rFonts w:ascii="Times New Roman" w:eastAsia="黑体" w:hAnsi="Times New Roman" w:cs="Times New Roman"/>
          <w:sz w:val="28"/>
          <w:szCs w:val="28"/>
        </w:rPr>
        <w:t>全国春玉米气候区划</w:t>
      </w:r>
      <w:bookmarkEnd w:id="64"/>
    </w:p>
    <w:p>
      <w:pPr>
        <w:spacing w:line="360" w:lineRule="auto"/>
        <w:ind w:firstLine="480" w:firstLineChars="200"/>
      </w:pPr>
      <w:r>
        <w:rPr>
          <w:sz w:val="24"/>
        </w:rPr>
        <w:t>建立全国春玉米气候区划技术体系（包括产量气候</w:t>
      </w:r>
      <w:r>
        <w:rPr>
          <w:rFonts w:hint="eastAsia"/>
          <w:sz w:val="24"/>
        </w:rPr>
        <w:t>区划</w:t>
      </w:r>
      <w:r>
        <w:rPr>
          <w:sz w:val="24"/>
        </w:rPr>
        <w:t>、主要气象灾害</w:t>
      </w:r>
      <w:r>
        <w:rPr>
          <w:rFonts w:hint="eastAsia"/>
          <w:sz w:val="24"/>
        </w:rPr>
        <w:t>气候</w:t>
      </w:r>
      <w:r>
        <w:rPr>
          <w:sz w:val="24"/>
        </w:rPr>
        <w:t>区划、品质气候区划和</w:t>
      </w:r>
      <w:r>
        <w:rPr>
          <w:rFonts w:hint="eastAsia"/>
          <w:sz w:val="24"/>
        </w:rPr>
        <w:t>病虫害</w:t>
      </w:r>
      <w:r>
        <w:rPr>
          <w:sz w:val="24"/>
        </w:rPr>
        <w:t>气候区划技术流程和规范等）。</w:t>
      </w:r>
    </w:p>
    <w:p>
      <w:pPr>
        <w:spacing w:line="360" w:lineRule="auto"/>
        <w:ind w:firstLine="480" w:firstLineChars="200"/>
      </w:pPr>
      <w:r>
        <w:rPr>
          <w:sz w:val="24"/>
        </w:rPr>
        <w:t>编制精细化全国春玉米种植气候区划、产量气候区划、主要气象灾害区划、主要品质气候区划、主要病虫害气候区划图，并编写全国春玉米气候区划报告。</w:t>
      </w:r>
    </w:p>
    <w:p>
      <w:pPr>
        <w:pStyle w:val="Heading2"/>
        <w:tabs>
          <w:tab w:val="left" w:pos="576"/>
        </w:tabs>
        <w:spacing w:line="240" w:lineRule="auto"/>
        <w:ind w:left="576" w:hanging="576"/>
        <w:rPr>
          <w:rFonts w:ascii="Times New Roman" w:eastAsia="黑体" w:hAnsi="Times New Roman" w:cs="Times New Roman"/>
          <w:sz w:val="28"/>
          <w:szCs w:val="28"/>
        </w:rPr>
      </w:pPr>
      <w:bookmarkStart w:id="65" w:name="_Toc198818654"/>
      <w:r>
        <w:rPr>
          <w:rFonts w:ascii="Times New Roman" w:eastAsia="黑体" w:hAnsi="Times New Roman" w:cs="Times New Roman"/>
          <w:sz w:val="28"/>
          <w:szCs w:val="28"/>
        </w:rPr>
        <w:t>3.3.</w:t>
      </w:r>
      <w:r>
        <w:rPr>
          <w:rFonts w:ascii="Times New Roman" w:eastAsia="黑体" w:hAnsi="Times New Roman" w:cs="Times New Roman"/>
          <w:sz w:val="28"/>
          <w:szCs w:val="28"/>
        </w:rPr>
        <w:tab/>
      </w:r>
      <w:r>
        <w:rPr>
          <w:rFonts w:ascii="Times New Roman" w:eastAsia="黑体" w:hAnsi="Times New Roman" w:cs="Times New Roman"/>
          <w:sz w:val="28"/>
          <w:szCs w:val="28"/>
        </w:rPr>
        <w:t>全国苹果产量气候区划</w:t>
      </w:r>
      <w:bookmarkEnd w:id="65"/>
    </w:p>
    <w:p>
      <w:pPr>
        <w:spacing w:line="360" w:lineRule="auto"/>
        <w:ind w:firstLine="480" w:firstLineChars="200"/>
      </w:pPr>
      <w:r>
        <w:rPr>
          <w:sz w:val="24"/>
        </w:rPr>
        <w:t>建立全国苹果产量气候区划技术体系（包括苹果产量区划技术流程和规范），编制公里级全国苹果产量气候区划并组织全国苹果产量气候区划图的检验验证。编制全国苹果产量气候区划图集，编写全国苹果产量气候区划报告。</w:t>
      </w:r>
    </w:p>
    <w:p>
      <w:pPr>
        <w:spacing w:line="360" w:lineRule="auto"/>
        <w:ind w:firstLine="480" w:firstLineChars="200"/>
      </w:pPr>
      <w:r>
        <w:rPr>
          <w:sz w:val="24"/>
        </w:rPr>
        <w:t>基于校验良好的作物生长机理模型（STICS），对全国苹果产量进行模拟并进行产量分级区划。开展苹果气候区划方法和技术体系编制，编制苹果产量气候区划图集，并进行结果检验和指标修订。</w:t>
      </w:r>
    </w:p>
    <w:p>
      <w:pPr>
        <w:pStyle w:val="Heading2"/>
        <w:tabs>
          <w:tab w:val="left" w:pos="576"/>
        </w:tabs>
        <w:spacing w:line="240" w:lineRule="auto"/>
        <w:ind w:left="576" w:hanging="576"/>
        <w:rPr>
          <w:rFonts w:ascii="Times New Roman" w:eastAsia="黑体" w:hAnsi="Times New Roman" w:cs="Times New Roman"/>
          <w:sz w:val="28"/>
          <w:szCs w:val="28"/>
        </w:rPr>
      </w:pPr>
      <w:bookmarkStart w:id="66" w:name="_Toc198818655"/>
      <w:r>
        <w:rPr>
          <w:rFonts w:ascii="Times New Roman" w:eastAsia="黑体" w:hAnsi="Times New Roman" w:cs="Times New Roman"/>
          <w:sz w:val="28"/>
          <w:szCs w:val="28"/>
        </w:rPr>
        <w:t>3.4.</w:t>
      </w:r>
      <w:r>
        <w:rPr>
          <w:rFonts w:ascii="Times New Roman" w:eastAsia="黑体" w:hAnsi="Times New Roman" w:cs="Times New Roman"/>
          <w:sz w:val="28"/>
          <w:szCs w:val="28"/>
        </w:rPr>
        <w:tab/>
      </w:r>
      <w:r>
        <w:rPr>
          <w:rFonts w:ascii="Times New Roman" w:eastAsia="黑体" w:hAnsi="Times New Roman" w:cs="Times New Roman"/>
          <w:sz w:val="28"/>
          <w:szCs w:val="28"/>
        </w:rPr>
        <w:t>全国苹果品质气候区划</w:t>
      </w:r>
      <w:bookmarkEnd w:id="66"/>
    </w:p>
    <w:p>
      <w:pPr>
        <w:spacing w:line="360" w:lineRule="auto"/>
        <w:ind w:firstLine="480" w:firstLineChars="200"/>
      </w:pPr>
      <w:r>
        <w:rPr>
          <w:sz w:val="24"/>
        </w:rPr>
        <w:t>建立全国苹果气候品质区划技术体系（包括苹果品质区划技术流程和规范）。编制公里级全国苹果品质气候区划并完成全国苹果品质气候区划图的检验验证和指标调整。编制苹果气候区划分析报告。</w:t>
      </w:r>
    </w:p>
    <w:p>
      <w:pPr>
        <w:spacing w:line="360" w:lineRule="auto"/>
        <w:ind w:firstLine="480" w:firstLineChars="200"/>
      </w:pPr>
      <w:r>
        <w:rPr>
          <w:sz w:val="24"/>
        </w:rPr>
        <w:t>应用校验良好的STICS模型，对全国苹果品质主要指标可溶性固形物、可滴定酸、单果重和糖酸比进行模拟。根据鲜苹果（GB/T 10651-2008）国标等进行品质区划分级，并采用机器学习对各气象因子的相对贡献和作用阈值进行解析。规范苹果气候区划技术体系；编制苹果品质气候区划并对区划结果进行检验验证和指标调整；编写全国苹果品质气候区划分析报告。</w:t>
      </w:r>
    </w:p>
    <w:p>
      <w:pPr>
        <w:pStyle w:val="Heading2"/>
        <w:tabs>
          <w:tab w:val="left" w:pos="576"/>
        </w:tabs>
        <w:spacing w:line="240" w:lineRule="auto"/>
        <w:ind w:left="576" w:hanging="576"/>
        <w:rPr>
          <w:rFonts w:ascii="Times New Roman" w:eastAsia="黑体" w:hAnsi="Times New Roman" w:cs="Times New Roman"/>
          <w:sz w:val="28"/>
          <w:szCs w:val="28"/>
        </w:rPr>
      </w:pPr>
      <w:bookmarkStart w:id="67" w:name="_Toc198818656"/>
      <w:r>
        <w:rPr>
          <w:rFonts w:ascii="Times New Roman" w:eastAsia="黑体" w:hAnsi="Times New Roman" w:cs="Times New Roman"/>
          <w:sz w:val="28"/>
          <w:szCs w:val="28"/>
        </w:rPr>
        <w:t>3.5.</w:t>
      </w:r>
      <w:r>
        <w:rPr>
          <w:rFonts w:ascii="Times New Roman" w:eastAsia="黑体" w:hAnsi="Times New Roman" w:cs="Times New Roman"/>
          <w:sz w:val="28"/>
          <w:szCs w:val="28"/>
        </w:rPr>
        <w:tab/>
      </w:r>
      <w:r>
        <w:rPr>
          <w:rFonts w:ascii="Times New Roman" w:eastAsia="黑体" w:hAnsi="Times New Roman" w:cs="Times New Roman"/>
          <w:sz w:val="28"/>
          <w:szCs w:val="28"/>
        </w:rPr>
        <w:t>全国苹果晚霜冻灾害气候风险区划</w:t>
      </w:r>
      <w:bookmarkEnd w:id="67"/>
    </w:p>
    <w:p>
      <w:pPr>
        <w:spacing w:line="360" w:lineRule="auto"/>
        <w:ind w:firstLine="480" w:firstLineChars="200"/>
      </w:pPr>
      <w:r>
        <w:rPr>
          <w:sz w:val="24"/>
        </w:rPr>
        <w:t>建立全国苹果晚霜冻灾害风险区划技术体系（包括全国苹果晚霜冻灾害风险区划技术流程和规范）。编制公里级苹果晚霜冻灾害风险区划图集，完成全国苹果晚霜冻灾害风险区划图的精细化检验验证。</w:t>
      </w:r>
    </w:p>
    <w:p>
      <w:pPr>
        <w:spacing w:line="360" w:lineRule="auto"/>
        <w:ind w:firstLine="480" w:firstLineChars="200"/>
      </w:pPr>
      <w:r>
        <w:rPr>
          <w:sz w:val="24"/>
        </w:rPr>
        <w:t>利用多物候模型模拟苹果春季物候，构建综合考虑霜冻发生频率和强度的霜冻指标作为危险性指标；SPAM（Spatial Production Allocation Model）数据集提取的中国苹果种植区为暴露度指标；基于STICS模型模拟的苹果产量损失率为脆弱性指标，综合以上指标构建苹果晚霜冻灾害气候风险区划。绘制全国苹果晚霜冻灾害风险区划图集，编写全国苹果晚霜冻灾害风险区划分析报告。</w:t>
      </w:r>
    </w:p>
    <w:p>
      <w:pPr>
        <w:pStyle w:val="Heading2"/>
        <w:tabs>
          <w:tab w:val="left" w:pos="576"/>
        </w:tabs>
        <w:spacing w:line="240" w:lineRule="auto"/>
        <w:ind w:left="576" w:hanging="576"/>
        <w:rPr>
          <w:rFonts w:ascii="Times New Roman" w:eastAsia="黑体" w:hAnsi="Times New Roman" w:cs="Times New Roman"/>
          <w:sz w:val="28"/>
          <w:szCs w:val="28"/>
        </w:rPr>
      </w:pPr>
      <w:bookmarkStart w:id="68" w:name="_Toc198818657"/>
      <w:r>
        <w:rPr>
          <w:rFonts w:ascii="Times New Roman" w:eastAsia="黑体" w:hAnsi="Times New Roman" w:cs="Times New Roman"/>
          <w:sz w:val="28"/>
          <w:szCs w:val="28"/>
        </w:rPr>
        <w:t>3.6.</w:t>
      </w:r>
      <w:r>
        <w:rPr>
          <w:rFonts w:ascii="Times New Roman" w:eastAsia="黑体" w:hAnsi="Times New Roman" w:cs="Times New Roman"/>
          <w:sz w:val="28"/>
          <w:szCs w:val="28"/>
        </w:rPr>
        <w:tab/>
      </w:r>
      <w:r>
        <w:rPr>
          <w:rFonts w:ascii="Times New Roman" w:eastAsia="黑体" w:hAnsi="Times New Roman" w:cs="Times New Roman"/>
          <w:sz w:val="28"/>
          <w:szCs w:val="28"/>
        </w:rPr>
        <w:t>全国苹果主要病虫害气候区划</w:t>
      </w:r>
      <w:bookmarkEnd w:id="68"/>
    </w:p>
    <w:p>
      <w:pPr>
        <w:spacing w:line="360" w:lineRule="auto"/>
        <w:ind w:firstLine="480" w:firstLineChars="200"/>
      </w:pPr>
      <w:r>
        <w:rPr>
          <w:sz w:val="24"/>
        </w:rPr>
        <w:t>基于多物种分布模型（SDMs，species distribution models），对全国苹果主要病虫害—斑点落叶病（Alternaria leaf blotch，ALB）进行区划。建立苹果斑点落叶病气候区划技术体系，绘制公里级苹果斑点落叶病气候区划图集，完成全国苹果斑点落叶病气候区划结果的检验验证。</w:t>
      </w:r>
    </w:p>
    <w:p>
      <w:pPr>
        <w:spacing w:line="360" w:lineRule="auto"/>
        <w:ind w:firstLine="480" w:firstLineChars="200"/>
      </w:pPr>
      <w:r>
        <w:rPr>
          <w:sz w:val="24"/>
        </w:rPr>
        <w:t>建立全国苹果主要病虫害气候区划技术体系；绘制全国苹果主要病虫害气候区划图集并对区划结果进行检验验证；编制全国苹果主要病虫害气候区划分析报告。</w:t>
      </w:r>
    </w:p>
    <w:p>
      <w:pPr>
        <w:pStyle w:val="Heading2"/>
        <w:tabs>
          <w:tab w:val="left" w:pos="576"/>
        </w:tabs>
        <w:spacing w:line="240" w:lineRule="auto"/>
        <w:ind w:left="576" w:hanging="576"/>
        <w:rPr>
          <w:rFonts w:ascii="Times New Roman" w:eastAsia="黑体" w:hAnsi="Times New Roman" w:cs="Times New Roman"/>
          <w:sz w:val="28"/>
          <w:szCs w:val="28"/>
        </w:rPr>
      </w:pPr>
      <w:bookmarkStart w:id="69" w:name="_Toc198818658"/>
      <w:r>
        <w:rPr>
          <w:rFonts w:ascii="Times New Roman" w:eastAsia="黑体" w:hAnsi="Times New Roman" w:cs="Times New Roman"/>
          <w:sz w:val="28"/>
          <w:szCs w:val="28"/>
        </w:rPr>
        <w:t>3.</w:t>
      </w:r>
      <w:r>
        <w:rPr>
          <w:rFonts w:ascii="Times New Roman" w:eastAsia="黑体" w:hAnsi="Times New Roman" w:cs="Times New Roman" w:hint="eastAsia"/>
          <w:sz w:val="28"/>
          <w:szCs w:val="28"/>
        </w:rPr>
        <w:t>7</w:t>
      </w:r>
      <w:r>
        <w:rPr>
          <w:rFonts w:ascii="Times New Roman" w:eastAsia="黑体" w:hAnsi="Times New Roman" w:cs="Times New Roman"/>
          <w:sz w:val="28"/>
          <w:szCs w:val="28"/>
        </w:rPr>
        <w:t>.</w:t>
      </w:r>
      <w:r>
        <w:rPr>
          <w:rFonts w:ascii="Times New Roman" w:eastAsia="黑体" w:hAnsi="Times New Roman" w:cs="Times New Roman"/>
          <w:sz w:val="28"/>
          <w:szCs w:val="28"/>
        </w:rPr>
        <w:tab/>
      </w:r>
      <w:r>
        <w:rPr>
          <w:rFonts w:ascii="Times New Roman" w:eastAsia="黑体" w:hAnsi="Times New Roman" w:cs="Times New Roman"/>
          <w:sz w:val="28"/>
          <w:szCs w:val="28"/>
        </w:rPr>
        <w:t>全国苹果种植气候区划</w:t>
      </w:r>
      <w:bookmarkEnd w:id="69"/>
    </w:p>
    <w:p>
      <w:pPr>
        <w:spacing w:line="360" w:lineRule="auto"/>
        <w:ind w:firstLine="480" w:firstLineChars="200"/>
      </w:pPr>
      <w:r>
        <w:rPr>
          <w:sz w:val="24"/>
        </w:rPr>
        <w:t>绘制公里级全国苹果种植气候区划图集，并对区划结果进行检验验证，编写苹果种植气候区划分析报告。</w:t>
      </w:r>
    </w:p>
    <w:p>
      <w:pPr>
        <w:spacing w:line="360" w:lineRule="auto"/>
        <w:ind w:firstLine="480" w:firstLineChars="200"/>
      </w:pPr>
      <w:r>
        <w:rPr>
          <w:sz w:val="24"/>
        </w:rPr>
        <w:t>根据陕西省苹果区划试点的苹果种植区划指标，基于SPAM温带果树数据集所提取的中国苹果种植区进行区划。编制苹果种植气候区划技术体系；绘制全国苹果种植气候区划图集并对区划结果进行检验验证。</w:t>
      </w:r>
    </w:p>
    <w:p>
      <w:pPr>
        <w:pStyle w:val="Heading2"/>
        <w:tabs>
          <w:tab w:val="left" w:pos="576"/>
        </w:tabs>
        <w:spacing w:line="240" w:lineRule="auto"/>
        <w:ind w:left="576" w:hanging="576"/>
        <w:rPr>
          <w:rFonts w:ascii="Times New Roman" w:eastAsia="黑体" w:hAnsi="Times New Roman" w:cs="Times New Roman"/>
          <w:sz w:val="28"/>
          <w:szCs w:val="28"/>
        </w:rPr>
      </w:pPr>
      <w:bookmarkStart w:id="70" w:name="_Toc198818659"/>
      <w:r>
        <w:rPr>
          <w:rFonts w:ascii="Times New Roman" w:eastAsia="黑体" w:hAnsi="Times New Roman" w:cs="Times New Roman"/>
          <w:sz w:val="28"/>
          <w:szCs w:val="28"/>
        </w:rPr>
        <w:t>3.8.</w:t>
      </w:r>
      <w:r>
        <w:rPr>
          <w:rFonts w:ascii="Times New Roman" w:eastAsia="黑体" w:hAnsi="Times New Roman" w:cs="Times New Roman"/>
          <w:sz w:val="28"/>
          <w:szCs w:val="28"/>
        </w:rPr>
        <w:tab/>
      </w:r>
      <w:r>
        <w:rPr>
          <w:rFonts w:ascii="Times New Roman" w:eastAsia="黑体" w:hAnsi="Times New Roman" w:cs="Times New Roman"/>
          <w:sz w:val="28"/>
          <w:szCs w:val="28"/>
        </w:rPr>
        <w:t>山东省夏玉米气候经济效益区划</w:t>
      </w:r>
      <w:bookmarkEnd w:id="70"/>
    </w:p>
    <w:p>
      <w:pPr>
        <w:spacing w:line="360" w:lineRule="auto"/>
        <w:ind w:firstLine="480" w:firstLineChars="200"/>
      </w:pPr>
      <w:r>
        <w:rPr>
          <w:sz w:val="24"/>
        </w:rPr>
        <w:t>开展试点区域夏玉米适宜种植分布范围调查、历年实际单产及最大单产收集、受灾范围及灾情调查、投入成本调查及夏玉米经济效益区划方法等。绘制山东省夏玉米气候经济效益区划图。</w:t>
      </w:r>
    </w:p>
    <w:p>
      <w:pPr>
        <w:pStyle w:val="Heading2"/>
        <w:tabs>
          <w:tab w:val="left" w:pos="576"/>
        </w:tabs>
        <w:spacing w:line="240" w:lineRule="auto"/>
        <w:ind w:left="576" w:hanging="576"/>
        <w:rPr>
          <w:rFonts w:ascii="Times New Roman" w:eastAsia="黑体" w:hAnsi="Times New Roman" w:cs="Times New Roman"/>
          <w:sz w:val="28"/>
          <w:szCs w:val="28"/>
        </w:rPr>
      </w:pPr>
      <w:bookmarkStart w:id="71" w:name="_Toc198818660"/>
      <w:r>
        <w:rPr>
          <w:rFonts w:ascii="Times New Roman" w:eastAsia="黑体" w:hAnsi="Times New Roman" w:cs="Times New Roman"/>
          <w:sz w:val="28"/>
          <w:szCs w:val="28"/>
        </w:rPr>
        <w:t>3.9.</w:t>
      </w:r>
      <w:r>
        <w:rPr>
          <w:rFonts w:ascii="Times New Roman" w:eastAsia="黑体" w:hAnsi="Times New Roman" w:cs="Times New Roman"/>
          <w:sz w:val="28"/>
          <w:szCs w:val="28"/>
        </w:rPr>
        <w:tab/>
      </w:r>
      <w:r>
        <w:rPr>
          <w:rFonts w:ascii="Times New Roman" w:eastAsia="黑体" w:hAnsi="Times New Roman" w:cs="Times New Roman"/>
          <w:sz w:val="28"/>
          <w:szCs w:val="28"/>
        </w:rPr>
        <w:t>山东省冬小麦气候经济效益区划</w:t>
      </w:r>
      <w:bookmarkEnd w:id="71"/>
    </w:p>
    <w:p>
      <w:pPr>
        <w:spacing w:line="360" w:lineRule="auto"/>
        <w:ind w:firstLine="480" w:firstLineChars="200"/>
      </w:pPr>
      <w:r>
        <w:rPr>
          <w:sz w:val="24"/>
        </w:rPr>
        <w:t>基于前期研究成果，进一步开展山东省冬小麦气候经济效益区划工作，主要内容包括山东省冬小麦适宜种植分布图、理论单产-实际单产-稳产系数计算、区划依据单产核算与验证、山东省冬小麦经济效益区划图及其经济效益核算与验证等。绘制山东省冬小麦气候经济效益区划图。</w:t>
      </w:r>
    </w:p>
    <w:p>
      <w:pPr>
        <w:pStyle w:val="Heading1"/>
        <w:tabs>
          <w:tab w:val="left" w:pos="360"/>
        </w:tabs>
        <w:spacing w:before="100" w:beforeAutospacing="1" w:after="100" w:afterAutospacing="1" w:line="240" w:lineRule="auto"/>
        <w:rPr>
          <w:rFonts w:eastAsia="黑体"/>
          <w:sz w:val="32"/>
        </w:rPr>
      </w:pPr>
      <w:bookmarkStart w:id="72" w:name="_Toc198818661"/>
      <w:r>
        <w:rPr>
          <w:rFonts w:eastAsia="黑体"/>
          <w:sz w:val="32"/>
        </w:rPr>
        <w:t>4.</w:t>
      </w:r>
      <w:r>
        <w:rPr>
          <w:rFonts w:eastAsia="黑体"/>
          <w:sz w:val="32"/>
        </w:rPr>
        <w:tab/>
      </w:r>
      <w:r>
        <w:rPr>
          <w:rFonts w:eastAsia="黑体"/>
          <w:sz w:val="32"/>
        </w:rPr>
        <w:t>总体要求</w:t>
      </w:r>
      <w:bookmarkEnd w:id="72"/>
    </w:p>
    <w:p>
      <w:pPr>
        <w:spacing w:line="360" w:lineRule="auto"/>
        <w:ind w:firstLine="480" w:firstLineChars="200"/>
      </w:pPr>
      <w:r>
        <w:rPr>
          <w:sz w:val="24"/>
        </w:rPr>
        <w:t>集中指导，分级负责。</w:t>
      </w:r>
      <w:r>
        <w:rPr>
          <w:rFonts w:hint="eastAsia"/>
          <w:sz w:val="24"/>
        </w:rPr>
        <w:t>中标方负责</w:t>
      </w:r>
      <w:r>
        <w:rPr>
          <w:sz w:val="24"/>
        </w:rPr>
        <w:t>全国春玉米、苹果气候区划工作，指导试点省市根据当地的气候、品种和栽培措施等进行作物气候区划、结果验证和成果应用。</w:t>
      </w:r>
    </w:p>
    <w:p>
      <w:pPr>
        <w:spacing w:line="360" w:lineRule="auto"/>
        <w:ind w:firstLine="480" w:firstLineChars="200"/>
      </w:pPr>
      <w:r>
        <w:rPr>
          <w:sz w:val="24"/>
        </w:rPr>
        <w:t>突出重点，分类施策。</w:t>
      </w:r>
      <w:r>
        <w:rPr>
          <w:rFonts w:hint="eastAsia"/>
          <w:sz w:val="24"/>
        </w:rPr>
        <w:t>中标方</w:t>
      </w:r>
      <w:r>
        <w:rPr>
          <w:sz w:val="24"/>
        </w:rPr>
        <w:t>按照中国气象局下发的技术要求，完成中国农业气候区划图的检验验证、指标调整；全国春玉米、苹果气候区划；经济效益区划等重点任务，并对技术组人员开展培训。</w:t>
      </w:r>
    </w:p>
    <w:p>
      <w:pPr>
        <w:spacing w:line="360" w:lineRule="auto"/>
        <w:ind w:firstLine="480" w:firstLineChars="200"/>
      </w:pPr>
      <w:r>
        <w:rPr>
          <w:sz w:val="24"/>
        </w:rPr>
        <w:t>统一标准，规范实施。</w:t>
      </w:r>
      <w:r>
        <w:rPr>
          <w:rFonts w:hint="eastAsia"/>
          <w:sz w:val="24"/>
        </w:rPr>
        <w:t>中标方</w:t>
      </w:r>
      <w:r>
        <w:rPr>
          <w:sz w:val="24"/>
        </w:rPr>
        <w:t>按照中国气象局的顶层设计，明确农业气候资源区划、全国农业气候区划试点及应用三项试点工作任务和要求，统一区划技术标准规范，确保工作按照统一的要求、统一的技术标准开展相关工作。</w:t>
      </w:r>
    </w:p>
    <w:p>
      <w:pPr>
        <w:spacing w:line="360" w:lineRule="auto"/>
        <w:ind w:firstLine="480" w:firstLineChars="200"/>
      </w:pPr>
      <w:r>
        <w:rPr>
          <w:sz w:val="24"/>
        </w:rPr>
        <w:t>统筹集约，避免重复。充分利用各地已开展的气象灾害普查成果、农业气候资源普查、农业气候区划的成果，统筹做好相关信息和数据的补充、更新和新增调查，避免不必要的重复工作。</w:t>
      </w:r>
    </w:p>
    <w:p>
      <w:pPr>
        <w:spacing w:line="360" w:lineRule="auto"/>
        <w:ind w:firstLine="480" w:firstLineChars="200"/>
      </w:pPr>
      <w:r>
        <w:rPr>
          <w:sz w:val="24"/>
        </w:rPr>
        <w:t>结果导向，强化应用。坚持边研究、边区划、边应用、边发挥效益的原则，完善精细化农业气候区划、全国春玉米和苹果气候区划、经济效益区划，为农业部门、重点行业用户等提供精准决策建议。</w:t>
      </w:r>
    </w:p>
    <w:p>
      <w:pPr>
        <w:pStyle w:val="Heading1"/>
        <w:tabs>
          <w:tab w:val="left" w:pos="360"/>
        </w:tabs>
        <w:spacing w:before="100" w:beforeAutospacing="1" w:after="100" w:afterAutospacing="1" w:line="240" w:lineRule="auto"/>
        <w:rPr>
          <w:rFonts w:eastAsia="黑体"/>
          <w:sz w:val="32"/>
        </w:rPr>
      </w:pPr>
      <w:bookmarkStart w:id="73" w:name="_Toc198818662"/>
      <w:r>
        <w:rPr>
          <w:rFonts w:eastAsia="黑体"/>
          <w:sz w:val="32"/>
        </w:rPr>
        <w:t>5.</w:t>
      </w:r>
      <w:r>
        <w:rPr>
          <w:rFonts w:eastAsia="黑体"/>
          <w:sz w:val="32"/>
        </w:rPr>
        <w:tab/>
      </w:r>
      <w:r>
        <w:rPr>
          <w:rFonts w:eastAsia="黑体"/>
          <w:sz w:val="32"/>
        </w:rPr>
        <w:t>技术服务要求</w:t>
      </w:r>
      <w:bookmarkEnd w:id="73"/>
    </w:p>
    <w:p>
      <w:pPr>
        <w:pStyle w:val="Heading2"/>
        <w:tabs>
          <w:tab w:val="left" w:pos="576"/>
        </w:tabs>
        <w:spacing w:line="240" w:lineRule="auto"/>
        <w:ind w:left="576" w:hanging="576"/>
        <w:rPr>
          <w:rFonts w:ascii="Times New Roman" w:eastAsia="黑体" w:hAnsi="Times New Roman" w:cs="Times New Roman"/>
          <w:sz w:val="28"/>
          <w:szCs w:val="28"/>
        </w:rPr>
      </w:pPr>
      <w:bookmarkStart w:id="74" w:name="_Toc198818663"/>
      <w:r>
        <w:rPr>
          <w:rFonts w:ascii="Times New Roman" w:eastAsia="黑体" w:hAnsi="Times New Roman" w:cs="Times New Roman"/>
          <w:sz w:val="28"/>
          <w:szCs w:val="28"/>
        </w:rPr>
        <w:t>5.1.</w:t>
      </w:r>
      <w:r>
        <w:rPr>
          <w:rFonts w:ascii="Times New Roman" w:eastAsia="黑体" w:hAnsi="Times New Roman" w:cs="Times New Roman"/>
          <w:sz w:val="28"/>
          <w:szCs w:val="28"/>
        </w:rPr>
        <w:tab/>
      </w:r>
      <w:r>
        <w:rPr>
          <w:rFonts w:ascii="Times New Roman" w:eastAsia="黑体" w:hAnsi="Times New Roman" w:cs="Times New Roman"/>
          <w:sz w:val="28"/>
          <w:szCs w:val="28"/>
        </w:rPr>
        <w:t>进度要求</w:t>
      </w:r>
      <w:bookmarkEnd w:id="74"/>
    </w:p>
    <w:p>
      <w:pPr>
        <w:spacing w:line="360" w:lineRule="auto"/>
        <w:ind w:firstLine="480" w:firstLineChars="200"/>
      </w:pPr>
      <w:r>
        <w:rPr>
          <w:sz w:val="24"/>
        </w:rPr>
        <w:t>本项目的进度要求按实施方案进行，主要包括构建区划技术体系、整理汇编农业气候区划结果、绘制农业气候区划图集与汇编气候区划报告、成果汇总及应用</w:t>
      </w:r>
      <w:r>
        <w:rPr>
          <w:rFonts w:hint="eastAsia"/>
          <w:sz w:val="24"/>
        </w:rPr>
        <w:t>四</w:t>
      </w:r>
      <w:r>
        <w:rPr>
          <w:sz w:val="24"/>
        </w:rPr>
        <w:t>个阶段</w:t>
      </w:r>
      <w:r>
        <w:rPr>
          <w:rFonts w:hint="eastAsia"/>
          <w:sz w:val="24"/>
        </w:rPr>
        <w:t>，本项目的总开发周期为12个月，任务下达（合同签署）后各阶段的进度要求如下所示：</w:t>
      </w:r>
    </w:p>
    <w:p>
      <w:pPr>
        <w:spacing w:line="360" w:lineRule="auto"/>
        <w:ind w:firstLine="480" w:firstLineChars="200"/>
      </w:pPr>
      <w:r>
        <w:rPr>
          <w:b/>
          <w:bCs/>
          <w:sz w:val="24"/>
        </w:rPr>
        <w:t>（</w:t>
      </w:r>
      <w:r>
        <w:rPr>
          <w:rFonts w:hint="eastAsia"/>
          <w:b/>
          <w:bCs/>
          <w:sz w:val="24"/>
        </w:rPr>
        <w:t>1</w:t>
      </w:r>
      <w:r>
        <w:rPr>
          <w:b/>
          <w:bCs/>
          <w:sz w:val="24"/>
        </w:rPr>
        <w:t>）</w:t>
      </w:r>
      <w:r>
        <w:rPr>
          <w:rFonts w:hint="eastAsia"/>
          <w:b/>
          <w:bCs/>
          <w:sz w:val="24"/>
        </w:rPr>
        <w:t>合同签订后第1个月，</w:t>
      </w:r>
      <w:r>
        <w:rPr>
          <w:b/>
          <w:bCs/>
          <w:sz w:val="24"/>
        </w:rPr>
        <w:t>构建区划技术体系。</w:t>
      </w:r>
      <w:r>
        <w:rPr>
          <w:sz w:val="24"/>
        </w:rPr>
        <w:t>组织成员建立东部季风农业气候大区区划修正规范，明确指标修正的目标、任务、内容及各级分工；建立全国春玉米气候区划技术体系，以便后续开展种植、产量、主要气象灾害、主要品质、病虫害气候区划与分析。梳理全国苹果气候区划技术体系，构建苹果气候区划（种植气候区划、产量气候区划、品质气候区划、主要气象灾害和病虫害气候区划）系列区划技术体系。编制经济效益区划技术规范，明确工作流程，收集夏玉米、冬小麦气候、生产相关数据。</w:t>
      </w:r>
    </w:p>
    <w:p>
      <w:pPr>
        <w:spacing w:line="360" w:lineRule="auto"/>
        <w:ind w:firstLine="480" w:firstLineChars="200"/>
      </w:pPr>
      <w:r>
        <w:rPr>
          <w:b/>
          <w:bCs/>
          <w:sz w:val="24"/>
        </w:rPr>
        <w:t>（</w:t>
      </w:r>
      <w:r>
        <w:rPr>
          <w:rFonts w:hint="eastAsia"/>
          <w:b/>
          <w:bCs/>
          <w:sz w:val="24"/>
        </w:rPr>
        <w:t>2</w:t>
      </w:r>
      <w:r>
        <w:rPr>
          <w:b/>
          <w:bCs/>
          <w:sz w:val="24"/>
        </w:rPr>
        <w:t>）</w:t>
      </w:r>
      <w:r>
        <w:rPr>
          <w:rFonts w:hint="eastAsia"/>
          <w:b/>
          <w:bCs/>
          <w:sz w:val="24"/>
        </w:rPr>
        <w:t>合同签订后第2</w:t>
      </w:r>
      <w:r>
        <w:rPr>
          <w:b/>
          <w:bCs/>
          <w:sz w:val="24"/>
        </w:rPr>
        <w:t>-4</w:t>
      </w:r>
      <w:r>
        <w:rPr>
          <w:rFonts w:hint="eastAsia"/>
          <w:b/>
          <w:bCs/>
          <w:sz w:val="24"/>
        </w:rPr>
        <w:t>个月，</w:t>
      </w:r>
      <w:r>
        <w:rPr>
          <w:b/>
          <w:bCs/>
          <w:sz w:val="24"/>
        </w:rPr>
        <w:t>整理汇编农业气候区划结果。</w:t>
      </w:r>
      <w:r>
        <w:rPr>
          <w:sz w:val="24"/>
        </w:rPr>
        <w:t>调整并修正东部季风农业气候大区三级区划指标体系，初步整理东部季风农业气候大区检验验证报告，完成东部季风农业气候区三级区划图编制；整理汇编全国苹果区划结果，按照专家组要求改进，对区划存在问题进行总结和整改，形成区划指标体系；按照技术规范完成夏玉米、冬小麦种植区划工作。</w:t>
      </w:r>
    </w:p>
    <w:p>
      <w:pPr>
        <w:spacing w:line="360" w:lineRule="auto"/>
        <w:ind w:firstLine="480" w:firstLineChars="200"/>
      </w:pPr>
      <w:r>
        <w:rPr>
          <w:b/>
          <w:bCs/>
          <w:sz w:val="24"/>
        </w:rPr>
        <w:t>（</w:t>
      </w:r>
      <w:r>
        <w:rPr>
          <w:rFonts w:hint="eastAsia"/>
          <w:b/>
          <w:bCs/>
          <w:sz w:val="24"/>
        </w:rPr>
        <w:t>3</w:t>
      </w:r>
      <w:r>
        <w:rPr>
          <w:b/>
          <w:bCs/>
          <w:sz w:val="24"/>
        </w:rPr>
        <w:t>）</w:t>
      </w:r>
      <w:r>
        <w:rPr>
          <w:rFonts w:hint="eastAsia"/>
          <w:b/>
          <w:bCs/>
          <w:sz w:val="24"/>
        </w:rPr>
        <w:t>合同签订后第</w:t>
      </w:r>
      <w:r>
        <w:rPr>
          <w:b/>
          <w:bCs/>
          <w:sz w:val="24"/>
        </w:rPr>
        <w:t>5-10</w:t>
      </w:r>
      <w:r>
        <w:rPr>
          <w:rFonts w:hint="eastAsia"/>
          <w:b/>
          <w:bCs/>
          <w:sz w:val="24"/>
        </w:rPr>
        <w:t>个月，</w:t>
      </w:r>
      <w:r>
        <w:rPr>
          <w:b/>
          <w:bCs/>
          <w:sz w:val="24"/>
        </w:rPr>
        <w:t>绘制农业气候区划图集，汇编气候区划报告。</w:t>
      </w:r>
      <w:r>
        <w:rPr>
          <w:sz w:val="24"/>
        </w:rPr>
        <w:t>初步整理全国春玉米气候区划分析报告，完成全国春玉米种植气候区划图、产量气候区划图、主要气象灾害区划图、品质气候区划图和玉米螟潜势气候区划图编制；根据全国苹果气候区划技术体系，绘制产量气候区划、品质气候区划、晚霜冻灾害区划、主要病虫害和种植气候区划图集，完成区划结果的检验验证，编写区划报告；按照技术规范完成夏玉米、冬小麦产量与效益计算工作，及夏玉米、冬小麦种植成本计算工作。</w:t>
      </w:r>
    </w:p>
    <w:p>
      <w:pPr>
        <w:spacing w:line="360" w:lineRule="auto"/>
        <w:ind w:firstLine="480" w:firstLineChars="200"/>
      </w:pPr>
      <w:r>
        <w:rPr>
          <w:b/>
          <w:bCs/>
          <w:sz w:val="24"/>
        </w:rPr>
        <w:t>（</w:t>
      </w:r>
      <w:r>
        <w:rPr>
          <w:rFonts w:hint="eastAsia"/>
          <w:b/>
          <w:bCs/>
          <w:sz w:val="24"/>
        </w:rPr>
        <w:t>4</w:t>
      </w:r>
      <w:r>
        <w:rPr>
          <w:b/>
          <w:bCs/>
          <w:sz w:val="24"/>
        </w:rPr>
        <w:t>）</w:t>
      </w:r>
      <w:r>
        <w:rPr>
          <w:rFonts w:hint="eastAsia"/>
          <w:b/>
          <w:bCs/>
          <w:sz w:val="24"/>
        </w:rPr>
        <w:t>合同签订后第1</w:t>
      </w:r>
      <w:r>
        <w:rPr>
          <w:b/>
          <w:bCs/>
          <w:sz w:val="24"/>
        </w:rPr>
        <w:t>1-12</w:t>
      </w:r>
      <w:r>
        <w:rPr>
          <w:rFonts w:hint="eastAsia"/>
          <w:b/>
          <w:bCs/>
          <w:sz w:val="24"/>
        </w:rPr>
        <w:t>个月，</w:t>
      </w:r>
      <w:r>
        <w:rPr>
          <w:b/>
          <w:bCs/>
          <w:sz w:val="24"/>
        </w:rPr>
        <w:t>成果汇总及应用。</w:t>
      </w:r>
      <w:r>
        <w:rPr>
          <w:sz w:val="24"/>
        </w:rPr>
        <w:t>汇总成果，总结经验，完成技术总结报告，提交有关数据与图集，形成可推广的农业气候区划基本范式。基于全国春玉米</w:t>
      </w:r>
      <w:r>
        <w:rPr>
          <w:rFonts w:hint="eastAsia"/>
          <w:sz w:val="24"/>
        </w:rPr>
        <w:t>、苹果</w:t>
      </w:r>
      <w:r>
        <w:rPr>
          <w:sz w:val="24"/>
        </w:rPr>
        <w:t>区划结果，面向主产省市县开展全国春玉米</w:t>
      </w:r>
      <w:r>
        <w:rPr>
          <w:rFonts w:hint="eastAsia"/>
          <w:sz w:val="24"/>
        </w:rPr>
        <w:t>、苹果</w:t>
      </w:r>
      <w:r>
        <w:rPr>
          <w:sz w:val="24"/>
        </w:rPr>
        <w:t>区划结果的检验与推广。</w:t>
      </w:r>
    </w:p>
    <w:p>
      <w:pPr>
        <w:pStyle w:val="Heading2"/>
        <w:tabs>
          <w:tab w:val="left" w:pos="576"/>
        </w:tabs>
        <w:spacing w:line="240" w:lineRule="auto"/>
        <w:ind w:left="576" w:hanging="576"/>
        <w:rPr>
          <w:rFonts w:ascii="Times New Roman" w:eastAsia="黑体" w:hAnsi="Times New Roman" w:cs="Times New Roman"/>
          <w:sz w:val="28"/>
          <w:szCs w:val="28"/>
        </w:rPr>
      </w:pPr>
      <w:bookmarkStart w:id="75" w:name="_Toc198818664"/>
      <w:r>
        <w:rPr>
          <w:rFonts w:ascii="Times New Roman" w:eastAsia="黑体" w:hAnsi="Times New Roman" w:cs="Times New Roman"/>
          <w:sz w:val="28"/>
          <w:szCs w:val="28"/>
        </w:rPr>
        <w:t>5.2.</w:t>
      </w:r>
      <w:r>
        <w:rPr>
          <w:rFonts w:ascii="Times New Roman" w:eastAsia="黑体" w:hAnsi="Times New Roman" w:cs="Times New Roman"/>
          <w:sz w:val="28"/>
          <w:szCs w:val="28"/>
        </w:rPr>
        <w:tab/>
      </w:r>
      <w:r>
        <w:rPr>
          <w:rFonts w:ascii="Times New Roman" w:eastAsia="黑体" w:hAnsi="Times New Roman" w:cs="Times New Roman"/>
          <w:sz w:val="28"/>
          <w:szCs w:val="28"/>
        </w:rPr>
        <w:t>项目交付物要求</w:t>
      </w:r>
      <w:bookmarkEnd w:id="75"/>
    </w:p>
    <w:p>
      <w:pPr>
        <w:spacing w:line="360" w:lineRule="auto"/>
        <w:ind w:firstLine="480" w:firstLineChars="200"/>
      </w:pPr>
      <w:r>
        <w:rPr>
          <w:sz w:val="24"/>
        </w:rPr>
        <w:t>按照技术</w:t>
      </w:r>
      <w:r>
        <w:rPr>
          <w:rFonts w:hint="eastAsia"/>
          <w:sz w:val="24"/>
        </w:rPr>
        <w:t>服务</w:t>
      </w:r>
      <w:r>
        <w:rPr>
          <w:sz w:val="24"/>
        </w:rPr>
        <w:t>规范</w:t>
      </w:r>
      <w:r>
        <w:rPr>
          <w:rFonts w:hint="eastAsia"/>
          <w:sz w:val="24"/>
        </w:rPr>
        <w:t>进行成果汇交，主要包括</w:t>
      </w:r>
      <w:r>
        <w:rPr>
          <w:sz w:val="24"/>
        </w:rPr>
        <w:t>：</w:t>
      </w:r>
    </w:p>
    <w:p>
      <w:pPr>
        <w:spacing w:line="360" w:lineRule="auto"/>
        <w:ind w:firstLine="480" w:firstLineChars="200"/>
      </w:pPr>
      <w:bookmarkStart w:id="76" w:name="_Hlk201260276"/>
      <w:r>
        <w:rPr>
          <w:rFonts w:hint="eastAsia"/>
          <w:sz w:val="24"/>
        </w:rPr>
        <w:t>（1）技术规范</w:t>
      </w:r>
    </w:p>
    <w:p>
      <w:pPr>
        <w:spacing w:line="360" w:lineRule="auto"/>
        <w:ind w:firstLine="480" w:firstLineChars="200"/>
      </w:pPr>
      <w:r>
        <w:rPr>
          <w:rFonts w:hint="eastAsia"/>
          <w:sz w:val="24"/>
        </w:rPr>
        <w:t>① 东部季风农业气候大区三级区划技术规范；</w:t>
      </w:r>
    </w:p>
    <w:p>
      <w:pPr>
        <w:spacing w:line="360" w:lineRule="auto"/>
        <w:ind w:firstLine="480" w:firstLineChars="200"/>
      </w:pPr>
      <w:r>
        <w:rPr>
          <w:rFonts w:hint="eastAsia"/>
          <w:sz w:val="24"/>
        </w:rPr>
        <w:t>② 全国春玉米种植气候区划、产量气候区划、品质气候区划、主要气象灾害和玉米螟潜势气候区划技术规范；</w:t>
      </w:r>
    </w:p>
    <w:p>
      <w:pPr>
        <w:spacing w:line="360" w:lineRule="auto"/>
        <w:ind w:firstLine="480" w:firstLineChars="200"/>
      </w:pPr>
      <w:r>
        <w:rPr>
          <w:rFonts w:hint="eastAsia"/>
          <w:sz w:val="24"/>
        </w:rPr>
        <w:t>③ 全国苹果种植气候区划、产量气候区划、品质气候区划、晚霜冻和主要病虫害气候区划技术规范；</w:t>
      </w:r>
    </w:p>
    <w:p>
      <w:pPr>
        <w:spacing w:line="360" w:lineRule="auto"/>
        <w:ind w:firstLine="480" w:firstLineChars="200"/>
      </w:pPr>
      <w:r>
        <w:rPr>
          <w:rFonts w:hint="eastAsia"/>
          <w:sz w:val="24"/>
        </w:rPr>
        <w:t>④ 山东省农业气候经济效益区划技术规范。</w:t>
      </w:r>
    </w:p>
    <w:p>
      <w:pPr>
        <w:spacing w:line="360" w:lineRule="auto"/>
        <w:ind w:firstLine="480" w:firstLineChars="200"/>
      </w:pPr>
      <w:r>
        <w:rPr>
          <w:rFonts w:hint="eastAsia"/>
          <w:sz w:val="24"/>
        </w:rPr>
        <w:t>（2）数据产品</w:t>
      </w:r>
    </w:p>
    <w:p>
      <w:pPr>
        <w:spacing w:line="360" w:lineRule="auto"/>
        <w:ind w:firstLine="480" w:firstLineChars="200"/>
      </w:pPr>
      <w:r>
        <w:rPr>
          <w:rFonts w:hint="eastAsia"/>
          <w:sz w:val="24"/>
        </w:rPr>
        <w:t>① 全国春玉米种植气候区划、产量气候区划、主要气象灾害气候区划、主要品质气候区划、玉米螟潜势气候区划过程中产生的过程数据；</w:t>
      </w:r>
    </w:p>
    <w:p>
      <w:pPr>
        <w:spacing w:line="360" w:lineRule="auto"/>
        <w:ind w:firstLine="480" w:firstLineChars="200"/>
      </w:pPr>
      <w:r>
        <w:rPr>
          <w:rFonts w:hint="eastAsia"/>
          <w:sz w:val="24"/>
        </w:rPr>
        <w:t>② 苹果种植品种、种植面积、产量、品质等农业生产数据集产品；</w:t>
      </w:r>
    </w:p>
    <w:p>
      <w:pPr>
        <w:spacing w:line="360" w:lineRule="auto"/>
        <w:ind w:firstLine="480" w:firstLineChars="200"/>
      </w:pPr>
      <w:r>
        <w:rPr>
          <w:rFonts w:hint="eastAsia"/>
          <w:sz w:val="24"/>
        </w:rPr>
        <w:t>③ 经济效益区划过程中产生的农业气候资源数据及农业生产相关数据；</w:t>
      </w:r>
    </w:p>
    <w:p>
      <w:pPr>
        <w:spacing w:line="360" w:lineRule="auto"/>
        <w:ind w:firstLine="480" w:firstLineChars="200"/>
      </w:pPr>
      <w:r>
        <w:rPr>
          <w:rFonts w:hint="eastAsia"/>
          <w:sz w:val="24"/>
        </w:rPr>
        <w:t>（3）图件成果</w:t>
      </w:r>
    </w:p>
    <w:p>
      <w:pPr>
        <w:spacing w:line="360" w:lineRule="auto"/>
        <w:ind w:firstLine="480" w:firstLineChars="200"/>
      </w:pPr>
      <w:r>
        <w:rPr>
          <w:rFonts w:hint="eastAsia"/>
          <w:sz w:val="24"/>
        </w:rPr>
        <w:t>① 东部季风农业气候大区三级区划图；</w:t>
      </w:r>
    </w:p>
    <w:p>
      <w:pPr>
        <w:spacing w:line="360" w:lineRule="auto"/>
        <w:ind w:firstLine="480" w:firstLineChars="200"/>
      </w:pPr>
      <w:r>
        <w:rPr>
          <w:rFonts w:hint="eastAsia"/>
          <w:sz w:val="24"/>
        </w:rPr>
        <w:t>② 全国春玉米种植气候区划图、产量气候区划图、主要气象灾害区划图、品质气候区划图和玉米螟潜势气候区划图；</w:t>
      </w:r>
    </w:p>
    <w:p>
      <w:pPr>
        <w:spacing w:line="360" w:lineRule="auto"/>
        <w:ind w:firstLine="480" w:firstLineChars="200"/>
      </w:pPr>
      <w:r>
        <w:rPr>
          <w:rFonts w:hint="eastAsia"/>
          <w:sz w:val="24"/>
        </w:rPr>
        <w:t>③ 全国苹果种植气候区划图、产量气候区划图、品质气候区划图、晚霜冻灾害区划图和主要病虫害气候区划图；</w:t>
      </w:r>
    </w:p>
    <w:p>
      <w:pPr>
        <w:spacing w:line="360" w:lineRule="auto"/>
        <w:ind w:firstLine="480" w:firstLineChars="200"/>
      </w:pPr>
      <w:r>
        <w:rPr>
          <w:rFonts w:hint="eastAsia"/>
          <w:sz w:val="24"/>
        </w:rPr>
        <w:t>④ 山东省冬小麦种植分布图、产量区划图和经济效益区划图及山东省夏玉米种植分布图、产量区划图和经济效益区划图。</w:t>
      </w:r>
    </w:p>
    <w:p>
      <w:pPr>
        <w:spacing w:line="360" w:lineRule="auto"/>
        <w:ind w:firstLine="480" w:firstLineChars="200"/>
      </w:pPr>
      <w:r>
        <w:rPr>
          <w:rFonts w:hint="eastAsia"/>
          <w:sz w:val="24"/>
        </w:rPr>
        <w:t>（4）文字报告</w:t>
      </w:r>
    </w:p>
    <w:p>
      <w:pPr>
        <w:spacing w:line="360" w:lineRule="auto"/>
        <w:ind w:firstLine="480" w:firstLineChars="200"/>
      </w:pPr>
      <w:r>
        <w:rPr>
          <w:rFonts w:hint="eastAsia"/>
          <w:sz w:val="24"/>
        </w:rPr>
        <w:t>① 全国春玉米气候区划成果分析报告和技术总结报告；</w:t>
      </w:r>
    </w:p>
    <w:p>
      <w:pPr>
        <w:spacing w:line="360" w:lineRule="auto"/>
        <w:ind w:firstLine="480" w:firstLineChars="200"/>
      </w:pPr>
      <w:r>
        <w:rPr>
          <w:rFonts w:hint="eastAsia"/>
          <w:sz w:val="24"/>
        </w:rPr>
        <w:t>② 全国苹果气候区划成果分析报告和技术总结报告；</w:t>
      </w:r>
    </w:p>
    <w:p>
      <w:pPr>
        <w:spacing w:line="360" w:lineRule="auto"/>
        <w:ind w:firstLine="480" w:firstLineChars="200"/>
      </w:pPr>
      <w:r>
        <w:rPr>
          <w:rFonts w:hint="eastAsia"/>
          <w:sz w:val="24"/>
        </w:rPr>
        <w:t>③ 山东省冬小麦、夏玉米经济效益区划成果分析报告和技术总结报告；</w:t>
      </w:r>
    </w:p>
    <w:bookmarkEnd w:id="76"/>
    <w:p>
      <w:pPr>
        <w:spacing w:line="360" w:lineRule="auto"/>
        <w:ind w:firstLine="480" w:firstLineChars="200"/>
        <w:rPr>
          <w:szCs w:val="20"/>
        </w:rPr>
      </w:pPr>
      <w:r>
        <w:rPr>
          <w:rFonts w:hint="eastAsia"/>
          <w:sz w:val="24"/>
        </w:rPr>
        <w:t>（</w:t>
      </w:r>
      <w:r>
        <w:rPr>
          <w:rFonts w:hint="eastAsia"/>
          <w:sz w:val="24"/>
          <w:szCs w:val="20"/>
        </w:rPr>
        <w:t>5</w:t>
      </w:r>
      <w:r>
        <w:rPr>
          <w:rFonts w:hint="eastAsia"/>
          <w:sz w:val="24"/>
        </w:rPr>
        <w:t>）</w:t>
      </w:r>
      <w:r>
        <w:rPr>
          <w:rFonts w:hint="eastAsia"/>
          <w:sz w:val="24"/>
          <w:szCs w:val="20"/>
        </w:rPr>
        <w:t>指标算法</w:t>
      </w:r>
    </w:p>
    <w:p>
      <w:pPr>
        <w:spacing w:line="360" w:lineRule="auto"/>
        <w:ind w:firstLine="480" w:firstLineChars="200"/>
      </w:pPr>
      <w:r>
        <w:rPr>
          <w:rFonts w:hint="eastAsia"/>
          <w:sz w:val="24"/>
        </w:rPr>
        <w:t xml:space="preserve">① </w:t>
      </w:r>
      <w:r>
        <w:rPr>
          <w:rFonts w:hint="eastAsia"/>
          <w:sz w:val="24"/>
          <w:szCs w:val="20"/>
        </w:rPr>
        <w:t>东部季风农业气候大区三级区划</w:t>
      </w:r>
      <w:r>
        <w:rPr>
          <w:rFonts w:hint="eastAsia"/>
          <w:sz w:val="24"/>
        </w:rPr>
        <w:t>指标描述、要素构成、计算公式相关的技术文档；</w:t>
      </w:r>
    </w:p>
    <w:p>
      <w:pPr>
        <w:spacing w:line="360" w:lineRule="auto"/>
        <w:ind w:firstLine="480" w:firstLineChars="200"/>
      </w:pPr>
      <w:r>
        <w:rPr>
          <w:rFonts w:hint="eastAsia"/>
          <w:sz w:val="24"/>
        </w:rPr>
        <w:t xml:space="preserve">② </w:t>
      </w:r>
      <w:r>
        <w:rPr>
          <w:rFonts w:hint="eastAsia"/>
          <w:sz w:val="24"/>
          <w:szCs w:val="20"/>
        </w:rPr>
        <w:t>全国春玉米种植气候区划、产量气候区划、主要气象灾害区划、品质气候区划和玉米螟潜势气候区划指标描述、要素构成、计算公式相关的技术文档</w:t>
      </w:r>
      <w:r>
        <w:rPr>
          <w:rFonts w:hint="eastAsia"/>
          <w:sz w:val="24"/>
        </w:rPr>
        <w:t>；</w:t>
      </w:r>
    </w:p>
    <w:p>
      <w:pPr>
        <w:spacing w:line="360" w:lineRule="auto"/>
        <w:ind w:firstLine="480" w:firstLineChars="200"/>
      </w:pPr>
      <w:r>
        <w:rPr>
          <w:rFonts w:hint="eastAsia"/>
          <w:sz w:val="24"/>
        </w:rPr>
        <w:t xml:space="preserve">③ </w:t>
      </w:r>
      <w:r>
        <w:rPr>
          <w:rFonts w:hint="eastAsia"/>
          <w:sz w:val="24"/>
          <w:szCs w:val="20"/>
        </w:rPr>
        <w:t>全国苹果种植气候区划、产量气候区划、品质气候区划、晚霜冻灾害区划和主要病虫害气候区划的指标描述、要素构成、计算公式相关的技术文档</w:t>
      </w:r>
      <w:r>
        <w:rPr>
          <w:rFonts w:hint="eastAsia"/>
          <w:sz w:val="24"/>
        </w:rPr>
        <w:t>；</w:t>
      </w:r>
    </w:p>
    <w:p>
      <w:pPr>
        <w:spacing w:line="360" w:lineRule="auto"/>
        <w:ind w:firstLine="480" w:firstLineChars="200"/>
      </w:pPr>
      <w:r>
        <w:rPr>
          <w:rFonts w:hint="eastAsia"/>
          <w:sz w:val="24"/>
        </w:rPr>
        <w:t xml:space="preserve">④ </w:t>
      </w:r>
      <w:r>
        <w:rPr>
          <w:rFonts w:hint="eastAsia"/>
          <w:sz w:val="24"/>
          <w:szCs w:val="20"/>
        </w:rPr>
        <w:t>山东省冬小麦、夏玉米经济效益区划单产的计算方法、成本效益计算方法，及经济效益气候区划指标描述、要素构成、计算公式等相关的技术文档</w:t>
      </w:r>
      <w:r>
        <w:rPr>
          <w:rFonts w:hint="eastAsia"/>
          <w:sz w:val="24"/>
        </w:rPr>
        <w:t>。</w:t>
      </w:r>
    </w:p>
    <w:p>
      <w:pPr>
        <w:pStyle w:val="Heading2"/>
        <w:tabs>
          <w:tab w:val="left" w:pos="576"/>
        </w:tabs>
        <w:spacing w:line="240" w:lineRule="auto"/>
        <w:ind w:left="576" w:hanging="576"/>
        <w:rPr>
          <w:rFonts w:ascii="Times New Roman" w:eastAsia="黑体" w:hAnsi="Times New Roman" w:cs="Times New Roman"/>
          <w:sz w:val="28"/>
          <w:szCs w:val="28"/>
        </w:rPr>
      </w:pPr>
      <w:bookmarkStart w:id="77" w:name="_Toc198818665"/>
      <w:r>
        <w:rPr>
          <w:rFonts w:ascii="Times New Roman" w:eastAsia="黑体" w:hAnsi="Times New Roman" w:cs="Times New Roman"/>
          <w:sz w:val="28"/>
          <w:szCs w:val="28"/>
        </w:rPr>
        <w:t>5.3.</w:t>
      </w:r>
      <w:r>
        <w:rPr>
          <w:rFonts w:ascii="Times New Roman" w:eastAsia="黑体" w:hAnsi="Times New Roman" w:cs="Times New Roman"/>
          <w:sz w:val="28"/>
          <w:szCs w:val="28"/>
        </w:rPr>
        <w:tab/>
      </w:r>
      <w:r>
        <w:rPr>
          <w:rFonts w:ascii="Times New Roman" w:eastAsia="黑体" w:hAnsi="Times New Roman" w:cs="Times New Roman"/>
          <w:sz w:val="28"/>
          <w:szCs w:val="28"/>
        </w:rPr>
        <w:t>项目组织与管理要求</w:t>
      </w:r>
      <w:bookmarkEnd w:id="77"/>
    </w:p>
    <w:p>
      <w:pPr>
        <w:spacing w:line="362" w:lineRule="auto"/>
        <w:ind w:right="112" w:firstLine="480"/>
        <w:rPr>
          <w:spacing w:val="-3"/>
          <w:lang w:val="zh-CN" w:bidi="zh-CN"/>
        </w:rPr>
      </w:pPr>
      <w:r>
        <w:rPr>
          <w:spacing w:val="-3"/>
          <w:sz w:val="24"/>
          <w:lang w:val="zh-CN" w:bidi="zh-CN"/>
        </w:rPr>
        <w:t>（1）提供</w:t>
      </w:r>
      <w:r>
        <w:rPr>
          <w:rFonts w:hint="eastAsia"/>
          <w:spacing w:val="-3"/>
          <w:sz w:val="24"/>
          <w:lang w:val="zh-CN" w:bidi="zh-CN"/>
        </w:rPr>
        <w:t>技术研发</w:t>
      </w:r>
      <w:r>
        <w:rPr>
          <w:spacing w:val="-3"/>
          <w:sz w:val="24"/>
          <w:lang w:val="zh-CN" w:bidi="zh-CN"/>
        </w:rPr>
        <w:t>实施进度计划并组织实施</w:t>
      </w:r>
    </w:p>
    <w:p>
      <w:pPr>
        <w:spacing w:line="362" w:lineRule="auto"/>
        <w:ind w:right="112" w:firstLine="480"/>
        <w:rPr>
          <w:spacing w:val="-3"/>
          <w:lang w:val="zh-CN" w:bidi="zh-CN"/>
        </w:rPr>
      </w:pPr>
      <w:r>
        <w:rPr>
          <w:spacing w:val="-3"/>
          <w:sz w:val="24"/>
          <w:lang w:val="zh-CN" w:bidi="zh-CN"/>
        </w:rPr>
        <w:t>1）</w:t>
      </w:r>
      <w:r>
        <w:rPr>
          <w:rFonts w:hint="eastAsia"/>
          <w:spacing w:val="-3"/>
          <w:sz w:val="24"/>
          <w:lang w:val="zh-CN" w:bidi="zh-CN"/>
        </w:rPr>
        <w:t>编制详细的区划技术研发实施方案</w:t>
      </w:r>
      <w:r>
        <w:rPr>
          <w:spacing w:val="-3"/>
          <w:sz w:val="24"/>
          <w:lang w:val="zh-CN" w:bidi="zh-CN"/>
        </w:rPr>
        <w:t>。</w:t>
      </w:r>
    </w:p>
    <w:p>
      <w:pPr>
        <w:spacing w:line="362" w:lineRule="auto"/>
        <w:ind w:right="112" w:firstLine="480"/>
        <w:rPr>
          <w:spacing w:val="-3"/>
          <w:lang w:val="zh-CN" w:bidi="zh-CN"/>
        </w:rPr>
      </w:pPr>
      <w:r>
        <w:rPr>
          <w:spacing w:val="-3"/>
          <w:sz w:val="24"/>
          <w:lang w:val="zh-CN" w:bidi="zh-CN"/>
        </w:rPr>
        <w:t>2）每</w:t>
      </w:r>
      <w:r>
        <w:rPr>
          <w:rFonts w:hint="eastAsia"/>
          <w:spacing w:val="-3"/>
          <w:sz w:val="24"/>
          <w:lang w:val="zh-CN" w:bidi="zh-CN"/>
        </w:rPr>
        <w:t>月</w:t>
      </w:r>
      <w:r>
        <w:rPr>
          <w:spacing w:val="-3"/>
          <w:sz w:val="24"/>
          <w:lang w:val="zh-CN" w:bidi="zh-CN"/>
        </w:rPr>
        <w:t>向采购人提供</w:t>
      </w:r>
      <w:r>
        <w:rPr>
          <w:rFonts w:hint="eastAsia"/>
          <w:spacing w:val="-3"/>
          <w:sz w:val="24"/>
          <w:lang w:val="zh-CN" w:bidi="zh-CN"/>
        </w:rPr>
        <w:t>研发</w:t>
      </w:r>
      <w:r>
        <w:rPr>
          <w:spacing w:val="-3"/>
          <w:sz w:val="24"/>
          <w:lang w:val="zh-CN" w:bidi="zh-CN"/>
        </w:rPr>
        <w:t>工作实施进展情况，并提出相关建议。</w:t>
      </w:r>
    </w:p>
    <w:p>
      <w:pPr>
        <w:spacing w:line="362" w:lineRule="auto"/>
        <w:ind w:right="112" w:firstLine="480"/>
        <w:rPr>
          <w:spacing w:val="-3"/>
          <w:lang w:val="zh-CN" w:bidi="zh-CN"/>
        </w:rPr>
      </w:pPr>
      <w:r>
        <w:rPr>
          <w:spacing w:val="-3"/>
          <w:sz w:val="24"/>
          <w:lang w:val="zh-CN" w:bidi="zh-CN"/>
        </w:rPr>
        <w:t>3）解决</w:t>
      </w:r>
      <w:r>
        <w:rPr>
          <w:rFonts w:hint="eastAsia"/>
          <w:spacing w:val="-3"/>
          <w:sz w:val="24"/>
          <w:lang w:val="zh-CN" w:bidi="zh-CN"/>
        </w:rPr>
        <w:t>技术研发</w:t>
      </w:r>
      <w:r>
        <w:rPr>
          <w:spacing w:val="-3"/>
          <w:sz w:val="24"/>
          <w:lang w:val="zh-CN" w:bidi="zh-CN"/>
        </w:rPr>
        <w:t>过程中出现的各种</w:t>
      </w:r>
      <w:r>
        <w:rPr>
          <w:rFonts w:hint="eastAsia"/>
          <w:spacing w:val="-3"/>
          <w:sz w:val="24"/>
          <w:lang w:val="zh-CN" w:bidi="zh-CN"/>
        </w:rPr>
        <w:t>科研</w:t>
      </w:r>
      <w:r>
        <w:rPr>
          <w:spacing w:val="-3"/>
          <w:sz w:val="24"/>
          <w:lang w:val="zh-CN" w:bidi="zh-CN"/>
        </w:rPr>
        <w:t>问题。</w:t>
      </w:r>
    </w:p>
    <w:p>
      <w:pPr>
        <w:spacing w:line="362" w:lineRule="auto"/>
        <w:ind w:right="112" w:firstLine="480"/>
        <w:rPr>
          <w:spacing w:val="-3"/>
          <w:lang w:val="zh-CN" w:bidi="zh-CN"/>
        </w:rPr>
      </w:pPr>
      <w:r>
        <w:rPr>
          <w:spacing w:val="-3"/>
          <w:sz w:val="24"/>
          <w:lang w:val="zh-CN" w:bidi="zh-CN"/>
        </w:rPr>
        <w:t>4）协助采购人处理</w:t>
      </w:r>
      <w:r>
        <w:rPr>
          <w:rFonts w:hint="eastAsia"/>
          <w:spacing w:val="-3"/>
          <w:sz w:val="24"/>
          <w:lang w:val="zh-CN" w:bidi="zh-CN"/>
        </w:rPr>
        <w:t>项目</w:t>
      </w:r>
      <w:r>
        <w:rPr>
          <w:spacing w:val="-3"/>
          <w:sz w:val="24"/>
          <w:lang w:val="zh-CN" w:bidi="zh-CN"/>
        </w:rPr>
        <w:t>实施过程中出现的</w:t>
      </w:r>
      <w:r>
        <w:rPr>
          <w:rFonts w:hint="eastAsia"/>
          <w:spacing w:val="-3"/>
          <w:sz w:val="24"/>
          <w:lang w:val="zh-CN" w:bidi="zh-CN"/>
        </w:rPr>
        <w:t>技术问题</w:t>
      </w:r>
      <w:r>
        <w:rPr>
          <w:spacing w:val="-3"/>
          <w:sz w:val="24"/>
          <w:lang w:val="zh-CN" w:bidi="zh-CN"/>
        </w:rPr>
        <w:t>。</w:t>
      </w:r>
    </w:p>
    <w:p>
      <w:pPr>
        <w:spacing w:line="362" w:lineRule="auto"/>
        <w:ind w:right="112" w:firstLine="480"/>
        <w:rPr>
          <w:spacing w:val="-3"/>
          <w:lang w:val="zh-CN" w:bidi="zh-CN"/>
        </w:rPr>
      </w:pPr>
      <w:r>
        <w:rPr>
          <w:spacing w:val="-3"/>
          <w:sz w:val="24"/>
          <w:lang w:val="zh-CN" w:bidi="zh-CN"/>
        </w:rPr>
        <w:t>5）当项目</w:t>
      </w:r>
      <w:r>
        <w:rPr>
          <w:rFonts w:hint="eastAsia"/>
          <w:spacing w:val="-3"/>
          <w:sz w:val="24"/>
          <w:lang w:val="zh-CN" w:bidi="zh-CN"/>
        </w:rPr>
        <w:t>研究过程</w:t>
      </w:r>
      <w:r>
        <w:rPr>
          <w:spacing w:val="-3"/>
          <w:sz w:val="24"/>
          <w:lang w:val="zh-CN" w:bidi="zh-CN"/>
        </w:rPr>
        <w:t>中出现变化时，要能及时做出调整。</w:t>
      </w:r>
    </w:p>
    <w:p>
      <w:pPr>
        <w:spacing w:line="362" w:lineRule="auto"/>
        <w:ind w:right="112" w:firstLine="480"/>
        <w:rPr>
          <w:spacing w:val="-3"/>
          <w:lang w:val="zh-CN" w:bidi="zh-CN"/>
        </w:rPr>
      </w:pPr>
      <w:r>
        <w:rPr>
          <w:spacing w:val="-3"/>
          <w:sz w:val="24"/>
          <w:lang w:val="zh-CN" w:bidi="zh-CN"/>
        </w:rPr>
        <w:t>6）要有规范的整体项目管理、项目质量管理和进度管理机制。</w:t>
      </w:r>
    </w:p>
    <w:p>
      <w:pPr>
        <w:spacing w:line="362" w:lineRule="auto"/>
        <w:ind w:right="112" w:firstLine="480"/>
        <w:rPr>
          <w:spacing w:val="-3"/>
          <w:lang w:val="zh-CN" w:bidi="zh-CN"/>
        </w:rPr>
      </w:pPr>
      <w:r>
        <w:rPr>
          <w:spacing w:val="-3"/>
          <w:sz w:val="24"/>
          <w:lang w:val="zh-CN" w:bidi="zh-CN"/>
        </w:rPr>
        <w:t>（2）进行项目</w:t>
      </w:r>
      <w:r>
        <w:rPr>
          <w:rFonts w:hint="eastAsia"/>
          <w:spacing w:val="-3"/>
          <w:sz w:val="24"/>
          <w:lang w:val="zh-CN" w:bidi="zh-CN"/>
        </w:rPr>
        <w:t>研</w:t>
      </w:r>
      <w:r>
        <w:rPr>
          <w:spacing w:val="-3"/>
          <w:sz w:val="24"/>
          <w:lang w:val="zh-CN" w:bidi="zh-CN"/>
        </w:rPr>
        <w:t>发的日常组织、管理、协调</w:t>
      </w:r>
    </w:p>
    <w:p>
      <w:pPr>
        <w:spacing w:line="362" w:lineRule="auto"/>
        <w:ind w:right="112" w:firstLine="480"/>
        <w:rPr>
          <w:spacing w:val="-3"/>
          <w:lang w:val="zh-CN" w:bidi="zh-CN"/>
        </w:rPr>
      </w:pPr>
      <w:r>
        <w:rPr>
          <w:spacing w:val="-3"/>
          <w:sz w:val="24"/>
          <w:lang w:val="zh-CN" w:bidi="zh-CN"/>
        </w:rPr>
        <w:t>1）参加采购人组织与项目</w:t>
      </w:r>
      <w:r>
        <w:rPr>
          <w:rFonts w:hint="eastAsia"/>
          <w:spacing w:val="-3"/>
          <w:sz w:val="24"/>
          <w:lang w:val="zh-CN" w:bidi="zh-CN"/>
        </w:rPr>
        <w:t>研发任务</w:t>
      </w:r>
      <w:r>
        <w:rPr>
          <w:spacing w:val="-3"/>
          <w:sz w:val="24"/>
          <w:lang w:val="zh-CN" w:bidi="zh-CN"/>
        </w:rPr>
        <w:t>有关的各类会议。</w:t>
      </w:r>
    </w:p>
    <w:p>
      <w:pPr>
        <w:spacing w:line="362" w:lineRule="auto"/>
        <w:ind w:right="112" w:firstLine="480"/>
        <w:rPr>
          <w:spacing w:val="-3"/>
          <w:lang w:val="zh-CN" w:bidi="zh-CN"/>
        </w:rPr>
      </w:pPr>
      <w:r>
        <w:rPr>
          <w:spacing w:val="-3"/>
          <w:sz w:val="24"/>
          <w:lang w:val="zh-CN" w:bidi="zh-CN"/>
        </w:rPr>
        <w:t>2）要遵循相应的项目管理规范，并有相应的项目管理文档。</w:t>
      </w:r>
    </w:p>
    <w:p>
      <w:pPr>
        <w:spacing w:line="362" w:lineRule="auto"/>
        <w:ind w:right="112" w:firstLine="480"/>
        <w:rPr>
          <w:spacing w:val="-3"/>
          <w:lang w:val="zh-CN" w:bidi="zh-CN"/>
        </w:rPr>
      </w:pPr>
      <w:r>
        <w:rPr>
          <w:spacing w:val="-3"/>
          <w:sz w:val="24"/>
          <w:lang w:val="zh-CN" w:bidi="zh-CN"/>
        </w:rPr>
        <w:t>3）对项目</w:t>
      </w:r>
      <w:r>
        <w:rPr>
          <w:rFonts w:hint="eastAsia"/>
          <w:spacing w:val="-3"/>
          <w:sz w:val="24"/>
          <w:lang w:val="zh-CN" w:bidi="zh-CN"/>
        </w:rPr>
        <w:t>研发</w:t>
      </w:r>
      <w:r>
        <w:rPr>
          <w:spacing w:val="-3"/>
          <w:sz w:val="24"/>
          <w:lang w:val="zh-CN" w:bidi="zh-CN"/>
        </w:rPr>
        <w:t>任务中出现的调整，要及时做出安排，并尊重采购人的安排。</w:t>
      </w:r>
    </w:p>
    <w:p>
      <w:pPr>
        <w:pStyle w:val="Heading2"/>
        <w:tabs>
          <w:tab w:val="left" w:pos="576"/>
        </w:tabs>
        <w:spacing w:line="240" w:lineRule="auto"/>
        <w:ind w:left="576" w:hanging="576"/>
        <w:rPr>
          <w:rFonts w:ascii="Times New Roman" w:eastAsia="黑体" w:hAnsi="Times New Roman" w:cs="Times New Roman"/>
          <w:sz w:val="28"/>
          <w:szCs w:val="28"/>
        </w:rPr>
      </w:pPr>
      <w:bookmarkStart w:id="78" w:name="_Toc198818666"/>
      <w:r>
        <w:rPr>
          <w:rFonts w:ascii="Times New Roman" w:eastAsia="黑体" w:hAnsi="Times New Roman" w:cs="Times New Roman"/>
          <w:sz w:val="28"/>
          <w:szCs w:val="28"/>
        </w:rPr>
        <w:t>5.4.</w:t>
      </w:r>
      <w:r>
        <w:rPr>
          <w:rFonts w:ascii="Times New Roman" w:eastAsia="黑体" w:hAnsi="Times New Roman" w:cs="Times New Roman"/>
          <w:sz w:val="28"/>
          <w:szCs w:val="28"/>
        </w:rPr>
        <w:tab/>
      </w:r>
      <w:r>
        <w:rPr>
          <w:rFonts w:ascii="Times New Roman" w:eastAsia="黑体" w:hAnsi="Times New Roman" w:cs="Times New Roman"/>
          <w:sz w:val="28"/>
          <w:szCs w:val="28"/>
        </w:rPr>
        <w:t>项目组人员及组织机构要求</w:t>
      </w:r>
      <w:bookmarkEnd w:id="78"/>
    </w:p>
    <w:p>
      <w:pPr>
        <w:spacing w:line="360" w:lineRule="auto"/>
        <w:ind w:firstLine="480" w:firstLineChars="200"/>
      </w:pPr>
      <w:r>
        <w:rPr>
          <w:sz w:val="24"/>
        </w:rPr>
        <w:t>承建方须成立</w:t>
      </w:r>
      <w:r>
        <w:rPr>
          <w:rFonts w:hint="eastAsia"/>
          <w:sz w:val="24"/>
        </w:rPr>
        <w:t>农业气候区划相关的技术组和专家组</w:t>
      </w:r>
      <w:r>
        <w:rPr>
          <w:sz w:val="24"/>
        </w:rPr>
        <w:t>，安排足够的高素质人才参加本项目工作</w:t>
      </w:r>
      <w:r>
        <w:rPr>
          <w:rFonts w:hint="eastAsia"/>
          <w:sz w:val="24"/>
        </w:rPr>
        <w:t>，</w:t>
      </w:r>
      <w:r>
        <w:rPr>
          <w:sz w:val="24"/>
        </w:rPr>
        <w:t>明确岗位的职责，确保项目顺利实施</w:t>
      </w:r>
      <w:r>
        <w:rPr>
          <w:rFonts w:hint="eastAsia"/>
          <w:sz w:val="24"/>
        </w:rPr>
        <w:t>。</w:t>
      </w:r>
      <w:r>
        <w:rPr>
          <w:sz w:val="24"/>
        </w:rPr>
        <w:t>应组成10人及以上的</w:t>
      </w:r>
      <w:r>
        <w:rPr>
          <w:rFonts w:hint="eastAsia"/>
          <w:sz w:val="24"/>
        </w:rPr>
        <w:t>研发</w:t>
      </w:r>
      <w:r>
        <w:rPr>
          <w:sz w:val="24"/>
        </w:rPr>
        <w:t>团队，并确保服务于本项目的核心</w:t>
      </w:r>
      <w:r>
        <w:rPr>
          <w:rFonts w:hint="eastAsia"/>
          <w:sz w:val="24"/>
        </w:rPr>
        <w:t>科研</w:t>
      </w:r>
      <w:r>
        <w:rPr>
          <w:sz w:val="24"/>
        </w:rPr>
        <w:t>人员稳定，核心</w:t>
      </w:r>
      <w:r>
        <w:rPr>
          <w:rFonts w:hint="eastAsia"/>
          <w:sz w:val="24"/>
        </w:rPr>
        <w:t>技术研发</w:t>
      </w:r>
      <w:r>
        <w:rPr>
          <w:sz w:val="24"/>
        </w:rPr>
        <w:t>团队规模达到5人以上，未经采购人允许不得调整核心团队成员，采购人有权要求更换投标人项目团队成员。确保在</w:t>
      </w:r>
      <w:r>
        <w:rPr>
          <w:rFonts w:hint="eastAsia"/>
          <w:sz w:val="24"/>
        </w:rPr>
        <w:t>项目研发</w:t>
      </w:r>
      <w:r>
        <w:rPr>
          <w:sz w:val="24"/>
        </w:rPr>
        <w:t>中能适应采购人的需求变更。</w:t>
      </w:r>
    </w:p>
    <w:p>
      <w:pPr>
        <w:pStyle w:val="Heading2"/>
        <w:tabs>
          <w:tab w:val="left" w:pos="576"/>
        </w:tabs>
        <w:spacing w:line="240" w:lineRule="auto"/>
        <w:ind w:left="576" w:hanging="576"/>
        <w:rPr>
          <w:rFonts w:ascii="Times New Roman" w:eastAsia="黑体" w:hAnsi="Times New Roman" w:cs="Times New Roman"/>
          <w:sz w:val="28"/>
          <w:szCs w:val="28"/>
        </w:rPr>
      </w:pPr>
      <w:bookmarkStart w:id="79" w:name="_Toc198818667"/>
      <w:r>
        <w:rPr>
          <w:rFonts w:ascii="Times New Roman" w:eastAsia="黑体" w:hAnsi="Times New Roman" w:cs="Times New Roman"/>
          <w:sz w:val="28"/>
          <w:szCs w:val="28"/>
        </w:rPr>
        <w:t>5.5.</w:t>
      </w:r>
      <w:r>
        <w:rPr>
          <w:rFonts w:ascii="Times New Roman" w:eastAsia="黑体" w:hAnsi="Times New Roman" w:cs="Times New Roman"/>
          <w:sz w:val="28"/>
          <w:szCs w:val="28"/>
        </w:rPr>
        <w:tab/>
      </w:r>
      <w:r>
        <w:rPr>
          <w:rFonts w:ascii="Times New Roman" w:eastAsia="黑体" w:hAnsi="Times New Roman" w:cs="Times New Roman"/>
          <w:sz w:val="28"/>
          <w:szCs w:val="28"/>
        </w:rPr>
        <w:t>项目评审验收要求</w:t>
      </w:r>
      <w:bookmarkEnd w:id="79"/>
    </w:p>
    <w:p>
      <w:pPr>
        <w:spacing w:line="360" w:lineRule="auto"/>
        <w:ind w:firstLine="480" w:firstLineChars="200"/>
      </w:pPr>
      <w:r>
        <w:rPr>
          <w:sz w:val="24"/>
        </w:rPr>
        <w:t>（1）项目建设过程中根据合同约定通过</w:t>
      </w:r>
      <w:r>
        <w:rPr>
          <w:rFonts w:hint="eastAsia"/>
          <w:sz w:val="24"/>
        </w:rPr>
        <w:t>采购</w:t>
      </w:r>
      <w:r>
        <w:rPr>
          <w:sz w:val="24"/>
        </w:rPr>
        <w:t>方组织的评审后形成详细的评审验收方案，制订出一套明确的可操作性和可测量性强的评价指标，作为</w:t>
      </w:r>
      <w:r>
        <w:rPr>
          <w:rFonts w:hint="eastAsia"/>
          <w:sz w:val="24"/>
        </w:rPr>
        <w:t>采购</w:t>
      </w:r>
      <w:r>
        <w:rPr>
          <w:sz w:val="24"/>
        </w:rPr>
        <w:t>方评价乙方工作的标准，用于本技术服务研发的评审和验收。</w:t>
      </w:r>
    </w:p>
    <w:p>
      <w:pPr>
        <w:spacing w:line="360" w:lineRule="auto"/>
        <w:ind w:firstLine="480" w:firstLineChars="200"/>
      </w:pPr>
      <w:r>
        <w:rPr>
          <w:sz w:val="24"/>
        </w:rPr>
        <w:t>（2）乙方应完成总体技术服务安排，并通过内部考核后方可验收。</w:t>
      </w:r>
    </w:p>
    <w:p>
      <w:pPr>
        <w:spacing w:line="360" w:lineRule="auto"/>
        <w:ind w:firstLine="480" w:firstLineChars="200"/>
      </w:pPr>
      <w:r>
        <w:rPr>
          <w:sz w:val="24"/>
        </w:rPr>
        <w:t>（3）业务终验后，进入质量保证期。</w:t>
      </w:r>
    </w:p>
    <w:p>
      <w:pPr>
        <w:pStyle w:val="Heading1"/>
        <w:tabs>
          <w:tab w:val="left" w:pos="360"/>
        </w:tabs>
        <w:spacing w:before="100" w:beforeAutospacing="1" w:after="100" w:afterAutospacing="1" w:line="240" w:lineRule="auto"/>
        <w:rPr>
          <w:rFonts w:eastAsia="黑体"/>
          <w:sz w:val="32"/>
        </w:rPr>
      </w:pPr>
      <w:bookmarkStart w:id="80" w:name="_Toc198818668"/>
      <w:r>
        <w:rPr>
          <w:rFonts w:eastAsia="黑体"/>
          <w:sz w:val="32"/>
        </w:rPr>
        <w:t>6.</w:t>
      </w:r>
      <w:r>
        <w:rPr>
          <w:rFonts w:eastAsia="黑体"/>
          <w:sz w:val="32"/>
        </w:rPr>
        <w:tab/>
      </w:r>
      <w:r>
        <w:rPr>
          <w:rFonts w:eastAsia="黑体"/>
          <w:sz w:val="32"/>
        </w:rPr>
        <w:t>安全保密要求</w:t>
      </w:r>
      <w:bookmarkEnd w:id="80"/>
    </w:p>
    <w:p>
      <w:pPr>
        <w:spacing w:line="360" w:lineRule="auto"/>
        <w:ind w:firstLine="480" w:firstLineChars="200"/>
      </w:pPr>
      <w:r>
        <w:rPr>
          <w:sz w:val="24"/>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pPr>
        <w:pStyle w:val="Heading1"/>
        <w:tabs>
          <w:tab w:val="left" w:pos="360"/>
        </w:tabs>
        <w:spacing w:before="100" w:beforeAutospacing="1" w:after="100" w:afterAutospacing="1" w:line="240" w:lineRule="auto"/>
        <w:rPr>
          <w:rFonts w:eastAsia="黑体"/>
          <w:sz w:val="32"/>
        </w:rPr>
      </w:pPr>
      <w:bookmarkStart w:id="81" w:name="_Toc198818669"/>
      <w:r>
        <w:rPr>
          <w:rFonts w:eastAsia="黑体"/>
          <w:sz w:val="32"/>
        </w:rPr>
        <w:t>7.</w:t>
      </w:r>
      <w:r>
        <w:rPr>
          <w:rFonts w:eastAsia="黑体"/>
          <w:sz w:val="32"/>
        </w:rPr>
        <w:tab/>
      </w:r>
      <w:r>
        <w:rPr>
          <w:rFonts w:eastAsia="黑体"/>
          <w:sz w:val="32"/>
        </w:rPr>
        <w:t>售后服务要求</w:t>
      </w:r>
      <w:bookmarkEnd w:id="81"/>
    </w:p>
    <w:p>
      <w:pPr>
        <w:spacing w:line="360" w:lineRule="auto"/>
        <w:ind w:firstLine="480" w:firstLineChars="200"/>
      </w:pPr>
      <w:r>
        <w:rPr>
          <w:sz w:val="24"/>
        </w:rPr>
        <w:t>本项目通过验收后，进入质量保修期。中标方提供1年质量保修期，该期限内的所有售后服务，包括图件成果更新所产生的费用均由中标方承担，且需根据甲方要求完成重大活动保障新增及调整（总新增/调整工作量不超过合同工作量5%）。中标人在质量保修期对数据产品提供免费售后保障服务。在接到招标方的通知后，中标方技术人员应提供7*24小时的服务响应，随时进行电话应答。</w:t>
      </w:r>
    </w:p>
    <w:p>
      <w:pPr>
        <w:spacing w:line="360" w:lineRule="auto"/>
        <w:ind w:firstLine="480" w:firstLineChars="200"/>
      </w:pPr>
      <w:r>
        <w:rPr>
          <w:sz w:val="24"/>
        </w:rPr>
        <w:t>质量保修期满后，中标人仍应根据合同要求，以合理价格向招标人提供改进服务。</w:t>
      </w:r>
    </w:p>
    <w:p>
      <w:pPr>
        <w:pStyle w:val="Heading1"/>
        <w:tabs>
          <w:tab w:val="left" w:pos="360"/>
        </w:tabs>
        <w:spacing w:before="100" w:beforeAutospacing="1" w:after="100" w:afterAutospacing="1" w:line="240" w:lineRule="auto"/>
        <w:rPr>
          <w:rFonts w:eastAsia="黑体"/>
          <w:sz w:val="32"/>
        </w:rPr>
      </w:pPr>
      <w:bookmarkStart w:id="82" w:name="_Toc198818670"/>
      <w:r>
        <w:rPr>
          <w:rFonts w:eastAsia="黑体"/>
          <w:sz w:val="32"/>
        </w:rPr>
        <w:t>8.</w:t>
      </w:r>
      <w:r>
        <w:rPr>
          <w:rFonts w:eastAsia="黑体"/>
          <w:sz w:val="32"/>
        </w:rPr>
        <w:tab/>
      </w:r>
      <w:r>
        <w:rPr>
          <w:rFonts w:eastAsia="黑体"/>
          <w:sz w:val="32"/>
        </w:rPr>
        <w:t>知识产权要求</w:t>
      </w:r>
      <w:bookmarkEnd w:id="82"/>
    </w:p>
    <w:p>
      <w:pPr>
        <w:spacing w:line="360" w:lineRule="auto"/>
        <w:ind w:firstLine="480" w:firstLineChars="200"/>
      </w:pPr>
      <w:r>
        <w:rPr>
          <w:sz w:val="24"/>
        </w:rPr>
        <w:t>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pPr>
        <w:spacing w:line="360" w:lineRule="auto"/>
        <w:ind w:firstLine="480" w:firstLineChars="200"/>
      </w:pPr>
      <w:r>
        <w:rPr>
          <w:sz w:val="24"/>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pPr>
        <w:pStyle w:val="Heading1"/>
        <w:tabs>
          <w:tab w:val="left" w:pos="360"/>
        </w:tabs>
        <w:spacing w:before="100" w:beforeAutospacing="1" w:after="100" w:afterAutospacing="1" w:line="240" w:lineRule="auto"/>
        <w:rPr>
          <w:rFonts w:eastAsia="黑体"/>
          <w:sz w:val="32"/>
        </w:rPr>
      </w:pPr>
      <w:bookmarkStart w:id="83" w:name="_Toc198818671"/>
      <w:r>
        <w:rPr>
          <w:rFonts w:eastAsia="黑体"/>
          <w:sz w:val="32"/>
        </w:rPr>
        <w:t>9.</w:t>
      </w:r>
      <w:r>
        <w:rPr>
          <w:rFonts w:eastAsia="黑体"/>
          <w:sz w:val="32"/>
        </w:rPr>
        <w:tab/>
      </w:r>
      <w:r>
        <w:rPr>
          <w:rFonts w:eastAsia="黑体"/>
          <w:sz w:val="32"/>
        </w:rPr>
        <w:t>技术支持要求</w:t>
      </w:r>
      <w:bookmarkEnd w:id="83"/>
    </w:p>
    <w:p>
      <w:pPr>
        <w:spacing w:line="360" w:lineRule="auto"/>
        <w:ind w:firstLine="480" w:firstLineChars="200"/>
      </w:pPr>
      <w:r>
        <w:rPr>
          <w:sz w:val="24"/>
        </w:rPr>
        <w:t>中标人需要为甲方提供与本项目设计和实施有关的各类技术咨询服务，协助甲方预见本项目工作中可能发生的问题和困难，并向甲方提出解决的办法或建议。</w:t>
      </w:r>
    </w:p>
    <w:p>
      <w:pPr>
        <w:spacing w:line="360" w:lineRule="auto"/>
        <w:ind w:firstLine="480" w:firstLineChars="200"/>
      </w:pPr>
      <w:r>
        <w:rPr>
          <w:sz w:val="24"/>
        </w:rPr>
        <w:t>在质量保修期提供技术支持。对项目实施与成果应用中出现的新问题提供建议和解决方案。</w:t>
      </w:r>
    </w:p>
    <w:p>
      <w:pPr>
        <w:spacing w:line="360" w:lineRule="auto"/>
        <w:ind w:firstLine="480" w:firstLineChars="200"/>
      </w:pPr>
      <w:r>
        <w:rPr>
          <w:sz w:val="24"/>
        </w:rPr>
        <w:t>提供其他与项目相关的技术服务，积极协助配合甲方开展与项目有关的工作。</w:t>
      </w:r>
    </w:p>
    <w:p>
      <w:pPr>
        <w:spacing w:line="360" w:lineRule="auto"/>
        <w:ind w:firstLine="480" w:firstLineChars="200"/>
      </w:pPr>
      <w:r>
        <w:rPr>
          <w:sz w:val="24"/>
        </w:rPr>
        <w:t>技术支持工作需要及时、有效，充分满足项目建设的需求。</w:t>
      </w:r>
    </w:p>
    <w:p>
      <w:pPr>
        <w:spacing w:line="360" w:lineRule="auto"/>
        <w:ind w:firstLine="420" w:firstLineChars="200"/>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4B15EC">
      <w:pPr>
        <w:spacing w:before="156" w:beforeLines="50" w:line="360" w:lineRule="auto"/>
        <w:jc w:val="center"/>
        <w:outlineLvl w:val="1"/>
        <w:rPr>
          <w:rFonts w:ascii="宋体" w:hAnsi="宋体"/>
          <w:b/>
          <w:sz w:val="30"/>
          <w:szCs w:val="30"/>
        </w:rPr>
      </w:pPr>
      <w:bookmarkStart w:id="84"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4B15EC">
      <w:pPr>
        <w:adjustRightInd w:val="0"/>
        <w:snapToGrid w:val="0"/>
        <w:spacing w:before="156" w:beforeLines="50" w:line="360" w:lineRule="auto"/>
        <w:rPr>
          <w:rFonts w:ascii="宋体" w:hAnsi="宋体"/>
          <w:szCs w:val="21"/>
        </w:rPr>
      </w:pPr>
    </w:p>
    <w:p w:rsidR="004B15EC">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B15EC">
            <w:pPr>
              <w:rPr>
                <w:sz w:val="18"/>
                <w:szCs w:val="18"/>
              </w:rPr>
            </w:pPr>
            <w:r>
              <w:rPr>
                <w:rFonts w:hint="eastAsia"/>
                <w:sz w:val="18"/>
                <w:szCs w:val="18"/>
              </w:rPr>
              <w:t>序号</w:t>
            </w:r>
          </w:p>
        </w:tc>
        <w:tc>
          <w:tcPr>
            <w:tcW w:w="898" w:type="dxa"/>
            <w:vAlign w:val="center"/>
          </w:tcPr>
          <w:p w:rsidR="004B15EC">
            <w:pPr>
              <w:jc w:val="center"/>
              <w:rPr>
                <w:sz w:val="18"/>
                <w:szCs w:val="18"/>
              </w:rPr>
            </w:pPr>
            <w:r>
              <w:rPr>
                <w:rFonts w:hint="eastAsia"/>
                <w:sz w:val="18"/>
                <w:szCs w:val="18"/>
              </w:rPr>
              <w:t>对应</w:t>
            </w:r>
          </w:p>
          <w:p w:rsidR="004B15EC">
            <w:pPr>
              <w:jc w:val="center"/>
              <w:rPr>
                <w:sz w:val="18"/>
                <w:szCs w:val="18"/>
              </w:rPr>
            </w:pPr>
            <w:r>
              <w:rPr>
                <w:rFonts w:hint="eastAsia"/>
                <w:sz w:val="18"/>
                <w:szCs w:val="18"/>
              </w:rPr>
              <w:t>条款号</w:t>
            </w:r>
          </w:p>
        </w:tc>
        <w:tc>
          <w:tcPr>
            <w:tcW w:w="7347" w:type="dxa"/>
            <w:vAlign w:val="center"/>
          </w:tcPr>
          <w:p w:rsidR="004B15E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0" w:type="auto"/>
          <w:tblLayout w:type="fixed"/>
          <w:tblLook w:val="04A0"/>
        </w:tblPrEx>
        <w:trPr>
          <w:cantSplit/>
        </w:trPr>
        <w:tc>
          <w:tcPr>
            <w:tcW w:w="8789" w:type="dxa"/>
            <w:gridSpan w:val="3"/>
            <w:vAlign w:val="center"/>
          </w:tcPr>
          <w:p w:rsidR="004B15E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0" w:type="auto"/>
          <w:tblLayout w:type="fixed"/>
          <w:tblLook w:val="04A0"/>
        </w:tblPrEx>
        <w:trPr>
          <w:cantSplit/>
        </w:trPr>
        <w:tc>
          <w:tcPr>
            <w:tcW w:w="544" w:type="dxa"/>
            <w:vAlign w:val="center"/>
          </w:tcPr>
          <w:p w:rsidR="004B15EC">
            <w:pPr>
              <w:numPr>
                <w:ilvl w:val="0"/>
                <w:numId w:val="8"/>
              </w:numPr>
              <w:rPr>
                <w:rFonts w:ascii="宋体" w:hAnsi="宋体"/>
                <w:sz w:val="18"/>
                <w:szCs w:val="18"/>
              </w:rPr>
            </w:pPr>
          </w:p>
        </w:tc>
        <w:tc>
          <w:tcPr>
            <w:tcW w:w="898" w:type="dxa"/>
            <w:vAlign w:val="center"/>
          </w:tcPr>
          <w:p w:rsidR="004B15E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4B15EC">
            <w:pPr>
              <w:tabs>
                <w:tab w:val="left" w:pos="709"/>
              </w:tabs>
              <w:spacing w:line="360" w:lineRule="auto"/>
              <w:jc w:val="left"/>
              <w:rPr>
                <w:rFonts w:ascii="宋体" w:hAnsi="宋体"/>
                <w:sz w:val="18"/>
                <w:szCs w:val="18"/>
              </w:rPr>
            </w:pPr>
            <w:r>
              <w:rPr>
                <w:rFonts w:ascii="宋体" w:hAnsi="宋体" w:hint="eastAsia"/>
                <w:sz w:val="18"/>
                <w:szCs w:val="18"/>
              </w:rPr>
              <w:t>无</w:t>
            </w:r>
          </w:p>
        </w:tc>
      </w:tr>
      <w:tr>
        <w:tblPrEx>
          <w:tblW w:w="0" w:type="auto"/>
          <w:tblLayout w:type="fixed"/>
          <w:tblLook w:val="04A0"/>
        </w:tblPrEx>
        <w:trPr>
          <w:cantSplit/>
        </w:trPr>
        <w:tc>
          <w:tcPr>
            <w:tcW w:w="544" w:type="dxa"/>
            <w:vAlign w:val="center"/>
          </w:tcPr>
          <w:p w:rsidR="004B15EC">
            <w:pPr>
              <w:numPr>
                <w:ilvl w:val="0"/>
                <w:numId w:val="8"/>
              </w:numPr>
              <w:rPr>
                <w:rFonts w:ascii="宋体" w:hAnsi="宋体"/>
                <w:sz w:val="18"/>
                <w:szCs w:val="18"/>
              </w:rPr>
            </w:pPr>
          </w:p>
        </w:tc>
        <w:tc>
          <w:tcPr>
            <w:tcW w:w="898" w:type="dxa"/>
            <w:vAlign w:val="center"/>
          </w:tcPr>
          <w:p w:rsidR="004B15EC">
            <w:pPr>
              <w:jc w:val="center"/>
              <w:rPr>
                <w:rFonts w:ascii="宋体" w:hAnsi="宋体"/>
                <w:sz w:val="18"/>
                <w:szCs w:val="18"/>
              </w:rPr>
            </w:pPr>
          </w:p>
        </w:tc>
        <w:tc>
          <w:tcPr>
            <w:tcW w:w="7347" w:type="dxa"/>
            <w:vAlign w:val="center"/>
          </w:tcPr>
          <w:p w:rsidR="004B15E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Layout w:type="fixed"/>
          <w:tblLook w:val="04A0"/>
        </w:tblPrEx>
        <w:trPr>
          <w:cantSplit/>
        </w:trPr>
        <w:tc>
          <w:tcPr>
            <w:tcW w:w="8789" w:type="dxa"/>
            <w:gridSpan w:val="3"/>
            <w:vAlign w:val="center"/>
          </w:tcPr>
          <w:p w:rsidR="004B15E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0" w:type="auto"/>
          <w:tblLayout w:type="fixed"/>
          <w:tblLook w:val="04A0"/>
        </w:tblPrEx>
        <w:trPr>
          <w:cantSplit/>
        </w:trPr>
        <w:tc>
          <w:tcPr>
            <w:tcW w:w="544" w:type="dxa"/>
            <w:vAlign w:val="center"/>
          </w:tcPr>
          <w:p w:rsidR="004B15EC">
            <w:pPr>
              <w:numPr>
                <w:ilvl w:val="0"/>
                <w:numId w:val="8"/>
              </w:numPr>
              <w:rPr>
                <w:rFonts w:ascii="宋体" w:hAnsi="宋体"/>
                <w:sz w:val="18"/>
                <w:szCs w:val="18"/>
              </w:rPr>
            </w:pPr>
          </w:p>
        </w:tc>
        <w:tc>
          <w:tcPr>
            <w:tcW w:w="898" w:type="dxa"/>
            <w:vAlign w:val="center"/>
          </w:tcPr>
          <w:p w:rsidR="004B15EC">
            <w:pPr>
              <w:jc w:val="center"/>
              <w:rPr>
                <w:rFonts w:ascii="宋体" w:hAnsi="宋体"/>
                <w:sz w:val="18"/>
                <w:szCs w:val="18"/>
              </w:rPr>
            </w:pPr>
          </w:p>
        </w:tc>
        <w:tc>
          <w:tcPr>
            <w:tcW w:w="7347" w:type="dxa"/>
            <w:vAlign w:val="center"/>
          </w:tcPr>
          <w:p w:rsidR="004B15EC">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4B15EC">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4B15EC">
      <w:pPr>
        <w:spacing w:before="156" w:beforeLines="50" w:line="360" w:lineRule="auto"/>
        <w:ind w:firstLine="420"/>
      </w:pPr>
    </w:p>
    <w:p w:rsidR="00A77B3E"/>
    <w:p w:rsidR="004B15EC">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8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56F89">
      <w:pPr>
        <w:numPr>
          <w:ilvl w:val="0"/>
          <w:numId w:val="5"/>
        </w:numPr>
        <w:spacing w:line="360" w:lineRule="auto"/>
        <w:ind w:firstLine="3066" w:firstLineChars="1460"/>
        <w:jc w:val="left"/>
        <w:rPr>
          <w:rFonts w:ascii="Times New Roman" w:eastAsia="宋体" w:hAnsi="Times New Roman" w:cs="Times New Roman"/>
          <w:b/>
          <w:bCs/>
          <w:szCs w:val="21"/>
        </w:rPr>
      </w:pPr>
      <w:bookmarkStart w:id="85"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956F89">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956F89">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956F89">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956F89">
      <w:pPr>
        <w:rPr>
          <w:rFonts w:ascii="宋体" w:eastAsia="宋体" w:hAnsi="宋体" w:cs="宋体"/>
          <w:b/>
          <w:bCs/>
          <w:spacing w:val="-20"/>
          <w:kern w:val="44"/>
          <w:sz w:val="40"/>
          <w:szCs w:val="40"/>
        </w:rPr>
      </w:pPr>
    </w:p>
    <w:p w:rsidR="00956F89">
      <w:pPr>
        <w:rPr>
          <w:rFonts w:ascii="宋体" w:eastAsia="宋体" w:hAnsi="宋体" w:cs="宋体"/>
          <w:b/>
          <w:bCs/>
          <w:spacing w:val="-20"/>
          <w:kern w:val="44"/>
          <w:sz w:val="40"/>
          <w:szCs w:val="40"/>
        </w:rPr>
      </w:pPr>
    </w:p>
    <w:p w:rsidR="00956F89">
      <w:pPr>
        <w:rPr>
          <w:rFonts w:ascii="宋体" w:eastAsia="宋体" w:hAnsi="宋体" w:cs="宋体"/>
          <w:b/>
          <w:bCs/>
          <w:spacing w:val="-20"/>
          <w:kern w:val="44"/>
          <w:sz w:val="40"/>
          <w:szCs w:val="40"/>
        </w:rPr>
      </w:pPr>
    </w:p>
    <w:p w:rsidR="00956F89">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sidR="00840F50">
        <w:rPr>
          <w:rFonts w:ascii="Times New Roman" w:eastAsia="宋体" w:hAnsi="Times New Roman" w:cs="Times New Roman" w:hint="eastAsia"/>
          <w:sz w:val="32"/>
          <w:szCs w:val="32"/>
          <w:u w:val="single"/>
        </w:rPr>
        <w:t xml:space="preserve"> </w:t>
      </w:r>
      <w:r w:rsidRPr="00840F50" w:rsidR="00840F50">
        <w:rPr>
          <w:rFonts w:ascii="Times New Roman" w:eastAsia="宋体" w:hAnsi="Times New Roman" w:cs="Times New Roman" w:hint="eastAsia"/>
          <w:sz w:val="32"/>
          <w:szCs w:val="32"/>
          <w:u w:val="single"/>
        </w:rPr>
        <w:t>农业气候区划技术研发类</w:t>
      </w:r>
      <w:r w:rsidRPr="00840F50" w:rsidR="00840F50">
        <w:rPr>
          <w:rFonts w:ascii="Times New Roman" w:eastAsia="宋体" w:hAnsi="Times New Roman" w:cs="Times New Roman" w:hint="eastAsia"/>
          <w:sz w:val="32"/>
          <w:szCs w:val="32"/>
          <w:u w:val="single"/>
        </w:rPr>
        <w:t>2025</w:t>
      </w:r>
      <w:r w:rsidRPr="00840F50" w:rsidR="00840F50">
        <w:rPr>
          <w:rFonts w:ascii="Times New Roman" w:eastAsia="宋体" w:hAnsi="Times New Roman" w:cs="Times New Roman" w:hint="eastAsia"/>
          <w:sz w:val="32"/>
          <w:szCs w:val="32"/>
          <w:u w:val="single"/>
        </w:rPr>
        <w:t>年委托服务项目</w:t>
      </w:r>
      <w:r>
        <w:rPr>
          <w:rFonts w:ascii="Times New Roman" w:eastAsia="宋体" w:hAnsi="Times New Roman" w:cs="Times New Roman" w:hint="eastAsia"/>
          <w:sz w:val="32"/>
          <w:szCs w:val="32"/>
          <w:u w:val="single"/>
        </w:rPr>
        <w:t xml:space="preserve">                           </w:t>
      </w:r>
    </w:p>
    <w:p w:rsidR="00956F89">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r w:rsidR="00840F50">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956F89">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r w:rsidR="00840F50">
        <w:rPr>
          <w:rFonts w:ascii="Times New Roman" w:eastAsia="宋体" w:hAnsi="Times New Roman" w:cs="Times New Roman" w:hint="eastAsia"/>
          <w:sz w:val="32"/>
          <w:szCs w:val="32"/>
          <w:u w:val="single"/>
        </w:rPr>
        <w:t>国家气候中心</w:t>
      </w:r>
      <w:r>
        <w:rPr>
          <w:rFonts w:ascii="Times New Roman" w:eastAsia="宋体" w:hAnsi="Times New Roman" w:cs="Times New Roman" w:hint="eastAsia"/>
          <w:sz w:val="32"/>
          <w:szCs w:val="32"/>
          <w:u w:val="single"/>
        </w:rPr>
        <w:t xml:space="preserve">                           </w:t>
      </w:r>
    </w:p>
    <w:p w:rsidR="00956F89">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r w:rsidR="00840F50">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956F89">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sidR="00840F50">
        <w:rPr>
          <w:rFonts w:ascii="Times New Roman" w:eastAsia="宋体" w:hAnsi="Times New Roman" w:cs="Times New Roman"/>
          <w:sz w:val="32"/>
          <w:szCs w:val="32"/>
          <w:u w:val="single"/>
        </w:rPr>
        <w:t>2025</w:t>
      </w:r>
      <w:r w:rsidR="00840F50">
        <w:rPr>
          <w:rFonts w:ascii="Times New Roman" w:eastAsia="宋体" w:hAnsi="Times New Roman" w:cs="Times New Roman" w:hint="eastAsia"/>
          <w:sz w:val="32"/>
          <w:szCs w:val="32"/>
          <w:u w:val="single"/>
        </w:rPr>
        <w:t>年</w:t>
      </w:r>
      <w:r w:rsidR="00840F50">
        <w:rPr>
          <w:rFonts w:ascii="Times New Roman" w:eastAsia="宋体" w:hAnsi="Times New Roman" w:cs="Times New Roman" w:hint="eastAsia"/>
          <w:sz w:val="32"/>
          <w:szCs w:val="32"/>
          <w:u w:val="single"/>
        </w:rPr>
        <w:t>7</w:t>
      </w:r>
      <w:r w:rsidR="00840F50">
        <w:rPr>
          <w:rFonts w:ascii="Times New Roman" w:eastAsia="宋体" w:hAnsi="Times New Roman" w:cs="Times New Roman" w:hint="eastAsia"/>
          <w:sz w:val="32"/>
          <w:szCs w:val="32"/>
          <w:u w:val="single"/>
        </w:rPr>
        <w:t>月</w:t>
      </w:r>
      <w:r w:rsidR="00840F50">
        <w:rPr>
          <w:rFonts w:ascii="Times New Roman" w:eastAsia="宋体" w:hAnsi="Times New Roman" w:cs="Times New Roman" w:hint="eastAsia"/>
          <w:sz w:val="32"/>
          <w:szCs w:val="32"/>
          <w:u w:val="single"/>
        </w:rPr>
        <w:t xml:space="preserve"> </w:t>
      </w:r>
      <w:r w:rsidR="00840F50">
        <w:rPr>
          <w:rFonts w:ascii="Times New Roman" w:eastAsia="宋体" w:hAnsi="Times New Roman" w:cs="Times New Roman"/>
          <w:sz w:val="32"/>
          <w:szCs w:val="32"/>
          <w:u w:val="single"/>
        </w:rPr>
        <w:t xml:space="preserve"> </w:t>
      </w:r>
      <w:r w:rsidR="00840F50">
        <w:rPr>
          <w:rFonts w:ascii="Times New Roman" w:eastAsia="宋体" w:hAnsi="Times New Roman" w:cs="Times New Roman" w:hint="eastAsia"/>
          <w:sz w:val="32"/>
          <w:szCs w:val="32"/>
          <w:u w:val="single"/>
        </w:rPr>
        <w:t>日</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956F89">
      <w:pPr>
        <w:rPr>
          <w:rFonts w:ascii="Times New Roman" w:eastAsia="宋体" w:hAnsi="Times New Roman" w:cs="Times New Roman"/>
          <w:szCs w:val="20"/>
        </w:rPr>
      </w:pPr>
    </w:p>
    <w:p w:rsidR="00956F89">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956F89">
      <w:pPr>
        <w:rPr>
          <w:rFonts w:ascii="Times New Roman" w:eastAsia="黑体" w:hAnsi="Times New Roman" w:cs="Times New Roman"/>
          <w:sz w:val="44"/>
          <w:szCs w:val="44"/>
        </w:rPr>
      </w:pPr>
    </w:p>
    <w:p w:rsidR="00956F89">
      <w:pPr>
        <w:rPr>
          <w:rFonts w:ascii="Times New Roman" w:eastAsia="黑体" w:hAnsi="Times New Roman" w:cs="Times New Roman"/>
          <w:sz w:val="44"/>
          <w:szCs w:val="44"/>
        </w:rPr>
      </w:pPr>
    </w:p>
    <w:p w:rsidR="00956F8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956F89">
      <w:pPr>
        <w:ind w:firstLine="640" w:firstLineChars="200"/>
        <w:rPr>
          <w:rFonts w:ascii="仿宋_GB2312" w:eastAsia="仿宋_GB2312" w:hAnsi="仿宋_GB2312" w:cs="仿宋_GB2312"/>
          <w:sz w:val="32"/>
          <w:szCs w:val="32"/>
        </w:rPr>
      </w:pPr>
    </w:p>
    <w:p w:rsidR="00956F89">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956F89">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956F89">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956F89">
      <w:pPr>
        <w:widowControl/>
        <w:jc w:val="left"/>
        <w:rPr>
          <w:rFonts w:ascii="宋体" w:eastAsia="宋体" w:hAnsi="宋体" w:cs="Times New Roman"/>
          <w:szCs w:val="21"/>
        </w:rPr>
      </w:pPr>
      <w:r>
        <w:rPr>
          <w:rFonts w:ascii="宋体" w:eastAsia="宋体" w:hAnsi="宋体" w:cs="Times New Roman"/>
          <w:szCs w:val="21"/>
        </w:rPr>
        <w:br w:type="page"/>
      </w:r>
    </w:p>
    <w:p w:rsidR="00956F89">
      <w:pPr>
        <w:snapToGrid w:val="0"/>
        <w:spacing w:line="360" w:lineRule="auto"/>
        <w:ind w:firstLine="420"/>
        <w:rPr>
          <w:rFonts w:ascii="宋体" w:eastAsia="宋体" w:hAnsi="宋体" w:cs="Times New Roman"/>
          <w:szCs w:val="21"/>
        </w:rPr>
      </w:pPr>
    </w:p>
    <w:p w:rsidR="00956F89">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rsidR="00956F89">
      <w:pPr>
        <w:snapToGrid w:val="0"/>
        <w:spacing w:line="360" w:lineRule="auto"/>
        <w:ind w:firstLine="420"/>
        <w:jc w:val="center"/>
        <w:rPr>
          <w:rFonts w:ascii="宋体" w:eastAsia="宋体" w:hAnsi="宋体" w:cs="Times New Roman"/>
          <w:szCs w:val="21"/>
        </w:rPr>
      </w:pPr>
    </w:p>
    <w:p w:rsidR="00956F89">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r w:rsidRPr="00840F50" w:rsidR="00840F50">
        <w:rPr>
          <w:rFonts w:ascii="Times New Roman" w:eastAsia="宋体" w:hAnsi="Times New Roman" w:cs="Times New Roman" w:hint="eastAsia"/>
          <w:szCs w:val="21"/>
          <w:u w:val="single"/>
        </w:rPr>
        <w:t>国家气候中心</w:t>
      </w:r>
      <w:r>
        <w:rPr>
          <w:rFonts w:ascii="Times New Roman" w:eastAsia="宋体" w:hAnsi="Times New Roman" w:cs="Times New Roman" w:hint="eastAsia"/>
          <w:szCs w:val="21"/>
          <w:u w:val="single"/>
        </w:rPr>
        <w:t xml:space="preserve">                  </w:t>
      </w:r>
    </w:p>
    <w:p w:rsidR="00956F89">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956F89">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956F89">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956F89">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r w:rsidRPr="00840F50" w:rsidR="00840F50">
        <w:rPr>
          <w:rFonts w:ascii="Times New Roman" w:eastAsia="宋体" w:hAnsi="Times New Roman" w:cs="Times New Roman" w:hint="eastAsia"/>
          <w:szCs w:val="21"/>
          <w:u w:val="single"/>
        </w:rPr>
        <w:t>农业气候区划技术研发类</w:t>
      </w:r>
      <w:r w:rsidRPr="00840F50" w:rsidR="00840F50">
        <w:rPr>
          <w:rFonts w:ascii="Times New Roman" w:eastAsia="宋体" w:hAnsi="Times New Roman" w:cs="Times New Roman" w:hint="eastAsia"/>
          <w:szCs w:val="21"/>
          <w:u w:val="single"/>
        </w:rPr>
        <w:t>2025</w:t>
      </w:r>
      <w:r w:rsidRPr="00840F50" w:rsidR="00840F50">
        <w:rPr>
          <w:rFonts w:ascii="Times New Roman" w:eastAsia="宋体" w:hAnsi="Times New Roman" w:cs="Times New Roman" w:hint="eastAsia"/>
          <w:szCs w:val="21"/>
          <w:u w:val="single"/>
        </w:rPr>
        <w:t>年委托服务项目</w:t>
      </w:r>
      <w:r>
        <w:rPr>
          <w:rFonts w:ascii="Times New Roman" w:eastAsia="宋体" w:hAnsi="Times New Roman" w:cs="Times New Roman" w:hint="eastAsia"/>
          <w:szCs w:val="21"/>
          <w:u w:val="single"/>
        </w:rPr>
        <w:t xml:space="preserve">                                  </w:t>
      </w:r>
    </w:p>
    <w:p w:rsidR="00956F89">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840F50" w:rsidRPr="00840F50" w:rsidP="00840F50">
      <w:pPr>
        <w:adjustRightInd w:val="0"/>
        <w:snapToGrid w:val="0"/>
        <w:spacing w:line="360" w:lineRule="auto"/>
        <w:ind w:firstLine="412" w:firstLineChars="196"/>
        <w:rPr>
          <w:rFonts w:ascii="Times New Roman" w:eastAsia="宋体" w:hAnsi="Times New Roman" w:cs="Times New Roman"/>
          <w:b/>
          <w:szCs w:val="20"/>
        </w:rPr>
      </w:pPr>
      <w:bookmarkStart w:id="86" w:name="_Toc54710608"/>
      <w:bookmarkStart w:id="87" w:name="_Toc74919791"/>
      <w:r w:rsidRPr="00840F50">
        <w:rPr>
          <w:rFonts w:ascii="Times New Roman" w:eastAsia="宋体" w:hAnsi="Times New Roman" w:cs="Times New Roman" w:hint="eastAsia"/>
          <w:b/>
          <w:szCs w:val="20"/>
        </w:rPr>
        <w:t>二、</w:t>
      </w:r>
      <w:r w:rsidRPr="00840F50">
        <w:rPr>
          <w:rFonts w:ascii="Times New Roman" w:eastAsia="宋体" w:hAnsi="Times New Roman" w:cs="Times New Roman"/>
          <w:b/>
          <w:szCs w:val="20"/>
        </w:rPr>
        <w:t>项目</w:t>
      </w:r>
      <w:bookmarkEnd w:id="86"/>
      <w:bookmarkEnd w:id="87"/>
      <w:r w:rsidRPr="00840F50">
        <w:rPr>
          <w:rFonts w:ascii="Times New Roman" w:eastAsia="宋体" w:hAnsi="Times New Roman" w:cs="Times New Roman"/>
          <w:b/>
          <w:szCs w:val="20"/>
        </w:rPr>
        <w:t>建设内容</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1</w:t>
      </w:r>
      <w:r w:rsidRPr="00840F50">
        <w:rPr>
          <w:rFonts w:ascii="Calibri" w:eastAsia="宋体" w:hAnsi="Calibri" w:cs="Times New Roman"/>
          <w:szCs w:val="21"/>
        </w:rPr>
        <w:t>、项目建设目标</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构建农业气候区划技术体系。完成中国农业气候区划检验验证与指标调整、全国春玉米气候区划、全国苹果气候区划、山东省夏玉米和冬小麦气候经济效益区划，为农业气候区划工作提供标准化、规范化的技术支撑；收集区划过程中产生的农业气候资源数据及农业生产相关数据，形成农业气候区划图件数据库，为农业气候区划的动态更新与应用提供数据基础；编制成果分析报告和技术总结报告。</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2</w:t>
      </w:r>
      <w:r w:rsidRPr="00840F50">
        <w:rPr>
          <w:rFonts w:ascii="Calibri" w:eastAsia="宋体" w:hAnsi="Calibri" w:cs="Times New Roman"/>
          <w:szCs w:val="21"/>
        </w:rPr>
        <w:t>、建设内容</w:t>
      </w:r>
    </w:p>
    <w:p w:rsidR="00B50FF6" w:rsidP="00840F50">
      <w:pPr>
        <w:snapToGrid w:val="0"/>
        <w:spacing w:line="360" w:lineRule="auto"/>
        <w:ind w:firstLine="420"/>
        <w:rPr>
          <w:rFonts w:ascii="Calibri" w:eastAsia="宋体" w:hAnsi="Calibri" w:cs="Times New Roman"/>
          <w:szCs w:val="21"/>
        </w:rPr>
      </w:pPr>
      <w:r w:rsidRPr="00B50FF6">
        <w:rPr>
          <w:rFonts w:ascii="Calibri" w:eastAsia="宋体" w:hAnsi="Calibri" w:cs="Times New Roman" w:hint="eastAsia"/>
          <w:szCs w:val="21"/>
        </w:rPr>
        <w:t>本项目建设内容包括：中国农业气候区划检验验证与指标调整、全国春玉米种植气候区划、全国春玉米产量气候区划、全国春玉米品质气候区划、全国春玉米主要气象灾害气候区划、全国春玉米病虫害气候区划、全国苹果产量气候区划、全国苹果品质气候区划、全国苹果主要气象灾害气候区划、全国苹果病虫害气候区划、全国苹果种植气候区划、山东省夏玉米经济效益气候区划、山东省冬小麦经济效益气候区划。</w:t>
      </w:r>
    </w:p>
    <w:p w:rsidR="00840F50" w:rsidRPr="00B50FF6" w:rsidP="00B50FF6">
      <w:pPr>
        <w:adjustRightInd w:val="0"/>
        <w:snapToGrid w:val="0"/>
        <w:spacing w:line="360" w:lineRule="auto"/>
        <w:ind w:firstLine="412" w:firstLineChars="196"/>
        <w:rPr>
          <w:rFonts w:ascii="Times New Roman" w:eastAsia="宋体" w:hAnsi="Times New Roman" w:cs="Times New Roman"/>
          <w:b/>
          <w:szCs w:val="20"/>
        </w:rPr>
      </w:pPr>
      <w:r w:rsidRPr="00B50FF6">
        <w:rPr>
          <w:rFonts w:ascii="Times New Roman" w:eastAsia="宋体" w:hAnsi="Times New Roman" w:cs="Times New Roman" w:hint="eastAsia"/>
          <w:b/>
          <w:szCs w:val="20"/>
        </w:rPr>
        <w:t>三、</w:t>
      </w:r>
      <w:r w:rsidRPr="00B50FF6">
        <w:rPr>
          <w:rFonts w:ascii="Times New Roman" w:eastAsia="宋体" w:hAnsi="Times New Roman" w:cs="Times New Roman"/>
          <w:b/>
          <w:szCs w:val="20"/>
        </w:rPr>
        <w:t>研究开发进度要求及售后技术支持要求</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1</w:t>
      </w:r>
      <w:r w:rsidRPr="00840F50">
        <w:rPr>
          <w:rFonts w:ascii="Calibri" w:eastAsia="宋体" w:hAnsi="Calibri" w:cs="Times New Roman"/>
          <w:szCs w:val="21"/>
        </w:rPr>
        <w:t>、建设周期</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建设周期自合同签订后</w:t>
      </w:r>
      <w:r w:rsidRPr="00840F50">
        <w:rPr>
          <w:rFonts w:ascii="Calibri" w:eastAsia="宋体" w:hAnsi="Calibri" w:cs="Times New Roman"/>
          <w:szCs w:val="21"/>
        </w:rPr>
        <w:t>12</w:t>
      </w:r>
      <w:r w:rsidRPr="00840F50">
        <w:rPr>
          <w:rFonts w:ascii="Calibri" w:eastAsia="宋体" w:hAnsi="Calibri" w:cs="Times New Roman"/>
          <w:szCs w:val="21"/>
        </w:rPr>
        <w:t>个月内交付完毕，交付验收通过后，提供本项目</w:t>
      </w:r>
      <w:r w:rsidRPr="00840F50">
        <w:rPr>
          <w:rFonts w:ascii="Calibri" w:eastAsia="宋体" w:hAnsi="Calibri" w:cs="Times New Roman" w:hint="eastAsia"/>
          <w:szCs w:val="21"/>
        </w:rPr>
        <w:t>成果</w:t>
      </w:r>
      <w:r w:rsidRPr="00840F50">
        <w:rPr>
          <w:rFonts w:ascii="Calibri" w:eastAsia="宋体" w:hAnsi="Calibri" w:cs="Times New Roman" w:hint="eastAsia"/>
          <w:szCs w:val="21"/>
        </w:rPr>
        <w:t>1</w:t>
      </w:r>
      <w:r w:rsidRPr="00840F50">
        <w:rPr>
          <w:rFonts w:ascii="Calibri" w:eastAsia="宋体" w:hAnsi="Calibri" w:cs="Times New Roman"/>
          <w:szCs w:val="21"/>
        </w:rPr>
        <w:t>年免费质量保障服务。</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w:t>
      </w:r>
      <w:r w:rsidRPr="00840F50">
        <w:rPr>
          <w:rFonts w:ascii="Calibri" w:eastAsia="宋体" w:hAnsi="Calibri" w:cs="Times New Roman"/>
          <w:szCs w:val="21"/>
        </w:rPr>
        <w:t>1</w:t>
      </w:r>
      <w:r w:rsidRPr="00840F50">
        <w:rPr>
          <w:rFonts w:ascii="Calibri" w:eastAsia="宋体" w:hAnsi="Calibri" w:cs="Times New Roman"/>
          <w:szCs w:val="21"/>
        </w:rPr>
        <w:t>）</w:t>
      </w:r>
      <w:r w:rsidRPr="00840F50">
        <w:rPr>
          <w:rFonts w:ascii="Calibri" w:eastAsia="宋体" w:hAnsi="Calibri" w:cs="Times New Roman"/>
          <w:szCs w:val="21"/>
        </w:rPr>
        <w:t>202</w:t>
      </w:r>
      <w:r w:rsidRPr="00840F50">
        <w:rPr>
          <w:rFonts w:ascii="Calibri" w:eastAsia="宋体" w:hAnsi="Calibri" w:cs="Times New Roman" w:hint="eastAsia"/>
          <w:szCs w:val="21"/>
        </w:rPr>
        <w:t>5</w:t>
      </w:r>
      <w:r w:rsidRPr="00840F50">
        <w:rPr>
          <w:rFonts w:ascii="Calibri" w:eastAsia="宋体" w:hAnsi="Calibri" w:cs="Times New Roman"/>
          <w:szCs w:val="21"/>
        </w:rPr>
        <w:t>年</w:t>
      </w:r>
      <w:r w:rsidRPr="00840F50">
        <w:rPr>
          <w:rFonts w:ascii="Calibri" w:eastAsia="宋体" w:hAnsi="Calibri" w:cs="Times New Roman" w:hint="eastAsia"/>
          <w:szCs w:val="21"/>
        </w:rPr>
        <w:t>8</w:t>
      </w:r>
      <w:r w:rsidRPr="00840F50">
        <w:rPr>
          <w:rFonts w:ascii="Calibri" w:eastAsia="宋体" w:hAnsi="Calibri" w:cs="Times New Roman"/>
          <w:szCs w:val="21"/>
        </w:rPr>
        <w:t>月</w:t>
      </w:r>
      <w:r w:rsidRPr="00840F50">
        <w:rPr>
          <w:rFonts w:ascii="Calibri" w:eastAsia="宋体" w:hAnsi="Calibri" w:cs="Times New Roman" w:hint="eastAsia"/>
          <w:szCs w:val="21"/>
        </w:rPr>
        <w:t>31</w:t>
      </w:r>
      <w:r w:rsidRPr="00840F50">
        <w:rPr>
          <w:rFonts w:ascii="Calibri" w:eastAsia="宋体" w:hAnsi="Calibri" w:cs="Times New Roman"/>
          <w:szCs w:val="21"/>
        </w:rPr>
        <w:t>日前完成</w:t>
      </w:r>
      <w:r w:rsidRPr="00840F50">
        <w:rPr>
          <w:rFonts w:ascii="Calibri" w:eastAsia="宋体" w:hAnsi="Calibri" w:cs="Times New Roman" w:hint="eastAsia"/>
          <w:szCs w:val="21"/>
        </w:rPr>
        <w:t>区划技术体系构建</w:t>
      </w:r>
      <w:r w:rsidRPr="00840F50">
        <w:rPr>
          <w:rFonts w:ascii="Calibri" w:eastAsia="宋体" w:hAnsi="Calibri" w:cs="Times New Roman"/>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w:t>
      </w:r>
      <w:r w:rsidRPr="00840F50">
        <w:rPr>
          <w:rFonts w:ascii="Calibri" w:eastAsia="宋体" w:hAnsi="Calibri" w:cs="Times New Roman"/>
          <w:szCs w:val="21"/>
        </w:rPr>
        <w:t>2</w:t>
      </w:r>
      <w:r w:rsidRPr="00840F50">
        <w:rPr>
          <w:rFonts w:ascii="Calibri" w:eastAsia="宋体" w:hAnsi="Calibri" w:cs="Times New Roman"/>
          <w:szCs w:val="21"/>
        </w:rPr>
        <w:t>）</w:t>
      </w:r>
      <w:r w:rsidRPr="00840F50">
        <w:rPr>
          <w:rFonts w:ascii="Calibri" w:eastAsia="宋体" w:hAnsi="Calibri" w:cs="Times New Roman"/>
          <w:szCs w:val="21"/>
        </w:rPr>
        <w:t>202</w:t>
      </w:r>
      <w:r w:rsidRPr="00840F50">
        <w:rPr>
          <w:rFonts w:ascii="Calibri" w:eastAsia="宋体" w:hAnsi="Calibri" w:cs="Times New Roman" w:hint="eastAsia"/>
          <w:szCs w:val="21"/>
        </w:rPr>
        <w:t>5</w:t>
      </w:r>
      <w:r w:rsidRPr="00840F50">
        <w:rPr>
          <w:rFonts w:ascii="Calibri" w:eastAsia="宋体" w:hAnsi="Calibri" w:cs="Times New Roman"/>
          <w:szCs w:val="21"/>
        </w:rPr>
        <w:t>年</w:t>
      </w:r>
      <w:r w:rsidRPr="00840F50">
        <w:rPr>
          <w:rFonts w:ascii="Calibri" w:eastAsia="宋体" w:hAnsi="Calibri" w:cs="Times New Roman" w:hint="eastAsia"/>
          <w:szCs w:val="21"/>
        </w:rPr>
        <w:t>10</w:t>
      </w:r>
      <w:r w:rsidRPr="00840F50">
        <w:rPr>
          <w:rFonts w:ascii="Calibri" w:eastAsia="宋体" w:hAnsi="Calibri" w:cs="Times New Roman"/>
          <w:szCs w:val="21"/>
        </w:rPr>
        <w:t>月</w:t>
      </w:r>
      <w:r w:rsidRPr="00840F50">
        <w:rPr>
          <w:rFonts w:ascii="Calibri" w:eastAsia="宋体" w:hAnsi="Calibri" w:cs="Times New Roman" w:hint="eastAsia"/>
          <w:szCs w:val="21"/>
        </w:rPr>
        <w:t>31</w:t>
      </w:r>
      <w:r w:rsidRPr="00840F50">
        <w:rPr>
          <w:rFonts w:ascii="Calibri" w:eastAsia="宋体" w:hAnsi="Calibri" w:cs="Times New Roman"/>
          <w:szCs w:val="21"/>
        </w:rPr>
        <w:t>日前完成</w:t>
      </w:r>
      <w:r w:rsidRPr="00840F50">
        <w:rPr>
          <w:rFonts w:ascii="Calibri" w:eastAsia="宋体" w:hAnsi="Calibri" w:cs="Times New Roman" w:hint="eastAsia"/>
          <w:szCs w:val="21"/>
        </w:rPr>
        <w:t>农业气候区划成果的整理汇编</w:t>
      </w:r>
      <w:r w:rsidRPr="00840F50">
        <w:rPr>
          <w:rFonts w:ascii="Calibri" w:eastAsia="宋体" w:hAnsi="Calibri" w:cs="Times New Roman"/>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w:t>
      </w:r>
      <w:r w:rsidRPr="00840F50">
        <w:rPr>
          <w:rFonts w:ascii="Calibri" w:eastAsia="宋体" w:hAnsi="Calibri" w:cs="Times New Roman" w:hint="eastAsia"/>
          <w:szCs w:val="21"/>
        </w:rPr>
        <w:t>3</w:t>
      </w:r>
      <w:r w:rsidRPr="00840F50">
        <w:rPr>
          <w:rFonts w:ascii="Calibri" w:eastAsia="宋体" w:hAnsi="Calibri" w:cs="Times New Roman" w:hint="eastAsia"/>
          <w:szCs w:val="21"/>
        </w:rPr>
        <w:t>）</w:t>
      </w:r>
      <w:r w:rsidRPr="00840F50">
        <w:rPr>
          <w:rFonts w:ascii="Calibri" w:eastAsia="宋体" w:hAnsi="Calibri" w:cs="Times New Roman" w:hint="eastAsia"/>
          <w:szCs w:val="21"/>
        </w:rPr>
        <w:t>2025</w:t>
      </w:r>
      <w:r w:rsidRPr="00840F50">
        <w:rPr>
          <w:rFonts w:ascii="Calibri" w:eastAsia="宋体" w:hAnsi="Calibri" w:cs="Times New Roman" w:hint="eastAsia"/>
          <w:szCs w:val="21"/>
        </w:rPr>
        <w:t>年</w:t>
      </w:r>
      <w:r w:rsidRPr="00840F50">
        <w:rPr>
          <w:rFonts w:ascii="Calibri" w:eastAsia="宋体" w:hAnsi="Calibri" w:cs="Times New Roman" w:hint="eastAsia"/>
          <w:szCs w:val="21"/>
        </w:rPr>
        <w:t>11</w:t>
      </w:r>
      <w:r w:rsidRPr="00840F50">
        <w:rPr>
          <w:rFonts w:ascii="Calibri" w:eastAsia="宋体" w:hAnsi="Calibri" w:cs="Times New Roman" w:hint="eastAsia"/>
          <w:szCs w:val="21"/>
        </w:rPr>
        <w:t>月</w:t>
      </w:r>
      <w:r w:rsidRPr="00840F50">
        <w:rPr>
          <w:rFonts w:ascii="Calibri" w:eastAsia="宋体" w:hAnsi="Calibri" w:cs="Times New Roman" w:hint="eastAsia"/>
          <w:szCs w:val="21"/>
        </w:rPr>
        <w:t>30</w:t>
      </w:r>
      <w:r w:rsidRPr="00840F50">
        <w:rPr>
          <w:rFonts w:ascii="Calibri" w:eastAsia="宋体" w:hAnsi="Calibri" w:cs="Times New Roman" w:hint="eastAsia"/>
          <w:szCs w:val="21"/>
        </w:rPr>
        <w:t>日完成中期验收评审；</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w:t>
      </w:r>
      <w:r w:rsidRPr="00840F50">
        <w:rPr>
          <w:rFonts w:ascii="Calibri" w:eastAsia="宋体" w:hAnsi="Calibri" w:cs="Times New Roman" w:hint="eastAsia"/>
          <w:szCs w:val="21"/>
        </w:rPr>
        <w:t>4</w:t>
      </w:r>
      <w:r w:rsidRPr="00840F50">
        <w:rPr>
          <w:rFonts w:ascii="Calibri" w:eastAsia="宋体" w:hAnsi="Calibri" w:cs="Times New Roman"/>
          <w:szCs w:val="21"/>
        </w:rPr>
        <w:t>）</w:t>
      </w:r>
      <w:r w:rsidRPr="00840F50">
        <w:rPr>
          <w:rFonts w:ascii="Calibri" w:eastAsia="宋体" w:hAnsi="Calibri" w:cs="Times New Roman"/>
          <w:szCs w:val="21"/>
        </w:rPr>
        <w:t>202</w:t>
      </w:r>
      <w:r w:rsidRPr="00840F50">
        <w:rPr>
          <w:rFonts w:ascii="Calibri" w:eastAsia="宋体" w:hAnsi="Calibri" w:cs="Times New Roman" w:hint="eastAsia"/>
          <w:szCs w:val="21"/>
        </w:rPr>
        <w:t>6</w:t>
      </w:r>
      <w:r w:rsidRPr="00840F50">
        <w:rPr>
          <w:rFonts w:ascii="Calibri" w:eastAsia="宋体" w:hAnsi="Calibri" w:cs="Times New Roman"/>
          <w:szCs w:val="21"/>
        </w:rPr>
        <w:t>年</w:t>
      </w:r>
      <w:r w:rsidRPr="00840F50">
        <w:rPr>
          <w:rFonts w:ascii="Calibri" w:eastAsia="宋体" w:hAnsi="Calibri" w:cs="Times New Roman" w:hint="eastAsia"/>
          <w:szCs w:val="21"/>
        </w:rPr>
        <w:t>5</w:t>
      </w:r>
      <w:r w:rsidRPr="00840F50">
        <w:rPr>
          <w:rFonts w:ascii="Calibri" w:eastAsia="宋体" w:hAnsi="Calibri" w:cs="Times New Roman"/>
          <w:szCs w:val="21"/>
        </w:rPr>
        <w:t>月</w:t>
      </w:r>
      <w:r w:rsidRPr="00840F50">
        <w:rPr>
          <w:rFonts w:ascii="Calibri" w:eastAsia="宋体" w:hAnsi="Calibri" w:cs="Times New Roman" w:hint="eastAsia"/>
          <w:szCs w:val="21"/>
        </w:rPr>
        <w:t>31</w:t>
      </w:r>
      <w:r w:rsidRPr="00840F50">
        <w:rPr>
          <w:rFonts w:ascii="Calibri" w:eastAsia="宋体" w:hAnsi="Calibri" w:cs="Times New Roman"/>
          <w:szCs w:val="21"/>
        </w:rPr>
        <w:t>日前完成</w:t>
      </w:r>
      <w:r w:rsidRPr="00840F50">
        <w:rPr>
          <w:rFonts w:ascii="Calibri" w:eastAsia="宋体" w:hAnsi="Calibri" w:cs="Times New Roman" w:hint="eastAsia"/>
          <w:szCs w:val="21"/>
        </w:rPr>
        <w:t>农业气候区划图集绘制，完成气候区划报告汇编</w:t>
      </w:r>
      <w:r w:rsidRPr="00840F50">
        <w:rPr>
          <w:rFonts w:ascii="Calibri" w:eastAsia="宋体" w:hAnsi="Calibri" w:cs="Times New Roman"/>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w:t>
      </w:r>
      <w:r w:rsidRPr="00840F50">
        <w:rPr>
          <w:rFonts w:ascii="Calibri" w:eastAsia="宋体" w:hAnsi="Calibri" w:cs="Times New Roman" w:hint="eastAsia"/>
          <w:szCs w:val="21"/>
        </w:rPr>
        <w:t>5</w:t>
      </w:r>
      <w:r w:rsidRPr="00840F50">
        <w:rPr>
          <w:rFonts w:ascii="Calibri" w:eastAsia="宋体" w:hAnsi="Calibri" w:cs="Times New Roman"/>
          <w:szCs w:val="21"/>
        </w:rPr>
        <w:t>）</w:t>
      </w:r>
      <w:r w:rsidRPr="00840F50">
        <w:rPr>
          <w:rFonts w:ascii="Calibri" w:eastAsia="宋体" w:hAnsi="Calibri" w:cs="Times New Roman"/>
          <w:szCs w:val="21"/>
        </w:rPr>
        <w:t>202</w:t>
      </w:r>
      <w:r w:rsidRPr="00840F50">
        <w:rPr>
          <w:rFonts w:ascii="Calibri" w:eastAsia="宋体" w:hAnsi="Calibri" w:cs="Times New Roman" w:hint="eastAsia"/>
          <w:szCs w:val="21"/>
        </w:rPr>
        <w:t>6</w:t>
      </w:r>
      <w:r w:rsidRPr="00840F50">
        <w:rPr>
          <w:rFonts w:ascii="Calibri" w:eastAsia="宋体" w:hAnsi="Calibri" w:cs="Times New Roman"/>
          <w:szCs w:val="21"/>
        </w:rPr>
        <w:t>年</w:t>
      </w:r>
      <w:r w:rsidRPr="00840F50">
        <w:rPr>
          <w:rFonts w:ascii="Calibri" w:eastAsia="宋体" w:hAnsi="Calibri" w:cs="Times New Roman"/>
          <w:szCs w:val="21"/>
        </w:rPr>
        <w:t>6</w:t>
      </w:r>
      <w:r w:rsidRPr="00840F50">
        <w:rPr>
          <w:rFonts w:ascii="Calibri" w:eastAsia="宋体" w:hAnsi="Calibri" w:cs="Times New Roman"/>
          <w:szCs w:val="21"/>
        </w:rPr>
        <w:t>月</w:t>
      </w:r>
      <w:r w:rsidRPr="00840F50">
        <w:rPr>
          <w:rFonts w:ascii="Calibri" w:eastAsia="宋体" w:hAnsi="Calibri" w:cs="Times New Roman"/>
          <w:szCs w:val="21"/>
        </w:rPr>
        <w:t>30</w:t>
      </w:r>
      <w:r w:rsidRPr="00840F50">
        <w:rPr>
          <w:rFonts w:ascii="Calibri" w:eastAsia="宋体" w:hAnsi="Calibri" w:cs="Times New Roman"/>
          <w:szCs w:val="21"/>
        </w:rPr>
        <w:t>日前完成项目合同验收评审。</w:t>
      </w:r>
    </w:p>
    <w:p w:rsidR="00840F50" w:rsidRPr="00840F50" w:rsidP="00840F50">
      <w:pPr>
        <w:snapToGrid w:val="0"/>
        <w:spacing w:line="360" w:lineRule="auto"/>
        <w:ind w:firstLine="420"/>
        <w:rPr>
          <w:rFonts w:ascii="Calibri" w:eastAsia="宋体" w:hAnsi="Calibri" w:cs="Times New Roman"/>
          <w:szCs w:val="21"/>
        </w:rPr>
      </w:pP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2</w:t>
      </w:r>
      <w:r w:rsidRPr="00840F50">
        <w:rPr>
          <w:rFonts w:ascii="Calibri" w:eastAsia="宋体" w:hAnsi="Calibri" w:cs="Times New Roman" w:hint="eastAsia"/>
          <w:szCs w:val="21"/>
        </w:rPr>
        <w:t>、技术服务</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技术服务内容包括但不限于技术支待、缺陷修改、图件成果更新、研究成果培训方面的工作。乙方应满足甲方提出的业务需求，新增业务需求不超过总需求的百分之十。</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3</w:t>
      </w:r>
      <w:r w:rsidRPr="00840F50">
        <w:rPr>
          <w:rFonts w:ascii="Calibri" w:eastAsia="宋体" w:hAnsi="Calibri" w:cs="Times New Roman" w:hint="eastAsia"/>
          <w:szCs w:val="21"/>
        </w:rPr>
        <w:t>、售后服务</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从项目成果通过终验合格之日起开始计算，乙方对提交的研究成果提供为期</w:t>
      </w:r>
      <w:r w:rsidRPr="00840F50">
        <w:rPr>
          <w:rFonts w:ascii="Calibri" w:eastAsia="宋体" w:hAnsi="Calibri" w:cs="Times New Roman" w:hint="eastAsia"/>
          <w:szCs w:val="21"/>
        </w:rPr>
        <w:t>1</w:t>
      </w:r>
      <w:r w:rsidRPr="00840F50">
        <w:rPr>
          <w:rFonts w:ascii="Calibri" w:eastAsia="宋体" w:hAnsi="Calibri" w:cs="Times New Roman" w:hint="eastAsia"/>
          <w:szCs w:val="21"/>
        </w:rPr>
        <w:t>年的质保期。乙方在质量保修期对数据产品提供免费售后保障服务。在接到招标方的通知后，中标方技术人员应提供</w:t>
      </w:r>
      <w:r w:rsidRPr="00840F50">
        <w:rPr>
          <w:rFonts w:ascii="Calibri" w:eastAsia="宋体" w:hAnsi="Calibri" w:cs="Times New Roman" w:hint="eastAsia"/>
          <w:szCs w:val="21"/>
        </w:rPr>
        <w:t>7*24</w:t>
      </w:r>
      <w:r w:rsidRPr="00840F50">
        <w:rPr>
          <w:rFonts w:ascii="Calibri" w:eastAsia="宋体" w:hAnsi="Calibri" w:cs="Times New Roman" w:hint="eastAsia"/>
          <w:szCs w:val="21"/>
        </w:rPr>
        <w:t>小时的服务响应，随时进行电话应答。中标方应提供热线电话或</w:t>
      </w:r>
      <w:r w:rsidRPr="00840F50">
        <w:rPr>
          <w:rFonts w:ascii="Calibri" w:eastAsia="宋体" w:hAnsi="Calibri" w:cs="Times New Roman" w:hint="eastAsia"/>
          <w:szCs w:val="21"/>
        </w:rPr>
        <w:t>Email</w:t>
      </w:r>
      <w:r w:rsidRPr="00840F50">
        <w:rPr>
          <w:rFonts w:ascii="Calibri" w:eastAsia="宋体" w:hAnsi="Calibri" w:cs="Times New Roman" w:hint="eastAsia"/>
          <w:szCs w:val="21"/>
        </w:rPr>
        <w:t>、传真或其它联系途径，随时回答采购人各种技术问题并在</w:t>
      </w:r>
      <w:r w:rsidRPr="00840F50">
        <w:rPr>
          <w:rFonts w:ascii="Calibri" w:eastAsia="宋体" w:hAnsi="Calibri" w:cs="Times New Roman" w:hint="eastAsia"/>
          <w:szCs w:val="21"/>
        </w:rPr>
        <w:t>24</w:t>
      </w:r>
      <w:r w:rsidRPr="00840F50">
        <w:rPr>
          <w:rFonts w:ascii="Calibri" w:eastAsia="宋体" w:hAnsi="Calibri" w:cs="Times New Roman" w:hint="eastAsia"/>
          <w:szCs w:val="21"/>
        </w:rPr>
        <w:t>小时内提出解决方案。</w:t>
      </w:r>
    </w:p>
    <w:p w:rsidR="00840F50" w:rsidRPr="00B50FF6" w:rsidP="00B50FF6">
      <w:pPr>
        <w:adjustRightInd w:val="0"/>
        <w:snapToGrid w:val="0"/>
        <w:spacing w:line="360" w:lineRule="auto"/>
        <w:ind w:firstLine="412" w:firstLineChars="196"/>
        <w:rPr>
          <w:rFonts w:ascii="Times New Roman" w:eastAsia="宋体" w:hAnsi="Times New Roman" w:cs="Times New Roman"/>
          <w:b/>
          <w:szCs w:val="20"/>
        </w:rPr>
      </w:pPr>
      <w:bookmarkStart w:id="88" w:name="_Toc54710618"/>
      <w:bookmarkStart w:id="89" w:name="_Toc74919801"/>
      <w:r w:rsidRPr="00B50FF6">
        <w:rPr>
          <w:rFonts w:ascii="Times New Roman" w:eastAsia="宋体" w:hAnsi="Times New Roman" w:cs="Times New Roman" w:hint="eastAsia"/>
          <w:b/>
          <w:szCs w:val="20"/>
        </w:rPr>
        <w:t>四</w:t>
      </w:r>
      <w:r w:rsidRPr="00B50FF6">
        <w:rPr>
          <w:rFonts w:ascii="Times New Roman" w:eastAsia="宋体" w:hAnsi="Times New Roman" w:cs="Times New Roman"/>
          <w:b/>
          <w:szCs w:val="20"/>
        </w:rPr>
        <w:t>、研究开发经费、报酬及其支付或结算方式</w:t>
      </w:r>
      <w:bookmarkEnd w:id="88"/>
      <w:bookmarkEnd w:id="89"/>
    </w:p>
    <w:p w:rsidR="00840F50" w:rsidRPr="00840F50" w:rsidP="00840F50">
      <w:pPr>
        <w:snapToGrid w:val="0"/>
        <w:spacing w:line="360" w:lineRule="auto"/>
        <w:ind w:firstLine="420"/>
        <w:rPr>
          <w:rFonts w:ascii="Calibri" w:eastAsia="宋体" w:hAnsi="Calibri" w:cs="Times New Roman"/>
          <w:szCs w:val="21"/>
        </w:rPr>
      </w:pPr>
      <w:bookmarkStart w:id="90" w:name="_Toc74919802"/>
      <w:bookmarkStart w:id="91" w:name="_Toc54710619"/>
      <w:r w:rsidRPr="00840F50">
        <w:rPr>
          <w:rFonts w:ascii="Calibri" w:eastAsia="宋体" w:hAnsi="Calibri" w:cs="Times New Roman"/>
          <w:szCs w:val="21"/>
        </w:rPr>
        <w:t>1</w:t>
      </w:r>
      <w:r w:rsidRPr="00840F50">
        <w:rPr>
          <w:rFonts w:ascii="Calibri" w:eastAsia="宋体" w:hAnsi="Calibri" w:cs="Times New Roman"/>
          <w:szCs w:val="21"/>
        </w:rPr>
        <w:t>、费用合计</w:t>
      </w:r>
      <w:bookmarkEnd w:id="90"/>
      <w:bookmarkEnd w:id="91"/>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本项目建设经费全部为技术开发费用，合计为人民币（大写）：</w:t>
      </w:r>
      <w:r w:rsidRPr="00B50FF6">
        <w:rPr>
          <w:rFonts w:ascii="Calibri" w:eastAsia="宋体" w:hAnsi="Calibri" w:cs="Times New Roman"/>
          <w:szCs w:val="21"/>
          <w:u w:val="single"/>
        </w:rPr>
        <w:t xml:space="preserve"> </w:t>
      </w:r>
      <w:r w:rsidRPr="00B50FF6">
        <w:rPr>
          <w:rFonts w:ascii="Calibri" w:eastAsia="宋体" w:hAnsi="Calibri" w:cs="Times New Roman" w:hint="eastAsia"/>
          <w:szCs w:val="21"/>
          <w:u w:val="single"/>
        </w:rPr>
        <w:t xml:space="preserve">           </w:t>
      </w:r>
      <w:r w:rsidRPr="00B50FF6">
        <w:rPr>
          <w:rFonts w:ascii="Calibri" w:eastAsia="宋体" w:hAnsi="Calibri" w:cs="Times New Roman"/>
          <w:szCs w:val="21"/>
          <w:u w:val="single"/>
        </w:rPr>
        <w:t xml:space="preserve">  </w:t>
      </w:r>
    </w:p>
    <w:p w:rsidR="00840F50" w:rsidRPr="00840F50" w:rsidP="00840F50">
      <w:pPr>
        <w:snapToGrid w:val="0"/>
        <w:spacing w:line="360" w:lineRule="auto"/>
        <w:ind w:firstLine="420"/>
        <w:rPr>
          <w:rFonts w:ascii="Calibri" w:eastAsia="宋体" w:hAnsi="Calibri" w:cs="Times New Roman"/>
          <w:szCs w:val="21"/>
        </w:rPr>
      </w:pPr>
      <w:bookmarkStart w:id="92" w:name="_Toc74919803"/>
      <w:bookmarkStart w:id="93" w:name="_Toc54710620"/>
      <w:r w:rsidRPr="00840F50">
        <w:rPr>
          <w:rFonts w:ascii="Calibri" w:eastAsia="宋体" w:hAnsi="Calibri" w:cs="Times New Roman"/>
          <w:szCs w:val="21"/>
        </w:rPr>
        <w:t>2</w:t>
      </w:r>
      <w:r w:rsidRPr="00840F50">
        <w:rPr>
          <w:rFonts w:ascii="Calibri" w:eastAsia="宋体" w:hAnsi="Calibri" w:cs="Times New Roman"/>
          <w:szCs w:val="21"/>
        </w:rPr>
        <w:t>、支付方式</w:t>
      </w:r>
      <w:bookmarkEnd w:id="92"/>
      <w:bookmarkEnd w:id="93"/>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本项目的建设费用分</w:t>
      </w:r>
      <w:r w:rsidRPr="00840F50">
        <w:rPr>
          <w:rFonts w:ascii="Calibri" w:eastAsia="宋体" w:hAnsi="Calibri" w:cs="Times New Roman" w:hint="eastAsia"/>
          <w:szCs w:val="21"/>
        </w:rPr>
        <w:t>三</w:t>
      </w:r>
      <w:r w:rsidRPr="00840F50">
        <w:rPr>
          <w:rFonts w:ascii="Calibri" w:eastAsia="宋体" w:hAnsi="Calibri" w:cs="Times New Roman"/>
          <w:szCs w:val="21"/>
        </w:rPr>
        <w:t>期支付，具体支付时间如下：</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1</w:t>
      </w:r>
      <w:r w:rsidRPr="00840F50">
        <w:rPr>
          <w:rFonts w:ascii="Calibri" w:eastAsia="宋体" w:hAnsi="Calibri" w:cs="Times New Roman"/>
          <w:szCs w:val="21"/>
        </w:rPr>
        <w:t>）双方合同签订后的</w:t>
      </w:r>
      <w:r w:rsidRPr="00840F50">
        <w:rPr>
          <w:rFonts w:ascii="Calibri" w:eastAsia="宋体" w:hAnsi="Calibri" w:cs="Times New Roman"/>
          <w:szCs w:val="21"/>
        </w:rPr>
        <w:t>15</w:t>
      </w:r>
      <w:r w:rsidRPr="00840F50">
        <w:rPr>
          <w:rFonts w:ascii="Calibri" w:eastAsia="宋体" w:hAnsi="Calibri" w:cs="Times New Roman"/>
          <w:szCs w:val="21"/>
        </w:rPr>
        <w:t>个工作日内，甲方支付</w:t>
      </w:r>
      <w:r w:rsidRPr="00840F50">
        <w:rPr>
          <w:rFonts w:ascii="Calibri" w:eastAsia="宋体" w:hAnsi="Calibri" w:cs="Times New Roman" w:hint="eastAsia"/>
          <w:szCs w:val="21"/>
        </w:rPr>
        <w:t>首期研发费用</w:t>
      </w:r>
      <w:r w:rsidRPr="00840F50">
        <w:rPr>
          <w:rFonts w:ascii="Calibri" w:eastAsia="宋体" w:hAnsi="Calibri" w:cs="Times New Roman"/>
          <w:szCs w:val="21"/>
        </w:rPr>
        <w:t>到乙方指定的账号，占全部建设费用的</w:t>
      </w:r>
      <w:r w:rsidRPr="00840F50">
        <w:rPr>
          <w:rFonts w:ascii="Calibri" w:eastAsia="宋体" w:hAnsi="Calibri" w:cs="Times New Roman"/>
          <w:szCs w:val="21"/>
        </w:rPr>
        <w:t>70%</w:t>
      </w:r>
      <w:r w:rsidRPr="00840F50">
        <w:rPr>
          <w:rFonts w:ascii="Calibri" w:eastAsia="宋体" w:hAnsi="Calibri" w:cs="Times New Roman"/>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2</w:t>
      </w:r>
      <w:r w:rsidRPr="00840F50">
        <w:rPr>
          <w:rFonts w:ascii="Calibri" w:eastAsia="宋体" w:hAnsi="Calibri" w:cs="Times New Roman"/>
          <w:szCs w:val="21"/>
        </w:rPr>
        <w:t>）</w:t>
      </w:r>
      <w:r w:rsidRPr="00F516D0" w:rsidR="00F516D0">
        <w:rPr>
          <w:rFonts w:ascii="Calibri" w:eastAsia="宋体" w:hAnsi="Calibri" w:cs="Times New Roman" w:hint="eastAsia"/>
          <w:szCs w:val="21"/>
        </w:rPr>
        <w:t>完成农业气候区划成果的整理汇编后，甲方在</w:t>
      </w:r>
      <w:r w:rsidRPr="00F516D0" w:rsidR="00F516D0">
        <w:rPr>
          <w:rFonts w:ascii="Calibri" w:eastAsia="宋体" w:hAnsi="Calibri" w:cs="Times New Roman" w:hint="eastAsia"/>
          <w:szCs w:val="21"/>
        </w:rPr>
        <w:t>15</w:t>
      </w:r>
      <w:r w:rsidRPr="00F516D0" w:rsidR="00F516D0">
        <w:rPr>
          <w:rFonts w:ascii="Calibri" w:eastAsia="宋体" w:hAnsi="Calibri" w:cs="Times New Roman" w:hint="eastAsia"/>
          <w:szCs w:val="21"/>
        </w:rPr>
        <w:t>个工作日内支付第二期研发费用到乙方指定的账号，占全部建设费用的</w:t>
      </w:r>
      <w:r w:rsidRPr="00F516D0" w:rsidR="00F516D0">
        <w:rPr>
          <w:rFonts w:ascii="Calibri" w:eastAsia="宋体" w:hAnsi="Calibri" w:cs="Times New Roman" w:hint="eastAsia"/>
          <w:szCs w:val="21"/>
        </w:rPr>
        <w:t>15%</w:t>
      </w:r>
      <w:r w:rsidRPr="00F516D0" w:rsidR="00F516D0">
        <w:rPr>
          <w:rFonts w:ascii="Calibri" w:eastAsia="宋体" w:hAnsi="Calibri" w:cs="Times New Roman" w:hint="eastAsia"/>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w:t>
      </w:r>
      <w:r w:rsidRPr="00840F50">
        <w:rPr>
          <w:rFonts w:ascii="Calibri" w:eastAsia="宋体" w:hAnsi="Calibri" w:cs="Times New Roman" w:hint="eastAsia"/>
          <w:szCs w:val="21"/>
        </w:rPr>
        <w:t>3</w:t>
      </w:r>
      <w:r w:rsidRPr="00840F50">
        <w:rPr>
          <w:rFonts w:ascii="Calibri" w:eastAsia="宋体" w:hAnsi="Calibri" w:cs="Times New Roman" w:hint="eastAsia"/>
          <w:szCs w:val="21"/>
        </w:rPr>
        <w:t>）中期验收专家评审通过后，甲方在</w:t>
      </w:r>
      <w:r w:rsidRPr="00840F50">
        <w:rPr>
          <w:rFonts w:ascii="Calibri" w:eastAsia="宋体" w:hAnsi="Calibri" w:cs="Times New Roman" w:hint="eastAsia"/>
          <w:szCs w:val="21"/>
        </w:rPr>
        <w:t>15</w:t>
      </w:r>
      <w:r w:rsidRPr="00840F50">
        <w:rPr>
          <w:rFonts w:ascii="Calibri" w:eastAsia="宋体" w:hAnsi="Calibri" w:cs="Times New Roman" w:hint="eastAsia"/>
          <w:szCs w:val="21"/>
        </w:rPr>
        <w:t>个工作日内支付第三期研发</w:t>
      </w:r>
      <w:r w:rsidRPr="00840F50">
        <w:rPr>
          <w:rFonts w:ascii="Calibri" w:eastAsia="宋体" w:hAnsi="Calibri" w:cs="Times New Roman"/>
          <w:szCs w:val="21"/>
        </w:rPr>
        <w:t>费用</w:t>
      </w:r>
      <w:r w:rsidRPr="00840F50">
        <w:rPr>
          <w:rFonts w:ascii="Calibri" w:eastAsia="宋体" w:hAnsi="Calibri" w:cs="Times New Roman" w:hint="eastAsia"/>
          <w:szCs w:val="21"/>
        </w:rPr>
        <w:t>到乙方指定的账号，占全部建设费用</w:t>
      </w:r>
      <w:r w:rsidRPr="00840F50">
        <w:rPr>
          <w:rFonts w:ascii="Calibri" w:eastAsia="宋体" w:hAnsi="Calibri" w:cs="Times New Roman" w:hint="eastAsia"/>
          <w:szCs w:val="21"/>
        </w:rPr>
        <w:t>1</w:t>
      </w:r>
      <w:r w:rsidRPr="00840F50">
        <w:rPr>
          <w:rFonts w:ascii="Calibri" w:eastAsia="宋体" w:hAnsi="Calibri" w:cs="Times New Roman"/>
          <w:szCs w:val="21"/>
        </w:rPr>
        <w:t>5</w:t>
      </w:r>
      <w:r w:rsidRPr="00840F50">
        <w:rPr>
          <w:rFonts w:ascii="Calibri" w:eastAsia="宋体" w:hAnsi="Calibri" w:cs="Times New Roman" w:hint="eastAsia"/>
          <w:szCs w:val="21"/>
        </w:rPr>
        <w:t>%</w:t>
      </w:r>
      <w:r w:rsidRPr="00840F50">
        <w:rPr>
          <w:rFonts w:ascii="Calibri" w:eastAsia="宋体" w:hAnsi="Calibri" w:cs="Times New Roman" w:hint="eastAsia"/>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3</w:t>
      </w:r>
      <w:r w:rsidRPr="00840F50">
        <w:rPr>
          <w:rFonts w:ascii="Calibri" w:eastAsia="宋体" w:hAnsi="Calibri" w:cs="Times New Roman"/>
          <w:szCs w:val="21"/>
        </w:rPr>
        <w:t>、履约保证金</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1</w:t>
      </w:r>
      <w:r w:rsidRPr="00840F50">
        <w:rPr>
          <w:rFonts w:ascii="Calibri" w:eastAsia="宋体" w:hAnsi="Calibri" w:cs="Times New Roman"/>
          <w:szCs w:val="21"/>
        </w:rPr>
        <w:t>）乙方（或中标人）收到合同甲方首付款后应在</w:t>
      </w:r>
      <w:r w:rsidR="00F516D0">
        <w:rPr>
          <w:rFonts w:ascii="Calibri" w:eastAsia="宋体" w:hAnsi="Calibri" w:cs="Times New Roman"/>
          <w:szCs w:val="21"/>
        </w:rPr>
        <w:t xml:space="preserve">  </w:t>
      </w:r>
      <w:r w:rsidRPr="00840F50">
        <w:rPr>
          <w:rFonts w:ascii="Calibri" w:eastAsia="宋体" w:hAnsi="Calibri" w:cs="Times New Roman"/>
          <w:szCs w:val="21"/>
        </w:rPr>
        <w:t>个工作日内，以信汇、电汇或履约保函形式向甲方提供合同总价</w:t>
      </w:r>
      <w:r w:rsidR="00F516D0">
        <w:rPr>
          <w:rFonts w:ascii="Calibri" w:eastAsia="宋体" w:hAnsi="Calibri" w:cs="Times New Roman"/>
          <w:szCs w:val="21"/>
        </w:rPr>
        <w:t xml:space="preserve">  </w:t>
      </w:r>
      <w:r w:rsidRPr="00840F50">
        <w:rPr>
          <w:rFonts w:ascii="Calibri" w:eastAsia="宋体" w:hAnsi="Calibri" w:cs="Times New Roman"/>
          <w:szCs w:val="21"/>
        </w:rPr>
        <w:t>的履约保证金。</w:t>
      </w:r>
      <w:r w:rsidRPr="00840F50">
        <w:rPr>
          <w:rFonts w:ascii="Calibri" w:eastAsia="宋体" w:hAnsi="Calibri" w:cs="Times New Roman" w:hint="eastAsia"/>
          <w:szCs w:val="21"/>
        </w:rPr>
        <w:t>若以履约保函形式提供，保函有效期至</w:t>
      </w:r>
      <w:r w:rsidR="00F516D0">
        <w:rPr>
          <w:rFonts w:ascii="Calibri" w:eastAsia="宋体" w:hAnsi="Calibri" w:cs="Times New Roman"/>
          <w:szCs w:val="21"/>
        </w:rPr>
        <w:t xml:space="preserve">  </w:t>
      </w:r>
      <w:r w:rsidRPr="00840F50">
        <w:rPr>
          <w:rFonts w:ascii="Calibri" w:eastAsia="宋体" w:hAnsi="Calibri" w:cs="Times New Roman" w:hint="eastAsia"/>
          <w:szCs w:val="21"/>
        </w:rPr>
        <w:t>年</w:t>
      </w:r>
      <w:r w:rsidR="00F516D0">
        <w:rPr>
          <w:rFonts w:ascii="Calibri" w:eastAsia="宋体" w:hAnsi="Calibri" w:cs="Times New Roman"/>
          <w:szCs w:val="21"/>
        </w:rPr>
        <w:t xml:space="preserve">  </w:t>
      </w:r>
      <w:r w:rsidRPr="00840F50">
        <w:rPr>
          <w:rFonts w:ascii="Calibri" w:eastAsia="宋体" w:hAnsi="Calibri" w:cs="Times New Roman" w:hint="eastAsia"/>
          <w:szCs w:val="21"/>
        </w:rPr>
        <w:t>月</w:t>
      </w:r>
      <w:r w:rsidR="00F516D0">
        <w:rPr>
          <w:rFonts w:ascii="Calibri" w:eastAsia="宋体" w:hAnsi="Calibri" w:cs="Times New Roman"/>
          <w:szCs w:val="21"/>
        </w:rPr>
        <w:t xml:space="preserve">  </w:t>
      </w:r>
      <w:r w:rsidRPr="00840F50">
        <w:rPr>
          <w:rFonts w:ascii="Calibri" w:eastAsia="宋体" w:hAnsi="Calibri" w:cs="Times New Roman" w:hint="eastAsia"/>
          <w:szCs w:val="21"/>
        </w:rPr>
        <w:t>日。</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2</w:t>
      </w:r>
      <w:r w:rsidRPr="00840F50">
        <w:rPr>
          <w:rFonts w:ascii="Calibri" w:eastAsia="宋体" w:hAnsi="Calibri" w:cs="Times New Roman"/>
          <w:szCs w:val="21"/>
        </w:rPr>
        <w:t>）本项目不允许分包或转包，如果中标人在与甲方签定合同以后，将项目分包或转包或变相分包或转包给第三方，甲方将有充分理由终止合同，并没收其履约保证金。</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3</w:t>
      </w:r>
      <w:r w:rsidRPr="00840F50">
        <w:rPr>
          <w:rFonts w:ascii="Calibri" w:eastAsia="宋体" w:hAnsi="Calibri" w:cs="Times New Roman"/>
          <w:szCs w:val="21"/>
        </w:rPr>
        <w:t>）如乙方未能完全履行合同规定的义务，甲方有权从履约保证金中得到补偿。</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4</w:t>
      </w:r>
      <w:r w:rsidRPr="00840F50">
        <w:rPr>
          <w:rFonts w:ascii="Calibri" w:eastAsia="宋体" w:hAnsi="Calibri" w:cs="Times New Roman"/>
          <w:szCs w:val="21"/>
        </w:rPr>
        <w:t>）履约保证金应采用以本合同货币表示、用银行保函或不可撤销的信用证的方式提交</w:t>
      </w:r>
      <w:r w:rsidRPr="00840F50">
        <w:rPr>
          <w:rFonts w:ascii="Calibri" w:eastAsia="宋体" w:hAnsi="Calibri" w:cs="Times New Roman"/>
          <w:szCs w:val="21"/>
        </w:rPr>
        <w:t>,</w:t>
      </w:r>
      <w:r w:rsidRPr="00840F50">
        <w:rPr>
          <w:rFonts w:ascii="Calibri" w:eastAsia="宋体" w:hAnsi="Calibri" w:cs="Times New Roman"/>
          <w:szCs w:val="21"/>
        </w:rPr>
        <w:t>由甲方可接受的、在中华人民共和国注册和营业的省、市级别以上银行开出。其格式采用招标文件提供的格式或其他甲方可接受的格式。</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5</w:t>
      </w:r>
      <w:r w:rsidRPr="00840F50">
        <w:rPr>
          <w:rFonts w:ascii="Calibri" w:eastAsia="宋体" w:hAnsi="Calibri" w:cs="Times New Roman"/>
          <w:szCs w:val="21"/>
        </w:rPr>
        <w:t>）在合同验收通过后</w:t>
      </w:r>
      <w:r w:rsidR="00F516D0">
        <w:rPr>
          <w:rFonts w:ascii="Calibri" w:eastAsia="宋体" w:hAnsi="Calibri" w:cs="Times New Roman" w:hint="eastAsia"/>
          <w:szCs w:val="21"/>
        </w:rPr>
        <w:t xml:space="preserve"> </w:t>
      </w:r>
      <w:r w:rsidR="00F516D0">
        <w:rPr>
          <w:rFonts w:ascii="Calibri" w:eastAsia="宋体" w:hAnsi="Calibri" w:cs="Times New Roman"/>
          <w:szCs w:val="21"/>
        </w:rPr>
        <w:t xml:space="preserve">  </w:t>
      </w:r>
      <w:r w:rsidRPr="00840F50">
        <w:rPr>
          <w:rFonts w:ascii="Calibri" w:eastAsia="宋体" w:hAnsi="Calibri" w:cs="Times New Roman"/>
          <w:szCs w:val="21"/>
        </w:rPr>
        <w:t>个工作日内，甲方将把履约保证金退还乙方。</w:t>
      </w:r>
    </w:p>
    <w:p w:rsidR="00840F50" w:rsidRPr="00B50FF6" w:rsidP="00B50FF6">
      <w:pPr>
        <w:adjustRightInd w:val="0"/>
        <w:snapToGrid w:val="0"/>
        <w:spacing w:line="360" w:lineRule="auto"/>
        <w:ind w:firstLine="412" w:firstLineChars="196"/>
        <w:rPr>
          <w:rFonts w:ascii="Times New Roman" w:eastAsia="宋体" w:hAnsi="Times New Roman" w:cs="Times New Roman"/>
          <w:b/>
          <w:szCs w:val="20"/>
        </w:rPr>
      </w:pPr>
      <w:bookmarkStart w:id="94" w:name="_Toc74919805"/>
      <w:bookmarkStart w:id="95" w:name="_Toc54710622"/>
      <w:r>
        <w:rPr>
          <w:rFonts w:ascii="Times New Roman" w:eastAsia="宋体" w:hAnsi="Times New Roman" w:cs="Times New Roman" w:hint="eastAsia"/>
          <w:b/>
          <w:szCs w:val="20"/>
        </w:rPr>
        <w:t>五</w:t>
      </w:r>
      <w:r w:rsidRPr="00B50FF6">
        <w:rPr>
          <w:rFonts w:ascii="Times New Roman" w:eastAsia="宋体" w:hAnsi="Times New Roman" w:cs="Times New Roman"/>
          <w:b/>
          <w:szCs w:val="20"/>
        </w:rPr>
        <w:t>、履行期限、地点和方式</w:t>
      </w:r>
      <w:bookmarkEnd w:id="94"/>
      <w:bookmarkEnd w:id="95"/>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1</w:t>
      </w:r>
      <w:r w:rsidRPr="00840F50">
        <w:rPr>
          <w:rFonts w:ascii="Calibri" w:eastAsia="宋体" w:hAnsi="Calibri" w:cs="Times New Roman"/>
          <w:szCs w:val="21"/>
        </w:rPr>
        <w:t>、本合同自</w:t>
      </w:r>
      <w:r w:rsidRPr="00840F50">
        <w:rPr>
          <w:rFonts w:ascii="Calibri" w:eastAsia="宋体" w:hAnsi="Calibri" w:cs="Times New Roman"/>
          <w:szCs w:val="21"/>
        </w:rPr>
        <w:t xml:space="preserve"> 202</w:t>
      </w:r>
      <w:r w:rsidRPr="00840F50">
        <w:rPr>
          <w:rFonts w:ascii="Calibri" w:eastAsia="宋体" w:hAnsi="Calibri" w:cs="Times New Roman" w:hint="eastAsia"/>
          <w:szCs w:val="21"/>
        </w:rPr>
        <w:t>5</w:t>
      </w:r>
      <w:r w:rsidRPr="00840F50">
        <w:rPr>
          <w:rFonts w:ascii="Calibri" w:eastAsia="宋体" w:hAnsi="Calibri" w:cs="Times New Roman"/>
          <w:szCs w:val="21"/>
        </w:rPr>
        <w:t xml:space="preserve"> </w:t>
      </w:r>
      <w:r w:rsidRPr="00840F50">
        <w:rPr>
          <w:rFonts w:ascii="Calibri" w:eastAsia="宋体" w:hAnsi="Calibri" w:cs="Times New Roman"/>
          <w:szCs w:val="21"/>
        </w:rPr>
        <w:t>年</w:t>
      </w:r>
      <w:r w:rsidRPr="00840F50">
        <w:rPr>
          <w:rFonts w:ascii="Calibri" w:eastAsia="宋体" w:hAnsi="Calibri" w:cs="Times New Roman"/>
          <w:szCs w:val="21"/>
        </w:rPr>
        <w:t xml:space="preserve"> </w:t>
      </w:r>
      <w:r w:rsidRPr="00840F50">
        <w:rPr>
          <w:rFonts w:ascii="Calibri" w:eastAsia="宋体" w:hAnsi="Calibri" w:cs="Times New Roman" w:hint="eastAsia"/>
          <w:szCs w:val="21"/>
        </w:rPr>
        <w:t>7</w:t>
      </w:r>
      <w:r w:rsidRPr="00840F50">
        <w:rPr>
          <w:rFonts w:ascii="Calibri" w:eastAsia="宋体" w:hAnsi="Calibri" w:cs="Times New Roman"/>
          <w:szCs w:val="21"/>
        </w:rPr>
        <w:t xml:space="preserve"> </w:t>
      </w:r>
      <w:r w:rsidRPr="00840F50">
        <w:rPr>
          <w:rFonts w:ascii="Calibri" w:eastAsia="宋体" w:hAnsi="Calibri" w:cs="Times New Roman"/>
          <w:szCs w:val="21"/>
        </w:rPr>
        <w:t>月</w:t>
      </w:r>
      <w:r w:rsidRPr="00840F50">
        <w:rPr>
          <w:rFonts w:ascii="Calibri" w:eastAsia="宋体" w:hAnsi="Calibri" w:cs="Times New Roman"/>
          <w:szCs w:val="21"/>
        </w:rPr>
        <w:t xml:space="preserve">   </w:t>
      </w:r>
      <w:r w:rsidRPr="00840F50">
        <w:rPr>
          <w:rFonts w:ascii="Calibri" w:eastAsia="宋体" w:hAnsi="Calibri" w:cs="Times New Roman"/>
          <w:szCs w:val="21"/>
        </w:rPr>
        <w:t>日至</w:t>
      </w:r>
      <w:r w:rsidRPr="00840F50">
        <w:rPr>
          <w:rFonts w:ascii="Calibri" w:eastAsia="宋体" w:hAnsi="Calibri" w:cs="Times New Roman"/>
          <w:szCs w:val="21"/>
        </w:rPr>
        <w:t xml:space="preserve"> 202</w:t>
      </w:r>
      <w:r w:rsidRPr="00840F50">
        <w:rPr>
          <w:rFonts w:ascii="Calibri" w:eastAsia="宋体" w:hAnsi="Calibri" w:cs="Times New Roman" w:hint="eastAsia"/>
          <w:szCs w:val="21"/>
        </w:rPr>
        <w:t>6</w:t>
      </w:r>
      <w:r w:rsidRPr="00840F50">
        <w:rPr>
          <w:rFonts w:ascii="Calibri" w:eastAsia="宋体" w:hAnsi="Calibri" w:cs="Times New Roman"/>
          <w:szCs w:val="21"/>
        </w:rPr>
        <w:t xml:space="preserve"> </w:t>
      </w:r>
      <w:r w:rsidRPr="00840F50">
        <w:rPr>
          <w:rFonts w:ascii="Calibri" w:eastAsia="宋体" w:hAnsi="Calibri" w:cs="Times New Roman"/>
          <w:szCs w:val="21"/>
        </w:rPr>
        <w:t>年</w:t>
      </w:r>
      <w:r w:rsidRPr="00840F50">
        <w:rPr>
          <w:rFonts w:ascii="Calibri" w:eastAsia="宋体" w:hAnsi="Calibri" w:cs="Times New Roman"/>
          <w:szCs w:val="21"/>
        </w:rPr>
        <w:t xml:space="preserve"> 6 </w:t>
      </w:r>
      <w:r w:rsidRPr="00840F50">
        <w:rPr>
          <w:rFonts w:ascii="Calibri" w:eastAsia="宋体" w:hAnsi="Calibri" w:cs="Times New Roman"/>
          <w:szCs w:val="21"/>
        </w:rPr>
        <w:t>月</w:t>
      </w:r>
      <w:r w:rsidRPr="00840F50">
        <w:rPr>
          <w:rFonts w:ascii="Calibri" w:eastAsia="宋体" w:hAnsi="Calibri" w:cs="Times New Roman"/>
          <w:szCs w:val="21"/>
        </w:rPr>
        <w:t xml:space="preserve"> 30  </w:t>
      </w:r>
      <w:r w:rsidRPr="00840F50">
        <w:rPr>
          <w:rFonts w:ascii="Calibri" w:eastAsia="宋体" w:hAnsi="Calibri" w:cs="Times New Roman"/>
          <w:szCs w:val="21"/>
        </w:rPr>
        <w:t>日在北京履行。</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2</w:t>
      </w:r>
      <w:r w:rsidRPr="00840F50">
        <w:rPr>
          <w:rFonts w:ascii="Calibri" w:eastAsia="宋体" w:hAnsi="Calibri" w:cs="Times New Roman"/>
          <w:szCs w:val="21"/>
        </w:rPr>
        <w:t>、本合同技术成果包括：</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1</w:t>
      </w:r>
      <w:r w:rsidRPr="00840F50">
        <w:rPr>
          <w:rFonts w:ascii="Calibri" w:eastAsia="宋体" w:hAnsi="Calibri" w:cs="Times New Roman"/>
          <w:szCs w:val="21"/>
        </w:rPr>
        <w:t>）</w:t>
      </w:r>
      <w:r w:rsidRPr="00840F50">
        <w:rPr>
          <w:rFonts w:ascii="Calibri" w:eastAsia="宋体" w:hAnsi="Calibri" w:cs="Times New Roman" w:hint="eastAsia"/>
          <w:szCs w:val="21"/>
        </w:rPr>
        <w:t>农业气候区划技术研发类</w:t>
      </w:r>
      <w:r w:rsidRPr="00840F50">
        <w:rPr>
          <w:rFonts w:ascii="Calibri" w:eastAsia="宋体" w:hAnsi="Calibri" w:cs="Times New Roman" w:hint="eastAsia"/>
          <w:szCs w:val="21"/>
        </w:rPr>
        <w:t>2025</w:t>
      </w:r>
      <w:r w:rsidRPr="00840F50">
        <w:rPr>
          <w:rFonts w:ascii="Calibri" w:eastAsia="宋体" w:hAnsi="Calibri" w:cs="Times New Roman" w:hint="eastAsia"/>
          <w:szCs w:val="21"/>
        </w:rPr>
        <w:t>年委托服务项目</w:t>
      </w:r>
      <w:r w:rsidRPr="00840F50">
        <w:rPr>
          <w:rFonts w:ascii="Calibri" w:eastAsia="宋体" w:hAnsi="Calibri" w:cs="Times New Roman"/>
          <w:szCs w:val="21"/>
        </w:rPr>
        <w:t>的完成内容包括：经</w:t>
      </w:r>
      <w:r w:rsidRPr="00840F50">
        <w:rPr>
          <w:rFonts w:ascii="Calibri" w:eastAsia="宋体" w:hAnsi="Calibri" w:cs="Times New Roman" w:hint="eastAsia"/>
          <w:szCs w:val="21"/>
        </w:rPr>
        <w:t>核对</w:t>
      </w:r>
      <w:r w:rsidRPr="00840F50">
        <w:rPr>
          <w:rFonts w:ascii="Calibri" w:eastAsia="宋体" w:hAnsi="Calibri" w:cs="Times New Roman"/>
          <w:szCs w:val="21"/>
        </w:rPr>
        <w:t>、完整的</w:t>
      </w:r>
      <w:r w:rsidRPr="00840F50">
        <w:rPr>
          <w:rFonts w:ascii="Calibri" w:eastAsia="宋体" w:hAnsi="Calibri" w:cs="Times New Roman" w:hint="eastAsia"/>
          <w:szCs w:val="21"/>
        </w:rPr>
        <w:t>技</w:t>
      </w:r>
      <w:r w:rsidRPr="00840F50">
        <w:rPr>
          <w:rFonts w:ascii="Calibri" w:eastAsia="宋体" w:hAnsi="Calibri" w:cs="Times New Roman" w:hint="eastAsia"/>
          <w:szCs w:val="21"/>
        </w:rPr>
        <w:t>术规范文档、数据产品和图件成果</w:t>
      </w:r>
      <w:r w:rsidRPr="00840F50">
        <w:rPr>
          <w:rFonts w:ascii="Calibri" w:eastAsia="宋体" w:hAnsi="Calibri" w:cs="Times New Roman"/>
          <w:szCs w:val="21"/>
        </w:rPr>
        <w:t>，各类</w:t>
      </w:r>
      <w:r w:rsidRPr="00840F50">
        <w:rPr>
          <w:rFonts w:ascii="Calibri" w:eastAsia="宋体" w:hAnsi="Calibri" w:cs="Times New Roman" w:hint="eastAsia"/>
          <w:szCs w:val="21"/>
        </w:rPr>
        <w:t>技术规范文档和图件成果的</w:t>
      </w:r>
      <w:r w:rsidRPr="00840F50">
        <w:rPr>
          <w:rFonts w:ascii="Calibri" w:eastAsia="宋体" w:hAnsi="Calibri" w:cs="Times New Roman"/>
          <w:szCs w:val="21"/>
        </w:rPr>
        <w:t>源代码</w:t>
      </w:r>
      <w:r w:rsidRPr="00840F50">
        <w:rPr>
          <w:rFonts w:ascii="Calibri" w:eastAsia="宋体" w:hAnsi="Calibri" w:cs="Times New Roman" w:hint="eastAsia"/>
          <w:szCs w:val="21"/>
        </w:rPr>
        <w:t>和原始数据</w:t>
      </w:r>
      <w:r w:rsidRPr="00840F50">
        <w:rPr>
          <w:rFonts w:ascii="Calibri" w:eastAsia="宋体" w:hAnsi="Calibri" w:cs="Times New Roman"/>
          <w:szCs w:val="21"/>
        </w:rPr>
        <w:t>（仅限于本合同的二次开发成果，不包括乙方产品以及第三方产品源代码</w:t>
      </w:r>
      <w:r w:rsidRPr="00840F50">
        <w:rPr>
          <w:rFonts w:ascii="Calibri" w:eastAsia="宋体" w:hAnsi="Calibri" w:cs="Times New Roman" w:hint="eastAsia"/>
          <w:szCs w:val="21"/>
        </w:rPr>
        <w:t>和原始数据</w:t>
      </w:r>
      <w:r w:rsidRPr="00840F50">
        <w:rPr>
          <w:rFonts w:ascii="Calibri" w:eastAsia="宋体" w:hAnsi="Calibri" w:cs="Times New Roman"/>
          <w:szCs w:val="21"/>
        </w:rPr>
        <w:t>）</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w:t>
      </w:r>
      <w:r w:rsidRPr="00840F50">
        <w:rPr>
          <w:rFonts w:ascii="Calibri" w:eastAsia="宋体" w:hAnsi="Calibri" w:cs="Times New Roman"/>
          <w:szCs w:val="21"/>
        </w:rPr>
        <w:t>2</w:t>
      </w:r>
      <w:r w:rsidRPr="00840F50">
        <w:rPr>
          <w:rFonts w:ascii="Calibri" w:eastAsia="宋体" w:hAnsi="Calibri" w:cs="Times New Roman"/>
          <w:szCs w:val="21"/>
        </w:rPr>
        <w:t>）乙方</w:t>
      </w:r>
      <w:bookmarkStart w:id="96" w:name="_Hlk201515675"/>
      <w:r w:rsidRPr="00840F50">
        <w:rPr>
          <w:rFonts w:ascii="Calibri" w:eastAsia="宋体" w:hAnsi="Calibri" w:cs="Times New Roman"/>
          <w:szCs w:val="21"/>
        </w:rPr>
        <w:t>按照技术</w:t>
      </w:r>
      <w:r w:rsidRPr="00840F50">
        <w:rPr>
          <w:rFonts w:ascii="Calibri" w:eastAsia="宋体" w:hAnsi="Calibri" w:cs="Times New Roman" w:hint="eastAsia"/>
          <w:szCs w:val="21"/>
        </w:rPr>
        <w:t>服务</w:t>
      </w:r>
      <w:r w:rsidRPr="00840F50">
        <w:rPr>
          <w:rFonts w:ascii="Calibri" w:eastAsia="宋体" w:hAnsi="Calibri" w:cs="Times New Roman"/>
          <w:szCs w:val="21"/>
        </w:rPr>
        <w:t>规范提交以下文档：</w:t>
      </w:r>
    </w:p>
    <w:p w:rsidR="00840F50" w:rsidRPr="00840F50" w:rsidP="00840F50">
      <w:pPr>
        <w:snapToGrid w:val="0"/>
        <w:spacing w:line="360" w:lineRule="auto"/>
        <w:ind w:firstLine="420"/>
        <w:rPr>
          <w:rFonts w:ascii="Calibri" w:eastAsia="宋体" w:hAnsi="Calibri" w:cs="Times New Roman"/>
          <w:szCs w:val="21"/>
        </w:rPr>
      </w:pPr>
      <w:bookmarkStart w:id="97" w:name="_Hlk201260276_0"/>
      <w:r w:rsidRPr="00840F50">
        <w:rPr>
          <w:rFonts w:ascii="Calibri" w:eastAsia="宋体" w:hAnsi="Calibri" w:cs="Times New Roman" w:hint="eastAsia"/>
          <w:szCs w:val="21"/>
        </w:rPr>
        <w:t>1</w:t>
      </w:r>
      <w:r w:rsidRPr="00840F50">
        <w:rPr>
          <w:rFonts w:ascii="Calibri" w:eastAsia="宋体" w:hAnsi="Calibri" w:cs="Times New Roman" w:hint="eastAsia"/>
          <w:szCs w:val="21"/>
        </w:rPr>
        <w:t>）技术规范</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①</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东部季风农业气候大区三级区划技术规范；</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②</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全国春玉米种植气候区划、产量气候区划、品质气候区划、主要气象灾害和玉米螟潜势气候区划技术规范；</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③</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全国苹果种植气候区划、产量气候区划、品质气候区划、晚霜冻和主要病虫害气候区划技术规范；</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④</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山东省农业气候经济效益区划技术规范。</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2</w:t>
      </w:r>
      <w:r w:rsidRPr="00840F50">
        <w:rPr>
          <w:rFonts w:ascii="Calibri" w:eastAsia="宋体" w:hAnsi="Calibri" w:cs="Times New Roman" w:hint="eastAsia"/>
          <w:szCs w:val="21"/>
        </w:rPr>
        <w:t>）数据产品</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①</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全国春玉米种植气候区划、产量气候区划、主要气象灾害气候区划、主要品质气候区划、玉米螟潜势气候区划过程中产生的过程数据；</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②</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苹果种植品种、种植面积、产量、品质等农业生产数据集产品；</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③</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经济效益区划过程中产生的农业气候资源数据及农业生产相关数据；</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3</w:t>
      </w:r>
      <w:r w:rsidRPr="00840F50">
        <w:rPr>
          <w:rFonts w:ascii="Calibri" w:eastAsia="宋体" w:hAnsi="Calibri" w:cs="Times New Roman" w:hint="eastAsia"/>
          <w:szCs w:val="21"/>
        </w:rPr>
        <w:t>）图件成果</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①</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东部季风农业气候大区三级区划图；</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②</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全国春玉米种植气候区划图、产量气候区划图、主要气象灾害区划图、品质气候区划图和玉米螟潜势气候区划图；</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③</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全国苹果种植气候区划图、产量气候区划图、品质气候区划图、晚霜冻灾害区划图和主要病虫害气候区划图；</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④</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山东省冬小麦种植分布图、产量区划图和经济效益区划图及山东省夏玉米种植分布图、产量区划图和经济效益区划图。</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4</w:t>
      </w:r>
      <w:r w:rsidRPr="00840F50">
        <w:rPr>
          <w:rFonts w:ascii="Calibri" w:eastAsia="宋体" w:hAnsi="Calibri" w:cs="Times New Roman" w:hint="eastAsia"/>
          <w:szCs w:val="21"/>
        </w:rPr>
        <w:t>）文字报告</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①</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全国春玉米气候区划成果分析报告和技术总结报告；</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②</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全国苹果气候区划成果分析报告和技术总结报告；</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③</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山东省冬小麦、夏玉米经济效益区划成果分析报告和技术总结报告；</w:t>
      </w:r>
    </w:p>
    <w:bookmarkEnd w:id="97"/>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5</w:t>
      </w:r>
      <w:r w:rsidRPr="00840F50">
        <w:rPr>
          <w:rFonts w:ascii="Calibri" w:eastAsia="宋体" w:hAnsi="Calibri" w:cs="Times New Roman" w:hint="eastAsia"/>
          <w:szCs w:val="21"/>
        </w:rPr>
        <w:t>）指标算法</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①</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东部季风农业气候大区三级区划指标描述、要素构成、计算公式相关的技术文档；</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②</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全国春玉米种植气候区划、产量气候区划、主要气象灾害区划、品质气候区划和玉米螟潜势气候区划指标描述、要素构成、计算公式相关的技术文档；</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③</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全国苹果种植气候区划、产量气候区划、品质气候区划、晚霜冻灾害区划和主要病虫害气候区划的指标描述、要素构成</w:t>
      </w:r>
      <w:r w:rsidRPr="00840F50" w:rsidR="00B50FF6">
        <w:rPr>
          <w:rFonts w:ascii="Calibri" w:eastAsia="宋体" w:hAnsi="Calibri" w:cs="Times New Roman" w:hint="eastAsia"/>
          <w:szCs w:val="21"/>
        </w:rPr>
        <w:t>、计算公式相关的</w:t>
      </w:r>
      <w:r w:rsidRPr="00840F50">
        <w:rPr>
          <w:rFonts w:ascii="Calibri" w:eastAsia="宋体" w:hAnsi="Calibri" w:cs="Times New Roman" w:hint="eastAsia"/>
          <w:szCs w:val="21"/>
        </w:rPr>
        <w:t>技术文档；</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④</w:t>
      </w:r>
      <w:r w:rsidRPr="00840F50">
        <w:rPr>
          <w:rFonts w:ascii="Calibri" w:eastAsia="宋体" w:hAnsi="Calibri" w:cs="Times New Roman" w:hint="eastAsia"/>
          <w:szCs w:val="21"/>
        </w:rPr>
        <w:t xml:space="preserve"> </w:t>
      </w:r>
      <w:r w:rsidRPr="00840F50">
        <w:rPr>
          <w:rFonts w:ascii="Calibri" w:eastAsia="宋体" w:hAnsi="Calibri" w:cs="Times New Roman" w:hint="eastAsia"/>
          <w:szCs w:val="21"/>
        </w:rPr>
        <w:t>山东省冬小麦、夏玉米经济效益</w:t>
      </w:r>
      <w:r w:rsidR="00B50FF6">
        <w:rPr>
          <w:rFonts w:ascii="Calibri" w:eastAsia="宋体" w:hAnsi="Calibri" w:cs="Times New Roman" w:hint="eastAsia"/>
          <w:szCs w:val="21"/>
        </w:rPr>
        <w:t>气候</w:t>
      </w:r>
      <w:r w:rsidRPr="00840F50">
        <w:rPr>
          <w:rFonts w:ascii="Calibri" w:eastAsia="宋体" w:hAnsi="Calibri" w:cs="Times New Roman" w:hint="eastAsia"/>
          <w:szCs w:val="21"/>
        </w:rPr>
        <w:t>区划</w:t>
      </w:r>
      <w:r w:rsidR="00B50FF6">
        <w:rPr>
          <w:rFonts w:ascii="Calibri" w:eastAsia="宋体" w:hAnsi="Calibri" w:cs="Times New Roman" w:hint="eastAsia"/>
          <w:szCs w:val="21"/>
        </w:rPr>
        <w:t>指</w:t>
      </w:r>
      <w:r w:rsidRPr="00840F50" w:rsidR="00B50FF6">
        <w:rPr>
          <w:rFonts w:ascii="Calibri" w:eastAsia="宋体" w:hAnsi="Calibri" w:cs="Times New Roman" w:hint="eastAsia"/>
          <w:szCs w:val="21"/>
        </w:rPr>
        <w:t>标描述、要素构成、</w:t>
      </w:r>
      <w:r w:rsidRPr="00840F50">
        <w:rPr>
          <w:rFonts w:ascii="Calibri" w:eastAsia="宋体" w:hAnsi="Calibri" w:cs="Times New Roman" w:hint="eastAsia"/>
          <w:szCs w:val="21"/>
        </w:rPr>
        <w:t>单产计算方法、成本效</w:t>
      </w:r>
      <w:r w:rsidRPr="00840F50">
        <w:rPr>
          <w:rFonts w:ascii="Calibri" w:eastAsia="宋体" w:hAnsi="Calibri" w:cs="Times New Roman" w:hint="eastAsia"/>
          <w:szCs w:val="21"/>
        </w:rPr>
        <w:t>益计算方法</w:t>
      </w:r>
      <w:r w:rsidRPr="00840F50" w:rsidR="00B50FF6">
        <w:rPr>
          <w:rFonts w:ascii="Calibri" w:eastAsia="宋体" w:hAnsi="Calibri" w:cs="Times New Roman" w:hint="eastAsia"/>
          <w:szCs w:val="21"/>
        </w:rPr>
        <w:t>相关的技术文档</w:t>
      </w:r>
      <w:r w:rsidRPr="00840F50">
        <w:rPr>
          <w:rFonts w:ascii="Calibri" w:eastAsia="宋体" w:hAnsi="Calibri" w:cs="Times New Roman" w:hint="eastAsia"/>
          <w:szCs w:val="21"/>
        </w:rPr>
        <w:t>；</w:t>
      </w:r>
    </w:p>
    <w:bookmarkEnd w:id="96"/>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按照成果汇交要求和规范，通过专家评审后进行汇交和验收。所交付的文档除纸质文档形式以外，还应以电子方式和硬拷贝方式各提供</w:t>
      </w:r>
      <w:r w:rsidRPr="00840F50">
        <w:rPr>
          <w:rFonts w:ascii="Calibri" w:eastAsia="宋体" w:hAnsi="Calibri" w:cs="Times New Roman" w:hint="eastAsia"/>
          <w:szCs w:val="21"/>
        </w:rPr>
        <w:t>2</w:t>
      </w:r>
      <w:r w:rsidRPr="00840F50">
        <w:rPr>
          <w:rFonts w:ascii="Calibri" w:eastAsia="宋体" w:hAnsi="Calibri" w:cs="Times New Roman" w:hint="eastAsia"/>
          <w:szCs w:val="21"/>
        </w:rPr>
        <w:t>份。</w:t>
      </w:r>
    </w:p>
    <w:p w:rsidR="00840F50" w:rsidRPr="005374DD" w:rsidP="005374DD">
      <w:pPr>
        <w:adjustRightInd w:val="0"/>
        <w:snapToGrid w:val="0"/>
        <w:spacing w:line="360" w:lineRule="auto"/>
        <w:ind w:firstLine="412" w:firstLineChars="196"/>
        <w:rPr>
          <w:rFonts w:ascii="Times New Roman" w:eastAsia="宋体" w:hAnsi="Times New Roman" w:cs="Times New Roman"/>
          <w:b/>
          <w:szCs w:val="20"/>
        </w:rPr>
      </w:pPr>
      <w:bookmarkStart w:id="98" w:name="_Toc74919815"/>
      <w:bookmarkStart w:id="99" w:name="_Toc54710632"/>
      <w:r>
        <w:rPr>
          <w:rFonts w:ascii="Times New Roman" w:eastAsia="宋体" w:hAnsi="Times New Roman" w:cs="Times New Roman" w:hint="eastAsia"/>
          <w:b/>
          <w:szCs w:val="20"/>
        </w:rPr>
        <w:t>六</w:t>
      </w:r>
      <w:r w:rsidRPr="005374DD">
        <w:rPr>
          <w:rFonts w:ascii="Times New Roman" w:eastAsia="宋体" w:hAnsi="Times New Roman" w:cs="Times New Roman"/>
          <w:b/>
          <w:szCs w:val="20"/>
        </w:rPr>
        <w:t>、验收和测试</w:t>
      </w:r>
      <w:bookmarkEnd w:id="98"/>
      <w:bookmarkEnd w:id="99"/>
    </w:p>
    <w:p w:rsidR="00840F50" w:rsidRPr="00840F50" w:rsidP="00840F50">
      <w:pPr>
        <w:snapToGrid w:val="0"/>
        <w:spacing w:line="360" w:lineRule="auto"/>
        <w:ind w:firstLine="420"/>
        <w:rPr>
          <w:rFonts w:ascii="Calibri" w:eastAsia="宋体" w:hAnsi="Calibri" w:cs="Times New Roman"/>
          <w:szCs w:val="21"/>
        </w:rPr>
      </w:pPr>
      <w:bookmarkStart w:id="100" w:name="_Toc54710633"/>
      <w:bookmarkStart w:id="101" w:name="_Toc74919816"/>
      <w:r w:rsidRPr="00840F50">
        <w:rPr>
          <w:rFonts w:ascii="Calibri" w:eastAsia="宋体" w:hAnsi="Calibri" w:cs="Times New Roman"/>
          <w:szCs w:val="21"/>
        </w:rPr>
        <w:t>1</w:t>
      </w:r>
      <w:r w:rsidRPr="00840F50">
        <w:rPr>
          <w:rFonts w:ascii="Calibri" w:eastAsia="宋体" w:hAnsi="Calibri" w:cs="Times New Roman"/>
          <w:szCs w:val="21"/>
        </w:rPr>
        <w:t>、验收标准</w:t>
      </w:r>
      <w:bookmarkEnd w:id="100"/>
      <w:bookmarkEnd w:id="101"/>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研究开发所完成的技术成果，达到了本合同技术附件所列技术指标。验收流程根据中国气象局相关职能司的要求进行。</w:t>
      </w:r>
    </w:p>
    <w:p w:rsidR="00840F50" w:rsidRPr="00840F50" w:rsidP="00840F50">
      <w:pPr>
        <w:snapToGrid w:val="0"/>
        <w:spacing w:line="360" w:lineRule="auto"/>
        <w:ind w:firstLine="420"/>
        <w:rPr>
          <w:rFonts w:ascii="Calibri" w:eastAsia="宋体" w:hAnsi="Calibri" w:cs="Times New Roman"/>
          <w:szCs w:val="21"/>
        </w:rPr>
      </w:pPr>
      <w:bookmarkStart w:id="102" w:name="_Toc54710634"/>
      <w:bookmarkStart w:id="103" w:name="_Toc74919817"/>
      <w:r w:rsidRPr="00840F50">
        <w:rPr>
          <w:rFonts w:ascii="Calibri" w:eastAsia="宋体" w:hAnsi="Calibri" w:cs="Times New Roman"/>
          <w:szCs w:val="21"/>
        </w:rPr>
        <w:t>验收时间</w:t>
      </w:r>
      <w:bookmarkEnd w:id="102"/>
      <w:bookmarkEnd w:id="103"/>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验收由乙方提出申请，甲方应在收到乙方验收申请之日起十五个工作日内组织验收。验收合格的，由甲方出具验收合格证明；验收不合格的，乙方应当在十日内消除不合格情况，并向甲方申请再次验收。</w:t>
      </w:r>
    </w:p>
    <w:p w:rsidR="00840F50" w:rsidRPr="005374DD" w:rsidP="005374DD">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七</w:t>
      </w:r>
      <w:r w:rsidRPr="005374DD">
        <w:rPr>
          <w:rFonts w:ascii="Times New Roman" w:eastAsia="宋体" w:hAnsi="Times New Roman" w:cs="Times New Roman"/>
          <w:b/>
          <w:szCs w:val="20"/>
        </w:rPr>
        <w:t>、违约责任</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1</w:t>
      </w:r>
      <w:r w:rsidRPr="00840F50">
        <w:rPr>
          <w:rFonts w:ascii="Calibri" w:eastAsia="宋体" w:hAnsi="Calibri" w:cs="Times New Roman"/>
          <w:szCs w:val="21"/>
        </w:rPr>
        <w:t>、在履行合同过程中，如果乙方发生无法按时向甲方提供文档或服务的情况时，应及时以书面形式将拖延的事实，可能拖延的时间和原因通知甲方。甲方在收到乙方通知后，应尽快对情况进行评价，并确定是否酌情延长交货时间。延期应通过修改合同的方式由双方认可。</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2</w:t>
      </w:r>
      <w:r w:rsidRPr="00840F50">
        <w:rPr>
          <w:rFonts w:ascii="Calibri" w:eastAsia="宋体" w:hAnsi="Calibri" w:cs="Times New Roman"/>
          <w:szCs w:val="21"/>
        </w:rPr>
        <w:t>、除了合同条款第十四条的情况外，除非延期是根据合同条款第十一条的规定取得甲方同意而不收取误期赔偿费之外，开发阶段期间，乙方拖延交付资料、文档、软件及服务，违约金按照当期款项的每日万分之一承担违约责任。</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3</w:t>
      </w:r>
      <w:r w:rsidRPr="00840F50">
        <w:rPr>
          <w:rFonts w:ascii="Calibri" w:eastAsia="宋体" w:hAnsi="Calibri" w:cs="Times New Roman"/>
          <w:szCs w:val="21"/>
        </w:rPr>
        <w:t>、乙方研发技术成果不符合合同约定或者本合同目的无法实现的，甲方有权要求中止合同。</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4</w:t>
      </w:r>
      <w:r w:rsidRPr="00840F50">
        <w:rPr>
          <w:rFonts w:ascii="Calibri" w:eastAsia="宋体" w:hAnsi="Calibri" w:cs="Times New Roman"/>
          <w:szCs w:val="21"/>
        </w:rPr>
        <w:t>、本合同继续履行，乙方承担修改、重做的费用，并在双方约定或者甲方指定的期间内完成，并承担由此给甲方造成的经济损失。</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5</w:t>
      </w:r>
      <w:r w:rsidRPr="00840F50">
        <w:rPr>
          <w:rFonts w:ascii="Calibri" w:eastAsia="宋体" w:hAnsi="Calibri" w:cs="Times New Roman"/>
          <w:szCs w:val="21"/>
        </w:rPr>
        <w:t>、甲方延迟付款的，按照当期款项的每日万分之一承担违约责任，乙方有权暂停履行义务，且不承担任何违约责任。</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6</w:t>
      </w:r>
      <w:r w:rsidRPr="00840F50">
        <w:rPr>
          <w:rFonts w:ascii="Calibri" w:eastAsia="宋体" w:hAnsi="Calibri" w:cs="Times New Roman"/>
          <w:szCs w:val="21"/>
        </w:rPr>
        <w:t>、乙方在研究开发中使用、利用第三方知识产权或者研发成果中使用、利用第三方知识产权的，应当确保经过第三方的授权许可。因侵害第三方知识产权所引发的纠纷，由乙方自行解决并承担全部法律责任。就侵权行为，甲方先行赔偿第三方的，有向乙方追索赔偿的权利。</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侵权行为导致本合同全部或者部分无法履行或本合同目的无法实现的，依照本条第</w:t>
      </w:r>
      <w:r w:rsidRPr="00840F50">
        <w:rPr>
          <w:rFonts w:ascii="Calibri" w:eastAsia="宋体" w:hAnsi="Calibri" w:cs="Times New Roman"/>
          <w:szCs w:val="21"/>
        </w:rPr>
        <w:t>3</w:t>
      </w:r>
      <w:r w:rsidRPr="00840F50">
        <w:rPr>
          <w:rFonts w:ascii="Calibri" w:eastAsia="宋体" w:hAnsi="Calibri" w:cs="Times New Roman"/>
          <w:szCs w:val="21"/>
        </w:rPr>
        <w:t>项约定的方式选择其一解决。</w:t>
      </w:r>
    </w:p>
    <w:p w:rsidR="00840F50" w:rsidRPr="005374DD" w:rsidP="00840F50">
      <w:pPr>
        <w:snapToGrid w:val="0"/>
        <w:spacing w:line="360" w:lineRule="auto"/>
        <w:ind w:firstLine="420"/>
        <w:rPr>
          <w:rFonts w:ascii="Times New Roman" w:eastAsia="宋体" w:hAnsi="Times New Roman" w:cs="Times New Roman"/>
          <w:b/>
          <w:szCs w:val="20"/>
        </w:rPr>
      </w:pPr>
      <w:bookmarkStart w:id="104" w:name="_Toc74919823"/>
      <w:bookmarkStart w:id="105" w:name="_Toc54710640"/>
      <w:r>
        <w:rPr>
          <w:rFonts w:ascii="Times New Roman" w:eastAsia="宋体" w:hAnsi="Times New Roman" w:cs="Times New Roman" w:hint="eastAsia"/>
          <w:b/>
          <w:szCs w:val="20"/>
        </w:rPr>
        <w:t>八</w:t>
      </w:r>
      <w:r w:rsidRPr="005374DD">
        <w:rPr>
          <w:rFonts w:ascii="Times New Roman" w:eastAsia="宋体" w:hAnsi="Times New Roman" w:cs="Times New Roman"/>
          <w:b/>
          <w:szCs w:val="20"/>
        </w:rPr>
        <w:t>、争端的解决</w:t>
      </w:r>
      <w:bookmarkEnd w:id="104"/>
      <w:bookmarkEnd w:id="105"/>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1</w:t>
      </w:r>
      <w:r w:rsidRPr="00840F50">
        <w:rPr>
          <w:rFonts w:ascii="Calibri" w:eastAsia="宋体" w:hAnsi="Calibri" w:cs="Times New Roman"/>
          <w:szCs w:val="21"/>
        </w:rPr>
        <w:t>、合同履行或与合同有关的一切争端应通过双方友好协商解决。如果友好协商开始后</w:t>
      </w:r>
      <w:r w:rsidRPr="00840F50">
        <w:rPr>
          <w:rFonts w:ascii="Calibri" w:eastAsia="宋体" w:hAnsi="Calibri" w:cs="Times New Roman"/>
          <w:szCs w:val="21"/>
        </w:rPr>
        <w:t>60</w:t>
      </w:r>
      <w:r w:rsidRPr="00840F50">
        <w:rPr>
          <w:rFonts w:ascii="Calibri" w:eastAsia="宋体" w:hAnsi="Calibri" w:cs="Times New Roman"/>
          <w:szCs w:val="21"/>
        </w:rPr>
        <w:t>天还不能解决，争端应提交人民法院进行诉讼，但紧急情况下不受此限制，该等紧急情况包括：自己一方或对方或本合同的利害关系人，他们当中的任何一方，已经被法院通知应当履行或被执行一项生效法律文书；以及，为履行政府或政府机构的书面有效文件中规定的具有期限要求</w:t>
      </w:r>
      <w:r w:rsidRPr="00840F50">
        <w:rPr>
          <w:rFonts w:ascii="Calibri" w:eastAsia="宋体" w:hAnsi="Calibri" w:cs="Times New Roman"/>
          <w:szCs w:val="21"/>
        </w:rPr>
        <w:t>的，或明确使用</w:t>
      </w:r>
      <w:r w:rsidRPr="00840F50">
        <w:rPr>
          <w:rFonts w:ascii="Calibri" w:eastAsia="宋体" w:hAnsi="Calibri" w:cs="Times New Roman"/>
          <w:szCs w:val="21"/>
        </w:rPr>
        <w:t>“</w:t>
      </w:r>
      <w:r w:rsidRPr="00840F50">
        <w:rPr>
          <w:rFonts w:ascii="Calibri" w:eastAsia="宋体" w:hAnsi="Calibri" w:cs="Times New Roman"/>
          <w:szCs w:val="21"/>
        </w:rPr>
        <w:t>立即</w:t>
      </w:r>
      <w:r w:rsidRPr="00840F50">
        <w:rPr>
          <w:rFonts w:ascii="Calibri" w:eastAsia="宋体" w:hAnsi="Calibri" w:cs="Times New Roman"/>
          <w:szCs w:val="21"/>
        </w:rPr>
        <w:t>”</w:t>
      </w:r>
      <w:r w:rsidRPr="00840F50">
        <w:rPr>
          <w:rFonts w:ascii="Calibri" w:eastAsia="宋体" w:hAnsi="Calibri" w:cs="Times New Roman"/>
          <w:szCs w:val="21"/>
        </w:rPr>
        <w:t>或</w:t>
      </w:r>
      <w:r w:rsidRPr="00840F50">
        <w:rPr>
          <w:rFonts w:ascii="Calibri" w:eastAsia="宋体" w:hAnsi="Calibri" w:cs="Times New Roman"/>
          <w:szCs w:val="21"/>
        </w:rPr>
        <w:t>“</w:t>
      </w:r>
      <w:r w:rsidRPr="00840F50">
        <w:rPr>
          <w:rFonts w:ascii="Calibri" w:eastAsia="宋体" w:hAnsi="Calibri" w:cs="Times New Roman"/>
          <w:szCs w:val="21"/>
        </w:rPr>
        <w:t>尽快</w:t>
      </w:r>
      <w:r w:rsidRPr="00840F50">
        <w:rPr>
          <w:rFonts w:ascii="Calibri" w:eastAsia="宋体" w:hAnsi="Calibri" w:cs="Times New Roman"/>
          <w:szCs w:val="21"/>
        </w:rPr>
        <w:t>”</w:t>
      </w:r>
      <w:r w:rsidRPr="00840F50">
        <w:rPr>
          <w:rFonts w:ascii="Calibri" w:eastAsia="宋体" w:hAnsi="Calibri" w:cs="Times New Roman"/>
          <w:szCs w:val="21"/>
        </w:rPr>
        <w:t>或</w:t>
      </w:r>
      <w:r w:rsidRPr="00840F50">
        <w:rPr>
          <w:rFonts w:ascii="Calibri" w:eastAsia="宋体" w:hAnsi="Calibri" w:cs="Times New Roman"/>
          <w:szCs w:val="21"/>
        </w:rPr>
        <w:t>“</w:t>
      </w:r>
      <w:r w:rsidRPr="00840F50">
        <w:rPr>
          <w:rFonts w:ascii="Calibri" w:eastAsia="宋体" w:hAnsi="Calibri" w:cs="Times New Roman"/>
          <w:szCs w:val="21"/>
        </w:rPr>
        <w:t>抓紧</w:t>
      </w:r>
      <w:r w:rsidRPr="00840F50">
        <w:rPr>
          <w:rFonts w:ascii="Calibri" w:eastAsia="宋体" w:hAnsi="Calibri" w:cs="Times New Roman"/>
          <w:szCs w:val="21"/>
        </w:rPr>
        <w:t>”</w:t>
      </w:r>
      <w:r w:rsidRPr="00840F50">
        <w:rPr>
          <w:rFonts w:ascii="Calibri" w:eastAsia="宋体" w:hAnsi="Calibri" w:cs="Times New Roman"/>
          <w:szCs w:val="21"/>
        </w:rPr>
        <w:t>等类似概念要求的任务。</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2</w:t>
      </w:r>
      <w:r w:rsidRPr="00840F50">
        <w:rPr>
          <w:rFonts w:ascii="Calibri" w:eastAsia="宋体" w:hAnsi="Calibri" w:cs="Times New Roman"/>
          <w:szCs w:val="21"/>
        </w:rPr>
        <w:t>、双方中的任何一方均可以向原告方所在地的人民法院提起诉讼。在诉讼期间，除正在进行诉讼裁决的部分外，本合同其它部分应继续执行。</w:t>
      </w:r>
    </w:p>
    <w:p w:rsidR="00840F50" w:rsidRPr="005374DD" w:rsidP="00840F50">
      <w:pPr>
        <w:snapToGrid w:val="0"/>
        <w:spacing w:line="360" w:lineRule="auto"/>
        <w:ind w:firstLine="420"/>
        <w:rPr>
          <w:rFonts w:ascii="Times New Roman" w:eastAsia="宋体" w:hAnsi="Times New Roman" w:cs="Times New Roman"/>
          <w:b/>
          <w:szCs w:val="20"/>
        </w:rPr>
      </w:pPr>
      <w:bookmarkStart w:id="106" w:name="_Toc74919830"/>
      <w:bookmarkStart w:id="107" w:name="_Toc54710647"/>
      <w:r w:rsidRPr="005374DD">
        <w:rPr>
          <w:rFonts w:ascii="Times New Roman" w:eastAsia="宋体" w:hAnsi="Times New Roman" w:cs="Times New Roman" w:hint="eastAsia"/>
          <w:b/>
          <w:szCs w:val="20"/>
        </w:rPr>
        <w:t>九</w:t>
      </w:r>
      <w:r w:rsidRPr="005374DD">
        <w:rPr>
          <w:rFonts w:ascii="Times New Roman" w:eastAsia="宋体" w:hAnsi="Times New Roman" w:cs="Times New Roman"/>
          <w:b/>
          <w:szCs w:val="20"/>
        </w:rPr>
        <w:t>、法律责任</w:t>
      </w:r>
      <w:bookmarkEnd w:id="106"/>
      <w:bookmarkEnd w:id="107"/>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乙方在进行项目时违反有关保密规定的，依照《中华人民共和国保密法》、《中华人民共和国测绘成果管理规定》、《中华人民共和国反不正当竞争法》等有关法律法规的规定处理。</w:t>
      </w:r>
    </w:p>
    <w:p w:rsidR="00840F50" w:rsidRPr="005374DD" w:rsidP="00840F50">
      <w:pPr>
        <w:snapToGrid w:val="0"/>
        <w:spacing w:line="360" w:lineRule="auto"/>
        <w:ind w:firstLine="420"/>
        <w:rPr>
          <w:rFonts w:ascii="Times New Roman" w:eastAsia="宋体" w:hAnsi="Times New Roman" w:cs="Times New Roman"/>
          <w:b/>
          <w:szCs w:val="20"/>
        </w:rPr>
      </w:pPr>
      <w:bookmarkStart w:id="108" w:name="_Toc74919831"/>
      <w:bookmarkStart w:id="109" w:name="_Toc54710648"/>
      <w:r w:rsidRPr="005374DD">
        <w:rPr>
          <w:rFonts w:ascii="Times New Roman" w:eastAsia="宋体" w:hAnsi="Times New Roman" w:cs="Times New Roman" w:hint="eastAsia"/>
          <w:b/>
          <w:szCs w:val="20"/>
        </w:rPr>
        <w:t>十</w:t>
      </w:r>
      <w:r w:rsidRPr="005374DD">
        <w:rPr>
          <w:rFonts w:ascii="Times New Roman" w:eastAsia="宋体" w:hAnsi="Times New Roman" w:cs="Times New Roman"/>
          <w:b/>
          <w:szCs w:val="20"/>
        </w:rPr>
        <w:t>、其它</w:t>
      </w:r>
      <w:bookmarkEnd w:id="108"/>
      <w:bookmarkEnd w:id="109"/>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本合同一式六份，双方各执三份，具有同等法律效力。</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本合同附件是本合同的组成部分。</w:t>
      </w:r>
    </w:p>
    <w:p w:rsidR="00840F50" w:rsidRP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szCs w:val="21"/>
        </w:rPr>
        <w:t>本合同未尽事宜，须由双方友好协商，签订补充合同，补充合同与本合同具有同等效力。</w:t>
      </w:r>
      <w:bookmarkStart w:id="110" w:name="_Hlk201301061"/>
    </w:p>
    <w:bookmarkEnd w:id="110"/>
    <w:p w:rsidR="00840F50" w:rsidP="00840F50">
      <w:pPr>
        <w:snapToGrid w:val="0"/>
        <w:spacing w:line="360" w:lineRule="auto"/>
        <w:ind w:firstLine="420"/>
        <w:rPr>
          <w:rFonts w:ascii="Calibri" w:eastAsia="宋体" w:hAnsi="Calibri" w:cs="Times New Roman"/>
          <w:szCs w:val="21"/>
        </w:rPr>
      </w:pPr>
      <w:r w:rsidRPr="00840F50">
        <w:rPr>
          <w:rFonts w:ascii="Calibri" w:eastAsia="宋体" w:hAnsi="Calibri" w:cs="Times New Roman" w:hint="eastAsia"/>
          <w:szCs w:val="21"/>
        </w:rPr>
        <w:t>合同条款通用部分与合同条款专用部分不一致的地方以合同条款专用部分为准。</w:t>
      </w:r>
    </w:p>
    <w:p w:rsidR="001B1A91" w:rsidP="00840F50">
      <w:pPr>
        <w:snapToGrid w:val="0"/>
        <w:spacing w:line="360" w:lineRule="auto"/>
        <w:ind w:firstLine="420"/>
        <w:rPr>
          <w:rFonts w:ascii="Calibri" w:eastAsia="宋体" w:hAnsi="Calibri" w:cs="Times New Roman"/>
          <w:szCs w:val="21"/>
        </w:rPr>
      </w:pPr>
    </w:p>
    <w:p w:rsidR="001B1A91" w:rsidP="00840F50">
      <w:pPr>
        <w:snapToGrid w:val="0"/>
        <w:spacing w:line="360" w:lineRule="auto"/>
        <w:ind w:firstLine="420"/>
        <w:rPr>
          <w:rFonts w:ascii="Calibri" w:eastAsia="宋体" w:hAnsi="Calibri" w:cs="Times New Roman"/>
          <w:szCs w:val="21"/>
        </w:rPr>
      </w:pPr>
    </w:p>
    <w:p w:rsidR="001B1A91" w:rsidRPr="001B1A91" w:rsidP="00840F50">
      <w:pPr>
        <w:snapToGrid w:val="0"/>
        <w:spacing w:line="360" w:lineRule="auto"/>
        <w:ind w:firstLine="420"/>
        <w:rPr>
          <w:rFonts w:ascii="Calibri" w:eastAsia="宋体" w:hAnsi="Calibri" w:cs="Times New Roman"/>
          <w:szCs w:val="21"/>
        </w:rPr>
      </w:pP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甲方：国家气候中心</w:t>
      </w:r>
      <w:r w:rsidRPr="001B1A91">
        <w:rPr>
          <w:rFonts w:ascii="Calibri" w:eastAsia="宋体" w:hAnsi="Calibri" w:cs="Times New Roman"/>
          <w:szCs w:val="21"/>
        </w:rPr>
        <w:t xml:space="preserve">                       </w:t>
      </w:r>
      <w:r w:rsidRPr="001B1A91">
        <w:rPr>
          <w:rFonts w:ascii="Calibri" w:eastAsia="宋体" w:hAnsi="Calibri" w:cs="Times New Roman" w:hint="eastAsia"/>
          <w:szCs w:val="21"/>
        </w:rPr>
        <w:t>乙方：</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地址：北京市海淀区中关村南大街</w:t>
      </w:r>
      <w:r w:rsidRPr="001B1A91">
        <w:rPr>
          <w:rFonts w:ascii="Calibri" w:eastAsia="宋体" w:hAnsi="Calibri" w:cs="Times New Roman"/>
          <w:szCs w:val="21"/>
        </w:rPr>
        <w:t>46</w:t>
      </w:r>
      <w:r w:rsidRPr="001B1A91">
        <w:rPr>
          <w:rFonts w:ascii="Calibri" w:eastAsia="宋体" w:hAnsi="Calibri" w:cs="Times New Roman" w:hint="eastAsia"/>
          <w:szCs w:val="21"/>
        </w:rPr>
        <w:t>号</w:t>
      </w:r>
      <w:r w:rsidRPr="001B1A91">
        <w:rPr>
          <w:rFonts w:ascii="Calibri" w:eastAsia="宋体" w:hAnsi="Calibri" w:cs="Times New Roman"/>
          <w:szCs w:val="21"/>
        </w:rPr>
        <w:t xml:space="preserve">      </w:t>
      </w:r>
      <w:r w:rsidRPr="001B1A91">
        <w:rPr>
          <w:rFonts w:ascii="Calibri" w:eastAsia="宋体" w:hAnsi="Calibri" w:cs="Times New Roman" w:hint="eastAsia"/>
          <w:szCs w:val="21"/>
        </w:rPr>
        <w:t>地址：</w:t>
      </w:r>
      <w:r w:rsidRPr="001B1A91">
        <w:rPr>
          <w:rFonts w:ascii="Calibri" w:eastAsia="宋体" w:hAnsi="Calibri" w:cs="Times New Roman"/>
          <w:szCs w:val="21"/>
        </w:rPr>
        <w:t xml:space="preserve"> </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邮编：</w:t>
      </w:r>
      <w:r w:rsidRPr="001B1A91">
        <w:rPr>
          <w:rFonts w:ascii="Calibri" w:eastAsia="宋体" w:hAnsi="Calibri" w:cs="Times New Roman"/>
          <w:szCs w:val="21"/>
        </w:rPr>
        <w:t xml:space="preserve">100081                             </w:t>
      </w:r>
      <w:r w:rsidRPr="001B1A91">
        <w:rPr>
          <w:rFonts w:ascii="Calibri" w:eastAsia="宋体" w:hAnsi="Calibri" w:cs="Times New Roman" w:hint="eastAsia"/>
          <w:szCs w:val="21"/>
        </w:rPr>
        <w:t>邮编：</w:t>
      </w:r>
      <w:r w:rsidRPr="001B1A91">
        <w:rPr>
          <w:rFonts w:ascii="Calibri" w:eastAsia="宋体" w:hAnsi="Calibri" w:cs="Times New Roman"/>
          <w:szCs w:val="21"/>
        </w:rPr>
        <w:t xml:space="preserve"> </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电话：</w:t>
      </w:r>
      <w:r w:rsidRPr="001B1A91">
        <w:rPr>
          <w:rFonts w:ascii="Calibri" w:eastAsia="宋体" w:hAnsi="Calibri" w:cs="Times New Roman"/>
          <w:szCs w:val="21"/>
        </w:rPr>
        <w:t xml:space="preserve">                                   </w:t>
      </w:r>
      <w:r w:rsidRPr="001B1A91">
        <w:rPr>
          <w:rFonts w:ascii="Calibri" w:eastAsia="宋体" w:hAnsi="Calibri" w:cs="Times New Roman" w:hint="eastAsia"/>
          <w:szCs w:val="21"/>
        </w:rPr>
        <w:t>电话：</w:t>
      </w:r>
      <w:r w:rsidRPr="001B1A91">
        <w:rPr>
          <w:rFonts w:ascii="Calibri" w:eastAsia="宋体" w:hAnsi="Calibri" w:cs="Times New Roman"/>
          <w:szCs w:val="21"/>
        </w:rPr>
        <w:t xml:space="preserve"> </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传真：</w:t>
      </w:r>
      <w:r w:rsidRPr="001B1A91">
        <w:rPr>
          <w:rFonts w:ascii="Calibri" w:eastAsia="宋体" w:hAnsi="Calibri" w:cs="Times New Roman"/>
          <w:szCs w:val="21"/>
        </w:rPr>
        <w:t xml:space="preserve">                                   </w:t>
      </w:r>
      <w:r w:rsidRPr="001B1A91">
        <w:rPr>
          <w:rFonts w:ascii="Calibri" w:eastAsia="宋体" w:hAnsi="Calibri" w:cs="Times New Roman" w:hint="eastAsia"/>
          <w:szCs w:val="21"/>
        </w:rPr>
        <w:t>传真：</w:t>
      </w:r>
      <w:r w:rsidRPr="001B1A91">
        <w:rPr>
          <w:rFonts w:ascii="Calibri" w:eastAsia="宋体" w:hAnsi="Calibri" w:cs="Times New Roman"/>
          <w:szCs w:val="21"/>
        </w:rPr>
        <w:t xml:space="preserve"> </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开户银行</w:t>
      </w:r>
      <w:r w:rsidRPr="001B1A91">
        <w:rPr>
          <w:rFonts w:ascii="Calibri" w:eastAsia="宋体" w:hAnsi="Calibri" w:cs="Times New Roman"/>
          <w:szCs w:val="21"/>
        </w:rPr>
        <w:t xml:space="preserve">:                                </w:t>
      </w:r>
      <w:r w:rsidRPr="001B1A91">
        <w:rPr>
          <w:rFonts w:ascii="Calibri" w:eastAsia="宋体" w:hAnsi="Calibri" w:cs="Times New Roman" w:hint="eastAsia"/>
          <w:szCs w:val="21"/>
        </w:rPr>
        <w:t>开户银行</w:t>
      </w:r>
      <w:r w:rsidRPr="001B1A91">
        <w:rPr>
          <w:rFonts w:ascii="Calibri" w:eastAsia="宋体" w:hAnsi="Calibri" w:cs="Times New Roman"/>
          <w:szCs w:val="21"/>
        </w:rPr>
        <w:t xml:space="preserve">: </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账号：</w:t>
      </w:r>
      <w:r w:rsidRPr="001B1A91">
        <w:rPr>
          <w:rFonts w:ascii="Calibri" w:eastAsia="宋体" w:hAnsi="Calibri" w:cs="Times New Roman"/>
          <w:szCs w:val="21"/>
        </w:rPr>
        <w:t xml:space="preserve">                                   </w:t>
      </w:r>
      <w:r w:rsidRPr="001B1A91">
        <w:rPr>
          <w:rFonts w:ascii="Calibri" w:eastAsia="宋体" w:hAnsi="Calibri" w:cs="Times New Roman" w:hint="eastAsia"/>
          <w:szCs w:val="21"/>
        </w:rPr>
        <w:t>账号：</w:t>
      </w:r>
      <w:r w:rsidRPr="001B1A91">
        <w:rPr>
          <w:rFonts w:ascii="Calibri" w:eastAsia="宋体" w:hAnsi="Calibri" w:cs="Times New Roman"/>
          <w:szCs w:val="21"/>
        </w:rPr>
        <w:t xml:space="preserve"> </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法定代表人或授权代表：</w:t>
      </w:r>
      <w:r w:rsidRPr="001B1A91">
        <w:rPr>
          <w:rFonts w:ascii="Calibri" w:eastAsia="宋体" w:hAnsi="Calibri" w:cs="Times New Roman"/>
          <w:szCs w:val="21"/>
        </w:rPr>
        <w:t xml:space="preserve">                   </w:t>
      </w:r>
      <w:r w:rsidRPr="001B1A91">
        <w:rPr>
          <w:rFonts w:ascii="Calibri" w:eastAsia="宋体" w:hAnsi="Calibri" w:cs="Times New Roman" w:hint="eastAsia"/>
          <w:szCs w:val="21"/>
        </w:rPr>
        <w:t>法定代表人或授权代表：</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项目负责人或联系人：</w:t>
      </w:r>
      <w:r w:rsidRPr="001B1A91">
        <w:rPr>
          <w:rFonts w:ascii="Calibri" w:eastAsia="宋体" w:hAnsi="Calibri" w:cs="Times New Roman"/>
          <w:szCs w:val="21"/>
        </w:rPr>
        <w:t xml:space="preserve">                     </w:t>
      </w:r>
      <w:r w:rsidRPr="001B1A91">
        <w:rPr>
          <w:rFonts w:ascii="Calibri" w:eastAsia="宋体" w:hAnsi="Calibri" w:cs="Times New Roman" w:hint="eastAsia"/>
          <w:szCs w:val="21"/>
        </w:rPr>
        <w:t>项目负责人或联系人：</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授权代表：</w:t>
      </w:r>
      <w:r w:rsidRPr="001B1A91">
        <w:rPr>
          <w:rFonts w:ascii="Calibri" w:eastAsia="宋体" w:hAnsi="Calibri" w:cs="Times New Roman"/>
          <w:szCs w:val="21"/>
        </w:rPr>
        <w:t xml:space="preserve"> </w:t>
      </w:r>
      <w:r w:rsidRPr="001B1A91">
        <w:rPr>
          <w:rFonts w:ascii="Calibri" w:eastAsia="宋体" w:hAnsi="Calibri" w:cs="Times New Roman" w:hint="eastAsia"/>
          <w:szCs w:val="21"/>
        </w:rPr>
        <w:t>：</w:t>
      </w:r>
      <w:r w:rsidRPr="001B1A91">
        <w:rPr>
          <w:rFonts w:ascii="Calibri" w:eastAsia="宋体" w:hAnsi="Calibri" w:cs="Times New Roman"/>
          <w:szCs w:val="21"/>
        </w:rPr>
        <w:t xml:space="preserve">                            </w:t>
      </w:r>
      <w:r w:rsidRPr="001B1A91">
        <w:rPr>
          <w:rFonts w:ascii="Calibri" w:eastAsia="宋体" w:hAnsi="Calibri" w:cs="Times New Roman" w:hint="eastAsia"/>
          <w:szCs w:val="21"/>
        </w:rPr>
        <w:t>授权代表：</w:t>
      </w:r>
    </w:p>
    <w:p w:rsidR="001B1A91" w:rsidRPr="001B1A91" w:rsidP="001B1A91">
      <w:pPr>
        <w:snapToGrid w:val="0"/>
        <w:spacing w:line="360" w:lineRule="auto"/>
        <w:ind w:firstLine="420"/>
        <w:rPr>
          <w:rFonts w:ascii="Calibri" w:eastAsia="宋体" w:hAnsi="Calibri" w:cs="Times New Roman"/>
          <w:szCs w:val="21"/>
        </w:rPr>
      </w:pPr>
      <w:r w:rsidRPr="001B1A91">
        <w:rPr>
          <w:rFonts w:ascii="Calibri" w:eastAsia="宋体" w:hAnsi="Calibri" w:cs="Times New Roman" w:hint="eastAsia"/>
          <w:szCs w:val="21"/>
        </w:rPr>
        <w:t>签约日期：</w:t>
      </w:r>
      <w:r w:rsidRPr="001B1A91">
        <w:rPr>
          <w:rFonts w:ascii="Calibri" w:eastAsia="宋体" w:hAnsi="Calibri" w:cs="Times New Roman"/>
          <w:szCs w:val="21"/>
        </w:rPr>
        <w:t xml:space="preserve">                               </w:t>
      </w:r>
      <w:r w:rsidRPr="001B1A91">
        <w:rPr>
          <w:rFonts w:ascii="Calibri" w:eastAsia="宋体" w:hAnsi="Calibri" w:cs="Times New Roman" w:hint="eastAsia"/>
          <w:szCs w:val="21"/>
        </w:rPr>
        <w:t>签约日期：</w:t>
      </w:r>
    </w:p>
    <w:p w:rsidR="00956F89" w:rsidRPr="001B1A91" w:rsidP="001B1A91">
      <w:pPr>
        <w:snapToGrid w:val="0"/>
        <w:spacing w:line="360" w:lineRule="auto"/>
        <w:ind w:firstLine="420"/>
        <w:rPr>
          <w:rFonts w:ascii="Calibri" w:eastAsia="宋体" w:hAnsi="Calibri" w:cs="Times New Roman"/>
          <w:szCs w:val="21"/>
        </w:rPr>
      </w:pPr>
    </w:p>
    <w:p w:rsidR="001B1A91">
      <w:pPr>
        <w:spacing w:line="360" w:lineRule="auto"/>
        <w:jc w:val="left"/>
        <w:rPr>
          <w:rFonts w:ascii="Times New Roman" w:eastAsia="宋体" w:hAnsi="Times New Roman" w:cs="Times New Roman"/>
          <w:b/>
          <w:bCs/>
          <w:sz w:val="44"/>
          <w:szCs w:val="44"/>
        </w:rPr>
      </w:pPr>
    </w:p>
    <w:p w:rsidR="001B1A91">
      <w:pPr>
        <w:spacing w:line="360" w:lineRule="auto"/>
        <w:jc w:val="left"/>
        <w:rPr>
          <w:rFonts w:ascii="Times New Roman" w:eastAsia="宋体" w:hAnsi="Times New Roman" w:cs="Times New Roman"/>
          <w:b/>
          <w:bCs/>
          <w:sz w:val="44"/>
          <w:szCs w:val="44"/>
        </w:rPr>
      </w:pPr>
    </w:p>
    <w:p w:rsidR="001B1A91">
      <w:pPr>
        <w:spacing w:line="360" w:lineRule="auto"/>
        <w:jc w:val="left"/>
        <w:rPr>
          <w:rFonts w:ascii="Times New Roman" w:eastAsia="宋体" w:hAnsi="Times New Roman" w:cs="Times New Roman"/>
          <w:b/>
          <w:bCs/>
          <w:sz w:val="44"/>
          <w:szCs w:val="44"/>
        </w:rPr>
      </w:pPr>
    </w:p>
    <w:p w:rsidR="001B1A91">
      <w:pPr>
        <w:spacing w:line="360" w:lineRule="auto"/>
        <w:jc w:val="left"/>
        <w:rPr>
          <w:rFonts w:ascii="Times New Roman" w:eastAsia="宋体" w:hAnsi="Times New Roman" w:cs="Times New Roman"/>
          <w:b/>
          <w:bCs/>
          <w:sz w:val="44"/>
          <w:szCs w:val="44"/>
        </w:rPr>
      </w:pPr>
    </w:p>
    <w:p w:rsidR="001B1A91">
      <w:pPr>
        <w:spacing w:line="360" w:lineRule="auto"/>
        <w:jc w:val="left"/>
        <w:rPr>
          <w:rFonts w:ascii="Times New Roman" w:eastAsia="宋体" w:hAnsi="Times New Roman" w:cs="Times New Roman"/>
          <w:b/>
          <w:bCs/>
          <w:sz w:val="44"/>
          <w:szCs w:val="44"/>
        </w:rPr>
      </w:pPr>
    </w:p>
    <w:p w:rsidR="00956F89">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rsidR="00956F89">
      <w:pPr>
        <w:tabs>
          <w:tab w:val="left" w:pos="1573"/>
        </w:tabs>
        <w:snapToGrid w:val="0"/>
        <w:spacing w:line="360" w:lineRule="auto"/>
        <w:jc w:val="center"/>
        <w:rPr>
          <w:rFonts w:ascii="宋体" w:eastAsia="宋体" w:hAnsi="宋体" w:cs="Times New Roman"/>
          <w:szCs w:val="21"/>
        </w:rPr>
      </w:pPr>
    </w:p>
    <w:p w:rsidR="00956F89">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956F89">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956F89">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956F89">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rsidR="00956F89">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956F89">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956F89">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956F89">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956F89">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w:t>
      </w:r>
      <w:r>
        <w:rPr>
          <w:rFonts w:ascii="宋体" w:eastAsia="宋体" w:hAnsi="宋体" w:cs="Times New Roman" w:hint="eastAsia"/>
          <w:szCs w:val="21"/>
        </w:rPr>
        <w:t>同的雇员提供，也应注意保密并限于履行合同必须的范围。</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956F89">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956F89">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rsidR="00956F89">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2）未经甲方许可使用项目资料的；</w:t>
      </w:r>
    </w:p>
    <w:p w:rsidR="00956F89">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3）项目完成后，乙方未经甲方许可保留项目资料的；</w:t>
      </w:r>
    </w:p>
    <w:p w:rsidR="00956F89">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4）对项目资料保管不当，造成数据全部或者部分丢失、被窃的。</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7、乙方在进行项目时违反有关保密规定的，依照《中华人民共和国保密法》等有关法律法规的规定处理。</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956F89">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w:t>
      </w:r>
      <w:r>
        <w:rPr>
          <w:rFonts w:ascii="宋体" w:eastAsia="宋体" w:hAnsi="宋体" w:cs="Times New Roman" w:hint="eastAsia"/>
          <w:szCs w:val="21"/>
        </w:rPr>
        <w:t>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w:t>
      </w:r>
      <w:r>
        <w:rPr>
          <w:rFonts w:ascii="宋体" w:eastAsia="宋体" w:hAnsi="宋体" w:cs="Times New Roman" w:hint="eastAsia"/>
          <w:szCs w:val="21"/>
        </w:rPr>
        <w:t>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956F89">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rsidR="00956F89">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rsidR="00956F89">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rsidR="00956F89">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rsidR="00956F89">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w:t>
      </w:r>
      <w:r>
        <w:rPr>
          <w:rFonts w:ascii="宋体" w:eastAsia="宋体" w:hAnsi="宋体" w:cs="Times New Roman" w:hint="eastAsia"/>
          <w:szCs w:val="21"/>
        </w:rPr>
        <w:t>根据现行有关法律、法规对该部分无效或无法履行的条款进行调整，使其依法成为有效条款，并尽量符合本合同所体现的原则和精神。</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956F89">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w:t>
      </w:r>
      <w:r>
        <w:rPr>
          <w:rFonts w:ascii="宋体" w:eastAsia="宋体" w:hAnsi="宋体" w:cs="Times New Roman" w:hint="eastAsia"/>
          <w:szCs w:val="21"/>
        </w:rPr>
        <w:t>的上述修改建议。如果甲方接受乙方的上述回应，则双方另行对此修改建议签署予以确认，甲乙双方则按修改后的约定履行本合同。如甲方不同意乙方的上述建议，双方仍按原合同执行。</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956F89">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rsidR="00956F8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956F89">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956F89">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rsidR="00956F8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rsidR="00956F89">
      <w:pPr>
        <w:tabs>
          <w:tab w:val="left" w:pos="1573"/>
        </w:tabs>
        <w:adjustRightInd w:val="0"/>
        <w:snapToGrid w:val="0"/>
        <w:spacing w:line="360" w:lineRule="auto"/>
        <w:ind w:firstLine="412" w:firstLineChars="196"/>
        <w:jc w:val="left"/>
        <w:rPr>
          <w:rFonts w:ascii="宋体" w:eastAsia="宋体" w:hAnsi="宋体" w:cs="Times New Roman"/>
          <w:szCs w:val="21"/>
        </w:rPr>
      </w:pPr>
    </w:p>
    <w:p w:rsidR="00956F89"/>
    <w:p w:rsidR="00A77B3E"/>
    <w:p w:rsidR="00956F89">
      <w:pPr>
        <w:numPr>
          <w:ilvl w:val="0"/>
          <w:numId w:val="5"/>
        </w:numPr>
        <w:spacing w:line="360" w:lineRule="auto"/>
        <w:ind w:firstLine="3066" w:firstLineChars="1460"/>
        <w:jc w:val="left"/>
        <w:rPr>
          <w:rFonts w:ascii="Times New Roman" w:eastAsia="宋体" w:hAnsi="Times New Roman" w:cs="Times New Roman"/>
          <w:b/>
          <w:bCs/>
          <w:szCs w:val="21"/>
        </w:rPr>
      </w:pPr>
      <w:bookmarkEnd w:id="85"/>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Tahoma">
    <w:altName w:val="noto sans thai"/>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altName w:val="Times New Roman"/>
    <w:panose1 w:val="020F0302020204030204"/>
    <w:charset w:val="00"/>
    <w:family w:val="swiss"/>
    <w:pitch w:val="variable"/>
    <w:sig w:usb0="00000000" w:usb1="00000000" w:usb2="00000009" w:usb3="00000000" w:csb0="000001FF" w:csb1="00000000"/>
  </w:font>
  <w:font w:name="Microsoft YaHei">
    <w:panose1 w:val="020B0503020204020204"/>
    <w:charset w:val="86"/>
    <w:family w:val="auto"/>
    <w:pitch w:val="default"/>
    <w:sig w:usb0="80000287" w:usb1="280F3C52" w:usb2="00000016" w:usb3="00000000" w:csb0="0004001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1E608DE"/>
    <w:multiLevelType w:val="multilevel"/>
    <w:tmpl w:val="31E608DE"/>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3"/>
  </w:num>
  <w:num w:numId="2">
    <w:abstractNumId w:val="2"/>
  </w:num>
  <w:num w:numId="3">
    <w:abstractNumId w:val="4"/>
  </w:num>
  <w:num w:numId="4">
    <w:abstractNumId w:val="7"/>
  </w:num>
  <w:num w:numId="5">
    <w:abstractNumId w:val="1"/>
  </w:num>
  <w:num w:numId="6">
    <w:abstractNumId w:val="0"/>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1A91"/>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15EC"/>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374DD"/>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0F50"/>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56F89"/>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0FF6"/>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16D0"/>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2025-07-01T07:54:04Z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