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（范本，非软件开发服务类适用）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国家气象信息中心机房场地环境系统运维服务项目</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ZQCD-25251</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2025年08月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中所述服务及相关货物的招标投标。本项目属性确定为服务类（不含软件开发）采购。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采购内容</w:t>
      </w:r>
      <w:r>
        <w:rPr>
          <w:rFonts w:hint="eastAsia"/>
          <w:bCs/>
        </w:rPr>
        <w:t>”</w:t>
      </w:r>
      <w:r>
        <w:rPr>
          <w:rFonts w:hint="eastAsia"/>
          <w:bCs/>
        </w:rPr>
        <w:t>指本招标文件中</w:t>
      </w:r>
      <w:r>
        <w:rPr>
          <w:rFonts w:hint="eastAsia"/>
          <w:b/>
          <w:bCs/>
        </w:rPr>
        <w:t>第七章采购需求</w:t>
      </w:r>
      <w:r>
        <w:rPr>
          <w:rFonts w:hint="eastAsia"/>
          <w:bCs/>
        </w:rPr>
        <w:t>所述所有服务内容、货物</w:t>
      </w:r>
      <w:r>
        <w:rPr>
          <w:rStyle w:val="px10"/>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r>
        <w:rPr>
          <w:rStyle w:val="px10"/>
          <w:rFonts w:hint="eastAsia"/>
          <w:bCs/>
        </w:rPr>
        <w:t>“</w:t>
      </w:r>
      <w:r>
        <w:rPr>
          <w:rStyle w:val="px10"/>
          <w:rFonts w:hint="eastAsia"/>
          <w:bCs/>
        </w:rPr>
        <w:t>货物</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所述所有货物（含不需要二次开发的软件），不包括投标人为提供相关服务而购置的所有权属于投标人的货物。</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adjustRightInd w:val="0"/>
        <w:snapToGrid w:val="0"/>
        <w:spacing w:line="360" w:lineRule="auto"/>
        <w:ind w:firstLine="420" w:firstLineChars="200"/>
      </w:pPr>
      <w:r>
        <w:rPr>
          <w:rFonts w:ascii="宋体" w:hAnsi="宋体" w:hint="eastAsia"/>
        </w:rPr>
        <w:t>1.3.4单位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1.3.5</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1.3.6以投标截止日为基准日，投标人之前三年存在不良信用记录的，其投标将被作为无效投标被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1.3.8投标人没有其他不符合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kern w:val="0"/>
        </w:rPr>
        <w:t>1.3.9</w:t>
      </w:r>
      <w:r>
        <w:rPr>
          <w:rFonts w:hint="eastAsia"/>
        </w:rPr>
        <w:t>如投标人授权代表不是法定代表人，须在投标函中具有法定代表人的授权，否则投标将被拒绝。</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b/>
          <w:szCs w:val="21"/>
        </w:rPr>
        <w:t>1.4服务团队及驻场</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1.4.1是否</w:t>
      </w:r>
      <w:r>
        <w:rPr>
          <w:rFonts w:ascii="宋体" w:hAnsi="宋体" w:hint="eastAsia"/>
          <w:bCs/>
          <w:szCs w:val="21"/>
        </w:rPr>
        <w:t>需要投标人组成专门的服务团队完成本项目所采购服务，见</w:t>
      </w:r>
      <w:r>
        <w:rPr>
          <w:rFonts w:ascii="宋体" w:hAnsi="宋体" w:hint="eastAsia"/>
          <w:b/>
          <w:bCs/>
          <w:szCs w:val="21"/>
        </w:rPr>
        <w:t>第五章投标人须知专用部分。</w:t>
      </w:r>
      <w:r>
        <w:rPr>
          <w:rFonts w:ascii="宋体" w:hAnsi="宋体" w:hint="eastAsia"/>
          <w:bCs/>
          <w:szCs w:val="21"/>
        </w:rPr>
        <w:t>如需要组成专门的服务团队，</w:t>
      </w:r>
      <w:r>
        <w:rPr>
          <w:rFonts w:ascii="宋体" w:hAnsi="宋体" w:hint="eastAsia"/>
          <w:szCs w:val="21"/>
        </w:rPr>
        <w:t>投标人应按采购人要求的人数、人员能力及资质等条件，委派若干名专职或兼职的项目管理及专业人员组成服务团队，并指定其中1-2名能力较强、对本次招标项目较熟悉的人员为团队的项目负责人（项目经理）。如投标人不能组成服务团队的，投标将被</w:t>
      </w:r>
      <w:r>
        <w:rPr>
          <w:rFonts w:ascii="宋体" w:hAnsi="宋体" w:hint="eastAsia"/>
          <w:b/>
          <w:szCs w:val="21"/>
        </w:rPr>
        <w:t>拒绝</w:t>
      </w:r>
      <w:r>
        <w:rPr>
          <w:rFonts w:ascii="宋体" w:hAnsi="宋体" w:hint="eastAsia"/>
          <w:szCs w:val="21"/>
        </w:rPr>
        <w:t>；如服务团队人数以及人员的能力、资质等不符合采购文件要求的，将可能导致评审时被扣除相关分数直至投标被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1.4.2投标人获得本项目采购合同后，在本项目实施过程中应保持服务团队人员特别是</w:t>
      </w:r>
      <w:r>
        <w:rPr>
          <w:rFonts w:ascii="宋体" w:hAnsi="宋体" w:hint="eastAsia"/>
          <w:szCs w:val="21"/>
        </w:rPr>
        <w:t>项目负责人（项目经理）</w:t>
      </w:r>
      <w:r>
        <w:rPr>
          <w:rFonts w:ascii="宋体" w:hAnsi="宋体" w:hint="eastAsia"/>
          <w:bCs/>
          <w:szCs w:val="21"/>
        </w:rPr>
        <w:t>的稳定。</w:t>
      </w:r>
      <w:r>
        <w:rPr>
          <w:rFonts w:ascii="宋体" w:hAnsi="宋体" w:hint="eastAsia"/>
          <w:szCs w:val="21"/>
        </w:rPr>
        <w:t>在本项目实施过程中如需要对</w:t>
      </w:r>
      <w:r>
        <w:rPr>
          <w:rFonts w:ascii="宋体" w:hAnsi="宋体" w:hint="eastAsia"/>
          <w:bCs/>
          <w:szCs w:val="21"/>
        </w:rPr>
        <w:t>团队人员调整，按以下规则执行：</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（1）如采购人认为有必要调整团队有关人员，投标人应及时进行调整，并与采购人协商一致后，重新委派相关人员；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（2）投标人未经采购人同意，不得自行调整团队人员；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（3）如团队相关人员因离职、伤病等不能继续实施本项目时，投标人应及时通知采购人，并与采购人协商一致后，重新委派相关人员；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（4）投标人重新委派的人员，其能力、资质、有关工作经历等应不低于原人员。</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1.4.3服务团队是否需要驻场服务</w:t>
      </w:r>
      <w:r>
        <w:rPr>
          <w:rFonts w:ascii="宋体" w:hAnsi="宋体" w:hint="eastAsia"/>
          <w:bCs/>
          <w:szCs w:val="21"/>
        </w:rPr>
        <w:t>见</w:t>
      </w:r>
      <w:r>
        <w:rPr>
          <w:rFonts w:ascii="宋体" w:hAnsi="宋体" w:hint="eastAsia"/>
          <w:b/>
          <w:bCs/>
          <w:szCs w:val="21"/>
        </w:rPr>
        <w:t>第五章投标人须知专用部分。</w:t>
      </w:r>
      <w:r>
        <w:rPr>
          <w:rFonts w:ascii="宋体" w:hAnsi="宋体" w:hint="eastAsia"/>
          <w:szCs w:val="21"/>
        </w:rPr>
        <w:t>如需要驻场服务，但投标人不能提供驻场服务的，投标将被</w:t>
      </w:r>
      <w:r>
        <w:rPr>
          <w:rFonts w:ascii="宋体" w:hAnsi="宋体" w:hint="eastAsia"/>
          <w:b/>
          <w:szCs w:val="21"/>
        </w:rPr>
        <w:t>拒绝</w:t>
      </w:r>
      <w:r>
        <w:rPr>
          <w:rFonts w:ascii="宋体" w:hAnsi="宋体" w:hint="eastAsia"/>
          <w:szCs w:val="21"/>
        </w:rPr>
        <w:t>；如驻场服务人数、专业水平等不符合采购文件要求的，将可能导致评审时被扣除相关分数直至投标被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8460"/>
        </w:tabs>
        <w:adjustRightInd w:val="0"/>
        <w:snapToGrid w:val="0"/>
        <w:spacing w:line="360" w:lineRule="auto"/>
        <w:ind w:firstLine="420" w:firstLineChars="200"/>
        <w:jc w:val="left"/>
        <w:rPr>
          <w:rFonts w:ascii="宋体" w:hAnsi="宋体" w:hint="eastAsia"/>
          <w:b/>
          <w:szCs w:val="21"/>
        </w:rPr>
      </w:pPr>
      <w:r>
        <w:rPr>
          <w:rFonts w:ascii="宋体" w:hAnsi="宋体" w:hint="eastAsia"/>
          <w:b/>
          <w:szCs w:val="21"/>
        </w:rPr>
        <w:t>1.5采购货物的规定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本次采购内容是否包括货物见</w:t>
      </w:r>
      <w:r>
        <w:rPr>
          <w:rFonts w:hint="eastAsia"/>
          <w:b/>
        </w:rPr>
        <w:t>第五章投标人须知专用部分。</w:t>
      </w:r>
      <w:r>
        <w:rPr>
          <w:rFonts w:ascii="宋体" w:hAnsi="宋体" w:hint="eastAsia"/>
          <w:szCs w:val="21"/>
        </w:rPr>
        <w:t>如本次采购内容包括货物，按以下规则执行：</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szCs w:val="21"/>
        </w:rPr>
        <w:t>1.5.1</w:t>
      </w:r>
      <w:r>
        <w:rPr>
          <w:rFonts w:ascii="宋体" w:hAnsi="宋体" w:hint="eastAsia"/>
          <w:kern w:val="0"/>
          <w:szCs w:val="21"/>
        </w:rPr>
        <w:t>投标人所投标的货物如是国家法律、法规、政策禁止采购人采购的货物，或者投标人所投标的货物使用了国家法律、法规、政策禁止采购人采购的货物作为零件，投标将被拒绝。</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rPr>
        <w:t>1.5.2如投</w:t>
      </w:r>
      <w:r>
        <w:rPr>
          <w:rFonts w:hint="eastAsia"/>
        </w:rPr>
        <w:t>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r>
        <w:rPr>
          <w:rFonts w:hint="eastAsia"/>
        </w:rPr>
        <w:t>投标的货物是否必须取得《气象专用技术装备使用许可证》，见</w:t>
      </w:r>
      <w:r>
        <w:rPr>
          <w:rFonts w:hint="eastAsia"/>
          <w:b/>
        </w:rPr>
        <w:t>第五章投标人须知专用部分。</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1.5.3如允许进口货物投标，应当遵守《财政部关于印发&lt;政府采购进口产品管理办法&gt;的通知》（财库〔2007〕119 号）、财政部办公厅《关于政府采购进口产品管理有关问题的通知》（财办库〔2008〕248 号）的相关规定。</w:t>
      </w:r>
      <w:r>
        <w:rPr>
          <w:rFonts w:ascii="宋体" w:hAnsi="宋体" w:hint="eastAsia"/>
          <w:szCs w:val="21"/>
        </w:rPr>
        <w:t>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5.6条有关进口产品投标要求的，投标将被拒绝。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1.5.4本次招标是否允许代理商（指投标人提供的货物不是自己制造的，下同）投标，以及进口产品代理商投标应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第五章投标人须知专用部分5.6条</w:t>
      </w:r>
      <w:r>
        <w:rPr>
          <w:rFonts w:hint="eastAsia"/>
        </w:rPr>
        <w:t>有关代理商投标要求，以及进口产品代理商未按</w:t>
      </w:r>
      <w:r>
        <w:rPr>
          <w:rFonts w:hint="eastAsia"/>
          <w:b/>
        </w:rPr>
        <w:t>第五章投标人须知专用部分5.7条</w:t>
      </w:r>
      <w:r>
        <w:rPr>
          <w:rFonts w:hint="eastAsia"/>
        </w:rPr>
        <w:t>提交有关资料的，投标将被拒绝。</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1.6中小企业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1.6.6享受中小企业扶持政策获得本项目政府采购合同的，小微企业不得将合同分包给大中型企业，中型企业不得将合同分包给大型企业。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（如本次采购内容不包括货物，或者投标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宋体" w:hAnsi="宋体" w:hint="eastAsia"/>
          <w:szCs w:val="21"/>
        </w:rPr>
        <w:t>⑨</w:t>
      </w:r>
      <w:r>
        <w:rPr>
          <w:rFonts w:ascii="宋体" w:hAnsi="宋体"/>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宋体" w:hAnsi="宋体" w:hint="eastAsia"/>
          <w:szCs w:val="21"/>
        </w:rPr>
      </w:pPr>
      <w:r>
        <w:rPr>
          <w:rFonts w:ascii="微软雅黑" w:eastAsia="微软雅黑" w:hAnsi="微软雅黑" w:hint="eastAsia"/>
          <w:szCs w:val="21"/>
        </w:rPr>
        <w:t>⑩</w:t>
      </w:r>
      <w:r>
        <w:rPr>
          <w:rFonts w:ascii="宋体" w:hAnsi="宋体"/>
          <w:szCs w:val="21"/>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hint="eastAsia"/>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（6）*银行保函或投标保证金说明函（本项目不要求提交投标保证金不提供）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第五章投标人须知专用部分5.12条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（3）*服务团队人员基本情况表（如未要求组成专门的服务团队的，不提供）</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（5）主要标的信息表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w:t>
      </w:r>
      <w:r>
        <w:rPr>
          <w:rFonts w:hint="eastAsia"/>
        </w:rPr>
        <w:t>按照</w:t>
      </w:r>
      <w:r>
        <w:rPr>
          <w:rFonts w:hint="eastAsia"/>
          <w:b/>
        </w:rPr>
        <w:t>第五章投标人须知专用部分5.12条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（7）投标人项目实施和售后服务方案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服务费用、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投标人自行承担。</w:t>
      </w:r>
    </w:p>
    <w:p>
      <w:pPr>
        <w:tabs>
          <w:tab w:val="left" w:pos="1573"/>
        </w:tabs>
        <w:adjustRightInd w:val="0"/>
        <w:snapToGrid w:val="0"/>
        <w:spacing w:line="360" w:lineRule="auto"/>
        <w:ind w:firstLine="420" w:firstLineChars="200"/>
        <w:jc w:val="left"/>
        <w:rPr>
          <w:rFonts w:hint="eastAsia"/>
          <w:b/>
          <w:bCs/>
        </w:rPr>
      </w:pPr>
      <w:r>
        <w:rPr>
          <w:rFonts w:ascii="宋体" w:hAnsi="宋体" w:hint="eastAsia"/>
          <w:szCs w:val="21"/>
        </w:rPr>
        <w:t>1.17.2</w:t>
      </w:r>
      <w:r>
        <w:rPr>
          <w:rFonts w:hint="eastAsia"/>
        </w:rPr>
        <w:t>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1.17.3投标人要按分项报价表的内容填写单价（包括服务清单、方式、费用，</w:t>
      </w:r>
      <w:r>
        <w:rPr>
          <w:rFonts w:ascii="宋体" w:eastAsia="宋体" w:hAnsi="宋体" w:cs="Times New Roman" w:hint="eastAsia"/>
          <w:szCs w:val="21"/>
        </w:rPr>
        <w:t>货物报价及品牌、型号、产地、装</w:t>
      </w:r>
      <w:r>
        <w:rPr>
          <w:rFonts w:ascii="宋体" w:hAnsi="宋体" w:hint="eastAsia"/>
          <w:szCs w:val="21"/>
        </w:rPr>
        <w:t>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中国气象局政府采购网（网址：http：//cmagp.cmaidp.cma.cn/portalweb），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以投标截止日为基准日，近一年内任何</w:t>
      </w:r>
      <w:r>
        <w:t>完税凭证或税务部门出具的税收减免证明</w:t>
      </w:r>
      <w:r>
        <w:rPr>
          <w:rFonts w:hint="eastAsia"/>
        </w:rPr>
        <w:t>，</w:t>
      </w:r>
      <w:r>
        <w:t>③</w:t>
      </w:r>
      <w:r>
        <w:rPr>
          <w:rFonts w:hint="eastAsia"/>
        </w:rPr>
        <w:t>以投标截止日为基准日，</w:t>
      </w:r>
      <w:r>
        <w:t>近</w:t>
      </w:r>
      <w:r>
        <w:rPr>
          <w:rFonts w:hint="eastAsia"/>
        </w:rPr>
        <w:t>一年内任何一期的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900"/>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w:t>
      </w:r>
      <w:r>
        <w:rPr>
          <w:rFonts w:ascii="宋体" w:hAnsi="宋体" w:hint="eastAsia"/>
          <w:szCs w:val="21"/>
        </w:rPr>
        <w:t>服务团队人员基本情况表（如有）、</w:t>
      </w:r>
      <w:r>
        <w:rPr>
          <w:rFonts w:hint="eastAsia"/>
        </w:rPr>
        <w:t>技术要求偏离表、按照第五章投标人须知专用部分5.12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tabs>
          <w:tab w:val="left" w:pos="1573"/>
        </w:tabs>
        <w:adjustRightInd w:val="0"/>
        <w:snapToGrid w:val="0"/>
        <w:spacing w:line="360" w:lineRule="auto"/>
        <w:ind w:firstLine="420" w:firstLineChars="200"/>
        <w:rPr>
          <w:rFonts w:hint="eastAsia"/>
        </w:rPr>
      </w:pPr>
      <w:r>
        <w:rPr>
          <w:rFonts w:hint="eastAsia"/>
          <w:bCs/>
        </w:rPr>
        <w:t>（1）代表投标人进行述标的述标人应是投标人的正式员工，如需要投标人组成专门服务团队的，则述标人应是服务团队的人员。如采取现场方式述标，述标人应持有委托其述标的委托书</w:t>
      </w:r>
      <w:r>
        <w:rPr>
          <w:rFonts w:ascii="宋体" w:hAnsi="宋体" w:hint="eastAsia"/>
          <w:bCs/>
          <w:szCs w:val="21"/>
        </w:rPr>
        <w:t>（见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（4）根据1.26.8条修正后的分项报价表总价金额小于单独密封的开标一览表总价金额；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单独密封的开标一览表总价金额，评标委员会按1.27条规定的程序要求其对单价进行调整，并使其分项报价表总价金额等于单独密封的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服务标准及质量、投标产品及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）服务标准及质量、投标产品的技术性能及质量。包括对招标文件应答情况，服务标准、质量、产品技术规格有无偏离，产品的性能、标准，产品的先进性、可靠性、稳定性及质量保证等；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不是专门或部分面向中小企业采购的项目，小微企业享受价格扣除优惠，用扣除后的价格参与评审。具体见1.6.4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服务标准和要求、产品规格型号、数量、单价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服务和产品的标准、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rFonts w:hint="eastAsia"/>
        </w:rPr>
      </w:pPr>
      <w:r>
        <w:rPr>
          <w:rFonts w:hint="eastAsia"/>
          <w:b/>
          <w:bCs/>
        </w:rPr>
        <w:t>1.40供应商诚信评价</w:t>
      </w:r>
    </w:p>
    <w:p>
      <w:pPr>
        <w:spacing w:line="360" w:lineRule="auto"/>
        <w:ind w:firstLine="420" w:firstLineChars="200"/>
        <w:rPr>
          <w:rFonts w:ascii="宋体" w:hAnsi="宋体"/>
        </w:rPr>
      </w:pPr>
      <w:r>
        <w:rPr>
          <w:rFonts w:ascii="宋体" w:hAnsi="宋体" w:hint="eastAsia"/>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spacing w:line="360" w:lineRule="auto"/>
        <w:ind w:firstLine="420" w:firstLineChars="200"/>
        <w:jc w:val="center"/>
        <w:rPr>
          <w:bCs/>
          <w:szCs w:val="44"/>
        </w:rPr>
      </w:pPr>
      <w:r>
        <w:rPr>
          <w:rFonts w:ascii="宋体" w:hAnsi="宋体"/>
        </w:rP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pStyle w:val="10"/>
        <w:numPr>
          <w:ilvl w:val="0"/>
          <w:numId w:val="0"/>
        </w:numPr>
        <w:tabs>
          <w:tab w:val="left" w:pos="709"/>
          <w:tab w:val="left" w:pos="1573"/>
        </w:tabs>
        <w:adjustRightInd w:val="0"/>
        <w:snapToGrid w:val="0"/>
        <w:spacing w:line="360" w:lineRule="auto"/>
        <w:ind w:firstLine="420" w:firstLineChars="200"/>
        <w:rPr>
          <w:bCs/>
          <w:szCs w:val="44"/>
        </w:rPr>
      </w:pPr>
      <w:r>
        <w:rPr>
          <w:rFonts w:hint="eastAsia"/>
          <w:b/>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6.开标一览表或投标文件中未注明出处的优惠金额可由采购人按用户利益最大化原则分摊到主要服务费用中，折算后的价格作为可能的追加采购服务的计费依据。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8.完全理解招标文件中的各项商务和服务、技术要求，若有偏差，已在投标文件商务条款和技术要求偏离表中予以明确特别说明。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单位名称</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详细地址</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主管部门</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rPr>
              <w:t>授权代表</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组织形式</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noWrap w:val="0"/>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jc w:val="center"/>
              <w:rPr>
                <w:rFonts w:ascii="Arial" w:eastAsia="黑体" w:hAnsi="Arial" w:cs="Arial"/>
              </w:rPr>
            </w:pPr>
          </w:p>
        </w:tc>
        <w:tc>
          <w:tcPr>
            <w:tcW w:w="940" w:type="pct"/>
            <w:gridSpan w:val="3"/>
            <w:vMerge/>
            <w:noWrap w:val="0"/>
            <w:vAlign w:val="center"/>
          </w:tcPr>
          <w:p>
            <w:pPr>
              <w:snapToGrid w:val="0"/>
              <w:ind w:right="-42" w:rightChars="-20"/>
              <w:jc w:val="center"/>
              <w:rPr>
                <w:rFonts w:ascii="Arial" w:eastAsia="黑体" w:hAnsi="Arial" w:cs="Arial"/>
              </w:rPr>
            </w:pP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中级职称</w:t>
            </w:r>
          </w:p>
        </w:tc>
        <w:tc>
          <w:tcPr>
            <w:tcW w:w="757" w:type="pct"/>
            <w:noWrap w:val="0"/>
            <w:vAlign w:val="center"/>
          </w:tcPr>
          <w:p>
            <w:pPr>
              <w:ind w:right="-42" w:rightChars="-20"/>
              <w:jc w:val="center"/>
              <w:rPr>
                <w:rFonts w:ascii="Arial" w:eastAsia="黑体" w:hAnsi="Arial" w:cs="Arial"/>
              </w:rPr>
            </w:pPr>
            <w:r>
              <w:rPr>
                <w:rFonts w:ascii="Arial" w:eastAsia="黑体" w:hAnsi="Arial" w:cs="Arial"/>
              </w:rPr>
              <w:t>初级职称</w:t>
            </w:r>
          </w:p>
        </w:tc>
        <w:tc>
          <w:tcPr>
            <w:tcW w:w="1023" w:type="pct"/>
            <w:noWrap w:val="0"/>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noWrap w:val="0"/>
            <w:vAlign w:val="top"/>
          </w:tcPr>
          <w:p>
            <w:pPr>
              <w:snapToGrid w:val="0"/>
              <w:ind w:right="-42" w:rightChars="-20"/>
              <w:rPr>
                <w:rFonts w:ascii="Arial" w:eastAsia="黑体" w:hAnsi="Arial" w:cs="Arial"/>
              </w:rPr>
            </w:pPr>
          </w:p>
        </w:tc>
        <w:tc>
          <w:tcPr>
            <w:tcW w:w="806" w:type="pct"/>
            <w:gridSpan w:val="2"/>
            <w:noWrap w:val="0"/>
            <w:vAlign w:val="top"/>
          </w:tcPr>
          <w:p>
            <w:pPr>
              <w:ind w:right="-42" w:rightChars="-20"/>
              <w:rPr>
                <w:rFonts w:ascii="Arial" w:eastAsia="黑体" w:hAnsi="Arial" w:cs="Arial"/>
              </w:rPr>
            </w:pPr>
          </w:p>
        </w:tc>
        <w:tc>
          <w:tcPr>
            <w:tcW w:w="757" w:type="pct"/>
            <w:noWrap w:val="0"/>
            <w:vAlign w:val="top"/>
          </w:tcPr>
          <w:p>
            <w:pPr>
              <w:ind w:right="-42" w:rightChars="-20"/>
              <w:rPr>
                <w:rFonts w:ascii="Arial" w:eastAsia="黑体" w:hAnsi="Arial" w:cs="Arial"/>
              </w:rPr>
            </w:pPr>
          </w:p>
        </w:tc>
        <w:tc>
          <w:tcPr>
            <w:tcW w:w="1023" w:type="pct"/>
            <w:noWrap w:val="0"/>
            <w:vAlign w:val="top"/>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val="restart"/>
            <w:noWrap w:val="0"/>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noWrap w:val="0"/>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noWrap w:val="0"/>
            <w:vAlign w:val="center"/>
          </w:tcPr>
          <w:p>
            <w:pPr>
              <w:ind w:right="-42" w:rightChars="-20"/>
              <w:jc w:val="center"/>
              <w:rPr>
                <w:rFonts w:ascii="Arial" w:eastAsia="黑体" w:hAnsi="Arial" w:cs="Arial"/>
              </w:rPr>
            </w:pPr>
            <w:r>
              <w:rPr>
                <w:rFonts w:ascii="Arial" w:eastAsia="黑体" w:hAnsi="Arial" w:cs="Arial"/>
              </w:rPr>
              <w:t>资金来源</w:t>
            </w:r>
          </w:p>
        </w:tc>
        <w:tc>
          <w:tcPr>
            <w:tcW w:w="757" w:type="pct"/>
            <w:noWrap w:val="0"/>
            <w:vAlign w:val="center"/>
          </w:tcPr>
          <w:p>
            <w:pPr>
              <w:ind w:right="-42" w:rightChars="-20"/>
              <w:jc w:val="center"/>
              <w:rPr>
                <w:rFonts w:ascii="Arial" w:eastAsia="黑体" w:hAnsi="Arial" w:cs="Arial"/>
              </w:rPr>
            </w:pPr>
            <w:r>
              <w:rPr>
                <w:rFonts w:ascii="Arial" w:eastAsia="黑体" w:hAnsi="Arial" w:cs="Arial"/>
              </w:rPr>
              <w:t>自有资金</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rPr>
                <w:rFonts w:ascii="Arial" w:eastAsia="黑体" w:hAnsi="Arial" w:cs="Arial"/>
              </w:rPr>
            </w:pPr>
          </w:p>
        </w:tc>
        <w:tc>
          <w:tcPr>
            <w:tcW w:w="940" w:type="pct"/>
            <w:gridSpan w:val="3"/>
            <w:vMerge/>
            <w:noWrap w:val="0"/>
            <w:vAlign w:val="center"/>
          </w:tcPr>
          <w:p>
            <w:pPr>
              <w:snapToGrid w:val="0"/>
              <w:ind w:right="-42" w:rightChars="-20"/>
              <w:rPr>
                <w:rFonts w:ascii="Arial" w:eastAsia="黑体" w:hAnsi="Arial" w:cs="Arial"/>
              </w:rPr>
            </w:pPr>
          </w:p>
        </w:tc>
        <w:tc>
          <w:tcPr>
            <w:tcW w:w="806" w:type="pct"/>
            <w:gridSpan w:val="2"/>
            <w:vMerge/>
            <w:noWrap w:val="0"/>
            <w:vAlign w:val="center"/>
          </w:tcPr>
          <w:p>
            <w:pPr>
              <w:ind w:right="-42" w:rightChars="-20"/>
              <w:jc w:val="center"/>
              <w:rPr>
                <w:rFonts w:ascii="Arial" w:eastAsia="黑体" w:hAnsi="Arial" w:cs="Arial"/>
              </w:rPr>
            </w:pPr>
          </w:p>
        </w:tc>
        <w:tc>
          <w:tcPr>
            <w:tcW w:w="757" w:type="pct"/>
            <w:noWrap w:val="0"/>
            <w:vAlign w:val="center"/>
          </w:tcPr>
          <w:p>
            <w:pPr>
              <w:ind w:right="-42" w:rightChars="-20"/>
              <w:jc w:val="center"/>
              <w:rPr>
                <w:rFonts w:ascii="Arial" w:eastAsia="黑体" w:hAnsi="Arial" w:cs="Arial"/>
              </w:rPr>
            </w:pPr>
            <w:r>
              <w:rPr>
                <w:rFonts w:ascii="Arial" w:eastAsia="黑体" w:hAnsi="Arial" w:cs="Arial"/>
              </w:rPr>
              <w:t>银行贷款</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noWrap w:val="0"/>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noWrap w:val="0"/>
            <w:vAlign w:val="center"/>
          </w:tcPr>
          <w:p>
            <w:pPr>
              <w:ind w:right="-42" w:rightChars="-20"/>
              <w:jc w:val="center"/>
              <w:rPr>
                <w:rFonts w:ascii="Arial" w:eastAsia="黑体" w:hAnsi="Arial" w:cs="Arial"/>
              </w:rPr>
            </w:pPr>
            <w:r>
              <w:rPr>
                <w:rFonts w:ascii="Arial" w:eastAsia="黑体" w:hAnsi="Arial" w:cs="Arial"/>
              </w:rPr>
              <w:t>净值</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利润总额</w:t>
            </w:r>
          </w:p>
        </w:tc>
        <w:tc>
          <w:tcPr>
            <w:tcW w:w="757" w:type="pct"/>
            <w:noWrap w:val="0"/>
            <w:vAlign w:val="center"/>
          </w:tcPr>
          <w:p>
            <w:pPr>
              <w:ind w:right="-42" w:rightChars="-20"/>
              <w:jc w:val="center"/>
              <w:rPr>
                <w:rFonts w:ascii="Arial" w:eastAsia="黑体" w:hAnsi="Arial" w:cs="Arial"/>
              </w:rPr>
            </w:pPr>
            <w:r>
              <w:rPr>
                <w:rFonts w:ascii="Arial" w:eastAsia="黑体" w:hAnsi="Arial" w:cs="Arial"/>
              </w:rPr>
              <w:t>税后利润</w:t>
            </w:r>
          </w:p>
        </w:tc>
        <w:tc>
          <w:tcPr>
            <w:tcW w:w="1023" w:type="pct"/>
            <w:noWrap w:val="0"/>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noWrap w:val="0"/>
            <w:vAlign w:val="center"/>
          </w:tcPr>
          <w:p>
            <w:pPr>
              <w:snapToGrid w:val="0"/>
              <w:ind w:right="-42" w:rightChars="-20"/>
              <w:rPr>
                <w:rFonts w:ascii="Arial" w:eastAsia="黑体" w:hAnsi="Arial" w:cs="Arial"/>
              </w:rPr>
            </w:pPr>
          </w:p>
        </w:tc>
        <w:tc>
          <w:tcPr>
            <w:tcW w:w="806" w:type="pct"/>
            <w:gridSpan w:val="2"/>
            <w:noWrap w:val="0"/>
            <w:vAlign w:val="center"/>
          </w:tcPr>
          <w:p>
            <w:pPr>
              <w:ind w:right="-42" w:rightChars="-20"/>
              <w:rPr>
                <w:rFonts w:ascii="Arial" w:eastAsia="黑体" w:hAnsi="Arial" w:cs="Arial"/>
              </w:rPr>
            </w:pPr>
          </w:p>
        </w:tc>
        <w:tc>
          <w:tcPr>
            <w:tcW w:w="757" w:type="pct"/>
            <w:noWrap w:val="0"/>
            <w:vAlign w:val="center"/>
          </w:tcPr>
          <w:p>
            <w:pPr>
              <w:ind w:right="-42" w:rightChars="-20"/>
              <w:rPr>
                <w:rFonts w:ascii="Arial" w:eastAsia="黑体" w:hAnsi="Arial" w:cs="Arial"/>
              </w:rPr>
            </w:pPr>
          </w:p>
        </w:tc>
        <w:tc>
          <w:tcPr>
            <w:tcW w:w="1023" w:type="pct"/>
            <w:noWrap w:val="0"/>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pPr>
        <w:tabs>
          <w:tab w:val="left" w:pos="5580"/>
        </w:tabs>
        <w:adjustRightInd w:val="0"/>
        <w:snapToGrid w:val="0"/>
        <w:spacing w:line="360" w:lineRule="auto"/>
        <w:ind w:firstLine="420" w:firstLineChars="200"/>
        <w:jc w:val="left"/>
      </w:pPr>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noWrap w:val="0"/>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noWrap w:val="0"/>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2.10.1投标人</w:t>
      </w:r>
      <w:r>
        <w:rPr>
          <w:rFonts w:ascii="宋体" w:eastAsia="宋体" w:hAnsi="宋体" w:cs="Times New Roman"/>
          <w:b/>
          <w:kern w:val="2"/>
          <w:sz w:val="21"/>
          <w:szCs w:val="21"/>
          <w:highlight w:val="none"/>
          <w:lang w:val="en-US" w:eastAsia="zh-CN" w:bidi="ar-SA"/>
        </w:rPr>
        <w:t>法人</w:t>
      </w:r>
      <w:r>
        <w:rPr>
          <w:rFonts w:ascii="宋体" w:eastAsia="宋体" w:hAnsi="宋体" w:cs="Times New Roman" w:hint="eastAsia"/>
          <w:b/>
          <w:kern w:val="2"/>
          <w:sz w:val="21"/>
          <w:szCs w:val="21"/>
          <w:highlight w:val="none"/>
          <w:lang w:val="en-US" w:eastAsia="zh-CN" w:bidi="ar-SA"/>
        </w:rPr>
        <w:t>资格</w:t>
      </w:r>
      <w:r>
        <w:rPr>
          <w:rFonts w:ascii="宋体" w:eastAsia="宋体" w:hAnsi="宋体" w:cs="Times New Roman"/>
          <w:b/>
          <w:kern w:val="2"/>
          <w:sz w:val="21"/>
          <w:szCs w:val="21"/>
          <w:highlight w:val="none"/>
          <w:lang w:val="en-US" w:eastAsia="zh-CN" w:bidi="ar-SA"/>
        </w:rPr>
        <w:t>证明文件</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截止至投标截止日仍有效的投标人法人资格的证明文件（法人营业执照、事业单位法人证书等）的复印件。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2.10.5参加政府采购活动前三年内，在经营活动中没有重大违法记录的声明</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b/>
          <w:szCs w:val="21"/>
          <w:highlight w:val="none"/>
        </w:rPr>
      </w:pPr>
      <w:r>
        <w:rPr>
          <w:rFonts w:ascii="宋体" w:eastAsia="宋体" w:hAnsi="宋体" w:cs="Times New Roman" w:hint="eastAsia"/>
          <w:kern w:val="2"/>
          <w:sz w:val="21"/>
          <w:szCs w:val="21"/>
          <w:highlight w:val="none"/>
          <w:lang w:val="en-US" w:eastAsia="zh-CN" w:bidi="ar-SA"/>
        </w:rPr>
        <w:t>在格式文本中，除可填报内容外，任何实质性修改将被视为非实质性响应投标，从而导致该投标被</w:t>
      </w:r>
      <w:r>
        <w:rPr>
          <w:rFonts w:ascii="宋体" w:eastAsia="拒绝" w:hAnsi="宋体" w:cs="Times New Roman" w:hint="eastAsia"/>
          <w:b/>
          <w:kern w:val="2"/>
          <w:sz w:val="21"/>
          <w:szCs w:val="21"/>
          <w:highlight w:val="none"/>
          <w:lang w:val="en-US" w:eastAsia="zh-CN" w:bidi="ar-SA"/>
        </w:rPr>
        <w:t>拒绝</w:t>
      </w:r>
      <w:r>
        <w:rPr>
          <w:rFonts w:ascii="宋体" w:eastAsia="宋体" w:hAnsi="宋体" w:cs="Times New Roman" w:hint="eastAsia"/>
          <w:kern w:val="2"/>
          <w:sz w:val="21"/>
          <w:szCs w:val="21"/>
          <w:highlight w:val="none"/>
          <w:lang w:val="en-US" w:eastAsia="zh-CN" w:bidi="ar-SA"/>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bookmarkStart w:id="10" w:name="_Hlt509739007"/>
      <w:bookmarkEnd w:id="10"/>
      <w:r>
        <w:rPr>
          <w:rFonts w:ascii="宋体" w:eastAsia="宋体" w:hAnsi="宋体" w:cs="Times New Roman" w:hint="eastAsia"/>
          <w:b/>
          <w:kern w:val="2"/>
          <w:sz w:val="21"/>
          <w:szCs w:val="21"/>
          <w:highlight w:val="none"/>
          <w:lang w:val="en-US" w:eastAsia="zh-CN" w:bidi="ar-SA"/>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如本次采购内容包括货物，且</w:t>
      </w:r>
      <w:r>
        <w:rPr>
          <w:rFonts w:ascii="宋体" w:eastAsia="宋体" w:hAnsi="宋体" w:cs="Times New Roman" w:hint="eastAsia"/>
          <w:szCs w:val="20"/>
          <w:highlight w:val="none"/>
        </w:rPr>
        <w:t>投标货物必须取得《气象专用技术装备使用许可证》的，应提供气象行业主管部门颁发的</w:t>
      </w:r>
      <w:r>
        <w:rPr>
          <w:rFonts w:ascii="Times New Roman" w:eastAsia="宋体" w:hAnsi="Times New Roman" w:cs="Times New Roman" w:hint="eastAsia"/>
          <w:szCs w:val="20"/>
          <w:highlight w:val="none"/>
        </w:rPr>
        <w:t>且至投标截止日仍有效的</w:t>
      </w:r>
      <w:r>
        <w:rPr>
          <w:rFonts w:ascii="宋体" w:eastAsia="宋体" w:hAnsi="宋体" w:cs="Times New Roman" w:hint="eastAsia"/>
          <w:szCs w:val="20"/>
          <w:highlight w:val="none"/>
        </w:rPr>
        <w:t>《气象专用技术装备使用许可证》的复印件。</w:t>
      </w:r>
      <w:r>
        <w:rPr>
          <w:rFonts w:ascii="Times New Roman" w:eastAsia="宋体" w:hAnsi="Times New Roman" w:cs="Times New Roman" w:hint="eastAsia"/>
          <w:szCs w:val="20"/>
          <w:highlight w:val="none"/>
        </w:rPr>
        <w:t>且所载产品名称、规格型号应与投标货物的名称、规格型号一致。</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bCs/>
          <w:kern w:val="2"/>
          <w:sz w:val="21"/>
          <w:szCs w:val="21"/>
          <w:highlight w:val="none"/>
          <w:lang w:val="en-US" w:eastAsia="zh-CN" w:bidi="ar-SA"/>
        </w:rPr>
        <w:t>2.10.8</w:t>
      </w:r>
      <w:r>
        <w:rPr>
          <w:rFonts w:ascii="宋体" w:eastAsia="宋体" w:hAnsi="宋体" w:cs="Times New Roman" w:hint="eastAsia"/>
          <w:b/>
          <w:kern w:val="2"/>
          <w:sz w:val="21"/>
          <w:szCs w:val="21"/>
          <w:highlight w:val="none"/>
          <w:lang w:val="en-US" w:eastAsia="zh-CN" w:bidi="ar-SA"/>
        </w:rPr>
        <w:t>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bookmarkStart w:id="11" w:name="_Toc86202647"/>
      <w:r>
        <w:rPr>
          <w:rFonts w:ascii="宋体" w:eastAsia="宋体" w:hAnsi="宋体" w:cs="Times New Roman" w:hint="eastAsia"/>
          <w:b/>
          <w:kern w:val="2"/>
          <w:sz w:val="21"/>
          <w:szCs w:val="21"/>
          <w:highlight w:val="none"/>
          <w:lang w:val="en-US" w:eastAsia="zh-CN" w:bidi="ar-SA"/>
        </w:rPr>
        <w:t>2.10.9中</w:t>
      </w:r>
      <w:r>
        <w:rPr>
          <w:rFonts w:ascii="宋体" w:eastAsia="宋体" w:hAnsi="宋体" w:cs="Times New Roman"/>
          <w:b/>
          <w:kern w:val="2"/>
          <w:sz w:val="21"/>
          <w:szCs w:val="21"/>
          <w:highlight w:val="none"/>
          <w:lang w:val="en-US" w:eastAsia="zh-CN" w:bidi="ar-SA"/>
        </w:rPr>
        <w:t>小企业声明函</w:t>
      </w:r>
      <w:r>
        <w:rPr>
          <w:rFonts w:ascii="宋体" w:eastAsia="宋体" w:hAnsi="宋体" w:cs="Times New Roman" w:hint="eastAsia"/>
          <w:b/>
          <w:kern w:val="2"/>
          <w:sz w:val="21"/>
          <w:szCs w:val="21"/>
          <w:highlight w:val="none"/>
          <w:lang w:val="en-US" w:eastAsia="zh-CN" w:bidi="ar-SA"/>
        </w:rPr>
        <w:t>、</w:t>
      </w:r>
      <w:r>
        <w:rPr>
          <w:rFonts w:ascii="宋体" w:eastAsia="宋体" w:hAnsi="宋体" w:cs="Times New Roman" w:hint="eastAsia"/>
          <w:b/>
          <w:bCs/>
          <w:kern w:val="2"/>
          <w:sz w:val="21"/>
          <w:szCs w:val="21"/>
          <w:highlight w:val="none"/>
          <w:lang w:val="en-US" w:eastAsia="zh-CN" w:bidi="ar-SA"/>
        </w:rPr>
        <w:t>残疾人福利性单位声明函、监狱企业证明文件</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szCs w:val="21"/>
          <w:highlight w:val="none"/>
        </w:rPr>
      </w:pPr>
      <w:r>
        <w:rPr>
          <w:rFonts w:ascii="宋体" w:eastAsia="宋体" w:hAnsi="宋体" w:cs="Times New Roman" w:hint="eastAsia"/>
          <w:bCs/>
          <w:kern w:val="2"/>
          <w:sz w:val="21"/>
          <w:szCs w:val="21"/>
          <w:highlight w:val="none"/>
          <w:lang w:val="en-US" w:eastAsia="zh-CN" w:bidi="ar-SA"/>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kern w:val="2"/>
          <w:sz w:val="21"/>
          <w:szCs w:val="21"/>
          <w:highlight w:val="none"/>
          <w:lang w:val="en-US" w:eastAsia="zh-CN" w:bidi="ar-SA"/>
        </w:rPr>
        <w:t>在《中小企业声明函》、《</w:t>
      </w:r>
      <w:r>
        <w:rPr>
          <w:rFonts w:ascii="宋体" w:eastAsia="宋体" w:hAnsi="宋体" w:cs="Times New Roman" w:hint="eastAsia"/>
          <w:bCs/>
          <w:kern w:val="2"/>
          <w:sz w:val="21"/>
          <w:szCs w:val="21"/>
          <w:highlight w:val="none"/>
          <w:lang w:val="en-US" w:eastAsia="zh-CN" w:bidi="ar-SA"/>
        </w:rPr>
        <w:t>残疾人福利性单位声明函》</w:t>
      </w:r>
      <w:r>
        <w:rPr>
          <w:rFonts w:ascii="宋体" w:eastAsia="宋体" w:hAnsi="宋体" w:cs="Times New Roman" w:hint="eastAsia"/>
          <w:kern w:val="2"/>
          <w:sz w:val="21"/>
          <w:szCs w:val="21"/>
          <w:highlight w:val="none"/>
          <w:lang w:val="en-US" w:eastAsia="zh-CN" w:bidi="ar-SA"/>
        </w:rPr>
        <w:t>格式文本中，除可填报内容外，对内容的任何实质性修改将被视为相关要求未得到响应，从而导致该投标被拒绝或者</w:t>
      </w:r>
      <w:r>
        <w:rPr>
          <w:rFonts w:ascii="宋体" w:eastAsia="宋体" w:hAnsi="宋体" w:cs="Times New Roman" w:hint="eastAsia"/>
          <w:bCs/>
          <w:kern w:val="2"/>
          <w:sz w:val="21"/>
          <w:szCs w:val="21"/>
          <w:highlight w:val="none"/>
          <w:lang w:val="en-US" w:eastAsia="zh-CN" w:bidi="ar-SA"/>
        </w:rPr>
        <w:t>不能享受可能的价格扣除优惠</w:t>
      </w:r>
      <w:r>
        <w:rPr>
          <w:rFonts w:ascii="宋体" w:eastAsia="宋体" w:hAnsi="宋体" w:cs="Times New Roman" w:hint="eastAsia"/>
          <w:kern w:val="2"/>
          <w:sz w:val="21"/>
          <w:szCs w:val="21"/>
          <w:highlight w:val="none"/>
          <w:lang w:val="en-US" w:eastAsia="zh-CN" w:bidi="ar-SA"/>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tabs>
          <w:tab w:val="left" w:pos="709"/>
          <w:tab w:val="left" w:pos="1573"/>
        </w:tabs>
        <w:adjustRightInd w:val="0"/>
        <w:snapToGrid w:val="0"/>
        <w:spacing w:line="360" w:lineRule="auto"/>
        <w:ind w:left="105"/>
        <w:jc w:val="center"/>
        <w:rPr>
          <w:rFonts w:ascii="华文楷体" w:eastAsia="华文楷体" w:hAnsi="华文楷体" w:cs="Times New Roman"/>
          <w:b/>
          <w:bCs/>
          <w:szCs w:val="21"/>
          <w:highlight w:val="none"/>
        </w:rPr>
      </w:pPr>
      <w:r>
        <w:rPr>
          <w:rFonts w:ascii="华文楷体" w:eastAsia="华文楷体" w:hAnsi="华文楷体" w:cs="Times New Roman" w:hint="eastAsia"/>
          <w:b/>
          <w:bCs/>
          <w:szCs w:val="21"/>
          <w:highlight w:val="none"/>
        </w:rPr>
        <w:t>中小</w:t>
      </w:r>
      <w:r>
        <w:rPr>
          <w:rFonts w:ascii="华文楷体" w:eastAsia="华文楷体" w:hAnsi="华文楷体" w:cs="Times New Roman"/>
          <w:b/>
          <w:bCs/>
          <w:szCs w:val="21"/>
          <w:highlight w:val="none"/>
        </w:rPr>
        <w:t>企业声明函</w:t>
      </w:r>
      <w:r>
        <w:rPr>
          <w:rFonts w:ascii="华文楷体" w:eastAsia="华文楷体" w:hAnsi="华文楷体" w:cs="Times New Roman" w:hint="eastAsia"/>
          <w:b/>
          <w:bCs/>
          <w:szCs w:val="21"/>
          <w:highlight w:val="none"/>
        </w:rPr>
        <w:t>（服务）</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本公司（联合体）郑重声明，根据《政府采购促进中小企业发展管理办法》（财库﹝2020﹞46 号）的规定，本公司（联合体）参加</w:t>
      </w:r>
      <w:r>
        <w:rPr>
          <w:rFonts w:ascii="华文楷体" w:eastAsia="华文楷体" w:hAnsi="华文楷体" w:cs="仿宋" w:hint="eastAsia"/>
          <w:szCs w:val="21"/>
          <w:highlight w:val="none"/>
          <w:u w:val="single"/>
        </w:rPr>
        <w:t>（单位名称）</w:t>
      </w:r>
      <w:r>
        <w:rPr>
          <w:rFonts w:ascii="华文楷体" w:eastAsia="华文楷体" w:hAnsi="华文楷体" w:cs="仿宋" w:hint="eastAsia"/>
          <w:szCs w:val="21"/>
          <w:highlight w:val="none"/>
        </w:rPr>
        <w:t>的</w:t>
      </w:r>
      <w:r>
        <w:rPr>
          <w:rFonts w:ascii="华文楷体" w:eastAsia="华文楷体" w:hAnsi="华文楷体" w:cs="仿宋" w:hint="eastAsia"/>
          <w:szCs w:val="21"/>
          <w:highlight w:val="none"/>
          <w:u w:val="single"/>
        </w:rPr>
        <w:t>（项目名称）</w:t>
      </w:r>
      <w:r>
        <w:rPr>
          <w:rFonts w:ascii="华文楷体" w:eastAsia="华文楷体" w:hAnsi="华文楷体" w:cs="仿宋" w:hint="eastAsia"/>
          <w:szCs w:val="21"/>
          <w:highlight w:val="none"/>
        </w:rPr>
        <w:t>采购活动，服务全部由符合政策要求的中小企业承接；如有货物，所</w:t>
      </w:r>
      <w:r>
        <w:rPr>
          <w:rFonts w:ascii="华文楷体" w:eastAsia="华文楷体" w:hAnsi="华文楷体" w:cs="仿宋_GB2312" w:hint="eastAsia"/>
          <w:szCs w:val="21"/>
          <w:highlight w:val="none"/>
        </w:rPr>
        <w:t>提供的货物全部由符合政策要求的中小企业制造。</w:t>
      </w:r>
      <w:r>
        <w:rPr>
          <w:rFonts w:ascii="华文楷体" w:eastAsia="华文楷体" w:hAnsi="华文楷体" w:cs="仿宋" w:hint="eastAsia"/>
          <w:szCs w:val="21"/>
          <w:highlight w:val="none"/>
        </w:rPr>
        <w:t>相关企业（含联合体中的中小企业、签订分包意向协议的中小企业）的具体情况如下：</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1.（</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2.（</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djustRightInd w:val="0"/>
        <w:snapToGrid w:val="0"/>
        <w:spacing w:line="360" w:lineRule="auto"/>
        <w:ind w:right="105" w:firstLine="420" w:rightChars="50" w:firstLineChars="200"/>
        <w:jc w:val="left"/>
        <w:rPr>
          <w:rFonts w:ascii="华文楷体" w:eastAsia="华文楷体" w:hAnsi="华文楷体" w:cs="仿宋_GB2312"/>
          <w:szCs w:val="21"/>
          <w:highlight w:val="none"/>
        </w:rPr>
      </w:pPr>
    </w:p>
    <w:p>
      <w:pPr>
        <w:adjustRightInd w:val="0"/>
        <w:snapToGrid w:val="0"/>
        <w:spacing w:line="360" w:lineRule="auto"/>
        <w:ind w:right="105" w:firstLine="4536" w:rightChars="50" w:firstLineChars="216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w:t>
      </w:r>
      <w:r>
        <w:rPr>
          <w:rFonts w:ascii="华文楷体" w:eastAsia="华文楷体" w:hAnsi="华文楷体" w:cs="仿宋_GB2312"/>
          <w:szCs w:val="21"/>
          <w:highlight w:val="none"/>
        </w:rPr>
        <w:t>名称（</w:t>
      </w:r>
      <w:r>
        <w:rPr>
          <w:rFonts w:ascii="华文楷体" w:eastAsia="华文楷体" w:hAnsi="华文楷体" w:cs="仿宋_GB2312" w:hint="eastAsia"/>
          <w:szCs w:val="21"/>
          <w:highlight w:val="none"/>
        </w:rPr>
        <w:t>电子签章</w:t>
      </w:r>
      <w:r>
        <w:rPr>
          <w:rFonts w:ascii="华文楷体" w:eastAsia="华文楷体" w:hAnsi="华文楷体" w:cs="仿宋_GB2312"/>
          <w:szCs w:val="21"/>
          <w:highlight w:val="none"/>
        </w:rPr>
        <w:t>）：</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536" w:rightChars="50" w:firstLineChars="2160"/>
        <w:jc w:val="left"/>
        <w:rPr>
          <w:rFonts w:ascii="华文楷体" w:eastAsia="华文楷体" w:hAnsi="华文楷体" w:cs="仿宋_GB2312"/>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b/>
          <w:szCs w:val="21"/>
          <w:highlight w:val="none"/>
        </w:rPr>
      </w:pP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jc w:val="left"/>
        <w:rPr>
          <w:rFonts w:ascii="华文楷体" w:eastAsia="华文楷体" w:hAnsi="华文楷体" w:cs="仿宋_GB2312" w:hint="eastAsia"/>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utoSpaceDN w:val="0"/>
        <w:adjustRightInd w:val="0"/>
        <w:snapToGrid w:val="0"/>
        <w:spacing w:line="360" w:lineRule="auto"/>
        <w:ind w:left="105" w:leftChars="50"/>
        <w:jc w:val="left"/>
        <w:rPr>
          <w:rFonts w:ascii="宋体" w:eastAsia="宋体" w:hAnsi="宋体" w:cs="仿宋_GB2312" w:hint="eastAsia"/>
          <w:szCs w:val="21"/>
          <w:highlight w:val="none"/>
        </w:rPr>
      </w:pPr>
      <w:r>
        <w:rPr>
          <w:rFonts w:ascii="华文楷体" w:eastAsia="华文楷体" w:hAnsi="华文楷体" w:cs="Times New Roman" w:hint="eastAsia"/>
          <w:bCs/>
          <w:szCs w:val="20"/>
          <w:highlight w:val="none"/>
        </w:rPr>
        <w:t xml:space="preserve">    </w:t>
      </w: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2.10.10</w:t>
      </w:r>
      <w:r>
        <w:rPr>
          <w:rFonts w:ascii="宋体" w:eastAsia="宋体" w:hAnsi="宋体" w:cs="Times New Roman" w:hint="eastAsia"/>
          <w:b/>
          <w:kern w:val="2"/>
          <w:sz w:val="21"/>
          <w:szCs w:val="21"/>
          <w:highlight w:val="none"/>
          <w:lang w:val="en-US" w:eastAsia="zh-CN" w:bidi="ar-SA"/>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23749_WPSOffice_Level2"/>
      <w:bookmarkStart w:id="13" w:name="_Toc15561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405_WPSOffice_Level2"/>
      <w:bookmarkStart w:id="15" w:name="_Toc22173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7084_WPSOffice_Level2"/>
      <w:bookmarkStart w:id="17" w:name="_Toc23482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r>
        <w:rPr>
          <w:rFonts w:ascii="宋体" w:eastAsia="宋体" w:hAnsi="宋体" w:cs="Times New Roman" w:hint="eastAsia"/>
          <w:b/>
          <w:kern w:val="2"/>
          <w:sz w:val="21"/>
          <w:szCs w:val="21"/>
          <w:highlight w:val="none"/>
          <w:lang w:val="en-US" w:eastAsia="zh-CN" w:bidi="ar-SA"/>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2.10.12其他资格证明文件</w:t>
      </w:r>
    </w:p>
    <w:p>
      <w:pPr>
        <w:adjustRightInd w:val="0"/>
        <w:snapToGrid w:val="0"/>
        <w:spacing w:line="360" w:lineRule="auto"/>
        <w:ind w:firstLine="412" w:firstLineChars="196"/>
        <w:rPr>
          <w:rFonts w:ascii="Times New Roman" w:eastAsia="宋体" w:hAnsi="Times New Roman" w:cs="Times New Roman"/>
          <w:szCs w:val="20"/>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rPr>
          <w:highlight w:val="none"/>
        </w:rPr>
      </w:pP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widowControl w:val="0"/>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需用带银行抬头的格式纸出具，使用银行保函提交投标保证金的投标人提供。本项目不要求提交投标保证金的，不提供。</w:t>
      </w:r>
    </w:p>
    <w:p>
      <w:pPr>
        <w:widowControl w:val="0"/>
        <w:jc w:val="both"/>
        <w:rPr>
          <w:rFonts w:ascii="宋体" w:eastAsia="宋体" w:hAnsi="Courier New" w:cs="Times New Roman"/>
          <w:szCs w:val="21"/>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本保函作为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（投标人全称）</w:t>
      </w:r>
      <w:r>
        <w:rPr>
          <w:rFonts w:ascii="华文楷体" w:eastAsia="华文楷体" w:hAnsi="华文楷体" w:cs="Times New Roman" w:hint="eastAsia"/>
          <w:kern w:val="2"/>
          <w:sz w:val="21"/>
          <w:szCs w:val="21"/>
          <w:highlight w:val="none"/>
          <w:lang w:val="en-US" w:eastAsia="zh-CN" w:bidi="ar-SA"/>
        </w:rPr>
        <w:t>（以下简称“投标人”）对中国气象局政府采购中心的投标邀请提供的银行保函。投标项目名称为：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（项目编号：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分包号：</w:t>
      </w:r>
      <w:r>
        <w:rPr>
          <w:rFonts w:ascii="华文楷体" w:eastAsia="华文楷体" w:hAnsi="华文楷体" w:cs="Times New Roman" w:hint="eastAsia"/>
          <w:kern w:val="2"/>
          <w:sz w:val="21"/>
          <w:szCs w:val="21"/>
          <w:highlight w:val="none"/>
          <w:u w:val="single"/>
          <w:lang w:val="en-US" w:eastAsia="zh-CN" w:bidi="ar-SA"/>
        </w:rPr>
        <w:t xml:space="preserve">     </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（保函开具银行名称）</w:t>
      </w:r>
      <w:r>
        <w:rPr>
          <w:rFonts w:ascii="华文楷体" w:eastAsia="华文楷体" w:hAnsi="华文楷体" w:cs="Times New Roman" w:hint="eastAsia"/>
          <w:kern w:val="2"/>
          <w:sz w:val="21"/>
          <w:szCs w:val="21"/>
          <w:highlight w:val="none"/>
          <w:lang w:val="en-US" w:eastAsia="zh-CN" w:bidi="ar-SA"/>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元的保证金：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2、投标人不接受按照招标文件规定的方法对其投标价格算术错误更正的；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3、投标人有违法违规行为给招标人造成损失的；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4、在收到中标通知后30天内，投标人未能与买方签订合同；</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5、在收到中标通知后，投标人未能按规定的时间交纳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本保函自开标之日起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 个日历日内有效，并在贵方和投标人同意延长的有效期内保持有效。延长的有效期只需通知本行即可。贵方有权提前终止或解除本保函。</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出具保函银行名称：_____________________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签字：_____________________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    （印刷字体姓名和职务）</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银行公章： 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联系人姓名：</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银行地址：</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邮编：</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电话：</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传真：</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宋体" w:eastAsia="宋体" w:hAnsi="宋体" w:cs="Times New Roman" w:hint="eastAsia"/>
          <w:szCs w:val="21"/>
          <w:highlight w:val="none"/>
        </w:rPr>
      </w:pPr>
    </w:p>
    <w:p>
      <w:pPr>
        <w:tabs>
          <w:tab w:val="left" w:pos="1573"/>
        </w:tabs>
        <w:adjustRightInd w:val="0"/>
        <w:snapToGrid w:val="0"/>
        <w:spacing w:line="360" w:lineRule="auto"/>
        <w:ind w:firstLine="311" w:firstLineChars="148"/>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tabs>
          <w:tab w:val="left" w:pos="1573"/>
        </w:tabs>
        <w:adjustRightInd w:val="0"/>
        <w:snapToGrid w:val="0"/>
        <w:spacing w:line="360" w:lineRule="auto"/>
        <w:ind w:firstLine="315" w:firstLineChars="150"/>
        <w:jc w:val="left"/>
        <w:outlineLvl w:val="9"/>
        <w:rPr>
          <w:rFonts w:ascii="Times New Roman" w:eastAsia="宋体" w:hAnsi="宋体" w:cs="Times New Roman"/>
          <w:szCs w:val="20"/>
          <w:highlight w:val="none"/>
        </w:rPr>
      </w:pPr>
      <w:r>
        <w:rPr>
          <w:rFonts w:ascii="Times New Roman" w:eastAsia="宋体" w:hAnsi="宋体" w:cs="Times New Roman" w:hint="eastAsia"/>
          <w:szCs w:val="20"/>
          <w:highlight w:val="none"/>
        </w:rPr>
        <w:t>使用银行信汇、电汇、银行汇票缴纳投标保证金的投标人提供。汇款凭证复印件应作为附件。本项目不要求提交投标保证金的，不提供。</w:t>
      </w:r>
    </w:p>
    <w:p>
      <w:pPr>
        <w:widowControl w:val="0"/>
        <w:adjustRightInd w:val="0"/>
        <w:snapToGrid w:val="0"/>
        <w:spacing w:line="360" w:lineRule="auto"/>
        <w:ind w:firstLine="420" w:firstLineChars="200"/>
        <w:jc w:val="left"/>
        <w:rPr>
          <w:rFonts w:ascii="宋体" w:eastAsia="宋体" w:hAnsi="宋体" w:cs="Times New Roman"/>
          <w:szCs w:val="21"/>
          <w:highlight w:val="none"/>
        </w:rPr>
      </w:pP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项目名称：             项目编号：     分包号：（如无分包，请填写“无”）</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l、投标保证金金额人民币(大写)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元，以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（填写：信汇或电汇）</w:t>
      </w:r>
      <w:r>
        <w:rPr>
          <w:rFonts w:ascii="华文楷体" w:eastAsia="华文楷体" w:hAnsi="华文楷体" w:cs="Times New Roman" w:hint="eastAsia"/>
          <w:kern w:val="2"/>
          <w:sz w:val="21"/>
          <w:szCs w:val="21"/>
          <w:highlight w:val="none"/>
          <w:lang w:val="en-US" w:eastAsia="zh-CN" w:bidi="ar-SA"/>
        </w:rPr>
        <w:t>方式支付。</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2、在担保期内，贵方根据下列事实中的任何一点，即可无条件地扣留保证金。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(2)投标人以他人名义投标、相互串通投标或者以其他方式弄虚作假的，投标人提交的投标文件中提交虚假资料或失实资料的；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(3)中标人不按本招标文件规定与采购人签订合同的；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(4)中标人不按本招标文件的规定提交履约保证金的；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(5)中标人不按本招标文件的规定缴纳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3、保证金自开标之日起生效，至少到投标有效期结束时有效。</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投标人(电子签章)：</w:t>
      </w:r>
      <w:r>
        <w:rPr>
          <w:rFonts w:ascii="华文楷体" w:eastAsia="华文楷体" w:hAnsi="华文楷体" w:cs="Times New Roman" w:hint="eastAsia"/>
          <w:bCs/>
          <w:kern w:val="2"/>
          <w:sz w:val="21"/>
          <w:szCs w:val="21"/>
          <w:highlight w:val="none"/>
          <w:lang w:val="en-US" w:eastAsia="zh-CN" w:bidi="ar-SA"/>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widowControl w:val="0"/>
        <w:adjustRightInd w:val="0"/>
        <w:snapToGrid w:val="0"/>
        <w:spacing w:line="360" w:lineRule="auto"/>
        <w:jc w:val="both"/>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widowControl w:val="0"/>
        <w:adjustRightInd w:val="0"/>
        <w:snapToGrid w:val="0"/>
        <w:spacing w:line="360" w:lineRule="auto"/>
        <w:ind w:firstLine="412" w:firstLineChars="196"/>
        <w:jc w:val="both"/>
        <w:outlineLvl w:val="3"/>
        <w:rPr>
          <w:rFonts w:ascii="宋体" w:eastAsia="宋体" w:hAnsi="Courier New" w:cs="Times New Roman" w:hint="eastAsia"/>
          <w:b/>
          <w:szCs w:val="21"/>
        </w:rPr>
      </w:pPr>
      <w:r>
        <w:rPr>
          <w:rFonts w:ascii="宋体" w:eastAsia="宋体" w:hAnsi="Courier New" w:cs="Times New Roman" w:hint="eastAsia"/>
          <w:b/>
          <w:kern w:val="2"/>
          <w:sz w:val="21"/>
          <w:szCs w:val="21"/>
          <w:lang w:val="en-US" w:eastAsia="zh-CN" w:bidi="ar-SA"/>
        </w:rPr>
        <w:t>2.12述标委托书</w:t>
      </w:r>
    </w:p>
    <w:p>
      <w:pPr>
        <w:widowControl w:val="0"/>
        <w:adjustRightInd w:val="0"/>
        <w:snapToGrid w:val="0"/>
        <w:spacing w:line="360" w:lineRule="auto"/>
        <w:jc w:val="both"/>
        <w:rPr>
          <w:rFonts w:ascii="宋体" w:eastAsia="宋体" w:hAnsi="Courier New" w:cs="Times New Roman" w:hint="eastAsia"/>
          <w:szCs w:val="21"/>
        </w:rPr>
      </w:pPr>
      <w:r>
        <w:rPr>
          <w:rFonts w:ascii="宋体" w:eastAsia="宋体" w:hAnsi="Courier New" w:cs="Times New Roman" w:hint="eastAsia"/>
          <w:kern w:val="2"/>
          <w:sz w:val="21"/>
          <w:szCs w:val="21"/>
          <w:lang w:val="en-US" w:eastAsia="zh-CN" w:bidi="ar-SA"/>
        </w:rPr>
        <w:t xml:space="preserve">    本项目需要现场述标时，由代表投标人进行述标的述标人提供。</w:t>
      </w:r>
    </w:p>
    <w:p>
      <w:pPr>
        <w:widowControl w:val="0"/>
        <w:adjustRightInd w:val="0"/>
        <w:snapToGrid w:val="0"/>
        <w:spacing w:line="360" w:lineRule="auto"/>
        <w:jc w:val="both"/>
        <w:rPr>
          <w:rFonts w:ascii="宋体" w:eastAsia="宋体" w:hAnsi="Courier New" w:cs="Times New Roman" w:hint="eastAsia"/>
          <w:szCs w:val="21"/>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照第五章投标人须知专用部分5.12条规定应提交的各种商务文件。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eastAsia="宋体" w:hAnsi="宋体" w:cs="Times New Roman" w:hint="eastAsia"/>
          <w:b/>
          <w:szCs w:val="20"/>
        </w:rPr>
        <w:t>响应人自行编写的商务文件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End w:id="7"/>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2.16分项</w:t>
      </w:r>
      <w:r>
        <w:rPr>
          <w:rFonts w:ascii="宋体" w:hAnsi="宋体" w:hint="eastAsia"/>
          <w:b/>
          <w:szCs w:val="21"/>
        </w:rPr>
        <w:t>报价表</w:t>
      </w:r>
    </w:p>
    <w:p>
      <w:pPr>
        <w:adjustRightInd w:val="0"/>
        <w:snapToGrid w:val="0"/>
        <w:spacing w:line="360" w:lineRule="auto"/>
        <w:ind w:firstLine="420" w:firstLineChars="200"/>
        <w:jc w:val="left"/>
        <w:rPr>
          <w:rFonts w:ascii="华文楷体" w:eastAsia="华文楷体" w:hAnsi="华文楷体" w:hint="eastAsia"/>
          <w:szCs w:val="21"/>
        </w:rPr>
      </w:pPr>
      <w:r>
        <w:rPr>
          <w:rFonts w:ascii="华文楷体" w:eastAsia="华文楷体" w:hAnsi="华文楷体" w:hint="eastAsia"/>
          <w:szCs w:val="21"/>
        </w:rPr>
        <w:t>说明：1、采购内容不含货物购置的不提供表二。表一、二总价之和应等于开标一览表投标总价。</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szCs w:val="21"/>
        </w:rPr>
        <w:t>2.</w:t>
      </w:r>
      <w:r>
        <w:rPr>
          <w:rFonts w:ascii="华文楷体" w:eastAsia="华文楷体" w:hAnsi="华文楷体" w:hint="eastAsia"/>
          <w:szCs w:val="21"/>
        </w:rPr>
        <w:t>投标人认为分项报价表格式不符合自身要求，格式可以自拟。</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3.投标人如认为还有需要提供的内容可另列表说明，格式自拟。</w:t>
      </w:r>
    </w:p>
    <w:p>
      <w:pPr>
        <w:adjustRightInd w:val="0"/>
        <w:snapToGrid w:val="0"/>
        <w:spacing w:line="360" w:lineRule="auto"/>
        <w:ind w:firstLine="420" w:firstLineChars="200"/>
        <w:rPr>
          <w:rFonts w:hint="eastAsia"/>
          <w:b/>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表一、分项报价表——服务内容</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noWrap w:val="0"/>
            <w:vAlign w:val="center"/>
          </w:tcPr>
          <w:p>
            <w:pPr>
              <w:snapToGrid w:val="0"/>
              <w:spacing w:line="360" w:lineRule="auto"/>
              <w:ind w:left="-370" w:firstLine="370"/>
              <w:jc w:val="center"/>
              <w:rPr>
                <w:rFonts w:ascii="华文楷体" w:eastAsia="华文楷体" w:hAnsi="华文楷体"/>
                <w:szCs w:val="21"/>
              </w:rPr>
            </w:pPr>
            <w:r>
              <w:rPr>
                <w:rFonts w:ascii="华文楷体" w:eastAsia="华文楷体" w:hAnsi="华文楷体"/>
                <w:szCs w:val="21"/>
              </w:rPr>
              <w:t>序号</w:t>
            </w:r>
          </w:p>
        </w:tc>
        <w:tc>
          <w:tcPr>
            <w:tcW w:w="1123"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szCs w:val="21"/>
              </w:rPr>
              <w:t>服务项目</w:t>
            </w:r>
          </w:p>
        </w:tc>
        <w:tc>
          <w:tcPr>
            <w:tcW w:w="1208"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hint="eastAsia"/>
                <w:szCs w:val="21"/>
              </w:rPr>
            </w:pPr>
            <w:r>
              <w:rPr>
                <w:rFonts w:ascii="华文楷体" w:eastAsia="华文楷体" w:hAnsi="华文楷体"/>
                <w:szCs w:val="21"/>
              </w:rPr>
              <w:t>服务费用</w:t>
            </w:r>
          </w:p>
        </w:tc>
        <w:tc>
          <w:tcPr>
            <w:tcW w:w="1418" w:type="dxa"/>
            <w:tcBorders>
              <w:top w:val="single" w:sz="12" w:space="0" w:color="000000"/>
              <w:left w:val="single" w:sz="2" w:space="0" w:color="000000"/>
              <w:bottom w:val="single" w:sz="2" w:space="0" w:color="000000"/>
              <w:right w:val="single" w:sz="1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备注</w:t>
            </w: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1</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2</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3</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noWrap w:val="0"/>
            <w:vAlign w:val="top"/>
          </w:tcPr>
          <w:p>
            <w:pPr>
              <w:snapToGrid w:val="0"/>
              <w:spacing w:line="360" w:lineRule="auto"/>
              <w:rPr>
                <w:rFonts w:ascii="华文楷体" w:eastAsia="华文楷体" w:hAnsi="华文楷体" w:hint="eastAsia"/>
                <w:szCs w:val="21"/>
              </w:rPr>
            </w:pPr>
            <w:r>
              <w:rPr>
                <w:rFonts w:ascii="华文楷体" w:eastAsia="华文楷体" w:hAnsi="华文楷体"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表二、分项报价表——货物购置</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名称</w:t>
            </w: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数量</w:t>
            </w: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原产地和</w:t>
            </w:r>
          </w:p>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单</w:t>
            </w:r>
            <w:r>
              <w:rPr>
                <w:rFonts w:ascii="华文楷体" w:eastAsia="华文楷体" w:hAnsi="华文楷体"/>
                <w:szCs w:val="21"/>
              </w:rPr>
              <w:t xml:space="preserve">   </w:t>
            </w:r>
            <w:r>
              <w:rPr>
                <w:rFonts w:ascii="华文楷体" w:eastAsia="华文楷体" w:hAnsi="华文楷体" w:hint="eastAsia"/>
                <w:szCs w:val="21"/>
              </w:rPr>
              <w:t>价</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小计</w:t>
            </w:r>
          </w:p>
        </w:tc>
      </w:tr>
      <w:tr>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570"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ind w:firstLine="420"/>
        <w:outlineLvl w:val="3"/>
        <w:rPr>
          <w:rFonts w:ascii="宋体" w:hAnsi="宋体"/>
          <w:b/>
          <w:szCs w:val="21"/>
        </w:rPr>
      </w:pPr>
    </w:p>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2.17服务团队人员基本情况表</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hint="eastAsia"/>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hint="eastAsia"/>
                <w:szCs w:val="21"/>
              </w:rPr>
            </w:pPr>
            <w:r>
              <w:rPr>
                <w:rFonts w:ascii="华文楷体" w:eastAsia="华文楷体" w:hAnsi="华文楷体" w:cs="Times New Roman" w:hint="eastAsia"/>
                <w:szCs w:val="21"/>
              </w:rPr>
              <w:t>备注</w:t>
            </w:r>
          </w:p>
        </w:tc>
      </w:tr>
      <w:tr>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注：如本项目要求驻场服务，请在备注中说明该人员是否驻场</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hint="eastAsia"/>
          <w:b/>
          <w:szCs w:val="21"/>
        </w:rPr>
      </w:pPr>
      <w:r>
        <w:rPr>
          <w:rFonts w:ascii="华文楷体" w:eastAsia="华文楷体" w:hAnsi="华文楷体" w:cs="Times New Roman" w:hint="eastAsia"/>
          <w:b/>
          <w:szCs w:val="21"/>
        </w:rPr>
        <w:t>表二、服务团队人员基本情况表（个人）</w:t>
      </w:r>
    </w:p>
    <w:p>
      <w:pPr>
        <w:pStyle w:val="PlainText"/>
        <w:spacing w:line="360" w:lineRule="auto"/>
        <w:rPr>
          <w:rFonts w:ascii="华文楷体" w:eastAsia="华文楷体" w:hAnsi="华文楷体"/>
        </w:rPr>
      </w:pPr>
      <w:r>
        <w:rPr>
          <w:rFonts w:ascii="华文楷体" w:eastAsia="华文楷体" w:hAnsi="华文楷体" w:cs="Times New Roman" w:hint="eastAsia"/>
        </w:rPr>
        <w:t>项目名称：</w:t>
      </w:r>
      <w:r>
        <w:rPr>
          <w:rFonts w:ascii="华文楷体" w:eastAsia="华文楷体" w:hAnsi="华文楷体" w:cs="Times New Roman" w:hint="eastAsia"/>
          <w:u w:val="single"/>
        </w:rPr>
        <w:t xml:space="preserve">          </w:t>
      </w:r>
      <w:r>
        <w:rPr>
          <w:rFonts w:ascii="华文楷体" w:eastAsia="华文楷体" w:hAnsi="华文楷体" w:cs="Times New Roman" w:hint="eastAsia"/>
        </w:rPr>
        <w:t xml:space="preserve">    项目编号：</w:t>
      </w:r>
      <w:r>
        <w:rPr>
          <w:rFonts w:ascii="华文楷体" w:eastAsia="华文楷体" w:hAnsi="华文楷体" w:cs="Times New Roman" w:hint="eastAsia"/>
          <w:u w:val="single"/>
        </w:rPr>
        <w:t xml:space="preserve">         </w:t>
      </w:r>
      <w:r>
        <w:rPr>
          <w:rFonts w:ascii="华文楷体" w:eastAsia="华文楷体" w:hAnsi="华文楷体" w:cs="Times New Roman" w:hint="eastAsia"/>
        </w:rPr>
        <w:t xml:space="preserve">   包号：</w:t>
      </w:r>
      <w:r>
        <w:rPr>
          <w:rFonts w:ascii="华文楷体" w:eastAsia="华文楷体" w:hAnsi="华文楷体" w:cs="Times New Roman" w:hint="eastAsia"/>
          <w:u w:val="single"/>
        </w:rPr>
        <w:t xml:space="preserve">    </w:t>
      </w:r>
      <w:r>
        <w:rPr>
          <w:rFonts w:ascii="华文楷体" w:eastAsia="华文楷体" w:hAnsi="华文楷体" w:cs="Times New Roman" w:hint="eastAsia"/>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投标人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pPr>
        <w:adjustRightInd w:val="0"/>
        <w:snapToGrid w:val="0"/>
        <w:spacing w:line="360" w:lineRule="auto"/>
        <w:ind w:firstLine="435"/>
        <w:jc w:val="left"/>
        <w:rPr>
          <w:rFonts w:ascii="宋体" w:eastAsia="宋体" w:hAnsi="宋体" w:cs="Times New Roman" w:hint="eastAsia"/>
          <w:sz w:val="18"/>
          <w:szCs w:val="18"/>
        </w:rPr>
      </w:pPr>
      <w:r>
        <w:rPr>
          <w:rFonts w:ascii="华文楷体" w:eastAsia="华文楷体" w:hAnsi="华文楷体" w:cs="Times New Roman" w:hint="eastAsia"/>
          <w:szCs w:val="20"/>
        </w:rPr>
        <w:t>2、须后附相关人员职称及资质证书，社保证明（如无社保证明，应提供截止开标之日仍有效的劳动合同），否则该人员不被认为是针对本项目的委派人员。</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2.18技术要求偏离表</w:t>
      </w:r>
    </w:p>
    <w:p>
      <w:pPr>
        <w:keepNext/>
        <w:tabs>
          <w:tab w:val="left" w:pos="5580"/>
        </w:tabs>
        <w:adjustRightInd w:val="0"/>
        <w:snapToGrid w:val="0"/>
        <w:spacing w:line="360" w:lineRule="auto"/>
        <w:jc w:val="center"/>
        <w:rPr>
          <w:rFonts w:ascii="宋体" w:hAnsi="宋体"/>
          <w:szCs w:val="21"/>
        </w:rPr>
      </w:pPr>
      <w:r>
        <w:rPr>
          <w:rFonts w:ascii="宋体" w:hAnsi="宋体" w:hint="eastAsia"/>
          <w:szCs w:val="21"/>
        </w:rPr>
        <w:t>技术要求偏离表</w:t>
      </w:r>
    </w:p>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828"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招标文件服务标准、时间、范围及货物的技术等要求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偏差</w:t>
            </w:r>
          </w:p>
        </w:tc>
        <w:tc>
          <w:tcPr>
            <w:tcW w:w="117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szCs w:val="21"/>
              </w:rPr>
            </w:pPr>
            <w:r>
              <w:rPr>
                <w:rFonts w:ascii="华文楷体" w:eastAsia="华文楷体" w:hAnsi="华文楷体"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1</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2</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243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bl>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注：1、投标人所提供的服务，应符合招标文件中采购需求提出的服务标准、服务范围、服务时间、服务质量、服务方式等要求，投标人所提供的货物，应符合招标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hint="eastAsia"/>
          <w:szCs w:val="21"/>
        </w:rPr>
      </w:pPr>
      <w:r>
        <w:rPr>
          <w:rFonts w:ascii="华文楷体" w:eastAsia="华文楷体" w:hAnsi="华文楷体"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hint="eastAsia"/>
          <w:szCs w:val="21"/>
        </w:rPr>
      </w:pPr>
      <w:r>
        <w:rPr>
          <w:rFonts w:ascii="华文楷体" w:eastAsia="华文楷体" w:hAnsi="华文楷体" w:hint="eastAsia"/>
          <w:szCs w:val="21"/>
        </w:rPr>
        <w:t>示例：如某应答内容在投标人自行编制的技术文件10-13页，则填列“投标人自行编制的技术文件10-13页”。</w:t>
      </w:r>
    </w:p>
    <w:p>
      <w:pPr>
        <w:tabs>
          <w:tab w:val="left" w:pos="1260"/>
        </w:tabs>
        <w:adjustRightInd w:val="0"/>
        <w:snapToGrid w:val="0"/>
        <w:spacing w:line="360" w:lineRule="auto"/>
        <w:ind w:firstLine="420" w:firstLineChars="200"/>
        <w:rPr>
          <w:rFonts w:ascii="华文楷体" w:eastAsia="华文楷体" w:hAnsi="华文楷体" w:cs="Times New Roman"/>
          <w:szCs w:val="21"/>
        </w:rPr>
      </w:pP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2.19主要标的信息表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5000" w:type="pct"/>
        <w:tblInd w:w="0" w:type="dxa"/>
        <w:tblCellMar>
          <w:top w:w="0" w:type="dxa"/>
          <w:left w:w="108" w:type="dxa"/>
          <w:bottom w:w="0" w:type="dxa"/>
          <w:right w:w="108" w:type="dxa"/>
        </w:tblCellMar>
      </w:tblPr>
      <w:tblGrid>
        <w:gridCol w:w="637"/>
        <w:gridCol w:w="1343"/>
        <w:gridCol w:w="1611"/>
        <w:gridCol w:w="1878"/>
        <w:gridCol w:w="1392"/>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788"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945"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110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服务要求</w:t>
            </w:r>
          </w:p>
        </w:tc>
        <w:tc>
          <w:tcPr>
            <w:tcW w:w="817"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keepNext/>
        <w:tabs>
          <w:tab w:val="left" w:pos="5580"/>
        </w:tabs>
        <w:adjustRightInd w:val="0"/>
        <w:snapToGrid w:val="0"/>
        <w:spacing w:line="360" w:lineRule="auto"/>
        <w:ind w:left="1525" w:hanging="1254"/>
        <w:jc w:val="center"/>
        <w:rPr>
          <w:rFonts w:ascii="宋体" w:eastAsia="宋体" w:hAnsi="宋体" w:cs="Times New Roman" w:hint="eastAsia"/>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注：1、必须按此格式填写，用途是用来发布中标公告时按照中国政府采购网格式公布供应商的主要标的信息。</w:t>
      </w:r>
    </w:p>
    <w:p>
      <w:pPr>
        <w:adjustRightInd w:val="0"/>
        <w:snapToGrid w:val="0"/>
        <w:spacing w:line="360" w:lineRule="auto"/>
        <w:ind w:firstLine="420" w:firstLineChars="200"/>
        <w:rPr>
          <w:rFonts w:ascii="宋体" w:eastAsia="宋体" w:hAnsi="宋体" w:cs="Times New Roman" w:hint="eastAsia"/>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采购内容不含货物购置的不提供表二。</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2.20投标人项目实施和售后服务方案</w:t>
      </w:r>
    </w:p>
    <w:p>
      <w:pPr>
        <w:adjustRightInd w:val="0"/>
        <w:snapToGrid w:val="0"/>
        <w:spacing w:line="360" w:lineRule="auto"/>
        <w:ind w:firstLine="420" w:firstLineChars="200"/>
        <w:rPr>
          <w:rFonts w:ascii="宋体" w:hAnsi="宋体" w:hint="eastAsia"/>
        </w:rPr>
      </w:pPr>
      <w:r>
        <w:rPr>
          <w:rFonts w:ascii="宋体" w:hAnsi="宋体" w:hint="eastAsia"/>
        </w:rPr>
        <w:t>服务方案包括但不限于可能涉及的运行维护、升级更新、备品备件、耗材等后续采购，以及其他相关情况。格式由投标人自拟。</w:t>
      </w:r>
    </w:p>
    <w:p>
      <w:pPr>
        <w:adjustRightInd w:val="0"/>
        <w:snapToGrid w:val="0"/>
        <w:spacing w:line="360" w:lineRule="auto"/>
        <w:ind w:firstLine="420" w:firstLineChars="200"/>
        <w:rPr>
          <w:rFonts w:ascii="宋体" w:eastAsia="宋体" w:hAnsi="宋体" w:cs="Times New Roman"/>
          <w:szCs w:val="20"/>
        </w:rPr>
      </w:pP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hAnsi="宋体" w:hint="eastAsia"/>
          <w:b/>
          <w:szCs w:val="21"/>
        </w:rPr>
        <w:t>21其他技术文件</w:t>
      </w:r>
    </w:p>
    <w:p>
      <w:pPr>
        <w:tabs>
          <w:tab w:val="left" w:pos="1573"/>
        </w:tabs>
        <w:adjustRightInd w:val="0"/>
        <w:snapToGrid w:val="0"/>
        <w:spacing w:line="360" w:lineRule="auto"/>
        <w:ind w:firstLine="412" w:firstLineChars="196"/>
        <w:jc w:val="left"/>
        <w:outlineLvl w:val="9"/>
        <w:rPr>
          <w:rFonts w:ascii="宋体" w:hAnsi="宋体" w:hint="eastAsia"/>
        </w:rPr>
      </w:pPr>
      <w:r>
        <w:rPr>
          <w:rFonts w:ascii="宋体" w:eastAsia="宋体" w:hAnsi="宋体" w:cs="Times New Roman" w:hint="eastAsia"/>
          <w:szCs w:val="20"/>
        </w:rPr>
        <w:t>按</w:t>
      </w:r>
      <w:r>
        <w:rPr>
          <w:rFonts w:ascii="宋体" w:hAnsi="宋体" w:hint="eastAsia"/>
        </w:rPr>
        <w:t>照第五章投标人须知专用部分5.12条规定应提交的各种技术文件。如招标文件第七章采购需求等章节中有专门格式要求，按专门格式编写。如无专门格式要求，由投标人自拟格式编写。</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p>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w:t>
      </w:r>
      <w:r>
        <w:rPr>
          <w:rFonts w:ascii="宋体" w:hAnsi="宋体" w:hint="eastAsia"/>
          <w:b/>
          <w:szCs w:val="21"/>
        </w:rPr>
        <w:t>22投标人自行编写的技术文件。</w:t>
      </w:r>
    </w:p>
    <w:p>
      <w:pPr>
        <w:adjustRightInd w:val="0"/>
        <w:snapToGrid w:val="0"/>
        <w:spacing w:line="360" w:lineRule="auto"/>
        <w:ind w:firstLine="412" w:firstLineChars="196"/>
        <w:rPr>
          <w:rFonts w:ascii="宋体" w:hAnsi="宋体"/>
        </w:rPr>
      </w:pPr>
      <w:r>
        <w:rPr>
          <w:rFonts w:hint="eastAsia"/>
        </w:rPr>
        <w:t>投标人</w:t>
      </w:r>
      <w:r>
        <w:rPr>
          <w:rFonts w:ascii="宋体" w:hAnsi="宋体" w:hint="eastAsia"/>
        </w:rPr>
        <w:t>按</w:t>
      </w:r>
      <w:r>
        <w:rPr>
          <w:rFonts w:hint="eastAsia"/>
          <w:b/>
        </w:rPr>
        <w:t>第一章投标人须知通用部分</w:t>
      </w:r>
      <w:r>
        <w:rPr>
          <w:rFonts w:ascii="宋体" w:hAnsi="宋体" w:hint="eastAsia"/>
        </w:rPr>
        <w:t>以及</w:t>
      </w:r>
      <w:r>
        <w:rPr>
          <w:rFonts w:hint="eastAsia"/>
          <w:b/>
        </w:rPr>
        <w:t>第五章投标人须知专用部分</w:t>
      </w:r>
      <w:r>
        <w:rPr>
          <w:rFonts w:ascii="宋体" w:hAnsi="宋体" w:hint="eastAsia"/>
        </w:rPr>
        <w:t>的规定以及招标文件</w:t>
      </w:r>
      <w:r>
        <w:rPr>
          <w:rFonts w:hint="eastAsia"/>
          <w:b/>
          <w:bCs/>
        </w:rPr>
        <w:t>第七章采购需求</w:t>
      </w:r>
      <w:r>
        <w:rPr>
          <w:rFonts w:ascii="宋体" w:hAnsi="宋体" w:hint="eastAsia"/>
        </w:rPr>
        <w:t>中的要求自行编写，包括投标人认为需要提供的其它说明和资料。详尽、易于理解、评审和富于建设性的技术方案将在评审时具有优势。</w:t>
      </w:r>
    </w:p>
    <w:p>
      <w:pPr>
        <w:adjustRightInd w:val="0"/>
        <w:snapToGrid w:val="0"/>
        <w:spacing w:line="360" w:lineRule="auto"/>
        <w:ind w:firstLine="412" w:firstLineChars="196"/>
        <w:rPr>
          <w:rFonts w:ascii="宋体" w:eastAsia="宋体" w:hAnsi="宋体" w:cs="Times New Roman"/>
          <w:szCs w:val="20"/>
        </w:rPr>
      </w:pPr>
    </w:p>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588" w:firstLineChars="196"/>
        <w:jc w:val="center"/>
        <w:outlineLvl w:val="2"/>
        <w:rPr>
          <w:b/>
          <w:bCs/>
          <w:sz w:val="30"/>
          <w:szCs w:val="30"/>
          <w:highlight w:val="none"/>
        </w:rPr>
      </w:pPr>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792"/>
        <w:gridCol w:w="58"/>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792"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81" w:type="dxa"/>
            <w:gridSpan w:val="2"/>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4"/>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为本项目提供整体设计、规范编制或者项目管理、监理、检测等服务的供应商，或者未在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rPr>
                <w:rFonts w:ascii="宋体" w:hAnsi="宋体" w:hint="eastAsia"/>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1.3.4</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hint="eastAsia"/>
                <w:sz w:val="18"/>
                <w:szCs w:val="18"/>
                <w:highlight w:val="none"/>
              </w:rPr>
              <w:t>如果不允许联合体投标，则联合体投标将被拒绝。如果允许联合体投标，其投标被拒绝的情形如下：（1）</w:t>
            </w:r>
            <w:r>
              <w:rPr>
                <w:rFonts w:ascii="宋体" w:hAnsi="宋体" w:hint="eastAsia"/>
                <w:sz w:val="18"/>
                <w:szCs w:val="18"/>
                <w:highlight w:val="none"/>
              </w:rPr>
              <w:t>联合体投标文件未附联合体协议的，其投标将被拒绝。</w:t>
            </w:r>
            <w:r>
              <w:rPr>
                <w:rFonts w:hint="eastAsia"/>
                <w:sz w:val="18"/>
                <w:szCs w:val="18"/>
                <w:highlight w:val="none"/>
              </w:rPr>
              <w:t>（2）以联合体形式参加投标的，联合体各方均应当符合《中华人民共和国政府采购法》第二十二条第一款规定的条件。否则，其提交的联合投标将被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w:t>
            </w:r>
            <w:r>
              <w:rPr>
                <w:rFonts w:ascii="宋体" w:hAnsi="宋体"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1.3.7</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bCs/>
                <w:sz w:val="18"/>
                <w:szCs w:val="18"/>
                <w:highlight w:val="none"/>
              </w:rPr>
            </w:pPr>
            <w:r>
              <w:rPr>
                <w:rFonts w:ascii="宋体" w:hAnsi="宋体" w:hint="eastAsia"/>
                <w:bCs/>
                <w:sz w:val="18"/>
                <w:szCs w:val="18"/>
                <w:highlight w:val="none"/>
              </w:rPr>
              <w:t>1.3.8</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1573"/>
              </w:tabs>
              <w:adjustRightInd w:val="0"/>
              <w:snapToGrid w:val="0"/>
              <w:spacing w:line="360" w:lineRule="auto"/>
              <w:rPr>
                <w:rFonts w:ascii="宋体" w:hAnsi="宋体" w:hint="eastAsia"/>
                <w:sz w:val="18"/>
                <w:szCs w:val="18"/>
                <w:highlight w:val="none"/>
              </w:rPr>
            </w:pPr>
            <w:r>
              <w:rPr>
                <w:rFonts w:ascii="宋体" w:hAnsi="宋体" w:hint="eastAsia"/>
                <w:bCs/>
                <w:sz w:val="18"/>
                <w:szCs w:val="18"/>
                <w:highlight w:val="none"/>
              </w:rPr>
              <w:t>如需要组成专门的服务团队，</w:t>
            </w:r>
            <w:r>
              <w:rPr>
                <w:rFonts w:ascii="宋体" w:hAnsi="宋体" w:hint="eastAsia"/>
                <w:sz w:val="18"/>
                <w:szCs w:val="18"/>
                <w:highlight w:val="none"/>
              </w:rPr>
              <w:t>投标人不能组成服务团队的，投标将被</w:t>
            </w:r>
            <w:r>
              <w:rPr>
                <w:rFonts w:ascii="宋体" w:hAnsi="宋体" w:hint="eastAsia"/>
                <w:b/>
                <w:sz w:val="18"/>
                <w:szCs w:val="18"/>
                <w:highlight w:val="none"/>
              </w:rPr>
              <w:t>拒绝</w:t>
            </w:r>
            <w:r>
              <w:rPr>
                <w:rFonts w:ascii="宋体" w:hAnsi="宋体" w:hint="eastAsia"/>
                <w:sz w:val="18"/>
                <w:szCs w:val="18"/>
                <w:highlight w:val="none"/>
              </w:rPr>
              <w:t>；如服务团队人数以及人员的能力、资质等不符合采购文件要求的，将可能导致评审时被扣除相关分数直至投标被</w:t>
            </w:r>
            <w:r>
              <w:rPr>
                <w:rFonts w:ascii="宋体" w:hAnsi="宋体" w:hint="eastAsia"/>
                <w:b/>
                <w:sz w:val="18"/>
                <w:szCs w:val="18"/>
                <w:highlight w:val="none"/>
              </w:rPr>
              <w:t>拒绝</w:t>
            </w:r>
            <w:r>
              <w:rPr>
                <w:rFonts w:ascii="宋体" w:hAnsi="宋体" w:hint="eastAsia"/>
                <w:sz w:val="18"/>
                <w:szCs w:val="18"/>
                <w:highlight w:val="none"/>
              </w:rPr>
              <w:t>（被拒绝投标的情形见</w:t>
            </w:r>
            <w:r>
              <w:rPr>
                <w:rFonts w:ascii="宋体" w:hAnsi="宋体" w:hint="eastAsia"/>
                <w:b/>
                <w:sz w:val="18"/>
                <w:szCs w:val="18"/>
                <w:highlight w:val="none"/>
              </w:rPr>
              <w:t>第八章</w:t>
            </w:r>
            <w:r>
              <w:rPr>
                <w:rFonts w:hint="eastAsia"/>
                <w:b/>
                <w:sz w:val="18"/>
                <w:szCs w:val="18"/>
                <w:highlight w:val="none"/>
              </w:rPr>
              <w:t>投标被拒绝条款专用部分</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1.4.3</w:t>
            </w:r>
          </w:p>
        </w:tc>
        <w:tc>
          <w:tcPr>
            <w:tcW w:w="7723" w:type="dxa"/>
            <w:vAlign w:val="center"/>
          </w:tcPr>
          <w:p>
            <w:pPr>
              <w:tabs>
                <w:tab w:val="left" w:pos="1573"/>
              </w:tabs>
              <w:adjustRightInd w:val="0"/>
              <w:snapToGrid w:val="0"/>
              <w:spacing w:line="360" w:lineRule="auto"/>
              <w:rPr>
                <w:rFonts w:hint="eastAsia"/>
                <w:sz w:val="18"/>
                <w:szCs w:val="18"/>
                <w:highlight w:val="none"/>
              </w:rPr>
            </w:pPr>
            <w:r>
              <w:rPr>
                <w:rFonts w:ascii="宋体" w:hAnsi="宋体" w:hint="eastAsia"/>
                <w:sz w:val="18"/>
                <w:szCs w:val="18"/>
                <w:highlight w:val="none"/>
              </w:rPr>
              <w:t>如需要驻场服务，但投标人不能提供驻场服务的，投标将被</w:t>
            </w:r>
            <w:r>
              <w:rPr>
                <w:rFonts w:ascii="宋体" w:hAnsi="宋体" w:hint="eastAsia"/>
                <w:b/>
                <w:sz w:val="18"/>
                <w:szCs w:val="18"/>
                <w:highlight w:val="none"/>
              </w:rPr>
              <w:t>拒绝</w:t>
            </w:r>
            <w:r>
              <w:rPr>
                <w:rFonts w:ascii="宋体" w:hAnsi="宋体" w:hint="eastAsia"/>
                <w:sz w:val="18"/>
                <w:szCs w:val="18"/>
                <w:highlight w:val="none"/>
              </w:rPr>
              <w:t>；如驻场服务人数、专业水平等不符合采购文件要求的，将可能导致评审时被扣除相关分数直至投标被</w:t>
            </w:r>
            <w:r>
              <w:rPr>
                <w:rFonts w:ascii="宋体" w:hAnsi="宋体" w:hint="eastAsia"/>
                <w:b/>
                <w:sz w:val="18"/>
                <w:szCs w:val="18"/>
                <w:highlight w:val="none"/>
              </w:rPr>
              <w:t>拒绝</w:t>
            </w:r>
            <w:r>
              <w:rPr>
                <w:rFonts w:ascii="宋体" w:hAnsi="宋体" w:hint="eastAsia"/>
                <w:sz w:val="18"/>
                <w:szCs w:val="18"/>
                <w:highlight w:val="none"/>
              </w:rPr>
              <w:t>（被拒绝投标的情形见</w:t>
            </w:r>
            <w:r>
              <w:rPr>
                <w:rFonts w:ascii="宋体" w:hAnsi="宋体" w:hint="eastAsia"/>
                <w:b/>
                <w:sz w:val="18"/>
                <w:szCs w:val="18"/>
                <w:highlight w:val="none"/>
              </w:rPr>
              <w:t>第八章</w:t>
            </w:r>
            <w:r>
              <w:rPr>
                <w:rFonts w:hint="eastAsia"/>
                <w:b/>
                <w:sz w:val="18"/>
                <w:szCs w:val="18"/>
                <w:highlight w:val="none"/>
              </w:rPr>
              <w:t>投标被拒绝条款专用部分</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1.5.1</w:t>
            </w:r>
          </w:p>
        </w:tc>
        <w:tc>
          <w:tcPr>
            <w:tcW w:w="7723" w:type="dxa"/>
            <w:vAlign w:val="center"/>
          </w:tcPr>
          <w:p>
            <w:pPr>
              <w:tabs>
                <w:tab w:val="left" w:pos="8460"/>
              </w:tabs>
              <w:adjustRightInd w:val="0"/>
              <w:snapToGrid w:val="0"/>
              <w:spacing w:line="360" w:lineRule="auto"/>
              <w:jc w:val="left"/>
              <w:rPr>
                <w:rFonts w:ascii="宋体" w:hAnsi="宋体" w:hint="eastAsia"/>
                <w:kern w:val="0"/>
                <w:szCs w:val="21"/>
                <w:highlight w:val="none"/>
              </w:rPr>
            </w:pPr>
            <w:r>
              <w:rPr>
                <w:rFonts w:ascii="宋体" w:hAnsi="宋体" w:hint="eastAsia"/>
                <w:sz w:val="18"/>
                <w:szCs w:val="18"/>
                <w:highlight w:val="none"/>
              </w:rPr>
              <w:t>如本次采购内容包括货物，且</w:t>
            </w: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1.5.2</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如本次采购内容包括货物，且</w:t>
            </w:r>
            <w:r>
              <w:rPr>
                <w:rFonts w:hint="eastAsia"/>
                <w:sz w:val="18"/>
                <w:szCs w:val="18"/>
                <w:highlight w:val="none"/>
              </w:rPr>
              <w:t>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如本次采购内容包括货物，是否允许进口产品投标，见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5.6条有关进口产品投标要求的，投标将被拒绝。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sz w:val="18"/>
                <w:szCs w:val="18"/>
                <w:highlight w:val="none"/>
              </w:rPr>
              <w:t>如本次采购内容包括货物，</w:t>
            </w:r>
            <w:r>
              <w:rPr>
                <w:rFonts w:hint="eastAsia"/>
                <w:bCs/>
                <w:sz w:val="18"/>
                <w:szCs w:val="18"/>
                <w:highlight w:val="none"/>
              </w:rPr>
              <w:t>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第五章投标人须知专用部分5.6条</w:t>
            </w:r>
            <w:r>
              <w:rPr>
                <w:rFonts w:hint="eastAsia"/>
                <w:sz w:val="18"/>
                <w:szCs w:val="18"/>
                <w:highlight w:val="none"/>
              </w:rPr>
              <w:t>有关代理商投标要求，以及进口产品代理商未按</w:t>
            </w:r>
            <w:r>
              <w:rPr>
                <w:rFonts w:hint="eastAsia"/>
                <w:b/>
                <w:sz w:val="18"/>
                <w:szCs w:val="18"/>
                <w:highlight w:val="none"/>
              </w:rPr>
              <w:t>第五章投标人须知专用部分5.7条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1.5.5</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1.6.3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gridSpan w:val="2"/>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bCs/>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（如本次采购内容不包括货物，或者投标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hint="eastAsia"/>
                <w:bCs/>
                <w:sz w:val="18"/>
                <w:szCs w:val="18"/>
                <w:highlight w:val="none"/>
              </w:rPr>
              <w:t>中小</w:t>
            </w:r>
            <w:r>
              <w:rPr>
                <w:bCs/>
                <w:sz w:val="18"/>
                <w:szCs w:val="18"/>
                <w:highlight w:val="none"/>
              </w:rPr>
              <w:t>企业声明函</w:t>
            </w:r>
            <w:r>
              <w:rPr>
                <w:rFonts w:hint="eastAsia"/>
                <w:bCs/>
                <w:sz w:val="18"/>
                <w:szCs w:val="18"/>
                <w:highlight w:val="none"/>
              </w:rPr>
              <w:t>或残疾人福利性单位声明函或监狱企业证明文件（不是预留采购份额面向中小企业采购的项目，可以不提供，但不能享受可能的价格扣除优惠）；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hint="eastAsia"/>
                <w:bCs/>
                <w:sz w:val="18"/>
                <w:szCs w:val="18"/>
                <w:highlight w:val="none"/>
              </w:rPr>
              <w:t>；</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第五章投标人须知专用部分5.12条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rPr>
                <w:sz w:val="18"/>
                <w:szCs w:val="18"/>
                <w:highlight w:val="none"/>
              </w:rPr>
            </w:pPr>
            <w:r>
              <w:rPr>
                <w:rFonts w:hint="eastAsia"/>
                <w:sz w:val="18"/>
                <w:szCs w:val="18"/>
                <w:highlight w:val="none"/>
              </w:rPr>
              <w:t>投标人未提交全以下技术文件（特别说明除外）：1、开标一览表；2、分项报价表；3、服务团队人员基本情况表（如未要求组成专门的服务团队的，不提供）；4、技术要求偏离表；4、按照第五章投标人须知专用部分5.12条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rPr>
                <w:rFonts w:ascii="宋体" w:hAnsi="宋体"/>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4"/>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center"/>
        <w:rPr>
          <w:b/>
          <w:sz w:val="48"/>
          <w:szCs w:val="36"/>
          <w:highlight w:val="none"/>
        </w:rPr>
      </w:pPr>
    </w:p>
    <w:p>
      <w:pPr>
        <w:spacing w:line="360" w:lineRule="auto"/>
        <w:jc w:val="center"/>
        <w:outlineLvl w:val="0"/>
        <w:rPr>
          <w:rFonts w:ascii="宋体" w:hAnsi="宋体"/>
          <w:b/>
          <w:sz w:val="48"/>
          <w:szCs w:val="36"/>
          <w:highlight w:val="none"/>
        </w:rPr>
      </w:pPr>
      <w:r>
        <w:rPr>
          <w:b/>
          <w:sz w:val="48"/>
          <w:szCs w:val="36"/>
          <w:highlight w:val="none"/>
        </w:rPr>
        <w:br w:type="page"/>
      </w: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firstLine="2461" w:firstLineChars="1172"/>
        <w:jc w:val="left"/>
        <w:rPr>
          <w:b/>
          <w:bCs/>
          <w:szCs w:val="21"/>
          <w:highlight w:val="none"/>
        </w:rPr>
      </w:pPr>
      <w:r>
        <w:rPr>
          <w:rFonts w:hint="eastAsia"/>
          <w:b/>
          <w:bCs/>
          <w:szCs w:val="21"/>
          <w:highlight w:val="none"/>
        </w:rPr>
        <w:t>第四章  投标邀请书</w:t>
      </w:r>
    </w:p>
    <w:p>
      <w:pPr>
        <w:adjustRightInd w:val="0"/>
        <w:snapToGrid w:val="0"/>
        <w:spacing w:line="360" w:lineRule="auto"/>
        <w:ind w:firstLine="2461" w:firstLineChars="1172"/>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firstLine="2461" w:firstLineChars="1172"/>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firstLine="2461" w:firstLineChars="1172"/>
        <w:jc w:val="left"/>
        <w:rPr>
          <w:b/>
          <w:bCs/>
          <w:szCs w:val="21"/>
          <w:highlight w:val="none"/>
        </w:rPr>
      </w:pPr>
      <w:r>
        <w:rPr>
          <w:rFonts w:hint="eastAsia"/>
          <w:b/>
          <w:szCs w:val="21"/>
          <w:highlight w:val="none"/>
        </w:rPr>
        <w:t>第七章  采购需求</w:t>
      </w:r>
    </w:p>
    <w:p>
      <w:pPr>
        <w:adjustRightInd w:val="0"/>
        <w:snapToGrid w:val="0"/>
        <w:spacing w:line="360" w:lineRule="auto"/>
        <w:ind w:firstLine="2461" w:firstLineChars="1172"/>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jc w:val="left"/>
        <w:rPr>
          <w:b/>
          <w:bCs/>
          <w:szCs w:val="21"/>
          <w:highlight w:val="none"/>
        </w:rPr>
      </w:pPr>
      <w:r>
        <w:rPr>
          <w:b/>
          <w:bCs/>
          <w:szCs w:val="21"/>
          <w:highlight w:val="none"/>
        </w:rPr>
        <w:br w:type="page"/>
      </w:r>
    </w:p>
    <w:p>
      <w:pPr>
        <w:adjustRightInd w:val="0"/>
        <w:snapToGrid w:val="0"/>
        <w:spacing w:line="360" w:lineRule="auto"/>
        <w:jc w:val="center"/>
        <w:outlineLvl w:val="1"/>
        <w:rPr>
          <w:b/>
          <w:bCs/>
          <w:sz w:val="30"/>
          <w:szCs w:val="30"/>
          <w:highlight w:val="none"/>
        </w:rPr>
      </w:pPr>
      <w:r>
        <w:rPr>
          <w:rFonts w:hint="eastAsia"/>
          <w:b/>
          <w:bCs/>
          <w:sz w:val="30"/>
          <w:szCs w:val="30"/>
          <w:highlight w:val="none"/>
        </w:rPr>
        <w:t>第四章  投标邀请书</w:t>
      </w:r>
    </w:p>
    <w:p>
      <w:pPr>
        <w:spacing w:line="360" w:lineRule="auto"/>
        <w:ind w:firstLine="420" w:firstLineChars="200"/>
        <w:rPr>
          <w:rFonts w:ascii="宋体" w:hAnsi="宋体"/>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国家气象信息中心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国家气象信息中心机房场地环境系统运维服务项目</w:t>
      </w:r>
      <w:bookmarkEnd w:id="21"/>
      <w:r>
        <w:rPr>
          <w:rFonts w:ascii="宋体" w:hAnsi="宋体" w:cs="宋体" w:hint="eastAsia"/>
          <w:b/>
          <w:bCs/>
          <w:szCs w:val="21"/>
          <w:highlight w:val="none"/>
        </w:rPr>
        <w:t>。</w:t>
      </w:r>
    </w:p>
    <w:p>
      <w:pPr>
        <w:spacing w:line="360" w:lineRule="auto"/>
        <w:ind w:firstLine="420" w:firstLineChars="200"/>
        <w:rPr>
          <w:rFonts w:ascii="宋体" w:hAnsi="宋体" w:cs="宋体"/>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ZQCD-25251</w:t>
      </w:r>
      <w:bookmarkEnd w:id="22"/>
      <w:r>
        <w:rPr>
          <w:rFonts w:ascii="宋体" w:hAnsi="宋体" w:cs="宋体" w:hint="eastAsia"/>
          <w:b/>
          <w:bCs/>
          <w:szCs w:val="21"/>
          <w:highlight w:val="none"/>
        </w:rPr>
        <w:t>。</w:t>
      </w:r>
    </w:p>
    <w:p>
      <w:pPr>
        <w:spacing w:line="360" w:lineRule="auto"/>
        <w:ind w:firstLine="412" w:firstLineChars="196"/>
        <w:rPr>
          <w:rFonts w:ascii="宋体" w:hAnsi="宋体"/>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上述服务产品及设备、系统软件的供应、运输、安装调试、培训及售后服务。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商务、技术和服务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hint="eastAsia"/>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合同签订之日起开始提供驻场服务，服务期限1年</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北京市海淀区中关村南大街46号</w:t>
      </w:r>
      <w:bookmarkEnd w:id="25"/>
      <w:r>
        <w:rPr>
          <w:rFonts w:ascii="宋体" w:hAnsi="宋体" w:cs="微软雅黑" w:hint="eastAsia"/>
          <w:b/>
          <w:color w:val="0000FF"/>
          <w:kern w:val="0"/>
          <w:szCs w:val="21"/>
          <w:highlight w:val="none"/>
        </w:rPr>
        <w:t>。</w:t>
      </w:r>
    </w:p>
    <w:p>
      <w:pPr>
        <w:adjustRightInd w:val="0"/>
        <w:snapToGrid w:val="0"/>
        <w:spacing w:line="360" w:lineRule="auto"/>
        <w:ind w:firstLine="412" w:firstLineChars="196"/>
        <w:rPr>
          <w:rFonts w:ascii="宋体" w:hAnsi="宋体"/>
          <w:b/>
          <w:szCs w:val="24"/>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2025年09月01日 00:00:00</w:t>
      </w:r>
      <w:bookmarkEnd w:id="26"/>
      <w:r>
        <w:rPr>
          <w:rFonts w:ascii="宋体" w:hint="eastAsia"/>
          <w:szCs w:val="21"/>
          <w:highlight w:val="none"/>
        </w:rPr>
        <w:t>至</w:t>
      </w:r>
      <w:bookmarkStart w:id="27" w:name="项目公告_signUpLastTime"/>
      <w:r>
        <w:rPr>
          <w:rFonts w:ascii="宋体" w:hint="eastAsia"/>
          <w:szCs w:val="21"/>
          <w:highlight w:val="none"/>
        </w:rPr>
        <w:t>2025年09月08日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12" w:firstLineChars="196"/>
        <w:rPr>
          <w:rFonts w:ascii="宋体"/>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2025年09月22日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adjustRightInd/>
        <w:snapToGrid/>
        <w:spacing w:line="360" w:lineRule="auto"/>
        <w:ind w:firstLine="420" w:firstLineChars="200"/>
        <w:jc w:val="both"/>
        <w:rPr>
          <w:rFonts w:ascii="宋体" w:hAnsi="宋体"/>
          <w:bCs/>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本项目相关信息均在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陈龙光</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010-58995155</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国家气象信息中心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孔令军</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010-68408624</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北京市海淀区中关村南大街46号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adjustRightInd w:val="0"/>
        <w:snapToGrid w:val="0"/>
        <w:spacing w:line="360" w:lineRule="auto"/>
        <w:jc w:val="center"/>
        <w:outlineLvl w:val="1"/>
        <w:rPr>
          <w:b/>
          <w:bCs/>
          <w:sz w:val="30"/>
          <w:szCs w:val="30"/>
        </w:rPr>
      </w:pPr>
      <w:r>
        <w:rPr>
          <w:b/>
          <w:bCs/>
          <w:szCs w:val="21"/>
          <w:highlight w:val="none"/>
        </w:rPr>
        <w:br w:type="page"/>
      </w:r>
      <w:bookmarkStart w:id="37" w:name="投标人须知专用部分_TBXZ"/>
      <w:r>
        <w:rPr>
          <w:rFonts w:ascii="Times New Roman" w:eastAsia="宋体" w:hAnsi="Times New Roman" w:cs="Times New Roman" w:hint="eastAsia"/>
          <w:b/>
          <w:bCs/>
          <w:sz w:val="30"/>
          <w:szCs w:val="30"/>
        </w:rPr>
        <w:t>第五章  投标人须知专用部分</w:t>
      </w:r>
    </w:p>
    <w:p>
      <w:pPr>
        <w:spacing w:line="360" w:lineRule="auto"/>
        <w:jc w:val="left"/>
        <w:rPr>
          <w:rFonts w:ascii="黑体" w:eastAsia="黑体" w:hAnsi="黑体" w:cs="Times New Roman"/>
          <w:kern w:val="44"/>
          <w:szCs w:val="28"/>
        </w:rPr>
      </w:pPr>
      <w:r>
        <w:rPr>
          <w:rFonts w:ascii="黑体" w:eastAsia="黑体" w:hAnsi="黑体" w:cs="Times New Roman" w:hint="eastAsia"/>
          <w:kern w:val="44"/>
          <w:szCs w:val="28"/>
        </w:rPr>
        <w:t xml:space="preserve">    </w:t>
      </w:r>
    </w:p>
    <w:p>
      <w:pPr>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bCs/>
          <w:kern w:val="44"/>
          <w:szCs w:val="28"/>
        </w:rPr>
        <w:t>投标人须知专用部分</w:t>
      </w:r>
      <w:r>
        <w:rPr>
          <w:rFonts w:ascii="Times New Roman" w:eastAsia="宋体" w:hAnsi="Times New Roman" w:cs="Times New Roman" w:hint="eastAsia"/>
          <w:szCs w:val="21"/>
        </w:rPr>
        <w:t>表格中要求事项且已列入第三章、第八章投标被拒绝条款的，若有缺失或无效，将导致投标被拒绝且不允许在开标后补正</w:t>
      </w:r>
      <w:r>
        <w:rPr>
          <w:rFonts w:ascii="宋体" w:eastAsia="宋体" w:hAnsi="宋体" w:cs="Times New Roman" w:hint="eastAsia"/>
          <w:szCs w:val="21"/>
        </w:rPr>
        <w:t>。投标人须知通用部分或招标文件其余部分与本表不一致的，以本表要求为准。</w:t>
      </w:r>
    </w:p>
    <w:p>
      <w:pPr>
        <w:adjustRightInd w:val="0"/>
        <w:snapToGrid w:val="0"/>
        <w:spacing w:line="360" w:lineRule="auto"/>
        <w:rPr>
          <w:rFonts w:ascii="Times New Roman" w:eastAsia="宋体" w:hAnsi="Times New Roman" w:cs="Times New Roman"/>
          <w:szCs w:val="21"/>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rFonts w:ascii="Times New Roman" w:eastAsia="宋体" w:hAnsi="Times New Roman" w:cs="Times New Roman"/>
                <w:b/>
                <w:szCs w:val="21"/>
              </w:rPr>
            </w:pPr>
            <w:r>
              <w:rPr>
                <w:rFonts w:ascii="Times New Roman" w:eastAsia="宋体" w:hAnsi="Times New Roman" w:cs="Times New Roman" w:hint="eastAsia"/>
                <w:b/>
                <w:szCs w:val="21"/>
              </w:rPr>
              <w:t>序号</w:t>
            </w:r>
          </w:p>
        </w:tc>
        <w:tc>
          <w:tcPr>
            <w:tcW w:w="1418" w:type="dxa"/>
            <w:noWrap w:val="0"/>
            <w:vAlign w:val="center"/>
          </w:tcPr>
          <w:p>
            <w:pPr>
              <w:jc w:val="center"/>
              <w:rPr>
                <w:rFonts w:ascii="Times New Roman" w:eastAsia="宋体" w:hAnsi="Times New Roman" w:cs="Times New Roman"/>
                <w:b/>
                <w:szCs w:val="21"/>
              </w:rPr>
            </w:pPr>
            <w:r>
              <w:rPr>
                <w:rFonts w:ascii="Times New Roman" w:eastAsia="宋体" w:hAnsi="Times New Roman" w:cs="Times New Roman" w:hint="eastAsia"/>
                <w:b/>
                <w:szCs w:val="21"/>
              </w:rPr>
              <w:t>对应投标人须知通用部分的条款</w:t>
            </w:r>
          </w:p>
        </w:tc>
        <w:tc>
          <w:tcPr>
            <w:tcW w:w="1701" w:type="dxa"/>
            <w:noWrap w:val="0"/>
            <w:vAlign w:val="center"/>
          </w:tcPr>
          <w:p>
            <w:pPr>
              <w:jc w:val="center"/>
              <w:rPr>
                <w:rFonts w:ascii="Times New Roman" w:eastAsia="宋体" w:hAnsi="Times New Roman" w:cs="Times New Roman"/>
                <w:b/>
                <w:szCs w:val="21"/>
              </w:rPr>
            </w:pPr>
            <w:r>
              <w:rPr>
                <w:rFonts w:ascii="Times New Roman" w:eastAsia="宋体" w:hAnsi="Times New Roman" w:cs="Times New Roman" w:hint="eastAsia"/>
                <w:b/>
                <w:szCs w:val="21"/>
              </w:rPr>
              <w:t>内容</w:t>
            </w:r>
          </w:p>
        </w:tc>
        <w:tc>
          <w:tcPr>
            <w:tcW w:w="5209" w:type="dxa"/>
            <w:noWrap w:val="0"/>
            <w:vAlign w:val="center"/>
          </w:tcPr>
          <w:p>
            <w:pPr>
              <w:jc w:val="center"/>
              <w:rPr>
                <w:rFonts w:ascii="Times New Roman" w:eastAsia="宋体" w:hAnsi="Times New Roman" w:cs="Times New Roman"/>
                <w:b/>
                <w:szCs w:val="21"/>
              </w:rPr>
            </w:pPr>
            <w:r>
              <w:rPr>
                <w:rFonts w:ascii="Times New Roman" w:eastAsia="宋体" w:hAnsi="Times New Roman" w:cs="Times New Roman" w:hint="eastAsia"/>
                <w:b/>
                <w:szCs w:val="21"/>
              </w:rPr>
              <w:t>说明与要求</w:t>
            </w:r>
          </w:p>
        </w:tc>
      </w:tr>
      <w:tr>
        <w:tblPrEx>
          <w:tblW w:w="9003" w:type="dxa"/>
          <w:tblInd w:w="0" w:type="dxa"/>
          <w:tblLayout w:type="fixed"/>
          <w:tblCellMar>
            <w:top w:w="0" w:type="dxa"/>
            <w:left w:w="108" w:type="dxa"/>
            <w:bottom w:w="0" w:type="dxa"/>
            <w:right w:w="108" w:type="dxa"/>
          </w:tblCellMar>
        </w:tblPrEx>
        <w:trPr>
          <w:trHeight w:val="302"/>
        </w:trPr>
        <w:tc>
          <w:tcPr>
            <w:tcW w:w="675" w:type="dxa"/>
            <w:noWrap w:val="0"/>
            <w:vAlign w:val="center"/>
          </w:tcPr>
          <w:p>
            <w:pPr>
              <w:rPr>
                <w:rFonts w:ascii="Times New Roman" w:eastAsia="宋体" w:hAnsi="Times New Roman" w:cs="Times New Roman"/>
                <w:szCs w:val="21"/>
              </w:rPr>
            </w:pPr>
            <w:r>
              <w:rPr>
                <w:rFonts w:ascii="Times New Roman" w:eastAsia="宋体" w:hAnsi="Times New Roman" w:cs="Times New Roman" w:hint="eastAsia"/>
                <w:szCs w:val="21"/>
              </w:rPr>
              <w:t>5.1</w:t>
            </w:r>
          </w:p>
        </w:tc>
        <w:tc>
          <w:tcPr>
            <w:tcW w:w="1418" w:type="dxa"/>
            <w:noWrap w:val="0"/>
            <w:vAlign w:val="center"/>
          </w:tcPr>
          <w:p>
            <w:pPr>
              <w:rPr>
                <w:rFonts w:ascii="Times New Roman" w:eastAsia="宋体" w:hAnsi="Times New Roman" w:cs="Times New Roman"/>
                <w:szCs w:val="21"/>
              </w:rPr>
            </w:pPr>
            <w:r>
              <w:rPr>
                <w:rFonts w:ascii="Times New Roman" w:eastAsia="宋体" w:hAnsi="Times New Roman" w:cs="Times New Roman" w:hint="eastAsia"/>
                <w:szCs w:val="21"/>
              </w:rPr>
              <w:t>1.2.1</w:t>
            </w:r>
          </w:p>
        </w:tc>
        <w:tc>
          <w:tcPr>
            <w:tcW w:w="1701" w:type="dxa"/>
            <w:noWrap w:val="0"/>
            <w:vAlign w:val="center"/>
          </w:tcPr>
          <w:p>
            <w:pPr>
              <w:rPr>
                <w:rFonts w:ascii="Times New Roman" w:eastAsia="宋体" w:hAnsi="Times New Roman" w:cs="Times New Roman"/>
                <w:szCs w:val="21"/>
              </w:rPr>
            </w:pPr>
            <w:r>
              <w:rPr>
                <w:rFonts w:ascii="Times New Roman" w:eastAsia="宋体" w:hAnsi="Times New Roman" w:cs="Times New Roman" w:hint="eastAsia"/>
                <w:szCs w:val="21"/>
              </w:rPr>
              <w:t>采购人名称</w:t>
            </w:r>
          </w:p>
        </w:tc>
        <w:tc>
          <w:tcPr>
            <w:tcW w:w="5209" w:type="dxa"/>
            <w:noWrap w:val="0"/>
            <w:vAlign w:val="center"/>
          </w:tcPr>
          <w:p>
            <w:pPr>
              <w:rPr>
                <w:rFonts w:ascii="宋体" w:eastAsia="宋体" w:hAnsi="宋体" w:cs="微软雅黑"/>
                <w:kern w:val="0"/>
                <w:szCs w:val="21"/>
              </w:rPr>
            </w:pPr>
            <w:bookmarkStart w:id="38" w:name="采购人2_recorderOrgName"/>
            <w:r>
              <w:rPr>
                <w:rFonts w:ascii="宋体" w:eastAsia="宋体" w:hAnsi="宋体" w:cs="微软雅黑" w:hint="eastAsia"/>
                <w:kern w:val="0"/>
                <w:szCs w:val="21"/>
              </w:rPr>
              <w:t>国家气象信息中心</w:t>
            </w:r>
            <w:bookmarkEnd w:id="38"/>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rPr>
            </w:pPr>
            <w:r>
              <w:rPr>
                <w:rFonts w:ascii="Times New Roman" w:eastAsia="宋体" w:hAnsi="Times New Roman" w:cs="Times New Roman" w:hint="eastAsia"/>
                <w:szCs w:val="21"/>
              </w:rPr>
              <w:t>5.2</w:t>
            </w:r>
          </w:p>
        </w:tc>
        <w:tc>
          <w:tcPr>
            <w:tcW w:w="1418" w:type="dxa"/>
            <w:noWrap w:val="0"/>
            <w:vAlign w:val="center"/>
          </w:tcPr>
          <w:p>
            <w:pPr>
              <w:rPr>
                <w:rFonts w:ascii="Times New Roman" w:eastAsia="宋体" w:hAnsi="Times New Roman" w:cs="Times New Roman"/>
                <w:szCs w:val="21"/>
              </w:rPr>
            </w:pPr>
            <w:r>
              <w:rPr>
                <w:rFonts w:ascii="Times New Roman" w:eastAsia="宋体" w:hAnsi="Times New Roman" w:cs="Times New Roman" w:hint="eastAsia"/>
                <w:szCs w:val="21"/>
              </w:rPr>
              <w:t>1.3.3、1.14.2</w:t>
            </w:r>
          </w:p>
        </w:tc>
        <w:tc>
          <w:tcPr>
            <w:tcW w:w="1701" w:type="dxa"/>
            <w:noWrap w:val="0"/>
            <w:vAlign w:val="center"/>
          </w:tcPr>
          <w:p>
            <w:pPr>
              <w:rPr>
                <w:rFonts w:ascii="Times New Roman" w:eastAsia="宋体" w:hAnsi="Times New Roman" w:cs="Times New Roman"/>
                <w:szCs w:val="21"/>
              </w:rPr>
            </w:pPr>
            <w:r>
              <w:rPr>
                <w:rFonts w:ascii="Times New Roman" w:eastAsia="宋体" w:hAnsi="Times New Roman" w:cs="Times New Roman" w:hint="eastAsia"/>
                <w:szCs w:val="21"/>
              </w:rPr>
              <w:t>投标人特殊资质条件</w:t>
            </w:r>
          </w:p>
        </w:tc>
        <w:tc>
          <w:tcPr>
            <w:tcW w:w="5209" w:type="dxa"/>
            <w:noWrap w:val="0"/>
            <w:vAlign w:val="center"/>
          </w:tcPr>
          <w:p>
            <w:pPr>
              <w:jc w:val="left"/>
              <w:rPr>
                <w:rFonts w:ascii="宋体" w:eastAsia="宋体" w:hAnsi="宋体" w:cs="微软雅黑"/>
                <w:kern w:val="0"/>
                <w:szCs w:val="21"/>
              </w:rPr>
            </w:pPr>
            <w:r>
              <w:rPr>
                <w:rFonts w:ascii="Calibri" w:eastAsia="宋体" w:hAnsi="Calibri" w:cs="微软雅黑" w:hint="eastAsia"/>
                <w:kern w:val="0"/>
                <w:szCs w:val="21"/>
              </w:rPr>
              <w:t>投标人应具有以下有效期超过投标截止日的资质：</w:t>
            </w:r>
            <w:bookmarkStart w:id="39" w:name="资_bidderQualificationValidBeyondDeadline"/>
            <w:r>
              <w:rPr>
                <w:rFonts w:ascii="宋体" w:hAnsi="宋体" w:cs="微软雅黑" w:hint="eastAsia"/>
                <w:kern w:val="0"/>
                <w:szCs w:val="21"/>
              </w:rPr>
              <w:t>1、承装（修、试）电力设施许可证三级及以上；2、在社会消防技术服务信息系统备案且备案内容至少包含消防设施维护保养检测。（以上1、2需提供加盖投标人公章的证明材料）</w:t>
            </w:r>
            <w:bookmarkEnd w:id="39"/>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top"/>
          </w:tcPr>
          <w:p>
            <w:pPr>
              <w:rPr>
                <w:rFonts w:ascii="Times New Roman" w:eastAsia="宋体" w:hAnsi="Times New Roman" w:cs="Times New Roman"/>
                <w:szCs w:val="21"/>
              </w:rPr>
            </w:pPr>
            <w:r>
              <w:rPr>
                <w:rFonts w:ascii="Times New Roman" w:eastAsia="宋体" w:hAnsi="Times New Roman" w:cs="Times New Roman" w:hint="eastAsia"/>
                <w:szCs w:val="20"/>
              </w:rPr>
              <w:t>5</w:t>
            </w:r>
            <w:r>
              <w:rPr>
                <w:rFonts w:ascii="Times New Roman" w:eastAsia="宋体" w:hAnsi="Times New Roman" w:cs="Times New Roman"/>
                <w:szCs w:val="20"/>
              </w:rPr>
              <w:t>.</w:t>
            </w:r>
            <w:r>
              <w:rPr>
                <w:rFonts w:ascii="Times New Roman" w:eastAsia="宋体" w:hAnsi="Times New Roman" w:cs="Times New Roman" w:hint="eastAsia"/>
                <w:szCs w:val="20"/>
              </w:rPr>
              <w:t>3</w:t>
            </w:r>
          </w:p>
        </w:tc>
        <w:tc>
          <w:tcPr>
            <w:tcW w:w="1418" w:type="dxa"/>
            <w:noWrap w:val="0"/>
            <w:vAlign w:val="top"/>
          </w:tcPr>
          <w:p>
            <w:pPr>
              <w:rPr>
                <w:rFonts w:ascii="Times New Roman" w:eastAsia="宋体" w:hAnsi="Times New Roman" w:cs="Times New Roman"/>
                <w:szCs w:val="21"/>
              </w:rPr>
            </w:pPr>
            <w:r>
              <w:rPr>
                <w:rFonts w:ascii="Times New Roman" w:eastAsia="宋体" w:hAnsi="Times New Roman" w:cs="Times New Roman"/>
                <w:szCs w:val="20"/>
              </w:rPr>
              <w:t>1.3.</w:t>
            </w:r>
            <w:r>
              <w:rPr>
                <w:rFonts w:ascii="Times New Roman" w:eastAsia="宋体" w:hAnsi="Times New Roman" w:cs="Times New Roman" w:hint="eastAsia"/>
                <w:szCs w:val="20"/>
              </w:rPr>
              <w:t>5</w:t>
            </w:r>
          </w:p>
        </w:tc>
        <w:tc>
          <w:tcPr>
            <w:tcW w:w="1701" w:type="dxa"/>
            <w:noWrap w:val="0"/>
            <w:vAlign w:val="top"/>
          </w:tcPr>
          <w:p>
            <w:pPr>
              <w:rPr>
                <w:rFonts w:ascii="Times New Roman" w:eastAsia="宋体" w:hAnsi="Times New Roman" w:cs="Times New Roman"/>
                <w:kern w:val="0"/>
                <w:szCs w:val="21"/>
              </w:rPr>
            </w:pPr>
            <w:r>
              <w:rPr>
                <w:rFonts w:ascii="Times New Roman" w:eastAsia="宋体" w:hAnsi="Times New Roman" w:cs="Times New Roman" w:hint="eastAsia"/>
                <w:szCs w:val="20"/>
              </w:rPr>
              <w:t>是否允许</w:t>
            </w:r>
            <w:r>
              <w:rPr>
                <w:rFonts w:ascii="Times New Roman" w:eastAsia="宋体" w:hAnsi="Times New Roman" w:cs="Times New Roman" w:hint="eastAsia"/>
                <w:szCs w:val="20"/>
                <w:highlight w:val="green"/>
              </w:rPr>
              <w:t>联合体投标</w:t>
            </w:r>
          </w:p>
        </w:tc>
        <w:tc>
          <w:tcPr>
            <w:tcW w:w="5209" w:type="dxa"/>
            <w:noWrap w:val="0"/>
            <w:vAlign w:val="top"/>
          </w:tcPr>
          <w:p>
            <w:pPr>
              <w:rPr>
                <w:rFonts w:ascii="宋体" w:eastAsia="宋体" w:hAnsi="宋体" w:cs="微软雅黑"/>
                <w:kern w:val="0"/>
                <w:szCs w:val="21"/>
              </w:rPr>
            </w:pPr>
            <w:bookmarkStart w:id="40" w:name="联合体投标_jointFlagText"/>
            <w:r>
              <w:rPr>
                <w:rFonts w:ascii="宋体" w:eastAsia="宋体" w:hAnsi="宋体" w:cs="微软雅黑" w:hint="eastAsia"/>
                <w:kern w:val="0"/>
                <w:szCs w:val="21"/>
              </w:rPr>
              <w:t>允许</w:t>
            </w:r>
            <w:bookmarkEnd w:id="40"/>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rPr>
            </w:pPr>
            <w:r>
              <w:rPr>
                <w:rFonts w:ascii="Times New Roman" w:eastAsia="宋体" w:hAnsi="Times New Roman" w:cs="Times New Roman" w:hint="eastAsia"/>
                <w:szCs w:val="21"/>
              </w:rPr>
              <w:t>5.4</w:t>
            </w:r>
          </w:p>
        </w:tc>
        <w:tc>
          <w:tcPr>
            <w:tcW w:w="1418" w:type="dxa"/>
            <w:noWrap w:val="0"/>
            <w:vAlign w:val="center"/>
          </w:tcPr>
          <w:p>
            <w:pPr>
              <w:rPr>
                <w:rFonts w:ascii="Times New Roman" w:eastAsia="宋体" w:hAnsi="Times New Roman" w:cs="Times New Roman"/>
                <w:szCs w:val="21"/>
              </w:rPr>
            </w:pPr>
            <w:r>
              <w:rPr>
                <w:rFonts w:ascii="Times New Roman" w:eastAsia="宋体" w:hAnsi="Times New Roman" w:cs="Times New Roman" w:hint="eastAsia"/>
                <w:szCs w:val="21"/>
              </w:rPr>
              <w:t>1.4.1</w:t>
            </w:r>
          </w:p>
        </w:tc>
        <w:tc>
          <w:tcPr>
            <w:tcW w:w="1701" w:type="dxa"/>
            <w:noWrap w:val="0"/>
            <w:vAlign w:val="center"/>
          </w:tcPr>
          <w:p>
            <w:pPr>
              <w:rPr>
                <w:rFonts w:ascii="Times New Roman" w:eastAsia="宋体" w:hAnsi="Times New Roman" w:cs="Times New Roman"/>
                <w:szCs w:val="21"/>
              </w:rPr>
            </w:pPr>
            <w:r>
              <w:rPr>
                <w:rFonts w:ascii="Times New Roman" w:eastAsia="宋体" w:hAnsi="Times New Roman" w:cs="Times New Roman" w:hint="eastAsia"/>
                <w:szCs w:val="21"/>
              </w:rPr>
              <w:t>是否需要组成专门服务团队以及相关要求</w:t>
            </w:r>
          </w:p>
        </w:tc>
        <w:tc>
          <w:tcPr>
            <w:tcW w:w="5209" w:type="dxa"/>
            <w:noWrap w:val="0"/>
            <w:vAlign w:val="center"/>
          </w:tcPr>
          <w:p>
            <w:pPr>
              <w:rPr>
                <w:rFonts w:ascii="宋体" w:eastAsia="宋体" w:hAnsi="宋体" w:cs="微软雅黑"/>
                <w:kern w:val="0"/>
                <w:szCs w:val="21"/>
              </w:rPr>
            </w:pPr>
            <w:bookmarkStart w:id="41" w:name="服务团队_isMakeSpecializedServiceFlagText"/>
            <w:r>
              <w:rPr>
                <w:rFonts w:ascii="宋体" w:eastAsia="宋体" w:hAnsi="宋体" w:cs="微软雅黑" w:hint="eastAsia"/>
                <w:kern w:val="0"/>
                <w:szCs w:val="21"/>
              </w:rPr>
              <w:t>需要，组成不少于 13 人的服务团队，具体要求详见第七章采购需求。</w:t>
            </w:r>
            <w:bookmarkEnd w:id="41"/>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rPr>
            </w:pPr>
            <w:r>
              <w:rPr>
                <w:rFonts w:ascii="Times New Roman" w:eastAsia="宋体" w:hAnsi="Times New Roman" w:cs="Times New Roman" w:hint="eastAsia"/>
                <w:szCs w:val="21"/>
              </w:rPr>
              <w:t>5.5</w:t>
            </w:r>
          </w:p>
        </w:tc>
        <w:tc>
          <w:tcPr>
            <w:tcW w:w="1418" w:type="dxa"/>
            <w:noWrap w:val="0"/>
            <w:vAlign w:val="center"/>
          </w:tcPr>
          <w:p>
            <w:pPr>
              <w:rPr>
                <w:rFonts w:ascii="Times New Roman" w:eastAsia="宋体" w:hAnsi="Times New Roman" w:cs="Times New Roman"/>
                <w:szCs w:val="21"/>
              </w:rPr>
            </w:pPr>
            <w:r>
              <w:rPr>
                <w:rFonts w:ascii="Times New Roman" w:eastAsia="宋体" w:hAnsi="Times New Roman" w:cs="Times New Roman" w:hint="eastAsia"/>
                <w:szCs w:val="21"/>
              </w:rPr>
              <w:t>1.4.3</w:t>
            </w:r>
          </w:p>
        </w:tc>
        <w:tc>
          <w:tcPr>
            <w:tcW w:w="1701" w:type="dxa"/>
            <w:noWrap w:val="0"/>
            <w:vAlign w:val="center"/>
          </w:tcPr>
          <w:p>
            <w:pPr>
              <w:rPr>
                <w:rFonts w:ascii="Times New Roman" w:eastAsia="宋体" w:hAnsi="Times New Roman" w:cs="Times New Roman"/>
                <w:szCs w:val="21"/>
              </w:rPr>
            </w:pPr>
            <w:r>
              <w:rPr>
                <w:rFonts w:ascii="Times New Roman" w:eastAsia="宋体" w:hAnsi="Times New Roman" w:cs="Times New Roman" w:hint="eastAsia"/>
                <w:szCs w:val="21"/>
              </w:rPr>
              <w:t>是否驻场服务</w:t>
            </w:r>
          </w:p>
        </w:tc>
        <w:tc>
          <w:tcPr>
            <w:tcW w:w="5209" w:type="dxa"/>
            <w:noWrap w:val="0"/>
            <w:vAlign w:val="center"/>
          </w:tcPr>
          <w:p>
            <w:pPr>
              <w:rPr>
                <w:rFonts w:ascii="宋体" w:eastAsia="宋体" w:hAnsi="宋体" w:cs="微软雅黑"/>
                <w:kern w:val="0"/>
                <w:szCs w:val="21"/>
              </w:rPr>
            </w:pPr>
            <w:bookmarkStart w:id="42" w:name="驻场服务_residentServiceFlagText"/>
            <w:r>
              <w:rPr>
                <w:rFonts w:ascii="宋体" w:eastAsia="宋体" w:hAnsi="宋体" w:cs="微软雅黑" w:hint="eastAsia"/>
                <w:kern w:val="0"/>
                <w:szCs w:val="21"/>
              </w:rPr>
              <w:t>是，驻场服务人员不少于 13 人，其相关要求详见第七章采购需求。</w:t>
            </w:r>
            <w:bookmarkEnd w:id="42"/>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rPr>
            </w:pPr>
            <w:r>
              <w:rPr>
                <w:rFonts w:ascii="Times New Roman" w:eastAsia="宋体" w:hAnsi="Times New Roman" w:cs="Times New Roman" w:hint="eastAsia"/>
                <w:szCs w:val="21"/>
              </w:rPr>
              <w:t>5.6</w:t>
            </w:r>
          </w:p>
        </w:tc>
        <w:tc>
          <w:tcPr>
            <w:tcW w:w="1418" w:type="dxa"/>
            <w:noWrap w:val="0"/>
            <w:vAlign w:val="center"/>
          </w:tcPr>
          <w:p>
            <w:pPr>
              <w:jc w:val="left"/>
              <w:rPr>
                <w:rFonts w:ascii="Times New Roman" w:eastAsia="宋体" w:hAnsi="Times New Roman" w:cs="Times New Roman"/>
                <w:szCs w:val="21"/>
              </w:rPr>
            </w:pPr>
            <w:r>
              <w:rPr>
                <w:rFonts w:ascii="Times New Roman" w:eastAsia="宋体" w:hAnsi="Times New Roman" w:cs="Times New Roman" w:hint="eastAsia"/>
                <w:szCs w:val="21"/>
              </w:rPr>
              <w:t>1.5、1.5.2、1.5.3、1.5.4</w:t>
            </w:r>
          </w:p>
        </w:tc>
        <w:tc>
          <w:tcPr>
            <w:tcW w:w="1701" w:type="dxa"/>
            <w:noWrap w:val="0"/>
            <w:vAlign w:val="center"/>
          </w:tcPr>
          <w:p>
            <w:pPr>
              <w:rPr>
                <w:rFonts w:ascii="Times New Roman" w:eastAsia="宋体" w:hAnsi="Times New Roman" w:cs="Times New Roman"/>
                <w:szCs w:val="21"/>
              </w:rPr>
            </w:pPr>
            <w:r>
              <w:rPr>
                <w:rFonts w:ascii="Times New Roman" w:eastAsia="宋体" w:hAnsi="Times New Roman" w:cs="Times New Roman" w:hint="eastAsia"/>
                <w:szCs w:val="21"/>
              </w:rPr>
              <w:t>本次采购是否包括货物</w:t>
            </w:r>
          </w:p>
        </w:tc>
        <w:tc>
          <w:tcPr>
            <w:tcW w:w="5209" w:type="dxa"/>
            <w:noWrap w:val="0"/>
            <w:vAlign w:val="center"/>
          </w:tcPr>
          <w:p>
            <w:pPr>
              <w:rPr>
                <w:rFonts w:ascii="宋体" w:eastAsia="宋体" w:hAnsi="宋体" w:cs="微软雅黑"/>
                <w:kern w:val="0"/>
                <w:szCs w:val="21"/>
                <w:highlight w:val="yellow"/>
              </w:rPr>
            </w:pPr>
            <w:bookmarkStart w:id="43" w:name="选择是否为货物_includingGoodsFlagText"/>
            <w:r>
              <w:rPr>
                <w:rFonts w:ascii="宋体" w:eastAsia="宋体" w:hAnsi="宋体" w:cs="微软雅黑" w:hint="eastAsia"/>
                <w:kern w:val="0"/>
                <w:szCs w:val="21"/>
                <w:highlight w:val="yellow"/>
              </w:rPr>
              <w:t>否</w:t>
            </w:r>
            <w:bookmarkEnd w:id="43"/>
            <w:r>
              <w:rPr>
                <w:rFonts w:ascii="宋体" w:eastAsia="宋体" w:hAnsi="宋体" w:cs="Times New Roman" w:hint="eastAsia"/>
                <w:bCs/>
                <w:szCs w:val="21"/>
                <w:highlight w:val="yellow"/>
              </w:rPr>
              <w:t>（说明：若选择“是”，但只有部分货物需取得</w:t>
            </w:r>
            <w:r>
              <w:rPr>
                <w:rFonts w:ascii="Times New Roman" w:eastAsia="宋体" w:hAnsi="Times New Roman" w:cs="Times New Roman" w:hint="eastAsia"/>
                <w:szCs w:val="20"/>
                <w:highlight w:val="yellow"/>
              </w:rPr>
              <w:t>《气象专用技术装备使用许可证》，或者仅针对部分产品允许代理商投标，或者仅针对部分产品允许进口产品投标，可在相关选项后进一步列出有关货物的清单）</w:t>
            </w:r>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rPr>
            </w:pPr>
            <w:r>
              <w:rPr>
                <w:rFonts w:ascii="Times New Roman" w:eastAsia="宋体" w:hAnsi="Times New Roman" w:cs="Times New Roman" w:hint="eastAsia"/>
                <w:szCs w:val="21"/>
              </w:rPr>
              <w:t>5.7</w:t>
            </w:r>
          </w:p>
        </w:tc>
        <w:tc>
          <w:tcPr>
            <w:tcW w:w="1418" w:type="dxa"/>
            <w:noWrap w:val="0"/>
            <w:vAlign w:val="center"/>
          </w:tcPr>
          <w:p>
            <w:pPr>
              <w:rPr>
                <w:rFonts w:ascii="Times New Roman" w:eastAsia="宋体" w:hAnsi="Times New Roman" w:cs="Times New Roman"/>
                <w:szCs w:val="21"/>
              </w:rPr>
            </w:pPr>
            <w:r>
              <w:rPr>
                <w:rFonts w:ascii="Times New Roman" w:eastAsia="宋体" w:hAnsi="Times New Roman" w:cs="Times New Roman" w:hint="eastAsia"/>
                <w:szCs w:val="21"/>
              </w:rPr>
              <w:t>1.5.4</w:t>
            </w:r>
          </w:p>
        </w:tc>
        <w:tc>
          <w:tcPr>
            <w:tcW w:w="1701" w:type="dxa"/>
            <w:noWrap w:val="0"/>
            <w:vAlign w:val="center"/>
          </w:tcPr>
          <w:p>
            <w:pPr>
              <w:rPr>
                <w:rFonts w:ascii="Times New Roman" w:eastAsia="宋体" w:hAnsi="Times New Roman" w:cs="Times New Roman"/>
                <w:szCs w:val="21"/>
              </w:rPr>
            </w:pPr>
            <w:r>
              <w:rPr>
                <w:rFonts w:ascii="Calibri" w:eastAsia="宋体" w:hAnsi="Calibri" w:cs="Times New Roman" w:hint="eastAsia"/>
                <w:szCs w:val="21"/>
                <w:highlight w:val="yellow"/>
              </w:rPr>
              <w:t>进口产品</w:t>
            </w:r>
            <w:r>
              <w:rPr>
                <w:rFonts w:ascii="Calibri" w:eastAsia="宋体" w:hAnsi="Calibri" w:cs="Times New Roman" w:hint="eastAsia"/>
                <w:szCs w:val="21"/>
              </w:rPr>
              <w:t>代理商应提交资料</w:t>
            </w:r>
          </w:p>
        </w:tc>
        <w:tc>
          <w:tcPr>
            <w:tcW w:w="5209" w:type="dxa"/>
            <w:noWrap w:val="0"/>
            <w:vAlign w:val="center"/>
          </w:tcPr>
          <w:p>
            <w:pPr>
              <w:rPr>
                <w:rFonts w:ascii="宋体" w:eastAsia="宋体" w:hAnsi="宋体" w:cs="微软雅黑"/>
                <w:b/>
                <w:color w:val="0000FF"/>
                <w:kern w:val="0"/>
                <w:szCs w:val="21"/>
              </w:rPr>
            </w:pPr>
            <w:r>
              <w:rPr>
                <w:rFonts w:ascii="宋体" w:eastAsia="宋体" w:hAnsi="宋体" w:cs="微软雅黑" w:hint="eastAsia"/>
                <w:kern w:val="0"/>
                <w:szCs w:val="21"/>
              </w:rPr>
              <w:t>进口产品制造商授权书</w:t>
            </w:r>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Calibri" w:eastAsia="宋体" w:hAnsi="Calibri" w:cs="Times New Roman"/>
              </w:rPr>
            </w:pPr>
            <w:r>
              <w:rPr>
                <w:rFonts w:ascii="Calibri" w:eastAsia="宋体" w:hAnsi="Calibri" w:cs="Times New Roman" w:hint="eastAsia"/>
                <w:szCs w:val="22"/>
              </w:rPr>
              <w:t>5.8</w:t>
            </w:r>
          </w:p>
        </w:tc>
        <w:tc>
          <w:tcPr>
            <w:tcW w:w="1418" w:type="dxa"/>
            <w:noWrap w:val="0"/>
            <w:vAlign w:val="center"/>
          </w:tcPr>
          <w:p>
            <w:pPr>
              <w:rPr>
                <w:rFonts w:ascii="Calibri" w:eastAsia="宋体" w:hAnsi="Calibri" w:cs="Times New Roman"/>
              </w:rPr>
            </w:pPr>
            <w:r>
              <w:rPr>
                <w:rFonts w:ascii="Calibri" w:eastAsia="宋体" w:hAnsi="Calibri" w:cs="Times New Roman" w:hint="eastAsia"/>
                <w:szCs w:val="22"/>
              </w:rPr>
              <w:t>1.6.1</w:t>
            </w:r>
          </w:p>
        </w:tc>
        <w:tc>
          <w:tcPr>
            <w:tcW w:w="1701" w:type="dxa"/>
            <w:noWrap w:val="0"/>
            <w:vAlign w:val="center"/>
          </w:tcPr>
          <w:p>
            <w:pPr>
              <w:rPr>
                <w:rFonts w:ascii="Calibri" w:eastAsia="宋体" w:hAnsi="Calibri" w:cs="Times New Roman"/>
              </w:rPr>
            </w:pPr>
            <w:r>
              <w:rPr>
                <w:rFonts w:ascii="Calibri" w:eastAsia="宋体" w:hAnsi="Calibri" w:cs="Times New Roman" w:hint="eastAsia"/>
                <w:szCs w:val="22"/>
              </w:rPr>
              <w:t>采购标的对应的中小企业划分标准所属行业</w:t>
            </w:r>
          </w:p>
        </w:tc>
        <w:tc>
          <w:tcPr>
            <w:tcW w:w="5209" w:type="dxa"/>
            <w:noWrap w:val="0"/>
            <w:vAlign w:val="center"/>
          </w:tcPr>
          <w:p>
            <w:pPr>
              <w:rPr>
                <w:rFonts w:ascii="Calibri" w:eastAsia="宋体" w:hAnsi="Calibri" w:cs="Times New Roman"/>
              </w:rPr>
            </w:pPr>
            <w:r>
              <w:rPr>
                <w:rFonts w:ascii="Calibri" w:eastAsia="宋体" w:hAnsi="Calibri" w:cs="Times New Roman" w:hint="eastAsia"/>
                <w:szCs w:val="22"/>
              </w:rPr>
              <w:t>所属行业划分标准为：《关于印发中小企业划型标准规定的通知》（工信部联企业〔2011〕300号）</w:t>
            </w:r>
          </w:p>
          <w:p>
            <w:pPr>
              <w:rPr>
                <w:rFonts w:ascii="宋体" w:hAnsi="宋体" w:cs="微软雅黑" w:hint="eastAsia"/>
                <w:kern w:val="0"/>
                <w:szCs w:val="21"/>
              </w:rPr>
            </w:pPr>
            <w:bookmarkStart w:id="44" w:name="行业_smeIndustryClassification"/>
            <w:r>
              <w:rPr>
                <w:rFonts w:ascii="宋体" w:hAnsi="宋体" w:cs="微软雅黑" w:hint="eastAsia"/>
                <w:kern w:val="0"/>
                <w:szCs w:val="21"/>
              </w:rPr>
              <w:t>软件和信息技术服务业</w:t>
            </w:r>
            <w:bookmarkEnd w:id="44"/>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rPr>
            </w:pPr>
            <w:r>
              <w:rPr>
                <w:rFonts w:ascii="Times New Roman" w:eastAsia="宋体" w:hAnsi="Times New Roman" w:cs="Times New Roman" w:hint="eastAsia"/>
                <w:szCs w:val="21"/>
              </w:rPr>
              <w:t>5.9</w:t>
            </w:r>
          </w:p>
        </w:tc>
        <w:tc>
          <w:tcPr>
            <w:tcW w:w="1418" w:type="dxa"/>
            <w:noWrap w:val="0"/>
            <w:vAlign w:val="center"/>
          </w:tcPr>
          <w:p>
            <w:pPr>
              <w:rPr>
                <w:rFonts w:ascii="Times New Roman" w:eastAsia="宋体" w:hAnsi="Times New Roman" w:cs="Times New Roman"/>
                <w:szCs w:val="21"/>
              </w:rPr>
            </w:pPr>
            <w:r>
              <w:rPr>
                <w:rFonts w:ascii="Calibri" w:eastAsia="宋体" w:hAnsi="Calibri" w:cs="Times New Roman" w:hint="eastAsia"/>
                <w:szCs w:val="21"/>
              </w:rPr>
              <w:t>1.6.3</w:t>
            </w:r>
          </w:p>
        </w:tc>
        <w:tc>
          <w:tcPr>
            <w:tcW w:w="1701" w:type="dxa"/>
            <w:noWrap w:val="0"/>
            <w:vAlign w:val="center"/>
          </w:tcPr>
          <w:p>
            <w:pPr>
              <w:rPr>
                <w:rFonts w:ascii="Times New Roman" w:eastAsia="宋体" w:hAnsi="Times New Roman" w:cs="Times New Roman"/>
                <w:szCs w:val="21"/>
              </w:rPr>
            </w:pPr>
            <w:r>
              <w:rPr>
                <w:rFonts w:ascii="Calibri" w:eastAsia="宋体" w:hAnsi="Calibri" w:cs="Times New Roman" w:hint="eastAsia"/>
                <w:szCs w:val="21"/>
                <w:highlight w:val="yellow"/>
              </w:rPr>
              <w:t>是否预留采购份额面向中小企业采购</w:t>
            </w:r>
          </w:p>
        </w:tc>
        <w:tc>
          <w:tcPr>
            <w:tcW w:w="5209" w:type="dxa"/>
            <w:noWrap w:val="0"/>
            <w:vAlign w:val="center"/>
          </w:tcPr>
          <w:p>
            <w:pPr>
              <w:rPr>
                <w:rFonts w:ascii="宋体" w:hAnsi="宋体" w:cs="微软雅黑" w:hint="eastAsia"/>
                <w:kern w:val="0"/>
                <w:szCs w:val="21"/>
                <w:highlight w:val="yellow"/>
              </w:rPr>
            </w:pPr>
            <w:bookmarkStart w:id="45" w:name="中小企业_minorEnterprisesFlagText"/>
            <w:r>
              <w:rPr>
                <w:rFonts w:ascii="Wingdings 2" w:hAnsi="Wingdings 2" w:cs="微软雅黑" w:hint="eastAsia"/>
                <w:kern w:val="0"/>
                <w:szCs w:val="21"/>
                <w:lang w:eastAsia="zh-CN"/>
              </w:rPr>
              <w:t>否</w:t>
            </w:r>
            <w:bookmarkEnd w:id="45"/>
          </w:p>
        </w:tc>
      </w:tr>
      <w:tr>
        <w:tblPrEx>
          <w:tblW w:w="9003" w:type="dxa"/>
          <w:tblInd w:w="0" w:type="dxa"/>
          <w:tblLayout w:type="fixed"/>
          <w:tblCellMar>
            <w:top w:w="0" w:type="dxa"/>
            <w:left w:w="108" w:type="dxa"/>
            <w:bottom w:w="0" w:type="dxa"/>
            <w:right w:w="108" w:type="dxa"/>
          </w:tblCellMar>
        </w:tblPrEx>
        <w:tc>
          <w:tcPr>
            <w:tcW w:w="675" w:type="dxa"/>
            <w:noWrap w:val="0"/>
            <w:vAlign w:val="center"/>
          </w:tcPr>
          <w:p>
            <w:pPr>
              <w:rPr>
                <w:rFonts w:ascii="Times New Roman" w:eastAsia="宋体" w:hAnsi="Times New Roman" w:cs="Times New Roman"/>
                <w:szCs w:val="21"/>
              </w:rPr>
            </w:pPr>
            <w:r>
              <w:rPr>
                <w:rFonts w:ascii="Times New Roman" w:eastAsia="宋体" w:hAnsi="Times New Roman" w:cs="Times New Roman" w:hint="eastAsia"/>
                <w:szCs w:val="21"/>
              </w:rPr>
              <w:t>5.10</w:t>
            </w:r>
          </w:p>
        </w:tc>
        <w:tc>
          <w:tcPr>
            <w:tcW w:w="1418" w:type="dxa"/>
            <w:noWrap w:val="0"/>
            <w:vAlign w:val="center"/>
          </w:tcPr>
          <w:p>
            <w:pPr>
              <w:rPr>
                <w:rFonts w:ascii="Times New Roman" w:eastAsia="宋体" w:hAnsi="Times New Roman" w:cs="Times New Roman"/>
                <w:szCs w:val="21"/>
              </w:rPr>
            </w:pPr>
            <w:r>
              <w:rPr>
                <w:rFonts w:ascii="Times New Roman" w:eastAsia="宋体" w:hAnsi="Times New Roman" w:cs="Times New Roman" w:hint="eastAsia"/>
                <w:szCs w:val="21"/>
              </w:rPr>
              <w:t>1.9.2</w:t>
            </w:r>
          </w:p>
        </w:tc>
        <w:tc>
          <w:tcPr>
            <w:tcW w:w="1701" w:type="dxa"/>
            <w:noWrap w:val="0"/>
            <w:vAlign w:val="center"/>
          </w:tcPr>
          <w:p>
            <w:pPr>
              <w:rPr>
                <w:rFonts w:ascii="Times New Roman" w:eastAsia="宋体" w:hAnsi="Times New Roman" w:cs="Times New Roman"/>
                <w:szCs w:val="21"/>
              </w:rPr>
            </w:pPr>
            <w:r>
              <w:rPr>
                <w:rFonts w:ascii="Times New Roman" w:eastAsia="宋体" w:hAnsi="Times New Roman" w:cs="Times New Roman" w:hint="eastAsia"/>
                <w:szCs w:val="21"/>
              </w:rPr>
              <w:t>中标人是否交纳</w:t>
            </w:r>
            <w:r>
              <w:rPr>
                <w:rFonts w:ascii="Times New Roman" w:eastAsia="宋体" w:hAnsi="Times New Roman" w:cs="Times New Roman" w:hint="eastAsia"/>
                <w:szCs w:val="21"/>
                <w:highlight w:val="green"/>
              </w:rPr>
              <w:t>代理服务费</w:t>
            </w:r>
          </w:p>
        </w:tc>
        <w:tc>
          <w:tcPr>
            <w:tcW w:w="5209" w:type="dxa"/>
            <w:noWrap w:val="0"/>
            <w:vAlign w:val="center"/>
          </w:tcPr>
          <w:p>
            <w:pPr>
              <w:rPr>
                <w:rFonts w:ascii="宋体" w:eastAsia="宋体" w:hAnsi="宋体" w:cs="微软雅黑"/>
                <w:kern w:val="0"/>
                <w:szCs w:val="21"/>
              </w:rPr>
            </w:pPr>
            <w:bookmarkStart w:id="46" w:name="代理服务费_agentAmountText"/>
            <w:r>
              <w:rPr>
                <w:rFonts w:ascii="宋体" w:eastAsia="宋体" w:hAnsi="宋体" w:cs="微软雅黑" w:hint="eastAsia"/>
                <w:kern w:val="0"/>
                <w:szCs w:val="21"/>
              </w:rPr>
              <w:t>是，代理服务费：3.0万元。</w:t>
            </w:r>
            <w:bookmarkEnd w:id="46"/>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rPr>
            </w:pPr>
            <w:r>
              <w:rPr>
                <w:rFonts w:ascii="Calibri" w:eastAsia="宋体" w:hAnsi="Calibri" w:cs="Times New Roman" w:hint="eastAsia"/>
                <w:szCs w:val="22"/>
              </w:rPr>
              <w:t>5</w:t>
            </w:r>
            <w:r>
              <w:rPr>
                <w:rFonts w:ascii="Calibri" w:eastAsia="宋体" w:hAnsi="Calibri" w:cs="Times New Roman"/>
                <w:szCs w:val="22"/>
              </w:rPr>
              <w:t>.</w:t>
            </w:r>
            <w:r>
              <w:rPr>
                <w:rFonts w:ascii="Calibri" w:eastAsia="宋体" w:hAnsi="Calibri" w:cs="Times New Roman" w:hint="eastAsia"/>
                <w:szCs w:val="22"/>
              </w:rPr>
              <w:t>11</w:t>
            </w:r>
          </w:p>
        </w:tc>
        <w:tc>
          <w:tcPr>
            <w:tcW w:w="1418" w:type="dxa"/>
            <w:noWrap w:val="0"/>
            <w:vAlign w:val="top"/>
          </w:tcPr>
          <w:p>
            <w:pPr>
              <w:rPr>
                <w:rFonts w:ascii="Calibri" w:eastAsia="宋体" w:hAnsi="Calibri" w:cs="Times New Roman"/>
              </w:rPr>
            </w:pPr>
            <w:r>
              <w:rPr>
                <w:rFonts w:ascii="Calibri" w:eastAsia="宋体" w:hAnsi="Calibri" w:cs="Times New Roman"/>
                <w:szCs w:val="22"/>
              </w:rPr>
              <w:t>1.1</w:t>
            </w:r>
            <w:r>
              <w:rPr>
                <w:rFonts w:ascii="Calibri" w:eastAsia="宋体" w:hAnsi="Calibri" w:cs="Times New Roman" w:hint="eastAsia"/>
                <w:szCs w:val="22"/>
              </w:rPr>
              <w:t>2</w:t>
            </w:r>
            <w:r>
              <w:rPr>
                <w:rFonts w:ascii="Calibri" w:eastAsia="宋体" w:hAnsi="Calibri" w:cs="Times New Roman"/>
                <w:szCs w:val="22"/>
              </w:rPr>
              <w:t>.7</w:t>
            </w:r>
          </w:p>
        </w:tc>
        <w:tc>
          <w:tcPr>
            <w:tcW w:w="1701" w:type="dxa"/>
            <w:noWrap w:val="0"/>
            <w:vAlign w:val="top"/>
          </w:tcPr>
          <w:p>
            <w:pPr>
              <w:rPr>
                <w:rFonts w:ascii="Calibri" w:eastAsia="宋体" w:hAnsi="Calibri" w:cs="Times New Roman"/>
              </w:rPr>
            </w:pPr>
            <w:r>
              <w:rPr>
                <w:rFonts w:ascii="Calibri" w:eastAsia="宋体" w:hAnsi="Calibri" w:cs="Times New Roman" w:hint="eastAsia"/>
                <w:szCs w:val="22"/>
              </w:rPr>
              <w:t>是否组织现场考察或开标前答疑会</w:t>
            </w:r>
          </w:p>
        </w:tc>
        <w:tc>
          <w:tcPr>
            <w:tcW w:w="5209" w:type="dxa"/>
            <w:noWrap w:val="0"/>
            <w:vAlign w:val="top"/>
          </w:tcPr>
          <w:p>
            <w:pPr>
              <w:rPr>
                <w:rFonts w:ascii="宋体" w:hAnsi="宋体" w:cs="微软雅黑" w:hint="eastAsia"/>
                <w:kern w:val="0"/>
                <w:szCs w:val="21"/>
              </w:rPr>
            </w:pPr>
            <w:bookmarkStart w:id="47" w:name="答疑会_answeringQuestionFlagText"/>
            <w:r>
              <w:rPr>
                <w:rFonts w:ascii="宋体" w:hAnsi="宋体" w:cs="微软雅黑" w:hint="eastAsia"/>
                <w:kern w:val="0"/>
                <w:szCs w:val="21"/>
              </w:rPr>
              <w:t>是（时间：2025-09-0</w:t>
            </w:r>
            <w:r>
              <w:rPr>
                <w:rFonts w:ascii="宋体" w:hAnsi="宋体" w:cs="微软雅黑" w:hint="eastAsia"/>
                <w:kern w:val="0"/>
                <w:szCs w:val="21"/>
                <w:lang w:val="en-US" w:eastAsia="zh-CN"/>
              </w:rPr>
              <w:t>8</w:t>
            </w:r>
            <w:r>
              <w:rPr>
                <w:rFonts w:ascii="宋体" w:hAnsi="宋体" w:cs="微软雅黑" w:hint="eastAsia"/>
                <w:kern w:val="0"/>
                <w:szCs w:val="21"/>
              </w:rPr>
              <w:t xml:space="preserve"> 14:30:00 地点：北京市海淀区中关村南大街46号北区2号楼 联系人：孔令军 联系方式：010-68408624）</w:t>
            </w:r>
            <w:bookmarkEnd w:id="47"/>
            <w:bookmarkStart w:id="48" w:name="_GoBack"/>
            <w:bookmarkEnd w:id="48"/>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rPr>
            </w:pPr>
            <w:r>
              <w:rPr>
                <w:rFonts w:ascii="Calibri" w:eastAsia="宋体" w:hAnsi="Calibri" w:cs="Times New Roman" w:hint="eastAsia"/>
                <w:szCs w:val="22"/>
              </w:rPr>
              <w:t>5</w:t>
            </w:r>
            <w:r>
              <w:rPr>
                <w:rFonts w:ascii="Calibri" w:eastAsia="宋体" w:hAnsi="Calibri" w:cs="Times New Roman"/>
                <w:szCs w:val="22"/>
              </w:rPr>
              <w:t>.</w:t>
            </w:r>
            <w:r>
              <w:rPr>
                <w:rFonts w:ascii="Calibri" w:eastAsia="宋体" w:hAnsi="Calibri" w:cs="Times New Roman" w:hint="eastAsia"/>
                <w:szCs w:val="22"/>
              </w:rPr>
              <w:t>12</w:t>
            </w:r>
          </w:p>
        </w:tc>
        <w:tc>
          <w:tcPr>
            <w:tcW w:w="1418" w:type="dxa"/>
            <w:noWrap w:val="0"/>
            <w:vAlign w:val="top"/>
          </w:tcPr>
          <w:p>
            <w:pPr>
              <w:rPr>
                <w:rFonts w:ascii="Calibri" w:eastAsia="宋体" w:hAnsi="Calibri" w:cs="Times New Roman"/>
              </w:rPr>
            </w:pPr>
            <w:r>
              <w:rPr>
                <w:rFonts w:ascii="Calibri" w:eastAsia="宋体" w:hAnsi="Calibri" w:cs="Times New Roman" w:hint="eastAsia"/>
                <w:szCs w:val="22"/>
              </w:rPr>
              <w:t>1.14.2、1.14.3</w:t>
            </w:r>
          </w:p>
        </w:tc>
        <w:tc>
          <w:tcPr>
            <w:tcW w:w="1701" w:type="dxa"/>
            <w:noWrap w:val="0"/>
            <w:vAlign w:val="top"/>
          </w:tcPr>
          <w:p>
            <w:pPr>
              <w:rPr>
                <w:rFonts w:ascii="Calibri" w:eastAsia="宋体" w:hAnsi="Calibri" w:cs="Times New Roman"/>
              </w:rPr>
            </w:pPr>
            <w:r>
              <w:rPr>
                <w:rFonts w:ascii="Calibri" w:eastAsia="宋体" w:hAnsi="Calibri" w:cs="Times New Roman" w:hint="eastAsia"/>
                <w:szCs w:val="21"/>
              </w:rPr>
              <w:t>投标人应提交其他商务文件和技术文件</w:t>
            </w:r>
          </w:p>
        </w:tc>
        <w:tc>
          <w:tcPr>
            <w:tcW w:w="5209" w:type="dxa"/>
            <w:noWrap w:val="0"/>
            <w:vAlign w:val="top"/>
          </w:tcPr>
          <w:p>
            <w:pPr>
              <w:rPr>
                <w:rFonts w:ascii="宋体" w:eastAsia="宋体" w:hAnsi="宋体" w:cs="微软雅黑"/>
                <w:kern w:val="0"/>
                <w:szCs w:val="21"/>
              </w:rPr>
            </w:pPr>
            <w:r>
              <w:rPr>
                <w:rFonts w:ascii="宋体" w:eastAsia="宋体" w:hAnsi="宋体" w:cs="微软雅黑" w:hint="eastAsia"/>
                <w:kern w:val="0"/>
                <w:szCs w:val="21"/>
              </w:rPr>
              <w:t>除通用册投标人须知要求提交的商务和技术文件外，投标人还应提交下列商务和技术文件：</w:t>
            </w:r>
          </w:p>
          <w:p>
            <w:pPr>
              <w:rPr>
                <w:rFonts w:ascii="Calibri" w:eastAsia="宋体" w:hAnsi="Calibri" w:cs="Times New Roman"/>
              </w:rPr>
            </w:pPr>
            <w:r>
              <w:rPr>
                <w:rFonts w:ascii="宋体" w:eastAsia="宋体" w:hAnsi="宋体" w:cs="微软雅黑" w:hint="eastAsia"/>
                <w:kern w:val="0"/>
                <w:szCs w:val="21"/>
              </w:rPr>
              <w:t>无</w:t>
            </w:r>
          </w:p>
        </w:tc>
      </w:tr>
      <w:tr>
        <w:tblPrEx>
          <w:tblW w:w="9003" w:type="dxa"/>
          <w:tblInd w:w="0" w:type="dxa"/>
          <w:tblLayout w:type="fixed"/>
          <w:tblCellMar>
            <w:top w:w="0" w:type="dxa"/>
            <w:left w:w="108" w:type="dxa"/>
            <w:bottom w:w="0" w:type="dxa"/>
            <w:right w:w="108" w:type="dxa"/>
          </w:tblCellMar>
        </w:tblPrEx>
        <w:trPr>
          <w:trHeight w:val="650"/>
        </w:trPr>
        <w:tc>
          <w:tcPr>
            <w:tcW w:w="675" w:type="dxa"/>
            <w:noWrap w:val="0"/>
            <w:vAlign w:val="center"/>
          </w:tcPr>
          <w:p>
            <w:pPr>
              <w:rPr>
                <w:rFonts w:ascii="Times New Roman" w:eastAsia="宋体" w:hAnsi="Times New Roman" w:cs="Times New Roman"/>
                <w:szCs w:val="21"/>
              </w:rPr>
            </w:pPr>
            <w:r>
              <w:rPr>
                <w:rFonts w:ascii="Times New Roman" w:eastAsia="宋体" w:hAnsi="Times New Roman" w:cs="Times New Roman" w:hint="eastAsia"/>
                <w:szCs w:val="21"/>
              </w:rPr>
              <w:t>5.13</w:t>
            </w:r>
          </w:p>
        </w:tc>
        <w:tc>
          <w:tcPr>
            <w:tcW w:w="1418" w:type="dxa"/>
            <w:noWrap w:val="0"/>
            <w:vAlign w:val="center"/>
          </w:tcPr>
          <w:p>
            <w:pPr>
              <w:rPr>
                <w:rFonts w:ascii="Times New Roman" w:eastAsia="宋体" w:hAnsi="Times New Roman" w:cs="Times New Roman"/>
                <w:szCs w:val="21"/>
              </w:rPr>
            </w:pPr>
            <w:r>
              <w:rPr>
                <w:rFonts w:ascii="Times New Roman" w:eastAsia="宋体" w:hAnsi="Times New Roman" w:cs="Times New Roman" w:hint="eastAsia"/>
                <w:szCs w:val="21"/>
              </w:rPr>
              <w:t>1.16.1</w:t>
            </w:r>
          </w:p>
        </w:tc>
        <w:tc>
          <w:tcPr>
            <w:tcW w:w="1701" w:type="dxa"/>
            <w:noWrap w:val="0"/>
            <w:vAlign w:val="center"/>
          </w:tcPr>
          <w:p>
            <w:pPr>
              <w:rPr>
                <w:rFonts w:ascii="Times New Roman" w:eastAsia="宋体" w:hAnsi="Times New Roman" w:cs="Times New Roman"/>
                <w:szCs w:val="21"/>
              </w:rPr>
            </w:pPr>
            <w:r>
              <w:rPr>
                <w:rFonts w:ascii="Times New Roman" w:eastAsia="宋体" w:hAnsi="Times New Roman" w:cs="Times New Roman" w:hint="eastAsia"/>
                <w:szCs w:val="21"/>
              </w:rPr>
              <w:t>本次招标是否需要提交投标保证金</w:t>
            </w:r>
          </w:p>
        </w:tc>
        <w:tc>
          <w:tcPr>
            <w:tcW w:w="5209" w:type="dxa"/>
            <w:noWrap w:val="0"/>
            <w:vAlign w:val="center"/>
          </w:tcPr>
          <w:p>
            <w:pPr>
              <w:rPr>
                <w:rFonts w:asciiTheme="minorEastAsia" w:hAnsiTheme="minorEastAsia" w:cstheme="minorEastAsia" w:hint="eastAsia"/>
                <w:kern w:val="0"/>
                <w:szCs w:val="21"/>
              </w:rPr>
            </w:pPr>
            <w:bookmarkStart w:id="49" w:name="标保证金_bailFlagText"/>
            <w:r>
              <w:rPr>
                <w:rFonts w:asciiTheme="minorEastAsia" w:eastAsiaTheme="minorEastAsia" w:hAnsiTheme="minorEastAsia" w:cstheme="minorEastAsia" w:hint="eastAsia"/>
                <w:kern w:val="0"/>
                <w:szCs w:val="21"/>
              </w:rPr>
              <w:t>否</w:t>
            </w:r>
            <w:bookmarkEnd w:id="49"/>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hint="eastAsia"/>
                <w:szCs w:val="21"/>
              </w:rPr>
            </w:pPr>
            <w:r>
              <w:rPr>
                <w:rFonts w:ascii="Times New Roman" w:eastAsia="宋体" w:hAnsi="Times New Roman" w:cs="Times New Roman" w:hint="eastAsia"/>
                <w:szCs w:val="21"/>
              </w:rPr>
              <w:t>5.14</w:t>
            </w:r>
          </w:p>
        </w:tc>
        <w:tc>
          <w:tcPr>
            <w:tcW w:w="1418" w:type="dxa"/>
            <w:noWrap w:val="0"/>
            <w:vAlign w:val="center"/>
          </w:tcPr>
          <w:p>
            <w:pPr>
              <w:rPr>
                <w:rFonts w:ascii="Times New Roman" w:eastAsia="宋体" w:hAnsi="Times New Roman" w:cs="Times New Roman" w:hint="eastAsia"/>
                <w:szCs w:val="21"/>
              </w:rPr>
            </w:pPr>
            <w:r>
              <w:rPr>
                <w:rFonts w:ascii="Times New Roman" w:eastAsia="宋体" w:hAnsi="Times New Roman" w:cs="Times New Roman" w:hint="eastAsia"/>
                <w:szCs w:val="21"/>
              </w:rPr>
              <w:t>1.17.2</w:t>
            </w:r>
          </w:p>
        </w:tc>
        <w:tc>
          <w:tcPr>
            <w:tcW w:w="1701" w:type="dxa"/>
            <w:noWrap w:val="0"/>
            <w:vAlign w:val="center"/>
          </w:tcPr>
          <w:p>
            <w:pPr>
              <w:rPr>
                <w:rFonts w:ascii="Times New Roman" w:eastAsia="宋体" w:hAnsi="Times New Roman" w:cs="Times New Roman" w:hint="eastAsia"/>
                <w:szCs w:val="21"/>
              </w:rPr>
            </w:pPr>
            <w:r>
              <w:rPr>
                <w:rFonts w:ascii="Times New Roman" w:eastAsia="宋体" w:hAnsi="Times New Roman" w:cs="Times New Roman" w:hint="eastAsia"/>
                <w:szCs w:val="21"/>
              </w:rPr>
              <w:t>项目预算</w:t>
            </w:r>
          </w:p>
        </w:tc>
        <w:tc>
          <w:tcPr>
            <w:tcW w:w="5209" w:type="dxa"/>
            <w:noWrap w:val="0"/>
            <w:vAlign w:val="center"/>
          </w:tcPr>
          <w:p>
            <w:pPr>
              <w:rPr>
                <w:rFonts w:ascii="宋体" w:eastAsia="宋体" w:hAnsi="宋体" w:cs="微软雅黑"/>
                <w:kern w:val="0"/>
                <w:szCs w:val="21"/>
              </w:rPr>
            </w:pPr>
            <w:r>
              <w:rPr>
                <w:rFonts w:ascii="Times New Roman" w:eastAsia="宋体" w:hAnsi="Times New Roman" w:cs="Times New Roman" w:hint="eastAsia"/>
                <w:szCs w:val="21"/>
              </w:rPr>
              <w:t>本项目采购预算（或最高限价）为人民币</w:t>
            </w:r>
            <w:r>
              <w:rPr>
                <w:rFonts w:ascii="宋体" w:eastAsia="宋体" w:hAnsi="宋体" w:cs="微软雅黑" w:hint="eastAsia"/>
                <w:kern w:val="0"/>
                <w:szCs w:val="21"/>
              </w:rPr>
              <w:t xml:space="preserve">  </w:t>
            </w:r>
            <w:r>
              <w:rPr>
                <w:rFonts w:ascii="宋体" w:hAnsi="宋体" w:cs="微软雅黑" w:hint="eastAsia"/>
                <w:kern w:val="0"/>
                <w:szCs w:val="21"/>
              </w:rPr>
              <w:t xml:space="preserve"> </w:t>
            </w:r>
            <w:bookmarkStart w:id="50" w:name="预算金额_budgetAmount"/>
            <w:r>
              <w:rPr>
                <w:rFonts w:ascii="宋体" w:hAnsi="宋体" w:cs="微软雅黑" w:hint="eastAsia"/>
                <w:kern w:val="0"/>
                <w:szCs w:val="21"/>
              </w:rPr>
              <w:t>289.400000</w:t>
            </w:r>
            <w:bookmarkEnd w:id="50"/>
            <w:r>
              <w:rPr>
                <w:rFonts w:ascii="宋体" w:hAnsi="宋体" w:cs="微软雅黑" w:hint="eastAsia"/>
                <w:kern w:val="0"/>
                <w:szCs w:val="21"/>
              </w:rPr>
              <w:t>万</w:t>
            </w:r>
            <w:r>
              <w:rPr>
                <w:rFonts w:ascii="宋体" w:eastAsia="宋体" w:hAnsi="宋体" w:cs="微软雅黑" w:hint="eastAsia"/>
                <w:kern w:val="0"/>
                <w:szCs w:val="21"/>
              </w:rPr>
              <w:t>元</w:t>
            </w:r>
            <w:r>
              <w:rPr>
                <w:rFonts w:ascii="Times New Roman" w:eastAsia="宋体" w:hAnsi="Times New Roman" w:cs="Times New Roman" w:hint="eastAsia"/>
                <w:szCs w:val="21"/>
              </w:rPr>
              <w:t>。</w:t>
            </w:r>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szCs w:val="21"/>
              </w:rPr>
            </w:pPr>
            <w:r>
              <w:rPr>
                <w:rFonts w:ascii="Times New Roman" w:eastAsia="宋体" w:hAnsi="Times New Roman" w:cs="Times New Roman" w:hint="eastAsia"/>
                <w:szCs w:val="21"/>
              </w:rPr>
              <w:t>5.15</w:t>
            </w:r>
          </w:p>
        </w:tc>
        <w:tc>
          <w:tcPr>
            <w:tcW w:w="1418" w:type="dxa"/>
            <w:noWrap w:val="0"/>
            <w:vAlign w:val="center"/>
          </w:tcPr>
          <w:p>
            <w:pPr>
              <w:rPr>
                <w:rFonts w:ascii="Times New Roman" w:eastAsia="宋体" w:hAnsi="Times New Roman" w:cs="Times New Roman"/>
                <w:szCs w:val="21"/>
              </w:rPr>
            </w:pPr>
            <w:r>
              <w:rPr>
                <w:rFonts w:ascii="Times New Roman" w:eastAsia="宋体" w:hAnsi="Times New Roman" w:cs="Times New Roman" w:hint="eastAsia"/>
                <w:szCs w:val="21"/>
              </w:rPr>
              <w:t>1.18.1</w:t>
            </w:r>
          </w:p>
        </w:tc>
        <w:tc>
          <w:tcPr>
            <w:tcW w:w="1701" w:type="dxa"/>
            <w:noWrap w:val="0"/>
            <w:vAlign w:val="center"/>
          </w:tcPr>
          <w:p>
            <w:pPr>
              <w:rPr>
                <w:rFonts w:ascii="Times New Roman" w:eastAsia="宋体" w:hAnsi="Times New Roman" w:cs="Times New Roman"/>
                <w:szCs w:val="21"/>
              </w:rPr>
            </w:pPr>
            <w:r>
              <w:rPr>
                <w:rFonts w:ascii="Times New Roman" w:eastAsia="宋体" w:hAnsi="Times New Roman" w:cs="Times New Roman" w:hint="eastAsia"/>
                <w:szCs w:val="21"/>
              </w:rPr>
              <w:t>是否允许投标人将项目非主体、非关键性工作交由他人完成</w:t>
            </w:r>
          </w:p>
        </w:tc>
        <w:tc>
          <w:tcPr>
            <w:tcW w:w="5209" w:type="dxa"/>
            <w:noWrap w:val="0"/>
            <w:vAlign w:val="center"/>
          </w:tcPr>
          <w:p>
            <w:pPr>
              <w:rPr>
                <w:rFonts w:ascii="宋体" w:hAnsi="宋体" w:cs="微软雅黑" w:hint="eastAsia"/>
                <w:kern w:val="0"/>
                <w:szCs w:val="21"/>
              </w:rPr>
            </w:pPr>
            <w:bookmarkStart w:id="51" w:name="关键性工作_entrustingOthersFlagText"/>
            <w:r>
              <w:rPr>
                <w:rFonts w:ascii="Wingdings 2" w:hAnsi="Wingdings 2" w:cs="微软雅黑"/>
                <w:kern w:val="0"/>
                <w:szCs w:val="21"/>
              </w:rPr>
              <w:t>不允许</w:t>
            </w:r>
            <w:bookmarkEnd w:id="51"/>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rPr>
            </w:pPr>
            <w:r>
              <w:rPr>
                <w:rFonts w:ascii="Times New Roman" w:eastAsia="宋体" w:hAnsi="Times New Roman" w:cs="Times New Roman" w:hint="eastAsia"/>
                <w:szCs w:val="21"/>
              </w:rPr>
              <w:t>5.16</w:t>
            </w:r>
          </w:p>
        </w:tc>
        <w:tc>
          <w:tcPr>
            <w:tcW w:w="1418" w:type="dxa"/>
            <w:noWrap w:val="0"/>
            <w:vAlign w:val="center"/>
          </w:tcPr>
          <w:p>
            <w:pPr>
              <w:rPr>
                <w:rFonts w:ascii="Times New Roman" w:eastAsia="宋体" w:hAnsi="Times New Roman" w:cs="Times New Roman"/>
                <w:szCs w:val="21"/>
              </w:rPr>
            </w:pPr>
            <w:r>
              <w:rPr>
                <w:rFonts w:ascii="Times New Roman" w:eastAsia="宋体" w:hAnsi="Times New Roman" w:cs="Times New Roman" w:hint="eastAsia"/>
                <w:szCs w:val="21"/>
              </w:rPr>
              <w:t>1.20.1</w:t>
            </w:r>
          </w:p>
        </w:tc>
        <w:tc>
          <w:tcPr>
            <w:tcW w:w="1701" w:type="dxa"/>
            <w:noWrap w:val="0"/>
            <w:vAlign w:val="center"/>
          </w:tcPr>
          <w:p>
            <w:pPr>
              <w:rPr>
                <w:rFonts w:ascii="Times New Roman" w:eastAsia="宋体" w:hAnsi="Times New Roman" w:cs="Times New Roman"/>
                <w:szCs w:val="21"/>
              </w:rPr>
            </w:pPr>
            <w:r>
              <w:rPr>
                <w:rFonts w:ascii="Times New Roman" w:eastAsia="宋体" w:hAnsi="Times New Roman" w:cs="Times New Roman" w:hint="eastAsia"/>
                <w:szCs w:val="21"/>
              </w:rPr>
              <w:t>投标有效期</w:t>
            </w:r>
          </w:p>
        </w:tc>
        <w:tc>
          <w:tcPr>
            <w:tcW w:w="5209" w:type="dxa"/>
            <w:noWrap w:val="0"/>
            <w:vAlign w:val="center"/>
          </w:tcPr>
          <w:p>
            <w:pPr>
              <w:rPr>
                <w:rFonts w:ascii="Times New Roman" w:eastAsia="宋体" w:hAnsi="Times New Roman" w:cs="Times New Roman"/>
                <w:szCs w:val="21"/>
              </w:rPr>
            </w:pPr>
            <w:bookmarkStart w:id="52" w:name="投标有效期_bidExpirationDate"/>
            <w:r>
              <w:rPr>
                <w:rFonts w:ascii="宋体" w:hAnsi="宋体" w:cs="微软雅黑" w:hint="eastAsia"/>
                <w:kern w:val="0"/>
                <w:szCs w:val="21"/>
              </w:rPr>
              <w:t>120日历天</w:t>
            </w:r>
            <w:bookmarkEnd w:id="52"/>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rPr>
            </w:pPr>
            <w:r>
              <w:rPr>
                <w:rFonts w:ascii="Times New Roman" w:eastAsia="宋体" w:hAnsi="Times New Roman" w:cs="Times New Roman" w:hint="eastAsia"/>
                <w:szCs w:val="21"/>
              </w:rPr>
              <w:t>5.17</w:t>
            </w:r>
          </w:p>
        </w:tc>
        <w:tc>
          <w:tcPr>
            <w:tcW w:w="1418" w:type="dxa"/>
            <w:noWrap w:val="0"/>
            <w:vAlign w:val="center"/>
          </w:tcPr>
          <w:p>
            <w:pPr>
              <w:rPr>
                <w:rFonts w:ascii="Times New Roman" w:eastAsia="宋体" w:hAnsi="Times New Roman" w:cs="Times New Roman"/>
                <w:szCs w:val="21"/>
              </w:rPr>
            </w:pPr>
            <w:r>
              <w:rPr>
                <w:rFonts w:ascii="Times New Roman" w:eastAsia="宋体" w:hAnsi="Times New Roman" w:cs="Times New Roman" w:hint="eastAsia"/>
                <w:szCs w:val="21"/>
              </w:rPr>
              <w:t>1.22.1、2.22.2</w:t>
            </w:r>
          </w:p>
        </w:tc>
        <w:tc>
          <w:tcPr>
            <w:tcW w:w="1701" w:type="dxa"/>
            <w:noWrap w:val="0"/>
            <w:vAlign w:val="center"/>
          </w:tcPr>
          <w:p>
            <w:pPr>
              <w:rPr>
                <w:rFonts w:ascii="Times New Roman" w:eastAsia="宋体" w:hAnsi="Times New Roman" w:cs="Times New Roman"/>
                <w:szCs w:val="21"/>
              </w:rPr>
            </w:pPr>
            <w:r>
              <w:rPr>
                <w:rFonts w:ascii="Times New Roman" w:eastAsia="宋体" w:hAnsi="Times New Roman" w:cs="Times New Roman" w:hint="eastAsia"/>
                <w:szCs w:val="21"/>
              </w:rPr>
              <w:t>投标文件递交</w:t>
            </w:r>
          </w:p>
        </w:tc>
        <w:tc>
          <w:tcPr>
            <w:tcW w:w="5209" w:type="dxa"/>
            <w:noWrap w:val="0"/>
            <w:vAlign w:val="center"/>
          </w:tcPr>
          <w:p>
            <w:pPr>
              <w:rPr>
                <w:rFonts w:ascii="Times New Roman" w:eastAsia="宋体" w:hAnsi="Times New Roman" w:cs="Times New Roman"/>
                <w:szCs w:val="21"/>
              </w:rPr>
            </w:pPr>
            <w:r>
              <w:rPr>
                <w:rFonts w:ascii="宋体" w:eastAsia="宋体" w:hAnsi="宋体" w:cs="Times New Roman" w:hint="eastAsia"/>
                <w:bCs/>
                <w:szCs w:val="21"/>
              </w:rPr>
              <w:t>除通过系统</w:t>
            </w:r>
            <w:r>
              <w:rPr>
                <w:rFonts w:ascii="宋体" w:eastAsia="宋体" w:hAnsi="Calibri" w:cs="微软雅黑" w:hint="eastAsia"/>
                <w:szCs w:val="21"/>
              </w:rPr>
              <w:t>上传加密的电子投标文件外，同时在线下提供</w:t>
            </w:r>
            <w:r>
              <w:rPr>
                <w:rFonts w:ascii="宋体" w:eastAsia="宋体" w:hAnsi="宋体" w:cs="Times New Roman" w:hint="eastAsia"/>
                <w:bCs/>
                <w:szCs w:val="21"/>
              </w:rPr>
              <w:t>通过系统下载的投标文件电子版文件包（使用</w:t>
            </w:r>
            <w:r>
              <w:rPr>
                <w:rFonts w:ascii="Calibri" w:eastAsia="宋体" w:hAnsi="Calibri" w:cs="Times New Roman" w:hint="eastAsia"/>
                <w:bCs/>
                <w:szCs w:val="22"/>
              </w:rPr>
              <w:t>不可擦写的刻录光盘或其他只读存储介质）</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rPr>
            </w:pPr>
            <w:r>
              <w:rPr>
                <w:rFonts w:ascii="Times New Roman" w:eastAsia="宋体" w:hAnsi="Times New Roman" w:cs="Times New Roman" w:hint="eastAsia"/>
                <w:szCs w:val="21"/>
              </w:rPr>
              <w:t>5.18</w:t>
            </w:r>
          </w:p>
        </w:tc>
        <w:tc>
          <w:tcPr>
            <w:tcW w:w="1418" w:type="dxa"/>
            <w:noWrap w:val="0"/>
            <w:vAlign w:val="center"/>
          </w:tcPr>
          <w:p>
            <w:pPr>
              <w:rPr>
                <w:rFonts w:ascii="Times New Roman" w:eastAsia="宋体" w:hAnsi="Times New Roman" w:cs="Times New Roman"/>
                <w:szCs w:val="21"/>
              </w:rPr>
            </w:pPr>
            <w:r>
              <w:rPr>
                <w:rFonts w:ascii="Times New Roman" w:eastAsia="宋体" w:hAnsi="Times New Roman" w:cs="Times New Roman" w:hint="eastAsia"/>
                <w:szCs w:val="21"/>
              </w:rPr>
              <w:t>1.26.2</w:t>
            </w:r>
          </w:p>
        </w:tc>
        <w:tc>
          <w:tcPr>
            <w:tcW w:w="1701" w:type="dxa"/>
            <w:noWrap w:val="0"/>
            <w:vAlign w:val="center"/>
          </w:tcPr>
          <w:p>
            <w:pPr>
              <w:rPr>
                <w:rFonts w:ascii="Times New Roman" w:eastAsia="宋体" w:hAnsi="Times New Roman" w:cs="Times New Roman"/>
                <w:szCs w:val="21"/>
              </w:rPr>
            </w:pPr>
            <w:r>
              <w:rPr>
                <w:rFonts w:ascii="Times New Roman" w:eastAsia="宋体" w:hAnsi="Times New Roman" w:cs="Times New Roman" w:hint="eastAsia"/>
                <w:szCs w:val="21"/>
              </w:rPr>
              <w:t>是否进行述标</w:t>
            </w:r>
          </w:p>
        </w:tc>
        <w:tc>
          <w:tcPr>
            <w:tcW w:w="5209" w:type="dxa"/>
            <w:noWrap w:val="0"/>
            <w:vAlign w:val="center"/>
          </w:tcPr>
          <w:p>
            <w:pPr>
              <w:rPr>
                <w:rFonts w:ascii="宋体" w:eastAsia="宋体" w:hAnsi="宋体" w:cs="微软雅黑"/>
                <w:kern w:val="0"/>
                <w:szCs w:val="21"/>
              </w:rPr>
            </w:pPr>
            <w:bookmarkStart w:id="53" w:name="进行述标_describeStandardFlagText"/>
            <w:r>
              <w:rPr>
                <w:rFonts w:ascii="宋体" w:eastAsia="宋体" w:hAnsi="宋体" w:cs="微软雅黑" w:hint="eastAsia"/>
                <w:kern w:val="0"/>
                <w:szCs w:val="21"/>
              </w:rPr>
              <w:t>否</w:t>
            </w:r>
            <w:bookmarkEnd w:id="53"/>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rPr>
            </w:pPr>
            <w:r>
              <w:rPr>
                <w:rFonts w:ascii="Times New Roman" w:eastAsia="宋体" w:hAnsi="Times New Roman" w:cs="Times New Roman" w:hint="eastAsia"/>
                <w:szCs w:val="21"/>
              </w:rPr>
              <w:t>5.19</w:t>
            </w:r>
          </w:p>
        </w:tc>
        <w:tc>
          <w:tcPr>
            <w:tcW w:w="1418" w:type="dxa"/>
            <w:noWrap w:val="0"/>
            <w:vAlign w:val="center"/>
          </w:tcPr>
          <w:p>
            <w:pPr>
              <w:rPr>
                <w:rFonts w:ascii="Times New Roman" w:eastAsia="宋体" w:hAnsi="Times New Roman" w:cs="Times New Roman"/>
                <w:szCs w:val="21"/>
              </w:rPr>
            </w:pPr>
          </w:p>
        </w:tc>
        <w:tc>
          <w:tcPr>
            <w:tcW w:w="1701" w:type="dxa"/>
            <w:noWrap w:val="0"/>
            <w:vAlign w:val="center"/>
          </w:tcPr>
          <w:p>
            <w:pPr>
              <w:rPr>
                <w:rFonts w:ascii="Times New Roman" w:eastAsia="宋体" w:hAnsi="Times New Roman" w:cs="Times New Roman"/>
                <w:szCs w:val="21"/>
              </w:rPr>
            </w:pPr>
            <w:r>
              <w:rPr>
                <w:rFonts w:ascii="Times New Roman" w:eastAsia="宋体" w:hAnsi="Times New Roman" w:cs="Times New Roman" w:hint="eastAsia"/>
                <w:szCs w:val="21"/>
              </w:rPr>
              <w:t>采购资金的支付方式、时间、条件</w:t>
            </w:r>
          </w:p>
        </w:tc>
        <w:tc>
          <w:tcPr>
            <w:tcW w:w="5209" w:type="dxa"/>
            <w:noWrap w:val="0"/>
            <w:vAlign w:val="center"/>
          </w:tcPr>
          <w:p>
            <w:pPr>
              <w:rPr>
                <w:rFonts w:ascii="宋体" w:eastAsia="宋体" w:hAnsi="宋体" w:cs="Times New Roman"/>
                <w:szCs w:val="21"/>
              </w:rPr>
            </w:pPr>
            <w:r>
              <w:rPr>
                <w:rFonts w:ascii="Times New Roman" w:eastAsia="宋体" w:hAnsi="Times New Roman" w:cs="Times New Roman" w:hint="eastAsia"/>
                <w:szCs w:val="21"/>
              </w:rPr>
              <w:t>详见第九章采购合同</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rPr>
            </w:pPr>
            <w:r>
              <w:rPr>
                <w:rFonts w:ascii="Times New Roman" w:eastAsia="宋体" w:hAnsi="Times New Roman" w:cs="Times New Roman" w:hint="eastAsia"/>
                <w:szCs w:val="21"/>
              </w:rPr>
              <w:t>5.20</w:t>
            </w:r>
          </w:p>
        </w:tc>
        <w:tc>
          <w:tcPr>
            <w:tcW w:w="1418" w:type="dxa"/>
            <w:noWrap w:val="0"/>
            <w:vAlign w:val="center"/>
          </w:tcPr>
          <w:p>
            <w:pPr>
              <w:rPr>
                <w:rFonts w:ascii="Times New Roman" w:eastAsia="宋体" w:hAnsi="Times New Roman" w:cs="Times New Roman"/>
                <w:szCs w:val="21"/>
              </w:rPr>
            </w:pPr>
          </w:p>
        </w:tc>
        <w:tc>
          <w:tcPr>
            <w:tcW w:w="1701" w:type="dxa"/>
            <w:noWrap w:val="0"/>
            <w:vAlign w:val="center"/>
          </w:tcPr>
          <w:p>
            <w:pPr>
              <w:rPr>
                <w:rFonts w:ascii="Times New Roman" w:eastAsia="宋体" w:hAnsi="Times New Roman" w:cs="Times New Roman"/>
                <w:szCs w:val="21"/>
              </w:rPr>
            </w:pPr>
            <w:r>
              <w:rPr>
                <w:rFonts w:ascii="Times New Roman" w:eastAsia="宋体" w:hAnsi="Times New Roman" w:cs="Times New Roman" w:hint="eastAsia"/>
                <w:szCs w:val="21"/>
              </w:rPr>
              <w:t>其他事项</w:t>
            </w:r>
          </w:p>
        </w:tc>
        <w:tc>
          <w:tcPr>
            <w:tcW w:w="5209" w:type="dxa"/>
            <w:shd w:val="clear" w:color="auto" w:fill="auto"/>
            <w:noWrap w:val="0"/>
            <w:vAlign w:val="center"/>
          </w:tcPr>
          <w:p>
            <w:pPr>
              <w:rPr>
                <w:rFonts w:ascii="宋体" w:hAnsi="宋体" w:hint="eastAsia"/>
                <w:szCs w:val="21"/>
              </w:rPr>
            </w:pPr>
            <w:bookmarkStart w:id="54" w:name="其他事项_ottherReemarks"/>
            <w:r>
              <w:rPr>
                <w:rFonts w:ascii="宋体" w:hAnsi="宋体" w:eastAsiaTheme="minorEastAsia" w:cstheme="minorBidi" w:hint="eastAsia"/>
                <w:kern w:val="2"/>
                <w:sz w:val="21"/>
                <w:szCs w:val="21"/>
                <w:lang w:val="en-US" w:eastAsia="zh-CN" w:bidi="ar-SA"/>
              </w:rPr>
              <w:t>无</w:t>
            </w:r>
            <w:bookmarkEnd w:id="54"/>
          </w:p>
        </w:tc>
      </w:tr>
    </w:tbl>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309" w:firstLineChars="147"/>
        <w:jc w:val="left"/>
        <w:rPr>
          <w:highlight w:val="none"/>
        </w:rPr>
      </w:pPr>
      <w:r>
        <w:rPr>
          <w:rFonts w:ascii="宋体" w:hAnsi="宋体" w:hint="eastAsia"/>
          <w:b/>
          <w:szCs w:val="21"/>
          <w:highlight w:val="none"/>
        </w:rPr>
        <w:t>一、评标方法：</w:t>
      </w:r>
      <w:r>
        <w:rPr>
          <w:highlight w:val="none"/>
        </w:rPr>
        <w:t xml:space="preserve"> </w:t>
      </w:r>
    </w:p>
    <w:p>
      <w:pPr>
        <w:spacing w:line="360" w:lineRule="auto"/>
        <w:jc w:val="left"/>
        <w:rPr>
          <w:rFonts w:ascii="宋体" w:hAnsi="宋体"/>
          <w:szCs w:val="21"/>
          <w:highlight w:val="none"/>
        </w:rPr>
      </w:pPr>
      <w:r>
        <w:rPr>
          <w:rFonts w:hint="eastAsia"/>
          <w:b/>
          <w:sz w:val="30"/>
          <w:szCs w:val="30"/>
          <w:highlight w:val="none"/>
        </w:rPr>
        <w:t xml:space="preserve">  </w:t>
      </w: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309" w:firstLineChars="147"/>
        <w:rPr>
          <w:rFonts w:ascii="宋体" w:hAnsi="宋体"/>
          <w:b/>
          <w:bCs/>
          <w:szCs w:val="21"/>
          <w:highlight w:val="none"/>
        </w:rPr>
      </w:pPr>
      <w:r>
        <w:rPr>
          <w:rFonts w:ascii="宋体" w:hAnsi="宋体" w:hint="eastAsia"/>
          <w:b/>
          <w:bCs/>
          <w:szCs w:val="21"/>
          <w:highlight w:val="none"/>
        </w:rPr>
        <w:t>二、评分标准：</w:t>
      </w:r>
    </w:p>
    <w:p>
      <w:pPr>
        <w:spacing w:line="360" w:lineRule="auto"/>
        <w:ind w:firstLine="315" w:firstLineChars="150"/>
        <w:jc w:val="left"/>
        <w:rPr>
          <w:highlight w:val="none"/>
        </w:rPr>
      </w:pPr>
      <w:r>
        <w:rPr>
          <w:rFonts w:ascii="宋体" w:hAnsi="宋体" w:hint="eastAsia"/>
          <w:szCs w:val="21"/>
          <w:highlight w:val="none"/>
        </w:rPr>
        <w:t>评分标准见下表</w:t>
      </w:r>
      <w:r>
        <w:rPr>
          <w:rFonts w:hint="eastAsia"/>
          <w:highlight w:val="none"/>
        </w:rPr>
        <w:t>。</w:t>
      </w:r>
    </w:p>
    <w:p>
      <w:pPr>
        <w:spacing w:line="360" w:lineRule="auto"/>
        <w:jc w:val="left"/>
        <w:rPr>
          <w:highlight w:val="none"/>
        </w:rPr>
      </w:pPr>
    </w:p>
    <w:p w:rsidR="00A77B3E">
      <w:bookmarkStart w:id="55"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5"/>
        <w:gridCol w:w="254"/>
        <w:gridCol w:w="850"/>
        <w:gridCol w:w="254"/>
        <w:gridCol w:w="7490"/>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(20)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投标人非强制资质要求（客观分）</w:t>
            </w:r>
          </w:p>
        </w:tc>
        <w:tc>
          <w:tcPr/>
          <w:p>
            <w:r>
              <w:t>勾选打分</w:t>
            </w:r>
            <w:r>
              <w:t>(4)</w:t>
            </w:r>
          </w:p>
        </w:tc>
        <w:tc>
          <w:tcPr/>
          <w:p>
            <w:r>
              <w:t>评审标准：</w:t>
            </w:r>
          </w:p>
          <w:p>
            <w:r>
              <w:t>投标人具有环境管理体系认证证书、职业健康安全管理体系认证证书、ISO9001质量管理体系认证证书和安全生产许可证。每提供1个得1分，最高得4分。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(10)</w:t>
            </w:r>
          </w:p>
        </w:tc>
        <w:tc>
          <w:tcPr/>
          <w:p>
            <w:r>
              <w:t>评审标准：</w:t>
            </w:r>
          </w:p>
          <w:p>
            <w:r>
              <w:t>投标人提供电力设施、消防设施运行维护服务项目业绩。</w:t>
              <w:cr/>
              <w:t>1、每提供1份电力设施运行维护服务项目的合同得1分，最多得5分。</w:t>
              <w:cr/>
              <w:t>2、每提供1份消防设施运行维护服务项目的合同得1分，最多得5分。</w:t>
            </w:r>
          </w:p>
          <w:p>
            <w:r>
              <w:t>评审标准说明：</w:t>
            </w:r>
          </w:p>
          <w:p>
            <w:r>
              <w:t>1、需提供投标人的相关服务合同（必须包括合同首页、金额页、标的页、签字盖章页）复印件并加盖投标人公章。</w:t>
              <w:cr/>
              <w:t>2、合同签署日期为投标截止日前三年内。如合同无签署日期无效。</w:t>
              <w:cr/>
              <w:t>3、合同标的必须包括与本项目类似的服务内容。</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tcPr>
          <w:p>
            <w:r>
              <w:t>商务部分</w:t>
            </w:r>
          </w:p>
        </w:tc>
        <w:tc>
          <w:tcPr/>
          <w:p>
            <w:r>
              <w:t>用户满意度证明（客观分）</w:t>
            </w:r>
          </w:p>
        </w:tc>
        <w:tc>
          <w:tcPr/>
          <w:p>
            <w:r>
              <w:t>勾选打分</w:t>
            </w:r>
            <w:r>
              <w:t>(4)</w:t>
            </w:r>
          </w:p>
        </w:tc>
        <w:tc>
          <w:tcPr/>
          <w:p>
            <w:r>
              <w:t>评审标准：</w:t>
            </w:r>
          </w:p>
          <w:p>
            <w:r>
              <w:t>投标人同时提供电力设施、消防设施运维服务项目用户满意度证明。</w:t>
              <w:cr/>
              <w:t>1、每提供1份电力设施维护服务项目的用户满意度证明得1分，最多得2分。</w:t>
              <w:cr/>
              <w:t>2、每提供1份消防设施运行维护服务项目的用户满意度证明得1分，最多得2分。</w:t>
            </w:r>
          </w:p>
          <w:p>
            <w:r>
              <w:t>评审标准说明：</w:t>
            </w:r>
          </w:p>
          <w:p>
            <w:r>
              <w:t>投标人提供投标截止日前三年内客户单位出具类似项目评价良好的证明文件，并加盖投标人公章。否则不得分。</w:t>
            </w:r>
          </w:p>
          <w:p/>
        </w:tc>
      </w:tr>
      <w:tr>
        <w:tblPrEx>
          <w:tblW w:w="5000" w:type="pct"/>
          <w:tblCellMar>
            <w:left w:w="108" w:type="dxa"/>
            <w:right w:w="108" w:type="dxa"/>
          </w:tblCellMar>
        </w:tblPrEx>
        <w:tc>
          <w:tcPr/>
          <w:p>
            <w:r>
              <w:t>5</w:t>
            </w:r>
          </w:p>
        </w:tc>
        <w:tc>
          <w:tcPr>
            <w:vMerge/>
          </w:tcPr>
          <w:p>
            <w:r>
              <w:t>商务部分</w:t>
            </w:r>
          </w:p>
        </w:tc>
        <w:tc>
          <w:tcPr/>
          <w:p>
            <w:r>
              <w:t>服务团队（客观分）</w:t>
            </w:r>
          </w:p>
        </w:tc>
        <w:tc>
          <w:tcPr/>
          <w:p>
            <w:r>
              <w:t>区间打分</w:t>
            </w:r>
            <w:r>
              <w:t>(26)</w:t>
            </w:r>
          </w:p>
        </w:tc>
        <w:tc>
          <w:tcPr/>
          <w:p>
            <w:r>
              <w:t>评审标准：</w:t>
            </w:r>
          </w:p>
          <w:p>
            <w:r>
              <w:t>投标人应组成本项目服务团队，服务团队包括管理团队、值守团队和运维团队三类。管理团队包括项目经理和技术负责人各1人，值守团队人员数量应能够满足消防中控室、低压电气设施维护维修和暖通设施维护维修24小时值守相关要求。服务团队组织结构清晰，所有人员均为投标人自有员工，提供自有员工承诺函（格式自定）和特种作业证证书，具体如下：</w:t>
              <w:cr/>
              <w:t>1、管理团队项目经理和技术负责人均具有电力设施或消防设施运维服务工作背景，得4分；拥有5年以上同类项目工作经验，得4分。</w:t>
              <w:cr/>
              <w:t>2、值守团队应包括消防设施操作员中级及以上，以及低压电工、暖通两类特种作业证人员，每具备一个专业得2分，最多得6分；</w:t>
              <w:cr/>
              <w:t>3、值守团队成员应有3年以上消防中控室值守、低压电气设施维护维修和暖通设施维护维修工作经历，每有1名得 0.5分，最多得6分。</w:t>
              <w:cr/>
              <w:t>4、运维团队成员涵盖电气、暖通、弱电、消防专业技术人员，每具备一个专业得0.5分，最高得2分。</w:t>
              <w:cr/>
              <w:t>5、运维团队人员具有电气、暖通、弱电、消防专业运维经验，每具有一个专业运维经验得1分，最高得4分。</w:t>
              <w:cr/>
              <w:t>对于以上2-5项，同一人具有不同专业技术资质、工作经历/运维经验的，视为一个。</w:t>
            </w:r>
          </w:p>
          <w:p>
            <w:r>
              <w:t>评审标准说明：</w:t>
            </w:r>
          </w:p>
          <w:p>
            <w:r>
              <w:t>须提供团队人员名单及相关证明材料（证书复印件、技术能力证书、从业及相关专业运维经验证明材料等），同时提供投标截止日前6个月内任意1个月团队人员在投标人所在公司的社保缴纳证明（投标人为新成立公司，可提供劳动合同）。以上材料需加盖投标人公章。</w:t>
            </w:r>
          </w:p>
          <w:p/>
        </w:tc>
      </w:tr>
      <w:tr>
        <w:tblPrEx>
          <w:tblW w:w="5000" w:type="pct"/>
          <w:tblCellMar>
            <w:left w:w="108" w:type="dxa"/>
            <w:right w:w="108" w:type="dxa"/>
          </w:tblCellMar>
        </w:tblPrEx>
        <w:tc>
          <w:tcPr/>
          <w:p>
            <w:r>
              <w:t>6</w:t>
            </w:r>
          </w:p>
        </w:tc>
        <w:tc>
          <w:tcPr>
            <w:vMerge w:val="restart"/>
          </w:tcPr>
          <w:p>
            <w:r>
              <w:t>服务部分</w:t>
            </w:r>
          </w:p>
        </w:tc>
        <w:tc>
          <w:tcPr/>
          <w:p>
            <w:r>
              <w:t>服务技术支持（主观分）</w:t>
            </w:r>
          </w:p>
        </w:tc>
        <w:tc>
          <w:tcPr/>
          <w:p>
            <w:r>
              <w:t>勾选打分</w:t>
            </w:r>
            <w:r>
              <w:t>(4)</w:t>
            </w:r>
          </w:p>
        </w:tc>
        <w:tc>
          <w:tcPr/>
          <w:p>
            <w:r>
              <w:t>评审标准：</w:t>
            </w:r>
          </w:p>
          <w:p>
            <w:r>
              <w:t>一档0分</w:t>
              <w:cr/>
              <w:t>二档2分</w:t>
              <w:cr/>
              <w:t>三档4分</w:t>
            </w:r>
          </w:p>
          <w:p>
            <w:r>
              <w:t>评审标准说明：</w:t>
            </w:r>
          </w:p>
          <w:p>
            <w:r>
              <w:t>投标人应建立合理的服务团队，包括管理团队、值守团队和运维团队。</w:t>
              <w:cr/>
              <w:t>一档：未成立专门的技术支持团队。</w:t>
              <w:cr/>
              <w:t>二档：能建立技术支持团队，但技术支持团队不够合理，技术支持内容不明确。</w:t>
              <w:cr/>
              <w:t>三档：建立合理的服务团队，明确服务支持的内容，提供完善及时的支持服务。</w:t>
            </w:r>
          </w:p>
          <w:p/>
        </w:tc>
      </w:tr>
      <w:tr>
        <w:tblPrEx>
          <w:tblW w:w="5000" w:type="pct"/>
          <w:tblCellMar>
            <w:left w:w="108" w:type="dxa"/>
            <w:right w:w="108" w:type="dxa"/>
          </w:tblCellMar>
        </w:tblPrEx>
        <w:tc>
          <w:tcPr/>
          <w:p>
            <w:r>
              <w:t>7</w:t>
            </w:r>
          </w:p>
        </w:tc>
        <w:tc>
          <w:tcPr>
            <w:vMerge/>
          </w:tcPr>
          <w:p>
            <w:r>
              <w:t>服务部分</w:t>
            </w:r>
          </w:p>
        </w:tc>
        <w:tc>
          <w:tcPr/>
          <w:p>
            <w:r>
              <w:t>售后服务方案（主观分）</w:t>
            </w:r>
          </w:p>
        </w:tc>
        <w:tc>
          <w:tcPr/>
          <w:p>
            <w:r>
              <w:t>勾选打分</w:t>
            </w:r>
            <w:r>
              <w:t>(2)</w:t>
            </w:r>
          </w:p>
        </w:tc>
        <w:tc>
          <w:tcPr/>
          <w:p>
            <w:r>
              <w:t>评审标准：</w:t>
            </w:r>
          </w:p>
          <w:p>
            <w:r>
              <w:t>一档0分</w:t>
              <w:cr/>
              <w:t>二档1分</w:t>
              <w:cr/>
              <w:t>三档2分</w:t>
            </w:r>
          </w:p>
          <w:p>
            <w:r>
              <w:t>评审标准说明：</w:t>
            </w:r>
          </w:p>
          <w:p>
            <w:r>
              <w:t>根据投标人提供的售后服务方案进行评分。具体评分标准如下：</w:t>
              <w:cr/>
              <w:t>一档：售后服务方案较简单或未提供。</w:t>
              <w:cr/>
              <w:t>二档：售后服务方案能按照招标文件的要求进行响应，有一定针对性，且基本满足招标文件的要求。</w:t>
              <w:cr/>
              <w:t>三档：售后服务方案能按照招标文件的要求进行响应，详细具体，针对性强，与项目实际情况相契合，且完全满足招标文件的要求。</w:t>
            </w:r>
          </w:p>
          <w:p/>
        </w:tc>
      </w:tr>
      <w:tr>
        <w:tblPrEx>
          <w:tblW w:w="5000" w:type="pct"/>
          <w:tblCellMar>
            <w:left w:w="108" w:type="dxa"/>
            <w:right w:w="108" w:type="dxa"/>
          </w:tblCellMar>
        </w:tblPrEx>
        <w:tc>
          <w:tcPr/>
          <w:p>
            <w:r>
              <w:t>8</w:t>
            </w:r>
          </w:p>
        </w:tc>
        <w:tc>
          <w:tcPr>
            <w:vMerge/>
          </w:tcPr>
          <w:p>
            <w:r>
              <w:t>服务部分</w:t>
            </w:r>
          </w:p>
        </w:tc>
        <w:tc>
          <w:tcPr/>
          <w:p>
            <w:r>
              <w:t>质量保障与实施方案（主观分）</w:t>
            </w:r>
          </w:p>
        </w:tc>
        <w:tc>
          <w:tcPr/>
          <w:p>
            <w:r>
              <w:t>勾选打分</w:t>
            </w:r>
            <w:r>
              <w:t>(4)</w:t>
            </w:r>
          </w:p>
        </w:tc>
        <w:tc>
          <w:tcPr/>
          <w:p>
            <w:r>
              <w:t>评审标准：</w:t>
            </w:r>
          </w:p>
          <w:p>
            <w:r>
              <w:t>一档0分</w:t>
              <w:cr/>
              <w:t>二档2分</w:t>
              <w:cr/>
              <w:t>三档4分</w:t>
            </w:r>
          </w:p>
          <w:p>
            <w:r>
              <w:t>评审标准说明：</w:t>
            </w:r>
          </w:p>
          <w:p>
            <w:r>
              <w:t>提供质量保障与实施方案，提出合理的项目全过程质量保证措施，过程检查有明确依据，质量保证工作量化。</w:t>
              <w:cr/>
              <w:t>一档：未提供方案，或方案不合理无针对性可行性。</w:t>
              <w:cr/>
              <w:t>二档：计划和方案内容不全，详细程度一般，进度控制保证措施针对性、合理性、可行性一般。</w:t>
              <w:cr/>
              <w:t>三档：项目组织机构清晰，计划与方案内容完整、详细，进度控制保证措施针对性强，切实可行。</w:t>
            </w:r>
          </w:p>
          <w:p/>
        </w:tc>
      </w:tr>
      <w:tr>
        <w:tblPrEx>
          <w:tblW w:w="5000" w:type="pct"/>
          <w:tblCellMar>
            <w:left w:w="108" w:type="dxa"/>
            <w:right w:w="108" w:type="dxa"/>
          </w:tblCellMar>
        </w:tblPrEx>
        <w:tc>
          <w:tcPr/>
          <w:p>
            <w:r>
              <w:t>9</w:t>
            </w:r>
          </w:p>
        </w:tc>
        <w:tc>
          <w:tcPr>
            <w:vMerge/>
          </w:tcPr>
          <w:p>
            <w:r>
              <w:t>服务部分</w:t>
            </w:r>
          </w:p>
        </w:tc>
        <w:tc>
          <w:tcPr/>
          <w:p>
            <w:r>
              <w:t>项目需求分析</w:t>
            </w:r>
          </w:p>
        </w:tc>
        <w:tc>
          <w:tcPr/>
          <w:p>
            <w:r>
              <w:t>勾选打分</w:t>
            </w:r>
            <w:r>
              <w:t>(4)</w:t>
            </w:r>
          </w:p>
        </w:tc>
        <w:tc>
          <w:tcPr/>
          <w:p>
            <w:r>
              <w:t>评审标准：</w:t>
            </w:r>
          </w:p>
          <w:p>
            <w:r>
              <w:t>一档0分</w:t>
              <w:cr/>
              <w:t>二档2分</w:t>
              <w:cr/>
              <w:t>三档4分</w:t>
            </w:r>
          </w:p>
          <w:p>
            <w:r>
              <w:t>评审标准说明：</w:t>
            </w:r>
          </w:p>
          <w:p>
            <w:r>
              <w:t>根据投标人提供项目需求分析材料进行评分。具体评分标准如下：</w:t>
              <w:cr/>
              <w:t>一档：对项目范围和内容理解偏差较大，对用户总体需求分析不正确，描述逻辑混乱，或不提供分析材料。</w:t>
              <w:cr/>
              <w:t>二档：对项目范围和内容及用户总体需求分析存在偏差，描述不够清楚。</w:t>
              <w:cr/>
              <w:t>三档：对项目范围和内容理解清晰，对用户总体需求分析正确，描述清楚。</w:t>
            </w:r>
          </w:p>
          <w:p/>
        </w:tc>
      </w:tr>
      <w:tr>
        <w:tblPrEx>
          <w:tblW w:w="5000" w:type="pct"/>
          <w:tblCellMar>
            <w:left w:w="108" w:type="dxa"/>
            <w:right w:w="108" w:type="dxa"/>
          </w:tblCellMar>
        </w:tblPrEx>
        <w:tc>
          <w:tcPr/>
          <w:p>
            <w:r>
              <w:t>10</w:t>
            </w:r>
          </w:p>
        </w:tc>
        <w:tc>
          <w:tcPr>
            <w:vMerge/>
          </w:tcPr>
          <w:p>
            <w:r>
              <w:t>服务部分</w:t>
            </w:r>
          </w:p>
        </w:tc>
        <w:tc>
          <w:tcPr/>
          <w:p>
            <w:r>
              <w:t>总体服务方案</w:t>
            </w:r>
          </w:p>
        </w:tc>
        <w:tc>
          <w:tcPr/>
          <w:p>
            <w:r>
              <w:t>勾选打分</w:t>
            </w:r>
            <w:r>
              <w:t>(2)</w:t>
            </w:r>
          </w:p>
        </w:tc>
        <w:tc>
          <w:tcPr/>
          <w:p>
            <w:r>
              <w:t>评审标准：</w:t>
            </w:r>
          </w:p>
          <w:p>
            <w:r>
              <w:t>一档0分</w:t>
              <w:cr/>
              <w:t>二档1分</w:t>
              <w:cr/>
              <w:t>三档2分</w:t>
            </w:r>
          </w:p>
          <w:p>
            <w:r>
              <w:t>评审标准说明：</w:t>
            </w:r>
          </w:p>
          <w:p>
            <w:r>
              <w:t>根据投标人提供总体服务方案进行评分。具体评分标准如下：</w:t>
              <w:cr/>
              <w:t>一档：未提供方案，或者方案不合理，无针对性。</w:t>
              <w:cr/>
              <w:t>二档：方案完整但比较简单，依据招标人提供的服务标准约束条件，提出的服务方法和服务措施合理性、可行性、针对性一般，基本满足招标文件需求。</w:t>
              <w:cr/>
              <w:t>三档：方案完整详细，依据招标人提供的服务标准约束条件，提出合理切实可行的服务方法和服务措施，完全满足招标文件需求。</w:t>
            </w:r>
          </w:p>
          <w:p/>
        </w:tc>
      </w:tr>
      <w:tr>
        <w:tblPrEx>
          <w:tblW w:w="5000" w:type="pct"/>
          <w:tblCellMar>
            <w:left w:w="108" w:type="dxa"/>
            <w:right w:w="108" w:type="dxa"/>
          </w:tblCellMar>
        </w:tblPrEx>
        <w:tc>
          <w:tcPr/>
          <w:p>
            <w:r>
              <w:t>11</w:t>
            </w:r>
          </w:p>
        </w:tc>
        <w:tc>
          <w:tcPr>
            <w:vMerge/>
          </w:tcPr>
          <w:p>
            <w:r>
              <w:t>服务部分</w:t>
            </w:r>
          </w:p>
        </w:tc>
        <w:tc>
          <w:tcPr/>
          <w:p>
            <w:r>
              <w:t>具体服务方案（主观分）</w:t>
            </w:r>
          </w:p>
        </w:tc>
        <w:tc>
          <w:tcPr/>
          <w:p>
            <w:r>
              <w:t>区间打分</w:t>
            </w:r>
            <w:r>
              <w:t>(12)</w:t>
            </w:r>
          </w:p>
        </w:tc>
        <w:tc>
          <w:tcPr/>
          <w:p>
            <w:r>
              <w:t>评审标准：</w:t>
            </w:r>
          </w:p>
          <w:p>
            <w:r>
              <w:t>针对以下每项服务内容提交具体服务方案：</w:t>
              <w:cr/>
              <w:t>1、24小时现场值守人员排班计划；</w:t>
              <w:cr/>
              <w:t>2、24小时现场值守巡检服务（至少包括巡检内容、巡检频次、巡检记录表等）；</w:t>
              <w:cr/>
              <w:t>3、重大故障处置（至少包括包括响应方式、响应时间及技术支持队伍等）；</w:t>
              <w:cr/>
              <w:t>4、重大气象服务期间应急服务保障；</w:t>
              <w:cr/>
              <w:t>5、备品备件清单及提供方式（现场、集中备品备件库等）；</w:t>
              <w:cr/>
              <w:t>6、周、月服务报告、故障报告等模板</w:t>
              <w:cr/>
              <w:cr/>
              <w:t>以上每项服务内容：</w:t>
              <w:cr/>
              <w:t>一档0分</w:t>
              <w:cr/>
              <w:t>二档1分</w:t>
              <w:cr/>
              <w:t>三档2分</w:t>
              <w:cr/>
              <w:t>以上共计6项服务内容，满分12分。</w:t>
            </w:r>
          </w:p>
          <w:p>
            <w:r>
              <w:t>评审标准说明：</w:t>
            </w:r>
          </w:p>
          <w:p>
            <w:r>
              <w:t>根据投标人提供具体服务方案进行评分。具体评分标准如下：</w:t>
              <w:cr/>
              <w:t>一档：未提供方案，或者方案不合理、无针对性。</w:t>
              <w:cr/>
              <w:t>二档：服务方案简单，基本合理，针对性一般，基本满足招标文件要求。</w:t>
              <w:cr/>
              <w:t>三档：服务方案详细具体合理，针对性强，完全满足招标文件要求。</w:t>
            </w:r>
          </w:p>
          <w:p/>
        </w:tc>
      </w:tr>
      <w:tr>
        <w:tblPrEx>
          <w:tblW w:w="5000" w:type="pct"/>
          <w:tblCellMar>
            <w:left w:w="108" w:type="dxa"/>
            <w:right w:w="108" w:type="dxa"/>
          </w:tblCellMar>
        </w:tblPrEx>
        <w:tc>
          <w:tcPr/>
          <w:p>
            <w:r>
              <w:t>12</w:t>
            </w:r>
          </w:p>
        </w:tc>
        <w:tc>
          <w:tcPr>
            <w:vMerge w:val="restart"/>
          </w:tcPr>
          <w:p>
            <w:r>
              <w:t>技术部分</w:t>
            </w:r>
          </w:p>
        </w:tc>
        <w:tc>
          <w:tcPr/>
          <w:p>
            <w:r>
              <w:t>项目需求理解（主观分）</w:t>
            </w:r>
          </w:p>
        </w:tc>
        <w:tc>
          <w:tcPr/>
          <w:p>
            <w:r>
              <w:t>勾选打分</w:t>
            </w:r>
            <w:r>
              <w:t>(3)</w:t>
            </w:r>
          </w:p>
        </w:tc>
        <w:tc>
          <w:tcPr/>
          <w:p>
            <w:r>
              <w:t>评审标准：</w:t>
            </w:r>
          </w:p>
          <w:p>
            <w:r>
              <w:t>一档0分</w:t>
              <w:cr/>
              <w:t>二档1分</w:t>
              <w:cr/>
              <w:t>三档3分</w:t>
            </w:r>
          </w:p>
          <w:p>
            <w:r>
              <w:t>评审标准说明：</w:t>
            </w:r>
          </w:p>
          <w:p>
            <w:r>
              <w:t>业务需求与用户需求分析方案。结合项目需求、背景、现状情况等对项目进行需求分析理解。</w:t>
              <w:cr/>
              <w:t>一档：对项目范围和内容理解偏差较大，未抓住重点、难点，描述逻辑混乱，或不提供分析材料。</w:t>
              <w:cr/>
              <w:t>二档：对项目范围和内容及用户总体需求分析存在偏差，重点、难点不突出，描述不够清楚。</w:t>
              <w:cr/>
              <w:t>三档：对项目范围和内容理解清晰，对用户总体需求分析正确，重点、难点分析到位，问题描述清楚；能准确识别软件系统关键技术问题，并提出详细合理的解决方案。</w:t>
            </w:r>
          </w:p>
          <w:p/>
        </w:tc>
      </w:tr>
      <w:tr>
        <w:tblPrEx>
          <w:tblW w:w="5000" w:type="pct"/>
          <w:tblCellMar>
            <w:left w:w="108" w:type="dxa"/>
            <w:right w:w="108" w:type="dxa"/>
          </w:tblCellMar>
        </w:tblPrEx>
        <w:tc>
          <w:tcPr/>
          <w:p>
            <w:r>
              <w:t>13</w:t>
            </w:r>
          </w:p>
        </w:tc>
        <w:tc>
          <w:tcPr>
            <w:vMerge/>
          </w:tcPr>
          <w:p>
            <w:r>
              <w:t>技术部分</w:t>
            </w:r>
          </w:p>
        </w:tc>
        <w:tc>
          <w:tcPr/>
          <w:p>
            <w:r>
              <w:t>针对本项目的合理化建议（主观分）</w:t>
            </w:r>
          </w:p>
        </w:tc>
        <w:tc>
          <w:tcPr/>
          <w:p>
            <w:r>
              <w:t>勾选打分</w:t>
            </w:r>
            <w:r>
              <w:t>(2)</w:t>
            </w:r>
          </w:p>
        </w:tc>
        <w:tc>
          <w:tcPr/>
          <w:p>
            <w:r>
              <w:t>评审标准：</w:t>
            </w:r>
          </w:p>
          <w:p>
            <w:r>
              <w:t>每提供一条合理化建议得1分，最高得2分。</w:t>
            </w:r>
          </w:p>
          <w:p>
            <w:r>
              <w:t>评审标准说明：</w:t>
            </w:r>
          </w:p>
          <w:p>
            <w:r>
              <w:t>对采购人的采购要求、服务要求、质量要求、管理要求有深刻认识，对项目特点的认识了解非常全面，深入理解项目的难点与关键点，并有针对性地为项目提出相关的建议，且建议合理、可行、完整。由评标委员会进行评判，符合项目实际需要可采纳于后续工作中的（不包含响应方案中已描述的建议和意见）。</w:t>
            </w:r>
          </w:p>
          <w:p/>
        </w:tc>
      </w:tr>
      <w:tr>
        <w:tblPrEx>
          <w:tblW w:w="5000" w:type="pct"/>
          <w:tblCellMar>
            <w:left w:w="108" w:type="dxa"/>
            <w:right w:w="108" w:type="dxa"/>
          </w:tblCellMar>
        </w:tblPrEx>
        <w:tc>
          <w:tcPr/>
          <w:p>
            <w:r>
              <w:t>14</w:t>
            </w:r>
          </w:p>
        </w:tc>
        <w:tc>
          <w:tcPr>
            <w:vMerge/>
          </w:tcPr>
          <w:p>
            <w:r>
              <w:t>技术部分</w:t>
            </w:r>
          </w:p>
        </w:tc>
        <w:tc>
          <w:tcPr/>
          <w:p>
            <w:r>
              <w:t>风险管理方案（主观分）</w:t>
            </w:r>
          </w:p>
        </w:tc>
        <w:tc>
          <w:tcPr/>
          <w:p>
            <w:r>
              <w:t>勾选打分</w:t>
            </w:r>
            <w:r>
              <w:t>(3)</w:t>
            </w:r>
          </w:p>
        </w:tc>
        <w:tc>
          <w:tcPr/>
          <w:p>
            <w:r>
              <w:t>评审标准：</w:t>
            </w:r>
          </w:p>
          <w:p>
            <w:r>
              <w:t>一档0分</w:t>
              <w:cr/>
              <w:t>二档1分</w:t>
              <w:cr/>
              <w:t>三档3分</w:t>
            </w:r>
          </w:p>
          <w:p>
            <w:r>
              <w:t>评审标准说明：</w:t>
            </w:r>
          </w:p>
          <w:p>
            <w:r>
              <w:t>对项目重点难点问题及可能存在的风险进行针对性分析，并针对性提出解决方案。</w:t>
              <w:cr/>
              <w:t>一档：未提供方案，或方案简单不合理，无针对性。</w:t>
              <w:cr/>
              <w:t>二档：重点难点问题及风险分析比较全面，解决方案内容不全，详细程度一般，措施针对性可行性一般。</w:t>
              <w:cr/>
              <w:t>三档：重点难点问题及风险分析全面，解决方案详细合理、措施针对性强，切实可行。</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5"/>
    </w:p>
    <w:p>
      <w:pPr>
        <w:spacing w:before="156" w:beforeLines="50" w:line="360" w:lineRule="auto"/>
        <w:jc w:val="center"/>
        <w:outlineLvl w:val="0"/>
        <w:rPr>
          <w:rFonts w:ascii="宋体" w:hAnsi="宋体"/>
          <w:b/>
          <w:sz w:val="30"/>
          <w:szCs w:val="30"/>
        </w:rPr>
      </w:pPr>
      <w:r>
        <w:rPr>
          <w:bCs/>
          <w:szCs w:val="21"/>
          <w:highlight w:val="none"/>
        </w:rPr>
        <w:br w:type="page"/>
      </w:r>
      <w:bookmarkStart w:id="56" w:name="插入_采购需求书"/>
      <w:r>
        <w:rPr>
          <w:rFonts w:ascii="宋体" w:eastAsia="宋体" w:hAnsi="宋体" w:cs="Times New Roman" w:hint="eastAsia"/>
          <w:b/>
          <w:sz w:val="30"/>
          <w:szCs w:val="30"/>
        </w:rPr>
        <w:t>第七章  采购需求</w:t>
      </w:r>
    </w:p>
    <w:p>
      <w:pPr>
        <w:jc w:val="left"/>
        <w:rPr>
          <w:rFonts w:ascii="Times New Roman" w:eastAsia="宋体" w:hAnsi="Times New Roman" w:cs="Times New Roman"/>
          <w:b/>
          <w:szCs w:val="21"/>
        </w:rPr>
      </w:pPr>
    </w:p>
    <w:p>
      <w:pPr>
        <w:adjustRightInd w:val="0"/>
        <w:snapToGrid w:val="0"/>
        <w:spacing w:line="360" w:lineRule="auto"/>
        <w:ind w:firstLine="480" w:firstLineChars="200"/>
        <w:outlineLvl w:val="1"/>
        <w:rPr>
          <w:rFonts w:ascii="黑体" w:eastAsia="黑体" w:hAnsi="黑体" w:cs="黑体"/>
        </w:rPr>
      </w:pPr>
      <w:r>
        <w:rPr>
          <w:rFonts w:ascii="黑体" w:eastAsia="黑体" w:hAnsi="黑体" w:cs="黑体" w:hint="eastAsia"/>
          <w:sz w:val="24"/>
          <w:szCs w:val="24"/>
        </w:rPr>
        <w:t>一、项目概况</w:t>
      </w:r>
    </w:p>
    <w:p>
      <w:pPr>
        <w:numPr>
          <w:ilvl w:val="0"/>
          <w:numId w:val="4"/>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b/>
          <w:bCs/>
          <w:sz w:val="24"/>
          <w:szCs w:val="24"/>
        </w:rPr>
        <w:t>项目名称：</w:t>
      </w:r>
      <w:r>
        <w:rPr>
          <w:rFonts w:ascii="宋体" w:eastAsia="宋体" w:hAnsi="宋体" w:cs="宋体" w:hint="eastAsia"/>
          <w:sz w:val="24"/>
          <w:szCs w:val="24"/>
        </w:rPr>
        <w:t>国家气象信息中心机房场地环境运维服务采购项目</w:t>
      </w:r>
    </w:p>
    <w:p>
      <w:pPr>
        <w:numPr>
          <w:ilvl w:val="0"/>
          <w:numId w:val="4"/>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b/>
          <w:bCs/>
          <w:sz w:val="24"/>
          <w:szCs w:val="24"/>
        </w:rPr>
        <w:t>项目地点：</w:t>
      </w:r>
      <w:r>
        <w:rPr>
          <w:rFonts w:ascii="宋体" w:eastAsia="宋体" w:hAnsi="宋体" w:cs="宋体" w:hint="eastAsia"/>
          <w:sz w:val="24"/>
          <w:szCs w:val="24"/>
        </w:rPr>
        <w:t>北京市海淀区中关村南大街46号</w:t>
      </w:r>
    </w:p>
    <w:p>
      <w:pPr>
        <w:numPr>
          <w:ilvl w:val="0"/>
          <w:numId w:val="4"/>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b/>
          <w:bCs/>
          <w:sz w:val="24"/>
          <w:szCs w:val="24"/>
        </w:rPr>
        <w:t>主要服务内容：</w:t>
      </w:r>
      <w:r>
        <w:rPr>
          <w:rFonts w:ascii="宋体" w:eastAsia="宋体" w:hAnsi="宋体" w:cs="宋体" w:hint="eastAsia"/>
          <w:sz w:val="24"/>
          <w:szCs w:val="24"/>
        </w:rPr>
        <w:t>国家气象信息中心位于中国气象局大院北区2号楼、北区1号楼、北区3号楼、北区15号楼等范围内，所属相关机房场地、电气、暖通空调、消防、门禁、视频安防、动力环境监控等机房场地环境设施的24小时现场值守、日常巡检、日常维护、应急处置、故障维修、性能试验等。</w:t>
      </w:r>
    </w:p>
    <w:p>
      <w:pPr>
        <w:numPr>
          <w:ilvl w:val="0"/>
          <w:numId w:val="4"/>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b/>
          <w:bCs/>
          <w:sz w:val="24"/>
          <w:szCs w:val="24"/>
        </w:rPr>
        <w:t>服务方式：</w:t>
      </w:r>
      <w:r>
        <w:rPr>
          <w:rFonts w:ascii="宋体" w:eastAsia="宋体" w:hAnsi="宋体" w:cs="宋体" w:hint="eastAsia"/>
          <w:sz w:val="24"/>
          <w:szCs w:val="24"/>
        </w:rPr>
        <w:t>现场服务。</w:t>
      </w:r>
    </w:p>
    <w:p>
      <w:pPr>
        <w:numPr>
          <w:ilvl w:val="0"/>
          <w:numId w:val="4"/>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b/>
          <w:bCs/>
          <w:sz w:val="24"/>
          <w:szCs w:val="24"/>
        </w:rPr>
        <w:t>服务周期：</w:t>
      </w:r>
      <w:r>
        <w:rPr>
          <w:rFonts w:ascii="宋体" w:eastAsia="宋体" w:hAnsi="宋体" w:cs="宋体" w:hint="eastAsia"/>
          <w:sz w:val="24"/>
          <w:szCs w:val="24"/>
        </w:rPr>
        <w:t>自合同签订之日起1年。其中，合同签订后3个月为试用期，试用期满后招标人对投标人进行考核，如考核合格合同正式生效，如考核不合格合同自动解除。</w:t>
      </w:r>
    </w:p>
    <w:p>
      <w:pPr>
        <w:adjustRightInd w:val="0"/>
        <w:snapToGrid w:val="0"/>
        <w:spacing w:line="360" w:lineRule="auto"/>
        <w:ind w:firstLine="480" w:firstLineChars="200"/>
        <w:outlineLvl w:val="1"/>
        <w:rPr>
          <w:rFonts w:ascii="黑体" w:eastAsia="黑体" w:hAnsi="黑体" w:cs="黑体"/>
        </w:rPr>
      </w:pPr>
      <w:r>
        <w:rPr>
          <w:rFonts w:ascii="黑体" w:eastAsia="黑体" w:hAnsi="黑体" w:cs="黑体" w:hint="eastAsia"/>
          <w:sz w:val="24"/>
          <w:szCs w:val="24"/>
        </w:rPr>
        <w:t>二、服务标准</w:t>
      </w:r>
    </w:p>
    <w:p>
      <w:pPr>
        <w:snapToGrid w:val="0"/>
        <w:spacing w:line="360" w:lineRule="auto"/>
        <w:ind w:firstLine="480" w:firstLineChars="200"/>
        <w:jc w:val="left"/>
        <w:rPr>
          <w:rFonts w:ascii="楷体_GB2312" w:eastAsia="楷体_GB2312" w:hAnsi="楷体_GB2312" w:cs="楷体_GB2312"/>
        </w:rPr>
      </w:pPr>
      <w:r>
        <w:rPr>
          <w:rFonts w:ascii="楷体_GB2312" w:eastAsia="楷体_GB2312" w:hAnsi="楷体_GB2312" w:cs="楷体_GB2312" w:hint="eastAsia"/>
          <w:sz w:val="24"/>
          <w:szCs w:val="24"/>
        </w:rPr>
        <w:t>（一）遵循标准</w:t>
      </w:r>
    </w:p>
    <w:p>
      <w:pPr>
        <w:snapToGrid w:val="0"/>
        <w:spacing w:line="360" w:lineRule="auto"/>
        <w:ind w:firstLine="480" w:firstLineChars="200"/>
        <w:jc w:val="left"/>
        <w:rPr>
          <w:rFonts w:ascii="宋体" w:eastAsia="宋体" w:hAnsi="宋体" w:cs="宋体"/>
        </w:rPr>
      </w:pPr>
      <w:r>
        <w:rPr>
          <w:rFonts w:ascii="宋体" w:eastAsia="宋体" w:hAnsi="宋体" w:cs="宋体" w:hint="eastAsia"/>
          <w:sz w:val="24"/>
          <w:szCs w:val="24"/>
        </w:rPr>
        <w:t>本项目运维服务应符合以下标准：</w:t>
      </w:r>
    </w:p>
    <w:p>
      <w:pPr>
        <w:numPr>
          <w:ilvl w:val="0"/>
          <w:numId w:val="5"/>
        </w:numPr>
        <w:snapToGrid w:val="0"/>
        <w:spacing w:line="360" w:lineRule="auto"/>
        <w:ind w:left="0" w:firstLine="480" w:firstLineChars="200"/>
        <w:jc w:val="left"/>
        <w:rPr>
          <w:rFonts w:ascii="宋体" w:eastAsia="宋体" w:hAnsi="宋体" w:cs="宋体"/>
        </w:rPr>
      </w:pPr>
      <w:r>
        <w:rPr>
          <w:rFonts w:ascii="宋体" w:eastAsia="宋体" w:hAnsi="宋体" w:cs="宋体" w:hint="eastAsia"/>
          <w:sz w:val="24"/>
          <w:szCs w:val="24"/>
        </w:rPr>
        <w:t>数据中心设计规范                      GB 50174-2017</w:t>
      </w:r>
    </w:p>
    <w:p>
      <w:pPr>
        <w:numPr>
          <w:ilvl w:val="0"/>
          <w:numId w:val="5"/>
        </w:numPr>
        <w:snapToGrid w:val="0"/>
        <w:spacing w:line="360" w:lineRule="auto"/>
        <w:ind w:left="0" w:firstLine="480" w:firstLineChars="200"/>
        <w:jc w:val="left"/>
        <w:rPr>
          <w:rFonts w:ascii="宋体" w:eastAsia="宋体" w:hAnsi="宋体" w:cs="宋体"/>
        </w:rPr>
      </w:pPr>
      <w:r>
        <w:rPr>
          <w:rFonts w:ascii="宋体" w:eastAsia="宋体" w:hAnsi="宋体" w:cs="宋体" w:hint="eastAsia"/>
          <w:sz w:val="24"/>
          <w:szCs w:val="24"/>
        </w:rPr>
        <w:t>数据中心基础设施运维标准              GB/T 51314-2018</w:t>
      </w:r>
    </w:p>
    <w:p>
      <w:pPr>
        <w:numPr>
          <w:ilvl w:val="0"/>
          <w:numId w:val="5"/>
        </w:numPr>
        <w:snapToGrid w:val="0"/>
        <w:spacing w:line="360" w:lineRule="auto"/>
        <w:ind w:left="0" w:firstLine="480" w:firstLineChars="200"/>
        <w:jc w:val="left"/>
        <w:rPr>
          <w:rFonts w:ascii="宋体" w:eastAsia="宋体" w:hAnsi="宋体" w:cs="宋体"/>
        </w:rPr>
      </w:pPr>
      <w:r>
        <w:rPr>
          <w:rFonts w:ascii="宋体" w:eastAsia="宋体" w:hAnsi="宋体" w:cs="宋体" w:hint="eastAsia"/>
          <w:sz w:val="24"/>
          <w:szCs w:val="24"/>
        </w:rPr>
        <w:t>建筑消防设施的维护管理                GB 25201-2010</w:t>
      </w:r>
    </w:p>
    <w:p>
      <w:pPr>
        <w:numPr>
          <w:ilvl w:val="0"/>
          <w:numId w:val="5"/>
        </w:numPr>
        <w:snapToGrid w:val="0"/>
        <w:spacing w:line="360" w:lineRule="auto"/>
        <w:ind w:left="0" w:firstLine="480" w:firstLineChars="200"/>
        <w:jc w:val="left"/>
        <w:rPr>
          <w:rFonts w:ascii="宋体" w:eastAsia="宋体" w:hAnsi="宋体" w:cs="宋体"/>
        </w:rPr>
      </w:pPr>
      <w:r>
        <w:rPr>
          <w:rFonts w:ascii="宋体" w:eastAsia="宋体" w:hAnsi="宋体" w:cs="宋体" w:hint="eastAsia"/>
          <w:sz w:val="24"/>
          <w:szCs w:val="24"/>
        </w:rPr>
        <w:t>社会消防技术服务管理规定              应急管理部令第7号</w:t>
      </w:r>
    </w:p>
    <w:p>
      <w:pPr>
        <w:numPr>
          <w:ilvl w:val="0"/>
          <w:numId w:val="5"/>
        </w:numPr>
        <w:snapToGrid w:val="0"/>
        <w:spacing w:line="360" w:lineRule="auto"/>
        <w:ind w:left="0" w:firstLine="480" w:firstLineChars="200"/>
        <w:jc w:val="left"/>
        <w:rPr>
          <w:rFonts w:ascii="宋体" w:eastAsia="宋体" w:hAnsi="宋体" w:cs="宋体"/>
        </w:rPr>
      </w:pPr>
      <w:r>
        <w:rPr>
          <w:rFonts w:ascii="宋体" w:eastAsia="宋体" w:hAnsi="宋体" w:cs="宋体" w:hint="eastAsia"/>
          <w:sz w:val="24"/>
          <w:szCs w:val="24"/>
        </w:rPr>
        <w:t>承装（修、试）电力设施许可证管理办法  国家发改委令第30号</w:t>
      </w:r>
    </w:p>
    <w:p>
      <w:pPr>
        <w:numPr>
          <w:ilvl w:val="0"/>
          <w:numId w:val="5"/>
        </w:numPr>
        <w:snapToGrid w:val="0"/>
        <w:spacing w:line="360" w:lineRule="auto"/>
        <w:ind w:left="0" w:firstLine="480" w:firstLineChars="200"/>
        <w:jc w:val="left"/>
        <w:rPr>
          <w:rFonts w:ascii="宋体" w:eastAsia="宋体" w:hAnsi="宋体" w:cs="宋体"/>
        </w:rPr>
      </w:pPr>
      <w:r>
        <w:rPr>
          <w:rFonts w:ascii="宋体" w:eastAsia="宋体" w:hAnsi="宋体" w:cs="宋体" w:hint="eastAsia"/>
          <w:sz w:val="24"/>
          <w:szCs w:val="24"/>
        </w:rPr>
        <w:t>数据中心运维管理人才标准              CIET-2019-0504</w:t>
      </w:r>
    </w:p>
    <w:p>
      <w:pPr>
        <w:numPr>
          <w:ilvl w:val="0"/>
          <w:numId w:val="5"/>
        </w:numPr>
        <w:snapToGrid w:val="0"/>
        <w:spacing w:line="360" w:lineRule="auto"/>
        <w:ind w:left="0" w:firstLine="480" w:firstLineChars="200"/>
        <w:jc w:val="left"/>
        <w:rPr>
          <w:rFonts w:ascii="宋体" w:eastAsia="宋体" w:hAnsi="宋体" w:cs="宋体"/>
        </w:rPr>
      </w:pPr>
      <w:r>
        <w:rPr>
          <w:rFonts w:ascii="宋体" w:eastAsia="宋体" w:hAnsi="宋体" w:cs="宋体" w:hint="eastAsia"/>
          <w:sz w:val="24"/>
          <w:szCs w:val="24"/>
        </w:rPr>
        <w:t>建筑消防设施维护保养技术规范          DB11/T 3035—2023</w:t>
      </w:r>
    </w:p>
    <w:p>
      <w:pPr>
        <w:numPr>
          <w:ilvl w:val="0"/>
          <w:numId w:val="5"/>
        </w:numPr>
        <w:snapToGrid w:val="0"/>
        <w:spacing w:line="360" w:lineRule="auto"/>
        <w:ind w:left="0" w:firstLine="480" w:firstLineChars="200"/>
        <w:jc w:val="left"/>
        <w:rPr>
          <w:rFonts w:ascii="宋体" w:eastAsia="宋体" w:hAnsi="宋体" w:cs="宋体"/>
        </w:rPr>
      </w:pPr>
      <w:r>
        <w:rPr>
          <w:rFonts w:ascii="宋体" w:eastAsia="宋体" w:hAnsi="宋体" w:cs="宋体" w:hint="eastAsia"/>
          <w:sz w:val="24"/>
          <w:szCs w:val="24"/>
        </w:rPr>
        <w:t>以上标准，如有版本更新应以最新版本为准。</w:t>
      </w:r>
    </w:p>
    <w:p>
      <w:pPr>
        <w:numPr>
          <w:ilvl w:val="0"/>
          <w:numId w:val="5"/>
        </w:numPr>
        <w:snapToGrid w:val="0"/>
        <w:spacing w:line="360" w:lineRule="auto"/>
        <w:ind w:left="0" w:firstLine="480" w:firstLineChars="200"/>
        <w:jc w:val="left"/>
        <w:rPr>
          <w:rFonts w:ascii="宋体" w:eastAsia="宋体" w:hAnsi="宋体" w:cs="宋体"/>
        </w:rPr>
      </w:pPr>
      <w:r>
        <w:rPr>
          <w:rFonts w:ascii="宋体" w:eastAsia="宋体" w:hAnsi="宋体" w:cs="宋体" w:hint="eastAsia"/>
          <w:sz w:val="24"/>
          <w:szCs w:val="24"/>
        </w:rPr>
        <w:t>其它与履行本项目服务相关的电气、暖通、消防、弱电、智能化等相关规范。</w:t>
      </w:r>
    </w:p>
    <w:p>
      <w:pPr>
        <w:adjustRightInd w:val="0"/>
        <w:snapToGrid w:val="0"/>
        <w:spacing w:line="360" w:lineRule="auto"/>
        <w:ind w:firstLine="480" w:firstLineChars="200"/>
        <w:outlineLvl w:val="1"/>
        <w:rPr>
          <w:rFonts w:ascii="黑体" w:eastAsia="黑体" w:hAnsi="黑体" w:cs="黑体"/>
        </w:rPr>
      </w:pPr>
      <w:r>
        <w:rPr>
          <w:rFonts w:ascii="黑体" w:eastAsia="黑体" w:hAnsi="黑体" w:cs="黑体" w:hint="eastAsia"/>
          <w:sz w:val="24"/>
          <w:szCs w:val="24"/>
        </w:rPr>
        <w:t>三、服务范围</w:t>
      </w:r>
    </w:p>
    <w:p>
      <w:pPr>
        <w:snapToGrid w:val="0"/>
        <w:spacing w:line="360" w:lineRule="auto"/>
        <w:ind w:firstLine="480" w:firstLineChars="200"/>
        <w:jc w:val="left"/>
        <w:rPr>
          <w:rFonts w:ascii="宋体" w:eastAsia="宋体" w:hAnsi="宋体" w:cs="宋体"/>
        </w:rPr>
      </w:pPr>
      <w:r>
        <w:rPr>
          <w:rFonts w:ascii="宋体" w:eastAsia="宋体" w:hAnsi="宋体" w:cs="宋体" w:hint="eastAsia"/>
          <w:sz w:val="24"/>
          <w:szCs w:val="24"/>
        </w:rPr>
        <w:t>本项目的服务范围为国家气象信息中心位于中国气象局大院北区2号楼、北区1号楼、北区3号楼、北区15号楼等范围内的机房场地、电气、暖通空调、消防、门禁、视频安防、动力环境监控等机房场地环境设施，具体如下：</w:t>
      </w:r>
    </w:p>
    <w:p>
      <w:pPr>
        <w:snapToGrid w:val="0"/>
        <w:spacing w:line="360" w:lineRule="auto"/>
        <w:ind w:left="420"/>
        <w:jc w:val="left"/>
        <w:outlineLvl w:val="2"/>
        <w:rPr>
          <w:rFonts w:ascii="楷体_GB2312" w:eastAsia="楷体_GB2312" w:hAnsi="楷体_GB2312" w:cs="楷体_GB2312"/>
        </w:rPr>
      </w:pPr>
      <w:r>
        <w:rPr>
          <w:rFonts w:ascii="楷体_GB2312" w:eastAsia="楷体_GB2312" w:hAnsi="楷体_GB2312" w:cs="楷体_GB2312" w:hint="eastAsia"/>
          <w:sz w:val="24"/>
          <w:szCs w:val="24"/>
        </w:rPr>
        <w:t>（一）机房场地</w:t>
      </w:r>
    </w:p>
    <w:p>
      <w:pPr>
        <w:snapToGrid w:val="0"/>
        <w:spacing w:line="360" w:lineRule="auto"/>
        <w:ind w:firstLine="480" w:firstLineChars="200"/>
        <w:jc w:val="left"/>
        <w:rPr>
          <w:rFonts w:ascii="宋体" w:eastAsia="宋体" w:hAnsi="宋体" w:cs="宋体"/>
        </w:rPr>
      </w:pPr>
      <w:r>
        <w:rPr>
          <w:rFonts w:ascii="宋体" w:eastAsia="宋体" w:hAnsi="宋体" w:cs="宋体" w:hint="eastAsia"/>
          <w:sz w:val="24"/>
          <w:szCs w:val="24"/>
        </w:rPr>
        <w:t>本项目中的机房场地是指国家气象信息中心北区2号楼全部，北区15号楼、北区1号楼内国家气象信息中心所属机房区、辅助机房区内的地面、墙壁、吊顶、门、照明、插座、应急照明、防雷接地、线槽等设施，具体明细如下：</w:t>
      </w:r>
    </w:p>
    <w:p>
      <w:pPr>
        <w:snapToGrid w:val="0"/>
        <w:spacing w:line="360" w:lineRule="auto"/>
        <w:jc w:val="center"/>
        <w:rPr>
          <w:rFonts w:ascii="宋体" w:eastAsia="宋体" w:hAnsi="宋体" w:cs="宋体"/>
          <w:szCs w:val="21"/>
        </w:rPr>
      </w:pPr>
      <w:r>
        <w:rPr>
          <w:rFonts w:ascii="宋体" w:eastAsia="宋体" w:hAnsi="宋体" w:cs="宋体" w:hint="eastAsia"/>
          <w:szCs w:val="21"/>
        </w:rPr>
        <w:t>表3-1 国家气象信息中心场地设施明细表</w:t>
      </w:r>
    </w:p>
    <w:tbl>
      <w:tblPr>
        <w:tblStyle w:val="TableGrid"/>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857"/>
        <w:gridCol w:w="1770"/>
        <w:gridCol w:w="810"/>
        <w:gridCol w:w="930"/>
        <w:gridCol w:w="4155"/>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454"/>
          <w:jc w:val="center"/>
        </w:trPr>
        <w:tc>
          <w:tcPr>
            <w:tcW w:w="857" w:type="dxa"/>
            <w:vAlign w:val="center"/>
          </w:tcPr>
          <w:p>
            <w:pPr>
              <w:adjustRightInd w:val="0"/>
              <w:snapToGrid w:val="0"/>
              <w:jc w:val="center"/>
              <w:rPr>
                <w:rFonts w:ascii="宋体" w:eastAsia="宋体" w:hAnsi="宋体" w:cs="宋体"/>
                <w:szCs w:val="21"/>
              </w:rPr>
            </w:pPr>
            <w:r>
              <w:rPr>
                <w:rFonts w:ascii="宋体" w:eastAsia="宋体" w:hAnsi="宋体" w:cs="宋体" w:hint="eastAsia"/>
                <w:szCs w:val="21"/>
              </w:rPr>
              <w:t>编号</w:t>
            </w:r>
          </w:p>
        </w:tc>
        <w:tc>
          <w:tcPr>
            <w:tcW w:w="1770" w:type="dxa"/>
            <w:vAlign w:val="center"/>
          </w:tcPr>
          <w:p>
            <w:pPr>
              <w:adjustRightInd w:val="0"/>
              <w:snapToGrid w:val="0"/>
              <w:jc w:val="center"/>
              <w:rPr>
                <w:rFonts w:ascii="宋体" w:eastAsia="宋体" w:hAnsi="宋体" w:cs="宋体"/>
                <w:szCs w:val="21"/>
              </w:rPr>
            </w:pPr>
            <w:r>
              <w:rPr>
                <w:rFonts w:ascii="宋体" w:eastAsia="宋体" w:hAnsi="宋体" w:cs="宋体" w:hint="eastAsia"/>
                <w:szCs w:val="21"/>
              </w:rPr>
              <w:t>机房地点</w:t>
            </w:r>
          </w:p>
        </w:tc>
        <w:tc>
          <w:tcPr>
            <w:tcW w:w="810" w:type="dxa"/>
            <w:vAlign w:val="center"/>
          </w:tcPr>
          <w:p>
            <w:pPr>
              <w:adjustRightInd w:val="0"/>
              <w:snapToGrid w:val="0"/>
              <w:jc w:val="center"/>
              <w:rPr>
                <w:rFonts w:ascii="宋体" w:eastAsia="宋体" w:hAnsi="宋体" w:cs="宋体"/>
                <w:szCs w:val="21"/>
              </w:rPr>
            </w:pPr>
            <w:r>
              <w:rPr>
                <w:rFonts w:ascii="宋体" w:eastAsia="宋体" w:hAnsi="宋体" w:cs="宋体" w:hint="eastAsia"/>
                <w:szCs w:val="21"/>
              </w:rPr>
              <w:t>单位</w:t>
            </w:r>
          </w:p>
        </w:tc>
        <w:tc>
          <w:tcPr>
            <w:tcW w:w="930" w:type="dxa"/>
            <w:vAlign w:val="center"/>
          </w:tcPr>
          <w:p>
            <w:pPr>
              <w:adjustRightInd w:val="0"/>
              <w:snapToGrid w:val="0"/>
              <w:jc w:val="center"/>
              <w:rPr>
                <w:rFonts w:ascii="宋体" w:eastAsia="宋体" w:hAnsi="宋体" w:cs="宋体"/>
                <w:szCs w:val="21"/>
              </w:rPr>
            </w:pPr>
            <w:r>
              <w:rPr>
                <w:rFonts w:ascii="宋体" w:eastAsia="宋体" w:hAnsi="宋体" w:cs="宋体" w:hint="eastAsia"/>
                <w:szCs w:val="21"/>
              </w:rPr>
              <w:t>数量</w:t>
            </w:r>
          </w:p>
        </w:tc>
        <w:tc>
          <w:tcPr>
            <w:tcW w:w="4155" w:type="dxa"/>
            <w:vAlign w:val="center"/>
          </w:tcPr>
          <w:p>
            <w:pPr>
              <w:adjustRightInd w:val="0"/>
              <w:snapToGrid w:val="0"/>
              <w:jc w:val="center"/>
              <w:rPr>
                <w:rFonts w:ascii="宋体" w:eastAsia="宋体" w:hAnsi="宋体" w:cs="宋体"/>
                <w:szCs w:val="21"/>
              </w:rPr>
            </w:pPr>
            <w:r>
              <w:rPr>
                <w:rFonts w:ascii="宋体" w:eastAsia="宋体" w:hAnsi="宋体" w:cs="宋体" w:hint="eastAsia"/>
                <w:szCs w:val="21"/>
              </w:rPr>
              <w:t>设施明细</w:t>
            </w:r>
          </w:p>
        </w:tc>
      </w:tr>
      <w:tr>
        <w:tblPrEx>
          <w:tblW w:w="0" w:type="auto"/>
          <w:jc w:val="center"/>
          <w:tblCellMar>
            <w:top w:w="0" w:type="dxa"/>
            <w:left w:w="108" w:type="dxa"/>
            <w:bottom w:w="0" w:type="dxa"/>
            <w:right w:w="108" w:type="dxa"/>
          </w:tblCellMar>
        </w:tblPrEx>
        <w:trPr>
          <w:trHeight w:val="454"/>
          <w:jc w:val="center"/>
        </w:trPr>
        <w:tc>
          <w:tcPr>
            <w:tcW w:w="857" w:type="dxa"/>
            <w:vAlign w:val="center"/>
          </w:tcPr>
          <w:p>
            <w:pPr>
              <w:adjustRightInd w:val="0"/>
              <w:snapToGrid w:val="0"/>
              <w:jc w:val="center"/>
              <w:rPr>
                <w:rFonts w:ascii="宋体" w:eastAsia="宋体" w:hAnsi="宋体" w:cs="宋体"/>
                <w:szCs w:val="21"/>
              </w:rPr>
            </w:pPr>
            <w:r>
              <w:rPr>
                <w:rFonts w:ascii="宋体" w:eastAsia="宋体" w:hAnsi="宋体" w:cs="宋体" w:hint="eastAsia"/>
                <w:szCs w:val="21"/>
              </w:rPr>
              <w:t>1</w:t>
            </w:r>
          </w:p>
        </w:tc>
        <w:tc>
          <w:tcPr>
            <w:tcW w:w="1770" w:type="dxa"/>
            <w:vAlign w:val="center"/>
          </w:tcPr>
          <w:p>
            <w:pPr>
              <w:adjustRightInd w:val="0"/>
              <w:snapToGrid w:val="0"/>
              <w:jc w:val="center"/>
              <w:rPr>
                <w:rFonts w:ascii="宋体" w:eastAsia="宋体" w:hAnsi="宋体" w:cs="宋体"/>
                <w:szCs w:val="21"/>
              </w:rPr>
            </w:pPr>
            <w:r>
              <w:rPr>
                <w:rFonts w:ascii="宋体" w:eastAsia="宋体" w:hAnsi="宋体" w:cs="宋体" w:hint="eastAsia"/>
                <w:szCs w:val="21"/>
              </w:rPr>
              <w:t>北区2号楼</w:t>
            </w:r>
          </w:p>
        </w:tc>
        <w:tc>
          <w:tcPr>
            <w:tcW w:w="810" w:type="dxa"/>
            <w:vAlign w:val="center"/>
          </w:tcPr>
          <w:p>
            <w:pPr>
              <w:adjustRightInd w:val="0"/>
              <w:snapToGrid w:val="0"/>
              <w:jc w:val="center"/>
              <w:rPr>
                <w:rFonts w:ascii="宋体" w:eastAsia="宋体" w:hAnsi="宋体" w:cs="宋体"/>
                <w:szCs w:val="21"/>
              </w:rPr>
            </w:pPr>
            <w:r>
              <w:rPr>
                <w:rFonts w:ascii="宋体" w:eastAsia="宋体" w:hAnsi="宋体" w:cs="宋体" w:hint="eastAsia"/>
                <w:szCs w:val="21"/>
              </w:rPr>
              <w:t>m</w:t>
            </w:r>
            <w:r>
              <w:rPr>
                <w:rFonts w:ascii="宋体" w:eastAsia="宋体" w:hAnsi="宋体" w:cs="宋体" w:hint="eastAsia"/>
                <w:szCs w:val="21"/>
                <w:vertAlign w:val="superscript"/>
              </w:rPr>
              <w:t>2</w:t>
            </w:r>
          </w:p>
        </w:tc>
        <w:tc>
          <w:tcPr>
            <w:tcW w:w="930" w:type="dxa"/>
            <w:vAlign w:val="center"/>
          </w:tcPr>
          <w:p>
            <w:pPr>
              <w:adjustRightInd w:val="0"/>
              <w:snapToGrid w:val="0"/>
              <w:jc w:val="center"/>
              <w:rPr>
                <w:rFonts w:ascii="宋体" w:eastAsia="宋体" w:hAnsi="宋体" w:cs="宋体"/>
                <w:szCs w:val="21"/>
              </w:rPr>
            </w:pPr>
            <w:r>
              <w:rPr>
                <w:rFonts w:ascii="宋体" w:eastAsia="宋体" w:hAnsi="宋体" w:cs="宋体" w:hint="eastAsia"/>
                <w:szCs w:val="21"/>
              </w:rPr>
              <w:t>3840</w:t>
            </w:r>
          </w:p>
        </w:tc>
        <w:tc>
          <w:tcPr>
            <w:tcW w:w="4155" w:type="dxa"/>
            <w:vMerge w:val="restart"/>
            <w:vAlign w:val="center"/>
          </w:tcPr>
          <w:p>
            <w:pPr>
              <w:adjustRightInd w:val="0"/>
              <w:snapToGrid w:val="0"/>
              <w:jc w:val="left"/>
              <w:rPr>
                <w:rFonts w:ascii="宋体" w:eastAsia="宋体" w:hAnsi="宋体" w:cs="宋体"/>
                <w:szCs w:val="21"/>
              </w:rPr>
            </w:pPr>
            <w:r>
              <w:rPr>
                <w:rFonts w:ascii="宋体" w:eastAsia="宋体" w:hAnsi="宋体" w:cs="宋体" w:hint="eastAsia"/>
                <w:szCs w:val="21"/>
              </w:rPr>
              <w:t>地板、墙壁、吊顶、门、照明、插座、应急照明、防雷接地、线槽等</w:t>
            </w:r>
          </w:p>
        </w:tc>
      </w:tr>
      <w:tr>
        <w:tblPrEx>
          <w:tblW w:w="0" w:type="auto"/>
          <w:jc w:val="center"/>
          <w:tblCellMar>
            <w:top w:w="0" w:type="dxa"/>
            <w:left w:w="108" w:type="dxa"/>
            <w:bottom w:w="0" w:type="dxa"/>
            <w:right w:w="108" w:type="dxa"/>
          </w:tblCellMar>
        </w:tblPrEx>
        <w:trPr>
          <w:trHeight w:val="454"/>
          <w:jc w:val="center"/>
        </w:trPr>
        <w:tc>
          <w:tcPr>
            <w:tcW w:w="857" w:type="dxa"/>
            <w:vAlign w:val="center"/>
          </w:tcPr>
          <w:p>
            <w:pPr>
              <w:adjustRightInd w:val="0"/>
              <w:snapToGrid w:val="0"/>
              <w:jc w:val="center"/>
              <w:rPr>
                <w:rFonts w:ascii="宋体" w:eastAsia="宋体" w:hAnsi="宋体" w:cs="宋体"/>
                <w:szCs w:val="21"/>
              </w:rPr>
            </w:pPr>
            <w:r>
              <w:rPr>
                <w:rFonts w:ascii="宋体" w:eastAsia="宋体" w:hAnsi="宋体" w:cs="宋体" w:hint="eastAsia"/>
                <w:szCs w:val="21"/>
              </w:rPr>
              <w:t>2</w:t>
            </w:r>
          </w:p>
        </w:tc>
        <w:tc>
          <w:tcPr>
            <w:tcW w:w="1770" w:type="dxa"/>
            <w:vAlign w:val="center"/>
          </w:tcPr>
          <w:p>
            <w:pPr>
              <w:adjustRightInd w:val="0"/>
              <w:snapToGrid w:val="0"/>
              <w:jc w:val="center"/>
              <w:rPr>
                <w:rFonts w:ascii="宋体" w:eastAsia="宋体" w:hAnsi="宋体" w:cs="宋体"/>
                <w:szCs w:val="21"/>
              </w:rPr>
            </w:pPr>
            <w:r>
              <w:rPr>
                <w:rFonts w:ascii="宋体" w:eastAsia="宋体" w:hAnsi="宋体" w:cs="宋体" w:hint="eastAsia"/>
                <w:szCs w:val="21"/>
              </w:rPr>
              <w:t>北区1号楼</w:t>
            </w:r>
          </w:p>
        </w:tc>
        <w:tc>
          <w:tcPr>
            <w:tcW w:w="810" w:type="dxa"/>
            <w:vAlign w:val="center"/>
          </w:tcPr>
          <w:p>
            <w:pPr>
              <w:adjustRightInd w:val="0"/>
              <w:snapToGrid w:val="0"/>
              <w:jc w:val="center"/>
              <w:rPr>
                <w:rFonts w:ascii="宋体" w:eastAsia="宋体" w:hAnsi="宋体" w:cs="宋体"/>
                <w:szCs w:val="21"/>
              </w:rPr>
            </w:pPr>
            <w:r>
              <w:rPr>
                <w:rFonts w:ascii="宋体" w:eastAsia="宋体" w:hAnsi="宋体" w:cs="宋体" w:hint="eastAsia"/>
                <w:szCs w:val="21"/>
              </w:rPr>
              <w:t>m</w:t>
            </w:r>
            <w:r>
              <w:rPr>
                <w:rFonts w:ascii="宋体" w:eastAsia="宋体" w:hAnsi="宋体" w:cs="宋体" w:hint="eastAsia"/>
                <w:szCs w:val="21"/>
                <w:vertAlign w:val="superscript"/>
              </w:rPr>
              <w:t>2</w:t>
            </w:r>
          </w:p>
        </w:tc>
        <w:tc>
          <w:tcPr>
            <w:tcW w:w="930" w:type="dxa"/>
            <w:vAlign w:val="center"/>
          </w:tcPr>
          <w:p>
            <w:pPr>
              <w:adjustRightInd w:val="0"/>
              <w:snapToGrid w:val="0"/>
              <w:jc w:val="center"/>
              <w:rPr>
                <w:rFonts w:ascii="宋体" w:eastAsia="宋体" w:hAnsi="宋体" w:cs="宋体"/>
                <w:szCs w:val="21"/>
              </w:rPr>
            </w:pPr>
            <w:r>
              <w:rPr>
                <w:rFonts w:ascii="宋体" w:eastAsia="宋体" w:hAnsi="宋体" w:cs="宋体" w:hint="eastAsia"/>
                <w:szCs w:val="21"/>
              </w:rPr>
              <w:t>300</w:t>
            </w:r>
          </w:p>
        </w:tc>
        <w:tc>
          <w:tcPr>
            <w:tcW w:w="4155" w:type="dxa"/>
            <w:vMerge/>
            <w:vAlign w:val="center"/>
          </w:tcPr>
          <w:p>
            <w:pPr>
              <w:adjustRightInd w:val="0"/>
              <w:snapToGrid w:val="0"/>
              <w:jc w:val="left"/>
              <w:rPr>
                <w:rFonts w:ascii="宋体" w:eastAsia="宋体" w:hAnsi="宋体" w:cs="宋体"/>
                <w:szCs w:val="21"/>
              </w:rPr>
            </w:pPr>
          </w:p>
        </w:tc>
      </w:tr>
      <w:tr>
        <w:tblPrEx>
          <w:tblW w:w="0" w:type="auto"/>
          <w:jc w:val="center"/>
          <w:tblCellMar>
            <w:top w:w="0" w:type="dxa"/>
            <w:left w:w="108" w:type="dxa"/>
            <w:bottom w:w="0" w:type="dxa"/>
            <w:right w:w="108" w:type="dxa"/>
          </w:tblCellMar>
        </w:tblPrEx>
        <w:trPr>
          <w:trHeight w:val="454"/>
          <w:jc w:val="center"/>
        </w:trPr>
        <w:tc>
          <w:tcPr>
            <w:tcW w:w="857" w:type="dxa"/>
            <w:vAlign w:val="center"/>
          </w:tcPr>
          <w:p>
            <w:pPr>
              <w:adjustRightInd w:val="0"/>
              <w:snapToGrid w:val="0"/>
              <w:jc w:val="center"/>
              <w:rPr>
                <w:rFonts w:ascii="宋体" w:eastAsia="宋体" w:hAnsi="宋体" w:cs="宋体"/>
                <w:szCs w:val="21"/>
              </w:rPr>
            </w:pPr>
            <w:r>
              <w:rPr>
                <w:rFonts w:ascii="宋体" w:eastAsia="宋体" w:hAnsi="宋体" w:cs="宋体" w:hint="eastAsia"/>
                <w:szCs w:val="21"/>
              </w:rPr>
              <w:t>3</w:t>
            </w:r>
          </w:p>
        </w:tc>
        <w:tc>
          <w:tcPr>
            <w:tcW w:w="1770" w:type="dxa"/>
            <w:vAlign w:val="center"/>
          </w:tcPr>
          <w:p>
            <w:pPr>
              <w:adjustRightInd w:val="0"/>
              <w:snapToGrid w:val="0"/>
              <w:jc w:val="center"/>
              <w:rPr>
                <w:rFonts w:ascii="宋体" w:eastAsia="宋体" w:hAnsi="宋体" w:cs="宋体"/>
                <w:szCs w:val="21"/>
              </w:rPr>
            </w:pPr>
            <w:r>
              <w:rPr>
                <w:rFonts w:ascii="宋体" w:eastAsia="宋体" w:hAnsi="宋体" w:cs="宋体" w:hint="eastAsia"/>
                <w:szCs w:val="21"/>
              </w:rPr>
              <w:t>北区15号楼</w:t>
            </w:r>
          </w:p>
        </w:tc>
        <w:tc>
          <w:tcPr>
            <w:tcW w:w="810" w:type="dxa"/>
            <w:vAlign w:val="center"/>
          </w:tcPr>
          <w:p>
            <w:pPr>
              <w:adjustRightInd w:val="0"/>
              <w:snapToGrid w:val="0"/>
              <w:jc w:val="center"/>
              <w:rPr>
                <w:rFonts w:ascii="宋体" w:eastAsia="宋体" w:hAnsi="宋体" w:cs="宋体"/>
                <w:szCs w:val="21"/>
              </w:rPr>
            </w:pPr>
            <w:r>
              <w:rPr>
                <w:rFonts w:ascii="宋体" w:eastAsia="宋体" w:hAnsi="宋体" w:cs="宋体" w:hint="eastAsia"/>
                <w:szCs w:val="21"/>
              </w:rPr>
              <w:t>m</w:t>
            </w:r>
            <w:r>
              <w:rPr>
                <w:rFonts w:ascii="宋体" w:eastAsia="宋体" w:hAnsi="宋体" w:cs="宋体" w:hint="eastAsia"/>
                <w:szCs w:val="21"/>
                <w:vertAlign w:val="superscript"/>
              </w:rPr>
              <w:t>2</w:t>
            </w:r>
          </w:p>
        </w:tc>
        <w:tc>
          <w:tcPr>
            <w:tcW w:w="930" w:type="dxa"/>
            <w:vAlign w:val="center"/>
          </w:tcPr>
          <w:p>
            <w:pPr>
              <w:adjustRightInd w:val="0"/>
              <w:snapToGrid w:val="0"/>
              <w:jc w:val="center"/>
              <w:rPr>
                <w:rFonts w:ascii="宋体" w:eastAsia="宋体" w:hAnsi="宋体" w:cs="宋体"/>
                <w:szCs w:val="21"/>
              </w:rPr>
            </w:pPr>
            <w:r>
              <w:rPr>
                <w:rFonts w:ascii="宋体" w:eastAsia="宋体" w:hAnsi="宋体" w:cs="宋体" w:hint="eastAsia"/>
                <w:szCs w:val="21"/>
              </w:rPr>
              <w:t>6400</w:t>
            </w:r>
          </w:p>
        </w:tc>
        <w:tc>
          <w:tcPr>
            <w:tcW w:w="4155" w:type="dxa"/>
            <w:vMerge/>
            <w:vAlign w:val="center"/>
          </w:tcPr>
          <w:p>
            <w:pPr>
              <w:adjustRightInd w:val="0"/>
              <w:snapToGrid w:val="0"/>
              <w:jc w:val="left"/>
              <w:rPr>
                <w:rFonts w:ascii="宋体" w:eastAsia="宋体" w:hAnsi="宋体" w:cs="宋体"/>
                <w:szCs w:val="21"/>
              </w:rPr>
            </w:pPr>
          </w:p>
        </w:tc>
      </w:tr>
      <w:tr>
        <w:tblPrEx>
          <w:tblW w:w="0" w:type="auto"/>
          <w:jc w:val="center"/>
          <w:tblCellMar>
            <w:top w:w="0" w:type="dxa"/>
            <w:left w:w="108" w:type="dxa"/>
            <w:bottom w:w="0" w:type="dxa"/>
            <w:right w:w="108" w:type="dxa"/>
          </w:tblCellMar>
        </w:tblPrEx>
        <w:trPr>
          <w:trHeight w:val="454"/>
          <w:jc w:val="center"/>
        </w:trPr>
        <w:tc>
          <w:tcPr>
            <w:tcW w:w="857" w:type="dxa"/>
            <w:vAlign w:val="center"/>
          </w:tcPr>
          <w:p>
            <w:pPr>
              <w:adjustRightInd w:val="0"/>
              <w:snapToGrid w:val="0"/>
              <w:jc w:val="center"/>
              <w:rPr>
                <w:rFonts w:ascii="宋体" w:eastAsia="宋体" w:hAnsi="宋体" w:cs="宋体"/>
                <w:szCs w:val="21"/>
              </w:rPr>
            </w:pPr>
            <w:r>
              <w:rPr>
                <w:rFonts w:ascii="宋体" w:eastAsia="宋体" w:hAnsi="宋体" w:cs="宋体" w:hint="eastAsia"/>
                <w:szCs w:val="21"/>
              </w:rPr>
              <w:t>4</w:t>
            </w:r>
          </w:p>
        </w:tc>
        <w:tc>
          <w:tcPr>
            <w:tcW w:w="1770" w:type="dxa"/>
            <w:vAlign w:val="center"/>
          </w:tcPr>
          <w:p>
            <w:pPr>
              <w:adjustRightInd w:val="0"/>
              <w:snapToGrid w:val="0"/>
              <w:jc w:val="center"/>
              <w:rPr>
                <w:rFonts w:ascii="宋体" w:eastAsia="宋体" w:hAnsi="宋体" w:cs="宋体"/>
                <w:szCs w:val="21"/>
              </w:rPr>
            </w:pPr>
            <w:r>
              <w:rPr>
                <w:rFonts w:ascii="宋体" w:eastAsia="宋体" w:hAnsi="宋体" w:cs="宋体" w:hint="eastAsia"/>
                <w:szCs w:val="21"/>
              </w:rPr>
              <w:t>北区3号楼</w:t>
            </w:r>
          </w:p>
        </w:tc>
        <w:tc>
          <w:tcPr>
            <w:tcW w:w="810" w:type="dxa"/>
            <w:vAlign w:val="center"/>
          </w:tcPr>
          <w:p>
            <w:pPr>
              <w:adjustRightInd w:val="0"/>
              <w:snapToGrid w:val="0"/>
              <w:jc w:val="center"/>
              <w:rPr>
                <w:rFonts w:ascii="宋体" w:eastAsia="宋体" w:hAnsi="宋体" w:cs="宋体"/>
                <w:szCs w:val="21"/>
              </w:rPr>
            </w:pPr>
            <w:r>
              <w:rPr>
                <w:rFonts w:ascii="宋体" w:eastAsia="宋体" w:hAnsi="宋体" w:cs="宋体" w:hint="eastAsia"/>
                <w:szCs w:val="21"/>
              </w:rPr>
              <w:t>m</w:t>
            </w:r>
            <w:r>
              <w:rPr>
                <w:rFonts w:ascii="宋体" w:eastAsia="宋体" w:hAnsi="宋体" w:cs="宋体" w:hint="eastAsia"/>
                <w:szCs w:val="21"/>
                <w:vertAlign w:val="superscript"/>
              </w:rPr>
              <w:t>2</w:t>
            </w:r>
          </w:p>
        </w:tc>
        <w:tc>
          <w:tcPr>
            <w:tcW w:w="930" w:type="dxa"/>
            <w:vAlign w:val="center"/>
          </w:tcPr>
          <w:p>
            <w:pPr>
              <w:adjustRightInd w:val="0"/>
              <w:snapToGrid w:val="0"/>
              <w:jc w:val="center"/>
              <w:rPr>
                <w:rFonts w:ascii="宋体" w:eastAsia="宋体" w:hAnsi="宋体" w:cs="宋体"/>
                <w:szCs w:val="21"/>
              </w:rPr>
            </w:pPr>
            <w:r>
              <w:rPr>
                <w:rFonts w:ascii="宋体" w:eastAsia="宋体" w:hAnsi="宋体" w:cs="宋体"/>
                <w:szCs w:val="21"/>
              </w:rPr>
              <w:t>1000</w:t>
            </w:r>
          </w:p>
        </w:tc>
        <w:tc>
          <w:tcPr>
            <w:tcW w:w="4155" w:type="dxa"/>
            <w:vMerge/>
            <w:vAlign w:val="center"/>
          </w:tcPr>
          <w:p>
            <w:pPr>
              <w:adjustRightInd w:val="0"/>
              <w:snapToGrid w:val="0"/>
              <w:jc w:val="left"/>
              <w:rPr>
                <w:rFonts w:ascii="宋体" w:eastAsia="宋体" w:hAnsi="宋体" w:cs="宋体"/>
                <w:szCs w:val="21"/>
              </w:rPr>
            </w:pPr>
          </w:p>
        </w:tc>
      </w:tr>
    </w:tbl>
    <w:p>
      <w:pPr>
        <w:snapToGrid w:val="0"/>
        <w:spacing w:line="360" w:lineRule="auto"/>
        <w:ind w:left="420" w:leftChars="200"/>
        <w:jc w:val="left"/>
        <w:rPr>
          <w:rFonts w:ascii="宋体" w:eastAsia="宋体" w:hAnsi="宋体" w:cs="宋体"/>
        </w:rPr>
      </w:pPr>
      <w:r>
        <w:rPr>
          <w:rFonts w:ascii="宋体" w:eastAsia="宋体" w:hAnsi="宋体" w:cs="宋体" w:hint="eastAsia"/>
          <w:sz w:val="24"/>
          <w:szCs w:val="24"/>
        </w:rPr>
        <w:t>最终设施明细以现场勘查情况为准。</w:t>
      </w:r>
    </w:p>
    <w:p>
      <w:pPr>
        <w:snapToGrid w:val="0"/>
        <w:spacing w:line="360" w:lineRule="auto"/>
        <w:ind w:left="420"/>
        <w:jc w:val="left"/>
        <w:outlineLvl w:val="2"/>
        <w:rPr>
          <w:rFonts w:ascii="楷体_GB2312" w:eastAsia="楷体_GB2312" w:hAnsi="楷体_GB2312" w:cs="楷体_GB2312"/>
        </w:rPr>
      </w:pPr>
      <w:r>
        <w:rPr>
          <w:rFonts w:ascii="楷体_GB2312" w:eastAsia="楷体_GB2312" w:hAnsi="楷体_GB2312" w:cs="楷体_GB2312" w:hint="eastAsia"/>
          <w:sz w:val="24"/>
          <w:szCs w:val="24"/>
        </w:rPr>
        <w:t>（二）电气设施</w:t>
      </w:r>
    </w:p>
    <w:p>
      <w:pPr>
        <w:snapToGrid w:val="0"/>
        <w:spacing w:line="360" w:lineRule="auto"/>
        <w:ind w:firstLine="480" w:firstLineChars="200"/>
        <w:jc w:val="left"/>
        <w:rPr>
          <w:rFonts w:ascii="宋体" w:eastAsia="宋体" w:hAnsi="宋体" w:cs="宋体"/>
        </w:rPr>
      </w:pPr>
      <w:r>
        <w:rPr>
          <w:rFonts w:ascii="宋体" w:eastAsia="宋体" w:hAnsi="宋体" w:cs="宋体" w:hint="eastAsia"/>
          <w:sz w:val="24"/>
          <w:szCs w:val="24"/>
        </w:rPr>
        <w:t>本项目中的电气设施包括但不限于低压配电柜、UPS、蓄电池、列头柜、PDU、电线电缆等，以及相关楼层办公用电气设施，具体包括：</w:t>
      </w:r>
    </w:p>
    <w:p>
      <w:pPr>
        <w:numPr>
          <w:ilvl w:val="0"/>
          <w:numId w:val="5"/>
        </w:numPr>
        <w:snapToGrid w:val="0"/>
        <w:spacing w:line="360" w:lineRule="auto"/>
        <w:ind w:left="0" w:firstLine="480" w:firstLineChars="200"/>
        <w:jc w:val="left"/>
        <w:rPr>
          <w:rFonts w:ascii="宋体" w:eastAsia="宋体" w:hAnsi="宋体" w:cs="宋体"/>
        </w:rPr>
      </w:pPr>
      <w:r>
        <w:rPr>
          <w:rFonts w:ascii="宋体" w:eastAsia="宋体" w:hAnsi="宋体" w:cs="宋体" w:hint="eastAsia"/>
          <w:sz w:val="24"/>
          <w:szCs w:val="24"/>
        </w:rPr>
        <w:t>北区2号楼整体业务、办公电气设施；</w:t>
      </w:r>
    </w:p>
    <w:p>
      <w:pPr>
        <w:numPr>
          <w:ilvl w:val="0"/>
          <w:numId w:val="5"/>
        </w:numPr>
        <w:snapToGrid w:val="0"/>
        <w:spacing w:line="360" w:lineRule="auto"/>
        <w:ind w:left="0" w:firstLine="480" w:firstLineChars="200"/>
        <w:jc w:val="left"/>
        <w:rPr>
          <w:rFonts w:ascii="宋体" w:eastAsia="宋体" w:hAnsi="宋体" w:cs="宋体"/>
        </w:rPr>
      </w:pPr>
      <w:r>
        <w:rPr>
          <w:rFonts w:ascii="宋体" w:eastAsia="宋体" w:hAnsi="宋体" w:cs="宋体" w:hint="eastAsia"/>
          <w:sz w:val="24"/>
          <w:szCs w:val="24"/>
        </w:rPr>
        <w:t>北区1号楼一层UPS机房、二层园区电讯机房及各楼层弱电间业务、办公电气设施；</w:t>
      </w:r>
    </w:p>
    <w:p>
      <w:pPr>
        <w:numPr>
          <w:ilvl w:val="0"/>
          <w:numId w:val="5"/>
        </w:numPr>
        <w:snapToGrid w:val="0"/>
        <w:spacing w:line="360" w:lineRule="auto"/>
        <w:ind w:left="0" w:firstLine="480" w:firstLineChars="200"/>
        <w:jc w:val="left"/>
        <w:rPr>
          <w:rFonts w:ascii="宋体" w:eastAsia="宋体" w:hAnsi="宋体" w:cs="宋体"/>
        </w:rPr>
      </w:pPr>
      <w:r>
        <w:rPr>
          <w:rFonts w:ascii="宋体" w:eastAsia="宋体" w:hAnsi="宋体" w:cs="宋体" w:hint="eastAsia"/>
          <w:sz w:val="24"/>
          <w:szCs w:val="24"/>
        </w:rPr>
        <w:t>北区3号楼三层气象档案库房（科技楼库区）所属电气设施；</w:t>
      </w:r>
    </w:p>
    <w:p>
      <w:pPr>
        <w:numPr>
          <w:ilvl w:val="0"/>
          <w:numId w:val="5"/>
        </w:numPr>
        <w:snapToGrid w:val="0"/>
        <w:spacing w:line="360" w:lineRule="auto"/>
        <w:ind w:left="0" w:firstLine="480" w:firstLineChars="200"/>
        <w:jc w:val="left"/>
        <w:rPr>
          <w:rFonts w:ascii="宋体" w:eastAsia="宋体" w:hAnsi="宋体" w:cs="宋体"/>
        </w:rPr>
      </w:pPr>
      <w:r>
        <w:rPr>
          <w:rFonts w:ascii="宋体" w:eastAsia="宋体" w:hAnsi="宋体" w:cs="宋体" w:hint="eastAsia"/>
          <w:sz w:val="24"/>
          <w:szCs w:val="24"/>
        </w:rPr>
        <w:t>北区15号楼二层派超算机房北侧2排机柜、大屏机房、视频会商机房及各楼层弱电间电气设施。</w:t>
      </w:r>
    </w:p>
    <w:p>
      <w:pPr>
        <w:snapToGrid w:val="0"/>
        <w:spacing w:line="360" w:lineRule="auto"/>
        <w:ind w:left="420" w:leftChars="200"/>
        <w:jc w:val="left"/>
        <w:rPr>
          <w:rFonts w:ascii="宋体" w:eastAsia="宋体" w:hAnsi="宋体" w:cs="宋体"/>
        </w:rPr>
      </w:pPr>
      <w:r>
        <w:rPr>
          <w:rFonts w:ascii="宋体" w:eastAsia="宋体" w:hAnsi="宋体" w:cs="宋体" w:hint="eastAsia"/>
          <w:sz w:val="24"/>
          <w:szCs w:val="24"/>
        </w:rPr>
        <w:t>最终设施明细以现场勘查情况为准。</w:t>
      </w:r>
    </w:p>
    <w:p>
      <w:pPr>
        <w:snapToGrid w:val="0"/>
        <w:spacing w:line="360" w:lineRule="auto"/>
        <w:ind w:left="420"/>
        <w:jc w:val="left"/>
        <w:outlineLvl w:val="2"/>
        <w:rPr>
          <w:rFonts w:ascii="楷体_GB2312" w:eastAsia="楷体_GB2312" w:hAnsi="楷体_GB2312" w:cs="楷体_GB2312"/>
        </w:rPr>
      </w:pPr>
      <w:r>
        <w:rPr>
          <w:rFonts w:ascii="楷体_GB2312" w:eastAsia="楷体_GB2312" w:hAnsi="楷体_GB2312" w:cs="楷体_GB2312" w:hint="eastAsia"/>
          <w:sz w:val="24"/>
          <w:szCs w:val="24"/>
        </w:rPr>
        <w:t>（三）暖通设施</w:t>
      </w:r>
    </w:p>
    <w:p>
      <w:pPr>
        <w:snapToGrid w:val="0"/>
        <w:spacing w:line="360" w:lineRule="auto"/>
        <w:ind w:firstLine="480" w:firstLineChars="200"/>
        <w:jc w:val="left"/>
        <w:rPr>
          <w:rFonts w:ascii="宋体" w:eastAsia="宋体" w:hAnsi="宋体" w:cs="宋体"/>
        </w:rPr>
      </w:pPr>
      <w:r>
        <w:rPr>
          <w:rFonts w:ascii="宋体" w:eastAsia="宋体" w:hAnsi="宋体" w:cs="宋体" w:hint="eastAsia"/>
          <w:sz w:val="24"/>
          <w:szCs w:val="24"/>
        </w:rPr>
        <w:t>本项目中的暖通设施是指国家气象信息中心北区2号楼、北区1号楼、北区3号楼内所属的机房精密空调、中央空调、VRV空调、新风等设施，以及北区15号楼二层派超算机房北侧2排机柜和九层卫星主站机房内机房空调，天镜厅内的VRV空调、新风等暖通设施，具体包括：</w:t>
      </w:r>
    </w:p>
    <w:p>
      <w:pPr>
        <w:numPr>
          <w:ilvl w:val="0"/>
          <w:numId w:val="5"/>
        </w:numPr>
        <w:snapToGrid w:val="0"/>
        <w:spacing w:line="360" w:lineRule="auto"/>
        <w:ind w:left="0" w:firstLine="480" w:firstLineChars="200"/>
        <w:jc w:val="left"/>
        <w:rPr>
          <w:rFonts w:ascii="宋体" w:eastAsia="宋体" w:hAnsi="宋体" w:cs="宋体"/>
        </w:rPr>
      </w:pPr>
      <w:r>
        <w:rPr>
          <w:rFonts w:ascii="宋体" w:eastAsia="宋体" w:hAnsi="宋体" w:cs="宋体" w:hint="eastAsia"/>
          <w:sz w:val="24"/>
          <w:szCs w:val="24"/>
        </w:rPr>
        <w:t>北区2号楼整体机房精密空调、VRV空调、中央空调等暖通设施；</w:t>
      </w:r>
    </w:p>
    <w:p>
      <w:pPr>
        <w:numPr>
          <w:ilvl w:val="0"/>
          <w:numId w:val="5"/>
        </w:numPr>
        <w:snapToGrid w:val="0"/>
        <w:spacing w:line="360" w:lineRule="auto"/>
        <w:ind w:left="0" w:firstLine="480" w:firstLineChars="200"/>
        <w:jc w:val="left"/>
        <w:rPr>
          <w:rFonts w:ascii="宋体" w:eastAsia="宋体" w:hAnsi="宋体" w:cs="宋体"/>
        </w:rPr>
      </w:pPr>
      <w:r>
        <w:rPr>
          <w:rFonts w:ascii="宋体" w:eastAsia="宋体" w:hAnsi="宋体" w:cs="宋体" w:hint="eastAsia"/>
          <w:sz w:val="24"/>
          <w:szCs w:val="24"/>
        </w:rPr>
        <w:t>北区1号楼一层UPS机房、二层园区电讯机房内机房精密空调及新风设施；</w:t>
      </w:r>
    </w:p>
    <w:p>
      <w:pPr>
        <w:numPr>
          <w:ilvl w:val="0"/>
          <w:numId w:val="5"/>
        </w:numPr>
        <w:snapToGrid w:val="0"/>
        <w:spacing w:line="360" w:lineRule="auto"/>
        <w:ind w:left="0" w:firstLine="480" w:firstLineChars="200"/>
        <w:jc w:val="left"/>
        <w:rPr>
          <w:rFonts w:ascii="宋体" w:eastAsia="宋体" w:hAnsi="宋体" w:cs="宋体"/>
        </w:rPr>
      </w:pPr>
      <w:r>
        <w:rPr>
          <w:rFonts w:ascii="宋体" w:eastAsia="宋体" w:hAnsi="宋体" w:cs="宋体" w:hint="eastAsia"/>
          <w:sz w:val="24"/>
          <w:szCs w:val="24"/>
        </w:rPr>
        <w:t>北区3号楼三层气象档案库房（科技楼库区）所属中央空调；</w:t>
      </w:r>
    </w:p>
    <w:p>
      <w:pPr>
        <w:numPr>
          <w:ilvl w:val="0"/>
          <w:numId w:val="5"/>
        </w:numPr>
        <w:snapToGrid w:val="0"/>
        <w:spacing w:line="360" w:lineRule="auto"/>
        <w:ind w:left="0" w:firstLine="480" w:firstLineChars="200"/>
        <w:jc w:val="left"/>
        <w:rPr>
          <w:rFonts w:ascii="宋体" w:eastAsia="宋体" w:hAnsi="宋体" w:cs="宋体"/>
        </w:rPr>
      </w:pPr>
      <w:r>
        <w:rPr>
          <w:rFonts w:ascii="宋体" w:eastAsia="宋体" w:hAnsi="宋体" w:cs="宋体" w:hint="eastAsia"/>
          <w:sz w:val="24"/>
          <w:szCs w:val="24"/>
        </w:rPr>
        <w:t>北区15号楼二层派超算机房北侧2排机柜、九层卫星主站机房内机房空调，大屏机房、视频会商机房内空调设施。</w:t>
      </w:r>
    </w:p>
    <w:p>
      <w:pPr>
        <w:snapToGrid w:val="0"/>
        <w:spacing w:line="360" w:lineRule="auto"/>
        <w:ind w:left="420" w:leftChars="200"/>
        <w:jc w:val="left"/>
        <w:rPr>
          <w:rFonts w:ascii="宋体" w:eastAsia="宋体" w:hAnsi="宋体" w:cs="宋体"/>
        </w:rPr>
      </w:pPr>
      <w:r>
        <w:rPr>
          <w:rFonts w:ascii="宋体" w:eastAsia="宋体" w:hAnsi="宋体" w:cs="宋体" w:hint="eastAsia"/>
          <w:sz w:val="24"/>
          <w:szCs w:val="24"/>
        </w:rPr>
        <w:t>最终设施明细以现场勘查情况为准。</w:t>
      </w:r>
    </w:p>
    <w:p>
      <w:pPr>
        <w:snapToGrid w:val="0"/>
        <w:spacing w:line="360" w:lineRule="auto"/>
        <w:ind w:left="420"/>
        <w:jc w:val="left"/>
        <w:outlineLvl w:val="2"/>
        <w:rPr>
          <w:rFonts w:ascii="楷体_GB2312" w:eastAsia="楷体_GB2312" w:hAnsi="楷体_GB2312" w:cs="楷体_GB2312"/>
        </w:rPr>
      </w:pPr>
      <w:r>
        <w:rPr>
          <w:rFonts w:ascii="楷体_GB2312" w:eastAsia="楷体_GB2312" w:hAnsi="楷体_GB2312" w:cs="楷体_GB2312" w:hint="eastAsia"/>
          <w:sz w:val="24"/>
          <w:szCs w:val="24"/>
        </w:rPr>
        <w:t>（四）消防设施</w:t>
      </w:r>
    </w:p>
    <w:p>
      <w:pPr>
        <w:snapToGrid w:val="0"/>
        <w:spacing w:line="360" w:lineRule="auto"/>
        <w:ind w:firstLine="480" w:firstLineChars="200"/>
        <w:jc w:val="left"/>
        <w:rPr>
          <w:rFonts w:ascii="宋体" w:eastAsia="宋体" w:hAnsi="宋体" w:cs="宋体"/>
        </w:rPr>
      </w:pPr>
      <w:r>
        <w:rPr>
          <w:rFonts w:ascii="宋体" w:eastAsia="宋体" w:hAnsi="宋体" w:cs="宋体" w:hint="eastAsia"/>
          <w:sz w:val="24"/>
          <w:szCs w:val="24"/>
        </w:rPr>
        <w:t>本项目中的消防设施是指国家气象信息中心北区1号楼、北区1</w:t>
      </w:r>
      <w:r>
        <w:rPr>
          <w:rFonts w:ascii="宋体" w:eastAsia="宋体" w:hAnsi="宋体" w:cs="宋体"/>
          <w:sz w:val="24"/>
          <w:szCs w:val="24"/>
        </w:rPr>
        <w:t>5</w:t>
      </w:r>
      <w:r>
        <w:rPr>
          <w:rFonts w:ascii="宋体" w:eastAsia="宋体" w:hAnsi="宋体" w:cs="宋体" w:hint="eastAsia"/>
          <w:sz w:val="24"/>
          <w:szCs w:val="24"/>
        </w:rPr>
        <w:t>号楼、北区2号楼、北区3号楼内所属的消防自动报警、气体灭火等设施，具体包括：</w:t>
      </w:r>
    </w:p>
    <w:p>
      <w:pPr>
        <w:numPr>
          <w:ilvl w:val="0"/>
          <w:numId w:val="5"/>
        </w:numPr>
        <w:snapToGrid w:val="0"/>
        <w:spacing w:line="360" w:lineRule="auto"/>
        <w:ind w:left="0" w:firstLine="480" w:firstLineChars="200"/>
        <w:jc w:val="left"/>
        <w:rPr>
          <w:rFonts w:ascii="宋体" w:eastAsia="宋体" w:hAnsi="宋体" w:cs="宋体"/>
        </w:rPr>
      </w:pPr>
      <w:r>
        <w:rPr>
          <w:rFonts w:ascii="宋体" w:eastAsia="宋体" w:hAnsi="宋体" w:cs="宋体" w:hint="eastAsia"/>
          <w:sz w:val="24"/>
          <w:szCs w:val="24"/>
        </w:rPr>
        <w:t>北区2号楼整体消防设施；</w:t>
      </w:r>
    </w:p>
    <w:p>
      <w:pPr>
        <w:numPr>
          <w:ilvl w:val="0"/>
          <w:numId w:val="5"/>
        </w:numPr>
        <w:snapToGrid w:val="0"/>
        <w:spacing w:line="360" w:lineRule="auto"/>
        <w:ind w:left="0" w:firstLine="480" w:firstLineChars="200"/>
        <w:jc w:val="left"/>
        <w:rPr>
          <w:rFonts w:ascii="宋体" w:eastAsia="宋体" w:hAnsi="宋体" w:cs="宋体"/>
        </w:rPr>
      </w:pPr>
      <w:r>
        <w:rPr>
          <w:rFonts w:ascii="宋体" w:eastAsia="宋体" w:hAnsi="宋体" w:cs="宋体" w:hint="eastAsia"/>
          <w:sz w:val="24"/>
          <w:szCs w:val="24"/>
        </w:rPr>
        <w:t>北区1号楼二层园区电讯机房、一层UPS机房消防设施；</w:t>
      </w:r>
    </w:p>
    <w:p>
      <w:pPr>
        <w:numPr>
          <w:ilvl w:val="0"/>
          <w:numId w:val="5"/>
        </w:numPr>
        <w:snapToGrid w:val="0"/>
        <w:spacing w:line="360" w:lineRule="auto"/>
        <w:ind w:left="0" w:firstLine="480" w:firstLineChars="200"/>
        <w:jc w:val="left"/>
        <w:rPr>
          <w:rFonts w:ascii="宋体" w:eastAsia="宋体" w:hAnsi="宋体" w:cs="宋体"/>
        </w:rPr>
      </w:pPr>
      <w:r>
        <w:rPr>
          <w:rFonts w:ascii="宋体" w:eastAsia="宋体" w:hAnsi="宋体" w:cs="宋体" w:hint="eastAsia"/>
          <w:sz w:val="24"/>
          <w:szCs w:val="24"/>
        </w:rPr>
        <w:t>北区3号楼三层气象档案库房（科技楼库区）所属消防设施；</w:t>
      </w:r>
    </w:p>
    <w:p>
      <w:pPr>
        <w:numPr>
          <w:ilvl w:val="0"/>
          <w:numId w:val="5"/>
        </w:numPr>
        <w:snapToGrid w:val="0"/>
        <w:spacing w:line="360" w:lineRule="auto"/>
        <w:ind w:left="0" w:firstLine="480" w:firstLineChars="200"/>
        <w:jc w:val="left"/>
        <w:rPr>
          <w:rFonts w:ascii="宋体" w:eastAsia="宋体" w:hAnsi="宋体" w:cs="宋体"/>
        </w:rPr>
      </w:pPr>
      <w:r>
        <w:rPr>
          <w:rFonts w:ascii="宋体" w:eastAsia="宋体" w:hAnsi="宋体" w:cs="宋体" w:hint="eastAsia"/>
          <w:sz w:val="24"/>
          <w:szCs w:val="24"/>
        </w:rPr>
        <w:t>北区15号B1层、一层、二层、九层卫星主站等机房以及二层裙房楼顶的水泵间、空调隔音间内消防设施。</w:t>
      </w:r>
    </w:p>
    <w:p>
      <w:pPr>
        <w:snapToGrid w:val="0"/>
        <w:spacing w:line="360" w:lineRule="auto"/>
        <w:ind w:left="420" w:leftChars="200"/>
        <w:jc w:val="left"/>
        <w:rPr>
          <w:rFonts w:ascii="宋体" w:eastAsia="宋体" w:hAnsi="宋体" w:cs="宋体"/>
        </w:rPr>
      </w:pPr>
      <w:r>
        <w:rPr>
          <w:rFonts w:ascii="宋体" w:eastAsia="宋体" w:hAnsi="宋体" w:cs="宋体" w:hint="eastAsia"/>
          <w:sz w:val="24"/>
          <w:szCs w:val="24"/>
        </w:rPr>
        <w:t>最终设施明细以现场勘查情况为准。</w:t>
      </w:r>
    </w:p>
    <w:p>
      <w:pPr>
        <w:snapToGrid w:val="0"/>
        <w:spacing w:line="360" w:lineRule="auto"/>
        <w:ind w:left="420"/>
        <w:jc w:val="left"/>
        <w:outlineLvl w:val="2"/>
        <w:rPr>
          <w:rFonts w:ascii="楷体_GB2312" w:eastAsia="楷体_GB2312" w:hAnsi="楷体_GB2312" w:cs="楷体_GB2312"/>
        </w:rPr>
      </w:pPr>
      <w:r>
        <w:rPr>
          <w:rFonts w:ascii="楷体_GB2312" w:eastAsia="楷体_GB2312" w:hAnsi="楷体_GB2312" w:cs="楷体_GB2312" w:hint="eastAsia"/>
          <w:sz w:val="24"/>
          <w:szCs w:val="24"/>
        </w:rPr>
        <w:t>（五）门禁设施</w:t>
      </w:r>
    </w:p>
    <w:p>
      <w:pPr>
        <w:snapToGrid w:val="0"/>
        <w:spacing w:line="360" w:lineRule="auto"/>
        <w:ind w:firstLine="480" w:firstLineChars="200"/>
        <w:jc w:val="left"/>
        <w:rPr>
          <w:rFonts w:ascii="宋体" w:eastAsia="宋体" w:hAnsi="宋体" w:cs="宋体"/>
        </w:rPr>
      </w:pPr>
      <w:r>
        <w:rPr>
          <w:rFonts w:ascii="宋体" w:eastAsia="宋体" w:hAnsi="宋体" w:cs="宋体" w:hint="eastAsia"/>
          <w:sz w:val="24"/>
          <w:szCs w:val="24"/>
        </w:rPr>
        <w:t>本项目中的门禁设施是指国家气象信息中心北区2号楼及周边、北区15号楼、北区1号楼、北区3号楼内所属的门禁系统主机、控制器、读卡器，人脸识别系统主机、终端，以及配套线缆、交换机等设施，具体包括：</w:t>
      </w:r>
    </w:p>
    <w:p>
      <w:pPr>
        <w:numPr>
          <w:ilvl w:val="0"/>
          <w:numId w:val="5"/>
        </w:numPr>
        <w:snapToGrid w:val="0"/>
        <w:spacing w:line="360" w:lineRule="auto"/>
        <w:ind w:left="0" w:firstLine="480" w:firstLineChars="200"/>
        <w:jc w:val="left"/>
        <w:rPr>
          <w:rFonts w:ascii="宋体" w:eastAsia="宋体" w:hAnsi="宋体" w:cs="宋体"/>
        </w:rPr>
      </w:pPr>
      <w:r>
        <w:rPr>
          <w:rFonts w:ascii="宋体" w:eastAsia="宋体" w:hAnsi="宋体" w:cs="宋体" w:hint="eastAsia"/>
          <w:sz w:val="24"/>
          <w:szCs w:val="24"/>
        </w:rPr>
        <w:t>北区2号楼及周边整体门禁设施；</w:t>
      </w:r>
    </w:p>
    <w:p>
      <w:pPr>
        <w:numPr>
          <w:ilvl w:val="0"/>
          <w:numId w:val="5"/>
        </w:numPr>
        <w:snapToGrid w:val="0"/>
        <w:spacing w:line="360" w:lineRule="auto"/>
        <w:ind w:left="0" w:firstLine="480" w:firstLineChars="200"/>
        <w:jc w:val="left"/>
        <w:rPr>
          <w:rFonts w:ascii="宋体" w:eastAsia="宋体" w:hAnsi="宋体" w:cs="宋体"/>
        </w:rPr>
      </w:pPr>
      <w:r>
        <w:rPr>
          <w:rFonts w:ascii="宋体" w:eastAsia="宋体" w:hAnsi="宋体" w:cs="宋体" w:hint="eastAsia"/>
          <w:sz w:val="24"/>
          <w:szCs w:val="24"/>
        </w:rPr>
        <w:t>北区1号楼一层UPS机房、二层园区电讯机房及其门前过道门禁设施；</w:t>
      </w:r>
    </w:p>
    <w:p>
      <w:pPr>
        <w:numPr>
          <w:ilvl w:val="0"/>
          <w:numId w:val="5"/>
        </w:numPr>
        <w:snapToGrid w:val="0"/>
        <w:spacing w:line="360" w:lineRule="auto"/>
        <w:ind w:left="0" w:firstLine="480" w:firstLineChars="200"/>
        <w:jc w:val="left"/>
        <w:rPr>
          <w:rFonts w:ascii="宋体" w:eastAsia="宋体" w:hAnsi="宋体" w:cs="宋体"/>
        </w:rPr>
      </w:pPr>
      <w:r>
        <w:rPr>
          <w:rFonts w:ascii="宋体" w:eastAsia="宋体" w:hAnsi="宋体" w:cs="宋体" w:hint="eastAsia"/>
          <w:sz w:val="24"/>
          <w:szCs w:val="24"/>
        </w:rPr>
        <w:t>北区3号楼三层气象档案库房（科技楼库区）所属门禁设施；</w:t>
      </w:r>
    </w:p>
    <w:p>
      <w:pPr>
        <w:numPr>
          <w:ilvl w:val="0"/>
          <w:numId w:val="5"/>
        </w:numPr>
        <w:snapToGrid w:val="0"/>
        <w:spacing w:line="360" w:lineRule="auto"/>
        <w:ind w:left="0" w:firstLine="480" w:firstLineChars="200"/>
        <w:jc w:val="left"/>
        <w:rPr>
          <w:rFonts w:ascii="宋体" w:eastAsia="宋体" w:hAnsi="宋体" w:cs="宋体"/>
        </w:rPr>
      </w:pPr>
      <w:r>
        <w:rPr>
          <w:rFonts w:ascii="宋体" w:eastAsia="宋体" w:hAnsi="宋体" w:cs="宋体" w:hint="eastAsia"/>
          <w:sz w:val="24"/>
          <w:szCs w:val="24"/>
        </w:rPr>
        <w:t>北区15号楼整体门禁设施。</w:t>
      </w:r>
    </w:p>
    <w:p>
      <w:pPr>
        <w:snapToGrid w:val="0"/>
        <w:spacing w:line="360" w:lineRule="auto"/>
        <w:ind w:left="420" w:leftChars="200"/>
        <w:jc w:val="left"/>
        <w:rPr>
          <w:rFonts w:ascii="宋体" w:eastAsia="宋体" w:hAnsi="宋体" w:cs="宋体"/>
        </w:rPr>
      </w:pPr>
      <w:r>
        <w:rPr>
          <w:rFonts w:ascii="宋体" w:eastAsia="宋体" w:hAnsi="宋体" w:cs="宋体" w:hint="eastAsia"/>
          <w:sz w:val="24"/>
          <w:szCs w:val="24"/>
        </w:rPr>
        <w:t>最终设施明细以现场勘查情况为准。</w:t>
      </w:r>
    </w:p>
    <w:p>
      <w:pPr>
        <w:snapToGrid w:val="0"/>
        <w:spacing w:line="360" w:lineRule="auto"/>
        <w:ind w:left="420"/>
        <w:jc w:val="left"/>
        <w:outlineLvl w:val="2"/>
        <w:rPr>
          <w:rFonts w:ascii="楷体_GB2312" w:eastAsia="楷体_GB2312" w:hAnsi="楷体_GB2312" w:cs="楷体_GB2312"/>
        </w:rPr>
      </w:pPr>
      <w:r>
        <w:rPr>
          <w:rFonts w:ascii="楷体_GB2312" w:eastAsia="楷体_GB2312" w:hAnsi="楷体_GB2312" w:cs="楷体_GB2312" w:hint="eastAsia"/>
          <w:sz w:val="24"/>
          <w:szCs w:val="24"/>
        </w:rPr>
        <w:t>（六）视频安防监控设施</w:t>
      </w:r>
    </w:p>
    <w:p>
      <w:pPr>
        <w:snapToGrid w:val="0"/>
        <w:spacing w:line="360" w:lineRule="auto"/>
        <w:ind w:firstLine="480" w:firstLineChars="200"/>
        <w:jc w:val="left"/>
        <w:rPr>
          <w:rFonts w:ascii="宋体" w:eastAsia="宋体" w:hAnsi="宋体" w:cs="宋体"/>
        </w:rPr>
      </w:pPr>
      <w:r>
        <w:rPr>
          <w:rFonts w:ascii="宋体" w:eastAsia="宋体" w:hAnsi="宋体" w:cs="宋体" w:hint="eastAsia"/>
          <w:sz w:val="24"/>
          <w:szCs w:val="24"/>
        </w:rPr>
        <w:t>本项目中的视频安防监控设施是指国家气象信息中心北区2号楼、北区1号楼、北区15号楼、北区3号楼及周边所属的视频监控主机、视频监控终端、网络硬盘录像机、视频摄像机及配套网络设施，具体包括：</w:t>
      </w:r>
    </w:p>
    <w:p>
      <w:pPr>
        <w:numPr>
          <w:ilvl w:val="0"/>
          <w:numId w:val="5"/>
        </w:numPr>
        <w:snapToGrid w:val="0"/>
        <w:spacing w:line="360" w:lineRule="auto"/>
        <w:ind w:left="0" w:firstLine="480" w:firstLineChars="200"/>
        <w:jc w:val="left"/>
        <w:rPr>
          <w:rFonts w:ascii="宋体" w:eastAsia="宋体" w:hAnsi="宋体" w:cs="宋体"/>
        </w:rPr>
      </w:pPr>
      <w:r>
        <w:rPr>
          <w:rFonts w:ascii="宋体" w:eastAsia="宋体" w:hAnsi="宋体" w:cs="宋体" w:hint="eastAsia"/>
          <w:sz w:val="24"/>
          <w:szCs w:val="24"/>
        </w:rPr>
        <w:t>北区2号楼室内外全部视频安防监控设施；</w:t>
      </w:r>
    </w:p>
    <w:p>
      <w:pPr>
        <w:numPr>
          <w:ilvl w:val="0"/>
          <w:numId w:val="5"/>
        </w:numPr>
        <w:snapToGrid w:val="0"/>
        <w:spacing w:line="360" w:lineRule="auto"/>
        <w:ind w:left="0" w:firstLine="480" w:firstLineChars="200"/>
        <w:jc w:val="left"/>
        <w:rPr>
          <w:rFonts w:ascii="宋体" w:eastAsia="宋体" w:hAnsi="宋体" w:cs="宋体"/>
        </w:rPr>
      </w:pPr>
      <w:r>
        <w:rPr>
          <w:rFonts w:ascii="宋体" w:eastAsia="宋体" w:hAnsi="宋体" w:cs="宋体" w:hint="eastAsia"/>
          <w:sz w:val="24"/>
          <w:szCs w:val="24"/>
        </w:rPr>
        <w:t>北区1号楼一层UPS机房、二层园区电讯机房视频安防监控设施；</w:t>
      </w:r>
    </w:p>
    <w:p>
      <w:pPr>
        <w:numPr>
          <w:ilvl w:val="0"/>
          <w:numId w:val="5"/>
        </w:numPr>
        <w:snapToGrid w:val="0"/>
        <w:spacing w:line="360" w:lineRule="auto"/>
        <w:ind w:left="0" w:firstLine="480" w:firstLineChars="200"/>
        <w:jc w:val="left"/>
        <w:rPr>
          <w:rFonts w:ascii="宋体" w:eastAsia="宋体" w:hAnsi="宋体" w:cs="宋体"/>
        </w:rPr>
      </w:pPr>
      <w:r>
        <w:rPr>
          <w:rFonts w:ascii="宋体" w:eastAsia="宋体" w:hAnsi="宋体" w:cs="宋体" w:hint="eastAsia"/>
          <w:sz w:val="24"/>
          <w:szCs w:val="24"/>
        </w:rPr>
        <w:t>北区3号楼三层气象档案库房（科技楼库区）视频安防监控设施；</w:t>
      </w:r>
    </w:p>
    <w:p>
      <w:pPr>
        <w:numPr>
          <w:ilvl w:val="0"/>
          <w:numId w:val="5"/>
        </w:numPr>
        <w:snapToGrid w:val="0"/>
        <w:spacing w:line="360" w:lineRule="auto"/>
        <w:ind w:left="0" w:firstLine="480" w:firstLineChars="200"/>
        <w:jc w:val="left"/>
        <w:rPr>
          <w:rFonts w:ascii="宋体" w:eastAsia="宋体" w:hAnsi="宋体" w:cs="宋体"/>
        </w:rPr>
      </w:pPr>
      <w:r>
        <w:rPr>
          <w:rFonts w:ascii="宋体" w:eastAsia="宋体" w:hAnsi="宋体" w:cs="宋体" w:hint="eastAsia"/>
          <w:sz w:val="24"/>
          <w:szCs w:val="24"/>
        </w:rPr>
        <w:t>北区15号楼B1层、一层、二层、九层卫星主站等机房，以及楼顶、二层裙房顶等国家气象信息中心所属视频安防监控设施。</w:t>
      </w:r>
    </w:p>
    <w:p>
      <w:pPr>
        <w:snapToGrid w:val="0"/>
        <w:spacing w:line="360" w:lineRule="auto"/>
        <w:ind w:left="420" w:leftChars="200"/>
        <w:jc w:val="left"/>
        <w:rPr>
          <w:rFonts w:ascii="宋体" w:eastAsia="宋体" w:hAnsi="宋体" w:cs="宋体"/>
        </w:rPr>
      </w:pPr>
      <w:r>
        <w:rPr>
          <w:rFonts w:ascii="宋体" w:eastAsia="宋体" w:hAnsi="宋体" w:cs="宋体" w:hint="eastAsia"/>
          <w:sz w:val="24"/>
          <w:szCs w:val="24"/>
        </w:rPr>
        <w:t>最终设施明细以现场勘查情况为准。</w:t>
      </w:r>
    </w:p>
    <w:p>
      <w:pPr>
        <w:snapToGrid w:val="0"/>
        <w:spacing w:line="360" w:lineRule="auto"/>
        <w:ind w:left="420"/>
        <w:jc w:val="left"/>
        <w:outlineLvl w:val="2"/>
        <w:rPr>
          <w:rFonts w:ascii="楷体_GB2312" w:eastAsia="楷体_GB2312" w:hAnsi="楷体_GB2312" w:cs="楷体_GB2312"/>
        </w:rPr>
      </w:pPr>
      <w:r>
        <w:rPr>
          <w:rFonts w:ascii="楷体_GB2312" w:eastAsia="楷体_GB2312" w:hAnsi="楷体_GB2312" w:cs="楷体_GB2312" w:hint="eastAsia"/>
          <w:sz w:val="24"/>
          <w:szCs w:val="24"/>
        </w:rPr>
        <w:t>（七）动力环境监控设施</w:t>
      </w:r>
    </w:p>
    <w:p>
      <w:pPr>
        <w:snapToGrid w:val="0"/>
        <w:spacing w:line="360" w:lineRule="auto"/>
        <w:ind w:firstLine="480" w:firstLineChars="200"/>
        <w:jc w:val="left"/>
        <w:rPr>
          <w:rFonts w:ascii="宋体" w:eastAsia="宋体" w:hAnsi="宋体" w:cs="宋体"/>
        </w:rPr>
      </w:pPr>
      <w:r>
        <w:rPr>
          <w:rFonts w:ascii="宋体" w:eastAsia="宋体" w:hAnsi="宋体" w:cs="宋体" w:hint="eastAsia"/>
          <w:sz w:val="24"/>
          <w:szCs w:val="24"/>
        </w:rPr>
        <w:t>本项目中的动力环境监控设施是指国家气象信息中心北区2号楼、北区1号楼、北区15号楼、北区3号楼内所属的动环监控主机、动环监控终端、串口服务器、嵌入式服务器、前端采集装置及配套网络设施等，具体包括：</w:t>
      </w:r>
    </w:p>
    <w:p>
      <w:pPr>
        <w:numPr>
          <w:ilvl w:val="0"/>
          <w:numId w:val="5"/>
        </w:numPr>
        <w:snapToGrid w:val="0"/>
        <w:spacing w:line="360" w:lineRule="auto"/>
        <w:ind w:left="0" w:firstLine="480" w:firstLineChars="200"/>
        <w:jc w:val="left"/>
        <w:rPr>
          <w:rFonts w:ascii="宋体" w:eastAsia="宋体" w:hAnsi="宋体" w:cs="宋体"/>
        </w:rPr>
      </w:pPr>
      <w:r>
        <w:rPr>
          <w:rFonts w:ascii="宋体" w:eastAsia="宋体" w:hAnsi="宋体" w:cs="宋体" w:hint="eastAsia"/>
          <w:sz w:val="24"/>
          <w:szCs w:val="24"/>
        </w:rPr>
        <w:t>北区2号楼整体动力环境监控设施；</w:t>
      </w:r>
    </w:p>
    <w:p>
      <w:pPr>
        <w:numPr>
          <w:ilvl w:val="0"/>
          <w:numId w:val="5"/>
        </w:numPr>
        <w:snapToGrid w:val="0"/>
        <w:spacing w:line="360" w:lineRule="auto"/>
        <w:ind w:left="0" w:firstLine="480" w:firstLineChars="200"/>
        <w:jc w:val="left"/>
        <w:rPr>
          <w:rFonts w:ascii="宋体" w:eastAsia="宋体" w:hAnsi="宋体" w:cs="宋体"/>
        </w:rPr>
      </w:pPr>
      <w:r>
        <w:rPr>
          <w:rFonts w:ascii="宋体" w:eastAsia="宋体" w:hAnsi="宋体" w:cs="宋体" w:hint="eastAsia"/>
          <w:sz w:val="24"/>
          <w:szCs w:val="24"/>
        </w:rPr>
        <w:t>北区1号楼一层UPS机房、二层园区电讯机房动力环境监控设施；</w:t>
      </w:r>
    </w:p>
    <w:p>
      <w:pPr>
        <w:numPr>
          <w:ilvl w:val="0"/>
          <w:numId w:val="5"/>
        </w:numPr>
        <w:snapToGrid w:val="0"/>
        <w:spacing w:line="360" w:lineRule="auto"/>
        <w:ind w:left="0" w:firstLine="480" w:firstLineChars="200"/>
        <w:jc w:val="left"/>
        <w:rPr>
          <w:rFonts w:ascii="宋体" w:eastAsia="宋体" w:hAnsi="宋体" w:cs="宋体"/>
        </w:rPr>
      </w:pPr>
      <w:r>
        <w:rPr>
          <w:rFonts w:ascii="宋体" w:eastAsia="宋体" w:hAnsi="宋体" w:cs="宋体" w:hint="eastAsia"/>
          <w:sz w:val="24"/>
          <w:szCs w:val="24"/>
        </w:rPr>
        <w:t>北区3号楼三层气象档案库房（科技楼库区）动力环境监控设施；</w:t>
      </w:r>
    </w:p>
    <w:p>
      <w:pPr>
        <w:numPr>
          <w:ilvl w:val="0"/>
          <w:numId w:val="5"/>
        </w:numPr>
        <w:snapToGrid w:val="0"/>
        <w:spacing w:line="360" w:lineRule="auto"/>
        <w:ind w:left="0" w:firstLine="480" w:firstLineChars="200"/>
        <w:jc w:val="left"/>
        <w:rPr>
          <w:rFonts w:ascii="宋体" w:eastAsia="宋体" w:hAnsi="宋体" w:cs="宋体"/>
        </w:rPr>
      </w:pPr>
      <w:r>
        <w:rPr>
          <w:rFonts w:ascii="宋体" w:eastAsia="宋体" w:hAnsi="宋体" w:cs="宋体" w:hint="eastAsia"/>
          <w:sz w:val="24"/>
          <w:szCs w:val="24"/>
        </w:rPr>
        <w:t>北区15号楼B1层、一层、二层、九层卫星主站等机房，以及楼顶、二层裙房顶等动力环境监控设施。</w:t>
      </w:r>
    </w:p>
    <w:p>
      <w:pPr>
        <w:snapToGrid w:val="0"/>
        <w:spacing w:line="360" w:lineRule="auto"/>
        <w:ind w:left="420" w:leftChars="200"/>
        <w:jc w:val="left"/>
        <w:rPr>
          <w:rFonts w:ascii="宋体" w:eastAsia="宋体" w:hAnsi="宋体" w:cs="宋体"/>
        </w:rPr>
      </w:pPr>
      <w:r>
        <w:rPr>
          <w:rFonts w:ascii="宋体" w:eastAsia="宋体" w:hAnsi="宋体" w:cs="宋体" w:hint="eastAsia"/>
          <w:sz w:val="24"/>
          <w:szCs w:val="24"/>
        </w:rPr>
        <w:t>最终设施明细以现场勘查情况为准。</w:t>
      </w:r>
    </w:p>
    <w:p>
      <w:pPr>
        <w:adjustRightInd w:val="0"/>
        <w:snapToGrid w:val="0"/>
        <w:spacing w:line="360" w:lineRule="auto"/>
        <w:ind w:firstLine="480" w:firstLineChars="200"/>
        <w:outlineLvl w:val="1"/>
        <w:rPr>
          <w:rFonts w:ascii="黑体" w:eastAsia="黑体" w:hAnsi="黑体" w:cs="黑体"/>
        </w:rPr>
      </w:pPr>
      <w:r>
        <w:rPr>
          <w:rFonts w:ascii="黑体" w:eastAsia="黑体" w:hAnsi="黑体" w:cs="黑体" w:hint="eastAsia"/>
          <w:sz w:val="24"/>
          <w:szCs w:val="24"/>
        </w:rPr>
        <w:t>四、组织要求</w:t>
      </w:r>
    </w:p>
    <w:p>
      <w:pPr>
        <w:adjustRightInd w:val="0"/>
        <w:snapToGrid w:val="0"/>
        <w:spacing w:line="360" w:lineRule="auto"/>
        <w:ind w:firstLine="480" w:firstLineChars="200"/>
        <w:jc w:val="left"/>
        <w:outlineLvl w:val="2"/>
        <w:rPr>
          <w:rFonts w:ascii="楷体_GB2312" w:eastAsia="楷体_GB2312" w:hAnsi="楷体_GB2312" w:cs="楷体_GB2312"/>
        </w:rPr>
      </w:pPr>
      <w:r>
        <w:rPr>
          <w:rFonts w:ascii="楷体_GB2312" w:eastAsia="楷体_GB2312" w:hAnsi="楷体_GB2312" w:cs="楷体_GB2312" w:hint="eastAsia"/>
          <w:sz w:val="24"/>
          <w:szCs w:val="24"/>
        </w:rPr>
        <w:t>（一）总体要求</w:t>
      </w:r>
    </w:p>
    <w:p>
      <w:pPr>
        <w:snapToGrid w:val="0"/>
        <w:spacing w:line="360" w:lineRule="auto"/>
        <w:ind w:firstLine="480" w:firstLineChars="200"/>
        <w:jc w:val="left"/>
        <w:rPr>
          <w:rFonts w:ascii="宋体" w:eastAsia="宋体" w:hAnsi="宋体" w:cs="宋体"/>
        </w:rPr>
      </w:pPr>
      <w:r>
        <w:rPr>
          <w:rFonts w:ascii="宋体" w:eastAsia="宋体" w:hAnsi="宋体" w:cs="宋体" w:hint="eastAsia"/>
          <w:sz w:val="24"/>
          <w:szCs w:val="24"/>
        </w:rPr>
        <w:t>1.投标人应为招标人所在地企业或在当地具备独立法人的分支机构。</w:t>
      </w:r>
    </w:p>
    <w:p>
      <w:pPr>
        <w:adjustRightInd w:val="0"/>
        <w:snapToGrid w:val="0"/>
        <w:spacing w:line="360" w:lineRule="auto"/>
        <w:ind w:firstLine="480" w:firstLineChars="200"/>
        <w:rPr>
          <w:rFonts w:ascii="宋体" w:eastAsia="宋体" w:hAnsi="宋体" w:cs="宋体"/>
        </w:rPr>
      </w:pPr>
      <w:r>
        <w:rPr>
          <w:rFonts w:ascii="宋体" w:eastAsia="宋体" w:hAnsi="宋体" w:cs="宋体" w:hint="eastAsia"/>
          <w:sz w:val="24"/>
          <w:szCs w:val="24"/>
        </w:rPr>
        <w:t>2.投标人应按照招标人要求组建本项目专职运维服务团队，负责服务范围内全部机房场地环境设施的24小时现场值守、日常巡检、应急处置、日常维护、故障维修、性能试验等运维服务，按照工作职责分别划分为管理团队、值守团队和运维团队，分别标定人员资质要求和岗位要求。</w:t>
      </w:r>
    </w:p>
    <w:p>
      <w:pPr>
        <w:adjustRightInd w:val="0"/>
        <w:snapToGrid w:val="0"/>
        <w:spacing w:line="360" w:lineRule="auto"/>
        <w:ind w:firstLine="480" w:firstLineChars="200"/>
        <w:outlineLvl w:val="2"/>
        <w:rPr>
          <w:rFonts w:ascii="楷体_GB2312" w:eastAsia="楷体_GB2312" w:hAnsi="楷体_GB2312" w:cs="楷体_GB2312"/>
        </w:rPr>
      </w:pPr>
      <w:r>
        <w:rPr>
          <w:rFonts w:ascii="楷体_GB2312" w:eastAsia="楷体_GB2312" w:hAnsi="楷体_GB2312" w:cs="楷体_GB2312" w:hint="eastAsia"/>
          <w:sz w:val="24"/>
          <w:szCs w:val="24"/>
        </w:rPr>
        <w:t>（二）管理团队</w:t>
      </w:r>
    </w:p>
    <w:p>
      <w:pPr>
        <w:numPr>
          <w:ilvl w:val="12"/>
          <w:numId w:val="0"/>
        </w:numPr>
        <w:snapToGrid w:val="0"/>
        <w:spacing w:line="360" w:lineRule="auto"/>
        <w:ind w:firstLine="480" w:firstLineChars="200"/>
        <w:jc w:val="left"/>
        <w:rPr>
          <w:rFonts w:ascii="宋体" w:eastAsia="宋体" w:hAnsi="宋体" w:cs="宋体"/>
        </w:rPr>
      </w:pPr>
      <w:r>
        <w:rPr>
          <w:rFonts w:ascii="宋体" w:eastAsia="宋体" w:hAnsi="宋体" w:cs="宋体" w:hint="eastAsia"/>
          <w:sz w:val="24"/>
          <w:szCs w:val="24"/>
        </w:rPr>
        <w:t>管理团队包括本项目专职的项目经理以及具有丰富机房场地环境设施运维服务技术水平的技术负责人，具体人员资质和岗位要求如下：</w:t>
      </w:r>
    </w:p>
    <w:p>
      <w:pPr>
        <w:numPr>
          <w:ilvl w:val="12"/>
          <w:numId w:val="0"/>
        </w:numPr>
        <w:snapToGrid w:val="0"/>
        <w:spacing w:line="360" w:lineRule="auto"/>
        <w:ind w:firstLine="480" w:firstLineChars="200"/>
        <w:jc w:val="left"/>
        <w:outlineLvl w:val="3"/>
        <w:rPr>
          <w:rFonts w:ascii="宋体" w:eastAsia="宋体" w:hAnsi="宋体" w:cs="宋体"/>
        </w:rPr>
      </w:pPr>
      <w:r>
        <w:rPr>
          <w:rFonts w:ascii="宋体" w:eastAsia="宋体" w:hAnsi="宋体" w:cs="宋体" w:hint="eastAsia"/>
          <w:sz w:val="24"/>
          <w:szCs w:val="24"/>
        </w:rPr>
        <w:t>1.项目经理</w:t>
      </w:r>
    </w:p>
    <w:p>
      <w:pPr>
        <w:numPr>
          <w:ilvl w:val="12"/>
          <w:numId w:val="0"/>
        </w:numPr>
        <w:snapToGrid w:val="0"/>
        <w:spacing w:line="360" w:lineRule="auto"/>
        <w:ind w:firstLine="480" w:firstLineChars="200"/>
        <w:jc w:val="left"/>
        <w:rPr>
          <w:rFonts w:ascii="宋体" w:eastAsia="宋体" w:hAnsi="宋体" w:cs="宋体"/>
        </w:rPr>
      </w:pPr>
      <w:r>
        <w:rPr>
          <w:rFonts w:ascii="宋体" w:eastAsia="宋体" w:hAnsi="宋体" w:cs="宋体" w:hint="eastAsia"/>
          <w:sz w:val="24"/>
          <w:szCs w:val="24"/>
        </w:rPr>
        <w:t>（</w:t>
      </w:r>
      <w:r>
        <w:rPr>
          <w:rFonts w:ascii="宋体" w:eastAsia="宋体" w:hAnsi="宋体" w:cs="宋体" w:hint="eastAsia"/>
          <w:sz w:val="24"/>
          <w:szCs w:val="24"/>
          <w:lang w:val="en-US" w:eastAsia="zh-CN"/>
        </w:rPr>
        <w:t>1</w:t>
      </w:r>
      <w:r>
        <w:rPr>
          <w:rFonts w:ascii="宋体" w:eastAsia="宋体" w:hAnsi="宋体" w:cs="宋体" w:hint="eastAsia"/>
          <w:sz w:val="24"/>
          <w:szCs w:val="24"/>
        </w:rPr>
        <w:t>）负责值守团队和运维团队的日常组织管理、与采购人的沟通协调、运维服务统计总结及服务报告编制等工作。</w:t>
      </w:r>
    </w:p>
    <w:p>
      <w:pPr>
        <w:numPr>
          <w:ilvl w:val="12"/>
          <w:numId w:val="0"/>
        </w:numPr>
        <w:snapToGrid w:val="0"/>
        <w:spacing w:line="360" w:lineRule="auto"/>
        <w:ind w:firstLine="480" w:firstLineChars="200"/>
        <w:jc w:val="left"/>
        <w:rPr>
          <w:rFonts w:ascii="宋体" w:eastAsia="宋体" w:hAnsi="宋体" w:cs="宋体"/>
        </w:rPr>
      </w:pPr>
      <w:r>
        <w:rPr>
          <w:rFonts w:ascii="宋体" w:eastAsia="宋体" w:hAnsi="宋体" w:cs="宋体" w:hint="eastAsia"/>
          <w:sz w:val="24"/>
          <w:szCs w:val="24"/>
        </w:rPr>
        <w:t>（</w:t>
      </w:r>
      <w:r>
        <w:rPr>
          <w:rFonts w:ascii="宋体" w:eastAsia="宋体" w:hAnsi="宋体" w:cs="宋体" w:hint="eastAsia"/>
          <w:sz w:val="24"/>
          <w:szCs w:val="24"/>
          <w:lang w:val="en-US" w:eastAsia="zh-CN"/>
        </w:rPr>
        <w:t>2</w:t>
      </w:r>
      <w:r>
        <w:rPr>
          <w:rFonts w:ascii="宋体" w:eastAsia="宋体" w:hAnsi="宋体" w:cs="宋体" w:hint="eastAsia"/>
          <w:sz w:val="24"/>
          <w:szCs w:val="24"/>
        </w:rPr>
        <w:t>）工作时间内常驻现场，非工作时间根据现场实际需要到岗。</w:t>
      </w:r>
    </w:p>
    <w:p>
      <w:pPr>
        <w:snapToGrid w:val="0"/>
        <w:spacing w:line="360" w:lineRule="auto"/>
        <w:ind w:firstLine="480" w:firstLineChars="200"/>
        <w:jc w:val="left"/>
        <w:outlineLvl w:val="3"/>
        <w:rPr>
          <w:rFonts w:ascii="宋体" w:eastAsia="宋体" w:hAnsi="宋体" w:cs="宋体"/>
        </w:rPr>
      </w:pPr>
      <w:r>
        <w:rPr>
          <w:rFonts w:ascii="宋体" w:eastAsia="宋体" w:hAnsi="宋体" w:cs="宋体" w:hint="eastAsia"/>
          <w:sz w:val="24"/>
          <w:szCs w:val="24"/>
        </w:rPr>
        <w:t>2.技术负责人</w:t>
      </w:r>
    </w:p>
    <w:p>
      <w:pPr>
        <w:snapToGrid w:val="0"/>
        <w:spacing w:line="360" w:lineRule="auto"/>
        <w:ind w:firstLine="480" w:firstLineChars="200"/>
        <w:jc w:val="left"/>
        <w:rPr>
          <w:rFonts w:ascii="宋体" w:eastAsia="宋体" w:hAnsi="宋体" w:cs="宋体"/>
        </w:rPr>
      </w:pPr>
      <w:r>
        <w:rPr>
          <w:rFonts w:ascii="宋体" w:eastAsia="宋体" w:hAnsi="宋体" w:cs="宋体" w:hint="eastAsia"/>
          <w:sz w:val="24"/>
          <w:szCs w:val="24"/>
        </w:rPr>
        <w:t>（1）负责巡检制度、运维规程、操作手册、应急预案等文档的编制和修订，负责突发情况的应急</w:t>
      </w:r>
      <w:r>
        <w:rPr>
          <w:rFonts w:ascii="宋体" w:eastAsia="宋体" w:hAnsi="宋体" w:cs="宋体" w:hint="eastAsia"/>
          <w:sz w:val="24"/>
          <w:szCs w:val="24"/>
        </w:rPr>
        <w:t>处置指挥调度，负责重大故障的分析排查。</w:t>
      </w:r>
    </w:p>
    <w:p>
      <w:pPr>
        <w:snapToGrid w:val="0"/>
        <w:spacing w:line="360" w:lineRule="auto"/>
        <w:ind w:firstLine="480" w:firstLineChars="200"/>
        <w:jc w:val="left"/>
        <w:rPr>
          <w:rFonts w:ascii="宋体" w:eastAsia="宋体" w:hAnsi="宋体" w:cs="宋体"/>
        </w:rPr>
      </w:pPr>
      <w:r>
        <w:rPr>
          <w:rFonts w:ascii="宋体" w:eastAsia="宋体" w:hAnsi="宋体" w:cs="宋体" w:hint="eastAsia"/>
          <w:sz w:val="24"/>
          <w:szCs w:val="24"/>
        </w:rPr>
        <w:t>（</w:t>
      </w:r>
      <w:r>
        <w:rPr>
          <w:rFonts w:ascii="宋体" w:eastAsia="宋体" w:hAnsi="宋体" w:cs="宋体" w:hint="eastAsia"/>
          <w:sz w:val="24"/>
          <w:szCs w:val="24"/>
          <w:lang w:val="en-US" w:eastAsia="zh-CN"/>
        </w:rPr>
        <w:t>2</w:t>
      </w:r>
      <w:r>
        <w:rPr>
          <w:rFonts w:ascii="宋体" w:eastAsia="宋体" w:hAnsi="宋体" w:cs="宋体" w:hint="eastAsia"/>
          <w:sz w:val="24"/>
          <w:szCs w:val="24"/>
        </w:rPr>
        <w:t>）根据现场实际需要到岗。</w:t>
      </w:r>
    </w:p>
    <w:p>
      <w:pPr>
        <w:adjustRightInd w:val="0"/>
        <w:snapToGrid w:val="0"/>
        <w:spacing w:line="360" w:lineRule="auto"/>
        <w:ind w:firstLine="480" w:firstLineChars="200"/>
        <w:outlineLvl w:val="2"/>
        <w:rPr>
          <w:rFonts w:ascii="楷体_GB2312" w:eastAsia="楷体_GB2312" w:hAnsi="楷体_GB2312" w:cs="楷体_GB2312"/>
        </w:rPr>
      </w:pPr>
      <w:r>
        <w:rPr>
          <w:rFonts w:ascii="楷体_GB2312" w:eastAsia="楷体_GB2312" w:hAnsi="楷体_GB2312" w:cs="楷体_GB2312" w:hint="eastAsia"/>
          <w:sz w:val="24"/>
          <w:szCs w:val="24"/>
        </w:rPr>
        <w:t>（二）值守团队</w:t>
      </w:r>
    </w:p>
    <w:p>
      <w:pPr>
        <w:numPr>
          <w:ilvl w:val="12"/>
          <w:numId w:val="0"/>
        </w:numPr>
        <w:snapToGrid w:val="0"/>
        <w:spacing w:line="360" w:lineRule="auto"/>
        <w:ind w:firstLine="480" w:firstLineChars="200"/>
        <w:jc w:val="left"/>
        <w:rPr>
          <w:rFonts w:ascii="宋体" w:eastAsia="宋体" w:hAnsi="宋体" w:cs="宋体"/>
        </w:rPr>
      </w:pPr>
      <w:r>
        <w:rPr>
          <w:rFonts w:ascii="宋体" w:eastAsia="宋体" w:hAnsi="宋体" w:cs="宋体" w:hint="eastAsia"/>
          <w:sz w:val="24"/>
          <w:szCs w:val="24"/>
        </w:rPr>
        <w:t>投标人应按照本项目服务要求组建专职的值守团队。值守团队主要负责机房场地环境系统的24小时现场值守及突发状况的应急处置工作。值守团队人员应具有电气、暖通、消防等设施的值守操作资质，具体要求如下：</w:t>
      </w:r>
    </w:p>
    <w:p>
      <w:pPr>
        <w:adjustRightInd w:val="0"/>
        <w:snapToGrid w:val="0"/>
        <w:spacing w:line="360" w:lineRule="auto"/>
        <w:ind w:firstLine="480" w:firstLineChars="200"/>
        <w:outlineLvl w:val="3"/>
        <w:rPr>
          <w:rFonts w:ascii="楷体_GB2312" w:eastAsia="楷体_GB2312" w:hAnsi="楷体_GB2312" w:cs="楷体_GB2312"/>
        </w:rPr>
      </w:pPr>
      <w:r>
        <w:rPr>
          <w:rFonts w:ascii="楷体_GB2312" w:eastAsia="楷体_GB2312" w:hAnsi="楷体_GB2312" w:cs="楷体_GB2312" w:hint="eastAsia"/>
          <w:sz w:val="24"/>
          <w:szCs w:val="24"/>
        </w:rPr>
        <w:t>1.资质要求</w:t>
      </w:r>
    </w:p>
    <w:p>
      <w:pPr>
        <w:snapToGrid w:val="0"/>
        <w:spacing w:line="360" w:lineRule="auto"/>
        <w:ind w:firstLine="480" w:firstLineChars="200"/>
        <w:jc w:val="left"/>
        <w:rPr>
          <w:rFonts w:ascii="宋体" w:eastAsia="宋体" w:hAnsi="宋体" w:cs="宋体"/>
        </w:rPr>
      </w:pPr>
      <w:r>
        <w:rPr>
          <w:rFonts w:ascii="宋体" w:eastAsia="宋体" w:hAnsi="宋体" w:cs="宋体" w:hint="eastAsia"/>
          <w:sz w:val="24"/>
          <w:szCs w:val="24"/>
        </w:rPr>
        <w:t>（1）消防值守：具有消防设施操作员证书（中级及以上）（消防证）。</w:t>
      </w:r>
    </w:p>
    <w:p>
      <w:pPr>
        <w:snapToGrid w:val="0"/>
        <w:spacing w:line="360" w:lineRule="auto"/>
        <w:ind w:firstLine="480" w:firstLineChars="200"/>
        <w:jc w:val="left"/>
        <w:rPr>
          <w:rFonts w:ascii="宋体" w:eastAsia="宋体" w:hAnsi="宋体" w:cs="宋体"/>
        </w:rPr>
      </w:pPr>
      <w:r>
        <w:rPr>
          <w:rFonts w:ascii="宋体" w:eastAsia="宋体" w:hAnsi="宋体" w:cs="宋体" w:hint="eastAsia"/>
          <w:sz w:val="24"/>
          <w:szCs w:val="24"/>
        </w:rPr>
        <w:t>（2）电气值守：具有低压电工作业特种作业操作证（低压证）。</w:t>
      </w:r>
    </w:p>
    <w:p>
      <w:pPr>
        <w:snapToGrid w:val="0"/>
        <w:spacing w:line="360" w:lineRule="auto"/>
        <w:ind w:firstLine="480" w:firstLineChars="200"/>
        <w:jc w:val="left"/>
        <w:rPr>
          <w:rFonts w:ascii="宋体" w:eastAsia="宋体" w:hAnsi="宋体" w:cs="宋体"/>
        </w:rPr>
      </w:pPr>
      <w:r>
        <w:rPr>
          <w:rFonts w:ascii="宋体" w:eastAsia="宋体" w:hAnsi="宋体" w:cs="宋体" w:hint="eastAsia"/>
          <w:sz w:val="24"/>
          <w:szCs w:val="24"/>
        </w:rPr>
        <w:t>（3）暖通值守：具有制冷与空调作业特种作业操作证（暖通证）。</w:t>
      </w:r>
    </w:p>
    <w:p>
      <w:pPr>
        <w:adjustRightInd w:val="0"/>
        <w:snapToGrid w:val="0"/>
        <w:spacing w:line="360" w:lineRule="auto"/>
        <w:ind w:firstLine="480" w:firstLineChars="200"/>
        <w:outlineLvl w:val="3"/>
        <w:rPr>
          <w:rFonts w:ascii="楷体_GB2312" w:eastAsia="楷体_GB2312" w:hAnsi="楷体_GB2312" w:cs="楷体_GB2312"/>
        </w:rPr>
      </w:pPr>
      <w:r>
        <w:rPr>
          <w:rFonts w:ascii="楷体_GB2312" w:eastAsia="楷体_GB2312" w:hAnsi="楷体_GB2312" w:cs="楷体_GB2312" w:hint="eastAsia"/>
          <w:sz w:val="24"/>
          <w:szCs w:val="24"/>
        </w:rPr>
        <w:t>2.岗位要求</w:t>
      </w:r>
    </w:p>
    <w:p>
      <w:pPr>
        <w:adjustRightInd w:val="0"/>
        <w:snapToGrid w:val="0"/>
        <w:spacing w:line="360" w:lineRule="auto"/>
        <w:ind w:firstLine="480" w:firstLineChars="200"/>
        <w:rPr>
          <w:rFonts w:ascii="宋体" w:eastAsia="宋体" w:hAnsi="宋体" w:cs="宋体"/>
        </w:rPr>
      </w:pPr>
      <w:r>
        <w:rPr>
          <w:rFonts w:ascii="宋体" w:eastAsia="宋体" w:hAnsi="宋体" w:cs="宋体" w:hint="eastAsia"/>
          <w:sz w:val="24"/>
          <w:szCs w:val="24"/>
        </w:rPr>
        <w:t>投标人应按照运维服务内容安排符合资质要求的人员现场值守，其中：</w:t>
      </w:r>
    </w:p>
    <w:p>
      <w:pPr>
        <w:numPr>
          <w:ilvl w:val="0"/>
          <w:numId w:val="6"/>
        </w:numPr>
        <w:adjustRightInd w:val="0"/>
        <w:snapToGrid w:val="0"/>
        <w:spacing w:line="360" w:lineRule="auto"/>
        <w:ind w:firstLine="480" w:firstLineChars="200"/>
        <w:rPr>
          <w:rFonts w:ascii="宋体" w:eastAsia="宋体" w:hAnsi="宋体" w:cs="宋体"/>
        </w:rPr>
      </w:pPr>
      <w:r>
        <w:rPr>
          <w:rFonts w:ascii="宋体" w:eastAsia="宋体" w:hAnsi="宋体" w:cs="宋体" w:hint="eastAsia"/>
          <w:sz w:val="24"/>
          <w:szCs w:val="24"/>
        </w:rPr>
        <w:t>同时在岗值守人员中，具有消防证人员不少于2人，具有低压证人员不少于2人，具有暖通证人员不少于1人。</w:t>
      </w:r>
    </w:p>
    <w:p>
      <w:pPr>
        <w:numPr>
          <w:ilvl w:val="0"/>
          <w:numId w:val="6"/>
        </w:numPr>
        <w:adjustRightInd w:val="0"/>
        <w:snapToGrid w:val="0"/>
        <w:spacing w:line="360" w:lineRule="auto"/>
        <w:ind w:firstLine="480" w:firstLineChars="200"/>
        <w:rPr>
          <w:rFonts w:ascii="宋体" w:eastAsia="宋体" w:hAnsi="宋体" w:cs="宋体"/>
        </w:rPr>
      </w:pPr>
      <w:r>
        <w:rPr>
          <w:rFonts w:ascii="宋体" w:eastAsia="宋体" w:hAnsi="宋体" w:cs="宋体" w:hint="eastAsia"/>
          <w:sz w:val="24"/>
          <w:szCs w:val="24"/>
        </w:rPr>
        <w:t>如一人同时具有消防、电气、暖通等多个资质证书，值守时可以按照多个岗位重复计算，但同时在岗值守人数不应少于3人，且满足消防证2人、低压证2人和暖通证1人的在岗值守人员岗位要求。</w:t>
      </w:r>
    </w:p>
    <w:p>
      <w:pPr>
        <w:adjustRightInd w:val="0"/>
        <w:snapToGrid w:val="0"/>
        <w:spacing w:line="360" w:lineRule="auto"/>
        <w:ind w:firstLine="480" w:firstLineChars="200"/>
        <w:outlineLvl w:val="2"/>
        <w:rPr>
          <w:rFonts w:ascii="楷体_GB2312" w:eastAsia="楷体_GB2312" w:hAnsi="楷体_GB2312" w:cs="楷体_GB2312"/>
        </w:rPr>
      </w:pPr>
      <w:r>
        <w:rPr>
          <w:rFonts w:ascii="楷体_GB2312" w:eastAsia="楷体_GB2312" w:hAnsi="楷体_GB2312" w:cs="楷体_GB2312" w:hint="eastAsia"/>
          <w:sz w:val="24"/>
          <w:szCs w:val="24"/>
        </w:rPr>
        <w:t>（三）运维团队</w:t>
      </w:r>
    </w:p>
    <w:p>
      <w:pPr>
        <w:numPr>
          <w:ilvl w:val="12"/>
          <w:numId w:val="0"/>
        </w:numPr>
        <w:snapToGrid w:val="0"/>
        <w:spacing w:line="360" w:lineRule="auto"/>
        <w:ind w:firstLine="480" w:firstLineChars="200"/>
        <w:jc w:val="left"/>
        <w:rPr>
          <w:rFonts w:ascii="宋体" w:eastAsia="宋体" w:hAnsi="宋体" w:cs="宋体"/>
        </w:rPr>
      </w:pPr>
      <w:r>
        <w:rPr>
          <w:rFonts w:ascii="宋体" w:eastAsia="宋体" w:hAnsi="宋体" w:cs="宋体" w:hint="eastAsia"/>
          <w:sz w:val="24"/>
          <w:szCs w:val="24"/>
        </w:rPr>
        <w:t>投标人应按照本项目服务要求组建专业的运维团队。运维团队主要负责机房场地环境系统的日常维护、故障维修、性能测试等工作，根据招标人采购需求及国家相关标准规范要求，定期到现场开展机房场地、电气设施、暖通设施、消防设施、门禁设施、视频安防监控设施和动力环境监控设施的定期/不定期维护保养、故障排查修复及定期检测服务。运维团队人员应具有电气、暖通、消防、弱电等设施的维护、操作、检测等相关资质，具体要求如下：</w:t>
      </w:r>
    </w:p>
    <w:p>
      <w:pPr>
        <w:adjustRightInd w:val="0"/>
        <w:snapToGrid w:val="0"/>
        <w:spacing w:line="360" w:lineRule="auto"/>
        <w:ind w:firstLine="480" w:firstLineChars="200"/>
        <w:outlineLvl w:val="3"/>
        <w:rPr>
          <w:rFonts w:ascii="楷体_GB2312" w:eastAsia="楷体_GB2312" w:hAnsi="楷体_GB2312" w:cs="楷体_GB2312"/>
        </w:rPr>
      </w:pPr>
      <w:r>
        <w:rPr>
          <w:rFonts w:ascii="楷体_GB2312" w:eastAsia="楷体_GB2312" w:hAnsi="楷体_GB2312" w:cs="楷体_GB2312" w:hint="eastAsia"/>
          <w:sz w:val="24"/>
          <w:szCs w:val="24"/>
        </w:rPr>
        <w:t>1.资质要求</w:t>
      </w:r>
    </w:p>
    <w:p>
      <w:pPr>
        <w:numPr>
          <w:ilvl w:val="0"/>
          <w:numId w:val="7"/>
        </w:numPr>
        <w:adjustRightInd w:val="0"/>
        <w:snapToGrid w:val="0"/>
        <w:spacing w:line="360" w:lineRule="auto"/>
        <w:ind w:firstLine="480" w:firstLineChars="200"/>
        <w:rPr>
          <w:rFonts w:ascii="宋体" w:eastAsia="宋体" w:hAnsi="宋体" w:cs="宋体"/>
        </w:rPr>
      </w:pPr>
      <w:r>
        <w:rPr>
          <w:rFonts w:ascii="宋体" w:eastAsia="宋体" w:hAnsi="宋体" w:cs="宋体" w:hint="eastAsia"/>
          <w:sz w:val="24"/>
          <w:szCs w:val="24"/>
        </w:rPr>
        <w:t>消防运维：具有开展消防设施维护保养检测的资质和能力。</w:t>
      </w:r>
    </w:p>
    <w:p>
      <w:pPr>
        <w:numPr>
          <w:ilvl w:val="0"/>
          <w:numId w:val="7"/>
        </w:numPr>
        <w:adjustRightInd w:val="0"/>
        <w:snapToGrid w:val="0"/>
        <w:spacing w:line="360" w:lineRule="auto"/>
        <w:ind w:firstLine="480" w:firstLineChars="200"/>
        <w:rPr>
          <w:rFonts w:ascii="宋体" w:eastAsia="宋体" w:hAnsi="宋体" w:cs="宋体"/>
        </w:rPr>
      </w:pPr>
      <w:r>
        <w:rPr>
          <w:rFonts w:ascii="宋体" w:eastAsia="宋体" w:hAnsi="宋体" w:cs="宋体" w:hint="eastAsia"/>
          <w:sz w:val="24"/>
          <w:szCs w:val="24"/>
        </w:rPr>
        <w:t>电气运维：具有开展低压配电柜、UPS、蓄电池等电气设施安装、维修、试验的资质和能力。</w:t>
      </w:r>
    </w:p>
    <w:p>
      <w:pPr>
        <w:numPr>
          <w:ilvl w:val="0"/>
          <w:numId w:val="7"/>
        </w:numPr>
        <w:adjustRightInd w:val="0"/>
        <w:snapToGrid w:val="0"/>
        <w:spacing w:line="360" w:lineRule="auto"/>
        <w:ind w:firstLine="480" w:firstLineChars="200"/>
        <w:rPr>
          <w:rFonts w:ascii="宋体" w:eastAsia="宋体" w:hAnsi="宋体" w:cs="宋体"/>
        </w:rPr>
      </w:pPr>
      <w:r>
        <w:rPr>
          <w:rFonts w:ascii="宋体" w:eastAsia="宋体" w:hAnsi="宋体" w:cs="宋体" w:hint="eastAsia"/>
          <w:sz w:val="24"/>
          <w:szCs w:val="24"/>
        </w:rPr>
        <w:t>暖通运维：具有开展机房精密空调、新风机组、VRV空调等暖通设施安装、维护、维修、检测服务能力。</w:t>
      </w:r>
    </w:p>
    <w:p>
      <w:pPr>
        <w:numPr>
          <w:ilvl w:val="0"/>
          <w:numId w:val="7"/>
        </w:numPr>
        <w:adjustRightInd w:val="0"/>
        <w:snapToGrid w:val="0"/>
        <w:spacing w:line="360" w:lineRule="auto"/>
        <w:ind w:firstLine="480" w:firstLineChars="200"/>
        <w:rPr>
          <w:rFonts w:ascii="宋体" w:eastAsia="宋体" w:hAnsi="宋体" w:cs="宋体"/>
        </w:rPr>
      </w:pPr>
      <w:r>
        <w:rPr>
          <w:rFonts w:ascii="宋体" w:eastAsia="宋体" w:hAnsi="宋体" w:cs="宋体" w:hint="eastAsia"/>
          <w:sz w:val="24"/>
          <w:szCs w:val="24"/>
        </w:rPr>
        <w:t>门禁、视频安防监控、动力环境监控等设施运维：具有开展弱电设施维护、维修、检测服务能力。</w:t>
      </w:r>
    </w:p>
    <w:p>
      <w:pPr>
        <w:adjustRightInd w:val="0"/>
        <w:snapToGrid w:val="0"/>
        <w:spacing w:line="360" w:lineRule="auto"/>
        <w:ind w:firstLine="480" w:firstLineChars="200"/>
        <w:outlineLvl w:val="3"/>
        <w:rPr>
          <w:rFonts w:ascii="楷体_GB2312" w:eastAsia="楷体_GB2312" w:hAnsi="楷体_GB2312" w:cs="楷体_GB2312"/>
        </w:rPr>
      </w:pPr>
      <w:r>
        <w:rPr>
          <w:rFonts w:ascii="楷体_GB2312" w:eastAsia="楷体_GB2312" w:hAnsi="楷体_GB2312" w:cs="楷体_GB2312" w:hint="eastAsia"/>
          <w:sz w:val="24"/>
          <w:szCs w:val="24"/>
        </w:rPr>
        <w:t>2.岗位要求</w:t>
      </w:r>
    </w:p>
    <w:p>
      <w:pPr>
        <w:numPr>
          <w:ilvl w:val="0"/>
          <w:numId w:val="8"/>
        </w:numPr>
        <w:adjustRightInd w:val="0"/>
        <w:snapToGrid w:val="0"/>
        <w:spacing w:line="360" w:lineRule="auto"/>
        <w:ind w:firstLine="480" w:firstLineChars="200"/>
        <w:jc w:val="left"/>
        <w:rPr>
          <w:rFonts w:ascii="宋体" w:eastAsia="宋体" w:hAnsi="宋体" w:cs="宋体"/>
        </w:rPr>
      </w:pPr>
      <w:r>
        <w:rPr>
          <w:rFonts w:ascii="宋体" w:eastAsia="宋体" w:hAnsi="宋体" w:cs="宋体" w:hint="eastAsia"/>
          <w:sz w:val="24"/>
          <w:szCs w:val="24"/>
        </w:rPr>
        <w:t>投标人应按照运维服务内容安排符合资质要求的人员组成运维团队，定期或根据实际需求到现场对相关机房场地环境设施进行维护保养、故障排查修复及性能试验等工作，具体工作内容见服务要求部分。</w:t>
      </w:r>
    </w:p>
    <w:p>
      <w:pPr>
        <w:numPr>
          <w:ilvl w:val="0"/>
          <w:numId w:val="8"/>
        </w:numPr>
        <w:adjustRightInd w:val="0"/>
        <w:snapToGrid w:val="0"/>
        <w:spacing w:line="360" w:lineRule="auto"/>
        <w:ind w:firstLine="480" w:firstLineChars="200"/>
        <w:jc w:val="left"/>
        <w:rPr>
          <w:rFonts w:ascii="宋体" w:eastAsia="宋体" w:hAnsi="宋体" w:cs="宋体"/>
        </w:rPr>
      </w:pPr>
      <w:r>
        <w:rPr>
          <w:rFonts w:ascii="宋体" w:eastAsia="宋体" w:hAnsi="宋体" w:cs="宋体" w:hint="eastAsia"/>
          <w:sz w:val="24"/>
          <w:szCs w:val="24"/>
        </w:rPr>
        <w:t>运维团队人员具有电气、暖通、弱电、消防等设施的维护、维修、试验等操作资质、技术能力和运维经验。</w:t>
      </w:r>
    </w:p>
    <w:p>
      <w:pPr>
        <w:adjustRightInd w:val="0"/>
        <w:snapToGrid w:val="0"/>
        <w:spacing w:line="360" w:lineRule="auto"/>
        <w:ind w:firstLine="480" w:firstLineChars="200"/>
        <w:jc w:val="left"/>
        <w:outlineLvl w:val="2"/>
        <w:rPr>
          <w:rFonts w:ascii="楷体_GB2312" w:eastAsia="楷体_GB2312" w:hAnsi="楷体_GB2312" w:cs="楷体_GB2312"/>
        </w:rPr>
      </w:pPr>
      <w:r>
        <w:rPr>
          <w:rFonts w:ascii="楷体_GB2312" w:eastAsia="楷体_GB2312" w:hAnsi="楷体_GB2312" w:cs="楷体_GB2312" w:hint="eastAsia"/>
          <w:sz w:val="24"/>
          <w:szCs w:val="24"/>
        </w:rPr>
        <w:t>（四）其它要求</w:t>
      </w:r>
    </w:p>
    <w:p>
      <w:pPr>
        <w:snapToGrid w:val="0"/>
        <w:spacing w:line="360" w:lineRule="auto"/>
        <w:ind w:firstLine="480" w:firstLineChars="200"/>
        <w:jc w:val="left"/>
        <w:rPr>
          <w:rFonts w:ascii="宋体" w:eastAsia="宋体" w:hAnsi="宋体" w:cs="宋体"/>
        </w:rPr>
      </w:pPr>
      <w:r>
        <w:rPr>
          <w:rFonts w:ascii="宋体" w:eastAsia="宋体" w:hAnsi="宋体" w:cs="宋体" w:hint="eastAsia"/>
          <w:sz w:val="24"/>
          <w:szCs w:val="24"/>
        </w:rPr>
        <w:t>1.投标人应根据招标人机房场地环境设施实际情况合理制定运行值班、日常巡检、应急处置、故障维修、性能试验等方案计划并严格执行，招标人同步监督、管理投标人执行情况并定期考核。</w:t>
      </w:r>
    </w:p>
    <w:p>
      <w:pPr>
        <w:snapToGrid w:val="0"/>
        <w:spacing w:line="360" w:lineRule="auto"/>
        <w:ind w:firstLine="480" w:firstLineChars="200"/>
        <w:jc w:val="left"/>
        <w:rPr>
          <w:rFonts w:ascii="宋体" w:eastAsia="宋体" w:hAnsi="宋体" w:cs="宋体"/>
        </w:rPr>
      </w:pPr>
      <w:r>
        <w:rPr>
          <w:rFonts w:ascii="宋体" w:eastAsia="宋体" w:hAnsi="宋体" w:cs="宋体" w:hint="eastAsia"/>
          <w:sz w:val="24"/>
          <w:szCs w:val="24"/>
        </w:rPr>
        <w:t>2.投标人严格按《保障农民工工资支付条例》（中华人民共和国国务院令第724号）执行，投标人不得拖欠维护人员的工资及劳动报酬。投标人违反此约定的，自行承担全部责任。</w:t>
      </w:r>
    </w:p>
    <w:p>
      <w:pPr>
        <w:snapToGrid w:val="0"/>
        <w:spacing w:line="360" w:lineRule="auto"/>
        <w:ind w:firstLine="480" w:firstLineChars="200"/>
        <w:jc w:val="left"/>
        <w:rPr>
          <w:rFonts w:ascii="宋体" w:eastAsia="宋体" w:hAnsi="宋体" w:cs="宋体"/>
        </w:rPr>
      </w:pPr>
      <w:r>
        <w:rPr>
          <w:rFonts w:ascii="宋体" w:eastAsia="宋体" w:hAnsi="宋体" w:cs="宋体" w:hint="eastAsia"/>
          <w:sz w:val="24"/>
          <w:szCs w:val="24"/>
        </w:rPr>
        <w:t>3.投标人与维护人员发生工资及劳动报酬争议或纠纷时，投标人应负责约束其维护人员，不得向招标人索取，也不得做出干扰招标人工作秩序的其他行为；招标人不直接对投标人的人员承担工资及劳动报酬方面的责任或义务。</w:t>
      </w:r>
    </w:p>
    <w:p>
      <w:pPr>
        <w:adjustRightInd w:val="0"/>
        <w:snapToGrid w:val="0"/>
        <w:spacing w:line="360" w:lineRule="auto"/>
        <w:ind w:firstLine="480" w:firstLineChars="200"/>
        <w:outlineLvl w:val="1"/>
        <w:rPr>
          <w:rFonts w:ascii="黑体" w:eastAsia="黑体" w:hAnsi="黑体" w:cs="黑体"/>
        </w:rPr>
      </w:pPr>
      <w:r>
        <w:rPr>
          <w:rFonts w:ascii="黑体" w:eastAsia="黑体" w:hAnsi="黑体" w:cs="黑体" w:hint="eastAsia"/>
          <w:sz w:val="24"/>
          <w:szCs w:val="24"/>
        </w:rPr>
        <w:t>五、服务要求</w:t>
      </w:r>
    </w:p>
    <w:p>
      <w:pPr>
        <w:adjustRightInd w:val="0"/>
        <w:snapToGrid w:val="0"/>
        <w:spacing w:line="360" w:lineRule="auto"/>
        <w:ind w:firstLine="480" w:firstLineChars="200"/>
        <w:outlineLvl w:val="2"/>
        <w:rPr>
          <w:rFonts w:ascii="楷体_GB2312" w:eastAsia="楷体_GB2312" w:hAnsi="楷体_GB2312" w:cs="楷体_GB2312"/>
        </w:rPr>
      </w:pPr>
      <w:r>
        <w:rPr>
          <w:rFonts w:ascii="楷体_GB2312" w:eastAsia="楷体_GB2312" w:hAnsi="楷体_GB2312" w:cs="楷体_GB2312" w:hint="eastAsia"/>
          <w:sz w:val="24"/>
          <w:szCs w:val="24"/>
        </w:rPr>
        <w:t>（一）24小时值守</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每班次至少配置2名消防值班岗人员，并按照国家和地方相关规定履行相应的工作职责。</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班次至少配置2个电气值班岗位人员，负责通过动力环境监控系统实时监视电气设施运行情况，每天四次巡视电气设施，重点检查低压配电、UPS、蓄电池、机房配电、电缆、PDU等运行情况，按照要求填写巡视记录本，发现异常立即上报并处置。</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班次至少配置1个暖通值班岗位人员，负责通过动力环境监控系统实时监视暖通空调设施运行情况，每天四次巡视暖通设施运行情况，重点检查机房空调、新风、辅助机房区VRV空调等运行情况以及各机房区温湿度，按照要求填写巡视记录本，如发现异常立即上报并处置。</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各岗位值班人员均应熟悉所负责相关系统（消防、电气、暖通、弱电等）的设施现状、操作规程、应急预案等要求。</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现场值班人员同时负责门禁、视频安防监控等设施值守。</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值守期间，如发生机房场地环境设施报警信息，值守人员应按照国家、地方相关法律法规及招标人相关管理规定进行处置，包括但不限于第一时间到达现场查看情况、按照相关流程上报、按照相关应急预案第一时间采取应急处置措施、配合招标人及运维团队进行故障排查维修等等。</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如招标人与重大事件需要加强现场值守，投标人应按照招标人要求在增加运维团队人员在现场24小时值守，具体情况招标人根据实际需求提前通知投标人。</w:t>
      </w:r>
    </w:p>
    <w:p>
      <w:pPr>
        <w:adjustRightInd w:val="0"/>
        <w:snapToGrid w:val="0"/>
        <w:spacing w:line="360" w:lineRule="auto"/>
        <w:ind w:firstLine="480" w:firstLineChars="200"/>
        <w:outlineLvl w:val="2"/>
        <w:rPr>
          <w:rFonts w:ascii="楷体_GB2312" w:eastAsia="楷体_GB2312" w:hAnsi="楷体_GB2312" w:cs="楷体_GB2312"/>
        </w:rPr>
      </w:pPr>
      <w:r>
        <w:rPr>
          <w:rFonts w:ascii="楷体_GB2312" w:eastAsia="楷体_GB2312" w:hAnsi="楷体_GB2312" w:cs="楷体_GB2312" w:hint="eastAsia"/>
          <w:sz w:val="24"/>
          <w:szCs w:val="24"/>
        </w:rPr>
        <w:t>（二）日常维护</w:t>
      </w:r>
    </w:p>
    <w:p>
      <w:pPr>
        <w:adjustRightInd w:val="0"/>
        <w:snapToGrid w:val="0"/>
        <w:spacing w:line="360" w:lineRule="auto"/>
        <w:ind w:firstLine="480" w:firstLineChars="200"/>
        <w:outlineLvl w:val="3"/>
        <w:rPr>
          <w:rFonts w:ascii="楷体_GB2312" w:eastAsia="楷体_GB2312" w:hAnsi="楷体_GB2312" w:cs="楷体_GB2312"/>
        </w:rPr>
      </w:pPr>
      <w:r>
        <w:rPr>
          <w:rFonts w:ascii="楷体_GB2312" w:eastAsia="楷体_GB2312" w:hAnsi="楷体_GB2312" w:cs="楷体_GB2312" w:hint="eastAsia"/>
          <w:sz w:val="24"/>
          <w:szCs w:val="24"/>
        </w:rPr>
        <w:t>1.机房场地设施</w:t>
      </w:r>
    </w:p>
    <w:p>
      <w:pPr>
        <w:numPr>
          <w:ilvl w:val="0"/>
          <w:numId w:val="9"/>
        </w:numPr>
        <w:adjustRightInd w:val="0"/>
        <w:snapToGrid w:val="0"/>
        <w:spacing w:line="360" w:lineRule="auto"/>
        <w:ind w:left="0" w:firstLine="480" w:firstLineChars="200"/>
        <w:rPr>
          <w:rFonts w:ascii="宋体" w:eastAsia="宋体" w:hAnsi="宋体" w:cs="Times New Roman"/>
        </w:rPr>
      </w:pPr>
      <w:r>
        <w:rPr>
          <w:rFonts w:ascii="宋体" w:eastAsia="宋体" w:hAnsi="宋体" w:cs="Times New Roman" w:hint="eastAsia"/>
          <w:sz w:val="24"/>
          <w:szCs w:val="24"/>
        </w:rPr>
        <w:t>投标人应每年安排技术人员对所属机房场地设施进行一次全面维护，维护内容包括地板平整度检查及调整、门及把手牢固度等。</w:t>
      </w:r>
    </w:p>
    <w:p>
      <w:pPr>
        <w:adjustRightInd w:val="0"/>
        <w:snapToGrid w:val="0"/>
        <w:spacing w:line="360" w:lineRule="auto"/>
        <w:ind w:firstLine="480" w:firstLineChars="200"/>
        <w:outlineLvl w:val="3"/>
        <w:rPr>
          <w:rFonts w:ascii="楷体_GB2312" w:eastAsia="楷体_GB2312" w:hAnsi="楷体_GB2312" w:cs="楷体_GB2312"/>
        </w:rPr>
      </w:pPr>
      <w:r>
        <w:rPr>
          <w:rFonts w:ascii="楷体_GB2312" w:eastAsia="楷体_GB2312" w:hAnsi="楷体_GB2312" w:cs="楷体_GB2312" w:hint="eastAsia"/>
          <w:sz w:val="24"/>
          <w:szCs w:val="24"/>
        </w:rPr>
        <w:t>2.电气设施</w:t>
      </w:r>
    </w:p>
    <w:p>
      <w:pPr>
        <w:snapToGrid w:val="0"/>
        <w:spacing w:line="360" w:lineRule="auto"/>
        <w:ind w:left="420"/>
        <w:jc w:val="left"/>
        <w:rPr>
          <w:rFonts w:ascii="宋体" w:eastAsia="宋体" w:hAnsi="宋体" w:cs="Times New Roman"/>
        </w:rPr>
      </w:pPr>
      <w:r>
        <w:rPr>
          <w:rFonts w:ascii="宋体" w:eastAsia="宋体" w:hAnsi="宋体" w:cs="Times New Roman" w:hint="eastAsia"/>
          <w:sz w:val="24"/>
          <w:szCs w:val="24"/>
        </w:rPr>
        <w:t>投标人应安排技术人员定期对电气设施进行专项维护，维护内容包括：</w:t>
      </w:r>
    </w:p>
    <w:p>
      <w:pPr>
        <w:snapToGrid w:val="0"/>
        <w:spacing w:line="360" w:lineRule="auto"/>
        <w:ind w:firstLine="480" w:firstLineChars="200"/>
        <w:jc w:val="left"/>
        <w:rPr>
          <w:rFonts w:ascii="宋体" w:eastAsia="宋体" w:hAnsi="宋体" w:cs="Times New Roman"/>
        </w:rPr>
      </w:pPr>
      <w:r>
        <w:rPr>
          <w:rFonts w:ascii="宋体" w:eastAsia="宋体" w:hAnsi="宋体" w:cs="Times New Roman" w:hint="eastAsia"/>
          <w:sz w:val="24"/>
          <w:szCs w:val="24"/>
        </w:rPr>
        <w:t>（1）低压配电</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每月对低压配电系统进行红外检测，重点检测开关接线端子、母排、电缆接头等；</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每年对低压配电系统仪表进行校核；</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每年对低压配电柜进行在线清洁；</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每年对低压配电系统绝缘情况进行检测。</w:t>
      </w:r>
    </w:p>
    <w:p>
      <w:pPr>
        <w:snapToGrid w:val="0"/>
        <w:spacing w:line="360" w:lineRule="auto"/>
        <w:ind w:firstLine="480" w:firstLineChars="200"/>
        <w:jc w:val="left"/>
        <w:rPr>
          <w:rFonts w:ascii="宋体" w:eastAsia="宋体" w:hAnsi="宋体" w:cs="Times New Roman"/>
        </w:rPr>
      </w:pPr>
      <w:r>
        <w:rPr>
          <w:rFonts w:ascii="宋体" w:eastAsia="宋体" w:hAnsi="宋体" w:cs="Times New Roman" w:hint="eastAsia"/>
          <w:sz w:val="24"/>
          <w:szCs w:val="24"/>
        </w:rPr>
        <w:t>（2）UPS</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每月对UPS进行外观检查；</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每月对UPS进风口进行在线清洁；</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每年对UPS主机进行电脑检查，确认各部件运行状况良好；</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每年对UPS主机进行停机深度检查，重点检查风扇、电容等。</w:t>
      </w:r>
    </w:p>
    <w:p>
      <w:pPr>
        <w:snapToGrid w:val="0"/>
        <w:spacing w:line="360" w:lineRule="auto"/>
        <w:ind w:firstLine="480" w:firstLineChars="200"/>
        <w:jc w:val="left"/>
        <w:rPr>
          <w:rFonts w:ascii="宋体" w:eastAsia="宋体" w:hAnsi="宋体" w:cs="Times New Roman"/>
        </w:rPr>
      </w:pPr>
      <w:r>
        <w:rPr>
          <w:rFonts w:ascii="宋体" w:eastAsia="宋体" w:hAnsi="宋体" w:cs="Times New Roman" w:hint="eastAsia"/>
          <w:sz w:val="24"/>
          <w:szCs w:val="24"/>
        </w:rPr>
        <w:t>（3）蓄电池</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每月清扫蓄电池组表面灰尘；</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每季度对蓄电池进行内阻专项检测；</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每季度对所有蓄电池组进行在线放电测试；</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每年对蓄电池进行深度放电测试。</w:t>
      </w:r>
    </w:p>
    <w:p>
      <w:pPr>
        <w:snapToGrid w:val="0"/>
        <w:spacing w:line="360" w:lineRule="auto"/>
        <w:ind w:firstLine="480" w:firstLineChars="200"/>
        <w:jc w:val="left"/>
        <w:rPr>
          <w:rFonts w:ascii="宋体" w:eastAsia="宋体" w:hAnsi="宋体" w:cs="Times New Roman"/>
        </w:rPr>
      </w:pPr>
      <w:r>
        <w:rPr>
          <w:rFonts w:ascii="宋体" w:eastAsia="宋体" w:hAnsi="宋体" w:cs="Times New Roman" w:hint="eastAsia"/>
          <w:sz w:val="24"/>
          <w:szCs w:val="24"/>
        </w:rPr>
        <w:t>（4）列头柜</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每月对列头柜进行红外检测，重点检测开关接线端子、母排、电缆接头等；</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每年对列头柜仪表进行校核；</w:t>
      </w:r>
    </w:p>
    <w:p>
      <w:pPr>
        <w:numPr>
          <w:ilvl w:val="0"/>
          <w:numId w:val="9"/>
        </w:numPr>
        <w:adjustRightInd w:val="0"/>
        <w:snapToGrid w:val="0"/>
        <w:spacing w:line="360" w:lineRule="auto"/>
        <w:ind w:left="0" w:firstLine="480" w:firstLineChars="200"/>
        <w:rPr>
          <w:rFonts w:ascii="宋体" w:eastAsia="宋体" w:hAnsi="宋体" w:cs="Times New Roman"/>
        </w:rPr>
      </w:pPr>
      <w:r>
        <w:rPr>
          <w:rFonts w:ascii="宋体" w:eastAsia="宋体" w:hAnsi="宋体" w:cs="宋体" w:hint="eastAsia"/>
          <w:sz w:val="24"/>
          <w:szCs w:val="24"/>
        </w:rPr>
        <w:t>每年对列头柜进行在线清洁。</w:t>
      </w:r>
    </w:p>
    <w:p>
      <w:pPr>
        <w:snapToGrid w:val="0"/>
        <w:spacing w:line="360" w:lineRule="auto"/>
        <w:ind w:firstLine="480" w:firstLineChars="200"/>
        <w:jc w:val="left"/>
        <w:rPr>
          <w:rFonts w:ascii="宋体" w:eastAsia="宋体" w:hAnsi="宋体" w:cs="Times New Roman"/>
        </w:rPr>
      </w:pPr>
      <w:r>
        <w:rPr>
          <w:rFonts w:ascii="宋体" w:eastAsia="宋体" w:hAnsi="宋体" w:cs="Times New Roman" w:hint="eastAsia"/>
          <w:sz w:val="24"/>
          <w:szCs w:val="24"/>
        </w:rPr>
        <w:t>（5）PDU</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每月对PDU进行红外检测。</w:t>
      </w:r>
    </w:p>
    <w:p>
      <w:pPr>
        <w:snapToGrid w:val="0"/>
        <w:spacing w:line="360" w:lineRule="auto"/>
        <w:ind w:firstLine="480" w:firstLineChars="200"/>
        <w:jc w:val="left"/>
        <w:rPr>
          <w:rFonts w:ascii="宋体" w:eastAsia="宋体" w:hAnsi="宋体" w:cs="Times New Roman"/>
        </w:rPr>
      </w:pPr>
      <w:r>
        <w:rPr>
          <w:rFonts w:ascii="宋体" w:eastAsia="宋体" w:hAnsi="宋体" w:cs="Times New Roman" w:hint="eastAsia"/>
          <w:sz w:val="24"/>
          <w:szCs w:val="24"/>
        </w:rPr>
        <w:t>（6）电线电缆</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每年对电缆进行红外温度检测，每根电缆检测位置至少包括两端及中间位置。</w:t>
      </w:r>
    </w:p>
    <w:p>
      <w:pPr>
        <w:adjustRightInd w:val="0"/>
        <w:snapToGrid w:val="0"/>
        <w:spacing w:line="360" w:lineRule="auto"/>
        <w:ind w:firstLine="480" w:firstLineChars="200"/>
        <w:outlineLvl w:val="3"/>
        <w:rPr>
          <w:rFonts w:ascii="楷体_GB2312" w:eastAsia="楷体_GB2312" w:hAnsi="楷体_GB2312" w:cs="楷体_GB2312"/>
        </w:rPr>
      </w:pPr>
      <w:r>
        <w:rPr>
          <w:rFonts w:ascii="楷体_GB2312" w:eastAsia="楷体_GB2312" w:hAnsi="楷体_GB2312" w:cs="楷体_GB2312" w:hint="eastAsia"/>
          <w:sz w:val="24"/>
          <w:szCs w:val="24"/>
        </w:rPr>
        <w:t>3.暖通设施</w:t>
      </w:r>
    </w:p>
    <w:p>
      <w:pPr>
        <w:snapToGrid w:val="0"/>
        <w:spacing w:line="360" w:lineRule="auto"/>
        <w:ind w:left="420"/>
        <w:jc w:val="left"/>
        <w:rPr>
          <w:rFonts w:ascii="宋体" w:eastAsia="宋体" w:hAnsi="宋体" w:cs="Times New Roman"/>
        </w:rPr>
      </w:pPr>
      <w:r>
        <w:rPr>
          <w:rFonts w:ascii="宋体" w:eastAsia="宋体" w:hAnsi="宋体" w:cs="Times New Roman" w:hint="eastAsia"/>
          <w:sz w:val="24"/>
          <w:szCs w:val="24"/>
        </w:rPr>
        <w:t>投标人应安排技术人员定期对暖通设施进行专项维护，维护内容包括：</w:t>
      </w:r>
    </w:p>
    <w:p>
      <w:pPr>
        <w:snapToGrid w:val="0"/>
        <w:spacing w:line="360" w:lineRule="auto"/>
        <w:ind w:firstLine="480" w:firstLineChars="200"/>
        <w:jc w:val="left"/>
        <w:rPr>
          <w:rFonts w:ascii="宋体" w:eastAsia="宋体" w:hAnsi="宋体" w:cs="Times New Roman"/>
        </w:rPr>
      </w:pPr>
      <w:r>
        <w:rPr>
          <w:rFonts w:ascii="宋体" w:eastAsia="宋体" w:hAnsi="宋体" w:cs="Times New Roman" w:hint="eastAsia"/>
          <w:sz w:val="24"/>
          <w:szCs w:val="24"/>
        </w:rPr>
        <w:t>（1）机房精密空调</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每月测量空调蒸发冷凝压力，如压力有偏差及时调整；</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每季度更换所有空调过滤器；</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每季度更换空调室内风机皮带；</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每半年对所有空调进行全方位检查并出具检查报告；</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每半年对空调冷凝器进行一次停机深度清洁；</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每半年检查一次空调冷凝水管道，确保畅通；</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每半年更换一次空调加湿罐；</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每年春季在空调冷凝器进风侧加装防絮网，飞絮季节结束后撤除；</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根据实际需求不定期冲洗空调冷凝器。</w:t>
      </w:r>
    </w:p>
    <w:p>
      <w:pPr>
        <w:snapToGrid w:val="0"/>
        <w:spacing w:line="360" w:lineRule="auto"/>
        <w:ind w:firstLine="480" w:firstLineChars="200"/>
        <w:jc w:val="left"/>
        <w:rPr>
          <w:rFonts w:ascii="宋体" w:eastAsia="宋体" w:hAnsi="宋体" w:cs="Times New Roman"/>
        </w:rPr>
      </w:pPr>
      <w:r>
        <w:rPr>
          <w:rFonts w:ascii="宋体" w:eastAsia="宋体" w:hAnsi="宋体" w:cs="Times New Roman" w:hint="eastAsia"/>
          <w:sz w:val="24"/>
          <w:szCs w:val="24"/>
        </w:rPr>
        <w:t>（2）中央空调</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每年对空调进行全方位检查；</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根据实际需求不定期冲洗中央空调冷凝器。</w:t>
      </w:r>
    </w:p>
    <w:p>
      <w:pPr>
        <w:snapToGrid w:val="0"/>
        <w:spacing w:line="360" w:lineRule="auto"/>
        <w:ind w:firstLine="480" w:firstLineChars="200"/>
        <w:jc w:val="left"/>
        <w:rPr>
          <w:rFonts w:ascii="宋体" w:eastAsia="宋体" w:hAnsi="宋体" w:cs="Times New Roman"/>
        </w:rPr>
      </w:pPr>
      <w:r>
        <w:rPr>
          <w:rFonts w:ascii="宋体" w:eastAsia="宋体" w:hAnsi="宋体" w:cs="Times New Roman" w:hint="eastAsia"/>
          <w:sz w:val="24"/>
          <w:szCs w:val="24"/>
        </w:rPr>
        <w:t>（3）VRV空调</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每月清洁空调送风口；</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每年对空调进行全方位检查；</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根据实际需求不定期冲洗空调冷凝器。</w:t>
      </w:r>
    </w:p>
    <w:p>
      <w:pPr>
        <w:snapToGrid w:val="0"/>
        <w:spacing w:line="360" w:lineRule="auto"/>
        <w:ind w:firstLine="480" w:firstLineChars="200"/>
        <w:jc w:val="left"/>
        <w:rPr>
          <w:rFonts w:ascii="宋体" w:eastAsia="宋体" w:hAnsi="宋体" w:cs="Times New Roman"/>
        </w:rPr>
      </w:pPr>
      <w:r>
        <w:rPr>
          <w:rFonts w:ascii="宋体" w:eastAsia="宋体" w:hAnsi="宋体" w:cs="Times New Roman" w:hint="eastAsia"/>
          <w:sz w:val="24"/>
          <w:szCs w:val="24"/>
        </w:rPr>
        <w:t>（4）新风</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每月更换新风过滤器；</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每年对新风系统进行全方位检查；</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根据实际需求不定期冲洗新风冷凝器。</w:t>
      </w:r>
    </w:p>
    <w:p>
      <w:pPr>
        <w:adjustRightInd w:val="0"/>
        <w:snapToGrid w:val="0"/>
        <w:spacing w:line="360" w:lineRule="auto"/>
        <w:ind w:firstLine="480" w:firstLineChars="200"/>
        <w:outlineLvl w:val="3"/>
        <w:rPr>
          <w:rFonts w:ascii="楷体_GB2312" w:eastAsia="楷体_GB2312" w:hAnsi="楷体_GB2312" w:cs="楷体_GB2312"/>
        </w:rPr>
      </w:pPr>
      <w:r>
        <w:rPr>
          <w:rFonts w:ascii="楷体_GB2312" w:eastAsia="楷体_GB2312" w:hAnsi="楷体_GB2312" w:cs="楷体_GB2312" w:hint="eastAsia"/>
          <w:sz w:val="24"/>
          <w:szCs w:val="24"/>
        </w:rPr>
        <w:t>4.消防设施</w:t>
      </w:r>
    </w:p>
    <w:p>
      <w:pPr>
        <w:snapToGrid w:val="0"/>
        <w:spacing w:line="360" w:lineRule="auto"/>
        <w:ind w:left="420"/>
        <w:jc w:val="left"/>
        <w:rPr>
          <w:rFonts w:ascii="宋体" w:eastAsia="宋体" w:hAnsi="宋体" w:cs="Times New Roman"/>
        </w:rPr>
      </w:pPr>
      <w:r>
        <w:rPr>
          <w:rFonts w:ascii="宋体" w:eastAsia="宋体" w:hAnsi="宋体" w:cs="Times New Roman" w:hint="eastAsia"/>
          <w:sz w:val="24"/>
          <w:szCs w:val="24"/>
        </w:rPr>
        <w:t>投标人应安排技术人员定期对消防设施进行专项维护，维护内容包括：</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按照国家及省、市有关消防维保法规、规范性文件要求制定维护方案，按照方案进行消防设备设施周、月、季、年度维护工作；</w:t>
      </w:r>
    </w:p>
    <w:p>
      <w:pPr>
        <w:adjustRightInd w:val="0"/>
        <w:snapToGrid w:val="0"/>
        <w:spacing w:line="360" w:lineRule="auto"/>
        <w:ind w:firstLine="480" w:firstLineChars="200"/>
        <w:outlineLvl w:val="3"/>
        <w:rPr>
          <w:rFonts w:ascii="楷体_GB2312" w:eastAsia="楷体_GB2312" w:hAnsi="楷体_GB2312" w:cs="楷体_GB2312"/>
        </w:rPr>
      </w:pPr>
      <w:r>
        <w:rPr>
          <w:rFonts w:ascii="楷体_GB2312" w:eastAsia="楷体_GB2312" w:hAnsi="楷体_GB2312" w:cs="楷体_GB2312" w:hint="eastAsia"/>
          <w:sz w:val="24"/>
          <w:szCs w:val="24"/>
        </w:rPr>
        <w:t>5.门禁设施</w:t>
      </w:r>
    </w:p>
    <w:p>
      <w:pPr>
        <w:snapToGrid w:val="0"/>
        <w:spacing w:line="360" w:lineRule="auto"/>
        <w:ind w:left="420"/>
        <w:jc w:val="left"/>
        <w:rPr>
          <w:rFonts w:ascii="宋体" w:eastAsia="宋体" w:hAnsi="宋体" w:cs="Times New Roman"/>
        </w:rPr>
      </w:pPr>
      <w:r>
        <w:rPr>
          <w:rFonts w:ascii="宋体" w:eastAsia="宋体" w:hAnsi="宋体" w:cs="Times New Roman" w:hint="eastAsia"/>
          <w:sz w:val="24"/>
          <w:szCs w:val="24"/>
        </w:rPr>
        <w:t>投标人应安排技术人员定期对门禁设施进行专项维护，维护内容包括：</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负责门禁系统日常授权并做好授权记录；</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每月检查一次门禁读卡器运行状态；</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每季度对门禁授权数据进行备份；</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每半年对门禁授权情况进行梳理统计并报招标人核实确认；</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每年对门禁系统进行一次全方位检查并出具检查报告；</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不定期对门禁控制系统进行软件升级及漏洞修复，满足招标人的各项安全要求。</w:t>
      </w:r>
    </w:p>
    <w:p>
      <w:pPr>
        <w:adjustRightInd w:val="0"/>
        <w:snapToGrid w:val="0"/>
        <w:spacing w:line="360" w:lineRule="auto"/>
        <w:ind w:firstLine="480" w:firstLineChars="200"/>
        <w:outlineLvl w:val="3"/>
        <w:rPr>
          <w:rFonts w:ascii="楷体_GB2312" w:eastAsia="楷体_GB2312" w:hAnsi="楷体_GB2312" w:cs="楷体_GB2312"/>
        </w:rPr>
      </w:pPr>
      <w:r>
        <w:rPr>
          <w:rFonts w:ascii="楷体_GB2312" w:eastAsia="楷体_GB2312" w:hAnsi="楷体_GB2312" w:cs="楷体_GB2312" w:hint="eastAsia"/>
          <w:sz w:val="24"/>
          <w:szCs w:val="24"/>
        </w:rPr>
        <w:t>6.视频安防监控设施</w:t>
      </w:r>
    </w:p>
    <w:p>
      <w:pPr>
        <w:snapToGrid w:val="0"/>
        <w:spacing w:line="360" w:lineRule="auto"/>
        <w:ind w:firstLine="480" w:firstLineChars="200"/>
        <w:jc w:val="left"/>
        <w:rPr>
          <w:rFonts w:ascii="宋体" w:eastAsia="宋体" w:hAnsi="宋体" w:cs="Times New Roman"/>
        </w:rPr>
      </w:pPr>
      <w:r>
        <w:rPr>
          <w:rFonts w:ascii="宋体" w:eastAsia="宋体" w:hAnsi="宋体" w:cs="Times New Roman" w:hint="eastAsia"/>
          <w:sz w:val="24"/>
          <w:szCs w:val="24"/>
        </w:rPr>
        <w:t>投标人应安排技术人员定期对视频安防监控设施进行专项维护，维护内容包括：</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每月检查一次视频安防监控设施运行情况；</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每季度对室外视频安防监控设施运行情况进行专项检查，重点检查管路密闭、线路老化、设施防水等；</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不定期对视频安防监控系统进行软件升级和漏洞修复，满足招标人的各项安全要求。</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每年对视频安防监控系统进行一次全方位检查并出具检查报告。</w:t>
      </w:r>
    </w:p>
    <w:p>
      <w:pPr>
        <w:adjustRightInd w:val="0"/>
        <w:snapToGrid w:val="0"/>
        <w:spacing w:line="360" w:lineRule="auto"/>
        <w:ind w:firstLine="480" w:firstLineChars="200"/>
        <w:outlineLvl w:val="3"/>
        <w:rPr>
          <w:rFonts w:ascii="楷体_GB2312" w:eastAsia="楷体_GB2312" w:hAnsi="楷体_GB2312" w:cs="楷体_GB2312"/>
        </w:rPr>
      </w:pPr>
      <w:r>
        <w:rPr>
          <w:rFonts w:ascii="楷体_GB2312" w:eastAsia="楷体_GB2312" w:hAnsi="楷体_GB2312" w:cs="楷体_GB2312" w:hint="eastAsia"/>
          <w:sz w:val="24"/>
          <w:szCs w:val="24"/>
        </w:rPr>
        <w:t>7.动力环境监控设施</w:t>
      </w:r>
    </w:p>
    <w:p>
      <w:pPr>
        <w:snapToGrid w:val="0"/>
        <w:spacing w:line="360" w:lineRule="auto"/>
        <w:ind w:firstLine="480" w:firstLineChars="200"/>
        <w:jc w:val="left"/>
        <w:rPr>
          <w:rFonts w:ascii="宋体" w:eastAsia="宋体" w:hAnsi="宋体" w:cs="Times New Roman"/>
        </w:rPr>
      </w:pPr>
      <w:r>
        <w:rPr>
          <w:rFonts w:ascii="宋体" w:eastAsia="宋体" w:hAnsi="宋体" w:cs="Times New Roman" w:hint="eastAsia"/>
          <w:sz w:val="24"/>
          <w:szCs w:val="24"/>
        </w:rPr>
        <w:t>投标人应安排技术人员定期对动力环境监控设施进行专项维护，维护内容包括：</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每月检查一次动力环境监控设施运行情况；</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每月对动力环境监控系统报警功能进行抽检；</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每月对能耗、能效等指标进行梳理统计；</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每半年对动力环境监控设施进行精度校核；</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不定期对动力环境监控系统进行软件升级和漏洞修复，满足招标人的各项安全要求。</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每年对动力环境监控系统进行一次全方位检查并出具检查报告。</w:t>
      </w:r>
    </w:p>
    <w:p>
      <w:pPr>
        <w:adjustRightInd w:val="0"/>
        <w:snapToGrid w:val="0"/>
        <w:spacing w:line="360" w:lineRule="auto"/>
        <w:ind w:firstLine="480" w:firstLineChars="200"/>
        <w:outlineLvl w:val="2"/>
        <w:rPr>
          <w:rFonts w:ascii="楷体_GB2312" w:eastAsia="楷体_GB2312" w:hAnsi="楷体_GB2312" w:cs="楷体_GB2312"/>
        </w:rPr>
      </w:pPr>
      <w:r>
        <w:rPr>
          <w:rFonts w:ascii="楷体_GB2312" w:eastAsia="楷体_GB2312" w:hAnsi="楷体_GB2312" w:cs="楷体_GB2312" w:hint="eastAsia"/>
          <w:sz w:val="24"/>
          <w:szCs w:val="24"/>
        </w:rPr>
        <w:t>（三）应急处置</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投标人负责服务范围内所有设施突发紧急情况时的应急处置工作，包括但不限于应急操作、故障排查、故障分析、故障修复等工作，故障处置流程应符合国家、地方及招标人相关规定。</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如24小时值班人员具备突发紧急情况的处置资质和能力，可以直接按照相关规定和流程开展各类突发情况的应急处置工作；如24小时值守人员无法满足突发紧急情况的处置要求或能力，投标人应第一时间安排技术力量到现场处置。</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突发紧急情况采取分级管理模式，分为一级、二级、三级。三级为1天内不会影响招标人实时业务系统正常运行的突发紧急情况，投标人应及时向招标人报备，并合理安排人员和物资尽快处置；二级为30分钟内不会影响招标人实时业务系统正常运行的突发紧急情况，投标人应第一时间通知招标人并在招标人确认后开展处置工作；一级为30分钟内或已经影响实时业务系统正常运行的突发紧急情况，投标人应第一时间通知招标人并立即开展处置工作。</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如突发紧急情况短时间内即会影响招标人实时业务系统正常运行，投标人应在第一时间组织人员和物资进行突发紧急情况处置。</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投标人应确保服务范围内所有机房场地环境设施的100%可用性，以不应影响招标人实时业务系统正常运行作为评判标准。</w:t>
      </w:r>
    </w:p>
    <w:p>
      <w:pPr>
        <w:adjustRightInd w:val="0"/>
        <w:snapToGrid w:val="0"/>
        <w:spacing w:line="360" w:lineRule="auto"/>
        <w:ind w:firstLine="480" w:firstLineChars="200"/>
        <w:outlineLvl w:val="2"/>
        <w:rPr>
          <w:rFonts w:ascii="楷体_GB2312" w:eastAsia="楷体_GB2312" w:hAnsi="楷体_GB2312" w:cs="楷体_GB2312"/>
        </w:rPr>
      </w:pPr>
      <w:r>
        <w:rPr>
          <w:rFonts w:ascii="楷体_GB2312" w:eastAsia="楷体_GB2312" w:hAnsi="楷体_GB2312" w:cs="楷体_GB2312" w:hint="eastAsia"/>
          <w:sz w:val="24"/>
          <w:szCs w:val="24"/>
        </w:rPr>
        <w:t>（四）故障维修</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投标人负责服务范围内所有机房场地环境设施故障维修工作，包括各类易耗品（包括但不限于空调过滤器、空调加湿罐、维护保养消耗品等）、备品备件、技术服务、设备部件更换等全部费用。</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投标人承担的机房精密空调、新风机组、VRV空调等故障部件更换硬件费用单次不超过设备单价（以招标人采购价格为准）的20%，超过部分招标人承担相关费用。</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电气设施备品备件及部件更换相关硬件费用由招标人负责。</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服务范围内机房场地环境设施发生故障后，投标人应在30分钟完成故障应急处置，48小时内完成维修。</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投标人应根据服务范围内机房场地环境设施情况在现场提前配置各类易耗品和备品备件，易耗品及备品备件明细在投标文件中提供清单。</w:t>
      </w:r>
    </w:p>
    <w:p>
      <w:pPr>
        <w:adjustRightInd w:val="0"/>
        <w:snapToGrid w:val="0"/>
        <w:spacing w:line="360" w:lineRule="auto"/>
        <w:ind w:firstLine="480" w:firstLineChars="200"/>
        <w:outlineLvl w:val="2"/>
        <w:rPr>
          <w:rFonts w:ascii="楷体_GB2312" w:eastAsia="楷体_GB2312" w:hAnsi="楷体_GB2312" w:cs="楷体_GB2312"/>
        </w:rPr>
      </w:pPr>
      <w:r>
        <w:rPr>
          <w:rFonts w:ascii="楷体_GB2312" w:eastAsia="楷体_GB2312" w:hAnsi="楷体_GB2312" w:cs="楷体_GB2312" w:hint="eastAsia"/>
          <w:sz w:val="24"/>
          <w:szCs w:val="24"/>
        </w:rPr>
        <w:t>（五）其它要求</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运维服务过程中，如有其它未尽事宜，投标人应按照招标人要求实施并承担相关费用。如因此产生额外费用，费用总额未超过投标报价总额的10%投标人承担相关费用；如费用总额超过投标报价总额的10%，超出部分由招标人承担相关费用。</w:t>
      </w:r>
    </w:p>
    <w:p>
      <w:pPr>
        <w:numPr>
          <w:ilvl w:val="12"/>
          <w:numId w:val="0"/>
        </w:numPr>
        <w:adjustRightInd w:val="0"/>
        <w:snapToGrid w:val="0"/>
        <w:spacing w:line="360" w:lineRule="auto"/>
        <w:jc w:val="left"/>
        <w:rPr>
          <w:rFonts w:ascii="宋体" w:eastAsia="宋体" w:hAnsi="宋体" w:cs="宋体"/>
        </w:rPr>
      </w:pPr>
      <w:bookmarkStart w:id="57" w:name="_Toc42706995"/>
      <w:bookmarkEnd w:id="57"/>
      <w:bookmarkStart w:id="58" w:name="_Toc42706643"/>
      <w:bookmarkEnd w:id="58"/>
      <w:bookmarkStart w:id="59" w:name="_Toc42707457"/>
      <w:bookmarkEnd w:id="59"/>
      <w:bookmarkStart w:id="60" w:name="_Toc42757671"/>
      <w:bookmarkEnd w:id="60"/>
      <w:bookmarkStart w:id="61" w:name="_Toc42707452"/>
      <w:bookmarkEnd w:id="61"/>
      <w:bookmarkStart w:id="62" w:name="_Toc42757666"/>
      <w:bookmarkEnd w:id="62"/>
      <w:bookmarkStart w:id="63" w:name="_Toc42706648"/>
      <w:bookmarkEnd w:id="63"/>
      <w:bookmarkStart w:id="64" w:name="_Toc42706990"/>
      <w:bookmarkEnd w:id="64"/>
    </w:p>
    <w:p w:rsidR="00A77B3E"/>
    <w:p>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space="708"/>
          <w:docGrid w:type="linesAndChars" w:linePitch="312"/>
        </w:sectPr>
      </w:pPr>
      <w:bookmarkEnd w:id="56"/>
    </w:p>
    <w:p>
      <w:pPr>
        <w:spacing w:before="156" w:beforeLines="50" w:line="360" w:lineRule="auto"/>
        <w:jc w:val="center"/>
        <w:outlineLvl w:val="1"/>
        <w:rPr>
          <w:rFonts w:ascii="宋体" w:hAnsi="宋体"/>
          <w:b/>
          <w:sz w:val="30"/>
          <w:szCs w:val="30"/>
          <w:highlight w:val="none"/>
        </w:rPr>
      </w:pPr>
      <w:bookmarkStart w:id="65" w:name="投标被拒绝条款专用部分_JJTK"/>
      <w:r>
        <w:rPr>
          <w:rFonts w:ascii="宋体" w:hAnsi="宋体" w:cs="Times New Roman" w:hint="eastAsia"/>
          <w:b/>
          <w:sz w:val="30"/>
          <w:szCs w:val="30"/>
          <w:highlight w:val="none"/>
        </w:rPr>
        <w:t>第八章  投标被拒绝条款专用部分</w:t>
      </w:r>
    </w:p>
    <w:p>
      <w:pPr>
        <w:adjustRightInd w:val="0"/>
        <w:snapToGrid w:val="0"/>
        <w:spacing w:before="156" w:beforeLines="50" w:line="360" w:lineRule="auto"/>
        <w:rPr>
          <w:rFonts w:ascii="宋体" w:hAnsi="宋体"/>
          <w:szCs w:val="21"/>
          <w:highlight w:val="none"/>
        </w:rPr>
      </w:pPr>
    </w:p>
    <w:p>
      <w:pPr>
        <w:adjustRightInd w:val="0"/>
        <w:snapToGrid w:val="0"/>
        <w:spacing w:before="156" w:beforeLines="50" w:line="360" w:lineRule="auto"/>
        <w:ind w:firstLine="420" w:firstLineChars="200"/>
        <w:rPr>
          <w:rFonts w:ascii="宋体" w:hAnsi="宋体"/>
          <w:szCs w:val="21"/>
          <w:highlight w:val="none"/>
        </w:rPr>
      </w:pPr>
      <w:r>
        <w:rPr>
          <w:rFonts w:ascii="宋体" w:hAnsi="宋体" w:cs="Times New Roman" w:hint="eastAsia"/>
          <w:szCs w:val="21"/>
          <w:highlight w:val="none"/>
        </w:rPr>
        <w:t>本项目投标被拒绝专用条款详见下表。除下表及</w:t>
      </w:r>
      <w:r>
        <w:rPr>
          <w:rFonts w:ascii="黑体" w:eastAsia="黑体" w:hAnsi="黑体" w:cs="Times New Roman" w:hint="eastAsia"/>
          <w:b/>
          <w:bCs/>
          <w:szCs w:val="21"/>
          <w:highlight w:val="none"/>
        </w:rPr>
        <w:t>第三章投标被拒绝条款通用部分</w:t>
      </w:r>
      <w:r>
        <w:rPr>
          <w:rFonts w:ascii="宋体" w:hAnsi="宋体" w:cs="Times New Roman"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sz w:val="18"/>
                <w:szCs w:val="18"/>
                <w:highlight w:val="none"/>
              </w:rPr>
            </w:pPr>
            <w:r>
              <w:rPr>
                <w:rFonts w:ascii="Times New Roman" w:hAnsi="Times New Roman" w:cs="Times New Roman" w:hint="eastAsia"/>
                <w:sz w:val="18"/>
                <w:szCs w:val="18"/>
                <w:highlight w:val="none"/>
              </w:rPr>
              <w:t>序号</w:t>
            </w:r>
          </w:p>
        </w:tc>
        <w:tc>
          <w:tcPr>
            <w:tcW w:w="898" w:type="dxa"/>
            <w:noWrap w:val="0"/>
            <w:vAlign w:val="center"/>
          </w:tcPr>
          <w:p>
            <w:pPr>
              <w:jc w:val="center"/>
              <w:rPr>
                <w:sz w:val="18"/>
                <w:szCs w:val="18"/>
                <w:highlight w:val="none"/>
              </w:rPr>
            </w:pPr>
            <w:r>
              <w:rPr>
                <w:rFonts w:ascii="Times New Roman" w:hAnsi="Times New Roman" w:cs="Times New Roman" w:hint="eastAsia"/>
                <w:sz w:val="18"/>
                <w:szCs w:val="18"/>
                <w:highlight w:val="none"/>
              </w:rPr>
              <w:t>对应</w:t>
            </w:r>
          </w:p>
          <w:p>
            <w:pPr>
              <w:jc w:val="center"/>
              <w:rPr>
                <w:sz w:val="18"/>
                <w:szCs w:val="18"/>
                <w:highlight w:val="none"/>
              </w:rPr>
            </w:pPr>
            <w:r>
              <w:rPr>
                <w:rFonts w:ascii="Times New Roman" w:hAnsi="Times New Roman" w:cs="Times New Roman" w:hint="eastAsia"/>
                <w:sz w:val="18"/>
                <w:szCs w:val="18"/>
                <w:highlight w:val="none"/>
              </w:rPr>
              <w:t>条款号</w:t>
            </w:r>
          </w:p>
        </w:tc>
        <w:tc>
          <w:tcPr>
            <w:tcW w:w="7347" w:type="dxa"/>
            <w:noWrap w:val="0"/>
            <w:vAlign w:val="center"/>
          </w:tcPr>
          <w:p>
            <w:pPr>
              <w:jc w:val="center"/>
              <w:rPr>
                <w:sz w:val="18"/>
                <w:szCs w:val="18"/>
                <w:highlight w:val="none"/>
              </w:rPr>
            </w:pPr>
            <w:r>
              <w:rPr>
                <w:rFonts w:ascii="Times New Roman" w:hAnsi="Times New Roman" w:cs="Times New Roman" w:hint="eastAsia"/>
                <w:sz w:val="18"/>
                <w:szCs w:val="18"/>
                <w:highlight w:val="none"/>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b/>
                <w:sz w:val="18"/>
                <w:szCs w:val="18"/>
                <w:highlight w:val="none"/>
              </w:rPr>
            </w:pPr>
            <w:r>
              <w:rPr>
                <w:rFonts w:ascii="Times New Roman" w:hAnsi="Times New Roman" w:cs="Times New Roman" w:hint="eastAsia"/>
                <w:b/>
                <w:sz w:val="18"/>
                <w:szCs w:val="18"/>
                <w:highlight w:val="none"/>
              </w:rPr>
              <w:t>第五章 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2"/>
              </w:numPr>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r>
              <w:rPr>
                <w:rFonts w:ascii="宋体" w:hAnsi="宋体" w:cs="Times New Roman" w:hint="eastAsia"/>
                <w:sz w:val="18"/>
                <w:szCs w:val="18"/>
                <w:highlight w:val="none"/>
              </w:rPr>
              <w:t>5</w:t>
            </w:r>
            <w:r>
              <w:rPr>
                <w:rFonts w:ascii="宋体" w:hAnsi="宋体" w:cs="Times New Roman"/>
                <w:sz w:val="18"/>
                <w:szCs w:val="18"/>
                <w:highlight w:val="none"/>
              </w:rPr>
              <w:t>.2</w:t>
            </w:r>
          </w:p>
        </w:tc>
        <w:tc>
          <w:tcPr>
            <w:tcW w:w="7347" w:type="dxa"/>
            <w:noWrap w:val="0"/>
            <w:vAlign w:val="top"/>
          </w:tcPr>
          <w:p>
            <w:pPr>
              <w:tabs>
                <w:tab w:val="left" w:pos="709"/>
              </w:tabs>
              <w:spacing w:line="360" w:lineRule="auto"/>
              <w:jc w:val="left"/>
              <w:rPr>
                <w:rFonts w:ascii="Calibri" w:hAnsi="Calibri" w:cs="微软雅黑" w:hint="eastAsia"/>
                <w:kern w:val="0"/>
                <w:szCs w:val="21"/>
                <w:highlight w:val="none"/>
              </w:rPr>
            </w:pPr>
            <w:r>
              <w:rPr>
                <w:rFonts w:ascii="Calibri" w:eastAsia="宋体" w:hAnsi="Calibri" w:cs="微软雅黑" w:hint="eastAsia"/>
                <w:kern w:val="0"/>
                <w:szCs w:val="21"/>
                <w:highlight w:val="none"/>
              </w:rPr>
              <w:t>投标人应具有以下有效期超过投标截止日的资质：</w:t>
            </w:r>
          </w:p>
          <w:p>
            <w:pPr>
              <w:tabs>
                <w:tab w:val="left" w:pos="709"/>
              </w:tabs>
              <w:spacing w:line="360" w:lineRule="auto"/>
              <w:jc w:val="left"/>
              <w:rPr>
                <w:rFonts w:ascii="宋体" w:hAnsi="宋体"/>
                <w:sz w:val="18"/>
                <w:szCs w:val="18"/>
                <w:highlight w:val="none"/>
              </w:rPr>
            </w:pPr>
            <w:r>
              <w:rPr>
                <w:rFonts w:ascii="宋体" w:hAnsi="宋体" w:cs="微软雅黑" w:hint="eastAsia"/>
                <w:kern w:val="0"/>
                <w:szCs w:val="21"/>
                <w:highlight w:val="none"/>
              </w:rPr>
              <w:t>1、承装（修、试）电力设施许可证三级及以上；2、在社会消防技术服务信息系统备案且备案内容至少包含消防设施维护保养检测。（以上1、2需提供加盖投标人公章的证明材料）</w:t>
            </w:r>
          </w:p>
        </w:tc>
      </w:tr>
    </w:tbl>
    <w:p>
      <w:pPr>
        <w:spacing w:before="156" w:beforeLines="50" w:line="360" w:lineRule="auto"/>
        <w:rPr>
          <w:rFonts w:ascii="宋体" w:hAnsi="宋体"/>
          <w:szCs w:val="21"/>
          <w:highlight w:val="none"/>
        </w:rPr>
      </w:pPr>
      <w:r>
        <w:rPr>
          <w:rFonts w:ascii="宋体" w:hAnsi="宋体" w:cs="Times New Roman" w:hint="eastAsia"/>
          <w:szCs w:val="21"/>
          <w:highlight w:val="none"/>
        </w:rPr>
        <w:t>注：根据项目具体情况，对投标人有具体要求，且投标人必须遵守的，逐条列出。</w:t>
      </w:r>
    </w:p>
    <w:p>
      <w:pPr>
        <w:spacing w:before="156" w:beforeLines="50" w:line="360" w:lineRule="auto"/>
        <w:ind w:firstLine="420"/>
        <w:rPr>
          <w:highlight w:val="none"/>
        </w:rPr>
      </w:pP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65"/>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spacing w:line="360" w:lineRule="auto"/>
        <w:ind w:firstLine="3066" w:firstLineChars="1460"/>
        <w:jc w:val="left"/>
        <w:rPr>
          <w:rFonts w:ascii="Times New Roman" w:eastAsia="宋体" w:hAnsi="Times New Roman" w:cs="Times New Roman"/>
          <w:b/>
          <w:bCs/>
          <w:szCs w:val="21"/>
        </w:rPr>
      </w:pPr>
      <w:bookmarkStart w:id="66" w:name="采购公告合同部分_ZBGGHT"/>
      <w:r>
        <w:rPr>
          <w:rFonts w:ascii="Times New Roman" w:eastAsia="宋体" w:hAnsi="Times New Roman" w:cs="Times New Roman" w:hint="eastAsia"/>
          <w:b/>
          <w:bCs/>
          <w:szCs w:val="21"/>
        </w:rPr>
        <w:t>第九章  采购合同</w:t>
      </w:r>
    </w:p>
    <w:p>
      <w:pPr>
        <w:spacing w:line="360" w:lineRule="auto"/>
        <w:ind w:firstLine="3066" w:firstLineChars="1460"/>
        <w:jc w:val="left"/>
        <w:rPr>
          <w:rFonts w:ascii="Times New Roman" w:eastAsia="宋体" w:hAnsi="Times New Roman" w:cs="Times New Roman"/>
          <w:b/>
          <w:bCs/>
          <w:szCs w:val="21"/>
        </w:rPr>
      </w:pPr>
      <w:r>
        <w:rPr>
          <w:rFonts w:ascii="Times New Roman" w:eastAsia="宋体" w:hAnsi="Times New Roman" w:cs="Times New Roman"/>
          <w:b/>
          <w:bCs/>
          <w:szCs w:val="21"/>
        </w:rPr>
        <w:br w:type="page"/>
      </w:r>
    </w:p>
    <w:p>
      <w:pPr>
        <w:widowControl/>
        <w:jc w:val="center"/>
        <w:rPr>
          <w:rFonts w:ascii="宋体" w:eastAsia="微软雅黑" w:hAnsi="宋体" w:cs="宋体"/>
          <w:b/>
          <w:bCs/>
          <w:color w:val="595959"/>
          <w:spacing w:val="-20"/>
          <w:kern w:val="44"/>
          <w:sz w:val="48"/>
          <w:szCs w:val="48"/>
          <w:lang w:val="zh-CN"/>
        </w:rPr>
      </w:pPr>
      <w:r>
        <w:rPr>
          <w:rFonts w:ascii="宋体" w:eastAsia="微软雅黑" w:hAnsi="宋体" w:cs="宋体" w:hint="eastAsia"/>
          <w:b/>
          <w:bCs/>
          <w:color w:val="595959"/>
          <w:spacing w:val="-20"/>
          <w:kern w:val="44"/>
          <w:sz w:val="48"/>
          <w:szCs w:val="48"/>
          <w:lang w:val="zh-CN"/>
        </w:rPr>
        <w:t>服务类政府采购合同</w:t>
      </w:r>
    </w:p>
    <w:p>
      <w:pPr>
        <w:rPr>
          <w:rFonts w:ascii="宋体" w:eastAsia="宋体" w:hAnsi="宋体" w:cs="宋体"/>
          <w:b/>
          <w:bCs/>
          <w:spacing w:val="-20"/>
          <w:kern w:val="44"/>
          <w:sz w:val="40"/>
          <w:szCs w:val="40"/>
        </w:rPr>
      </w:pPr>
    </w:p>
    <w:p>
      <w:pPr>
        <w:rPr>
          <w:rFonts w:ascii="宋体" w:eastAsia="宋体" w:hAnsi="宋体" w:cs="宋体"/>
          <w:b/>
          <w:bCs/>
          <w:spacing w:val="-20"/>
          <w:kern w:val="44"/>
          <w:sz w:val="40"/>
          <w:szCs w:val="40"/>
        </w:rPr>
      </w:pPr>
    </w:p>
    <w:p>
      <w:pPr>
        <w:rPr>
          <w:rFonts w:ascii="宋体" w:eastAsia="宋体" w:hAnsi="宋体" w:cs="宋体"/>
          <w:b/>
          <w:bCs/>
          <w:spacing w:val="-20"/>
          <w:kern w:val="44"/>
          <w:sz w:val="40"/>
          <w:szCs w:val="40"/>
        </w:rPr>
      </w:pPr>
    </w:p>
    <w:p>
      <w:pPr>
        <w:spacing w:line="360" w:lineRule="auto"/>
        <w:ind w:left="420" w:leftChars="200"/>
        <w:rPr>
          <w:rFonts w:ascii="Times New Roman" w:eastAsia="宋体" w:hAnsi="Times New Roman" w:cs="Times New Roman"/>
          <w:sz w:val="32"/>
          <w:szCs w:val="32"/>
        </w:rPr>
      </w:pPr>
      <w:r>
        <w:rPr>
          <w:rFonts w:ascii="宋体" w:eastAsia="宋体" w:hAnsi="宋体" w:cs="宋体" w:hint="eastAsia"/>
          <w:kern w:val="0"/>
          <w:sz w:val="32"/>
          <w:szCs w:val="32"/>
        </w:rPr>
        <w:t>项目名称：</w:t>
      </w:r>
      <w:r>
        <w:rPr>
          <w:rFonts w:ascii="Times New Roman" w:eastAsia="宋体" w:hAnsi="Times New Roman" w:cs="Times New Roman" w:hint="eastAsia"/>
          <w:sz w:val="32"/>
          <w:szCs w:val="32"/>
          <w:u w:val="single"/>
        </w:rPr>
        <w:t xml:space="preserve">                             </w:t>
      </w:r>
    </w:p>
    <w:p>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合同编号：</w:t>
      </w:r>
      <w:r>
        <w:rPr>
          <w:rFonts w:ascii="Times New Roman" w:eastAsia="宋体" w:hAnsi="Times New Roman" w:cs="Times New Roman" w:hint="eastAsia"/>
          <w:sz w:val="32"/>
          <w:szCs w:val="32"/>
          <w:u w:val="single"/>
        </w:rPr>
        <w:t xml:space="preserve">                             </w:t>
      </w:r>
    </w:p>
    <w:p>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甲    方：</w:t>
      </w:r>
      <w:r>
        <w:rPr>
          <w:rFonts w:ascii="Times New Roman" w:eastAsia="宋体" w:hAnsi="Times New Roman" w:cs="Times New Roman" w:hint="eastAsia"/>
          <w:sz w:val="32"/>
          <w:szCs w:val="32"/>
          <w:u w:val="single"/>
        </w:rPr>
        <w:t xml:space="preserve">                             </w:t>
      </w:r>
    </w:p>
    <w:p>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乙    方：</w:t>
      </w:r>
      <w:r>
        <w:rPr>
          <w:rFonts w:ascii="Times New Roman" w:eastAsia="宋体" w:hAnsi="Times New Roman" w:cs="Times New Roman" w:hint="eastAsia"/>
          <w:sz w:val="32"/>
          <w:szCs w:val="32"/>
          <w:u w:val="single"/>
        </w:rPr>
        <w:t xml:space="preserve">                             </w:t>
      </w:r>
    </w:p>
    <w:p>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签订时间：</w:t>
      </w:r>
      <w:r>
        <w:rPr>
          <w:rFonts w:ascii="Times New Roman" w:eastAsia="宋体" w:hAnsi="Times New Roman" w:cs="Times New Roman" w:hint="eastAsia"/>
          <w:sz w:val="32"/>
          <w:szCs w:val="32"/>
          <w:u w:val="single"/>
        </w:rPr>
        <w:t xml:space="preserve">      </w:t>
      </w:r>
      <w:r>
        <w:rPr>
          <w:rFonts w:ascii="Times New Roman" w:eastAsia="宋体" w:hAnsi="Times New Roman" w:cs="Times New Roman"/>
          <w:sz w:val="32"/>
          <w:szCs w:val="32"/>
          <w:u w:val="single"/>
        </w:rPr>
        <w:t xml:space="preserve">           </w:t>
      </w:r>
      <w:r>
        <w:rPr>
          <w:rFonts w:ascii="Times New Roman" w:eastAsia="宋体" w:hAnsi="Times New Roman" w:cs="Times New Roman" w:hint="eastAsia"/>
          <w:sz w:val="32"/>
          <w:szCs w:val="32"/>
          <w:u w:val="single"/>
        </w:rPr>
        <w:t xml:space="preserve">            </w:t>
      </w:r>
    </w:p>
    <w:p>
      <w:pPr>
        <w:rPr>
          <w:rFonts w:ascii="Times New Roman" w:eastAsia="宋体" w:hAnsi="Times New Roman" w:cs="Times New Roman"/>
          <w:szCs w:val="20"/>
        </w:rPr>
      </w:pPr>
    </w:p>
    <w:p>
      <w:pPr>
        <w:rPr>
          <w:rFonts w:ascii="Times New Roman" w:eastAsia="黑体" w:hAnsi="Times New Roman" w:cs="Times New Roman"/>
          <w:sz w:val="44"/>
          <w:szCs w:val="44"/>
        </w:rPr>
      </w:pPr>
      <w:r>
        <w:rPr>
          <w:rFonts w:ascii="Times New Roman" w:eastAsia="黑体" w:hAnsi="Times New Roman" w:cs="Times New Roman"/>
          <w:sz w:val="44"/>
          <w:szCs w:val="44"/>
        </w:rPr>
        <w:br w:type="page"/>
      </w:r>
    </w:p>
    <w:p>
      <w:pPr>
        <w:rPr>
          <w:rFonts w:ascii="Times New Roman" w:eastAsia="黑体" w:hAnsi="Times New Roman" w:cs="Times New Roman"/>
          <w:sz w:val="44"/>
          <w:szCs w:val="44"/>
        </w:rPr>
      </w:pPr>
    </w:p>
    <w:p>
      <w:pPr>
        <w:rPr>
          <w:rFonts w:ascii="Times New Roman" w:eastAsia="黑体" w:hAnsi="Times New Roman" w:cs="Times New Roman"/>
          <w:sz w:val="44"/>
          <w:szCs w:val="44"/>
        </w:rPr>
      </w:pPr>
    </w:p>
    <w:p>
      <w:pPr>
        <w:jc w:val="center"/>
        <w:rPr>
          <w:rFonts w:ascii="Times New Roman" w:eastAsia="黑体" w:hAnsi="Times New Roman" w:cs="Times New Roman"/>
          <w:sz w:val="44"/>
          <w:szCs w:val="44"/>
        </w:rPr>
      </w:pPr>
      <w:r>
        <w:rPr>
          <w:rFonts w:ascii="Times New Roman" w:eastAsia="黑体" w:hAnsi="Times New Roman" w:cs="Times New Roman" w:hint="eastAsia"/>
          <w:sz w:val="44"/>
          <w:szCs w:val="44"/>
        </w:rPr>
        <w:t>使 用 说 明</w:t>
      </w:r>
    </w:p>
    <w:p>
      <w:pPr>
        <w:ind w:firstLine="640" w:firstLineChars="200"/>
        <w:rPr>
          <w:rFonts w:ascii="仿宋_GB2312" w:eastAsia="仿宋_GB2312" w:hAnsi="仿宋_GB2312" w:cs="仿宋_GB2312"/>
          <w:sz w:val="32"/>
          <w:szCs w:val="32"/>
        </w:rPr>
      </w:pPr>
    </w:p>
    <w:p>
      <w:pPr>
        <w:numPr>
          <w:ilvl w:val="0"/>
          <w:numId w:val="10"/>
        </w:numPr>
        <w:tabs>
          <w:tab w:val="left" w:pos="312"/>
        </w:tabs>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本合同标准文本适用于气象部门服务类（非定制开发软件）采购项目。</w:t>
      </w:r>
    </w:p>
    <w:p>
      <w:pPr>
        <w:numPr>
          <w:ilvl w:val="0"/>
          <w:numId w:val="10"/>
        </w:numPr>
        <w:tabs>
          <w:tab w:val="left" w:pos="312"/>
        </w:tabs>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可以结合采购项目具体情况，对文本作必要的调整修订后使用。</w:t>
      </w:r>
    </w:p>
    <w:p>
      <w:pPr>
        <w:numPr>
          <w:ilvl w:val="0"/>
          <w:numId w:val="10"/>
        </w:numPr>
        <w:tabs>
          <w:tab w:val="left" w:pos="312"/>
        </w:tabs>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本合同标准文本各条款中，如涉及填写多家供应商、多种采购标的等信息的，可根据采购项目具体情况添加信息项。</w:t>
      </w:r>
    </w:p>
    <w:p>
      <w:pPr>
        <w:widowControl/>
        <w:jc w:val="left"/>
        <w:rPr>
          <w:rFonts w:ascii="宋体" w:eastAsia="宋体" w:hAnsi="宋体" w:cs="Times New Roman"/>
          <w:szCs w:val="21"/>
        </w:rPr>
      </w:pPr>
      <w:r>
        <w:rPr>
          <w:rFonts w:ascii="宋体" w:eastAsia="宋体" w:hAnsi="宋体" w:cs="Times New Roman"/>
          <w:szCs w:val="21"/>
        </w:rPr>
        <w:br w:type="page"/>
      </w:r>
    </w:p>
    <w:p>
      <w:pPr>
        <w:snapToGrid w:val="0"/>
        <w:spacing w:line="360" w:lineRule="auto"/>
        <w:ind w:firstLine="420"/>
        <w:rPr>
          <w:rFonts w:ascii="宋体" w:eastAsia="宋体" w:hAnsi="宋体" w:cs="Times New Roman"/>
          <w:szCs w:val="21"/>
        </w:rPr>
      </w:pPr>
    </w:p>
    <w:p>
      <w:pPr>
        <w:tabs>
          <w:tab w:val="left" w:pos="1573"/>
        </w:tabs>
        <w:adjustRightInd w:val="0"/>
        <w:snapToGrid w:val="0"/>
        <w:spacing w:line="360" w:lineRule="auto"/>
        <w:ind w:left="708" w:hanging="708"/>
        <w:jc w:val="center"/>
        <w:outlineLvl w:val="1"/>
        <w:rPr>
          <w:rFonts w:ascii="宋体" w:eastAsia="宋体" w:hAnsi="宋体" w:cs="Times New Roman"/>
          <w:b/>
          <w:sz w:val="30"/>
          <w:szCs w:val="30"/>
        </w:rPr>
      </w:pPr>
      <w:r>
        <w:rPr>
          <w:rFonts w:ascii="宋体" w:eastAsia="宋体" w:hAnsi="宋体" w:cs="Times New Roman" w:hint="eastAsia"/>
          <w:b/>
          <w:sz w:val="30"/>
          <w:szCs w:val="30"/>
        </w:rPr>
        <w:t>第一部分  合同专用部分</w:t>
      </w:r>
    </w:p>
    <w:p>
      <w:pPr>
        <w:snapToGrid w:val="0"/>
        <w:spacing w:line="360" w:lineRule="auto"/>
        <w:ind w:firstLine="420"/>
        <w:jc w:val="center"/>
        <w:rPr>
          <w:rFonts w:ascii="宋体" w:eastAsia="宋体" w:hAnsi="宋体" w:cs="Times New Roman"/>
          <w:szCs w:val="21"/>
        </w:rPr>
      </w:pPr>
    </w:p>
    <w:p>
      <w:pPr>
        <w:snapToGrid w:val="0"/>
        <w:spacing w:line="360" w:lineRule="auto"/>
        <w:ind w:firstLine="420"/>
        <w:rPr>
          <w:rFonts w:ascii="宋体" w:eastAsia="宋体" w:hAnsi="宋体" w:cs="Times New Roman"/>
          <w:szCs w:val="21"/>
        </w:rPr>
      </w:pPr>
      <w:r>
        <w:rPr>
          <w:rFonts w:ascii="宋体" w:eastAsia="宋体" w:hAnsi="宋体" w:cs="Times New Roman" w:hint="eastAsia"/>
          <w:szCs w:val="21"/>
        </w:rPr>
        <w:t>甲方（采购人）：</w:t>
      </w:r>
      <w:r>
        <w:rPr>
          <w:rFonts w:ascii="Times New Roman" w:eastAsia="宋体" w:hAnsi="Times New Roman" w:cs="Times New Roman" w:hint="eastAsia"/>
          <w:szCs w:val="21"/>
          <w:u w:val="single"/>
        </w:rPr>
        <w:t xml:space="preserve">                                  </w:t>
      </w:r>
    </w:p>
    <w:p>
      <w:pPr>
        <w:snapToGrid w:val="0"/>
        <w:spacing w:line="360" w:lineRule="auto"/>
        <w:ind w:firstLine="420"/>
        <w:rPr>
          <w:rFonts w:ascii="宋体" w:eastAsia="宋体" w:hAnsi="宋体" w:cs="Times New Roman"/>
          <w:szCs w:val="21"/>
        </w:rPr>
      </w:pPr>
      <w:r>
        <w:rPr>
          <w:rFonts w:ascii="宋体" w:eastAsia="宋体" w:hAnsi="宋体" w:cs="Times New Roman" w:hint="eastAsia"/>
          <w:szCs w:val="21"/>
        </w:rPr>
        <w:t>乙方（中标人）：</w:t>
      </w:r>
      <w:r>
        <w:rPr>
          <w:rFonts w:ascii="Times New Roman" w:eastAsia="宋体" w:hAnsi="Times New Roman" w:cs="Times New Roman" w:hint="eastAsia"/>
          <w:szCs w:val="21"/>
          <w:u w:val="single"/>
        </w:rPr>
        <w:t xml:space="preserve">                                  </w:t>
      </w:r>
    </w:p>
    <w:p>
      <w:pPr>
        <w:snapToGrid w:val="0"/>
        <w:spacing w:line="360" w:lineRule="auto"/>
        <w:ind w:firstLine="420"/>
        <w:rPr>
          <w:rFonts w:ascii="宋体" w:eastAsia="宋体" w:hAnsi="宋体" w:cs="Times New Roman"/>
          <w:szCs w:val="21"/>
        </w:rPr>
      </w:pPr>
      <w:r>
        <w:rPr>
          <w:rFonts w:ascii="宋体" w:eastAsia="宋体" w:hAnsi="宋体" w:cs="Times New Roman" w:hint="eastAsia"/>
          <w:szCs w:val="21"/>
          <w:highlight w:val="yellow"/>
        </w:rPr>
        <w:t>甲乙双方</w:t>
      </w:r>
      <w:r>
        <w:rPr>
          <w:rFonts w:ascii="Calibri" w:eastAsia="宋体" w:hAnsi="Calibri" w:cs="Times New Roman" w:hint="eastAsia"/>
          <w:szCs w:val="21"/>
          <w:highlight w:val="yellow"/>
        </w:rPr>
        <w:t>根据《中华人民共和国民法典（合同编）》、《中华人民共和国政府采购法》、《中华人民共和国政府采购法实施条例》和相关法律法规以及本项目招标文件的规定，</w:t>
      </w:r>
      <w:r>
        <w:rPr>
          <w:rFonts w:ascii="Times New Roman" w:eastAsia="宋体" w:hAnsi="Times New Roman" w:cs="Times New Roman" w:hint="eastAsia"/>
          <w:szCs w:val="21"/>
        </w:rPr>
        <w:t>经平等协商达成合同如下：</w:t>
      </w:r>
    </w:p>
    <w:p>
      <w:pPr>
        <w:adjustRightInd w:val="0"/>
        <w:snapToGrid w:val="0"/>
        <w:spacing w:line="360" w:lineRule="auto"/>
        <w:ind w:firstLine="412" w:firstLineChars="196"/>
        <w:rPr>
          <w:rFonts w:ascii="Times New Roman" w:eastAsia="宋体" w:hAnsi="Times New Roman" w:cs="Times New Roman"/>
          <w:b/>
          <w:szCs w:val="20"/>
        </w:rPr>
      </w:pPr>
      <w:r>
        <w:rPr>
          <w:rFonts w:ascii="Times New Roman" w:eastAsia="宋体" w:hAnsi="Times New Roman" w:cs="Times New Roman" w:hint="eastAsia"/>
          <w:b/>
          <w:szCs w:val="20"/>
        </w:rPr>
        <w:t>一、项目</w:t>
      </w:r>
    </w:p>
    <w:p>
      <w:pPr>
        <w:adjustRightInd w:val="0"/>
        <w:snapToGrid w:val="0"/>
        <w:spacing w:line="360" w:lineRule="auto"/>
        <w:ind w:firstLine="420" w:firstLineChars="200"/>
        <w:rPr>
          <w:rFonts w:ascii="Times New Roman" w:eastAsia="宋体" w:hAnsi="Times New Roman" w:cs="Times New Roman"/>
          <w:szCs w:val="21"/>
          <w:u w:val="single"/>
        </w:rPr>
      </w:pPr>
      <w:r>
        <w:rPr>
          <w:rFonts w:ascii="Times New Roman" w:eastAsia="宋体" w:hAnsi="Times New Roman" w:cs="Times New Roman" w:hint="eastAsia"/>
          <w:szCs w:val="21"/>
        </w:rPr>
        <w:t>项目名称：</w:t>
      </w:r>
      <w:r>
        <w:rPr>
          <w:rFonts w:ascii="Times New Roman" w:eastAsia="宋体" w:hAnsi="Times New Roman" w:cs="Times New Roman" w:hint="eastAsia"/>
          <w:szCs w:val="21"/>
          <w:u w:val="single"/>
        </w:rPr>
        <w:t xml:space="preserve">                                    </w:t>
      </w:r>
    </w:p>
    <w:p>
      <w:pPr>
        <w:adjustRightInd w:val="0"/>
        <w:snapToGrid w:val="0"/>
        <w:spacing w:line="360" w:lineRule="auto"/>
        <w:ind w:firstLine="420" w:firstLineChars="200"/>
        <w:rPr>
          <w:rFonts w:ascii="Times New Roman" w:eastAsia="宋体" w:hAnsi="Times New Roman" w:cs="Times New Roman"/>
          <w:szCs w:val="21"/>
          <w:u w:val="single"/>
        </w:rPr>
      </w:pPr>
      <w:r>
        <w:rPr>
          <w:rFonts w:ascii="Times New Roman" w:eastAsia="宋体" w:hAnsi="Times New Roman" w:cs="Times New Roman" w:hint="eastAsia"/>
          <w:szCs w:val="21"/>
        </w:rPr>
        <w:t>项目编号和分包号：</w:t>
      </w:r>
      <w:r>
        <w:rPr>
          <w:rFonts w:ascii="Times New Roman" w:eastAsia="宋体" w:hAnsi="Times New Roman" w:cs="Times New Roman" w:hint="eastAsia"/>
          <w:szCs w:val="21"/>
          <w:u w:val="single"/>
        </w:rPr>
        <w:t xml:space="preserve">                            </w:t>
      </w:r>
    </w:p>
    <w:p>
      <w:pPr>
        <w:adjustRightInd w:val="0"/>
        <w:snapToGrid w:val="0"/>
        <w:spacing w:line="360" w:lineRule="auto"/>
        <w:ind w:firstLine="420" w:firstLineChars="200"/>
        <w:rPr>
          <w:rFonts w:ascii="宋体" w:eastAsia="宋体" w:hAnsi="宋体" w:cs="Times New Roman"/>
          <w:b/>
          <w:szCs w:val="28"/>
        </w:rPr>
      </w:pPr>
      <w:r>
        <w:rPr>
          <w:rFonts w:ascii="Times New Roman" w:eastAsia="宋体" w:hAnsi="Times New Roman" w:cs="Times New Roman" w:hint="eastAsia"/>
          <w:szCs w:val="21"/>
        </w:rPr>
        <w:t>二、</w:t>
      </w:r>
      <w:r>
        <w:rPr>
          <w:rFonts w:ascii="宋体" w:eastAsia="宋体" w:hAnsi="宋体" w:cs="Times New Roman" w:hint="eastAsia"/>
          <w:b/>
          <w:szCs w:val="28"/>
        </w:rPr>
        <w:t>合同标的</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甲方同意从乙方购买，乙方同意向甲方出售下列服务产品：</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68"/>
        <w:gridCol w:w="2935"/>
        <w:gridCol w:w="735"/>
        <w:gridCol w:w="1318"/>
        <w:gridCol w:w="750"/>
        <w:gridCol w:w="1275"/>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768" w:type="dxa"/>
            <w:noWrap w:val="0"/>
            <w:vAlign w:val="center"/>
          </w:tcPr>
          <w:p>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序号</w:t>
            </w:r>
          </w:p>
        </w:tc>
        <w:tc>
          <w:tcPr>
            <w:tcW w:w="2935" w:type="dxa"/>
            <w:noWrap w:val="0"/>
            <w:vAlign w:val="center"/>
          </w:tcPr>
          <w:p>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服务产品名称</w:t>
            </w:r>
          </w:p>
        </w:tc>
        <w:tc>
          <w:tcPr>
            <w:tcW w:w="735" w:type="dxa"/>
            <w:noWrap w:val="0"/>
            <w:vAlign w:val="center"/>
          </w:tcPr>
          <w:p>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数量</w:t>
            </w:r>
          </w:p>
        </w:tc>
        <w:tc>
          <w:tcPr>
            <w:tcW w:w="1318" w:type="dxa"/>
            <w:noWrap w:val="0"/>
            <w:vAlign w:val="center"/>
          </w:tcPr>
          <w:p>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质量说明</w:t>
            </w:r>
          </w:p>
        </w:tc>
        <w:tc>
          <w:tcPr>
            <w:tcW w:w="750" w:type="dxa"/>
            <w:noWrap w:val="0"/>
            <w:vAlign w:val="center"/>
          </w:tcPr>
          <w:p>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价格</w:t>
            </w:r>
          </w:p>
        </w:tc>
        <w:tc>
          <w:tcPr>
            <w:tcW w:w="1275" w:type="dxa"/>
            <w:noWrap w:val="0"/>
            <w:vAlign w:val="center"/>
          </w:tcPr>
          <w:p>
            <w:pPr>
              <w:tabs>
                <w:tab w:val="left" w:pos="1573"/>
              </w:tabs>
              <w:autoSpaceDE w:val="0"/>
              <w:autoSpaceDN w:val="0"/>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交付时间</w:t>
            </w:r>
          </w:p>
        </w:tc>
      </w:tr>
      <w:tr>
        <w:tblPrEx>
          <w:tblW w:w="0" w:type="auto"/>
          <w:jc w:val="center"/>
          <w:tblLayout w:type="fixed"/>
          <w:tblCellMar>
            <w:top w:w="0" w:type="dxa"/>
            <w:left w:w="108" w:type="dxa"/>
            <w:bottom w:w="0" w:type="dxa"/>
            <w:right w:w="108" w:type="dxa"/>
          </w:tblCellMar>
        </w:tblPrEx>
        <w:trPr>
          <w:jc w:val="center"/>
        </w:trPr>
        <w:tc>
          <w:tcPr>
            <w:tcW w:w="768"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rPr>
            </w:pPr>
          </w:p>
        </w:tc>
        <w:tc>
          <w:tcPr>
            <w:tcW w:w="293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rPr>
            </w:pPr>
          </w:p>
        </w:tc>
        <w:tc>
          <w:tcPr>
            <w:tcW w:w="73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rPr>
            </w:pPr>
          </w:p>
        </w:tc>
        <w:tc>
          <w:tcPr>
            <w:tcW w:w="1318"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rPr>
            </w:pPr>
          </w:p>
        </w:tc>
        <w:tc>
          <w:tcPr>
            <w:tcW w:w="750"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rPr>
            </w:pPr>
          </w:p>
        </w:tc>
        <w:tc>
          <w:tcPr>
            <w:tcW w:w="127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rPr>
            </w:pPr>
          </w:p>
        </w:tc>
      </w:tr>
      <w:tr>
        <w:tblPrEx>
          <w:tblW w:w="0" w:type="auto"/>
          <w:jc w:val="center"/>
          <w:tblLayout w:type="fixed"/>
          <w:tblCellMar>
            <w:top w:w="0" w:type="dxa"/>
            <w:left w:w="108" w:type="dxa"/>
            <w:bottom w:w="0" w:type="dxa"/>
            <w:right w:w="108" w:type="dxa"/>
          </w:tblCellMar>
        </w:tblPrEx>
        <w:trPr>
          <w:jc w:val="center"/>
        </w:trPr>
        <w:tc>
          <w:tcPr>
            <w:tcW w:w="768"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rPr>
            </w:pPr>
          </w:p>
        </w:tc>
        <w:tc>
          <w:tcPr>
            <w:tcW w:w="293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rPr>
            </w:pPr>
          </w:p>
        </w:tc>
        <w:tc>
          <w:tcPr>
            <w:tcW w:w="73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rPr>
            </w:pPr>
          </w:p>
        </w:tc>
        <w:tc>
          <w:tcPr>
            <w:tcW w:w="1318"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rPr>
            </w:pPr>
          </w:p>
        </w:tc>
        <w:tc>
          <w:tcPr>
            <w:tcW w:w="750"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rPr>
            </w:pPr>
          </w:p>
        </w:tc>
        <w:tc>
          <w:tcPr>
            <w:tcW w:w="127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rPr>
            </w:pPr>
          </w:p>
        </w:tc>
      </w:tr>
      <w:tr>
        <w:tblPrEx>
          <w:tblW w:w="0" w:type="auto"/>
          <w:jc w:val="center"/>
          <w:tblLayout w:type="fixed"/>
          <w:tblCellMar>
            <w:top w:w="0" w:type="dxa"/>
            <w:left w:w="108" w:type="dxa"/>
            <w:bottom w:w="0" w:type="dxa"/>
            <w:right w:w="108" w:type="dxa"/>
          </w:tblCellMar>
        </w:tblPrEx>
        <w:trPr>
          <w:jc w:val="center"/>
        </w:trPr>
        <w:tc>
          <w:tcPr>
            <w:tcW w:w="768"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rPr>
            </w:pPr>
          </w:p>
        </w:tc>
        <w:tc>
          <w:tcPr>
            <w:tcW w:w="293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rPr>
            </w:pPr>
          </w:p>
        </w:tc>
        <w:tc>
          <w:tcPr>
            <w:tcW w:w="73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rPr>
            </w:pPr>
          </w:p>
        </w:tc>
        <w:tc>
          <w:tcPr>
            <w:tcW w:w="1318"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rPr>
            </w:pPr>
          </w:p>
        </w:tc>
        <w:tc>
          <w:tcPr>
            <w:tcW w:w="750"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rPr>
            </w:pPr>
          </w:p>
        </w:tc>
        <w:tc>
          <w:tcPr>
            <w:tcW w:w="127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rPr>
            </w:pPr>
          </w:p>
        </w:tc>
      </w:tr>
    </w:tbl>
    <w:p>
      <w:pPr>
        <w:tabs>
          <w:tab w:val="left" w:pos="1573"/>
        </w:tabs>
        <w:adjustRightInd w:val="0"/>
        <w:snapToGrid w:val="0"/>
        <w:spacing w:line="360" w:lineRule="auto"/>
        <w:ind w:firstLine="420" w:firstLineChars="200"/>
        <w:jc w:val="left"/>
        <w:rPr>
          <w:rFonts w:ascii="宋体" w:eastAsia="宋体" w:hAnsi="宋体" w:cs="Times New Roman"/>
          <w:b/>
          <w:szCs w:val="28"/>
        </w:rPr>
      </w:pPr>
      <w:r>
        <w:rPr>
          <w:rFonts w:ascii="宋体" w:eastAsia="宋体" w:hAnsi="宋体" w:cs="Times New Roman" w:hint="eastAsia"/>
          <w:b/>
          <w:szCs w:val="28"/>
          <w:highlight w:val="yellow"/>
        </w:rPr>
        <w:t>三</w:t>
      </w:r>
      <w:r>
        <w:rPr>
          <w:rFonts w:ascii="Times New Roman" w:eastAsia="宋体" w:hAnsi="宋体" w:cs="Times New Roman" w:hint="eastAsia"/>
          <w:b/>
          <w:szCs w:val="20"/>
          <w:highlight w:val="yellow"/>
        </w:rPr>
        <w:t>、合同价格及</w:t>
      </w:r>
      <w:r>
        <w:rPr>
          <w:rFonts w:ascii="宋体" w:eastAsia="宋体" w:hAnsi="宋体" w:cs="Times New Roman" w:hint="eastAsia"/>
          <w:b/>
          <w:szCs w:val="28"/>
          <w:highlight w:val="yellow"/>
        </w:rPr>
        <w:t>付款方式</w:t>
      </w:r>
    </w:p>
    <w:p>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1、合同总金额为人民币</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元（大写）：</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元（小写）。</w:t>
      </w:r>
    </w:p>
    <w:p>
      <w:pPr>
        <w:tabs>
          <w:tab w:val="left" w:pos="1573"/>
        </w:tabs>
        <w:adjustRightInd w:val="0"/>
        <w:snapToGrid w:val="0"/>
        <w:spacing w:line="360" w:lineRule="auto"/>
        <w:ind w:firstLine="420" w:firstLineChars="200"/>
        <w:jc w:val="left"/>
        <w:rPr>
          <w:rFonts w:ascii="宋体" w:eastAsia="宋体" w:hAnsi="宋体" w:cs="Times New Roman" w:hint="eastAsia"/>
          <w:szCs w:val="21"/>
          <w:highlight w:val="none"/>
        </w:rPr>
      </w:pPr>
      <w:r>
        <w:rPr>
          <w:rFonts w:ascii="宋体" w:eastAsia="宋体" w:hAnsi="宋体" w:cs="Times New Roman" w:hint="eastAsia"/>
          <w:szCs w:val="21"/>
          <w:highlight w:val="none"/>
        </w:rPr>
        <w:t>2、合同生效后付款：双方签署合同后7个工作日内，甲方向乙方支付合同总金额的</w:t>
      </w:r>
      <w:r>
        <w:rPr>
          <w:rFonts w:ascii="宋体" w:eastAsia="宋体" w:hAnsi="宋体" w:cs="微软雅黑" w:hint="eastAsia"/>
          <w:b/>
          <w:color w:val="0000FF"/>
          <w:kern w:val="0"/>
          <w:szCs w:val="21"/>
          <w:highlight w:val="none"/>
          <w:lang w:val="en-US" w:eastAsia="zh-CN"/>
        </w:rPr>
        <w:t>60</w:t>
      </w:r>
      <w:r>
        <w:rPr>
          <w:rFonts w:ascii="宋体" w:eastAsia="宋体" w:hAnsi="宋体" w:cs="微软雅黑" w:hint="eastAsia"/>
          <w:b/>
          <w:color w:val="0000FF"/>
          <w:kern w:val="0"/>
          <w:szCs w:val="21"/>
          <w:highlight w:val="none"/>
        </w:rPr>
        <w:t>%</w:t>
      </w:r>
      <w:r>
        <w:rPr>
          <w:rFonts w:ascii="宋体" w:eastAsia="宋体" w:hAnsi="宋体" w:cs="Times New Roman" w:hint="eastAsia"/>
          <w:szCs w:val="21"/>
          <w:highlight w:val="none"/>
        </w:rPr>
        <w:t>，即人民币</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元（大写）：</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元（小写）；</w:t>
      </w:r>
    </w:p>
    <w:p>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3、</w:t>
      </w:r>
      <w:r>
        <w:rPr>
          <w:rFonts w:ascii="宋体" w:eastAsia="宋体" w:hAnsi="宋体" w:cs="Times New Roman" w:hint="eastAsia"/>
          <w:szCs w:val="21"/>
          <w:highlight w:val="none"/>
          <w:lang w:eastAsia="zh-CN"/>
        </w:rPr>
        <w:t>试用期满后</w:t>
      </w:r>
      <w:r>
        <w:rPr>
          <w:rFonts w:ascii="宋体" w:eastAsia="宋体" w:hAnsi="宋体" w:cs="Times New Roman" w:hint="eastAsia"/>
          <w:szCs w:val="21"/>
          <w:highlight w:val="none"/>
        </w:rPr>
        <w:t>付款：</w:t>
      </w:r>
      <w:r>
        <w:rPr>
          <w:rFonts w:ascii="宋体" w:eastAsia="宋体" w:hAnsi="宋体" w:cs="Times New Roman" w:hint="eastAsia"/>
          <w:szCs w:val="21"/>
          <w:highlight w:val="none"/>
          <w:lang w:eastAsia="zh-CN"/>
        </w:rPr>
        <w:t>试用期结束且乙方通过甲方试用期考核</w:t>
      </w:r>
      <w:r>
        <w:rPr>
          <w:rFonts w:ascii="宋体" w:eastAsia="宋体" w:hAnsi="宋体" w:cs="Times New Roman" w:hint="eastAsia"/>
          <w:szCs w:val="21"/>
          <w:highlight w:val="none"/>
        </w:rPr>
        <w:t>后7个工作日内，甲方向乙方支付合同总金额的</w:t>
      </w:r>
      <w:r>
        <w:rPr>
          <w:rFonts w:ascii="宋体" w:hAnsi="宋体" w:cs="Times New Roman" w:hint="eastAsia"/>
          <w:color w:val="0000FF"/>
          <w:szCs w:val="21"/>
          <w:highlight w:val="none"/>
          <w:lang w:val="en-US" w:eastAsia="zh-CN"/>
        </w:rPr>
        <w:t>3</w:t>
      </w:r>
      <w:r>
        <w:rPr>
          <w:rFonts w:ascii="宋体" w:eastAsia="宋体" w:hAnsi="宋体" w:cs="Times New Roman" w:hint="eastAsia"/>
          <w:color w:val="0000FF"/>
          <w:szCs w:val="21"/>
          <w:highlight w:val="none"/>
          <w:lang w:val="en-US" w:eastAsia="zh-CN"/>
        </w:rPr>
        <w:t>0</w:t>
      </w:r>
      <w:r>
        <w:rPr>
          <w:rFonts w:ascii="宋体" w:eastAsia="宋体" w:hAnsi="宋体" w:cs="微软雅黑" w:hint="eastAsia"/>
          <w:b/>
          <w:color w:val="0000FF"/>
          <w:kern w:val="0"/>
          <w:szCs w:val="21"/>
          <w:highlight w:val="none"/>
        </w:rPr>
        <w:t>%</w:t>
      </w:r>
      <w:r>
        <w:rPr>
          <w:rFonts w:ascii="宋体" w:eastAsia="宋体" w:hAnsi="宋体" w:cs="Times New Roman" w:hint="eastAsia"/>
          <w:szCs w:val="21"/>
          <w:highlight w:val="none"/>
        </w:rPr>
        <w:t>，即人民币</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元（大写）：</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元（小写）； </w:t>
      </w:r>
    </w:p>
    <w:p>
      <w:pPr>
        <w:tabs>
          <w:tab w:val="left" w:pos="1573"/>
        </w:tabs>
        <w:adjustRightInd w:val="0"/>
        <w:snapToGrid w:val="0"/>
        <w:spacing w:line="360" w:lineRule="auto"/>
        <w:ind w:firstLine="420" w:firstLineChars="200"/>
        <w:jc w:val="left"/>
        <w:rPr>
          <w:rFonts w:ascii="Times New Roman" w:eastAsia="宋体" w:hAnsi="宋体" w:cs="Times New Roman"/>
          <w:kern w:val="0"/>
          <w:szCs w:val="20"/>
          <w:highlight w:val="none"/>
        </w:rPr>
      </w:pPr>
      <w:r>
        <w:rPr>
          <w:rFonts w:ascii="宋体" w:eastAsia="宋体" w:hAnsi="宋体" w:cs="Times New Roman" w:hint="eastAsia"/>
          <w:szCs w:val="21"/>
          <w:highlight w:val="none"/>
        </w:rPr>
        <w:t>4、</w:t>
      </w:r>
      <w:r>
        <w:rPr>
          <w:rFonts w:ascii="宋体" w:eastAsia="宋体" w:hAnsi="宋体" w:cs="Times New Roman" w:hint="eastAsia"/>
          <w:szCs w:val="21"/>
          <w:highlight w:val="none"/>
          <w:lang w:eastAsia="zh-CN"/>
        </w:rPr>
        <w:t>合同期满结束后</w:t>
      </w:r>
      <w:r>
        <w:rPr>
          <w:rFonts w:ascii="宋体" w:eastAsia="宋体" w:hAnsi="宋体" w:cs="Times New Roman" w:hint="eastAsia"/>
          <w:szCs w:val="21"/>
          <w:highlight w:val="none"/>
        </w:rPr>
        <w:t>付款：</w:t>
      </w:r>
      <w:r>
        <w:rPr>
          <w:rFonts w:ascii="宋体" w:eastAsia="宋体" w:hAnsi="宋体" w:cs="Times New Roman" w:hint="eastAsia"/>
          <w:szCs w:val="21"/>
          <w:highlight w:val="none"/>
          <w:lang w:eastAsia="zh-CN"/>
        </w:rPr>
        <w:t>合同</w:t>
      </w:r>
      <w:r>
        <w:rPr>
          <w:rFonts w:ascii="宋体" w:eastAsia="宋体" w:hAnsi="宋体" w:cs="Times New Roman" w:hint="eastAsia"/>
          <w:szCs w:val="21"/>
          <w:highlight w:val="none"/>
        </w:rPr>
        <w:t>期满</w:t>
      </w:r>
      <w:r>
        <w:rPr>
          <w:rFonts w:ascii="宋体" w:eastAsia="宋体" w:hAnsi="宋体" w:cs="Times New Roman" w:hint="eastAsia"/>
          <w:szCs w:val="21"/>
          <w:highlight w:val="none"/>
          <w:lang w:eastAsia="zh-CN"/>
        </w:rPr>
        <w:t>结束</w:t>
      </w:r>
      <w:r>
        <w:rPr>
          <w:rFonts w:ascii="宋体" w:eastAsia="宋体" w:hAnsi="宋体" w:cs="Times New Roman" w:hint="eastAsia"/>
          <w:szCs w:val="21"/>
          <w:highlight w:val="none"/>
        </w:rPr>
        <w:t>后7个工作日内，甲方向乙方支付合同总金额的</w:t>
      </w:r>
      <w:r>
        <w:rPr>
          <w:rFonts w:ascii="宋体" w:eastAsia="宋体" w:hAnsi="宋体" w:cs="Times New Roman" w:hint="eastAsia"/>
          <w:color w:val="0000FF"/>
          <w:szCs w:val="21"/>
          <w:highlight w:val="none"/>
          <w:lang w:val="en-US" w:eastAsia="zh-CN"/>
        </w:rPr>
        <w:t>10</w:t>
      </w:r>
      <w:r>
        <w:rPr>
          <w:rFonts w:ascii="宋体" w:eastAsia="宋体" w:hAnsi="宋体" w:cs="微软雅黑" w:hint="eastAsia"/>
          <w:b/>
          <w:color w:val="0000FF"/>
          <w:kern w:val="0"/>
          <w:szCs w:val="21"/>
          <w:highlight w:val="none"/>
        </w:rPr>
        <w:t>%</w:t>
      </w:r>
      <w:r>
        <w:rPr>
          <w:rFonts w:ascii="宋体" w:eastAsia="宋体" w:hAnsi="宋体" w:cs="Times New Roman" w:hint="eastAsia"/>
          <w:szCs w:val="21"/>
          <w:highlight w:val="none"/>
        </w:rPr>
        <w:t>，即人民币</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元（大写）：</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元（小写）。</w:t>
      </w:r>
    </w:p>
    <w:p>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四、甲方应向乙方提供的资料</w:t>
      </w:r>
    </w:p>
    <w:p>
      <w:pPr>
        <w:tabs>
          <w:tab w:val="left" w:pos="1573"/>
        </w:tabs>
        <w:adjustRightInd w:val="0"/>
        <w:snapToGrid w:val="0"/>
        <w:spacing w:line="360" w:lineRule="auto"/>
        <w:ind w:firstLine="412" w:firstLineChars="196"/>
        <w:jc w:val="left"/>
        <w:rPr>
          <w:rFonts w:ascii="宋体" w:eastAsia="宋体" w:hAnsi="宋体" w:cs="Times New Roman"/>
          <w:szCs w:val="28"/>
        </w:rPr>
      </w:pPr>
      <w:r>
        <w:rPr>
          <w:rFonts w:ascii="宋体" w:eastAsia="宋体" w:hAnsi="宋体" w:cs="Times New Roman" w:hint="eastAsia"/>
          <w:szCs w:val="28"/>
        </w:rPr>
        <w:t>甲方提供该乙方履行合同所需的资料清单如下：</w:t>
      </w:r>
    </w:p>
    <w:p>
      <w:pPr>
        <w:tabs>
          <w:tab w:val="left" w:pos="1573"/>
        </w:tabs>
        <w:adjustRightInd w:val="0"/>
        <w:snapToGrid w:val="0"/>
        <w:spacing w:line="360" w:lineRule="auto"/>
        <w:ind w:firstLine="412" w:firstLineChars="196"/>
        <w:jc w:val="left"/>
        <w:rPr>
          <w:rFonts w:ascii="宋体" w:eastAsia="宋体" w:hAnsi="宋体" w:cs="Times New Roman"/>
          <w:szCs w:val="28"/>
        </w:rPr>
      </w:pPr>
    </w:p>
    <w:p>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五、进度要求及交付</w:t>
      </w:r>
    </w:p>
    <w:p>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1、交付日期：</w:t>
      </w:r>
      <w:r>
        <w:rPr>
          <w:rFonts w:ascii="宋体" w:eastAsia="宋体" w:hAnsi="宋体" w:cs="Times New Roman" w:hint="eastAsia"/>
          <w:szCs w:val="21"/>
          <w:u w:val="single"/>
        </w:rPr>
        <w:tab/>
      </w:r>
      <w:r>
        <w:rPr>
          <w:rFonts w:ascii="宋体" w:eastAsia="宋体" w:hAnsi="宋体" w:cs="Times New Roman" w:hint="eastAsia"/>
          <w:szCs w:val="21"/>
          <w:u w:val="single"/>
        </w:rPr>
        <w:t xml:space="preserve">                      </w:t>
      </w:r>
      <w:r>
        <w:rPr>
          <w:rFonts w:ascii="宋体" w:eastAsia="宋体" w:hAnsi="宋体" w:cs="Times New Roman" w:hint="eastAsia"/>
          <w:szCs w:val="21"/>
        </w:rPr>
        <w:t>。</w:t>
      </w:r>
    </w:p>
    <w:p>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2、交付地点：</w:t>
      </w:r>
      <w:r>
        <w:rPr>
          <w:rFonts w:ascii="宋体" w:eastAsia="宋体" w:hAnsi="宋体" w:cs="Times New Roman" w:hint="eastAsia"/>
          <w:szCs w:val="21"/>
          <w:u w:val="single"/>
        </w:rPr>
        <w:tab/>
      </w:r>
      <w:r>
        <w:rPr>
          <w:rFonts w:ascii="宋体" w:eastAsia="宋体" w:hAnsi="宋体" w:cs="Times New Roman" w:hint="eastAsia"/>
          <w:szCs w:val="21"/>
          <w:u w:val="single"/>
        </w:rPr>
        <w:t xml:space="preserve">                                 </w:t>
      </w:r>
      <w:r>
        <w:rPr>
          <w:rFonts w:ascii="宋体" w:eastAsia="宋体" w:hAnsi="宋体" w:cs="Times New Roman" w:hint="eastAsia"/>
          <w:szCs w:val="21"/>
        </w:rPr>
        <w:t>。</w:t>
      </w:r>
    </w:p>
    <w:p>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3、其他约定事项：</w:t>
      </w:r>
      <w:r>
        <w:rPr>
          <w:rFonts w:ascii="宋体" w:eastAsia="宋体" w:hAnsi="宋体" w:cs="Times New Roman" w:hint="eastAsia"/>
          <w:szCs w:val="21"/>
          <w:u w:val="single"/>
        </w:rPr>
        <w:t xml:space="preserve">                                                     </w:t>
      </w:r>
      <w:r>
        <w:rPr>
          <w:rFonts w:ascii="宋体" w:eastAsia="宋体" w:hAnsi="宋体" w:cs="Times New Roman" w:hint="eastAsia"/>
          <w:szCs w:val="21"/>
        </w:rPr>
        <w:t>。</w:t>
      </w:r>
    </w:p>
    <w:p>
      <w:pPr>
        <w:tabs>
          <w:tab w:val="left" w:pos="1573"/>
        </w:tabs>
        <w:adjustRightInd w:val="0"/>
        <w:snapToGrid w:val="0"/>
        <w:spacing w:line="360" w:lineRule="auto"/>
        <w:ind w:left="420" w:leftChars="200"/>
        <w:rPr>
          <w:rFonts w:ascii="Times New Roman" w:eastAsia="宋体" w:hAnsi="Times New Roman" w:cs="Times New Roman"/>
          <w:b/>
          <w:szCs w:val="21"/>
        </w:rPr>
      </w:pPr>
      <w:r>
        <w:rPr>
          <w:rFonts w:ascii="宋体" w:eastAsia="宋体" w:hAnsi="宋体" w:cs="Times New Roman" w:hint="eastAsia"/>
          <w:b/>
          <w:szCs w:val="21"/>
        </w:rPr>
        <w:t>六、</w:t>
      </w:r>
      <w:r>
        <w:rPr>
          <w:rFonts w:ascii="Times New Roman" w:eastAsia="宋体" w:hAnsi="Times New Roman" w:cs="Times New Roman" w:hint="eastAsia"/>
          <w:b/>
          <w:szCs w:val="21"/>
        </w:rPr>
        <w:t>技术服务和保修责任</w:t>
      </w:r>
    </w:p>
    <w:p>
      <w:pPr>
        <w:tabs>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乙方对合同服务的质量保修期为验收证书签署之日起</w:t>
      </w:r>
      <w:r>
        <w:rPr>
          <w:rFonts w:ascii="宋体" w:eastAsia="宋体" w:hAnsi="宋体" w:cs="Times New Roman" w:hint="eastAsia"/>
          <w:szCs w:val="21"/>
          <w:u w:val="single"/>
        </w:rPr>
        <w:t xml:space="preserve">          </w:t>
      </w:r>
      <w:r>
        <w:rPr>
          <w:rFonts w:ascii="宋体" w:eastAsia="宋体" w:hAnsi="宋体" w:cs="Times New Roman" w:hint="eastAsia"/>
          <w:szCs w:val="21"/>
        </w:rPr>
        <w:t>个月。</w:t>
      </w:r>
    </w:p>
    <w:p>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七、履约验收</w:t>
      </w:r>
    </w:p>
    <w:p>
      <w:pPr>
        <w:tabs>
          <w:tab w:val="left" w:pos="1573"/>
        </w:tabs>
        <w:adjustRightInd w:val="0"/>
        <w:snapToGrid w:val="0"/>
        <w:spacing w:line="360" w:lineRule="auto"/>
        <w:ind w:firstLine="412" w:firstLineChars="196"/>
        <w:jc w:val="left"/>
        <w:rPr>
          <w:rFonts w:ascii="宋体" w:eastAsia="宋体" w:hAnsi="宋体" w:cs="Times New Roman"/>
          <w:szCs w:val="28"/>
          <w:highlight w:val="yellow"/>
        </w:rPr>
      </w:pPr>
      <w:r>
        <w:rPr>
          <w:rFonts w:ascii="宋体" w:eastAsia="宋体" w:hAnsi="宋体" w:cs="Times New Roman" w:hint="eastAsia"/>
          <w:szCs w:val="28"/>
          <w:highlight w:val="yellow"/>
        </w:rPr>
        <w:t>（略）</w:t>
      </w:r>
    </w:p>
    <w:p>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szCs w:val="28"/>
          <w:highlight w:val="yellow"/>
        </w:rPr>
        <w:t>具体条款由甲方商乙方拟定。基本内容应包括：验收时间；验收地点；一次性验收还是分阶段、分期验收；验收方式（包括</w:t>
      </w:r>
      <w:r>
        <w:rPr>
          <w:rFonts w:ascii="宋体" w:eastAsia="宋体" w:hAnsi="宋体" w:cs="Times New Roman" w:hint="eastAsia"/>
          <w:szCs w:val="21"/>
          <w:highlight w:val="yellow"/>
        </w:rPr>
        <w:t>自行简易验收、验收小组验收、委托第三方验收等）；验收内容和标准（参见附表）；验收未通过（整体未通过或部分未通过）的处理措施；验收费用承担方等</w:t>
      </w:r>
    </w:p>
    <w:p>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八、风险管理</w:t>
      </w:r>
    </w:p>
    <w:p>
      <w:pPr>
        <w:tabs>
          <w:tab w:val="left" w:pos="1573"/>
        </w:tabs>
        <w:adjustRightInd w:val="0"/>
        <w:snapToGrid w:val="0"/>
        <w:spacing w:line="360" w:lineRule="auto"/>
        <w:ind w:firstLine="412" w:firstLineChars="196"/>
        <w:jc w:val="left"/>
        <w:rPr>
          <w:rFonts w:ascii="宋体" w:eastAsia="宋体" w:hAnsi="宋体" w:cs="Times New Roman"/>
          <w:szCs w:val="20"/>
          <w:highlight w:val="yellow"/>
        </w:rPr>
      </w:pPr>
      <w:r>
        <w:rPr>
          <w:rFonts w:ascii="宋体" w:eastAsia="宋体" w:hAnsi="宋体" w:cs="Times New Roman" w:hint="eastAsia"/>
          <w:szCs w:val="20"/>
          <w:highlight w:val="yellow"/>
        </w:rPr>
        <w:t>（略）</w:t>
      </w:r>
    </w:p>
    <w:p>
      <w:pPr>
        <w:tabs>
          <w:tab w:val="left" w:pos="1573"/>
        </w:tabs>
        <w:adjustRightInd w:val="0"/>
        <w:snapToGrid w:val="0"/>
        <w:spacing w:line="360" w:lineRule="auto"/>
        <w:ind w:firstLine="412" w:firstLineChars="196"/>
        <w:jc w:val="left"/>
        <w:rPr>
          <w:rFonts w:ascii="宋体" w:eastAsia="宋体" w:hAnsi="宋体" w:cs="Times New Roman"/>
          <w:szCs w:val="20"/>
        </w:rPr>
      </w:pPr>
      <w:r>
        <w:rPr>
          <w:rFonts w:ascii="宋体" w:eastAsia="宋体" w:hAnsi="宋体" w:cs="Times New Roman" w:hint="eastAsia"/>
          <w:szCs w:val="20"/>
          <w:highlight w:val="yellow"/>
        </w:rPr>
        <w:t>按照《政府采购需求管理办法》（财库【2021】22号）有关规定，如本项目是1000万元以上的货物、服务采购项目或3000万元以上的工程采购项目，或者是涉及公共利益、社会关注度较高的采购项目（包括政府向社会公众提供的公共服务项目等），或者是技术复杂、专业性较强的项目（包括需要定制开发的信息化建设项目、采购进口产品的项目等），或者是采购人认为有必要的项目，要对合同履行过程中出现有关风险（如</w:t>
      </w:r>
      <w:r>
        <w:rPr>
          <w:rFonts w:ascii="Times New Roman" w:eastAsia="宋体" w:hAnsi="Times New Roman" w:cs="Times New Roman"/>
          <w:szCs w:val="20"/>
          <w:highlight w:val="yellow"/>
        </w:rPr>
        <w:t>国家政策变化</w:t>
      </w:r>
      <w:r>
        <w:rPr>
          <w:rFonts w:ascii="Times New Roman" w:eastAsia="宋体" w:hAnsi="Times New Roman" w:cs="Times New Roman" w:hint="eastAsia"/>
          <w:szCs w:val="20"/>
          <w:highlight w:val="yellow"/>
        </w:rPr>
        <w:t>、</w:t>
      </w:r>
      <w:r>
        <w:rPr>
          <w:rFonts w:ascii="Times New Roman" w:eastAsia="宋体" w:hAnsi="Times New Roman" w:cs="Times New Roman"/>
          <w:szCs w:val="20"/>
          <w:highlight w:val="yellow"/>
        </w:rPr>
        <w:t>实施环境变化</w:t>
      </w:r>
      <w:r>
        <w:rPr>
          <w:rFonts w:ascii="Times New Roman" w:eastAsia="宋体" w:hAnsi="Times New Roman" w:cs="Times New Roman" w:hint="eastAsia"/>
          <w:szCs w:val="20"/>
          <w:highlight w:val="yellow"/>
        </w:rPr>
        <w:t>、</w:t>
      </w:r>
      <w:r>
        <w:rPr>
          <w:rFonts w:ascii="Times New Roman" w:eastAsia="宋体" w:hAnsi="Times New Roman" w:cs="Times New Roman"/>
          <w:szCs w:val="20"/>
          <w:highlight w:val="yellow"/>
        </w:rPr>
        <w:t>重大技术变化</w:t>
      </w:r>
      <w:r>
        <w:rPr>
          <w:rFonts w:ascii="Times New Roman" w:eastAsia="宋体" w:hAnsi="Times New Roman" w:cs="Times New Roman" w:hint="eastAsia"/>
          <w:szCs w:val="20"/>
          <w:highlight w:val="yellow"/>
        </w:rPr>
        <w:t>、</w:t>
      </w:r>
      <w:r>
        <w:rPr>
          <w:rFonts w:ascii="Times New Roman" w:eastAsia="宋体" w:hAnsi="Times New Roman" w:cs="Times New Roman"/>
          <w:szCs w:val="20"/>
          <w:highlight w:val="yellow"/>
        </w:rPr>
        <w:t>预算项目调整</w:t>
      </w:r>
      <w:r>
        <w:rPr>
          <w:rFonts w:ascii="Times New Roman" w:eastAsia="宋体" w:hAnsi="Times New Roman" w:cs="Times New Roman" w:hint="eastAsia"/>
          <w:szCs w:val="20"/>
          <w:highlight w:val="yellow"/>
        </w:rPr>
        <w:t>、</w:t>
      </w:r>
      <w:r>
        <w:rPr>
          <w:rFonts w:ascii="Times New Roman" w:eastAsia="宋体" w:hAnsi="Times New Roman" w:cs="Times New Roman"/>
          <w:szCs w:val="20"/>
          <w:highlight w:val="yellow"/>
        </w:rPr>
        <w:t>因质疑投诉影响</w:t>
      </w:r>
      <w:r>
        <w:rPr>
          <w:rFonts w:ascii="Times New Roman" w:eastAsia="宋体" w:hAnsi="Times New Roman" w:cs="Times New Roman" w:hint="eastAsia"/>
          <w:szCs w:val="20"/>
          <w:highlight w:val="yellow"/>
        </w:rPr>
        <w:t>合同</w:t>
      </w:r>
      <w:r>
        <w:rPr>
          <w:rFonts w:ascii="Times New Roman" w:eastAsia="宋体" w:hAnsi="Times New Roman" w:cs="Times New Roman"/>
          <w:szCs w:val="20"/>
          <w:highlight w:val="yellow"/>
        </w:rPr>
        <w:t>进度</w:t>
      </w:r>
      <w:r>
        <w:rPr>
          <w:rFonts w:ascii="Times New Roman" w:eastAsia="宋体" w:hAnsi="Times New Roman" w:cs="Times New Roman" w:hint="eastAsia"/>
          <w:szCs w:val="20"/>
          <w:highlight w:val="yellow"/>
        </w:rPr>
        <w:t>等）</w:t>
      </w:r>
      <w:r>
        <w:rPr>
          <w:rFonts w:ascii="宋体" w:eastAsia="宋体" w:hAnsi="宋体" w:cs="Times New Roman" w:hint="eastAsia"/>
          <w:szCs w:val="20"/>
          <w:highlight w:val="yellow"/>
        </w:rPr>
        <w:t>的可能性、影响程度进行研判，明确管控责任，提出有针对性的处置措施和替代方案。如本项目不属于上述项目，“八、风险管理”可省略）</w:t>
      </w:r>
    </w:p>
    <w:p>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九、违约责任</w:t>
      </w:r>
    </w:p>
    <w:p>
      <w:pPr>
        <w:tabs>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8"/>
        </w:rPr>
        <w:t>1、</w:t>
      </w:r>
      <w:r>
        <w:rPr>
          <w:rFonts w:ascii="宋体" w:eastAsia="宋体" w:hAnsi="宋体" w:cs="Times New Roman" w:hint="eastAsia"/>
          <w:szCs w:val="21"/>
        </w:rPr>
        <w:t>延期交付或延期付款的违约责任：如乙方延期交付或甲方延期付款，每逾期一天，违约方应按延期交货所折合的金额或延期付款金额每天</w:t>
      </w:r>
      <w:r>
        <w:rPr>
          <w:rFonts w:ascii="宋体" w:eastAsia="宋体" w:hAnsi="宋体" w:cs="Times New Roman" w:hint="eastAsia"/>
          <w:szCs w:val="21"/>
          <w:u w:val="single"/>
        </w:rPr>
        <w:t xml:space="preserve">      </w:t>
      </w:r>
      <w:r>
        <w:rPr>
          <w:rFonts w:ascii="宋体" w:eastAsia="宋体" w:hAnsi="宋体" w:cs="Times New Roman" w:hint="eastAsia"/>
          <w:szCs w:val="21"/>
        </w:rPr>
        <w:t>‰ 的比例向对方支付违约金，但该违约金累计不得超过合同总金额的</w:t>
      </w:r>
      <w:r>
        <w:rPr>
          <w:rFonts w:ascii="宋体" w:eastAsia="宋体" w:hAnsi="宋体" w:cs="Times New Roman" w:hint="eastAsia"/>
          <w:szCs w:val="21"/>
          <w:u w:val="single"/>
        </w:rPr>
        <w:t xml:space="preserve">      </w:t>
      </w:r>
      <w:r>
        <w:rPr>
          <w:rFonts w:ascii="宋体" w:eastAsia="宋体" w:hAnsi="宋体" w:cs="Times New Roman" w:hint="eastAsia"/>
          <w:szCs w:val="21"/>
        </w:rPr>
        <w:t>%；上述逾期超过</w:t>
      </w:r>
      <w:r>
        <w:rPr>
          <w:rFonts w:ascii="宋体" w:eastAsia="宋体" w:hAnsi="宋体" w:cs="Times New Roman" w:hint="eastAsia"/>
          <w:szCs w:val="21"/>
          <w:u w:val="single"/>
        </w:rPr>
        <w:t xml:space="preserve">      </w:t>
      </w:r>
      <w:r>
        <w:rPr>
          <w:rFonts w:ascii="宋体" w:eastAsia="宋体" w:hAnsi="宋体" w:cs="Times New Roman" w:hint="eastAsia"/>
          <w:szCs w:val="21"/>
        </w:rPr>
        <w:t>天，守约方有权解除合同，并要求违约方赔偿由此造成的损失。</w:t>
      </w:r>
    </w:p>
    <w:p>
      <w:pPr>
        <w:tabs>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2、其它违约责任</w:t>
      </w:r>
    </w:p>
    <w:p>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违约方应就每一单项违约向对方支付合同总金额</w:t>
      </w:r>
      <w:r>
        <w:rPr>
          <w:rFonts w:ascii="宋体" w:eastAsia="宋体" w:hAnsi="宋体" w:cs="Times New Roman" w:hint="eastAsia"/>
          <w:szCs w:val="21"/>
          <w:u w:val="single"/>
        </w:rPr>
        <w:t xml:space="preserve">     </w:t>
      </w:r>
      <w:r>
        <w:rPr>
          <w:rFonts w:ascii="宋体" w:eastAsia="宋体" w:hAnsi="宋体" w:cs="Times New Roman" w:hint="eastAsia"/>
          <w:szCs w:val="21"/>
        </w:rPr>
        <w:t>%的违约金。</w:t>
      </w:r>
    </w:p>
    <w:p>
      <w:pPr>
        <w:tabs>
          <w:tab w:val="left" w:pos="1573"/>
        </w:tabs>
        <w:adjustRightInd w:val="0"/>
        <w:snapToGrid w:val="0"/>
        <w:spacing w:line="360" w:lineRule="auto"/>
        <w:ind w:firstLine="420" w:firstLineChars="200"/>
        <w:jc w:val="left"/>
        <w:rPr>
          <w:rFonts w:ascii="宋体" w:eastAsia="宋体" w:hAnsi="宋体" w:cs="Times New Roman"/>
          <w:b/>
          <w:szCs w:val="28"/>
          <w:highlight w:val="yellow"/>
        </w:rPr>
      </w:pPr>
      <w:r>
        <w:rPr>
          <w:rFonts w:ascii="宋体" w:eastAsia="宋体" w:hAnsi="宋体" w:cs="Times New Roman" w:hint="eastAsia"/>
          <w:b/>
          <w:szCs w:val="28"/>
          <w:highlight w:val="yellow"/>
        </w:rPr>
        <w:t>十、联系方式</w:t>
      </w:r>
    </w:p>
    <w:p>
      <w:pPr>
        <w:snapToGrid w:val="0"/>
        <w:ind w:firstLine="309" w:firstLineChars="147"/>
        <w:rPr>
          <w:rFonts w:ascii="宋体" w:eastAsia="宋体" w:hAnsi="宋体" w:cs="Times New Roman"/>
          <w:szCs w:val="21"/>
        </w:rPr>
      </w:pPr>
      <w:r>
        <w:rPr>
          <w:rFonts w:ascii="宋体" w:eastAsia="宋体" w:hAnsi="宋体" w:cs="Times New Roman" w:hint="eastAsia"/>
          <w:szCs w:val="21"/>
        </w:rPr>
        <w:t>甲方：</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联系人：</w:t>
      </w:r>
      <w:r>
        <w:rPr>
          <w:rFonts w:ascii="宋体" w:eastAsia="宋体" w:hAnsi="宋体" w:cs="Times New Roman" w:hint="eastAsia"/>
          <w:szCs w:val="21"/>
          <w:u w:val="single"/>
        </w:rPr>
        <w:t xml:space="preserve">             </w:t>
      </w:r>
    </w:p>
    <w:p>
      <w:pPr>
        <w:snapToGrid w:val="0"/>
        <w:ind w:firstLine="309" w:firstLineChars="147"/>
        <w:rPr>
          <w:rFonts w:ascii="宋体" w:eastAsia="宋体" w:hAnsi="宋体" w:cs="Times New Roman"/>
          <w:szCs w:val="21"/>
        </w:rPr>
      </w:pPr>
      <w:r>
        <w:rPr>
          <w:rFonts w:ascii="宋体" w:eastAsia="宋体" w:hAnsi="宋体" w:cs="Times New Roman" w:hint="eastAsia"/>
          <w:szCs w:val="21"/>
        </w:rPr>
        <w:t>地址：</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邮编：  </w:t>
      </w:r>
      <w:r>
        <w:rPr>
          <w:rFonts w:ascii="宋体" w:eastAsia="宋体" w:hAnsi="宋体" w:cs="Times New Roman" w:hint="eastAsia"/>
          <w:szCs w:val="21"/>
          <w:u w:val="single"/>
        </w:rPr>
        <w:t xml:space="preserve">             </w:t>
      </w:r>
    </w:p>
    <w:p>
      <w:pPr>
        <w:snapToGrid w:val="0"/>
        <w:ind w:firstLine="309" w:firstLineChars="147"/>
        <w:rPr>
          <w:rFonts w:ascii="宋体" w:eastAsia="宋体" w:hAnsi="宋体" w:cs="Times New Roman"/>
          <w:szCs w:val="21"/>
        </w:rPr>
      </w:pPr>
      <w:r>
        <w:rPr>
          <w:rFonts w:ascii="宋体" w:eastAsia="宋体" w:hAnsi="宋体" w:cs="Times New Roman" w:hint="eastAsia"/>
          <w:szCs w:val="21"/>
        </w:rPr>
        <w:t>电话：</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E-mail：</w:t>
      </w:r>
      <w:r>
        <w:rPr>
          <w:rFonts w:ascii="宋体" w:eastAsia="宋体" w:hAnsi="宋体" w:cs="Times New Roman" w:hint="eastAsia"/>
          <w:szCs w:val="21"/>
          <w:u w:val="single"/>
        </w:rPr>
        <w:t xml:space="preserve">             </w:t>
      </w:r>
    </w:p>
    <w:p>
      <w:pPr>
        <w:tabs>
          <w:tab w:val="left" w:pos="1573"/>
        </w:tabs>
        <w:adjustRightInd w:val="0"/>
        <w:snapToGrid w:val="0"/>
        <w:ind w:firstLine="315" w:firstLineChars="150"/>
        <w:jc w:val="left"/>
        <w:rPr>
          <w:rFonts w:ascii="宋体" w:eastAsia="宋体" w:hAnsi="宋体" w:cs="Times New Roman"/>
          <w:szCs w:val="21"/>
          <w:u w:val="single"/>
        </w:rPr>
      </w:pPr>
      <w:r>
        <w:rPr>
          <w:rFonts w:ascii="宋体" w:eastAsia="宋体" w:hAnsi="宋体" w:cs="Times New Roman" w:hint="eastAsia"/>
          <w:szCs w:val="21"/>
        </w:rPr>
        <w:t>开户银行及帐号：</w:t>
      </w:r>
      <w:r>
        <w:rPr>
          <w:rFonts w:ascii="宋体" w:eastAsia="宋体" w:hAnsi="宋体" w:cs="Times New Roman" w:hint="eastAsia"/>
          <w:szCs w:val="21"/>
          <w:u w:val="single"/>
        </w:rPr>
        <w:t xml:space="preserve">                                              </w:t>
      </w:r>
    </w:p>
    <w:p>
      <w:pPr>
        <w:tabs>
          <w:tab w:val="left" w:pos="1573"/>
        </w:tabs>
        <w:adjustRightInd w:val="0"/>
        <w:snapToGrid w:val="0"/>
        <w:ind w:firstLine="315" w:firstLineChars="150"/>
        <w:jc w:val="left"/>
        <w:rPr>
          <w:rFonts w:ascii="宋体" w:eastAsia="宋体" w:hAnsi="宋体" w:cs="Times New Roman"/>
          <w:szCs w:val="21"/>
          <w:u w:val="single"/>
        </w:rPr>
      </w:pPr>
    </w:p>
    <w:p>
      <w:pPr>
        <w:snapToGrid w:val="0"/>
        <w:ind w:firstLine="309" w:firstLineChars="147"/>
        <w:rPr>
          <w:rFonts w:ascii="宋体" w:eastAsia="宋体" w:hAnsi="宋体" w:cs="Times New Roman"/>
          <w:szCs w:val="21"/>
        </w:rPr>
      </w:pPr>
      <w:r>
        <w:rPr>
          <w:rFonts w:ascii="宋体" w:eastAsia="宋体" w:hAnsi="宋体" w:cs="Times New Roman" w:hint="eastAsia"/>
          <w:szCs w:val="21"/>
        </w:rPr>
        <w:t>乙方：</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联系人：</w:t>
      </w:r>
      <w:r>
        <w:rPr>
          <w:rFonts w:ascii="宋体" w:eastAsia="宋体" w:hAnsi="宋体" w:cs="Times New Roman" w:hint="eastAsia"/>
          <w:szCs w:val="21"/>
          <w:u w:val="single"/>
        </w:rPr>
        <w:t xml:space="preserve">             </w:t>
      </w:r>
    </w:p>
    <w:p>
      <w:pPr>
        <w:snapToGrid w:val="0"/>
        <w:ind w:firstLine="309" w:firstLineChars="147"/>
        <w:rPr>
          <w:rFonts w:ascii="宋体" w:eastAsia="宋体" w:hAnsi="宋体" w:cs="Times New Roman"/>
          <w:szCs w:val="21"/>
        </w:rPr>
      </w:pPr>
      <w:r>
        <w:rPr>
          <w:rFonts w:ascii="宋体" w:eastAsia="宋体" w:hAnsi="宋体" w:cs="Times New Roman" w:hint="eastAsia"/>
          <w:szCs w:val="21"/>
        </w:rPr>
        <w:t>地址：</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邮编：  </w:t>
      </w:r>
      <w:r>
        <w:rPr>
          <w:rFonts w:ascii="宋体" w:eastAsia="宋体" w:hAnsi="宋体" w:cs="Times New Roman" w:hint="eastAsia"/>
          <w:szCs w:val="21"/>
          <w:u w:val="single"/>
        </w:rPr>
        <w:t xml:space="preserve">             </w:t>
      </w:r>
    </w:p>
    <w:p>
      <w:pPr>
        <w:snapToGrid w:val="0"/>
        <w:ind w:firstLine="309" w:firstLineChars="147"/>
        <w:rPr>
          <w:rFonts w:ascii="宋体" w:eastAsia="宋体" w:hAnsi="宋体" w:cs="Times New Roman"/>
          <w:szCs w:val="21"/>
        </w:rPr>
      </w:pPr>
      <w:r>
        <w:rPr>
          <w:rFonts w:ascii="宋体" w:eastAsia="宋体" w:hAnsi="宋体" w:cs="Times New Roman" w:hint="eastAsia"/>
          <w:szCs w:val="21"/>
        </w:rPr>
        <w:t>电话：</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E-mail：</w:t>
      </w:r>
      <w:r>
        <w:rPr>
          <w:rFonts w:ascii="宋体" w:eastAsia="宋体" w:hAnsi="宋体" w:cs="Times New Roman" w:hint="eastAsia"/>
          <w:szCs w:val="21"/>
          <w:u w:val="single"/>
        </w:rPr>
        <w:t xml:space="preserve">             </w:t>
      </w:r>
    </w:p>
    <w:p>
      <w:pPr>
        <w:tabs>
          <w:tab w:val="left" w:pos="1573"/>
        </w:tabs>
        <w:adjustRightInd w:val="0"/>
        <w:snapToGrid w:val="0"/>
        <w:ind w:firstLine="315" w:firstLineChars="150"/>
        <w:jc w:val="left"/>
        <w:rPr>
          <w:rFonts w:ascii="宋体" w:eastAsia="宋体" w:hAnsi="宋体" w:cs="Times New Roman"/>
          <w:szCs w:val="21"/>
          <w:u w:val="single"/>
        </w:rPr>
      </w:pPr>
      <w:r>
        <w:rPr>
          <w:rFonts w:ascii="宋体" w:eastAsia="宋体" w:hAnsi="宋体" w:cs="Times New Roman" w:hint="eastAsia"/>
          <w:szCs w:val="21"/>
        </w:rPr>
        <w:t>开户银行及帐号：</w:t>
      </w:r>
      <w:r>
        <w:rPr>
          <w:rFonts w:ascii="宋体" w:eastAsia="宋体" w:hAnsi="宋体" w:cs="Times New Roman" w:hint="eastAsia"/>
          <w:szCs w:val="21"/>
          <w:u w:val="single"/>
        </w:rPr>
        <w:t xml:space="preserve">                                              </w:t>
      </w:r>
    </w:p>
    <w:p>
      <w:pPr>
        <w:tabs>
          <w:tab w:val="left" w:pos="1573"/>
        </w:tabs>
        <w:adjustRightInd w:val="0"/>
        <w:snapToGrid w:val="0"/>
        <w:spacing w:line="360" w:lineRule="auto"/>
        <w:ind w:firstLine="420" w:firstLineChars="200"/>
        <w:jc w:val="left"/>
        <w:rPr>
          <w:rFonts w:ascii="Times New Roman" w:eastAsia="宋体" w:hAnsi="Times New Roman" w:cs="Times New Roman"/>
          <w:b/>
          <w:szCs w:val="21"/>
          <w:highlight w:val="yellow"/>
        </w:rPr>
      </w:pPr>
    </w:p>
    <w:p>
      <w:pPr>
        <w:tabs>
          <w:tab w:val="left" w:pos="1573"/>
        </w:tabs>
        <w:adjustRightInd w:val="0"/>
        <w:snapToGrid w:val="0"/>
        <w:spacing w:line="360" w:lineRule="auto"/>
        <w:ind w:firstLine="420" w:firstLineChars="200"/>
        <w:jc w:val="left"/>
        <w:rPr>
          <w:rFonts w:ascii="宋体" w:eastAsia="宋体" w:hAnsi="宋体" w:cs="Times New Roman"/>
          <w:b/>
          <w:szCs w:val="28"/>
          <w:highlight w:val="yellow"/>
        </w:rPr>
      </w:pPr>
      <w:r>
        <w:rPr>
          <w:rFonts w:ascii="Times New Roman" w:eastAsia="宋体" w:hAnsi="Times New Roman" w:cs="Times New Roman" w:hint="eastAsia"/>
          <w:b/>
          <w:szCs w:val="21"/>
          <w:highlight w:val="yellow"/>
        </w:rPr>
        <w:t>十一、</w:t>
      </w:r>
      <w:r>
        <w:rPr>
          <w:rFonts w:ascii="宋体" w:eastAsia="宋体" w:hAnsi="宋体" w:cs="Times New Roman" w:hint="eastAsia"/>
          <w:b/>
          <w:szCs w:val="28"/>
          <w:highlight w:val="yellow"/>
        </w:rPr>
        <w:t>争议的解决</w:t>
      </w:r>
    </w:p>
    <w:p>
      <w:pPr>
        <w:tabs>
          <w:tab w:val="left" w:pos="1573"/>
        </w:tabs>
        <w:adjustRightInd w:val="0"/>
        <w:snapToGrid w:val="0"/>
        <w:spacing w:line="360" w:lineRule="auto"/>
        <w:ind w:firstLine="420" w:firstLineChars="200"/>
        <w:jc w:val="left"/>
        <w:rPr>
          <w:rFonts w:ascii="宋体" w:eastAsia="宋体" w:hAnsi="宋体" w:cs="Times New Roman"/>
          <w:szCs w:val="28"/>
          <w:highlight w:val="yellow"/>
        </w:rPr>
      </w:pPr>
      <w:r>
        <w:rPr>
          <w:rFonts w:ascii="宋体" w:eastAsia="宋体" w:hAnsi="宋体" w:cs="Times New Roman" w:hint="eastAsia"/>
          <w:szCs w:val="28"/>
          <w:highlight w:val="yellow"/>
        </w:rPr>
        <w:t>本项目选择</w:t>
      </w:r>
      <w:r>
        <w:rPr>
          <w:rFonts w:ascii="宋体" w:eastAsia="宋体" w:hAnsi="宋体" w:cs="Times New Roman" w:hint="eastAsia"/>
          <w:b/>
          <w:szCs w:val="28"/>
          <w:highlight w:val="yellow"/>
        </w:rPr>
        <w:t>第二章合同条款通用部分</w:t>
      </w:r>
      <w:r>
        <w:rPr>
          <w:rFonts w:ascii="宋体" w:eastAsia="宋体" w:hAnsi="宋体" w:cs="Times New Roman" w:hint="eastAsia"/>
          <w:szCs w:val="28"/>
          <w:highlight w:val="yellow"/>
        </w:rPr>
        <w:t>“争议的解决”所属第</w:t>
      </w:r>
      <w:r>
        <w:rPr>
          <w:rFonts w:ascii="宋体" w:eastAsia="宋体" w:hAnsi="宋体" w:cs="Times New Roman" w:hint="eastAsia"/>
          <w:szCs w:val="28"/>
          <w:highlight w:val="yellow"/>
          <w:u w:val="single"/>
        </w:rPr>
        <w:t xml:space="preserve">      </w:t>
      </w:r>
      <w:r>
        <w:rPr>
          <w:rFonts w:ascii="宋体" w:eastAsia="宋体" w:hAnsi="宋体" w:cs="Times New Roman" w:hint="eastAsia"/>
          <w:szCs w:val="28"/>
          <w:highlight w:val="yellow"/>
        </w:rPr>
        <w:t>种方式解决。</w:t>
      </w:r>
    </w:p>
    <w:p>
      <w:pPr>
        <w:tabs>
          <w:tab w:val="left" w:pos="1573"/>
        </w:tabs>
        <w:adjustRightInd w:val="0"/>
        <w:snapToGrid w:val="0"/>
        <w:spacing w:line="360" w:lineRule="auto"/>
        <w:ind w:firstLine="420" w:firstLineChars="200"/>
        <w:jc w:val="left"/>
        <w:rPr>
          <w:rFonts w:ascii="宋体" w:eastAsia="宋体" w:hAnsi="宋体" w:cs="Times New Roman"/>
          <w:b/>
          <w:szCs w:val="28"/>
          <w:highlight w:val="yellow"/>
        </w:rPr>
      </w:pPr>
    </w:p>
    <w:p>
      <w:pPr>
        <w:tabs>
          <w:tab w:val="left" w:pos="1573"/>
        </w:tabs>
        <w:adjustRightInd w:val="0"/>
        <w:snapToGrid w:val="0"/>
        <w:spacing w:line="360" w:lineRule="auto"/>
        <w:ind w:firstLine="420" w:firstLineChars="200"/>
        <w:jc w:val="left"/>
        <w:rPr>
          <w:rFonts w:ascii="宋体" w:eastAsia="宋体" w:hAnsi="宋体" w:cs="Times New Roman"/>
          <w:b/>
          <w:szCs w:val="28"/>
        </w:rPr>
      </w:pPr>
      <w:r>
        <w:rPr>
          <w:rFonts w:ascii="宋体" w:eastAsia="宋体" w:hAnsi="宋体" w:cs="Times New Roman" w:hint="eastAsia"/>
          <w:b/>
          <w:szCs w:val="28"/>
          <w:highlight w:val="yellow"/>
        </w:rPr>
        <w:t>十二、履约保证金</w:t>
      </w:r>
    </w:p>
    <w:p>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中标人在收到中标通知书后</w:t>
      </w:r>
      <w:r>
        <w:rPr>
          <w:rFonts w:ascii="宋体" w:eastAsia="宋体" w:hAnsi="宋体" w:cs="Times New Roman" w:hint="eastAsia"/>
          <w:szCs w:val="21"/>
          <w:u w:val="single"/>
        </w:rPr>
        <w:t xml:space="preserve">   </w:t>
      </w:r>
      <w:r>
        <w:rPr>
          <w:rFonts w:ascii="宋体" w:eastAsia="宋体" w:hAnsi="宋体" w:cs="Times New Roman" w:hint="eastAsia"/>
          <w:szCs w:val="21"/>
        </w:rPr>
        <w:t>个工作日内，向甲方提供相当于合同总价</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%的履约保证金。 </w:t>
      </w:r>
    </w:p>
    <w:p>
      <w:pPr>
        <w:tabs>
          <w:tab w:val="left" w:pos="1573"/>
        </w:tabs>
        <w:adjustRightInd w:val="0"/>
        <w:snapToGrid w:val="0"/>
        <w:spacing w:line="360" w:lineRule="auto"/>
        <w:ind w:firstLine="412" w:firstLineChars="196"/>
        <w:jc w:val="left"/>
        <w:rPr>
          <w:rFonts w:ascii="宋体" w:eastAsia="宋体" w:hAnsi="宋体" w:cs="Times New Roman"/>
          <w:b/>
          <w:szCs w:val="28"/>
        </w:rPr>
      </w:pPr>
    </w:p>
    <w:p>
      <w:pPr>
        <w:snapToGrid w:val="0"/>
        <w:ind w:firstLine="309" w:firstLineChars="147"/>
        <w:rPr>
          <w:rFonts w:ascii="宋体" w:eastAsia="宋体" w:hAnsi="宋体" w:cs="Times New Roman"/>
          <w:b/>
          <w:szCs w:val="21"/>
        </w:rPr>
      </w:pPr>
      <w:r>
        <w:rPr>
          <w:rFonts w:ascii="宋体" w:eastAsia="宋体" w:hAnsi="宋体" w:cs="Times New Roman" w:hint="eastAsia"/>
          <w:b/>
          <w:szCs w:val="21"/>
        </w:rPr>
        <w:t>甲方：                                   乙方：</w:t>
      </w:r>
    </w:p>
    <w:p>
      <w:pPr>
        <w:snapToGrid w:val="0"/>
        <w:ind w:firstLine="309" w:firstLineChars="147"/>
        <w:rPr>
          <w:rFonts w:ascii="宋体" w:eastAsia="宋体" w:hAnsi="宋体" w:cs="Times New Roman"/>
          <w:b/>
          <w:szCs w:val="21"/>
        </w:rPr>
      </w:pPr>
      <w:r>
        <w:rPr>
          <w:rFonts w:ascii="宋体" w:eastAsia="宋体" w:hAnsi="宋体" w:cs="Times New Roman" w:hint="eastAsia"/>
          <w:b/>
          <w:szCs w:val="21"/>
        </w:rPr>
        <w:t>单位名称：（公章）                        单位名称：（公章）</w:t>
      </w:r>
    </w:p>
    <w:p>
      <w:pPr>
        <w:snapToGrid w:val="0"/>
        <w:ind w:firstLine="309" w:firstLineChars="147"/>
        <w:rPr>
          <w:rFonts w:ascii="宋体" w:eastAsia="宋体" w:hAnsi="宋体" w:cs="Times New Roman"/>
          <w:b/>
          <w:szCs w:val="21"/>
        </w:rPr>
      </w:pPr>
      <w:r>
        <w:rPr>
          <w:rFonts w:ascii="宋体" w:eastAsia="宋体" w:hAnsi="宋体" w:cs="Times New Roman" w:hint="eastAsia"/>
          <w:b/>
          <w:szCs w:val="21"/>
        </w:rPr>
        <w:t>法定代表人：                             法定代表人：</w:t>
      </w:r>
    </w:p>
    <w:p>
      <w:pPr>
        <w:snapToGrid w:val="0"/>
        <w:ind w:firstLine="309" w:firstLineChars="147"/>
        <w:rPr>
          <w:rFonts w:ascii="宋体" w:eastAsia="宋体" w:hAnsi="宋体" w:cs="Times New Roman"/>
          <w:b/>
          <w:szCs w:val="21"/>
        </w:rPr>
      </w:pPr>
      <w:r>
        <w:rPr>
          <w:rFonts w:ascii="宋体" w:eastAsia="宋体" w:hAnsi="宋体" w:cs="Times New Roman" w:hint="eastAsia"/>
          <w:b/>
          <w:szCs w:val="21"/>
        </w:rPr>
        <w:t>授权代表：                               授权代表：</w:t>
      </w:r>
    </w:p>
    <w:p>
      <w:pPr>
        <w:snapToGrid w:val="0"/>
        <w:ind w:firstLine="309" w:firstLineChars="147"/>
        <w:rPr>
          <w:rFonts w:ascii="宋体" w:eastAsia="宋体" w:hAnsi="宋体" w:cs="Times New Roman"/>
          <w:b/>
          <w:szCs w:val="21"/>
        </w:rPr>
      </w:pPr>
      <w:r>
        <w:rPr>
          <w:rFonts w:ascii="宋体" w:eastAsia="宋体" w:hAnsi="宋体" w:cs="Times New Roman" w:hint="eastAsia"/>
          <w:b/>
          <w:szCs w:val="21"/>
        </w:rPr>
        <w:t>签约日期：                               签约日期：</w:t>
      </w:r>
    </w:p>
    <w:p>
      <w:pPr>
        <w:widowControl/>
        <w:jc w:val="left"/>
        <w:rPr>
          <w:rFonts w:ascii="宋体" w:eastAsia="宋体" w:hAnsi="宋体" w:cs="Times New Roman"/>
          <w:b/>
          <w:szCs w:val="21"/>
        </w:rPr>
      </w:pPr>
      <w:r>
        <w:rPr>
          <w:rFonts w:ascii="宋体" w:eastAsia="宋体" w:hAnsi="宋体" w:cs="Times New Roman"/>
          <w:b/>
          <w:szCs w:val="21"/>
        </w:rPr>
        <w:br w:type="page"/>
      </w:r>
    </w:p>
    <w:p>
      <w:pPr>
        <w:spacing w:line="360" w:lineRule="auto"/>
        <w:jc w:val="left"/>
        <w:rPr>
          <w:rFonts w:ascii="Times New Roman" w:eastAsia="宋体" w:hAnsi="Times New Roman" w:cs="Times New Roman"/>
          <w:b/>
          <w:bCs/>
          <w:sz w:val="44"/>
          <w:szCs w:val="44"/>
        </w:rPr>
      </w:pPr>
    </w:p>
    <w:p>
      <w:pPr>
        <w:tabs>
          <w:tab w:val="left" w:pos="1573"/>
        </w:tabs>
        <w:adjustRightInd w:val="0"/>
        <w:snapToGrid w:val="0"/>
        <w:spacing w:line="360" w:lineRule="auto"/>
        <w:ind w:left="708" w:hanging="708"/>
        <w:jc w:val="center"/>
        <w:outlineLvl w:val="1"/>
        <w:rPr>
          <w:rFonts w:ascii="宋体" w:eastAsia="宋体" w:hAnsi="宋体" w:cs="Times New Roman"/>
          <w:b/>
          <w:sz w:val="30"/>
          <w:szCs w:val="30"/>
        </w:rPr>
      </w:pPr>
      <w:r>
        <w:rPr>
          <w:rFonts w:ascii="宋体" w:eastAsia="宋体" w:hAnsi="宋体" w:cs="Times New Roman" w:hint="eastAsia"/>
          <w:b/>
          <w:sz w:val="30"/>
          <w:szCs w:val="30"/>
        </w:rPr>
        <w:t>第二部分  合同通用部分</w:t>
      </w:r>
    </w:p>
    <w:p>
      <w:pPr>
        <w:tabs>
          <w:tab w:val="left" w:pos="1573"/>
        </w:tabs>
        <w:snapToGrid w:val="0"/>
        <w:spacing w:line="360" w:lineRule="auto"/>
        <w:jc w:val="center"/>
        <w:rPr>
          <w:rFonts w:ascii="宋体" w:eastAsia="宋体" w:hAnsi="宋体" w:cs="Times New Roman"/>
          <w:szCs w:val="21"/>
        </w:rPr>
      </w:pPr>
    </w:p>
    <w:p>
      <w:pPr>
        <w:tabs>
          <w:tab w:val="left" w:pos="1573"/>
        </w:tabs>
        <w:adjustRightInd w:val="0"/>
        <w:snapToGrid w:val="0"/>
        <w:spacing w:line="360" w:lineRule="auto"/>
        <w:ind w:firstLine="420"/>
        <w:rPr>
          <w:rFonts w:ascii="宋体" w:eastAsia="宋体" w:hAnsi="宋体" w:cs="Times New Roman"/>
          <w:szCs w:val="21"/>
        </w:rPr>
      </w:pPr>
      <w:r>
        <w:rPr>
          <w:rFonts w:ascii="宋体" w:eastAsia="宋体" w:hAnsi="宋体" w:cs="Times New Roman" w:hint="eastAsia"/>
          <w:szCs w:val="21"/>
        </w:rPr>
        <w:t>甲方在本项目中所需货物和服务由中国气象局政府采购中心（以下简称采购中心）在境内进行公开招标，经评标委员会评定，确定乙方为中标人。甲乙双方</w:t>
      </w:r>
      <w:r>
        <w:rPr>
          <w:rFonts w:ascii="Times New Roman" w:eastAsia="宋体" w:hAnsi="Times New Roman" w:cs="Times New Roman" w:hint="eastAsia"/>
          <w:szCs w:val="21"/>
        </w:rPr>
        <w:t>根据《中华人民共和国民法典（合同编）》、《中华人民共和国政府采购法》、《中华人民共和国政府采购法实施条例》和相关法律法规以及本项目招标文件的规定，经平等协商达成合同如下：</w:t>
      </w:r>
      <w:r>
        <w:rPr>
          <w:rFonts w:ascii="宋体" w:eastAsia="宋体" w:hAnsi="宋体" w:cs="Times New Roman" w:hint="eastAsia"/>
          <w:szCs w:val="21"/>
        </w:rPr>
        <w:t xml:space="preserve"> </w:t>
      </w:r>
    </w:p>
    <w:p>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本合同所附下列文件是构成本合同不可分割的部分，若各文件之间存在含糊不清或互相冲突之处，优先顺序应按下列文件顺序解释：</w:t>
      </w:r>
    </w:p>
    <w:p>
      <w:pPr>
        <w:numPr>
          <w:ilvl w:val="0"/>
          <w:numId w:val="11"/>
        </w:numPr>
        <w:snapToGrid w:val="0"/>
        <w:spacing w:line="360" w:lineRule="auto"/>
        <w:ind w:left="1035" w:hanging="720"/>
        <w:rPr>
          <w:rFonts w:ascii="宋体" w:eastAsia="宋体" w:hAnsi="宋体" w:cs="Times New Roman"/>
          <w:szCs w:val="21"/>
        </w:rPr>
      </w:pPr>
      <w:r>
        <w:rPr>
          <w:rFonts w:ascii="宋体" w:eastAsia="宋体" w:hAnsi="宋体" w:cs="Times New Roman" w:hint="eastAsia"/>
          <w:szCs w:val="21"/>
        </w:rPr>
        <w:t>中标通知书</w:t>
      </w:r>
    </w:p>
    <w:p>
      <w:pPr>
        <w:numPr>
          <w:ilvl w:val="0"/>
          <w:numId w:val="11"/>
        </w:numPr>
        <w:snapToGrid w:val="0"/>
        <w:spacing w:line="360" w:lineRule="auto"/>
        <w:ind w:left="1035" w:hanging="720"/>
        <w:rPr>
          <w:rFonts w:ascii="宋体" w:eastAsia="宋体" w:hAnsi="宋体" w:cs="Times New Roman"/>
          <w:szCs w:val="21"/>
        </w:rPr>
      </w:pPr>
      <w:r>
        <w:rPr>
          <w:rFonts w:ascii="宋体" w:eastAsia="宋体" w:hAnsi="宋体" w:cs="Times New Roman" w:hint="eastAsia"/>
          <w:szCs w:val="21"/>
        </w:rPr>
        <w:t>开标一览表及投标分项报价表</w:t>
      </w:r>
    </w:p>
    <w:p>
      <w:pPr>
        <w:numPr>
          <w:ilvl w:val="0"/>
          <w:numId w:val="11"/>
        </w:numPr>
        <w:snapToGrid w:val="0"/>
        <w:spacing w:line="360" w:lineRule="auto"/>
        <w:ind w:left="1035" w:hanging="720"/>
        <w:rPr>
          <w:rFonts w:ascii="宋体" w:eastAsia="宋体" w:hAnsi="宋体" w:cs="Times New Roman"/>
          <w:szCs w:val="21"/>
        </w:rPr>
      </w:pPr>
      <w:r>
        <w:rPr>
          <w:rFonts w:ascii="宋体" w:eastAsia="宋体" w:hAnsi="宋体" w:cs="Times New Roman" w:hint="eastAsia"/>
          <w:szCs w:val="21"/>
        </w:rPr>
        <w:t>商务和技术偏离表</w:t>
      </w:r>
    </w:p>
    <w:p>
      <w:pPr>
        <w:numPr>
          <w:ilvl w:val="0"/>
          <w:numId w:val="11"/>
        </w:numPr>
        <w:snapToGrid w:val="0"/>
        <w:spacing w:line="360" w:lineRule="auto"/>
        <w:ind w:left="1035" w:hanging="720"/>
        <w:rPr>
          <w:rFonts w:ascii="宋体" w:eastAsia="宋体" w:hAnsi="宋体" w:cs="Times New Roman"/>
          <w:szCs w:val="21"/>
        </w:rPr>
      </w:pPr>
      <w:r>
        <w:rPr>
          <w:rFonts w:ascii="宋体" w:eastAsia="宋体" w:hAnsi="宋体" w:cs="Times New Roman" w:hint="eastAsia"/>
          <w:szCs w:val="21"/>
        </w:rPr>
        <w:t>合同条款专用部分</w:t>
      </w:r>
    </w:p>
    <w:p>
      <w:pPr>
        <w:numPr>
          <w:ilvl w:val="0"/>
          <w:numId w:val="11"/>
        </w:numPr>
        <w:snapToGrid w:val="0"/>
        <w:spacing w:line="360" w:lineRule="auto"/>
        <w:ind w:left="1035" w:hanging="720"/>
        <w:rPr>
          <w:rFonts w:ascii="宋体" w:eastAsia="宋体" w:hAnsi="宋体" w:cs="Times New Roman"/>
          <w:szCs w:val="21"/>
        </w:rPr>
      </w:pPr>
      <w:r>
        <w:rPr>
          <w:rFonts w:ascii="宋体" w:eastAsia="宋体" w:hAnsi="宋体" w:cs="Times New Roman" w:hint="eastAsia"/>
          <w:szCs w:val="21"/>
        </w:rPr>
        <w:t>合同条款通用部分</w:t>
      </w:r>
    </w:p>
    <w:p>
      <w:pPr>
        <w:numPr>
          <w:ilvl w:val="0"/>
          <w:numId w:val="11"/>
        </w:numPr>
        <w:snapToGrid w:val="0"/>
        <w:spacing w:line="360" w:lineRule="auto"/>
        <w:ind w:left="1035" w:hanging="720"/>
        <w:rPr>
          <w:rFonts w:ascii="宋体" w:eastAsia="宋体" w:hAnsi="宋体" w:cs="Times New Roman"/>
          <w:szCs w:val="21"/>
        </w:rPr>
      </w:pPr>
      <w:r>
        <w:rPr>
          <w:rFonts w:ascii="宋体" w:eastAsia="宋体" w:hAnsi="宋体" w:cs="Times New Roman" w:hint="eastAsia"/>
          <w:szCs w:val="21"/>
        </w:rPr>
        <w:t>采购需求</w:t>
      </w:r>
    </w:p>
    <w:p>
      <w:pPr>
        <w:numPr>
          <w:ilvl w:val="0"/>
          <w:numId w:val="11"/>
        </w:numPr>
        <w:snapToGrid w:val="0"/>
        <w:spacing w:line="360" w:lineRule="auto"/>
        <w:ind w:left="1035" w:hanging="720"/>
        <w:rPr>
          <w:rFonts w:ascii="宋体" w:eastAsia="宋体" w:hAnsi="宋体" w:cs="Times New Roman"/>
          <w:szCs w:val="21"/>
        </w:rPr>
      </w:pPr>
      <w:r>
        <w:rPr>
          <w:rFonts w:ascii="宋体" w:eastAsia="宋体" w:hAnsi="宋体" w:cs="Times New Roman" w:hint="eastAsia"/>
          <w:szCs w:val="21"/>
        </w:rPr>
        <w:t>双方有关服务的洽商、变更等书面协议或文件</w:t>
      </w:r>
    </w:p>
    <w:p>
      <w:pPr>
        <w:numPr>
          <w:ilvl w:val="0"/>
          <w:numId w:val="11"/>
        </w:numPr>
        <w:snapToGrid w:val="0"/>
        <w:spacing w:line="360" w:lineRule="auto"/>
        <w:ind w:left="1035" w:hanging="720"/>
        <w:rPr>
          <w:rFonts w:ascii="宋体" w:eastAsia="宋体" w:hAnsi="宋体" w:cs="Times New Roman"/>
          <w:szCs w:val="21"/>
        </w:rPr>
      </w:pPr>
      <w:r>
        <w:rPr>
          <w:rFonts w:ascii="宋体" w:eastAsia="宋体" w:hAnsi="宋体" w:cs="Times New Roman" w:hint="eastAsia"/>
          <w:szCs w:val="21"/>
        </w:rPr>
        <w:t>投标文件、招标文件除以上的其他部分</w:t>
      </w:r>
    </w:p>
    <w:p>
      <w:pPr>
        <w:numPr>
          <w:ilvl w:val="0"/>
          <w:numId w:val="11"/>
        </w:numPr>
        <w:snapToGrid w:val="0"/>
        <w:spacing w:line="360" w:lineRule="auto"/>
        <w:ind w:left="1035" w:hanging="720"/>
        <w:rPr>
          <w:rFonts w:ascii="宋体" w:eastAsia="宋体" w:hAnsi="宋体" w:cs="Times New Roman"/>
          <w:szCs w:val="21"/>
        </w:rPr>
      </w:pPr>
      <w:r>
        <w:rPr>
          <w:rFonts w:ascii="宋体" w:eastAsia="宋体" w:hAnsi="宋体" w:cs="Times New Roman" w:hint="eastAsia"/>
          <w:szCs w:val="21"/>
        </w:rPr>
        <w:t>其他合同文本</w:t>
      </w:r>
    </w:p>
    <w:p>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一、定义</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除非另有特别解释或说明，在本合同及与本合同相关的，双方另行签署的其他文件（包括但不限于本合同的附件）中，下述词语均依如下定义进行解释：</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1、“项目”详见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2、“合同”指甲乙双方签署的，与本项目相关的协议、附件、附录和其他一切文件，还</w:t>
      </w:r>
      <w:r>
        <w:rPr>
          <w:rFonts w:ascii="宋体" w:eastAsia="宋体" w:hAnsi="宋体" w:cs="Times New Roman"/>
          <w:szCs w:val="21"/>
        </w:rPr>
        <w:t>包括招标文件、投标文件中的相关内容及其有效补充文件</w:t>
      </w:r>
      <w:r>
        <w:rPr>
          <w:rFonts w:ascii="宋体" w:eastAsia="宋体" w:hAnsi="宋体" w:cs="Times New Roman" w:hint="eastAsia"/>
          <w:szCs w:val="21"/>
        </w:rPr>
        <w:t>。</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3、“附件”是指与本合同的订立、履行有关的，经甲乙双方认可的，对本合同约定的内容进行细化、补充、修改、变更的文件、图纸、音像制品等资料。</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4、“合同服务”指合同服务清单（同投标文件中分项报价表，下同）中所规定的服务内容、设备和软件购置等内容。</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5、“验收证书”指验收完成后由合同双方签署的最终验收确认书。</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6、“保修期”指自验收证书甲方签署之日起，乙方免费对所提供给甲方服务内容进行技术支持、现场服务、升级服务等，并自担费用方式保证合同服务正常运行的时期。</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7、“第三人”是指本合同双方以外的任何中国境内、外的自然人、法人或其他经济组织。</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8、“法律、法规”是指由中国有关部门制定的法律、行政法规、地方性法规、规章及其他规范性文件以及经全国人民代表大会常务委员会批准的中国缔结、参加的国际条（公）约的有关规定。</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9、“招标文件”指采购中心发布的本项目招标文件。</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10、“投标文件”指乙方按照采购中心发布的本项目招标文件的要求编制和投递，并最终被采购中心接受的投标文件。</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11、“合同标的”指甲方同意从乙方购买，乙方同意向甲方提供</w:t>
      </w:r>
      <w:r>
        <w:rPr>
          <w:rFonts w:ascii="黑体" w:eastAsia="黑体" w:hAnsi="黑体" w:cs="Times New Roman" w:hint="eastAsia"/>
          <w:b/>
          <w:szCs w:val="21"/>
        </w:rPr>
        <w:t>合同服务清单（同投标文件中分项报价表）</w:t>
      </w:r>
      <w:r>
        <w:rPr>
          <w:rFonts w:ascii="宋体" w:eastAsia="宋体" w:hAnsi="宋体" w:cs="Times New Roman" w:hint="eastAsia"/>
          <w:szCs w:val="21"/>
        </w:rPr>
        <w:t>中所列服务内容、设备和软件购置等内容。</w:t>
      </w:r>
    </w:p>
    <w:p>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二、合同标的</w:t>
      </w:r>
    </w:p>
    <w:p>
      <w:pPr>
        <w:numPr>
          <w:ilvl w:val="6"/>
          <w:numId w:val="0"/>
        </w:num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三、合同价格</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1、合同总金额详见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2、本合同价格包括服务产品金额，是在项目交付前、交付时所发生或引起的本合同相关的全部成本、费用等，且为完税后价格。</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3、合同服务产品详细目录及价格见</w:t>
      </w:r>
      <w:r>
        <w:rPr>
          <w:rFonts w:ascii="黑体" w:eastAsia="黑体" w:hAnsi="黑体" w:cs="Times New Roman" w:hint="eastAsia"/>
          <w:b/>
          <w:bCs/>
          <w:szCs w:val="21"/>
        </w:rPr>
        <w:t>合同服务产品清单（同投标文件中服务产品清单）</w:t>
      </w:r>
      <w:r>
        <w:rPr>
          <w:rFonts w:ascii="宋体" w:eastAsia="宋体" w:hAnsi="宋体" w:cs="Times New Roman" w:hint="eastAsia"/>
          <w:szCs w:val="21"/>
        </w:rPr>
        <w:t>。</w:t>
      </w:r>
    </w:p>
    <w:p>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四、支付和结算方式</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1、双方因本合同发生的一切费用均以人民币结算及支付。</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2、双方的帐户名称、开户银行及帐号以本合同提供的为准。</w:t>
      </w:r>
    </w:p>
    <w:p>
      <w:pPr>
        <w:tabs>
          <w:tab w:val="left" w:pos="1573"/>
        </w:tabs>
        <w:adjustRightInd w:val="0"/>
        <w:snapToGrid w:val="0"/>
        <w:spacing w:line="360" w:lineRule="auto"/>
        <w:ind w:firstLine="420" w:firstLineChars="200"/>
        <w:rPr>
          <w:rFonts w:ascii="Times New Roman" w:eastAsia="宋体" w:hAnsi="宋体" w:cs="Times New Roman"/>
          <w:kern w:val="0"/>
          <w:szCs w:val="21"/>
        </w:rPr>
      </w:pPr>
      <w:r>
        <w:rPr>
          <w:rFonts w:ascii="宋体" w:eastAsia="宋体" w:hAnsi="宋体" w:cs="Times New Roman" w:hint="eastAsia"/>
          <w:szCs w:val="21"/>
        </w:rPr>
        <w:t>3、付款方式：</w:t>
      </w:r>
      <w:r>
        <w:rPr>
          <w:rFonts w:ascii="Times New Roman" w:eastAsia="宋体" w:hAnsi="宋体" w:cs="Times New Roman" w:hint="eastAsia"/>
          <w:kern w:val="0"/>
          <w:szCs w:val="21"/>
        </w:rPr>
        <w:t xml:space="preserve"> </w:t>
      </w:r>
    </w:p>
    <w:p>
      <w:pPr>
        <w:tabs>
          <w:tab w:val="left" w:pos="1573"/>
        </w:tabs>
        <w:adjustRightInd w:val="0"/>
        <w:snapToGrid w:val="0"/>
        <w:spacing w:line="360" w:lineRule="auto"/>
        <w:ind w:firstLine="420" w:firstLineChars="200"/>
        <w:rPr>
          <w:rFonts w:ascii="Times New Roman" w:eastAsia="宋体" w:hAnsi="宋体" w:cs="Times New Roman"/>
          <w:kern w:val="0"/>
          <w:szCs w:val="20"/>
        </w:rPr>
      </w:pPr>
      <w:r>
        <w:rPr>
          <w:rFonts w:ascii="Times New Roman" w:eastAsia="宋体" w:hAnsi="宋体" w:cs="Times New Roman" w:hint="eastAsia"/>
          <w:kern w:val="0"/>
          <w:szCs w:val="20"/>
        </w:rPr>
        <w:t>（1）合同生效后付款：双方签署合同后7个工作日内，甲方向乙方支付合同总金额的一定比例货款，支付比例、金额</w:t>
      </w:r>
      <w:r>
        <w:rPr>
          <w:rFonts w:ascii="Times New Roman" w:eastAsia="宋体" w:hAnsi="Times New Roman" w:cs="Times New Roman" w:hint="eastAsia"/>
          <w:szCs w:val="20"/>
        </w:rPr>
        <w:t>见</w:t>
      </w:r>
      <w:r>
        <w:rPr>
          <w:rFonts w:ascii="黑体" w:eastAsia="黑体" w:hAnsi="黑体" w:cs="Times New Roman" w:hint="eastAsia"/>
          <w:b/>
          <w:bCs/>
          <w:szCs w:val="20"/>
        </w:rPr>
        <w:t>合同条款专用部分</w:t>
      </w:r>
      <w:r>
        <w:rPr>
          <w:rFonts w:ascii="Times New Roman" w:eastAsia="宋体" w:hAnsi="宋体" w:cs="Times New Roman" w:hint="eastAsia"/>
          <w:kern w:val="0"/>
          <w:szCs w:val="20"/>
        </w:rPr>
        <w:t>；</w:t>
      </w:r>
    </w:p>
    <w:p>
      <w:pPr>
        <w:tabs>
          <w:tab w:val="left" w:pos="1573"/>
        </w:tabs>
        <w:adjustRightInd w:val="0"/>
        <w:snapToGrid w:val="0"/>
        <w:spacing w:line="360" w:lineRule="auto"/>
        <w:ind w:firstLine="420" w:firstLineChars="200"/>
        <w:rPr>
          <w:rFonts w:ascii="Times New Roman" w:eastAsia="宋体" w:hAnsi="宋体" w:cs="Times New Roman"/>
          <w:kern w:val="0"/>
          <w:szCs w:val="20"/>
        </w:rPr>
      </w:pPr>
      <w:r>
        <w:rPr>
          <w:rFonts w:ascii="Times New Roman" w:eastAsia="宋体" w:hAnsi="宋体" w:cs="Times New Roman" w:hint="eastAsia"/>
          <w:kern w:val="0"/>
          <w:szCs w:val="20"/>
        </w:rPr>
        <w:t>（2）签署验收报后付款：合同服务安装、调试到位、试运行完成，经甲方核对无误、检验合格，双方签署验收报告后7个工作日内，甲方向乙方支付合同总金额的一定比例货款，支付比例、金额</w:t>
      </w:r>
      <w:r>
        <w:rPr>
          <w:rFonts w:ascii="Times New Roman" w:eastAsia="宋体" w:hAnsi="Times New Roman" w:cs="Times New Roman" w:hint="eastAsia"/>
          <w:szCs w:val="20"/>
        </w:rPr>
        <w:t>见</w:t>
      </w:r>
      <w:r>
        <w:rPr>
          <w:rFonts w:ascii="黑体" w:eastAsia="黑体" w:hAnsi="黑体" w:cs="Times New Roman" w:hint="eastAsia"/>
          <w:b/>
          <w:bCs/>
          <w:szCs w:val="20"/>
        </w:rPr>
        <w:t>合同条款专用部分</w:t>
      </w:r>
      <w:r>
        <w:rPr>
          <w:rFonts w:ascii="Times New Roman" w:eastAsia="宋体" w:hAnsi="宋体" w:cs="Times New Roman" w:hint="eastAsia"/>
          <w:kern w:val="0"/>
          <w:szCs w:val="20"/>
        </w:rPr>
        <w:t xml:space="preserve">； </w:t>
      </w:r>
    </w:p>
    <w:p>
      <w:pPr>
        <w:tabs>
          <w:tab w:val="left" w:pos="1573"/>
        </w:tabs>
        <w:adjustRightInd w:val="0"/>
        <w:snapToGrid w:val="0"/>
        <w:spacing w:line="360" w:lineRule="auto"/>
        <w:ind w:firstLine="420" w:firstLineChars="200"/>
        <w:rPr>
          <w:rFonts w:ascii="宋体" w:eastAsia="宋体" w:hAnsi="宋体" w:cs="Times New Roman"/>
          <w:kern w:val="0"/>
          <w:szCs w:val="20"/>
        </w:rPr>
      </w:pPr>
      <w:r>
        <w:rPr>
          <w:rFonts w:ascii="宋体" w:eastAsia="宋体" w:hAnsi="宋体" w:cs="Times New Roman" w:hint="eastAsia"/>
          <w:kern w:val="0"/>
          <w:szCs w:val="20"/>
        </w:rPr>
        <w:t>（3）保修期满后付款：合同服务的保修期（合同服务的保修期自全部服务验收合格，双方签署验收证书之日起算）期满后7个工作日内，甲方向乙方支付合同余款，支付比例、金额</w:t>
      </w:r>
      <w:r>
        <w:rPr>
          <w:rFonts w:ascii="宋体" w:eastAsia="宋体" w:hAnsi="Courier New"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kern w:val="0"/>
          <w:szCs w:val="20"/>
        </w:rPr>
        <w:t>，作为本合同最终结款。</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4、乙方在收到甲方每一笔付款的同时，应向甲方开具相应金额的商业发票。</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如乙方根据本合同约定有责任向甲方支付违约金、赔偿金时，甲方有权直接从上述付款中扣除该等款项并于事后通知乙方，该情形下应当视为甲方已经依约履行了合同义务，而所扣乙方的款项金额未达到乙方依照其责任所应当向甲方支付的金额时，乙方仍应向甲方补足。同时，若乙方对甲方的扣款有异议而不能协商解决时，乙方应依照本合同关于解决争议的约定方式解决。但存在或解决相关争议的期间，乙方不得停滞或减缓其合同的履行，否则对因停滞或减缓合同的履行所引起的任何及所有责任均应当全部给予赔偿。</w:t>
      </w:r>
    </w:p>
    <w:p>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五、资料的使用</w:t>
      </w:r>
    </w:p>
    <w:p>
      <w:pPr>
        <w:adjustRightInd w:val="0"/>
        <w:snapToGrid w:val="0"/>
        <w:spacing w:line="360" w:lineRule="auto"/>
        <w:ind w:left="105" w:firstLine="315" w:leftChars="50" w:firstLineChars="150"/>
        <w:rPr>
          <w:rFonts w:ascii="宋体" w:eastAsia="宋体" w:hAnsi="宋体" w:cs="Times New Roman"/>
          <w:szCs w:val="21"/>
        </w:rPr>
      </w:pPr>
      <w:r>
        <w:rPr>
          <w:rFonts w:ascii="宋体" w:eastAsia="宋体" w:hAnsi="宋体" w:cs="Times New Roman" w:hint="eastAsia"/>
          <w:szCs w:val="21"/>
        </w:rPr>
        <w:t>1、没有甲方事先书面同意，乙方不得将由甲方或甲方代表提供的有关合同或任何合同条文、设计、数据、图表、结论、报告提供给乙方雇佣于履行本合同以外的任何其他人。即使向本合同的雇员提供，也应注意保密并限于履行合同必须的范围。</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2、没有甲方事先书面同意，除了履行本合同之外，乙方不应使用甲方提供的任何文件和资料。</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3、没有甲方事先书面同意，乙方不得泄露与本项目有关的任何资料、数据及其它信息。</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4、除了合同本身以外，甲方提供给乙方的任何文件是甲方的财产。如果甲方有要求，乙方在完成合同后应将这些文件(全部拷贝)还给甲方。</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甲方提供该乙方履行合同所需的资料清单见</w:t>
      </w:r>
      <w:r>
        <w:rPr>
          <w:rFonts w:ascii="黑体" w:eastAsia="黑体" w:hAnsi="黑体" w:cs="Times New Roman" w:hint="eastAsia"/>
          <w:b/>
          <w:bCs/>
          <w:szCs w:val="21"/>
        </w:rPr>
        <w:t>合同条款专用部分。</w:t>
      </w:r>
    </w:p>
    <w:p>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六、知识产权</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1、在本协议生效日前业已存在的版权及其他知识产权应属于本协议生效前既拥有该等权利的一方。</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2、任何一方均不可凭借本协议取得另一方此前所已经拥有且根据本合同不应被合理的推论为其已经同意转移的版权、专利、商业秘密、商标或其他知识产权的所有权。</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3、符合法律规定及当事人约定的原则：任何相关事项均应当符合法律规定，及应当符合当事人约定。</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开发成果归属清晰原则：全部及/或任何部分的相关知识产权，包括相关权益，均归甲方所有。乙方有不可争议的义务确保甲方依据本次采购所获得的知识产权不存在任何瑕疵并且可以不受限制地行使相关权利，包括各项延伸权利。若因此发生任何争议均应当由乙方独自承担全部及/或任何责任，包括但不限于应当承担其自身及甲方为排除任何争议或瑕疵所应当或所需要支付的一切相关及/或由此引起的费用。</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保护知识产权原则：乙方应当保证其有关参与本次采购相关的活动包括履行本次采购的任何行为，以及本次采购活动结束之后的任何涉及到本次采购的行为，均不会侵犯任何第三方的知识产权。若因此发生任何争议、侵权，均应当由乙方独自承担全部及/或任何责任，包括但不限于应当承担其自身及甲方为排除任何争议及/或赔偿侵权所应当或所需要支付的一切相关及/或由此引起的费用。</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6、甲方将拥有其在本协议项下所从事的所有工作（包括各类纸质文档，电子文档及其他可交付物）中所包含的或与之相关的全部版权、专利、商业秘密、商标和其他知识产权以及所有权和其他权益。</w:t>
      </w:r>
    </w:p>
    <w:p>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七、进度要求</w:t>
      </w:r>
    </w:p>
    <w:p>
      <w:pPr>
        <w:numPr>
          <w:ilvl w:val="6"/>
          <w:numId w:val="0"/>
        </w:numPr>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szCs w:val="21"/>
        </w:rPr>
        <w:t>见</w:t>
      </w:r>
      <w:r>
        <w:rPr>
          <w:rFonts w:ascii="黑体" w:eastAsia="黑体" w:hAnsi="黑体" w:cs="Times New Roman" w:hint="eastAsia"/>
          <w:b/>
          <w:bCs/>
          <w:szCs w:val="20"/>
        </w:rPr>
        <w:t>合同条款专用部分</w:t>
      </w:r>
      <w:r>
        <w:rPr>
          <w:rFonts w:ascii="宋体" w:eastAsia="宋体" w:hAnsi="宋体" w:cs="Times New Roman" w:hint="eastAsia"/>
          <w:b/>
          <w:szCs w:val="21"/>
        </w:rPr>
        <w:t>。</w:t>
      </w:r>
    </w:p>
    <w:p>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八、技术服务和保修责任</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关于本条的特别说明：本条中的服务时间，即相关的服务到达现场或完成维修工作所需的时间：小时、天数等，招标文件或有关保修服务的其它文件中有规定的，遵从其规定；若无相关文件或相关文件中并无规定的，或有关的规定明显与本次采购的采购人的实际需求不符的，则应当按照本合同中的相关规定。乙方对合同的技术服务和保修责任详见</w:t>
      </w:r>
      <w:r>
        <w:rPr>
          <w:rFonts w:ascii="黑体" w:eastAsia="黑体" w:hAnsi="黑体" w:cs="Times New Roman" w:hint="eastAsia"/>
          <w:b/>
          <w:bCs/>
          <w:szCs w:val="20"/>
        </w:rPr>
        <w:t>合同条款专用部分</w:t>
      </w:r>
      <w:r>
        <w:rPr>
          <w:rFonts w:ascii="宋体" w:eastAsia="宋体" w:hAnsi="宋体" w:cs="Times New Roman" w:hint="eastAsia"/>
          <w:szCs w:val="21"/>
        </w:rPr>
        <w:t>。</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1、乙方对合同服务的质量保修期见</w:t>
      </w:r>
      <w:r>
        <w:rPr>
          <w:rFonts w:ascii="黑体" w:eastAsia="黑体" w:hAnsi="黑体" w:cs="Times New Roman" w:hint="eastAsia"/>
          <w:b/>
          <w:bCs/>
          <w:szCs w:val="21"/>
        </w:rPr>
        <w:t>合同条款专用部分</w:t>
      </w:r>
      <w:r>
        <w:rPr>
          <w:rFonts w:ascii="宋体" w:eastAsia="宋体" w:hAnsi="宋体" w:cs="Times New Roman" w:hint="eastAsia"/>
          <w:szCs w:val="21"/>
        </w:rPr>
        <w:t>。乙方应保证所提供的产品、服务，符合合同规定的技术要求。如不符时，乙方应负全责并尽快处理解决，由此造成的损失和相关费用由乙方负责，甲方保留终止合同及索赔的权利。</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2、乙方应保证通过执行合同中全部方案后，可以取得本合同规定的结果，达到本合同规定的预期目标。对任何情况下出现问题的，应尽快提出解决方案。</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3、如果乙方提供的产品、服务和解决方案不符合甲方要求，或在规定的时间内没有弥补缺陷，甲方有权采取一切必要的补救措施，由此产生的费用全部由乙方负责。</w:t>
      </w:r>
    </w:p>
    <w:p>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九、履约保证金</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1、中标人应在收到中标通知书后规定时间内（具体时间</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）内，以信汇、电汇或履约保函形式向甲方提供履约保证金，保证金金额：见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2、如果中标人没有按照上述规定执行，甲方将有充分理由取消该中标决定，并不予退还其投标保证金。在此情况下甲方可将合同授予排名第二的中标候选人，或重新招标。</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3、如果中标人在与甲方签定合同以后，将中标项目转包给第三方或者</w:t>
      </w:r>
      <w:r>
        <w:rPr>
          <w:rFonts w:ascii="Times New Roman" w:eastAsia="宋体" w:hAnsi="Times New Roman" w:cs="Times New Roman" w:hint="eastAsia"/>
          <w:szCs w:val="20"/>
        </w:rPr>
        <w:t>将合同全部及任何权利、义务向第三方转让，或者在</w:t>
      </w:r>
      <w:r>
        <w:rPr>
          <w:rFonts w:ascii="宋体" w:eastAsia="宋体" w:hAnsi="宋体" w:cs="Times New Roman" w:hint="eastAsia"/>
          <w:szCs w:val="21"/>
        </w:rPr>
        <w:t>本项目不允许分包的情况下将中标项目分包给第三方，甲方将有充分理由终止合同，并不予退还其履约保证金。</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4、中标人的履约保证金将在合同服务试经甲方终验合格，履行完必要的审批手续后30日内退还中标人。</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5、如乙方未能完全履行合同规定的义务，甲方有权从履约保证金中得到补偿。</w:t>
      </w:r>
    </w:p>
    <w:p>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十、审计及检查</w:t>
      </w:r>
    </w:p>
    <w:p>
      <w:pPr>
        <w:tabs>
          <w:tab w:val="left" w:pos="360"/>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如果采购人要求，中标人应允许采购人检查中标人与实施本合同有关的资金、帐户和记录，并由采购人指定的审计人员对其进行审计。</w:t>
      </w:r>
    </w:p>
    <w:p>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十一、违约责任</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对本合同的任何违反均构成违约。当一方认为对方的违约属于严重违约时，若按照相关法律规定或按照通常的理解或认识，确属对合同的履行有重大影响，则应当被认为属于严重违约。若双方对某一违约是否属于严重违约仍有争议，可以由争议解决机构裁决认定。</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若乙方未如期按照合同约定的任何或全部款项内容之要求交付合同服务产品，或乙方未能履行合同规定的任何其它义务时，甲方有权直接向乙方发出违约通知书，乙方应按照甲方选择的下列一种或多种方式承担赔偿责任及违约责任：</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（1）在甲方同意延长的期限内交付服务产品并承担由此给甲方造成的直接损失及甲方因此产生的对第三方的责任。</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（2）甲方有权部分或全部解除合同并要求乙方赔偿由此造成的损失及甲方因此产生的对第三方的责任。此时甲方可采取必要的补救措施，相关费用由乙方承担。</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（3）上述情形下甲方为采取必要的补救措施或因防止损失扩大而支出的合理费用应由乙方承担。</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如果乙方在收到甲方的违约通知书后十日内未作答复也没有按照甲方选择的方式承担违约责任，则甲方有权从尚未支付的合同价款中扣回相当于甲方选择的方式计算的索赔金额。如果这些金额不足以补偿，甲方有权向乙方提出不足部分的赔偿要求。</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4、延期交货或延期付款的违约责任：如乙方延期交货或甲方延期付款，每逾期一天，违约方应按延期交付服务产品所折合的金额或延期付款金额的比例（详</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）向对方支付违约金，但该违约金累计不得超过合同总金额的一定比例（详</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）；上述逾期超过一定时间（详</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），守约方有权解除合同，并要求违约方赔偿由此造成的损失。</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 xml:space="preserve">5、其它违约责任 </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（1）如任何一方无故解除合同或有违反本合同规定的任何情形均属于违约行为，违约方应就每一单项违约向对方支付合同总金额一定比例的违约金，具体比例见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（2）如乙方在合同规定的交付日期后10天内仍未能交付，则视为乙方不能交付，甲方有权解除合同，乙方若已经收取了甲方的定金则同时还应双倍返还已收取的定金。</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6、乙方违反规定，有下列行为之一的，甲方有权对因此造成的损失追究责任；构成犯罪的，由司法机关追究其刑事责任：</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1）擅自向第三方提供或者转让项目资料的；</w:t>
      </w:r>
    </w:p>
    <w:p>
      <w:pPr>
        <w:adjustRightInd w:val="0"/>
        <w:snapToGrid w:val="0"/>
        <w:spacing w:line="360" w:lineRule="auto"/>
        <w:ind w:left="200" w:firstLine="200" w:leftChars="95" w:firstLineChars="95"/>
        <w:rPr>
          <w:rFonts w:ascii="宋体" w:eastAsia="宋体" w:hAnsi="宋体" w:cs="Times New Roman"/>
          <w:szCs w:val="21"/>
        </w:rPr>
      </w:pPr>
      <w:r>
        <w:rPr>
          <w:rFonts w:ascii="宋体" w:eastAsia="宋体" w:hAnsi="宋体" w:cs="Times New Roman" w:hint="eastAsia"/>
          <w:szCs w:val="21"/>
        </w:rPr>
        <w:t>2）未经甲方许可使用项目资料的；</w:t>
      </w:r>
    </w:p>
    <w:p>
      <w:pPr>
        <w:adjustRightInd w:val="0"/>
        <w:snapToGrid w:val="0"/>
        <w:spacing w:line="360" w:lineRule="auto"/>
        <w:ind w:left="200" w:firstLine="200" w:leftChars="95" w:firstLineChars="95"/>
        <w:rPr>
          <w:rFonts w:ascii="宋体" w:eastAsia="宋体" w:hAnsi="宋体" w:cs="Times New Roman"/>
          <w:szCs w:val="21"/>
        </w:rPr>
      </w:pPr>
      <w:r>
        <w:rPr>
          <w:rFonts w:ascii="宋体" w:eastAsia="宋体" w:hAnsi="宋体" w:cs="Times New Roman" w:hint="eastAsia"/>
          <w:szCs w:val="21"/>
        </w:rPr>
        <w:t>3）项目完成后，乙方未经甲方许可保留项目资料的；</w:t>
      </w:r>
    </w:p>
    <w:p>
      <w:pPr>
        <w:adjustRightInd w:val="0"/>
        <w:snapToGrid w:val="0"/>
        <w:spacing w:line="360" w:lineRule="auto"/>
        <w:ind w:left="200" w:firstLine="200" w:leftChars="95" w:firstLineChars="95"/>
        <w:rPr>
          <w:rFonts w:ascii="宋体" w:eastAsia="宋体" w:hAnsi="宋体" w:cs="Times New Roman"/>
          <w:szCs w:val="21"/>
        </w:rPr>
      </w:pPr>
      <w:r>
        <w:rPr>
          <w:rFonts w:ascii="宋体" w:eastAsia="宋体" w:hAnsi="宋体" w:cs="Times New Roman" w:hint="eastAsia"/>
          <w:szCs w:val="21"/>
        </w:rPr>
        <w:t>4）对项目资料保管不当，造成数据全部或者部分丢失、被窃的。</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7、乙方在进行项目时违反有关保密规定的，依照《中华人民共和国保密法》等有关法律法规的规定处理。</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若发生延期交货或延期付款情形之外的任何违约时，违约方在接到对方关于违约的通知时，均应当就每一项违约向对方支付相当于合同金额5%的违约金。当违约行为给对方造成损失时，若违约金不足以弥补全部损失，违约方还应当赔偿对方因此所受全部损失。当构成严重违约时，对方可以单方面决定解除或终止合同履行，违约方同时还应当承担违约或赔偿责任。</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9、以上各项交付的违约金并不影响违约方履行合同的各项义务。</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10、若乙方通过协议、设立控股或分支机构或其它方式就供货或服务等与任何独立或非独立的第三方构成联合、分属或其它关系、相关责任义务等均由乙方与该等组织机构自行协商约定，但在与本协议相关的任何情形下，乙方与其任何一家该等机构二者之间的约定仅属于其内部分担权利义务及其内部约定分担对外责任的办法，乙方与该等机构二者对甲方、用户、相关第三方则应承担连带责任，而乙方依据本合同原所应承担的对甲方、用户或第三方的责任均并不因此被减免。</w:t>
      </w:r>
    </w:p>
    <w:p>
      <w:pPr>
        <w:adjustRightInd w:val="0"/>
        <w:snapToGrid w:val="0"/>
        <w:spacing w:line="360" w:lineRule="auto"/>
        <w:ind w:firstLine="315" w:firstLineChars="150"/>
        <w:rPr>
          <w:rFonts w:ascii="宋体" w:eastAsia="宋体" w:hAnsi="宋体" w:cs="Times New Roman"/>
          <w:b/>
          <w:szCs w:val="21"/>
        </w:rPr>
      </w:pPr>
      <w:r>
        <w:rPr>
          <w:rFonts w:ascii="宋体" w:eastAsia="宋体" w:hAnsi="宋体" w:cs="Times New Roman" w:hint="eastAsia"/>
          <w:szCs w:val="21"/>
        </w:rPr>
        <w:t>11、本次采购的合同项下的任何合同、文件等均应当符合有关环保、知识产权及其他法律法规的规定，包括童工禁用、劳动保护待遇等法律规定。投标人或中标人或乙方或乙方代理商等均已清楚本次政府采购招标中的政府或其部门、采购中心、采购人或使用人等，均已尽声明、提示、审慎核查等注意义务及相关责任，若仍发生任何相关违反法律、法规之情形均属投标人或中标人或乙方或乙方代理商等单方面之因素、原因、责任。投标人或中标人或乙方或乙方代理商等在相关的投标活动中、合同的签订及履行过程中，其投标或签署、履行合同均意味着其已承诺，任何情况下，均将严格遵守法律、法规，并且应当独立承担全部及任何法律责任，包括对采购中心、采购人、甲方、最终用户或任何第三方的民事侵权赔偿责任。上述该等责任同时亦均属严重违约责任。</w:t>
      </w:r>
    </w:p>
    <w:p>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十二、不可抗力</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1、不可抗力指下列事件：战争、动乱、瘟疫、严重火灾、洪水、地震、风暴或其他自然灾害，以及本合同各方不可预见、不可防止并不能避免或克服的一切其他因素及事件。</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任何一方因不可抗力不能履行本合同规定的全部或部分义务，该方应尽快通知另一方，并须在不可抗力发生后三日内以书面形式向另一方提供详细情况报告及不可抗力对履行本合同的影响程度的说明。就上述不可抗力的发生须由受到不可抗力影响的一方负责同时提供由公证机关作出的公证证明。</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4、合同各方应根据不可抗力对本合同履行的影响程度，协商确定是否终止本合同，或是继续履行本合同。</w:t>
      </w:r>
    </w:p>
    <w:p>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十三、联系方式</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合同双方发出与本合同有关的通知或回复，应以专人送递、传真或特快专递方式发出；如果以专人送递或特快专递发送，以送达至对方的住所地或通讯联络地为送达；如果以传真方式发送，发件人在收到传真报告后视为送达；如果采用电话或电子邮件的方式，则应在发送后由对方以书面方式予以确认。</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2、合同双方发出的与本合同有关的通知或回复均应发至</w:t>
      </w:r>
      <w:r>
        <w:rPr>
          <w:rFonts w:ascii="黑体" w:eastAsia="黑体" w:hAnsi="黑体" w:cs="Times New Roman" w:hint="eastAsia"/>
          <w:b/>
          <w:bCs/>
          <w:szCs w:val="21"/>
        </w:rPr>
        <w:t>合同条款专用部分</w:t>
      </w:r>
      <w:r>
        <w:rPr>
          <w:rFonts w:ascii="宋体" w:eastAsia="宋体" w:hAnsi="宋体" w:cs="Times New Roman" w:hint="eastAsia"/>
          <w:szCs w:val="21"/>
        </w:rPr>
        <w:t>中的通讯地址，付款或收款应使用</w:t>
      </w:r>
      <w:r>
        <w:rPr>
          <w:rFonts w:ascii="黑体" w:eastAsia="黑体" w:hAnsi="黑体" w:cs="Times New Roman" w:hint="eastAsia"/>
          <w:b/>
          <w:bCs/>
          <w:szCs w:val="21"/>
        </w:rPr>
        <w:t>合同条款专用部分</w:t>
      </w:r>
      <w:r>
        <w:rPr>
          <w:rFonts w:ascii="宋体" w:eastAsia="宋体" w:hAnsi="宋体" w:cs="Times New Roman" w:hint="eastAsia"/>
          <w:szCs w:val="21"/>
        </w:rPr>
        <w:t>中的帐号，一方变更通讯地址或帐号，应自变更之日起三个工作日内，将变更后的地址通知对方。变更方不履行通知义务的，应对此造成的一切后果承担法律责任。</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3、上述发出通知、回复的费用由发出一方承担。</w:t>
      </w:r>
    </w:p>
    <w:p>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十四、保密条款</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0"/>
        </w:rPr>
        <w:t>1、</w:t>
      </w:r>
      <w:r>
        <w:rPr>
          <w:rFonts w:ascii="宋体" w:eastAsia="宋体" w:hAnsi="宋体" w:cs="Times New Roman" w:hint="eastAsia"/>
          <w:szCs w:val="21"/>
        </w:rPr>
        <w:t>任何一方对其获知的本合同及附件中其他各方的商业秘密和国家秘密负有保密义务。</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在下列情形下：当发布中标公告和其它公告时，当国家机关调查、审查、审计时，以及其他符合法律规定的情形下，无须事先征求投标人/中标人同意而可以披露关于采购过程、合同文本、签署情况的资料、投标人/中标人的名称及地址、采购内容的有关信息以及补充条款等，但应当在合理的必要范围内。对任何已经公布过的内容或与之内容相同的资料，以及投标人/中标人已经泄露或公开的，无须再承担保密责任。</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此外的其它情形下，除非法律、法规另有规定或得到本合同之其他各方的书面许可，任何一方不得向第三人泄露前款规定的商业秘密和国家秘密。保密期限自任何一方获知该商业秘密和国家秘密之日起至本条规定的秘密成为公众信息之日止。</w:t>
      </w:r>
    </w:p>
    <w:p>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十五、合同的解释和法律适用</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1、任何一方对本合同及其附件的解释均应遵循诚实信用原则,依照本合同签订时有效的中国法律、法规以及通常的理解进行。</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2、本合同标题仅供查阅方便，并非对本合同的诠释或解释；本合同中以日表述的时间期限均指自然日。</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3、对本合同的任何解释均应以书面作出。</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4、本合同及附件的订立、效力、解释、履行、争议的解决等适用本合同签订时有效的中华人民共和国法律、法规的有关规定。</w:t>
      </w:r>
    </w:p>
    <w:p>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十六、合同的终止</w:t>
      </w:r>
    </w:p>
    <w:p>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1、本合同因下列原因而终止：</w:t>
      </w:r>
    </w:p>
    <w:p>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（1）本合同正常履行完毕；</w:t>
      </w:r>
    </w:p>
    <w:p>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（2）合同双方协议终止本合同的履行；</w:t>
      </w:r>
    </w:p>
    <w:p>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（3）不可抗力事件导致本合同无法履行或履行不必要；</w:t>
      </w:r>
    </w:p>
    <w:p>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（4）任何一方行使解除权，解除本合同。</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2、对本合同终止有过错的一方应赔偿另一方因合同终止而受到的损失。对合同终止双方均无过错的，则各自承担所受到的损失。</w:t>
      </w:r>
    </w:p>
    <w:p>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十七、法律适用</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1、本合同及附件的订立、效力、解释、履行、争议的解决等适用本合同签订时有效的中华人民共和国法律、法规的有关规定。</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2、在本合同履行期间，因中国法律、法规、政策的变化致使本合同的部分条款相冲突、无效或失去可强制执行效力时，双方同意将密切合作，尽快修改本合同中相冲突或无效或失去强制执行效力的有关条款。</w:t>
      </w:r>
    </w:p>
    <w:p>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十八、权利的保留</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任何一方没有行使其权利或没有就违约方的违约行为采取任何行动，不应被视为是对其权利的放弃或对追究另一方违约责任权利的放弃。任何一方放弃针对违约方的某种权利，或放弃追究违约方的某种责任，不应视为对其他权利或追究其他责任的放弃。</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如果本合同部分条款依据现行有关法律、法规被确认为无效或无法履行，且该部分无效或无法履行的条款不影响本合同其他条款效力的，本合同其他条款继续有效；同时，合同双方应根据现行有关法律、法规对该部分无效或无法履行的条款进行调整，使其依法成为有效条款，并尽量符合本合同所体现的原则和精神。</w:t>
      </w:r>
    </w:p>
    <w:p>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十九、争议的解决</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1、合同双方应通过友好协商解决因解释﹑执行本合同所发生的和本合同有关的一切争议。如果经协商不能达成协议，则双方同意：</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（1）在甲方所在地有管辖权的人民法院提起诉讼。</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（2）由贸易仲裁委员会根据现行有效的仲裁程序进行仲裁。仲裁裁决为最终裁决对双方均具有约束力。仲裁费除仲裁机关另有裁决外的应由败诉方承担。</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本项目选择的具体解决方式见</w:t>
      </w:r>
      <w:r>
        <w:rPr>
          <w:rFonts w:ascii="黑体" w:eastAsia="黑体" w:hAnsi="黑体" w:cs="Times New Roman" w:hint="eastAsia"/>
          <w:b/>
          <w:bCs/>
          <w:szCs w:val="20"/>
        </w:rPr>
        <w:t>合同条款专用部分。</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2、本</w:t>
      </w:r>
      <w:r>
        <w:rPr>
          <w:rFonts w:ascii="宋体" w:eastAsia="宋体" w:hAnsi="宋体" w:cs="Times New Roman"/>
          <w:szCs w:val="21"/>
        </w:rPr>
        <w:t>合同</w:t>
      </w:r>
      <w:r>
        <w:rPr>
          <w:rFonts w:ascii="宋体" w:eastAsia="宋体" w:hAnsi="宋体" w:cs="Times New Roman" w:hint="eastAsia"/>
          <w:szCs w:val="21"/>
        </w:rPr>
        <w:t>甲、乙双方一致认为，本</w:t>
      </w:r>
      <w:r>
        <w:rPr>
          <w:rFonts w:ascii="宋体" w:eastAsia="宋体" w:hAnsi="宋体" w:cs="Times New Roman"/>
          <w:szCs w:val="21"/>
        </w:rPr>
        <w:t>合同</w:t>
      </w:r>
      <w:r>
        <w:rPr>
          <w:rFonts w:ascii="宋体" w:eastAsia="宋体" w:hAnsi="宋体" w:cs="Times New Roman" w:hint="eastAsia"/>
          <w:szCs w:val="21"/>
        </w:rPr>
        <w:t>仅</w:t>
      </w:r>
      <w:r>
        <w:rPr>
          <w:rFonts w:ascii="宋体" w:eastAsia="宋体" w:hAnsi="宋体" w:cs="Times New Roman"/>
          <w:szCs w:val="21"/>
        </w:rPr>
        <w:t>属于</w:t>
      </w:r>
      <w:r>
        <w:rPr>
          <w:rFonts w:ascii="宋体" w:eastAsia="宋体" w:hAnsi="宋体" w:cs="Times New Roman" w:hint="eastAsia"/>
          <w:szCs w:val="21"/>
        </w:rPr>
        <w:t>甲、乙双方</w:t>
      </w:r>
      <w:r>
        <w:rPr>
          <w:rFonts w:ascii="宋体" w:eastAsia="宋体" w:hAnsi="宋体" w:cs="Times New Roman"/>
          <w:szCs w:val="21"/>
        </w:rPr>
        <w:t>之间的</w:t>
      </w:r>
      <w:r>
        <w:rPr>
          <w:rFonts w:ascii="宋体" w:eastAsia="宋体" w:hAnsi="宋体" w:cs="Times New Roman" w:hint="eastAsia"/>
          <w:szCs w:val="21"/>
        </w:rPr>
        <w:t>协议，任何</w:t>
      </w:r>
      <w:r>
        <w:rPr>
          <w:rFonts w:ascii="宋体" w:eastAsia="宋体" w:hAnsi="宋体" w:cs="Times New Roman"/>
          <w:szCs w:val="21"/>
        </w:rPr>
        <w:t>争议</w:t>
      </w:r>
      <w:r>
        <w:rPr>
          <w:rFonts w:ascii="宋体" w:eastAsia="宋体" w:hAnsi="宋体" w:cs="Times New Roman" w:hint="eastAsia"/>
          <w:szCs w:val="21"/>
        </w:rPr>
        <w:t>均只</w:t>
      </w:r>
      <w:r>
        <w:rPr>
          <w:rFonts w:ascii="宋体" w:eastAsia="宋体" w:hAnsi="宋体" w:cs="Times New Roman"/>
          <w:szCs w:val="21"/>
        </w:rPr>
        <w:t>应当</w:t>
      </w:r>
      <w:r>
        <w:rPr>
          <w:rFonts w:ascii="宋体" w:eastAsia="宋体" w:hAnsi="宋体" w:cs="Times New Roman" w:hint="eastAsia"/>
          <w:szCs w:val="21"/>
        </w:rPr>
        <w:t>按照本合同</w:t>
      </w:r>
      <w:r>
        <w:rPr>
          <w:rFonts w:ascii="宋体" w:eastAsia="宋体" w:hAnsi="宋体" w:cs="Times New Roman"/>
          <w:szCs w:val="21"/>
        </w:rPr>
        <w:t>的约定方式处理，</w:t>
      </w:r>
      <w:r>
        <w:rPr>
          <w:rFonts w:ascii="宋体" w:eastAsia="宋体" w:hAnsi="宋体" w:cs="Times New Roman" w:hint="eastAsia"/>
          <w:szCs w:val="21"/>
        </w:rPr>
        <w:t>任何情形下采购中心均</w:t>
      </w:r>
      <w:r>
        <w:rPr>
          <w:rFonts w:ascii="宋体" w:eastAsia="宋体" w:hAnsi="宋体" w:cs="Times New Roman"/>
          <w:szCs w:val="21"/>
        </w:rPr>
        <w:t>不应当成为该等争议的当事人，无论该等诉讼均不得</w:t>
      </w:r>
      <w:r>
        <w:rPr>
          <w:rFonts w:ascii="宋体" w:eastAsia="宋体" w:hAnsi="宋体" w:cs="Times New Roman" w:hint="eastAsia"/>
          <w:szCs w:val="21"/>
        </w:rPr>
        <w:t>针</w:t>
      </w:r>
      <w:r>
        <w:rPr>
          <w:rFonts w:ascii="宋体" w:eastAsia="宋体" w:hAnsi="宋体" w:cs="Times New Roman"/>
          <w:szCs w:val="21"/>
        </w:rPr>
        <w:t>对</w:t>
      </w:r>
      <w:r>
        <w:rPr>
          <w:rFonts w:ascii="宋体" w:eastAsia="宋体" w:hAnsi="宋体" w:cs="Times New Roman" w:hint="eastAsia"/>
          <w:szCs w:val="21"/>
        </w:rPr>
        <w:t>采购中心</w:t>
      </w:r>
      <w:r>
        <w:rPr>
          <w:rFonts w:ascii="宋体" w:eastAsia="宋体" w:hAnsi="宋体" w:cs="Times New Roman"/>
          <w:szCs w:val="21"/>
        </w:rPr>
        <w:t>提起。</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3、在争议解决期间，除了诉讼进行过程中正在解决的部分问题外，合同其余部分应继续履行。</w:t>
      </w:r>
    </w:p>
    <w:p>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二十、合同的补充、修改和变更</w:t>
      </w:r>
    </w:p>
    <w:p>
      <w:pPr>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szCs w:val="21"/>
        </w:rPr>
        <w:t>在不背离</w:t>
      </w:r>
      <w:r>
        <w:rPr>
          <w:rFonts w:ascii="Calibri" w:eastAsia="宋体" w:hAnsi="Calibri" w:cs="Times New Roman" w:hint="eastAsia"/>
          <w:szCs w:val="22"/>
        </w:rPr>
        <w:t>招标文件、投标文件及评审过程中的有关澄清、说明或者补正文件的实质性内容的前提下，</w:t>
      </w:r>
      <w:r>
        <w:rPr>
          <w:rFonts w:ascii="宋体" w:eastAsia="宋体" w:hAnsi="宋体" w:cs="Times New Roman" w:hint="eastAsia"/>
          <w:szCs w:val="21"/>
        </w:rPr>
        <w:t>以维护和兼顾各方的利益和项目执行过程的最优化为原则、在本项目的基本范围内，甲乙双方均有权在履行本合同的过程中适时地提出变更、扩展、替换或修改本项目的某些部分包括但不限于增加或减少系统管理范围的调整、技术参数的提高或提升、交付或实施的时间与地点。为此，双方同意：</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甲方可以要求对技术文件进行修改。所有的修改要求都应以书面形式提交。甲方将准备一份书面的修改备忘录以说明所要求的更改，并列出对技术文件条款的任何修改。乙方应在3日内对此作出书面回应，其内容包括详细的该修改对合同价格、项目交付日期、项目技术参数的影响和变化以及对合同条款的影响等。</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2、甲方收到乙方的上述回应后，应在3日内以书面方式通知乙方是否同意和接受乙方的上述回应。如果甲方接受乙方的上述回应，则双方另行对此修改签署予以确认，乙方则按修改后的约定履行本合同。</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如甲方不同意乙方的上述回应、如对价格或交付日期的变化等，甲乙双方有权将此争议提交仲裁委员会进行仲裁；在仲裁裁决生效之前，乙方应执行甲方所要求的修改。仲裁裁决下达后，双方即依此执行并由败诉方承担仲裁费用。本条款对仲裁的选择是独立的，不影响本合同中争议条款所规定的争议方式解决的选择。</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4、如乙方提出项目的部分修改建议，乙方应同时详细阐明该变更对合同价格、项目交付日期、项目技术参数的影响和变化以及对合同条款的影响等。</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甲方收到乙方的上述修改建议后，应在3日内以书面方式通知乙方是否同意和接受乙方的上述修改建议。如果甲方接受乙方的上述回应，则双方另行对此修改建议签署予以确认，甲乙双方则按修改后的约定履行本合同。如甲方不同意乙方的上述建议，双方仍按原合同执行。</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6、所有的修改应在双方签署书面的修改备忘录时生效。修改备忘录将变更或取代有关的技术文件中或先前的任何修改备忘录中所有不一致的条款。</w:t>
      </w:r>
    </w:p>
    <w:p>
      <w:pPr>
        <w:adjustRightInd w:val="0"/>
        <w:snapToGrid w:val="0"/>
        <w:spacing w:line="360" w:lineRule="auto"/>
        <w:ind w:left="420"/>
        <w:rPr>
          <w:rFonts w:ascii="宋体" w:eastAsia="宋体" w:hAnsi="宋体" w:cs="Times New Roman"/>
          <w:szCs w:val="21"/>
        </w:rPr>
      </w:pPr>
      <w:r>
        <w:rPr>
          <w:rFonts w:ascii="宋体" w:eastAsia="宋体" w:hAnsi="宋体" w:cs="Times New Roman" w:hint="eastAsia"/>
          <w:szCs w:val="21"/>
        </w:rPr>
        <w:t>7、任何对合同条件的变更或修改均须双方签订书面的修改书。</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8、招投标文件及其全部条款、双方签订的补充协议以及修改或变更的条款与本合同具有同等法律效力。补充、修改或变更的协议的签署及生效方式与本合同的签署及生效方式相同。</w:t>
      </w:r>
    </w:p>
    <w:p>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二十一、合同的生效</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本合同经双方法定代表人（负责人）或授权代表签字并加盖单位公章后生效。</w:t>
      </w:r>
    </w:p>
    <w:p>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二十二、其它约定事项</w:t>
      </w:r>
    </w:p>
    <w:p>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1、本合同中的附件均为本合同不可分割的部分，与本合同具有相同的法律效力。</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一方当事人未经另一方事先书面同意，不得将其在合同项下的权利或义务全部或部分转让给第三人，有关分包事项或服务委托等须事先取得采购人书面同意并且须遵守相关法律、法规；有关联合投标须在本次招标允许的情况下并须符合本次招标的全部规定。</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3、本合同正本一式两份，甲、乙双方各执一份，每份正本具有同等法律效力，副本报财政部备案。</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4、本合同涉及的招标文件和投标文件，正本由中国气象局政府采购中心保存。</w:t>
      </w:r>
    </w:p>
    <w:p>
      <w:pPr>
        <w:tabs>
          <w:tab w:val="left" w:pos="1573"/>
        </w:tabs>
        <w:adjustRightInd w:val="0"/>
        <w:snapToGrid w:val="0"/>
        <w:spacing w:line="360" w:lineRule="auto"/>
        <w:ind w:firstLine="412" w:firstLineChars="196"/>
        <w:jc w:val="left"/>
        <w:rPr>
          <w:rFonts w:ascii="宋体" w:eastAsia="宋体" w:hAnsi="宋体" w:cs="Times New Roman"/>
          <w:szCs w:val="21"/>
        </w:rPr>
      </w:pPr>
    </w:p>
    <w:p/>
    <w:p w:rsidR="00A77B3E"/>
    <w:p>
      <w:pPr>
        <w:spacing w:line="360" w:lineRule="auto"/>
        <w:ind w:firstLine="3066" w:firstLineChars="1460"/>
        <w:jc w:val="left"/>
        <w:rPr>
          <w:b/>
          <w:bCs/>
          <w:szCs w:val="21"/>
          <w:highlight w:val="none"/>
        </w:rPr>
      </w:pPr>
      <w:bookmarkEnd w:id="66"/>
    </w:p>
    <w:sectPr>
      <w:headerReference w:type="even" r:id="rId8"/>
      <w:headerReference w:type="default" r:id="rId9"/>
      <w:footerReference w:type="default" r:id="rId10"/>
      <w:headerReference w:type="first" r:id="rId11"/>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altName w:val="DejaVu Sans"/>
    <w:panose1 w:val="02020603050405020304"/>
    <w:charset w:val="CC"/>
    <w:family w:val="roman"/>
    <w:pitch w:val="variable"/>
    <w:sig w:usb0="E0002EFF" w:usb1="C000785B" w:usb2="00000009" w:usb3="00000000" w:csb0="400001FF" w:csb1="FFFF0000"/>
  </w:font>
  <w:font w:name="宋体">
    <w:altName w:val="方正书宋_GBK"/>
    <w:panose1 w:val="02010600030101010101"/>
    <w:charset w:val="86"/>
    <w:family w:val="auto"/>
    <w:pitch w:val="default"/>
    <w:sig w:usb0="00000203" w:usb1="288F0000" w:usb2="00000006" w:usb3="00000000" w:csb0="00040001" w:csb1="00000000"/>
  </w:font>
  <w:font w:name="Arial">
    <w:altName w:val="DejaVu Sans"/>
    <w:panose1 w:val="020B0604020202020204"/>
    <w:charset w:val="CC"/>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altName w:val="Noto Sans Syriac Eastern"/>
    <w:panose1 w:val="02040503050406030204"/>
    <w:charset w:val="00"/>
    <w:family w:val="roman"/>
    <w:pitch w:val="default"/>
    <w:sig w:usb0="E00006FF" w:usb1="420024FF" w:usb2="02000000" w:usb3="00000000" w:csb0="2000019F" w:csb1="00000000"/>
  </w:font>
  <w:font w:name="微软雅黑">
    <w:altName w:val="黑体"/>
    <w:panose1 w:val="020B0503020204020204"/>
    <w:charset w:val="86"/>
    <w:family w:val="swiss"/>
    <w:pitch w:val="default"/>
    <w:sig w:usb0="80000287" w:usb1="2ACF3C50" w:usb2="00000016" w:usb3="00000000" w:csb0="0004001F" w:csb1="00000000"/>
  </w:font>
  <w:font w:name="Courier New">
    <w:altName w:val="DejaVu Sans"/>
    <w:panose1 w:val="02070309020205020404"/>
    <w:charset w:val="01"/>
    <w:family w:val="modern"/>
    <w:pitch w:val="default"/>
    <w:sig w:usb0="E0002EFF" w:usb1="C0007843" w:usb2="00000009" w:usb3="00000000" w:csb0="400001FF" w:csb1="FFFF0000"/>
  </w:font>
  <w:font w:name="Tahoma">
    <w:altName w:val="DejaVu Sans"/>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Calibri">
    <w:altName w:val="DejaVu Sans"/>
    <w:panose1 w:val="020F0502020204030204"/>
    <w:charset w:val="00"/>
    <w:family w:val="swiss"/>
    <w:pitch w:val="default"/>
    <w:sig w:usb0="E4002EFF" w:usb1="C200247B" w:usb2="00000009" w:usb3="00000000" w:csb0="200001FF" w:csb1="00000000"/>
  </w:font>
  <w:font w:name="Wingdings 2">
    <w:panose1 w:val="050201020105070707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方正书宋_GBK">
    <w:panose1 w:val="02000000000000000000"/>
    <w:charset w:val="86"/>
    <w:family w:val="auto"/>
    <w:pitch w:val="default"/>
    <w:sig w:usb0="00000001" w:usb1="0800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华文楷体">
    <w:altName w:val="方正楷体_GBK"/>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Noto Sans Syriac Eastern">
    <w:panose1 w:val="02040503050306020203"/>
    <w:charset w:val="86"/>
    <w:family w:val="auto"/>
    <w:pitch w:val="default"/>
    <w:sig w:usb0="00000000" w:usb1="00000000" w:usb2="00000080" w:usb3="00000000" w:csb0="203E0161" w:csb1="D7FF0000"/>
  </w:font>
  <w:font w:name="方正楷体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Microsoft YaHei">
    <w:panose1 w:val="020B0503020204020204"/>
    <w:charset w:val="86"/>
    <w:family w:val="auto"/>
    <w:pitch w:val="default"/>
    <w:sig w:usb0="80000287" w:usb1="280F3C52" w:usb2="00000016" w:usb3="00000000" w:csb0="0004001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3FE6617"/>
    <w:multiLevelType w:val="singleLevel"/>
    <w:tmpl w:val="93FE6617"/>
    <w:lvl w:ilvl="0">
      <w:start w:val="1"/>
      <w:numFmt w:val="decimal"/>
      <w:lvlText w:val="%1."/>
      <w:lvlJc w:val="left"/>
      <w:pPr>
        <w:tabs>
          <w:tab w:val="left" w:pos="880"/>
        </w:tabs>
      </w:pPr>
    </w:lvl>
  </w:abstractNum>
  <w:abstractNum w:abstractNumId="1">
    <w:nsid w:val="DDEEE959"/>
    <w:multiLevelType w:val="singleLevel"/>
    <w:tmpl w:val="DDEEE959"/>
    <w:lvl w:ilvl="0">
      <w:start w:val="1"/>
      <w:numFmt w:val="decimal"/>
      <w:suff w:val="nothing"/>
      <w:lvlText w:val="（%1）"/>
      <w:lvlJc w:val="left"/>
    </w:lvl>
  </w:abstractNum>
  <w:abstractNum w:abstractNumId="2">
    <w:nsid w:val="F677FC82"/>
    <w:multiLevelType w:val="singleLevel"/>
    <w:tmpl w:val="F677FC82"/>
    <w:lvl w:ilvl="0">
      <w:start w:val="1"/>
      <w:numFmt w:val="bullet"/>
      <w:lvlText w:val=""/>
      <w:lvlJc w:val="left"/>
      <w:pPr>
        <w:ind w:left="420" w:hanging="420"/>
      </w:pPr>
      <w:rPr>
        <w:rFonts w:ascii="Wingdings" w:hAnsi="Wingdings" w:hint="default"/>
      </w:rPr>
    </w:lvl>
  </w:abstractNum>
  <w:abstractNum w:abstractNumId="3">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4">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5">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nsid w:val="2B3B3587"/>
    <w:multiLevelType w:val="multilevel"/>
    <w:tmpl w:val="2B3B3587"/>
    <w:lvl w:ilvl="0">
      <w:start w:val="1"/>
      <w:numFmt w:val="japaneseCounting"/>
      <w:lvlText w:val="（%1）"/>
      <w:lvlJc w:val="left"/>
      <w:pPr>
        <w:ind w:left="1035" w:hanging="720"/>
      </w:pPr>
      <w:rPr>
        <w:rFonts w:hint="default"/>
      </w:rPr>
    </w:lvl>
    <w:lvl w:ilvl="1">
      <w:start w:val="1"/>
      <w:numFmt w:val="lowerLetter"/>
      <w:lvlText w:val="%2)"/>
      <w:lvlJc w:val="left"/>
      <w:pPr>
        <w:ind w:left="1155" w:hanging="420"/>
      </w:pPr>
    </w:lvl>
    <w:lvl w:ilvl="2">
      <w:start w:val="1"/>
      <w:numFmt w:val="lowerRoman"/>
      <w:lvlText w:val="%3."/>
      <w:lvlJc w:val="right"/>
      <w:pPr>
        <w:ind w:left="1575" w:hanging="420"/>
      </w:pPr>
    </w:lvl>
    <w:lvl w:ilvl="3">
      <w:start w:val="1"/>
      <w:numFmt w:val="decimal"/>
      <w:lvlText w:val="%4."/>
      <w:lvlJc w:val="left"/>
      <w:pPr>
        <w:ind w:left="1995" w:hanging="420"/>
      </w:pPr>
    </w:lvl>
    <w:lvl w:ilvl="4">
      <w:start w:val="1"/>
      <w:numFmt w:val="lowerLetter"/>
      <w:lvlText w:val="%5)"/>
      <w:lvlJc w:val="left"/>
      <w:pPr>
        <w:ind w:left="2415" w:hanging="420"/>
      </w:pPr>
    </w:lvl>
    <w:lvl w:ilvl="5">
      <w:start w:val="1"/>
      <w:numFmt w:val="lowerRoman"/>
      <w:lvlText w:val="%6."/>
      <w:lvlJc w:val="right"/>
      <w:pPr>
        <w:ind w:left="2835" w:hanging="420"/>
      </w:pPr>
    </w:lvl>
    <w:lvl w:ilvl="6">
      <w:start w:val="1"/>
      <w:numFmt w:val="decimal"/>
      <w:lvlText w:val="%7."/>
      <w:lvlJc w:val="left"/>
      <w:pPr>
        <w:ind w:left="3255" w:hanging="420"/>
      </w:pPr>
    </w:lvl>
    <w:lvl w:ilvl="7">
      <w:start w:val="1"/>
      <w:numFmt w:val="lowerLetter"/>
      <w:lvlText w:val="%8)"/>
      <w:lvlJc w:val="left"/>
      <w:pPr>
        <w:ind w:left="3675" w:hanging="420"/>
      </w:pPr>
    </w:lvl>
    <w:lvl w:ilvl="8">
      <w:start w:val="1"/>
      <w:numFmt w:val="lowerRoman"/>
      <w:lvlText w:val="%9."/>
      <w:lvlJc w:val="right"/>
      <w:pPr>
        <w:ind w:left="4095" w:hanging="420"/>
      </w:pPr>
    </w:lvl>
  </w:abstractNum>
  <w:abstractNum w:abstractNumId="7">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5FF24B22"/>
    <w:multiLevelType w:val="singleLevel"/>
    <w:tmpl w:val="5FF24B22"/>
    <w:lvl w:ilvl="0">
      <w:start w:val="1"/>
      <w:numFmt w:val="decimal"/>
      <w:suff w:val="nothing"/>
      <w:lvlText w:val="（%1）"/>
      <w:lvlJc w:val="left"/>
    </w:lvl>
  </w:abstractNum>
  <w:abstractNum w:abstractNumId="9">
    <w:nsid w:val="7A8FF37D"/>
    <w:multiLevelType w:val="singleLevel"/>
    <w:tmpl w:val="7A8FF37D"/>
    <w:lvl w:ilvl="0">
      <w:start w:val="1"/>
      <w:numFmt w:val="decimal"/>
      <w:lvlText w:val="(%1)"/>
      <w:lvlJc w:val="left"/>
      <w:pPr>
        <w:ind w:left="425" w:hanging="425"/>
      </w:pPr>
      <w:rPr>
        <w:rFonts w:hint="default"/>
      </w:rPr>
    </w:lvl>
  </w:abstractNum>
  <w:abstractNum w:abstractNumId="10">
    <w:nsid w:val="7EB88DB4"/>
    <w:multiLevelType w:val="singleLevel"/>
    <w:tmpl w:val="7EB88DB4"/>
    <w:lvl w:ilvl="0">
      <w:start w:val="1"/>
      <w:numFmt w:val="bullet"/>
      <w:lvlText w:val=""/>
      <w:lvlJc w:val="left"/>
      <w:pPr>
        <w:ind w:left="420" w:hanging="420"/>
      </w:pPr>
      <w:rPr>
        <w:rFonts w:ascii="Wingdings" w:hAnsi="Wingdings" w:hint="default"/>
      </w:rPr>
    </w:lvl>
  </w:abstractNum>
  <w:abstractNum w:abstractNumId="11">
    <w:nsid w:val="7F7F48C5"/>
    <w:multiLevelType w:val="singleLevel"/>
    <w:tmpl w:val="7F7F48C5"/>
    <w:lvl w:ilvl="0">
      <w:start w:val="1"/>
      <w:numFmt w:val="decimal"/>
      <w:suff w:val="nothing"/>
      <w:lvlText w:val="（%1）"/>
      <w:lvlJc w:val="left"/>
    </w:lvl>
  </w:abstractNum>
  <w:num w:numId="1">
    <w:abstractNumId w:val="4"/>
  </w:num>
  <w:num w:numId="2">
    <w:abstractNumId w:val="3"/>
  </w:num>
  <w:num w:numId="3">
    <w:abstractNumId w:val="5"/>
  </w:num>
  <w:num w:numId="4">
    <w:abstractNumId w:val="9"/>
  </w:num>
  <w:num w:numId="5">
    <w:abstractNumId w:val="10"/>
  </w:num>
  <w:num w:numId="6">
    <w:abstractNumId w:val="11"/>
  </w:num>
  <w:num w:numId="7">
    <w:abstractNumId w:val="8"/>
  </w:num>
  <w:num w:numId="8">
    <w:abstractNumId w:val="1"/>
  </w:num>
  <w:num w:numId="9">
    <w:abstractNumId w:val="2"/>
  </w:num>
  <w:num w:numId="10">
    <w:abstractNumId w:val="0"/>
  </w:num>
  <w:num w:numId="11">
    <w:abstractNumId w:val="6"/>
  </w:num>
  <w:num w:numId="12">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4409"/>
    <w:rsid w:val="00007B85"/>
    <w:rsid w:val="000117CF"/>
    <w:rsid w:val="00012E11"/>
    <w:rsid w:val="00013C5A"/>
    <w:rsid w:val="00014327"/>
    <w:rsid w:val="00015560"/>
    <w:rsid w:val="00023804"/>
    <w:rsid w:val="000259A3"/>
    <w:rsid w:val="00025F7F"/>
    <w:rsid w:val="0002730D"/>
    <w:rsid w:val="00027E31"/>
    <w:rsid w:val="00030872"/>
    <w:rsid w:val="000343A5"/>
    <w:rsid w:val="00035175"/>
    <w:rsid w:val="00035D1E"/>
    <w:rsid w:val="00037AB2"/>
    <w:rsid w:val="000400B8"/>
    <w:rsid w:val="000405AF"/>
    <w:rsid w:val="000410F1"/>
    <w:rsid w:val="00041207"/>
    <w:rsid w:val="00041238"/>
    <w:rsid w:val="00041AED"/>
    <w:rsid w:val="0004234F"/>
    <w:rsid w:val="00042AA3"/>
    <w:rsid w:val="00043FC9"/>
    <w:rsid w:val="00044ACA"/>
    <w:rsid w:val="00047C9E"/>
    <w:rsid w:val="00050E8F"/>
    <w:rsid w:val="00051C61"/>
    <w:rsid w:val="00052FCE"/>
    <w:rsid w:val="000535E9"/>
    <w:rsid w:val="00053A5E"/>
    <w:rsid w:val="00057D9E"/>
    <w:rsid w:val="00062949"/>
    <w:rsid w:val="000647A7"/>
    <w:rsid w:val="00066022"/>
    <w:rsid w:val="00066DC2"/>
    <w:rsid w:val="00066FDA"/>
    <w:rsid w:val="00070389"/>
    <w:rsid w:val="000714D8"/>
    <w:rsid w:val="0007158E"/>
    <w:rsid w:val="00071F38"/>
    <w:rsid w:val="00072B31"/>
    <w:rsid w:val="0007427D"/>
    <w:rsid w:val="00074B9A"/>
    <w:rsid w:val="00074BB7"/>
    <w:rsid w:val="000769F6"/>
    <w:rsid w:val="000770DF"/>
    <w:rsid w:val="00077A69"/>
    <w:rsid w:val="0008172E"/>
    <w:rsid w:val="00084233"/>
    <w:rsid w:val="000868CE"/>
    <w:rsid w:val="00087892"/>
    <w:rsid w:val="00087F70"/>
    <w:rsid w:val="00091254"/>
    <w:rsid w:val="000921EB"/>
    <w:rsid w:val="00092756"/>
    <w:rsid w:val="00093FB7"/>
    <w:rsid w:val="0009416F"/>
    <w:rsid w:val="000A184C"/>
    <w:rsid w:val="000A33F0"/>
    <w:rsid w:val="000A402C"/>
    <w:rsid w:val="000A49D4"/>
    <w:rsid w:val="000A565D"/>
    <w:rsid w:val="000A63F4"/>
    <w:rsid w:val="000B06DC"/>
    <w:rsid w:val="000B1286"/>
    <w:rsid w:val="000B1C09"/>
    <w:rsid w:val="000B35F1"/>
    <w:rsid w:val="000B38B5"/>
    <w:rsid w:val="000B3D4F"/>
    <w:rsid w:val="000B5C61"/>
    <w:rsid w:val="000B5D49"/>
    <w:rsid w:val="000B6095"/>
    <w:rsid w:val="000B6C38"/>
    <w:rsid w:val="000B79AB"/>
    <w:rsid w:val="000C0778"/>
    <w:rsid w:val="000C107D"/>
    <w:rsid w:val="000C13B1"/>
    <w:rsid w:val="000C1D5A"/>
    <w:rsid w:val="000C21AB"/>
    <w:rsid w:val="000C641B"/>
    <w:rsid w:val="000C6538"/>
    <w:rsid w:val="000D00CE"/>
    <w:rsid w:val="000D09ED"/>
    <w:rsid w:val="000D144C"/>
    <w:rsid w:val="000D2A80"/>
    <w:rsid w:val="000D564F"/>
    <w:rsid w:val="000D5E72"/>
    <w:rsid w:val="000D636C"/>
    <w:rsid w:val="000D6464"/>
    <w:rsid w:val="000D7329"/>
    <w:rsid w:val="000D78B2"/>
    <w:rsid w:val="000E022A"/>
    <w:rsid w:val="000E07B5"/>
    <w:rsid w:val="000E1112"/>
    <w:rsid w:val="000E6D58"/>
    <w:rsid w:val="000E72D7"/>
    <w:rsid w:val="000F1BC9"/>
    <w:rsid w:val="000F1DF5"/>
    <w:rsid w:val="000F6345"/>
    <w:rsid w:val="000F646B"/>
    <w:rsid w:val="000F750E"/>
    <w:rsid w:val="000F75E8"/>
    <w:rsid w:val="000F7A12"/>
    <w:rsid w:val="00100624"/>
    <w:rsid w:val="001010DF"/>
    <w:rsid w:val="001026BF"/>
    <w:rsid w:val="00105108"/>
    <w:rsid w:val="00105728"/>
    <w:rsid w:val="00105944"/>
    <w:rsid w:val="00105EE3"/>
    <w:rsid w:val="00106412"/>
    <w:rsid w:val="00107CCA"/>
    <w:rsid w:val="00110637"/>
    <w:rsid w:val="00110D05"/>
    <w:rsid w:val="00110FD6"/>
    <w:rsid w:val="001125B5"/>
    <w:rsid w:val="0011281B"/>
    <w:rsid w:val="00112919"/>
    <w:rsid w:val="00112977"/>
    <w:rsid w:val="00113A52"/>
    <w:rsid w:val="00113A5C"/>
    <w:rsid w:val="00113AF1"/>
    <w:rsid w:val="00114489"/>
    <w:rsid w:val="001147F2"/>
    <w:rsid w:val="00114ACA"/>
    <w:rsid w:val="0011580C"/>
    <w:rsid w:val="001164D1"/>
    <w:rsid w:val="00116547"/>
    <w:rsid w:val="00117062"/>
    <w:rsid w:val="00117AC2"/>
    <w:rsid w:val="001206E4"/>
    <w:rsid w:val="00121962"/>
    <w:rsid w:val="00122027"/>
    <w:rsid w:val="001223E2"/>
    <w:rsid w:val="001234AA"/>
    <w:rsid w:val="0012363A"/>
    <w:rsid w:val="001239AD"/>
    <w:rsid w:val="00124CC2"/>
    <w:rsid w:val="001264E0"/>
    <w:rsid w:val="00126E8B"/>
    <w:rsid w:val="00127129"/>
    <w:rsid w:val="001306FB"/>
    <w:rsid w:val="00130D3D"/>
    <w:rsid w:val="00131B4E"/>
    <w:rsid w:val="00133834"/>
    <w:rsid w:val="001459A1"/>
    <w:rsid w:val="00146475"/>
    <w:rsid w:val="001465EB"/>
    <w:rsid w:val="00146E29"/>
    <w:rsid w:val="00147122"/>
    <w:rsid w:val="00151022"/>
    <w:rsid w:val="0015119F"/>
    <w:rsid w:val="0015178A"/>
    <w:rsid w:val="001517DA"/>
    <w:rsid w:val="001521E4"/>
    <w:rsid w:val="00152CC6"/>
    <w:rsid w:val="00153B8A"/>
    <w:rsid w:val="001541F5"/>
    <w:rsid w:val="001550E5"/>
    <w:rsid w:val="00156CC4"/>
    <w:rsid w:val="00160055"/>
    <w:rsid w:val="001601FC"/>
    <w:rsid w:val="00160B5C"/>
    <w:rsid w:val="00160FB7"/>
    <w:rsid w:val="00163306"/>
    <w:rsid w:val="001654AF"/>
    <w:rsid w:val="00165DCF"/>
    <w:rsid w:val="001666E1"/>
    <w:rsid w:val="00166FE0"/>
    <w:rsid w:val="00167730"/>
    <w:rsid w:val="001705C0"/>
    <w:rsid w:val="00170CAE"/>
    <w:rsid w:val="00172A27"/>
    <w:rsid w:val="00173C95"/>
    <w:rsid w:val="00174751"/>
    <w:rsid w:val="001748EA"/>
    <w:rsid w:val="001760EC"/>
    <w:rsid w:val="00177D5E"/>
    <w:rsid w:val="0018106A"/>
    <w:rsid w:val="00181482"/>
    <w:rsid w:val="001814EA"/>
    <w:rsid w:val="00182442"/>
    <w:rsid w:val="001836A4"/>
    <w:rsid w:val="00184A52"/>
    <w:rsid w:val="00186C92"/>
    <w:rsid w:val="001873F2"/>
    <w:rsid w:val="00187547"/>
    <w:rsid w:val="00191879"/>
    <w:rsid w:val="00192921"/>
    <w:rsid w:val="00193AC2"/>
    <w:rsid w:val="00194F97"/>
    <w:rsid w:val="001955FF"/>
    <w:rsid w:val="001958F4"/>
    <w:rsid w:val="001A10C3"/>
    <w:rsid w:val="001A14C0"/>
    <w:rsid w:val="001A14D4"/>
    <w:rsid w:val="001A18BD"/>
    <w:rsid w:val="001A1941"/>
    <w:rsid w:val="001A68F2"/>
    <w:rsid w:val="001B0500"/>
    <w:rsid w:val="001B0FCC"/>
    <w:rsid w:val="001B31D1"/>
    <w:rsid w:val="001B47AA"/>
    <w:rsid w:val="001B66AE"/>
    <w:rsid w:val="001C0E16"/>
    <w:rsid w:val="001C0FC7"/>
    <w:rsid w:val="001C12F6"/>
    <w:rsid w:val="001C2D00"/>
    <w:rsid w:val="001C3E92"/>
    <w:rsid w:val="001C422B"/>
    <w:rsid w:val="001C4622"/>
    <w:rsid w:val="001C5467"/>
    <w:rsid w:val="001C567C"/>
    <w:rsid w:val="001C5E86"/>
    <w:rsid w:val="001D04D6"/>
    <w:rsid w:val="001D3AE5"/>
    <w:rsid w:val="001D4479"/>
    <w:rsid w:val="001D449B"/>
    <w:rsid w:val="001D51D1"/>
    <w:rsid w:val="001D62A9"/>
    <w:rsid w:val="001D6BB1"/>
    <w:rsid w:val="001D6EFF"/>
    <w:rsid w:val="001D757B"/>
    <w:rsid w:val="001E02B4"/>
    <w:rsid w:val="001E146B"/>
    <w:rsid w:val="001E278E"/>
    <w:rsid w:val="001E2B59"/>
    <w:rsid w:val="001E3022"/>
    <w:rsid w:val="001E4C1A"/>
    <w:rsid w:val="001E4C68"/>
    <w:rsid w:val="001E4F86"/>
    <w:rsid w:val="001E5C5B"/>
    <w:rsid w:val="001E70E1"/>
    <w:rsid w:val="001E767B"/>
    <w:rsid w:val="001F066A"/>
    <w:rsid w:val="001F357A"/>
    <w:rsid w:val="001F459E"/>
    <w:rsid w:val="001F50EE"/>
    <w:rsid w:val="001F7408"/>
    <w:rsid w:val="001F778B"/>
    <w:rsid w:val="00201E82"/>
    <w:rsid w:val="0020256A"/>
    <w:rsid w:val="002025CF"/>
    <w:rsid w:val="00203B17"/>
    <w:rsid w:val="00205AEA"/>
    <w:rsid w:val="0020675D"/>
    <w:rsid w:val="0020700E"/>
    <w:rsid w:val="002115F6"/>
    <w:rsid w:val="00211BAB"/>
    <w:rsid w:val="00212C35"/>
    <w:rsid w:val="002139CC"/>
    <w:rsid w:val="00213F8E"/>
    <w:rsid w:val="00214CCA"/>
    <w:rsid w:val="00215AB5"/>
    <w:rsid w:val="00216BDA"/>
    <w:rsid w:val="00221D24"/>
    <w:rsid w:val="00223413"/>
    <w:rsid w:val="00223EA7"/>
    <w:rsid w:val="002255B4"/>
    <w:rsid w:val="0022674B"/>
    <w:rsid w:val="002267A7"/>
    <w:rsid w:val="00230D95"/>
    <w:rsid w:val="002311D0"/>
    <w:rsid w:val="00231EF6"/>
    <w:rsid w:val="00233646"/>
    <w:rsid w:val="00233E72"/>
    <w:rsid w:val="00233FD2"/>
    <w:rsid w:val="00234A0E"/>
    <w:rsid w:val="002367D2"/>
    <w:rsid w:val="00236CEF"/>
    <w:rsid w:val="00240213"/>
    <w:rsid w:val="00241BF1"/>
    <w:rsid w:val="002420E3"/>
    <w:rsid w:val="0024276F"/>
    <w:rsid w:val="002435A1"/>
    <w:rsid w:val="00244B6B"/>
    <w:rsid w:val="00244E24"/>
    <w:rsid w:val="00244FFE"/>
    <w:rsid w:val="00246AD2"/>
    <w:rsid w:val="00246B88"/>
    <w:rsid w:val="00250541"/>
    <w:rsid w:val="00252714"/>
    <w:rsid w:val="00255D12"/>
    <w:rsid w:val="00256110"/>
    <w:rsid w:val="00257963"/>
    <w:rsid w:val="00257CD4"/>
    <w:rsid w:val="00261F79"/>
    <w:rsid w:val="0026257E"/>
    <w:rsid w:val="00264386"/>
    <w:rsid w:val="0026600B"/>
    <w:rsid w:val="00267220"/>
    <w:rsid w:val="0027386F"/>
    <w:rsid w:val="002746D6"/>
    <w:rsid w:val="00274906"/>
    <w:rsid w:val="00274D1F"/>
    <w:rsid w:val="002758FB"/>
    <w:rsid w:val="00275B5D"/>
    <w:rsid w:val="002805DF"/>
    <w:rsid w:val="00280650"/>
    <w:rsid w:val="002816DD"/>
    <w:rsid w:val="00285A93"/>
    <w:rsid w:val="0029011E"/>
    <w:rsid w:val="002905EE"/>
    <w:rsid w:val="00290E23"/>
    <w:rsid w:val="002921DC"/>
    <w:rsid w:val="00292D0F"/>
    <w:rsid w:val="00293227"/>
    <w:rsid w:val="002945BB"/>
    <w:rsid w:val="00295225"/>
    <w:rsid w:val="0029629F"/>
    <w:rsid w:val="002970D7"/>
    <w:rsid w:val="00297198"/>
    <w:rsid w:val="002A00B7"/>
    <w:rsid w:val="002A0C63"/>
    <w:rsid w:val="002A1C12"/>
    <w:rsid w:val="002A48ED"/>
    <w:rsid w:val="002A5D00"/>
    <w:rsid w:val="002B0345"/>
    <w:rsid w:val="002B099F"/>
    <w:rsid w:val="002B41FC"/>
    <w:rsid w:val="002B49BC"/>
    <w:rsid w:val="002B61E5"/>
    <w:rsid w:val="002B71B4"/>
    <w:rsid w:val="002B72BC"/>
    <w:rsid w:val="002C0552"/>
    <w:rsid w:val="002C05B2"/>
    <w:rsid w:val="002C0DEA"/>
    <w:rsid w:val="002C160C"/>
    <w:rsid w:val="002C5F3F"/>
    <w:rsid w:val="002C6A8D"/>
    <w:rsid w:val="002C729D"/>
    <w:rsid w:val="002D01BD"/>
    <w:rsid w:val="002D0303"/>
    <w:rsid w:val="002D0B28"/>
    <w:rsid w:val="002D1340"/>
    <w:rsid w:val="002D4502"/>
    <w:rsid w:val="002D60C2"/>
    <w:rsid w:val="002E0DF7"/>
    <w:rsid w:val="002E183F"/>
    <w:rsid w:val="002E2238"/>
    <w:rsid w:val="002E2F72"/>
    <w:rsid w:val="002E3A13"/>
    <w:rsid w:val="002E5428"/>
    <w:rsid w:val="002E57D6"/>
    <w:rsid w:val="002E677C"/>
    <w:rsid w:val="002E776D"/>
    <w:rsid w:val="002F0E73"/>
    <w:rsid w:val="002F325A"/>
    <w:rsid w:val="002F3E2B"/>
    <w:rsid w:val="002F4210"/>
    <w:rsid w:val="002F50C6"/>
    <w:rsid w:val="002F770C"/>
    <w:rsid w:val="002F77A6"/>
    <w:rsid w:val="002F7B63"/>
    <w:rsid w:val="002F7E2E"/>
    <w:rsid w:val="00300441"/>
    <w:rsid w:val="003009F4"/>
    <w:rsid w:val="00301941"/>
    <w:rsid w:val="003025E4"/>
    <w:rsid w:val="00302948"/>
    <w:rsid w:val="0030355E"/>
    <w:rsid w:val="00304E48"/>
    <w:rsid w:val="0030606D"/>
    <w:rsid w:val="00310A06"/>
    <w:rsid w:val="00311663"/>
    <w:rsid w:val="0031243A"/>
    <w:rsid w:val="0031359D"/>
    <w:rsid w:val="00316867"/>
    <w:rsid w:val="00320185"/>
    <w:rsid w:val="003226E8"/>
    <w:rsid w:val="00323B22"/>
    <w:rsid w:val="00325B45"/>
    <w:rsid w:val="00327470"/>
    <w:rsid w:val="00327FF7"/>
    <w:rsid w:val="003372D2"/>
    <w:rsid w:val="00337666"/>
    <w:rsid w:val="0034156A"/>
    <w:rsid w:val="0034291A"/>
    <w:rsid w:val="00344A3D"/>
    <w:rsid w:val="0034628F"/>
    <w:rsid w:val="00347AA7"/>
    <w:rsid w:val="00350A59"/>
    <w:rsid w:val="00351EF1"/>
    <w:rsid w:val="003521F9"/>
    <w:rsid w:val="00352FB4"/>
    <w:rsid w:val="00353491"/>
    <w:rsid w:val="003537FC"/>
    <w:rsid w:val="00353CA0"/>
    <w:rsid w:val="00353F83"/>
    <w:rsid w:val="0035468C"/>
    <w:rsid w:val="00354943"/>
    <w:rsid w:val="00354A83"/>
    <w:rsid w:val="00355CE3"/>
    <w:rsid w:val="0035798A"/>
    <w:rsid w:val="00360252"/>
    <w:rsid w:val="00360577"/>
    <w:rsid w:val="00361DBD"/>
    <w:rsid w:val="003624BE"/>
    <w:rsid w:val="00362B7F"/>
    <w:rsid w:val="0036376B"/>
    <w:rsid w:val="003637AF"/>
    <w:rsid w:val="003637CE"/>
    <w:rsid w:val="0036384D"/>
    <w:rsid w:val="00366679"/>
    <w:rsid w:val="003702A0"/>
    <w:rsid w:val="00370D9E"/>
    <w:rsid w:val="00371C65"/>
    <w:rsid w:val="00374ACB"/>
    <w:rsid w:val="00375BE2"/>
    <w:rsid w:val="003772EF"/>
    <w:rsid w:val="0037762A"/>
    <w:rsid w:val="003776A3"/>
    <w:rsid w:val="00377CA2"/>
    <w:rsid w:val="00377D03"/>
    <w:rsid w:val="00380531"/>
    <w:rsid w:val="003819B8"/>
    <w:rsid w:val="00382002"/>
    <w:rsid w:val="00382BF1"/>
    <w:rsid w:val="003850D0"/>
    <w:rsid w:val="003875EE"/>
    <w:rsid w:val="0038761B"/>
    <w:rsid w:val="003919BC"/>
    <w:rsid w:val="003931DC"/>
    <w:rsid w:val="003955E2"/>
    <w:rsid w:val="00396088"/>
    <w:rsid w:val="0039748A"/>
    <w:rsid w:val="00397C86"/>
    <w:rsid w:val="003A0AED"/>
    <w:rsid w:val="003A30B5"/>
    <w:rsid w:val="003A4338"/>
    <w:rsid w:val="003A4FAE"/>
    <w:rsid w:val="003A54E6"/>
    <w:rsid w:val="003A5FFE"/>
    <w:rsid w:val="003A661F"/>
    <w:rsid w:val="003A718A"/>
    <w:rsid w:val="003A7A2D"/>
    <w:rsid w:val="003B175C"/>
    <w:rsid w:val="003B27B4"/>
    <w:rsid w:val="003B2A16"/>
    <w:rsid w:val="003B3127"/>
    <w:rsid w:val="003B489F"/>
    <w:rsid w:val="003B6D1E"/>
    <w:rsid w:val="003B6F16"/>
    <w:rsid w:val="003B73FF"/>
    <w:rsid w:val="003C119F"/>
    <w:rsid w:val="003C1C24"/>
    <w:rsid w:val="003C4382"/>
    <w:rsid w:val="003C49DD"/>
    <w:rsid w:val="003C550F"/>
    <w:rsid w:val="003C5FB5"/>
    <w:rsid w:val="003C67B5"/>
    <w:rsid w:val="003C7FC8"/>
    <w:rsid w:val="003D0F8D"/>
    <w:rsid w:val="003D1D6E"/>
    <w:rsid w:val="003D31B2"/>
    <w:rsid w:val="003D4D4D"/>
    <w:rsid w:val="003D5FB0"/>
    <w:rsid w:val="003D606B"/>
    <w:rsid w:val="003D63D8"/>
    <w:rsid w:val="003D6453"/>
    <w:rsid w:val="003E03AD"/>
    <w:rsid w:val="003E21C6"/>
    <w:rsid w:val="003E3578"/>
    <w:rsid w:val="003E3AEC"/>
    <w:rsid w:val="003E4700"/>
    <w:rsid w:val="003E474F"/>
    <w:rsid w:val="003E5042"/>
    <w:rsid w:val="003E579F"/>
    <w:rsid w:val="003F124D"/>
    <w:rsid w:val="003F2123"/>
    <w:rsid w:val="003F3B21"/>
    <w:rsid w:val="003F4D50"/>
    <w:rsid w:val="003F4F83"/>
    <w:rsid w:val="003F7497"/>
    <w:rsid w:val="003F7D42"/>
    <w:rsid w:val="003F7D55"/>
    <w:rsid w:val="00400934"/>
    <w:rsid w:val="00400EC6"/>
    <w:rsid w:val="00403479"/>
    <w:rsid w:val="00403547"/>
    <w:rsid w:val="004036CC"/>
    <w:rsid w:val="0040430E"/>
    <w:rsid w:val="00404D00"/>
    <w:rsid w:val="0040769F"/>
    <w:rsid w:val="0041031B"/>
    <w:rsid w:val="0041228B"/>
    <w:rsid w:val="00412C66"/>
    <w:rsid w:val="00413174"/>
    <w:rsid w:val="0041320D"/>
    <w:rsid w:val="0041455B"/>
    <w:rsid w:val="00414602"/>
    <w:rsid w:val="004159D8"/>
    <w:rsid w:val="00416F20"/>
    <w:rsid w:val="004200C4"/>
    <w:rsid w:val="0042011A"/>
    <w:rsid w:val="00422399"/>
    <w:rsid w:val="00423DE8"/>
    <w:rsid w:val="0042451E"/>
    <w:rsid w:val="00424688"/>
    <w:rsid w:val="0042562F"/>
    <w:rsid w:val="004274CB"/>
    <w:rsid w:val="00427C57"/>
    <w:rsid w:val="0043054A"/>
    <w:rsid w:val="00431168"/>
    <w:rsid w:val="00432283"/>
    <w:rsid w:val="00432ECA"/>
    <w:rsid w:val="00437997"/>
    <w:rsid w:val="0044165A"/>
    <w:rsid w:val="0044281E"/>
    <w:rsid w:val="004432CC"/>
    <w:rsid w:val="0045096D"/>
    <w:rsid w:val="0045101E"/>
    <w:rsid w:val="00452440"/>
    <w:rsid w:val="00453059"/>
    <w:rsid w:val="004539D9"/>
    <w:rsid w:val="00453D42"/>
    <w:rsid w:val="0045419E"/>
    <w:rsid w:val="004552C2"/>
    <w:rsid w:val="00457B7E"/>
    <w:rsid w:val="004618B4"/>
    <w:rsid w:val="004619DE"/>
    <w:rsid w:val="00462B14"/>
    <w:rsid w:val="00466764"/>
    <w:rsid w:val="00466B27"/>
    <w:rsid w:val="00467BDF"/>
    <w:rsid w:val="0047193A"/>
    <w:rsid w:val="004760A5"/>
    <w:rsid w:val="004765ED"/>
    <w:rsid w:val="004768CE"/>
    <w:rsid w:val="00480B5E"/>
    <w:rsid w:val="00480C81"/>
    <w:rsid w:val="00480E76"/>
    <w:rsid w:val="00482FA5"/>
    <w:rsid w:val="004859C9"/>
    <w:rsid w:val="0048692A"/>
    <w:rsid w:val="00486B2F"/>
    <w:rsid w:val="004870B2"/>
    <w:rsid w:val="00491895"/>
    <w:rsid w:val="00492043"/>
    <w:rsid w:val="0049254D"/>
    <w:rsid w:val="00493E77"/>
    <w:rsid w:val="00494BBB"/>
    <w:rsid w:val="00496871"/>
    <w:rsid w:val="004970F1"/>
    <w:rsid w:val="00497908"/>
    <w:rsid w:val="00497C48"/>
    <w:rsid w:val="00497EE8"/>
    <w:rsid w:val="004A04EF"/>
    <w:rsid w:val="004A1FF8"/>
    <w:rsid w:val="004A241E"/>
    <w:rsid w:val="004A44A7"/>
    <w:rsid w:val="004A5895"/>
    <w:rsid w:val="004A59C0"/>
    <w:rsid w:val="004A6892"/>
    <w:rsid w:val="004A6BD2"/>
    <w:rsid w:val="004B129F"/>
    <w:rsid w:val="004B2660"/>
    <w:rsid w:val="004B28BA"/>
    <w:rsid w:val="004B56BB"/>
    <w:rsid w:val="004B5F7C"/>
    <w:rsid w:val="004B695E"/>
    <w:rsid w:val="004B6A6E"/>
    <w:rsid w:val="004B6EE0"/>
    <w:rsid w:val="004B7FB0"/>
    <w:rsid w:val="004C006C"/>
    <w:rsid w:val="004C054B"/>
    <w:rsid w:val="004C30A6"/>
    <w:rsid w:val="004C318C"/>
    <w:rsid w:val="004C3CC3"/>
    <w:rsid w:val="004C449E"/>
    <w:rsid w:val="004C65EB"/>
    <w:rsid w:val="004D0479"/>
    <w:rsid w:val="004D0645"/>
    <w:rsid w:val="004D25A4"/>
    <w:rsid w:val="004D2FBE"/>
    <w:rsid w:val="004D3C99"/>
    <w:rsid w:val="004D4D86"/>
    <w:rsid w:val="004D5387"/>
    <w:rsid w:val="004D59A9"/>
    <w:rsid w:val="004D6D3B"/>
    <w:rsid w:val="004E07BA"/>
    <w:rsid w:val="004E2545"/>
    <w:rsid w:val="004E2BD3"/>
    <w:rsid w:val="004E3683"/>
    <w:rsid w:val="004E3A2F"/>
    <w:rsid w:val="004F14D3"/>
    <w:rsid w:val="004F1C42"/>
    <w:rsid w:val="004F3AC6"/>
    <w:rsid w:val="004F3B4F"/>
    <w:rsid w:val="004F4357"/>
    <w:rsid w:val="004F45FF"/>
    <w:rsid w:val="005001A3"/>
    <w:rsid w:val="0050052D"/>
    <w:rsid w:val="00500EBB"/>
    <w:rsid w:val="00503A5C"/>
    <w:rsid w:val="00503CBF"/>
    <w:rsid w:val="00504EF6"/>
    <w:rsid w:val="00506AD1"/>
    <w:rsid w:val="00507748"/>
    <w:rsid w:val="0051053E"/>
    <w:rsid w:val="005117FA"/>
    <w:rsid w:val="005132DC"/>
    <w:rsid w:val="0051358D"/>
    <w:rsid w:val="00513C13"/>
    <w:rsid w:val="00514553"/>
    <w:rsid w:val="00515742"/>
    <w:rsid w:val="00515CE4"/>
    <w:rsid w:val="00516000"/>
    <w:rsid w:val="00517D62"/>
    <w:rsid w:val="0052139E"/>
    <w:rsid w:val="00521878"/>
    <w:rsid w:val="0052492E"/>
    <w:rsid w:val="00524ED9"/>
    <w:rsid w:val="00526CA1"/>
    <w:rsid w:val="00527753"/>
    <w:rsid w:val="005277A2"/>
    <w:rsid w:val="005302F5"/>
    <w:rsid w:val="00530718"/>
    <w:rsid w:val="00530BC2"/>
    <w:rsid w:val="005311F7"/>
    <w:rsid w:val="00531434"/>
    <w:rsid w:val="00531C9B"/>
    <w:rsid w:val="00536909"/>
    <w:rsid w:val="00540056"/>
    <w:rsid w:val="00540322"/>
    <w:rsid w:val="00540483"/>
    <w:rsid w:val="005428B5"/>
    <w:rsid w:val="00542A08"/>
    <w:rsid w:val="00543D29"/>
    <w:rsid w:val="0054594F"/>
    <w:rsid w:val="00545BE3"/>
    <w:rsid w:val="00546596"/>
    <w:rsid w:val="0054675E"/>
    <w:rsid w:val="00547A46"/>
    <w:rsid w:val="005511D3"/>
    <w:rsid w:val="005512F7"/>
    <w:rsid w:val="00551E9F"/>
    <w:rsid w:val="00552395"/>
    <w:rsid w:val="00552D50"/>
    <w:rsid w:val="005560DC"/>
    <w:rsid w:val="00556AF3"/>
    <w:rsid w:val="00560135"/>
    <w:rsid w:val="00560F1E"/>
    <w:rsid w:val="0056446E"/>
    <w:rsid w:val="0056479F"/>
    <w:rsid w:val="00570E15"/>
    <w:rsid w:val="00573E51"/>
    <w:rsid w:val="005740E0"/>
    <w:rsid w:val="00574DF0"/>
    <w:rsid w:val="00574EB7"/>
    <w:rsid w:val="00575266"/>
    <w:rsid w:val="00575F6A"/>
    <w:rsid w:val="005769FC"/>
    <w:rsid w:val="00580D99"/>
    <w:rsid w:val="00581712"/>
    <w:rsid w:val="005877E3"/>
    <w:rsid w:val="0058799B"/>
    <w:rsid w:val="0059015D"/>
    <w:rsid w:val="005902D6"/>
    <w:rsid w:val="00591A71"/>
    <w:rsid w:val="00592087"/>
    <w:rsid w:val="005921B8"/>
    <w:rsid w:val="0059279E"/>
    <w:rsid w:val="0059331C"/>
    <w:rsid w:val="00594353"/>
    <w:rsid w:val="0059435D"/>
    <w:rsid w:val="0059469C"/>
    <w:rsid w:val="0059476B"/>
    <w:rsid w:val="005949A8"/>
    <w:rsid w:val="00596885"/>
    <w:rsid w:val="00596E1E"/>
    <w:rsid w:val="005A0079"/>
    <w:rsid w:val="005A3654"/>
    <w:rsid w:val="005A6834"/>
    <w:rsid w:val="005A68FF"/>
    <w:rsid w:val="005A7311"/>
    <w:rsid w:val="005A7D7F"/>
    <w:rsid w:val="005B4AE0"/>
    <w:rsid w:val="005B4C0E"/>
    <w:rsid w:val="005B6517"/>
    <w:rsid w:val="005C026B"/>
    <w:rsid w:val="005C1832"/>
    <w:rsid w:val="005C241B"/>
    <w:rsid w:val="005C310D"/>
    <w:rsid w:val="005C386E"/>
    <w:rsid w:val="005C419D"/>
    <w:rsid w:val="005C5A30"/>
    <w:rsid w:val="005C72F7"/>
    <w:rsid w:val="005D1D6D"/>
    <w:rsid w:val="005D2178"/>
    <w:rsid w:val="005D48CE"/>
    <w:rsid w:val="005D4FB4"/>
    <w:rsid w:val="005D5B37"/>
    <w:rsid w:val="005D6684"/>
    <w:rsid w:val="005E18A2"/>
    <w:rsid w:val="005E2BFF"/>
    <w:rsid w:val="005E42B6"/>
    <w:rsid w:val="005F0F45"/>
    <w:rsid w:val="005F17C9"/>
    <w:rsid w:val="005F1907"/>
    <w:rsid w:val="005F1925"/>
    <w:rsid w:val="005F1D4C"/>
    <w:rsid w:val="005F32A4"/>
    <w:rsid w:val="005F5774"/>
    <w:rsid w:val="005F5B4C"/>
    <w:rsid w:val="005F6416"/>
    <w:rsid w:val="00600700"/>
    <w:rsid w:val="00600F9B"/>
    <w:rsid w:val="006015A1"/>
    <w:rsid w:val="00601EE5"/>
    <w:rsid w:val="00602F8F"/>
    <w:rsid w:val="00603919"/>
    <w:rsid w:val="00604394"/>
    <w:rsid w:val="006067CE"/>
    <w:rsid w:val="006109C1"/>
    <w:rsid w:val="00610DC7"/>
    <w:rsid w:val="00611AD3"/>
    <w:rsid w:val="0061303E"/>
    <w:rsid w:val="00613444"/>
    <w:rsid w:val="00614492"/>
    <w:rsid w:val="00614891"/>
    <w:rsid w:val="006179F1"/>
    <w:rsid w:val="00617B0E"/>
    <w:rsid w:val="00622203"/>
    <w:rsid w:val="00622272"/>
    <w:rsid w:val="00632EE5"/>
    <w:rsid w:val="00640E3B"/>
    <w:rsid w:val="00642D25"/>
    <w:rsid w:val="0064443D"/>
    <w:rsid w:val="00644497"/>
    <w:rsid w:val="00644F52"/>
    <w:rsid w:val="006456CB"/>
    <w:rsid w:val="00645735"/>
    <w:rsid w:val="0064683C"/>
    <w:rsid w:val="00650AFB"/>
    <w:rsid w:val="006516D6"/>
    <w:rsid w:val="00652549"/>
    <w:rsid w:val="00652C5F"/>
    <w:rsid w:val="00652E45"/>
    <w:rsid w:val="00652EBD"/>
    <w:rsid w:val="00653DD7"/>
    <w:rsid w:val="006566EC"/>
    <w:rsid w:val="00656B46"/>
    <w:rsid w:val="00663788"/>
    <w:rsid w:val="00663D38"/>
    <w:rsid w:val="00665215"/>
    <w:rsid w:val="00666130"/>
    <w:rsid w:val="0066689A"/>
    <w:rsid w:val="00667408"/>
    <w:rsid w:val="006675B8"/>
    <w:rsid w:val="00670C3A"/>
    <w:rsid w:val="0067132F"/>
    <w:rsid w:val="006716C6"/>
    <w:rsid w:val="00671EA5"/>
    <w:rsid w:val="0067216D"/>
    <w:rsid w:val="006725B7"/>
    <w:rsid w:val="0067421A"/>
    <w:rsid w:val="00674E41"/>
    <w:rsid w:val="00675155"/>
    <w:rsid w:val="00676887"/>
    <w:rsid w:val="006808B9"/>
    <w:rsid w:val="0068090B"/>
    <w:rsid w:val="00680DB0"/>
    <w:rsid w:val="00681995"/>
    <w:rsid w:val="006821AD"/>
    <w:rsid w:val="00684032"/>
    <w:rsid w:val="00684696"/>
    <w:rsid w:val="00686982"/>
    <w:rsid w:val="00686D66"/>
    <w:rsid w:val="0068754E"/>
    <w:rsid w:val="006904AE"/>
    <w:rsid w:val="00691B74"/>
    <w:rsid w:val="006924F7"/>
    <w:rsid w:val="00696938"/>
    <w:rsid w:val="006973FA"/>
    <w:rsid w:val="00697B81"/>
    <w:rsid w:val="00697EE6"/>
    <w:rsid w:val="006A08B1"/>
    <w:rsid w:val="006A0AB1"/>
    <w:rsid w:val="006A1BC7"/>
    <w:rsid w:val="006A1C8F"/>
    <w:rsid w:val="006A2C18"/>
    <w:rsid w:val="006A5528"/>
    <w:rsid w:val="006A72C6"/>
    <w:rsid w:val="006A7D0B"/>
    <w:rsid w:val="006B058C"/>
    <w:rsid w:val="006B1B92"/>
    <w:rsid w:val="006B4961"/>
    <w:rsid w:val="006B6041"/>
    <w:rsid w:val="006B7BF1"/>
    <w:rsid w:val="006C0C12"/>
    <w:rsid w:val="006C46BB"/>
    <w:rsid w:val="006C4F28"/>
    <w:rsid w:val="006C5571"/>
    <w:rsid w:val="006C5D99"/>
    <w:rsid w:val="006C6D4E"/>
    <w:rsid w:val="006C7835"/>
    <w:rsid w:val="006D111D"/>
    <w:rsid w:val="006D122A"/>
    <w:rsid w:val="006D2DE3"/>
    <w:rsid w:val="006D3E00"/>
    <w:rsid w:val="006D5E7E"/>
    <w:rsid w:val="006D67E8"/>
    <w:rsid w:val="006E27FD"/>
    <w:rsid w:val="006E6C75"/>
    <w:rsid w:val="006E7057"/>
    <w:rsid w:val="006E7CC0"/>
    <w:rsid w:val="006F0783"/>
    <w:rsid w:val="006F07B1"/>
    <w:rsid w:val="006F0FDD"/>
    <w:rsid w:val="006F1827"/>
    <w:rsid w:val="006F1923"/>
    <w:rsid w:val="006F1E00"/>
    <w:rsid w:val="006F2797"/>
    <w:rsid w:val="006F3BDD"/>
    <w:rsid w:val="006F4261"/>
    <w:rsid w:val="006F4570"/>
    <w:rsid w:val="006F50C6"/>
    <w:rsid w:val="007001E3"/>
    <w:rsid w:val="007018A9"/>
    <w:rsid w:val="00702EE2"/>
    <w:rsid w:val="00703317"/>
    <w:rsid w:val="00704E50"/>
    <w:rsid w:val="007060C7"/>
    <w:rsid w:val="00706F91"/>
    <w:rsid w:val="00707132"/>
    <w:rsid w:val="00710193"/>
    <w:rsid w:val="0071019B"/>
    <w:rsid w:val="00713436"/>
    <w:rsid w:val="00714594"/>
    <w:rsid w:val="00714E37"/>
    <w:rsid w:val="00715AC4"/>
    <w:rsid w:val="00716C89"/>
    <w:rsid w:val="007178C5"/>
    <w:rsid w:val="0072135C"/>
    <w:rsid w:val="00722CC5"/>
    <w:rsid w:val="00723F7E"/>
    <w:rsid w:val="00723FAE"/>
    <w:rsid w:val="00724D95"/>
    <w:rsid w:val="00724E9F"/>
    <w:rsid w:val="00727A1D"/>
    <w:rsid w:val="007318BD"/>
    <w:rsid w:val="0073370F"/>
    <w:rsid w:val="00733C06"/>
    <w:rsid w:val="00734CAF"/>
    <w:rsid w:val="00735C31"/>
    <w:rsid w:val="0073618E"/>
    <w:rsid w:val="007371C5"/>
    <w:rsid w:val="00740D25"/>
    <w:rsid w:val="007416CB"/>
    <w:rsid w:val="007420B7"/>
    <w:rsid w:val="00743B25"/>
    <w:rsid w:val="007458A7"/>
    <w:rsid w:val="007462F2"/>
    <w:rsid w:val="007464CE"/>
    <w:rsid w:val="00746859"/>
    <w:rsid w:val="00746DF5"/>
    <w:rsid w:val="00747A4A"/>
    <w:rsid w:val="00747D27"/>
    <w:rsid w:val="007501D8"/>
    <w:rsid w:val="007527FA"/>
    <w:rsid w:val="0075321E"/>
    <w:rsid w:val="007533F9"/>
    <w:rsid w:val="0075472F"/>
    <w:rsid w:val="00754CF2"/>
    <w:rsid w:val="007551AB"/>
    <w:rsid w:val="00757B72"/>
    <w:rsid w:val="0076138D"/>
    <w:rsid w:val="00761D31"/>
    <w:rsid w:val="00762765"/>
    <w:rsid w:val="00762B65"/>
    <w:rsid w:val="00762D23"/>
    <w:rsid w:val="00763B2E"/>
    <w:rsid w:val="00764198"/>
    <w:rsid w:val="0076467B"/>
    <w:rsid w:val="00764DC9"/>
    <w:rsid w:val="00764F2C"/>
    <w:rsid w:val="00764FD2"/>
    <w:rsid w:val="00766477"/>
    <w:rsid w:val="00766651"/>
    <w:rsid w:val="00767027"/>
    <w:rsid w:val="0077346A"/>
    <w:rsid w:val="00773627"/>
    <w:rsid w:val="00774FCE"/>
    <w:rsid w:val="007751E9"/>
    <w:rsid w:val="00776BBB"/>
    <w:rsid w:val="00780140"/>
    <w:rsid w:val="00782A58"/>
    <w:rsid w:val="00783749"/>
    <w:rsid w:val="00786AB2"/>
    <w:rsid w:val="007913C4"/>
    <w:rsid w:val="007913ED"/>
    <w:rsid w:val="00791750"/>
    <w:rsid w:val="00791D4B"/>
    <w:rsid w:val="00792011"/>
    <w:rsid w:val="00792D88"/>
    <w:rsid w:val="007951D2"/>
    <w:rsid w:val="00796304"/>
    <w:rsid w:val="007A0429"/>
    <w:rsid w:val="007A0451"/>
    <w:rsid w:val="007A048E"/>
    <w:rsid w:val="007A0943"/>
    <w:rsid w:val="007A4100"/>
    <w:rsid w:val="007A4FEC"/>
    <w:rsid w:val="007A70F0"/>
    <w:rsid w:val="007A7166"/>
    <w:rsid w:val="007A735A"/>
    <w:rsid w:val="007A74A3"/>
    <w:rsid w:val="007B28EA"/>
    <w:rsid w:val="007B420E"/>
    <w:rsid w:val="007B6E13"/>
    <w:rsid w:val="007B75A3"/>
    <w:rsid w:val="007B798F"/>
    <w:rsid w:val="007B7E2A"/>
    <w:rsid w:val="007C036B"/>
    <w:rsid w:val="007C19C1"/>
    <w:rsid w:val="007C349D"/>
    <w:rsid w:val="007C3E46"/>
    <w:rsid w:val="007C56FB"/>
    <w:rsid w:val="007C72EB"/>
    <w:rsid w:val="007C78C9"/>
    <w:rsid w:val="007C7C49"/>
    <w:rsid w:val="007C7D9B"/>
    <w:rsid w:val="007D1574"/>
    <w:rsid w:val="007D174D"/>
    <w:rsid w:val="007D18A9"/>
    <w:rsid w:val="007D1B43"/>
    <w:rsid w:val="007D2903"/>
    <w:rsid w:val="007D30EC"/>
    <w:rsid w:val="007D503A"/>
    <w:rsid w:val="007D5FA4"/>
    <w:rsid w:val="007D73CC"/>
    <w:rsid w:val="007D7AE3"/>
    <w:rsid w:val="007E0CFA"/>
    <w:rsid w:val="007E1E43"/>
    <w:rsid w:val="007E283D"/>
    <w:rsid w:val="007E2DB0"/>
    <w:rsid w:val="007E30C9"/>
    <w:rsid w:val="007E3521"/>
    <w:rsid w:val="007E48D9"/>
    <w:rsid w:val="007E53E8"/>
    <w:rsid w:val="007E6A46"/>
    <w:rsid w:val="007E6B1D"/>
    <w:rsid w:val="007F043B"/>
    <w:rsid w:val="007F273F"/>
    <w:rsid w:val="007F33AD"/>
    <w:rsid w:val="007F3805"/>
    <w:rsid w:val="007F4135"/>
    <w:rsid w:val="007F4A04"/>
    <w:rsid w:val="007F4BE4"/>
    <w:rsid w:val="007F5E9F"/>
    <w:rsid w:val="007F650A"/>
    <w:rsid w:val="007F6665"/>
    <w:rsid w:val="007F6E2E"/>
    <w:rsid w:val="007F7AC8"/>
    <w:rsid w:val="00800551"/>
    <w:rsid w:val="008013B9"/>
    <w:rsid w:val="00807377"/>
    <w:rsid w:val="00810223"/>
    <w:rsid w:val="00811B69"/>
    <w:rsid w:val="00811CAA"/>
    <w:rsid w:val="00812DB4"/>
    <w:rsid w:val="00813582"/>
    <w:rsid w:val="00813A9C"/>
    <w:rsid w:val="00813B62"/>
    <w:rsid w:val="00813BF8"/>
    <w:rsid w:val="00814BA5"/>
    <w:rsid w:val="0081551C"/>
    <w:rsid w:val="00815B15"/>
    <w:rsid w:val="0081774B"/>
    <w:rsid w:val="00821BDB"/>
    <w:rsid w:val="00821D8A"/>
    <w:rsid w:val="008227E7"/>
    <w:rsid w:val="00822A75"/>
    <w:rsid w:val="00824139"/>
    <w:rsid w:val="00825C33"/>
    <w:rsid w:val="00826927"/>
    <w:rsid w:val="00830A02"/>
    <w:rsid w:val="00830C9A"/>
    <w:rsid w:val="00832070"/>
    <w:rsid w:val="008323F5"/>
    <w:rsid w:val="00832451"/>
    <w:rsid w:val="0083383B"/>
    <w:rsid w:val="008341C1"/>
    <w:rsid w:val="008355C4"/>
    <w:rsid w:val="008356EB"/>
    <w:rsid w:val="00835B82"/>
    <w:rsid w:val="008403F4"/>
    <w:rsid w:val="00841A1B"/>
    <w:rsid w:val="008423F1"/>
    <w:rsid w:val="00843C5A"/>
    <w:rsid w:val="008467AA"/>
    <w:rsid w:val="0085043D"/>
    <w:rsid w:val="00852481"/>
    <w:rsid w:val="008531B9"/>
    <w:rsid w:val="008535FF"/>
    <w:rsid w:val="008542A6"/>
    <w:rsid w:val="00854597"/>
    <w:rsid w:val="008545F0"/>
    <w:rsid w:val="00854943"/>
    <w:rsid w:val="008563CD"/>
    <w:rsid w:val="008579AC"/>
    <w:rsid w:val="00864D38"/>
    <w:rsid w:val="008659E9"/>
    <w:rsid w:val="00866156"/>
    <w:rsid w:val="00867AE4"/>
    <w:rsid w:val="008701D4"/>
    <w:rsid w:val="008728D7"/>
    <w:rsid w:val="008732A8"/>
    <w:rsid w:val="00874BD5"/>
    <w:rsid w:val="00876AE1"/>
    <w:rsid w:val="00877EB5"/>
    <w:rsid w:val="00881362"/>
    <w:rsid w:val="00881FA2"/>
    <w:rsid w:val="008831A9"/>
    <w:rsid w:val="00883620"/>
    <w:rsid w:val="00885648"/>
    <w:rsid w:val="00885E4F"/>
    <w:rsid w:val="0088618B"/>
    <w:rsid w:val="00890AE7"/>
    <w:rsid w:val="008923A1"/>
    <w:rsid w:val="0089269E"/>
    <w:rsid w:val="008956F7"/>
    <w:rsid w:val="00895F08"/>
    <w:rsid w:val="008960DE"/>
    <w:rsid w:val="00896A96"/>
    <w:rsid w:val="00897961"/>
    <w:rsid w:val="008A06FA"/>
    <w:rsid w:val="008A11DA"/>
    <w:rsid w:val="008A174C"/>
    <w:rsid w:val="008A21E1"/>
    <w:rsid w:val="008A3AF5"/>
    <w:rsid w:val="008A3C1B"/>
    <w:rsid w:val="008A637A"/>
    <w:rsid w:val="008A74CD"/>
    <w:rsid w:val="008A78B6"/>
    <w:rsid w:val="008A7AC7"/>
    <w:rsid w:val="008B0B4F"/>
    <w:rsid w:val="008B0ED4"/>
    <w:rsid w:val="008B16B2"/>
    <w:rsid w:val="008B2C10"/>
    <w:rsid w:val="008B2EFE"/>
    <w:rsid w:val="008B4AF8"/>
    <w:rsid w:val="008B510E"/>
    <w:rsid w:val="008B78C6"/>
    <w:rsid w:val="008B7D86"/>
    <w:rsid w:val="008B7FBB"/>
    <w:rsid w:val="008C3032"/>
    <w:rsid w:val="008C3454"/>
    <w:rsid w:val="008C3CDA"/>
    <w:rsid w:val="008C3D80"/>
    <w:rsid w:val="008C4CF2"/>
    <w:rsid w:val="008C5CE5"/>
    <w:rsid w:val="008D0429"/>
    <w:rsid w:val="008D2129"/>
    <w:rsid w:val="008D42BD"/>
    <w:rsid w:val="008D43BA"/>
    <w:rsid w:val="008D4E7E"/>
    <w:rsid w:val="008D5EAB"/>
    <w:rsid w:val="008E0768"/>
    <w:rsid w:val="008E114C"/>
    <w:rsid w:val="008E268D"/>
    <w:rsid w:val="008E462A"/>
    <w:rsid w:val="008E5213"/>
    <w:rsid w:val="008E5891"/>
    <w:rsid w:val="008E6491"/>
    <w:rsid w:val="008F2626"/>
    <w:rsid w:val="008F3FDE"/>
    <w:rsid w:val="008F4BB1"/>
    <w:rsid w:val="008F55BE"/>
    <w:rsid w:val="008F58F5"/>
    <w:rsid w:val="008F61CD"/>
    <w:rsid w:val="008F6FDA"/>
    <w:rsid w:val="008F71C8"/>
    <w:rsid w:val="00900D18"/>
    <w:rsid w:val="00901757"/>
    <w:rsid w:val="00901F45"/>
    <w:rsid w:val="0091255C"/>
    <w:rsid w:val="00912955"/>
    <w:rsid w:val="00915024"/>
    <w:rsid w:val="00915F1C"/>
    <w:rsid w:val="009223A1"/>
    <w:rsid w:val="00922D8C"/>
    <w:rsid w:val="009235D9"/>
    <w:rsid w:val="009241D3"/>
    <w:rsid w:val="00926996"/>
    <w:rsid w:val="00926D8E"/>
    <w:rsid w:val="009300BA"/>
    <w:rsid w:val="00930C19"/>
    <w:rsid w:val="00931119"/>
    <w:rsid w:val="00931B02"/>
    <w:rsid w:val="00931BDF"/>
    <w:rsid w:val="009340D3"/>
    <w:rsid w:val="009343E8"/>
    <w:rsid w:val="00934BBB"/>
    <w:rsid w:val="00934EAF"/>
    <w:rsid w:val="0093513C"/>
    <w:rsid w:val="00935564"/>
    <w:rsid w:val="00936FA6"/>
    <w:rsid w:val="00937407"/>
    <w:rsid w:val="009415C6"/>
    <w:rsid w:val="00947A10"/>
    <w:rsid w:val="00947DB8"/>
    <w:rsid w:val="00951883"/>
    <w:rsid w:val="00952D47"/>
    <w:rsid w:val="009542EA"/>
    <w:rsid w:val="0095488F"/>
    <w:rsid w:val="00954A8E"/>
    <w:rsid w:val="00955040"/>
    <w:rsid w:val="00955F83"/>
    <w:rsid w:val="009569EB"/>
    <w:rsid w:val="009604DD"/>
    <w:rsid w:val="00960522"/>
    <w:rsid w:val="0096067E"/>
    <w:rsid w:val="00960EB6"/>
    <w:rsid w:val="0096183C"/>
    <w:rsid w:val="00962E59"/>
    <w:rsid w:val="0096340E"/>
    <w:rsid w:val="00963946"/>
    <w:rsid w:val="00964A9F"/>
    <w:rsid w:val="00966267"/>
    <w:rsid w:val="00971029"/>
    <w:rsid w:val="0097127D"/>
    <w:rsid w:val="00972801"/>
    <w:rsid w:val="009731A1"/>
    <w:rsid w:val="0097491B"/>
    <w:rsid w:val="00974FF5"/>
    <w:rsid w:val="00975848"/>
    <w:rsid w:val="009766C9"/>
    <w:rsid w:val="00976D1B"/>
    <w:rsid w:val="00977517"/>
    <w:rsid w:val="0098150E"/>
    <w:rsid w:val="0098367D"/>
    <w:rsid w:val="00983B70"/>
    <w:rsid w:val="00983D28"/>
    <w:rsid w:val="009864C6"/>
    <w:rsid w:val="00987562"/>
    <w:rsid w:val="00990175"/>
    <w:rsid w:val="00990D2A"/>
    <w:rsid w:val="00990D5E"/>
    <w:rsid w:val="009916CB"/>
    <w:rsid w:val="0099254B"/>
    <w:rsid w:val="00992CC6"/>
    <w:rsid w:val="00994973"/>
    <w:rsid w:val="009950BE"/>
    <w:rsid w:val="00996230"/>
    <w:rsid w:val="009963D6"/>
    <w:rsid w:val="00996541"/>
    <w:rsid w:val="0099753F"/>
    <w:rsid w:val="00997623"/>
    <w:rsid w:val="00997BAC"/>
    <w:rsid w:val="009A084C"/>
    <w:rsid w:val="009A25E6"/>
    <w:rsid w:val="009A3D2F"/>
    <w:rsid w:val="009A3EC5"/>
    <w:rsid w:val="009A4C60"/>
    <w:rsid w:val="009B02B0"/>
    <w:rsid w:val="009B0AAE"/>
    <w:rsid w:val="009B1FAD"/>
    <w:rsid w:val="009B22F2"/>
    <w:rsid w:val="009B2CC7"/>
    <w:rsid w:val="009B4434"/>
    <w:rsid w:val="009B589E"/>
    <w:rsid w:val="009C2C92"/>
    <w:rsid w:val="009C36F6"/>
    <w:rsid w:val="009C607E"/>
    <w:rsid w:val="009C635D"/>
    <w:rsid w:val="009C63E6"/>
    <w:rsid w:val="009C66A8"/>
    <w:rsid w:val="009C66D3"/>
    <w:rsid w:val="009C7280"/>
    <w:rsid w:val="009D1F60"/>
    <w:rsid w:val="009D3EF5"/>
    <w:rsid w:val="009D4CA7"/>
    <w:rsid w:val="009D5263"/>
    <w:rsid w:val="009D57B1"/>
    <w:rsid w:val="009D5920"/>
    <w:rsid w:val="009E0E87"/>
    <w:rsid w:val="009E1598"/>
    <w:rsid w:val="009E231E"/>
    <w:rsid w:val="009E2D4A"/>
    <w:rsid w:val="009E3518"/>
    <w:rsid w:val="009E5147"/>
    <w:rsid w:val="009F3B4C"/>
    <w:rsid w:val="009F4633"/>
    <w:rsid w:val="009F52C5"/>
    <w:rsid w:val="009F6CE0"/>
    <w:rsid w:val="00A00852"/>
    <w:rsid w:val="00A012F7"/>
    <w:rsid w:val="00A0159D"/>
    <w:rsid w:val="00A01EEE"/>
    <w:rsid w:val="00A021C4"/>
    <w:rsid w:val="00A03505"/>
    <w:rsid w:val="00A0358D"/>
    <w:rsid w:val="00A03DD4"/>
    <w:rsid w:val="00A0415F"/>
    <w:rsid w:val="00A055DB"/>
    <w:rsid w:val="00A05F0E"/>
    <w:rsid w:val="00A06255"/>
    <w:rsid w:val="00A06B1F"/>
    <w:rsid w:val="00A07012"/>
    <w:rsid w:val="00A0774E"/>
    <w:rsid w:val="00A07E4C"/>
    <w:rsid w:val="00A10255"/>
    <w:rsid w:val="00A1187E"/>
    <w:rsid w:val="00A11B12"/>
    <w:rsid w:val="00A13A0A"/>
    <w:rsid w:val="00A13C73"/>
    <w:rsid w:val="00A14BF2"/>
    <w:rsid w:val="00A1629B"/>
    <w:rsid w:val="00A16CA3"/>
    <w:rsid w:val="00A1758A"/>
    <w:rsid w:val="00A21F28"/>
    <w:rsid w:val="00A22D65"/>
    <w:rsid w:val="00A22FAA"/>
    <w:rsid w:val="00A30E42"/>
    <w:rsid w:val="00A31149"/>
    <w:rsid w:val="00A31DDF"/>
    <w:rsid w:val="00A32957"/>
    <w:rsid w:val="00A32D0F"/>
    <w:rsid w:val="00A36E6B"/>
    <w:rsid w:val="00A373BC"/>
    <w:rsid w:val="00A3775E"/>
    <w:rsid w:val="00A404C9"/>
    <w:rsid w:val="00A443E9"/>
    <w:rsid w:val="00A51B54"/>
    <w:rsid w:val="00A5453E"/>
    <w:rsid w:val="00A55188"/>
    <w:rsid w:val="00A566E1"/>
    <w:rsid w:val="00A56E09"/>
    <w:rsid w:val="00A61158"/>
    <w:rsid w:val="00A6284D"/>
    <w:rsid w:val="00A6314D"/>
    <w:rsid w:val="00A635C3"/>
    <w:rsid w:val="00A6604F"/>
    <w:rsid w:val="00A66248"/>
    <w:rsid w:val="00A66B89"/>
    <w:rsid w:val="00A66EAB"/>
    <w:rsid w:val="00A678FE"/>
    <w:rsid w:val="00A70492"/>
    <w:rsid w:val="00A71E82"/>
    <w:rsid w:val="00A7233E"/>
    <w:rsid w:val="00A73439"/>
    <w:rsid w:val="00A73960"/>
    <w:rsid w:val="00A74C47"/>
    <w:rsid w:val="00A77B3E"/>
    <w:rsid w:val="00A805F8"/>
    <w:rsid w:val="00A80D2B"/>
    <w:rsid w:val="00A82BA5"/>
    <w:rsid w:val="00A82D6A"/>
    <w:rsid w:val="00A83BF4"/>
    <w:rsid w:val="00A846E4"/>
    <w:rsid w:val="00A84966"/>
    <w:rsid w:val="00A910E7"/>
    <w:rsid w:val="00A94E29"/>
    <w:rsid w:val="00A95729"/>
    <w:rsid w:val="00A96395"/>
    <w:rsid w:val="00AA1282"/>
    <w:rsid w:val="00AA1A36"/>
    <w:rsid w:val="00AA2238"/>
    <w:rsid w:val="00AA25DA"/>
    <w:rsid w:val="00AA3160"/>
    <w:rsid w:val="00AA4670"/>
    <w:rsid w:val="00AA493B"/>
    <w:rsid w:val="00AB079C"/>
    <w:rsid w:val="00AB3FC3"/>
    <w:rsid w:val="00AB58DF"/>
    <w:rsid w:val="00AB6EAB"/>
    <w:rsid w:val="00AC0540"/>
    <w:rsid w:val="00AC0C39"/>
    <w:rsid w:val="00AC33CC"/>
    <w:rsid w:val="00AC345A"/>
    <w:rsid w:val="00AC4B03"/>
    <w:rsid w:val="00AC4B5C"/>
    <w:rsid w:val="00AC4C4C"/>
    <w:rsid w:val="00AC6F9D"/>
    <w:rsid w:val="00AC7373"/>
    <w:rsid w:val="00AC78A4"/>
    <w:rsid w:val="00AD01AF"/>
    <w:rsid w:val="00AD0326"/>
    <w:rsid w:val="00AD2218"/>
    <w:rsid w:val="00AD382E"/>
    <w:rsid w:val="00AD3C8D"/>
    <w:rsid w:val="00AD6F48"/>
    <w:rsid w:val="00AD71C8"/>
    <w:rsid w:val="00AD77D6"/>
    <w:rsid w:val="00AE04AE"/>
    <w:rsid w:val="00AE165B"/>
    <w:rsid w:val="00AE2C60"/>
    <w:rsid w:val="00AE32AB"/>
    <w:rsid w:val="00AE340E"/>
    <w:rsid w:val="00AE3F24"/>
    <w:rsid w:val="00AE3F91"/>
    <w:rsid w:val="00AE54F6"/>
    <w:rsid w:val="00AE5742"/>
    <w:rsid w:val="00AE588B"/>
    <w:rsid w:val="00AE5A45"/>
    <w:rsid w:val="00AE7E0F"/>
    <w:rsid w:val="00AF00F0"/>
    <w:rsid w:val="00AF2D30"/>
    <w:rsid w:val="00AF4FF3"/>
    <w:rsid w:val="00AF588F"/>
    <w:rsid w:val="00AF6C93"/>
    <w:rsid w:val="00B002F3"/>
    <w:rsid w:val="00B0065E"/>
    <w:rsid w:val="00B0160A"/>
    <w:rsid w:val="00B01F0A"/>
    <w:rsid w:val="00B02BB6"/>
    <w:rsid w:val="00B04762"/>
    <w:rsid w:val="00B04976"/>
    <w:rsid w:val="00B04FA9"/>
    <w:rsid w:val="00B06427"/>
    <w:rsid w:val="00B06CC5"/>
    <w:rsid w:val="00B11087"/>
    <w:rsid w:val="00B117B7"/>
    <w:rsid w:val="00B11C19"/>
    <w:rsid w:val="00B11E03"/>
    <w:rsid w:val="00B13A6C"/>
    <w:rsid w:val="00B13CAD"/>
    <w:rsid w:val="00B14C7F"/>
    <w:rsid w:val="00B15EB9"/>
    <w:rsid w:val="00B167DE"/>
    <w:rsid w:val="00B16817"/>
    <w:rsid w:val="00B17887"/>
    <w:rsid w:val="00B17931"/>
    <w:rsid w:val="00B22D06"/>
    <w:rsid w:val="00B24FAA"/>
    <w:rsid w:val="00B2539F"/>
    <w:rsid w:val="00B310E8"/>
    <w:rsid w:val="00B3144B"/>
    <w:rsid w:val="00B33309"/>
    <w:rsid w:val="00B353FA"/>
    <w:rsid w:val="00B367EA"/>
    <w:rsid w:val="00B36AA6"/>
    <w:rsid w:val="00B37C5B"/>
    <w:rsid w:val="00B40981"/>
    <w:rsid w:val="00B42857"/>
    <w:rsid w:val="00B42A87"/>
    <w:rsid w:val="00B432B5"/>
    <w:rsid w:val="00B43E6E"/>
    <w:rsid w:val="00B4422F"/>
    <w:rsid w:val="00B4468F"/>
    <w:rsid w:val="00B45673"/>
    <w:rsid w:val="00B500AC"/>
    <w:rsid w:val="00B52495"/>
    <w:rsid w:val="00B528E4"/>
    <w:rsid w:val="00B530D4"/>
    <w:rsid w:val="00B53F77"/>
    <w:rsid w:val="00B56675"/>
    <w:rsid w:val="00B56C48"/>
    <w:rsid w:val="00B5722F"/>
    <w:rsid w:val="00B57AD6"/>
    <w:rsid w:val="00B603B3"/>
    <w:rsid w:val="00B614AC"/>
    <w:rsid w:val="00B61CEF"/>
    <w:rsid w:val="00B61F48"/>
    <w:rsid w:val="00B626B0"/>
    <w:rsid w:val="00B641FD"/>
    <w:rsid w:val="00B6445E"/>
    <w:rsid w:val="00B66472"/>
    <w:rsid w:val="00B66CAB"/>
    <w:rsid w:val="00B67883"/>
    <w:rsid w:val="00B711A5"/>
    <w:rsid w:val="00B7554B"/>
    <w:rsid w:val="00B77648"/>
    <w:rsid w:val="00B77A18"/>
    <w:rsid w:val="00B80661"/>
    <w:rsid w:val="00B812E0"/>
    <w:rsid w:val="00B817DB"/>
    <w:rsid w:val="00B82A15"/>
    <w:rsid w:val="00B835CA"/>
    <w:rsid w:val="00B847FF"/>
    <w:rsid w:val="00B8502E"/>
    <w:rsid w:val="00B85D5B"/>
    <w:rsid w:val="00B868FD"/>
    <w:rsid w:val="00B87DF6"/>
    <w:rsid w:val="00B90828"/>
    <w:rsid w:val="00B936A9"/>
    <w:rsid w:val="00B9554B"/>
    <w:rsid w:val="00B97055"/>
    <w:rsid w:val="00BA21A2"/>
    <w:rsid w:val="00BA6416"/>
    <w:rsid w:val="00BA7DB7"/>
    <w:rsid w:val="00BB16AE"/>
    <w:rsid w:val="00BB51CA"/>
    <w:rsid w:val="00BB63FB"/>
    <w:rsid w:val="00BB776F"/>
    <w:rsid w:val="00BC1527"/>
    <w:rsid w:val="00BC37ED"/>
    <w:rsid w:val="00BC49B9"/>
    <w:rsid w:val="00BC49CB"/>
    <w:rsid w:val="00BC4EF0"/>
    <w:rsid w:val="00BC4F48"/>
    <w:rsid w:val="00BC51DC"/>
    <w:rsid w:val="00BC60EE"/>
    <w:rsid w:val="00BD05A0"/>
    <w:rsid w:val="00BD0DBE"/>
    <w:rsid w:val="00BD2169"/>
    <w:rsid w:val="00BD296B"/>
    <w:rsid w:val="00BD2D4E"/>
    <w:rsid w:val="00BD5498"/>
    <w:rsid w:val="00BD7483"/>
    <w:rsid w:val="00BD76A1"/>
    <w:rsid w:val="00BD7D0E"/>
    <w:rsid w:val="00BE0907"/>
    <w:rsid w:val="00BE500B"/>
    <w:rsid w:val="00BE58BA"/>
    <w:rsid w:val="00BE6FF3"/>
    <w:rsid w:val="00BE7DCB"/>
    <w:rsid w:val="00BF0758"/>
    <w:rsid w:val="00BF0811"/>
    <w:rsid w:val="00BF1386"/>
    <w:rsid w:val="00BF2548"/>
    <w:rsid w:val="00BF4B8F"/>
    <w:rsid w:val="00BF4BBB"/>
    <w:rsid w:val="00BF66DD"/>
    <w:rsid w:val="00BF795A"/>
    <w:rsid w:val="00BF7D35"/>
    <w:rsid w:val="00C00779"/>
    <w:rsid w:val="00C0149F"/>
    <w:rsid w:val="00C0313C"/>
    <w:rsid w:val="00C031A0"/>
    <w:rsid w:val="00C03D2F"/>
    <w:rsid w:val="00C03FEE"/>
    <w:rsid w:val="00C0454F"/>
    <w:rsid w:val="00C07F89"/>
    <w:rsid w:val="00C117E2"/>
    <w:rsid w:val="00C119A6"/>
    <w:rsid w:val="00C13C17"/>
    <w:rsid w:val="00C15B7D"/>
    <w:rsid w:val="00C16233"/>
    <w:rsid w:val="00C20A23"/>
    <w:rsid w:val="00C21111"/>
    <w:rsid w:val="00C217D1"/>
    <w:rsid w:val="00C27FEC"/>
    <w:rsid w:val="00C300CF"/>
    <w:rsid w:val="00C30E21"/>
    <w:rsid w:val="00C310B2"/>
    <w:rsid w:val="00C3200F"/>
    <w:rsid w:val="00C34E6B"/>
    <w:rsid w:val="00C355C7"/>
    <w:rsid w:val="00C3594C"/>
    <w:rsid w:val="00C3637F"/>
    <w:rsid w:val="00C36B3B"/>
    <w:rsid w:val="00C3737E"/>
    <w:rsid w:val="00C40F91"/>
    <w:rsid w:val="00C40FF3"/>
    <w:rsid w:val="00C417C6"/>
    <w:rsid w:val="00C43D93"/>
    <w:rsid w:val="00C45223"/>
    <w:rsid w:val="00C464CC"/>
    <w:rsid w:val="00C470E0"/>
    <w:rsid w:val="00C4746A"/>
    <w:rsid w:val="00C509B8"/>
    <w:rsid w:val="00C52345"/>
    <w:rsid w:val="00C5329B"/>
    <w:rsid w:val="00C541F6"/>
    <w:rsid w:val="00C548B6"/>
    <w:rsid w:val="00C5698D"/>
    <w:rsid w:val="00C56E03"/>
    <w:rsid w:val="00C5706D"/>
    <w:rsid w:val="00C5738D"/>
    <w:rsid w:val="00C57AE9"/>
    <w:rsid w:val="00C601CC"/>
    <w:rsid w:val="00C605E5"/>
    <w:rsid w:val="00C63230"/>
    <w:rsid w:val="00C6351C"/>
    <w:rsid w:val="00C640EA"/>
    <w:rsid w:val="00C656D8"/>
    <w:rsid w:val="00C65875"/>
    <w:rsid w:val="00C66260"/>
    <w:rsid w:val="00C6677A"/>
    <w:rsid w:val="00C70673"/>
    <w:rsid w:val="00C706F9"/>
    <w:rsid w:val="00C70C7E"/>
    <w:rsid w:val="00C70E2C"/>
    <w:rsid w:val="00C71726"/>
    <w:rsid w:val="00C71F25"/>
    <w:rsid w:val="00C7484E"/>
    <w:rsid w:val="00C75A6E"/>
    <w:rsid w:val="00C75FB1"/>
    <w:rsid w:val="00C7632B"/>
    <w:rsid w:val="00C76CEC"/>
    <w:rsid w:val="00C774CD"/>
    <w:rsid w:val="00C806C6"/>
    <w:rsid w:val="00C81CD5"/>
    <w:rsid w:val="00C825D9"/>
    <w:rsid w:val="00C837E5"/>
    <w:rsid w:val="00C8385D"/>
    <w:rsid w:val="00C869CE"/>
    <w:rsid w:val="00C909C1"/>
    <w:rsid w:val="00C92027"/>
    <w:rsid w:val="00C94C23"/>
    <w:rsid w:val="00C94E7A"/>
    <w:rsid w:val="00C95914"/>
    <w:rsid w:val="00C9619F"/>
    <w:rsid w:val="00C9790E"/>
    <w:rsid w:val="00C97B08"/>
    <w:rsid w:val="00C97D85"/>
    <w:rsid w:val="00CA0DFC"/>
    <w:rsid w:val="00CA1268"/>
    <w:rsid w:val="00CA18C9"/>
    <w:rsid w:val="00CA446C"/>
    <w:rsid w:val="00CA46FC"/>
    <w:rsid w:val="00CA725C"/>
    <w:rsid w:val="00CA74D8"/>
    <w:rsid w:val="00CB0070"/>
    <w:rsid w:val="00CB0102"/>
    <w:rsid w:val="00CB080F"/>
    <w:rsid w:val="00CB58FD"/>
    <w:rsid w:val="00CB5925"/>
    <w:rsid w:val="00CB66BB"/>
    <w:rsid w:val="00CB6767"/>
    <w:rsid w:val="00CB7157"/>
    <w:rsid w:val="00CB777F"/>
    <w:rsid w:val="00CC6077"/>
    <w:rsid w:val="00CD1AF8"/>
    <w:rsid w:val="00CD1B4C"/>
    <w:rsid w:val="00CD1B95"/>
    <w:rsid w:val="00CD505A"/>
    <w:rsid w:val="00CD5E80"/>
    <w:rsid w:val="00CD6154"/>
    <w:rsid w:val="00CD78A7"/>
    <w:rsid w:val="00CE0A0D"/>
    <w:rsid w:val="00CE2EA9"/>
    <w:rsid w:val="00CE370A"/>
    <w:rsid w:val="00CE4056"/>
    <w:rsid w:val="00CE49E6"/>
    <w:rsid w:val="00CE4F70"/>
    <w:rsid w:val="00CF167D"/>
    <w:rsid w:val="00CF21F6"/>
    <w:rsid w:val="00CF2E83"/>
    <w:rsid w:val="00CF382C"/>
    <w:rsid w:val="00CF4EA8"/>
    <w:rsid w:val="00CF65CF"/>
    <w:rsid w:val="00CF69C7"/>
    <w:rsid w:val="00CF75DD"/>
    <w:rsid w:val="00D00337"/>
    <w:rsid w:val="00D01242"/>
    <w:rsid w:val="00D0142C"/>
    <w:rsid w:val="00D017A1"/>
    <w:rsid w:val="00D0299D"/>
    <w:rsid w:val="00D05808"/>
    <w:rsid w:val="00D05E79"/>
    <w:rsid w:val="00D067F2"/>
    <w:rsid w:val="00D12199"/>
    <w:rsid w:val="00D13F96"/>
    <w:rsid w:val="00D14B8E"/>
    <w:rsid w:val="00D157FC"/>
    <w:rsid w:val="00D15E34"/>
    <w:rsid w:val="00D176E3"/>
    <w:rsid w:val="00D20885"/>
    <w:rsid w:val="00D20C25"/>
    <w:rsid w:val="00D20E2A"/>
    <w:rsid w:val="00D21986"/>
    <w:rsid w:val="00D22B69"/>
    <w:rsid w:val="00D23C42"/>
    <w:rsid w:val="00D25F48"/>
    <w:rsid w:val="00D26084"/>
    <w:rsid w:val="00D27A89"/>
    <w:rsid w:val="00D27B39"/>
    <w:rsid w:val="00D31106"/>
    <w:rsid w:val="00D32700"/>
    <w:rsid w:val="00D34AEE"/>
    <w:rsid w:val="00D354F0"/>
    <w:rsid w:val="00D36069"/>
    <w:rsid w:val="00D36EE6"/>
    <w:rsid w:val="00D40796"/>
    <w:rsid w:val="00D40903"/>
    <w:rsid w:val="00D40A4B"/>
    <w:rsid w:val="00D4115F"/>
    <w:rsid w:val="00D441A5"/>
    <w:rsid w:val="00D44AF4"/>
    <w:rsid w:val="00D517D5"/>
    <w:rsid w:val="00D530BF"/>
    <w:rsid w:val="00D547CC"/>
    <w:rsid w:val="00D556A2"/>
    <w:rsid w:val="00D55F02"/>
    <w:rsid w:val="00D6052D"/>
    <w:rsid w:val="00D6111B"/>
    <w:rsid w:val="00D61DCA"/>
    <w:rsid w:val="00D642A1"/>
    <w:rsid w:val="00D643AE"/>
    <w:rsid w:val="00D6462C"/>
    <w:rsid w:val="00D66CF0"/>
    <w:rsid w:val="00D674B3"/>
    <w:rsid w:val="00D70123"/>
    <w:rsid w:val="00D70EF5"/>
    <w:rsid w:val="00D72B01"/>
    <w:rsid w:val="00D72C63"/>
    <w:rsid w:val="00D752F4"/>
    <w:rsid w:val="00D7615F"/>
    <w:rsid w:val="00D77133"/>
    <w:rsid w:val="00D77A30"/>
    <w:rsid w:val="00D81FB1"/>
    <w:rsid w:val="00D82AD9"/>
    <w:rsid w:val="00D861AD"/>
    <w:rsid w:val="00D86626"/>
    <w:rsid w:val="00D907D9"/>
    <w:rsid w:val="00D918D2"/>
    <w:rsid w:val="00D919C3"/>
    <w:rsid w:val="00D9280E"/>
    <w:rsid w:val="00D93AAE"/>
    <w:rsid w:val="00D93BC5"/>
    <w:rsid w:val="00D93DFC"/>
    <w:rsid w:val="00D940A9"/>
    <w:rsid w:val="00D942DD"/>
    <w:rsid w:val="00DA0C72"/>
    <w:rsid w:val="00DA0FCD"/>
    <w:rsid w:val="00DA2420"/>
    <w:rsid w:val="00DA2442"/>
    <w:rsid w:val="00DA5850"/>
    <w:rsid w:val="00DA6BC7"/>
    <w:rsid w:val="00DA79ED"/>
    <w:rsid w:val="00DB0B04"/>
    <w:rsid w:val="00DB0F7D"/>
    <w:rsid w:val="00DB27C1"/>
    <w:rsid w:val="00DB2898"/>
    <w:rsid w:val="00DB3C4A"/>
    <w:rsid w:val="00DB5448"/>
    <w:rsid w:val="00DB5592"/>
    <w:rsid w:val="00DB5BC6"/>
    <w:rsid w:val="00DB5F04"/>
    <w:rsid w:val="00DC09D4"/>
    <w:rsid w:val="00DC11B9"/>
    <w:rsid w:val="00DC2446"/>
    <w:rsid w:val="00DC3B35"/>
    <w:rsid w:val="00DC4277"/>
    <w:rsid w:val="00DC5CB6"/>
    <w:rsid w:val="00DD026C"/>
    <w:rsid w:val="00DD02D6"/>
    <w:rsid w:val="00DD0803"/>
    <w:rsid w:val="00DD1D9B"/>
    <w:rsid w:val="00DD29FC"/>
    <w:rsid w:val="00DD4076"/>
    <w:rsid w:val="00DE2312"/>
    <w:rsid w:val="00DE2C08"/>
    <w:rsid w:val="00DE6997"/>
    <w:rsid w:val="00DE746C"/>
    <w:rsid w:val="00DE7C7A"/>
    <w:rsid w:val="00DF039B"/>
    <w:rsid w:val="00DF67FE"/>
    <w:rsid w:val="00DF6DFE"/>
    <w:rsid w:val="00DF6E18"/>
    <w:rsid w:val="00DF703C"/>
    <w:rsid w:val="00DF72CF"/>
    <w:rsid w:val="00E00513"/>
    <w:rsid w:val="00E00DCF"/>
    <w:rsid w:val="00E034F7"/>
    <w:rsid w:val="00E0413E"/>
    <w:rsid w:val="00E06AA3"/>
    <w:rsid w:val="00E0783A"/>
    <w:rsid w:val="00E10352"/>
    <w:rsid w:val="00E105B8"/>
    <w:rsid w:val="00E10CE0"/>
    <w:rsid w:val="00E10E35"/>
    <w:rsid w:val="00E12D13"/>
    <w:rsid w:val="00E12E96"/>
    <w:rsid w:val="00E139F0"/>
    <w:rsid w:val="00E140A3"/>
    <w:rsid w:val="00E20134"/>
    <w:rsid w:val="00E2058C"/>
    <w:rsid w:val="00E2156C"/>
    <w:rsid w:val="00E223C9"/>
    <w:rsid w:val="00E228EE"/>
    <w:rsid w:val="00E2476F"/>
    <w:rsid w:val="00E26F47"/>
    <w:rsid w:val="00E301D6"/>
    <w:rsid w:val="00E30BC2"/>
    <w:rsid w:val="00E30CCB"/>
    <w:rsid w:val="00E32DA9"/>
    <w:rsid w:val="00E33252"/>
    <w:rsid w:val="00E346D4"/>
    <w:rsid w:val="00E349E3"/>
    <w:rsid w:val="00E3583D"/>
    <w:rsid w:val="00E35BF4"/>
    <w:rsid w:val="00E35FFE"/>
    <w:rsid w:val="00E36E49"/>
    <w:rsid w:val="00E37500"/>
    <w:rsid w:val="00E37FCD"/>
    <w:rsid w:val="00E40172"/>
    <w:rsid w:val="00E401E9"/>
    <w:rsid w:val="00E40772"/>
    <w:rsid w:val="00E42CC1"/>
    <w:rsid w:val="00E5003E"/>
    <w:rsid w:val="00E5088E"/>
    <w:rsid w:val="00E518A3"/>
    <w:rsid w:val="00E52801"/>
    <w:rsid w:val="00E55C6F"/>
    <w:rsid w:val="00E6178A"/>
    <w:rsid w:val="00E62053"/>
    <w:rsid w:val="00E632BD"/>
    <w:rsid w:val="00E634A5"/>
    <w:rsid w:val="00E66025"/>
    <w:rsid w:val="00E66E01"/>
    <w:rsid w:val="00E7172A"/>
    <w:rsid w:val="00E7189F"/>
    <w:rsid w:val="00E73293"/>
    <w:rsid w:val="00E73620"/>
    <w:rsid w:val="00E74E32"/>
    <w:rsid w:val="00E754DE"/>
    <w:rsid w:val="00E7682F"/>
    <w:rsid w:val="00E76BC9"/>
    <w:rsid w:val="00E807E8"/>
    <w:rsid w:val="00E80A8F"/>
    <w:rsid w:val="00E80B9E"/>
    <w:rsid w:val="00E827B0"/>
    <w:rsid w:val="00E83346"/>
    <w:rsid w:val="00E83689"/>
    <w:rsid w:val="00E84A05"/>
    <w:rsid w:val="00E850BD"/>
    <w:rsid w:val="00E86017"/>
    <w:rsid w:val="00E86082"/>
    <w:rsid w:val="00E87B8A"/>
    <w:rsid w:val="00E90CB8"/>
    <w:rsid w:val="00E9127A"/>
    <w:rsid w:val="00E91379"/>
    <w:rsid w:val="00E92CC0"/>
    <w:rsid w:val="00E92E43"/>
    <w:rsid w:val="00E95123"/>
    <w:rsid w:val="00E95693"/>
    <w:rsid w:val="00E95878"/>
    <w:rsid w:val="00E96DD3"/>
    <w:rsid w:val="00EA1111"/>
    <w:rsid w:val="00EA123B"/>
    <w:rsid w:val="00EA1573"/>
    <w:rsid w:val="00EA2AE9"/>
    <w:rsid w:val="00EA42BE"/>
    <w:rsid w:val="00EA7104"/>
    <w:rsid w:val="00EA79E6"/>
    <w:rsid w:val="00EB0C0A"/>
    <w:rsid w:val="00EB0E71"/>
    <w:rsid w:val="00EB1C97"/>
    <w:rsid w:val="00EB24D7"/>
    <w:rsid w:val="00EB2F72"/>
    <w:rsid w:val="00EB38D0"/>
    <w:rsid w:val="00EB41D2"/>
    <w:rsid w:val="00EB6A1B"/>
    <w:rsid w:val="00EB771B"/>
    <w:rsid w:val="00EB7E96"/>
    <w:rsid w:val="00EC013A"/>
    <w:rsid w:val="00EC01FF"/>
    <w:rsid w:val="00EC0C9D"/>
    <w:rsid w:val="00EC0CED"/>
    <w:rsid w:val="00EC1426"/>
    <w:rsid w:val="00EC23DA"/>
    <w:rsid w:val="00EC2CAE"/>
    <w:rsid w:val="00EC2E4B"/>
    <w:rsid w:val="00EC45FA"/>
    <w:rsid w:val="00EC493B"/>
    <w:rsid w:val="00EC5DD1"/>
    <w:rsid w:val="00ED10A4"/>
    <w:rsid w:val="00ED2D44"/>
    <w:rsid w:val="00ED327A"/>
    <w:rsid w:val="00ED3D7D"/>
    <w:rsid w:val="00ED453F"/>
    <w:rsid w:val="00ED4E3B"/>
    <w:rsid w:val="00ED643F"/>
    <w:rsid w:val="00ED6B45"/>
    <w:rsid w:val="00EE2725"/>
    <w:rsid w:val="00EE2DE2"/>
    <w:rsid w:val="00EE315A"/>
    <w:rsid w:val="00EE3389"/>
    <w:rsid w:val="00EE5177"/>
    <w:rsid w:val="00EE6139"/>
    <w:rsid w:val="00EE6266"/>
    <w:rsid w:val="00EE73FB"/>
    <w:rsid w:val="00EF08F6"/>
    <w:rsid w:val="00EF20BF"/>
    <w:rsid w:val="00EF239C"/>
    <w:rsid w:val="00EF5E1A"/>
    <w:rsid w:val="00F0002B"/>
    <w:rsid w:val="00F01E99"/>
    <w:rsid w:val="00F028B2"/>
    <w:rsid w:val="00F03E21"/>
    <w:rsid w:val="00F105BE"/>
    <w:rsid w:val="00F1089D"/>
    <w:rsid w:val="00F1545A"/>
    <w:rsid w:val="00F155C5"/>
    <w:rsid w:val="00F15851"/>
    <w:rsid w:val="00F15CC8"/>
    <w:rsid w:val="00F22C47"/>
    <w:rsid w:val="00F230E3"/>
    <w:rsid w:val="00F233F0"/>
    <w:rsid w:val="00F2405D"/>
    <w:rsid w:val="00F2463D"/>
    <w:rsid w:val="00F250A6"/>
    <w:rsid w:val="00F26C53"/>
    <w:rsid w:val="00F26F75"/>
    <w:rsid w:val="00F305F9"/>
    <w:rsid w:val="00F30C15"/>
    <w:rsid w:val="00F31955"/>
    <w:rsid w:val="00F3307F"/>
    <w:rsid w:val="00F336B2"/>
    <w:rsid w:val="00F34477"/>
    <w:rsid w:val="00F34F76"/>
    <w:rsid w:val="00F3670A"/>
    <w:rsid w:val="00F3750B"/>
    <w:rsid w:val="00F401C7"/>
    <w:rsid w:val="00F40F76"/>
    <w:rsid w:val="00F42F16"/>
    <w:rsid w:val="00F43319"/>
    <w:rsid w:val="00F4395D"/>
    <w:rsid w:val="00F43BBF"/>
    <w:rsid w:val="00F450C8"/>
    <w:rsid w:val="00F45A8A"/>
    <w:rsid w:val="00F4757C"/>
    <w:rsid w:val="00F47803"/>
    <w:rsid w:val="00F5059C"/>
    <w:rsid w:val="00F5093E"/>
    <w:rsid w:val="00F53CDC"/>
    <w:rsid w:val="00F53EDD"/>
    <w:rsid w:val="00F5473A"/>
    <w:rsid w:val="00F54A09"/>
    <w:rsid w:val="00F54B0C"/>
    <w:rsid w:val="00F54C4C"/>
    <w:rsid w:val="00F5745D"/>
    <w:rsid w:val="00F57B3C"/>
    <w:rsid w:val="00F62444"/>
    <w:rsid w:val="00F62D00"/>
    <w:rsid w:val="00F63596"/>
    <w:rsid w:val="00F66AB3"/>
    <w:rsid w:val="00F674C0"/>
    <w:rsid w:val="00F67ECC"/>
    <w:rsid w:val="00F7492E"/>
    <w:rsid w:val="00F75730"/>
    <w:rsid w:val="00F761D5"/>
    <w:rsid w:val="00F77080"/>
    <w:rsid w:val="00F77101"/>
    <w:rsid w:val="00F80262"/>
    <w:rsid w:val="00F80DD9"/>
    <w:rsid w:val="00F81809"/>
    <w:rsid w:val="00F818FB"/>
    <w:rsid w:val="00F822BF"/>
    <w:rsid w:val="00F82E49"/>
    <w:rsid w:val="00F83203"/>
    <w:rsid w:val="00F83D88"/>
    <w:rsid w:val="00F8654B"/>
    <w:rsid w:val="00F86793"/>
    <w:rsid w:val="00F87063"/>
    <w:rsid w:val="00F90331"/>
    <w:rsid w:val="00F91688"/>
    <w:rsid w:val="00F924B8"/>
    <w:rsid w:val="00F937D3"/>
    <w:rsid w:val="00F949B8"/>
    <w:rsid w:val="00F9528A"/>
    <w:rsid w:val="00F95866"/>
    <w:rsid w:val="00F95D86"/>
    <w:rsid w:val="00F97389"/>
    <w:rsid w:val="00FA0A29"/>
    <w:rsid w:val="00FA0F55"/>
    <w:rsid w:val="00FA138A"/>
    <w:rsid w:val="00FA14EA"/>
    <w:rsid w:val="00FA26A6"/>
    <w:rsid w:val="00FA3C3D"/>
    <w:rsid w:val="00FA4761"/>
    <w:rsid w:val="00FA7DA7"/>
    <w:rsid w:val="00FB3A27"/>
    <w:rsid w:val="00FB47E1"/>
    <w:rsid w:val="00FB4A8B"/>
    <w:rsid w:val="00FB6D70"/>
    <w:rsid w:val="00FB7E7D"/>
    <w:rsid w:val="00FC03B5"/>
    <w:rsid w:val="00FC19B1"/>
    <w:rsid w:val="00FC2956"/>
    <w:rsid w:val="00FC4105"/>
    <w:rsid w:val="00FC5864"/>
    <w:rsid w:val="00FC5F03"/>
    <w:rsid w:val="00FC6FB3"/>
    <w:rsid w:val="00FC7A11"/>
    <w:rsid w:val="00FD0069"/>
    <w:rsid w:val="00FD065B"/>
    <w:rsid w:val="00FD0FCE"/>
    <w:rsid w:val="00FD152E"/>
    <w:rsid w:val="00FD1DC8"/>
    <w:rsid w:val="00FD222A"/>
    <w:rsid w:val="00FD4F15"/>
    <w:rsid w:val="00FD51D0"/>
    <w:rsid w:val="00FD6F90"/>
    <w:rsid w:val="00FE022E"/>
    <w:rsid w:val="00FE1190"/>
    <w:rsid w:val="00FE1893"/>
    <w:rsid w:val="00FE3225"/>
    <w:rsid w:val="00FE3FA2"/>
    <w:rsid w:val="00FE419B"/>
    <w:rsid w:val="00FE79EB"/>
    <w:rsid w:val="00FF02CC"/>
    <w:rsid w:val="00FF0FE5"/>
    <w:rsid w:val="00FF19A7"/>
    <w:rsid w:val="00FF1D50"/>
    <w:rsid w:val="00FF219C"/>
    <w:rsid w:val="00FF260D"/>
    <w:rsid w:val="00FF39F3"/>
    <w:rsid w:val="00FF3AF1"/>
    <w:rsid w:val="00FF3FD4"/>
    <w:rsid w:val="00FF41E9"/>
    <w:rsid w:val="00FF5342"/>
    <w:rsid w:val="00FF6C98"/>
    <w:rsid w:val="023070B4"/>
    <w:rsid w:val="078451F1"/>
    <w:rsid w:val="08C230B8"/>
    <w:rsid w:val="0E576F53"/>
    <w:rsid w:val="125B2CFC"/>
    <w:rsid w:val="13405E2E"/>
    <w:rsid w:val="2F605368"/>
    <w:rsid w:val="31FD4B93"/>
    <w:rsid w:val="3FCA68B7"/>
    <w:rsid w:val="45196B36"/>
    <w:rsid w:val="4ABD599D"/>
    <w:rsid w:val="4DE429AA"/>
    <w:rsid w:val="50746AF7"/>
    <w:rsid w:val="57CC0065"/>
    <w:rsid w:val="5F550FC4"/>
    <w:rsid w:val="636A2F64"/>
    <w:rsid w:val="67913957"/>
    <w:rsid w:val="68864A1A"/>
    <w:rsid w:val="6C8872C2"/>
    <w:rsid w:val="73DB594D"/>
    <w:rsid w:val="7C211032"/>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nhideWhenUsed="0"/>
    <w:lsdException w:name="footer" w:semiHidden="0" w:unhideWhenUsed="0"/>
    <w:lsdException w:name="caption" w:uiPriority="35" w:qFormat="1"/>
    <w:lsdException w:name="annotation reference" w:semiHidden="0" w:unhideWhenUsed="0"/>
    <w:lsdException w:name="page number" w:semiHidden="0" w:uiPriority="0" w:unhideWhenUsed="0"/>
    <w:lsdException w:name="Title" w:semiHidden="0" w:uiPriority="0" w:unhideWhenUsed="0" w:qFormat="1"/>
    <w:lsdException w:name="Default Paragraph Font" w:semiHidden="0" w:uiPriority="1"/>
    <w:lsdException w:name="Body Text" w:semiHidden="0" w:qFormat="1"/>
    <w:lsdException w:name="Subtitle" w:semiHidden="0" w:uiPriority="11" w:unhideWhenUsed="0" w:qFormat="1"/>
    <w:lsdException w:name="Date" w:semiHidden="0" w:uiPriority="0" w:unhideWhenUsed="0"/>
    <w:lsdException w:name="Hyperlink" w:semiHidden="0"/>
    <w:lsdException w:name="Strong" w:semiHidden="0" w:uiPriority="22" w:unhideWhenUsed="0" w:qFormat="1"/>
    <w:lsdException w:name="Emphasis" w:semiHidden="0" w:uiPriority="20" w:unhideWhenUsed="0" w:qFormat="1"/>
    <w:lsdException w:name="Document Map" w:semiHidden="0"/>
    <w:lsdException w:name="Plain Text" w:semiHidden="0" w:uiPriority="0" w:unhideWhenUsed="0"/>
    <w:lsdException w:name="Normal (Web)" w:semiHidden="0" w:uiPriority="0" w:unhideWhenUsed="0"/>
    <w:lsdException w:name="Normal Table" w:semiHidden="0"/>
    <w:lsdException w:name="annotation subject" w:semiHidden="0" w:uiPriority="0" w:unhideWhenUsed="0"/>
    <w:lsdException w:name="Balloon Text"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iPriority w:val="99"/>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PlainText">
    <w:name w:val="Plain Text"/>
    <w:basedOn w:val="Normal"/>
    <w:link w:val="Char2"/>
    <w:rPr>
      <w:rFonts w:ascii="宋体" w:hAnsi="Courier New"/>
      <w:szCs w:val="21"/>
    </w:rPr>
  </w:style>
  <w:style w:type="character" w:customStyle="1" w:styleId="Char2">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3"/>
    <w:uiPriority w:val="99"/>
    <w:rPr>
      <w:sz w:val="18"/>
      <w:szCs w:val="18"/>
    </w:rPr>
  </w:style>
  <w:style w:type="character" w:customStyle="1" w:styleId="Char3">
    <w:name w:val="批注框文本 Char"/>
    <w:link w:val="BalloonText"/>
    <w:uiPriority w:val="99"/>
    <w:rPr>
      <w:kern w:val="2"/>
      <w:sz w:val="18"/>
      <w:szCs w:val="18"/>
    </w:rPr>
  </w:style>
  <w:style w:type="paragraph" w:styleId="Footer">
    <w:name w:val="footer"/>
    <w:basedOn w:val="Normal"/>
    <w:link w:val="Char4"/>
    <w:uiPriority w:val="99"/>
    <w:pPr>
      <w:tabs>
        <w:tab w:val="center" w:pos="4153"/>
        <w:tab w:val="right" w:pos="8306"/>
      </w:tabs>
      <w:snapToGrid w:val="0"/>
      <w:jc w:val="left"/>
    </w:pPr>
    <w:rPr>
      <w:sz w:val="18"/>
    </w:rPr>
  </w:style>
  <w:style w:type="character" w:customStyle="1" w:styleId="Char4">
    <w:name w:val="页脚 Char"/>
    <w:link w:val="Footer"/>
    <w:uiPriority w:val="99"/>
    <w:rPr>
      <w:kern w:val="2"/>
      <w:sz w:val="18"/>
    </w:rPr>
  </w:style>
  <w:style w:type="paragraph" w:styleId="Header">
    <w:name w:val="header"/>
    <w:basedOn w:val="Normal"/>
    <w:link w:val="Char5"/>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5">
    <w:name w:val="页眉 Char"/>
    <w:link w:val="Header"/>
    <w:uiPriority w:val="99"/>
    <w:rPr>
      <w:kern w:val="2"/>
      <w:sz w:val="18"/>
    </w:rPr>
  </w:style>
  <w:style w:type="paragraph" w:styleId="TOC1">
    <w:name w:val="toc 1"/>
    <w:basedOn w:val="Normal"/>
    <w:next w:val="Normal"/>
    <w:rPr>
      <w:szCs w:val="24"/>
    </w:rPr>
  </w:style>
  <w:style w:type="paragraph" w:styleId="NormalWeb">
    <w:name w:val="Normal (Web)"/>
    <w:basedOn w:val="Normal"/>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uiPriority w:val="99"/>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34"/>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character" w:customStyle="1" w:styleId="Char11">
    <w:name w:val="批注文字 Char1"/>
    <w:uiPriority w:val="99"/>
    <w:semiHidden/>
  </w:style>
  <w:style w:type="table" w:styleId="TableGrid">
    <w:name w:val="Table Grid"/>
    <w:basedOn w:val="TableNormal"/>
    <w:uiPriority w:val="59"/>
    <w:qFormat/>
    <w:rPr>
      <w:rFonts w:ascii="Calibri" w:hAnsi="Calibr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5.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header" Target="head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157263360</TotalTime>
  <Pages>38</Pages>
  <Words>26681</Words>
  <Characters>28214</Characters>
  <Application>Microsoft Office Word</Application>
  <DocSecurity>0</DocSecurity>
  <Lines>216</Lines>
  <Paragraphs>61</Paragraphs>
  <ScaleCrop>false</ScaleCrop>
  <Company>中国气象局</Company>
  <LinksUpToDate>false</LinksUpToDate>
  <CharactersWithSpaces>28397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2023-10-26T02:24:00Z</dcterms:created>
  <dcterms:modified xsi:type="dcterms:W3CDTF">2025-08-12T01:56:21Z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CD8C96B3C27544FE9237DF28949E6E50_13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