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保定S波段双偏振相控阵天气雷达系统集成调试（含总体设计）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保定S波段双偏振相控阵天气雷达系统集成调试（含总体设计）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ZQCD-26025</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个月完成雷达系统指标详细设计（总体方案）和雷达分系统功能、接口的设计（分系统技术要求）。合同签订后3个月完成雷达多波束工作模式及体扫模式详细设计。合同签订后5个月协助采购人完成雷达系统、分系统测试大纲编制和测试。合同签订后21个月在分系统完成研制的情况下协助采购人组织雷达的整机及分系统的测试工作；配合采购人组织分系统中标方协调各分系统的联调工作，完成系统集成调试，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河北省保定</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2026年03月19日 00:00:00</w:t>
      </w:r>
      <w:bookmarkEnd w:id="26"/>
      <w:r>
        <w:rPr>
          <w:rFonts w:ascii="宋体" w:hint="eastAsia"/>
          <w:szCs w:val="21"/>
          <w:highlight w:val="none"/>
        </w:rPr>
        <w:t>至</w:t>
      </w:r>
      <w:bookmarkStart w:id="27" w:name="项目公告_signUpLastTime"/>
      <w:r>
        <w:rPr>
          <w:rFonts w:ascii="宋体" w:hint="eastAsia"/>
          <w:szCs w:val="21"/>
          <w:highlight w:val="none"/>
        </w:rPr>
        <w:t>2026年03月26日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金龙</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0311-67108883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河北省气象技术装备中心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Calibri" w:eastAsia="宋体" w:hAnsi="Calibri" w:cs="Times New Roman" w:hint="eastAsia"/>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Calibri" w:eastAsia="宋体" w:hAnsi="Calibri" w:cs="Times New Roman" w:hint="eastAsia"/>
                <w:szCs w:val="21"/>
                <w:highlight w:val="none"/>
              </w:rPr>
            </w:pPr>
            <w:bookmarkStart w:id="44" w:name="进口产品_agentMaterials"/>
            <w:bookmarkEnd w:id="44"/>
            <w:r>
              <w:rPr>
                <w:rFonts w:ascii="Calibri" w:eastAsia="宋体" w:hAnsi="Calibri" w:cs="Times New Roman" w:hint="eastAsia"/>
                <w:szCs w:val="21"/>
                <w:highlight w:val="none"/>
              </w:rPr>
              <w:t>不允许进口代理商投标</w:t>
            </w:r>
            <w:bookmarkStart w:id="45" w:name="_GoBack"/>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保定S波段双偏振相控阵天气雷达系统集成调试（含总体设计）   ，属于  软件和信息技术服务  行业；</w:t>
            </w:r>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8" w:name="代理服务费_agentAmountText"/>
            <w:r>
              <w:rPr>
                <w:rFonts w:ascii="宋体" w:eastAsia="宋体" w:hAnsi="宋体" w:cs="微软雅黑" w:hint="eastAsia"/>
                <w:kern w:val="0"/>
                <w:szCs w:val="21"/>
                <w:highlight w:val="none"/>
              </w:rPr>
              <w:t>是，代理服务费：1.6万元。</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110.000000 万元</w:t>
            </w:r>
            <w:bookmarkEnd w:id="52"/>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允许</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5" w:name="进行述标_describeStandardFlagText"/>
            <w:r>
              <w:rPr>
                <w:rFonts w:ascii="宋体" w:eastAsia="宋体" w:hAnsi="宋体" w:cs="微软雅黑" w:hint="eastAsia"/>
                <w:kern w:val="0"/>
                <w:szCs w:val="21"/>
                <w:highlight w:val="none"/>
              </w:rPr>
              <w:t>否</w:t>
            </w:r>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r>
              <w:rPr>
                <w:rFonts w:ascii="宋体" w:hAnsi="宋体" w:eastAsiaTheme="minorEastAsia" w:cstheme="minorBidi" w:hint="eastAsia"/>
                <w:kern w:val="2"/>
                <w:sz w:val="21"/>
                <w:szCs w:val="21"/>
                <w:highlight w:val="none"/>
                <w:lang w:val="en-US" w:eastAsia="zh-CN" w:bidi="ar-SA"/>
              </w:rPr>
              <w:t>本项目中标人不允许参加后续本雷达分系统的政府采购相关投标事宜</w:t>
            </w:r>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提供 ISO9001 质量管理体系认证或同等质量管理体系认证证书，得4分；不提供不得分。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提供与气象雷达系统级或分系统级研制开发、测试相关合同，每提供1项得2.5分，满分5分；不提供不得分。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(12)</w:t>
            </w:r>
          </w:p>
        </w:tc>
        <w:tc>
          <w:tcPr/>
          <w:p>
            <w:r>
              <w:t>评审标准：</w:t>
            </w:r>
          </w:p>
          <w:p>
            <w:r>
              <w:t>每提供1份与气象雷达相关的软著、专利或软著、专利使用授权得3分，最多得12分。</w:t>
            </w:r>
          </w:p>
          <w:p>
            <w:r>
              <w:t>评审标准说明：</w:t>
            </w:r>
          </w:p>
          <w:p>
            <w:r>
              <w:t>投标人提供原始取得的相关证书或授权书面证明，并加盖投标人公章。</w:t>
            </w:r>
          </w:p>
          <w:p/>
        </w:tc>
      </w:tr>
      <w:tr>
        <w:tblPrEx>
          <w:tblW w:w="5000" w:type="pct"/>
          <w:tblCellMar>
            <w:left w:w="108" w:type="dxa"/>
            <w:right w:w="108" w:type="dxa"/>
          </w:tblCellMar>
        </w:tblPrEx>
        <w:tc>
          <w:tcPr/>
          <w:p>
            <w:r>
              <w:t>5</w:t>
            </w:r>
          </w:p>
        </w:tc>
        <w:tc>
          <w:tcPr>
            <w:vMerge w:val="restart"/>
          </w:tcPr>
          <w:p>
            <w:r>
              <w:t>服务部分</w:t>
            </w:r>
          </w:p>
        </w:tc>
        <w:tc>
          <w:tcPr/>
          <w:p>
            <w:r>
              <w:t>项目管理团队（客观分）</w:t>
            </w:r>
          </w:p>
        </w:tc>
        <w:tc>
          <w:tcPr/>
          <w:p>
            <w:r>
              <w:t>区间打分</w:t>
            </w:r>
            <w:r>
              <w:t>(8)</w:t>
            </w:r>
          </w:p>
        </w:tc>
        <w:tc>
          <w:tcPr/>
          <w:p>
            <w:r>
              <w:t>评审标准：</w:t>
            </w:r>
          </w:p>
          <w:p>
            <w:r>
              <w:t>投标人应组成本项目管理团队，团队组织结构清晰，应设管理团队负责人（项目经理）、技术负责人、技术开发人员，人员专业背景齐全。具体如下：</w:t>
              <w:cr/>
              <w:t>1、管理团队负责人（项目经理）需有计算机/电子工程/气象/气象仪器类相关专业背景，且具有同类项目工作经验3年以上。完全满足得2分，否则不得分；</w:t>
              <w:cr/>
              <w:t>2、技术负责人需具有计算机/电子工程/气象/气象仪器类高级专业技术职称，且具有3年以上相关项目的软件设计、开发和集成经验。完全满足得2分，否则不得分。</w:t>
              <w:cr/>
              <w:t>3、除管理团队负责人（项目经理）和技术负责人外，团队其他技术开发人员至少3人，且至少3人具有1年以上类似项目开发的经验。完全满足得2分，否则不得分。</w:t>
              <w:cr/>
              <w:t>4、除管理团队负责人（项目经理）和技术负责人外，团队其他技术开发人员中每有一人具有计算机/电子工程/气象/气象仪器类高级专业技术职称得1分，最高得2分。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w:t>
              <w:cr/>
              <w:t>二档：培训方案不完整（指缺失培训计划、培训材料（讲义）、培训课表任意一项）；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8</w:t>
            </w:r>
          </w:p>
        </w:tc>
        <w:tc>
          <w:tcPr>
            <w:vMerge/>
          </w:tcPr>
          <w:p>
            <w:r>
              <w:t>服务部分</w:t>
            </w:r>
          </w:p>
        </w:tc>
        <w:tc>
          <w:tcPr/>
          <w:p>
            <w:r>
              <w:t>进度计划</w:t>
            </w:r>
          </w:p>
        </w:tc>
        <w:tc>
          <w:tcPr/>
          <w:p>
            <w:r>
              <w:t>勾选打分</w:t>
            </w:r>
            <w:r>
              <w:t>(4)</w:t>
            </w:r>
          </w:p>
        </w:tc>
        <w:tc>
          <w:tcPr/>
          <w:p>
            <w:r>
              <w:t>评审标准：</w:t>
            </w:r>
          </w:p>
          <w:p>
            <w:r>
              <w:t>一档：0分</w:t>
              <w:cr/>
              <w:t>二档：1分</w:t>
              <w:cr/>
              <w:t>三档：2分</w:t>
              <w:cr/>
              <w:t>四档：4分</w:t>
            </w:r>
          </w:p>
          <w:p>
            <w:r>
              <w:t>评审标准说明：</w:t>
            </w:r>
          </w:p>
          <w:p>
            <w:r>
              <w:t>提供项目计划和承诺函，计划完整可行，针对性强，工作分解与人员安排合理，里程碑设计合理。承诺函（须加盖投标人公章）应包括以下内容：合同签订后1个月（T0+1）完成雷达系统指标详细设计（总体方案）和雷达分系统功能、接口的设计（分系统技术要求）；合同签订后3个月（T0+3）完成雷达多波束工作模式及体扫模式详细设计；合同签订后5个月（T0+5）协助采购人完成雷达系统、分系统测试大纲编制和测试；合同签订后21个月（T0+21）在分系统完成研制的情况下协助采购人组织雷达的整机及分系统的测试工作；配合采购人组织分系统中标方协调各分系统的联调工作，完成系统集成调试。评审标准如下：</w:t>
              <w:cr/>
              <w:t>一档：未同时提供项目计划和承诺函（承诺函未完全包括应承诺内容的，视同未提供，下同）。</w:t>
              <w:cr/>
              <w:t>二档：同时提供项目计划和承诺函，但项目计划不完整，未覆盖项目的功能和非功能需求，描述不清楚，可行性针对性差。</w:t>
              <w:cr/>
              <w:t>三档：同时提供项目计划和承诺函，且项目计划完整，基本覆盖项目的功能和非功能需求，描述基本清楚，较为合理，具有一定可行性、针对性，基本满足采购需求。</w:t>
              <w:cr/>
              <w:t>四档：同时提供项目计划和承诺函，且项目计划完整、详实，覆盖项目的功能和非功能需求，描述清楚，逻辑性强，图文规范，切实可行，针对性强，完全满足采购需求。</w:t>
            </w:r>
          </w:p>
          <w:p/>
        </w:tc>
      </w:tr>
      <w:tr>
        <w:tblPrEx>
          <w:tblW w:w="5000" w:type="pct"/>
          <w:tblCellMar>
            <w:left w:w="108" w:type="dxa"/>
            <w:right w:w="108" w:type="dxa"/>
          </w:tblCellMar>
        </w:tblPrEx>
        <w:tc>
          <w:tcPr/>
          <w:p>
            <w:r>
              <w:t>9</w:t>
            </w:r>
          </w:p>
        </w:tc>
        <w:tc>
          <w:tcPr>
            <w:vMerge/>
          </w:tcPr>
          <w:p>
            <w:r>
              <w:t>服务部分</w:t>
            </w:r>
          </w:p>
        </w:tc>
        <w:tc>
          <w:tcPr/>
          <w:p>
            <w:r>
              <w:t>关键技术设计方案（主观分）</w:t>
            </w:r>
          </w:p>
        </w:tc>
        <w:tc>
          <w:tcPr/>
          <w:p>
            <w:r>
              <w:t>区间打分</w:t>
            </w:r>
            <w:r>
              <w:t>(18)</w:t>
            </w:r>
          </w:p>
        </w:tc>
        <w:tc>
          <w:tcPr/>
          <w:p>
            <w:r>
              <w:t>评审标准：</w:t>
            </w:r>
          </w:p>
          <w:p>
            <w:r>
              <w:t>提供以下6个关键技术设计方案（含源代码）和承诺函（须加盖投标人公章）。</w:t>
              <w:cr/>
              <w:t>1.相控阵雷达体扫模式；</w:t>
              <w:cr/>
              <w:t>2.相控阵雷达多波束工作模式；</w:t>
              <w:cr/>
              <w:t>3.相控阵雷达抗同频干扰；</w:t>
              <w:cr/>
              <w:t>4.某个组件失效情况下，相控阵的波束合成优化；</w:t>
              <w:cr/>
              <w:t>5.相控阵雷达的现场高精度标校；</w:t>
              <w:cr/>
              <w:t>6.相控阵雷达的雷达气象方程。</w:t>
              <w:cr/>
              <w:t>每个关键技术设计方案按以下评分，满分3分，共18分。</w:t>
              <w:cr/>
              <w:t>一档：0分</w:t>
              <w:cr/>
              <w:t>二档：1分</w:t>
              <w:cr/>
              <w:t>三档：3分</w:t>
            </w:r>
          </w:p>
          <w:p>
            <w:r>
              <w:t>评审标准说明：</w:t>
            </w:r>
          </w:p>
          <w:p>
            <w:r>
              <w:t>评审标准说明：</w:t>
              <w:cr/>
              <w:t>1、投标人设计方案内容应明确业务场景适配性与设计目标，界定需求边界，论证技术路线可行性；阐述核心技术原理及关键参数，说明工程实现路径；配套关键源代码。</w:t>
              <w:cr/>
              <w:t>2、投标人书面承诺函应包括：承诺所提交设计方案中的技术路线具备完全可实现性；承诺方案内容真实有效，无虚假陈述，所涉及的技术、源代码无知识产权侵权风险，且投标方拥有合法处置权；承诺中标后，可按招标文件要求及设计方案约定，配合招标人开展方案验证、系统集成调试及后续优化工作；承诺若设计方案存在与实际交付不符或无法实现的情况，愿承担相应违约责任。</w:t>
              <w:cr/>
              <w:t>评审标准如下：</w:t>
              <w:cr/>
              <w:t>一档：未同时提供设计方案和承诺函（承诺函未完全包括前述内容，视同未提供，下同），或设计保证方案内容不完整、描述不清晰、可行性针对性差，不满足项目需求。</w:t>
              <w:cr/>
              <w:t>二档：同时提供设计方案和承诺函，且设计保证方案内容较完整，基本覆盖项目的需求，描述基本清楚；技术思路较合理、关键技术的分析较清晰，解决措施有一定可行性和针对性，基本满足采购需求。</w:t>
              <w:cr/>
              <w:t>三档：同时提供设计方案和承诺函，且设计保证方案内容完整、详实，覆盖项目的需求，描述清楚，逻辑性强；技术先进，针对关键技术的分析详细，解决措施切实可行，针对性强，完全满足采购需求。</w:t>
            </w:r>
          </w:p>
          <w:p/>
        </w:tc>
      </w:tr>
      <w:tr>
        <w:tblPrEx>
          <w:tblW w:w="5000" w:type="pct"/>
          <w:tblCellMar>
            <w:left w:w="108" w:type="dxa"/>
            <w:right w:w="108" w:type="dxa"/>
          </w:tblCellMar>
        </w:tblPrEx>
        <w:tc>
          <w:tcPr/>
          <w:p>
            <w:r>
              <w:t>10</w:t>
            </w:r>
          </w:p>
        </w:tc>
        <w:tc>
          <w:tcPr>
            <w:vMerge/>
          </w:tcPr>
          <w:p>
            <w:r>
              <w:t>服务部分</w:t>
            </w:r>
          </w:p>
        </w:tc>
        <w:tc>
          <w:tcPr/>
          <w:p>
            <w:r>
              <w:t>重要技术指标设计（主观分）</w:t>
            </w:r>
          </w:p>
        </w:tc>
        <w:tc>
          <w:tcPr/>
          <w:p>
            <w:r>
              <w:t>区间打分</w:t>
            </w:r>
            <w:r>
              <w:t>(18)</w:t>
            </w:r>
          </w:p>
        </w:tc>
        <w:tc>
          <w:tcPr/>
          <w:p>
            <w:r>
              <w:t>评审标准：</w:t>
            </w:r>
          </w:p>
          <w:p>
            <w:r>
              <w:t>针对第七章采购需求技术指标，提交重要技术指标（标注#的18项，如有多个下级指标，则每个下级均应提供）设计保证方案和承诺函（须加盖投标人公章）。</w:t>
              <w:cr/>
              <w:t>每个重要技术指标设计按以下评分，满分1分，共18分。</w:t>
              <w:cr/>
              <w:t>一档：0分</w:t>
              <w:cr/>
              <w:t>二档：0.5分</w:t>
              <w:cr/>
              <w:t>三档：1分</w:t>
            </w:r>
          </w:p>
          <w:p>
            <w:r>
              <w:t>评审标准说明：</w:t>
            </w:r>
          </w:p>
          <w:p>
            <w:r>
              <w:t>1、投标人设计保证方案内容应明确阐述核心技术原理及关键参数，说明工程实现路径及测试验证方法。</w:t>
              <w:cr/>
              <w:t>2、投标人书面承诺函应包括：承诺所提交的设计保证方案中的技术路线具备完全可实现性；承诺方案内容真实有效，无虚假陈述，所涉及的技术无知识产权侵权风险，且投标方拥有合法处置权；承诺中标后，可按招标文件要求及设计保证方案约定，配合招标人开展方案验证、系统集成调试及后续优化工作；承诺若设计保证方案存在与实际交付不符或无法实现的情况，愿承担相应违约责任。</w:t>
              <w:cr/>
              <w:t>评审标准如下：</w:t>
              <w:cr/>
              <w:t>一档：未同时提供设计保证方案和承诺函（承诺函未完全包括前述内容，视同未提供，下同），或设计保证方案内容不完整、描述不清晰、可行性针对性差，不满足项目需求。</w:t>
              <w:cr/>
              <w:t>二档：同时提供设计保证方案和承诺函，且设计保证方案内容较完整，基本覆盖项目的需求，描述基本清楚；技术思路较合理、关键技术的分析较清晰，解决措施有一定可行性和针对性，基本满足采购需求。</w:t>
              <w:cr/>
              <w:t>三档：同时提供设计保证方案和承诺函，且设计保证方案内容完整、详实，覆盖项目的需求，描述清楚，逻辑性强；技术先进，针对关键技术的分析详细，解决措施切实可行，针对性强，完全满足采购需求。</w:t>
            </w:r>
          </w:p>
          <w:p/>
        </w:tc>
      </w:tr>
      <w:tr>
        <w:tblPrEx>
          <w:tblW w:w="5000" w:type="pct"/>
          <w:tblCellMar>
            <w:left w:w="108" w:type="dxa"/>
            <w:right w:w="108" w:type="dxa"/>
          </w:tblCellMar>
        </w:tblPrEx>
        <w:tc>
          <w:tcPr/>
          <w:p>
            <w:r>
              <w:t>11</w:t>
            </w:r>
          </w:p>
        </w:tc>
        <w:tc>
          <w:tcPr>
            <w:vMerge/>
          </w:tcPr>
          <w:p>
            <w:r>
              <w:t>服务部分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12</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13</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6"/>
    </w:p>
    <w:p>
      <w:pPr>
        <w:numPr>
          <w:ilvl w:val="12"/>
          <w:numId w:val="0"/>
        </w:numPr>
        <w:spacing w:line="360" w:lineRule="auto"/>
        <w:ind w:left="0" w:firstLine="0"/>
        <w:jc w:val="center"/>
        <w:outlineLvl w:val="1"/>
        <w:rPr>
          <w:rFonts w:ascii="宋体" w:hAnsi="宋体"/>
          <w:color w:val="000000"/>
          <w:sz w:val="30"/>
          <w:szCs w:val="30"/>
        </w:rPr>
      </w:pPr>
      <w:r>
        <w:rPr>
          <w:bCs/>
          <w:szCs w:val="21"/>
          <w:highlight w:val="none"/>
        </w:rPr>
        <w:br w:type="page"/>
      </w:r>
      <w:bookmarkStart w:id="57" w:name="插入_采购需求书"/>
      <w:r>
        <w:rPr>
          <w:rFonts w:ascii="宋体" w:hAnsi="宋体" w:hint="eastAsia"/>
          <w:color w:val="000000"/>
          <w:sz w:val="30"/>
          <w:szCs w:val="30"/>
          <w:lang w:eastAsia="zh-CN"/>
        </w:rPr>
        <w:t>第七章</w:t>
      </w:r>
      <w:r>
        <w:rPr>
          <w:rFonts w:ascii="宋体" w:hAnsi="宋体" w:hint="eastAsia"/>
          <w:color w:val="000000"/>
          <w:sz w:val="30"/>
          <w:szCs w:val="30"/>
          <w:lang w:val="en-US" w:eastAsia="zh-CN"/>
        </w:rPr>
        <w:t xml:space="preserve"> </w:t>
      </w:r>
      <w:r>
        <w:rPr>
          <w:rFonts w:ascii="宋体" w:hAnsi="宋体" w:hint="eastAsia"/>
          <w:color w:val="000000"/>
          <w:sz w:val="30"/>
          <w:szCs w:val="30"/>
        </w:rPr>
        <w:t>采购需求</w:t>
      </w:r>
    </w:p>
    <w:p>
      <w:pPr>
        <w:spacing w:line="360" w:lineRule="auto"/>
        <w:rPr>
          <w:rFonts w:ascii="宋体" w:hAnsi="宋体"/>
          <w:b/>
          <w:bCs/>
          <w:color w:val="000000"/>
          <w:sz w:val="36"/>
          <w:szCs w:val="36"/>
        </w:rPr>
      </w:pPr>
    </w:p>
    <w:p>
      <w:pPr>
        <w:spacing w:line="360" w:lineRule="auto"/>
        <w:outlineLvl w:val="2"/>
        <w:rPr>
          <w:rFonts w:ascii="宋体" w:hAnsi="宋体"/>
          <w:b/>
          <w:bCs/>
          <w:color w:val="000000"/>
          <w:szCs w:val="21"/>
        </w:rPr>
      </w:pPr>
      <w:r>
        <w:rPr>
          <w:rFonts w:ascii="宋体" w:hAnsi="宋体" w:hint="eastAsia"/>
          <w:b/>
          <w:bCs/>
          <w:color w:val="000000"/>
          <w:szCs w:val="21"/>
        </w:rPr>
        <w:t>一、项目概况及总体要求</w:t>
      </w:r>
    </w:p>
    <w:p>
      <w:pPr>
        <w:tabs>
          <w:tab w:val="left" w:pos="1573"/>
        </w:tabs>
        <w:adjustRightInd w:val="0"/>
        <w:snapToGrid w:val="0"/>
        <w:ind w:firstLine="420" w:firstLineChars="200"/>
        <w:rPr>
          <w:rFonts w:ascii="宋体" w:hAnsi="宋体"/>
          <w:szCs w:val="21"/>
        </w:rPr>
      </w:pPr>
      <w:r>
        <w:rPr>
          <w:rFonts w:ascii="宋体" w:hAnsi="宋体" w:hint="eastAsia"/>
          <w:szCs w:val="21"/>
        </w:rPr>
        <w:t>本次招标共1包，需求如下：</w:t>
      </w:r>
    </w:p>
    <w:p>
      <w:pPr>
        <w:tabs>
          <w:tab w:val="left" w:pos="1573"/>
        </w:tabs>
        <w:adjustRightInd w:val="0"/>
        <w:snapToGrid w:val="0"/>
        <w:ind w:firstLine="420" w:firstLineChars="200"/>
        <w:rPr>
          <w:rFonts w:ascii="宋体" w:hAnsi="宋体"/>
          <w:szCs w:val="21"/>
        </w:rPr>
      </w:pPr>
      <w:r>
        <w:rPr>
          <w:rFonts w:ascii="宋体" w:hAnsi="宋体" w:hint="eastAsia"/>
          <w:szCs w:val="21"/>
        </w:rPr>
        <w:t>2022年11月，中国气象局和国家发展改革委共同印发了《综合气象观测业务发展“十四五”规划》（气发〔2022〕133号），其中指出“在河北和福建建设2部S波段相控阵天气雷达，开展观测业务应用试验，为下一代天气雷达业务发展提供科技支撑”。2025年6月，中国气象局批复了《保定S波段双偏振相控阵天气雷达主机系统建设项目可行性研究报告》（气函〔2025〕118号）和《保定S波段双偏振相控阵天气雷达测量标校和应用系统建设项目可行性研究报告》（气函〔2025〕123号），建设内容为：天线阵面分系统、收发（T/R）分系统、波束形成与控制分系统、测量标校系统、应用系统、业务软件系统，共计6个分系统。</w:t>
      </w:r>
    </w:p>
    <w:p>
      <w:pPr>
        <w:tabs>
          <w:tab w:val="left" w:pos="1573"/>
        </w:tabs>
        <w:adjustRightInd w:val="0"/>
        <w:snapToGrid w:val="0"/>
        <w:ind w:firstLine="420" w:firstLineChars="200"/>
        <w:rPr>
          <w:rFonts w:ascii="宋体" w:hAnsi="宋体"/>
          <w:szCs w:val="21"/>
        </w:rPr>
      </w:pPr>
      <w:r>
        <w:rPr>
          <w:rFonts w:ascii="宋体" w:hAnsi="宋体" w:hint="eastAsia"/>
          <w:szCs w:val="21"/>
        </w:rPr>
        <w:t>按照“列装一代、研制一代、探索一代”的发展思路，保定S波段双偏振相控阵天气雷达在天线快速电扫与双偏振探测等能力基础上，能够通过发射高峰值功率、不脉压的窄脉冲，克服传统相控阵天气雷达宽脉冲与脉冲压缩技术下，引起的有强回波时难以消除距离旁瓣杂波和多脉冲补盲引起回波台阶等问题；并通过脉间捷变多波束技术，减小宽发窄收带来的天线旁瓣杂波。进一步提升了强天气监测能力，强化灾害天气监测效能。</w:t>
      </w:r>
    </w:p>
    <w:p>
      <w:pPr>
        <w:tabs>
          <w:tab w:val="left" w:pos="1573"/>
        </w:tabs>
        <w:adjustRightInd w:val="0"/>
        <w:snapToGrid w:val="0"/>
        <w:ind w:firstLine="420" w:firstLineChars="200"/>
        <w:rPr>
          <w:rFonts w:ascii="宋体" w:hAnsi="宋体"/>
          <w:szCs w:val="21"/>
        </w:rPr>
      </w:pPr>
      <w:r>
        <w:rPr>
          <w:rFonts w:ascii="宋体" w:hAnsi="宋体" w:hint="eastAsia"/>
          <w:szCs w:val="21"/>
        </w:rPr>
        <w:t>此外，通过建设保定S波段双偏振相控阵天气雷达，弥补保定及周边地区雷达探测盲区，实时、准确地获取更高精度的灾害性天气信息，提高京津冀地区降水探测时空分辨率，从而提升强对流天气的精细化探测能力。</w:t>
      </w:r>
    </w:p>
    <w:p>
      <w:pPr>
        <w:tabs>
          <w:tab w:val="left" w:pos="1573"/>
        </w:tabs>
        <w:adjustRightInd w:val="0"/>
        <w:snapToGrid w:val="0"/>
        <w:ind w:firstLine="420" w:firstLineChars="200"/>
        <w:rPr>
          <w:rFonts w:ascii="宋体" w:hAnsi="宋体"/>
          <w:szCs w:val="21"/>
        </w:rPr>
      </w:pPr>
      <w:r>
        <w:rPr>
          <w:rFonts w:ascii="宋体" w:hAnsi="宋体" w:hint="eastAsia"/>
          <w:szCs w:val="21"/>
        </w:rPr>
        <w:t>由于国内首次开展该类型雷达的研制工作，项目建设难度大、技术含量高。为保障项目的顺利实施，需由专门的总体单位负责雷达各系统总体方案设计，并组织完成保定S波段双偏振相控阵天气雷达系统集成调试工作，工作内容主要包括：承担雷达系统指标详细设计任务；承担雷达分系统功能、接口的设计任务；承担雷达多波束工作模式及体扫模式详细设计工作；协助</w:t>
      </w:r>
      <w:r>
        <w:rPr>
          <w:rFonts w:ascii="宋体" w:hAnsi="宋体" w:hint="eastAsia"/>
          <w:szCs w:val="21"/>
          <w:lang w:eastAsia="zh-CN"/>
        </w:rPr>
        <w:t>采购人</w:t>
      </w:r>
      <w:r>
        <w:rPr>
          <w:rFonts w:ascii="宋体" w:hAnsi="宋体" w:hint="eastAsia"/>
          <w:szCs w:val="21"/>
        </w:rPr>
        <w:t>完成雷达系统、分系统测试大纲编制工作；协助</w:t>
      </w:r>
      <w:r>
        <w:rPr>
          <w:rFonts w:ascii="宋体" w:hAnsi="宋体" w:hint="eastAsia"/>
          <w:szCs w:val="21"/>
          <w:lang w:eastAsia="zh-CN"/>
        </w:rPr>
        <w:t>采购人</w:t>
      </w:r>
      <w:r>
        <w:rPr>
          <w:rFonts w:ascii="宋体" w:hAnsi="宋体" w:hint="eastAsia"/>
          <w:szCs w:val="21"/>
        </w:rPr>
        <w:t>完成雷达整机及分系统的测试工作；组织各分系统的联调工作。</w:t>
      </w:r>
    </w:p>
    <w:p>
      <w:pPr>
        <w:spacing w:line="360" w:lineRule="auto"/>
        <w:ind w:firstLine="0" w:firstLineChars="0"/>
        <w:outlineLvl w:val="2"/>
        <w:rPr>
          <w:rFonts w:ascii="宋体" w:hAnsi="宋体"/>
          <w:b/>
          <w:bCs/>
          <w:color w:val="000000"/>
          <w:szCs w:val="21"/>
        </w:rPr>
      </w:pPr>
      <w:r>
        <w:rPr>
          <w:rFonts w:ascii="宋体" w:hAnsi="宋体" w:hint="eastAsia"/>
          <w:b/>
          <w:bCs/>
          <w:color w:val="000000"/>
          <w:szCs w:val="21"/>
        </w:rPr>
        <w:t>二、需求一览表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7"/>
        <w:gridCol w:w="1277"/>
        <w:gridCol w:w="5018"/>
        <w:gridCol w:w="904"/>
        <w:gridCol w:w="868"/>
        <w:gridCol w:w="49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43" w:type="pct"/>
            <w:vAlign w:val="center"/>
          </w:tcPr>
          <w:p>
            <w:pPr>
              <w:jc w:val="center"/>
              <w:rPr>
                <w:b/>
                <w:bCs/>
              </w:rPr>
            </w:pPr>
            <w:r>
              <w:rPr>
                <w:rFonts w:hint="eastAsia"/>
                <w:b/>
                <w:bCs/>
              </w:rPr>
              <w:t>序号</w:t>
            </w:r>
          </w:p>
        </w:tc>
        <w:tc>
          <w:tcPr>
            <w:tcW w:w="709" w:type="pct"/>
            <w:vAlign w:val="center"/>
          </w:tcPr>
          <w:p>
            <w:pPr>
              <w:jc w:val="center"/>
              <w:rPr>
                <w:b/>
                <w:bCs/>
              </w:rPr>
            </w:pPr>
            <w:r>
              <w:rPr>
                <w:rFonts w:hint="eastAsia"/>
                <w:b/>
                <w:bCs/>
              </w:rPr>
              <w:t>名称</w:t>
            </w:r>
          </w:p>
        </w:tc>
        <w:tc>
          <w:tcPr>
            <w:tcW w:w="2787" w:type="pct"/>
            <w:vAlign w:val="center"/>
          </w:tcPr>
          <w:p>
            <w:pPr>
              <w:jc w:val="center"/>
              <w:rPr>
                <w:b/>
                <w:bCs/>
              </w:rPr>
            </w:pPr>
            <w:r>
              <w:rPr>
                <w:rFonts w:hint="eastAsia"/>
                <w:b/>
                <w:bCs/>
              </w:rPr>
              <w:t>规格要求</w:t>
            </w:r>
          </w:p>
        </w:tc>
        <w:tc>
          <w:tcPr>
            <w:tcW w:w="502" w:type="pct"/>
            <w:vAlign w:val="center"/>
          </w:tcPr>
          <w:p>
            <w:pPr>
              <w:jc w:val="center"/>
              <w:rPr>
                <w:b/>
                <w:bCs/>
              </w:rPr>
            </w:pPr>
            <w:r>
              <w:rPr>
                <w:rFonts w:hint="eastAsia"/>
                <w:b/>
                <w:bCs/>
              </w:rPr>
              <w:t>数量及单位</w:t>
            </w:r>
          </w:p>
        </w:tc>
        <w:tc>
          <w:tcPr>
            <w:tcW w:w="482" w:type="pct"/>
            <w:vAlign w:val="center"/>
          </w:tcPr>
          <w:p>
            <w:pPr>
              <w:jc w:val="center"/>
              <w:rPr>
                <w:b/>
                <w:bCs/>
              </w:rPr>
            </w:pPr>
            <w:r>
              <w:rPr>
                <w:rFonts w:hint="eastAsia"/>
                <w:b/>
                <w:bCs/>
              </w:rPr>
              <w:t>交货期（月）</w:t>
            </w:r>
          </w:p>
        </w:tc>
        <w:tc>
          <w:tcPr>
            <w:tcW w:w="277" w:type="pct"/>
            <w:vAlign w:val="center"/>
          </w:tcPr>
          <w:p>
            <w:pPr>
              <w:jc w:val="center"/>
              <w:rPr>
                <w:b/>
                <w:bCs/>
              </w:rPr>
            </w:pPr>
            <w:r>
              <w:rPr>
                <w:rFonts w:hint="eastAsia"/>
                <w:b/>
                <w:bCs/>
              </w:rPr>
              <w:t>交货地点</w:t>
            </w:r>
          </w:p>
        </w:tc>
      </w:tr>
      <w:tr>
        <w:tblPrEx>
          <w:tblW w:w="5000" w:type="pct"/>
          <w:tblInd w:w="0" w:type="dxa"/>
          <w:tblCellMar>
            <w:top w:w="0" w:type="dxa"/>
            <w:left w:w="108" w:type="dxa"/>
            <w:bottom w:w="0" w:type="dxa"/>
            <w:right w:w="108" w:type="dxa"/>
          </w:tblCellMar>
        </w:tblPrEx>
        <w:tc>
          <w:tcPr>
            <w:tcW w:w="243" w:type="pct"/>
            <w:vAlign w:val="center"/>
          </w:tcPr>
          <w:p>
            <w:pPr>
              <w:jc w:val="center"/>
            </w:pPr>
            <w:r>
              <w:rPr>
                <w:rFonts w:hint="eastAsia"/>
              </w:rPr>
              <w:t>1</w:t>
            </w:r>
          </w:p>
        </w:tc>
        <w:tc>
          <w:tcPr>
            <w:tcW w:w="709" w:type="pct"/>
            <w:vAlign w:val="center"/>
          </w:tcPr>
          <w:p>
            <w:bookmarkStart w:id="58" w:name="OLE_LINK4"/>
            <w:r>
              <w:rPr>
                <w:rFonts w:hint="eastAsia"/>
              </w:rPr>
              <w:t>雷达系统指标详细设计（总体方案）</w:t>
            </w:r>
            <w:bookmarkEnd w:id="58"/>
          </w:p>
        </w:tc>
        <w:tc>
          <w:tcPr>
            <w:tcW w:w="2787" w:type="pct"/>
          </w:tcPr>
          <w:p>
            <w:r>
              <w:rPr>
                <w:rFonts w:hint="eastAsia"/>
              </w:rPr>
              <w:t>详细设计雷达系统总体技术指标，包括但不限于雷达的发射功率、脉冲宽度、波束宽度、旁瓣电平、指向精度、探测灵敏度、动态范围、标定参数及精度要求、基数据产品精度、数据格式及传输方式、供电方式等要求；总体方案</w:t>
            </w:r>
            <w:bookmarkStart w:id="59" w:name="OLE_LINK1"/>
            <w:r>
              <w:rPr>
                <w:rFonts w:hint="eastAsia"/>
              </w:rPr>
              <w:t>需通过专家组评审。</w:t>
            </w:r>
            <w:bookmarkEnd w:id="59"/>
          </w:p>
        </w:tc>
        <w:tc>
          <w:tcPr>
            <w:tcW w:w="502" w:type="pct"/>
            <w:vAlign w:val="center"/>
          </w:tcPr>
          <w:p>
            <w:pPr>
              <w:jc w:val="center"/>
            </w:pPr>
            <w:r>
              <w:rPr>
                <w:rFonts w:hint="eastAsia"/>
              </w:rPr>
              <w:t>1套</w:t>
            </w:r>
          </w:p>
        </w:tc>
        <w:tc>
          <w:tcPr>
            <w:tcW w:w="482" w:type="pct"/>
            <w:vAlign w:val="center"/>
          </w:tcPr>
          <w:p>
            <w:pPr>
              <w:jc w:val="center"/>
            </w:pPr>
            <w:r>
              <w:rPr>
                <w:rFonts w:hint="eastAsia"/>
              </w:rPr>
              <w:t>T0+1</w:t>
            </w:r>
          </w:p>
        </w:tc>
        <w:tc>
          <w:tcPr>
            <w:tcW w:w="277" w:type="pct"/>
            <w:vMerge w:val="restart"/>
          </w:tcPr>
          <w:p>
            <w:pPr>
              <w:jc w:val="center"/>
            </w:pPr>
            <w:r>
              <w:rPr>
                <w:rFonts w:hint="eastAsia"/>
              </w:rPr>
              <w:t>河北省保定市</w:t>
            </w:r>
          </w:p>
        </w:tc>
      </w:tr>
      <w:tr>
        <w:tblPrEx>
          <w:tblW w:w="5000" w:type="pct"/>
          <w:tblInd w:w="0" w:type="dxa"/>
          <w:tblCellMar>
            <w:top w:w="0" w:type="dxa"/>
            <w:left w:w="108" w:type="dxa"/>
            <w:bottom w:w="0" w:type="dxa"/>
            <w:right w:w="108" w:type="dxa"/>
          </w:tblCellMar>
        </w:tblPrEx>
        <w:tc>
          <w:tcPr>
            <w:tcW w:w="243" w:type="pct"/>
            <w:vAlign w:val="center"/>
          </w:tcPr>
          <w:p>
            <w:pPr>
              <w:jc w:val="center"/>
            </w:pPr>
            <w:r>
              <w:rPr>
                <w:rFonts w:hint="eastAsia"/>
              </w:rPr>
              <w:t>2</w:t>
            </w:r>
          </w:p>
        </w:tc>
        <w:tc>
          <w:tcPr>
            <w:tcW w:w="709" w:type="pct"/>
          </w:tcPr>
          <w:p>
            <w:r>
              <w:rPr>
                <w:rFonts w:hint="eastAsia"/>
              </w:rPr>
              <w:t>雷达分系统功能、接口的设计（分系统技术要求）</w:t>
            </w:r>
          </w:p>
        </w:tc>
        <w:tc>
          <w:tcPr>
            <w:tcW w:w="2787" w:type="pct"/>
          </w:tcPr>
          <w:p>
            <w:r>
              <w:rPr>
                <w:rFonts w:hint="eastAsia"/>
              </w:rPr>
              <w:t>将雷达顶层指标量化分解至各分系统，编制并持续维护《保定相控阵雷达接口要求》，建立配置/版本与变更控制机制，确保跨单位接口一致，接口争议与变更应按配置管理流程闭环落实；分系统技术要求需通过专家组评审。</w:t>
            </w:r>
          </w:p>
        </w:tc>
        <w:tc>
          <w:tcPr>
            <w:tcW w:w="502" w:type="pct"/>
            <w:vAlign w:val="center"/>
          </w:tcPr>
          <w:p>
            <w:pPr>
              <w:jc w:val="center"/>
            </w:pPr>
            <w:r>
              <w:rPr>
                <w:rFonts w:hint="eastAsia"/>
              </w:rPr>
              <w:t>1套</w:t>
            </w:r>
          </w:p>
        </w:tc>
        <w:tc>
          <w:tcPr>
            <w:tcW w:w="482" w:type="pct"/>
            <w:vAlign w:val="center"/>
          </w:tcPr>
          <w:p>
            <w:pPr>
              <w:jc w:val="center"/>
            </w:pPr>
            <w:r>
              <w:rPr>
                <w:rFonts w:hint="eastAsia"/>
              </w:rPr>
              <w:t>T0+1</w:t>
            </w:r>
          </w:p>
        </w:tc>
        <w:tc>
          <w:tcPr>
            <w:tcW w:w="277" w:type="pct"/>
            <w:vMerge/>
          </w:tcPr>
          <w:p/>
        </w:tc>
      </w:tr>
      <w:tr>
        <w:tblPrEx>
          <w:tblW w:w="5000" w:type="pct"/>
          <w:tblInd w:w="0" w:type="dxa"/>
          <w:tblCellMar>
            <w:top w:w="0" w:type="dxa"/>
            <w:left w:w="108" w:type="dxa"/>
            <w:bottom w:w="0" w:type="dxa"/>
            <w:right w:w="108" w:type="dxa"/>
          </w:tblCellMar>
        </w:tblPrEx>
        <w:tc>
          <w:tcPr>
            <w:tcW w:w="243" w:type="pct"/>
            <w:vAlign w:val="center"/>
          </w:tcPr>
          <w:p>
            <w:pPr>
              <w:jc w:val="center"/>
            </w:pPr>
            <w:bookmarkStart w:id="60" w:name="_Hlk224306473"/>
            <w:r>
              <w:rPr>
                <w:rFonts w:hint="eastAsia"/>
              </w:rPr>
              <w:t>3</w:t>
            </w:r>
          </w:p>
        </w:tc>
        <w:tc>
          <w:tcPr>
            <w:tcW w:w="709" w:type="pct"/>
          </w:tcPr>
          <w:p>
            <w:r>
              <w:rPr>
                <w:rFonts w:hint="eastAsia"/>
              </w:rPr>
              <w:t>雷达多波束工作模式及体扫模式详细设计</w:t>
            </w:r>
          </w:p>
        </w:tc>
        <w:tc>
          <w:tcPr>
            <w:tcW w:w="2787" w:type="pct"/>
          </w:tcPr>
          <w:p>
            <w:r>
              <w:rPr>
                <w:rFonts w:hint="eastAsia"/>
              </w:rPr>
              <w:t>制定雷达多波束设计方案，包括但不限于窄发窄收、宽发窄收、脉间捷变、频相扫描等多波束技术的工作流程、发射接收关键技术要求等；制定详细的基于目标的观测模式，包括但不限于晴空、大范围降水和强对流三种独立体扫模式，以及基于观测目标特征的自适应观测模式，给出详细的工作流程及波束驻留时间、重频率等关键技术要求。</w:t>
            </w:r>
          </w:p>
        </w:tc>
        <w:tc>
          <w:tcPr>
            <w:tcW w:w="502" w:type="pct"/>
            <w:vAlign w:val="center"/>
          </w:tcPr>
          <w:p>
            <w:pPr>
              <w:jc w:val="center"/>
            </w:pPr>
            <w:r>
              <w:rPr>
                <w:rFonts w:hint="eastAsia"/>
              </w:rPr>
              <w:t>1套</w:t>
            </w:r>
          </w:p>
        </w:tc>
        <w:tc>
          <w:tcPr>
            <w:tcW w:w="482" w:type="pct"/>
            <w:vAlign w:val="center"/>
          </w:tcPr>
          <w:p>
            <w:pPr>
              <w:jc w:val="center"/>
            </w:pPr>
            <w:r>
              <w:rPr>
                <w:rFonts w:hint="eastAsia"/>
              </w:rPr>
              <w:t>T0+3</w:t>
            </w:r>
          </w:p>
        </w:tc>
        <w:tc>
          <w:tcPr>
            <w:tcW w:w="277" w:type="pct"/>
            <w:vMerge/>
          </w:tcPr>
          <w:p/>
        </w:tc>
      </w:tr>
      <w:tr>
        <w:tblPrEx>
          <w:tblW w:w="5000" w:type="pct"/>
          <w:tblInd w:w="0" w:type="dxa"/>
          <w:tblCellMar>
            <w:top w:w="0" w:type="dxa"/>
            <w:left w:w="108" w:type="dxa"/>
            <w:bottom w:w="0" w:type="dxa"/>
            <w:right w:w="108" w:type="dxa"/>
          </w:tblCellMar>
        </w:tblPrEx>
        <w:tc>
          <w:tcPr>
            <w:tcW w:w="243" w:type="pct"/>
            <w:vAlign w:val="center"/>
          </w:tcPr>
          <w:p>
            <w:pPr>
              <w:jc w:val="center"/>
            </w:pPr>
            <w:r>
              <w:rPr>
                <w:rFonts w:hint="eastAsia"/>
              </w:rPr>
              <w:t>4</w:t>
            </w:r>
          </w:p>
        </w:tc>
        <w:tc>
          <w:tcPr>
            <w:tcW w:w="709" w:type="pct"/>
          </w:tcPr>
          <w:p>
            <w:r>
              <w:rPr>
                <w:rFonts w:hint="eastAsia"/>
              </w:rPr>
              <w:t>协助</w:t>
            </w:r>
            <w:r>
              <w:rPr>
                <w:rFonts w:hint="eastAsia"/>
                <w:lang w:eastAsia="zh-CN"/>
              </w:rPr>
              <w:t>采购人</w:t>
            </w:r>
            <w:r>
              <w:rPr>
                <w:rFonts w:hint="eastAsia"/>
              </w:rPr>
              <w:t>完成雷达系统、分系统测试大纲编制和分系统测试</w:t>
            </w:r>
          </w:p>
        </w:tc>
        <w:tc>
          <w:tcPr>
            <w:tcW w:w="2787" w:type="pct"/>
            <w:vAlign w:val="center"/>
          </w:tcPr>
          <w:p>
            <w:r>
              <w:rPr>
                <w:rFonts w:hint="eastAsia"/>
              </w:rPr>
              <w:t>建立项目管理体系，协助组织完成雷达系统和分系统测试大纲编制和分系统测试。</w:t>
            </w:r>
          </w:p>
        </w:tc>
        <w:tc>
          <w:tcPr>
            <w:tcW w:w="502" w:type="pct"/>
            <w:vAlign w:val="center"/>
          </w:tcPr>
          <w:p>
            <w:pPr>
              <w:jc w:val="center"/>
            </w:pPr>
            <w:r>
              <w:rPr>
                <w:rFonts w:hint="eastAsia"/>
              </w:rPr>
              <w:t>1部雷达（6个分系统）</w:t>
            </w:r>
          </w:p>
        </w:tc>
        <w:tc>
          <w:tcPr>
            <w:tcW w:w="482" w:type="pct"/>
            <w:vAlign w:val="center"/>
          </w:tcPr>
          <w:p>
            <w:pPr>
              <w:jc w:val="center"/>
            </w:pPr>
            <w:r>
              <w:rPr>
                <w:rFonts w:hint="eastAsia"/>
              </w:rPr>
              <w:t>T0+5</w:t>
            </w:r>
          </w:p>
        </w:tc>
        <w:tc>
          <w:tcPr>
            <w:tcW w:w="277" w:type="pct"/>
            <w:vMerge/>
          </w:tcPr>
          <w:p/>
        </w:tc>
      </w:tr>
      <w:bookmarkEnd w:id="60"/>
      <w:tr>
        <w:tblPrEx>
          <w:tblW w:w="5000" w:type="pct"/>
          <w:tblInd w:w="0" w:type="dxa"/>
          <w:tblCellMar>
            <w:top w:w="0" w:type="dxa"/>
            <w:left w:w="108" w:type="dxa"/>
            <w:bottom w:w="0" w:type="dxa"/>
            <w:right w:w="108" w:type="dxa"/>
          </w:tblCellMar>
        </w:tblPrEx>
        <w:tc>
          <w:tcPr>
            <w:tcW w:w="243" w:type="pct"/>
            <w:vAlign w:val="center"/>
          </w:tcPr>
          <w:p>
            <w:pPr>
              <w:jc w:val="center"/>
            </w:pPr>
            <w:r>
              <w:rPr>
                <w:rFonts w:hint="eastAsia"/>
              </w:rPr>
              <w:t>5</w:t>
            </w:r>
          </w:p>
        </w:tc>
        <w:tc>
          <w:tcPr>
            <w:tcW w:w="709" w:type="pct"/>
          </w:tcPr>
          <w:p>
            <w:r>
              <w:rPr>
                <w:rFonts w:hint="eastAsia"/>
              </w:rPr>
              <w:t>组织协调分系统中标方相应分系统的联调和整机测试验收</w:t>
            </w:r>
          </w:p>
        </w:tc>
        <w:tc>
          <w:tcPr>
            <w:tcW w:w="2787" w:type="pct"/>
            <w:vAlign w:val="center"/>
          </w:tcPr>
          <w:p>
            <w:r>
              <w:rPr>
                <w:rFonts w:hint="eastAsia"/>
              </w:rPr>
              <w:t>落实进度量/风险的统筹控制，做好分系统联调、整机测试验收组织协调工作。雷达系统交付时应提供包括但不限于《用户手册》《运维与维修手册》《备件与保障方案》《验收资料汇编》等完整资料。</w:t>
            </w:r>
          </w:p>
        </w:tc>
        <w:tc>
          <w:tcPr>
            <w:tcW w:w="502" w:type="pct"/>
            <w:vAlign w:val="center"/>
          </w:tcPr>
          <w:p>
            <w:pPr>
              <w:jc w:val="center"/>
            </w:pPr>
            <w:r>
              <w:rPr>
                <w:rFonts w:hint="eastAsia"/>
              </w:rPr>
              <w:t>1套</w:t>
            </w:r>
          </w:p>
        </w:tc>
        <w:tc>
          <w:tcPr>
            <w:tcW w:w="482" w:type="pct"/>
            <w:vAlign w:val="center"/>
          </w:tcPr>
          <w:p>
            <w:pPr>
              <w:jc w:val="center"/>
            </w:pPr>
            <w:r>
              <w:rPr>
                <w:rFonts w:hint="eastAsia"/>
              </w:rPr>
              <w:t>T0+21</w:t>
            </w:r>
          </w:p>
        </w:tc>
        <w:tc>
          <w:tcPr>
            <w:tcW w:w="277" w:type="pct"/>
            <w:vMerge/>
          </w:tcPr>
          <w:p/>
        </w:tc>
      </w:tr>
    </w:tbl>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三、</w:t>
      </w:r>
      <w:bookmarkStart w:id="61" w:name="_Toc10602"/>
      <w:bookmarkStart w:id="62" w:name="_Toc7798"/>
      <w:bookmarkStart w:id="63" w:name="_Toc32397"/>
      <w:bookmarkStart w:id="64" w:name="_Toc5252"/>
      <w:bookmarkStart w:id="65" w:name="_Toc172902242"/>
      <w:bookmarkStart w:id="66" w:name="_Toc197524548"/>
      <w:bookmarkStart w:id="67" w:name="_Toc17015"/>
      <w:bookmarkStart w:id="68" w:name="_Toc9116"/>
      <w:r>
        <w:rPr>
          <w:rFonts w:ascii="宋体" w:hAnsi="宋体"/>
          <w:b/>
          <w:bCs/>
          <w:color w:val="000000"/>
          <w:szCs w:val="21"/>
        </w:rPr>
        <w:t>技术性能</w:t>
      </w:r>
      <w:bookmarkEnd w:id="61"/>
      <w:bookmarkEnd w:id="62"/>
      <w:bookmarkEnd w:id="63"/>
      <w:bookmarkEnd w:id="64"/>
      <w:bookmarkEnd w:id="65"/>
      <w:bookmarkEnd w:id="66"/>
      <w:bookmarkEnd w:id="67"/>
      <w:bookmarkEnd w:id="68"/>
      <w:r>
        <w:rPr>
          <w:rFonts w:ascii="宋体" w:hAnsi="宋体" w:hint="eastAsia"/>
          <w:b/>
          <w:bCs/>
          <w:color w:val="000000"/>
          <w:szCs w:val="21"/>
        </w:rPr>
        <w:t>要求</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3.1雷达系统概述</w:t>
      </w:r>
    </w:p>
    <w:p>
      <w:pPr>
        <w:tabs>
          <w:tab w:val="left" w:pos="1573"/>
        </w:tabs>
        <w:adjustRightInd w:val="0"/>
        <w:snapToGrid w:val="0"/>
        <w:ind w:firstLine="420" w:firstLineChars="200"/>
        <w:rPr>
          <w:rFonts w:ascii="宋体" w:hAnsi="宋体"/>
          <w:szCs w:val="21"/>
        </w:rPr>
      </w:pPr>
      <w:r>
        <w:rPr>
          <w:rFonts w:ascii="宋体" w:hAnsi="宋体"/>
          <w:szCs w:val="21"/>
        </w:rPr>
        <w:t>S波段双偏振相控阵天气雷达</w:t>
      </w:r>
      <w:r>
        <w:rPr>
          <w:rFonts w:ascii="宋体" w:hAnsi="宋体" w:hint="eastAsia"/>
          <w:szCs w:val="21"/>
        </w:rPr>
        <w:t>为</w:t>
      </w:r>
      <w:r>
        <w:rPr>
          <w:rFonts w:ascii="宋体" w:hAnsi="宋体"/>
          <w:szCs w:val="21"/>
        </w:rPr>
        <w:t>同时发射同时接收的全相参体制，包含</w:t>
      </w:r>
      <w:r>
        <w:rPr>
          <w:rFonts w:ascii="仿宋_GB2312" w:hint="eastAsia"/>
        </w:rPr>
        <w:t>天线阵面分系统、收发（T/R）分系统、波束形成与控制分系统、测量标校系统、应用系统、业务软件系统</w:t>
      </w:r>
      <w:r>
        <w:rPr>
          <w:rFonts w:ascii="宋体" w:hAnsi="宋体"/>
          <w:szCs w:val="21"/>
        </w:rPr>
        <w:t>。</w:t>
      </w:r>
      <w:r>
        <w:rPr>
          <w:rFonts w:ascii="宋体" w:hAnsi="宋体" w:hint="eastAsia"/>
          <w:szCs w:val="21"/>
        </w:rPr>
        <w:t>分系统要求如下：</w:t>
      </w:r>
    </w:p>
    <w:p>
      <w:pPr>
        <w:tabs>
          <w:tab w:val="left" w:pos="1573"/>
        </w:tabs>
        <w:adjustRightInd w:val="0"/>
        <w:snapToGrid w:val="0"/>
        <w:ind w:firstLine="420" w:firstLineChars="200"/>
        <w:rPr>
          <w:rFonts w:ascii="宋体" w:hAnsi="宋体"/>
          <w:b/>
          <w:bCs/>
          <w:szCs w:val="21"/>
        </w:rPr>
      </w:pPr>
      <w:r>
        <w:rPr>
          <w:rFonts w:ascii="宋体" w:hAnsi="宋体"/>
          <w:b/>
          <w:bCs/>
          <w:szCs w:val="21"/>
        </w:rPr>
        <w:t>1）天线阵面分系统要求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天线阵面分系统包含天线罩、阵列天线、伺服系统、阵面骨架、天线转台、俯仰支撑等，采用高功率、低损耗馈电网络及双偏振辐射天线技术，馈线网络具备高峰值功率容量设计，通过天线硬件层面设计，保障雷达探测能力与双偏振探测数据质量。</w:t>
      </w:r>
    </w:p>
    <w:p>
      <w:pPr>
        <w:tabs>
          <w:tab w:val="left" w:pos="1573"/>
        </w:tabs>
        <w:adjustRightInd w:val="0"/>
        <w:snapToGrid w:val="0"/>
        <w:ind w:firstLine="420" w:firstLineChars="200"/>
        <w:rPr>
          <w:rFonts w:ascii="宋体" w:hAnsi="宋体"/>
          <w:b/>
          <w:bCs/>
          <w:szCs w:val="21"/>
        </w:rPr>
      </w:pPr>
      <w:r>
        <w:rPr>
          <w:rFonts w:ascii="宋体" w:hAnsi="宋体"/>
          <w:b/>
          <w:bCs/>
          <w:szCs w:val="21"/>
        </w:rPr>
        <w:t>2）收发（T/R）分系统要求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收发（T/R）分系统包含数字T/R、频率源、收发分系统电源等，采用高峰值功率、窄脉冲发射技术，从技术原理上解决传统相控阵天气雷达在强回波条件下存在的脉冲压缩距离副瓣、多脉冲补盲导致的回波台阶等难以消除的问题。</w:t>
      </w:r>
    </w:p>
    <w:p>
      <w:pPr>
        <w:tabs>
          <w:tab w:val="left" w:pos="1573"/>
        </w:tabs>
        <w:adjustRightInd w:val="0"/>
        <w:snapToGrid w:val="0"/>
        <w:ind w:firstLine="420" w:firstLineChars="200"/>
        <w:rPr>
          <w:rFonts w:ascii="宋体" w:hAnsi="宋体"/>
          <w:b/>
          <w:bCs/>
          <w:szCs w:val="21"/>
        </w:rPr>
      </w:pPr>
      <w:r>
        <w:rPr>
          <w:rFonts w:ascii="宋体" w:hAnsi="宋体"/>
          <w:b/>
          <w:bCs/>
          <w:szCs w:val="21"/>
        </w:rPr>
        <w:t>3）波束形成与控制分系统要求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波束形成与控制分系统包含数字波束形成模块、雷达系统控制模块、馈线网络、阵面电源等，采用全数字波束形成技术，支持同时处理不少于40个波束，I/Q数据位为32位，并能对合成前所有通道的I/Q数据实现不低于半小时的存储。</w:t>
      </w:r>
    </w:p>
    <w:p>
      <w:pPr>
        <w:tabs>
          <w:tab w:val="left" w:pos="1573"/>
        </w:tabs>
        <w:adjustRightInd w:val="0"/>
        <w:snapToGrid w:val="0"/>
        <w:ind w:firstLine="420" w:firstLineChars="200"/>
        <w:rPr>
          <w:rFonts w:ascii="宋体" w:hAnsi="宋体"/>
          <w:b/>
          <w:bCs/>
          <w:szCs w:val="21"/>
        </w:rPr>
      </w:pPr>
      <w:r>
        <w:rPr>
          <w:rFonts w:ascii="宋体" w:hAnsi="宋体"/>
          <w:b/>
          <w:bCs/>
          <w:szCs w:val="21"/>
        </w:rPr>
        <w:t>4）测量标校系统要求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测量标校系统包含机外远场标校系统、机内标校系统，在现有业务雷达运行状态监控和故障诊断机制的基础上，配备完善的状态监测网络，可对雷达收发通道幅相特性进行精确校准，确保相控阵雷达各项性能指标稳定可靠。</w:t>
      </w:r>
    </w:p>
    <w:p>
      <w:pPr>
        <w:tabs>
          <w:tab w:val="left" w:pos="1573"/>
        </w:tabs>
        <w:adjustRightInd w:val="0"/>
        <w:snapToGrid w:val="0"/>
        <w:ind w:firstLine="420" w:firstLineChars="200"/>
        <w:rPr>
          <w:rFonts w:ascii="宋体" w:hAnsi="宋体"/>
          <w:b/>
          <w:bCs/>
          <w:szCs w:val="21"/>
        </w:rPr>
      </w:pPr>
      <w:r>
        <w:rPr>
          <w:rFonts w:ascii="宋体" w:hAnsi="宋体"/>
          <w:b/>
          <w:bCs/>
          <w:szCs w:val="21"/>
        </w:rPr>
        <w:t>5）应用系统要求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应用系统包含信号处理分系统、业务应用分系统、数据存储和传输链路、数据机房，采用基于全流程GPU运算的高速信号处理技术，可实时将相控阵雷达多通道I/Q数据转换为原始基数据。</w:t>
      </w:r>
    </w:p>
    <w:p>
      <w:pPr>
        <w:tabs>
          <w:tab w:val="left" w:pos="1573"/>
        </w:tabs>
        <w:adjustRightInd w:val="0"/>
        <w:snapToGrid w:val="0"/>
        <w:ind w:firstLine="420" w:firstLineChars="200"/>
        <w:rPr>
          <w:rFonts w:ascii="宋体" w:hAnsi="宋体"/>
          <w:b/>
          <w:bCs/>
          <w:szCs w:val="21"/>
        </w:rPr>
      </w:pPr>
      <w:r>
        <w:rPr>
          <w:rFonts w:ascii="宋体" w:hAnsi="宋体"/>
          <w:b/>
          <w:bCs/>
          <w:szCs w:val="21"/>
        </w:rPr>
        <w:t>6）业务软件系统要求</w:t>
      </w:r>
    </w:p>
    <w:p>
      <w:pPr>
        <w:tabs>
          <w:tab w:val="left" w:pos="1573"/>
        </w:tabs>
        <w:adjustRightInd w:val="0"/>
        <w:snapToGrid w:val="0"/>
        <w:ind w:firstLine="420" w:firstLineChars="200"/>
        <w:rPr>
          <w:rFonts w:ascii="宋体" w:hAnsi="宋体"/>
          <w:szCs w:val="21"/>
        </w:rPr>
      </w:pPr>
      <w:r>
        <w:rPr>
          <w:rFonts w:ascii="宋体" w:hAnsi="宋体" w:hint="eastAsia"/>
          <w:szCs w:val="21"/>
        </w:rPr>
        <w:t>业务软件系统包含雷达控制与数据采集、数据质量控制、相控阵数据压缩、相控阵流传输、相控阵产品生成、相控阵产品应用等，通过对基数据进行实时压缩，优化传输性能，体扫数据传输延时保持在秒级，为该体制雷达未来的业务应用奠定基础。</w:t>
      </w:r>
    </w:p>
    <w:p>
      <w:pPr>
        <w:tabs>
          <w:tab w:val="left" w:pos="1573"/>
        </w:tabs>
        <w:adjustRightInd w:val="0"/>
        <w:snapToGrid w:val="0"/>
        <w:ind w:firstLine="420" w:firstLineChars="200"/>
        <w:rPr>
          <w:rFonts w:ascii="宋体" w:hAnsi="宋体"/>
          <w:szCs w:val="21"/>
        </w:rPr>
      </w:pPr>
      <w:r>
        <w:rPr>
          <w:rFonts w:ascii="宋体" w:hAnsi="宋体" w:hint="eastAsia"/>
          <w:szCs w:val="21"/>
        </w:rPr>
        <w:t>本次采购需要完成保定S波段双偏振相控阵天气雷达系统集成调试（含总体设计）工作，负责雷达系统</w:t>
      </w:r>
      <w:r>
        <w:rPr>
          <w:rFonts w:ascii="宋体" w:hAnsi="宋体" w:hint="eastAsia"/>
          <w:b/>
          <w:bCs/>
          <w:szCs w:val="21"/>
        </w:rPr>
        <w:t>总体方案设计与性能优化</w:t>
      </w:r>
      <w:r>
        <w:rPr>
          <w:rFonts w:ascii="宋体" w:hAnsi="宋体" w:hint="eastAsia"/>
          <w:szCs w:val="21"/>
        </w:rPr>
        <w:t>，围绕系统六大组成部分开展一体化设计，实现雷达整体性能最优；完成系统指标、分系统功能与接口、多波束及体扫工作模式的详细设计；组织各分系统承制单位开展联调联试，协助</w:t>
      </w:r>
      <w:r>
        <w:rPr>
          <w:rFonts w:ascii="宋体" w:hAnsi="宋体" w:hint="eastAsia"/>
          <w:szCs w:val="21"/>
          <w:lang w:eastAsia="zh-CN"/>
        </w:rPr>
        <w:t>采购人</w:t>
      </w:r>
      <w:r>
        <w:rPr>
          <w:rFonts w:ascii="宋体" w:hAnsi="宋体" w:hint="eastAsia"/>
          <w:szCs w:val="21"/>
        </w:rPr>
        <w:t>编制整机及分系统测试大纲并完成测试验收，最终实现雷达系统</w:t>
      </w:r>
      <w:r>
        <w:rPr>
          <w:rFonts w:ascii="宋体" w:hAnsi="宋体" w:hint="eastAsia"/>
          <w:b/>
          <w:bCs/>
          <w:szCs w:val="21"/>
        </w:rPr>
        <w:t>装配、调试与稳定运行</w:t>
      </w:r>
      <w:r>
        <w:rPr>
          <w:rFonts w:ascii="宋体" w:hAnsi="宋体" w:hint="eastAsia"/>
          <w:szCs w:val="21"/>
        </w:rPr>
        <w:t>。</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3.2雷达系统总体技术指标</w:t>
      </w:r>
    </w:p>
    <w:p>
      <w:pPr>
        <w:tabs>
          <w:tab w:val="left" w:pos="1573"/>
        </w:tabs>
        <w:adjustRightInd w:val="0"/>
        <w:snapToGrid w:val="0"/>
        <w:ind w:firstLine="420" w:firstLineChars="200"/>
        <w:rPr>
          <w:rFonts w:ascii="宋体" w:hAnsi="宋体"/>
          <w:szCs w:val="21"/>
        </w:rPr>
      </w:pPr>
      <w:r>
        <w:rPr>
          <w:rFonts w:ascii="宋体" w:hAnsi="宋体" w:hint="eastAsia"/>
          <w:szCs w:val="21"/>
        </w:rPr>
        <w:t>雷达系统和部分分系统关键性能指标要求如下：</w:t>
      </w:r>
    </w:p>
    <w:p>
      <w:pPr>
        <w:tabs>
          <w:tab w:val="left" w:pos="1573"/>
        </w:tabs>
        <w:adjustRightInd w:val="0"/>
        <w:snapToGrid w:val="0"/>
        <w:ind w:firstLine="420" w:firstLineChars="200"/>
        <w:rPr>
          <w:rFonts w:ascii="宋体" w:hAnsi="宋体"/>
          <w:szCs w:val="21"/>
        </w:rPr>
      </w:pPr>
      <w:r>
        <w:rPr>
          <w:rFonts w:ascii="宋体" w:hAnsi="宋体" w:hint="eastAsia"/>
          <w:szCs w:val="21"/>
        </w:rPr>
        <w:t>雷达系统</w:t>
      </w:r>
      <w:r>
        <w:rPr>
          <w:rFonts w:ascii="宋体" w:hAnsi="宋体"/>
          <w:szCs w:val="21"/>
        </w:rPr>
        <w:t>总体技术指标包括</w:t>
      </w:r>
      <w:r>
        <w:rPr>
          <w:rFonts w:ascii="宋体" w:hAnsi="宋体" w:hint="eastAsia"/>
          <w:szCs w:val="21"/>
        </w:rPr>
        <w:t>雷达工作模式、</w:t>
      </w:r>
      <w:bookmarkStart w:id="69" w:name="OLE_LINK9"/>
      <w:r>
        <w:rPr>
          <w:rFonts w:ascii="宋体" w:hAnsi="宋体" w:hint="eastAsia"/>
          <w:szCs w:val="21"/>
        </w:rPr>
        <w:t>雷达</w:t>
      </w:r>
      <w:bookmarkEnd w:id="69"/>
      <w:r>
        <w:rPr>
          <w:rFonts w:ascii="宋体" w:hAnsi="宋体" w:cs="宋体" w:hint="eastAsia"/>
          <w:kern w:val="0"/>
          <w:szCs w:val="21"/>
          <w:lang w:bidi="ar"/>
        </w:rPr>
        <w:t>系统动态范围、</w:t>
      </w:r>
      <w:r>
        <w:rPr>
          <w:rFonts w:ascii="宋体" w:hAnsi="宋体" w:hint="eastAsia"/>
          <w:szCs w:val="21"/>
        </w:rPr>
        <w:t>雷达</w:t>
      </w:r>
      <w:r>
        <w:rPr>
          <w:rFonts w:ascii="宋体" w:hAnsi="宋体" w:cs="宋体" w:hint="eastAsia"/>
          <w:kern w:val="0"/>
          <w:szCs w:val="21"/>
          <w:lang w:bidi="ar"/>
        </w:rPr>
        <w:t>地物杂波抑制能力、定位标准差、基数据标准差、数据分辨力、雷达最小可测回波强度、雷达体扫时间等</w:t>
      </w:r>
      <w:r>
        <w:rPr>
          <w:rFonts w:ascii="宋体" w:hAnsi="宋体"/>
          <w:szCs w:val="21"/>
        </w:rPr>
        <w:t>，具体数据见表</w:t>
      </w:r>
      <w:r>
        <w:rPr>
          <w:rFonts w:ascii="宋体" w:hAnsi="宋体" w:hint="eastAsia"/>
          <w:szCs w:val="21"/>
        </w:rPr>
        <w:t>1</w:t>
      </w:r>
      <w:r>
        <w:rPr>
          <w:rFonts w:ascii="宋体" w:hAnsi="宋体"/>
          <w:szCs w:val="21"/>
        </w:rPr>
        <w:t>。</w:t>
      </w:r>
    </w:p>
    <w:p>
      <w:pPr>
        <w:pStyle w:val="-HCDC"/>
        <w:widowControl w:val="0"/>
        <w:numPr>
          <w:ilvl w:val="0"/>
          <w:numId w:val="5"/>
        </w:numPr>
        <w:tabs>
          <w:tab w:val="left" w:pos="567"/>
          <w:tab w:val="left" w:pos="720"/>
        </w:tabs>
        <w:spacing w:line="360" w:lineRule="auto"/>
        <w:ind w:left="720" w:hanging="720"/>
        <w:jc w:val="center"/>
        <w:rPr>
          <w:rFonts w:ascii="宋体" w:eastAsia="宋体" w:hAnsi="宋体"/>
        </w:rPr>
      </w:pPr>
      <w:r>
        <w:rPr>
          <w:rFonts w:ascii="宋体" w:eastAsia="宋体" w:hAnsi="宋体" w:hint="eastAsia"/>
        </w:rPr>
        <w:t>雷达系统</w:t>
      </w:r>
      <w:r>
        <w:rPr>
          <w:rFonts w:ascii="宋体" w:eastAsia="宋体" w:hAnsi="宋体"/>
        </w:rPr>
        <w:t>总体技术指标</w:t>
      </w:r>
      <w:r>
        <w:rPr>
          <w:rFonts w:ascii="宋体" w:eastAsia="宋体" w:hAnsi="宋体" w:hint="eastAsia"/>
        </w:rPr>
        <w:t>表</w:t>
      </w:r>
    </w:p>
    <w:tbl>
      <w:tblPr>
        <w:tblStyle w:val="TableNormal"/>
        <w:tblW w:w="8820" w:type="dxa"/>
        <w:jc w:val="center"/>
        <w:tblLayout w:type="fixed"/>
        <w:tblCellMar>
          <w:top w:w="0" w:type="dxa"/>
          <w:left w:w="108" w:type="dxa"/>
          <w:bottom w:w="0" w:type="dxa"/>
          <w:right w:w="108" w:type="dxa"/>
        </w:tblCellMar>
      </w:tblPr>
      <w:tblGrid>
        <w:gridCol w:w="1198"/>
        <w:gridCol w:w="2771"/>
        <w:gridCol w:w="3261"/>
        <w:gridCol w:w="1590"/>
      </w:tblGrid>
      <w:tr>
        <w:tblPrEx>
          <w:tblW w:w="8820" w:type="dxa"/>
          <w:jc w:val="center"/>
          <w:tblLayout w:type="fixed"/>
          <w:tblCellMar>
            <w:top w:w="0" w:type="dxa"/>
            <w:left w:w="108" w:type="dxa"/>
            <w:bottom w:w="0" w:type="dxa"/>
            <w:right w:w="108" w:type="dxa"/>
          </w:tblCellMar>
        </w:tblPrEx>
        <w:trPr>
          <w:cantSplit/>
          <w:trHeight w:val="315"/>
          <w:tblHeader/>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hint="eastAsia"/>
                <w:b/>
                <w:bCs/>
                <w:kern w:val="0"/>
                <w:szCs w:val="21"/>
                <w:lang w:bidi="ar"/>
              </w:rPr>
              <w:t>项目</w:t>
            </w:r>
          </w:p>
        </w:tc>
        <w:tc>
          <w:tcPr>
            <w:tcW w:w="3261" w:type="dxa"/>
            <w:tcBorders>
              <w:top w:val="single" w:sz="4" w:space="0" w:color="auto"/>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hint="eastAsia"/>
                <w:b/>
                <w:bCs/>
                <w:kern w:val="0"/>
                <w:szCs w:val="21"/>
                <w:lang w:bidi="ar"/>
              </w:rPr>
              <w:t>性能指标要求</w:t>
            </w:r>
          </w:p>
        </w:tc>
        <w:tc>
          <w:tcPr>
            <w:tcW w:w="1590" w:type="dxa"/>
            <w:tcBorders>
              <w:top w:val="single" w:sz="4" w:space="0" w:color="auto"/>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hint="eastAsia"/>
                <w:b/>
                <w:bCs/>
                <w:kern w:val="0"/>
                <w:szCs w:val="21"/>
                <w:lang w:bidi="ar"/>
              </w:rPr>
              <w:t>备注</w:t>
            </w: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雷达体制</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双偏振、一维相控阵全相参脉冲多普勒体制</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570"/>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工作模式</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具备远程警戒、任务探测模式和自定义探测模式、双发双收、单发双收、宽发窄收、窄发窄收</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工作频率</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S</w:t>
            </w:r>
            <w:r>
              <w:rPr>
                <w:rFonts w:ascii="宋体" w:hAnsi="宋体" w:cs="宋体" w:hint="eastAsia"/>
                <w:kern w:val="0"/>
                <w:szCs w:val="21"/>
                <w:lang w:bidi="ar"/>
              </w:rPr>
              <w:t>波段</w:t>
            </w:r>
            <w:r>
              <w:rPr>
                <w:rFonts w:ascii="宋体" w:hAnsi="宋体" w:cs="宋体"/>
                <w:kern w:val="0"/>
                <w:szCs w:val="21"/>
                <w:lang w:bidi="ar"/>
              </w:rPr>
              <w:t>2.7GHz</w:t>
            </w:r>
            <w:r>
              <w:rPr>
                <w:rFonts w:ascii="宋体" w:hAnsi="宋体" w:cs="宋体" w:hint="eastAsia"/>
                <w:kern w:val="0"/>
                <w:szCs w:val="21"/>
                <w:lang w:bidi="ar"/>
              </w:rPr>
              <w:t>～</w:t>
            </w:r>
            <w:r>
              <w:rPr>
                <w:rFonts w:ascii="宋体" w:hAnsi="宋体" w:cs="宋体"/>
                <w:kern w:val="0"/>
                <w:szCs w:val="21"/>
                <w:lang w:bidi="ar"/>
              </w:rPr>
              <w:t>3.0GHz</w:t>
            </w:r>
            <w:r>
              <w:rPr>
                <w:rFonts w:ascii="宋体" w:hAnsi="宋体" w:cs="宋体" w:hint="eastAsia"/>
                <w:kern w:val="0"/>
                <w:szCs w:val="21"/>
                <w:lang w:bidi="ar"/>
              </w:rPr>
              <w:t>范围内选定频点</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最小探测距离</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w:t>
            </w:r>
            <w:r>
              <w:rPr>
                <w:rFonts w:ascii="宋体" w:hAnsi="宋体" w:cs="宋体" w:hint="eastAsia"/>
                <w:kern w:val="0"/>
                <w:szCs w:val="21"/>
                <w:lang w:bidi="ar"/>
              </w:rPr>
              <w:t>km</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天线扫描范围</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方位</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360°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俯仰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偏离</w:t>
            </w:r>
            <w:r>
              <w:rPr>
                <w:rFonts w:ascii="宋体" w:hAnsi="宋体" w:cs="宋体"/>
                <w:kern w:val="0"/>
                <w:szCs w:val="21"/>
                <w:lang w:bidi="ar"/>
              </w:rPr>
              <w:t>法向±20°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电扫</w:t>
            </w: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探测距离范围（</w:t>
            </w:r>
            <w:r>
              <w:rPr>
                <w:rFonts w:ascii="宋体" w:hAnsi="宋体" w:cs="宋体"/>
                <w:kern w:val="0"/>
                <w:szCs w:val="21"/>
                <w:lang w:bidi="ar"/>
              </w:rPr>
              <w:t>km</w:t>
            </w:r>
            <w:r>
              <w:rPr>
                <w:rFonts w:ascii="宋体" w:hAnsi="宋体" w:cs="宋体" w:hint="eastAsia"/>
                <w:kern w:val="0"/>
                <w:szCs w:val="21"/>
                <w:lang w:bidi="ar"/>
              </w:rPr>
              <w:t>）</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强度</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≥460(</w:t>
            </w:r>
            <w:r>
              <w:rPr>
                <w:rFonts w:ascii="宋体" w:hAnsi="宋体" w:cs="宋体" w:hint="eastAsia"/>
                <w:kern w:val="0"/>
                <w:szCs w:val="21"/>
                <w:lang w:bidi="ar"/>
              </w:rPr>
              <w:t>监测</w:t>
            </w:r>
            <w:r>
              <w:rPr>
                <w:rFonts w:ascii="宋体" w:hAnsi="宋体" w:cs="宋体"/>
                <w:kern w:val="0"/>
                <w:szCs w:val="21"/>
                <w:lang w:bidi="ar"/>
              </w:rPr>
              <w:t>)</w:t>
            </w:r>
            <w:r>
              <w:rPr>
                <w:rFonts w:ascii="宋体" w:hAnsi="宋体" w:cs="宋体" w:hint="eastAsia"/>
                <w:kern w:val="0"/>
                <w:szCs w:val="21"/>
                <w:lang w:bidi="ar"/>
              </w:rPr>
              <w:t>，</w:t>
            </w:r>
            <w:r>
              <w:rPr>
                <w:rFonts w:ascii="宋体" w:hAnsi="宋体" w:cs="宋体"/>
                <w:kern w:val="0"/>
                <w:szCs w:val="21"/>
                <w:lang w:bidi="ar"/>
              </w:rPr>
              <w:t>≥230(</w:t>
            </w:r>
            <w:r>
              <w:rPr>
                <w:rFonts w:ascii="宋体" w:hAnsi="宋体" w:cs="宋体" w:hint="eastAsia"/>
                <w:kern w:val="0"/>
                <w:szCs w:val="21"/>
                <w:lang w:bidi="ar"/>
              </w:rPr>
              <w:t>测量</w:t>
            </w:r>
            <w:r>
              <w:rPr>
                <w:rFonts w:ascii="宋体" w:hAnsi="宋体" w:cs="宋体"/>
                <w:kern w:val="0"/>
                <w:szCs w:val="21"/>
                <w:lang w:bidi="ar"/>
              </w:rPr>
              <w:t>)</w:t>
            </w:r>
          </w:p>
        </w:tc>
        <w:tc>
          <w:tcPr>
            <w:tcW w:w="1590" w:type="dxa"/>
            <w:vMerge w:val="restart"/>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速度</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谱宽</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极化参数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探测高度（</w:t>
            </w:r>
            <w:r>
              <w:rPr>
                <w:rFonts w:ascii="宋体" w:hAnsi="宋体" w:cs="宋体"/>
                <w:kern w:val="0"/>
                <w:szCs w:val="21"/>
                <w:lang w:bidi="ar"/>
              </w:rPr>
              <w:t>km</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≥24</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测量范围</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强度值</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-35</w:t>
            </w:r>
            <w:r>
              <w:rPr>
                <w:rFonts w:ascii="宋体" w:hAnsi="宋体" w:cs="宋体" w:hint="eastAsia"/>
                <w:kern w:val="0"/>
                <w:szCs w:val="21"/>
                <w:lang w:bidi="ar"/>
              </w:rPr>
              <w:t>～</w:t>
            </w:r>
            <w:r>
              <w:rPr>
                <w:rFonts w:ascii="宋体" w:hAnsi="宋体" w:cs="宋体"/>
                <w:kern w:val="0"/>
                <w:szCs w:val="21"/>
                <w:lang w:bidi="ar"/>
              </w:rPr>
              <w:t>75</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速度值</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-48</w:t>
            </w:r>
            <w:r>
              <w:rPr>
                <w:rFonts w:ascii="宋体" w:hAnsi="宋体" w:cs="宋体" w:hint="eastAsia"/>
                <w:kern w:val="0"/>
                <w:szCs w:val="21"/>
                <w:lang w:bidi="ar"/>
              </w:rPr>
              <w:t>～</w:t>
            </w:r>
            <w:r>
              <w:rPr>
                <w:rFonts w:ascii="宋体" w:hAnsi="宋体" w:cs="宋体"/>
                <w:kern w:val="0"/>
                <w:szCs w:val="21"/>
                <w:lang w:bidi="ar"/>
              </w:rPr>
              <w:t>48</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谱宽值</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16</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差分反射率</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-8.0</w:t>
            </w:r>
            <w:r>
              <w:rPr>
                <w:rFonts w:ascii="宋体" w:hAnsi="宋体" w:cs="宋体" w:hint="eastAsia"/>
                <w:kern w:val="0"/>
                <w:szCs w:val="21"/>
                <w:lang w:bidi="ar"/>
              </w:rPr>
              <w:t>～</w:t>
            </w:r>
            <w:r>
              <w:rPr>
                <w:rFonts w:ascii="宋体" w:hAnsi="宋体" w:cs="宋体"/>
                <w:kern w:val="0"/>
                <w:szCs w:val="21"/>
                <w:lang w:bidi="ar"/>
              </w:rPr>
              <w:t>8.0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360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差分传播相移率</w:t>
            </w:r>
            <w:r>
              <w:rPr>
                <w:rFonts w:ascii="宋体" w:hAnsi="宋体" w:cs="宋体"/>
                <w:kern w:val="0"/>
                <w:szCs w:val="21"/>
                <w:lang w:bidi="ar"/>
              </w:rPr>
              <w:t>(°/km)</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w:t>
            </w:r>
            <w:r>
              <w:rPr>
                <w:rFonts w:ascii="宋体" w:hAnsi="宋体" w:cs="宋体" w:hint="eastAsia"/>
                <w:kern w:val="0"/>
                <w:szCs w:val="21"/>
                <w:lang w:bidi="ar"/>
              </w:rPr>
              <w:t>～</w:t>
            </w: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距离库长</w:t>
            </w:r>
            <w:r>
              <w:rPr>
                <w:rFonts w:ascii="宋体" w:hAnsi="宋体" w:cs="宋体"/>
                <w:kern w:val="0"/>
                <w:szCs w:val="21"/>
                <w:lang w:bidi="ar"/>
              </w:rPr>
              <w:t>(m)</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31.25m/</w:t>
            </w:r>
            <w:r>
              <w:rPr>
                <w:rFonts w:ascii="宋体" w:hAnsi="宋体" w:cs="宋体"/>
                <w:kern w:val="0"/>
                <w:szCs w:val="21"/>
                <w:lang w:bidi="ar"/>
              </w:rPr>
              <w:t>62.5m/125m/250m/1000m</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系统动态范围</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≥110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系统相位噪声</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≤0.06</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地物杂波抑制能力</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≥50.0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定位标准差</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距离</w:t>
            </w:r>
            <w:r>
              <w:rPr>
                <w:rFonts w:ascii="宋体" w:hAnsi="宋体" w:cs="宋体"/>
                <w:kern w:val="0"/>
                <w:szCs w:val="21"/>
                <w:lang w:bidi="ar"/>
              </w:rPr>
              <w:t>(m)</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≤50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方位</w:t>
            </w:r>
            <w:r>
              <w:rPr>
                <w:rFonts w:ascii="宋体" w:hAnsi="宋体" w:cs="宋体"/>
                <w:kern w:val="0"/>
                <w:szCs w:val="21"/>
                <w:lang w:bidi="ar"/>
              </w:rPr>
              <w:t>(°)</w:t>
            </w:r>
          </w:p>
        </w:tc>
        <w:tc>
          <w:tcPr>
            <w:tcW w:w="3261" w:type="dxa"/>
            <w:vMerge w:val="restart"/>
            <w:tcBorders>
              <w:top w:val="nil"/>
              <w:left w:val="nil"/>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≤0.05</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俯仰</w:t>
            </w:r>
            <w:r>
              <w:rPr>
                <w:rFonts w:ascii="宋体" w:hAnsi="宋体" w:cs="宋体"/>
                <w:kern w:val="0"/>
                <w:szCs w:val="21"/>
                <w:lang w:bidi="ar"/>
              </w:rPr>
              <w:t>(°)</w:t>
            </w:r>
          </w:p>
        </w:tc>
        <w:tc>
          <w:tcPr>
            <w:tcW w:w="3261" w:type="dxa"/>
            <w:vMerge/>
            <w:tcBorders>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基数据偏差</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强度</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速度（m</w:t>
            </w:r>
            <w:r>
              <w:rPr>
                <w:rFonts w:ascii="宋体" w:hAnsi="宋体" w:cs="宋体"/>
                <w:kern w:val="0"/>
                <w:szCs w:val="21"/>
                <w:lang w:bidi="ar"/>
              </w:rPr>
              <w:t>/s</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谱宽（m</w:t>
            </w:r>
            <w:r>
              <w:rPr>
                <w:rFonts w:ascii="宋体" w:hAnsi="宋体" w:cs="宋体"/>
                <w:kern w:val="0"/>
                <w:szCs w:val="21"/>
                <w:lang w:bidi="ar"/>
              </w:rPr>
              <w:t>/s</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≤0.5</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差分反射率（d</w:t>
            </w:r>
            <w:r>
              <w:rPr>
                <w:rFonts w:ascii="宋体" w:hAnsi="宋体" w:cs="宋体"/>
                <w:kern w:val="0"/>
                <w:szCs w:val="21"/>
                <w:lang w:bidi="ar"/>
              </w:rPr>
              <w:t>B</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≤0.2</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基数据标准</w:t>
            </w:r>
            <w:r>
              <w:rPr>
                <w:rFonts w:ascii="宋体" w:hAnsi="宋体" w:cs="宋体" w:hint="eastAsia"/>
                <w:kern w:val="0"/>
                <w:szCs w:val="21"/>
                <w:lang w:bidi="ar"/>
              </w:rPr>
              <w:t>差</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强度</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速度</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谱宽</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w:t>
            </w: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差分反射率（dB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w:t>
            </w:r>
            <w:r>
              <w:rPr>
                <w:rFonts w:ascii="宋体" w:hAnsi="宋体" w:cs="宋体"/>
                <w:kern w:val="0"/>
                <w:szCs w:val="21"/>
                <w:lang w:bidi="ar"/>
              </w:rPr>
              <w:t>.4</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相关系数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≤3.0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最小可测回波强度</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≤-5</w:t>
            </w:r>
            <w:r>
              <w:rPr>
                <w:rFonts w:ascii="宋体" w:hAnsi="宋体" w:cs="宋体" w:hint="eastAsia"/>
                <w:kern w:val="0"/>
                <w:szCs w:val="21"/>
                <w:lang w:bidi="ar"/>
              </w:rPr>
              <w:t>.0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1.57μs脉冲</w:t>
            </w:r>
            <w:r>
              <w:rPr>
                <w:rFonts w:ascii="宋体" w:hAnsi="宋体" w:cs="宋体"/>
                <w:kern w:val="0"/>
                <w:szCs w:val="21"/>
                <w:lang w:bidi="ar"/>
              </w:rPr>
              <w:t>@50km</w:t>
            </w: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脉冲压缩主副比</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发射高功率窄脉冲，无脉冲压缩</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校准后EIRP偏差（dB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w:t>
            </w:r>
            <w:r>
              <w:rPr>
                <w:rFonts w:ascii="宋体" w:hAnsi="宋体" w:cs="宋体"/>
                <w:kern w:val="0"/>
                <w:szCs w:val="21"/>
                <w:lang w:bidi="ar"/>
              </w:rPr>
              <w:t>.</w:t>
            </w:r>
            <w:r>
              <w:rPr>
                <w:rFonts w:ascii="宋体" w:hAnsi="宋体" w:cs="宋体" w:hint="eastAsia"/>
                <w:kern w:val="0"/>
                <w:szCs w:val="21"/>
                <w:lang w:bidi="ar"/>
              </w:rPr>
              <w:t>8</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校准后G/T偏差（dB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w:t>
            </w:r>
            <w:r>
              <w:rPr>
                <w:rFonts w:ascii="宋体" w:hAnsi="宋体" w:cs="宋体"/>
                <w:kern w:val="0"/>
                <w:szCs w:val="21"/>
                <w:lang w:bidi="ar"/>
              </w:rPr>
              <w:t>.</w:t>
            </w:r>
            <w:r>
              <w:rPr>
                <w:rFonts w:ascii="宋体" w:hAnsi="宋体" w:cs="宋体" w:hint="eastAsia"/>
                <w:kern w:val="0"/>
                <w:szCs w:val="21"/>
                <w:lang w:bidi="ar"/>
              </w:rPr>
              <w:t>8</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退距离模糊恢复比例</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≥60%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数据分辨力</w:t>
            </w: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方位角</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俯仰角</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强度</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速度</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谱宽</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差分反射率</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c>
          <w:tcPr>
            <w:tcW w:w="277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差分传播相移率</w:t>
            </w:r>
            <w:r>
              <w:rPr>
                <w:rFonts w:ascii="宋体" w:hAnsi="宋体" w:cs="宋体"/>
                <w:kern w:val="0"/>
                <w:szCs w:val="21"/>
                <w:lang w:bidi="ar"/>
              </w:rPr>
              <w:t>(°/km)</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nil"/>
              <w:right w:val="single" w:sz="4" w:space="0" w:color="000000"/>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平均无故障时间（</w:t>
            </w:r>
            <w:r>
              <w:rPr>
                <w:rFonts w:ascii="宋体" w:hAnsi="宋体" w:cs="宋体"/>
                <w:kern w:val="0"/>
                <w:szCs w:val="21"/>
                <w:lang w:bidi="ar"/>
              </w:rPr>
              <w:t>h</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≥5000</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630"/>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输出参数</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both"/>
              <w:textAlignment w:val="center"/>
              <w:rPr>
                <w:rFonts w:ascii="宋体" w:hAnsi="宋体" w:cs="宋体"/>
                <w:kern w:val="0"/>
                <w:szCs w:val="21"/>
                <w:lang w:bidi="ar"/>
              </w:rPr>
            </w:pPr>
            <w:r>
              <w:rPr>
                <w:rFonts w:ascii="宋体" w:hAnsi="宋体" w:cs="宋体"/>
                <w:kern w:val="0"/>
                <w:szCs w:val="21"/>
                <w:lang w:bidi="ar"/>
              </w:rPr>
              <w:t>Z</w:t>
            </w:r>
            <w:r>
              <w:rPr>
                <w:rFonts w:ascii="宋体" w:hAnsi="宋体" w:cs="宋体" w:hint="eastAsia"/>
                <w:kern w:val="0"/>
                <w:szCs w:val="21"/>
                <w:lang w:bidi="ar"/>
              </w:rPr>
              <w:t>、</w:t>
            </w:r>
            <w:r>
              <w:rPr>
                <w:rFonts w:ascii="宋体" w:hAnsi="宋体" w:cs="宋体"/>
                <w:kern w:val="0"/>
                <w:szCs w:val="21"/>
                <w:lang w:bidi="ar"/>
              </w:rPr>
              <w:t>V</w:t>
            </w:r>
            <w:r>
              <w:rPr>
                <w:rFonts w:ascii="宋体" w:hAnsi="宋体" w:cs="宋体" w:hint="eastAsia"/>
                <w:kern w:val="0"/>
                <w:szCs w:val="21"/>
                <w:lang w:bidi="ar"/>
              </w:rPr>
              <w:t>、</w:t>
            </w:r>
            <w:r>
              <w:rPr>
                <w:rFonts w:ascii="宋体" w:hAnsi="宋体" w:cs="宋体"/>
                <w:kern w:val="0"/>
                <w:szCs w:val="21"/>
                <w:lang w:bidi="ar"/>
              </w:rPr>
              <w:t>W</w:t>
            </w:r>
            <w:r>
              <w:rPr>
                <w:rFonts w:ascii="宋体" w:hAnsi="宋体" w:cs="宋体" w:hint="eastAsia"/>
                <w:kern w:val="0"/>
                <w:szCs w:val="21"/>
                <w:lang w:bidi="ar"/>
              </w:rPr>
              <w:t>、</w:t>
            </w:r>
            <w:r>
              <w:rPr>
                <w:rFonts w:ascii="宋体" w:hAnsi="宋体" w:cs="宋体"/>
                <w:kern w:val="0"/>
                <w:szCs w:val="21"/>
                <w:lang w:bidi="ar"/>
              </w:rPr>
              <w:t>Z</w:t>
            </w:r>
            <w:r>
              <w:rPr>
                <w:rFonts w:ascii="宋体" w:hAnsi="宋体" w:cs="宋体"/>
                <w:kern w:val="0"/>
                <w:szCs w:val="21"/>
                <w:vertAlign w:val="subscript"/>
                <w:lang w:bidi="ar"/>
              </w:rPr>
              <w:t>DR</w:t>
            </w:r>
            <w:r>
              <w:rPr>
                <w:rFonts w:ascii="宋体" w:hAnsi="宋体" w:cs="宋体" w:hint="eastAsia"/>
                <w:kern w:val="0"/>
                <w:szCs w:val="21"/>
                <w:lang w:bidi="ar"/>
              </w:rPr>
              <w:t>、Φ</w:t>
            </w:r>
            <w:r>
              <w:rPr>
                <w:rFonts w:ascii="宋体" w:hAnsi="宋体" w:cs="宋体"/>
                <w:kern w:val="0"/>
                <w:szCs w:val="21"/>
                <w:vertAlign w:val="subscript"/>
                <w:lang w:bidi="ar"/>
              </w:rPr>
              <w:t>DP</w:t>
            </w:r>
            <w:r>
              <w:rPr>
                <w:rFonts w:ascii="宋体" w:hAnsi="宋体" w:cs="宋体" w:hint="eastAsia"/>
                <w:kern w:val="0"/>
                <w:szCs w:val="21"/>
                <w:lang w:bidi="ar"/>
              </w:rPr>
              <w:t>、</w:t>
            </w:r>
            <w:r>
              <w:rPr>
                <w:rFonts w:ascii="宋体" w:hAnsi="宋体" w:cs="宋体"/>
                <w:kern w:val="0"/>
                <w:szCs w:val="21"/>
                <w:lang w:bidi="ar"/>
              </w:rPr>
              <w:t>K</w:t>
            </w:r>
            <w:r>
              <w:rPr>
                <w:rFonts w:ascii="宋体" w:hAnsi="宋体" w:cs="宋体"/>
                <w:kern w:val="0"/>
                <w:szCs w:val="21"/>
                <w:vertAlign w:val="subscript"/>
                <w:lang w:bidi="ar"/>
              </w:rPr>
              <w:t>DP</w:t>
            </w:r>
            <w:r>
              <w:rPr>
                <w:rFonts w:ascii="宋体" w:hAnsi="宋体" w:cs="宋体" w:hint="eastAsia"/>
                <w:kern w:val="0"/>
                <w:szCs w:val="21"/>
                <w:lang w:bidi="ar"/>
              </w:rPr>
              <w:t>、ρ</w:t>
            </w:r>
            <w:r>
              <w:rPr>
                <w:rFonts w:ascii="宋体" w:hAnsi="宋体" w:cs="宋体"/>
                <w:i w:val="0"/>
                <w:iCs w:val="0"/>
                <w:kern w:val="0"/>
                <w:szCs w:val="21"/>
                <w:vertAlign w:val="subscript"/>
                <w:lang w:bidi="ar"/>
              </w:rPr>
              <w:t>hv</w:t>
            </w:r>
            <w:r>
              <w:rPr>
                <w:rFonts w:ascii="宋体" w:hAnsi="宋体" w:cs="宋体" w:hint="eastAsia"/>
                <w:kern w:val="0"/>
                <w:szCs w:val="21"/>
                <w:lang w:bidi="ar"/>
              </w:rPr>
              <w:t>、</w:t>
            </w:r>
            <w:r>
              <w:rPr>
                <w:rFonts w:ascii="宋体" w:hAnsi="宋体" w:cs="宋体"/>
                <w:kern w:val="0"/>
                <w:szCs w:val="21"/>
                <w:lang w:bidi="ar"/>
              </w:rPr>
              <w:t>SNR</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体扫时间</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≤90s</w:t>
            </w:r>
            <w:r>
              <w:rPr>
                <w:rFonts w:ascii="宋体" w:hAnsi="宋体" w:cs="宋体" w:hint="eastAsia"/>
                <w:kern w:val="0"/>
                <w:szCs w:val="21"/>
                <w:lang w:bidi="ar"/>
              </w:rPr>
              <w:t>（扫描层数不低于</w:t>
            </w:r>
            <w:r>
              <w:rPr>
                <w:rFonts w:ascii="宋体" w:hAnsi="宋体" w:cs="宋体"/>
                <w:kern w:val="0"/>
                <w:szCs w:val="21"/>
                <w:lang w:bidi="ar"/>
              </w:rPr>
              <w:t>20</w:t>
            </w:r>
            <w:r>
              <w:rPr>
                <w:rFonts w:ascii="宋体" w:hAnsi="宋体" w:cs="宋体" w:hint="eastAsia"/>
                <w:kern w:val="0"/>
                <w:szCs w:val="21"/>
                <w:lang w:bidi="ar"/>
              </w:rPr>
              <w:t>层）</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连续工作时间</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24h</w:t>
            </w:r>
            <w:r>
              <w:rPr>
                <w:rFonts w:ascii="宋体" w:hAnsi="宋体" w:cs="宋体" w:hint="eastAsia"/>
                <w:kern w:val="0"/>
                <w:szCs w:val="21"/>
                <w:lang w:bidi="ar"/>
              </w:rPr>
              <w:t>连续运行</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整机寿命</w:t>
            </w:r>
            <w:r>
              <w:rPr>
                <w:rFonts w:ascii="宋体" w:hAnsi="宋体" w:cs="宋体"/>
                <w:kern w:val="0"/>
                <w:szCs w:val="21"/>
                <w:lang w:bidi="ar"/>
              </w:rPr>
              <w:t>(a)</w:t>
            </w:r>
          </w:p>
        </w:tc>
        <w:tc>
          <w:tcPr>
            <w:tcW w:w="3261"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≥19</w:t>
            </w:r>
          </w:p>
        </w:tc>
        <w:tc>
          <w:tcPr>
            <w:tcW w:w="1590" w:type="dxa"/>
            <w:tcBorders>
              <w:top w:val="nil"/>
              <w:left w:val="nil"/>
              <w:bottom w:val="single" w:sz="4" w:space="0" w:color="auto"/>
              <w:right w:val="single" w:sz="4" w:space="0" w:color="auto"/>
            </w:tcBorders>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“a”</w:t>
            </w:r>
            <w:r>
              <w:rPr>
                <w:rFonts w:ascii="宋体" w:hAnsi="宋体" w:cs="宋体" w:hint="eastAsia"/>
                <w:kern w:val="0"/>
                <w:szCs w:val="21"/>
                <w:lang w:bidi="ar"/>
              </w:rPr>
              <w:t>表示</w:t>
            </w:r>
            <w:r>
              <w:rPr>
                <w:rFonts w:ascii="宋体" w:hAnsi="宋体" w:cs="宋体"/>
                <w:kern w:val="0"/>
                <w:szCs w:val="21"/>
                <w:lang w:bidi="ar"/>
              </w:rPr>
              <w:t>“</w:t>
            </w:r>
            <w:r>
              <w:rPr>
                <w:rFonts w:ascii="宋体" w:hAnsi="宋体" w:cs="宋体" w:hint="eastAsia"/>
                <w:kern w:val="0"/>
                <w:szCs w:val="21"/>
                <w:lang w:bidi="ar"/>
              </w:rPr>
              <w:t>年</w:t>
            </w:r>
            <w:r>
              <w:rPr>
                <w:rFonts w:ascii="宋体" w:hAnsi="宋体" w:cs="宋体"/>
                <w:kern w:val="0"/>
                <w:szCs w:val="21"/>
                <w:lang w:bidi="ar"/>
              </w:rPr>
              <w:t>”</w:t>
            </w:r>
          </w:p>
        </w:tc>
      </w:tr>
    </w:tbl>
    <w:p>
      <w:pPr>
        <w:tabs>
          <w:tab w:val="left" w:pos="1573"/>
        </w:tabs>
        <w:adjustRightInd w:val="0"/>
        <w:snapToGrid w:val="0"/>
        <w:ind w:firstLine="420" w:firstLineChars="200"/>
        <w:rPr>
          <w:rFonts w:ascii="宋体" w:hAnsi="宋体"/>
          <w:szCs w:val="21"/>
        </w:rPr>
      </w:pPr>
      <w:r>
        <w:rPr>
          <w:rFonts w:ascii="宋体" w:hAnsi="宋体" w:hint="eastAsia"/>
          <w:szCs w:val="21"/>
        </w:rPr>
        <w:t>注：表1指标需要在电扫±20°内同时满足要求。主要技术指标应满足无线电频率管理相关标准及要求，如果与相关标准不符，以相关标准为准。表1中总体技术指标要求须同时满足。</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3.3 部分重要分系统技术指标</w:t>
      </w:r>
    </w:p>
    <w:p>
      <w:pPr>
        <w:ind w:firstLine="420" w:firstLineChars="200"/>
        <w:rPr>
          <w:rFonts w:ascii="宋体" w:hAnsi="宋体"/>
          <w:szCs w:val="21"/>
        </w:rPr>
      </w:pPr>
      <w:r>
        <w:rPr>
          <w:rFonts w:ascii="宋体" w:hAnsi="宋体" w:hint="eastAsia"/>
          <w:szCs w:val="21"/>
        </w:rPr>
        <w:t>机外远场标定系统基于远场有源标定技术和无人机金属球标定技术，实现对待测S波段相控阵雷达天线的辐射方向图、波束宽度、旁瓣电平、极化隔离度、EIRP和G/T、发射性能、接收性能等指标的测量标定，还可以通过目标模拟实现对被测雷达距离、强度、速度、谱宽、偏振量等产品算法的检验</w:t>
      </w:r>
      <w:r>
        <w:rPr>
          <w:rFonts w:ascii="宋体" w:hAnsi="宋体"/>
          <w:szCs w:val="21"/>
        </w:rPr>
        <w:t>。</w:t>
      </w:r>
      <w:r>
        <w:rPr>
          <w:rFonts w:ascii="宋体" w:hAnsi="宋体" w:hint="eastAsia"/>
          <w:szCs w:val="21"/>
        </w:rPr>
        <w:t>实现</w:t>
      </w:r>
      <w:r>
        <w:rPr>
          <w:rFonts w:ascii="宋体" w:hAnsi="宋体"/>
          <w:szCs w:val="21"/>
        </w:rPr>
        <w:t>S波段</w:t>
      </w:r>
      <w:r>
        <w:rPr>
          <w:rFonts w:ascii="宋体" w:hAnsi="宋体" w:hint="eastAsia"/>
          <w:szCs w:val="21"/>
        </w:rPr>
        <w:t>相控阵天气</w:t>
      </w:r>
      <w:r>
        <w:rPr>
          <w:rFonts w:ascii="宋体" w:hAnsi="宋体"/>
          <w:szCs w:val="21"/>
        </w:rPr>
        <w:t>雷达远场标定</w:t>
      </w:r>
      <w:r>
        <w:rPr>
          <w:rFonts w:ascii="宋体" w:hAnsi="宋体" w:hint="eastAsia"/>
          <w:szCs w:val="21"/>
        </w:rPr>
        <w:t>，得出雷达系统误差</w:t>
      </w:r>
      <w:r>
        <w:rPr>
          <w:rFonts w:ascii="宋体" w:hAnsi="宋体"/>
          <w:szCs w:val="21"/>
        </w:rPr>
        <w:t>。</w:t>
      </w:r>
      <w:r>
        <w:rPr>
          <w:rFonts w:ascii="宋体" w:hAnsi="宋体" w:hint="eastAsia"/>
          <w:szCs w:val="21"/>
        </w:rPr>
        <w:t>机外远场有源标定系统功能如表2所示。</w:t>
      </w:r>
    </w:p>
    <w:p>
      <w:pPr>
        <w:pStyle w:val="-HCDC"/>
        <w:widowControl w:val="0"/>
        <w:numPr>
          <w:ilvl w:val="0"/>
          <w:numId w:val="5"/>
        </w:numPr>
        <w:tabs>
          <w:tab w:val="left" w:pos="567"/>
          <w:tab w:val="left" w:pos="720"/>
        </w:tabs>
        <w:spacing w:line="360" w:lineRule="auto"/>
        <w:ind w:left="720" w:hanging="720"/>
        <w:jc w:val="center"/>
        <w:rPr>
          <w:rFonts w:ascii="宋体" w:eastAsia="宋体" w:hAnsi="宋体"/>
        </w:rPr>
      </w:pPr>
      <w:r>
        <w:rPr>
          <w:rFonts w:ascii="宋体" w:eastAsia="宋体" w:hAnsi="宋体" w:hint="eastAsia"/>
        </w:rPr>
        <w:t>有源远场外标定系统的标定项目表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2"/>
        <w:gridCol w:w="3701"/>
        <w:gridCol w:w="38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73"/>
          <w:jc w:val="center"/>
        </w:trPr>
        <w:tc>
          <w:tcPr>
            <w:tcW w:w="732" w:type="dxa"/>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b/>
                <w:bCs/>
                <w:kern w:val="0"/>
                <w:szCs w:val="21"/>
                <w:lang w:bidi="ar"/>
              </w:rPr>
              <w:t>序号</w:t>
            </w:r>
          </w:p>
        </w:tc>
        <w:tc>
          <w:tcPr>
            <w:tcW w:w="3701" w:type="dxa"/>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b/>
                <w:bCs/>
                <w:kern w:val="0"/>
                <w:szCs w:val="21"/>
                <w:lang w:bidi="ar"/>
              </w:rPr>
              <w:t>标定项目</w:t>
            </w:r>
          </w:p>
        </w:tc>
        <w:tc>
          <w:tcPr>
            <w:tcW w:w="3827" w:type="dxa"/>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b/>
                <w:bCs/>
                <w:kern w:val="0"/>
                <w:szCs w:val="21"/>
                <w:lang w:bidi="ar"/>
              </w:rPr>
              <w:t>说明</w:t>
            </w:r>
          </w:p>
        </w:tc>
      </w:tr>
      <w:tr>
        <w:tblPrEx>
          <w:tblW w:w="0" w:type="auto"/>
          <w:jc w:val="center"/>
          <w:tblLayout w:type="fixed"/>
          <w:tblCellMar>
            <w:top w:w="0" w:type="dxa"/>
            <w:left w:w="108" w:type="dxa"/>
            <w:bottom w:w="0" w:type="dxa"/>
            <w:right w:w="108" w:type="dxa"/>
          </w:tblCellMar>
        </w:tblPrEx>
        <w:trPr>
          <w:jc w:val="center"/>
        </w:trPr>
        <w:tc>
          <w:tcPr>
            <w:tcW w:w="732"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1</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雷达辐射方向图</w:t>
            </w:r>
          </w:p>
        </w:tc>
        <w:tc>
          <w:tcPr>
            <w:tcW w:w="3827" w:type="dxa"/>
            <w:vAlign w:val="center"/>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雷达合成辐射功率（E</w:t>
            </w:r>
            <w:r>
              <w:rPr>
                <w:rFonts w:ascii="宋体" w:hAnsi="宋体" w:cs="宋体"/>
                <w:kern w:val="0"/>
                <w:szCs w:val="21"/>
                <w:lang w:bidi="ar"/>
              </w:rPr>
              <w:t>IRP</w:t>
            </w:r>
            <w:r>
              <w:rPr>
                <w:rFonts w:ascii="宋体" w:hAnsi="宋体" w:cs="宋体" w:hint="eastAsia"/>
                <w:kern w:val="0"/>
                <w:szCs w:val="21"/>
                <w:lang w:bidi="ar"/>
              </w:rPr>
              <w:t>）</w:t>
            </w:r>
          </w:p>
        </w:tc>
        <w:tc>
          <w:tcPr>
            <w:tcW w:w="382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通过标定系统接收功率和空间位置反算</w:t>
            </w:r>
          </w:p>
        </w:tc>
      </w:tr>
      <w:tr>
        <w:tblPrEx>
          <w:tblW w:w="0" w:type="auto"/>
          <w:jc w:val="center"/>
          <w:tblLayout w:type="fixed"/>
          <w:tblCellMar>
            <w:top w:w="0" w:type="dxa"/>
            <w:left w:w="108" w:type="dxa"/>
            <w:bottom w:w="0" w:type="dxa"/>
            <w:right w:w="108" w:type="dxa"/>
          </w:tblCellMar>
        </w:tblPrEx>
        <w:trPr>
          <w:jc w:val="center"/>
        </w:trPr>
        <w:tc>
          <w:tcPr>
            <w:tcW w:w="732"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3</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雷达波束宽度</w:t>
            </w:r>
          </w:p>
        </w:tc>
        <w:tc>
          <w:tcPr>
            <w:tcW w:w="382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4</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雷达波束指向</w:t>
            </w:r>
          </w:p>
        </w:tc>
        <w:tc>
          <w:tcPr>
            <w:tcW w:w="382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5</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雷达副瓣电平</w:t>
            </w:r>
          </w:p>
        </w:tc>
        <w:tc>
          <w:tcPr>
            <w:tcW w:w="382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6</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雷达极化隔离度</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7</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雷达G</w:t>
            </w:r>
            <w:r>
              <w:rPr>
                <w:rFonts w:ascii="宋体" w:hAnsi="宋体" w:cs="宋体"/>
                <w:kern w:val="0"/>
                <w:szCs w:val="21"/>
                <w:lang w:bidi="ar"/>
              </w:rPr>
              <w:t>/T</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8</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雷达发射脉冲测试</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包络、重频、功率</w:t>
            </w: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9</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双偏振发射幅相一致性</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10</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雷达接收灵敏度</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11</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双偏振接收幅相一致性</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12</w:t>
            </w:r>
          </w:p>
        </w:tc>
        <w:tc>
          <w:tcPr>
            <w:tcW w:w="3701"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相控阵雷达系统产品算法检验</w:t>
            </w:r>
          </w:p>
        </w:tc>
        <w:tc>
          <w:tcPr>
            <w:tcW w:w="3827" w:type="dxa"/>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雷达距离、强度、速度、谱宽、偏振量</w:t>
            </w:r>
          </w:p>
        </w:tc>
      </w:tr>
    </w:tbl>
    <w:p/>
    <w:p>
      <w:pPr>
        <w:ind w:firstLine="420" w:firstLineChars="200"/>
        <w:rPr>
          <w:rFonts w:ascii="宋体" w:hAnsi="宋体"/>
          <w:szCs w:val="21"/>
        </w:rPr>
      </w:pPr>
      <w:r>
        <w:rPr>
          <w:rFonts w:ascii="宋体" w:hAnsi="宋体" w:hint="eastAsia"/>
          <w:szCs w:val="21"/>
        </w:rPr>
        <w:t>机外远场标定系统具备对相控阵雷达的天线、发射、接收等系统性能指标的标定测试功能。机外远场标定系统测试内容包括发射功率、脉冲宽度、脉冲重复频率、EIRP、天线波束宽度、天线增益、天线旁瓣、波束指向、差分反射率因子、差分相位等参数的标定测试，并具备点目标模拟功能，可模拟点目标距离、强度、谱宽、速度、双偏振参量等，详见表3。</w:t>
      </w:r>
    </w:p>
    <w:p>
      <w:pPr>
        <w:pStyle w:val="-HCDC"/>
        <w:widowControl w:val="0"/>
        <w:numPr>
          <w:ilvl w:val="0"/>
          <w:numId w:val="5"/>
        </w:numPr>
        <w:tabs>
          <w:tab w:val="left" w:pos="567"/>
          <w:tab w:val="left" w:pos="720"/>
        </w:tabs>
        <w:spacing w:line="360" w:lineRule="auto"/>
        <w:ind w:left="720" w:hanging="720"/>
        <w:jc w:val="center"/>
        <w:rPr>
          <w:rFonts w:ascii="宋体" w:eastAsia="宋体" w:hAnsi="宋体"/>
        </w:rPr>
      </w:pPr>
      <w:r>
        <w:rPr>
          <w:rFonts w:ascii="宋体" w:eastAsia="宋体" w:hAnsi="宋体" w:hint="eastAsia"/>
        </w:rPr>
        <w:t>机外远场标定系统性能指标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97"/>
        <w:gridCol w:w="439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897" w:type="dxa"/>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hint="eastAsia"/>
                <w:b/>
                <w:bCs/>
                <w:kern w:val="0"/>
                <w:szCs w:val="21"/>
                <w:lang w:bidi="ar"/>
              </w:rPr>
              <w:t>项目</w:t>
            </w:r>
          </w:p>
        </w:tc>
        <w:tc>
          <w:tcPr>
            <w:tcW w:w="4399" w:type="dxa"/>
            <w:vAlign w:val="center"/>
          </w:tcPr>
          <w:p>
            <w:pPr>
              <w:widowControl/>
              <w:adjustRightInd w:val="0"/>
              <w:snapToGrid w:val="0"/>
              <w:spacing w:line="360" w:lineRule="exact"/>
              <w:jc w:val="center"/>
              <w:textAlignment w:val="center"/>
              <w:rPr>
                <w:rFonts w:ascii="宋体" w:hAnsi="宋体" w:cs="宋体"/>
                <w:b/>
                <w:bCs/>
                <w:kern w:val="0"/>
                <w:szCs w:val="21"/>
                <w:lang w:bidi="ar"/>
              </w:rPr>
            </w:pPr>
            <w:r>
              <w:rPr>
                <w:rFonts w:ascii="宋体" w:hAnsi="宋体" w:cs="宋体" w:hint="eastAsia"/>
                <w:b/>
                <w:bCs/>
                <w:kern w:val="0"/>
                <w:szCs w:val="21"/>
                <w:lang w:bidi="ar"/>
              </w:rPr>
              <w:t>性能指标</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工作模式</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单发双收/双发双收</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双极化通道隔离度</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≥3</w:t>
            </w:r>
            <w:r>
              <w:rPr>
                <w:rFonts w:ascii="宋体" w:hAnsi="宋体" w:cs="宋体"/>
                <w:kern w:val="0"/>
                <w:szCs w:val="21"/>
                <w:lang w:bidi="ar"/>
              </w:rPr>
              <w:t>5</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23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工作频率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kern w:val="0"/>
                <w:szCs w:val="21"/>
                <w:lang w:bidi="ar"/>
              </w:rPr>
              <w:t>2700</w:t>
            </w:r>
            <w:r>
              <w:rPr>
                <w:rFonts w:ascii="宋体" w:hAnsi="宋体" w:cs="宋体" w:hint="eastAsia"/>
                <w:kern w:val="0"/>
                <w:szCs w:val="21"/>
                <w:lang w:bidi="ar"/>
              </w:rPr>
              <w:t>～</w:t>
            </w:r>
            <w:r>
              <w:rPr>
                <w:rFonts w:ascii="宋体" w:hAnsi="宋体" w:cs="宋体"/>
                <w:kern w:val="0"/>
                <w:szCs w:val="21"/>
                <w:lang w:bidi="ar"/>
              </w:rPr>
              <w:t>30</w:t>
            </w:r>
            <w:r>
              <w:rPr>
                <w:rFonts w:ascii="宋体" w:hAnsi="宋体" w:cs="宋体" w:hint="eastAsia"/>
                <w:kern w:val="0"/>
                <w:szCs w:val="21"/>
                <w:lang w:bidi="ar"/>
              </w:rPr>
              <w:t>00MHz</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发射输出信号频率可调分辨率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1Hz</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发射输出信号功率范围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-70dBm～15dBm</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发射输出功率可调分辨率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0.1dB</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发射输出功率精度</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≤±0.2dB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信号输出方式</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CW连续波、脉冲</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接收通道幅度测量精度</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≤0.2dB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接收信号脉宽测量精度</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≤10ns</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天线增益</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≥7dB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天线极化隔离度</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≥35dB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电源系统参数</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可充电式直流电池供电</w:t>
            </w:r>
          </w:p>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电池工作时长：≥</w:t>
            </w:r>
            <w:r>
              <w:rPr>
                <w:rFonts w:ascii="宋体" w:hAnsi="宋体" w:cs="宋体"/>
                <w:kern w:val="0"/>
                <w:szCs w:val="21"/>
                <w:lang w:bidi="ar"/>
              </w:rPr>
              <w:t>40</w:t>
            </w:r>
            <w:r>
              <w:rPr>
                <w:rFonts w:ascii="宋体" w:hAnsi="宋体" w:cs="宋体" w:hint="eastAsia"/>
                <w:kern w:val="0"/>
                <w:szCs w:val="21"/>
                <w:lang w:bidi="ar"/>
              </w:rPr>
              <w:t>min</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无线通信距离</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≥3km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无线通信带宽</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≥10Mbps</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信号处理采样位数</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≥16位</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信号处理采样率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≥160MHz</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目标模拟距离范围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≤200km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目标模拟位置标准差</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w:t>
            </w:r>
            <w:r>
              <w:rPr>
                <w:rFonts w:ascii="宋体" w:hAnsi="宋体" w:cs="宋体"/>
                <w:kern w:val="0"/>
                <w:szCs w:val="21"/>
                <w:lang w:bidi="ar"/>
              </w:rPr>
              <w:t>15</w:t>
            </w:r>
            <w:r>
              <w:rPr>
                <w:rFonts w:ascii="宋体" w:hAnsi="宋体" w:cs="宋体" w:hint="eastAsia"/>
                <w:kern w:val="0"/>
                <w:szCs w:val="21"/>
                <w:lang w:bidi="ar"/>
              </w:rPr>
              <w:t>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目标模拟强度标定范围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-15～+75dBZ</w:t>
            </w:r>
          </w:p>
        </w:tc>
      </w:tr>
      <w:tr>
        <w:tblPrEx>
          <w:tblW w:w="0" w:type="auto"/>
          <w:jc w:val="center"/>
          <w:tblLayout w:type="fixed"/>
          <w:tblCellMar>
            <w:top w:w="0" w:type="dxa"/>
            <w:left w:w="108" w:type="dxa"/>
            <w:bottom w:w="0" w:type="dxa"/>
            <w:right w:w="108" w:type="dxa"/>
          </w:tblCellMar>
        </w:tblPrEx>
        <w:trPr>
          <w:trHeight w:val="291"/>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目标模拟强度标定分辨率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w:t>
            </w:r>
            <w:r>
              <w:rPr>
                <w:rFonts w:ascii="宋体" w:hAnsi="宋体" w:cs="宋体"/>
                <w:kern w:val="0"/>
                <w:szCs w:val="21"/>
                <w:lang w:bidi="ar"/>
              </w:rPr>
              <w:t>.1</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332"/>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目标模拟强度标定标准差</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≤±1dB</w:t>
            </w:r>
          </w:p>
        </w:tc>
      </w:tr>
      <w:tr>
        <w:tblPrEx>
          <w:tblW w:w="0" w:type="auto"/>
          <w:jc w:val="center"/>
          <w:tblLayout w:type="fixed"/>
          <w:tblCellMar>
            <w:top w:w="0" w:type="dxa"/>
            <w:left w:w="108" w:type="dxa"/>
            <w:bottom w:w="0" w:type="dxa"/>
            <w:right w:w="108" w:type="dxa"/>
          </w:tblCellMar>
        </w:tblPrEx>
        <w:trPr>
          <w:trHeight w:val="403"/>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目标模拟速度标定范围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≤±60m/s</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目标模拟速度标定标准差</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≤±1m/s</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w:t>
            </w:r>
            <w:r>
              <w:rPr>
                <w:rFonts w:ascii="宋体" w:hAnsi="宋体" w:cs="宋体"/>
                <w:i w:val="0"/>
                <w:iCs w:val="0"/>
                <w:kern w:val="0"/>
                <w:szCs w:val="21"/>
                <w:lang w:bidi="ar"/>
              </w:rPr>
              <w:t>Z</w:t>
            </w:r>
            <w:r>
              <w:rPr>
                <w:rFonts w:ascii="宋体" w:hAnsi="宋体" w:cs="宋体"/>
                <w:i w:val="0"/>
                <w:iCs w:val="0"/>
                <w:kern w:val="0"/>
                <w:szCs w:val="21"/>
                <w:vertAlign w:val="subscript"/>
                <w:lang w:bidi="ar"/>
              </w:rPr>
              <w:t>DR</w:t>
            </w:r>
            <w:r>
              <w:rPr>
                <w:rFonts w:ascii="宋体" w:hAnsi="宋体" w:cs="宋体" w:hint="eastAsia"/>
                <w:kern w:val="0"/>
                <w:szCs w:val="21"/>
                <w:lang w:bidi="ar"/>
              </w:rPr>
              <w:t>模拟范围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-20～+20dB</w:t>
            </w:r>
          </w:p>
        </w:tc>
      </w:tr>
      <w:tr>
        <w:tblPrEx>
          <w:tblW w:w="0" w:type="auto"/>
          <w:jc w:val="center"/>
          <w:tblLayout w:type="fixed"/>
          <w:tblCellMar>
            <w:top w:w="0" w:type="dxa"/>
            <w:left w:w="108" w:type="dxa"/>
            <w:bottom w:w="0" w:type="dxa"/>
            <w:right w:w="108" w:type="dxa"/>
          </w:tblCellMar>
        </w:tblPrEx>
        <w:trPr>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w:t>
            </w:r>
            <w:r>
              <w:rPr>
                <w:rFonts w:ascii="宋体" w:hAnsi="宋体" w:cs="宋体"/>
                <w:i w:val="0"/>
                <w:iCs w:val="0"/>
                <w:kern w:val="0"/>
                <w:szCs w:val="21"/>
                <w:lang w:bidi="ar"/>
              </w:rPr>
              <w:t>Z</w:t>
            </w:r>
            <w:r>
              <w:rPr>
                <w:rFonts w:ascii="宋体" w:hAnsi="宋体" w:cs="宋体"/>
                <w:i w:val="0"/>
                <w:iCs w:val="0"/>
                <w:kern w:val="0"/>
                <w:szCs w:val="21"/>
                <w:vertAlign w:val="subscript"/>
                <w:lang w:bidi="ar"/>
              </w:rPr>
              <w:t>DR</w:t>
            </w:r>
            <w:r>
              <w:rPr>
                <w:rFonts w:ascii="宋体" w:hAnsi="宋体" w:cs="宋体" w:hint="eastAsia"/>
                <w:kern w:val="0"/>
                <w:szCs w:val="21"/>
                <w:lang w:bidi="ar"/>
              </w:rPr>
              <w:t>模拟分辨率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w:t>
            </w:r>
            <w:r>
              <w:rPr>
                <w:rFonts w:ascii="宋体" w:hAnsi="宋体" w:cs="宋体"/>
                <w:kern w:val="0"/>
                <w:szCs w:val="21"/>
                <w:lang w:bidi="ar"/>
              </w:rPr>
              <w:t>.1</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90"/>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 目标模拟</w:t>
            </w:r>
            <w:r>
              <w:rPr>
                <w:rFonts w:ascii="宋体" w:hAnsi="宋体" w:cs="宋体"/>
                <w:i w:val="0"/>
                <w:iCs w:val="0"/>
                <w:kern w:val="0"/>
                <w:szCs w:val="21"/>
                <w:lang w:bidi="ar"/>
              </w:rPr>
              <w:t>Z</w:t>
            </w:r>
            <w:r>
              <w:rPr>
                <w:rFonts w:ascii="宋体" w:hAnsi="宋体" w:cs="宋体"/>
                <w:i w:val="0"/>
                <w:iCs w:val="0"/>
                <w:kern w:val="0"/>
                <w:szCs w:val="21"/>
                <w:vertAlign w:val="subscript"/>
                <w:lang w:bidi="ar"/>
              </w:rPr>
              <w:t>DR</w:t>
            </w:r>
            <w:r>
              <w:rPr>
                <w:rFonts w:ascii="宋体" w:hAnsi="宋体" w:cs="宋体" w:hint="eastAsia"/>
                <w:kern w:val="0"/>
                <w:szCs w:val="21"/>
                <w:lang w:bidi="ar"/>
              </w:rPr>
              <w:t>模拟标准差</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≤0.6dB</w:t>
            </w:r>
          </w:p>
        </w:tc>
      </w:tr>
      <w:tr>
        <w:tblPrEx>
          <w:tblW w:w="0" w:type="auto"/>
          <w:jc w:val="center"/>
          <w:tblLayout w:type="fixed"/>
          <w:tblCellMar>
            <w:top w:w="0" w:type="dxa"/>
            <w:left w:w="108" w:type="dxa"/>
            <w:bottom w:w="0" w:type="dxa"/>
            <w:right w:w="108" w:type="dxa"/>
          </w:tblCellMar>
        </w:tblPrEx>
        <w:trPr>
          <w:trHeight w:val="90"/>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w:t>
            </w:r>
            <w:r>
              <w:rPr>
                <w:rFonts w:ascii="宋体" w:hAnsi="宋体" w:cs="宋体"/>
                <w:i w:val="0"/>
                <w:iCs w:val="0"/>
                <w:kern w:val="0"/>
                <w:szCs w:val="21"/>
                <w:lang w:bidi="ar"/>
              </w:rPr>
              <w:t>Φ</w:t>
            </w:r>
            <w:r>
              <w:rPr>
                <w:rFonts w:ascii="宋体" w:hAnsi="宋体" w:cs="宋体"/>
                <w:kern w:val="0"/>
                <w:szCs w:val="21"/>
                <w:vertAlign w:val="subscript"/>
                <w:lang w:bidi="ar"/>
              </w:rPr>
              <w:t>DP</w:t>
            </w:r>
            <w:r>
              <w:rPr>
                <w:rFonts w:ascii="宋体" w:hAnsi="宋体" w:cs="宋体" w:hint="eastAsia"/>
                <w:kern w:val="0"/>
                <w:szCs w:val="21"/>
                <w:lang w:bidi="ar"/>
              </w:rPr>
              <w:t>标定范围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-179.</w:t>
            </w:r>
            <w:r>
              <w:rPr>
                <w:rFonts w:ascii="宋体" w:hAnsi="宋体" w:cs="宋体"/>
                <w:kern w:val="0"/>
                <w:szCs w:val="21"/>
                <w:lang w:bidi="ar"/>
              </w:rPr>
              <w:t>9</w:t>
            </w:r>
            <w:r>
              <w:rPr>
                <w:rFonts w:ascii="宋体" w:hAnsi="宋体" w:cs="宋体" w:hint="eastAsia"/>
                <w:kern w:val="0"/>
                <w:szCs w:val="21"/>
                <w:lang w:bidi="ar"/>
              </w:rPr>
              <w:t>°～1</w:t>
            </w:r>
            <w:r>
              <w:rPr>
                <w:rFonts w:ascii="宋体" w:hAnsi="宋体" w:cs="宋体"/>
                <w:kern w:val="0"/>
                <w:szCs w:val="21"/>
                <w:lang w:bidi="ar"/>
              </w:rPr>
              <w:t>79.9</w:t>
            </w:r>
            <w:r>
              <w:rPr>
                <w:rFonts w:ascii="宋体" w:hAnsi="宋体" w:cs="宋体" w:hint="eastAsia"/>
                <w:kern w:val="0"/>
                <w:szCs w:val="21"/>
                <w:lang w:bidi="ar"/>
              </w:rPr>
              <w:t>°</w:t>
            </w:r>
          </w:p>
        </w:tc>
      </w:tr>
      <w:tr>
        <w:tblPrEx>
          <w:tblW w:w="0" w:type="auto"/>
          <w:jc w:val="center"/>
          <w:tblLayout w:type="fixed"/>
          <w:tblCellMar>
            <w:top w:w="0" w:type="dxa"/>
            <w:left w:w="108" w:type="dxa"/>
            <w:bottom w:w="0" w:type="dxa"/>
            <w:right w:w="108" w:type="dxa"/>
          </w:tblCellMar>
        </w:tblPrEx>
        <w:trPr>
          <w:trHeight w:val="90"/>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目标模拟相位控制分辨率</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≤0.1°</w:t>
            </w:r>
          </w:p>
        </w:tc>
      </w:tr>
      <w:tr>
        <w:tblPrEx>
          <w:tblW w:w="0" w:type="auto"/>
          <w:jc w:val="center"/>
          <w:tblLayout w:type="fixed"/>
          <w:tblCellMar>
            <w:top w:w="0" w:type="dxa"/>
            <w:left w:w="108" w:type="dxa"/>
            <w:bottom w:w="0" w:type="dxa"/>
            <w:right w:w="108" w:type="dxa"/>
          </w:tblCellMar>
        </w:tblPrEx>
        <w:trPr>
          <w:trHeight w:val="90"/>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目标模拟相位控制标准差</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≤1°</w:t>
            </w:r>
          </w:p>
        </w:tc>
      </w:tr>
      <w:tr>
        <w:tblPrEx>
          <w:tblW w:w="0" w:type="auto"/>
          <w:jc w:val="center"/>
          <w:tblLayout w:type="fixed"/>
          <w:tblCellMar>
            <w:top w:w="0" w:type="dxa"/>
            <w:left w:w="108" w:type="dxa"/>
            <w:bottom w:w="0" w:type="dxa"/>
            <w:right w:w="108" w:type="dxa"/>
          </w:tblCellMar>
        </w:tblPrEx>
        <w:trPr>
          <w:trHeight w:val="317"/>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设备工作距离范围</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≤3km</w:t>
            </w:r>
          </w:p>
        </w:tc>
      </w:tr>
      <w:tr>
        <w:tblPrEx>
          <w:tblW w:w="0" w:type="auto"/>
          <w:jc w:val="center"/>
          <w:tblLayout w:type="fixed"/>
          <w:tblCellMar>
            <w:top w:w="0" w:type="dxa"/>
            <w:left w:w="108" w:type="dxa"/>
            <w:bottom w:w="0" w:type="dxa"/>
            <w:right w:w="108" w:type="dxa"/>
          </w:tblCellMar>
        </w:tblPrEx>
        <w:trPr>
          <w:trHeight w:val="378"/>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MTBF</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≥5000h</w:t>
            </w:r>
          </w:p>
        </w:tc>
      </w:tr>
      <w:tr>
        <w:tblPrEx>
          <w:tblW w:w="0" w:type="auto"/>
          <w:jc w:val="center"/>
          <w:tblLayout w:type="fixed"/>
          <w:tblCellMar>
            <w:top w:w="0" w:type="dxa"/>
            <w:left w:w="108" w:type="dxa"/>
            <w:bottom w:w="0" w:type="dxa"/>
            <w:right w:w="108" w:type="dxa"/>
          </w:tblCellMar>
        </w:tblPrEx>
        <w:trPr>
          <w:trHeight w:val="339"/>
          <w:jc w:val="center"/>
        </w:trPr>
        <w:tc>
          <w:tcPr>
            <w:tcW w:w="3897"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MTTR</w:t>
            </w:r>
          </w:p>
        </w:tc>
        <w:tc>
          <w:tcPr>
            <w:tcW w:w="4399" w:type="dxa"/>
            <w:vAlign w:val="center"/>
          </w:tcPr>
          <w:p>
            <w:pPr>
              <w:widowControl/>
              <w:adjustRightInd w:val="0"/>
              <w:snapToGrid w:val="0"/>
              <w:spacing w:line="360" w:lineRule="exact"/>
              <w:jc w:val="center"/>
              <w:textAlignment w:val="center"/>
              <w:rPr>
                <w:rFonts w:ascii="宋体" w:hAnsi="宋体" w:cs="宋体"/>
                <w:kern w:val="0"/>
                <w:szCs w:val="21"/>
                <w:lang w:bidi="ar"/>
              </w:rPr>
            </w:pPr>
            <w:r>
              <w:rPr>
                <w:rFonts w:ascii="宋体" w:hAnsi="宋体" w:cs="宋体" w:hint="eastAsia"/>
                <w:kern w:val="0"/>
                <w:szCs w:val="21"/>
                <w:lang w:bidi="ar"/>
              </w:rPr>
              <w:t>≤0.5h</w:t>
            </w:r>
          </w:p>
        </w:tc>
      </w:tr>
    </w:tbl>
    <w:p/>
    <w:p>
      <w:pPr>
        <w:ind w:firstLine="420" w:firstLineChars="200"/>
        <w:rPr>
          <w:rFonts w:ascii="宋体" w:hAnsi="宋体"/>
          <w:szCs w:val="21"/>
        </w:rPr>
      </w:pPr>
      <w:r>
        <w:rPr>
          <w:rFonts w:ascii="宋体" w:hAnsi="宋体" w:hint="eastAsia"/>
          <w:szCs w:val="21"/>
        </w:rPr>
        <w:t>信号处理算法由杂波抑制、距离/速度退模糊、参数估计以及门限设置等一系列算法组成，其主要功能是对I/Q数据进行处理，并生成经过质量控制的基数据。其中，杂波抑制算法对原始I/Q数据中的非气象信息(例如地物回波、同频干扰、风电干扰等)进行识别及抑制，仅保留气象信息并进行修复，为后续处理提供准确的气象信号；距离/速度退模糊算法采用多重频切换或相位编码等技术手段，将模糊的距离/速度值还原至真实物理量级，确保雷达可准确监测天气过程；参数估计算法将I/Q数据中的关键信息进行提取，生成反射率因子、径向速度、速度谱宽以及双偏振参量，提升天气现象的可解释性；门限设置算法通过合理设置门限参数类型和阈值，有效剔除噪声及干扰，提升基数据可用性。</w:t>
      </w:r>
    </w:p>
    <w:p>
      <w:pPr>
        <w:ind w:firstLine="420" w:firstLineChars="200"/>
        <w:rPr>
          <w:rFonts w:ascii="宋体" w:hAnsi="宋体"/>
          <w:szCs w:val="21"/>
        </w:rPr>
      </w:pPr>
      <w:r>
        <w:rPr>
          <w:rFonts w:ascii="宋体" w:hAnsi="宋体" w:hint="eastAsia"/>
          <w:szCs w:val="21"/>
        </w:rPr>
        <w:t>信号处理软件需采用模块化、标准化、通用性、开放式设计，详见表4。</w:t>
      </w:r>
    </w:p>
    <w:p>
      <w:pPr>
        <w:pStyle w:val="-HCDC"/>
        <w:widowControl w:val="0"/>
        <w:numPr>
          <w:ilvl w:val="0"/>
          <w:numId w:val="5"/>
        </w:numPr>
        <w:tabs>
          <w:tab w:val="left" w:pos="567"/>
          <w:tab w:val="left" w:pos="720"/>
        </w:tabs>
        <w:spacing w:line="360" w:lineRule="auto"/>
        <w:ind w:left="720" w:hanging="720"/>
        <w:jc w:val="center"/>
        <w:rPr>
          <w:rFonts w:ascii="宋体" w:eastAsia="宋体" w:hAnsi="宋体"/>
        </w:rPr>
      </w:pPr>
      <w:r>
        <w:rPr>
          <w:rFonts w:ascii="宋体" w:eastAsia="宋体" w:hAnsi="宋体" w:hint="eastAsia"/>
        </w:rPr>
        <w:t>信号处理算法技术指标表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9"/>
        <w:gridCol w:w="3110"/>
        <w:gridCol w:w="494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527" w:type="pct"/>
            <w:noWrap/>
            <w:vAlign w:val="center"/>
          </w:tcPr>
          <w:p>
            <w:pPr>
              <w:spacing w:line="360" w:lineRule="exact"/>
              <w:jc w:val="center"/>
              <w:rPr>
                <w:rFonts w:ascii="仿宋_GB2312"/>
                <w:b/>
                <w:bCs/>
                <w:szCs w:val="21"/>
              </w:rPr>
            </w:pPr>
            <w:r>
              <w:rPr>
                <w:rFonts w:ascii="仿宋_GB2312" w:hint="eastAsia"/>
                <w:b/>
                <w:bCs/>
                <w:szCs w:val="21"/>
              </w:rPr>
              <w:t>序号</w:t>
            </w:r>
          </w:p>
        </w:tc>
        <w:tc>
          <w:tcPr>
            <w:tcW w:w="1727" w:type="pct"/>
            <w:noWrap/>
            <w:vAlign w:val="center"/>
          </w:tcPr>
          <w:p>
            <w:pPr>
              <w:spacing w:line="360" w:lineRule="exact"/>
              <w:jc w:val="center"/>
              <w:rPr>
                <w:rFonts w:ascii="仿宋_GB2312"/>
                <w:b/>
                <w:bCs/>
                <w:szCs w:val="21"/>
              </w:rPr>
            </w:pPr>
            <w:r>
              <w:rPr>
                <w:rFonts w:ascii="仿宋_GB2312" w:hint="eastAsia"/>
                <w:b/>
                <w:bCs/>
                <w:szCs w:val="21"/>
              </w:rPr>
              <w:t>项目</w:t>
            </w:r>
          </w:p>
        </w:tc>
        <w:tc>
          <w:tcPr>
            <w:tcW w:w="2746" w:type="pct"/>
            <w:noWrap/>
            <w:vAlign w:val="center"/>
          </w:tcPr>
          <w:p>
            <w:pPr>
              <w:spacing w:line="360" w:lineRule="exact"/>
              <w:jc w:val="center"/>
              <w:rPr>
                <w:rFonts w:ascii="仿宋_GB2312"/>
                <w:b/>
                <w:bCs/>
                <w:szCs w:val="21"/>
              </w:rPr>
            </w:pPr>
            <w:r>
              <w:rPr>
                <w:rFonts w:ascii="仿宋_GB2312" w:hint="eastAsia"/>
                <w:b/>
                <w:bCs/>
                <w:szCs w:val="21"/>
              </w:rPr>
              <w:t>指标要求</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w:t>
            </w:r>
          </w:p>
        </w:tc>
        <w:tc>
          <w:tcPr>
            <w:tcW w:w="1727" w:type="pct"/>
            <w:vMerge w:val="restart"/>
            <w:noWrap/>
            <w:vAlign w:val="center"/>
          </w:tcPr>
          <w:p>
            <w:pPr>
              <w:widowControl/>
              <w:adjustRightInd w:val="0"/>
              <w:snapToGrid w:val="0"/>
              <w:spacing w:line="360" w:lineRule="exact"/>
              <w:jc w:val="center"/>
              <w:rPr>
                <w:rFonts w:ascii="仿宋_GB2312"/>
                <w:szCs w:val="21"/>
              </w:rPr>
            </w:pPr>
            <w:r>
              <w:rPr>
                <w:rFonts w:ascii="仿宋_GB2312" w:hint="eastAsia"/>
                <w:szCs w:val="21"/>
              </w:rPr>
              <w:t>杂波抑制</w:t>
            </w: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电磁干扰识别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2</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电磁干扰抑制</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3</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风电干扰识别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4</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风电干扰抑制</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5</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地杂波识别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6</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地杂波抑制</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7</w:t>
            </w:r>
          </w:p>
        </w:tc>
        <w:tc>
          <w:tcPr>
            <w:tcW w:w="1727" w:type="pct"/>
            <w:vMerge w:val="restart"/>
            <w:noWrap/>
            <w:vAlign w:val="center"/>
          </w:tcPr>
          <w:p>
            <w:pPr>
              <w:widowControl/>
              <w:adjustRightInd w:val="0"/>
              <w:snapToGrid w:val="0"/>
              <w:spacing w:line="360" w:lineRule="exact"/>
              <w:jc w:val="center"/>
              <w:rPr>
                <w:rFonts w:ascii="仿宋_GB2312"/>
                <w:szCs w:val="21"/>
              </w:rPr>
            </w:pPr>
            <w:r>
              <w:rPr>
                <w:rFonts w:ascii="仿宋_GB2312" w:hint="eastAsia"/>
                <w:szCs w:val="21"/>
              </w:rPr>
              <w:t>距离/速度退模糊</w:t>
            </w: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双重频（DPRF）</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8</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参差重频（</w:t>
            </w:r>
            <w:r>
              <w:rPr>
                <w:rFonts w:ascii="仿宋_GB2312"/>
                <w:szCs w:val="21"/>
              </w:rPr>
              <w:t>SPRT</w:t>
            </w:r>
            <w:r>
              <w:rPr>
                <w:rFonts w:ascii="仿宋_GB2312" w:hint="eastAsia"/>
                <w:szCs w:val="21"/>
              </w:rPr>
              <w:t>）</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9</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随机相位调制</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10</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SZ相位编码</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11</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批处理</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12</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分层处理</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13</w:t>
            </w:r>
          </w:p>
        </w:tc>
        <w:tc>
          <w:tcPr>
            <w:tcW w:w="1727" w:type="pct"/>
            <w:vMerge w:val="restart"/>
            <w:noWrap/>
            <w:vAlign w:val="center"/>
          </w:tcPr>
          <w:p>
            <w:pPr>
              <w:widowControl/>
              <w:adjustRightInd w:val="0"/>
              <w:snapToGrid w:val="0"/>
              <w:spacing w:line="360" w:lineRule="exact"/>
              <w:jc w:val="center"/>
              <w:rPr>
                <w:rFonts w:ascii="仿宋_GB2312"/>
                <w:szCs w:val="21"/>
              </w:rPr>
            </w:pPr>
            <w:r>
              <w:rPr>
                <w:rFonts w:ascii="仿宋_GB2312" w:hint="eastAsia"/>
                <w:szCs w:val="21"/>
              </w:rPr>
              <w:t>参数估计</w:t>
            </w: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常规估计（反射率因子、径向速度、速度谱宽、差分反射率、差分传播相移、相关系数）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14</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频域估计（反射率因子、径向速度、速度谱宽、差分反射率、差分传播相移、相关系数）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15</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多阶相关估计（反射率因子、径向速度、速度谱宽、差分反射率、差分传播相移、相关系数）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w:t>
            </w:r>
            <w:r>
              <w:rPr>
                <w:rFonts w:ascii="仿宋_GB2312" w:hAnsi="宋体" w:cs="宋体"/>
                <w:color w:val="000000"/>
                <w:kern w:val="0"/>
                <w:szCs w:val="21"/>
              </w:rPr>
              <w:t>6</w:t>
            </w:r>
          </w:p>
        </w:tc>
        <w:tc>
          <w:tcPr>
            <w:tcW w:w="1727" w:type="pct"/>
            <w:vMerge w:val="restart"/>
            <w:noWrap/>
            <w:vAlign w:val="center"/>
          </w:tcPr>
          <w:p>
            <w:pPr>
              <w:widowControl/>
              <w:adjustRightInd w:val="0"/>
              <w:snapToGrid w:val="0"/>
              <w:spacing w:line="360" w:lineRule="exact"/>
              <w:jc w:val="center"/>
              <w:rPr>
                <w:rFonts w:ascii="仿宋_GB2312"/>
                <w:szCs w:val="21"/>
              </w:rPr>
            </w:pPr>
            <w:r>
              <w:rPr>
                <w:rFonts w:ascii="仿宋_GB2312" w:hint="eastAsia"/>
                <w:szCs w:val="21"/>
              </w:rPr>
              <w:t>门限设置</w:t>
            </w: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信号质量指数（SQI）</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1</w:t>
            </w:r>
            <w:r>
              <w:rPr>
                <w:rFonts w:ascii="仿宋_GB2312" w:hAnsi="宋体" w:cs="宋体"/>
                <w:color w:val="000000"/>
                <w:kern w:val="0"/>
                <w:szCs w:val="21"/>
              </w:rPr>
              <w:t>7</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天气信号强度指数（SIG）</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color w:val="000000"/>
                <w:kern w:val="0"/>
                <w:szCs w:val="21"/>
              </w:rPr>
              <w:t>18</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杂波订正指数（CCOR）</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color w:val="000000"/>
                <w:kern w:val="0"/>
                <w:szCs w:val="21"/>
              </w:rPr>
              <w:t>19</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杂信比（CSR）</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2</w:t>
            </w:r>
            <w:r>
              <w:rPr>
                <w:rFonts w:ascii="仿宋_GB2312" w:hAnsi="宋体" w:cs="宋体"/>
                <w:color w:val="000000"/>
                <w:kern w:val="0"/>
                <w:szCs w:val="21"/>
              </w:rPr>
              <w:t>0</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信噪比（LOG）</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color w:val="000000"/>
                <w:kern w:val="0"/>
                <w:szCs w:val="21"/>
              </w:rPr>
            </w:pPr>
            <w:r>
              <w:rPr>
                <w:rFonts w:ascii="仿宋_GB2312" w:hAnsi="宋体" w:cs="宋体" w:hint="eastAsia"/>
                <w:color w:val="000000"/>
                <w:kern w:val="0"/>
                <w:szCs w:val="21"/>
              </w:rPr>
              <w:t>2</w:t>
            </w:r>
            <w:r>
              <w:rPr>
                <w:rFonts w:ascii="仿宋_GB2312" w:hAnsi="宋体" w:cs="宋体"/>
                <w:color w:val="000000"/>
                <w:kern w:val="0"/>
                <w:szCs w:val="21"/>
              </w:rPr>
              <w:t>1</w:t>
            </w:r>
          </w:p>
        </w:tc>
        <w:tc>
          <w:tcPr>
            <w:tcW w:w="1727" w:type="pct"/>
            <w:vMerge/>
            <w:vAlign w:val="center"/>
          </w:tcPr>
          <w:p>
            <w:pPr>
              <w:widowControl/>
              <w:adjustRightInd w:val="0"/>
              <w:snapToGrid w:val="0"/>
              <w:spacing w:line="360" w:lineRule="exact"/>
              <w:rPr>
                <w:rFonts w:ascii="仿宋_GB2312"/>
                <w:szCs w:val="21"/>
              </w:rPr>
            </w:pPr>
          </w:p>
        </w:tc>
        <w:tc>
          <w:tcPr>
            <w:tcW w:w="2746" w:type="pct"/>
            <w:noWrap/>
            <w:vAlign w:val="center"/>
          </w:tcPr>
          <w:p>
            <w:pPr>
              <w:widowControl/>
              <w:adjustRightInd w:val="0"/>
              <w:snapToGrid w:val="0"/>
              <w:spacing w:line="360" w:lineRule="exact"/>
              <w:jc w:val="center"/>
              <w:rPr>
                <w:rFonts w:ascii="仿宋_GB2312"/>
                <w:szCs w:val="21"/>
              </w:rPr>
            </w:pPr>
            <w:r>
              <w:rPr>
                <w:rFonts w:ascii="仿宋_GB2312" w:hint="eastAsia"/>
                <w:szCs w:val="21"/>
              </w:rPr>
              <w:t>偏振量信噪比（DPLOG）</w:t>
            </w:r>
          </w:p>
        </w:tc>
      </w:tr>
    </w:tbl>
    <w:p/>
    <w:p>
      <w:pPr>
        <w:ind w:firstLine="420" w:firstLineChars="200"/>
        <w:rPr>
          <w:rFonts w:ascii="宋体" w:hAnsi="宋体"/>
          <w:szCs w:val="21"/>
        </w:rPr>
      </w:pPr>
    </w:p>
    <w:p>
      <w:pPr>
        <w:ind w:firstLine="420" w:firstLineChars="200"/>
        <w:rPr>
          <w:rFonts w:ascii="宋体" w:hAnsi="宋体"/>
          <w:szCs w:val="21"/>
        </w:rPr>
      </w:pPr>
      <w:r>
        <w:rPr>
          <w:rFonts w:ascii="宋体" w:hAnsi="宋体"/>
          <w:szCs w:val="21"/>
        </w:rPr>
        <w:t>相控阵雷达系统</w:t>
      </w:r>
      <w:r>
        <w:rPr>
          <w:rFonts w:ascii="宋体" w:hAnsi="宋体" w:hint="eastAsia"/>
          <w:szCs w:val="21"/>
        </w:rPr>
        <w:t>可全天候连续运行，产品生成与应用系统</w:t>
      </w:r>
      <w:r>
        <w:rPr>
          <w:rFonts w:ascii="宋体" w:hAnsi="宋体"/>
          <w:szCs w:val="21"/>
        </w:rPr>
        <w:t>能够稳定、不间断地生成下表中所有气象应用产品，产品的分辨率、范围及专业</w:t>
      </w:r>
      <w:r>
        <w:rPr>
          <w:rFonts w:ascii="宋体" w:hAnsi="宋体" w:hint="eastAsia"/>
          <w:szCs w:val="21"/>
        </w:rPr>
        <w:t>气象参数可以在线修改和配置优化，业务软件至少能够实时生成和上传现阶段业务考核要求的49</w:t>
      </w:r>
      <w:r>
        <w:rPr>
          <w:rFonts w:ascii="宋体" w:hAnsi="宋体"/>
          <w:szCs w:val="21"/>
        </w:rPr>
        <w:t>个</w:t>
      </w:r>
      <w:r>
        <w:rPr>
          <w:rFonts w:ascii="宋体" w:hAnsi="宋体" w:hint="eastAsia"/>
          <w:szCs w:val="21"/>
        </w:rPr>
        <w:t>图像产品、1</w:t>
      </w:r>
      <w:r>
        <w:rPr>
          <w:rFonts w:ascii="宋体" w:hAnsi="宋体"/>
          <w:szCs w:val="21"/>
        </w:rPr>
        <w:t>1个双偏振产品</w:t>
      </w:r>
      <w:r>
        <w:rPr>
          <w:rFonts w:ascii="宋体" w:hAnsi="宋体" w:hint="eastAsia"/>
          <w:szCs w:val="21"/>
        </w:rPr>
        <w:t>、8个文字信息产品</w:t>
      </w:r>
      <w:r>
        <w:rPr>
          <w:rFonts w:ascii="宋体" w:hAnsi="宋体"/>
          <w:szCs w:val="21"/>
        </w:rPr>
        <w:t>，</w:t>
      </w:r>
      <w:r>
        <w:rPr>
          <w:rFonts w:ascii="宋体" w:hAnsi="宋体" w:hint="eastAsia"/>
          <w:szCs w:val="21"/>
        </w:rPr>
        <w:t>满足现有业务应用要求。具体产品详见表5</w:t>
      </w:r>
      <w:r>
        <w:rPr>
          <w:rFonts w:ascii="宋体" w:hAnsi="宋体"/>
          <w:szCs w:val="21"/>
        </w:rPr>
        <w:t>。</w:t>
      </w:r>
    </w:p>
    <w:p>
      <w:pPr>
        <w:numPr>
          <w:ilvl w:val="0"/>
          <w:numId w:val="5"/>
        </w:numPr>
        <w:spacing w:line="360" w:lineRule="auto"/>
        <w:jc w:val="center"/>
        <w:rPr>
          <w:rFonts w:ascii="宋体" w:hAnsi="宋体"/>
        </w:rPr>
      </w:pPr>
      <w:r>
        <w:rPr>
          <w:rFonts w:ascii="宋体" w:hAnsi="宋体" w:hint="eastAsia"/>
        </w:rPr>
        <w:t>业务软件气象产品表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9"/>
        <w:gridCol w:w="851"/>
        <w:gridCol w:w="1417"/>
        <w:gridCol w:w="1276"/>
        <w:gridCol w:w="2126"/>
        <w:gridCol w:w="709"/>
        <w:gridCol w:w="1417"/>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5"/>
          <w:tblHeader/>
        </w:trPr>
        <w:tc>
          <w:tcPr>
            <w:tcW w:w="709" w:type="dxa"/>
            <w:vAlign w:val="center"/>
          </w:tcPr>
          <w:p>
            <w:pPr>
              <w:spacing w:line="360" w:lineRule="exact"/>
              <w:contextualSpacing/>
              <w:jc w:val="center"/>
              <w:rPr>
                <w:rFonts w:ascii="宋体" w:hAnsi="宋体"/>
                <w:b/>
                <w:szCs w:val="21"/>
              </w:rPr>
            </w:pPr>
            <w:r>
              <w:rPr>
                <w:rFonts w:ascii="宋体" w:hAnsi="宋体"/>
                <w:b/>
                <w:szCs w:val="21"/>
              </w:rPr>
              <w:t>产品</w:t>
            </w:r>
          </w:p>
          <w:p>
            <w:pPr>
              <w:spacing w:line="360" w:lineRule="exact"/>
              <w:contextualSpacing/>
              <w:jc w:val="center"/>
              <w:rPr>
                <w:rFonts w:ascii="宋体" w:hAnsi="宋体"/>
                <w:b/>
                <w:szCs w:val="21"/>
              </w:rPr>
            </w:pPr>
            <w:r>
              <w:rPr>
                <w:rFonts w:ascii="宋体" w:hAnsi="宋体"/>
                <w:b/>
                <w:szCs w:val="21"/>
              </w:rPr>
              <w:t>序号</w:t>
            </w:r>
          </w:p>
        </w:tc>
        <w:tc>
          <w:tcPr>
            <w:tcW w:w="851" w:type="dxa"/>
            <w:vAlign w:val="center"/>
          </w:tcPr>
          <w:p>
            <w:pPr>
              <w:spacing w:line="360" w:lineRule="exact"/>
              <w:contextualSpacing/>
              <w:jc w:val="center"/>
              <w:rPr>
                <w:rFonts w:ascii="宋体" w:hAnsi="宋体"/>
                <w:b/>
                <w:szCs w:val="21"/>
              </w:rPr>
            </w:pPr>
            <w:r>
              <w:rPr>
                <w:rFonts w:ascii="宋体" w:hAnsi="宋体"/>
                <w:b/>
                <w:szCs w:val="21"/>
              </w:rPr>
              <w:t>产品代码</w:t>
            </w:r>
          </w:p>
        </w:tc>
        <w:tc>
          <w:tcPr>
            <w:tcW w:w="1417" w:type="dxa"/>
            <w:vAlign w:val="center"/>
          </w:tcPr>
          <w:p>
            <w:pPr>
              <w:spacing w:line="360" w:lineRule="exact"/>
              <w:contextualSpacing/>
              <w:jc w:val="center"/>
              <w:rPr>
                <w:rFonts w:ascii="宋体" w:hAnsi="宋体"/>
                <w:b/>
                <w:szCs w:val="21"/>
              </w:rPr>
            </w:pPr>
            <w:r>
              <w:rPr>
                <w:rFonts w:ascii="宋体" w:hAnsi="宋体"/>
                <w:b/>
                <w:szCs w:val="21"/>
              </w:rPr>
              <w:t>分辨率</w:t>
            </w:r>
          </w:p>
        </w:tc>
        <w:tc>
          <w:tcPr>
            <w:tcW w:w="1276" w:type="dxa"/>
            <w:vAlign w:val="center"/>
          </w:tcPr>
          <w:p>
            <w:pPr>
              <w:spacing w:line="360" w:lineRule="exact"/>
              <w:contextualSpacing/>
              <w:jc w:val="center"/>
              <w:rPr>
                <w:rFonts w:ascii="宋体" w:hAnsi="宋体"/>
                <w:b/>
                <w:szCs w:val="21"/>
              </w:rPr>
            </w:pPr>
            <w:r>
              <w:rPr>
                <w:rFonts w:ascii="宋体" w:hAnsi="宋体"/>
                <w:b/>
                <w:szCs w:val="21"/>
              </w:rPr>
              <w:t>覆盖范围</w:t>
            </w:r>
          </w:p>
        </w:tc>
        <w:tc>
          <w:tcPr>
            <w:tcW w:w="2126" w:type="dxa"/>
            <w:vAlign w:val="center"/>
          </w:tcPr>
          <w:p>
            <w:pPr>
              <w:spacing w:line="360" w:lineRule="exact"/>
              <w:contextualSpacing/>
              <w:jc w:val="center"/>
              <w:rPr>
                <w:rFonts w:ascii="宋体" w:hAnsi="宋体"/>
                <w:b/>
                <w:szCs w:val="21"/>
              </w:rPr>
            </w:pPr>
            <w:r>
              <w:rPr>
                <w:rFonts w:ascii="宋体" w:hAnsi="宋体"/>
                <w:b/>
                <w:szCs w:val="21"/>
              </w:rPr>
              <w:t>产品名称</w:t>
            </w:r>
          </w:p>
        </w:tc>
        <w:tc>
          <w:tcPr>
            <w:tcW w:w="709" w:type="dxa"/>
            <w:vAlign w:val="center"/>
          </w:tcPr>
          <w:p>
            <w:pPr>
              <w:spacing w:line="360" w:lineRule="exact"/>
              <w:contextualSpacing/>
              <w:jc w:val="center"/>
              <w:rPr>
                <w:rFonts w:ascii="宋体" w:hAnsi="宋体"/>
                <w:b/>
                <w:szCs w:val="21"/>
              </w:rPr>
            </w:pPr>
            <w:r>
              <w:rPr>
                <w:rFonts w:ascii="宋体" w:hAnsi="宋体"/>
                <w:b/>
                <w:szCs w:val="21"/>
              </w:rPr>
              <w:t>数据等级</w:t>
            </w:r>
          </w:p>
        </w:tc>
        <w:tc>
          <w:tcPr>
            <w:tcW w:w="1417" w:type="dxa"/>
            <w:vAlign w:val="center"/>
          </w:tcPr>
          <w:p>
            <w:pPr>
              <w:spacing w:line="360" w:lineRule="exact"/>
              <w:contextualSpacing/>
              <w:jc w:val="center"/>
              <w:rPr>
                <w:rFonts w:ascii="宋体" w:hAnsi="宋体"/>
                <w:b/>
                <w:szCs w:val="21"/>
              </w:rPr>
            </w:pPr>
            <w:r>
              <w:rPr>
                <w:rFonts w:ascii="宋体" w:hAnsi="宋体"/>
                <w:b/>
                <w:szCs w:val="21"/>
              </w:rPr>
              <w:t>产品生成</w:t>
            </w:r>
          </w:p>
          <w:p>
            <w:pPr>
              <w:spacing w:line="360" w:lineRule="exact"/>
              <w:contextualSpacing/>
              <w:jc w:val="center"/>
              <w:rPr>
                <w:rFonts w:ascii="宋体" w:hAnsi="宋体"/>
                <w:b/>
                <w:szCs w:val="21"/>
              </w:rPr>
            </w:pPr>
            <w:r>
              <w:rPr>
                <w:rFonts w:ascii="宋体" w:hAnsi="宋体"/>
                <w:b/>
                <w:szCs w:val="21"/>
              </w:rPr>
              <w:t>周期</w:t>
            </w:r>
          </w:p>
        </w:tc>
      </w:tr>
      <w:tr>
        <w:tblPrEx>
          <w:tblW w:w="0" w:type="auto"/>
          <w:tblInd w:w="108" w:type="dxa"/>
          <w:tblLayout w:type="fixed"/>
          <w:tblCellMar>
            <w:top w:w="0" w:type="dxa"/>
            <w:left w:w="108" w:type="dxa"/>
            <w:bottom w:w="0" w:type="dxa"/>
            <w:right w:w="108" w:type="dxa"/>
          </w:tblCellMar>
        </w:tblPrEx>
        <w:trPr>
          <w:trHeight w:val="145"/>
        </w:trPr>
        <w:tc>
          <w:tcPr>
            <w:tcW w:w="8505" w:type="dxa"/>
            <w:gridSpan w:val="7"/>
            <w:vAlign w:val="center"/>
          </w:tcPr>
          <w:p>
            <w:pPr>
              <w:spacing w:line="360" w:lineRule="exact"/>
              <w:contextualSpacing/>
              <w:jc w:val="center"/>
              <w:rPr>
                <w:rFonts w:ascii="宋体" w:hAnsi="宋体"/>
                <w:szCs w:val="21"/>
              </w:rPr>
            </w:pPr>
            <w:r>
              <w:rPr>
                <w:rFonts w:ascii="宋体" w:hAnsi="宋体"/>
                <w:szCs w:val="21"/>
              </w:rPr>
              <w:t>（1）图像产品</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19</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基本反射率(R)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基本反射率(R)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21</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245m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基本反射率(R)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25</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vAlign w:val="center"/>
          </w:tcPr>
          <w:p>
            <w:pPr>
              <w:spacing w:line="360" w:lineRule="exact"/>
              <w:contextualSpacing/>
              <w:jc w:val="center"/>
              <w:rPr>
                <w:rFonts w:ascii="宋体" w:hAnsi="宋体"/>
                <w:szCs w:val="21"/>
              </w:rPr>
            </w:pPr>
            <w:r>
              <w:rPr>
                <w:rFonts w:ascii="宋体" w:hAnsi="宋体"/>
                <w:szCs w:val="21"/>
              </w:rPr>
              <w:t>60km</w:t>
            </w:r>
          </w:p>
        </w:tc>
        <w:tc>
          <w:tcPr>
            <w:tcW w:w="2126" w:type="dxa"/>
            <w:vAlign w:val="center"/>
          </w:tcPr>
          <w:p>
            <w:pPr>
              <w:spacing w:line="360" w:lineRule="exact"/>
              <w:contextualSpacing/>
              <w:jc w:val="center"/>
              <w:rPr>
                <w:rFonts w:ascii="宋体" w:hAnsi="宋体"/>
                <w:szCs w:val="21"/>
              </w:rPr>
            </w:pPr>
            <w:r>
              <w:rPr>
                <w:rFonts w:ascii="宋体" w:hAnsi="宋体"/>
                <w:szCs w:val="21"/>
              </w:rPr>
              <w:t>基本速度(V)</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26</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vAlign w:val="center"/>
          </w:tcPr>
          <w:p>
            <w:pPr>
              <w:spacing w:line="360" w:lineRule="exact"/>
              <w:contextualSpacing/>
              <w:jc w:val="center"/>
              <w:rPr>
                <w:rFonts w:ascii="宋体" w:hAnsi="宋体"/>
                <w:szCs w:val="21"/>
              </w:rPr>
            </w:pPr>
            <w:r>
              <w:rPr>
                <w:rFonts w:ascii="宋体" w:hAnsi="宋体"/>
                <w:szCs w:val="21"/>
              </w:rPr>
              <w:t>115km</w:t>
            </w:r>
          </w:p>
        </w:tc>
        <w:tc>
          <w:tcPr>
            <w:tcW w:w="2126" w:type="dxa"/>
            <w:vAlign w:val="center"/>
          </w:tcPr>
          <w:p>
            <w:pPr>
              <w:spacing w:line="360" w:lineRule="exact"/>
              <w:contextualSpacing/>
              <w:jc w:val="center"/>
              <w:rPr>
                <w:rFonts w:ascii="宋体" w:hAnsi="宋体"/>
                <w:szCs w:val="21"/>
              </w:rPr>
            </w:pPr>
            <w:r>
              <w:rPr>
                <w:rFonts w:ascii="宋体" w:hAnsi="宋体"/>
                <w:szCs w:val="21"/>
              </w:rPr>
              <w:t>基本速度(V)</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27</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基本速度(V)</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28</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vAlign w:val="center"/>
          </w:tcPr>
          <w:p>
            <w:pPr>
              <w:spacing w:line="360" w:lineRule="exact"/>
              <w:contextualSpacing/>
              <w:jc w:val="center"/>
              <w:rPr>
                <w:rFonts w:ascii="宋体" w:hAnsi="宋体"/>
                <w:szCs w:val="21"/>
              </w:rPr>
            </w:pPr>
            <w:r>
              <w:rPr>
                <w:rFonts w:ascii="宋体" w:hAnsi="宋体"/>
                <w:szCs w:val="21"/>
              </w:rPr>
              <w:t>60km</w:t>
            </w:r>
          </w:p>
        </w:tc>
        <w:tc>
          <w:tcPr>
            <w:tcW w:w="2126" w:type="dxa"/>
            <w:vAlign w:val="center"/>
          </w:tcPr>
          <w:p>
            <w:pPr>
              <w:spacing w:line="360" w:lineRule="exact"/>
              <w:contextualSpacing/>
              <w:jc w:val="center"/>
              <w:rPr>
                <w:rFonts w:ascii="宋体" w:hAnsi="宋体"/>
                <w:szCs w:val="21"/>
              </w:rPr>
            </w:pPr>
            <w:r>
              <w:rPr>
                <w:rFonts w:ascii="宋体" w:hAnsi="宋体"/>
                <w:szCs w:val="21"/>
              </w:rPr>
              <w:t>基本谱宽(SW)</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29</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vAlign w:val="center"/>
          </w:tcPr>
          <w:p>
            <w:pPr>
              <w:spacing w:line="360" w:lineRule="exact"/>
              <w:contextualSpacing/>
              <w:jc w:val="center"/>
              <w:rPr>
                <w:rFonts w:ascii="宋体" w:hAnsi="宋体"/>
                <w:szCs w:val="21"/>
              </w:rPr>
            </w:pPr>
            <w:r>
              <w:rPr>
                <w:rFonts w:ascii="宋体" w:hAnsi="宋体"/>
                <w:szCs w:val="21"/>
              </w:rPr>
              <w:t>115km</w:t>
            </w:r>
          </w:p>
        </w:tc>
        <w:tc>
          <w:tcPr>
            <w:tcW w:w="2126" w:type="dxa"/>
            <w:vAlign w:val="center"/>
          </w:tcPr>
          <w:p>
            <w:pPr>
              <w:spacing w:line="360" w:lineRule="exact"/>
              <w:contextualSpacing/>
              <w:jc w:val="center"/>
              <w:rPr>
                <w:rFonts w:ascii="宋体" w:hAnsi="宋体"/>
                <w:szCs w:val="21"/>
              </w:rPr>
            </w:pPr>
            <w:r>
              <w:rPr>
                <w:rFonts w:ascii="宋体" w:hAnsi="宋体"/>
                <w:szCs w:val="21"/>
              </w:rPr>
              <w:t>基本谱宽(SW)</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基本谱宽(SW)</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31</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用户可选降水（USP）</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33</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混合扫描反射率（HSR）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37</w:t>
            </w:r>
          </w:p>
        </w:tc>
        <w:tc>
          <w:tcPr>
            <w:tcW w:w="1417" w:type="dxa"/>
            <w:vAlign w:val="center"/>
          </w:tcPr>
          <w:p>
            <w:pPr>
              <w:spacing w:line="360" w:lineRule="exact"/>
              <w:contextualSpacing/>
              <w:jc w:val="center"/>
              <w:rPr>
                <w:rFonts w:ascii="宋体" w:hAnsi="宋体"/>
                <w:szCs w:val="21"/>
              </w:rPr>
            </w:pPr>
            <w:r>
              <w:rPr>
                <w:rFonts w:ascii="宋体" w:hAnsi="宋体"/>
                <w:szCs w:val="21"/>
              </w:rPr>
              <w:t>250m</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组合反射率（CR）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38</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组合反射率（CR）</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39</w:t>
            </w:r>
          </w:p>
        </w:tc>
        <w:tc>
          <w:tcPr>
            <w:tcW w:w="1417" w:type="dxa"/>
            <w:vAlign w:val="center"/>
          </w:tcPr>
          <w:p>
            <w:pPr>
              <w:spacing w:line="360" w:lineRule="exact"/>
              <w:contextualSpacing/>
              <w:jc w:val="center"/>
              <w:rPr>
                <w:rFonts w:ascii="宋体" w:hAnsi="宋体"/>
                <w:szCs w:val="21"/>
              </w:rPr>
            </w:pPr>
            <w:r>
              <w:rPr>
                <w:rFonts w:ascii="宋体" w:hAnsi="宋体"/>
                <w:szCs w:val="21"/>
              </w:rPr>
              <w:t>250m</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组合反射率等值线（CRC）</w:t>
            </w:r>
          </w:p>
        </w:tc>
        <w:tc>
          <w:tcPr>
            <w:tcW w:w="709" w:type="dxa"/>
            <w:vAlign w:val="center"/>
          </w:tcPr>
          <w:p>
            <w:pPr>
              <w:spacing w:line="360" w:lineRule="exact"/>
              <w:contextualSpacing/>
              <w:jc w:val="center"/>
              <w:rPr>
                <w:rFonts w:ascii="宋体" w:hAnsi="宋体"/>
                <w:szCs w:val="21"/>
              </w:rPr>
            </w:pPr>
            <w:r>
              <w:rPr>
                <w:rFonts w:ascii="宋体" w:hAnsi="宋体"/>
                <w:szCs w:val="21"/>
              </w:rPr>
              <w:t>12</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40</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组合反射率等值线（CRC）</w:t>
            </w:r>
          </w:p>
        </w:tc>
        <w:tc>
          <w:tcPr>
            <w:tcW w:w="709" w:type="dxa"/>
            <w:vAlign w:val="center"/>
          </w:tcPr>
          <w:p>
            <w:pPr>
              <w:spacing w:line="360" w:lineRule="exact"/>
              <w:contextualSpacing/>
              <w:jc w:val="center"/>
              <w:rPr>
                <w:rFonts w:ascii="宋体" w:hAnsi="宋体"/>
                <w:szCs w:val="21"/>
              </w:rPr>
            </w:pPr>
            <w:r>
              <w:rPr>
                <w:rFonts w:ascii="宋体" w:hAnsi="宋体"/>
                <w:szCs w:val="21"/>
              </w:rPr>
              <w:t>12</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41</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回波顶（ET）</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42</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回波顶等值线（ETC）</w:t>
            </w:r>
          </w:p>
        </w:tc>
        <w:tc>
          <w:tcPr>
            <w:tcW w:w="709" w:type="dxa"/>
            <w:vAlign w:val="center"/>
          </w:tcPr>
          <w:p>
            <w:pPr>
              <w:spacing w:line="360" w:lineRule="exact"/>
              <w:contextualSpacing/>
              <w:jc w:val="center"/>
              <w:rPr>
                <w:rFonts w:ascii="宋体" w:hAnsi="宋体"/>
                <w:szCs w:val="21"/>
              </w:rPr>
            </w:pPr>
            <w:r>
              <w:rPr>
                <w:rFonts w:ascii="宋体" w:hAnsi="宋体"/>
                <w:szCs w:val="21"/>
              </w:rPr>
              <w:t>12</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43</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强天气分析反射率（SWR）</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44</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强天气分析速度（SWV）</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45</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强天气分析谱宽（SWW）</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强天气分析切变（SWS）</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47</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强天气概率（SWP）</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48</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2.0m/s</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VAD风廓线（VWP）</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反射率剖面（RCS ）</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51</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速度剖面（VCS）</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52</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谱宽剖面（SCS）</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53</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弱回波区（WER）</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55</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局部风暴相对径向速度（SRR）</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风暴相对径向速度（SRM）</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57</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垂直累计液态水含量（VIL）</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58</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345km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风暴追踪信息（STI）</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59</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冰雹指数（HI）</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60</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中尺度气旋（M）</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61</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龙卷涡旋特征（TVS）</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62</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345km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风暴结构（SS）</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63</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分层(1)组合反射率平均值(LRA)</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64</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分层(2)组合反射率平均值(LRA)</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65</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分层(1)组合反射率最大值(LRM)</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vAlign w:val="center"/>
          </w:tcPr>
          <w:p>
            <w:pPr>
              <w:numPr>
                <w:ilvl w:val="0"/>
                <w:numId w:val="6"/>
              </w:numPr>
              <w:spacing w:line="360" w:lineRule="exact"/>
              <w:ind w:left="0" w:firstLine="0"/>
              <w:contextualSpacing/>
              <w:jc w:val="center"/>
              <w:rPr>
                <w:rFonts w:ascii="宋体" w:hAnsi="宋体" w:cs="黑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66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分层(2)组合反射率最大值(LRM)</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73</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用户警报信息（UAM）</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78</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1小时降水（OHP）</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512"/>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79</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3小时降水（THP）</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风暴总降水（STP）</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84</w:t>
            </w:r>
          </w:p>
        </w:tc>
        <w:tc>
          <w:tcPr>
            <w:tcW w:w="1417" w:type="dxa"/>
            <w:vAlign w:val="center"/>
          </w:tcPr>
          <w:p>
            <w:pPr>
              <w:spacing w:line="360" w:lineRule="exact"/>
              <w:contextualSpacing/>
              <w:jc w:val="center"/>
              <w:rPr>
                <w:rFonts w:ascii="宋体" w:hAnsi="宋体"/>
                <w:szCs w:val="21"/>
              </w:rPr>
            </w:pPr>
            <w:r>
              <w:rPr>
                <w:rFonts w:ascii="宋体" w:hAnsi="宋体"/>
                <w:szCs w:val="21"/>
              </w:rPr>
              <w:t>2.5m/s</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速度方位显示（VAD）</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87</w:t>
            </w:r>
          </w:p>
        </w:tc>
        <w:tc>
          <w:tcPr>
            <w:tcW w:w="1417" w:type="dxa"/>
            <w:vAlign w:val="center"/>
          </w:tcPr>
          <w:p>
            <w:pPr>
              <w:spacing w:line="360" w:lineRule="exact"/>
              <w:contextualSpacing/>
              <w:jc w:val="center"/>
              <w:rPr>
                <w:rFonts w:ascii="宋体" w:hAnsi="宋体"/>
                <w:szCs w:val="21"/>
              </w:rPr>
            </w:pPr>
            <w:r>
              <w:rPr>
                <w:rFonts w:ascii="宋体" w:hAnsi="宋体"/>
                <w:szCs w:val="21"/>
              </w:rPr>
              <w:t xml:space="preserve">1 km </w:t>
            </w:r>
            <w:r>
              <w:rPr>
                <w:rFonts w:ascii="Symbol" w:hAnsi="Symbol"/>
                <w:szCs w:val="21"/>
              </w:rPr>
              <w:sym w:font="Symbol" w:char="F0B4"/>
            </w:r>
            <w:r>
              <w:rPr>
                <w:rFonts w:ascii="宋体" w:hAnsi="宋体"/>
                <w:szCs w:val="21"/>
              </w:rPr>
              <w:t>1km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r>
              <w:rPr>
                <w:rFonts w:ascii="Symbol" w:hAnsi="Symbol"/>
                <w:szCs w:val="21"/>
              </w:rPr>
              <w:sym w:font="Symbol" w:char="F0B4"/>
            </w: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综合切变（CS）</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88</w:t>
            </w:r>
          </w:p>
        </w:tc>
        <w:tc>
          <w:tcPr>
            <w:tcW w:w="1417" w:type="dxa"/>
            <w:vAlign w:val="center"/>
          </w:tcPr>
          <w:p>
            <w:pPr>
              <w:spacing w:line="360" w:lineRule="exact"/>
              <w:contextualSpacing/>
              <w:jc w:val="center"/>
              <w:rPr>
                <w:rFonts w:ascii="宋体" w:hAnsi="宋体"/>
                <w:szCs w:val="21"/>
              </w:rPr>
            </w:pPr>
            <w:r>
              <w:rPr>
                <w:rFonts w:ascii="宋体" w:hAnsi="宋体"/>
                <w:szCs w:val="21"/>
              </w:rPr>
              <w:t xml:space="preserve">1 km </w:t>
            </w:r>
            <w:r>
              <w:rPr>
                <w:rFonts w:ascii="Symbol" w:hAnsi="Symbol"/>
                <w:szCs w:val="21"/>
              </w:rPr>
              <w:sym w:font="Symbol" w:char="F0B4"/>
            </w:r>
            <w:r>
              <w:rPr>
                <w:rFonts w:ascii="宋体" w:hAnsi="宋体"/>
                <w:szCs w:val="21"/>
              </w:rPr>
              <w:t>1km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r>
              <w:rPr>
                <w:rFonts w:ascii="Symbol" w:hAnsi="Symbol"/>
                <w:szCs w:val="21"/>
              </w:rPr>
              <w:sym w:font="Symbol" w:char="F0B4"/>
            </w: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综合切变等值线（CSC）</w:t>
            </w:r>
          </w:p>
        </w:tc>
        <w:tc>
          <w:tcPr>
            <w:tcW w:w="709" w:type="dxa"/>
            <w:vAlign w:val="center"/>
          </w:tcPr>
          <w:p>
            <w:pPr>
              <w:spacing w:line="360" w:lineRule="exact"/>
              <w:contextualSpacing/>
              <w:jc w:val="center"/>
              <w:rPr>
                <w:rFonts w:ascii="宋体" w:hAnsi="宋体"/>
                <w:szCs w:val="21"/>
              </w:rPr>
            </w:pPr>
            <w:r>
              <w:rPr>
                <w:rFonts w:ascii="宋体" w:hAnsi="宋体"/>
                <w:szCs w:val="21"/>
              </w:rPr>
              <w:t>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89</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分层(3)组合反射率平均值（LRA）</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90</w:t>
            </w:r>
          </w:p>
        </w:tc>
        <w:tc>
          <w:tcPr>
            <w:tcW w:w="1417" w:type="dxa"/>
            <w:vAlign w:val="center"/>
          </w:tcPr>
          <w:p>
            <w:pPr>
              <w:spacing w:line="360" w:lineRule="exact"/>
              <w:contextualSpacing/>
              <w:jc w:val="center"/>
              <w:rPr>
                <w:rFonts w:ascii="宋体" w:hAnsi="宋体"/>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vAlign w:val="center"/>
          </w:tcPr>
          <w:p>
            <w:pPr>
              <w:spacing w:line="360" w:lineRule="exact"/>
              <w:contextualSpacing/>
              <w:jc w:val="center"/>
              <w:rPr>
                <w:rFonts w:ascii="宋体" w:hAnsi="宋体"/>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vAlign w:val="center"/>
          </w:tcPr>
          <w:p>
            <w:pPr>
              <w:spacing w:line="360" w:lineRule="exact"/>
              <w:contextualSpacing/>
              <w:jc w:val="center"/>
              <w:rPr>
                <w:rFonts w:ascii="宋体" w:hAnsi="宋体"/>
                <w:szCs w:val="21"/>
              </w:rPr>
            </w:pPr>
            <w:r>
              <w:rPr>
                <w:rFonts w:ascii="宋体" w:hAnsi="宋体"/>
                <w:szCs w:val="21"/>
              </w:rPr>
              <w:t>分层(3)组合反射率最大值（LRM）</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110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CAPPI</w:t>
            </w:r>
            <w:r>
              <w:rPr>
                <w:rFonts w:ascii="宋体" w:hAnsi="宋体"/>
                <w:kern w:val="0"/>
                <w:szCs w:val="21"/>
              </w:rPr>
              <w:t>反射率等高面位置显示</w:t>
            </w:r>
            <w:r>
              <w:rPr>
                <w:rFonts w:ascii="宋体" w:hAnsi="宋体"/>
                <w:szCs w:val="21"/>
              </w:rPr>
              <w:t>（</w:t>
            </w:r>
            <w:r>
              <w:rPr>
                <w:rFonts w:ascii="宋体" w:hAnsi="宋体"/>
                <w:kern w:val="0"/>
                <w:szCs w:val="21"/>
              </w:rPr>
              <w:t>CAR</w:t>
            </w:r>
            <w:r>
              <w:rPr>
                <w:rFonts w:ascii="宋体" w:hAnsi="宋体"/>
                <w:szCs w:val="21"/>
              </w:rPr>
              <w:t>）</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8505" w:type="dxa"/>
            <w:gridSpan w:val="7"/>
            <w:vAlign w:val="center"/>
          </w:tcPr>
          <w:p>
            <w:pPr>
              <w:spacing w:line="360" w:lineRule="exact"/>
              <w:contextualSpacing/>
              <w:jc w:val="center"/>
              <w:rPr>
                <w:rFonts w:ascii="宋体" w:hAnsi="宋体"/>
                <w:szCs w:val="21"/>
              </w:rPr>
            </w:pPr>
            <w:r>
              <w:rPr>
                <w:rFonts w:ascii="宋体" w:hAnsi="宋体"/>
                <w:szCs w:val="21"/>
              </w:rPr>
              <w:t>（2）双偏振产品</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158</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差分反射率(</w:t>
            </w:r>
            <w:r>
              <w:rPr>
                <w:rFonts w:ascii="宋体" w:hAnsi="宋体" w:cs="宋体"/>
                <w:i w:val="0"/>
                <w:iCs w:val="0"/>
                <w:kern w:val="0"/>
                <w:szCs w:val="21"/>
                <w:lang w:bidi="ar"/>
              </w:rPr>
              <w:t>Z</w:t>
            </w:r>
            <w:r>
              <w:rPr>
                <w:rFonts w:ascii="宋体" w:hAnsi="宋体" w:cs="宋体"/>
                <w:i w:val="0"/>
                <w:iCs w:val="0"/>
                <w:kern w:val="0"/>
                <w:szCs w:val="21"/>
                <w:vertAlign w:val="subscript"/>
                <w:lang w:bidi="ar"/>
              </w:rPr>
              <w:t>DR</w:t>
            </w:r>
            <w:r>
              <w:rPr>
                <w:rFonts w:ascii="宋体" w:hAnsi="宋体"/>
                <w:szCs w:val="21"/>
              </w:rPr>
              <w:t>)</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相关系数(CC)</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161</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差分传播相移（</w:t>
            </w:r>
            <w:r>
              <w:rPr>
                <w:rFonts w:ascii="宋体" w:hAnsi="宋体" w:hint="eastAsia"/>
                <w:szCs w:val="21"/>
              </w:rPr>
              <w:t>Φ</w:t>
            </w:r>
            <w:r>
              <w:rPr>
                <w:rFonts w:ascii="宋体" w:hAnsi="宋体"/>
                <w:szCs w:val="21"/>
                <w:vertAlign w:val="subscript"/>
              </w:rPr>
              <w:t>DP</w:t>
            </w:r>
            <w:r>
              <w:rPr>
                <w:rFonts w:ascii="宋体" w:hAnsi="宋体"/>
                <w:szCs w:val="21"/>
              </w:rPr>
              <w:t>）</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162</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差分传播相移率（K</w:t>
            </w:r>
            <w:r>
              <w:rPr>
                <w:rFonts w:ascii="宋体" w:hAnsi="宋体"/>
                <w:szCs w:val="21"/>
                <w:vertAlign w:val="subscript"/>
              </w:rPr>
              <w:t>DP</w:t>
            </w:r>
            <w:r>
              <w:rPr>
                <w:rFonts w:ascii="宋体" w:hAnsi="宋体"/>
                <w:szCs w:val="21"/>
              </w:rPr>
              <w:t>）</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163</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退偏振比（LDR）</w:t>
            </w:r>
          </w:p>
          <w:p>
            <w:pPr>
              <w:spacing w:line="360" w:lineRule="exact"/>
              <w:contextualSpacing/>
              <w:jc w:val="center"/>
              <w:rPr>
                <w:rFonts w:ascii="宋体" w:hAnsi="宋体"/>
                <w:szCs w:val="21"/>
              </w:rPr>
            </w:pPr>
            <w:r>
              <w:rPr>
                <w:rFonts w:ascii="宋体" w:hAnsi="宋体"/>
                <w:szCs w:val="21"/>
              </w:rPr>
              <w:t>（单发双收模式下）</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164</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粒子相态分类（HCL）</w:t>
            </w:r>
          </w:p>
        </w:tc>
        <w:tc>
          <w:tcPr>
            <w:tcW w:w="709" w:type="dxa"/>
            <w:vAlign w:val="center"/>
          </w:tcPr>
          <w:p>
            <w:pPr>
              <w:spacing w:line="360" w:lineRule="exact"/>
              <w:contextualSpacing/>
              <w:jc w:val="center"/>
              <w:rPr>
                <w:rFonts w:ascii="宋体" w:hAnsi="宋体"/>
                <w:szCs w:val="21"/>
              </w:rPr>
            </w:pPr>
            <w:r>
              <w:rPr>
                <w:rFonts w:ascii="宋体" w:hAnsi="宋体"/>
                <w:szCs w:val="21"/>
              </w:rPr>
              <w:t>10</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166</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融化层识别（ML）</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168</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双偏振定量降水估计</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169</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1小时降水（OHP）</w:t>
            </w:r>
          </w:p>
          <w:p>
            <w:pPr>
              <w:spacing w:line="360" w:lineRule="exact"/>
              <w:contextualSpacing/>
              <w:jc w:val="center"/>
              <w:rPr>
                <w:rFonts w:ascii="宋体" w:hAnsi="宋体"/>
                <w:szCs w:val="21"/>
              </w:rPr>
            </w:pPr>
            <w:r>
              <w:rPr>
                <w:rFonts w:ascii="宋体" w:hAnsi="宋体"/>
                <w:szCs w:val="21"/>
              </w:rPr>
              <w:t>（双偏振算法）</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170</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3小时降水（THP）</w:t>
            </w:r>
          </w:p>
          <w:p>
            <w:pPr>
              <w:spacing w:line="360" w:lineRule="exact"/>
              <w:contextualSpacing/>
              <w:jc w:val="center"/>
              <w:rPr>
                <w:rFonts w:ascii="宋体" w:hAnsi="宋体"/>
                <w:szCs w:val="21"/>
              </w:rPr>
            </w:pPr>
            <w:r>
              <w:rPr>
                <w:rFonts w:ascii="宋体" w:hAnsi="宋体"/>
                <w:szCs w:val="21"/>
              </w:rPr>
              <w:t>（双偏振算法）</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171</w:t>
            </w:r>
          </w:p>
        </w:tc>
        <w:tc>
          <w:tcPr>
            <w:tcW w:w="1417" w:type="dxa"/>
            <w:vAlign w:val="center"/>
          </w:tcPr>
          <w:p>
            <w:pPr>
              <w:spacing w:line="360" w:lineRule="exact"/>
              <w:contextualSpacing/>
              <w:jc w:val="center"/>
              <w:rPr>
                <w:rFonts w:ascii="宋体" w:hAnsi="宋体"/>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vAlign w:val="center"/>
          </w:tcPr>
          <w:p>
            <w:pPr>
              <w:spacing w:line="360" w:lineRule="exact"/>
              <w:contextualSpacing/>
              <w:jc w:val="center"/>
              <w:rPr>
                <w:rFonts w:ascii="宋体" w:hAnsi="宋体"/>
                <w:szCs w:val="21"/>
              </w:rPr>
            </w:pPr>
            <w:r>
              <w:rPr>
                <w:rFonts w:ascii="宋体" w:hAnsi="宋体"/>
                <w:szCs w:val="21"/>
              </w:rPr>
              <w:t>230km</w:t>
            </w:r>
          </w:p>
        </w:tc>
        <w:tc>
          <w:tcPr>
            <w:tcW w:w="2126" w:type="dxa"/>
            <w:vAlign w:val="center"/>
          </w:tcPr>
          <w:p>
            <w:pPr>
              <w:spacing w:line="360" w:lineRule="exact"/>
              <w:contextualSpacing/>
              <w:jc w:val="center"/>
              <w:rPr>
                <w:rFonts w:ascii="宋体" w:hAnsi="宋体"/>
                <w:szCs w:val="21"/>
              </w:rPr>
            </w:pPr>
            <w:r>
              <w:rPr>
                <w:rFonts w:ascii="宋体" w:hAnsi="宋体"/>
                <w:szCs w:val="21"/>
              </w:rPr>
              <w:t>风暴总降水（STP）</w:t>
            </w:r>
          </w:p>
          <w:p>
            <w:pPr>
              <w:spacing w:line="360" w:lineRule="exact"/>
              <w:contextualSpacing/>
              <w:jc w:val="center"/>
              <w:rPr>
                <w:rFonts w:ascii="宋体" w:hAnsi="宋体"/>
                <w:szCs w:val="21"/>
              </w:rPr>
            </w:pPr>
            <w:r>
              <w:rPr>
                <w:rFonts w:ascii="宋体" w:hAnsi="宋体"/>
                <w:szCs w:val="21"/>
              </w:rPr>
              <w:t>（双偏振算法）</w:t>
            </w:r>
          </w:p>
        </w:tc>
        <w:tc>
          <w:tcPr>
            <w:tcW w:w="709" w:type="dxa"/>
            <w:vAlign w:val="center"/>
          </w:tcPr>
          <w:p>
            <w:pPr>
              <w:spacing w:line="360" w:lineRule="exact"/>
              <w:contextualSpacing/>
              <w:jc w:val="center"/>
              <w:rPr>
                <w:rFonts w:ascii="宋体" w:hAnsi="宋体"/>
                <w:szCs w:val="21"/>
              </w:rPr>
            </w:pPr>
            <w:r>
              <w:rPr>
                <w:rFonts w:ascii="宋体" w:hAnsi="宋体"/>
                <w:szCs w:val="21"/>
              </w:rPr>
              <w:t>16</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8505" w:type="dxa"/>
            <w:gridSpan w:val="7"/>
            <w:vAlign w:val="center"/>
          </w:tcPr>
          <w:p>
            <w:pPr>
              <w:spacing w:line="360" w:lineRule="exact"/>
              <w:contextualSpacing/>
              <w:jc w:val="center"/>
              <w:rPr>
                <w:rFonts w:ascii="宋体" w:hAnsi="宋体" w:cs="黑体"/>
                <w:szCs w:val="21"/>
              </w:rPr>
            </w:pPr>
            <w:r>
              <w:rPr>
                <w:rFonts w:ascii="宋体" w:hAnsi="宋体" w:cs="黑体"/>
                <w:szCs w:val="21"/>
              </w:rPr>
              <w:t>（3）文字信息产品</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59</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冰雹指数字母数值列表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60</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中气旋字母数值列表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61</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龙卷风涡旋字母数值列表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75</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自由文本信息（FTM）</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78</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1小时降水字母数值列表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79</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3小时降水字母数值列表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80</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风暴总降水字母数值列表</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vAlign w:val="center"/>
          </w:tcPr>
          <w:p>
            <w:pPr>
              <w:numPr>
                <w:ilvl w:val="0"/>
                <w:numId w:val="6"/>
              </w:numPr>
              <w:spacing w:line="360" w:lineRule="exact"/>
              <w:ind w:left="0" w:firstLine="0"/>
              <w:contextualSpacing/>
              <w:jc w:val="center"/>
              <w:rPr>
                <w:rFonts w:ascii="宋体" w:hAnsi="宋体" w:cs="黑体"/>
                <w:szCs w:val="21"/>
              </w:rPr>
            </w:pPr>
          </w:p>
        </w:tc>
        <w:tc>
          <w:tcPr>
            <w:tcW w:w="851" w:type="dxa"/>
            <w:vAlign w:val="center"/>
          </w:tcPr>
          <w:p>
            <w:pPr>
              <w:spacing w:line="360" w:lineRule="exact"/>
              <w:contextualSpacing/>
              <w:jc w:val="center"/>
              <w:rPr>
                <w:rFonts w:ascii="宋体" w:hAnsi="宋体"/>
                <w:szCs w:val="21"/>
              </w:rPr>
            </w:pPr>
            <w:r>
              <w:rPr>
                <w:rFonts w:ascii="宋体" w:hAnsi="宋体"/>
                <w:szCs w:val="21"/>
              </w:rPr>
              <w:t>82</w:t>
            </w:r>
          </w:p>
        </w:tc>
        <w:tc>
          <w:tcPr>
            <w:tcW w:w="1417" w:type="dxa"/>
            <w:vAlign w:val="center"/>
          </w:tcPr>
          <w:p>
            <w:pPr>
              <w:spacing w:line="360" w:lineRule="exact"/>
              <w:contextualSpacing/>
              <w:jc w:val="center"/>
              <w:rPr>
                <w:rFonts w:ascii="宋体" w:hAnsi="宋体"/>
                <w:szCs w:val="21"/>
              </w:rPr>
            </w:pPr>
            <w:r>
              <w:rPr>
                <w:rFonts w:ascii="宋体" w:hAnsi="宋体"/>
                <w:szCs w:val="21"/>
              </w:rPr>
              <w:t>N/A</w:t>
            </w:r>
          </w:p>
        </w:tc>
        <w:tc>
          <w:tcPr>
            <w:tcW w:w="1276" w:type="dxa"/>
            <w:vAlign w:val="center"/>
          </w:tcPr>
          <w:p>
            <w:pPr>
              <w:spacing w:line="360" w:lineRule="exact"/>
              <w:contextualSpacing/>
              <w:jc w:val="center"/>
              <w:rPr>
                <w:rFonts w:ascii="宋体" w:hAnsi="宋体"/>
                <w:szCs w:val="21"/>
              </w:rPr>
            </w:pPr>
            <w:r>
              <w:rPr>
                <w:rFonts w:ascii="宋体" w:hAnsi="宋体"/>
                <w:szCs w:val="21"/>
              </w:rPr>
              <w:t>N/A</w:t>
            </w:r>
          </w:p>
        </w:tc>
        <w:tc>
          <w:tcPr>
            <w:tcW w:w="2126" w:type="dxa"/>
            <w:vAlign w:val="center"/>
          </w:tcPr>
          <w:p>
            <w:pPr>
              <w:spacing w:line="360" w:lineRule="exact"/>
              <w:contextualSpacing/>
              <w:jc w:val="center"/>
              <w:rPr>
                <w:rFonts w:ascii="宋体" w:hAnsi="宋体"/>
                <w:szCs w:val="21"/>
              </w:rPr>
            </w:pPr>
            <w:r>
              <w:rPr>
                <w:rFonts w:ascii="宋体" w:hAnsi="宋体"/>
                <w:szCs w:val="21"/>
              </w:rPr>
              <w:t>降水补充数据（SPD）</w:t>
            </w:r>
          </w:p>
        </w:tc>
        <w:tc>
          <w:tcPr>
            <w:tcW w:w="709" w:type="dxa"/>
            <w:vAlign w:val="center"/>
          </w:tcPr>
          <w:p>
            <w:pPr>
              <w:spacing w:line="360" w:lineRule="exact"/>
              <w:contextualSpacing/>
              <w:jc w:val="center"/>
              <w:rPr>
                <w:rFonts w:ascii="宋体" w:hAnsi="宋体"/>
                <w:szCs w:val="21"/>
              </w:rPr>
            </w:pPr>
            <w:r>
              <w:rPr>
                <w:rFonts w:ascii="宋体" w:hAnsi="宋体"/>
                <w:szCs w:val="21"/>
              </w:rPr>
              <w:t>N/A</w:t>
            </w:r>
          </w:p>
        </w:tc>
        <w:tc>
          <w:tcPr>
            <w:tcW w:w="1417" w:type="dxa"/>
            <w:vAlign w:val="center"/>
          </w:tcPr>
          <w:p>
            <w:pPr>
              <w:spacing w:line="360" w:lineRule="exact"/>
              <w:contextualSpacing/>
              <w:jc w:val="center"/>
              <w:rPr>
                <w:rFonts w:ascii="宋体" w:hAnsi="宋体"/>
                <w:szCs w:val="21"/>
              </w:rPr>
            </w:pPr>
            <w:r>
              <w:rPr>
                <w:rFonts w:ascii="宋体" w:hAnsi="宋体"/>
                <w:szCs w:val="21"/>
              </w:rPr>
              <w:t>1.5分钟</w:t>
            </w:r>
          </w:p>
        </w:tc>
      </w:tr>
    </w:tbl>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四、进度与质量要求</w:t>
      </w:r>
    </w:p>
    <w:p>
      <w:pPr>
        <w:ind w:firstLine="420" w:firstLineChars="200"/>
        <w:rPr>
          <w:rFonts w:ascii="宋体" w:hAnsi="宋体"/>
          <w:szCs w:val="21"/>
        </w:rPr>
      </w:pPr>
      <w:r>
        <w:rPr>
          <w:rFonts w:ascii="宋体" w:hAnsi="宋体" w:hint="eastAsia"/>
          <w:szCs w:val="21"/>
        </w:rPr>
        <w:t>（1）T0+1个月，</w:t>
      </w:r>
      <w:r>
        <w:t>完成</w:t>
      </w:r>
      <w:r>
        <w:rPr>
          <w:rFonts w:hint="eastAsia"/>
        </w:rPr>
        <w:t>雷达系统指标详细设计（总体方案）和雷达分系统功能、接口的设计（分系统技术要求）</w:t>
      </w:r>
      <w:r>
        <w:rPr>
          <w:rFonts w:ascii="宋体" w:hAnsi="宋体" w:hint="eastAsia"/>
          <w:szCs w:val="21"/>
        </w:rPr>
        <w:t>；</w:t>
      </w:r>
    </w:p>
    <w:p>
      <w:pPr>
        <w:ind w:firstLine="420" w:firstLineChars="200"/>
        <w:rPr>
          <w:rFonts w:ascii="宋体" w:hAnsi="宋体"/>
          <w:szCs w:val="21"/>
        </w:rPr>
      </w:pPr>
      <w:r>
        <w:rPr>
          <w:rFonts w:ascii="宋体" w:hAnsi="宋体" w:hint="eastAsia"/>
          <w:szCs w:val="21"/>
        </w:rPr>
        <w:t>（2）T0+3个月，</w:t>
      </w:r>
      <w:r>
        <w:rPr>
          <w:rFonts w:hint="eastAsia"/>
        </w:rPr>
        <w:t>完成雷达多波束工作模式及体扫模式详细设计；</w:t>
      </w:r>
    </w:p>
    <w:p>
      <w:pPr>
        <w:ind w:firstLine="420" w:firstLineChars="200"/>
        <w:rPr>
          <w:rFonts w:ascii="宋体" w:hAnsi="宋体"/>
          <w:szCs w:val="21"/>
        </w:rPr>
      </w:pPr>
      <w:r>
        <w:rPr>
          <w:rFonts w:ascii="宋体" w:hAnsi="宋体" w:hint="eastAsia"/>
          <w:szCs w:val="21"/>
        </w:rPr>
        <w:t>（3）T0+5个月，</w:t>
      </w:r>
      <w:r>
        <w:rPr>
          <w:rFonts w:hint="eastAsia"/>
        </w:rPr>
        <w:t>协助</w:t>
      </w:r>
      <w:r>
        <w:rPr>
          <w:rFonts w:hint="eastAsia"/>
          <w:highlight w:val="none"/>
        </w:rPr>
        <w:t>采购人</w:t>
      </w:r>
      <w:r>
        <w:rPr>
          <w:rFonts w:hint="eastAsia"/>
        </w:rPr>
        <w:t>完成雷达系统、分系统测试大纲编制和测试；</w:t>
      </w:r>
    </w:p>
    <w:p>
      <w:pPr>
        <w:ind w:firstLine="420" w:firstLineChars="200"/>
        <w:rPr>
          <w:rFonts w:ascii="宋体" w:hAnsi="宋体"/>
          <w:szCs w:val="21"/>
        </w:rPr>
      </w:pPr>
      <w:r>
        <w:rPr>
          <w:rFonts w:ascii="宋体" w:hAnsi="宋体" w:hint="eastAsia"/>
          <w:szCs w:val="21"/>
        </w:rPr>
        <w:t>（4）T0+21个月，在分系统完成研制的情况下协助采购人组织雷达的整机及分系统的测试工作；配合采购人组织分系统中标人协调各分系统的联调工作，完成系统集成调试。</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五、用户培训</w:t>
      </w:r>
    </w:p>
    <w:p>
      <w:pPr>
        <w:ind w:firstLine="420" w:firstLineChars="200"/>
        <w:rPr>
          <w:rFonts w:ascii="宋体" w:hAnsi="宋体"/>
          <w:szCs w:val="21"/>
        </w:rPr>
      </w:pPr>
      <w:r>
        <w:rPr>
          <w:rFonts w:ascii="宋体" w:hAnsi="宋体" w:hint="eastAsia"/>
          <w:szCs w:val="21"/>
        </w:rPr>
        <w:t>1）培训方式应包括现场培训和集中培训，并应在进行培训之前向采购人提交一份详细的培训计划。</w:t>
      </w:r>
    </w:p>
    <w:p>
      <w:pPr>
        <w:ind w:firstLine="420" w:firstLineChars="200"/>
        <w:rPr>
          <w:rFonts w:ascii="宋体" w:hAnsi="宋体"/>
          <w:szCs w:val="21"/>
        </w:rPr>
      </w:pPr>
      <w:r>
        <w:rPr>
          <w:rFonts w:ascii="宋体" w:hAnsi="宋体" w:hint="eastAsia"/>
          <w:szCs w:val="21"/>
        </w:rPr>
        <w:t>2）中标人应以培训目标的实现为目的组织培训，确保每一位系统使用人员能够独立、熟练地完成操作，保证系统用户能够独立处理软件系统故障和进行简单的功能调整。</w:t>
      </w:r>
    </w:p>
    <w:p>
      <w:pPr>
        <w:ind w:firstLine="420" w:firstLineChars="200"/>
        <w:rPr>
          <w:rFonts w:ascii="宋体" w:hAnsi="宋体"/>
          <w:szCs w:val="21"/>
        </w:rPr>
      </w:pPr>
      <w:r>
        <w:rPr>
          <w:rFonts w:ascii="宋体" w:hAnsi="宋体" w:hint="eastAsia"/>
          <w:szCs w:val="21"/>
        </w:rPr>
        <w:t>3）培训在采购人指定地点进行；培训讲师为项目主要开发人员；具体培训人次和培训时间由采购人与中标人根据项目进展情况协商确定；培训内容应包括日常操作、维护、常见故障排除、紧急情况处理等；培训应采取课堂讲解和实操训练相结合的方式。</w:t>
      </w:r>
    </w:p>
    <w:p>
      <w:pPr>
        <w:ind w:firstLine="420" w:firstLineChars="200"/>
        <w:rPr>
          <w:rFonts w:ascii="宋体" w:hAnsi="宋体"/>
          <w:szCs w:val="21"/>
        </w:rPr>
      </w:pPr>
      <w:r>
        <w:rPr>
          <w:rFonts w:ascii="宋体" w:hAnsi="宋体" w:hint="eastAsia"/>
          <w:szCs w:val="21"/>
        </w:rPr>
        <w:t>4）中标人负责搭建培训所需的环境，并提供培训教材等相关用品。</w:t>
      </w:r>
    </w:p>
    <w:p>
      <w:pPr>
        <w:ind w:firstLine="420" w:firstLineChars="200"/>
        <w:rPr>
          <w:rFonts w:ascii="宋体" w:hAnsi="宋体"/>
          <w:szCs w:val="21"/>
        </w:rPr>
      </w:pPr>
      <w:r>
        <w:rPr>
          <w:rFonts w:ascii="宋体" w:hAnsi="宋体" w:hint="eastAsia"/>
          <w:szCs w:val="21"/>
        </w:rPr>
        <w:t>5）参加培训人员的差旅食宿费用自理，中标人承担培训产生的场地、教师、培训资料、消耗品等一切费用。</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六、质量保证要求</w:t>
      </w:r>
    </w:p>
    <w:p>
      <w:pPr>
        <w:ind w:firstLine="420" w:firstLineChars="200"/>
        <w:rPr>
          <w:rFonts w:ascii="宋体" w:hAnsi="宋体"/>
          <w:szCs w:val="21"/>
        </w:rPr>
      </w:pPr>
      <w:r>
        <w:rPr>
          <w:rFonts w:ascii="宋体" w:hAnsi="宋体" w:hint="eastAsia"/>
          <w:szCs w:val="21"/>
        </w:rPr>
        <w:t>项目质量保证活动应贯穿整个工作的各个控制节点，并按照国家相关标准及规范实施。中标人必须制定详细的质量保证方案，并在有关各方商定的里程碑处接受采购人的审查。</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七、项目管理团队要求</w:t>
      </w:r>
    </w:p>
    <w:p>
      <w:pPr>
        <w:ind w:firstLine="420" w:firstLineChars="200"/>
        <w:rPr>
          <w:rFonts w:ascii="宋体" w:hAnsi="宋体"/>
          <w:szCs w:val="21"/>
        </w:rPr>
      </w:pPr>
      <w:r>
        <w:rPr>
          <w:rFonts w:ascii="宋体" w:hAnsi="宋体" w:hint="eastAsia"/>
          <w:szCs w:val="21"/>
        </w:rPr>
        <w:t>投标人必须成立合理的组织机构，组成项目管理团队，团队人数不少于5人，团队组织结构清晰，应设项目管理团队负责人（项目经理）、技术负责人、技术开发人员，人员专业背景齐全。建立全面保障设计、开发工作顺利实施的各项管理制度和质量保证体系，安排好足够的高素质人才参加本项目工作。</w:t>
      </w:r>
    </w:p>
    <w:p>
      <w:pPr>
        <w:ind w:firstLine="420" w:firstLineChars="200"/>
        <w:rPr>
          <w:rFonts w:ascii="宋体" w:hAnsi="宋体"/>
          <w:szCs w:val="21"/>
        </w:rPr>
      </w:pPr>
      <w:r>
        <w:rPr>
          <w:rFonts w:ascii="宋体" w:hAnsi="宋体" w:hint="eastAsia"/>
          <w:szCs w:val="21"/>
        </w:rPr>
        <w:t>在组织机构设置中，应明确界定各岗位职责，以保障项目顺利实施。团队负责人（项目经理）与技术负责人应具有同类项目工作经验，分别承担项目管理与技术统筹职责，团队负责人（项目经理）需有</w:t>
      </w:r>
      <w:r>
        <w:rPr>
          <w:rFonts w:ascii="宋体" w:hAnsi="宋体" w:hint="eastAsia"/>
          <w:szCs w:val="21"/>
          <w:highlight w:val="yellow"/>
        </w:rPr>
        <w:t>计算机</w:t>
      </w:r>
      <w:r>
        <w:rPr>
          <w:rFonts w:ascii="宋体" w:hAnsi="宋体" w:hint="eastAsia"/>
          <w:szCs w:val="21"/>
          <w:highlight w:val="yellow"/>
          <w:lang w:val="en-US" w:eastAsia="zh-CN"/>
        </w:rPr>
        <w:t>/电子工程</w:t>
      </w:r>
      <w:r>
        <w:rPr>
          <w:rFonts w:ascii="宋体" w:hAnsi="宋体" w:hint="eastAsia"/>
          <w:szCs w:val="21"/>
          <w:highlight w:val="yellow"/>
        </w:rPr>
        <w:t>/气象/气象仪器类</w:t>
      </w:r>
      <w:r>
        <w:rPr>
          <w:rFonts w:ascii="宋体" w:hAnsi="宋体" w:hint="eastAsia"/>
          <w:szCs w:val="21"/>
        </w:rPr>
        <w:t>相关专业背景，技术负责人需具有</w:t>
      </w:r>
      <w:r>
        <w:rPr>
          <w:rFonts w:ascii="宋体" w:hAnsi="宋体" w:hint="eastAsia"/>
          <w:szCs w:val="21"/>
          <w:highlight w:val="yellow"/>
        </w:rPr>
        <w:t>计算机</w:t>
      </w:r>
      <w:r>
        <w:rPr>
          <w:rFonts w:ascii="宋体" w:hAnsi="宋体" w:hint="eastAsia"/>
          <w:szCs w:val="21"/>
          <w:highlight w:val="yellow"/>
          <w:lang w:val="en-US" w:eastAsia="zh-CN"/>
        </w:rPr>
        <w:t>/电子工程</w:t>
      </w:r>
      <w:r>
        <w:rPr>
          <w:rFonts w:ascii="宋体" w:hAnsi="宋体" w:hint="eastAsia"/>
          <w:szCs w:val="21"/>
          <w:highlight w:val="yellow"/>
        </w:rPr>
        <w:t>/气象/气象仪器类</w:t>
      </w:r>
      <w:r>
        <w:rPr>
          <w:rFonts w:ascii="宋体" w:hAnsi="宋体" w:hint="eastAsia"/>
          <w:szCs w:val="21"/>
        </w:rPr>
        <w:t>高级工程师证书。</w:t>
      </w:r>
    </w:p>
    <w:p>
      <w:pPr>
        <w:spacing w:line="360" w:lineRule="auto"/>
        <w:ind w:firstLine="420" w:firstLineChars="200"/>
        <w:outlineLvl w:val="2"/>
        <w:rPr>
          <w:rFonts w:ascii="宋体" w:hAnsi="宋体"/>
          <w:b/>
          <w:bCs/>
          <w:color w:val="000000"/>
          <w:szCs w:val="21"/>
        </w:rPr>
      </w:pPr>
      <w:r>
        <w:rPr>
          <w:rFonts w:ascii="宋体" w:hAnsi="宋体" w:hint="eastAsia"/>
          <w:b/>
          <w:bCs/>
          <w:color w:val="000000"/>
          <w:szCs w:val="21"/>
        </w:rPr>
        <w:t>八、其他要求</w:t>
      </w:r>
    </w:p>
    <w:p>
      <w:pPr>
        <w:ind w:firstLine="420" w:firstLineChars="200"/>
      </w:pPr>
      <w:r>
        <w:rPr>
          <w:rFonts w:hint="eastAsia"/>
        </w:rPr>
        <w:t>投标人需</w:t>
      </w:r>
      <w:r>
        <w:t>提供以下6个</w:t>
      </w:r>
      <w:r>
        <w:rPr>
          <w:rFonts w:hint="eastAsia"/>
        </w:rPr>
        <w:t>关键技术</w:t>
      </w:r>
      <w:r>
        <w:t>设计方案（含源代码）和承诺函</w:t>
      </w:r>
      <w:r>
        <w:rPr>
          <w:rFonts w:hint="eastAsia"/>
        </w:rPr>
        <w:t>。</w:t>
      </w:r>
    </w:p>
    <w:p>
      <w:pPr>
        <w:ind w:firstLine="420" w:firstLineChars="200"/>
      </w:pPr>
      <w:r>
        <w:rPr>
          <w:rFonts w:hint="eastAsia"/>
        </w:rPr>
        <w:t>设计方案内容应明确业务场景适配性与设计目标，界定需求边界，论证技术路线可行性；阐述核心技术原理及关键参数，说明工程实现路径；配套关键源代码。</w:t>
      </w:r>
    </w:p>
    <w:p>
      <w:pPr>
        <w:ind w:firstLine="420" w:firstLineChars="200"/>
      </w:pPr>
      <w:r>
        <w:rPr>
          <w:rFonts w:hint="eastAsia"/>
        </w:rPr>
        <w:t>投标人书面承诺函应包括：承诺所提交设计方案中的技术路线具备完全可实现性；承诺方案内容真实有效，无虚假陈述，所涉及的技术、源代码无知识产权侵权风险，且投标方拥有合法处置权；承诺中标后，可按招标文件要求及设计方案约定，配合招标人开展方案验证、系统集成调试及后续优化工作；承诺若设计方案存在与实际交付不符或无法实现的情况，愿承担相应违约责任。</w:t>
      </w:r>
    </w:p>
    <w:p>
      <w:pPr>
        <w:ind w:left="420" w:leftChars="200"/>
        <w:jc w:val="left"/>
      </w:pPr>
      <w:r>
        <w:t>1.相控阵雷达体扫模式；</w:t>
      </w:r>
      <w:r>
        <w:cr/>
      </w:r>
      <w:r>
        <w:t>2.相控阵雷达多波束工作模式；</w:t>
      </w:r>
      <w:r>
        <w:cr/>
      </w:r>
      <w:r>
        <w:t>3.相控阵雷达抗同频干扰；</w:t>
      </w:r>
      <w:r>
        <w:cr/>
      </w:r>
      <w:r>
        <w:t>4.某个组件失效情况下，相控阵的波束合成优化；</w:t>
      </w:r>
      <w:r>
        <w:cr/>
      </w:r>
      <w:r>
        <w:t>5.相控阵雷达的现场高精度标校；</w:t>
      </w:r>
      <w:r>
        <w:cr/>
      </w:r>
      <w:r>
        <w:t>6.相控阵雷达的雷达气象方程。</w:t>
      </w:r>
    </w:p>
    <w:p/>
    <w:p>
      <w:pPr>
        <w:adjustRightInd w:val="0"/>
        <w:snapToGrid w:val="0"/>
        <w:spacing w:line="360" w:lineRule="auto"/>
        <w:jc w:val="center"/>
        <w:rPr>
          <w:rFonts w:ascii="宋体" w:hAnsi="宋体"/>
          <w:b/>
          <w:sz w:val="30"/>
          <w:szCs w:val="30"/>
        </w:rPr>
        <w:sectPr>
          <w:headerReference w:type="default" r:id="rId6"/>
          <w:footerReference w:type="default" r:id="rId7"/>
          <w:pgSz w:w="11906" w:h="16838"/>
          <w:pgMar w:top="1418" w:right="1418" w:bottom="1418" w:left="1701" w:header="851" w:footer="851" w:gutter="0"/>
          <w:cols w:num="1" w:space="720"/>
          <w:docGrid w:type="linesAndChars" w:linePitch="312" w:charSpace="0"/>
        </w:sectPr>
      </w:pPr>
    </w:p>
    <w:p/>
    <w:p w:rsidR="00A77B3E"/>
    <w:p>
      <w:pPr>
        <w:numPr>
          <w:ilvl w:val="12"/>
          <w:numId w:val="0"/>
        </w:numPr>
        <w:spacing w:line="360" w:lineRule="auto"/>
        <w:ind w:left="0" w:firstLine="0"/>
        <w:jc w:val="center"/>
        <w:outlineLvl w:val="1"/>
        <w:rPr>
          <w:rFonts w:ascii="宋体" w:hAnsi="宋体"/>
          <w:color w:val="000000"/>
          <w:sz w:val="30"/>
          <w:szCs w:val="30"/>
        </w:rPr>
        <w:sectPr>
          <w:headerReference w:type="default" r:id="rId8"/>
          <w:footerReference w:type="default" r:id="rId9"/>
          <w:pgSz w:w="11906" w:h="16838"/>
          <w:pgMar w:top="1418" w:right="1418" w:bottom="1418" w:left="1701" w:header="851" w:footer="851" w:gutter="0"/>
          <w:cols w:num="1" w:space="720"/>
          <w:docGrid w:type="linesAndChars" w:linePitch="312" w:charSpace="0"/>
        </w:sectPr>
      </w:pPr>
      <w:bookmarkEnd w:id="57"/>
    </w:p>
    <w:p>
      <w:pPr>
        <w:spacing w:before="156" w:beforeLines="50" w:line="360" w:lineRule="auto"/>
        <w:jc w:val="center"/>
        <w:outlineLvl w:val="1"/>
        <w:rPr>
          <w:rFonts w:ascii="宋体" w:hAnsi="宋体"/>
          <w:b/>
          <w:sz w:val="30"/>
          <w:szCs w:val="30"/>
          <w:highlight w:val="none"/>
        </w:rPr>
      </w:pPr>
      <w:bookmarkStart w:id="7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10"/>
          <w:footerReference w:type="default" r:id="rId11"/>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ascii="Times New Roman" w:eastAsia="宋体" w:hAnsi="Times New Roman" w:cs="Times New Roman" w:hint="eastAsia"/>
          <w:b/>
          <w:bCs/>
          <w:szCs w:val="21"/>
          <w:highlight w:val="none"/>
        </w:rPr>
      </w:pPr>
      <w:bookmarkStart w:id="71"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微软雅黑" w:hint="eastAsia"/>
          <w:b/>
          <w:color w:val="0000FF"/>
          <w:kern w:val="0"/>
          <w:szCs w:val="21"/>
          <w:highlight w:val="none"/>
          <w:lang w:val="en-US" w:eastAsia="zh-CN"/>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w:t>
      </w:r>
      <w:r>
        <w:rPr>
          <w:rFonts w:ascii="宋体" w:eastAsia="宋体" w:hAnsi="宋体" w:cs="Times New Roman" w:hint="eastAsia"/>
          <w:szCs w:val="21"/>
          <w:highlight w:val="none"/>
          <w:lang w:eastAsia="zh-CN"/>
        </w:rPr>
        <w:t>专家组评审</w:t>
      </w:r>
      <w:r>
        <w:rPr>
          <w:rFonts w:ascii="宋体" w:eastAsia="宋体" w:hAnsi="宋体" w:cs="Times New Roman" w:hint="eastAsia"/>
          <w:szCs w:val="21"/>
          <w:highlight w:val="none"/>
        </w:rPr>
        <w:t>后付款：总体方案和分系统技术要求通过专家组评审</w:t>
      </w:r>
      <w:r>
        <w:rPr>
          <w:rFonts w:ascii="宋体" w:eastAsia="宋体" w:hAnsi="宋体" w:cs="Times New Roman" w:hint="eastAsia"/>
          <w:szCs w:val="21"/>
          <w:highlight w:val="none"/>
          <w:lang w:eastAsia="zh-CN"/>
        </w:rPr>
        <w:t>后</w:t>
      </w:r>
      <w:r>
        <w:rPr>
          <w:rFonts w:ascii="宋体" w:eastAsia="宋体" w:hAnsi="宋体" w:cs="Times New Roman" w:hint="eastAsia"/>
          <w:szCs w:val="21"/>
          <w:highlight w:val="none"/>
        </w:rPr>
        <w:t>7个工作日内，甲方向乙方支付合同总金额的</w:t>
      </w:r>
      <w:r>
        <w:rPr>
          <w:rFonts w:ascii="宋体" w:eastAsia="宋体" w:hAnsi="宋体" w:cs="微软雅黑" w:hint="eastAsia"/>
          <w:b/>
          <w:color w:val="0000FF"/>
          <w:kern w:val="0"/>
          <w:szCs w:val="21"/>
          <w:highlight w:val="none"/>
          <w:lang w:val="en-US" w:eastAsia="zh-CN"/>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4、</w:t>
      </w:r>
      <w:r>
        <w:rPr>
          <w:rFonts w:ascii="宋体" w:eastAsia="宋体" w:hAnsi="宋体" w:cs="Times New Roman" w:hint="eastAsia"/>
          <w:szCs w:val="21"/>
          <w:highlight w:val="none"/>
          <w:lang w:eastAsia="zh-CN"/>
        </w:rPr>
        <w:t>分系统联调后付款</w:t>
      </w:r>
      <w:r>
        <w:rPr>
          <w:rFonts w:ascii="宋体" w:eastAsia="宋体" w:hAnsi="宋体" w:cs="Times New Roman" w:hint="eastAsia"/>
          <w:szCs w:val="21"/>
          <w:highlight w:val="none"/>
        </w:rPr>
        <w:t>：6个分系统通过整机联调后7个工作日内，甲方向乙方支付合同总金额的</w:t>
      </w:r>
      <w:r>
        <w:rPr>
          <w:rFonts w:ascii="宋体" w:eastAsia="宋体" w:hAnsi="宋体" w:cs="微软雅黑" w:hint="eastAsia"/>
          <w:b/>
          <w:color w:val="0000FF"/>
          <w:kern w:val="0"/>
          <w:szCs w:val="21"/>
          <w:highlight w:val="none"/>
          <w:lang w:val="en-US" w:eastAsia="zh-CN"/>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微软雅黑" w:hint="eastAsia"/>
          <w:b/>
          <w:color w:val="0000FF"/>
          <w:kern w:val="0"/>
          <w:szCs w:val="21"/>
          <w:highlight w:val="none"/>
        </w:rPr>
      </w:pPr>
      <w:r>
        <w:rPr>
          <w:rFonts w:ascii="宋体" w:eastAsia="宋体" w:hAnsi="宋体" w:cs="Times New Roman" w:hint="eastAsia"/>
          <w:szCs w:val="21"/>
          <w:highlight w:val="none"/>
          <w:lang w:val="en-US" w:eastAsia="zh-CN"/>
        </w:rPr>
        <w:t>5、合同履行完毕后付款：乙方合同义务全部履行完毕</w:t>
      </w:r>
      <w:r>
        <w:rPr>
          <w:rFonts w:ascii="宋体" w:eastAsia="宋体" w:hAnsi="宋体" w:cs="Times New Roman" w:hint="eastAsia"/>
          <w:szCs w:val="21"/>
          <w:highlight w:val="none"/>
        </w:rPr>
        <w:t>后7个工作日内</w:t>
      </w:r>
      <w:r>
        <w:rPr>
          <w:rFonts w:ascii="宋体" w:eastAsia="宋体" w:hAnsi="宋体" w:cs="Times New Roman" w:hint="eastAsia"/>
          <w:szCs w:val="21"/>
          <w:highlight w:val="none"/>
          <w:lang w:eastAsia="zh-CN"/>
        </w:rPr>
        <w:t>，</w:t>
      </w:r>
      <w:r>
        <w:rPr>
          <w:rFonts w:ascii="宋体" w:eastAsia="宋体" w:hAnsi="宋体" w:cs="Times New Roman" w:hint="eastAsia"/>
          <w:szCs w:val="21"/>
          <w:highlight w:val="none"/>
        </w:rPr>
        <w:t>甲方向乙方支付合同总金额的</w:t>
      </w:r>
      <w:r>
        <w:rPr>
          <w:rFonts w:ascii="宋体" w:eastAsia="宋体" w:hAnsi="宋体" w:cs="微软雅黑" w:hint="eastAsia"/>
          <w:b/>
          <w:color w:val="0000FF"/>
          <w:kern w:val="0"/>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7"/>
        </w:numPr>
        <w:spacing w:line="360" w:lineRule="auto"/>
        <w:ind w:firstLine="3066" w:firstLineChars="1460"/>
        <w:jc w:val="left"/>
        <w:rPr>
          <w:rFonts w:ascii="Times New Roman" w:eastAsia="宋体" w:hAnsi="Times New Roman" w:cs="Times New Roman" w:hint="eastAsia"/>
          <w:b/>
          <w:bCs/>
          <w:szCs w:val="21"/>
          <w:highlight w:val="none"/>
        </w:rPr>
      </w:pPr>
      <w:bookmarkEnd w:id="71"/>
    </w:p>
    <w:sectPr>
      <w:headerReference w:type="even" r:id="rId12"/>
      <w:headerReference w:type="default" r:id="rId13"/>
      <w:footerReference w:type="default" r:id="rId14"/>
      <w:headerReference w:type="first" r:id="rId15"/>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202" coordsize="21600,21600" o:spt="202" path="m,l,21600r21600,l21600,xe">
          <v:stroke joinstyle="miter"/>
          <v:path gradientshapeok="t" o:connecttype="rect"/>
        </v:shapetype>
        <v:shape id="艺术字 5" o:spid="_x0000_s2050" type="#_x0000_t202" style="width:567.75pt;height:51.6pt;margin-top:0;margin-left:0;mso-position-horizontal:center;mso-position-horizontal-relative:margin;mso-position-vertical:center;mso-position-vertical-relative:margin;mso-wrap-distance-bottom:0;mso-wrap-distance-left:9pt;mso-wrap-distance-right:9pt;mso-wrap-distance-top:0;position:absolute;rotation:315;v-text-anchor:top;z-index:-251654144" o:allowincell="f" fillcolor="this">
          <v:textbox style="mso-fit-shape-to-text:t">
            <w:txbxContent>
              <w:p>
                <w:pPr>
                  <w:jc w:val="center"/>
                  <w:rPr>
                    <w:color w:val="C0C0C0"/>
                    <w:kern w:val="0"/>
                    <w:sz w:val="16"/>
                    <w:szCs w:val="16"/>
                  </w:rPr>
                </w:pPr>
                <w:r>
                  <w:rPr>
                    <w:rFonts w:hint="eastAsia"/>
                    <w:color w:val="C0C0C0"/>
                    <w:sz w:val="16"/>
                    <w:szCs w:val="16"/>
                  </w:rPr>
                  <w:t>中国气象局政府采购中心</w:t>
                </w:r>
              </w:p>
            </w:txbxContent>
          </v:textbox>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202" coordsize="21600,21600" o:spt="202" path="m,l,21600r21600,l21600,xe">
          <v:stroke joinstyle="miter"/>
          <v:path gradientshapeok="t" o:connecttype="rect"/>
        </v:shapetype>
        <v:shape id="艺术字 5" o:spid="_x0000_s2051" type="#_x0000_t202" style="width:567.75pt;height:51.6pt;margin-top:0;margin-left:0;mso-position-horizontal:center;mso-position-horizontal-relative:margin;mso-position-vertical:center;mso-position-vertical-relative:margin;mso-wrap-distance-bottom:0;mso-wrap-distance-left:9pt;mso-wrap-distance-right:9pt;mso-wrap-distance-top:0;position:absolute;rotation:315;v-text-anchor:top;z-index:-251653120" o:allowincell="f" fillcolor="this">
          <v:textbox style="mso-fit-shape-to-text:t">
            <w:txbxContent>
              <w:p>
                <w:pPr>
                  <w:jc w:val="center"/>
                  <w:rPr>
                    <w:color w:val="C0C0C0"/>
                    <w:kern w:val="0"/>
                    <w:sz w:val="16"/>
                    <w:szCs w:val="16"/>
                  </w:rPr>
                </w:pPr>
                <w:r>
                  <w:rPr>
                    <w:rFonts w:hint="eastAsia"/>
                    <w:color w:val="C0C0C0"/>
                    <w:sz w:val="16"/>
                    <w:szCs w:val="16"/>
                  </w:rPr>
                  <w:t>中国气象局政府采购中心</w:t>
                </w:r>
              </w:p>
            </w:txbxContent>
          </v:textbox>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2" type="#_x0000_t136" style="width:567.75pt;height:51.6pt;margin-top:0;margin-left:0;mso-position-horizontal:center;mso-position-horizontal-relative:margin;mso-position-vertical:center;mso-position-vertical-relative:margin;mso-wrap-style:square;position:absolute;rotation:315;z-index:-251652096" o:allowincell="f" filled="t"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4"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5"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FEBFD927"/>
    <w:multiLevelType w:val="multilevel"/>
    <w:tmpl w:val="FEBFD927"/>
    <w:lvl w:ilvl="0">
      <w:start w:val="1"/>
      <w:numFmt w:val="decimal"/>
      <w:lvlText w:val="%1"/>
      <w:lvlJc w:val="left"/>
      <w:pPr>
        <w:ind w:left="420" w:hanging="42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7D63BE3"/>
    <w:multiLevelType w:val="multilevel"/>
    <w:tmpl w:val="07D63BE3"/>
    <w:lvl w:ilvl="0">
      <w:start w:val="1"/>
      <w:numFmt w:val="decimal"/>
      <w:pStyle w:val="-HCDC"/>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68D0C74"/>
    <w:multiLevelType w:val="multilevel"/>
    <w:tmpl w:val="368D0C74"/>
    <w:lvl w:ilvl="0">
      <w:start w:val="1"/>
      <w:numFmt w:val="decimal"/>
      <w:lvlText w:val="表%1"/>
      <w:lvlJc w:val="left"/>
      <w:pPr>
        <w:tabs>
          <w:tab w:val="left" w:pos="567"/>
        </w:tabs>
        <w:ind w:left="0" w:firstLine="0"/>
      </w:pPr>
      <w:rPr>
        <w:rFonts w:ascii="宋体" w:eastAsia="宋体" w:hAnsi="宋体"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3"/>
  </w:num>
  <w:num w:numId="3">
    <w:abstractNumId w:val="6"/>
  </w:num>
  <w:num w:numId="4">
    <w:abstractNumId w:val="5"/>
  </w:num>
  <w:num w:numId="5">
    <w:abstractNumId w:val="9"/>
  </w:num>
  <w:num w:numId="6">
    <w:abstractNumId w:val="2"/>
  </w:num>
  <w:num w:numId="7">
    <w:abstractNumId w:val="1"/>
  </w:num>
  <w:num w:numId="8">
    <w:abstractNumId w:val="0"/>
  </w:num>
  <w:num w:numId="9">
    <w:abstractNumId w:val="7"/>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HCDC">
    <w:name w:val="表样式-HCDC"/>
    <w:basedOn w:val="Normal"/>
    <w:next w:val="Normal"/>
    <w:qFormat/>
    <w:pPr>
      <w:numPr>
        <w:numId w:val="4"/>
      </w:numPr>
      <w:tabs>
        <w:tab w:val="left" w:pos="567"/>
      </w:tabs>
      <w:spacing w:line="360" w:lineRule="auto"/>
      <w:jc w:val="center"/>
    </w:pPr>
    <w:rPr>
      <w:rFonts w:ascii="仿宋_GB2312" w:eastAsia="仿宋_GB231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