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2025年短临工程X波段雷达设备采购项目（辽宁省）</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ZQCD-25500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辽宁省气象装备保障中心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2025年短临工程X波段雷达设备采购项目（辽宁省）</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ZQCD-25500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辽宁省气象装备保障中心指定地点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2025年12月31日 00:00:00</w:t>
      </w:r>
      <w:bookmarkEnd w:id="26"/>
      <w:r>
        <w:rPr>
          <w:rFonts w:ascii="宋体" w:hint="eastAsia"/>
          <w:szCs w:val="21"/>
          <w:highlight w:val="none"/>
        </w:rPr>
        <w:t>至</w:t>
      </w:r>
      <w:bookmarkStart w:id="27" w:name="项目公告_signUpLastTime"/>
      <w:r>
        <w:rPr>
          <w:rFonts w:ascii="宋体" w:hint="eastAsia"/>
          <w:szCs w:val="21"/>
          <w:highlight w:val="none"/>
        </w:rPr>
        <w:t>2026年01月08日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2026年01月26日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辽宁省气象装备保障中心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李宗昊</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024-23847451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辽宁省沈阳市和平区长白南路388号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辽宁省气象装备保障中心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不允许（仅针对以下产品：1、X波段双偏振多普勒天气雷达不允许代理商投标）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必须，以下产品需要提供至投标截止日仍有效的《气象专用技术装备使用许可证》：1、需要提供X波段双线偏振多普勒天气雷达专用技术装备许可证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（1）标的：2025年辽宁等3省X波段天气雷达建设项目-辽宁建设部分，属于工业行业；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410.000000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410.000000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销售合同必须包括X波段双线偏振多普勒天气雷达，每提供1份合同得1分，最多得5分。否则不得分。否则不得分。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针对本项目采购的X波段双线偏振多普勒天气雷达，承诺每提前7天交货的得0.5分，最多得1分。否则不得分。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针对X波段双线偏振多普勒天气雷达设备，每提供 1份用户证明材料得0.5分，最多得3分。否则不得分。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2、除项目经理外至少3人具有2年及以上相关工作经验的，得2分；除项目经理外为本项目派出的技术人员至少5人具有1年及以上相关工作经验的，得1分；</w:t>
              <w:cr/>
              <w:t>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针对X波段双线偏振多普勒天气雷达设备，测试报告应涵盖辐射安全适应性、振动适应性、低温适应性、温湿度适应性、盐雾适应性、霉菌适应性等内容，每包含一项得0.5分，最多得3分。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spacing w:line="560" w:lineRule="exact"/>
        <w:ind w:firstLine="560" w:firstLineChars="200"/>
        <w:outlineLvl w:val="2"/>
        <w:rPr>
          <w:rFonts w:ascii="仿宋" w:eastAsia="仿宋" w:hAnsi="仿宋" w:cs="仿宋" w:hint="eastAsia"/>
          <w:bCs/>
          <w:sz w:val="28"/>
          <w:szCs w:val="28"/>
        </w:rPr>
      </w:pPr>
      <w:bookmarkStart w:id="61" w:name="_Toc1647384446"/>
      <w:bookmarkStart w:id="62" w:name="_Toc374091441"/>
      <w:bookmarkStart w:id="63" w:name="_Toc13355"/>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bookmarkEnd w:id="6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position:absolute;z-index:251658240" filled="f" stroked="f">
            <v:imagedata r:id="rId6" o:title=""/>
            <v:path o:extrusionok="f"/>
            <o:lock v:ext="edit" aspectratio="t"/>
          </v:shape>
        </w:pict>
      </w:r>
      <w:r>
        <w:rPr>
          <w:sz w:val="28"/>
          <w:szCs w:val="28"/>
        </w:rPr>
        <w:pict>
          <v:shape id="图片 43" o:spid="_x0000_i1027" type="#_x0000_t75" style="width:370.31pt;height:283.31pt" filled="f" stroked="f">
            <v:imagedata r:id="rId7" o:title=""/>
            <v:path o:extrusionok="f"/>
            <o:lock v:ext="edit" aspectratio="t"/>
          </v:shape>
        </w:pict>
      </w:r>
    </w:p>
    <w:p>
      <w:pPr>
        <w:snapToGrid w:val="0"/>
        <w:spacing w:line="360" w:lineRule="auto"/>
        <w:jc w:val="center"/>
        <w:rPr>
          <w:sz w:val="28"/>
          <w:szCs w:val="28"/>
        </w:rPr>
      </w:pPr>
      <w:r>
        <w:rPr>
          <w:sz w:val="28"/>
          <w:szCs w:val="28"/>
        </w:rPr>
        <w:pict>
          <v:shape id="图片 44" o:spid="_x0000_i1028" type="#_x0000_t75" style="width:286.99pt;height:283.71pt" filled="f" stroked="f">
            <v:imagedata r:id="rId8" o:title=""/>
            <v:path o:extrusionok="f"/>
            <o:lock v:ext="edit" aspectratio="t"/>
          </v:shape>
        </w:pict>
      </w:r>
    </w:p>
    <w:p>
      <w:pPr>
        <w:snapToGrid w:val="0"/>
        <w:spacing w:line="360" w:lineRule="auto"/>
        <w:rPr>
          <w:sz w:val="28"/>
          <w:szCs w:val="28"/>
        </w:rPr>
      </w:pPr>
      <w:r>
        <w:rPr>
          <w:sz w:val="28"/>
          <w:szCs w:val="28"/>
        </w:rPr>
        <w:pict>
          <v:shape id="图片 45" o:spid="_x0000_i1029" type="#_x0000_t75" style="width:415.09pt;height:263.71pt" filled="f" stroked="f">
            <v:imagedata r:id="rId9" o:title=""/>
            <v:path o:extrusionok="f"/>
            <o:lock v:ext="edit" aspectratio="t"/>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rPr>
          <w:rFonts w:ascii="仿宋" w:eastAsia="仿宋" w:hAnsi="仿宋" w:cs="仿宋" w:hint="eastAsia"/>
          <w:bCs/>
          <w:sz w:val="28"/>
          <w:szCs w:val="28"/>
        </w:rPr>
      </w:pPr>
      <w:bookmarkStart w:id="64" w:name="_Toc97932656"/>
    </w:p>
    <w:p>
      <w:pPr>
        <w:spacing w:line="560" w:lineRule="exact"/>
        <w:ind w:firstLine="560" w:firstLineChars="200"/>
        <w:outlineLvl w:val="2"/>
        <w:rPr>
          <w:rFonts w:ascii="仿宋_GB2312" w:hAnsi="仿宋_GB2312" w:cs="仿宋_GB2312"/>
          <w:bCs/>
          <w:sz w:val="28"/>
          <w:szCs w:val="28"/>
        </w:rPr>
      </w:pPr>
      <w:r>
        <w:rPr>
          <w:rFonts w:ascii="仿宋" w:eastAsia="仿宋" w:hAnsi="仿宋" w:cs="仿宋" w:hint="eastAsia"/>
          <w:bCs/>
          <w:sz w:val="28"/>
          <w:szCs w:val="28"/>
        </w:rPr>
        <w:t>1.2天线</w:t>
      </w:r>
      <w:bookmarkEnd w:id="64"/>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图片 46" o:spid="_x0000_i1030" type="#_x0000_t75" style="width:396.98pt;height:280.25pt" filled="f" stroked="f">
            <v:imagedata r:id="rId10"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position:absolute;z-index:251660288" filled="f" stroked="f">
            <v:imagedata r:id="rId11" o:title=""/>
            <v:path o:extrusionok="f"/>
            <o:lock v:ext="edit" aspectratio="t"/>
            <w10:wrap type="topAndBottom"/>
          </v:shape>
        </w:pict>
      </w:r>
      <w:r>
        <w:rPr>
          <w:sz w:val="28"/>
          <w:szCs w:val="28"/>
        </w:rPr>
        <w:pict>
          <v:shape id="图片 11" o:spid="_x0000_s1032" type="#_x0000_t75" style="width:30.15pt;height:11.4pt;margin-top:151.1pt;margin-left:35.55pt;mso-position-horizontal-relative:margin;position:absolute;z-index:251659264" filled="f" stroked="f">
            <v:imagedata r:id="rId6" o:title=""/>
            <v:path o:extrusionok="f"/>
            <o:lock v:ext="edit" aspectratio="t"/>
            <w10:wrap anchorx="margin"/>
          </v:shape>
        </w:pict>
      </w:r>
      <w:r>
        <w:rPr>
          <w:rFonts w:ascii="黑体" w:eastAsia="黑体" w:hAnsi="黑体" w:cs="黑体" w:hint="eastAsia"/>
          <w:sz w:val="28"/>
          <w:szCs w:val="28"/>
        </w:rPr>
        <w:t>图3 转台和天线连接结构示例</w:t>
      </w:r>
    </w:p>
    <w:p>
      <w:pPr>
        <w:spacing w:line="560" w:lineRule="exact"/>
        <w:ind w:firstLine="560" w:firstLineChars="200"/>
        <w:outlineLvl w:val="3"/>
        <w:rPr>
          <w:rFonts w:ascii="仿宋" w:eastAsia="仿宋" w:hAnsi="仿宋" w:cs="仿宋" w:hint="eastAsia"/>
          <w:sz w:val="28"/>
          <w:szCs w:val="28"/>
        </w:rPr>
      </w:pPr>
      <w:bookmarkStart w:id="65" w:name="_Toc159513680"/>
      <w:r>
        <w:rPr>
          <w:rFonts w:ascii="仿宋" w:eastAsia="仿宋" w:hAnsi="仿宋" w:cs="仿宋" w:hint="eastAsia"/>
          <w:sz w:val="28"/>
          <w:szCs w:val="28"/>
        </w:rPr>
        <w:t>1.2.3工艺、材质及标识标牌要求</w:t>
      </w:r>
      <w:bookmarkEnd w:id="65"/>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Look w:val="0000"/>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序列号中的</w:t>
      </w:r>
      <w:r>
        <w:rPr>
          <w:rFonts w:ascii="仿宋" w:eastAsia="仿宋" w:hAnsi="仿宋" w:cs="仿宋" w:hint="eastAsia"/>
          <w:sz w:val="28"/>
          <w:szCs w:val="28"/>
        </w:rPr>
        <w:t>“</w:t>
      </w:r>
      <w:r>
        <w:rPr>
          <w:rFonts w:ascii="仿宋" w:eastAsia="仿宋" w:hAnsi="仿宋" w:cs="仿宋" w:hint="eastAsia"/>
          <w:sz w:val="28"/>
          <w:szCs w:val="28"/>
        </w:rPr>
        <w:t>YYYY</w:t>
      </w:r>
      <w:r>
        <w:rPr>
          <w:rFonts w:ascii="仿宋" w:eastAsia="仿宋" w:hAnsi="仿宋" w:cs="仿宋" w:hint="eastAsia"/>
          <w:sz w:val="28"/>
          <w:szCs w:val="28"/>
        </w:rPr>
        <w:t>”</w:t>
      </w:r>
      <w:r>
        <w:rPr>
          <w:rFonts w:ascii="仿宋" w:eastAsia="仿宋" w:hAnsi="仿宋" w:cs="仿宋" w:hint="eastAsia"/>
          <w:sz w:val="28"/>
          <w:szCs w:val="28"/>
        </w:rPr>
        <w:t>代表出厂所述年，</w:t>
      </w:r>
      <w:r>
        <w:rPr>
          <w:rFonts w:ascii="仿宋" w:eastAsia="仿宋" w:hAnsi="仿宋" w:cs="仿宋" w:hint="eastAsia"/>
          <w:sz w:val="28"/>
          <w:szCs w:val="28"/>
        </w:rPr>
        <w:t>“</w:t>
      </w:r>
      <w:r>
        <w:rPr>
          <w:rFonts w:ascii="仿宋" w:eastAsia="仿宋" w:hAnsi="仿宋" w:cs="仿宋" w:hint="eastAsia"/>
          <w:sz w:val="28"/>
          <w:szCs w:val="28"/>
        </w:rPr>
        <w:t>MM</w:t>
      </w:r>
      <w:r>
        <w:rPr>
          <w:rFonts w:ascii="仿宋" w:eastAsia="仿宋" w:hAnsi="仿宋" w:cs="仿宋" w:hint="eastAsia"/>
          <w:sz w:val="28"/>
          <w:szCs w:val="28"/>
        </w:rPr>
        <w:t>”</w:t>
      </w:r>
      <w:r>
        <w:rPr>
          <w:rFonts w:ascii="仿宋" w:eastAsia="仿宋" w:hAnsi="仿宋" w:cs="仿宋" w:hint="eastAsia"/>
          <w:sz w:val="28"/>
          <w:szCs w:val="28"/>
        </w:rPr>
        <w:t>代表出厂所述月，</w:t>
      </w:r>
      <w:r>
        <w:rPr>
          <w:rFonts w:ascii="仿宋" w:eastAsia="仿宋" w:hAnsi="仿宋" w:cs="仿宋" w:hint="eastAsia"/>
          <w:sz w:val="28"/>
          <w:szCs w:val="28"/>
        </w:rPr>
        <w:t>“</w:t>
      </w:r>
      <w:r>
        <w:rPr>
          <w:rFonts w:ascii="仿宋" w:eastAsia="仿宋" w:hAnsi="仿宋" w:cs="仿宋" w:hint="eastAsia"/>
          <w:sz w:val="28"/>
          <w:szCs w:val="28"/>
        </w:rPr>
        <w:t>XXX代表出厂序号</w:t>
      </w:r>
      <w:r>
        <w:rPr>
          <w:rFonts w:ascii="仿宋" w:eastAsia="仿宋" w:hAnsi="仿宋" w:cs="仿宋" w:hint="eastAsia"/>
          <w:sz w:val="28"/>
          <w:szCs w:val="28"/>
        </w:rPr>
        <w:t>”</w:t>
      </w:r>
      <w:r>
        <w:rPr>
          <w:rFonts w:ascii="仿宋" w:eastAsia="仿宋" w:hAnsi="仿宋" w:cs="仿宋" w:hint="eastAsia"/>
          <w:sz w:val="28"/>
          <w:szCs w:val="28"/>
        </w:rPr>
        <w:t>。</w:t>
      </w:r>
    </w:p>
    <w:p>
      <w:pPr>
        <w:spacing w:line="560" w:lineRule="exact"/>
        <w:ind w:firstLine="560" w:firstLineChars="200"/>
        <w:outlineLvl w:val="3"/>
        <w:rPr>
          <w:rFonts w:ascii="仿宋" w:eastAsia="仿宋" w:hAnsi="仿宋" w:cs="仿宋" w:hint="eastAsia"/>
          <w:sz w:val="28"/>
          <w:szCs w:val="28"/>
        </w:rPr>
      </w:pPr>
      <w:bookmarkStart w:id="66" w:name="_Toc159513681"/>
      <w:r>
        <w:rPr>
          <w:rFonts w:ascii="仿宋" w:eastAsia="仿宋" w:hAnsi="仿宋" w:cs="仿宋" w:hint="eastAsia"/>
          <w:sz w:val="28"/>
          <w:szCs w:val="28"/>
          <w:highlight w:val="yellow"/>
        </w:rPr>
        <w:t>1.2.4接口说明</w:t>
      </w:r>
      <w:bookmarkEnd w:id="66"/>
      <w:r>
        <w:rPr>
          <w:rFonts w:ascii="仿宋" w:eastAsia="仿宋" w:hAnsi="仿宋" w:cs="仿宋" w:hint="eastAsia"/>
          <w:sz w:val="28"/>
          <w:szCs w:val="28"/>
          <w:highlight w:val="yellow"/>
        </w:rPr>
        <w:t>#</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bookmarkStart w:id="67" w:name="_Toc1460331067"/>
      <w:r>
        <w:rPr>
          <w:rFonts w:ascii="仿宋_GB2312" w:eastAsia="仿宋_GB2312" w:hAnsi="仿宋_GB2312" w:cs="仿宋_GB2312" w:hint="eastAsia"/>
          <w:bCs/>
          <w:sz w:val="28"/>
          <w:szCs w:val="28"/>
        </w:rPr>
        <w:t>1.3馈线</w:t>
      </w:r>
      <w:bookmarkEnd w:id="6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spacing w:line="560" w:lineRule="exact"/>
        <w:ind w:firstLine="560" w:firstLineChars="200"/>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position:absolute;z-index:251661312" filled="f" stroked="f">
            <v:imagedata r:id="rId6" o:title=""/>
            <v:path o:extrusionok="f"/>
            <o:lock v:ext="edit" aspectratio="t"/>
          </v:shape>
        </w:pict>
      </w:r>
      <w:r>
        <w:rPr>
          <w:rFonts w:ascii="仿宋_GB2312"/>
          <w:sz w:val="28"/>
          <w:szCs w:val="28"/>
        </w:rPr>
        <w:pict>
          <v:shape id="图片 47" o:spid="_x0000_i1034" type="#_x0000_t75" alt="D:\WeChat Files\fenrisking\FileStorage\File\2024-01\馈线尺寸图_00.png" style="width:415.23pt;height:293.31pt" filled="f" stroked="f">
            <v:imagedata r:id="rId12" o:title="馈线尺寸图_00"/>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Look w:val="0000"/>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bookmarkStart w:id="68" w:name="_Toc159513686"/>
      <w:r>
        <w:rPr>
          <w:rFonts w:ascii="仿宋" w:eastAsia="仿宋" w:hAnsi="仿宋" w:cs="仿宋" w:hint="eastAsia"/>
          <w:sz w:val="28"/>
          <w:szCs w:val="28"/>
          <w:highlight w:val="yellow"/>
        </w:rPr>
        <w:t>1.3.4接口说明</w:t>
      </w:r>
      <w:bookmarkEnd w:id="68"/>
      <w:r>
        <w:rPr>
          <w:rFonts w:ascii="仿宋" w:eastAsia="仿宋" w:hAnsi="仿宋" w:cs="仿宋" w:hint="eastAsia"/>
          <w:sz w:val="28"/>
          <w:szCs w:val="28"/>
          <w:highlight w:val="yellow"/>
        </w:rPr>
        <w:t>#</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1dB），连接接收机（XS03），用于功率监视</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1dB），连接接收机（XS04），用于功率监视</w:t>
            </w:r>
          </w:p>
        </w:tc>
      </w:tr>
    </w:tbl>
    <w:p>
      <w:pPr>
        <w:spacing w:line="560" w:lineRule="exact"/>
        <w:ind w:firstLine="560" w:firstLineChars="200"/>
        <w:outlineLvl w:val="2"/>
        <w:rPr>
          <w:rFonts w:ascii="仿宋" w:eastAsia="仿宋" w:hAnsi="仿宋" w:cs="仿宋" w:hint="eastAsia"/>
          <w:bCs/>
          <w:sz w:val="28"/>
          <w:szCs w:val="28"/>
        </w:rPr>
      </w:pPr>
      <w:bookmarkStart w:id="69" w:name="_Toc190723481"/>
      <w:bookmarkStart w:id="70" w:name="_Toc24935"/>
      <w:bookmarkEnd w:id="62"/>
      <w:bookmarkEnd w:id="63"/>
      <w:r>
        <w:rPr>
          <w:rFonts w:ascii="仿宋" w:eastAsia="仿宋" w:hAnsi="仿宋" w:cs="仿宋" w:hint="eastAsia"/>
          <w:bCs/>
          <w:sz w:val="28"/>
          <w:szCs w:val="28"/>
        </w:rPr>
        <w:t>1.4伺服转台</w:t>
      </w:r>
      <w:bookmarkEnd w:id="69"/>
    </w:p>
    <w:p>
      <w:pPr>
        <w:spacing w:line="560" w:lineRule="exact"/>
        <w:ind w:firstLine="560" w:firstLineChars="200"/>
        <w:outlineLvl w:val="3"/>
        <w:rPr>
          <w:rFonts w:ascii="仿宋" w:eastAsia="仿宋" w:hAnsi="仿宋" w:cs="仿宋" w:hint="eastAsia"/>
          <w:sz w:val="28"/>
          <w:szCs w:val="28"/>
        </w:rPr>
      </w:pPr>
      <w:bookmarkStart w:id="71" w:name="_Hlk523992212"/>
      <w:bookmarkStart w:id="72" w:name="_Hlk522863903"/>
      <w:r>
        <w:rPr>
          <w:rFonts w:ascii="仿宋" w:eastAsia="仿宋" w:hAnsi="仿宋" w:cs="仿宋" w:hint="eastAsia"/>
          <w:sz w:val="28"/>
          <w:szCs w:val="28"/>
        </w:rPr>
        <w:t>1.4.1组成与功能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w:t>
      </w:r>
      <w:r>
        <w:rPr>
          <w:rFonts w:ascii="仿宋" w:eastAsia="仿宋" w:hAnsi="仿宋" w:cs="仿宋" w:hint="eastAsia"/>
          <w:sz w:val="28"/>
          <w:szCs w:val="28"/>
        </w:rPr>
        <w:t>°</w:t>
      </w:r>
      <w:r>
        <w:rPr>
          <w:rFonts w:ascii="仿宋" w:eastAsia="仿宋" w:hAnsi="仿宋" w:cs="仿宋" w:hint="eastAsia"/>
          <w:sz w:val="28"/>
          <w:szCs w:val="28"/>
        </w:rPr>
        <w:t>无限制、俯仰-2</w:t>
      </w:r>
      <w:r>
        <w:rPr>
          <w:rFonts w:ascii="仿宋" w:eastAsia="仿宋" w:hAnsi="仿宋" w:cs="仿宋" w:hint="eastAsia"/>
          <w:sz w:val="28"/>
          <w:szCs w:val="28"/>
        </w:rPr>
        <w:t>°—</w:t>
      </w:r>
      <w:r>
        <w:rPr>
          <w:rFonts w:ascii="仿宋" w:eastAsia="仿宋" w:hAnsi="仿宋" w:cs="仿宋" w:hint="eastAsia"/>
          <w:sz w:val="28"/>
          <w:szCs w:val="28"/>
        </w:rPr>
        <w:t>+180</w:t>
      </w:r>
      <w:r>
        <w:rPr>
          <w:rFonts w:ascii="仿宋" w:eastAsia="仿宋" w:hAnsi="仿宋" w:cs="仿宋" w:hint="eastAsia"/>
          <w:sz w:val="28"/>
          <w:szCs w:val="28"/>
        </w:rPr>
        <w:t>°</w:t>
      </w:r>
      <w:r>
        <w:rPr>
          <w:rFonts w:ascii="仿宋" w:eastAsia="仿宋" w:hAnsi="仿宋" w:cs="仿宋" w:hint="eastAsia"/>
          <w:sz w:val="28"/>
          <w:szCs w:val="28"/>
        </w:rPr>
        <w:t>扫描（固态体制），俯仰-2</w:t>
      </w:r>
      <w:r>
        <w:rPr>
          <w:rFonts w:ascii="仿宋" w:eastAsia="仿宋" w:hAnsi="仿宋" w:cs="仿宋" w:hint="eastAsia"/>
          <w:sz w:val="28"/>
          <w:szCs w:val="28"/>
        </w:rPr>
        <w:t>°—</w:t>
      </w:r>
      <w:r>
        <w:rPr>
          <w:rFonts w:ascii="仿宋" w:eastAsia="仿宋" w:hAnsi="仿宋" w:cs="仿宋" w:hint="eastAsia"/>
          <w:sz w:val="28"/>
          <w:szCs w:val="28"/>
        </w:rPr>
        <w:t>+90</w:t>
      </w:r>
      <w:r>
        <w:rPr>
          <w:rFonts w:ascii="仿宋" w:eastAsia="仿宋" w:hAnsi="仿宋" w:cs="仿宋" w:hint="eastAsia"/>
          <w:sz w:val="28"/>
          <w:szCs w:val="28"/>
        </w:rPr>
        <w:t>°</w:t>
      </w:r>
      <w:r>
        <w:rPr>
          <w:rFonts w:ascii="仿宋" w:eastAsia="仿宋" w:hAnsi="仿宋" w:cs="仿宋" w:hint="eastAsia"/>
          <w:sz w:val="28"/>
          <w:szCs w:val="28"/>
        </w:rPr>
        <w:t>扫描（速调管体制），具有相应的电气和机械限位功能；雷达伺服转台应支持平面位置扫描、距离高度扫描、体积扫描、扇形扫描、定点扫描等多种扫描方式，各种扫描方式均由软件控制完成。</w:t>
      </w:r>
      <w:bookmarkEnd w:id="71"/>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图片 48" o:spid="_x0000_i1035" type="#_x0000_t75" style="width:262.15pt;height:297.9pt" filled="f" stroked="f">
            <v:imagedata r:id="rId13"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Look w:val="0000"/>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spacing w:line="560" w:lineRule="exact"/>
        <w:ind w:firstLine="560" w:firstLineChars="200"/>
        <w:outlineLvl w:val="2"/>
        <w:rPr>
          <w:rFonts w:ascii="仿宋" w:eastAsia="仿宋" w:hAnsi="仿宋" w:cs="仿宋" w:hint="eastAsia"/>
          <w:bCs/>
          <w:sz w:val="28"/>
          <w:szCs w:val="28"/>
        </w:rPr>
      </w:pPr>
      <w:bookmarkStart w:id="73" w:name="_Toc773431488"/>
      <w:bookmarkEnd w:id="70"/>
      <w:bookmarkEnd w:id="72"/>
      <w:r>
        <w:rPr>
          <w:rFonts w:ascii="仿宋" w:eastAsia="仿宋" w:hAnsi="仿宋" w:cs="仿宋" w:hint="eastAsia"/>
          <w:bCs/>
          <w:sz w:val="28"/>
          <w:szCs w:val="28"/>
        </w:rPr>
        <w:t>1.5发射机</w:t>
      </w:r>
      <w:bookmarkEnd w:id="73"/>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position:absolute;z-index:251662336" filled="f" stroked="f">
            <v:imagedata r:id="rId6" o:title=""/>
            <v:path o:extrusionok="f"/>
            <o:lock v:ext="edit" aspectratio="t"/>
          </v:shape>
        </w:pict>
      </w:r>
      <w:r>
        <w:rPr>
          <w:sz w:val="28"/>
          <w:szCs w:val="28"/>
        </w:rPr>
        <w:pict>
          <v:shape id="图片 49" o:spid="_x0000_i1037" type="#_x0000_t75" style="width:306.36pt;height:255.25pt" filled="f" stroked="f">
            <v:imagedata r:id="rId14"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图片 50" o:spid="_x0000_i1038" type="#_x0000_t75" style="width:241.76pt;height:258.35pt" o:preferrelative="t" filled="f" stroked="f">
            <v:imagedata r:id="rId15"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spacing w:line="560" w:lineRule="exact"/>
        <w:ind w:firstLine="560" w:firstLineChars="200"/>
        <w:outlineLvl w:val="3"/>
        <w:rPr>
          <w:rFonts w:ascii="仿宋" w:eastAsia="仿宋" w:hAnsi="仿宋" w:cs="仿宋" w:hint="eastAsia"/>
          <w:sz w:val="28"/>
          <w:szCs w:val="28"/>
        </w:rPr>
      </w:pPr>
      <w:bookmarkStart w:id="74" w:name="_Toc159513695"/>
      <w:r>
        <w:rPr>
          <w:rFonts w:ascii="仿宋" w:eastAsia="仿宋" w:hAnsi="仿宋" w:cs="仿宋" w:hint="eastAsia"/>
          <w:sz w:val="28"/>
          <w:szCs w:val="28"/>
        </w:rPr>
        <w:t>1.5.3工艺、材质及标识标牌要求</w:t>
      </w:r>
      <w:bookmarkEnd w:id="74"/>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Look w:val="0000"/>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Look w:val="0000"/>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bookmarkStart w:id="75" w:name="_Toc159513696"/>
      <w:r>
        <w:rPr>
          <w:rFonts w:ascii="仿宋" w:eastAsia="仿宋" w:hAnsi="仿宋" w:cs="仿宋" w:hint="eastAsia"/>
          <w:kern w:val="2"/>
          <w:szCs w:val="28"/>
          <w:highlight w:val="yellow"/>
        </w:rPr>
        <w:t>1.5.4接口说明</w:t>
      </w:r>
      <w:bookmarkEnd w:id="75"/>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Look w:val="0000"/>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spacing w:line="560" w:lineRule="exact"/>
        <w:ind w:firstLine="560" w:firstLineChars="200"/>
        <w:outlineLvl w:val="2"/>
        <w:rPr>
          <w:rFonts w:ascii="仿宋" w:eastAsia="仿宋" w:hAnsi="仿宋" w:cs="仿宋" w:hint="eastAsia"/>
          <w:bCs/>
          <w:sz w:val="28"/>
          <w:szCs w:val="28"/>
        </w:rPr>
      </w:pPr>
      <w:bookmarkStart w:id="76" w:name="_Toc947362128"/>
      <w:bookmarkStart w:id="77" w:name="_Hlk522864094"/>
      <w:r>
        <w:rPr>
          <w:rFonts w:ascii="仿宋" w:eastAsia="仿宋" w:hAnsi="仿宋" w:cs="仿宋" w:hint="eastAsia"/>
          <w:bCs/>
          <w:sz w:val="28"/>
          <w:szCs w:val="28"/>
        </w:rPr>
        <w:t>1.6接收机</w:t>
      </w:r>
      <w:bookmarkEnd w:id="76"/>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bookmarkEnd w:id="77"/>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position:absolute;z-index:251663360" filled="f" stroked="f">
            <v:imagedata r:id="rId6" o:title=""/>
            <v:path o:extrusionok="f"/>
            <o:lock v:ext="edit" aspectratio="t"/>
          </v:shape>
        </w:pict>
      </w:r>
      <w:r>
        <w:rPr>
          <w:sz w:val="28"/>
          <w:szCs w:val="28"/>
        </w:rPr>
        <w:pict>
          <v:shape id="图片 51" o:spid="_x0000_i1040" type="#_x0000_t75" style="width:415.55pt;height:313.64pt" filled="f" stroked="f">
            <v:imagedata r:id="rId16"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质：铝 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w:t>
            </w:r>
            <w:r>
              <w:rPr>
                <w:rFonts w:ascii="仿宋_GB2312" w:hAnsi="仿宋_GB2312" w:cs="仿宋_GB2312" w:hint="eastAsia"/>
                <w:szCs w:val="28"/>
              </w:rPr>
              <w:t>×</w:t>
            </w:r>
            <w:r>
              <w:rPr>
                <w:rFonts w:ascii="仿宋_GB2312" w:hAnsi="仿宋_GB2312" w:cs="仿宋_GB2312" w:hint="eastAsia"/>
                <w:szCs w:val="28"/>
              </w:rPr>
              <w:t>480mm</w:t>
            </w:r>
            <w:r>
              <w:rPr>
                <w:rFonts w:ascii="仿宋_GB2312" w:hAnsi="仿宋_GB2312" w:cs="仿宋_GB2312" w:hint="eastAsia"/>
                <w:szCs w:val="28"/>
              </w:rPr>
              <w:t>×</w:t>
            </w:r>
            <w:r>
              <w:rPr>
                <w:rFonts w:ascii="仿宋_GB2312" w:hAnsi="仿宋_GB2312" w:cs="仿宋_GB2312" w:hint="eastAsia"/>
                <w:szCs w:val="28"/>
              </w:rPr>
              <w:t>270mm</w:t>
            </w:r>
          </w:p>
        </w:tc>
      </w:tr>
      <w:tr>
        <w:tblPrEx>
          <w:tblW w:w="8599" w:type="dxa"/>
          <w:jc w:val="center"/>
          <w:tblCellMar>
            <w:top w:w="0" w:type="dxa"/>
            <w:left w:w="108" w:type="dxa"/>
            <w:bottom w:w="0" w:type="dxa"/>
            <w:right w:w="108" w:type="dxa"/>
          </w:tblCellMar>
          <w:tblLook w:val="0000"/>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spacing w:line="560" w:lineRule="exact"/>
        <w:ind w:firstLine="560" w:firstLineChars="200"/>
        <w:outlineLvl w:val="2"/>
        <w:rPr>
          <w:rFonts w:ascii="仿宋" w:eastAsia="仿宋" w:hAnsi="仿宋" w:cs="仿宋" w:hint="eastAsia"/>
          <w:bCs/>
          <w:sz w:val="28"/>
          <w:szCs w:val="28"/>
        </w:rPr>
      </w:pPr>
      <w:bookmarkStart w:id="78" w:name="_Toc1615741414"/>
      <w:r>
        <w:rPr>
          <w:rFonts w:ascii="仿宋" w:eastAsia="仿宋" w:hAnsi="仿宋" w:cs="仿宋" w:hint="eastAsia"/>
          <w:bCs/>
          <w:sz w:val="28"/>
          <w:szCs w:val="28"/>
        </w:rPr>
        <w:t>1.7综合机柜</w:t>
      </w:r>
      <w:bookmarkEnd w:id="78"/>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图片 52" o:spid="_x0000_i1041" type="#_x0000_t75" alt="综合机柜_00" style="width:414.65pt;height:140.94pt" o:preferrelative="t" filled="f" stroked="f">
            <v:imagedata r:id="rId17" o:title="综合机柜_00" croptop="17550f" cropbottom="15269f"/>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颜    色：RAL9003、RAL8022</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图片 53" o:spid="_x0000_i1042" type="#_x0000_t75" alt="1657625101653" style="width:255.44pt;height:283.31pt" filled="f" stroked="f">
            <v:imagedata r:id="rId18" o:title="1657625101653"/>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Look w:val="0000"/>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spacing w:line="560" w:lineRule="exact"/>
        <w:ind w:firstLine="552"/>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p>
      <w:pPr>
        <w:pStyle w:val="-"/>
        <w:spacing w:line="560" w:lineRule="exact"/>
        <w:ind w:firstLine="552"/>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spacing w:line="560" w:lineRule="exact"/>
        <w:ind w:firstLine="552"/>
        <w:outlineLvl w:val="3"/>
        <w:rPr>
          <w:rFonts w:ascii="仿宋" w:eastAsia="仿宋" w:hAnsi="仿宋" w:cs="仿宋" w:hint="eastAsia"/>
          <w:kern w:val="2"/>
          <w:szCs w:val="28"/>
          <w:highlight w:val="yellow"/>
        </w:rPr>
      </w:pPr>
      <w:bookmarkStart w:id="79" w:name="_Toc1852755144"/>
      <w:r>
        <w:rPr>
          <w:rFonts w:ascii="仿宋" w:eastAsia="仿宋" w:hAnsi="仿宋" w:cs="仿宋" w:hint="eastAsia"/>
          <w:kern w:val="2"/>
          <w:szCs w:val="28"/>
          <w:highlight w:val="yellow"/>
        </w:rPr>
        <w:t>1.8雷达线缆清单</w:t>
      </w:r>
      <w:bookmarkEnd w:id="79"/>
      <w:r>
        <w:rPr>
          <w:rFonts w:ascii="仿宋" w:eastAsia="仿宋" w:hAnsi="仿宋" w:cs="仿宋" w:hint="eastAsia"/>
          <w:kern w:val="2"/>
          <w:szCs w:val="28"/>
          <w:highlight w:val="yellow"/>
        </w:rPr>
        <w:t>#</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Look w:val="0000"/>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spacing w:line="560" w:lineRule="exact"/>
        <w:ind w:firstLine="560" w:firstLineChars="200"/>
        <w:outlineLvl w:val="2"/>
        <w:rPr>
          <w:rFonts w:ascii="仿宋" w:eastAsia="仿宋" w:hAnsi="仿宋" w:cs="仿宋" w:hint="eastAsia"/>
          <w:bCs/>
          <w:sz w:val="28"/>
          <w:szCs w:val="28"/>
        </w:rPr>
      </w:pPr>
      <w:bookmarkStart w:id="80" w:name="_Toc28016954"/>
      <w:r>
        <w:rPr>
          <w:rFonts w:ascii="仿宋" w:eastAsia="仿宋" w:hAnsi="仿宋" w:cs="仿宋" w:hint="eastAsia"/>
          <w:bCs/>
          <w:sz w:val="28"/>
          <w:szCs w:val="28"/>
        </w:rPr>
        <w:t>1.9信号处理器</w:t>
      </w:r>
      <w:bookmarkEnd w:id="80"/>
    </w:p>
    <w:p>
      <w:pPr>
        <w:spacing w:line="560" w:lineRule="exact"/>
        <w:ind w:firstLine="560" w:firstLineChars="200"/>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spacing w:line="560" w:lineRule="exact"/>
        <w:ind w:firstLine="560" w:firstLineChars="200"/>
        <w:outlineLvl w:val="4"/>
        <w:rPr>
          <w:rFonts w:ascii="仿宋" w:eastAsia="仿宋" w:hAnsi="仿宋" w:cs="仿宋" w:hint="eastAsia"/>
          <w:color w:val="000000"/>
          <w:sz w:val="28"/>
          <w:szCs w:val="28"/>
        </w:rPr>
      </w:pPr>
      <w:bookmarkStart w:id="81" w:name="_Toc1115866217"/>
      <w:r>
        <w:rPr>
          <w:rFonts w:ascii="仿宋" w:eastAsia="仿宋" w:hAnsi="仿宋" w:cs="仿宋" w:hint="eastAsia"/>
          <w:color w:val="000000"/>
          <w:sz w:val="28"/>
          <w:szCs w:val="28"/>
        </w:rPr>
        <w:t>1.9.1.1组成与功能</w:t>
      </w:r>
      <w:bookmarkEnd w:id="81"/>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Object 54" o:spid="_x0000_i1043" type="#_x0000_t75" style="width:396.49pt;height:248.1pt" o:oleicon="f" o:ole="" o:preferrelative="t" filled="f" stroked="f">
            <v:imagedata r:id="rId19" o:title=""/>
            <v:path o:extrusionok="f"/>
            <o:lock v:ext="edit" aspectratio="t"/>
          </v:shape>
          <o:OLEObject Type="Embed" ProgID="Visio.Drawing.15" ShapeID="Object 54" DrawAspect="Content" ObjectID="_1234567890"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spacing w:line="560" w:lineRule="exact"/>
        <w:ind w:firstLine="560" w:firstLineChars="200"/>
        <w:outlineLvl w:val="4"/>
        <w:rPr>
          <w:rFonts w:ascii="仿宋" w:eastAsia="仿宋" w:hAnsi="仿宋" w:cs="仿宋" w:hint="eastAsia"/>
          <w:color w:val="000000"/>
          <w:sz w:val="28"/>
          <w:szCs w:val="28"/>
        </w:rPr>
      </w:pPr>
      <w:bookmarkStart w:id="82" w:name="_Toc951752943"/>
      <w:r>
        <w:rPr>
          <w:rFonts w:ascii="仿宋" w:eastAsia="仿宋" w:hAnsi="仿宋" w:cs="仿宋" w:hint="eastAsia"/>
          <w:color w:val="000000"/>
          <w:sz w:val="28"/>
          <w:szCs w:val="28"/>
          <w:highlight w:val="yellow"/>
        </w:rPr>
        <w:t>1.9.1.2结构要求</w:t>
      </w:r>
      <w:bookmarkEnd w:id="82"/>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图片 55" o:spid="_x0000_i1044" type="#_x0000_t75" style="width:340.41pt;height:282.09pt" filled="f" stroked="f">
            <v:imagedata r:id="rId21" o:title="" cropright="9627f"/>
            <v:path o:extrusionok="f"/>
            <o:lock v:ext="edit" aspectratio="t"/>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图片 56" o:spid="_x0000_i1045" type="#_x0000_t75" alt="XA信号处理器盒体图纸-接口图_00" style="width:397.11pt;height:119.68pt" filled="f" stroked="f">
            <v:imagedata r:id="rId22" o:title="XA信号处理器盒体图纸-接口图_00" cropbottom="-493f" cropleft="8294f" cropright="11621f"/>
            <v:path o:extrusionok="f"/>
            <o:lock v:ext="edit" aspectratio="t"/>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spacing w:line="560" w:lineRule="exact"/>
        <w:ind w:firstLine="560" w:firstLineChars="200"/>
        <w:outlineLvl w:val="4"/>
        <w:rPr>
          <w:rFonts w:ascii="仿宋" w:eastAsia="仿宋" w:hAnsi="仿宋" w:cs="仿宋" w:hint="eastAsia"/>
          <w:color w:val="000000"/>
          <w:sz w:val="28"/>
          <w:szCs w:val="28"/>
        </w:rPr>
      </w:pPr>
      <w:bookmarkStart w:id="83" w:name="_Toc1739777513"/>
      <w:r>
        <w:rPr>
          <w:rFonts w:ascii="仿宋" w:eastAsia="仿宋" w:hAnsi="仿宋" w:cs="仿宋" w:hint="eastAsia"/>
          <w:color w:val="000000"/>
          <w:sz w:val="28"/>
          <w:szCs w:val="28"/>
          <w:highlight w:val="yellow"/>
        </w:rPr>
        <w:t>1.9.1.3接口说明</w:t>
      </w:r>
      <w:bookmarkEnd w:id="83"/>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70MHz，0</w:t>
            </w:r>
            <w:r>
              <w:rPr>
                <w:rFonts w:ascii="仿宋_GB2312" w:hAnsi="等线" w:hint="eastAsia"/>
                <w:color w:val="000000"/>
                <w:szCs w:val="28"/>
              </w:rPr>
              <w:t>±</w:t>
            </w:r>
            <w:r>
              <w:rPr>
                <w:rFonts w:ascii="仿宋_GB2312" w:hAnsi="等线" w:hint="eastAsia"/>
                <w:color w:val="000000"/>
                <w:szCs w:val="28"/>
              </w:rPr>
              <w:t>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w:t>
            </w:r>
            <w:r>
              <w:rPr>
                <w:rFonts w:ascii="仿宋_GB2312" w:hAnsi="等线" w:hint="eastAsia"/>
                <w:color w:val="000000"/>
                <w:szCs w:val="28"/>
              </w:rPr>
              <w:t>±</w:t>
            </w:r>
            <w:r>
              <w:rPr>
                <w:rFonts w:ascii="仿宋_GB2312" w:hAnsi="等线" w:hint="eastAsia"/>
                <w:color w:val="000000"/>
                <w:szCs w:val="28"/>
              </w:rPr>
              <w:t>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Look w:val="0000"/>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spacing w:line="560" w:lineRule="exact"/>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spacing w:line="560" w:lineRule="exact"/>
        <w:ind w:firstLine="560" w:firstLineChars="200"/>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w:t>
      </w:r>
      <w:r>
        <w:rPr>
          <w:rFonts w:ascii="仿宋" w:eastAsia="仿宋" w:hAnsi="仿宋" w:cs="仿宋" w:hint="eastAsia"/>
          <w:sz w:val="28"/>
          <w:szCs w:val="28"/>
        </w:rPr>
        <w:t>≥</w:t>
      </w:r>
      <w:r>
        <w:rPr>
          <w:rFonts w:ascii="仿宋" w:eastAsia="仿宋" w:hAnsi="仿宋" w:cs="仿宋" w:hint="eastAsia"/>
          <w:sz w:val="28"/>
          <w:szCs w:val="28"/>
        </w:rPr>
        <w:t>100和＜100的主副瓣比；</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adjustRightInd w:val="0"/>
        <w:snapToGrid w:val="0"/>
        <w:spacing w:line="560" w:lineRule="exact"/>
        <w:ind w:firstLine="420" w:firstLineChars="200"/>
        <w:rPr>
          <w:rFonts w:ascii="仿宋" w:eastAsia="仿宋" w:hAnsi="仿宋" w:cs="仿宋" w:hint="eastAsia"/>
          <w:b/>
          <w:bCs/>
        </w:rPr>
      </w:pPr>
      <w:bookmarkStart w:id="84" w:name="_Toc522018069"/>
      <w:bookmarkStart w:id="85" w:name="_Toc522018392"/>
      <w:r>
        <w:rPr>
          <w:rFonts w:ascii="仿宋" w:eastAsia="仿宋" w:hAnsi="仿宋" w:cs="仿宋" w:hint="eastAsia"/>
          <w:b/>
          <w:bCs/>
          <w:highlight w:val="yellow"/>
        </w:rPr>
        <w:t>1.9.2.1雷达系统监测</w:t>
      </w:r>
      <w:r>
        <w:rPr>
          <w:rFonts w:ascii="仿宋" w:eastAsia="仿宋" w:hAnsi="仿宋" w:cs="仿宋" w:hint="eastAsia"/>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76"/>
        <w:gridCol w:w="3691"/>
        <w:gridCol w:w="3516"/>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w:t>
            </w:r>
            <w:r>
              <w:rPr>
                <w:rFonts w:ascii="仿宋_GB2312" w:hAnsi="仿宋" w:hint="eastAsia"/>
                <w:kern w:val="0"/>
                <w:sz w:val="28"/>
                <w:szCs w:val="28"/>
              </w:rPr>
              <w:t>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1.9.2.2远程控制功能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adjustRightInd w:val="0"/>
        <w:snapToGrid w:val="0"/>
        <w:spacing w:line="560" w:lineRule="exact"/>
        <w:ind w:firstLine="420" w:firstLineChars="200"/>
        <w:rPr>
          <w:rFonts w:ascii="仿宋" w:eastAsia="仿宋" w:hAnsi="仿宋" w:cs="仿宋" w:hint="eastAsia"/>
          <w:b/>
          <w:bCs/>
        </w:rPr>
      </w:pPr>
      <w:bookmarkEnd w:id="84"/>
      <w:bookmarkEnd w:id="85"/>
      <w:r>
        <w:rPr>
          <w:rFonts w:ascii="仿宋" w:eastAsia="仿宋" w:hAnsi="仿宋" w:cs="仿宋" w:hint="eastAsia"/>
          <w:b/>
          <w:bCs/>
        </w:rPr>
        <w:t>1.9.2.3关键参数在线分析</w:t>
      </w:r>
    </w:p>
    <w:p>
      <w:pPr>
        <w:spacing w:line="560" w:lineRule="exact"/>
        <w:ind w:firstLine="560" w:firstLineChars="200"/>
        <w:rPr>
          <w:rFonts w:ascii="仿宋" w:eastAsia="仿宋" w:hAnsi="仿宋" w:cs="仿宋" w:hint="eastAsia"/>
          <w:sz w:val="28"/>
          <w:szCs w:val="28"/>
        </w:rPr>
      </w:pPr>
      <w:bookmarkStart w:id="86" w:name="_Hlk522871009"/>
      <w:r>
        <w:rPr>
          <w:rFonts w:ascii="仿宋" w:eastAsia="仿宋" w:hAnsi="仿宋" w:cs="仿宋" w:hint="eastAsia"/>
          <w:sz w:val="28"/>
          <w:szCs w:val="28"/>
        </w:rPr>
        <w:t>雷达应具有关键参数在线分析功能，应满足如下要求：</w:t>
      </w:r>
    </w:p>
    <w:p>
      <w:pPr>
        <w:spacing w:line="560" w:lineRule="exact"/>
        <w:ind w:firstLine="560" w:firstLineChars="200"/>
        <w:rPr>
          <w:rFonts w:ascii="仿宋" w:eastAsia="仿宋" w:hAnsi="仿宋" w:cs="仿宋" w:hint="eastAsia"/>
          <w:sz w:val="28"/>
          <w:szCs w:val="28"/>
        </w:rPr>
      </w:pPr>
      <w:bookmarkStart w:id="87" w:name="_Toc524551142"/>
      <w:bookmarkEnd w:id="86"/>
      <w:r>
        <w:rPr>
          <w:rFonts w:ascii="仿宋" w:eastAsia="仿宋" w:hAnsi="仿宋" w:cs="仿宋" w:hint="eastAsia"/>
          <w:sz w:val="28"/>
          <w:szCs w:val="28"/>
        </w:rPr>
        <w:t>1）具备关键参数记录功能。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1.9.2.4基数据质控及显示</w:t>
      </w:r>
      <w:bookmarkEnd w:id="87"/>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）等基本量进行质控，质控包括滤波、杂波校正因子（CCOR）门限、电磁干扰抑制、风电干扰抑制、速度退模糊、距离退折叠、异常回波标记等，</w:t>
      </w:r>
      <w:bookmarkStart w:id="88" w:name="_Hlk19004266"/>
      <w:r>
        <w:rPr>
          <w:rFonts w:ascii="仿宋" w:eastAsia="仿宋" w:hAnsi="仿宋" w:cs="仿宋" w:hint="eastAsia"/>
          <w:sz w:val="28"/>
          <w:szCs w:val="28"/>
        </w:rPr>
        <w:t>质控前后的基数据都具备存储功能。</w:t>
      </w:r>
      <w:bookmarkEnd w:id="88"/>
      <w:r>
        <w:rPr>
          <w:rFonts w:ascii="仿宋" w:eastAsia="仿宋" w:hAnsi="仿宋" w:cs="仿宋" w:hint="eastAsia"/>
          <w:sz w:val="28"/>
          <w:szCs w:val="28"/>
        </w:rPr>
        <w:t xml:space="preserve">在雷达终端上需具备以下功能：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数据处理功能：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3）鼠标悬浮显示；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4）数据分层控制显示；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adjustRightInd w:val="0"/>
        <w:snapToGrid w:val="0"/>
        <w:spacing w:line="560" w:lineRule="exact"/>
        <w:ind w:firstLine="420" w:firstLineChars="200"/>
        <w:rPr>
          <w:rFonts w:ascii="仿宋" w:eastAsia="仿宋" w:hAnsi="仿宋" w:cs="仿宋" w:hint="eastAsia"/>
          <w:b/>
          <w:bCs/>
        </w:rPr>
      </w:pPr>
      <w:r>
        <w:rPr>
          <w:rFonts w:ascii="仿宋" w:eastAsia="仿宋" w:hAnsi="仿宋" w:cs="仿宋" w:hint="eastAsia"/>
          <w:b/>
          <w:bCs/>
        </w:rPr>
        <w:t>1.9.2.5授时功能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spacing w:line="560" w:lineRule="exact"/>
        <w:ind w:firstLine="560" w:firstLineChars="200"/>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spacing w:line="560" w:lineRule="exact"/>
        <w:ind w:firstLine="560" w:firstLineChars="200"/>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75km</w:t>
            </w:r>
          </w:p>
        </w:tc>
      </w:tr>
      <w:tr>
        <w:tblPrEx>
          <w:tblW w:w="9072" w:type="dxa"/>
          <w:jc w:val="center"/>
          <w:tblLayout w:type="fixed"/>
          <w:tblCellMar>
            <w:top w:w="0" w:type="dxa"/>
            <w:left w:w="108" w:type="dxa"/>
            <w:bottom w:w="0" w:type="dxa"/>
            <w:right w:w="108" w:type="dxa"/>
          </w:tblCellMar>
          <w:tblLook w:val="0000"/>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Look w:val="0000"/>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/km～+10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Look w:val="0000"/>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0.1</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Look w:val="0000"/>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Look w:val="0000"/>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Look w:val="0000"/>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10%或三相AC380V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10%，50Hz</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90%（+30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5000m</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w:t>
            </w:r>
            <w:r>
              <w:rPr>
                <w:rFonts w:ascii="仿宋_GB2312" w:eastAsia="仿宋_GB2312" w:hAnsi="仿宋_GB2312" w:cs="仿宋_GB2312" w:hint="eastAsia"/>
                <w:sz w:val="28"/>
                <w:szCs w:val="28"/>
              </w:rPr>
              <w:t>Ω</w:t>
            </w:r>
            <w:r>
              <w:rPr>
                <w:rFonts w:ascii="仿宋_GB2312" w:eastAsia="仿宋_GB2312" w:hAnsi="仿宋_GB2312" w:cs="仿宋_GB2312" w:hint="eastAsia"/>
                <w:sz w:val="28"/>
                <w:szCs w:val="28"/>
              </w:rPr>
              <w:t>。</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bookmarkStart w:id="89" w:name="_Toc374091453"/>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Look w:val="0000"/>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Look w:val="0000"/>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Look w:val="0000"/>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1.0dB</w:t>
            </w:r>
          </w:p>
        </w:tc>
      </w:tr>
      <w:bookmarkEnd w:id="89"/>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Look w:val="0000"/>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（含天线罩）</w:t>
            </w:r>
          </w:p>
        </w:tc>
      </w:tr>
      <w:tr>
        <w:tblPrEx>
          <w:tblW w:w="8718" w:type="dxa"/>
          <w:jc w:val="center"/>
          <w:tblLayout w:type="fixed"/>
          <w:tblCellMar>
            <w:top w:w="0" w:type="dxa"/>
            <w:left w:w="108" w:type="dxa"/>
            <w:bottom w:w="0" w:type="dxa"/>
            <w:right w:w="108" w:type="dxa"/>
          </w:tblCellMar>
          <w:tblLook w:val="0000"/>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（不含天线罩）</w:t>
            </w:r>
          </w:p>
        </w:tc>
      </w:tr>
      <w:tr>
        <w:tblPrEx>
          <w:tblW w:w="8718" w:type="dxa"/>
          <w:jc w:val="center"/>
          <w:tblLayout w:type="fixed"/>
          <w:tblCellMar>
            <w:top w:w="0" w:type="dxa"/>
            <w:left w:w="108" w:type="dxa"/>
            <w:bottom w:w="0" w:type="dxa"/>
            <w:right w:w="108" w:type="dxa"/>
          </w:tblCellMar>
          <w:tblLook w:val="0000"/>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Look w:val="0000"/>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Look w:val="0000"/>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bookmarkStart w:id="90" w:name="_Toc374091454"/>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30</w:t>
            </w:r>
            <w:r>
              <w:rPr>
                <w:rFonts w:ascii="仿宋_GB2312" w:hint="eastAsia"/>
                <w:sz w:val="28"/>
                <w:szCs w:val="28"/>
              </w:rPr>
              <w:t>″</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Look w:val="0000"/>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Look w:val="0000"/>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Look w:val="0000"/>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1.5:1</w:t>
            </w:r>
          </w:p>
        </w:tc>
      </w:tr>
      <w:bookmarkEnd w:id="90"/>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w:t>
            </w:r>
            <w:r>
              <w:rPr>
                <w:rFonts w:ascii="仿宋_GB2312" w:hint="eastAsia"/>
                <w:sz w:val="28"/>
                <w:szCs w:val="28"/>
              </w:rPr>
              <w:t>°</w:t>
            </w:r>
            <w:r>
              <w:rPr>
                <w:rFonts w:ascii="仿宋_GB2312" w:hint="eastAsia"/>
                <w:sz w:val="28"/>
                <w:szCs w:val="28"/>
              </w:rPr>
              <w:t>连续扫描</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w:t>
            </w:r>
            <w:r>
              <w:rPr>
                <w:rFonts w:ascii="仿宋_GB2312" w:hint="eastAsia"/>
                <w:sz w:val="28"/>
                <w:szCs w:val="28"/>
              </w:rPr>
              <w:t>°</w:t>
            </w:r>
            <w:r>
              <w:rPr>
                <w:rFonts w:ascii="仿宋_GB2312" w:hint="eastAsia"/>
                <w:sz w:val="28"/>
                <w:szCs w:val="28"/>
              </w:rPr>
              <w:t>往返扫描</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Look w:val="0000"/>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Look w:val="0000"/>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w:t>
            </w:r>
            <w:r>
              <w:rPr>
                <w:rFonts w:ascii="仿宋_GB2312" w:hint="eastAsia"/>
                <w:sz w:val="28"/>
                <w:szCs w:val="28"/>
              </w:rPr>
              <w:t>0.05</w:t>
            </w:r>
            <w:r>
              <w:rPr>
                <w:rFonts w:ascii="仿宋_GB2312" w:hint="eastAsia"/>
                <w:sz w:val="28"/>
                <w:szCs w:val="28"/>
              </w:rPr>
              <w:t>μ</w:t>
            </w:r>
            <w:r>
              <w:rPr>
                <w:rFonts w:ascii="仿宋_GB2312" w:hint="eastAsia"/>
                <w:sz w:val="28"/>
                <w:szCs w:val="28"/>
              </w:rPr>
              <w:t>s，1.0</w:t>
            </w:r>
            <w:r>
              <w:rPr>
                <w:rFonts w:ascii="仿宋_GB2312" w:hint="eastAsia"/>
                <w:sz w:val="28"/>
                <w:szCs w:val="28"/>
              </w:rPr>
              <w:t>±</w:t>
            </w:r>
            <w:r>
              <w:rPr>
                <w:rFonts w:ascii="仿宋_GB2312" w:hint="eastAsia"/>
                <w:sz w:val="28"/>
                <w:szCs w:val="28"/>
              </w:rPr>
              <w:t>0.10</w:t>
            </w:r>
            <w:r>
              <w:rPr>
                <w:rFonts w:ascii="仿宋_GB2312" w:hint="eastAsia"/>
                <w:sz w:val="28"/>
                <w:szCs w:val="28"/>
              </w:rPr>
              <w:t>μ</w:t>
            </w:r>
            <w:r>
              <w:rPr>
                <w:rFonts w:ascii="仿宋_GB2312" w:hint="eastAsia"/>
                <w:sz w:val="28"/>
                <w:szCs w:val="28"/>
              </w:rPr>
              <w:t>s，0.5～200</w:t>
            </w:r>
            <w:r>
              <w:rPr>
                <w:rFonts w:ascii="仿宋_GB2312" w:hint="eastAsia"/>
                <w:sz w:val="28"/>
                <w:szCs w:val="28"/>
              </w:rPr>
              <w:t>μ</w:t>
            </w:r>
            <w:r>
              <w:rPr>
                <w:rFonts w:ascii="仿宋_GB2312" w:hint="eastAsia"/>
                <w:sz w:val="28"/>
                <w:szCs w:val="28"/>
              </w:rPr>
              <w:t>s（可选）</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w:t>
            </w:r>
            <w:r>
              <w:rPr>
                <w:rFonts w:ascii="仿宋_GB2312" w:hint="eastAsia"/>
                <w:sz w:val="28"/>
                <w:szCs w:val="28"/>
              </w:rPr>
              <w:t>±</w:t>
            </w:r>
            <w:r>
              <w:rPr>
                <w:rFonts w:ascii="仿宋_GB2312" w:hint="eastAsia"/>
                <w:sz w:val="28"/>
                <w:szCs w:val="28"/>
              </w:rPr>
              <w:t>0.10MHz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Look w:val="0000"/>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Look w:val="0000"/>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w:t>
            </w:r>
            <w:r>
              <w:rPr>
                <w:rFonts w:ascii="仿宋_GB2312" w:hint="eastAsia"/>
                <w:sz w:val="28"/>
                <w:szCs w:val="28"/>
              </w:rPr>
              <w:t>℃</w:t>
            </w:r>
            <w:r>
              <w:rPr>
                <w:rFonts w:ascii="仿宋_GB2312" w:hint="eastAsia"/>
                <w:sz w:val="28"/>
                <w:szCs w:val="28"/>
              </w:rPr>
              <w:t>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X="1"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w:t>
            </w:r>
            <w:r>
              <w:rPr>
                <w:rFonts w:ascii="仿宋_GB2312" w:hint="eastAsia"/>
                <w:sz w:val="28"/>
                <w:szCs w:val="28"/>
              </w:rPr>
              <w:t>±</w:t>
            </w:r>
            <w:r>
              <w:rPr>
                <w:rFonts w:ascii="仿宋_GB2312" w:hint="eastAsia"/>
                <w:sz w:val="28"/>
                <w:szCs w:val="28"/>
              </w:rPr>
              <w:t>1dBm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w:t>
            </w:r>
            <w:r>
              <w:rPr>
                <w:rFonts w:ascii="仿宋_GB2312" w:hint="eastAsia"/>
                <w:sz w:val="28"/>
                <w:szCs w:val="28"/>
              </w:rPr>
              <w:t>±</w:t>
            </w:r>
            <w:r>
              <w:rPr>
                <w:rFonts w:ascii="仿宋_GB2312" w:hint="eastAsia"/>
                <w:sz w:val="28"/>
                <w:szCs w:val="28"/>
              </w:rPr>
              <w:t>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w:t>
            </w:r>
            <w:r>
              <w:rPr>
                <w:rFonts w:ascii="仿宋_GB2312" w:hint="eastAsia"/>
                <w:sz w:val="28"/>
                <w:szCs w:val="28"/>
              </w:rPr>
              <w:t>≤</w:t>
            </w:r>
            <w:r>
              <w:rPr>
                <w:rFonts w:ascii="仿宋_GB2312" w:hint="eastAsia"/>
                <w:sz w:val="28"/>
                <w:szCs w:val="28"/>
              </w:rPr>
              <w:t>+15dBm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50dB（脉压比</w:t>
            </w:r>
            <w:r>
              <w:rPr>
                <w:rFonts w:ascii="仿宋_GB2312" w:hint="eastAsia"/>
                <w:sz w:val="28"/>
                <w:szCs w:val="28"/>
              </w:rPr>
              <w:t>≥</w:t>
            </w:r>
            <w:r>
              <w:rPr>
                <w:rFonts w:ascii="仿宋_GB2312" w:hint="eastAsia"/>
                <w:sz w:val="28"/>
                <w:szCs w:val="28"/>
              </w:rPr>
              <w:t>100）</w:t>
            </w:r>
          </w:p>
          <w:p>
            <w:pPr>
              <w:spacing w:line="360" w:lineRule="exact"/>
              <w:rPr>
                <w:rFonts w:ascii="仿宋_GB2312"/>
                <w:sz w:val="28"/>
                <w:szCs w:val="28"/>
              </w:rPr>
            </w:pPr>
            <w:r>
              <w:rPr>
                <w:rFonts w:ascii="仿宋_GB2312" w:hint="eastAsia"/>
                <w:sz w:val="28"/>
                <w:szCs w:val="28"/>
              </w:rPr>
              <w:t>≥</w:t>
            </w: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w:t>
            </w:r>
            <w:r>
              <w:rPr>
                <w:rFonts w:ascii="仿宋_GB2312" w:hint="eastAsia"/>
                <w:sz w:val="28"/>
                <w:szCs w:val="28"/>
              </w:rPr>
              <w:t>μ</w:t>
            </w:r>
            <w:r>
              <w:rPr>
                <w:rFonts w:ascii="仿宋_GB2312" w:hint="eastAsia"/>
                <w:sz w:val="28"/>
                <w:szCs w:val="28"/>
              </w:rPr>
              <w:t>s</w:t>
            </w:r>
            <w:r>
              <w:rPr>
                <w:rFonts w:ascii="宋体" w:eastAsia="宋体" w:hAnsi="宋体" w:hint="eastAsia"/>
                <w:sz w:val="28"/>
                <w:szCs w:val="28"/>
              </w:rPr>
              <w:t>～</w:t>
            </w:r>
            <w:r>
              <w:rPr>
                <w:rFonts w:ascii="仿宋_GB2312" w:hint="eastAsia"/>
                <w:sz w:val="28"/>
                <w:szCs w:val="28"/>
              </w:rPr>
              <w:t>200</w:t>
            </w:r>
            <w:r>
              <w:rPr>
                <w:rFonts w:ascii="仿宋_GB2312" w:hint="eastAsia"/>
                <w:sz w:val="28"/>
                <w:szCs w:val="28"/>
              </w:rPr>
              <w:t>μ</w:t>
            </w:r>
            <w:r>
              <w:rPr>
                <w:rFonts w:ascii="仿宋_GB2312" w:hint="eastAsia"/>
                <w:sz w:val="28"/>
                <w:szCs w:val="28"/>
              </w:rPr>
              <w:t>s</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bookmarkStart w:id="91" w:name="_Hlk529347860"/>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Look w:val="0000"/>
      </w:tblPr>
      <w:tblGrid>
        <w:gridCol w:w="878"/>
        <w:gridCol w:w="1896"/>
        <w:gridCol w:w="5731"/>
      </w:tblGrid>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bookmarkEnd w:id="91"/>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w:t>
            </w:r>
            <w:r>
              <w:rPr>
                <w:rFonts w:ascii="仿宋_GB2312" w:hAnsi="仿宋" w:cs="宋体" w:hint="eastAsia"/>
                <w:kern w:val="0"/>
                <w:sz w:val="28"/>
                <w:szCs w:val="28"/>
              </w:rPr>
              <w:t>≤</w:t>
            </w:r>
            <w:r>
              <w:rPr>
                <w:rFonts w:ascii="仿宋_GB2312" w:hAnsi="仿宋" w:cs="宋体" w:hint="eastAsia"/>
                <w:kern w:val="0"/>
                <w:sz w:val="28"/>
                <w:szCs w:val="28"/>
              </w:rPr>
              <w:t>3.0dB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w:t>
            </w:r>
            <w:r>
              <w:rPr>
                <w:rFonts w:ascii="仿宋_GB2312" w:hint="eastAsia"/>
                <w:sz w:val="28"/>
                <w:szCs w:val="28"/>
              </w:rPr>
              <w:t>≤</w:t>
            </w:r>
            <w:r>
              <w:rPr>
                <w:rFonts w:ascii="仿宋_GB2312" w:hint="eastAsia"/>
                <w:sz w:val="28"/>
                <w:szCs w:val="28"/>
              </w:rPr>
              <w:t>0.6dB</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w:t>
            </w:r>
            <w:r>
              <w:rPr>
                <w:rFonts w:ascii="仿宋_GB2312" w:hint="eastAsia"/>
                <w:sz w:val="28"/>
                <w:szCs w:val="28"/>
              </w:rPr>
              <w:t>≥</w:t>
            </w:r>
            <w:r>
              <w:rPr>
                <w:rFonts w:ascii="仿宋_GB2312" w:hint="eastAsia"/>
                <w:sz w:val="28"/>
                <w:szCs w:val="28"/>
              </w:rPr>
              <w:t>90%，且降水回波误判率</w:t>
            </w:r>
            <w:r>
              <w:rPr>
                <w:rFonts w:ascii="仿宋_GB2312" w:hint="eastAsia"/>
                <w:sz w:val="28"/>
                <w:szCs w:val="28"/>
              </w:rPr>
              <w:t>≤</w:t>
            </w:r>
            <w:r>
              <w:rPr>
                <w:rFonts w:ascii="仿宋_GB2312" w:hint="eastAsia"/>
                <w:sz w:val="28"/>
                <w:szCs w:val="28"/>
              </w:rPr>
              <w:t>5%</w:t>
            </w:r>
          </w:p>
        </w:tc>
      </w:tr>
      <w:tr>
        <w:tblPrEx>
          <w:tblW w:w="8448" w:type="dxa"/>
          <w:jc w:val="center"/>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400" w:lineRule="exact"/>
              <w:jc w:val="center"/>
              <w:rPr>
                <w:rFonts w:ascii="仿宋_GB2312" w:hAnsi="等线"/>
                <w:b/>
                <w:sz w:val="28"/>
                <w:szCs w:val="28"/>
              </w:rPr>
            </w:pPr>
            <w:bookmarkStart w:id="92" w:name="_Toc374091462"/>
            <w:bookmarkStart w:id="93" w:name="_Toc28194"/>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spacing w:line="560" w:lineRule="exact"/>
        <w:ind w:firstLine="560" w:firstLineChars="200"/>
        <w:outlineLvl w:val="3"/>
        <w:rPr>
          <w:rFonts w:ascii="仿宋" w:eastAsia="仿宋" w:hAnsi="仿宋" w:cs="仿宋" w:hint="eastAsia"/>
          <w:sz w:val="28"/>
          <w:szCs w:val="28"/>
        </w:rPr>
      </w:pPr>
      <w:bookmarkStart w:id="94" w:name="_Toc374091465"/>
      <w:bookmarkStart w:id="95" w:name="_Toc24693"/>
      <w:bookmarkEnd w:id="92"/>
      <w:bookmarkEnd w:id="93"/>
      <w:r>
        <w:rPr>
          <w:rFonts w:ascii="仿宋" w:eastAsia="仿宋" w:hAnsi="仿宋" w:cs="仿宋" w:hint="eastAsia"/>
          <w:sz w:val="28"/>
          <w:szCs w:val="28"/>
          <w:highlight w:val="yellow"/>
        </w:rPr>
        <w:t>产品终端要求</w:t>
      </w:r>
      <w:bookmarkEnd w:id="94"/>
      <w:bookmarkEnd w:id="95"/>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2）应支持国产信创系统。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四、质保服务要求</w:t>
      </w:r>
    </w:p>
    <w:p>
      <w:pPr>
        <w:spacing w:line="560" w:lineRule="exact"/>
        <w:ind w:firstLine="560" w:firstLineChars="200"/>
        <w:rPr>
          <w:rFonts w:ascii="仿宋" w:eastAsia="仿宋" w:hAnsi="仿宋" w:cs="仿宋" w:hint="eastAsia"/>
          <w:sz w:val="28"/>
          <w:szCs w:val="28"/>
          <w:highlight w:val="yellow"/>
        </w:rPr>
      </w:pPr>
      <w:r>
        <w:rPr>
          <w:rFonts w:ascii="仿宋" w:eastAsia="仿宋" w:hAnsi="仿宋" w:cs="仿宋" w:hint="eastAsia"/>
          <w:sz w:val="28"/>
          <w:szCs w:val="28"/>
          <w:highlight w:val="yellow"/>
        </w:rPr>
        <w:t>4.1培训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在采购方指定地点，中标方对相关技术人员进行不低于2人*5天（５天相当于40课时，具体以采购需求-其他技术及商务需求为准）</w:t>
      </w:r>
      <w:r>
        <w:rPr>
          <w:rFonts w:ascii="仿宋" w:eastAsia="仿宋" w:hAnsi="仿宋" w:cs="仿宋" w:hint="eastAsia"/>
          <w:sz w:val="28"/>
          <w:szCs w:val="28"/>
        </w:rPr>
        <w:t>的雷达使用培训和机务培训，使相关人员能够熟练掌握雷达基本操作、维护维修方法等，培训至少应包括以下内容：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1）熟悉雷达系统工作原理；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7）具备雷达回波识别能力。</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8）掌握仪器仪表使用方法。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spacing w:line="560" w:lineRule="exact"/>
        <w:ind w:firstLine="560" w:firstLineChars="200"/>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spacing w:line="560" w:lineRule="exact"/>
        <w:ind w:firstLine="560" w:firstLineChars="200"/>
        <w:rPr>
          <w:rFonts w:ascii="仿宋" w:eastAsia="仿宋" w:hAnsi="仿宋" w:cs="仿宋" w:hint="eastAsia"/>
          <w:sz w:val="28"/>
          <w:szCs w:val="28"/>
        </w:rPr>
      </w:pPr>
      <w:bookmarkStart w:id="96" w:name="_Hlk168594784"/>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spacing w:line="560" w:lineRule="exact"/>
        <w:ind w:firstLine="560" w:firstLineChars="200"/>
        <w:rPr>
          <w:rFonts w:ascii="仿宋" w:eastAsia="仿宋" w:hAnsi="仿宋" w:cs="仿宋" w:hint="eastAsia"/>
          <w:sz w:val="28"/>
          <w:szCs w:val="20"/>
        </w:rPr>
      </w:pPr>
      <w:bookmarkEnd w:id="96"/>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29"/>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97" w:name="货物一览表_index"/>
            <w:r>
              <w:rPr>
                <w:rFonts w:asciiTheme="minorEastAsia" w:eastAsiaTheme="minorEastAsia" w:hAnsiTheme="minorEastAsia" w:cstheme="minorEastAsia" w:hint="eastAsia"/>
                <w:kern w:val="0"/>
                <w:szCs w:val="21"/>
              </w:rPr>
              <w:t>序号</w:t>
            </w:r>
            <w:bookmarkEnd w:id="97"/>
          </w:p>
        </w:tc>
        <w:tc>
          <w:tcPr>
            <w:tcW w:w="1135" w:type="dxa"/>
          </w:tcPr>
          <w:p>
            <w:pPr>
              <w:autoSpaceDE w:val="0"/>
              <w:jc w:val="center"/>
              <w:rPr>
                <w:rFonts w:asciiTheme="minorEastAsia" w:hAnsiTheme="minorEastAsia" w:cstheme="minorEastAsia"/>
                <w:kern w:val="0"/>
                <w:szCs w:val="21"/>
              </w:rPr>
            </w:pPr>
            <w:bookmarkStart w:id="98" w:name="货物一览表_goodsName"/>
            <w:r>
              <w:rPr>
                <w:rFonts w:asciiTheme="minorEastAsia" w:eastAsiaTheme="minorEastAsia" w:hAnsiTheme="minorEastAsia" w:cstheme="minorEastAsia" w:hint="eastAsia"/>
                <w:kern w:val="0"/>
                <w:szCs w:val="21"/>
              </w:rPr>
              <w:t>设备名称</w:t>
            </w:r>
            <w:bookmarkEnd w:id="98"/>
          </w:p>
        </w:tc>
        <w:tc>
          <w:tcPr>
            <w:tcW w:w="965" w:type="dxa"/>
          </w:tcPr>
          <w:p>
            <w:pPr>
              <w:autoSpaceDE w:val="0"/>
              <w:jc w:val="center"/>
              <w:rPr>
                <w:rFonts w:asciiTheme="minorEastAsia" w:hAnsiTheme="minorEastAsia" w:cstheme="minorEastAsia"/>
                <w:kern w:val="0"/>
                <w:szCs w:val="21"/>
              </w:rPr>
            </w:pPr>
            <w:bookmarkStart w:id="99" w:name="货物一览表_nums"/>
            <w:r>
              <w:rPr>
                <w:rFonts w:asciiTheme="minorEastAsia" w:eastAsiaTheme="minorEastAsia" w:hAnsiTheme="minorEastAsia" w:cstheme="minorEastAsia" w:hint="eastAsia"/>
                <w:kern w:val="0"/>
                <w:szCs w:val="21"/>
              </w:rPr>
              <w:t>采购数量</w:t>
            </w:r>
            <w:bookmarkEnd w:id="99"/>
          </w:p>
        </w:tc>
        <w:tc>
          <w:tcPr>
            <w:tcW w:w="1062" w:type="dxa"/>
          </w:tcPr>
          <w:p>
            <w:pPr>
              <w:autoSpaceDE w:val="0"/>
              <w:jc w:val="center"/>
              <w:rPr>
                <w:rFonts w:asciiTheme="minorEastAsia" w:hAnsiTheme="minorEastAsia" w:cstheme="minorEastAsia"/>
                <w:kern w:val="0"/>
                <w:szCs w:val="21"/>
              </w:rPr>
            </w:pPr>
            <w:bookmarkStart w:id="100" w:name="货物一览表_units"/>
            <w:r>
              <w:rPr>
                <w:rFonts w:asciiTheme="minorEastAsia" w:eastAsiaTheme="minorEastAsia" w:hAnsiTheme="minorEastAsia" w:cstheme="minorEastAsia" w:hint="eastAsia"/>
                <w:kern w:val="0"/>
                <w:szCs w:val="21"/>
              </w:rPr>
              <w:t>计量单位</w:t>
            </w:r>
            <w:bookmarkEnd w:id="100"/>
          </w:p>
        </w:tc>
        <w:tc>
          <w:tcPr>
            <w:tcW w:w="1220" w:type="dxa"/>
          </w:tcPr>
          <w:p>
            <w:pPr>
              <w:autoSpaceDE w:val="0"/>
              <w:jc w:val="center"/>
              <w:rPr>
                <w:rFonts w:asciiTheme="minorEastAsia" w:hAnsiTheme="minorEastAsia" w:cstheme="minorEastAsia"/>
                <w:kern w:val="0"/>
                <w:szCs w:val="21"/>
              </w:rPr>
            </w:pPr>
            <w:bookmarkStart w:id="101" w:name="货物一览表_procurementBudget"/>
            <w:r>
              <w:rPr>
                <w:rFonts w:asciiTheme="minorEastAsia" w:eastAsiaTheme="minorEastAsia" w:hAnsiTheme="minorEastAsia" w:cstheme="minorEastAsia" w:hint="eastAsia"/>
                <w:kern w:val="0"/>
                <w:szCs w:val="21"/>
              </w:rPr>
              <w:t>采购预算（元）</w:t>
            </w:r>
            <w:bookmarkEnd w:id="101"/>
          </w:p>
        </w:tc>
        <w:tc>
          <w:tcPr>
            <w:tcW w:w="1329" w:type="dxa"/>
          </w:tcPr>
          <w:p>
            <w:pPr>
              <w:autoSpaceDE w:val="0"/>
              <w:jc w:val="center"/>
              <w:rPr>
                <w:rFonts w:asciiTheme="minorEastAsia" w:hAnsiTheme="minorEastAsia" w:cstheme="minorEastAsia" w:hint="eastAsia"/>
                <w:kern w:val="0"/>
                <w:szCs w:val="21"/>
              </w:rPr>
            </w:pPr>
            <w:bookmarkStart w:id="10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0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03" w:name="货物一览表_remark"/>
            <w:r>
              <w:rPr>
                <w:rFonts w:asciiTheme="minorEastAsia" w:eastAsiaTheme="minorEastAsia" w:hAnsiTheme="minorEastAsia" w:cstheme="minorEastAsia" w:hint="eastAsia"/>
                <w:kern w:val="0"/>
                <w:szCs w:val="21"/>
              </w:rPr>
              <w:t>备注</w:t>
            </w:r>
            <w:bookmarkEnd w:id="10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4,100,000.00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4,100,000.00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67"/>
        <w:gridCol w:w="2021"/>
        <w:gridCol w:w="1496"/>
        <w:gridCol w:w="567"/>
        <w:gridCol w:w="1294"/>
        <w:gridCol w:w="1079"/>
        <w:gridCol w:w="931"/>
        <w:gridCol w:w="5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0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办公室(001036020001)</w:t>
            </w:r>
          </w:p>
        </w:tc>
        <w:tc>
          <w:tcPr/>
          <w:p>
            <w:r>
              <w:t>X波段双线偏振多普勒天气雷达</w:t>
            </w:r>
          </w:p>
        </w:tc>
        <w:tc>
          <w:tcPr/>
          <w:p>
            <w:r>
              <w:t>1</w:t>
            </w:r>
          </w:p>
        </w:tc>
        <w:tc>
          <w:tcPr/>
          <w:p>
            <w:r>
              <w:t>4100000.00</w:t>
            </w:r>
          </w:p>
        </w:tc>
        <w:tc>
          <w:tcPr/>
          <w:p>
            <w:r>
              <w:t xml:space="preserve">4100000.00  </w:t>
            </w:r>
          </w:p>
        </w:tc>
        <w:tc>
          <w:tcPr/>
          <w:p/>
        </w:tc>
        <w:tc>
          <w:tcPr/>
          <w:p/>
        </w:tc>
      </w:tr>
    </w:tbl>
    <w:p w:rsidR="00A77B3E"/>
    <w:p>
      <w:pPr>
        <w:spacing w:line="360" w:lineRule="auto"/>
        <w:rPr>
          <w:rFonts w:ascii="宋体" w:hAnsi="宋体"/>
          <w:szCs w:val="21"/>
        </w:rPr>
      </w:pPr>
      <w:bookmarkEnd w:id="10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依据中国气象局</w:t>
      </w:r>
      <w:r>
        <w:rPr>
          <w:rFonts w:ascii="仿宋" w:eastAsia="仿宋" w:hAnsi="仿宋" w:cs="仿宋"/>
          <w:sz w:val="28"/>
          <w:szCs w:val="20"/>
        </w:rPr>
        <w:t>2025年极端灾害性天气短临预警能力提升工程</w:t>
      </w:r>
      <w:r>
        <w:rPr>
          <w:rFonts w:ascii="仿宋" w:eastAsia="仿宋" w:hAnsi="仿宋" w:cs="仿宋" w:hint="eastAsia"/>
          <w:sz w:val="28"/>
          <w:szCs w:val="20"/>
        </w:rPr>
        <w:t>，确定在辽宁省</w:t>
      </w:r>
      <w:r>
        <w:rPr>
          <w:rFonts w:ascii="仿宋" w:eastAsia="仿宋" w:hAnsi="仿宋" w:cs="仿宋"/>
          <w:sz w:val="28"/>
          <w:szCs w:val="20"/>
        </w:rPr>
        <w:t>绥中县</w:t>
      </w:r>
      <w:r>
        <w:rPr>
          <w:rFonts w:ascii="仿宋" w:eastAsia="仿宋" w:hAnsi="仿宋" w:cs="仿宋" w:hint="eastAsia"/>
          <w:sz w:val="28"/>
          <w:szCs w:val="20"/>
        </w:rPr>
        <w:t>建设X波段天气雷达系统1套。2025年2月辽宁省气象局气象装备保障中心组织编制了《2025年辽宁等3省X波段天气雷达建设项目可行性研究报告》，在辽宁省葫芦岛市绥中县，山东省菏泽市、泰安市、黑龙江省鸡西市建设共计4部X波段天气雷达，通过专家评审并中国气象局批复，核定项目总投资为2080万元。绥中X波段双线偏振多普勒天气雷达项目投资为520万元，其中</w:t>
      </w:r>
      <w:r>
        <w:rPr>
          <w:rFonts w:ascii="仿宋" w:eastAsia="仿宋" w:hAnsi="仿宋" w:cs="仿宋"/>
          <w:sz w:val="28"/>
          <w:szCs w:val="20"/>
        </w:rPr>
        <w:t>工程建设其他费用</w:t>
      </w:r>
      <w:r>
        <w:rPr>
          <w:rFonts w:ascii="仿宋" w:eastAsia="仿宋" w:hAnsi="仿宋" w:cs="仿宋" w:hint="eastAsia"/>
          <w:sz w:val="28"/>
          <w:szCs w:val="20"/>
        </w:rPr>
        <w:t>包含下达探测中心12万元、下达中国气象局气象干部培训学院培训费5万元，因此项目下达辽宁省气象装备保障中心资金为503万元。</w:t>
      </w:r>
    </w:p>
    <w:p>
      <w:pPr>
        <w:ind w:firstLine="560" w:firstLineChars="200"/>
        <w:rPr>
          <w:rFonts w:ascii="仿宋" w:eastAsia="仿宋" w:hAnsi="仿宋" w:cs="仿宋"/>
          <w:sz w:val="28"/>
          <w:szCs w:val="20"/>
        </w:rPr>
      </w:pPr>
      <w:r>
        <w:rPr>
          <w:rFonts w:ascii="仿宋" w:eastAsia="仿宋" w:hAnsi="仿宋" w:cs="仿宋" w:hint="eastAsia"/>
          <w:sz w:val="28"/>
          <w:szCs w:val="20"/>
        </w:rPr>
        <w:t>该项目的建设填补绥中县中小河流山洪地质灾害易发区观测盲区，增强中小尺度强对流灾害性天气监测预警能力，为防灾减灾、农业生产、交通运输、城乡规划等领域提供科学支撑，是推动气象事业高质量发展、践行服务民生理念的关键举措。</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（一）售后服务组织机构。设备厂家需设立专门的售后服务团队，明确组织架构、岗位职责及响应流程，配备足够的专业技术人员，确保服务高效对接。</w:t>
      </w:r>
    </w:p>
    <w:p>
      <w:pPr>
        <w:ind w:firstLine="560" w:firstLineChars="200"/>
        <w:rPr>
          <w:rFonts w:ascii="仿宋" w:eastAsia="仿宋" w:hAnsi="仿宋" w:cs="仿宋"/>
          <w:sz w:val="28"/>
          <w:szCs w:val="20"/>
        </w:rPr>
      </w:pPr>
      <w:r>
        <w:rPr>
          <w:rFonts w:ascii="仿宋" w:eastAsia="仿宋" w:hAnsi="仿宋" w:cs="仿宋" w:hint="eastAsia"/>
          <w:sz w:val="28"/>
          <w:szCs w:val="20"/>
        </w:rPr>
        <w:t>（二）响应时效。质保期内提供 7×24 小时电话技术支持，电话支持无法解决的问题，须在4小时内响应，24 小时内抵达现场（特殊偏远地区不超过48小时）。</w:t>
      </w:r>
    </w:p>
    <w:p>
      <w:pPr>
        <w:ind w:firstLine="560" w:firstLineChars="200"/>
        <w:rPr>
          <w:rFonts w:ascii="仿宋" w:eastAsia="仿宋" w:hAnsi="仿宋" w:cs="仿宋"/>
          <w:sz w:val="28"/>
          <w:szCs w:val="20"/>
        </w:rPr>
      </w:pPr>
      <w:r>
        <w:rPr>
          <w:rFonts w:ascii="仿宋" w:eastAsia="仿宋" w:hAnsi="仿宋" w:cs="仿宋" w:hint="eastAsia"/>
          <w:sz w:val="28"/>
          <w:szCs w:val="20"/>
        </w:rPr>
        <w:t>（三）质保服务。自验收合格后提供8年整机及雷达分系统质保服务。备品备件按质保总额的20%比例配置。此外，设备厂家应按照雷达维修保障要求配置整机备品备件，确保维修保障时效内配送至雷达站。</w:t>
      </w:r>
    </w:p>
    <w:p>
      <w:pPr>
        <w:ind w:firstLine="560" w:firstLineChars="200"/>
        <w:rPr>
          <w:rFonts w:ascii="仿宋" w:eastAsia="仿宋" w:hAnsi="仿宋" w:cs="仿宋"/>
          <w:sz w:val="28"/>
          <w:szCs w:val="20"/>
        </w:rPr>
      </w:pPr>
      <w:r>
        <w:rPr>
          <w:rFonts w:ascii="仿宋" w:eastAsia="仿宋" w:hAnsi="仿宋" w:cs="仿宋" w:hint="eastAsia"/>
          <w:sz w:val="28"/>
          <w:szCs w:val="20"/>
        </w:rPr>
        <w:t>（四）技术文档。提供完整的技术资料，包括设备手册、安装指南、维护手册、标校规程、故障排查手册等，确保采购人技术人员可独立开展操作及维护工作。</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pPr>
        <w:pStyle w:val="NormalIndent"/>
      </w:pPr>
      <w:r>
        <w:rPr>
          <w:rFonts w:hint="eastAsia"/>
        </w:rPr>
        <w:t>除“四、质保服务要求4.1培训”的要求外，还应满足如下要求：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w:t>
      </w:r>
      <w:r>
        <w:rPr>
          <w:rFonts w:ascii="仿宋" w:eastAsia="仿宋" w:hAnsi="仿宋" w:cs="仿宋" w:hint="eastAsia"/>
          <w:sz w:val="28"/>
          <w:szCs w:val="20"/>
        </w:rPr>
        <w:t>少于20个课时（单次培训不少于 20 课时），培训人数不少于</w:t>
      </w:r>
      <w:r>
        <w:rPr>
          <w:rFonts w:ascii="仿宋" w:eastAsia="仿宋" w:hAnsi="仿宋" w:cs="仿宋"/>
          <w:sz w:val="28"/>
          <w:szCs w:val="20"/>
        </w:rPr>
        <w:t>2</w:t>
      </w:r>
      <w:r>
        <w:rPr>
          <w:rFonts w:ascii="仿宋" w:eastAsia="仿宋" w:hAnsi="仿宋" w:cs="仿宋" w:hint="eastAsia"/>
          <w:sz w:val="28"/>
          <w:szCs w:val="20"/>
        </w:rPr>
        <w:t>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中标供应商将所有设备运送至辽宁省气象装备保障中心</w:t>
      </w:r>
      <w:r>
        <w:rPr>
          <w:rFonts w:ascii="仿宋" w:eastAsia="仿宋" w:hAnsi="仿宋" w:cs="仿宋"/>
          <w:sz w:val="28"/>
          <w:szCs w:val="20"/>
        </w:rPr>
        <w:t>指定地点</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sz w:val="28"/>
          <w:szCs w:val="20"/>
        </w:rPr>
      </w:pPr>
      <w:r>
        <w:rPr>
          <w:rFonts w:ascii="仿宋" w:eastAsia="仿宋" w:hAnsi="仿宋" w:cs="仿宋" w:hint="eastAsia"/>
          <w:sz w:val="28"/>
          <w:szCs w:val="20"/>
        </w:rPr>
        <w:t>合同签订后</w:t>
      </w:r>
      <w:r>
        <w:rPr>
          <w:rFonts w:ascii="仿宋" w:eastAsia="仿宋" w:hAnsi="仿宋" w:cs="仿宋"/>
          <w:sz w:val="28"/>
          <w:szCs w:val="20"/>
        </w:rPr>
        <w:t>210</w:t>
      </w:r>
      <w:r>
        <w:rPr>
          <w:rFonts w:ascii="仿宋" w:eastAsia="仿宋" w:hAnsi="仿宋" w:cs="仿宋" w:hint="eastAsia"/>
          <w:sz w:val="28"/>
          <w:szCs w:val="20"/>
        </w:rPr>
        <w:t>天内完成供货、安装调试并具备验收条件。</w:t>
      </w:r>
    </w:p>
    <w:p>
      <w:pPr>
        <w:ind w:left="559" w:leftChars="266"/>
        <w:rPr>
          <w:rFonts w:ascii="仿宋" w:eastAsia="仿宋" w:hAnsi="仿宋" w:cs="仿宋"/>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设备支持与现有气象数据平台无缝对接，观测数据可顺畅接入省级、国家级气象通信系统，符合《X 波段双线偏振多普勒天气雷达系统功能规格需求书（第二版）》相关规范。支持 ROSE-X 等相关业务软件的安装调试，确保上站后安全稳定运行，实现数据实时传输、共享及业务协同等，完全符合甲方相关要求和规范，保证其系统的兼容性和功能的完整性。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rPr>
        <w:t>采购需求（其他技术及商务需求）</w:t>
      </w:r>
    </w:p>
    <w:p>
      <w:pPr>
        <w:ind w:firstLine="560" w:firstLineChars="200"/>
        <w:rPr>
          <w:rFonts w:ascii="仿宋" w:eastAsia="仿宋" w:hAnsi="仿宋" w:cs="仿宋"/>
          <w:sz w:val="28"/>
          <w:szCs w:val="20"/>
        </w:rPr>
      </w:pPr>
      <w:r>
        <w:rPr>
          <w:rFonts w:ascii="仿宋" w:eastAsia="仿宋" w:hAnsi="仿宋" w:cs="仿宋" w:hint="eastAsia"/>
          <w:sz w:val="28"/>
          <w:szCs w:val="20"/>
        </w:rPr>
        <w:t>验收标准参照《X 波段双线偏振多普勒天气雷达测试大纲（第二版）》（气测函〔2025〕109 号）、可行性研究报告及采购合同相关要求开展检验考核，确保设备各项技术指标达标。</w:t>
      </w:r>
    </w:p>
    <w:p>
      <w:pPr>
        <w:ind w:firstLine="560" w:firstLineChars="200"/>
        <w:rPr>
          <w:rFonts w:ascii="仿宋" w:eastAsia="仿宋" w:hAnsi="仿宋" w:cs="仿宋"/>
          <w:sz w:val="28"/>
          <w:szCs w:val="20"/>
        </w:rPr>
      </w:pPr>
    </w:p>
    <w:p>
      <w:pPr>
        <w:ind w:firstLine="560" w:firstLineChars="200"/>
        <w:rPr>
          <w:rFonts w:ascii="仿宋" w:eastAsia="仿宋" w:hAnsi="仿宋" w:cs="仿宋"/>
          <w:sz w:val="28"/>
          <w:szCs w:val="20"/>
        </w:rPr>
      </w:pP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773820">
      <w:pPr>
        <w:tabs>
          <w:tab w:val="left" w:pos="1573"/>
        </w:tabs>
        <w:adjustRightInd w:val="0"/>
        <w:snapToGrid w:val="0"/>
        <w:spacing w:line="360" w:lineRule="auto"/>
        <w:jc w:val="center"/>
        <w:outlineLvl w:val="1"/>
        <w:rPr>
          <w:b/>
          <w:bCs/>
          <w:sz w:val="30"/>
          <w:szCs w:val="30"/>
        </w:rPr>
      </w:pPr>
      <w:bookmarkStart w:id="10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77382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90CDA">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303E7" w:rsidRPr="000303E7" w:rsidP="000303E7">
            <w:pPr>
              <w:rPr>
                <w:sz w:val="18"/>
                <w:szCs w:val="18"/>
              </w:rPr>
            </w:pPr>
            <w:r w:rsidRPr="000303E7">
              <w:rPr>
                <w:rFonts w:hint="eastAsia"/>
                <w:sz w:val="18"/>
                <w:szCs w:val="18"/>
              </w:rPr>
              <w:t>序号</w:t>
            </w:r>
          </w:p>
        </w:tc>
        <w:tc>
          <w:tcPr>
            <w:tcW w:w="898" w:type="dxa"/>
            <w:vAlign w:val="center"/>
          </w:tcPr>
          <w:p w:rsidR="000303E7" w:rsidRPr="000303E7" w:rsidP="000303E7">
            <w:pPr>
              <w:jc w:val="center"/>
              <w:rPr>
                <w:sz w:val="18"/>
                <w:szCs w:val="18"/>
              </w:rPr>
            </w:pPr>
            <w:r w:rsidRPr="000303E7">
              <w:rPr>
                <w:rFonts w:hint="eastAsia"/>
                <w:sz w:val="18"/>
                <w:szCs w:val="18"/>
              </w:rPr>
              <w:t>对应</w:t>
            </w:r>
          </w:p>
          <w:p w:rsidR="000303E7" w:rsidRPr="000303E7" w:rsidP="000303E7">
            <w:pPr>
              <w:jc w:val="center"/>
              <w:rPr>
                <w:sz w:val="18"/>
                <w:szCs w:val="18"/>
              </w:rPr>
            </w:pPr>
            <w:r w:rsidRPr="000303E7">
              <w:rPr>
                <w:rFonts w:hint="eastAsia"/>
                <w:sz w:val="18"/>
                <w:szCs w:val="18"/>
              </w:rPr>
              <w:t>条款号</w:t>
            </w:r>
          </w:p>
        </w:tc>
        <w:tc>
          <w:tcPr>
            <w:tcW w:w="7347" w:type="dxa"/>
            <w:vAlign w:val="center"/>
          </w:tcPr>
          <w:p w:rsidR="000303E7" w:rsidRPr="000303E7" w:rsidP="000303E7">
            <w:pPr>
              <w:jc w:val="center"/>
              <w:rPr>
                <w:sz w:val="18"/>
                <w:szCs w:val="18"/>
              </w:rPr>
            </w:pPr>
            <w:r w:rsidRPr="000303E7">
              <w:rPr>
                <w:rFonts w:hint="eastAsia"/>
                <w:sz w:val="18"/>
                <w:szCs w:val="18"/>
              </w:rPr>
              <w:t>内</w:t>
            </w:r>
            <w:r w:rsidRPr="000303E7">
              <w:rPr>
                <w:rFonts w:hint="eastAsia"/>
                <w:sz w:val="18"/>
                <w:szCs w:val="18"/>
              </w:rPr>
              <w:t xml:space="preserve"> </w:t>
            </w:r>
            <w:r w:rsidRPr="000303E7">
              <w:rPr>
                <w:rFonts w:hint="eastAsia"/>
                <w:sz w:val="18"/>
                <w:szCs w:val="18"/>
              </w:rPr>
              <w:t>容</w:t>
            </w:r>
          </w:p>
        </w:tc>
      </w:tr>
      <w:tr w:rsidTr="00490CDA">
        <w:tblPrEx>
          <w:tblW w:w="8789" w:type="dxa"/>
          <w:tblLayout w:type="fixed"/>
          <w:tblLook w:val="04A0"/>
        </w:tblPrEx>
        <w:trPr>
          <w:cantSplit/>
        </w:trPr>
        <w:tc>
          <w:tcPr>
            <w:tcW w:w="8789" w:type="dxa"/>
            <w:gridSpan w:val="3"/>
            <w:vAlign w:val="center"/>
          </w:tcPr>
          <w:p w:rsidR="000303E7" w:rsidRPr="000303E7" w:rsidP="000303E7">
            <w:pPr>
              <w:jc w:val="center"/>
              <w:rPr>
                <w:b/>
                <w:sz w:val="18"/>
                <w:szCs w:val="18"/>
              </w:rPr>
            </w:pPr>
            <w:r w:rsidRPr="000303E7">
              <w:rPr>
                <w:rFonts w:hint="eastAsia"/>
                <w:b/>
                <w:sz w:val="18"/>
                <w:szCs w:val="18"/>
              </w:rPr>
              <w:t>第五章</w:t>
            </w:r>
            <w:r w:rsidRPr="000303E7">
              <w:rPr>
                <w:rFonts w:hint="eastAsia"/>
                <w:b/>
                <w:sz w:val="18"/>
                <w:szCs w:val="18"/>
              </w:rPr>
              <w:t xml:space="preserve"> </w:t>
            </w:r>
            <w:r w:rsidRPr="000303E7">
              <w:rPr>
                <w:rFonts w:hint="eastAsia"/>
                <w:b/>
                <w:sz w:val="18"/>
                <w:szCs w:val="18"/>
              </w:rPr>
              <w:t>投标人须知专用部分</w:t>
            </w:r>
          </w:p>
        </w:tc>
      </w:tr>
      <w:tr w:rsidTr="00490CDA">
        <w:tblPrEx>
          <w:tblW w:w="8789" w:type="dxa"/>
          <w:tblLayout w:type="fixed"/>
          <w:tblLook w:val="04A0"/>
        </w:tblPrEx>
        <w:trPr>
          <w:cantSplit/>
        </w:trPr>
        <w:tc>
          <w:tcPr>
            <w:tcW w:w="544" w:type="dxa"/>
            <w:vAlign w:val="center"/>
          </w:tcPr>
          <w:p w:rsidR="000303E7" w:rsidRPr="000303E7" w:rsidP="000303E7">
            <w:pPr>
              <w:numPr>
                <w:ilvl w:val="0"/>
                <w:numId w:val="13"/>
              </w:numPr>
              <w:rPr>
                <w:rFonts w:ascii="宋体" w:hAnsi="宋体"/>
                <w:sz w:val="18"/>
                <w:szCs w:val="18"/>
              </w:rPr>
            </w:pPr>
          </w:p>
        </w:tc>
        <w:tc>
          <w:tcPr>
            <w:tcW w:w="898" w:type="dxa"/>
            <w:vAlign w:val="center"/>
          </w:tcPr>
          <w:p w:rsidR="000303E7" w:rsidRPr="000303E7" w:rsidP="000303E7">
            <w:pPr>
              <w:jc w:val="center"/>
              <w:rPr>
                <w:rFonts w:ascii="宋体" w:hAnsi="宋体"/>
                <w:sz w:val="18"/>
                <w:szCs w:val="18"/>
              </w:rPr>
            </w:pPr>
            <w:r w:rsidRPr="000303E7">
              <w:rPr>
                <w:rFonts w:ascii="宋体" w:hAnsi="宋体" w:hint="eastAsia"/>
                <w:sz w:val="18"/>
                <w:szCs w:val="18"/>
              </w:rPr>
              <w:t>5</w:t>
            </w:r>
            <w:r w:rsidRPr="000303E7">
              <w:rPr>
                <w:rFonts w:ascii="宋体" w:hAnsi="宋体"/>
                <w:sz w:val="18"/>
                <w:szCs w:val="18"/>
              </w:rPr>
              <w:t>.</w:t>
            </w:r>
            <w:r w:rsidRPr="000303E7">
              <w:rPr>
                <w:rFonts w:ascii="宋体" w:hAnsi="宋体" w:hint="eastAsia"/>
                <w:sz w:val="18"/>
                <w:szCs w:val="18"/>
              </w:rPr>
              <w:t>7</w:t>
            </w:r>
          </w:p>
        </w:tc>
        <w:tc>
          <w:tcPr>
            <w:tcW w:w="7347" w:type="dxa"/>
          </w:tcPr>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投标人应具有以下到投标截止日仍在有效期内的资质：X</w:t>
            </w:r>
            <w:r w:rsidRPr="000303E7">
              <w:rPr>
                <w:rFonts w:ascii="宋体" w:hAnsi="宋体" w:cs="微软雅黑" w:hint="eastAsia"/>
                <w:b/>
                <w:color w:val="0000FF"/>
                <w:kern w:val="0"/>
                <w:sz w:val="18"/>
                <w:szCs w:val="18"/>
              </w:rPr>
              <w:t>波段双</w:t>
            </w:r>
            <w:r w:rsidRPr="000303E7">
              <w:rPr>
                <w:rFonts w:ascii="宋体" w:hAnsi="宋体" w:cs="微软雅黑" w:hint="eastAsia"/>
                <w:b/>
                <w:color w:val="0000FF"/>
                <w:kern w:val="0"/>
                <w:sz w:val="18"/>
                <w:szCs w:val="18"/>
              </w:rPr>
              <w:t>线偏振多普勒天气雷达气象专用技术装备使用许可证</w:t>
            </w:r>
          </w:p>
        </w:tc>
      </w:tr>
      <w:tr w:rsidTr="00490CDA">
        <w:tblPrEx>
          <w:tblW w:w="8789" w:type="dxa"/>
          <w:tblLayout w:type="fixed"/>
          <w:tblLook w:val="04A0"/>
        </w:tblPrEx>
        <w:trPr>
          <w:cantSplit/>
        </w:trPr>
        <w:tc>
          <w:tcPr>
            <w:tcW w:w="8789" w:type="dxa"/>
            <w:gridSpan w:val="3"/>
            <w:vAlign w:val="center"/>
          </w:tcPr>
          <w:p w:rsidR="000303E7" w:rsidRPr="000303E7" w:rsidP="000303E7">
            <w:pPr>
              <w:jc w:val="center"/>
              <w:rPr>
                <w:sz w:val="18"/>
                <w:szCs w:val="18"/>
              </w:rPr>
            </w:pPr>
            <w:r w:rsidRPr="000303E7">
              <w:rPr>
                <w:rFonts w:hint="eastAsia"/>
                <w:b/>
                <w:sz w:val="18"/>
                <w:szCs w:val="18"/>
              </w:rPr>
              <w:t>第七章</w:t>
            </w:r>
            <w:r w:rsidRPr="000303E7">
              <w:rPr>
                <w:rFonts w:hint="eastAsia"/>
                <w:b/>
                <w:sz w:val="18"/>
                <w:szCs w:val="18"/>
              </w:rPr>
              <w:t xml:space="preserve">  </w:t>
            </w:r>
            <w:r w:rsidRPr="000303E7">
              <w:rPr>
                <w:rFonts w:hint="eastAsia"/>
                <w:b/>
                <w:sz w:val="18"/>
                <w:szCs w:val="18"/>
              </w:rPr>
              <w:t>采购需求</w:t>
            </w:r>
          </w:p>
        </w:tc>
      </w:tr>
      <w:tr w:rsidTr="00490CDA">
        <w:tblPrEx>
          <w:tblW w:w="8789" w:type="dxa"/>
          <w:tblLayout w:type="fixed"/>
          <w:tblLook w:val="04A0"/>
        </w:tblPrEx>
        <w:trPr>
          <w:cantSplit/>
        </w:trPr>
        <w:tc>
          <w:tcPr>
            <w:tcW w:w="544" w:type="dxa"/>
            <w:vAlign w:val="center"/>
          </w:tcPr>
          <w:p w:rsidR="000303E7" w:rsidRPr="000303E7" w:rsidP="000303E7">
            <w:pPr>
              <w:numPr>
                <w:ilvl w:val="0"/>
                <w:numId w:val="13"/>
              </w:numPr>
              <w:rPr>
                <w:rFonts w:ascii="宋体" w:hAnsi="宋体"/>
                <w:sz w:val="18"/>
                <w:szCs w:val="18"/>
              </w:rPr>
            </w:pPr>
          </w:p>
        </w:tc>
        <w:tc>
          <w:tcPr>
            <w:tcW w:w="898" w:type="dxa"/>
            <w:vAlign w:val="center"/>
          </w:tcPr>
          <w:p w:rsidR="000303E7" w:rsidRPr="000303E7" w:rsidP="000303E7">
            <w:pPr>
              <w:jc w:val="center"/>
              <w:rPr>
                <w:rFonts w:ascii="宋体" w:hAnsi="宋体" w:cs="微软雅黑"/>
                <w:b/>
                <w:color w:val="0000FF"/>
                <w:kern w:val="0"/>
                <w:sz w:val="18"/>
                <w:szCs w:val="18"/>
              </w:rPr>
            </w:pPr>
            <w:r w:rsidRPr="000303E7">
              <w:rPr>
                <w:rFonts w:ascii="宋体" w:hAnsi="宋体" w:cs="微软雅黑" w:hint="eastAsia"/>
                <w:b/>
                <w:color w:val="0000FF"/>
                <w:kern w:val="0"/>
                <w:sz w:val="18"/>
                <w:szCs w:val="18"/>
              </w:rPr>
              <w:t>4.2质保期服务*</w:t>
            </w:r>
          </w:p>
        </w:tc>
        <w:tc>
          <w:tcPr>
            <w:tcW w:w="7347" w:type="dxa"/>
            <w:vAlign w:val="center"/>
          </w:tcPr>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中标方按照中国气象局有关要求提供服务，确保设备稳定运行，主要工作包括：日巡查、周维护、</w:t>
            </w:r>
            <w:r w:rsidRPr="000303E7">
              <w:rPr>
                <w:rFonts w:ascii="宋体" w:hAnsi="宋体" w:cs="微软雅黑" w:hint="eastAsia"/>
                <w:b/>
                <w:color w:val="0000FF"/>
                <w:kern w:val="0"/>
                <w:sz w:val="18"/>
                <w:szCs w:val="18"/>
              </w:rPr>
              <w:t>月维护</w:t>
            </w:r>
            <w:r w:rsidRPr="000303E7">
              <w:rPr>
                <w:rFonts w:ascii="宋体" w:hAnsi="宋体" w:cs="微软雅黑" w:hint="eastAsia"/>
                <w:b/>
                <w:color w:val="0000FF"/>
                <w:kern w:val="0"/>
                <w:sz w:val="18"/>
                <w:szCs w:val="18"/>
              </w:rPr>
              <w:t>及标校、汛前巡检及标校、</w:t>
            </w:r>
            <w:r w:rsidRPr="000303E7">
              <w:rPr>
                <w:rFonts w:ascii="宋体" w:hAnsi="宋体" w:cs="微软雅黑" w:hint="eastAsia"/>
                <w:b/>
                <w:color w:val="0000FF"/>
                <w:kern w:val="0"/>
                <w:sz w:val="18"/>
                <w:szCs w:val="18"/>
              </w:rPr>
              <w:t>年维护</w:t>
            </w:r>
            <w:r w:rsidRPr="000303E7">
              <w:rPr>
                <w:rFonts w:ascii="宋体" w:hAnsi="宋体" w:cs="微软雅黑" w:hint="eastAsia"/>
                <w:b/>
                <w:color w:val="0000FF"/>
                <w:kern w:val="0"/>
                <w:sz w:val="18"/>
                <w:szCs w:val="18"/>
              </w:rPr>
              <w:t>及标校、卫生清洁、防雷设施检测、消防设备检测、铁塔安全性检测等现场巡检巡查工作，以及自验收合格后8年的整机及雷达分系统质保服务等。</w:t>
            </w:r>
          </w:p>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备品备件按质保总额的20%比例配置。设备厂家以履约保函等形式支付20%担保金额，后续逐年返还。此外，设备厂家应按照雷达维修保障要求配置整机备品备件，确保维修保障时效内配送至雷达站。</w:t>
            </w:r>
          </w:p>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备品备件、维护标校、故障维修和巡检巡查等各项要求按照《X波段天气雷达观测规范（试行）》、《X波段天气雷达标校业务规范（试行）》等文件要求执行。</w:t>
            </w:r>
          </w:p>
          <w:p w:rsidR="000303E7" w:rsidRPr="000303E7" w:rsidP="000303E7">
            <w:pPr>
              <w:tabs>
                <w:tab w:val="left" w:pos="709"/>
              </w:tabs>
              <w:jc w:val="left"/>
              <w:rPr>
                <w:rFonts w:ascii="宋体" w:hAnsi="宋体"/>
                <w:sz w:val="18"/>
                <w:szCs w:val="18"/>
              </w:rPr>
            </w:pPr>
            <w:r w:rsidRPr="000303E7">
              <w:rPr>
                <w:rFonts w:ascii="宋体" w:hAnsi="宋体" w:cs="微软雅黑" w:hint="eastAsia"/>
                <w:b/>
                <w:color w:val="0000FF"/>
                <w:kern w:val="0"/>
                <w:sz w:val="18"/>
                <w:szCs w:val="18"/>
              </w:rPr>
              <w:t>质保期服务提供相关承诺函。</w:t>
            </w:r>
          </w:p>
        </w:tc>
      </w:tr>
      <w:tr w:rsidTr="00490CDA">
        <w:tblPrEx>
          <w:tblW w:w="8789" w:type="dxa"/>
          <w:tblLayout w:type="fixed"/>
          <w:tblLook w:val="04A0"/>
        </w:tblPrEx>
        <w:trPr>
          <w:cantSplit/>
        </w:trPr>
        <w:tc>
          <w:tcPr>
            <w:tcW w:w="544" w:type="dxa"/>
            <w:vAlign w:val="center"/>
          </w:tcPr>
          <w:p w:rsidR="000303E7" w:rsidRPr="000303E7" w:rsidP="000303E7">
            <w:pPr>
              <w:numPr>
                <w:ilvl w:val="0"/>
                <w:numId w:val="13"/>
              </w:numPr>
              <w:rPr>
                <w:rFonts w:ascii="宋体" w:hAnsi="宋体"/>
                <w:sz w:val="18"/>
                <w:szCs w:val="18"/>
              </w:rPr>
            </w:pPr>
          </w:p>
        </w:tc>
        <w:tc>
          <w:tcPr>
            <w:tcW w:w="898" w:type="dxa"/>
            <w:vAlign w:val="center"/>
          </w:tcPr>
          <w:p w:rsidR="000303E7" w:rsidRPr="000303E7" w:rsidP="000303E7">
            <w:pPr>
              <w:jc w:val="center"/>
              <w:rPr>
                <w:rFonts w:ascii="宋体" w:hAnsi="宋体" w:cs="微软雅黑"/>
                <w:b/>
                <w:color w:val="0000FF"/>
                <w:kern w:val="0"/>
                <w:sz w:val="18"/>
                <w:szCs w:val="18"/>
              </w:rPr>
            </w:pPr>
            <w:r w:rsidRPr="000303E7">
              <w:rPr>
                <w:rFonts w:ascii="宋体" w:hAnsi="宋体" w:cs="微软雅黑" w:hint="eastAsia"/>
                <w:b/>
                <w:color w:val="0000FF"/>
                <w:kern w:val="0"/>
                <w:sz w:val="18"/>
                <w:szCs w:val="18"/>
              </w:rPr>
              <w:t>4.3 软件调试*</w:t>
            </w:r>
          </w:p>
        </w:tc>
        <w:tc>
          <w:tcPr>
            <w:tcW w:w="7347" w:type="dxa"/>
            <w:vAlign w:val="center"/>
          </w:tcPr>
          <w:p w:rsidR="000303E7" w:rsidRPr="000303E7" w:rsidP="000303E7">
            <w:pPr>
              <w:tabs>
                <w:tab w:val="left" w:pos="709"/>
              </w:tabs>
              <w:spacing w:line="360" w:lineRule="auto"/>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中标方需配合采购方，完成ROSE-X等软件的安装调试，保证上站后能够安全稳定运行。投标方须提供承诺函。</w:t>
            </w:r>
          </w:p>
        </w:tc>
      </w:tr>
    </w:tbl>
    <w:p w:rsidR="0077382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773820">
      <w:pPr>
        <w:tabs>
          <w:tab w:val="left" w:pos="1573"/>
        </w:tabs>
        <w:adjustRightInd w:val="0"/>
        <w:snapToGrid w:val="0"/>
        <w:spacing w:line="360" w:lineRule="auto"/>
        <w:jc w:val="center"/>
        <w:outlineLvl w:val="1"/>
        <w:rPr>
          <w:b/>
          <w:bCs/>
          <w:sz w:val="30"/>
          <w:szCs w:val="30"/>
        </w:rPr>
        <w:sectPr>
          <w:headerReference w:type="default" r:id="rId23"/>
          <w:footerReference w:type="default" r:id="rId24"/>
          <w:pgSz w:w="11906" w:h="16838"/>
          <w:pgMar w:top="1440" w:right="1800" w:bottom="1440" w:left="1800" w:header="851" w:footer="992" w:gutter="0"/>
          <w:cols w:space="708"/>
          <w:docGrid w:type="lines" w:linePitch="312"/>
        </w:sectPr>
      </w:pPr>
      <w:bookmarkEnd w:id="10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01E53">
      <w:pPr>
        <w:numPr>
          <w:ilvl w:val="0"/>
          <w:numId w:val="4"/>
        </w:numPr>
        <w:spacing w:line="360" w:lineRule="auto"/>
        <w:ind w:firstLine="3066" w:firstLineChars="1460"/>
        <w:jc w:val="left"/>
        <w:rPr>
          <w:b/>
          <w:bCs/>
          <w:szCs w:val="21"/>
        </w:rPr>
      </w:pPr>
      <w:bookmarkStart w:id="106" w:name="采购公告合同部分_ZBGGHT"/>
      <w:r>
        <w:rPr>
          <w:rFonts w:hint="eastAsia"/>
          <w:b/>
          <w:bCs/>
          <w:szCs w:val="21"/>
        </w:rPr>
        <w:t xml:space="preserve"> </w:t>
      </w:r>
      <w:r>
        <w:rPr>
          <w:rFonts w:hint="eastAsia"/>
          <w:b/>
          <w:bCs/>
          <w:szCs w:val="21"/>
        </w:rPr>
        <w:t>采购合同</w:t>
      </w:r>
    </w:p>
    <w:p w:rsidR="00E01E53">
      <w:pPr>
        <w:spacing w:line="360" w:lineRule="auto"/>
        <w:ind w:left="1680" w:firstLine="420"/>
        <w:jc w:val="left"/>
        <w:rPr>
          <w:b/>
          <w:bCs/>
          <w:szCs w:val="21"/>
        </w:rPr>
      </w:pPr>
      <w:r>
        <w:rPr>
          <w:rFonts w:hint="eastAsia"/>
          <w:b/>
          <w:bCs/>
          <w:szCs w:val="21"/>
        </w:rPr>
        <w:t>必须明确合同金额支付条件及支付比例</w:t>
      </w:r>
    </w:p>
    <w:p w:rsidR="00E01E53">
      <w:pPr>
        <w:pStyle w:val="BodyText"/>
        <w:spacing w:after="0"/>
        <w:jc w:val="center"/>
        <w:rPr>
          <w:rFonts w:ascii="宋体" w:hAnsi="宋体" w:cs="宋体"/>
          <w:b/>
          <w:bCs/>
          <w:spacing w:val="-20"/>
          <w:kern w:val="44"/>
          <w:sz w:val="48"/>
          <w:szCs w:val="48"/>
        </w:rPr>
      </w:pPr>
      <w:r>
        <w:rPr>
          <w:b/>
          <w:bCs/>
          <w:szCs w:val="21"/>
        </w:rPr>
        <w:br w:type="page"/>
      </w:r>
      <w:bookmarkStart w:id="107" w:name="_Toc3995"/>
    </w:p>
    <w:p w:rsidR="00E01E53">
      <w:pPr>
        <w:pStyle w:val="BodyText"/>
        <w:spacing w:after="0"/>
        <w:jc w:val="center"/>
        <w:rPr>
          <w:rFonts w:ascii="宋体" w:hAnsi="宋体" w:cs="宋体"/>
          <w:b/>
          <w:bCs/>
          <w:spacing w:val="-20"/>
          <w:kern w:val="44"/>
          <w:sz w:val="48"/>
          <w:szCs w:val="48"/>
        </w:rPr>
      </w:pPr>
    </w:p>
    <w:p w:rsidR="00E01E53">
      <w:pPr>
        <w:pStyle w:val="BodyText"/>
        <w:spacing w:after="0"/>
        <w:jc w:val="center"/>
        <w:rPr>
          <w:rFonts w:ascii="宋体" w:hAnsi="宋体" w:cs="宋体"/>
          <w:b/>
          <w:bCs/>
          <w:spacing w:val="-20"/>
          <w:kern w:val="44"/>
          <w:sz w:val="48"/>
          <w:szCs w:val="48"/>
        </w:rPr>
      </w:pPr>
    </w:p>
    <w:p w:rsidR="00E01E53">
      <w:pPr>
        <w:pStyle w:val="BodyText"/>
        <w:spacing w:after="0"/>
        <w:jc w:val="center"/>
        <w:rPr>
          <w:rFonts w:ascii="宋体" w:hAnsi="宋体" w:cs="宋体"/>
          <w:b/>
          <w:bCs/>
          <w:spacing w:val="-20"/>
          <w:kern w:val="44"/>
          <w:sz w:val="48"/>
          <w:szCs w:val="48"/>
        </w:rPr>
      </w:pPr>
    </w:p>
    <w:p w:rsidR="00E01E53">
      <w:pPr>
        <w:pStyle w:val="BodyText"/>
        <w:spacing w:after="0"/>
        <w:jc w:val="center"/>
        <w:rPr>
          <w:rFonts w:ascii="宋体" w:hAnsi="宋体" w:cs="宋体"/>
          <w:b/>
          <w:bCs/>
          <w:spacing w:val="-20"/>
          <w:kern w:val="44"/>
          <w:sz w:val="48"/>
          <w:szCs w:val="48"/>
        </w:rPr>
      </w:pPr>
    </w:p>
    <w:p w:rsidR="00E01E5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E01E5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E01E53">
      <w:pPr>
        <w:rPr>
          <w:rFonts w:ascii="宋体" w:hAnsi="宋体" w:cs="宋体"/>
          <w:b/>
          <w:bCs/>
          <w:spacing w:val="-20"/>
          <w:kern w:val="44"/>
          <w:sz w:val="40"/>
          <w:szCs w:val="40"/>
        </w:rPr>
      </w:pPr>
    </w:p>
    <w:p w:rsidR="00E01E53">
      <w:pPr>
        <w:rPr>
          <w:rFonts w:ascii="宋体" w:hAnsi="宋体" w:cs="宋体"/>
          <w:b/>
          <w:bCs/>
          <w:spacing w:val="-20"/>
          <w:kern w:val="44"/>
          <w:sz w:val="40"/>
          <w:szCs w:val="40"/>
        </w:rPr>
      </w:pPr>
    </w:p>
    <w:p w:rsidR="00E01E53">
      <w:pPr>
        <w:rPr>
          <w:rFonts w:ascii="宋体" w:hAnsi="宋体" w:cs="宋体"/>
          <w:b/>
          <w:bCs/>
          <w:spacing w:val="-20"/>
          <w:kern w:val="44"/>
          <w:sz w:val="40"/>
          <w:szCs w:val="40"/>
        </w:rPr>
      </w:pPr>
    </w:p>
    <w:p w:rsidR="00E01E53">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E01E53">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E01E53">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E01E53">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E01E53">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E01E53"/>
    <w:p w:rsidR="00E01E53">
      <w:pPr>
        <w:rPr>
          <w:rFonts w:eastAsia="黑体"/>
          <w:sz w:val="44"/>
          <w:szCs w:val="44"/>
        </w:rPr>
      </w:pPr>
      <w:r>
        <w:rPr>
          <w:rFonts w:eastAsia="黑体"/>
          <w:sz w:val="44"/>
          <w:szCs w:val="44"/>
        </w:rPr>
        <w:br w:type="page"/>
      </w:r>
    </w:p>
    <w:p w:rsidR="00E01E53">
      <w:pPr>
        <w:rPr>
          <w:rFonts w:eastAsia="黑体"/>
          <w:sz w:val="44"/>
          <w:szCs w:val="44"/>
        </w:rPr>
      </w:pPr>
    </w:p>
    <w:p w:rsidR="00E01E53">
      <w:pPr>
        <w:rPr>
          <w:rFonts w:eastAsia="黑体"/>
          <w:sz w:val="44"/>
          <w:szCs w:val="44"/>
        </w:rPr>
      </w:pPr>
    </w:p>
    <w:p w:rsidR="00E01E53">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E01E53">
      <w:pPr>
        <w:ind w:firstLine="640" w:firstLineChars="200"/>
        <w:rPr>
          <w:rFonts w:ascii="仿宋_GB2312" w:eastAsia="仿宋_GB2312" w:hAnsi="仿宋_GB2312" w:cs="仿宋_GB2312"/>
          <w:sz w:val="32"/>
          <w:szCs w:val="32"/>
        </w:rPr>
      </w:pPr>
    </w:p>
    <w:p w:rsidR="00E01E5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E01E53">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E01E5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E01E53">
      <w:pPr>
        <w:rPr>
          <w:rFonts w:eastAsia="黑体"/>
          <w:sz w:val="44"/>
          <w:szCs w:val="44"/>
        </w:rPr>
        <w:sectPr>
          <w:pgSz w:w="11906" w:h="16838"/>
          <w:pgMar w:top="1440" w:right="1800" w:bottom="1440" w:left="1800" w:header="851" w:footer="992" w:gutter="0"/>
          <w:cols w:space="425"/>
          <w:docGrid w:type="lines" w:linePitch="312"/>
        </w:sectPr>
      </w:pPr>
    </w:p>
    <w:p w:rsidR="00E01E53">
      <w:pPr>
        <w:pStyle w:val="Heading2"/>
        <w:numPr>
          <w:ilvl w:val="0"/>
          <w:numId w:val="0"/>
        </w:numPr>
        <w:adjustRightInd w:val="0"/>
        <w:snapToGrid w:val="0"/>
        <w:spacing w:line="400" w:lineRule="exact"/>
        <w:jc w:val="center"/>
        <w:rPr>
          <w:rFonts w:ascii="黑体" w:hAnsi="华文中宋"/>
          <w:b w:val="0"/>
          <w:bCs w:val="0"/>
          <w:sz w:val="28"/>
          <w:szCs w:val="28"/>
        </w:rPr>
      </w:pPr>
      <w:bookmarkStart w:id="108" w:name="_Toc22209"/>
      <w:bookmarkEnd w:id="107"/>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108"/>
    </w:p>
    <w:p w:rsidR="00E01E53">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E01E53">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E01E53">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E01E53">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E01E53">
      <w:pPr>
        <w:spacing w:line="400" w:lineRule="exact"/>
      </w:pPr>
    </w:p>
    <w:p w:rsidR="00E01E5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E01E53">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E01E53">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E01E53">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E01E5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E01E53">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E01E53">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E01E53">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E01E53">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E01E53">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E01E5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01E5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E01E5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E01E5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E01E5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01E5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E01E5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E01E53">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E01E53">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E01E53">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E01E53">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E01E53">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01E53">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01E53">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01E53">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01E5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E01E5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E01E5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E01E5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E01E53">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E01E53">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E01E53">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E01E53">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E01E5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E01E53">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E01E53">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E01E5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E01E5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E01E53">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E01E5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01E5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E01E5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E01E5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E01E5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01E5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E01E53">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E01E53">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E01E5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01E53">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E01E5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E01E53">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E01E53">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E01E53">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E01E5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E01E53">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E01E5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E01E5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E01E53">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E01E53" w:rsidRPr="00C8169F">
      <w:pPr>
        <w:pStyle w:val="12"/>
        <w:spacing w:line="400" w:lineRule="exact"/>
        <w:rPr>
          <w:highlight w:val="yellow"/>
        </w:rPr>
      </w:pPr>
      <w:r>
        <w:rPr>
          <w:rFonts w:ascii="宋体" w:hAnsi="宋体" w:hint="eastAsia"/>
        </w:rPr>
        <w:t>（</w:t>
      </w:r>
      <w:r w:rsidRPr="00C8169F">
        <w:rPr>
          <w:rFonts w:ascii="宋体" w:hAnsi="宋体" w:hint="eastAsia"/>
          <w:highlight w:val="yellow"/>
        </w:rPr>
        <w:t>3</w:t>
      </w:r>
      <w:r w:rsidRPr="00C8169F">
        <w:rPr>
          <w:rFonts w:ascii="宋体" w:hAnsi="宋体" w:hint="eastAsia"/>
          <w:highlight w:val="yellow"/>
        </w:rPr>
        <w:t>）付款方式（按项目实际勾选填写）：</w:t>
      </w:r>
    </w:p>
    <w:p w:rsidR="00E01E53" w:rsidRPr="00C8169F">
      <w:pPr>
        <w:adjustRightInd w:val="0"/>
        <w:snapToGrid w:val="0"/>
        <w:spacing w:line="400" w:lineRule="exact"/>
        <w:ind w:firstLine="630" w:firstLineChars="300"/>
        <w:rPr>
          <w:rFonts w:ascii="宋体" w:hAnsi="宋体"/>
          <w:szCs w:val="21"/>
          <w:highlight w:val="yellow"/>
          <w:u w:val="single"/>
        </w:rPr>
      </w:pPr>
      <w:r w:rsidRPr="00C8169F">
        <w:rPr>
          <w:rFonts w:ascii="Wingdings" w:hAnsi="Wingdings"/>
          <w:szCs w:val="21"/>
          <w:highlight w:val="yellow"/>
        </w:rPr>
        <w:sym w:font="Wingdings" w:char="F0A8"/>
      </w:r>
      <w:r w:rsidRPr="00C8169F">
        <w:rPr>
          <w:rFonts w:ascii="宋体" w:hAnsi="宋体" w:hint="eastAsia"/>
          <w:szCs w:val="21"/>
          <w:highlight w:val="yellow"/>
        </w:rPr>
        <w:t>全额付款：</w:t>
      </w:r>
      <w:r w:rsidRPr="00C8169F">
        <w:rPr>
          <w:rFonts w:ascii="宋体" w:hAnsi="宋体" w:hint="eastAsia"/>
          <w:szCs w:val="21"/>
          <w:highlight w:val="yellow"/>
          <w:u w:val="single"/>
        </w:rPr>
        <w:t xml:space="preserve">     </w:t>
      </w:r>
      <w:r w:rsidRPr="00C8169F">
        <w:rPr>
          <w:rFonts w:ascii="宋体" w:hAnsi="宋体" w:hint="eastAsia"/>
          <w:szCs w:val="21"/>
          <w:highlight w:val="yellow"/>
          <w:u w:val="single"/>
        </w:rPr>
        <w:t>（应明确一次性支付合同款项的条件）</w:t>
      </w:r>
      <w:r w:rsidRPr="00C8169F">
        <w:rPr>
          <w:rFonts w:ascii="宋体" w:hAnsi="宋体" w:hint="eastAsia"/>
          <w:szCs w:val="21"/>
          <w:highlight w:val="yellow"/>
          <w:u w:val="single"/>
        </w:rPr>
        <w:t xml:space="preserve">                    </w:t>
      </w:r>
    </w:p>
    <w:p w:rsidR="00E01E53" w:rsidRPr="00C8169F">
      <w:pPr>
        <w:snapToGrid w:val="0"/>
        <w:spacing w:line="400" w:lineRule="exact"/>
        <w:ind w:firstLine="630" w:firstLineChars="300"/>
        <w:rPr>
          <w:highlight w:val="yellow"/>
        </w:rPr>
      </w:pPr>
      <w:r w:rsidRPr="00C8169F">
        <w:rPr>
          <w:rFonts w:ascii="宋体" w:eastAsia="宋体" w:hAnsi="宋体" w:hint="eastAsia"/>
          <w:szCs w:val="21"/>
          <w:highlight w:val="yellow"/>
        </w:rPr>
        <w:t>√</w:t>
      </w:r>
      <w:r w:rsidRPr="00C8169F">
        <w:rPr>
          <w:rFonts w:ascii="宋体" w:hAnsi="宋体" w:hint="eastAsia"/>
          <w:szCs w:val="21"/>
          <w:highlight w:val="yellow"/>
        </w:rPr>
        <w:t>分期付款：</w:t>
      </w:r>
      <w:r w:rsidRPr="00C8169F">
        <w:rPr>
          <w:rFonts w:ascii="宋体" w:hAnsi="宋体" w:hint="eastAsia"/>
          <w:szCs w:val="21"/>
          <w:highlight w:val="yellow"/>
          <w:u w:val="single"/>
        </w:rPr>
        <w:t xml:space="preserve">  共分2期</w:t>
      </w:r>
      <w:r w:rsidRPr="00C8169F">
        <w:rPr>
          <w:rFonts w:ascii="宋体" w:hAnsi="宋体"/>
          <w:szCs w:val="21"/>
          <w:highlight w:val="yellow"/>
          <w:u w:val="single"/>
        </w:rPr>
        <w:t>支付设备款，合同签订</w:t>
      </w:r>
      <w:r w:rsidRPr="00C8169F">
        <w:rPr>
          <w:rFonts w:ascii="宋体" w:hAnsi="宋体" w:hint="eastAsia"/>
          <w:szCs w:val="21"/>
          <w:highlight w:val="yellow"/>
          <w:u w:val="single"/>
        </w:rPr>
        <w:t>30个</w:t>
      </w:r>
      <w:r w:rsidRPr="00C8169F">
        <w:rPr>
          <w:rFonts w:ascii="宋体" w:hAnsi="宋体"/>
          <w:szCs w:val="21"/>
          <w:highlight w:val="yellow"/>
          <w:u w:val="single"/>
        </w:rPr>
        <w:t>工作日内，支付设备款</w:t>
      </w:r>
      <w:r w:rsidRPr="00C8169F">
        <w:rPr>
          <w:rFonts w:ascii="宋体" w:hAnsi="宋体" w:hint="eastAsia"/>
          <w:szCs w:val="21"/>
          <w:highlight w:val="yellow"/>
          <w:u w:val="single"/>
        </w:rPr>
        <w:t>90</w:t>
      </w:r>
      <w:r w:rsidRPr="00C8169F">
        <w:rPr>
          <w:rFonts w:ascii="宋体" w:hAnsi="宋体"/>
          <w:szCs w:val="21"/>
          <w:highlight w:val="yellow"/>
          <w:u w:val="single"/>
        </w:rPr>
        <w:t>%；待收到业务验收报告后支付余下</w:t>
      </w:r>
      <w:r w:rsidRPr="00C8169F">
        <w:rPr>
          <w:rFonts w:ascii="宋体" w:hAnsi="宋体" w:hint="eastAsia"/>
          <w:szCs w:val="21"/>
          <w:highlight w:val="yellow"/>
          <w:u w:val="single"/>
        </w:rPr>
        <w:t>10</w:t>
      </w:r>
      <w:r w:rsidRPr="00C8169F">
        <w:rPr>
          <w:rFonts w:ascii="宋体" w:hAnsi="宋体"/>
          <w:szCs w:val="21"/>
          <w:highlight w:val="yellow"/>
          <w:u w:val="single"/>
        </w:rPr>
        <w:t>%设备尾款</w:t>
      </w:r>
      <w:r w:rsidRPr="00C8169F">
        <w:rPr>
          <w:rFonts w:ascii="宋体" w:hAnsi="宋体" w:hint="eastAsia"/>
          <w:szCs w:val="21"/>
          <w:highlight w:val="yellow"/>
          <w:u w:val="single"/>
        </w:rPr>
        <w:t xml:space="preserve"> </w:t>
      </w:r>
      <w:r w:rsidRPr="00C8169F">
        <w:rPr>
          <w:rFonts w:ascii="宋体" w:hAnsi="宋体" w:hint="eastAsia"/>
          <w:szCs w:val="21"/>
          <w:highlight w:val="yellow"/>
        </w:rPr>
        <w:t>，其中涉及预付款的：</w:t>
      </w:r>
      <w:r w:rsidRPr="00C8169F">
        <w:rPr>
          <w:rFonts w:ascii="宋体" w:hAnsi="宋体" w:hint="eastAsia"/>
          <w:szCs w:val="21"/>
          <w:highlight w:val="yellow"/>
          <w:u w:val="single"/>
        </w:rPr>
        <w:t xml:space="preserve"> </w:t>
      </w:r>
      <w:r w:rsidRPr="00C8169F">
        <w:rPr>
          <w:rFonts w:ascii="宋体" w:hAnsi="宋体" w:hint="eastAsia"/>
          <w:szCs w:val="21"/>
          <w:highlight w:val="yellow"/>
          <w:u w:val="single"/>
        </w:rPr>
        <w:t>（应明确预付款的支付比例和支付条件）</w:t>
      </w:r>
      <w:r w:rsidRPr="00C8169F">
        <w:rPr>
          <w:rFonts w:ascii="宋体" w:hAnsi="宋体" w:hint="eastAsia"/>
          <w:szCs w:val="21"/>
          <w:highlight w:val="yellow"/>
          <w:u w:val="single"/>
        </w:rPr>
        <w:t xml:space="preserve"> </w:t>
      </w:r>
    </w:p>
    <w:p w:rsidR="00E01E53" w:rsidRPr="00C8169F">
      <w:pPr>
        <w:adjustRightInd w:val="0"/>
        <w:snapToGrid w:val="0"/>
        <w:spacing w:line="400" w:lineRule="exact"/>
        <w:ind w:firstLine="630" w:firstLineChars="300"/>
        <w:rPr>
          <w:rFonts w:ascii="宋体" w:hAnsi="宋体"/>
          <w:szCs w:val="21"/>
          <w:highlight w:val="yellow"/>
          <w:u w:val="single"/>
        </w:rPr>
      </w:pPr>
      <w:r w:rsidRPr="00C8169F">
        <w:rPr>
          <w:rFonts w:ascii="Wingdings" w:hAnsi="Wingdings"/>
          <w:szCs w:val="21"/>
          <w:highlight w:val="yellow"/>
        </w:rPr>
        <w:sym w:font="Wingdings" w:char="F0A8"/>
      </w:r>
      <w:r w:rsidRPr="00C8169F">
        <w:rPr>
          <w:rFonts w:ascii="宋体" w:hAnsi="宋体" w:hint="eastAsia"/>
          <w:szCs w:val="21"/>
          <w:highlight w:val="yellow"/>
        </w:rPr>
        <w:t>成本补偿：</w:t>
      </w:r>
      <w:r w:rsidRPr="00C8169F">
        <w:rPr>
          <w:rFonts w:ascii="宋体" w:hAnsi="宋体" w:hint="eastAsia"/>
          <w:szCs w:val="21"/>
          <w:highlight w:val="yellow"/>
          <w:u w:val="single"/>
        </w:rPr>
        <w:t xml:space="preserve">      </w:t>
      </w:r>
      <w:r w:rsidRPr="00C8169F">
        <w:rPr>
          <w:rFonts w:ascii="宋体" w:hAnsi="宋体" w:hint="eastAsia"/>
          <w:szCs w:val="21"/>
          <w:highlight w:val="yellow"/>
          <w:u w:val="single"/>
        </w:rPr>
        <w:t>（应明确按照成本补偿方式的支付方式和支付条件）</w:t>
      </w:r>
      <w:r w:rsidRPr="00C8169F">
        <w:rPr>
          <w:rFonts w:ascii="宋体" w:hAnsi="宋体" w:hint="eastAsia"/>
          <w:szCs w:val="21"/>
          <w:highlight w:val="yellow"/>
          <w:u w:val="single"/>
        </w:rPr>
        <w:t xml:space="preserve">   </w:t>
      </w:r>
    </w:p>
    <w:p w:rsidR="00E01E53">
      <w:pPr>
        <w:adjustRightInd w:val="0"/>
        <w:snapToGrid w:val="0"/>
        <w:spacing w:line="400" w:lineRule="exact"/>
        <w:ind w:firstLine="630" w:firstLineChars="300"/>
        <w:rPr>
          <w:rFonts w:ascii="宋体" w:hAnsi="宋体"/>
          <w:szCs w:val="21"/>
        </w:rPr>
      </w:pPr>
      <w:r w:rsidRPr="00C8169F">
        <w:rPr>
          <w:rFonts w:ascii="Wingdings" w:hAnsi="Wingdings"/>
          <w:szCs w:val="21"/>
          <w:highlight w:val="yellow"/>
        </w:rPr>
        <w:sym w:font="Wingdings" w:char="F0A8"/>
      </w:r>
      <w:r w:rsidRPr="00C8169F">
        <w:rPr>
          <w:rFonts w:ascii="宋体" w:hAnsi="宋体" w:hint="eastAsia"/>
          <w:szCs w:val="21"/>
          <w:highlight w:val="yellow"/>
        </w:rPr>
        <w:t>绩效激励：</w:t>
      </w:r>
      <w:r w:rsidRPr="00C8169F">
        <w:rPr>
          <w:rFonts w:ascii="宋体" w:hAnsi="宋体" w:hint="eastAsia"/>
          <w:szCs w:val="21"/>
          <w:highlight w:val="yellow"/>
          <w:u w:val="single"/>
        </w:rPr>
        <w:t xml:space="preserve">      </w:t>
      </w:r>
      <w:r w:rsidRPr="00C8169F">
        <w:rPr>
          <w:rFonts w:ascii="宋体" w:hAnsi="宋体" w:hint="eastAsia"/>
          <w:szCs w:val="21"/>
          <w:highlight w:val="yellow"/>
          <w:u w:val="single"/>
        </w:rPr>
        <w:t>（应明确按照绩效激励方式的支付方式和支付条件）</w:t>
      </w:r>
      <w:r>
        <w:rPr>
          <w:rFonts w:ascii="宋体" w:hAnsi="宋体" w:hint="eastAsia"/>
          <w:szCs w:val="21"/>
          <w:u w:val="single"/>
        </w:rPr>
        <w:t xml:space="preserve">   </w:t>
      </w:r>
    </w:p>
    <w:p w:rsidR="00E01E53">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E01E5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E01E53">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E01E53">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E01E53">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E01E5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E01E53">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E01E53">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E01E53">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E01E53">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E01E53">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E01E53">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E01E53">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01E53">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01E53">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01E53">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01E53">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01E5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E01E53">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01E5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E01E5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E01E53">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E01E53">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E01E53">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E01E5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E01E5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E01E53">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E01E53">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E01E53">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E01E53">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E01E53">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E01E53">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E01E53">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E01E53">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E01E53">
      <w:r>
        <w:rPr>
          <w:rFonts w:hint="eastAsia"/>
        </w:rPr>
        <w:br w:type="page"/>
      </w:r>
    </w:p>
    <w:p w:rsidR="00E01E53">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E01E53">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E01E53">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法定代表人</w:t>
            </w:r>
          </w:p>
          <w:p w:rsidR="00E01E53">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法定代表人</w:t>
            </w:r>
          </w:p>
          <w:p w:rsidR="00E01E5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01E53">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E01E53">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E01E53">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E01E53">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109"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109"/>
    </w:p>
    <w:p w:rsidR="00E01E53">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E01E5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E01E53">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E01E5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E01E5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E01E5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E01E5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E01E5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E01E5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E01E53">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E01E53">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E01E53">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E01E5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E01E53">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E01E5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E01E5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E01E5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E01E53">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E01E53">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E01E53">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E01E5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E01E5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E01E53">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E01E53">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E01E53">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01E53">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E01E53">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E01E53">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E01E5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E01E5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110"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110"/>
      <w:r>
        <w:rPr>
          <w:rFonts w:ascii="宋体" w:hAnsi="宋体" w:hint="eastAsia"/>
          <w:szCs w:val="21"/>
        </w:rPr>
        <w:t>。</w:t>
      </w:r>
    </w:p>
    <w:p w:rsidR="00E01E5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E01E53">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E01E5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E01E53">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E01E53">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E01E53">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E01E5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E01E5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E01E53">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E01E53">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E01E53">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E01E53">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E01E53">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E01E53">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E01E53">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E01E53">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E01E53">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E01E53">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E01E53">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E01E53">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E01E53">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E01E53">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E01E53">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E01E53">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E01E5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E01E5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E01E5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E01E53">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E01E53">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E01E53">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E01E53">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E01E53">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E01E53">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E01E53">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E01E53">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E01E53">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E01E53">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E01E53">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E01E53">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E01E53">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E01E53">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E01E53">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E01E53">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E01E53">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111" w:name="_Toc20313"/>
    </w:p>
    <w:p w:rsidR="00E01E53">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E01E53">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11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E01E53"/>
        </w:tc>
      </w:tr>
      <w:tr>
        <w:tblPrEx>
          <w:tblW w:w="8519" w:type="dxa"/>
          <w:tblInd w:w="108" w:type="dxa"/>
          <w:tblLayout w:type="fixed"/>
          <w:tblLook w:val="04A0"/>
        </w:tblPrEx>
        <w:trPr>
          <w:trHeight w:val="667"/>
        </w:trPr>
        <w:tc>
          <w:tcPr>
            <w:tcW w:w="1607" w:type="dxa"/>
            <w:vMerge/>
            <w:vAlign w:val="center"/>
          </w:tcPr>
          <w:p w:rsidR="00E01E53">
            <w:pPr>
              <w:adjustRightInd w:val="0"/>
              <w:snapToGrid w:val="0"/>
              <w:jc w:val="center"/>
              <w:rPr>
                <w:rFonts w:ascii="宋体" w:hAnsi="宋体"/>
                <w:szCs w:val="21"/>
              </w:rPr>
            </w:pPr>
          </w:p>
        </w:tc>
        <w:tc>
          <w:tcPr>
            <w:tcW w:w="1742" w:type="dxa"/>
            <w:vAlign w:val="center"/>
          </w:tcPr>
          <w:p w:rsidR="00E01E53">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E01E53"/>
        </w:tc>
      </w:tr>
      <w:tr>
        <w:tblPrEx>
          <w:tblW w:w="8519" w:type="dxa"/>
          <w:tblInd w:w="108" w:type="dxa"/>
          <w:tblLayout w:type="fixed"/>
          <w:tblLook w:val="04A0"/>
        </w:tblPrEx>
        <w:trPr>
          <w:trHeight w:val="772"/>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E01E53"/>
        </w:tc>
      </w:tr>
      <w:tr>
        <w:tblPrEx>
          <w:tblW w:w="8519" w:type="dxa"/>
          <w:tblInd w:w="108" w:type="dxa"/>
          <w:tblLayout w:type="fixed"/>
          <w:tblLook w:val="04A0"/>
        </w:tblPrEx>
        <w:trPr>
          <w:trHeight w:val="667"/>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E01E53"/>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E01E53">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货物质量缺陷</w:t>
            </w:r>
          </w:p>
          <w:p w:rsidR="00E01E53">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snapToGrid w:val="0"/>
              <w:jc w:val="center"/>
              <w:rPr>
                <w:rFonts w:ascii="宋体" w:hAnsi="宋体" w:cs="宋体"/>
                <w:szCs w:val="21"/>
              </w:rPr>
            </w:pPr>
            <w:r>
              <w:rPr>
                <w:rFonts w:ascii="宋体" w:hAnsi="宋体" w:cs="宋体" w:hint="eastAsia"/>
                <w:szCs w:val="21"/>
              </w:rPr>
              <w:t>第二节</w:t>
            </w:r>
          </w:p>
          <w:p w:rsidR="00E01E53">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E01E53">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E01E5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E01E53">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E01E53">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E01E53">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E01E53">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E01E53">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E01E5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E01E5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E01E53">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E01E53">
            <w:pPr>
              <w:adjustRightInd w:val="0"/>
              <w:snapToGrid w:val="0"/>
              <w:jc w:val="center"/>
              <w:rPr>
                <w:rFonts w:ascii="宋体" w:hAnsi="宋体"/>
                <w:szCs w:val="21"/>
              </w:rPr>
            </w:pPr>
            <w:r>
              <w:rPr>
                <w:rFonts w:ascii="宋体" w:hAnsi="宋体" w:hint="eastAsia"/>
                <w:szCs w:val="21"/>
              </w:rPr>
              <w:t>第二节</w:t>
            </w:r>
          </w:p>
          <w:p w:rsidR="00E01E5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E01E53">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E01E53">
            <w:pPr>
              <w:adjustRightInd w:val="0"/>
              <w:snapToGrid w:val="0"/>
              <w:jc w:val="left"/>
              <w:rPr>
                <w:rFonts w:ascii="宋体" w:hAnsi="宋体"/>
                <w:szCs w:val="21"/>
              </w:rPr>
            </w:pPr>
          </w:p>
        </w:tc>
      </w:tr>
    </w:tbl>
    <w:p w:rsidR="00E01E53"/>
    <w:p w:rsidR="00E01E53">
      <w:pPr>
        <w:rPr>
          <w:b/>
          <w:bCs/>
          <w:sz w:val="44"/>
          <w:szCs w:val="44"/>
        </w:rPr>
      </w:pPr>
    </w:p>
    <w:p w:rsidR="00E01E53"/>
    <w:p w:rsidR="00A77B3E"/>
    <w:p w:rsidR="00E01E53">
      <w:pPr>
        <w:numPr>
          <w:ilvl w:val="0"/>
          <w:numId w:val="4"/>
        </w:numPr>
        <w:spacing w:line="360" w:lineRule="auto"/>
        <w:ind w:firstLine="3066" w:firstLineChars="1460"/>
        <w:jc w:val="left"/>
        <w:rPr>
          <w:b/>
          <w:bCs/>
          <w:szCs w:val="21"/>
        </w:rPr>
      </w:pPr>
      <w:bookmarkEnd w:id="106"/>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3E7"/>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1A7"/>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5628"/>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4A18"/>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3820"/>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3E0E"/>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169F"/>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1E5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pPr>
      <w:ind w:firstLine="420" w:firstLineChars="200"/>
    </w:pPr>
    <w:rPr>
      <w:rFonts w:eastAsia="方正仿宋"/>
      <w:sz w:val="32"/>
    </w:rPr>
  </w:style>
  <w:style w:type="character" w:customStyle="1" w:styleId="20">
    <w:name w:val="正文文本首行缩进 2 字符"/>
    <w:link w:val="BodyTextFirstIndent2"/>
    <w:rPr>
      <w:rFonts w:ascii="仿宋_GB2312" w:eastAsia="方正仿宋"/>
      <w:kern w:val="2"/>
      <w:sz w:val="32"/>
      <w:szCs w:val="24"/>
      <w:lang w:eastAsia="zh-CN"/>
    </w:rPr>
  </w:style>
  <w:style w:type="paragraph" w:styleId="NormalIndent">
    <w:name w:val="Normal Indent"/>
    <w:basedOn w:val="Normal"/>
    <w:qFormat/>
    <w:pPr>
      <w:spacing w:line="312" w:lineRule="auto"/>
      <w:ind w:firstLine="420" w:firstLineChars="200"/>
    </w:pPr>
    <w:rPr>
      <w:rFonts w:ascii="Calibri" w:eastAsia="仿宋" w:hAnsi="Calibri"/>
      <w:sz w:val="28"/>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