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2025年浙江等2省2市闪电测绘阵列设备采购(重新招标)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ZQCD-25431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浙江省大气探测技术保障中心；江苏省气象探测中心；天津市气象探测中心；中国气象局上海气象装备保障中心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2025年浙江等2省2市闪电测绘阵列设备采购(重新招标)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ZQCD-25431</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合同签订后120天内交货，180天内完成安装调试并具备验收条件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甲方指定地点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2025年12月02日 00:00:00</w:t>
      </w:r>
      <w:bookmarkEnd w:id="26"/>
      <w:r>
        <w:rPr>
          <w:rFonts w:ascii="宋体" w:hint="eastAsia"/>
          <w:szCs w:val="21"/>
          <w:highlight w:val="none"/>
        </w:rPr>
        <w:t>至</w:t>
      </w:r>
      <w:bookmarkStart w:id="27" w:name="项目公告_signUpLastTime"/>
      <w:r>
        <w:rPr>
          <w:rFonts w:ascii="宋体" w:hint="eastAsia"/>
          <w:szCs w:val="21"/>
          <w:highlight w:val="none"/>
        </w:rPr>
        <w:t>2025年12月09日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2025年12月24日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浙江省大气探测技术保障中心；江苏省气象探测中心；天津市气象探测中心；中国气象局上海气象装备保障中心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王聆勤</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0571-86683278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浙江省杭州市钱塘区11号大街8号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浙江省大气探测技术保障中心；江苏省气象探测中心；天津市气象探测中心；中国气象局上海气象装备保障中心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不允许（仅针对以下产品：闪电测绘阵列不允许代理商投标）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标的闪电测绘阵列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是，中标服务费：6.7万元。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950.900000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950.900000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含8年质保、建设安装、测试和选址</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销售合同必须包括闪电测绘阵列，每提供1份合同得1分，最多得5分。否则不得分。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针对本项目采购的闪电测绘阵列，</w:t>
              <w:cr/>
              <w:t>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针对闪电测绘阵列设备，每提供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2、除项目经理外至少1人具有2年及以上相关工作经验的，得2分；为本项目派出的技术人员至少1人具有1年及以上相关工作经验的，得1分；其他不得分。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标注#的重要指标共16项，每满足1项（如有多个下级指标，则每个下级指标均应满足）得2.5分，满分40分。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针对闪电测绘阵列设备，测试报告应涵盖高低温、电磁环境、盐雾等内容，每包含一项得1分，最多得3分。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w:t>
      </w:r>
      <w:r>
        <w:rPr>
          <w:rFonts w:ascii="Times New Roman" w:eastAsia="仿宋" w:hAnsi="Times New Roman" w:cs="Times New Roman"/>
          <w:sz w:val="28"/>
          <w:szCs w:val="20"/>
        </w:rPr>
        <w:t>目</w:t>
      </w:r>
      <w:r>
        <w:rPr>
          <w:rFonts w:ascii="仿宋" w:eastAsia="仿宋" w:hAnsi="仿宋" w:cs="仿宋" w:hint="eastAsia"/>
          <w:sz w:val="28"/>
          <w:szCs w:val="20"/>
        </w:rPr>
        <w:t>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8"/>
        </w:rPr>
      </w:pPr>
      <w:bookmarkStart w:id="61" w:name="_Hlk193895004"/>
      <w:r>
        <w:rPr>
          <w:rFonts w:ascii="仿宋" w:eastAsia="仿宋" w:hAnsi="仿宋" w:cs="仿宋" w:hint="eastAsia"/>
          <w:sz w:val="28"/>
          <w:szCs w:val="28"/>
        </w:rPr>
        <w:t>3.1 闪电测绘阵列技术指标</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闪电测绘阵列至少由5个子站组网，为保证定位结果的可靠性与准确性，推荐由7个及以上子站组成闪电测绘阵列，站间距10~50 km，应长短混合布局，网型以星型分布为优。</w:t>
      </w:r>
      <w:r>
        <w:rPr>
          <w:rFonts w:ascii="仿宋" w:eastAsia="仿宋" w:hAnsi="仿宋" w:cs="仿宋" w:hint="eastAsia"/>
          <w:color w:val="0000FF"/>
          <w:sz w:val="28"/>
          <w:szCs w:val="28"/>
          <w:lang w:val="en-US" w:eastAsia="zh-CN"/>
        </w:rPr>
        <w:t>子站可融入到国家级雷电业务，数据处理系统可集成到国家级雷电业务软件。</w:t>
      </w:r>
      <w:r>
        <w:rPr>
          <w:rFonts w:ascii="仿宋" w:eastAsia="仿宋" w:hAnsi="仿宋" w:cs="仿宋" w:hint="eastAsia"/>
          <w:sz w:val="28"/>
          <w:szCs w:val="28"/>
        </w:rPr>
        <w:t>具体指标见表1。</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表1 闪电测绘阵列技术指标</w:t>
      </w:r>
    </w:p>
    <w:tbl>
      <w:tblPr>
        <w:tblStyle w:val="TableNormal"/>
        <w:tblW w:w="8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442"/>
        <w:gridCol w:w="2916"/>
        <w:gridCol w:w="3496"/>
      </w:tblGrid>
      <w:tr>
        <w:tblPrEx>
          <w:tblW w:w="8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2442" w:type="dxa"/>
            <w:shd w:val="clear" w:color="auto" w:fill="D7D7D7"/>
            <w:vAlign w:val="center"/>
          </w:tcPr>
          <w:p>
            <w:pPr>
              <w:tabs>
                <w:tab w:val="left" w:pos="4320"/>
              </w:tabs>
              <w:autoSpaceDE w:val="0"/>
              <w:autoSpaceDN w:val="0"/>
              <w:adjustRightInd w:val="0"/>
              <w:spacing w:after="0" w:line="240" w:lineRule="auto"/>
              <w:jc w:val="center"/>
              <w:textAlignment w:val="baseline"/>
              <w:rPr>
                <w:rFonts w:ascii="仿宋" w:eastAsia="仿宋" w:hAnsi="仿宋" w:cs="仿宋" w:hint="eastAsia"/>
                <w:b/>
              </w:rPr>
            </w:pPr>
            <w:r>
              <w:rPr>
                <w:rFonts w:ascii="仿宋" w:eastAsia="仿宋" w:hAnsi="仿宋" w:cs="仿宋" w:hint="eastAsia"/>
                <w:b/>
                <w:sz w:val="24"/>
                <w:szCs w:val="24"/>
                <w:lang w:val="en-US" w:eastAsia="zh-CN" w:bidi="ar-SA"/>
              </w:rPr>
              <w:t>项目</w:t>
            </w:r>
          </w:p>
        </w:tc>
        <w:tc>
          <w:tcPr>
            <w:tcW w:w="2916" w:type="dxa"/>
            <w:shd w:val="clear" w:color="auto" w:fill="D7D7D7"/>
            <w:vAlign w:val="center"/>
          </w:tcPr>
          <w:p>
            <w:pPr>
              <w:tabs>
                <w:tab w:val="left" w:pos="4320"/>
              </w:tabs>
              <w:autoSpaceDE w:val="0"/>
              <w:autoSpaceDN w:val="0"/>
              <w:adjustRightInd w:val="0"/>
              <w:spacing w:after="0" w:line="240" w:lineRule="auto"/>
              <w:jc w:val="center"/>
              <w:textAlignment w:val="baseline"/>
              <w:rPr>
                <w:rFonts w:ascii="仿宋" w:eastAsia="仿宋" w:hAnsi="仿宋" w:cs="仿宋" w:hint="eastAsia"/>
                <w:b/>
              </w:rPr>
            </w:pPr>
            <w:r>
              <w:rPr>
                <w:rFonts w:ascii="仿宋" w:eastAsia="仿宋" w:hAnsi="仿宋" w:cs="仿宋" w:hint="eastAsia"/>
                <w:b/>
                <w:sz w:val="24"/>
                <w:szCs w:val="24"/>
                <w:lang w:val="en-US" w:eastAsia="zh-CN" w:bidi="ar-SA"/>
              </w:rPr>
              <w:t>技术指标</w:t>
            </w:r>
          </w:p>
        </w:tc>
        <w:tc>
          <w:tcPr>
            <w:tcW w:w="3496" w:type="dxa"/>
            <w:shd w:val="clear" w:color="auto" w:fill="D7D7D7"/>
            <w:vAlign w:val="center"/>
          </w:tcPr>
          <w:p>
            <w:pPr>
              <w:tabs>
                <w:tab w:val="left" w:pos="4320"/>
                <w:tab w:val="left" w:pos="7770"/>
              </w:tabs>
              <w:autoSpaceDE w:val="0"/>
              <w:autoSpaceDN w:val="0"/>
              <w:adjustRightInd w:val="0"/>
              <w:spacing w:after="0" w:line="240" w:lineRule="auto"/>
              <w:jc w:val="center"/>
              <w:textAlignment w:val="baseline"/>
              <w:rPr>
                <w:rFonts w:ascii="仿宋" w:eastAsia="仿宋" w:hAnsi="仿宋" w:cs="仿宋" w:hint="eastAsia"/>
                <w:b/>
              </w:rPr>
            </w:pPr>
            <w:r>
              <w:rPr>
                <w:rFonts w:ascii="仿宋" w:eastAsia="仿宋" w:hAnsi="仿宋" w:cs="仿宋" w:hint="eastAsia"/>
                <w:b/>
                <w:sz w:val="24"/>
                <w:szCs w:val="24"/>
                <w:lang w:val="en-US" w:eastAsia="zh-CN" w:bidi="ar-SA"/>
              </w:rPr>
              <w:t>备注</w:t>
            </w:r>
          </w:p>
        </w:tc>
      </w:tr>
      <w:tr>
        <w:tblPrEx>
          <w:tblW w:w="8854" w:type="dxa"/>
          <w:jc w:val="center"/>
          <w:tblLayout w:type="fixed"/>
          <w:tblCellMar>
            <w:top w:w="0" w:type="dxa"/>
            <w:left w:w="108" w:type="dxa"/>
            <w:bottom w:w="0" w:type="dxa"/>
            <w:right w:w="108" w:type="dxa"/>
          </w:tblCellMar>
          <w:tblLook w:val="0000"/>
        </w:tblPrEx>
        <w:trPr>
          <w:trHeight w:val="454"/>
          <w:jc w:val="center"/>
        </w:trPr>
        <w:tc>
          <w:tcPr>
            <w:tcW w:w="2442"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定位结果时间精度</w:t>
            </w:r>
          </w:p>
        </w:tc>
        <w:tc>
          <w:tcPr>
            <w:tcW w:w="2916" w:type="dxa"/>
            <w:vAlign w:val="center"/>
          </w:tcPr>
          <w:p>
            <w:pPr>
              <w:jc w:val="cente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100 ns</w:t>
            </w:r>
          </w:p>
        </w:tc>
        <w:tc>
          <w:tcPr>
            <w:tcW w:w="3496" w:type="dxa"/>
            <w:vAlign w:val="center"/>
          </w:tcPr>
          <w:p>
            <w:pPr>
              <w:jc w:val="center"/>
              <w:rPr>
                <w:rFonts w:ascii="仿宋" w:eastAsia="仿宋" w:hAnsi="仿宋" w:cs="仿宋" w:hint="eastAsia"/>
              </w:rPr>
            </w:pPr>
            <w:r>
              <w:rPr>
                <w:rFonts w:ascii="仿宋" w:eastAsia="仿宋" w:hAnsi="仿宋" w:cs="仿宋" w:hint="eastAsia"/>
                <w:sz w:val="24"/>
              </w:rPr>
              <w:t>量化精度</w:t>
            </w:r>
          </w:p>
        </w:tc>
      </w:tr>
      <w:tr>
        <w:tblPrEx>
          <w:tblW w:w="8854" w:type="dxa"/>
          <w:jc w:val="center"/>
          <w:tblLayout w:type="fixed"/>
          <w:tblCellMar>
            <w:top w:w="0" w:type="dxa"/>
            <w:left w:w="108" w:type="dxa"/>
            <w:bottom w:w="0" w:type="dxa"/>
            <w:right w:w="108" w:type="dxa"/>
          </w:tblCellMar>
          <w:tblLook w:val="0000"/>
        </w:tblPrEx>
        <w:trPr>
          <w:trHeight w:val="90"/>
          <w:jc w:val="center"/>
        </w:trPr>
        <w:tc>
          <w:tcPr>
            <w:tcW w:w="2442"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定位时间分辨率</w:t>
            </w:r>
          </w:p>
        </w:tc>
        <w:tc>
          <w:tcPr>
            <w:tcW w:w="2916" w:type="dxa"/>
            <w:vAlign w:val="center"/>
          </w:tcPr>
          <w:p>
            <w:pPr>
              <w:jc w:val="center"/>
              <w:rPr>
                <w:rFonts w:ascii="仿宋" w:eastAsia="仿宋" w:hAnsi="仿宋" w:cs="仿宋" w:hint="eastAsia"/>
              </w:rPr>
            </w:pPr>
            <w:r>
              <w:rPr>
                <w:rFonts w:ascii="仿宋" w:eastAsia="仿宋" w:hAnsi="仿宋" w:cs="仿宋" w:hint="eastAsia"/>
                <w:sz w:val="24"/>
              </w:rPr>
              <w:t>实时定位：</w:t>
            </w:r>
            <w:r>
              <w:rPr>
                <w:rFonts w:ascii="仿宋" w:eastAsia="仿宋" w:hAnsi="仿宋" w:cs="仿宋" w:hint="eastAsia"/>
                <w:sz w:val="24"/>
              </w:rPr>
              <w:t>≤</w:t>
            </w:r>
            <w:r>
              <w:rPr>
                <w:rFonts w:ascii="仿宋" w:eastAsia="仿宋" w:hAnsi="仿宋" w:cs="仿宋" w:hint="eastAsia"/>
                <w:sz w:val="24"/>
              </w:rPr>
              <w:t xml:space="preserve">400 </w:t>
            </w:r>
            <w:r>
              <w:rPr>
                <w:rFonts w:ascii="仿宋" w:eastAsia="仿宋" w:hAnsi="仿宋" w:cs="仿宋" w:hint="eastAsia"/>
                <w:sz w:val="24"/>
              </w:rPr>
              <w:t>μ</w:t>
            </w:r>
            <w:r>
              <w:rPr>
                <w:rFonts w:ascii="仿宋" w:eastAsia="仿宋" w:hAnsi="仿宋" w:cs="仿宋" w:hint="eastAsia"/>
                <w:sz w:val="24"/>
              </w:rPr>
              <w:t>s</w:t>
            </w:r>
          </w:p>
          <w:p>
            <w:pPr>
              <w:jc w:val="center"/>
              <w:rPr>
                <w:rFonts w:ascii="仿宋" w:eastAsia="仿宋" w:hAnsi="仿宋" w:cs="仿宋" w:hint="eastAsia"/>
              </w:rPr>
            </w:pPr>
            <w:r>
              <w:rPr>
                <w:rFonts w:ascii="仿宋" w:eastAsia="仿宋" w:hAnsi="仿宋" w:cs="仿宋" w:hint="eastAsia"/>
                <w:sz w:val="24"/>
              </w:rPr>
              <w:t>重定位：</w:t>
            </w:r>
            <w:r>
              <w:rPr>
                <w:rFonts w:ascii="仿宋" w:eastAsia="仿宋" w:hAnsi="仿宋" w:cs="仿宋" w:hint="eastAsia"/>
                <w:sz w:val="24"/>
              </w:rPr>
              <w:t>≤</w:t>
            </w:r>
            <w:r>
              <w:rPr>
                <w:rFonts w:ascii="仿宋" w:eastAsia="仿宋" w:hAnsi="仿宋" w:cs="仿宋" w:hint="eastAsia"/>
                <w:sz w:val="24"/>
              </w:rPr>
              <w:t xml:space="preserve">80 </w:t>
            </w:r>
            <w:r>
              <w:rPr>
                <w:rFonts w:ascii="仿宋" w:eastAsia="仿宋" w:hAnsi="仿宋" w:cs="仿宋" w:hint="eastAsia"/>
                <w:sz w:val="24"/>
              </w:rPr>
              <w:t>μ</w:t>
            </w:r>
            <w:r>
              <w:rPr>
                <w:rFonts w:ascii="仿宋" w:eastAsia="仿宋" w:hAnsi="仿宋" w:cs="仿宋" w:hint="eastAsia"/>
                <w:sz w:val="24"/>
              </w:rPr>
              <w:t>s</w:t>
            </w:r>
          </w:p>
        </w:tc>
        <w:tc>
          <w:tcPr>
            <w:tcW w:w="3496" w:type="dxa"/>
            <w:vAlign w:val="center"/>
          </w:tcPr>
          <w:p>
            <w:pPr>
              <w:jc w:val="center"/>
              <w:rPr>
                <w:rFonts w:ascii="仿宋" w:eastAsia="仿宋" w:hAnsi="仿宋" w:cs="仿宋" w:hint="eastAsia"/>
              </w:rPr>
            </w:pPr>
          </w:p>
        </w:tc>
      </w:tr>
      <w:tr>
        <w:tblPrEx>
          <w:tblW w:w="8854" w:type="dxa"/>
          <w:jc w:val="center"/>
          <w:tblLayout w:type="fixed"/>
          <w:tblCellMar>
            <w:top w:w="0" w:type="dxa"/>
            <w:left w:w="108" w:type="dxa"/>
            <w:bottom w:w="0" w:type="dxa"/>
            <w:right w:w="108" w:type="dxa"/>
          </w:tblCellMar>
          <w:tblLook w:val="0000"/>
        </w:tblPrEx>
        <w:trPr>
          <w:trHeight w:val="454"/>
          <w:jc w:val="center"/>
        </w:trPr>
        <w:tc>
          <w:tcPr>
            <w:tcW w:w="2442"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定位精度</w:t>
            </w:r>
          </w:p>
        </w:tc>
        <w:tc>
          <w:tcPr>
            <w:tcW w:w="2916" w:type="dxa"/>
            <w:vAlign w:val="center"/>
          </w:tcPr>
          <w:p>
            <w:pPr>
              <w:widowControl w:val="0"/>
              <w:ind w:firstLine="0" w:firstLineChars="0"/>
              <w:jc w:val="center"/>
              <w:rPr>
                <w:rFonts w:ascii="仿宋" w:eastAsia="仿宋" w:hAnsi="仿宋" w:cs="仿宋" w:hint="eastAsia"/>
              </w:rPr>
            </w:pPr>
            <w:r>
              <w:rPr>
                <w:rFonts w:ascii="仿宋" w:eastAsia="仿宋" w:hAnsi="仿宋" w:cs="仿宋" w:hint="eastAsia"/>
                <w:kern w:val="2"/>
                <w:sz w:val="24"/>
                <w:szCs w:val="24"/>
                <w:lang w:val="en-US" w:eastAsia="zh-CN" w:bidi="ar-SA"/>
              </w:rPr>
              <w:t>水平：</w:t>
            </w:r>
            <w:r>
              <w:rPr>
                <w:rFonts w:ascii="仿宋" w:eastAsia="仿宋" w:hAnsi="仿宋" w:cs="仿宋" w:hint="eastAsia"/>
                <w:kern w:val="2"/>
                <w:sz w:val="24"/>
                <w:szCs w:val="24"/>
                <w:lang w:val="en-US" w:eastAsia="zh-CN" w:bidi="ar-SA"/>
              </w:rPr>
              <w:t>≤</w:t>
            </w:r>
            <w:r>
              <w:rPr>
                <w:rFonts w:ascii="仿宋" w:eastAsia="仿宋" w:hAnsi="仿宋" w:cs="仿宋" w:hint="eastAsia"/>
                <w:kern w:val="2"/>
                <w:sz w:val="24"/>
                <w:szCs w:val="24"/>
                <w:lang w:val="en-US" w:eastAsia="zh-CN" w:bidi="ar-SA"/>
              </w:rPr>
              <w:t>50 m</w:t>
            </w:r>
          </w:p>
          <w:p>
            <w:pPr>
              <w:widowControl w:val="0"/>
              <w:ind w:firstLine="0" w:firstLineChars="0"/>
              <w:jc w:val="center"/>
              <w:rPr>
                <w:rFonts w:ascii="仿宋" w:eastAsia="仿宋" w:hAnsi="仿宋" w:cs="仿宋" w:hint="eastAsia"/>
              </w:rPr>
            </w:pPr>
            <w:r>
              <w:rPr>
                <w:rFonts w:ascii="仿宋" w:eastAsia="仿宋" w:hAnsi="仿宋" w:cs="仿宋" w:hint="eastAsia"/>
                <w:kern w:val="2"/>
                <w:sz w:val="24"/>
                <w:szCs w:val="24"/>
                <w:lang w:val="en-US" w:eastAsia="zh-CN" w:bidi="ar-SA"/>
              </w:rPr>
              <w:t>垂直：</w:t>
            </w:r>
            <w:r>
              <w:rPr>
                <w:rFonts w:ascii="仿宋" w:eastAsia="仿宋" w:hAnsi="仿宋" w:cs="仿宋" w:hint="eastAsia"/>
                <w:kern w:val="2"/>
                <w:sz w:val="24"/>
                <w:szCs w:val="24"/>
                <w:lang w:val="en-US" w:eastAsia="zh-CN" w:bidi="ar-SA"/>
              </w:rPr>
              <w:t>≤</w:t>
            </w:r>
            <w:r>
              <w:rPr>
                <w:rFonts w:ascii="仿宋" w:eastAsia="仿宋" w:hAnsi="仿宋" w:cs="仿宋" w:hint="eastAsia"/>
                <w:kern w:val="2"/>
                <w:sz w:val="24"/>
                <w:szCs w:val="24"/>
                <w:lang w:val="en-US" w:eastAsia="zh-CN" w:bidi="ar-SA"/>
              </w:rPr>
              <w:t>100 m</w:t>
            </w:r>
          </w:p>
        </w:tc>
        <w:tc>
          <w:tcPr>
            <w:tcW w:w="3496" w:type="dxa"/>
            <w:vAlign w:val="center"/>
          </w:tcPr>
          <w:p>
            <w:pPr>
              <w:widowControl w:val="0"/>
              <w:ind w:firstLine="0" w:firstLineChars="0"/>
              <w:jc w:val="center"/>
              <w:rPr>
                <w:rFonts w:ascii="仿宋" w:eastAsia="仿宋" w:hAnsi="仿宋" w:cs="仿宋" w:hint="eastAsia"/>
              </w:rPr>
            </w:pPr>
            <w:r>
              <w:rPr>
                <w:rFonts w:ascii="仿宋" w:eastAsia="仿宋" w:hAnsi="仿宋" w:cs="仿宋" w:hint="eastAsia"/>
                <w:kern w:val="2"/>
                <w:sz w:val="24"/>
                <w:szCs w:val="24"/>
                <w:lang w:val="en-US" w:eastAsia="zh-CN" w:bidi="ar-SA"/>
              </w:rPr>
              <w:t>网内（注1）</w:t>
            </w:r>
          </w:p>
        </w:tc>
      </w:tr>
      <w:tr>
        <w:tblPrEx>
          <w:tblW w:w="8854" w:type="dxa"/>
          <w:jc w:val="center"/>
          <w:tblLayout w:type="fixed"/>
          <w:tblCellMar>
            <w:top w:w="0" w:type="dxa"/>
            <w:left w:w="108" w:type="dxa"/>
            <w:bottom w:w="0" w:type="dxa"/>
            <w:right w:w="108" w:type="dxa"/>
          </w:tblCellMar>
          <w:tblLook w:val="0000"/>
        </w:tblPrEx>
        <w:trPr>
          <w:trHeight w:val="454"/>
          <w:jc w:val="center"/>
        </w:trPr>
        <w:tc>
          <w:tcPr>
            <w:tcW w:w="2442"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通道刻画能力</w:t>
            </w:r>
          </w:p>
        </w:tc>
        <w:tc>
          <w:tcPr>
            <w:tcW w:w="2916" w:type="dxa"/>
            <w:vAlign w:val="center"/>
          </w:tcPr>
          <w:p>
            <w:pPr>
              <w:jc w:val="center"/>
              <w:rPr>
                <w:rFonts w:ascii="仿宋" w:eastAsia="仿宋" w:hAnsi="仿宋" w:cs="仿宋" w:hint="eastAsia"/>
              </w:rPr>
            </w:pPr>
            <w:r>
              <w:rPr>
                <w:rFonts w:ascii="仿宋" w:eastAsia="仿宋" w:hAnsi="仿宋" w:cs="仿宋" w:hint="eastAsia"/>
                <w:sz w:val="24"/>
              </w:rPr>
              <w:t>单个闪电的辐射源定位数量不少于50个</w:t>
            </w:r>
          </w:p>
        </w:tc>
        <w:tc>
          <w:tcPr>
            <w:tcW w:w="3496" w:type="dxa"/>
            <w:vAlign w:val="center"/>
          </w:tcPr>
          <w:p>
            <w:pPr>
              <w:jc w:val="center"/>
              <w:rPr>
                <w:rFonts w:ascii="仿宋" w:eastAsia="仿宋" w:hAnsi="仿宋" w:cs="仿宋" w:hint="eastAsia"/>
              </w:rPr>
            </w:pPr>
            <w:r>
              <w:rPr>
                <w:rFonts w:ascii="仿宋" w:eastAsia="仿宋" w:hAnsi="仿宋" w:cs="仿宋" w:hint="eastAsia"/>
                <w:sz w:val="24"/>
              </w:rPr>
              <w:t>网内平均值；</w:t>
            </w:r>
          </w:p>
          <w:p>
            <w:pPr>
              <w:jc w:val="center"/>
              <w:rPr>
                <w:rFonts w:ascii="仿宋" w:eastAsia="仿宋" w:hAnsi="仿宋" w:cs="仿宋" w:hint="eastAsia"/>
              </w:rPr>
            </w:pPr>
            <w:r>
              <w:rPr>
                <w:rFonts w:ascii="仿宋" w:eastAsia="仿宋" w:hAnsi="仿宋" w:cs="仿宋" w:hint="eastAsia"/>
                <w:sz w:val="24"/>
              </w:rPr>
              <w:t>以持续时间</w:t>
            </w:r>
            <w:r>
              <w:rPr>
                <w:rFonts w:ascii="仿宋" w:eastAsia="仿宋" w:hAnsi="仿宋" w:cs="仿宋" w:hint="eastAsia"/>
                <w:sz w:val="24"/>
              </w:rPr>
              <w:t>≈</w:t>
            </w:r>
            <w:r>
              <w:rPr>
                <w:rFonts w:ascii="仿宋" w:eastAsia="仿宋" w:hAnsi="仿宋" w:cs="仿宋" w:hint="eastAsia"/>
                <w:sz w:val="24"/>
              </w:rPr>
              <w:t>0.5 s、延伸距离</w:t>
            </w:r>
            <w:r>
              <w:rPr>
                <w:rFonts w:ascii="仿宋" w:eastAsia="仿宋" w:hAnsi="仿宋" w:cs="仿宋" w:hint="eastAsia"/>
                <w:sz w:val="24"/>
              </w:rPr>
              <w:t>≈</w:t>
            </w:r>
            <w:r>
              <w:rPr>
                <w:rFonts w:ascii="仿宋" w:eastAsia="仿宋" w:hAnsi="仿宋" w:cs="仿宋" w:hint="eastAsia"/>
                <w:sz w:val="24"/>
              </w:rPr>
              <w:t>15 km的闪电为参考。</w:t>
            </w:r>
          </w:p>
        </w:tc>
      </w:tr>
      <w:tr>
        <w:tblPrEx>
          <w:tblW w:w="8854" w:type="dxa"/>
          <w:jc w:val="center"/>
          <w:tblLayout w:type="fixed"/>
          <w:tblCellMar>
            <w:top w:w="0" w:type="dxa"/>
            <w:left w:w="108" w:type="dxa"/>
            <w:bottom w:w="0" w:type="dxa"/>
            <w:right w:w="108" w:type="dxa"/>
          </w:tblCellMar>
          <w:tblLook w:val="0000"/>
        </w:tblPrEx>
        <w:trPr>
          <w:trHeight w:val="454"/>
          <w:jc w:val="center"/>
        </w:trPr>
        <w:tc>
          <w:tcPr>
            <w:tcW w:w="2442"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全闪探测效率</w:t>
            </w:r>
          </w:p>
        </w:tc>
        <w:tc>
          <w:tcPr>
            <w:tcW w:w="2916" w:type="dxa"/>
            <w:vAlign w:val="center"/>
          </w:tcPr>
          <w:p>
            <w:pPr>
              <w:jc w:val="cente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90%</w:t>
            </w:r>
          </w:p>
        </w:tc>
        <w:tc>
          <w:tcPr>
            <w:tcW w:w="3496" w:type="dxa"/>
            <w:vAlign w:val="center"/>
          </w:tcPr>
          <w:p>
            <w:pPr>
              <w:jc w:val="center"/>
              <w:rPr>
                <w:rFonts w:ascii="仿宋" w:eastAsia="仿宋" w:hAnsi="仿宋" w:cs="仿宋" w:hint="eastAsia"/>
              </w:rPr>
            </w:pPr>
            <w:r>
              <w:rPr>
                <w:rFonts w:ascii="仿宋" w:eastAsia="仿宋" w:hAnsi="仿宋" w:cs="仿宋" w:hint="eastAsia"/>
                <w:sz w:val="24"/>
              </w:rPr>
              <w:t>网内</w:t>
            </w:r>
          </w:p>
        </w:tc>
      </w:tr>
      <w:tr>
        <w:tblPrEx>
          <w:tblW w:w="8854" w:type="dxa"/>
          <w:jc w:val="center"/>
          <w:tblLayout w:type="fixed"/>
          <w:tblCellMar>
            <w:top w:w="0" w:type="dxa"/>
            <w:left w:w="108" w:type="dxa"/>
            <w:bottom w:w="0" w:type="dxa"/>
            <w:right w:w="108" w:type="dxa"/>
          </w:tblCellMar>
          <w:tblLook w:val="0000"/>
        </w:tblPrEx>
        <w:trPr>
          <w:trHeight w:val="90"/>
          <w:jc w:val="center"/>
        </w:trPr>
        <w:tc>
          <w:tcPr>
            <w:tcW w:w="2442"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单站数据完整性</w:t>
            </w:r>
          </w:p>
        </w:tc>
        <w:tc>
          <w:tcPr>
            <w:tcW w:w="2916" w:type="dxa"/>
            <w:vAlign w:val="center"/>
          </w:tcPr>
          <w:p>
            <w:pPr>
              <w:jc w:val="cente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98%</w:t>
            </w:r>
          </w:p>
        </w:tc>
        <w:tc>
          <w:tcPr>
            <w:tcW w:w="3496" w:type="dxa"/>
            <w:vAlign w:val="center"/>
          </w:tcPr>
          <w:p>
            <w:pPr>
              <w:jc w:val="center"/>
              <w:rPr>
                <w:rFonts w:ascii="仿宋" w:eastAsia="仿宋" w:hAnsi="仿宋" w:cs="仿宋" w:hint="eastAsia"/>
              </w:rPr>
            </w:pPr>
          </w:p>
        </w:tc>
      </w:tr>
      <w:tr>
        <w:tblPrEx>
          <w:tblW w:w="8854" w:type="dxa"/>
          <w:jc w:val="center"/>
          <w:tblLayout w:type="fixed"/>
          <w:tblCellMar>
            <w:top w:w="0" w:type="dxa"/>
            <w:left w:w="108" w:type="dxa"/>
            <w:bottom w:w="0" w:type="dxa"/>
            <w:right w:w="108" w:type="dxa"/>
          </w:tblCellMar>
          <w:tblLook w:val="0000"/>
        </w:tblPrEx>
        <w:trPr>
          <w:trHeight w:val="454"/>
          <w:jc w:val="center"/>
        </w:trPr>
        <w:tc>
          <w:tcPr>
            <w:tcW w:w="2442" w:type="dxa"/>
            <w:vAlign w:val="center"/>
          </w:tcPr>
          <w:p>
            <w:pPr>
              <w:jc w:val="center"/>
              <w:rPr>
                <w:rFonts w:ascii="仿宋" w:eastAsia="仿宋" w:hAnsi="仿宋" w:cs="仿宋" w:hint="eastAsia"/>
              </w:rPr>
            </w:pPr>
            <w:r>
              <w:rPr>
                <w:rFonts w:ascii="仿宋" w:eastAsia="仿宋" w:hAnsi="仿宋" w:cs="仿宋" w:hint="eastAsia"/>
                <w:sz w:val="24"/>
              </w:rPr>
              <w:t>定位正确率</w:t>
            </w:r>
          </w:p>
        </w:tc>
        <w:tc>
          <w:tcPr>
            <w:tcW w:w="2916" w:type="dxa"/>
            <w:vAlign w:val="center"/>
          </w:tcPr>
          <w:p>
            <w:pPr>
              <w:jc w:val="cente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90%</w:t>
            </w:r>
          </w:p>
        </w:tc>
        <w:tc>
          <w:tcPr>
            <w:tcW w:w="3496" w:type="dxa"/>
            <w:vAlign w:val="center"/>
          </w:tcPr>
          <w:p>
            <w:pPr>
              <w:jc w:val="center"/>
              <w:rPr>
                <w:rFonts w:ascii="仿宋" w:eastAsia="仿宋" w:hAnsi="仿宋" w:cs="仿宋" w:hint="eastAsia"/>
              </w:rPr>
            </w:pPr>
            <w:r>
              <w:rPr>
                <w:rFonts w:ascii="仿宋" w:eastAsia="仿宋" w:hAnsi="仿宋" w:cs="仿宋" w:hint="eastAsia"/>
                <w:sz w:val="24"/>
              </w:rPr>
              <w:t>注2</w:t>
            </w:r>
          </w:p>
        </w:tc>
      </w:tr>
      <w:tr>
        <w:tblPrEx>
          <w:tblW w:w="8854" w:type="dxa"/>
          <w:jc w:val="center"/>
          <w:tblLayout w:type="fixed"/>
          <w:tblCellMar>
            <w:top w:w="0" w:type="dxa"/>
            <w:left w:w="108" w:type="dxa"/>
            <w:bottom w:w="0" w:type="dxa"/>
            <w:right w:w="108" w:type="dxa"/>
          </w:tblCellMar>
          <w:tblLook w:val="0000"/>
        </w:tblPrEx>
        <w:trPr>
          <w:trHeight w:val="454"/>
          <w:jc w:val="center"/>
        </w:trPr>
        <w:tc>
          <w:tcPr>
            <w:tcW w:w="2442" w:type="dxa"/>
            <w:vAlign w:val="center"/>
          </w:tcPr>
          <w:p>
            <w:pPr>
              <w:jc w:val="center"/>
              <w:rPr>
                <w:rFonts w:ascii="仿宋" w:eastAsia="仿宋" w:hAnsi="仿宋" w:cs="仿宋" w:hint="eastAsia"/>
              </w:rPr>
            </w:pPr>
            <w:r>
              <w:rPr>
                <w:rFonts w:ascii="仿宋" w:eastAsia="仿宋" w:hAnsi="仿宋" w:cs="仿宋" w:hint="eastAsia"/>
                <w:sz w:val="24"/>
              </w:rPr>
              <w:t>参与定位站点数</w:t>
            </w:r>
          </w:p>
        </w:tc>
        <w:tc>
          <w:tcPr>
            <w:tcW w:w="2916" w:type="dxa"/>
            <w:vAlign w:val="center"/>
          </w:tcPr>
          <w:p>
            <w:pPr>
              <w:jc w:val="cente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5</w:t>
            </w:r>
          </w:p>
        </w:tc>
        <w:tc>
          <w:tcPr>
            <w:tcW w:w="3496" w:type="dxa"/>
            <w:vAlign w:val="center"/>
          </w:tcPr>
          <w:p>
            <w:pPr>
              <w:jc w:val="center"/>
              <w:rPr>
                <w:rFonts w:ascii="仿宋" w:eastAsia="仿宋" w:hAnsi="仿宋" w:cs="仿宋" w:hint="eastAsia"/>
              </w:rPr>
            </w:pPr>
          </w:p>
        </w:tc>
      </w:tr>
      <w:tr>
        <w:tblPrEx>
          <w:tblW w:w="8854" w:type="dxa"/>
          <w:jc w:val="center"/>
          <w:tblLayout w:type="fixed"/>
          <w:tblCellMar>
            <w:top w:w="0" w:type="dxa"/>
            <w:left w:w="108" w:type="dxa"/>
            <w:bottom w:w="0" w:type="dxa"/>
            <w:right w:w="108" w:type="dxa"/>
          </w:tblCellMar>
          <w:tblLook w:val="0000"/>
        </w:tblPrEx>
        <w:trPr>
          <w:trHeight w:val="454"/>
          <w:jc w:val="center"/>
        </w:trPr>
        <w:tc>
          <w:tcPr>
            <w:tcW w:w="2442"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探测范围</w:t>
            </w:r>
          </w:p>
        </w:tc>
        <w:tc>
          <w:tcPr>
            <w:tcW w:w="2916" w:type="dxa"/>
            <w:vAlign w:val="center"/>
          </w:tcPr>
          <w:p>
            <w:pPr>
              <w:jc w:val="cente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6000 km</w:t>
            </w:r>
            <w:r>
              <w:rPr>
                <w:rFonts w:ascii="仿宋" w:eastAsia="仿宋" w:hAnsi="仿宋" w:cs="仿宋" w:hint="eastAsia"/>
                <w:sz w:val="24"/>
                <w:vertAlign w:val="superscript"/>
              </w:rPr>
              <w:t>2</w:t>
            </w:r>
          </w:p>
        </w:tc>
        <w:tc>
          <w:tcPr>
            <w:tcW w:w="3496" w:type="dxa"/>
            <w:vAlign w:val="center"/>
          </w:tcPr>
          <w:p>
            <w:pPr>
              <w:jc w:val="center"/>
              <w:rPr>
                <w:rFonts w:ascii="仿宋" w:eastAsia="仿宋" w:hAnsi="仿宋" w:cs="仿宋" w:hint="eastAsia"/>
              </w:rPr>
            </w:pPr>
            <w:r>
              <w:rPr>
                <w:rFonts w:ascii="仿宋" w:eastAsia="仿宋" w:hAnsi="仿宋" w:cs="仿宋" w:hint="eastAsia"/>
                <w:sz w:val="24"/>
              </w:rPr>
              <w:t>7个站点，全闪探测效率&gt;85%时</w:t>
            </w:r>
          </w:p>
        </w:tc>
      </w:tr>
      <w:tr>
        <w:tblPrEx>
          <w:tblW w:w="8854" w:type="dxa"/>
          <w:jc w:val="center"/>
          <w:tblLayout w:type="fixed"/>
          <w:tblCellMar>
            <w:top w:w="0" w:type="dxa"/>
            <w:left w:w="108" w:type="dxa"/>
            <w:bottom w:w="0" w:type="dxa"/>
            <w:right w:w="108" w:type="dxa"/>
          </w:tblCellMar>
          <w:tblLook w:val="0000"/>
        </w:tblPrEx>
        <w:trPr>
          <w:trHeight w:val="454"/>
          <w:jc w:val="center"/>
        </w:trPr>
        <w:tc>
          <w:tcPr>
            <w:tcW w:w="8854" w:type="dxa"/>
            <w:gridSpan w:val="3"/>
            <w:vAlign w:val="center"/>
          </w:tcPr>
          <w:p>
            <w:pPr>
              <w:jc w:val="center"/>
              <w:rPr>
                <w:rFonts w:ascii="仿宋" w:eastAsia="仿宋" w:hAnsi="仿宋" w:cs="仿宋" w:hint="eastAsia"/>
              </w:rPr>
            </w:pPr>
            <w:r>
              <w:rPr>
                <w:rFonts w:ascii="仿宋" w:eastAsia="仿宋" w:hAnsi="仿宋" w:cs="仿宋" w:hint="eastAsia"/>
                <w:color w:val="0000FF"/>
                <w:sz w:val="24"/>
                <w:szCs w:val="24"/>
                <w:lang w:val="en-US" w:eastAsia="zh-CN"/>
              </w:rPr>
              <w:t>提供</w:t>
            </w:r>
            <w:r>
              <w:rPr>
                <w:rFonts w:ascii="仿宋" w:eastAsia="仿宋" w:hAnsi="仿宋" w:cs="仿宋" w:hint="eastAsia"/>
                <w:color w:val="0000FF"/>
                <w:sz w:val="24"/>
                <w:szCs w:val="24"/>
              </w:rPr>
              <w:t>数据处理系统</w:t>
            </w:r>
            <w:r>
              <w:rPr>
                <w:rFonts w:ascii="仿宋" w:eastAsia="仿宋" w:hAnsi="仿宋" w:cs="仿宋" w:hint="eastAsia"/>
                <w:color w:val="0000FF"/>
                <w:sz w:val="24"/>
                <w:szCs w:val="24"/>
                <w:lang w:val="en-US" w:eastAsia="zh-CN"/>
              </w:rPr>
              <w:t>的功能和性能测试评估报告、设备融入国家级雷电业务方案、</w:t>
            </w:r>
            <w:r>
              <w:rPr>
                <w:rFonts w:ascii="仿宋" w:eastAsia="仿宋" w:hAnsi="仿宋" w:cs="仿宋" w:hint="eastAsia"/>
                <w:color w:val="0000FF"/>
                <w:sz w:val="24"/>
                <w:szCs w:val="24"/>
              </w:rPr>
              <w:t>数据处理系统</w:t>
            </w:r>
            <w:r>
              <w:rPr>
                <w:rFonts w:ascii="仿宋" w:eastAsia="仿宋" w:hAnsi="仿宋" w:cs="仿宋" w:hint="eastAsia"/>
                <w:color w:val="0000FF"/>
                <w:sz w:val="24"/>
                <w:szCs w:val="24"/>
                <w:lang w:val="en-US" w:eastAsia="zh-CN"/>
              </w:rPr>
              <w:t>与国家级雷电业务软件集成方案</w:t>
            </w:r>
          </w:p>
        </w:tc>
      </w:tr>
      <w:tr>
        <w:tblPrEx>
          <w:tblW w:w="8854" w:type="dxa"/>
          <w:jc w:val="center"/>
          <w:tblLayout w:type="fixed"/>
          <w:tblCellMar>
            <w:top w:w="0" w:type="dxa"/>
            <w:left w:w="108" w:type="dxa"/>
            <w:bottom w:w="0" w:type="dxa"/>
            <w:right w:w="108" w:type="dxa"/>
          </w:tblCellMar>
          <w:tblLook w:val="0000"/>
        </w:tblPrEx>
        <w:trPr>
          <w:trHeight w:val="454"/>
          <w:jc w:val="center"/>
        </w:trPr>
        <w:tc>
          <w:tcPr>
            <w:tcW w:w="8854" w:type="dxa"/>
            <w:gridSpan w:val="3"/>
            <w:vAlign w:val="center"/>
          </w:tcPr>
          <w:p>
            <w:pPr>
              <w:tabs>
                <w:tab w:val="left" w:pos="1902"/>
              </w:tabs>
              <w:jc w:val="center"/>
              <w:rPr>
                <w:rFonts w:ascii="仿宋" w:eastAsia="仿宋" w:hAnsi="仿宋" w:cs="仿宋" w:hint="eastAsia"/>
              </w:rPr>
            </w:pPr>
            <w:r>
              <w:rPr>
                <w:rFonts w:ascii="仿宋" w:eastAsia="仿宋" w:hAnsi="仿宋" w:cs="仿宋" w:hint="eastAsia"/>
                <w:sz w:val="24"/>
              </w:rPr>
              <w:t>注1：指某次组网定位运算获得的闪电发生位置，位于参与本次定位的站网区域内；</w:t>
            </w:r>
          </w:p>
          <w:p>
            <w:pPr>
              <w:tabs>
                <w:tab w:val="left" w:pos="1902"/>
              </w:tabs>
              <w:jc w:val="center"/>
              <w:rPr>
                <w:rFonts w:ascii="仿宋" w:eastAsia="仿宋" w:hAnsi="仿宋" w:cs="仿宋" w:hint="eastAsia"/>
              </w:rPr>
            </w:pPr>
            <w:r>
              <w:rPr>
                <w:rFonts w:ascii="仿宋" w:eastAsia="仿宋" w:hAnsi="仿宋" w:cs="仿宋" w:hint="eastAsia"/>
                <w:sz w:val="24"/>
              </w:rPr>
              <w:t>注2：指在选取时段内，质控正确数量占实际数据总量百分比。</w:t>
            </w:r>
          </w:p>
        </w:tc>
      </w:tr>
    </w:tbl>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3.2 子站设备技术指标</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设备技术指标包括：中心频点、灵敏度、闪电事件分辨率等。具体数据见表2。</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表2 子站设备技术指标</w:t>
      </w:r>
    </w:p>
    <w:tbl>
      <w:tblPr>
        <w:tblStyle w:val="TableNormal"/>
        <w:tblW w:w="88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554"/>
        <w:gridCol w:w="6257"/>
      </w:tblGrid>
      <w:tr>
        <w:tblPrEx>
          <w:tblW w:w="88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54"/>
          <w:jc w:val="center"/>
        </w:trPr>
        <w:tc>
          <w:tcPr>
            <w:tcW w:w="2554" w:type="dxa"/>
            <w:shd w:val="clear" w:color="auto" w:fill="D7D7D7"/>
            <w:vAlign w:val="center"/>
          </w:tcPr>
          <w:p>
            <w:pPr>
              <w:tabs>
                <w:tab w:val="left" w:pos="4320"/>
              </w:tabs>
              <w:autoSpaceDE w:val="0"/>
              <w:autoSpaceDN w:val="0"/>
              <w:adjustRightInd w:val="0"/>
              <w:spacing w:after="0" w:line="240" w:lineRule="auto"/>
              <w:jc w:val="center"/>
              <w:textAlignment w:val="baseline"/>
              <w:rPr>
                <w:rFonts w:ascii="仿宋" w:eastAsia="仿宋" w:hAnsi="仿宋" w:cs="仿宋" w:hint="eastAsia"/>
                <w:b/>
              </w:rPr>
            </w:pPr>
            <w:r>
              <w:rPr>
                <w:rFonts w:ascii="仿宋" w:eastAsia="仿宋" w:hAnsi="仿宋" w:cs="仿宋" w:hint="eastAsia"/>
                <w:b/>
                <w:sz w:val="24"/>
                <w:szCs w:val="24"/>
                <w:lang w:val="en-US" w:eastAsia="zh-CN" w:bidi="ar-SA"/>
              </w:rPr>
              <w:t>项目</w:t>
            </w:r>
          </w:p>
        </w:tc>
        <w:tc>
          <w:tcPr>
            <w:tcW w:w="6257" w:type="dxa"/>
            <w:shd w:val="clear" w:color="auto" w:fill="D7D7D7"/>
            <w:vAlign w:val="center"/>
          </w:tcPr>
          <w:p>
            <w:pPr>
              <w:tabs>
                <w:tab w:val="left" w:pos="4320"/>
              </w:tabs>
              <w:autoSpaceDE w:val="0"/>
              <w:autoSpaceDN w:val="0"/>
              <w:adjustRightInd w:val="0"/>
              <w:spacing w:after="0" w:line="240" w:lineRule="auto"/>
              <w:jc w:val="center"/>
              <w:textAlignment w:val="baseline"/>
              <w:rPr>
                <w:rFonts w:ascii="仿宋" w:eastAsia="仿宋" w:hAnsi="仿宋" w:cs="仿宋" w:hint="eastAsia"/>
                <w:b/>
              </w:rPr>
            </w:pPr>
            <w:r>
              <w:rPr>
                <w:rFonts w:ascii="仿宋" w:eastAsia="仿宋" w:hAnsi="仿宋" w:cs="仿宋" w:hint="eastAsia"/>
                <w:b/>
                <w:sz w:val="24"/>
                <w:szCs w:val="24"/>
                <w:lang w:val="en-US" w:eastAsia="zh-CN" w:bidi="ar-SA"/>
              </w:rPr>
              <w:t>技术指标</w:t>
            </w:r>
          </w:p>
        </w:tc>
      </w:tr>
      <w:tr>
        <w:tblPrEx>
          <w:tblW w:w="8811" w:type="dxa"/>
          <w:jc w:val="center"/>
          <w:tblLayout w:type="fixed"/>
          <w:tblCellMar>
            <w:top w:w="0" w:type="dxa"/>
            <w:left w:w="108" w:type="dxa"/>
            <w:bottom w:w="0" w:type="dxa"/>
            <w:right w:w="108" w:type="dxa"/>
          </w:tblCellMar>
          <w:tblLook w:val="0000"/>
        </w:tblPrEx>
        <w:trPr>
          <w:trHeight w:val="454"/>
          <w:jc w:val="center"/>
        </w:trPr>
        <w:tc>
          <w:tcPr>
            <w:tcW w:w="2554"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中心频点</w:t>
            </w:r>
          </w:p>
        </w:tc>
        <w:tc>
          <w:tcPr>
            <w:tcW w:w="625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大于30 MHz，中心频点可调</w:t>
            </w:r>
          </w:p>
        </w:tc>
      </w:tr>
      <w:tr>
        <w:tblPrEx>
          <w:tblW w:w="8811" w:type="dxa"/>
          <w:jc w:val="center"/>
          <w:tblLayout w:type="fixed"/>
          <w:tblCellMar>
            <w:top w:w="0" w:type="dxa"/>
            <w:left w:w="108" w:type="dxa"/>
            <w:bottom w:w="0" w:type="dxa"/>
            <w:right w:w="108" w:type="dxa"/>
          </w:tblCellMar>
          <w:tblLook w:val="0000"/>
        </w:tblPrEx>
        <w:trPr>
          <w:trHeight w:val="454"/>
          <w:jc w:val="center"/>
        </w:trPr>
        <w:tc>
          <w:tcPr>
            <w:tcW w:w="2554"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采样率</w:t>
            </w:r>
          </w:p>
        </w:tc>
        <w:tc>
          <w:tcPr>
            <w:tcW w:w="625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推荐30MHz</w:t>
            </w:r>
          </w:p>
        </w:tc>
      </w:tr>
      <w:tr>
        <w:tblPrEx>
          <w:tblW w:w="8811" w:type="dxa"/>
          <w:jc w:val="center"/>
          <w:tblLayout w:type="fixed"/>
          <w:tblCellMar>
            <w:top w:w="0" w:type="dxa"/>
            <w:left w:w="108" w:type="dxa"/>
            <w:bottom w:w="0" w:type="dxa"/>
            <w:right w:w="108" w:type="dxa"/>
          </w:tblCellMar>
          <w:tblLook w:val="0000"/>
        </w:tblPrEx>
        <w:trPr>
          <w:trHeight w:val="454"/>
          <w:jc w:val="center"/>
        </w:trPr>
        <w:tc>
          <w:tcPr>
            <w:tcW w:w="2554"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带宽</w:t>
            </w:r>
          </w:p>
        </w:tc>
        <w:tc>
          <w:tcPr>
            <w:tcW w:w="625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推荐6 MHz</w:t>
            </w:r>
          </w:p>
        </w:tc>
      </w:tr>
      <w:tr>
        <w:tblPrEx>
          <w:tblW w:w="8811" w:type="dxa"/>
          <w:jc w:val="center"/>
          <w:tblLayout w:type="fixed"/>
          <w:tblCellMar>
            <w:top w:w="0" w:type="dxa"/>
            <w:left w:w="108" w:type="dxa"/>
            <w:bottom w:w="0" w:type="dxa"/>
            <w:right w:w="108" w:type="dxa"/>
          </w:tblCellMar>
          <w:tblLook w:val="0000"/>
        </w:tblPrEx>
        <w:trPr>
          <w:trHeight w:val="454"/>
          <w:jc w:val="center"/>
        </w:trPr>
        <w:tc>
          <w:tcPr>
            <w:tcW w:w="2554"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灵敏度</w:t>
            </w:r>
          </w:p>
        </w:tc>
        <w:tc>
          <w:tcPr>
            <w:tcW w:w="625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优于-90 dBm</w:t>
            </w:r>
          </w:p>
        </w:tc>
      </w:tr>
      <w:tr>
        <w:tblPrEx>
          <w:tblW w:w="8811" w:type="dxa"/>
          <w:jc w:val="center"/>
          <w:tblLayout w:type="fixed"/>
          <w:tblCellMar>
            <w:top w:w="0" w:type="dxa"/>
            <w:left w:w="108" w:type="dxa"/>
            <w:bottom w:w="0" w:type="dxa"/>
            <w:right w:w="108" w:type="dxa"/>
          </w:tblCellMar>
          <w:tblLook w:val="0000"/>
        </w:tblPrEx>
        <w:trPr>
          <w:trHeight w:val="463"/>
          <w:jc w:val="center"/>
        </w:trPr>
        <w:tc>
          <w:tcPr>
            <w:tcW w:w="2554"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VHF天线驻波比</w:t>
            </w:r>
          </w:p>
        </w:tc>
        <w:tc>
          <w:tcPr>
            <w:tcW w:w="6257" w:type="dxa"/>
            <w:vAlign w:val="center"/>
          </w:tcPr>
          <w:p>
            <w:pPr>
              <w:jc w:val="center"/>
              <w:rPr>
                <w:rFonts w:ascii="仿宋" w:eastAsia="仿宋" w:hAnsi="仿宋" w:cs="仿宋" w:hint="eastAsia"/>
              </w:rPr>
            </w:pPr>
            <w:r>
              <w:rPr>
                <w:rFonts w:ascii="仿宋" w:eastAsia="仿宋" w:hAnsi="仿宋" w:cs="仿宋" w:hint="eastAsia"/>
                <w:sz w:val="24"/>
              </w:rPr>
              <w:t>推荐工作频带内小于2.5</w:t>
            </w:r>
          </w:p>
        </w:tc>
      </w:tr>
      <w:tr>
        <w:tblPrEx>
          <w:tblW w:w="8811" w:type="dxa"/>
          <w:jc w:val="center"/>
          <w:tblLayout w:type="fixed"/>
          <w:tblCellMar>
            <w:top w:w="0" w:type="dxa"/>
            <w:left w:w="108" w:type="dxa"/>
            <w:bottom w:w="0" w:type="dxa"/>
            <w:right w:w="108" w:type="dxa"/>
          </w:tblCellMar>
          <w:tblLook w:val="0000"/>
        </w:tblPrEx>
        <w:trPr>
          <w:trHeight w:val="454"/>
          <w:jc w:val="center"/>
        </w:trPr>
        <w:tc>
          <w:tcPr>
            <w:tcW w:w="2554"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闪电事件分辨率</w:t>
            </w:r>
          </w:p>
        </w:tc>
        <w:tc>
          <w:tcPr>
            <w:tcW w:w="625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 xml:space="preserve">80 </w:t>
            </w:r>
            <w:r>
              <w:rPr>
                <w:rFonts w:ascii="仿宋" w:eastAsia="仿宋" w:hAnsi="仿宋" w:cs="仿宋" w:hint="eastAsia"/>
                <w:sz w:val="24"/>
              </w:rPr>
              <w:t>μ</w:t>
            </w:r>
            <w:r>
              <w:rPr>
                <w:rFonts w:ascii="仿宋" w:eastAsia="仿宋" w:hAnsi="仿宋" w:cs="仿宋" w:hint="eastAsia"/>
                <w:sz w:val="24"/>
              </w:rPr>
              <w:t>s</w:t>
            </w:r>
          </w:p>
        </w:tc>
      </w:tr>
      <w:tr>
        <w:tblPrEx>
          <w:tblW w:w="8811" w:type="dxa"/>
          <w:jc w:val="center"/>
          <w:tblLayout w:type="fixed"/>
          <w:tblCellMar>
            <w:top w:w="0" w:type="dxa"/>
            <w:left w:w="108" w:type="dxa"/>
            <w:bottom w:w="0" w:type="dxa"/>
            <w:right w:w="108" w:type="dxa"/>
          </w:tblCellMar>
          <w:tblLook w:val="0000"/>
        </w:tblPrEx>
        <w:trPr>
          <w:trHeight w:val="454"/>
          <w:jc w:val="center"/>
        </w:trPr>
        <w:tc>
          <w:tcPr>
            <w:tcW w:w="2554"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峰点时间精度</w:t>
            </w:r>
          </w:p>
        </w:tc>
        <w:tc>
          <w:tcPr>
            <w:tcW w:w="625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50 ns</w:t>
            </w:r>
          </w:p>
        </w:tc>
      </w:tr>
      <w:tr>
        <w:tblPrEx>
          <w:tblW w:w="8811" w:type="dxa"/>
          <w:jc w:val="center"/>
          <w:tblLayout w:type="fixed"/>
          <w:tblCellMar>
            <w:top w:w="0" w:type="dxa"/>
            <w:left w:w="108" w:type="dxa"/>
            <w:bottom w:w="0" w:type="dxa"/>
            <w:right w:w="108" w:type="dxa"/>
          </w:tblCellMar>
          <w:tblLook w:val="0000"/>
        </w:tblPrEx>
        <w:trPr>
          <w:trHeight w:val="454"/>
          <w:jc w:val="center"/>
        </w:trPr>
        <w:tc>
          <w:tcPr>
            <w:tcW w:w="2554"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接收功率测量误差</w:t>
            </w:r>
          </w:p>
        </w:tc>
        <w:tc>
          <w:tcPr>
            <w:tcW w:w="625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15%</w:t>
            </w:r>
          </w:p>
        </w:tc>
      </w:tr>
      <w:tr>
        <w:tblPrEx>
          <w:tblW w:w="8811" w:type="dxa"/>
          <w:jc w:val="center"/>
          <w:tblLayout w:type="fixed"/>
          <w:tblCellMar>
            <w:top w:w="0" w:type="dxa"/>
            <w:left w:w="108" w:type="dxa"/>
            <w:bottom w:w="0" w:type="dxa"/>
            <w:right w:w="108" w:type="dxa"/>
          </w:tblCellMar>
          <w:tblLook w:val="0000"/>
        </w:tblPrEx>
        <w:trPr>
          <w:trHeight w:val="454"/>
          <w:jc w:val="center"/>
        </w:trPr>
        <w:tc>
          <w:tcPr>
            <w:tcW w:w="2554"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供电</w:t>
            </w:r>
          </w:p>
        </w:tc>
        <w:tc>
          <w:tcPr>
            <w:tcW w:w="625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支持市电和太阳能供电</w:t>
            </w:r>
          </w:p>
          <w:p>
            <w:pPr>
              <w:jc w:val="center"/>
              <w:rPr>
                <w:rFonts w:ascii="仿宋" w:eastAsia="仿宋" w:hAnsi="仿宋" w:cs="仿宋" w:hint="eastAsia"/>
              </w:rPr>
            </w:pPr>
            <w:r>
              <w:rPr>
                <w:rFonts w:ascii="仿宋" w:eastAsia="仿宋" w:hAnsi="仿宋" w:cs="仿宋" w:hint="eastAsia"/>
                <w:sz w:val="24"/>
              </w:rPr>
              <w:t>AC220 V (50 Hz，</w:t>
            </w:r>
            <w:r>
              <w:rPr>
                <w:rFonts w:ascii="仿宋" w:eastAsia="仿宋" w:hAnsi="仿宋" w:cs="仿宋" w:hint="eastAsia"/>
                <w:sz w:val="24"/>
              </w:rPr>
              <w:t>±</w:t>
            </w:r>
            <w:r>
              <w:rPr>
                <w:rFonts w:ascii="仿宋" w:eastAsia="仿宋" w:hAnsi="仿宋" w:cs="仿宋" w:hint="eastAsia"/>
                <w:sz w:val="24"/>
              </w:rPr>
              <w:t>3％)，</w:t>
            </w:r>
            <w:r>
              <w:rPr>
                <w:rFonts w:ascii="仿宋" w:eastAsia="仿宋" w:hAnsi="仿宋" w:cs="仿宋" w:hint="eastAsia"/>
                <w:sz w:val="24"/>
              </w:rPr>
              <w:t>±</w:t>
            </w:r>
            <w:r>
              <w:rPr>
                <w:rFonts w:ascii="仿宋" w:eastAsia="仿宋" w:hAnsi="仿宋" w:cs="仿宋" w:hint="eastAsia"/>
                <w:sz w:val="24"/>
              </w:rPr>
              <w:t>10%</w:t>
            </w:r>
          </w:p>
          <w:p>
            <w:pPr>
              <w:jc w:val="center"/>
              <w:rPr>
                <w:rFonts w:ascii="仿宋" w:eastAsia="仿宋" w:hAnsi="仿宋" w:cs="仿宋" w:hint="eastAsia"/>
              </w:rPr>
            </w:pPr>
            <w:r>
              <w:rPr>
                <w:rFonts w:ascii="仿宋" w:eastAsia="仿宋" w:hAnsi="仿宋" w:cs="仿宋" w:hint="eastAsia"/>
                <w:sz w:val="24"/>
              </w:rPr>
              <w:t>DC12 V或24 V，</w:t>
            </w:r>
            <w:r>
              <w:rPr>
                <w:rFonts w:ascii="仿宋" w:eastAsia="仿宋" w:hAnsi="仿宋" w:cs="仿宋" w:hint="eastAsia"/>
                <w:sz w:val="24"/>
              </w:rPr>
              <w:t>±</w:t>
            </w:r>
            <w:r>
              <w:rPr>
                <w:rFonts w:ascii="仿宋" w:eastAsia="仿宋" w:hAnsi="仿宋" w:cs="仿宋" w:hint="eastAsia"/>
                <w:sz w:val="24"/>
              </w:rPr>
              <w:t>10%</w:t>
            </w:r>
          </w:p>
        </w:tc>
      </w:tr>
      <w:tr>
        <w:tblPrEx>
          <w:tblW w:w="8811" w:type="dxa"/>
          <w:jc w:val="center"/>
          <w:tblLayout w:type="fixed"/>
          <w:tblCellMar>
            <w:top w:w="0" w:type="dxa"/>
            <w:left w:w="108" w:type="dxa"/>
            <w:bottom w:w="0" w:type="dxa"/>
            <w:right w:w="108" w:type="dxa"/>
          </w:tblCellMar>
          <w:tblLook w:val="0000"/>
        </w:tblPrEx>
        <w:trPr>
          <w:trHeight w:val="454"/>
          <w:jc w:val="center"/>
        </w:trPr>
        <w:tc>
          <w:tcPr>
            <w:tcW w:w="2554"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通信</w:t>
            </w:r>
          </w:p>
        </w:tc>
        <w:tc>
          <w:tcPr>
            <w:tcW w:w="625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支持光纤通信</w:t>
            </w:r>
          </w:p>
          <w:p>
            <w:pPr>
              <w:jc w:val="center"/>
              <w:rPr>
                <w:rFonts w:ascii="仿宋" w:eastAsia="仿宋" w:hAnsi="仿宋" w:cs="仿宋" w:hint="eastAsia"/>
              </w:rPr>
            </w:pPr>
            <w:r>
              <w:rPr>
                <w:rFonts w:ascii="仿宋" w:eastAsia="仿宋" w:hAnsi="仿宋" w:cs="仿宋" w:hint="eastAsia"/>
                <w:sz w:val="24"/>
              </w:rPr>
              <w:t>支持RJ45百兆网口</w:t>
            </w:r>
          </w:p>
          <w:p>
            <w:pPr>
              <w:jc w:val="center"/>
              <w:rPr>
                <w:rFonts w:ascii="仿宋" w:eastAsia="仿宋" w:hAnsi="仿宋" w:cs="仿宋" w:hint="eastAsia"/>
              </w:rPr>
            </w:pPr>
            <w:r>
              <w:rPr>
                <w:rFonts w:ascii="仿宋" w:eastAsia="仿宋" w:hAnsi="仿宋" w:cs="仿宋" w:hint="eastAsia"/>
                <w:sz w:val="24"/>
              </w:rPr>
              <w:t>支持4G/5G通信</w:t>
            </w:r>
          </w:p>
        </w:tc>
      </w:tr>
      <w:tr>
        <w:tblPrEx>
          <w:tblW w:w="8811" w:type="dxa"/>
          <w:jc w:val="center"/>
          <w:tblLayout w:type="fixed"/>
          <w:tblCellMar>
            <w:top w:w="0" w:type="dxa"/>
            <w:left w:w="108" w:type="dxa"/>
            <w:bottom w:w="0" w:type="dxa"/>
            <w:right w:w="108" w:type="dxa"/>
          </w:tblCellMar>
          <w:tblLook w:val="0000"/>
        </w:tblPrEx>
        <w:trPr>
          <w:trHeight w:val="454"/>
          <w:jc w:val="center"/>
        </w:trPr>
        <w:tc>
          <w:tcPr>
            <w:tcW w:w="2554"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计量检测接口</w:t>
            </w:r>
          </w:p>
        </w:tc>
        <w:tc>
          <w:tcPr>
            <w:tcW w:w="625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具备单元计量接口</w:t>
            </w:r>
          </w:p>
        </w:tc>
      </w:tr>
      <w:tr>
        <w:tblPrEx>
          <w:tblW w:w="8811" w:type="dxa"/>
          <w:jc w:val="center"/>
          <w:tblLayout w:type="fixed"/>
          <w:tblCellMar>
            <w:top w:w="0" w:type="dxa"/>
            <w:left w:w="108" w:type="dxa"/>
            <w:bottom w:w="0" w:type="dxa"/>
            <w:right w:w="108" w:type="dxa"/>
          </w:tblCellMar>
          <w:tblLook w:val="0000"/>
        </w:tblPrEx>
        <w:trPr>
          <w:trHeight w:val="454"/>
          <w:jc w:val="center"/>
        </w:trPr>
        <w:tc>
          <w:tcPr>
            <w:tcW w:w="2554"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使用寿命</w:t>
            </w:r>
          </w:p>
        </w:tc>
        <w:tc>
          <w:tcPr>
            <w:tcW w:w="625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8年</w:t>
            </w:r>
          </w:p>
        </w:tc>
      </w:tr>
      <w:tr>
        <w:tblPrEx>
          <w:tblW w:w="8811" w:type="dxa"/>
          <w:jc w:val="center"/>
          <w:tblLayout w:type="fixed"/>
          <w:tblCellMar>
            <w:top w:w="0" w:type="dxa"/>
            <w:left w:w="108" w:type="dxa"/>
            <w:bottom w:w="0" w:type="dxa"/>
            <w:right w:w="108" w:type="dxa"/>
          </w:tblCellMar>
          <w:tblLook w:val="0000"/>
        </w:tblPrEx>
        <w:trPr>
          <w:trHeight w:val="454"/>
          <w:jc w:val="center"/>
        </w:trPr>
        <w:tc>
          <w:tcPr>
            <w:tcW w:w="2554"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一致性</w:t>
            </w:r>
          </w:p>
        </w:tc>
        <w:tc>
          <w:tcPr>
            <w:tcW w:w="625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数量一致性</w:t>
            </w:r>
            <w:r>
              <w:rPr>
                <w:rFonts w:ascii="仿宋" w:eastAsia="仿宋" w:hAnsi="仿宋" w:cs="仿宋" w:hint="eastAsia"/>
                <w:sz w:val="24"/>
              </w:rPr>
              <w:t>≥</w:t>
            </w:r>
            <w:r>
              <w:rPr>
                <w:rFonts w:ascii="仿宋" w:eastAsia="仿宋" w:hAnsi="仿宋" w:cs="仿宋" w:hint="eastAsia"/>
                <w:sz w:val="24"/>
              </w:rPr>
              <w:t>95%；</w:t>
            </w:r>
          </w:p>
          <w:p>
            <w:pPr>
              <w:jc w:val="center"/>
              <w:rPr>
                <w:rFonts w:ascii="仿宋" w:eastAsia="仿宋" w:hAnsi="仿宋" w:cs="仿宋" w:hint="eastAsia"/>
              </w:rPr>
            </w:pPr>
            <w:r>
              <w:rPr>
                <w:rFonts w:ascii="仿宋" w:eastAsia="仿宋" w:hAnsi="仿宋" w:cs="仿宋" w:hint="eastAsia"/>
                <w:sz w:val="24"/>
              </w:rPr>
              <w:t>时间一致性</w:t>
            </w:r>
            <w:r>
              <w:rPr>
                <w:rFonts w:ascii="仿宋" w:eastAsia="仿宋" w:hAnsi="仿宋" w:cs="仿宋" w:hint="eastAsia"/>
                <w:sz w:val="24"/>
              </w:rPr>
              <w:t>≤</w:t>
            </w:r>
            <w:r>
              <w:rPr>
                <w:rFonts w:ascii="仿宋" w:eastAsia="仿宋" w:hAnsi="仿宋" w:cs="仿宋" w:hint="eastAsia"/>
                <w:sz w:val="24"/>
              </w:rPr>
              <w:t>50 ns；</w:t>
            </w:r>
          </w:p>
          <w:p>
            <w:pPr>
              <w:jc w:val="center"/>
              <w:rPr>
                <w:rFonts w:ascii="仿宋" w:eastAsia="仿宋" w:hAnsi="仿宋" w:cs="仿宋" w:hint="eastAsia"/>
              </w:rPr>
            </w:pPr>
            <w:r>
              <w:rPr>
                <w:rFonts w:ascii="仿宋" w:eastAsia="仿宋" w:hAnsi="仿宋" w:cs="仿宋" w:hint="eastAsia"/>
                <w:sz w:val="24"/>
              </w:rPr>
              <w:t>功率一致性相对误差</w:t>
            </w:r>
            <w:r>
              <w:rPr>
                <w:rFonts w:ascii="仿宋" w:eastAsia="仿宋" w:hAnsi="仿宋" w:cs="仿宋" w:hint="eastAsia"/>
                <w:sz w:val="24"/>
              </w:rPr>
              <w:t>≤</w:t>
            </w:r>
            <w:r>
              <w:rPr>
                <w:rFonts w:ascii="仿宋" w:eastAsia="仿宋" w:hAnsi="仿宋" w:cs="仿宋" w:hint="eastAsia"/>
                <w:sz w:val="24"/>
              </w:rPr>
              <w:t>15%；</w:t>
            </w:r>
          </w:p>
        </w:tc>
      </w:tr>
      <w:tr>
        <w:tblPrEx>
          <w:tblW w:w="8811" w:type="dxa"/>
          <w:jc w:val="center"/>
          <w:tblLayout w:type="fixed"/>
          <w:tblCellMar>
            <w:top w:w="0" w:type="dxa"/>
            <w:left w:w="108" w:type="dxa"/>
            <w:bottom w:w="0" w:type="dxa"/>
            <w:right w:w="108" w:type="dxa"/>
          </w:tblCellMar>
          <w:tblLook w:val="0000"/>
        </w:tblPrEx>
        <w:trPr>
          <w:trHeight w:val="454"/>
          <w:jc w:val="center"/>
        </w:trPr>
        <w:tc>
          <w:tcPr>
            <w:tcW w:w="2554"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存储容量</w:t>
            </w:r>
          </w:p>
        </w:tc>
        <w:tc>
          <w:tcPr>
            <w:tcW w:w="625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500GB</w:t>
            </w:r>
          </w:p>
        </w:tc>
      </w:tr>
      <w:tr>
        <w:tblPrEx>
          <w:tblW w:w="8811" w:type="dxa"/>
          <w:jc w:val="center"/>
          <w:tblLayout w:type="fixed"/>
          <w:tblCellMar>
            <w:top w:w="0" w:type="dxa"/>
            <w:left w:w="108" w:type="dxa"/>
            <w:bottom w:w="0" w:type="dxa"/>
            <w:right w:w="108" w:type="dxa"/>
          </w:tblCellMar>
          <w:tblLook w:val="0000"/>
        </w:tblPrEx>
        <w:trPr>
          <w:trHeight w:val="454"/>
          <w:jc w:val="center"/>
        </w:trPr>
        <w:tc>
          <w:tcPr>
            <w:tcW w:w="8811" w:type="dxa"/>
            <w:gridSpan w:val="2"/>
            <w:tcBorders>
              <w:top w:val="single" w:sz="4" w:space="0" w:color="auto"/>
              <w:left w:val="single" w:sz="4" w:space="0" w:color="auto"/>
              <w:bottom w:val="single" w:sz="4" w:space="0" w:color="auto"/>
              <w:right w:val="single" w:sz="4" w:space="0" w:color="auto"/>
            </w:tcBorders>
            <w:vAlign w:val="center"/>
          </w:tcPr>
          <w:p>
            <w:pPr>
              <w:widowControl/>
              <w:jc w:val="center"/>
              <w:rPr>
                <w:rFonts w:ascii="仿宋" w:eastAsia="仿宋" w:hAnsi="仿宋" w:cs="仿宋" w:hint="eastAsia"/>
              </w:rPr>
            </w:pPr>
            <w:r>
              <w:rPr>
                <w:rFonts w:ascii="仿宋" w:eastAsia="仿宋" w:hAnsi="仿宋" w:cs="仿宋" w:hint="eastAsia"/>
                <w:sz w:val="24"/>
              </w:rPr>
              <w:t>备注：需提供信噪比、增益、频响曲线、动态范围</w:t>
            </w:r>
          </w:p>
          <w:p>
            <w:pPr>
              <w:widowControl/>
              <w:jc w:val="center"/>
              <w:rPr>
                <w:rFonts w:ascii="仿宋" w:eastAsia="仿宋" w:hAnsi="仿宋" w:cs="仿宋" w:hint="default"/>
              </w:rPr>
            </w:pPr>
            <w:r>
              <w:rPr>
                <w:rFonts w:ascii="仿宋" w:eastAsia="仿宋" w:hAnsi="仿宋" w:cs="仿宋" w:hint="eastAsia"/>
                <w:color w:val="0000FF"/>
                <w:sz w:val="24"/>
                <w:szCs w:val="24"/>
                <w:lang w:val="en-US" w:eastAsia="zh-CN"/>
              </w:rPr>
              <w:t>提供单北斗技术证明及测试报告</w:t>
            </w:r>
          </w:p>
        </w:tc>
      </w:tr>
    </w:tbl>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四、质保服务要求</w:t>
      </w:r>
    </w:p>
    <w:p>
      <w:pPr>
        <w:spacing w:line="560" w:lineRule="exact"/>
        <w:ind w:firstLine="560" w:firstLineChars="200"/>
        <w:rPr>
          <w:rFonts w:ascii="仿宋" w:eastAsia="仿宋" w:hAnsi="仿宋" w:cs="仿宋" w:hint="eastAsia"/>
          <w:sz w:val="28"/>
          <w:szCs w:val="28"/>
        </w:rPr>
      </w:pPr>
      <w:bookmarkEnd w:id="61"/>
      <w:r>
        <w:rPr>
          <w:rFonts w:ascii="仿宋" w:eastAsia="仿宋" w:hAnsi="仿宋" w:cs="仿宋" w:hint="eastAsia"/>
          <w:sz w:val="28"/>
          <w:szCs w:val="28"/>
        </w:rPr>
        <w:t>4.1 设备建设</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设备供应商对投标产品技术指标要求、采购人质量服务要求及项目建设特点应有全面、深入的理解。设备供应商需提供详细项目建设方案，包括但不限于：产品质量检测方案、设备安装建设方案、建设工期安排、工期保证措施等。由设备供应商负责设备安装、调试等工作，用户方负责提供安装场地、供电及通讯，设备安装调试、验收等相关工作,费用由设备供应商负责。设备不合格或不符合质量要求，供应商除无条件退货、返工外，还应承担采购人的一切损失。</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4.2技术服务</w:t>
      </w:r>
    </w:p>
    <w:p>
      <w:pPr>
        <w:spacing w:line="560" w:lineRule="exact"/>
        <w:ind w:firstLine="560" w:firstLineChars="200"/>
        <w:rPr>
          <w:rFonts w:ascii="仿宋" w:eastAsia="仿宋" w:hAnsi="仿宋" w:cs="仿宋" w:hint="eastAsia"/>
          <w:color w:val="0000FF"/>
          <w:sz w:val="28"/>
          <w:szCs w:val="28"/>
        </w:rPr>
      </w:pPr>
      <w:r>
        <w:rPr>
          <w:rFonts w:ascii="仿宋" w:eastAsia="仿宋" w:hAnsi="仿宋" w:cs="仿宋" w:hint="eastAsia"/>
          <w:sz w:val="28"/>
          <w:szCs w:val="28"/>
        </w:rPr>
        <w:t>（1）设备供应商需提供详细技术服务方案，包括但不限于：设备安装建设规范、设备工作原理、设备部件结构组成、设备操作手册、设备运行维护手册、设备软件使用手册、</w:t>
      </w:r>
      <w:r>
        <w:rPr>
          <w:rFonts w:ascii="仿宋" w:eastAsia="仿宋" w:hAnsi="仿宋" w:cs="仿宋" w:hint="eastAsia"/>
          <w:color w:val="0000FF"/>
          <w:sz w:val="28"/>
          <w:szCs w:val="28"/>
          <w:lang w:val="en-US" w:eastAsia="zh-CN"/>
        </w:rPr>
        <w:t>设备融入国家级雷电业务的技术方案、</w:t>
      </w:r>
      <w:r>
        <w:rPr>
          <w:rFonts w:ascii="仿宋" w:eastAsia="仿宋" w:hAnsi="仿宋" w:cs="仿宋" w:hint="eastAsia"/>
          <w:color w:val="0000FF"/>
          <w:sz w:val="28"/>
          <w:szCs w:val="28"/>
        </w:rPr>
        <w:t>数据处理系统</w:t>
      </w:r>
      <w:r>
        <w:rPr>
          <w:rFonts w:ascii="仿宋" w:eastAsia="仿宋" w:hAnsi="仿宋" w:cs="仿宋" w:hint="eastAsia"/>
          <w:color w:val="0000FF"/>
          <w:sz w:val="28"/>
          <w:szCs w:val="28"/>
          <w:lang w:val="en-US" w:eastAsia="zh-CN"/>
        </w:rPr>
        <w:t>使用手册、</w:t>
      </w:r>
      <w:r>
        <w:rPr>
          <w:rFonts w:ascii="仿宋" w:eastAsia="仿宋" w:hAnsi="仿宋" w:cs="仿宋" w:hint="eastAsia"/>
          <w:color w:val="0000FF"/>
          <w:sz w:val="28"/>
          <w:szCs w:val="28"/>
        </w:rPr>
        <w:t>数据处理系统</w:t>
      </w:r>
      <w:r>
        <w:rPr>
          <w:rFonts w:ascii="仿宋" w:eastAsia="仿宋" w:hAnsi="仿宋" w:cs="仿宋" w:hint="eastAsia"/>
          <w:color w:val="0000FF"/>
          <w:sz w:val="28"/>
          <w:szCs w:val="28"/>
          <w:lang w:val="en-US" w:eastAsia="zh-CN"/>
        </w:rPr>
        <w:t>与国家级雷电业务软件集成技术方案、</w:t>
      </w:r>
      <w:r>
        <w:rPr>
          <w:rFonts w:ascii="仿宋" w:eastAsia="仿宋" w:hAnsi="仿宋" w:cs="仿宋" w:hint="eastAsia"/>
          <w:color w:val="0000FF"/>
          <w:sz w:val="28"/>
          <w:szCs w:val="28"/>
        </w:rPr>
        <w:t>数据处理系统</w:t>
      </w:r>
      <w:r>
        <w:rPr>
          <w:rFonts w:ascii="仿宋" w:eastAsia="仿宋" w:hAnsi="仿宋" w:cs="仿宋" w:hint="eastAsia"/>
          <w:color w:val="0000FF"/>
          <w:sz w:val="28"/>
          <w:szCs w:val="28"/>
          <w:lang w:val="en-US" w:eastAsia="zh-CN"/>
        </w:rPr>
        <w:t>核心算法说明及功能和性能测试评估技术报告、</w:t>
      </w:r>
      <w:r>
        <w:rPr>
          <w:rFonts w:ascii="仿宋" w:eastAsia="仿宋" w:hAnsi="仿宋" w:cs="仿宋" w:hint="eastAsia"/>
          <w:color w:val="0000FF"/>
          <w:sz w:val="28"/>
          <w:szCs w:val="28"/>
        </w:rPr>
        <w:t>数据处理系统相关产品算法说明文档等。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（2）设备供应商需提供详细售后服务方案，包括设备售后服务组织机构、人员组成、技术支持文档等。其中，售后服务组织机构设置合理，人员技术能力强，技术文档内容全面。</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（3）设备供应商对每套投标产品提供至少2次技术培训，培训内容包括设备安装、使用、日常维护、观测原理及产品应用，培训时间及地点双方协商确定。</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（4）设备供应商提供数据处理系统核心算法源码，</w:t>
      </w:r>
      <w:r>
        <w:rPr>
          <w:rFonts w:ascii="仿宋" w:eastAsia="仿宋" w:hAnsi="仿宋" w:cs="仿宋" w:hint="eastAsia"/>
          <w:color w:val="0000FF"/>
          <w:sz w:val="28"/>
          <w:szCs w:val="28"/>
        </w:rPr>
        <w:t>以及</w:t>
      </w:r>
      <w:r>
        <w:rPr>
          <w:rFonts w:ascii="仿宋" w:eastAsia="仿宋" w:hAnsi="仿宋" w:cs="仿宋" w:hint="eastAsia"/>
          <w:color w:val="0000FF"/>
          <w:sz w:val="28"/>
          <w:szCs w:val="28"/>
          <w:lang w:val="en-US" w:eastAsia="zh-CN"/>
        </w:rPr>
        <w:t>与国家级雷电业务软件</w:t>
      </w:r>
      <w:r>
        <w:rPr>
          <w:rFonts w:ascii="仿宋" w:eastAsia="仿宋" w:hAnsi="仿宋" w:cs="仿宋" w:hint="eastAsia"/>
          <w:color w:val="0000FF"/>
          <w:sz w:val="28"/>
          <w:szCs w:val="28"/>
        </w:rPr>
        <w:t>集成相关服务和技术支持。</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4.3 质保期服务*</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w:t>
      </w:r>
      <w:r>
        <w:rPr>
          <w:rFonts w:ascii="仿宋" w:eastAsia="仿宋" w:hAnsi="仿宋" w:cs="仿宋" w:hint="eastAsia"/>
          <w:sz w:val="28"/>
          <w:szCs w:val="28"/>
          <w:highlight w:val="yellow"/>
        </w:rPr>
        <w:t>设备供应商对所有设备提供自验收合格后8年的免费维护维修服务*，</w:t>
      </w:r>
      <w:r>
        <w:rPr>
          <w:rFonts w:ascii="仿宋" w:eastAsia="仿宋" w:hAnsi="仿宋" w:cs="仿宋" w:hint="eastAsia"/>
          <w:sz w:val="28"/>
          <w:szCs w:val="28"/>
        </w:rPr>
        <w:t>并提供相关承诺函。按照业务运行规范要求执行，确保设备可稳定运行，主要工作包括：汛前巡检、周维护、月维护、年维护等巡检巡查工作，以及关键器件及系统故障的维修等。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（2）在质保期内，设备供应商服务时间应为 7</w:t>
      </w:r>
      <w:r>
        <w:rPr>
          <w:rFonts w:ascii="仿宋" w:eastAsia="仿宋" w:hAnsi="仿宋" w:cs="仿宋" w:hint="eastAsia"/>
          <w:sz w:val="28"/>
          <w:szCs w:val="28"/>
        </w:rPr>
        <w:t>×</w:t>
      </w:r>
      <w:r>
        <w:rPr>
          <w:rFonts w:ascii="仿宋" w:eastAsia="仿宋" w:hAnsi="仿宋" w:cs="仿宋" w:hint="eastAsia"/>
          <w:sz w:val="28"/>
          <w:szCs w:val="28"/>
        </w:rPr>
        <w:t xml:space="preserve">24小时，当投标产品或软件遭到损坏或出现故障时，要在用户报修之时起4小时内做出响应，开展维修维护工作，视情况双方协商设备恢复正常运行时限。 </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（3）质保期过后，设备供应商仍有义务提供技术服务（包括提供设备维护、备件等）。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五、验收要求（检验考核要求等）</w:t>
      </w:r>
    </w:p>
    <w:p>
      <w:pPr>
        <w:spacing w:line="560" w:lineRule="exact"/>
        <w:ind w:firstLine="560" w:firstLineChars="200"/>
        <w:rPr>
          <w:rFonts w:ascii="仿宋" w:eastAsia="仿宋" w:hAnsi="仿宋" w:cs="仿宋" w:hint="eastAsia"/>
          <w:sz w:val="28"/>
          <w:szCs w:val="28"/>
        </w:rPr>
      </w:pPr>
      <w:bookmarkStart w:id="62" w:name="_Hlk168594784"/>
      <w:r>
        <w:rPr>
          <w:rFonts w:ascii="仿宋" w:eastAsia="仿宋" w:hAnsi="仿宋" w:cs="仿宋" w:hint="eastAsia"/>
          <w:sz w:val="28"/>
          <w:szCs w:val="28"/>
        </w:rPr>
        <w:t>参照《VHF闪电测绘阵列功能规格需求书》《VHF闪电测绘阵列测试大纲》以及中国气象局最新业务管理规定等有关文件要求开展检验考核。</w:t>
      </w:r>
    </w:p>
    <w:p>
      <w:pPr>
        <w:spacing w:line="560" w:lineRule="exact"/>
        <w:ind w:firstLine="560" w:firstLineChars="200"/>
        <w:rPr>
          <w:rFonts w:ascii="仿宋" w:eastAsia="仿宋" w:hAnsi="仿宋" w:cs="仿宋" w:hint="eastAsia"/>
          <w:sz w:val="28"/>
          <w:szCs w:val="20"/>
        </w:rPr>
      </w:pPr>
      <w:bookmarkEnd w:id="62"/>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left="420" w:leftChars="200"/>
        <w:rPr>
          <w:rFonts w:ascii="仿宋" w:eastAsia="仿宋" w:hAnsi="仿宋" w:cs="仿宋" w:hint="eastAsia"/>
          <w:sz w:val="28"/>
          <w:szCs w:val="20"/>
        </w:rPr>
      </w:pPr>
    </w:p>
    <w:p>
      <w:pPr>
        <w:spacing w:line="560" w:lineRule="exact"/>
        <w:ind w:left="420" w:leftChars="200"/>
        <w:rPr>
          <w:rFonts w:hint="eastAsia"/>
        </w:rPr>
      </w:pPr>
      <w:r>
        <w:rPr>
          <w:rFonts w:ascii="仿宋" w:eastAsia="仿宋" w:hAnsi="仿宋" w:cs="仿宋" w:hint="eastAsia"/>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71"/>
        <w:gridCol w:w="1074"/>
        <w:gridCol w:w="773"/>
        <w:gridCol w:w="1074"/>
        <w:gridCol w:w="1225"/>
        <w:gridCol w:w="1451"/>
        <w:gridCol w:w="2493"/>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3" w:name="货物一览表_index"/>
            <w:r>
              <w:rPr>
                <w:rFonts w:asciiTheme="minorEastAsia" w:eastAsiaTheme="minorEastAsia" w:hAnsiTheme="minorEastAsia" w:cstheme="minorEastAsia" w:hint="eastAsia"/>
                <w:kern w:val="0"/>
                <w:szCs w:val="21"/>
              </w:rPr>
              <w:t>序号</w:t>
            </w:r>
            <w:bookmarkEnd w:id="63"/>
          </w:p>
        </w:tc>
        <w:tc>
          <w:tcPr>
            <w:tcW w:w="1135" w:type="dxa"/>
          </w:tcPr>
          <w:p>
            <w:pPr>
              <w:autoSpaceDE w:val="0"/>
              <w:jc w:val="center"/>
              <w:rPr>
                <w:rFonts w:asciiTheme="minorEastAsia" w:hAnsiTheme="minorEastAsia" w:cstheme="minorEastAsia"/>
                <w:kern w:val="0"/>
                <w:szCs w:val="21"/>
              </w:rPr>
            </w:pPr>
            <w:bookmarkStart w:id="64" w:name="货物一览表_goodsName"/>
            <w:r>
              <w:rPr>
                <w:rFonts w:asciiTheme="minorEastAsia" w:eastAsiaTheme="minorEastAsia" w:hAnsiTheme="minorEastAsia" w:cstheme="minorEastAsia" w:hint="eastAsia"/>
                <w:kern w:val="0"/>
                <w:szCs w:val="21"/>
              </w:rPr>
              <w:t>设备名称</w:t>
            </w:r>
            <w:bookmarkEnd w:id="64"/>
          </w:p>
        </w:tc>
        <w:tc>
          <w:tcPr>
            <w:tcW w:w="965" w:type="dxa"/>
          </w:tcPr>
          <w:p>
            <w:pPr>
              <w:autoSpaceDE w:val="0"/>
              <w:jc w:val="center"/>
              <w:rPr>
                <w:rFonts w:asciiTheme="minorEastAsia" w:hAnsiTheme="minorEastAsia" w:cstheme="minorEastAsia"/>
                <w:kern w:val="0"/>
                <w:szCs w:val="21"/>
              </w:rPr>
            </w:pPr>
            <w:bookmarkStart w:id="65" w:name="货物一览表_nums"/>
            <w:r>
              <w:rPr>
                <w:rFonts w:asciiTheme="minorEastAsia" w:eastAsiaTheme="minorEastAsia" w:hAnsiTheme="minorEastAsia" w:cstheme="minorEastAsia" w:hint="eastAsia"/>
                <w:kern w:val="0"/>
                <w:szCs w:val="21"/>
              </w:rPr>
              <w:t>采购数量</w:t>
            </w:r>
            <w:bookmarkEnd w:id="65"/>
          </w:p>
        </w:tc>
        <w:tc>
          <w:tcPr>
            <w:tcW w:w="1062" w:type="dxa"/>
          </w:tcPr>
          <w:p>
            <w:pPr>
              <w:autoSpaceDE w:val="0"/>
              <w:jc w:val="center"/>
              <w:rPr>
                <w:rFonts w:asciiTheme="minorEastAsia" w:hAnsiTheme="minorEastAsia" w:cstheme="minorEastAsia"/>
                <w:kern w:val="0"/>
                <w:szCs w:val="21"/>
              </w:rPr>
            </w:pPr>
            <w:bookmarkStart w:id="66" w:name="货物一览表_units"/>
            <w:r>
              <w:rPr>
                <w:rFonts w:asciiTheme="minorEastAsia" w:eastAsiaTheme="minorEastAsia" w:hAnsiTheme="minorEastAsia" w:cstheme="minorEastAsia" w:hint="eastAsia"/>
                <w:kern w:val="0"/>
                <w:szCs w:val="21"/>
              </w:rPr>
              <w:t>计量单位</w:t>
            </w:r>
            <w:bookmarkEnd w:id="66"/>
          </w:p>
        </w:tc>
        <w:tc>
          <w:tcPr>
            <w:tcW w:w="1220" w:type="dxa"/>
          </w:tcPr>
          <w:p>
            <w:pPr>
              <w:autoSpaceDE w:val="0"/>
              <w:jc w:val="center"/>
              <w:rPr>
                <w:rFonts w:asciiTheme="minorEastAsia" w:hAnsiTheme="minorEastAsia" w:cstheme="minorEastAsia"/>
                <w:kern w:val="0"/>
                <w:szCs w:val="21"/>
              </w:rPr>
            </w:pPr>
            <w:bookmarkStart w:id="67" w:name="货物一览表_procurementBudget"/>
            <w:r>
              <w:rPr>
                <w:rFonts w:asciiTheme="minorEastAsia" w:eastAsiaTheme="minorEastAsia" w:hAnsiTheme="minorEastAsia" w:cstheme="minorEastAsia" w:hint="eastAsia"/>
                <w:kern w:val="0"/>
                <w:szCs w:val="21"/>
              </w:rPr>
              <w:t>采购预算（元）</w:t>
            </w:r>
            <w:bookmarkEnd w:id="67"/>
          </w:p>
        </w:tc>
        <w:tc>
          <w:tcPr>
            <w:tcW w:w="1329" w:type="dxa"/>
          </w:tcPr>
          <w:p>
            <w:pPr>
              <w:autoSpaceDE w:val="0"/>
              <w:jc w:val="center"/>
              <w:rPr>
                <w:rFonts w:asciiTheme="minorEastAsia" w:hAnsiTheme="minorEastAsia" w:cstheme="minorEastAsia" w:hint="eastAsia"/>
                <w:kern w:val="0"/>
                <w:szCs w:val="21"/>
              </w:rPr>
            </w:pPr>
            <w:bookmarkStart w:id="68"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8"/>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9" w:name="货物一览表_remark"/>
            <w:r>
              <w:rPr>
                <w:rFonts w:asciiTheme="minorEastAsia" w:eastAsiaTheme="minorEastAsia" w:hAnsiTheme="minorEastAsia" w:cstheme="minorEastAsia" w:hint="eastAsia"/>
                <w:kern w:val="0"/>
                <w:szCs w:val="21"/>
              </w:rPr>
              <w:t>备注</w:t>
            </w:r>
            <w:bookmarkEnd w:id="69"/>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闪电测绘阵列</w:t>
            </w:r>
          </w:p>
        </w:tc>
        <w:tc>
          <w:tcPr/>
          <w:p>
            <w:pPr>
              <w:autoSpaceDE w:val="0"/>
              <w:jc w:val="center"/>
              <w:rPr>
                <w:rFonts w:asciiTheme="minorEastAsia" w:hAnsiTheme="minorEastAsia" w:cstheme="minorEastAsia"/>
                <w:kern w:val="0"/>
                <w:szCs w:val="21"/>
              </w:rPr>
            </w:pPr>
            <w:r>
              <w:t>24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9,509,000.00</w:t>
            </w:r>
          </w:p>
        </w:tc>
        <w:tc>
          <w:tcPr/>
          <w:p>
            <w:pPr>
              <w:autoSpaceDE w:val="0"/>
              <w:jc w:val="center"/>
              <w:rPr>
                <w:rFonts w:asciiTheme="minorEastAsia" w:hAnsiTheme="minorEastAsia" w:cstheme="minorEastAsia" w:hint="eastAsia"/>
                <w:kern w:val="0"/>
                <w:szCs w:val="21"/>
              </w:rPr>
            </w:pPr>
            <w:r>
              <w:t>合同签订后120天内</w:t>
            </w:r>
          </w:p>
        </w:tc>
        <w:tc>
          <w:tcPr/>
          <w:p>
            <w:pPr>
              <w:autoSpaceDE w:val="0"/>
              <w:autoSpaceDN w:val="0"/>
              <w:adjustRightInd w:val="0"/>
              <w:spacing w:before="48"/>
              <w:ind w:right="-20"/>
              <w:jc w:val="center"/>
              <w:rPr>
                <w:rFonts w:asciiTheme="minorEastAsia" w:hAnsiTheme="minorEastAsia" w:cstheme="minorEastAsia"/>
                <w:kern w:val="0"/>
                <w:szCs w:val="21"/>
              </w:rPr>
            </w:pPr>
            <w:r>
              <w:t>含8年质保、建设安装、测试和选址</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9,509,000.00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79"/>
        <w:gridCol w:w="1530"/>
        <w:gridCol w:w="864"/>
        <w:gridCol w:w="379"/>
        <w:gridCol w:w="864"/>
        <w:gridCol w:w="720"/>
        <w:gridCol w:w="621"/>
        <w:gridCol w:w="316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0"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雷达研试中心(001033019)</w:t>
            </w:r>
          </w:p>
        </w:tc>
        <w:tc>
          <w:tcPr/>
          <w:p>
            <w:r>
              <w:t>闪电测绘阵列</w:t>
            </w:r>
          </w:p>
        </w:tc>
        <w:tc>
          <w:tcPr/>
          <w:p>
            <w:r>
              <w:t>4</w:t>
            </w:r>
          </w:p>
        </w:tc>
        <w:tc>
          <w:tcPr/>
          <w:p>
            <w:r>
              <w:t>1572000.00</w:t>
            </w:r>
          </w:p>
        </w:tc>
        <w:tc>
          <w:tcPr/>
          <w:p>
            <w:r>
              <w:t xml:space="preserve">1572000.00  </w:t>
            </w:r>
          </w:p>
        </w:tc>
        <w:tc>
          <w:tcPr/>
          <w:p>
            <w:r>
              <w:t>天津市</w:t>
            </w:r>
          </w:p>
        </w:tc>
        <w:tc>
          <w:tcPr/>
          <w:p>
            <w:r>
              <w:t>含8年质保、建设安装、测试和选址颜平江，13820719709</w:t>
            </w:r>
          </w:p>
        </w:tc>
      </w:tr>
      <w:tr>
        <w:tblPrEx>
          <w:tblW w:w="5000" w:type="pct"/>
          <w:tblCellMar>
            <w:left w:w="108" w:type="dxa"/>
            <w:right w:w="108" w:type="dxa"/>
          </w:tblCellMar>
        </w:tblPrEx>
        <w:tc>
          <w:tcPr/>
          <w:p>
            <w:r>
              <w:t>2</w:t>
            </w:r>
          </w:p>
        </w:tc>
        <w:tc>
          <w:tcPr/>
          <w:p>
            <w:r>
              <w:t>装备中心(001039027)</w:t>
            </w:r>
          </w:p>
        </w:tc>
        <w:tc>
          <w:tcPr/>
          <w:p>
            <w:r>
              <w:t>闪电测绘阵列</w:t>
            </w:r>
          </w:p>
        </w:tc>
        <w:tc>
          <w:tcPr/>
          <w:p>
            <w:r>
              <w:t>12</w:t>
            </w:r>
          </w:p>
        </w:tc>
        <w:tc>
          <w:tcPr/>
          <w:p>
            <w:r>
              <w:t>4716000.00</w:t>
            </w:r>
          </w:p>
        </w:tc>
        <w:tc>
          <w:tcPr/>
          <w:p>
            <w:r>
              <w:t xml:space="preserve">4716000.00 </w:t>
            </w:r>
          </w:p>
        </w:tc>
        <w:tc>
          <w:tcPr/>
          <w:p>
            <w:r>
              <w:t>上海市</w:t>
            </w:r>
          </w:p>
        </w:tc>
        <w:tc>
          <w:tcPr/>
          <w:p>
            <w:r>
              <w:t>含8年质保、建设安装、测试和选址张重祥，18918206537</w:t>
            </w:r>
          </w:p>
        </w:tc>
      </w:tr>
      <w:tr>
        <w:tblPrEx>
          <w:tblW w:w="5000" w:type="pct"/>
          <w:tblCellMar>
            <w:left w:w="108" w:type="dxa"/>
            <w:right w:w="108" w:type="dxa"/>
          </w:tblCellMar>
        </w:tblPrEx>
        <w:tc>
          <w:tcPr/>
          <w:p>
            <w:r>
              <w:t>3</w:t>
            </w:r>
          </w:p>
        </w:tc>
        <w:tc>
          <w:tcPr/>
          <w:p>
            <w:r>
              <w:t>探测中心(001040017)</w:t>
            </w:r>
          </w:p>
        </w:tc>
        <w:tc>
          <w:tcPr/>
          <w:p>
            <w:r>
              <w:t>闪电测绘阵列</w:t>
            </w:r>
          </w:p>
        </w:tc>
        <w:tc>
          <w:tcPr/>
          <w:p>
            <w:r>
              <w:t>4</w:t>
            </w:r>
          </w:p>
        </w:tc>
        <w:tc>
          <w:tcPr/>
          <w:p>
            <w:r>
              <w:t>1572000.00</w:t>
            </w:r>
          </w:p>
        </w:tc>
        <w:tc>
          <w:tcPr/>
          <w:p>
            <w:r>
              <w:t xml:space="preserve">1572000.00  </w:t>
            </w:r>
          </w:p>
        </w:tc>
        <w:tc>
          <w:tcPr/>
          <w:p>
            <w:r>
              <w:t>江苏省</w:t>
            </w:r>
          </w:p>
        </w:tc>
        <w:tc>
          <w:tcPr/>
          <w:p>
            <w:r>
              <w:t>含8年质保、建设安装、测试和选址何国安，15005180400</w:t>
            </w:r>
          </w:p>
        </w:tc>
      </w:tr>
      <w:tr>
        <w:tblPrEx>
          <w:tblW w:w="5000" w:type="pct"/>
          <w:tblCellMar>
            <w:left w:w="108" w:type="dxa"/>
            <w:right w:w="108" w:type="dxa"/>
          </w:tblCellMar>
        </w:tblPrEx>
        <w:tc>
          <w:tcPr/>
          <w:p>
            <w:r>
              <w:t>4</w:t>
            </w:r>
          </w:p>
        </w:tc>
        <w:tc>
          <w:tcPr/>
          <w:p>
            <w:r>
              <w:t>省大探中心(001041017)</w:t>
            </w:r>
          </w:p>
        </w:tc>
        <w:tc>
          <w:tcPr/>
          <w:p>
            <w:r>
              <w:t>闪电测绘阵列</w:t>
            </w:r>
          </w:p>
        </w:tc>
        <w:tc>
          <w:tcPr/>
          <w:p>
            <w:r>
              <w:t>4</w:t>
            </w:r>
          </w:p>
        </w:tc>
        <w:tc>
          <w:tcPr/>
          <w:p>
            <w:r>
              <w:t>1649000.00</w:t>
            </w:r>
          </w:p>
        </w:tc>
        <w:tc>
          <w:tcPr/>
          <w:p>
            <w:r>
              <w:t xml:space="preserve">1649000.00 </w:t>
            </w:r>
          </w:p>
        </w:tc>
        <w:tc>
          <w:tcPr/>
          <w:p>
            <w:r>
              <w:t>浙江省</w:t>
            </w:r>
          </w:p>
        </w:tc>
        <w:tc>
          <w:tcPr/>
          <w:p>
            <w:r>
              <w:t>含8年质保、建设安装、测试和选址张东明，15167155671</w:t>
            </w:r>
          </w:p>
        </w:tc>
      </w:tr>
    </w:tbl>
    <w:p w:rsidR="00A77B3E"/>
    <w:p>
      <w:pPr>
        <w:spacing w:line="360" w:lineRule="auto"/>
        <w:rPr>
          <w:rFonts w:ascii="宋体" w:hAnsi="宋体"/>
          <w:szCs w:val="21"/>
        </w:rPr>
      </w:pPr>
      <w:bookmarkEnd w:id="70"/>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D92201" w:rsidP="008000CD">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sidR="004F75FF">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sidR="004F75FF">
        <w:rPr>
          <w:rFonts w:ascii="仿宋" w:eastAsia="仿宋" w:hAnsi="仿宋" w:cs="仿宋" w:hint="eastAsia"/>
          <w:b/>
          <w:sz w:val="36"/>
          <w:szCs w:val="36"/>
        </w:rPr>
        <w:t>采购需求（其他技术及商务需求）</w:t>
      </w:r>
    </w:p>
    <w:p w:rsidR="00D92201" w:rsidP="008000CD">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D92201">
      <w:pPr>
        <w:ind w:firstLine="560" w:firstLineChars="200"/>
        <w:rPr>
          <w:rFonts w:ascii="仿宋" w:eastAsia="仿宋" w:hAnsi="仿宋" w:cs="仿宋"/>
          <w:sz w:val="28"/>
          <w:szCs w:val="20"/>
        </w:rPr>
      </w:pPr>
      <w:r>
        <w:rPr>
          <w:rFonts w:ascii="仿宋" w:eastAsia="仿宋" w:hAnsi="仿宋" w:cs="仿宋"/>
          <w:sz w:val="28"/>
          <w:szCs w:val="20"/>
        </w:rPr>
        <w:t>为与全国雷电观测网进行组网定位，提高京津冀和江浙沪地区地闪探测能力，拟在浙江、江苏、天津建设4，在上海建设12套闪电测绘阵列设备，实现雷电通道级精密检测，并在一定程度上反应雷暴云内的电荷分布及演变特征，弥补检测空白，为精准预报、精细服务，以及雷电科学研究、安全防护提供支撑。</w:t>
      </w:r>
    </w:p>
    <w:p w:rsidR="00D92201" w:rsidP="008000CD">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rsidR="00D92201">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D92201" w:rsidP="008000CD">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rsidR="00D92201">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rsidR="00D92201">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不少于24</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课时，培训人数不少于20</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rsidR="00D92201" w:rsidP="008000CD">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rsidR="00D92201">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sz w:val="28"/>
          <w:szCs w:val="20"/>
        </w:rPr>
        <w:t>各采购单位指定地点</w:t>
      </w:r>
      <w:r>
        <w:rPr>
          <w:rFonts w:ascii="仿宋" w:eastAsia="仿宋" w:hAnsi="仿宋" w:cs="仿宋" w:hint="eastAsia"/>
          <w:sz w:val="28"/>
          <w:szCs w:val="20"/>
        </w:rPr>
        <w:t>（运输相关费用由供应商负责），并负责安装调试。</w:t>
      </w:r>
    </w:p>
    <w:p w:rsidR="00D92201">
      <w:pPr>
        <w:ind w:left="559" w:leftChars="266"/>
        <w:rPr>
          <w:rFonts w:ascii="仿宋" w:eastAsia="仿宋" w:hAnsi="仿宋" w:cs="仿宋"/>
          <w:b/>
          <w:bCs/>
          <w:sz w:val="28"/>
          <w:szCs w:val="20"/>
        </w:rPr>
      </w:pPr>
      <w:r>
        <w:rPr>
          <w:rFonts w:ascii="仿宋" w:eastAsia="仿宋" w:hAnsi="仿宋" w:cs="仿宋" w:hint="eastAsia"/>
          <w:sz w:val="28"/>
          <w:szCs w:val="20"/>
        </w:rPr>
        <w:t>合同签订后120天内完成供货、</w:t>
      </w:r>
      <w:r>
        <w:rPr>
          <w:rFonts w:ascii="仿宋" w:eastAsia="仿宋" w:hAnsi="仿宋" w:cs="仿宋"/>
          <w:sz w:val="28"/>
          <w:szCs w:val="20"/>
        </w:rPr>
        <w:t>180天内</w:t>
      </w:r>
      <w:r>
        <w:rPr>
          <w:rFonts w:ascii="仿宋" w:eastAsia="仿宋" w:hAnsi="仿宋" w:cs="仿宋" w:hint="eastAsia"/>
          <w:sz w:val="28"/>
          <w:szCs w:val="20"/>
        </w:rPr>
        <w:t>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rsidR="00D92201">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D92201" w:rsidP="008000CD">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rsidR="00D92201">
      <w:pPr>
        <w:ind w:firstLine="560" w:firstLineChars="200"/>
        <w:rPr>
          <w:rFonts w:ascii="仿宋" w:eastAsia="仿宋" w:hAnsi="仿宋" w:cs="仿宋"/>
          <w:sz w:val="28"/>
          <w:szCs w:val="20"/>
        </w:rPr>
      </w:pPr>
      <w:r>
        <w:rPr>
          <w:rFonts w:ascii="仿宋" w:eastAsia="仿宋" w:hAnsi="仿宋" w:cs="仿宋" w:hint="eastAsia"/>
          <w:sz w:val="28"/>
          <w:szCs w:val="20"/>
        </w:rPr>
        <w:t>设备可无缝接入</w:t>
      </w:r>
      <w:r>
        <w:rPr>
          <w:rFonts w:ascii="仿宋" w:eastAsia="仿宋" w:hAnsi="仿宋" w:cs="仿宋"/>
          <w:sz w:val="28"/>
          <w:szCs w:val="20"/>
        </w:rPr>
        <w:t>气象</w:t>
      </w:r>
      <w:r>
        <w:rPr>
          <w:rFonts w:ascii="仿宋" w:eastAsia="仿宋" w:hAnsi="仿宋" w:cs="仿宋" w:hint="eastAsia"/>
          <w:sz w:val="28"/>
          <w:szCs w:val="20"/>
        </w:rPr>
        <w:t>网络系统，实现与</w:t>
      </w:r>
      <w:r>
        <w:rPr>
          <w:rFonts w:ascii="仿宋" w:eastAsia="仿宋" w:hAnsi="仿宋" w:cs="仿宋"/>
          <w:sz w:val="28"/>
          <w:szCs w:val="20"/>
        </w:rPr>
        <w:t>原有省级业务</w:t>
      </w:r>
      <w:r>
        <w:rPr>
          <w:rFonts w:ascii="仿宋" w:eastAsia="仿宋" w:hAnsi="仿宋" w:cs="仿宋" w:hint="eastAsia"/>
          <w:sz w:val="28"/>
          <w:szCs w:val="20"/>
        </w:rPr>
        <w:t>平台无缝接入，完全符合甲方相关要求和规范，保证其系统的兼容性和功能的完整性</w:t>
      </w:r>
      <w:r w:rsidR="008000CD">
        <w:rPr>
          <w:rFonts w:ascii="仿宋" w:eastAsia="仿宋" w:hAnsi="仿宋" w:cs="仿宋" w:hint="eastAsia"/>
          <w:sz w:val="28"/>
          <w:szCs w:val="20"/>
        </w:rPr>
        <w:t>。子站可融入到国家级雷电业务，数据处理系统可集成到国家级雷电业务软件，提供单北斗技术证明及测试报告</w:t>
      </w:r>
      <w:r>
        <w:rPr>
          <w:rFonts w:ascii="仿宋" w:eastAsia="仿宋" w:hAnsi="仿宋" w:cs="仿宋" w:hint="eastAsia"/>
          <w:sz w:val="28"/>
          <w:szCs w:val="20"/>
        </w:rPr>
        <w:t>。</w:t>
      </w:r>
    </w:p>
    <w:p w:rsidR="00D92201" w:rsidP="008000CD">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rsidR="00D92201">
      <w:pPr>
        <w:ind w:firstLine="560" w:firstLineChars="200"/>
        <w:rPr>
          <w:rFonts w:ascii="仿宋" w:eastAsia="仿宋" w:hAnsi="仿宋" w:cs="仿宋"/>
          <w:sz w:val="28"/>
          <w:szCs w:val="20"/>
        </w:rPr>
      </w:pPr>
      <w:r>
        <w:rPr>
          <w:rFonts w:ascii="仿宋" w:eastAsia="仿宋" w:hAnsi="仿宋" w:cs="仿宋"/>
          <w:sz w:val="28"/>
          <w:szCs w:val="20"/>
        </w:rPr>
        <w:t>无。</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rPr>
      </w:pPr>
      <w:bookmarkStart w:id="71"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hint="eastAsia"/>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600"/>
      </w:tblPr>
      <w:tblGrid>
        <w:gridCol w:w="544"/>
        <w:gridCol w:w="898"/>
        <w:gridCol w:w="7347"/>
      </w:tblGrid>
      <w:tr>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600"/>
        </w:tblPrEx>
        <w:trPr>
          <w:cantSplit/>
          <w:trHeight w:val="746"/>
        </w:trPr>
        <w:tc>
          <w:tcPr>
            <w:tcW w:w="544" w:type="dxa"/>
            <w:vAlign w:val="center"/>
          </w:tcPr>
          <w:p>
            <w:pPr>
              <w:rPr>
                <w:rFonts w:hint="eastAsia"/>
                <w:sz w:val="18"/>
                <w:szCs w:val="18"/>
              </w:rPr>
            </w:pPr>
            <w:r>
              <w:rPr>
                <w:rFonts w:hint="eastAsia"/>
                <w:sz w:val="18"/>
                <w:szCs w:val="18"/>
              </w:rPr>
              <w:t>序号</w:t>
            </w:r>
          </w:p>
        </w:tc>
        <w:tc>
          <w:tcPr>
            <w:tcW w:w="898" w:type="dxa"/>
            <w:vAlign w:val="center"/>
          </w:tcPr>
          <w:p>
            <w:pPr>
              <w:jc w:val="center"/>
              <w:rPr>
                <w:rFonts w:hint="eastAsia"/>
                <w:sz w:val="18"/>
                <w:szCs w:val="18"/>
              </w:rPr>
            </w:pPr>
            <w:r>
              <w:rPr>
                <w:rFonts w:hint="eastAsia"/>
                <w:sz w:val="18"/>
                <w:szCs w:val="18"/>
              </w:rPr>
              <w:t>对应</w:t>
            </w:r>
          </w:p>
          <w:p>
            <w:pPr>
              <w:jc w:val="center"/>
              <w:rPr>
                <w:rFonts w:hint="eastAsia"/>
                <w:sz w:val="18"/>
                <w:szCs w:val="18"/>
              </w:rPr>
            </w:pPr>
            <w:r>
              <w:rPr>
                <w:rFonts w:hint="eastAsia"/>
                <w:sz w:val="18"/>
                <w:szCs w:val="18"/>
              </w:rPr>
              <w:t>条款号</w:t>
            </w:r>
          </w:p>
        </w:tc>
        <w:tc>
          <w:tcPr>
            <w:tcW w:w="7347" w:type="dxa"/>
            <w:vAlign w:val="center"/>
          </w:tcPr>
          <w:p>
            <w:pPr>
              <w:jc w:val="center"/>
              <w:rPr>
                <w:rFonts w:hint="eastAsia"/>
                <w:sz w:val="18"/>
                <w:szCs w:val="18"/>
              </w:rPr>
            </w:pPr>
            <w:r>
              <w:rPr>
                <w:rFonts w:hint="eastAsia"/>
                <w:sz w:val="18"/>
                <w:szCs w:val="18"/>
              </w:rPr>
              <w:t>内 容</w:t>
            </w:r>
          </w:p>
        </w:tc>
      </w:tr>
      <w:tr>
        <w:tblPrEx>
          <w:tblW w:w="8789" w:type="dxa"/>
          <w:tblLayout w:type="fixed"/>
          <w:tblCellMar>
            <w:top w:w="0" w:type="dxa"/>
            <w:left w:w="108" w:type="dxa"/>
            <w:bottom w:w="0" w:type="dxa"/>
            <w:right w:w="108" w:type="dxa"/>
          </w:tblCellMar>
          <w:tblLook w:val="0600"/>
        </w:tblPrEx>
        <w:trPr>
          <w:cantSplit/>
        </w:trPr>
        <w:tc>
          <w:tcPr>
            <w:tcW w:w="8789" w:type="dxa"/>
            <w:gridSpan w:val="3"/>
            <w:vAlign w:val="center"/>
          </w:tcPr>
          <w:p>
            <w:pPr>
              <w:jc w:val="center"/>
              <w:rPr>
                <w:rFonts w:hint="eastAsia"/>
                <w:b/>
                <w:sz w:val="18"/>
                <w:szCs w:val="18"/>
              </w:rPr>
            </w:pPr>
            <w:r>
              <w:rPr>
                <w:rFonts w:hint="eastAsia"/>
                <w:b/>
                <w:sz w:val="18"/>
                <w:szCs w:val="18"/>
              </w:rPr>
              <w:t>第五章 投标人须知专用部分</w:t>
            </w:r>
          </w:p>
        </w:tc>
      </w:tr>
      <w:tr>
        <w:tblPrEx>
          <w:tblW w:w="8789" w:type="dxa"/>
          <w:tblLayout w:type="fixed"/>
          <w:tblCellMar>
            <w:top w:w="0" w:type="dxa"/>
            <w:left w:w="108" w:type="dxa"/>
            <w:bottom w:w="0" w:type="dxa"/>
            <w:right w:w="108" w:type="dxa"/>
          </w:tblCellMar>
          <w:tblLook w:val="0600"/>
        </w:tblPrEx>
        <w:trPr>
          <w:cantSplit/>
        </w:trPr>
        <w:tc>
          <w:tcPr>
            <w:tcW w:w="544" w:type="dxa"/>
            <w:vAlign w:val="center"/>
          </w:tcPr>
          <w:p>
            <w:pPr>
              <w:numPr>
                <w:ilvl w:val="0"/>
                <w:numId w:val="13"/>
              </w:numPr>
              <w:rPr>
                <w:rFonts w:ascii="宋体" w:hAnsi="宋体" w:hint="eastAsia"/>
                <w:sz w:val="18"/>
                <w:szCs w:val="18"/>
              </w:rPr>
            </w:pPr>
          </w:p>
        </w:tc>
        <w:tc>
          <w:tcPr>
            <w:tcW w:w="898" w:type="dxa"/>
            <w:tcBorders>
              <w:left w:val="single" w:sz="4" w:space="0" w:color="auto"/>
            </w:tcBorders>
            <w:vAlign w:val="center"/>
          </w:tcPr>
          <w:p>
            <w:pPr>
              <w:jc w:val="center"/>
              <w:rPr>
                <w:rFonts w:ascii="宋体" w:hAnsi="宋体" w:hint="eastAsia"/>
                <w:sz w:val="18"/>
                <w:szCs w:val="18"/>
              </w:rPr>
            </w:pPr>
            <w:r>
              <w:rPr>
                <w:rFonts w:ascii="宋体" w:hAnsi="宋体" w:hint="eastAsia"/>
                <w:sz w:val="18"/>
                <w:szCs w:val="18"/>
              </w:rPr>
              <w:t>5</w:t>
            </w:r>
          </w:p>
        </w:tc>
        <w:tc>
          <w:tcPr>
            <w:tcW w:w="7347" w:type="dxa"/>
            <w:tcBorders>
              <w:left w:val="single" w:sz="4" w:space="0" w:color="auto"/>
            </w:tcBorders>
          </w:tcPr>
          <w:p>
            <w:pPr>
              <w:tabs>
                <w:tab w:val="left" w:pos="709"/>
              </w:tabs>
              <w:spacing w:line="360" w:lineRule="auto"/>
              <w:jc w:val="left"/>
              <w:rPr>
                <w:rFonts w:ascii="宋体" w:hAnsi="宋体" w:cs="微软雅黑" w:hint="eastAsia"/>
                <w:b/>
                <w:color w:val="0000FF"/>
                <w:kern w:val="0"/>
                <w:sz w:val="18"/>
                <w:szCs w:val="18"/>
              </w:rPr>
            </w:pPr>
          </w:p>
        </w:tc>
      </w:tr>
      <w:tr>
        <w:tblPrEx>
          <w:tblW w:w="8789" w:type="dxa"/>
          <w:tblLayout w:type="fixed"/>
          <w:tblCellMar>
            <w:top w:w="0" w:type="dxa"/>
            <w:left w:w="108" w:type="dxa"/>
            <w:bottom w:w="0" w:type="dxa"/>
            <w:right w:w="108" w:type="dxa"/>
          </w:tblCellMar>
          <w:tblLook w:val="0600"/>
        </w:tblPrEx>
        <w:trPr>
          <w:cantSplit/>
        </w:trPr>
        <w:tc>
          <w:tcPr>
            <w:tcW w:w="8789" w:type="dxa"/>
            <w:gridSpan w:val="3"/>
            <w:vAlign w:val="center"/>
          </w:tcPr>
          <w:p>
            <w:pPr>
              <w:jc w:val="center"/>
              <w:rPr>
                <w:rFonts w:hint="eastAsia"/>
                <w:sz w:val="18"/>
                <w:szCs w:val="18"/>
              </w:rPr>
            </w:pPr>
            <w:r>
              <w:rPr>
                <w:rFonts w:hint="eastAsia"/>
                <w:b/>
                <w:sz w:val="18"/>
                <w:szCs w:val="18"/>
              </w:rPr>
              <w:t>第七章  采购需求</w:t>
            </w:r>
          </w:p>
        </w:tc>
      </w:tr>
      <w:tr>
        <w:tblPrEx>
          <w:tblW w:w="8789" w:type="dxa"/>
          <w:tblLayout w:type="fixed"/>
          <w:tblCellMar>
            <w:top w:w="0" w:type="dxa"/>
            <w:left w:w="108" w:type="dxa"/>
            <w:bottom w:w="0" w:type="dxa"/>
            <w:right w:w="108" w:type="dxa"/>
          </w:tblCellMar>
          <w:tblLook w:val="0600"/>
        </w:tblPrEx>
        <w:trPr>
          <w:cantSplit/>
        </w:trPr>
        <w:tc>
          <w:tcPr>
            <w:tcW w:w="544" w:type="dxa"/>
            <w:vAlign w:val="center"/>
          </w:tcPr>
          <w:p>
            <w:pPr>
              <w:numPr>
                <w:ilvl w:val="0"/>
                <w:numId w:val="13"/>
              </w:numPr>
              <w:rPr>
                <w:rFonts w:ascii="宋体" w:hAnsi="宋体" w:hint="eastAsia"/>
                <w:sz w:val="18"/>
                <w:szCs w:val="18"/>
              </w:rPr>
            </w:pPr>
          </w:p>
        </w:tc>
        <w:tc>
          <w:tcPr>
            <w:tcW w:w="898" w:type="dxa"/>
            <w:tcBorders>
              <w:left w:val="single" w:sz="4" w:space="0" w:color="auto"/>
            </w:tcBorders>
            <w:vAlign w:val="center"/>
          </w:tcPr>
          <w:p>
            <w:pPr>
              <w:jc w:val="center"/>
              <w:rPr>
                <w:rFonts w:ascii="宋体" w:hAnsi="宋体" w:hint="eastAsia"/>
                <w:sz w:val="18"/>
                <w:szCs w:val="18"/>
              </w:rPr>
            </w:pPr>
            <w:r>
              <w:rPr>
                <w:rFonts w:ascii="宋体" w:hAnsi="宋体"/>
                <w:sz w:val="18"/>
                <w:szCs w:val="18"/>
              </w:rPr>
              <w:t>4.3.1</w:t>
            </w:r>
          </w:p>
        </w:tc>
        <w:tc>
          <w:tcPr>
            <w:tcW w:w="7347" w:type="dxa"/>
            <w:tcBorders>
              <w:left w:val="single" w:sz="4" w:space="0" w:color="auto"/>
            </w:tcBorders>
            <w:vAlign w:val="center"/>
          </w:tcPr>
          <w:p>
            <w:pPr>
              <w:tabs>
                <w:tab w:val="left" w:pos="709"/>
              </w:tabs>
              <w:spacing w:line="360" w:lineRule="auto"/>
              <w:jc w:val="left"/>
              <w:rPr>
                <w:rFonts w:ascii="宋体" w:hAnsi="宋体" w:hint="eastAsia"/>
                <w:sz w:val="18"/>
                <w:szCs w:val="18"/>
              </w:rPr>
            </w:pPr>
            <w:r>
              <w:rPr>
                <w:rFonts w:ascii="宋体" w:hAnsi="宋体" w:cs="微软雅黑"/>
                <w:b/>
                <w:color w:val="0000FF"/>
                <w:kern w:val="0"/>
                <w:sz w:val="18"/>
                <w:szCs w:val="18"/>
              </w:rPr>
              <w:t>设备供应商对所有设备提供自验收合格后8年的免费维护维修服务，并提供相关承诺函。</w:t>
            </w:r>
          </w:p>
        </w:tc>
      </w:tr>
    </w:tbl>
    <w:p>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71"/>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72" w:name="采购公告合同部分_ZBGGHT"/>
      <w:r>
        <w:rPr>
          <w:rFonts w:hint="eastAsia"/>
          <w:b/>
          <w:bCs/>
          <w:szCs w:val="21"/>
          <w:highlight w:val="none"/>
        </w:rPr>
        <w:t xml:space="preserve"> 采购合同</w:t>
      </w:r>
    </w:p>
    <w:p>
      <w:pPr>
        <w:numPr>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3"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3"/>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4"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4"/>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（应明确分期支付合同款项的各期比例和支付条件，各期支付条件应与分期履约验收情况挂钩）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5" w:name="_Toc27624"/>
      <w:r>
        <w:rPr>
          <w:rFonts w:ascii="黑体" w:hAnsi="黑体" w:hint="eastAsia"/>
          <w:b w:val="0"/>
          <w:bCs w:val="0"/>
          <w:sz w:val="28"/>
          <w:szCs w:val="28"/>
          <w:highlight w:val="none"/>
        </w:rPr>
        <w:t>第二节 政府采购合同通用条款</w:t>
      </w:r>
      <w:bookmarkEnd w:id="75"/>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6"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6"/>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7"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7"/>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4"/>
        </w:numPr>
        <w:spacing w:line="360" w:lineRule="auto"/>
        <w:ind w:firstLine="3066" w:firstLineChars="1460"/>
        <w:jc w:val="left"/>
        <w:rPr>
          <w:rFonts w:hint="eastAsia"/>
          <w:b/>
          <w:bCs/>
          <w:szCs w:val="21"/>
          <w:highlight w:val="none"/>
        </w:rPr>
      </w:pPr>
      <w:bookmarkEnd w:id="72"/>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4F75FF"/>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0CD"/>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2201"/>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