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中国气象局气象数据传输网络系统电路租用服务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ZQCD-25322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w:t>
      </w:r>
      <w:r>
        <w:rPr>
          <w:rFonts w:ascii="宋体" w:eastAsia="宋体" w:hAnsi="宋体" w:cs="Times New Roman" w:hint="eastAsia"/>
          <w:szCs w:val="21"/>
        </w:rPr>
        <w:t>货物报价及品牌、型号、产地、装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588" w:firstLineChars="196"/>
        <w:jc w:val="center"/>
        <w:outlineLvl w:val="2"/>
        <w:rPr>
          <w:b/>
          <w:bCs/>
          <w:sz w:val="30"/>
          <w:szCs w:val="30"/>
          <w:highlight w:val="none"/>
        </w:rPr>
      </w:pPr>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第五章投标人须知专用部分5.6条</w:t>
            </w:r>
            <w:r>
              <w:rPr>
                <w:rFonts w:hint="eastAsia"/>
                <w:sz w:val="18"/>
                <w:szCs w:val="18"/>
                <w:highlight w:val="none"/>
              </w:rPr>
              <w:t>有关代理商投标要求，以及进口产品代理商未按</w:t>
            </w:r>
            <w:r>
              <w:rPr>
                <w:rFonts w:hint="eastAsia"/>
                <w:b/>
                <w:sz w:val="18"/>
                <w:szCs w:val="18"/>
                <w:highlight w:val="none"/>
              </w:rPr>
              <w:t>第五章投标人须知专用部分5.7条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bCs/>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（如本次采购内容不包括货物，或者投标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hint="eastAsia"/>
                <w:bCs/>
                <w:sz w:val="18"/>
                <w:szCs w:val="18"/>
                <w:highlight w:val="none"/>
              </w:rPr>
              <w:t>中小</w:t>
            </w:r>
            <w:r>
              <w:rPr>
                <w:bCs/>
                <w:sz w:val="18"/>
                <w:szCs w:val="18"/>
                <w:highlight w:val="none"/>
              </w:rPr>
              <w:t>企业声明函</w:t>
            </w:r>
            <w:r>
              <w:rPr>
                <w:rFonts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第五章投标人须知专用部分5.12条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rPr>
                <w:sz w:val="18"/>
                <w:szCs w:val="18"/>
                <w:highlight w:val="none"/>
              </w:rPr>
            </w:pPr>
            <w:r>
              <w:rPr>
                <w:rFonts w:hint="eastAsia"/>
                <w:sz w:val="18"/>
                <w:szCs w:val="18"/>
                <w:highlight w:val="none"/>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center"/>
        <w:rPr>
          <w:b/>
          <w:sz w:val="48"/>
          <w:szCs w:val="36"/>
          <w:highlight w:val="none"/>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中国气象局气象数据传输网络系统电路租用服务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ZQCD-25322</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本项目采取一次招标三年沿用、实行一年一考核一签合同的办法，后两年采购人可根据实际情况重新招标。2025年11月14日前完成线路部署，具备验收条件，全国所有节点均可承载气象业务通信，服务期自2025年11月15日起至2026年11月14日</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详见采购需求</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2025年10月15日 00:00:00</w:t>
      </w:r>
      <w:bookmarkEnd w:id="26"/>
      <w:r>
        <w:rPr>
          <w:rFonts w:ascii="宋体" w:hint="eastAsia"/>
          <w:szCs w:val="21"/>
          <w:highlight w:val="none"/>
        </w:rPr>
        <w:t>至</w:t>
      </w:r>
      <w:bookmarkStart w:id="27" w:name="项目公告_signUpLastTime"/>
      <w:r>
        <w:rPr>
          <w:rFonts w:ascii="宋体" w:hint="eastAsia"/>
          <w:szCs w:val="21"/>
          <w:highlight w:val="none"/>
        </w:rPr>
        <w:t>2025年10月21日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2025年11月05日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钟磊</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010-68409855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基础电信业务经营许可证</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4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 标的：中国气象局气象数据传输网络系统电路租用服务，属于软件和信息技术服务业；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是，代理服务费：5.8万元。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745.520000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745.520000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5" w:name="其他事项_ottherReemarks"/>
            <w:r>
              <w:rPr>
                <w:rFonts w:ascii="宋体" w:hAnsi="宋体" w:eastAsiaTheme="minorEastAsia" w:cstheme="minorBidi" w:hint="eastAsia"/>
                <w:kern w:val="2"/>
                <w:sz w:val="21"/>
                <w:szCs w:val="21"/>
                <w:highlight w:val="none"/>
                <w:lang w:val="en-US" w:eastAsia="zh-CN" w:bidi="ar-SA"/>
              </w:rPr>
              <w:t>投标人必须为集团或总公司，不可以以分公司或子公司的名义参加本项目投标</w:t>
            </w:r>
            <w:r>
              <w:rPr>
                <w:rFonts w:ascii="宋体" w:hAnsi="宋体" w:eastAsiaTheme="minorEastAsia" w:cstheme="minorBidi" w:hint="eastAsia"/>
                <w:kern w:val="2"/>
                <w:sz w:val="21"/>
                <w:szCs w:val="21"/>
                <w:highlight w:val="none"/>
                <w:lang w:val="en-US" w:eastAsia="zh-CN" w:bidi="ar-SA"/>
              </w:rPr>
              <w:t>。</w:t>
            </w:r>
            <w:bookmarkEnd w:id="55"/>
            <w:bookmarkStart w:id="56" w:name="_GoBack"/>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9"/>
        <w:gridCol w:w="310"/>
        <w:gridCol w:w="795"/>
        <w:gridCol w:w="310"/>
        <w:gridCol w:w="739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投标人业绩</w:t>
            </w:r>
          </w:p>
        </w:tc>
        <w:tc>
          <w:tcPr/>
          <w:p>
            <w:r>
              <w:t>勾选打分</w:t>
            </w:r>
            <w:r>
              <w:t>(6)</w:t>
            </w:r>
          </w:p>
        </w:tc>
        <w:tc>
          <w:tcPr/>
          <w:p>
            <w:r>
              <w:t>评审标准：</w:t>
            </w:r>
          </w:p>
          <w:p>
            <w:r>
              <w:t>提供与本项目同类服务的合同或案例，每提供一个得2分，最多得6分，不提供不得分。</w:t>
            </w:r>
          </w:p>
          <w:p>
            <w:r>
              <w:t>评审标准说明：</w:t>
            </w:r>
          </w:p>
          <w:p>
            <w:r>
              <w:t>1、需提供合同（必须包括合同首页、标的页、签字盖章页）复印件或案例复印件并加盖投标人公章。</w:t>
              <w:cr/>
              <w:t xml:space="preserve"> 2、合同签署日期为投标截止日前三年内。如合同无签署日期无效。</w:t>
              <w:cr/>
              <w:t xml:space="preserve">3、合同标的必须包括该项评审标准中要求的标的。 </w:t>
              <w:cr/>
              <w:t xml:space="preserve">4、合同签字盖章页必须有甲乙双方的签字和盖章。 </w:t>
              <w:cr/>
              <w:t>5、所有复印件应清晰，不得有任何涂改、遮挡。 提供的材料不符合以上1-5要求的无效。</w:t>
            </w:r>
          </w:p>
          <w:p/>
        </w:tc>
      </w:tr>
      <w:tr>
        <w:tblPrEx>
          <w:tblW w:w="5000" w:type="pct"/>
          <w:tblCellMar>
            <w:left w:w="108" w:type="dxa"/>
            <w:right w:w="108" w:type="dxa"/>
          </w:tblCellMar>
        </w:tblPrEx>
        <w:tc>
          <w:tcPr/>
          <w:p>
            <w:r>
              <w:t>3</w:t>
            </w:r>
          </w:p>
        </w:tc>
        <w:tc>
          <w:tcPr>
            <w:vMerge/>
          </w:tcPr>
          <w:p>
            <w:r>
              <w:t>商务部分</w:t>
            </w:r>
          </w:p>
        </w:tc>
        <w:tc>
          <w:tcPr/>
          <w:p>
            <w:r>
              <w:t xml:space="preserve">技术团队 </w:t>
            </w:r>
          </w:p>
        </w:tc>
        <w:tc>
          <w:tcPr/>
          <w:p>
            <w:r>
              <w:t>勾选打分</w:t>
            </w:r>
            <w:r>
              <w:t>(4)</w:t>
            </w:r>
          </w:p>
        </w:tc>
        <w:tc>
          <w:tcPr/>
          <w:p>
            <w:r>
              <w:t>评审标准：</w:t>
            </w:r>
          </w:p>
          <w:p>
            <w:r>
              <w:t>1、提供服务团队人员名单。本项目团队成员不少于4人，包括项目经理1人、技术负责人1人、商务经理1人、解决方案经理1人，团队成员完全满足以上分工，且每种分工至少包含1名不重复的人员，得2分；</w:t>
              <w:cr/>
              <w:t>2、项目经理具备工程序列高级工程师职称，得2分。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4</w:t>
            </w:r>
          </w:p>
        </w:tc>
        <w:tc>
          <w:tcPr>
            <w:vMerge w:val="restart"/>
          </w:tcPr>
          <w:p>
            <w:r>
              <w:t>服务部分</w:t>
            </w:r>
          </w:p>
        </w:tc>
        <w:tc>
          <w:tcPr/>
          <w:p>
            <w:r>
              <w:t>售后服务方案</w:t>
            </w:r>
          </w:p>
        </w:tc>
        <w:tc>
          <w:tcPr/>
          <w:p>
            <w:r>
              <w:t>勾选打分</w:t>
            </w:r>
            <w:r>
              <w:t>(5)</w:t>
            </w:r>
          </w:p>
        </w:tc>
        <w:tc>
          <w:tcPr/>
          <w:p>
            <w:r>
              <w:t>评审标准：</w:t>
            </w:r>
          </w:p>
          <w:p>
            <w:r>
              <w:t xml:space="preserve">一档 0 分 </w:t>
              <w:cr/>
              <w:t>二档 1 分</w:t>
              <w:cr/>
              <w:t>三档 3 分</w:t>
              <w:cr/>
              <w:t>四档 5 分</w:t>
            </w:r>
          </w:p>
          <w:p>
            <w:r>
              <w:t>评审标准说明：</w:t>
            </w:r>
          </w:p>
          <w:p>
            <w:r>
              <w:t>根据投标人提供售后服务方案进行评分。具体评分标准如下：</w:t>
              <w:cr/>
              <w:t xml:space="preserve">一档：未提供售后服务方案； </w:t>
              <w:cr/>
              <w:t xml:space="preserve">二档：售后服务方案不完整； </w:t>
              <w:cr/>
              <w:t xml:space="preserve">三档：售后服务方案较完整，但针对性一般，技术支持内容不明确； </w:t>
              <w:cr/>
              <w:t>四档：售后服务方案完整，针对性强，建立合理的技术支持机构或技术支持小组，采购人需要现场保障要求时，投标人可提供临时现场保障。</w:t>
            </w:r>
          </w:p>
          <w:p/>
        </w:tc>
      </w:tr>
      <w:tr>
        <w:tblPrEx>
          <w:tblW w:w="5000" w:type="pct"/>
          <w:tblCellMar>
            <w:left w:w="108" w:type="dxa"/>
            <w:right w:w="108" w:type="dxa"/>
          </w:tblCellMar>
        </w:tblPrEx>
        <w:tc>
          <w:tcPr/>
          <w:p>
            <w:r>
              <w:t>5</w:t>
            </w:r>
          </w:p>
        </w:tc>
        <w:tc>
          <w:tcPr>
            <w:vMerge/>
          </w:tcPr>
          <w:p>
            <w:r>
              <w:t>服务部分</w:t>
            </w:r>
          </w:p>
        </w:tc>
        <w:tc>
          <w:tcPr/>
          <w:p>
            <w:r>
              <w:t>质量保障与实施方案</w:t>
            </w:r>
          </w:p>
        </w:tc>
        <w:tc>
          <w:tcPr/>
          <w:p>
            <w:r>
              <w:t>勾选打分</w:t>
            </w:r>
            <w:r>
              <w:t>(5)</w:t>
            </w:r>
          </w:p>
        </w:tc>
        <w:tc>
          <w:tcPr/>
          <w:p>
            <w:r>
              <w:t>评审标准：</w:t>
            </w:r>
          </w:p>
          <w:p>
            <w:r>
              <w:t>一档 0 分</w:t>
              <w:cr/>
              <w:t>二档 1 分</w:t>
              <w:cr/>
              <w:t>三档 3 分</w:t>
              <w:cr/>
              <w:t>四档 5 分</w:t>
            </w:r>
          </w:p>
          <w:p>
            <w:r>
              <w:t>评审标准说明：</w:t>
            </w:r>
          </w:p>
          <w:p>
            <w:r>
              <w:t xml:space="preserve">根据投标人提供的质保方案进行评分。具体评分标准如下： </w:t>
              <w:cr/>
              <w:t xml:space="preserve">一档：未提供质保方案； </w:t>
              <w:cr/>
              <w:t>二档：质保方案能按照招标文件的要求进行响应，方案结构不清晰，缺乏系统性；</w:t>
              <w:cr/>
              <w:t xml:space="preserve">三档：质保方案基本能按照招标文件的要求进行响应，有一定针对性，基本满足招标文件的需求； </w:t>
              <w:cr/>
              <w:t>四档：质保方案能按照招标文件的要求进行响应，详细具体，针对性强，与实际情况相契合，完全满足采购需求。</w:t>
              <w:cr/>
            </w:r>
          </w:p>
          <w:p/>
        </w:tc>
      </w:tr>
      <w:tr>
        <w:tblPrEx>
          <w:tblW w:w="5000" w:type="pct"/>
          <w:tblCellMar>
            <w:left w:w="108" w:type="dxa"/>
            <w:right w:w="108" w:type="dxa"/>
          </w:tblCellMar>
        </w:tblPrEx>
        <w:tc>
          <w:tcPr/>
          <w:p>
            <w:r>
              <w:t>6</w:t>
            </w:r>
          </w:p>
        </w:tc>
        <w:tc>
          <w:tcPr>
            <w:vMerge/>
          </w:tcPr>
          <w:p>
            <w:r>
              <w:t>服务部分</w:t>
            </w:r>
          </w:p>
        </w:tc>
        <w:tc>
          <w:tcPr/>
          <w:p>
            <w:r>
              <w:t>重大活动保障</w:t>
            </w:r>
          </w:p>
        </w:tc>
        <w:tc>
          <w:tcPr/>
          <w:p>
            <w:r>
              <w:t>勾选打分</w:t>
            </w:r>
            <w:r>
              <w:t>(5)</w:t>
            </w:r>
          </w:p>
        </w:tc>
        <w:tc>
          <w:tcPr/>
          <w:p>
            <w:r>
              <w:t>评审标准：</w:t>
            </w:r>
          </w:p>
          <w:p>
            <w:r>
              <w:t>一档 0 分</w:t>
              <w:cr/>
              <w:t>二档 1 分</w:t>
              <w:cr/>
              <w:t>三档 3 分</w:t>
              <w:cr/>
              <w:t>四档 5 分</w:t>
            </w:r>
          </w:p>
          <w:p>
            <w:r>
              <w:t>评审标准说明：</w:t>
            </w:r>
          </w:p>
          <w:p>
            <w:r>
              <w:t>提供汛期、重大活动及灾害的气象服务保障方案，具体评分标准如下：</w:t>
              <w:cr/>
              <w:t>一档：未提供方案；</w:t>
              <w:cr/>
              <w:t xml:space="preserve">二档：保障方案能按照招标文件要求进行响应，可行性针对性一般； </w:t>
              <w:cr/>
              <w:t>三档：保障方案较为合理，有一定可行性针对性，基本满足招标文件要求；</w:t>
              <w:cr/>
              <w:t>四档：保障方案完整可行，可行性针对性强，完全满足招标文件要求。</w:t>
            </w:r>
          </w:p>
          <w:p/>
        </w:tc>
      </w:tr>
      <w:tr>
        <w:tblPrEx>
          <w:tblW w:w="5000" w:type="pct"/>
          <w:tblCellMar>
            <w:left w:w="108" w:type="dxa"/>
            <w:right w:w="108" w:type="dxa"/>
          </w:tblCellMar>
        </w:tblPrEx>
        <w:tc>
          <w:tcPr/>
          <w:p>
            <w:r>
              <w:t>7</w:t>
            </w:r>
          </w:p>
        </w:tc>
        <w:tc>
          <w:tcPr>
            <w:vMerge/>
          </w:tcPr>
          <w:p>
            <w:r>
              <w:t>服务部分</w:t>
            </w:r>
          </w:p>
        </w:tc>
        <w:tc>
          <w:tcPr/>
          <w:p>
            <w:r>
              <w:t>履约地点传输资源覆盖情况</w:t>
            </w:r>
          </w:p>
        </w:tc>
        <w:tc>
          <w:tcPr/>
          <w:p>
            <w:r>
              <w:t>勾选打分</w:t>
            </w:r>
            <w:r>
              <w:t>(5)</w:t>
            </w:r>
          </w:p>
        </w:tc>
        <w:tc>
          <w:tcPr/>
          <w:p>
            <w:r>
              <w:t>评审标准：</w:t>
            </w:r>
          </w:p>
          <w:p>
            <w:r>
              <w:t>投标人承诺，本项目涉及的32个节点（国家级、陕西备份中心、30个省级）MPLS-VPN节点，投标人具备传输资源能够覆盖，明确覆盖每一个履约地点接入单位，得 5 分。否则不得分。</w:t>
              <w:cr/>
            </w:r>
          </w:p>
          <w:p>
            <w:r>
              <w:t>评审标准说明：</w:t>
            </w:r>
          </w:p>
          <w:p>
            <w:r>
              <w:t>材料需加盖投标人公章。</w:t>
            </w:r>
          </w:p>
          <w:p/>
        </w:tc>
      </w:tr>
      <w:tr>
        <w:tblPrEx>
          <w:tblW w:w="5000" w:type="pct"/>
          <w:tblCellMar>
            <w:left w:w="108" w:type="dxa"/>
            <w:right w:w="108" w:type="dxa"/>
          </w:tblCellMar>
        </w:tblPrEx>
        <w:tc>
          <w:tcPr/>
          <w:p>
            <w:r>
              <w:t>8</w:t>
            </w:r>
          </w:p>
        </w:tc>
        <w:tc>
          <w:tcPr>
            <w:vMerge/>
          </w:tcPr>
          <w:p>
            <w:r>
              <w:t>服务部分</w:t>
            </w:r>
          </w:p>
        </w:tc>
        <w:tc>
          <w:tcPr/>
          <w:p>
            <w:r>
              <w:t>技术服务要求“☆”项</w:t>
            </w:r>
          </w:p>
        </w:tc>
        <w:tc>
          <w:tcPr/>
          <w:p>
            <w:r>
              <w:t>勾选打分</w:t>
            </w:r>
            <w:r>
              <w:t>(30)</w:t>
            </w:r>
          </w:p>
        </w:tc>
        <w:tc>
          <w:tcPr/>
          <w:p>
            <w:r>
              <w:t>评审标准：</w:t>
            </w:r>
          </w:p>
          <w:p>
            <w:r>
              <w:t>每满足一项“☆”技术要求，得3分，最高得30分。</w:t>
            </w:r>
          </w:p>
          <w:p>
            <w:r>
              <w:t>评审标准说明：</w:t>
            </w:r>
          </w:p>
          <w:p>
            <w:r>
              <w:t>响应且满足第七章采购需求中：三、技术性能指标、四、技术服务要求中标注的“☆”的技术要求，并提供承诺函（加盖投标人公章）。</w:t>
            </w:r>
          </w:p>
          <w:p/>
        </w:tc>
      </w:tr>
      <w:tr>
        <w:tblPrEx>
          <w:tblW w:w="5000" w:type="pct"/>
          <w:tblCellMar>
            <w:left w:w="108" w:type="dxa"/>
            <w:right w:w="108" w:type="dxa"/>
          </w:tblCellMar>
        </w:tblPrEx>
        <w:tc>
          <w:tcPr/>
          <w:p>
            <w:r>
              <w:t>9</w:t>
            </w:r>
          </w:p>
        </w:tc>
        <w:tc>
          <w:tcPr>
            <w:vMerge/>
          </w:tcPr>
          <w:p>
            <w:r>
              <w:t>服务部分</w:t>
            </w:r>
          </w:p>
        </w:tc>
        <w:tc>
          <w:tcPr/>
          <w:p>
            <w:r>
              <w:t>技术服务要求“#”项</w:t>
            </w:r>
          </w:p>
        </w:tc>
        <w:tc>
          <w:tcPr/>
          <w:p>
            <w:r>
              <w:t>勾选打分</w:t>
            </w:r>
            <w:r>
              <w:t>(14)</w:t>
            </w:r>
          </w:p>
        </w:tc>
        <w:tc>
          <w:tcPr/>
          <w:p>
            <w:r>
              <w:t>评审标准：</w:t>
            </w:r>
          </w:p>
          <w:p>
            <w:r>
              <w:t>每满足一项“#”技术要求，得1分，最高得14分。</w:t>
            </w:r>
          </w:p>
          <w:p>
            <w:r>
              <w:t>评审标准说明：</w:t>
            </w:r>
          </w:p>
          <w:p>
            <w:r>
              <w:t>响应且满足第七章采购需求中：三、技术性能指标、四、技术服务要求中标注的“#”的技术要求，并提供承诺函（加盖投标人公章）。</w:t>
            </w:r>
          </w:p>
          <w:p/>
        </w:tc>
      </w:tr>
      <w:tr>
        <w:tblPrEx>
          <w:tblW w:w="5000" w:type="pct"/>
          <w:tblCellMar>
            <w:left w:w="108" w:type="dxa"/>
            <w:right w:w="108" w:type="dxa"/>
          </w:tblCellMar>
        </w:tblPrEx>
        <w:tc>
          <w:tcPr/>
          <w:p>
            <w:r>
              <w:t>10</w:t>
            </w:r>
          </w:p>
        </w:tc>
        <w:tc>
          <w:tcPr>
            <w:vMerge/>
          </w:tcPr>
          <w:p>
            <w:r>
              <w:t>服务部分</w:t>
            </w:r>
          </w:p>
        </w:tc>
        <w:tc>
          <w:tcPr/>
          <w:p>
            <w:r>
              <w:t>交付时间要求</w:t>
            </w:r>
          </w:p>
        </w:tc>
        <w:tc>
          <w:tcPr/>
          <w:p>
            <w:r>
              <w:t>勾选打分</w:t>
            </w:r>
            <w:r>
              <w:t>(8)</w:t>
            </w:r>
          </w:p>
        </w:tc>
        <w:tc>
          <w:tcPr/>
          <w:p>
            <w:r>
              <w:t>评审标准：</w:t>
            </w:r>
          </w:p>
          <w:p>
            <w:r>
              <w:t>一档 0 分</w:t>
              <w:cr/>
              <w:t xml:space="preserve">二档 4 分 </w:t>
              <w:cr/>
              <w:t>三档 8 分</w:t>
            </w:r>
          </w:p>
          <w:p>
            <w:r>
              <w:t>评审标准说明：</w:t>
            </w:r>
          </w:p>
          <w:p>
            <w:r>
              <w:t>投标人需提供项目实施工期承诺（加盖投标人公章）。</w:t>
              <w:cr/>
              <w:t xml:space="preserve">一档：未提供项目实施工期承诺或未加盖公章或超过5个工作日未开通； </w:t>
              <w:cr/>
              <w:t xml:space="preserve">二档：承诺在3（不含）至5（含）个工作日内开通全部电路； </w:t>
              <w:cr/>
              <w:t>三档：承诺在合同签订后3（含）个工作日内开通全部电路。</w:t>
            </w:r>
          </w:p>
          <w:p/>
        </w:tc>
      </w:tr>
      <w:tr>
        <w:tblPrEx>
          <w:tblW w:w="5000" w:type="pct"/>
          <w:tblCellMar>
            <w:left w:w="108" w:type="dxa"/>
            <w:right w:w="108" w:type="dxa"/>
          </w:tblCellMar>
        </w:tblPrEx>
        <w:tc>
          <w:tcPr/>
          <w:p>
            <w:r>
              <w:t>11</w:t>
            </w:r>
          </w:p>
        </w:tc>
        <w:tc>
          <w:tcPr>
            <w:vMerge/>
          </w:tcPr>
          <w:p>
            <w:r>
              <w:t>服务部分</w:t>
            </w:r>
          </w:p>
        </w:tc>
        <w:tc>
          <w:tcPr/>
          <w:p>
            <w:r>
              <w:t>运维附加服务</w:t>
            </w:r>
          </w:p>
        </w:tc>
        <w:tc>
          <w:tcPr/>
          <w:p>
            <w:r>
              <w:t>勾选打分</w:t>
            </w:r>
            <w:r>
              <w:t>(5)</w:t>
            </w:r>
          </w:p>
        </w:tc>
        <w:tc>
          <w:tcPr/>
          <w:p>
            <w:r>
              <w:t>评审标准：</w:t>
            </w:r>
          </w:p>
          <w:p>
            <w:r>
              <w:t>投标人承诺提供配套提供链路网管专家服务，监测全国MPLS-VPN节点，提供服务可视化页面，提供人工自动报障服务，得 5 分。否则不得分。</w:t>
            </w:r>
          </w:p>
          <w:p>
            <w:r>
              <w:t>评审标准说明：</w:t>
            </w:r>
          </w:p>
          <w:p>
            <w:r>
              <w:t>需提供承诺函（加盖投标人公章）。</w:t>
            </w:r>
          </w:p>
          <w:p/>
        </w:tc>
      </w:tr>
      <w:tr>
        <w:tblPrEx>
          <w:tblW w:w="5000" w:type="pct"/>
          <w:tblCellMar>
            <w:left w:w="108" w:type="dxa"/>
            <w:right w:w="108" w:type="dxa"/>
          </w:tblCellMar>
        </w:tblPrEx>
        <w:tc>
          <w:tcPr/>
          <w:p>
            <w:r>
              <w:t>12</w:t>
            </w:r>
          </w:p>
        </w:tc>
        <w:tc>
          <w:tcPr>
            <w:vMerge/>
          </w:tcPr>
          <w:p>
            <w:r>
              <w:t>服务部分</w:t>
            </w:r>
          </w:p>
        </w:tc>
        <w:tc>
          <w:tcPr/>
          <w:p>
            <w:r>
              <w:t>服务能力提升</w:t>
            </w:r>
          </w:p>
        </w:tc>
        <w:tc>
          <w:tcPr/>
          <w:p>
            <w:r>
              <w:t>勾选打分</w:t>
            </w:r>
            <w:r>
              <w:t>(3)</w:t>
            </w:r>
          </w:p>
        </w:tc>
        <w:tc>
          <w:tcPr/>
          <w:p>
            <w:r>
              <w:t>评审标准：</w:t>
            </w:r>
          </w:p>
          <w:p>
            <w:r>
              <w:t>（1）将宽带网线路1带宽免费升级至不低于5Gbps得1分；</w:t>
              <w:cr/>
              <w:t>（2）将宽带网线路2和宽带网线路4带宽免费升级至不低于500Mbps得1分；</w:t>
              <w:cr/>
              <w:t>（3）将宽带网线路3带宽免费升级至600Mbps得1分.</w:t>
              <w:cr/>
              <w:t>每满足1项得1分，本项最多得3分。</w:t>
            </w:r>
          </w:p>
          <w:p>
            <w:r>
              <w:t>评审标准说明：</w:t>
            </w:r>
          </w:p>
          <w:p>
            <w:r>
              <w:t>需提供承诺函（加盖投标人公章）。</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adjustRightInd w:val="0"/>
        <w:snapToGrid w:val="0"/>
        <w:spacing w:line="360" w:lineRule="auto"/>
        <w:ind w:firstLine="420" w:firstLineChars="200"/>
        <w:rPr>
          <w:rFonts w:ascii="Times New Roman" w:eastAsia="宋体" w:hAnsi="Times New Roman" w:cs="Times New Roman"/>
          <w:szCs w:val="20"/>
        </w:rPr>
      </w:pPr>
      <w:r>
        <w:rPr>
          <w:rFonts w:ascii="Times New Roman" w:eastAsia="宋体" w:hAnsi="Times New Roman" w:cs="Times New Roman" w:hint="eastAsia"/>
          <w:bCs/>
          <w:kern w:val="44"/>
          <w:szCs w:val="28"/>
        </w:rPr>
        <w:t>以下条款中打“★”号的条款为实质性响应条款，如投标人的《投标文件》中不满足任何一项实质性条款，为不实质性响应《招标文件》，其《投标文件》将被拒绝。</w:t>
      </w:r>
    </w:p>
    <w:p>
      <w:pPr>
        <w:adjustRightInd w:val="0"/>
        <w:snapToGrid w:val="0"/>
        <w:spacing w:line="360" w:lineRule="auto"/>
        <w:ind w:firstLine="420"/>
        <w:rPr>
          <w:rFonts w:ascii="宋体" w:eastAsia="宋体" w:hAnsi="宋体" w:cs="Times New Roman"/>
          <w:b/>
          <w:bCs/>
          <w:szCs w:val="44"/>
        </w:rPr>
      </w:pPr>
      <w:r>
        <w:rPr>
          <w:rFonts w:ascii="宋体" w:eastAsia="宋体" w:hAnsi="宋体" w:cs="Times New Roman" w:hint="eastAsia"/>
          <w:b/>
          <w:bCs/>
          <w:szCs w:val="44"/>
        </w:rPr>
        <w:t>一、项目概况及资格要求</w:t>
      </w:r>
    </w:p>
    <w:p>
      <w:pPr>
        <w:adjustRightInd w:val="0"/>
        <w:snapToGrid w:val="0"/>
        <w:spacing w:line="360" w:lineRule="auto"/>
        <w:ind w:firstLine="420"/>
        <w:rPr>
          <w:rFonts w:ascii="宋体" w:eastAsia="宋体" w:hAnsi="宋体" w:cs="Times New Roman"/>
          <w:b/>
          <w:bCs/>
          <w:szCs w:val="21"/>
        </w:rPr>
      </w:pPr>
      <w:r>
        <w:rPr>
          <w:rFonts w:ascii="宋体" w:eastAsia="宋体" w:hAnsi="宋体" w:cs="Times New Roman" w:hint="eastAsia"/>
          <w:b/>
          <w:bCs/>
          <w:szCs w:val="21"/>
        </w:rPr>
        <w:t>1、项目概述</w:t>
      </w:r>
    </w:p>
    <w:p>
      <w:pPr>
        <w:adjustRightInd w:val="0"/>
        <w:snapToGrid w:val="0"/>
        <w:spacing w:line="360" w:lineRule="auto"/>
        <w:ind w:firstLine="567"/>
        <w:textAlignment w:val="baseline"/>
        <w:rPr>
          <w:rFonts w:ascii="Times New Roman" w:eastAsia="宋体" w:hAnsi="Times New Roman" w:cs="Times New Roman"/>
          <w:bCs/>
          <w:kern w:val="44"/>
          <w:szCs w:val="28"/>
        </w:rPr>
      </w:pPr>
      <w:r>
        <w:rPr>
          <w:rFonts w:ascii="Times New Roman" w:eastAsia="宋体" w:hAnsi="Times New Roman" w:cs="Times New Roman" w:hint="eastAsia"/>
          <w:bCs/>
          <w:kern w:val="44"/>
          <w:szCs w:val="28"/>
        </w:rPr>
        <w:t>中国气象局气象数据传输网络系统电路租用服务</w:t>
      </w:r>
    </w:p>
    <w:p>
      <w:pPr>
        <w:adjustRightInd w:val="0"/>
        <w:snapToGrid w:val="0"/>
        <w:spacing w:line="360" w:lineRule="auto"/>
        <w:ind w:firstLine="420"/>
        <w:rPr>
          <w:rFonts w:ascii="宋体" w:eastAsia="宋体" w:hAnsi="宋体" w:cs="Times New Roman"/>
          <w:b/>
          <w:bCs/>
          <w:szCs w:val="21"/>
        </w:rPr>
      </w:pPr>
      <w:r>
        <w:rPr>
          <w:rFonts w:ascii="宋体" w:eastAsia="宋体" w:hAnsi="宋体" w:cs="Times New Roman" w:hint="eastAsia"/>
          <w:b/>
          <w:bCs/>
          <w:szCs w:val="21"/>
        </w:rPr>
        <w:t>2、资格要求</w:t>
      </w:r>
    </w:p>
    <w:p>
      <w:pPr>
        <w:adjustRightInd w:val="0"/>
        <w:snapToGrid w:val="0"/>
        <w:spacing w:line="360" w:lineRule="auto"/>
        <w:ind w:firstLine="567"/>
        <w:textAlignment w:val="baseline"/>
        <w:rPr>
          <w:rFonts w:ascii="Times New Roman" w:eastAsia="宋体" w:hAnsi="Times New Roman" w:cs="Times New Roman"/>
          <w:bCs/>
          <w:kern w:val="44"/>
          <w:szCs w:val="28"/>
        </w:rPr>
      </w:pPr>
      <w:r>
        <w:rPr>
          <w:rFonts w:ascii="Times New Roman" w:eastAsia="宋体" w:hAnsi="Times New Roman" w:cs="Times New Roman" w:hint="eastAsia"/>
          <w:bCs/>
          <w:kern w:val="44"/>
          <w:szCs w:val="28"/>
        </w:rPr>
        <w:t>满足《中华人民共和国政府采购法》第二十二条规定；</w:t>
      </w:r>
    </w:p>
    <w:p>
      <w:pPr>
        <w:adjustRightInd w:val="0"/>
        <w:snapToGrid w:val="0"/>
        <w:spacing w:line="360" w:lineRule="auto"/>
        <w:ind w:firstLine="567"/>
        <w:textAlignment w:val="baseline"/>
        <w:rPr>
          <w:rFonts w:ascii="Times New Roman" w:eastAsia="宋体" w:hAnsi="Times New Roman" w:cs="Times New Roman"/>
        </w:rPr>
      </w:pPr>
      <w:r>
        <w:rPr>
          <w:rFonts w:ascii="Times New Roman" w:eastAsia="宋体" w:hAnsi="Times New Roman" w:cs="Times New Roman" w:hint="eastAsia"/>
          <w:bCs/>
          <w:kern w:val="44"/>
          <w:szCs w:val="28"/>
        </w:rPr>
        <w:t>投标人必须为集团或总公司，不可以以分公司的名义参加政府采购活动。</w:t>
      </w:r>
      <w:r>
        <w:rPr>
          <w:rFonts w:ascii="Times New Roman" w:eastAsia="宋体" w:hAnsi="Times New Roman" w:cs="Times New Roman"/>
          <w:sz w:val="24"/>
          <w:szCs w:val="24"/>
        </w:rPr>
        <w:t xml:space="preserve"> </w:t>
      </w:r>
    </w:p>
    <w:p>
      <w:pPr>
        <w:numPr>
          <w:ilvl w:val="0"/>
          <w:numId w:val="4"/>
        </w:numPr>
        <w:adjustRightInd w:val="0"/>
        <w:snapToGrid w:val="0"/>
        <w:spacing w:line="360" w:lineRule="auto"/>
        <w:rPr>
          <w:rFonts w:ascii="宋体" w:eastAsia="宋体" w:hAnsi="宋体" w:cs="Times New Roman"/>
          <w:b/>
          <w:bCs/>
          <w:szCs w:val="44"/>
        </w:rPr>
      </w:pPr>
      <w:r>
        <w:rPr>
          <w:rFonts w:ascii="宋体" w:eastAsia="宋体" w:hAnsi="宋体" w:cs="Times New Roman" w:hint="eastAsia"/>
          <w:b/>
          <w:bCs/>
          <w:szCs w:val="44"/>
        </w:rPr>
        <w:t>服务需求</w:t>
      </w:r>
    </w:p>
    <w:p>
      <w:pPr>
        <w:adjustRightInd w:val="0"/>
        <w:snapToGrid w:val="0"/>
        <w:spacing w:line="360" w:lineRule="auto"/>
        <w:ind w:firstLine="480" w:firstLineChars="200"/>
        <w:rPr>
          <w:rFonts w:ascii="Times New Roman" w:eastAsia="宋体" w:hAnsi="Times New Roman" w:cs="Times New Roman"/>
          <w:szCs w:val="20"/>
        </w:rPr>
      </w:pPr>
      <w:r>
        <w:rPr>
          <w:rFonts w:ascii="宋体" w:eastAsia="宋体" w:hAnsi="宋体" w:cs="Times New Roman" w:hint="eastAsia"/>
          <w:sz w:val="24"/>
          <w:szCs w:val="24"/>
        </w:rPr>
        <w:t>1、服务需求</w:t>
      </w:r>
    </w:p>
    <w:tbl>
      <w:tblPr>
        <w:tblStyle w:val="TableNormal"/>
        <w:tblW w:w="9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6"/>
        <w:gridCol w:w="1707"/>
        <w:gridCol w:w="1210"/>
        <w:gridCol w:w="1037"/>
        <w:gridCol w:w="3568"/>
        <w:gridCol w:w="1718"/>
      </w:tblGrid>
      <w:tr>
        <w:tblPrEx>
          <w:tblW w:w="9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90"/>
          <w:jc w:val="center"/>
        </w:trPr>
        <w:tc>
          <w:tcPr>
            <w:tcW w:w="676"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微软雅黑" w:hint="eastAsia"/>
                <w:kern w:val="0"/>
                <w:szCs w:val="21"/>
              </w:rPr>
              <w:t>序号</w:t>
            </w:r>
          </w:p>
        </w:tc>
        <w:tc>
          <w:tcPr>
            <w:tcW w:w="1707"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微软雅黑" w:hint="eastAsia"/>
                <w:kern w:val="0"/>
                <w:szCs w:val="21"/>
              </w:rPr>
              <w:t>线路</w:t>
            </w:r>
            <w:r>
              <w:rPr>
                <w:rFonts w:ascii="宋体" w:eastAsia="宋体" w:hAnsi="宋体" w:cs="微软雅黑" w:hint="eastAsia"/>
                <w:spacing w:val="-2"/>
                <w:kern w:val="0"/>
                <w:szCs w:val="21"/>
              </w:rPr>
              <w:t>名</w:t>
            </w:r>
            <w:r>
              <w:rPr>
                <w:rFonts w:ascii="宋体" w:eastAsia="宋体" w:hAnsi="宋体" w:cs="微软雅黑" w:hint="eastAsia"/>
                <w:kern w:val="0"/>
                <w:szCs w:val="21"/>
              </w:rPr>
              <w:t>称</w:t>
            </w:r>
          </w:p>
        </w:tc>
        <w:tc>
          <w:tcPr>
            <w:tcW w:w="1210"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微软雅黑" w:hint="eastAsia"/>
                <w:kern w:val="0"/>
                <w:szCs w:val="21"/>
              </w:rPr>
              <w:t>带宽</w:t>
            </w:r>
          </w:p>
        </w:tc>
        <w:tc>
          <w:tcPr>
            <w:tcW w:w="1037" w:type="dxa"/>
            <w:vAlign w:val="center"/>
          </w:tcPr>
          <w:p>
            <w:pPr>
              <w:wordWrap w:val="0"/>
              <w:topLinePunct/>
              <w:adjustRightInd w:val="0"/>
              <w:snapToGrid w:val="0"/>
              <w:jc w:val="left"/>
              <w:rPr>
                <w:rFonts w:ascii="宋体" w:eastAsia="宋体" w:hAnsi="宋体" w:cs="微软雅黑"/>
                <w:kern w:val="0"/>
                <w:szCs w:val="21"/>
              </w:rPr>
            </w:pPr>
            <w:r>
              <w:rPr>
                <w:rFonts w:ascii="宋体" w:eastAsia="宋体" w:hAnsi="宋体" w:cs="微软雅黑" w:hint="eastAsia"/>
                <w:kern w:val="0"/>
                <w:szCs w:val="21"/>
              </w:rPr>
              <w:t>线路类型</w:t>
            </w:r>
          </w:p>
        </w:tc>
        <w:tc>
          <w:tcPr>
            <w:tcW w:w="3568" w:type="dxa"/>
            <w:vAlign w:val="center"/>
          </w:tcPr>
          <w:p>
            <w:pPr>
              <w:wordWrap w:val="0"/>
              <w:topLinePunct/>
              <w:adjustRightInd w:val="0"/>
              <w:snapToGrid w:val="0"/>
              <w:jc w:val="left"/>
              <w:rPr>
                <w:rFonts w:ascii="宋体" w:eastAsia="宋体" w:hAnsi="宋体" w:cs="微软雅黑"/>
                <w:kern w:val="0"/>
                <w:szCs w:val="21"/>
              </w:rPr>
            </w:pPr>
            <w:r>
              <w:rPr>
                <w:rFonts w:ascii="宋体" w:eastAsia="宋体" w:hAnsi="宋体" w:cs="微软雅黑"/>
                <w:kern w:val="0"/>
                <w:szCs w:val="21"/>
              </w:rPr>
              <w:t>QoS</w:t>
            </w:r>
          </w:p>
        </w:tc>
        <w:tc>
          <w:tcPr>
            <w:tcW w:w="1718"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微软雅黑" w:hint="eastAsia"/>
                <w:kern w:val="0"/>
                <w:szCs w:val="21"/>
              </w:rPr>
              <w:t>履约</w:t>
            </w:r>
            <w:r>
              <w:rPr>
                <w:rFonts w:ascii="宋体" w:eastAsia="宋体" w:hAnsi="宋体" w:cs="微软雅黑" w:hint="eastAsia"/>
                <w:spacing w:val="-2"/>
                <w:kern w:val="0"/>
                <w:szCs w:val="21"/>
              </w:rPr>
              <w:t>地</w:t>
            </w:r>
            <w:r>
              <w:rPr>
                <w:rFonts w:ascii="宋体" w:eastAsia="宋体" w:hAnsi="宋体" w:cs="微软雅黑" w:hint="eastAsia"/>
                <w:kern w:val="0"/>
                <w:szCs w:val="21"/>
              </w:rPr>
              <w:t>点</w:t>
            </w:r>
          </w:p>
        </w:tc>
      </w:tr>
      <w:tr>
        <w:tblPrEx>
          <w:tblW w:w="9916" w:type="dxa"/>
          <w:jc w:val="center"/>
          <w:tblLayout w:type="fixed"/>
          <w:tblCellMar>
            <w:top w:w="0" w:type="dxa"/>
            <w:left w:w="108" w:type="dxa"/>
            <w:bottom w:w="0" w:type="dxa"/>
            <w:right w:w="108" w:type="dxa"/>
          </w:tblCellMar>
        </w:tblPrEx>
        <w:trPr>
          <w:jc w:val="center"/>
        </w:trPr>
        <w:tc>
          <w:tcPr>
            <w:tcW w:w="676"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1</w:t>
            </w:r>
          </w:p>
        </w:tc>
        <w:tc>
          <w:tcPr>
            <w:tcW w:w="1707"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国家级主中心接入线路</w:t>
            </w:r>
          </w:p>
        </w:tc>
        <w:tc>
          <w:tcPr>
            <w:tcW w:w="1210"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不低于</w:t>
            </w:r>
          </w:p>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1.3</w:t>
            </w:r>
            <w:r>
              <w:rPr>
                <w:rFonts w:ascii="宋体" w:eastAsia="宋体" w:hAnsi="宋体" w:cs="Times New Roman"/>
                <w:kern w:val="0"/>
                <w:szCs w:val="21"/>
              </w:rPr>
              <w:t>Gbps</w:t>
            </w:r>
          </w:p>
        </w:tc>
        <w:tc>
          <w:tcPr>
            <w:tcW w:w="1037"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kern w:val="0"/>
                <w:szCs w:val="21"/>
              </w:rPr>
              <w:t>MPLS VPN</w:t>
            </w:r>
          </w:p>
        </w:tc>
        <w:tc>
          <w:tcPr>
            <w:tcW w:w="3568" w:type="dxa"/>
            <w:vAlign w:val="center"/>
          </w:tcPr>
          <w:p>
            <w:pPr>
              <w:wordWrap w:val="0"/>
              <w:topLinePunct/>
              <w:adjustRightInd w:val="0"/>
              <w:snapToGrid w:val="0"/>
              <w:jc w:val="left"/>
              <w:rPr>
                <w:rFonts w:ascii="宋体" w:eastAsia="宋体" w:hAnsi="宋体" w:cs="宋体"/>
                <w:color w:val="000000"/>
                <w:kern w:val="0"/>
                <w:szCs w:val="21"/>
              </w:rPr>
            </w:pPr>
            <w:r>
              <w:rPr>
                <w:rFonts w:ascii="宋体" w:eastAsia="宋体" w:hAnsi="宋体" w:cs="宋体" w:hint="eastAsia"/>
                <w:color w:val="000000"/>
                <w:kern w:val="0"/>
                <w:szCs w:val="21"/>
              </w:rPr>
              <w:t>配置应满足语音、视频、数据业务承载，具有高安全可靠性。</w:t>
            </w:r>
          </w:p>
          <w:p>
            <w:pPr>
              <w:wordWrap w:val="0"/>
              <w:topLinePunct/>
              <w:adjustRightInd w:val="0"/>
              <w:snapToGrid w:val="0"/>
              <w:jc w:val="left"/>
              <w:rPr>
                <w:rFonts w:ascii="宋体" w:eastAsia="宋体" w:hAnsi="宋体" w:cs="宋体"/>
                <w:color w:val="000000"/>
                <w:kern w:val="0"/>
                <w:szCs w:val="21"/>
              </w:rPr>
            </w:pPr>
            <w:r>
              <w:rPr>
                <w:rFonts w:ascii="宋体" w:eastAsia="宋体" w:hAnsi="宋体" w:cs="宋体" w:hint="eastAsia"/>
                <w:color w:val="000000"/>
                <w:kern w:val="0"/>
                <w:szCs w:val="21"/>
              </w:rPr>
              <w:t>视频</w:t>
            </w:r>
            <w:r>
              <w:rPr>
                <w:rFonts w:ascii="宋体" w:eastAsia="宋体" w:hAnsi="宋体" w:cs="宋体"/>
                <w:color w:val="000000"/>
                <w:kern w:val="0"/>
                <w:szCs w:val="21"/>
              </w:rPr>
              <w:t>业务分配最高等级，带宽占比5%；</w:t>
            </w:r>
          </w:p>
          <w:p>
            <w:pPr>
              <w:wordWrap w:val="0"/>
              <w:topLinePunct/>
              <w:adjustRightInd w:val="0"/>
              <w:snapToGrid w:val="0"/>
              <w:jc w:val="left"/>
              <w:rPr>
                <w:rFonts w:ascii="宋体" w:eastAsia="宋体" w:hAnsi="宋体" w:cs="宋体"/>
                <w:color w:val="000000"/>
                <w:kern w:val="0"/>
                <w:szCs w:val="21"/>
              </w:rPr>
            </w:pPr>
            <w:r>
              <w:rPr>
                <w:rFonts w:ascii="宋体" w:eastAsia="宋体" w:hAnsi="宋体" w:cs="宋体" w:hint="eastAsia"/>
                <w:color w:val="000000"/>
                <w:kern w:val="0"/>
                <w:szCs w:val="21"/>
              </w:rPr>
              <w:t>重要</w:t>
            </w:r>
            <w:r>
              <w:rPr>
                <w:rFonts w:ascii="宋体" w:eastAsia="宋体" w:hAnsi="宋体" w:cs="宋体"/>
                <w:color w:val="000000"/>
                <w:kern w:val="0"/>
                <w:szCs w:val="21"/>
              </w:rPr>
              <w:t>数据分配次高等级，带宽占比45%</w:t>
            </w:r>
            <w:r>
              <w:rPr>
                <w:rFonts w:ascii="宋体" w:eastAsia="宋体" w:hAnsi="宋体" w:cs="宋体" w:hint="eastAsia"/>
                <w:color w:val="000000"/>
                <w:kern w:val="0"/>
                <w:szCs w:val="21"/>
              </w:rPr>
              <w:t>；</w:t>
            </w:r>
          </w:p>
          <w:p>
            <w:pPr>
              <w:wordWrap w:val="0"/>
              <w:topLinePunct/>
              <w:adjustRightInd w:val="0"/>
              <w:snapToGrid w:val="0"/>
              <w:jc w:val="left"/>
              <w:rPr>
                <w:rFonts w:ascii="宋体" w:eastAsia="宋体" w:hAnsi="宋体" w:cs="宋体"/>
                <w:color w:val="000000"/>
                <w:kern w:val="0"/>
                <w:szCs w:val="21"/>
              </w:rPr>
            </w:pPr>
            <w:r>
              <w:rPr>
                <w:rFonts w:ascii="宋体" w:eastAsia="宋体" w:hAnsi="宋体" w:cs="宋体" w:hint="eastAsia"/>
                <w:color w:val="000000"/>
                <w:kern w:val="0"/>
                <w:szCs w:val="21"/>
              </w:rPr>
              <w:t>次重要</w:t>
            </w:r>
            <w:r>
              <w:rPr>
                <w:rFonts w:ascii="宋体" w:eastAsia="宋体" w:hAnsi="宋体" w:cs="宋体"/>
                <w:color w:val="000000"/>
                <w:kern w:val="0"/>
                <w:szCs w:val="21"/>
              </w:rPr>
              <w:t>数据分配</w:t>
            </w:r>
            <w:r>
              <w:rPr>
                <w:rFonts w:ascii="宋体" w:eastAsia="宋体" w:hAnsi="宋体" w:cs="宋体" w:hint="eastAsia"/>
                <w:color w:val="000000"/>
                <w:kern w:val="0"/>
                <w:szCs w:val="21"/>
              </w:rPr>
              <w:t>中</w:t>
            </w:r>
            <w:r>
              <w:rPr>
                <w:rFonts w:ascii="宋体" w:eastAsia="宋体" w:hAnsi="宋体" w:cs="宋体"/>
                <w:color w:val="000000"/>
                <w:kern w:val="0"/>
                <w:szCs w:val="21"/>
              </w:rPr>
              <w:t>等级，带宽占比30%；</w:t>
            </w:r>
          </w:p>
          <w:p>
            <w:pPr>
              <w:wordWrap w:val="0"/>
              <w:topLinePunct/>
              <w:adjustRightInd w:val="0"/>
              <w:snapToGrid w:val="0"/>
              <w:jc w:val="left"/>
              <w:rPr>
                <w:rFonts w:ascii="宋体" w:eastAsia="宋体" w:hAnsi="宋体" w:cs="Times New Roman"/>
                <w:kern w:val="0"/>
                <w:szCs w:val="21"/>
                <w:highlight w:val="yellow"/>
              </w:rPr>
            </w:pPr>
            <w:r>
              <w:rPr>
                <w:rFonts w:ascii="宋体" w:eastAsia="宋体" w:hAnsi="宋体" w:cs="宋体" w:hint="eastAsia"/>
                <w:color w:val="000000"/>
                <w:kern w:val="0"/>
                <w:szCs w:val="21"/>
              </w:rPr>
              <w:t>一般</w:t>
            </w:r>
            <w:r>
              <w:rPr>
                <w:rFonts w:ascii="宋体" w:eastAsia="宋体" w:hAnsi="宋体" w:cs="宋体"/>
                <w:color w:val="000000"/>
                <w:kern w:val="0"/>
                <w:szCs w:val="21"/>
              </w:rPr>
              <w:t>数据分配</w:t>
            </w:r>
            <w:r>
              <w:rPr>
                <w:rFonts w:ascii="宋体" w:eastAsia="宋体" w:hAnsi="宋体" w:cs="宋体" w:hint="eastAsia"/>
                <w:color w:val="000000"/>
                <w:kern w:val="0"/>
                <w:szCs w:val="21"/>
              </w:rPr>
              <w:t>普通</w:t>
            </w:r>
            <w:r>
              <w:rPr>
                <w:rFonts w:ascii="宋体" w:eastAsia="宋体" w:hAnsi="宋体" w:cs="宋体"/>
                <w:color w:val="000000"/>
                <w:kern w:val="0"/>
                <w:szCs w:val="21"/>
              </w:rPr>
              <w:t>等级，带宽占比20%；</w:t>
            </w:r>
          </w:p>
        </w:tc>
        <w:tc>
          <w:tcPr>
            <w:tcW w:w="1718" w:type="dxa"/>
          </w:tcPr>
          <w:p>
            <w:pPr>
              <w:wordWrap w:val="0"/>
              <w:topLinePunct/>
              <w:adjustRightInd w:val="0"/>
              <w:snapToGrid w:val="0"/>
              <w:jc w:val="left"/>
              <w:rPr>
                <w:rFonts w:ascii="宋体" w:eastAsia="宋体" w:hAnsi="宋体" w:cs="Times New Roman"/>
                <w:kern w:val="0"/>
                <w:szCs w:val="21"/>
              </w:rPr>
            </w:pPr>
            <w:r>
              <w:rPr>
                <w:rFonts w:ascii="Times New Roman" w:eastAsia="宋体" w:hAnsi="Times New Roman" w:cs="Times New Roman" w:hint="eastAsia"/>
                <w:szCs w:val="20"/>
              </w:rPr>
              <w:t>国家级主中心线路接入。履约地点：国家级主中心（北京）</w:t>
            </w:r>
          </w:p>
        </w:tc>
      </w:tr>
      <w:tr>
        <w:tblPrEx>
          <w:tblW w:w="9916" w:type="dxa"/>
          <w:jc w:val="center"/>
          <w:tblLayout w:type="fixed"/>
          <w:tblCellMar>
            <w:top w:w="0" w:type="dxa"/>
            <w:left w:w="108" w:type="dxa"/>
            <w:bottom w:w="0" w:type="dxa"/>
            <w:right w:w="108" w:type="dxa"/>
          </w:tblCellMar>
        </w:tblPrEx>
        <w:trPr>
          <w:trHeight w:val="603"/>
          <w:jc w:val="center"/>
        </w:trPr>
        <w:tc>
          <w:tcPr>
            <w:tcW w:w="676"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2</w:t>
            </w:r>
          </w:p>
        </w:tc>
        <w:tc>
          <w:tcPr>
            <w:tcW w:w="1707" w:type="dxa"/>
            <w:vAlign w:val="center"/>
          </w:tcPr>
          <w:p>
            <w:pPr>
              <w:wordWrap w:val="0"/>
              <w:topLinePunct/>
              <w:adjustRightInd w:val="0"/>
              <w:snapToGrid w:val="0"/>
              <w:jc w:val="left"/>
              <w:rPr>
                <w:rFonts w:ascii="宋体" w:eastAsia="宋体" w:hAnsi="宋体" w:cs="Times New Roman"/>
                <w:kern w:val="0"/>
                <w:szCs w:val="21"/>
              </w:rPr>
            </w:pPr>
            <w:r>
              <w:rPr>
                <w:rFonts w:ascii="Times New Roman" w:eastAsia="宋体" w:hAnsi="Times New Roman" w:cs="Times New Roman" w:hint="eastAsia"/>
                <w:bCs/>
                <w:kern w:val="44"/>
                <w:szCs w:val="28"/>
              </w:rPr>
              <w:t>备份中心接入线路</w:t>
            </w:r>
          </w:p>
        </w:tc>
        <w:tc>
          <w:tcPr>
            <w:tcW w:w="1210"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不低于</w:t>
            </w:r>
          </w:p>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4</w:t>
            </w:r>
            <w:r>
              <w:rPr>
                <w:rFonts w:ascii="宋体" w:eastAsia="宋体" w:hAnsi="宋体" w:cs="Times New Roman"/>
                <w:kern w:val="0"/>
                <w:szCs w:val="21"/>
              </w:rPr>
              <w:t>00Mbps</w:t>
            </w:r>
          </w:p>
        </w:tc>
        <w:tc>
          <w:tcPr>
            <w:tcW w:w="1037"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kern w:val="0"/>
                <w:szCs w:val="21"/>
              </w:rPr>
              <w:t>MPLS VPN</w:t>
            </w:r>
          </w:p>
        </w:tc>
        <w:tc>
          <w:tcPr>
            <w:tcW w:w="3568" w:type="dxa"/>
            <w:vAlign w:val="center"/>
          </w:tcPr>
          <w:p>
            <w:pPr>
              <w:wordWrap w:val="0"/>
              <w:topLinePunct/>
              <w:adjustRightInd w:val="0"/>
              <w:snapToGrid w:val="0"/>
              <w:jc w:val="left"/>
              <w:rPr>
                <w:rFonts w:ascii="宋体" w:eastAsia="宋体" w:hAnsi="宋体" w:cs="宋体"/>
                <w:color w:val="000000"/>
                <w:kern w:val="0"/>
                <w:szCs w:val="21"/>
              </w:rPr>
            </w:pPr>
            <w:r>
              <w:rPr>
                <w:rFonts w:ascii="宋体" w:eastAsia="宋体" w:hAnsi="宋体" w:cs="宋体" w:hint="eastAsia"/>
                <w:color w:val="000000"/>
                <w:kern w:val="0"/>
                <w:szCs w:val="21"/>
              </w:rPr>
              <w:t>配置应满足语音、视频、数据业务承载，具有高安全可靠性。</w:t>
            </w:r>
          </w:p>
          <w:p>
            <w:pPr>
              <w:wordWrap w:val="0"/>
              <w:topLinePunct/>
              <w:adjustRightInd w:val="0"/>
              <w:snapToGrid w:val="0"/>
              <w:jc w:val="left"/>
              <w:rPr>
                <w:rFonts w:ascii="宋体" w:eastAsia="宋体" w:hAnsi="宋体" w:cs="宋体"/>
                <w:color w:val="000000"/>
                <w:kern w:val="0"/>
                <w:szCs w:val="21"/>
              </w:rPr>
            </w:pPr>
            <w:r>
              <w:rPr>
                <w:rFonts w:ascii="宋体" w:eastAsia="宋体" w:hAnsi="宋体" w:cs="宋体" w:hint="eastAsia"/>
                <w:color w:val="000000"/>
                <w:kern w:val="0"/>
                <w:szCs w:val="21"/>
              </w:rPr>
              <w:t>视频</w:t>
            </w:r>
            <w:r>
              <w:rPr>
                <w:rFonts w:ascii="宋体" w:eastAsia="宋体" w:hAnsi="宋体" w:cs="宋体"/>
                <w:color w:val="000000"/>
                <w:kern w:val="0"/>
                <w:szCs w:val="21"/>
              </w:rPr>
              <w:t>业务分配最高等级，带宽占比5%；</w:t>
            </w:r>
          </w:p>
          <w:p>
            <w:pPr>
              <w:wordWrap w:val="0"/>
              <w:topLinePunct/>
              <w:adjustRightInd w:val="0"/>
              <w:snapToGrid w:val="0"/>
              <w:jc w:val="left"/>
              <w:rPr>
                <w:rFonts w:ascii="宋体" w:eastAsia="宋体" w:hAnsi="宋体" w:cs="宋体"/>
                <w:color w:val="000000"/>
                <w:kern w:val="0"/>
                <w:szCs w:val="21"/>
              </w:rPr>
            </w:pPr>
            <w:r>
              <w:rPr>
                <w:rFonts w:ascii="宋体" w:eastAsia="宋体" w:hAnsi="宋体" w:cs="宋体" w:hint="eastAsia"/>
                <w:color w:val="000000"/>
                <w:kern w:val="0"/>
                <w:szCs w:val="21"/>
              </w:rPr>
              <w:t>重要</w:t>
            </w:r>
            <w:r>
              <w:rPr>
                <w:rFonts w:ascii="宋体" w:eastAsia="宋体" w:hAnsi="宋体" w:cs="宋体"/>
                <w:color w:val="000000"/>
                <w:kern w:val="0"/>
                <w:szCs w:val="21"/>
              </w:rPr>
              <w:t>数据分配次高等级，带宽占比45%</w:t>
            </w:r>
            <w:r>
              <w:rPr>
                <w:rFonts w:ascii="宋体" w:eastAsia="宋体" w:hAnsi="宋体" w:cs="宋体" w:hint="eastAsia"/>
                <w:color w:val="000000"/>
                <w:kern w:val="0"/>
                <w:szCs w:val="21"/>
              </w:rPr>
              <w:t>；</w:t>
            </w:r>
          </w:p>
          <w:p>
            <w:pPr>
              <w:wordWrap w:val="0"/>
              <w:topLinePunct/>
              <w:adjustRightInd w:val="0"/>
              <w:snapToGrid w:val="0"/>
              <w:jc w:val="left"/>
              <w:rPr>
                <w:rFonts w:ascii="宋体" w:eastAsia="宋体" w:hAnsi="宋体" w:cs="宋体"/>
                <w:color w:val="000000"/>
                <w:kern w:val="0"/>
                <w:szCs w:val="21"/>
              </w:rPr>
            </w:pPr>
            <w:r>
              <w:rPr>
                <w:rFonts w:ascii="宋体" w:eastAsia="宋体" w:hAnsi="宋体" w:cs="宋体" w:hint="eastAsia"/>
                <w:color w:val="000000"/>
                <w:kern w:val="0"/>
                <w:szCs w:val="21"/>
              </w:rPr>
              <w:t>次重要</w:t>
            </w:r>
            <w:r>
              <w:rPr>
                <w:rFonts w:ascii="宋体" w:eastAsia="宋体" w:hAnsi="宋体" w:cs="宋体"/>
                <w:color w:val="000000"/>
                <w:kern w:val="0"/>
                <w:szCs w:val="21"/>
              </w:rPr>
              <w:t>数据分配</w:t>
            </w:r>
            <w:r>
              <w:rPr>
                <w:rFonts w:ascii="宋体" w:eastAsia="宋体" w:hAnsi="宋体" w:cs="宋体" w:hint="eastAsia"/>
                <w:color w:val="000000"/>
                <w:kern w:val="0"/>
                <w:szCs w:val="21"/>
              </w:rPr>
              <w:t>中</w:t>
            </w:r>
            <w:r>
              <w:rPr>
                <w:rFonts w:ascii="宋体" w:eastAsia="宋体" w:hAnsi="宋体" w:cs="宋体"/>
                <w:color w:val="000000"/>
                <w:kern w:val="0"/>
                <w:szCs w:val="21"/>
              </w:rPr>
              <w:t>等级，带宽占比30%；</w:t>
            </w:r>
          </w:p>
          <w:p>
            <w:pPr>
              <w:wordWrap w:val="0"/>
              <w:topLinePunct/>
              <w:adjustRightInd w:val="0"/>
              <w:snapToGrid w:val="0"/>
              <w:jc w:val="left"/>
              <w:rPr>
                <w:rFonts w:ascii="宋体" w:eastAsia="宋体" w:hAnsi="宋体" w:cs="Times New Roman"/>
                <w:kern w:val="0"/>
                <w:szCs w:val="21"/>
              </w:rPr>
            </w:pPr>
            <w:r>
              <w:rPr>
                <w:rFonts w:ascii="宋体" w:eastAsia="宋体" w:hAnsi="宋体" w:cs="宋体" w:hint="eastAsia"/>
                <w:color w:val="000000"/>
                <w:kern w:val="0"/>
                <w:szCs w:val="21"/>
              </w:rPr>
              <w:t>一般</w:t>
            </w:r>
            <w:r>
              <w:rPr>
                <w:rFonts w:ascii="宋体" w:eastAsia="宋体" w:hAnsi="宋体" w:cs="宋体"/>
                <w:color w:val="000000"/>
                <w:kern w:val="0"/>
                <w:szCs w:val="21"/>
              </w:rPr>
              <w:t>数据分配</w:t>
            </w:r>
            <w:r>
              <w:rPr>
                <w:rFonts w:ascii="宋体" w:eastAsia="宋体" w:hAnsi="宋体" w:cs="宋体" w:hint="eastAsia"/>
                <w:color w:val="000000"/>
                <w:kern w:val="0"/>
                <w:szCs w:val="21"/>
              </w:rPr>
              <w:t>普通</w:t>
            </w:r>
            <w:r>
              <w:rPr>
                <w:rFonts w:ascii="宋体" w:eastAsia="宋体" w:hAnsi="宋体" w:cs="宋体"/>
                <w:color w:val="000000"/>
                <w:kern w:val="0"/>
                <w:szCs w:val="21"/>
              </w:rPr>
              <w:t>等级，带宽占比20%；</w:t>
            </w:r>
          </w:p>
        </w:tc>
        <w:tc>
          <w:tcPr>
            <w:tcW w:w="1718" w:type="dxa"/>
          </w:tcPr>
          <w:p>
            <w:pPr>
              <w:wordWrap w:val="0"/>
              <w:topLinePunct/>
              <w:adjustRightInd w:val="0"/>
              <w:snapToGrid w:val="0"/>
              <w:jc w:val="left"/>
              <w:rPr>
                <w:rFonts w:ascii="宋体" w:eastAsia="宋体" w:hAnsi="宋体" w:cs="Times New Roman"/>
                <w:szCs w:val="21"/>
              </w:rPr>
            </w:pPr>
            <w:r>
              <w:rPr>
                <w:rFonts w:ascii="Times New Roman" w:eastAsia="宋体" w:hAnsi="Times New Roman" w:cs="Times New Roman" w:hint="eastAsia"/>
                <w:szCs w:val="20"/>
              </w:rPr>
              <w:t>备份中心接入线路。履约地点：陕西</w:t>
            </w:r>
          </w:p>
        </w:tc>
      </w:tr>
      <w:tr>
        <w:tblPrEx>
          <w:tblW w:w="9916" w:type="dxa"/>
          <w:jc w:val="center"/>
          <w:tblLayout w:type="fixed"/>
          <w:tblCellMar>
            <w:top w:w="0" w:type="dxa"/>
            <w:left w:w="108" w:type="dxa"/>
            <w:bottom w:w="0" w:type="dxa"/>
            <w:right w:w="108" w:type="dxa"/>
          </w:tblCellMar>
        </w:tblPrEx>
        <w:trPr>
          <w:jc w:val="center"/>
        </w:trPr>
        <w:tc>
          <w:tcPr>
            <w:tcW w:w="676"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3</w:t>
            </w:r>
          </w:p>
        </w:tc>
        <w:tc>
          <w:tcPr>
            <w:tcW w:w="1707"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区域中心接入线路</w:t>
            </w:r>
          </w:p>
        </w:tc>
        <w:tc>
          <w:tcPr>
            <w:tcW w:w="1210"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不低于</w:t>
            </w:r>
          </w:p>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200Mbps</w:t>
            </w:r>
          </w:p>
        </w:tc>
        <w:tc>
          <w:tcPr>
            <w:tcW w:w="1037"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kern w:val="0"/>
                <w:szCs w:val="21"/>
              </w:rPr>
              <w:t>MPLS VPN</w:t>
            </w:r>
          </w:p>
        </w:tc>
        <w:tc>
          <w:tcPr>
            <w:tcW w:w="3568"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配置应满足语音、视频、数据业务承载，具有高安全可靠性。</w:t>
            </w:r>
          </w:p>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视频</w:t>
            </w:r>
            <w:r>
              <w:rPr>
                <w:rFonts w:ascii="宋体" w:eastAsia="宋体" w:hAnsi="宋体" w:cs="Times New Roman"/>
                <w:kern w:val="0"/>
                <w:szCs w:val="21"/>
              </w:rPr>
              <w:t>业务分配最高等级，带宽占比5%；</w:t>
            </w:r>
          </w:p>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重要</w:t>
            </w:r>
            <w:r>
              <w:rPr>
                <w:rFonts w:ascii="宋体" w:eastAsia="宋体" w:hAnsi="宋体" w:cs="Times New Roman"/>
                <w:kern w:val="0"/>
                <w:szCs w:val="21"/>
              </w:rPr>
              <w:t>数据分配次高等级，带宽占比45%</w:t>
            </w:r>
            <w:r>
              <w:rPr>
                <w:rFonts w:ascii="宋体" w:eastAsia="宋体" w:hAnsi="宋体" w:cs="Times New Roman" w:hint="eastAsia"/>
                <w:kern w:val="0"/>
                <w:szCs w:val="21"/>
              </w:rPr>
              <w:t>；</w:t>
            </w:r>
          </w:p>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次重要</w:t>
            </w:r>
            <w:r>
              <w:rPr>
                <w:rFonts w:ascii="宋体" w:eastAsia="宋体" w:hAnsi="宋体" w:cs="Times New Roman"/>
                <w:kern w:val="0"/>
                <w:szCs w:val="21"/>
              </w:rPr>
              <w:t>数据分配</w:t>
            </w:r>
            <w:r>
              <w:rPr>
                <w:rFonts w:ascii="宋体" w:eastAsia="宋体" w:hAnsi="宋体" w:cs="Times New Roman" w:hint="eastAsia"/>
                <w:kern w:val="0"/>
                <w:szCs w:val="21"/>
              </w:rPr>
              <w:t>中</w:t>
            </w:r>
            <w:r>
              <w:rPr>
                <w:rFonts w:ascii="宋体" w:eastAsia="宋体" w:hAnsi="宋体" w:cs="Times New Roman"/>
                <w:kern w:val="0"/>
                <w:szCs w:val="21"/>
              </w:rPr>
              <w:t>等级，带宽占比30%；</w:t>
            </w:r>
          </w:p>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一般</w:t>
            </w:r>
            <w:r>
              <w:rPr>
                <w:rFonts w:ascii="宋体" w:eastAsia="宋体" w:hAnsi="宋体" w:cs="Times New Roman"/>
                <w:kern w:val="0"/>
                <w:szCs w:val="21"/>
              </w:rPr>
              <w:t>数据分配</w:t>
            </w:r>
            <w:r>
              <w:rPr>
                <w:rFonts w:ascii="宋体" w:eastAsia="宋体" w:hAnsi="宋体" w:cs="Times New Roman" w:hint="eastAsia"/>
                <w:kern w:val="0"/>
                <w:szCs w:val="21"/>
              </w:rPr>
              <w:t>普通</w:t>
            </w:r>
            <w:r>
              <w:rPr>
                <w:rFonts w:ascii="宋体" w:eastAsia="宋体" w:hAnsi="宋体" w:cs="Times New Roman"/>
                <w:kern w:val="0"/>
                <w:szCs w:val="21"/>
              </w:rPr>
              <w:t>等级，带宽占比20%；</w:t>
            </w:r>
          </w:p>
        </w:tc>
        <w:tc>
          <w:tcPr>
            <w:tcW w:w="1718" w:type="dxa"/>
          </w:tcPr>
          <w:p>
            <w:pPr>
              <w:wordWrap w:val="0"/>
              <w:topLinePunct/>
              <w:adjustRightInd w:val="0"/>
              <w:snapToGrid w:val="0"/>
              <w:jc w:val="left"/>
              <w:rPr>
                <w:rFonts w:ascii="宋体" w:eastAsia="宋体" w:hAnsi="宋体" w:cs="Times New Roman"/>
                <w:kern w:val="0"/>
                <w:szCs w:val="21"/>
              </w:rPr>
            </w:pPr>
            <w:r>
              <w:rPr>
                <w:rFonts w:ascii="Times New Roman" w:eastAsia="宋体" w:hAnsi="Times New Roman" w:cs="Times New Roman" w:hint="eastAsia"/>
                <w:szCs w:val="20"/>
              </w:rPr>
              <w:t>区域中心接入线路。履约地点：辽宁、上海、广东、四川、湖北、甘肃、新疆、北京</w:t>
            </w:r>
          </w:p>
        </w:tc>
      </w:tr>
      <w:tr>
        <w:tblPrEx>
          <w:tblW w:w="9916" w:type="dxa"/>
          <w:jc w:val="center"/>
          <w:tblLayout w:type="fixed"/>
          <w:tblCellMar>
            <w:top w:w="0" w:type="dxa"/>
            <w:left w:w="108" w:type="dxa"/>
            <w:bottom w:w="0" w:type="dxa"/>
            <w:right w:w="108" w:type="dxa"/>
          </w:tblCellMar>
        </w:tblPrEx>
        <w:trPr>
          <w:jc w:val="center"/>
        </w:trPr>
        <w:tc>
          <w:tcPr>
            <w:tcW w:w="676"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4</w:t>
            </w:r>
          </w:p>
        </w:tc>
        <w:tc>
          <w:tcPr>
            <w:tcW w:w="1707"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普通省接入线路</w:t>
            </w:r>
          </w:p>
        </w:tc>
        <w:tc>
          <w:tcPr>
            <w:tcW w:w="1210"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不低于</w:t>
            </w:r>
          </w:p>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160</w:t>
            </w:r>
            <w:r>
              <w:rPr>
                <w:rFonts w:ascii="宋体" w:eastAsia="宋体" w:hAnsi="宋体" w:cs="Times New Roman"/>
                <w:kern w:val="0"/>
                <w:szCs w:val="21"/>
              </w:rPr>
              <w:t>Mbps</w:t>
            </w:r>
          </w:p>
        </w:tc>
        <w:tc>
          <w:tcPr>
            <w:tcW w:w="1037"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kern w:val="0"/>
                <w:szCs w:val="21"/>
              </w:rPr>
              <w:t>MPLS VPN</w:t>
            </w:r>
          </w:p>
        </w:tc>
        <w:tc>
          <w:tcPr>
            <w:tcW w:w="3568"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配置应满足语音、视频、数据业务承载，具有高安全可靠性。</w:t>
            </w:r>
          </w:p>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视频</w:t>
            </w:r>
            <w:r>
              <w:rPr>
                <w:rFonts w:ascii="宋体" w:eastAsia="宋体" w:hAnsi="宋体" w:cs="Times New Roman"/>
                <w:kern w:val="0"/>
                <w:szCs w:val="21"/>
              </w:rPr>
              <w:t>业务分配最高等级，带宽占比5%；</w:t>
            </w:r>
          </w:p>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重要</w:t>
            </w:r>
            <w:r>
              <w:rPr>
                <w:rFonts w:ascii="宋体" w:eastAsia="宋体" w:hAnsi="宋体" w:cs="Times New Roman"/>
                <w:kern w:val="0"/>
                <w:szCs w:val="21"/>
              </w:rPr>
              <w:t>数据分配次高等级，带宽占比45%</w:t>
            </w:r>
            <w:r>
              <w:rPr>
                <w:rFonts w:ascii="宋体" w:eastAsia="宋体" w:hAnsi="宋体" w:cs="Times New Roman" w:hint="eastAsia"/>
                <w:kern w:val="0"/>
                <w:szCs w:val="21"/>
              </w:rPr>
              <w:t>；</w:t>
            </w:r>
          </w:p>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次重要</w:t>
            </w:r>
            <w:r>
              <w:rPr>
                <w:rFonts w:ascii="宋体" w:eastAsia="宋体" w:hAnsi="宋体" w:cs="Times New Roman"/>
                <w:kern w:val="0"/>
                <w:szCs w:val="21"/>
              </w:rPr>
              <w:t>数据分配</w:t>
            </w:r>
            <w:r>
              <w:rPr>
                <w:rFonts w:ascii="宋体" w:eastAsia="宋体" w:hAnsi="宋体" w:cs="Times New Roman" w:hint="eastAsia"/>
                <w:kern w:val="0"/>
                <w:szCs w:val="21"/>
              </w:rPr>
              <w:t>中</w:t>
            </w:r>
            <w:r>
              <w:rPr>
                <w:rFonts w:ascii="宋体" w:eastAsia="宋体" w:hAnsi="宋体" w:cs="Times New Roman"/>
                <w:kern w:val="0"/>
                <w:szCs w:val="21"/>
              </w:rPr>
              <w:t>等级，带宽占比30%；</w:t>
            </w:r>
          </w:p>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一般</w:t>
            </w:r>
            <w:r>
              <w:rPr>
                <w:rFonts w:ascii="宋体" w:eastAsia="宋体" w:hAnsi="宋体" w:cs="Times New Roman"/>
                <w:kern w:val="0"/>
                <w:szCs w:val="21"/>
              </w:rPr>
              <w:t>数据分配</w:t>
            </w:r>
            <w:r>
              <w:rPr>
                <w:rFonts w:ascii="宋体" w:eastAsia="宋体" w:hAnsi="宋体" w:cs="Times New Roman" w:hint="eastAsia"/>
                <w:kern w:val="0"/>
                <w:szCs w:val="21"/>
              </w:rPr>
              <w:t>普通</w:t>
            </w:r>
            <w:r>
              <w:rPr>
                <w:rFonts w:ascii="宋体" w:eastAsia="宋体" w:hAnsi="宋体" w:cs="Times New Roman"/>
                <w:kern w:val="0"/>
                <w:szCs w:val="21"/>
              </w:rPr>
              <w:t>等级，带宽占比20%；</w:t>
            </w:r>
          </w:p>
        </w:tc>
        <w:tc>
          <w:tcPr>
            <w:tcW w:w="1718" w:type="dxa"/>
          </w:tcPr>
          <w:p>
            <w:pPr>
              <w:wordWrap w:val="0"/>
              <w:topLinePunct/>
              <w:adjustRightInd w:val="0"/>
              <w:snapToGrid w:val="0"/>
              <w:jc w:val="left"/>
              <w:rPr>
                <w:rFonts w:ascii="宋体" w:eastAsia="宋体" w:hAnsi="宋体" w:cs="Times New Roman"/>
                <w:kern w:val="0"/>
                <w:szCs w:val="21"/>
              </w:rPr>
            </w:pPr>
            <w:r>
              <w:rPr>
                <w:rFonts w:ascii="Times New Roman" w:eastAsia="宋体" w:hAnsi="Times New Roman" w:cs="Times New Roman" w:hint="eastAsia"/>
                <w:szCs w:val="20"/>
              </w:rPr>
              <w:t>普通省接入线路。履约地点：福建、重庆、山西、浙江、河南、云南、黑龙江、贵州、湖南、广西、江苏、青海、天津、吉林、内蒙古、西藏、宁夏、海南、山东、江西、河北、安徽</w:t>
            </w:r>
          </w:p>
        </w:tc>
      </w:tr>
      <w:tr>
        <w:tblPrEx>
          <w:tblW w:w="9916" w:type="dxa"/>
          <w:jc w:val="center"/>
          <w:tblLayout w:type="fixed"/>
          <w:tblCellMar>
            <w:top w:w="0" w:type="dxa"/>
            <w:left w:w="108" w:type="dxa"/>
            <w:bottom w:w="0" w:type="dxa"/>
            <w:right w:w="108" w:type="dxa"/>
          </w:tblCellMar>
        </w:tblPrEx>
        <w:trPr>
          <w:jc w:val="center"/>
        </w:trPr>
        <w:tc>
          <w:tcPr>
            <w:tcW w:w="676"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5</w:t>
            </w:r>
          </w:p>
        </w:tc>
        <w:tc>
          <w:tcPr>
            <w:tcW w:w="1707"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广域网专线</w:t>
            </w:r>
          </w:p>
        </w:tc>
        <w:tc>
          <w:tcPr>
            <w:tcW w:w="1210"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不低于4Gbps</w:t>
            </w:r>
          </w:p>
        </w:tc>
        <w:tc>
          <w:tcPr>
            <w:tcW w:w="1037"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广域网</w:t>
            </w:r>
          </w:p>
        </w:tc>
        <w:tc>
          <w:tcPr>
            <w:tcW w:w="3568"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w:t>
            </w:r>
          </w:p>
        </w:tc>
        <w:tc>
          <w:tcPr>
            <w:tcW w:w="1718" w:type="dxa"/>
          </w:tcPr>
          <w:p>
            <w:pPr>
              <w:wordWrap w:val="0"/>
              <w:topLinePunct/>
              <w:adjustRightInd w:val="0"/>
              <w:snapToGrid w:val="0"/>
              <w:jc w:val="left"/>
              <w:rPr>
                <w:rFonts w:ascii="宋体" w:eastAsia="宋体" w:hAnsi="宋体" w:cs="Times New Roman"/>
                <w:kern w:val="0"/>
                <w:szCs w:val="21"/>
              </w:rPr>
            </w:pPr>
            <w:r>
              <w:rPr>
                <w:rFonts w:ascii="Times New Roman" w:eastAsia="宋体" w:hAnsi="Times New Roman" w:cs="Times New Roman" w:hint="eastAsia"/>
                <w:szCs w:val="20"/>
              </w:rPr>
              <w:t>履约地点：国家级主中心（北京）</w:t>
            </w:r>
          </w:p>
        </w:tc>
      </w:tr>
      <w:tr>
        <w:tblPrEx>
          <w:tblW w:w="9916" w:type="dxa"/>
          <w:jc w:val="center"/>
          <w:tblLayout w:type="fixed"/>
          <w:tblCellMar>
            <w:top w:w="0" w:type="dxa"/>
            <w:left w:w="108" w:type="dxa"/>
            <w:bottom w:w="0" w:type="dxa"/>
            <w:right w:w="108" w:type="dxa"/>
          </w:tblCellMar>
        </w:tblPrEx>
        <w:trPr>
          <w:trHeight w:val="514"/>
          <w:jc w:val="center"/>
        </w:trPr>
        <w:tc>
          <w:tcPr>
            <w:tcW w:w="676" w:type="dxa"/>
            <w:vMerge w:val="restart"/>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6</w:t>
            </w:r>
          </w:p>
        </w:tc>
        <w:tc>
          <w:tcPr>
            <w:tcW w:w="1707" w:type="dxa"/>
            <w:vMerge w:val="restart"/>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国际线路</w:t>
            </w:r>
          </w:p>
        </w:tc>
        <w:tc>
          <w:tcPr>
            <w:tcW w:w="1210"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64K</w:t>
            </w:r>
          </w:p>
        </w:tc>
        <w:tc>
          <w:tcPr>
            <w:tcW w:w="1037"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北京-乌兰巴托D</w:t>
            </w:r>
            <w:r>
              <w:rPr>
                <w:rFonts w:ascii="宋体" w:eastAsia="宋体" w:hAnsi="宋体" w:cs="Times New Roman"/>
                <w:kern w:val="0"/>
                <w:szCs w:val="21"/>
              </w:rPr>
              <w:t>DN</w:t>
            </w:r>
            <w:r>
              <w:rPr>
                <w:rFonts w:ascii="宋体" w:eastAsia="宋体" w:hAnsi="宋体" w:cs="Times New Roman" w:hint="eastAsia"/>
                <w:kern w:val="0"/>
                <w:szCs w:val="21"/>
              </w:rPr>
              <w:t>国际线路</w:t>
            </w:r>
          </w:p>
        </w:tc>
        <w:tc>
          <w:tcPr>
            <w:tcW w:w="3568"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w:t>
            </w:r>
          </w:p>
        </w:tc>
        <w:tc>
          <w:tcPr>
            <w:tcW w:w="1718" w:type="dxa"/>
          </w:tcPr>
          <w:p>
            <w:pPr>
              <w:wordWrap w:val="0"/>
              <w:topLinePunct/>
              <w:adjustRightInd w:val="0"/>
              <w:snapToGrid w:val="0"/>
              <w:jc w:val="left"/>
              <w:rPr>
                <w:rFonts w:ascii="宋体" w:eastAsia="宋体" w:hAnsi="宋体" w:cs="Times New Roman"/>
                <w:kern w:val="0"/>
                <w:szCs w:val="21"/>
              </w:rPr>
            </w:pPr>
            <w:r>
              <w:rPr>
                <w:rFonts w:ascii="Times New Roman" w:eastAsia="宋体" w:hAnsi="Times New Roman" w:cs="Times New Roman" w:hint="eastAsia"/>
                <w:szCs w:val="20"/>
              </w:rPr>
              <w:t>国家级主中心（北京），国内边境落地点：内蒙古二连浩特边境站传输机房</w:t>
            </w:r>
          </w:p>
        </w:tc>
      </w:tr>
      <w:tr>
        <w:tblPrEx>
          <w:tblW w:w="9916" w:type="dxa"/>
          <w:jc w:val="center"/>
          <w:tblLayout w:type="fixed"/>
          <w:tblCellMar>
            <w:top w:w="0" w:type="dxa"/>
            <w:left w:w="108" w:type="dxa"/>
            <w:bottom w:w="0" w:type="dxa"/>
            <w:right w:w="108" w:type="dxa"/>
          </w:tblCellMar>
        </w:tblPrEx>
        <w:trPr>
          <w:trHeight w:val="514"/>
          <w:jc w:val="center"/>
        </w:trPr>
        <w:tc>
          <w:tcPr>
            <w:tcW w:w="676" w:type="dxa"/>
            <w:vMerge/>
            <w:vAlign w:val="center"/>
          </w:tcPr>
          <w:p>
            <w:pPr>
              <w:wordWrap w:val="0"/>
              <w:topLinePunct/>
              <w:adjustRightInd w:val="0"/>
              <w:snapToGrid w:val="0"/>
              <w:jc w:val="left"/>
              <w:rPr>
                <w:rFonts w:ascii="宋体" w:eastAsia="宋体" w:hAnsi="宋体" w:cs="Times New Roman"/>
                <w:kern w:val="0"/>
                <w:szCs w:val="21"/>
              </w:rPr>
            </w:pPr>
          </w:p>
        </w:tc>
        <w:tc>
          <w:tcPr>
            <w:tcW w:w="1707" w:type="dxa"/>
            <w:vMerge/>
            <w:vAlign w:val="center"/>
          </w:tcPr>
          <w:p>
            <w:pPr>
              <w:wordWrap w:val="0"/>
              <w:topLinePunct/>
              <w:adjustRightInd w:val="0"/>
              <w:snapToGrid w:val="0"/>
              <w:jc w:val="left"/>
              <w:rPr>
                <w:rFonts w:ascii="宋体" w:eastAsia="宋体" w:hAnsi="宋体" w:cs="Times New Roman"/>
                <w:kern w:val="0"/>
                <w:szCs w:val="21"/>
              </w:rPr>
            </w:pPr>
          </w:p>
        </w:tc>
        <w:tc>
          <w:tcPr>
            <w:tcW w:w="1210"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64K</w:t>
            </w:r>
          </w:p>
        </w:tc>
        <w:tc>
          <w:tcPr>
            <w:tcW w:w="1037"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北京-河内DDN国际线路</w:t>
            </w:r>
          </w:p>
        </w:tc>
        <w:tc>
          <w:tcPr>
            <w:tcW w:w="3568"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w:t>
            </w:r>
          </w:p>
        </w:tc>
        <w:tc>
          <w:tcPr>
            <w:tcW w:w="1718" w:type="dxa"/>
          </w:tcPr>
          <w:p>
            <w:pPr>
              <w:wordWrap w:val="0"/>
              <w:topLinePunct/>
              <w:adjustRightInd w:val="0"/>
              <w:snapToGrid w:val="0"/>
              <w:jc w:val="left"/>
              <w:rPr>
                <w:rFonts w:ascii="宋体" w:eastAsia="宋体" w:hAnsi="宋体" w:cs="Times New Roman"/>
                <w:kern w:val="0"/>
                <w:szCs w:val="21"/>
              </w:rPr>
            </w:pPr>
            <w:r>
              <w:rPr>
                <w:rFonts w:ascii="Times New Roman" w:eastAsia="宋体" w:hAnsi="Times New Roman" w:cs="Times New Roman" w:hint="eastAsia"/>
                <w:szCs w:val="20"/>
              </w:rPr>
              <w:t>国家级主中心（北京），国内边境落地点：广西凭祥南山边境站传输机房</w:t>
            </w:r>
          </w:p>
        </w:tc>
      </w:tr>
      <w:tr>
        <w:tblPrEx>
          <w:tblW w:w="9916" w:type="dxa"/>
          <w:jc w:val="center"/>
          <w:tblLayout w:type="fixed"/>
          <w:tblCellMar>
            <w:top w:w="0" w:type="dxa"/>
            <w:left w:w="108" w:type="dxa"/>
            <w:bottom w:w="0" w:type="dxa"/>
            <w:right w:w="108" w:type="dxa"/>
          </w:tblCellMar>
        </w:tblPrEx>
        <w:trPr>
          <w:trHeight w:val="514"/>
          <w:jc w:val="center"/>
        </w:trPr>
        <w:tc>
          <w:tcPr>
            <w:tcW w:w="676" w:type="dxa"/>
            <w:vMerge/>
            <w:vAlign w:val="center"/>
          </w:tcPr>
          <w:p>
            <w:pPr>
              <w:wordWrap w:val="0"/>
              <w:topLinePunct/>
              <w:adjustRightInd w:val="0"/>
              <w:snapToGrid w:val="0"/>
              <w:jc w:val="left"/>
              <w:rPr>
                <w:rFonts w:ascii="宋体" w:eastAsia="宋体" w:hAnsi="宋体" w:cs="Times New Roman"/>
                <w:kern w:val="0"/>
                <w:szCs w:val="21"/>
              </w:rPr>
            </w:pPr>
          </w:p>
        </w:tc>
        <w:tc>
          <w:tcPr>
            <w:tcW w:w="1707" w:type="dxa"/>
            <w:vMerge/>
            <w:vAlign w:val="center"/>
          </w:tcPr>
          <w:p>
            <w:pPr>
              <w:wordWrap w:val="0"/>
              <w:topLinePunct/>
              <w:adjustRightInd w:val="0"/>
              <w:snapToGrid w:val="0"/>
              <w:jc w:val="left"/>
              <w:rPr>
                <w:rFonts w:ascii="宋体" w:eastAsia="宋体" w:hAnsi="宋体" w:cs="Times New Roman"/>
                <w:kern w:val="0"/>
                <w:szCs w:val="21"/>
              </w:rPr>
            </w:pPr>
          </w:p>
        </w:tc>
        <w:tc>
          <w:tcPr>
            <w:tcW w:w="1210"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64K</w:t>
            </w:r>
          </w:p>
        </w:tc>
        <w:tc>
          <w:tcPr>
            <w:tcW w:w="1037"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北京-平壤DDN国际线路</w:t>
            </w:r>
          </w:p>
        </w:tc>
        <w:tc>
          <w:tcPr>
            <w:tcW w:w="3568"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w:t>
            </w:r>
          </w:p>
        </w:tc>
        <w:tc>
          <w:tcPr>
            <w:tcW w:w="1718" w:type="dxa"/>
          </w:tcPr>
          <w:p>
            <w:pPr>
              <w:wordWrap w:val="0"/>
              <w:topLinePunct/>
              <w:adjustRightInd w:val="0"/>
              <w:snapToGrid w:val="0"/>
              <w:jc w:val="left"/>
              <w:rPr>
                <w:rFonts w:ascii="宋体" w:eastAsia="宋体" w:hAnsi="宋体" w:cs="Times New Roman"/>
                <w:kern w:val="0"/>
                <w:szCs w:val="21"/>
              </w:rPr>
            </w:pPr>
            <w:r>
              <w:rPr>
                <w:rFonts w:ascii="Times New Roman" w:eastAsia="宋体" w:hAnsi="Times New Roman" w:cs="Times New Roman" w:hint="eastAsia"/>
                <w:szCs w:val="20"/>
              </w:rPr>
              <w:t>国家级主中心（北京），国内边境落地点：辽宁丹东边境站传输机房</w:t>
            </w:r>
          </w:p>
        </w:tc>
      </w:tr>
      <w:tr>
        <w:tblPrEx>
          <w:tblW w:w="9916" w:type="dxa"/>
          <w:jc w:val="center"/>
          <w:tblLayout w:type="fixed"/>
          <w:tblCellMar>
            <w:top w:w="0" w:type="dxa"/>
            <w:left w:w="108" w:type="dxa"/>
            <w:bottom w:w="0" w:type="dxa"/>
            <w:right w:w="108" w:type="dxa"/>
          </w:tblCellMar>
        </w:tblPrEx>
        <w:trPr>
          <w:trHeight w:val="514"/>
          <w:jc w:val="center"/>
        </w:trPr>
        <w:tc>
          <w:tcPr>
            <w:tcW w:w="676" w:type="dxa"/>
            <w:vMerge w:val="restart"/>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7</w:t>
            </w:r>
          </w:p>
        </w:tc>
        <w:tc>
          <w:tcPr>
            <w:tcW w:w="1707" w:type="dxa"/>
            <w:vMerge w:val="restart"/>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管道光纤</w:t>
            </w:r>
          </w:p>
        </w:tc>
        <w:tc>
          <w:tcPr>
            <w:tcW w:w="1210"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w:t>
            </w:r>
          </w:p>
        </w:tc>
        <w:tc>
          <w:tcPr>
            <w:tcW w:w="1037"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裸光</w:t>
            </w:r>
          </w:p>
        </w:tc>
        <w:tc>
          <w:tcPr>
            <w:tcW w:w="3568"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w:t>
            </w:r>
          </w:p>
        </w:tc>
        <w:tc>
          <w:tcPr>
            <w:tcW w:w="1718" w:type="dxa"/>
          </w:tcPr>
          <w:p>
            <w:pPr>
              <w:wordWrap w:val="0"/>
              <w:topLinePunct/>
              <w:adjustRightInd w:val="0"/>
              <w:snapToGrid w:val="0"/>
              <w:jc w:val="left"/>
              <w:rPr>
                <w:rFonts w:ascii="宋体" w:eastAsia="宋体" w:hAnsi="宋体" w:cs="Times New Roman"/>
                <w:kern w:val="0"/>
                <w:szCs w:val="21"/>
              </w:rPr>
            </w:pPr>
            <w:r>
              <w:rPr>
                <w:rFonts w:ascii="Times New Roman" w:eastAsia="宋体" w:hAnsi="Times New Roman" w:cs="Times New Roman" w:hint="eastAsia"/>
                <w:szCs w:val="20"/>
              </w:rPr>
              <w:t>管道光纤。中国气象局至中南海管道</w:t>
            </w:r>
          </w:p>
        </w:tc>
      </w:tr>
      <w:tr>
        <w:tblPrEx>
          <w:tblW w:w="9916" w:type="dxa"/>
          <w:jc w:val="center"/>
          <w:tblLayout w:type="fixed"/>
          <w:tblCellMar>
            <w:top w:w="0" w:type="dxa"/>
            <w:left w:w="108" w:type="dxa"/>
            <w:bottom w:w="0" w:type="dxa"/>
            <w:right w:w="108" w:type="dxa"/>
          </w:tblCellMar>
        </w:tblPrEx>
        <w:trPr>
          <w:trHeight w:val="514"/>
          <w:jc w:val="center"/>
        </w:trPr>
        <w:tc>
          <w:tcPr>
            <w:tcW w:w="676" w:type="dxa"/>
            <w:vMerge/>
            <w:vAlign w:val="center"/>
          </w:tcPr>
          <w:p>
            <w:pPr>
              <w:wordWrap w:val="0"/>
              <w:topLinePunct/>
              <w:adjustRightInd w:val="0"/>
              <w:snapToGrid w:val="0"/>
              <w:jc w:val="left"/>
              <w:rPr>
                <w:rFonts w:ascii="宋体" w:eastAsia="宋体" w:hAnsi="宋体" w:cs="Times New Roman"/>
                <w:kern w:val="0"/>
                <w:szCs w:val="21"/>
              </w:rPr>
            </w:pPr>
          </w:p>
        </w:tc>
        <w:tc>
          <w:tcPr>
            <w:tcW w:w="1707" w:type="dxa"/>
            <w:vMerge/>
            <w:vAlign w:val="center"/>
          </w:tcPr>
          <w:p>
            <w:pPr>
              <w:wordWrap w:val="0"/>
              <w:topLinePunct/>
              <w:adjustRightInd w:val="0"/>
              <w:snapToGrid w:val="0"/>
              <w:jc w:val="left"/>
              <w:rPr>
                <w:rFonts w:ascii="宋体" w:eastAsia="宋体" w:hAnsi="宋体" w:cs="Times New Roman"/>
                <w:kern w:val="0"/>
                <w:szCs w:val="21"/>
              </w:rPr>
            </w:pPr>
          </w:p>
        </w:tc>
        <w:tc>
          <w:tcPr>
            <w:tcW w:w="1210"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w:t>
            </w:r>
          </w:p>
        </w:tc>
        <w:tc>
          <w:tcPr>
            <w:tcW w:w="1037"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裸光</w:t>
            </w:r>
          </w:p>
        </w:tc>
        <w:tc>
          <w:tcPr>
            <w:tcW w:w="3568" w:type="dxa"/>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w:t>
            </w:r>
          </w:p>
        </w:tc>
        <w:tc>
          <w:tcPr>
            <w:tcW w:w="1718" w:type="dxa"/>
          </w:tcPr>
          <w:p>
            <w:pPr>
              <w:wordWrap w:val="0"/>
              <w:topLinePunct/>
              <w:adjustRightInd w:val="0"/>
              <w:snapToGrid w:val="0"/>
              <w:jc w:val="left"/>
              <w:rPr>
                <w:rFonts w:ascii="宋体" w:eastAsia="宋体" w:hAnsi="宋体" w:cs="Times New Roman"/>
                <w:kern w:val="0"/>
                <w:szCs w:val="21"/>
              </w:rPr>
            </w:pPr>
            <w:r>
              <w:rPr>
                <w:rFonts w:ascii="Times New Roman" w:eastAsia="宋体" w:hAnsi="Times New Roman" w:cs="Times New Roman" w:hint="eastAsia"/>
                <w:szCs w:val="20"/>
              </w:rPr>
              <w:t>管道光纤。中国气象局至民族大学南路管道</w:t>
            </w:r>
          </w:p>
        </w:tc>
      </w:tr>
    </w:tbl>
    <w:p>
      <w:pPr>
        <w:widowControl/>
        <w:adjustRightInd w:val="0"/>
        <w:snapToGrid w:val="0"/>
        <w:spacing w:before="156" w:beforeLines="50" w:line="360" w:lineRule="auto"/>
        <w:ind w:firstLine="480" w:firstLineChars="200"/>
        <w:rPr>
          <w:rFonts w:ascii="宋体" w:eastAsia="宋体" w:hAnsi="宋体" w:cs="Times New Roman"/>
          <w:szCs w:val="20"/>
        </w:rPr>
      </w:pPr>
      <w:r>
        <w:rPr>
          <w:rFonts w:ascii="宋体" w:eastAsia="宋体" w:hAnsi="宋体" w:cs="Times New Roman" w:hint="eastAsia"/>
          <w:sz w:val="24"/>
          <w:szCs w:val="24"/>
        </w:rPr>
        <w:t>2、时间要求</w:t>
      </w:r>
    </w:p>
    <w:p>
      <w:pPr>
        <w:widowControl/>
        <w:adjustRightInd w:val="0"/>
        <w:snapToGrid w:val="0"/>
        <w:spacing w:line="360" w:lineRule="auto"/>
        <w:ind w:firstLine="420" w:firstLineChars="200"/>
        <w:jc w:val="left"/>
        <w:rPr>
          <w:rFonts w:ascii="Times New Roman" w:eastAsia="宋体" w:hAnsi="Times New Roman" w:cs="Times New Roman"/>
          <w:bCs/>
          <w:kern w:val="44"/>
          <w:szCs w:val="28"/>
          <w:highlight w:val="yellow"/>
        </w:rPr>
      </w:pPr>
      <w:r>
        <w:rPr>
          <w:rFonts w:ascii="Times New Roman" w:eastAsia="宋体" w:hAnsi="Times New Roman" w:cs="Times New Roman" w:hint="eastAsia"/>
          <w:bCs/>
          <w:kern w:val="44"/>
          <w:szCs w:val="28"/>
        </w:rPr>
        <w:t>2025年11月14日前完成线路部署，具备验收条件，全国所有节点均可承载气象业务通信。</w:t>
      </w:r>
    </w:p>
    <w:p>
      <w:pPr>
        <w:adjustRightInd w:val="0"/>
        <w:snapToGrid w:val="0"/>
        <w:spacing w:line="360" w:lineRule="auto"/>
        <w:ind w:firstLine="420" w:firstLineChars="200"/>
        <w:rPr>
          <w:rFonts w:ascii="Times New Roman" w:eastAsia="宋体" w:hAnsi="Times New Roman" w:cs="Times New Roman"/>
          <w:bCs/>
          <w:kern w:val="44"/>
          <w:szCs w:val="28"/>
        </w:rPr>
      </w:pPr>
      <w:r>
        <w:rPr>
          <w:rFonts w:ascii="Times New Roman" w:eastAsia="宋体" w:hAnsi="Times New Roman" w:cs="Times New Roman" w:hint="eastAsia"/>
          <w:bCs/>
          <w:kern w:val="44"/>
          <w:szCs w:val="28"/>
        </w:rPr>
        <w:t>3、投标人工作内容</w:t>
      </w:r>
    </w:p>
    <w:p>
      <w:pPr>
        <w:widowControl/>
        <w:adjustRightInd w:val="0"/>
        <w:snapToGrid w:val="0"/>
        <w:spacing w:line="360" w:lineRule="auto"/>
        <w:ind w:firstLine="420" w:firstLineChars="200"/>
        <w:jc w:val="left"/>
        <w:rPr>
          <w:rFonts w:ascii="Times New Roman" w:eastAsia="宋体" w:hAnsi="Times New Roman" w:cs="Times New Roman"/>
          <w:bCs/>
          <w:kern w:val="44"/>
          <w:szCs w:val="28"/>
        </w:rPr>
      </w:pPr>
      <w:r>
        <w:rPr>
          <w:rFonts w:ascii="Times New Roman" w:eastAsia="宋体" w:hAnsi="Times New Roman" w:cs="Times New Roman" w:hint="eastAsia"/>
          <w:bCs/>
          <w:kern w:val="44"/>
          <w:szCs w:val="28"/>
        </w:rPr>
        <w:t>（1）投标人负责全国宽带通信网络系统指定机房设备的全部施工，包括但不限于电路接入指定用户机房、路由器，新旧电路切换调试（若涉及）、用户路由器电路接入联调，入楼路由根据采购人提供的各节点联系人指定。投标人提供全国宽带通信网络系统电路接入。投标人负责与链路经过的所有产权物业进行协商，采购人仅负责机房内接入协调工作。</w:t>
      </w:r>
    </w:p>
    <w:p>
      <w:pPr>
        <w:widowControl/>
        <w:adjustRightInd w:val="0"/>
        <w:snapToGrid w:val="0"/>
        <w:spacing w:line="360" w:lineRule="auto"/>
        <w:ind w:firstLine="420" w:firstLineChars="200"/>
        <w:jc w:val="left"/>
        <w:rPr>
          <w:rFonts w:ascii="Times New Roman" w:eastAsia="宋体" w:hAnsi="Times New Roman" w:cs="Times New Roman"/>
          <w:bCs/>
          <w:kern w:val="44"/>
          <w:szCs w:val="28"/>
        </w:rPr>
      </w:pPr>
      <w:r>
        <w:rPr>
          <w:rFonts w:ascii="Times New Roman" w:eastAsia="宋体" w:hAnsi="Times New Roman" w:cs="Times New Roman" w:hint="eastAsia"/>
          <w:bCs/>
          <w:kern w:val="44"/>
          <w:szCs w:val="28"/>
        </w:rPr>
        <w:t>（2）投标人应按照国家规定的通信服务质量标准为采购人提供各类通信业务咨询、查询和障碍申告等服务，同时接受需求方的服务质量监督。</w:t>
      </w:r>
    </w:p>
    <w:p>
      <w:pPr>
        <w:widowControl/>
        <w:adjustRightInd w:val="0"/>
        <w:snapToGrid w:val="0"/>
        <w:spacing w:line="360" w:lineRule="auto"/>
        <w:ind w:firstLine="420" w:firstLineChars="200"/>
        <w:jc w:val="left"/>
        <w:rPr>
          <w:rFonts w:ascii="Times New Roman" w:eastAsia="宋体" w:hAnsi="Times New Roman" w:cs="Times New Roman"/>
          <w:bCs/>
          <w:kern w:val="44"/>
          <w:szCs w:val="28"/>
        </w:rPr>
      </w:pPr>
      <w:r>
        <w:rPr>
          <w:rFonts w:ascii="Times New Roman" w:eastAsia="宋体" w:hAnsi="Times New Roman" w:cs="Times New Roman" w:hint="eastAsia"/>
          <w:bCs/>
          <w:kern w:val="44"/>
          <w:szCs w:val="28"/>
        </w:rPr>
        <w:t>（3）投标人应依据相关规程和规范进行维护，具备针对客户的服务体系。</w:t>
      </w:r>
    </w:p>
    <w:p>
      <w:pPr>
        <w:adjustRightInd w:val="0"/>
        <w:snapToGrid w:val="0"/>
        <w:spacing w:line="360" w:lineRule="auto"/>
        <w:ind w:firstLine="420"/>
        <w:rPr>
          <w:rFonts w:ascii="Times New Roman" w:eastAsia="宋体" w:hAnsi="Times New Roman" w:cs="Times New Roman"/>
          <w:bCs/>
          <w:kern w:val="44"/>
          <w:szCs w:val="28"/>
        </w:rPr>
      </w:pPr>
      <w:r>
        <w:rPr>
          <w:rFonts w:ascii="Times New Roman" w:eastAsia="宋体" w:hAnsi="Times New Roman" w:cs="Times New Roman" w:hint="eastAsia"/>
          <w:bCs/>
          <w:kern w:val="44"/>
          <w:szCs w:val="28"/>
        </w:rPr>
        <w:t>（4）投标人应向采购人提供必要的业务和技术支持，并对采购人的各类服务需求实行客户经理制。投标人客户经理应对采购人所有业务的新增、变更、撤销，以及费用结算、故障跟踪等需求，进行统一受理、统一协调。</w:t>
      </w:r>
    </w:p>
    <w:p>
      <w:pPr>
        <w:widowControl/>
        <w:adjustRightInd w:val="0"/>
        <w:snapToGrid w:val="0"/>
        <w:spacing w:after="120"/>
        <w:jc w:val="left"/>
        <w:rPr>
          <w:rFonts w:ascii="Cambria" w:eastAsia="微软雅黑" w:hAnsi="Cambria" w:cs="Times New Roman"/>
          <w:bCs/>
          <w:color w:val="595959"/>
          <w:kern w:val="44"/>
          <w:szCs w:val="28"/>
          <w:lang w:val="zh-CN"/>
        </w:rPr>
      </w:pPr>
    </w:p>
    <w:p>
      <w:pPr>
        <w:adjustRightInd w:val="0"/>
        <w:snapToGrid w:val="0"/>
        <w:spacing w:line="360" w:lineRule="auto"/>
        <w:rPr>
          <w:rFonts w:ascii="宋体" w:eastAsia="宋体" w:hAnsi="宋体" w:cs="Times New Roman"/>
          <w:b/>
          <w:color w:val="212121"/>
          <w:spacing w:val="8"/>
        </w:rPr>
      </w:pPr>
      <w:r>
        <w:rPr>
          <w:rFonts w:ascii="宋体" w:eastAsia="宋体" w:hAnsi="宋体" w:cs="Times New Roman" w:hint="eastAsia"/>
          <w:b/>
          <w:color w:val="212121"/>
          <w:spacing w:val="8"/>
          <w:sz w:val="24"/>
          <w:szCs w:val="24"/>
        </w:rPr>
        <w:br w:type="page"/>
      </w:r>
    </w:p>
    <w:p>
      <w:pPr>
        <w:adjustRightInd w:val="0"/>
        <w:snapToGrid w:val="0"/>
        <w:spacing w:line="360" w:lineRule="auto"/>
        <w:ind w:firstLine="420"/>
        <w:rPr>
          <w:rFonts w:ascii="宋体" w:eastAsia="宋体" w:hAnsi="宋体" w:cs="Times New Roman"/>
          <w:b/>
          <w:bCs/>
          <w:szCs w:val="44"/>
        </w:rPr>
      </w:pPr>
      <w:r>
        <w:rPr>
          <w:rFonts w:ascii="宋体" w:eastAsia="宋体" w:hAnsi="宋体" w:cs="Times New Roman" w:hint="eastAsia"/>
          <w:b/>
          <w:bCs/>
          <w:szCs w:val="44"/>
        </w:rPr>
        <w:t>三、技术性能指标</w:t>
      </w:r>
    </w:p>
    <w:p>
      <w:pPr>
        <w:widowControl/>
        <w:adjustRightInd w:val="0"/>
        <w:snapToGrid w:val="0"/>
        <w:spacing w:line="360" w:lineRule="auto"/>
        <w:ind w:firstLine="420" w:firstLineChars="200"/>
        <w:jc w:val="left"/>
        <w:rPr>
          <w:rFonts w:ascii="Times New Roman" w:eastAsia="宋体" w:hAnsi="Times New Roman" w:cs="Times New Roman"/>
          <w:bCs/>
          <w:kern w:val="44"/>
          <w:szCs w:val="28"/>
        </w:rPr>
      </w:pPr>
      <w:r>
        <w:rPr>
          <w:rFonts w:ascii="Times New Roman" w:eastAsia="宋体" w:hAnsi="Times New Roman" w:cs="Times New Roman" w:hint="eastAsia"/>
          <w:bCs/>
          <w:kern w:val="44"/>
          <w:szCs w:val="28"/>
        </w:rPr>
        <w:t>指标按重要性分为“★”、“</w:t>
      </w:r>
      <w:r>
        <w:rPr>
          <w:rFonts w:ascii="宋体" w:eastAsia="微软雅黑" w:hAnsi="宋体" w:cs="Times New Roman" w:hint="eastAsia"/>
          <w:color w:val="595959"/>
          <w:kern w:val="0"/>
          <w:szCs w:val="21"/>
          <w:lang w:val="zh-CN"/>
        </w:rPr>
        <w:t>☆</w:t>
      </w:r>
      <w:r>
        <w:rPr>
          <w:rFonts w:ascii="Times New Roman" w:eastAsia="宋体" w:hAnsi="Times New Roman" w:cs="Times New Roman" w:hint="eastAsia"/>
          <w:bCs/>
          <w:kern w:val="44"/>
          <w:szCs w:val="28"/>
        </w:rPr>
        <w:t>”、“#”。★代表实质性指标，不满足该指标项将导致投标被拒绝，</w:t>
      </w:r>
      <w:r>
        <w:rPr>
          <w:rFonts w:ascii="宋体" w:eastAsia="微软雅黑" w:hAnsi="宋体" w:cs="Times New Roman" w:hint="eastAsia"/>
          <w:color w:val="595959"/>
          <w:kern w:val="0"/>
          <w:szCs w:val="21"/>
          <w:lang w:val="zh-CN"/>
        </w:rPr>
        <w:t>☆</w:t>
      </w:r>
      <w:r>
        <w:rPr>
          <w:rFonts w:ascii="Times New Roman" w:eastAsia="宋体" w:hAnsi="Times New Roman" w:cs="Times New Roman" w:hint="eastAsia"/>
          <w:bCs/>
          <w:kern w:val="44"/>
          <w:szCs w:val="28"/>
        </w:rPr>
        <w:t>代表优质优价指标， #代表重要指标。</w:t>
      </w:r>
    </w:p>
    <w:p>
      <w:pPr>
        <w:widowControl/>
        <w:adjustRightInd w:val="0"/>
        <w:snapToGrid w:val="0"/>
        <w:spacing w:line="360" w:lineRule="auto"/>
        <w:ind w:firstLine="420" w:firstLineChars="200"/>
        <w:jc w:val="left"/>
        <w:rPr>
          <w:rFonts w:ascii="Cambria" w:eastAsia="微软雅黑" w:hAnsi="Cambria" w:cs="Times New Roman"/>
          <w:color w:val="595959"/>
          <w:kern w:val="20"/>
          <w:szCs w:val="20"/>
          <w:lang w:val="zh-CN"/>
        </w:rPr>
      </w:pPr>
      <w:r>
        <w:rPr>
          <w:rFonts w:ascii="Times New Roman" w:eastAsia="宋体" w:hAnsi="Times New Roman" w:cs="Times New Roman" w:hint="eastAsia"/>
          <w:bCs/>
          <w:kern w:val="44"/>
          <w:szCs w:val="28"/>
        </w:rPr>
        <w:t>“证明材料要求”项可填“是”和“否”。填“是”的，投标人须提供包含相关指标项的证明材料，证明材料为生产厂家官方网站截图或产品白皮书或第三方机构检验报告等相关证明材料。</w:t>
      </w:r>
    </w:p>
    <w:p>
      <w:pPr>
        <w:widowControl/>
        <w:adjustRightInd w:val="0"/>
        <w:snapToGrid w:val="0"/>
        <w:spacing w:line="360" w:lineRule="auto"/>
        <w:ind w:firstLine="420" w:firstLineChars="200"/>
        <w:jc w:val="left"/>
        <w:rPr>
          <w:rFonts w:ascii="Times New Roman" w:eastAsia="宋体" w:hAnsi="Times New Roman" w:cs="Times New Roman"/>
          <w:bCs/>
          <w:kern w:val="44"/>
          <w:szCs w:val="28"/>
        </w:rPr>
      </w:pPr>
      <w:r>
        <w:rPr>
          <w:rFonts w:ascii="宋体" w:eastAsia="宋体" w:hAnsi="宋体" w:cs="宋体" w:hint="eastAsia"/>
          <w:bCs/>
          <w:kern w:val="44"/>
          <w:szCs w:val="28"/>
        </w:rPr>
        <w:t>（1）MPLS VPN电路（国家级主中心）</w:t>
      </w:r>
      <w:r>
        <w:rPr>
          <w:rFonts w:ascii="Times New Roman" w:eastAsia="宋体" w:hAnsi="Times New Roman" w:cs="Times New Roman" w:hint="eastAsia"/>
          <w:bCs/>
          <w:kern w:val="44"/>
          <w:szCs w:val="28"/>
        </w:rPr>
        <w:t xml:space="preserve"> </w:t>
      </w:r>
    </w:p>
    <w:tbl>
      <w:tblPr>
        <w:tblStyle w:val="TableNormal"/>
        <w:tblW w:w="4997"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77"/>
        <w:gridCol w:w="632"/>
        <w:gridCol w:w="619"/>
        <w:gridCol w:w="5690"/>
        <w:gridCol w:w="1099"/>
      </w:tblGrid>
      <w:tr>
        <w:tblPrEx>
          <w:tblW w:w="4997"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78"/>
          <w:tblHeader/>
        </w:trPr>
        <w:tc>
          <w:tcPr>
            <w:tcW w:w="280" w:type="pct"/>
            <w:tcBorders>
              <w:top w:val="single" w:sz="4" w:space="0" w:color="000000"/>
              <w:left w:val="single" w:sz="4" w:space="0" w:color="000000"/>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序号</w:t>
            </w:r>
          </w:p>
        </w:tc>
        <w:tc>
          <w:tcPr>
            <w:tcW w:w="371"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重要性</w:t>
            </w:r>
          </w:p>
        </w:tc>
        <w:tc>
          <w:tcPr>
            <w:tcW w:w="363"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指标类型</w:t>
            </w:r>
          </w:p>
        </w:tc>
        <w:tc>
          <w:tcPr>
            <w:tcW w:w="3339"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主要技术参数及功能要求</w:t>
            </w:r>
          </w:p>
        </w:tc>
        <w:tc>
          <w:tcPr>
            <w:tcW w:w="645"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证明材料要求</w:t>
            </w:r>
          </w:p>
        </w:tc>
      </w:tr>
      <w:tr>
        <w:tblPrEx>
          <w:tblW w:w="4997" w:type="pct"/>
          <w:tblInd w:w="0" w:type="dxa"/>
          <w:tblCellMar>
            <w:top w:w="0" w:type="dxa"/>
            <w:left w:w="108" w:type="dxa"/>
            <w:bottom w:w="0" w:type="dxa"/>
            <w:right w:w="108" w:type="dxa"/>
          </w:tblCellMar>
        </w:tblPrEx>
        <w:trPr>
          <w:trHeight w:val="90"/>
        </w:trPr>
        <w:tc>
          <w:tcPr>
            <w:tcW w:w="280" w:type="pct"/>
            <w:tcBorders>
              <w:top w:val="single" w:sz="4" w:space="0" w:color="000000"/>
              <w:left w:val="single" w:sz="4" w:space="0" w:color="000000"/>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kern w:val="0"/>
                <w:szCs w:val="21"/>
              </w:rPr>
              <w:t>1</w:t>
            </w:r>
          </w:p>
        </w:tc>
        <w:tc>
          <w:tcPr>
            <w:tcW w:w="371"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Times New Roman" w:eastAsia="宋体" w:hAnsi="Times New Roman" w:cs="Times New Roman" w:hint="eastAsia"/>
                <w:bCs/>
                <w:kern w:val="44"/>
                <w:szCs w:val="28"/>
              </w:rPr>
              <w:t>★</w:t>
            </w:r>
          </w:p>
        </w:tc>
        <w:tc>
          <w:tcPr>
            <w:tcW w:w="363" w:type="pct"/>
            <w:vMerge w:val="restart"/>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电路要求</w:t>
            </w:r>
          </w:p>
        </w:tc>
        <w:tc>
          <w:tcPr>
            <w:tcW w:w="3339"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left"/>
              <w:rPr>
                <w:rFonts w:ascii="宋体" w:eastAsia="宋体" w:hAnsi="宋体" w:cs="Times New Roman"/>
                <w:kern w:val="0"/>
                <w:szCs w:val="21"/>
              </w:rPr>
            </w:pPr>
            <w:r>
              <w:rPr>
                <w:rFonts w:ascii="宋体" w:eastAsia="宋体" w:hAnsi="宋体" w:cs="Times New Roman"/>
                <w:kern w:val="0"/>
                <w:szCs w:val="21"/>
              </w:rPr>
              <w:t>带宽分级保障</w:t>
            </w:r>
            <w:r>
              <w:rPr>
                <w:rFonts w:ascii="宋体" w:eastAsia="宋体" w:hAnsi="宋体" w:cs="Times New Roman" w:hint="eastAsia"/>
                <w:kern w:val="0"/>
                <w:szCs w:val="21"/>
              </w:rPr>
              <w:t>：视频</w:t>
            </w:r>
            <w:r>
              <w:rPr>
                <w:rFonts w:ascii="宋体" w:eastAsia="宋体" w:hAnsi="宋体" w:cs="Times New Roman"/>
                <w:kern w:val="0"/>
                <w:szCs w:val="21"/>
              </w:rPr>
              <w:t>业务分配最高等级，带宽占比5%；</w:t>
            </w:r>
          </w:p>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重要</w:t>
            </w:r>
            <w:r>
              <w:rPr>
                <w:rFonts w:ascii="宋体" w:eastAsia="宋体" w:hAnsi="宋体" w:cs="Times New Roman"/>
                <w:kern w:val="0"/>
                <w:szCs w:val="21"/>
              </w:rPr>
              <w:t>数据分配次高等级，带宽占比45%</w:t>
            </w:r>
            <w:r>
              <w:rPr>
                <w:rFonts w:ascii="宋体" w:eastAsia="宋体" w:hAnsi="宋体" w:cs="Times New Roman" w:hint="eastAsia"/>
                <w:kern w:val="0"/>
                <w:szCs w:val="21"/>
              </w:rPr>
              <w:t>；</w:t>
            </w:r>
          </w:p>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次重要</w:t>
            </w:r>
            <w:r>
              <w:rPr>
                <w:rFonts w:ascii="宋体" w:eastAsia="宋体" w:hAnsi="宋体" w:cs="Times New Roman"/>
                <w:kern w:val="0"/>
                <w:szCs w:val="21"/>
              </w:rPr>
              <w:t>数据分配</w:t>
            </w:r>
            <w:r>
              <w:rPr>
                <w:rFonts w:ascii="宋体" w:eastAsia="宋体" w:hAnsi="宋体" w:cs="Times New Roman" w:hint="eastAsia"/>
                <w:kern w:val="0"/>
                <w:szCs w:val="21"/>
              </w:rPr>
              <w:t>中</w:t>
            </w:r>
            <w:r>
              <w:rPr>
                <w:rFonts w:ascii="宋体" w:eastAsia="宋体" w:hAnsi="宋体" w:cs="Times New Roman"/>
                <w:kern w:val="0"/>
                <w:szCs w:val="21"/>
              </w:rPr>
              <w:t>等级，带宽占比30%；</w:t>
            </w:r>
          </w:p>
          <w:p>
            <w:pPr>
              <w:wordWrap w:val="0"/>
              <w:topLinePunct/>
              <w:adjustRightInd w:val="0"/>
              <w:snapToGrid w:val="0"/>
              <w:jc w:val="left"/>
              <w:rPr>
                <w:rFonts w:ascii="宋体" w:eastAsia="宋体" w:hAnsi="宋体" w:cs="Times New Roman"/>
                <w:kern w:val="0"/>
                <w:szCs w:val="21"/>
              </w:rPr>
            </w:pPr>
            <w:r>
              <w:rPr>
                <w:rFonts w:ascii="宋体" w:eastAsia="宋体" w:hAnsi="宋体" w:cs="Times New Roman" w:hint="eastAsia"/>
                <w:kern w:val="0"/>
                <w:szCs w:val="21"/>
              </w:rPr>
              <w:t>一般</w:t>
            </w:r>
            <w:r>
              <w:rPr>
                <w:rFonts w:ascii="宋体" w:eastAsia="宋体" w:hAnsi="宋体" w:cs="Times New Roman"/>
                <w:kern w:val="0"/>
                <w:szCs w:val="21"/>
              </w:rPr>
              <w:t>数据分配</w:t>
            </w:r>
            <w:r>
              <w:rPr>
                <w:rFonts w:ascii="宋体" w:eastAsia="宋体" w:hAnsi="宋体" w:cs="Times New Roman" w:hint="eastAsia"/>
                <w:kern w:val="0"/>
                <w:szCs w:val="21"/>
              </w:rPr>
              <w:t>普通</w:t>
            </w:r>
            <w:r>
              <w:rPr>
                <w:rFonts w:ascii="宋体" w:eastAsia="宋体" w:hAnsi="宋体" w:cs="Times New Roman"/>
                <w:kern w:val="0"/>
                <w:szCs w:val="21"/>
              </w:rPr>
              <w:t>等级，带宽占比20%；</w:t>
            </w:r>
          </w:p>
        </w:tc>
        <w:tc>
          <w:tcPr>
            <w:tcW w:w="645" w:type="pct"/>
            <w:vMerge w:val="restart"/>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需提供承诺函</w:t>
            </w:r>
          </w:p>
        </w:tc>
      </w:tr>
      <w:tr>
        <w:tblPrEx>
          <w:tblW w:w="4997" w:type="pct"/>
          <w:tblInd w:w="0" w:type="dxa"/>
          <w:tblCellMar>
            <w:top w:w="0" w:type="dxa"/>
            <w:left w:w="108" w:type="dxa"/>
            <w:bottom w:w="0" w:type="dxa"/>
            <w:right w:w="108" w:type="dxa"/>
          </w:tblCellMar>
        </w:tblPrEx>
        <w:trPr>
          <w:trHeight w:val="288"/>
        </w:trPr>
        <w:tc>
          <w:tcPr>
            <w:tcW w:w="280" w:type="pct"/>
            <w:tcBorders>
              <w:top w:val="single" w:sz="4" w:space="0" w:color="000000"/>
              <w:left w:val="single" w:sz="4" w:space="0" w:color="000000"/>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kern w:val="0"/>
                <w:szCs w:val="21"/>
              </w:rPr>
              <w:t>2</w:t>
            </w:r>
          </w:p>
        </w:tc>
        <w:tc>
          <w:tcPr>
            <w:tcW w:w="371"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363"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c>
          <w:tcPr>
            <w:tcW w:w="3339"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left"/>
              <w:rPr>
                <w:rFonts w:ascii="宋体" w:eastAsia="宋体" w:hAnsi="宋体" w:cs="宋体"/>
                <w:bCs/>
                <w:kern w:val="44"/>
                <w:szCs w:val="28"/>
              </w:rPr>
            </w:pPr>
            <w:r>
              <w:rPr>
                <w:rFonts w:ascii="宋体" w:eastAsia="宋体" w:hAnsi="宋体" w:cs="宋体" w:hint="eastAsia"/>
                <w:bCs/>
                <w:kern w:val="44"/>
                <w:szCs w:val="28"/>
              </w:rPr>
              <w:t>国家级主中心、陕西备份中心、8个区域中心、2</w:t>
            </w:r>
            <w:r>
              <w:rPr>
                <w:rFonts w:ascii="宋体" w:eastAsia="宋体" w:hAnsi="宋体" w:cs="宋体"/>
                <w:bCs/>
                <w:kern w:val="44"/>
                <w:szCs w:val="28"/>
              </w:rPr>
              <w:t>2</w:t>
            </w:r>
            <w:r>
              <w:rPr>
                <w:rFonts w:ascii="宋体" w:eastAsia="宋体" w:hAnsi="宋体" w:cs="宋体" w:hint="eastAsia"/>
                <w:bCs/>
                <w:kern w:val="44"/>
                <w:szCs w:val="28"/>
              </w:rPr>
              <w:t>个普通省级</w:t>
            </w:r>
            <w:r>
              <w:rPr>
                <w:rFonts w:ascii="宋体" w:eastAsia="宋体" w:hAnsi="宋体" w:cs="Times New Roman"/>
                <w:kern w:val="0"/>
                <w:szCs w:val="21"/>
              </w:rPr>
              <w:t>接口</w:t>
            </w:r>
            <w:r>
              <w:rPr>
                <w:rFonts w:ascii="宋体" w:eastAsia="宋体" w:hAnsi="宋体" w:cs="Times New Roman" w:hint="eastAsia"/>
                <w:kern w:val="0"/>
                <w:szCs w:val="21"/>
              </w:rPr>
              <w:t>：</w:t>
            </w:r>
            <w:r>
              <w:rPr>
                <w:rFonts w:ascii="宋体" w:eastAsia="宋体" w:hAnsi="宋体" w:cs="Times New Roman"/>
                <w:kern w:val="0"/>
                <w:szCs w:val="21"/>
              </w:rPr>
              <w:t>以太网万兆光口</w:t>
            </w:r>
          </w:p>
        </w:tc>
        <w:tc>
          <w:tcPr>
            <w:tcW w:w="645"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r>
      <w:tr>
        <w:tblPrEx>
          <w:tblW w:w="4997" w:type="pct"/>
          <w:tblInd w:w="0" w:type="dxa"/>
          <w:tblCellMar>
            <w:top w:w="0" w:type="dxa"/>
            <w:left w:w="108" w:type="dxa"/>
            <w:bottom w:w="0" w:type="dxa"/>
            <w:right w:w="108" w:type="dxa"/>
          </w:tblCellMar>
        </w:tblPrEx>
        <w:trPr>
          <w:trHeight w:val="600"/>
        </w:trPr>
        <w:tc>
          <w:tcPr>
            <w:tcW w:w="280" w:type="pct"/>
            <w:tcBorders>
              <w:top w:val="single" w:sz="4" w:space="0" w:color="000000"/>
              <w:left w:val="single" w:sz="4" w:space="0" w:color="000000"/>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kern w:val="0"/>
                <w:szCs w:val="21"/>
              </w:rPr>
              <w:t>3</w:t>
            </w:r>
          </w:p>
        </w:tc>
        <w:tc>
          <w:tcPr>
            <w:tcW w:w="371"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363"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c>
          <w:tcPr>
            <w:tcW w:w="3339"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left"/>
              <w:rPr>
                <w:rFonts w:ascii="宋体" w:eastAsia="宋体" w:hAnsi="宋体" w:cs="宋体"/>
                <w:bCs/>
                <w:kern w:val="44"/>
                <w:szCs w:val="28"/>
              </w:rPr>
            </w:pPr>
            <w:r>
              <w:rPr>
                <w:rFonts w:ascii="宋体" w:eastAsia="宋体" w:hAnsi="宋体" w:cs="宋体"/>
                <w:bCs/>
                <w:kern w:val="44"/>
                <w:szCs w:val="28"/>
              </w:rPr>
              <w:t>扩充性</w:t>
            </w:r>
            <w:r>
              <w:rPr>
                <w:rFonts w:ascii="宋体" w:eastAsia="宋体" w:hAnsi="宋体" w:cs="宋体" w:hint="eastAsia"/>
                <w:bCs/>
                <w:kern w:val="44"/>
                <w:szCs w:val="28"/>
              </w:rPr>
              <w:t>：</w:t>
            </w:r>
            <w:r>
              <w:rPr>
                <w:rFonts w:ascii="宋体" w:eastAsia="宋体" w:hAnsi="宋体" w:cs="宋体"/>
                <w:bCs/>
                <w:kern w:val="44"/>
                <w:szCs w:val="28"/>
              </w:rPr>
              <w:t>在不影响运行系统的情况下，实现带宽的升级</w:t>
            </w:r>
          </w:p>
        </w:tc>
        <w:tc>
          <w:tcPr>
            <w:tcW w:w="645"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r>
      <w:tr>
        <w:tblPrEx>
          <w:tblW w:w="4997" w:type="pct"/>
          <w:tblInd w:w="0" w:type="dxa"/>
          <w:tblCellMar>
            <w:top w:w="0" w:type="dxa"/>
            <w:left w:w="108" w:type="dxa"/>
            <w:bottom w:w="0" w:type="dxa"/>
            <w:right w:w="108" w:type="dxa"/>
          </w:tblCellMar>
        </w:tblPrEx>
        <w:trPr>
          <w:trHeight w:val="540"/>
        </w:trPr>
        <w:tc>
          <w:tcPr>
            <w:tcW w:w="280" w:type="pct"/>
            <w:tcBorders>
              <w:top w:val="single" w:sz="4" w:space="0" w:color="000000"/>
              <w:left w:val="single" w:sz="4" w:space="0" w:color="000000"/>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kern w:val="0"/>
                <w:szCs w:val="21"/>
              </w:rPr>
              <w:t>4</w:t>
            </w:r>
          </w:p>
        </w:tc>
        <w:tc>
          <w:tcPr>
            <w:tcW w:w="371"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363"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c>
          <w:tcPr>
            <w:tcW w:w="3339"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left"/>
              <w:rPr>
                <w:rFonts w:ascii="宋体" w:eastAsia="宋体" w:hAnsi="宋体" w:cs="宋体"/>
                <w:bCs/>
                <w:kern w:val="44"/>
                <w:szCs w:val="28"/>
              </w:rPr>
            </w:pPr>
            <w:r>
              <w:rPr>
                <w:rFonts w:ascii="宋体" w:eastAsia="宋体" w:hAnsi="宋体" w:cs="宋体"/>
                <w:bCs/>
                <w:kern w:val="44"/>
                <w:szCs w:val="28"/>
              </w:rPr>
              <w:t>电路误码率（BER）≤10E-7</w:t>
            </w:r>
          </w:p>
        </w:tc>
        <w:tc>
          <w:tcPr>
            <w:tcW w:w="645"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r>
      <w:tr>
        <w:tblPrEx>
          <w:tblW w:w="4997" w:type="pct"/>
          <w:tblInd w:w="0" w:type="dxa"/>
          <w:tblCellMar>
            <w:top w:w="0" w:type="dxa"/>
            <w:left w:w="108" w:type="dxa"/>
            <w:bottom w:w="0" w:type="dxa"/>
            <w:right w:w="108" w:type="dxa"/>
          </w:tblCellMar>
        </w:tblPrEx>
        <w:trPr>
          <w:trHeight w:val="288"/>
        </w:trPr>
        <w:tc>
          <w:tcPr>
            <w:tcW w:w="280" w:type="pct"/>
            <w:tcBorders>
              <w:top w:val="single" w:sz="4" w:space="0" w:color="000000"/>
              <w:left w:val="single" w:sz="4" w:space="0" w:color="000000"/>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kern w:val="0"/>
                <w:szCs w:val="21"/>
              </w:rPr>
              <w:t>5</w:t>
            </w:r>
          </w:p>
        </w:tc>
        <w:tc>
          <w:tcPr>
            <w:tcW w:w="371"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Times New Roman" w:eastAsia="宋体" w:hAnsi="Times New Roman" w:cs="Times New Roman" w:hint="eastAsia"/>
                <w:bCs/>
                <w:kern w:val="44"/>
                <w:szCs w:val="28"/>
              </w:rPr>
              <w:t>★</w:t>
            </w:r>
          </w:p>
        </w:tc>
        <w:tc>
          <w:tcPr>
            <w:tcW w:w="363"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c>
          <w:tcPr>
            <w:tcW w:w="3339"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left"/>
              <w:rPr>
                <w:rFonts w:ascii="宋体" w:eastAsia="宋体" w:hAnsi="宋体" w:cs="宋体"/>
                <w:bCs/>
                <w:kern w:val="44"/>
                <w:szCs w:val="28"/>
              </w:rPr>
            </w:pPr>
            <w:r>
              <w:rPr>
                <w:rFonts w:ascii="宋体" w:eastAsia="宋体" w:hAnsi="宋体" w:cs="宋体" w:hint="eastAsia"/>
                <w:bCs/>
                <w:kern w:val="44"/>
                <w:szCs w:val="28"/>
              </w:rPr>
              <w:t>国家级主中心、陕西备份中心、8个区域中心、2</w:t>
            </w:r>
            <w:r>
              <w:rPr>
                <w:rFonts w:ascii="宋体" w:eastAsia="宋体" w:hAnsi="宋体" w:cs="宋体"/>
                <w:bCs/>
                <w:kern w:val="44"/>
                <w:szCs w:val="28"/>
              </w:rPr>
              <w:t>2</w:t>
            </w:r>
            <w:r>
              <w:rPr>
                <w:rFonts w:ascii="宋体" w:eastAsia="宋体" w:hAnsi="宋体" w:cs="宋体" w:hint="eastAsia"/>
                <w:bCs/>
                <w:kern w:val="44"/>
                <w:szCs w:val="28"/>
              </w:rPr>
              <w:t>个普通省级：</w:t>
            </w:r>
            <w:r>
              <w:rPr>
                <w:rFonts w:ascii="宋体" w:eastAsia="宋体" w:hAnsi="宋体" w:cs="宋体"/>
                <w:bCs/>
                <w:kern w:val="44"/>
                <w:szCs w:val="28"/>
              </w:rPr>
              <w:t>站点可用率≥99.99% (双CE通过两条独立路由连接双 PE)</w:t>
            </w:r>
          </w:p>
        </w:tc>
        <w:tc>
          <w:tcPr>
            <w:tcW w:w="645"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r>
      <w:tr>
        <w:tblPrEx>
          <w:tblW w:w="4997" w:type="pct"/>
          <w:tblInd w:w="0" w:type="dxa"/>
          <w:tblCellMar>
            <w:top w:w="0" w:type="dxa"/>
            <w:left w:w="108" w:type="dxa"/>
            <w:bottom w:w="0" w:type="dxa"/>
            <w:right w:w="108" w:type="dxa"/>
          </w:tblCellMar>
        </w:tblPrEx>
        <w:trPr>
          <w:trHeight w:val="620"/>
        </w:trPr>
        <w:tc>
          <w:tcPr>
            <w:tcW w:w="280" w:type="pct"/>
            <w:tcBorders>
              <w:top w:val="single" w:sz="4" w:space="0" w:color="000000"/>
              <w:left w:val="single" w:sz="4" w:space="0" w:color="000000"/>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kern w:val="0"/>
                <w:szCs w:val="21"/>
              </w:rPr>
              <w:t>6</w:t>
            </w:r>
          </w:p>
        </w:tc>
        <w:tc>
          <w:tcPr>
            <w:tcW w:w="371"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363"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c>
          <w:tcPr>
            <w:tcW w:w="3339"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left"/>
              <w:rPr>
                <w:rFonts w:ascii="宋体" w:eastAsia="宋体" w:hAnsi="宋体" w:cs="宋体"/>
                <w:bCs/>
                <w:kern w:val="44"/>
                <w:szCs w:val="28"/>
              </w:rPr>
            </w:pPr>
            <w:r>
              <w:rPr>
                <w:rFonts w:ascii="宋体" w:eastAsia="宋体" w:hAnsi="宋体" w:cs="宋体"/>
                <w:bCs/>
                <w:kern w:val="44"/>
                <w:szCs w:val="28"/>
              </w:rPr>
              <w:t>主中心到各节点之间的线路平均时延≤80ms</w:t>
            </w:r>
          </w:p>
        </w:tc>
        <w:tc>
          <w:tcPr>
            <w:tcW w:w="645"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r>
      <w:tr>
        <w:tblPrEx>
          <w:tblW w:w="4997" w:type="pct"/>
          <w:tblInd w:w="0" w:type="dxa"/>
          <w:tblCellMar>
            <w:top w:w="0" w:type="dxa"/>
            <w:left w:w="108" w:type="dxa"/>
            <w:bottom w:w="0" w:type="dxa"/>
            <w:right w:w="108" w:type="dxa"/>
          </w:tblCellMar>
        </w:tblPrEx>
        <w:trPr>
          <w:trHeight w:val="620"/>
        </w:trPr>
        <w:tc>
          <w:tcPr>
            <w:tcW w:w="280" w:type="pct"/>
            <w:tcBorders>
              <w:top w:val="single" w:sz="4" w:space="0" w:color="000000"/>
              <w:left w:val="single" w:sz="4" w:space="0" w:color="000000"/>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kern w:val="0"/>
                <w:szCs w:val="21"/>
              </w:rPr>
              <w:t>7</w:t>
            </w:r>
          </w:p>
        </w:tc>
        <w:tc>
          <w:tcPr>
            <w:tcW w:w="371"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363"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c>
          <w:tcPr>
            <w:tcW w:w="3339"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left"/>
              <w:rPr>
                <w:rFonts w:ascii="宋体" w:eastAsia="宋体" w:hAnsi="宋体" w:cs="宋体"/>
                <w:bCs/>
                <w:kern w:val="44"/>
                <w:szCs w:val="28"/>
              </w:rPr>
            </w:pPr>
            <w:r>
              <w:rPr>
                <w:rFonts w:ascii="宋体" w:eastAsia="宋体" w:hAnsi="宋体" w:cs="宋体"/>
                <w:bCs/>
                <w:kern w:val="44"/>
                <w:szCs w:val="28"/>
              </w:rPr>
              <w:t>平均故障修复时间（MTTR）≤4 小时</w:t>
            </w:r>
          </w:p>
        </w:tc>
        <w:tc>
          <w:tcPr>
            <w:tcW w:w="645"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r>
      <w:tr>
        <w:tblPrEx>
          <w:tblW w:w="4997" w:type="pct"/>
          <w:tblInd w:w="0" w:type="dxa"/>
          <w:tblCellMar>
            <w:top w:w="0" w:type="dxa"/>
            <w:left w:w="108" w:type="dxa"/>
            <w:bottom w:w="0" w:type="dxa"/>
            <w:right w:w="108" w:type="dxa"/>
          </w:tblCellMar>
        </w:tblPrEx>
        <w:trPr>
          <w:trHeight w:val="288"/>
        </w:trPr>
        <w:tc>
          <w:tcPr>
            <w:tcW w:w="280" w:type="pct"/>
            <w:tcBorders>
              <w:top w:val="single" w:sz="4" w:space="0" w:color="000000"/>
              <w:left w:val="single" w:sz="4" w:space="0" w:color="000000"/>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kern w:val="0"/>
                <w:szCs w:val="21"/>
              </w:rPr>
              <w:t>8</w:t>
            </w:r>
          </w:p>
        </w:tc>
        <w:tc>
          <w:tcPr>
            <w:tcW w:w="371"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363"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c>
          <w:tcPr>
            <w:tcW w:w="3339"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left"/>
              <w:rPr>
                <w:rFonts w:ascii="宋体" w:eastAsia="宋体" w:hAnsi="宋体" w:cs="宋体"/>
                <w:bCs/>
                <w:kern w:val="44"/>
                <w:szCs w:val="28"/>
              </w:rPr>
            </w:pPr>
            <w:r>
              <w:rPr>
                <w:rFonts w:ascii="宋体" w:eastAsia="宋体" w:hAnsi="宋体" w:cs="宋体" w:hint="eastAsia"/>
                <w:bCs/>
                <w:kern w:val="44"/>
                <w:szCs w:val="28"/>
              </w:rPr>
              <w:t>国家级主中心：</w:t>
            </w:r>
            <w:r>
              <w:rPr>
                <w:rFonts w:ascii="宋体" w:eastAsia="宋体" w:hAnsi="宋体" w:cs="宋体"/>
                <w:bCs/>
                <w:kern w:val="44"/>
                <w:szCs w:val="28"/>
              </w:rPr>
              <w:t>可宣告路由条目≥</w:t>
            </w:r>
            <w:r>
              <w:rPr>
                <w:rFonts w:ascii="宋体" w:eastAsia="宋体" w:hAnsi="宋体" w:cs="宋体" w:hint="eastAsia"/>
                <w:bCs/>
                <w:kern w:val="44"/>
                <w:szCs w:val="28"/>
              </w:rPr>
              <w:t>50</w:t>
            </w:r>
            <w:r>
              <w:rPr>
                <w:rFonts w:ascii="宋体" w:eastAsia="宋体" w:hAnsi="宋体" w:cs="宋体"/>
                <w:bCs/>
                <w:kern w:val="44"/>
                <w:szCs w:val="28"/>
              </w:rPr>
              <w:t>0 条</w:t>
            </w:r>
          </w:p>
          <w:p>
            <w:pPr>
              <w:wordWrap w:val="0"/>
              <w:topLinePunct/>
              <w:adjustRightInd w:val="0"/>
              <w:snapToGrid w:val="0"/>
              <w:jc w:val="left"/>
              <w:rPr>
                <w:rFonts w:ascii="宋体" w:eastAsia="宋体" w:hAnsi="宋体" w:cs="宋体"/>
                <w:bCs/>
                <w:kern w:val="44"/>
                <w:szCs w:val="28"/>
              </w:rPr>
            </w:pPr>
            <w:r>
              <w:rPr>
                <w:rFonts w:ascii="宋体" w:eastAsia="宋体" w:hAnsi="宋体" w:cs="宋体" w:hint="eastAsia"/>
                <w:bCs/>
                <w:kern w:val="44"/>
                <w:szCs w:val="28"/>
              </w:rPr>
              <w:t>陕西备份中心、8个区域中心、2</w:t>
            </w:r>
            <w:r>
              <w:rPr>
                <w:rFonts w:ascii="宋体" w:eastAsia="宋体" w:hAnsi="宋体" w:cs="宋体"/>
                <w:bCs/>
                <w:kern w:val="44"/>
                <w:szCs w:val="28"/>
              </w:rPr>
              <w:t>2</w:t>
            </w:r>
            <w:r>
              <w:rPr>
                <w:rFonts w:ascii="宋体" w:eastAsia="宋体" w:hAnsi="宋体" w:cs="宋体" w:hint="eastAsia"/>
                <w:bCs/>
                <w:kern w:val="44"/>
                <w:szCs w:val="28"/>
              </w:rPr>
              <w:t>个普通省级：</w:t>
            </w:r>
            <w:r>
              <w:rPr>
                <w:rFonts w:ascii="宋体" w:eastAsia="宋体" w:hAnsi="宋体" w:cs="宋体"/>
                <w:bCs/>
                <w:kern w:val="44"/>
                <w:szCs w:val="28"/>
              </w:rPr>
              <w:t>可宣告路由条目≥20 条</w:t>
            </w:r>
          </w:p>
        </w:tc>
        <w:tc>
          <w:tcPr>
            <w:tcW w:w="645"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r>
      <w:tr>
        <w:tblPrEx>
          <w:tblW w:w="4997" w:type="pct"/>
          <w:tblInd w:w="0" w:type="dxa"/>
          <w:tblCellMar>
            <w:top w:w="0" w:type="dxa"/>
            <w:left w:w="108" w:type="dxa"/>
            <w:bottom w:w="0" w:type="dxa"/>
            <w:right w:w="108" w:type="dxa"/>
          </w:tblCellMar>
        </w:tblPrEx>
        <w:trPr>
          <w:trHeight w:val="288"/>
        </w:trPr>
        <w:tc>
          <w:tcPr>
            <w:tcW w:w="280" w:type="pct"/>
            <w:tcBorders>
              <w:top w:val="single" w:sz="4" w:space="0" w:color="000000"/>
              <w:left w:val="single" w:sz="4" w:space="0" w:color="000000"/>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9</w:t>
            </w:r>
          </w:p>
        </w:tc>
        <w:tc>
          <w:tcPr>
            <w:tcW w:w="371"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363"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c>
          <w:tcPr>
            <w:tcW w:w="3339"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left"/>
              <w:rPr>
                <w:rFonts w:ascii="宋体" w:eastAsia="宋体" w:hAnsi="宋体" w:cs="宋体"/>
                <w:bCs/>
                <w:kern w:val="44"/>
                <w:szCs w:val="28"/>
              </w:rPr>
            </w:pPr>
            <w:r>
              <w:rPr>
                <w:rFonts w:ascii="宋体" w:eastAsia="宋体" w:hAnsi="宋体" w:cs="宋体"/>
                <w:bCs/>
                <w:kern w:val="44"/>
                <w:szCs w:val="28"/>
              </w:rPr>
              <w:t>CE-PE 间路由协议</w:t>
            </w:r>
            <w:r>
              <w:rPr>
                <w:rFonts w:ascii="宋体" w:eastAsia="宋体" w:hAnsi="宋体" w:cs="宋体" w:hint="eastAsia"/>
                <w:bCs/>
                <w:kern w:val="44"/>
                <w:szCs w:val="28"/>
              </w:rPr>
              <w:t>：</w:t>
            </w:r>
            <w:r>
              <w:rPr>
                <w:rFonts w:ascii="宋体" w:eastAsia="宋体" w:hAnsi="宋体" w:cs="宋体"/>
                <w:bCs/>
                <w:kern w:val="44"/>
                <w:szCs w:val="28"/>
              </w:rPr>
              <w:t>EBGP</w:t>
            </w:r>
          </w:p>
        </w:tc>
        <w:tc>
          <w:tcPr>
            <w:tcW w:w="645"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r>
      <w:tr>
        <w:tblPrEx>
          <w:tblW w:w="4997" w:type="pct"/>
          <w:tblInd w:w="0" w:type="dxa"/>
          <w:tblCellMar>
            <w:top w:w="0" w:type="dxa"/>
            <w:left w:w="108" w:type="dxa"/>
            <w:bottom w:w="0" w:type="dxa"/>
            <w:right w:w="108" w:type="dxa"/>
          </w:tblCellMar>
        </w:tblPrEx>
        <w:trPr>
          <w:trHeight w:val="288"/>
        </w:trPr>
        <w:tc>
          <w:tcPr>
            <w:tcW w:w="280" w:type="pct"/>
            <w:tcBorders>
              <w:top w:val="single" w:sz="4" w:space="0" w:color="000000"/>
              <w:left w:val="single" w:sz="4" w:space="0" w:color="000000"/>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10</w:t>
            </w:r>
          </w:p>
        </w:tc>
        <w:tc>
          <w:tcPr>
            <w:tcW w:w="371"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Times New Roman" w:eastAsia="宋体" w:hAnsi="Times New Roman" w:cs="Times New Roman" w:hint="eastAsia"/>
                <w:bCs/>
                <w:kern w:val="44"/>
                <w:szCs w:val="28"/>
              </w:rPr>
              <w:t>★</w:t>
            </w:r>
          </w:p>
        </w:tc>
        <w:tc>
          <w:tcPr>
            <w:tcW w:w="363"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c>
          <w:tcPr>
            <w:tcW w:w="3339"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left"/>
              <w:rPr>
                <w:rFonts w:ascii="宋体" w:eastAsia="宋体" w:hAnsi="宋体" w:cs="宋体"/>
                <w:bCs/>
                <w:kern w:val="44"/>
                <w:szCs w:val="28"/>
              </w:rPr>
            </w:pPr>
            <w:r>
              <w:rPr>
                <w:rFonts w:ascii="宋体" w:eastAsia="宋体" w:hAnsi="宋体" w:cs="宋体" w:hint="eastAsia"/>
                <w:bCs/>
                <w:kern w:val="44"/>
                <w:szCs w:val="28"/>
              </w:rPr>
              <w:t>国家级主中心、陕西备份中心、8个区域中心、2</w:t>
            </w:r>
            <w:r>
              <w:rPr>
                <w:rFonts w:ascii="宋体" w:eastAsia="宋体" w:hAnsi="宋体" w:cs="宋体"/>
                <w:bCs/>
                <w:kern w:val="44"/>
                <w:szCs w:val="28"/>
              </w:rPr>
              <w:t>2</w:t>
            </w:r>
            <w:r>
              <w:rPr>
                <w:rFonts w:ascii="宋体" w:eastAsia="宋体" w:hAnsi="宋体" w:cs="宋体" w:hint="eastAsia"/>
                <w:bCs/>
                <w:kern w:val="44"/>
                <w:szCs w:val="28"/>
              </w:rPr>
              <w:t>个普通省级：</w:t>
            </w:r>
            <w:r>
              <w:rPr>
                <w:rFonts w:ascii="宋体" w:eastAsia="宋体" w:hAnsi="宋体" w:cs="宋体"/>
                <w:bCs/>
                <w:kern w:val="44"/>
                <w:szCs w:val="28"/>
              </w:rPr>
              <w:t>CE-PE 电路接入方式</w:t>
            </w:r>
            <w:r>
              <w:rPr>
                <w:rFonts w:ascii="宋体" w:eastAsia="宋体" w:hAnsi="宋体" w:cs="宋体" w:hint="eastAsia"/>
                <w:bCs/>
                <w:kern w:val="44"/>
                <w:szCs w:val="28"/>
              </w:rPr>
              <w:t>：</w:t>
            </w:r>
            <w:r>
              <w:rPr>
                <w:rFonts w:ascii="宋体" w:eastAsia="宋体" w:hAnsi="宋体" w:cs="宋体"/>
                <w:bCs/>
                <w:kern w:val="44"/>
                <w:szCs w:val="28"/>
              </w:rPr>
              <w:t>双接入电路</w:t>
            </w:r>
          </w:p>
        </w:tc>
        <w:tc>
          <w:tcPr>
            <w:tcW w:w="645"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r>
      <w:tr>
        <w:tblPrEx>
          <w:tblW w:w="4997" w:type="pct"/>
          <w:tblInd w:w="0" w:type="dxa"/>
          <w:tblCellMar>
            <w:top w:w="0" w:type="dxa"/>
            <w:left w:w="108" w:type="dxa"/>
            <w:bottom w:w="0" w:type="dxa"/>
            <w:right w:w="108" w:type="dxa"/>
          </w:tblCellMar>
        </w:tblPrEx>
        <w:trPr>
          <w:trHeight w:val="288"/>
        </w:trPr>
        <w:tc>
          <w:tcPr>
            <w:tcW w:w="280" w:type="pct"/>
            <w:tcBorders>
              <w:top w:val="single" w:sz="4" w:space="0" w:color="000000"/>
              <w:left w:val="single" w:sz="4" w:space="0" w:color="000000"/>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11</w:t>
            </w:r>
          </w:p>
        </w:tc>
        <w:tc>
          <w:tcPr>
            <w:tcW w:w="371"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363"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c>
          <w:tcPr>
            <w:tcW w:w="3339"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left"/>
              <w:rPr>
                <w:rFonts w:ascii="宋体" w:eastAsia="宋体" w:hAnsi="宋体" w:cs="宋体"/>
                <w:bCs/>
                <w:kern w:val="44"/>
                <w:szCs w:val="28"/>
              </w:rPr>
            </w:pPr>
            <w:r>
              <w:rPr>
                <w:rFonts w:ascii="宋体" w:eastAsia="宋体" w:hAnsi="宋体" w:cs="宋体"/>
                <w:bCs/>
                <w:kern w:val="44"/>
                <w:szCs w:val="28"/>
              </w:rPr>
              <w:t>IPv6</w:t>
            </w:r>
            <w:r>
              <w:rPr>
                <w:rFonts w:ascii="宋体" w:eastAsia="宋体" w:hAnsi="宋体" w:cs="宋体" w:hint="eastAsia"/>
                <w:bCs/>
                <w:kern w:val="44"/>
                <w:szCs w:val="28"/>
              </w:rPr>
              <w:t>：</w:t>
            </w:r>
            <w:r>
              <w:rPr>
                <w:rFonts w:ascii="宋体" w:eastAsia="宋体" w:hAnsi="宋体" w:cs="宋体"/>
                <w:bCs/>
                <w:kern w:val="44"/>
                <w:szCs w:val="28"/>
              </w:rPr>
              <w:t>支持,并可配合用户完成 IPv6调整</w:t>
            </w:r>
          </w:p>
        </w:tc>
        <w:tc>
          <w:tcPr>
            <w:tcW w:w="645"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r>
      <w:tr>
        <w:tblPrEx>
          <w:tblW w:w="4997" w:type="pct"/>
          <w:tblInd w:w="0" w:type="dxa"/>
          <w:tblCellMar>
            <w:top w:w="0" w:type="dxa"/>
            <w:left w:w="108" w:type="dxa"/>
            <w:bottom w:w="0" w:type="dxa"/>
            <w:right w:w="108" w:type="dxa"/>
          </w:tblCellMar>
        </w:tblPrEx>
        <w:trPr>
          <w:trHeight w:val="288"/>
        </w:trPr>
        <w:tc>
          <w:tcPr>
            <w:tcW w:w="280" w:type="pct"/>
            <w:tcBorders>
              <w:top w:val="single" w:sz="4" w:space="0" w:color="000000"/>
              <w:left w:val="single" w:sz="4" w:space="0" w:color="000000"/>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12</w:t>
            </w:r>
          </w:p>
        </w:tc>
        <w:tc>
          <w:tcPr>
            <w:tcW w:w="371"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Times New Roman" w:eastAsia="宋体" w:hAnsi="Times New Roman" w:cs="Times New Roman" w:hint="eastAsia"/>
                <w:bCs/>
                <w:kern w:val="44"/>
                <w:szCs w:val="28"/>
              </w:rPr>
              <w:t>★</w:t>
            </w:r>
          </w:p>
        </w:tc>
        <w:tc>
          <w:tcPr>
            <w:tcW w:w="363"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c>
          <w:tcPr>
            <w:tcW w:w="3339" w:type="pct"/>
            <w:tcBorders>
              <w:top w:val="single" w:sz="4" w:space="0" w:color="000000"/>
              <w:left w:val="nil"/>
              <w:bottom w:val="single" w:sz="4" w:space="0" w:color="000000"/>
              <w:right w:val="single" w:sz="4" w:space="0" w:color="000000"/>
            </w:tcBorders>
            <w:shd w:val="clear" w:color="auto" w:fill="auto"/>
            <w:vAlign w:val="center"/>
          </w:tcPr>
          <w:p>
            <w:pPr>
              <w:wordWrap w:val="0"/>
              <w:topLinePunct/>
              <w:adjustRightInd w:val="0"/>
              <w:snapToGrid w:val="0"/>
              <w:jc w:val="left"/>
              <w:rPr>
                <w:rFonts w:ascii="宋体" w:eastAsia="宋体" w:hAnsi="宋体" w:cs="宋体"/>
                <w:bCs/>
                <w:kern w:val="44"/>
                <w:szCs w:val="28"/>
              </w:rPr>
            </w:pPr>
            <w:r>
              <w:rPr>
                <w:rFonts w:ascii="宋体" w:eastAsia="宋体" w:hAnsi="宋体" w:cs="宋体" w:hint="eastAsia"/>
                <w:bCs/>
                <w:kern w:val="44"/>
                <w:szCs w:val="28"/>
              </w:rPr>
              <w:t>其他要求：</w:t>
            </w:r>
            <w:r>
              <w:rPr>
                <w:rFonts w:ascii="宋体" w:eastAsia="宋体" w:hAnsi="宋体" w:cs="宋体"/>
                <w:bCs/>
                <w:kern w:val="44"/>
                <w:szCs w:val="28"/>
              </w:rPr>
              <w:t>不得租用第三方链路或跨接</w:t>
            </w:r>
            <w:r>
              <w:rPr>
                <w:rFonts w:ascii="Times New Roman" w:eastAsia="宋体" w:hAnsi="Times New Roman" w:cs="Times New Roman" w:hint="eastAsia"/>
                <w:szCs w:val="20"/>
              </w:rPr>
              <w:t>，</w:t>
            </w:r>
            <w:r>
              <w:rPr>
                <w:rFonts w:ascii="宋体" w:eastAsia="宋体" w:hAnsi="宋体" w:cs="宋体"/>
                <w:bCs/>
                <w:kern w:val="44"/>
                <w:szCs w:val="28"/>
              </w:rPr>
              <w:t>专线电路需端到端均为固网资源</w:t>
            </w:r>
            <w:r>
              <w:rPr>
                <w:rFonts w:ascii="宋体" w:eastAsia="宋体" w:hAnsi="宋体" w:cs="宋体" w:hint="eastAsia"/>
                <w:bCs/>
                <w:kern w:val="44"/>
                <w:szCs w:val="28"/>
              </w:rPr>
              <w:t>，</w:t>
            </w:r>
            <w:r>
              <w:rPr>
                <w:rFonts w:ascii="宋体" w:eastAsia="宋体" w:hAnsi="宋体" w:cs="宋体"/>
                <w:bCs/>
                <w:kern w:val="44"/>
                <w:szCs w:val="28"/>
              </w:rPr>
              <w:t>不得采用无线链路。</w:t>
            </w:r>
          </w:p>
        </w:tc>
        <w:tc>
          <w:tcPr>
            <w:tcW w:w="645" w:type="pct"/>
            <w:vMerge/>
            <w:tcBorders>
              <w:left w:val="nil"/>
              <w:right w:val="single" w:sz="4" w:space="0" w:color="000000"/>
            </w:tcBorders>
            <w:shd w:val="clear" w:color="auto" w:fill="auto"/>
            <w:vAlign w:val="center"/>
          </w:tcPr>
          <w:p>
            <w:pPr>
              <w:wordWrap w:val="0"/>
              <w:topLinePunct/>
              <w:adjustRightInd w:val="0"/>
              <w:snapToGrid w:val="0"/>
              <w:jc w:val="center"/>
              <w:rPr>
                <w:rFonts w:ascii="宋体" w:eastAsia="宋体" w:hAnsi="宋体" w:cs="Times New Roman"/>
                <w:kern w:val="0"/>
                <w:szCs w:val="21"/>
              </w:rPr>
            </w:pPr>
          </w:p>
        </w:tc>
      </w:tr>
    </w:tbl>
    <w:p>
      <w:pPr>
        <w:rPr>
          <w:rFonts w:ascii="宋体" w:eastAsia="宋体" w:hAnsi="宋体" w:cs="Times New Roman"/>
          <w:szCs w:val="20"/>
        </w:rPr>
      </w:pPr>
    </w:p>
    <w:p>
      <w:pPr>
        <w:widowControl/>
        <w:adjustRightInd w:val="0"/>
        <w:snapToGrid w:val="0"/>
        <w:spacing w:line="360" w:lineRule="auto"/>
        <w:ind w:firstLine="420" w:firstLineChars="200"/>
        <w:jc w:val="left"/>
        <w:rPr>
          <w:rFonts w:ascii="宋体" w:eastAsia="宋体" w:hAnsi="宋体" w:cs="宋体"/>
          <w:bCs/>
          <w:kern w:val="44"/>
          <w:szCs w:val="28"/>
        </w:rPr>
      </w:pPr>
      <w:bookmarkStart w:id="59" w:name="OLE_LINK3"/>
      <w:r>
        <w:rPr>
          <w:rFonts w:ascii="宋体" w:eastAsia="宋体" w:hAnsi="宋体" w:cs="宋体" w:hint="eastAsia"/>
          <w:bCs/>
          <w:kern w:val="44"/>
          <w:szCs w:val="28"/>
        </w:rPr>
        <w:t>（2）广域网专线</w:t>
      </w:r>
      <w:bookmarkEnd w:id="59"/>
    </w:p>
    <w:tbl>
      <w:tblPr>
        <w:tblStyle w:val="TableNormal"/>
        <w:tblW w:w="4997"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04"/>
        <w:gridCol w:w="658"/>
        <w:gridCol w:w="644"/>
        <w:gridCol w:w="5708"/>
        <w:gridCol w:w="1003"/>
      </w:tblGrid>
      <w:tr>
        <w:tblPrEx>
          <w:tblW w:w="4997"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78"/>
          <w:tblHeader/>
        </w:trPr>
        <w:tc>
          <w:tcPr>
            <w:tcW w:w="296" w:type="pct"/>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序号</w:t>
            </w:r>
          </w:p>
        </w:tc>
        <w:tc>
          <w:tcPr>
            <w:tcW w:w="386" w:type="pct"/>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重要性</w:t>
            </w:r>
          </w:p>
        </w:tc>
        <w:tc>
          <w:tcPr>
            <w:tcW w:w="378" w:type="pct"/>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指标类型</w:t>
            </w:r>
          </w:p>
        </w:tc>
        <w:tc>
          <w:tcPr>
            <w:tcW w:w="3350" w:type="pct"/>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主要技术参数及功能要求</w:t>
            </w:r>
          </w:p>
        </w:tc>
        <w:tc>
          <w:tcPr>
            <w:tcW w:w="588" w:type="pct"/>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证明材料要求</w:t>
            </w:r>
          </w:p>
        </w:tc>
      </w:tr>
      <w:tr>
        <w:tblPrEx>
          <w:tblW w:w="4997" w:type="pct"/>
          <w:tblInd w:w="0" w:type="dxa"/>
          <w:tblCellMar>
            <w:top w:w="0" w:type="dxa"/>
            <w:left w:w="108" w:type="dxa"/>
            <w:bottom w:w="0" w:type="dxa"/>
            <w:right w:w="108" w:type="dxa"/>
          </w:tblCellMar>
        </w:tblPrEx>
        <w:trPr>
          <w:trHeight w:val="90"/>
        </w:trPr>
        <w:tc>
          <w:tcPr>
            <w:tcW w:w="296" w:type="pct"/>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kern w:val="0"/>
                <w:szCs w:val="21"/>
              </w:rPr>
              <w:t>1</w:t>
            </w:r>
          </w:p>
        </w:tc>
        <w:tc>
          <w:tcPr>
            <w:tcW w:w="386" w:type="pct"/>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Times New Roman" w:eastAsia="宋体" w:hAnsi="Times New Roman" w:cs="Times New Roman" w:hint="eastAsia"/>
                <w:bCs/>
                <w:kern w:val="44"/>
                <w:szCs w:val="28"/>
              </w:rPr>
              <w:t>★</w:t>
            </w:r>
          </w:p>
        </w:tc>
        <w:tc>
          <w:tcPr>
            <w:tcW w:w="378" w:type="pct"/>
            <w:vMerge w:val="restart"/>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电路要求</w:t>
            </w:r>
          </w:p>
        </w:tc>
        <w:tc>
          <w:tcPr>
            <w:tcW w:w="3350" w:type="pct"/>
            <w:shd w:val="clear" w:color="auto" w:fill="auto"/>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hint="eastAsia"/>
                <w:kern w:val="0"/>
                <w:szCs w:val="21"/>
              </w:rPr>
              <w:t>网络可用率：不低于99.9%</w:t>
            </w:r>
          </w:p>
        </w:tc>
        <w:tc>
          <w:tcPr>
            <w:tcW w:w="588" w:type="pct"/>
            <w:vMerge w:val="restart"/>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需提供承诺函</w:t>
            </w:r>
          </w:p>
        </w:tc>
      </w:tr>
      <w:tr>
        <w:tblPrEx>
          <w:tblW w:w="4997" w:type="pct"/>
          <w:tblInd w:w="0" w:type="dxa"/>
          <w:tblCellMar>
            <w:top w:w="0" w:type="dxa"/>
            <w:left w:w="108" w:type="dxa"/>
            <w:bottom w:w="0" w:type="dxa"/>
            <w:right w:w="108" w:type="dxa"/>
          </w:tblCellMar>
        </w:tblPrEx>
        <w:trPr>
          <w:trHeight w:val="288"/>
        </w:trPr>
        <w:tc>
          <w:tcPr>
            <w:tcW w:w="296" w:type="pct"/>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kern w:val="0"/>
                <w:szCs w:val="21"/>
              </w:rPr>
              <w:t>2</w:t>
            </w:r>
          </w:p>
        </w:tc>
        <w:tc>
          <w:tcPr>
            <w:tcW w:w="386" w:type="pct"/>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378" w:type="pct"/>
            <w:vMerge/>
            <w:shd w:val="clear" w:color="auto" w:fill="auto"/>
            <w:vAlign w:val="center"/>
          </w:tcPr>
          <w:p>
            <w:pPr>
              <w:wordWrap w:val="0"/>
              <w:topLinePunct/>
              <w:adjustRightInd w:val="0"/>
              <w:snapToGrid w:val="0"/>
              <w:jc w:val="center"/>
              <w:rPr>
                <w:rFonts w:ascii="宋体" w:eastAsia="宋体" w:hAnsi="宋体" w:cs="Times New Roman"/>
                <w:kern w:val="0"/>
                <w:szCs w:val="21"/>
              </w:rPr>
            </w:pPr>
          </w:p>
        </w:tc>
        <w:tc>
          <w:tcPr>
            <w:tcW w:w="3350" w:type="pct"/>
            <w:shd w:val="clear" w:color="auto" w:fill="auto"/>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kern w:val="0"/>
                <w:szCs w:val="21"/>
              </w:rPr>
              <w:t>丢包率:≤0.75%</w:t>
            </w:r>
          </w:p>
        </w:tc>
        <w:tc>
          <w:tcPr>
            <w:tcW w:w="588" w:type="pct"/>
            <w:vMerge/>
            <w:shd w:val="clear" w:color="auto" w:fill="auto"/>
            <w:vAlign w:val="center"/>
          </w:tcPr>
          <w:p>
            <w:pPr>
              <w:wordWrap w:val="0"/>
              <w:topLinePunct/>
              <w:adjustRightInd w:val="0"/>
              <w:snapToGrid w:val="0"/>
              <w:jc w:val="center"/>
              <w:rPr>
                <w:rFonts w:ascii="宋体" w:eastAsia="宋体" w:hAnsi="宋体" w:cs="Times New Roman"/>
                <w:kern w:val="0"/>
                <w:szCs w:val="21"/>
              </w:rPr>
            </w:pPr>
          </w:p>
        </w:tc>
      </w:tr>
      <w:tr>
        <w:tblPrEx>
          <w:tblW w:w="4997" w:type="pct"/>
          <w:tblInd w:w="0" w:type="dxa"/>
          <w:tblCellMar>
            <w:top w:w="0" w:type="dxa"/>
            <w:left w:w="108" w:type="dxa"/>
            <w:bottom w:w="0" w:type="dxa"/>
            <w:right w:w="108" w:type="dxa"/>
          </w:tblCellMar>
        </w:tblPrEx>
        <w:trPr>
          <w:trHeight w:val="600"/>
        </w:trPr>
        <w:tc>
          <w:tcPr>
            <w:tcW w:w="296" w:type="pct"/>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kern w:val="0"/>
                <w:szCs w:val="21"/>
              </w:rPr>
              <w:t>3</w:t>
            </w:r>
          </w:p>
        </w:tc>
        <w:tc>
          <w:tcPr>
            <w:tcW w:w="386" w:type="pct"/>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378" w:type="pct"/>
            <w:vMerge/>
            <w:shd w:val="clear" w:color="auto" w:fill="auto"/>
            <w:vAlign w:val="center"/>
          </w:tcPr>
          <w:p>
            <w:pPr>
              <w:wordWrap w:val="0"/>
              <w:topLinePunct/>
              <w:adjustRightInd w:val="0"/>
              <w:snapToGrid w:val="0"/>
              <w:jc w:val="center"/>
              <w:rPr>
                <w:rFonts w:ascii="宋体" w:eastAsia="宋体" w:hAnsi="宋体" w:cs="Times New Roman"/>
                <w:kern w:val="0"/>
                <w:szCs w:val="21"/>
              </w:rPr>
            </w:pPr>
          </w:p>
        </w:tc>
        <w:tc>
          <w:tcPr>
            <w:tcW w:w="3350" w:type="pct"/>
            <w:shd w:val="clear" w:color="auto" w:fill="auto"/>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kern w:val="0"/>
                <w:szCs w:val="21"/>
              </w:rPr>
              <w:t>时延:</w:t>
            </w:r>
            <w:r>
              <w:rPr>
                <w:rFonts w:ascii="Times New Roman" w:eastAsia="宋体" w:hAnsi="Times New Roman" w:cs="Times New Roman" w:hint="eastAsia"/>
                <w:szCs w:val="20"/>
              </w:rPr>
              <w:t xml:space="preserve"> </w:t>
            </w:r>
            <w:r>
              <w:rPr>
                <w:rFonts w:ascii="宋体" w:eastAsia="宋体" w:hAnsi="宋体" w:cs="Times New Roman" w:hint="eastAsia"/>
                <w:kern w:val="0"/>
                <w:szCs w:val="21"/>
              </w:rPr>
              <w:t>≤</w:t>
            </w:r>
            <w:r>
              <w:rPr>
                <w:rFonts w:ascii="宋体" w:eastAsia="宋体" w:hAnsi="宋体" w:cs="Times New Roman"/>
                <w:kern w:val="0"/>
                <w:szCs w:val="21"/>
              </w:rPr>
              <w:t>40ms</w:t>
            </w:r>
          </w:p>
        </w:tc>
        <w:tc>
          <w:tcPr>
            <w:tcW w:w="588" w:type="pct"/>
            <w:vMerge/>
            <w:shd w:val="clear" w:color="auto" w:fill="auto"/>
            <w:vAlign w:val="center"/>
          </w:tcPr>
          <w:p>
            <w:pPr>
              <w:wordWrap w:val="0"/>
              <w:topLinePunct/>
              <w:adjustRightInd w:val="0"/>
              <w:snapToGrid w:val="0"/>
              <w:jc w:val="center"/>
              <w:rPr>
                <w:rFonts w:ascii="宋体" w:eastAsia="宋体" w:hAnsi="宋体" w:cs="Times New Roman"/>
                <w:kern w:val="0"/>
                <w:szCs w:val="21"/>
              </w:rPr>
            </w:pPr>
          </w:p>
        </w:tc>
      </w:tr>
      <w:tr>
        <w:tblPrEx>
          <w:tblW w:w="4997" w:type="pct"/>
          <w:tblInd w:w="0" w:type="dxa"/>
          <w:tblCellMar>
            <w:top w:w="0" w:type="dxa"/>
            <w:left w:w="108" w:type="dxa"/>
            <w:bottom w:w="0" w:type="dxa"/>
            <w:right w:w="108" w:type="dxa"/>
          </w:tblCellMar>
        </w:tblPrEx>
        <w:trPr>
          <w:trHeight w:val="90"/>
        </w:trPr>
        <w:tc>
          <w:tcPr>
            <w:tcW w:w="296" w:type="pct"/>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4</w:t>
            </w:r>
          </w:p>
        </w:tc>
        <w:tc>
          <w:tcPr>
            <w:tcW w:w="386" w:type="pct"/>
            <w:shd w:val="clear" w:color="auto" w:fill="auto"/>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378" w:type="pct"/>
            <w:vMerge/>
            <w:shd w:val="clear" w:color="auto" w:fill="auto"/>
            <w:vAlign w:val="center"/>
          </w:tcPr>
          <w:p>
            <w:pPr>
              <w:wordWrap w:val="0"/>
              <w:topLinePunct/>
              <w:adjustRightInd w:val="0"/>
              <w:snapToGrid w:val="0"/>
              <w:jc w:val="center"/>
              <w:rPr>
                <w:rFonts w:ascii="宋体" w:eastAsia="宋体" w:hAnsi="宋体" w:cs="Times New Roman"/>
                <w:kern w:val="0"/>
                <w:szCs w:val="21"/>
              </w:rPr>
            </w:pPr>
          </w:p>
        </w:tc>
        <w:tc>
          <w:tcPr>
            <w:tcW w:w="3350" w:type="pct"/>
            <w:shd w:val="clear" w:color="auto" w:fill="auto"/>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hint="eastAsia"/>
                <w:kern w:val="0"/>
                <w:szCs w:val="21"/>
              </w:rPr>
              <w:t>接口速率：2M至10Gbps</w:t>
            </w:r>
          </w:p>
        </w:tc>
        <w:tc>
          <w:tcPr>
            <w:tcW w:w="588" w:type="pct"/>
            <w:vMerge/>
            <w:shd w:val="clear" w:color="auto" w:fill="auto"/>
            <w:vAlign w:val="center"/>
          </w:tcPr>
          <w:p>
            <w:pPr>
              <w:wordWrap w:val="0"/>
              <w:topLinePunct/>
              <w:adjustRightInd w:val="0"/>
              <w:snapToGrid w:val="0"/>
              <w:jc w:val="center"/>
              <w:rPr>
                <w:rFonts w:ascii="宋体" w:eastAsia="宋体" w:hAnsi="宋体" w:cs="Times New Roman"/>
                <w:kern w:val="0"/>
                <w:szCs w:val="21"/>
              </w:rPr>
            </w:pPr>
          </w:p>
        </w:tc>
      </w:tr>
    </w:tbl>
    <w:p>
      <w:pPr>
        <w:widowControl/>
        <w:adjustRightInd w:val="0"/>
        <w:snapToGrid w:val="0"/>
        <w:spacing w:line="360" w:lineRule="auto"/>
        <w:ind w:firstLine="420" w:firstLineChars="200"/>
        <w:jc w:val="left"/>
        <w:rPr>
          <w:rFonts w:ascii="宋体" w:eastAsia="宋体" w:hAnsi="宋体" w:cs="宋体"/>
          <w:bCs/>
          <w:kern w:val="44"/>
          <w:szCs w:val="28"/>
        </w:rPr>
      </w:pPr>
    </w:p>
    <w:p>
      <w:pPr>
        <w:widowControl/>
        <w:adjustRightInd w:val="0"/>
        <w:snapToGrid w:val="0"/>
        <w:spacing w:line="360" w:lineRule="auto"/>
        <w:ind w:firstLine="420" w:firstLineChars="200"/>
        <w:jc w:val="left"/>
        <w:rPr>
          <w:rFonts w:ascii="宋体" w:eastAsia="宋体" w:hAnsi="宋体" w:cs="宋体"/>
          <w:bCs/>
          <w:kern w:val="44"/>
          <w:szCs w:val="28"/>
        </w:rPr>
      </w:pPr>
      <w:r>
        <w:rPr>
          <w:rFonts w:ascii="宋体" w:eastAsia="宋体" w:hAnsi="宋体" w:cs="宋体" w:hint="eastAsia"/>
          <w:bCs/>
          <w:kern w:val="44"/>
          <w:szCs w:val="28"/>
        </w:rPr>
        <w:t>（3）国际通信D</w:t>
      </w:r>
      <w:r>
        <w:rPr>
          <w:rFonts w:ascii="宋体" w:eastAsia="宋体" w:hAnsi="宋体" w:cs="宋体"/>
          <w:bCs/>
          <w:kern w:val="44"/>
          <w:szCs w:val="28"/>
        </w:rPr>
        <w:t>DN</w:t>
      </w:r>
      <w:r>
        <w:rPr>
          <w:rFonts w:ascii="宋体" w:eastAsia="宋体" w:hAnsi="宋体" w:cs="宋体" w:hint="eastAsia"/>
          <w:bCs/>
          <w:kern w:val="44"/>
          <w:szCs w:val="28"/>
        </w:rPr>
        <w:t>线路</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9"/>
        <w:gridCol w:w="730"/>
        <w:gridCol w:w="943"/>
        <w:gridCol w:w="5649"/>
        <w:gridCol w:w="771"/>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70"/>
          <w:jc w:val="center"/>
        </w:trPr>
        <w:tc>
          <w:tcPr>
            <w:tcW w:w="25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序号</w:t>
            </w:r>
          </w:p>
        </w:tc>
        <w:tc>
          <w:tcPr>
            <w:tcW w:w="428"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重要性</w:t>
            </w:r>
          </w:p>
        </w:tc>
        <w:tc>
          <w:tcPr>
            <w:tcW w:w="553"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指标项</w:t>
            </w:r>
          </w:p>
        </w:tc>
        <w:tc>
          <w:tcPr>
            <w:tcW w:w="3313"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指标要求</w:t>
            </w:r>
          </w:p>
        </w:tc>
        <w:tc>
          <w:tcPr>
            <w:tcW w:w="45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证明材料要求</w:t>
            </w:r>
          </w:p>
        </w:tc>
      </w:tr>
      <w:tr>
        <w:tblPrEx>
          <w:tblW w:w="5000" w:type="pct"/>
          <w:jc w:val="center"/>
          <w:tblCellMar>
            <w:top w:w="0" w:type="dxa"/>
            <w:left w:w="108" w:type="dxa"/>
            <w:bottom w:w="0" w:type="dxa"/>
            <w:right w:w="108" w:type="dxa"/>
          </w:tblCellMar>
        </w:tblPrEx>
        <w:trPr>
          <w:trHeight w:val="565"/>
          <w:jc w:val="center"/>
        </w:trPr>
        <w:tc>
          <w:tcPr>
            <w:tcW w:w="25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kern w:val="0"/>
                <w:szCs w:val="21"/>
              </w:rPr>
              <w:t>1</w:t>
            </w:r>
          </w:p>
        </w:tc>
        <w:tc>
          <w:tcPr>
            <w:tcW w:w="428"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553" w:type="pct"/>
            <w:vMerge w:val="restar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电路要求</w:t>
            </w:r>
          </w:p>
        </w:tc>
        <w:tc>
          <w:tcPr>
            <w:tcW w:w="3313" w:type="pct"/>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hint="eastAsia"/>
                <w:kern w:val="0"/>
                <w:szCs w:val="21"/>
              </w:rPr>
              <w:t>在国际线路接壤边境的边境站或国际POP点为自有资源</w:t>
            </w:r>
          </w:p>
        </w:tc>
        <w:tc>
          <w:tcPr>
            <w:tcW w:w="452" w:type="pct"/>
            <w:vMerge w:val="restar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需提供承诺函</w:t>
            </w:r>
          </w:p>
        </w:tc>
      </w:tr>
      <w:tr>
        <w:tblPrEx>
          <w:tblW w:w="5000" w:type="pct"/>
          <w:jc w:val="center"/>
          <w:tblCellMar>
            <w:top w:w="0" w:type="dxa"/>
            <w:left w:w="108" w:type="dxa"/>
            <w:bottom w:w="0" w:type="dxa"/>
            <w:right w:w="108" w:type="dxa"/>
          </w:tblCellMar>
        </w:tblPrEx>
        <w:trPr>
          <w:trHeight w:val="565"/>
          <w:jc w:val="center"/>
        </w:trPr>
        <w:tc>
          <w:tcPr>
            <w:tcW w:w="25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2</w:t>
            </w:r>
          </w:p>
        </w:tc>
        <w:tc>
          <w:tcPr>
            <w:tcW w:w="428"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553" w:type="pct"/>
            <w:vMerge/>
            <w:vAlign w:val="center"/>
          </w:tcPr>
          <w:p>
            <w:pPr>
              <w:wordWrap w:val="0"/>
              <w:topLinePunct/>
              <w:adjustRightInd w:val="0"/>
              <w:snapToGrid w:val="0"/>
              <w:jc w:val="center"/>
              <w:rPr>
                <w:rFonts w:ascii="宋体" w:eastAsia="宋体" w:hAnsi="宋体" w:cs="Times New Roman"/>
                <w:kern w:val="0"/>
                <w:szCs w:val="21"/>
              </w:rPr>
            </w:pPr>
          </w:p>
        </w:tc>
        <w:tc>
          <w:tcPr>
            <w:tcW w:w="3313" w:type="pct"/>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hint="eastAsia"/>
                <w:kern w:val="0"/>
                <w:szCs w:val="21"/>
              </w:rPr>
              <w:t>投标人需协调国际运营商进行同步调整</w:t>
            </w:r>
          </w:p>
        </w:tc>
        <w:tc>
          <w:tcPr>
            <w:tcW w:w="452" w:type="pct"/>
            <w:vMerge/>
            <w:vAlign w:val="center"/>
          </w:tcPr>
          <w:p>
            <w:pPr>
              <w:wordWrap w:val="0"/>
              <w:topLinePunct/>
              <w:adjustRightInd w:val="0"/>
              <w:snapToGrid w:val="0"/>
              <w:jc w:val="center"/>
              <w:rPr>
                <w:rFonts w:ascii="宋体" w:eastAsia="宋体" w:hAnsi="宋体" w:cs="Times New Roman"/>
                <w:kern w:val="0"/>
                <w:szCs w:val="21"/>
              </w:rPr>
            </w:pPr>
          </w:p>
        </w:tc>
      </w:tr>
    </w:tbl>
    <w:p>
      <w:pPr>
        <w:widowControl/>
        <w:wordWrap w:val="0"/>
        <w:rPr>
          <w:rFonts w:ascii="Calibri" w:eastAsia="宋体" w:hAnsi="Calibri" w:cs="Calibri"/>
          <w:kern w:val="0"/>
        </w:rPr>
      </w:pPr>
    </w:p>
    <w:p>
      <w:pPr>
        <w:widowControl/>
        <w:adjustRightInd w:val="0"/>
        <w:snapToGrid w:val="0"/>
        <w:spacing w:line="360" w:lineRule="auto"/>
        <w:ind w:firstLine="420" w:firstLineChars="200"/>
        <w:jc w:val="left"/>
        <w:rPr>
          <w:rFonts w:ascii="宋体" w:eastAsia="宋体" w:hAnsi="宋体" w:cs="宋体"/>
          <w:bCs/>
          <w:kern w:val="44"/>
          <w:szCs w:val="28"/>
        </w:rPr>
      </w:pPr>
      <w:r>
        <w:rPr>
          <w:rFonts w:ascii="宋体" w:eastAsia="宋体" w:hAnsi="宋体" w:cs="宋体" w:hint="eastAsia"/>
          <w:bCs/>
          <w:kern w:val="44"/>
          <w:szCs w:val="28"/>
        </w:rPr>
        <w:t>（4）管道光纤</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31"/>
        <w:gridCol w:w="737"/>
        <w:gridCol w:w="936"/>
        <w:gridCol w:w="5647"/>
        <w:gridCol w:w="771"/>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70"/>
          <w:jc w:val="center"/>
        </w:trPr>
        <w:tc>
          <w:tcPr>
            <w:tcW w:w="253"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序号</w:t>
            </w:r>
          </w:p>
        </w:tc>
        <w:tc>
          <w:tcPr>
            <w:tcW w:w="43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重要性</w:t>
            </w:r>
          </w:p>
        </w:tc>
        <w:tc>
          <w:tcPr>
            <w:tcW w:w="549"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指标项</w:t>
            </w:r>
          </w:p>
        </w:tc>
        <w:tc>
          <w:tcPr>
            <w:tcW w:w="331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指标要求</w:t>
            </w:r>
          </w:p>
        </w:tc>
        <w:tc>
          <w:tcPr>
            <w:tcW w:w="45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证明材料要求</w:t>
            </w:r>
          </w:p>
        </w:tc>
      </w:tr>
      <w:tr>
        <w:tblPrEx>
          <w:tblW w:w="5000" w:type="pct"/>
          <w:jc w:val="center"/>
          <w:tblCellMar>
            <w:top w:w="0" w:type="dxa"/>
            <w:left w:w="108" w:type="dxa"/>
            <w:bottom w:w="0" w:type="dxa"/>
            <w:right w:w="108" w:type="dxa"/>
          </w:tblCellMar>
        </w:tblPrEx>
        <w:trPr>
          <w:trHeight w:val="565"/>
          <w:jc w:val="center"/>
        </w:trPr>
        <w:tc>
          <w:tcPr>
            <w:tcW w:w="253"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kern w:val="0"/>
                <w:szCs w:val="21"/>
              </w:rPr>
              <w:t>1</w:t>
            </w:r>
          </w:p>
        </w:tc>
        <w:tc>
          <w:tcPr>
            <w:tcW w:w="43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549" w:type="pct"/>
            <w:vMerge w:val="restar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管道光纤要求</w:t>
            </w:r>
          </w:p>
        </w:tc>
        <w:tc>
          <w:tcPr>
            <w:tcW w:w="3312" w:type="pct"/>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kern w:val="0"/>
                <w:szCs w:val="21"/>
              </w:rPr>
              <w:t>光纤链路为单模光纤，技术指标应不低于G.652光纤标准</w:t>
            </w:r>
          </w:p>
        </w:tc>
        <w:tc>
          <w:tcPr>
            <w:tcW w:w="452" w:type="pct"/>
            <w:vMerge w:val="restar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需提供承诺函</w:t>
            </w:r>
          </w:p>
        </w:tc>
      </w:tr>
      <w:tr>
        <w:tblPrEx>
          <w:tblW w:w="5000" w:type="pct"/>
          <w:jc w:val="center"/>
          <w:tblCellMar>
            <w:top w:w="0" w:type="dxa"/>
            <w:left w:w="108" w:type="dxa"/>
            <w:bottom w:w="0" w:type="dxa"/>
            <w:right w:w="108" w:type="dxa"/>
          </w:tblCellMar>
        </w:tblPrEx>
        <w:trPr>
          <w:trHeight w:val="565"/>
          <w:jc w:val="center"/>
        </w:trPr>
        <w:tc>
          <w:tcPr>
            <w:tcW w:w="253"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2</w:t>
            </w:r>
          </w:p>
        </w:tc>
        <w:tc>
          <w:tcPr>
            <w:tcW w:w="43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549" w:type="pct"/>
            <w:vMerge/>
            <w:vAlign w:val="center"/>
          </w:tcPr>
          <w:p>
            <w:pPr>
              <w:wordWrap w:val="0"/>
              <w:topLinePunct/>
              <w:adjustRightInd w:val="0"/>
              <w:snapToGrid w:val="0"/>
              <w:jc w:val="center"/>
              <w:rPr>
                <w:rFonts w:ascii="宋体" w:eastAsia="宋体" w:hAnsi="宋体" w:cs="Times New Roman"/>
                <w:kern w:val="0"/>
                <w:szCs w:val="21"/>
              </w:rPr>
            </w:pPr>
          </w:p>
        </w:tc>
        <w:tc>
          <w:tcPr>
            <w:tcW w:w="3312" w:type="pct"/>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kern w:val="0"/>
                <w:szCs w:val="21"/>
              </w:rPr>
              <w:t>光缆跳线：插入损耗≤0.3db/对</w:t>
            </w:r>
          </w:p>
        </w:tc>
        <w:tc>
          <w:tcPr>
            <w:tcW w:w="452" w:type="pct"/>
            <w:vMerge/>
            <w:vAlign w:val="center"/>
          </w:tcPr>
          <w:p>
            <w:pPr>
              <w:wordWrap w:val="0"/>
              <w:topLinePunct/>
              <w:adjustRightInd w:val="0"/>
              <w:snapToGrid w:val="0"/>
              <w:jc w:val="center"/>
              <w:rPr>
                <w:rFonts w:ascii="宋体" w:eastAsia="宋体" w:hAnsi="宋体" w:cs="Times New Roman"/>
                <w:kern w:val="0"/>
                <w:szCs w:val="21"/>
              </w:rPr>
            </w:pPr>
          </w:p>
        </w:tc>
      </w:tr>
      <w:tr>
        <w:tblPrEx>
          <w:tblW w:w="5000" w:type="pct"/>
          <w:jc w:val="center"/>
          <w:tblCellMar>
            <w:top w:w="0" w:type="dxa"/>
            <w:left w:w="108" w:type="dxa"/>
            <w:bottom w:w="0" w:type="dxa"/>
            <w:right w:w="108" w:type="dxa"/>
          </w:tblCellMar>
        </w:tblPrEx>
        <w:trPr>
          <w:trHeight w:val="565"/>
          <w:jc w:val="center"/>
        </w:trPr>
        <w:tc>
          <w:tcPr>
            <w:tcW w:w="253"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3</w:t>
            </w:r>
          </w:p>
        </w:tc>
        <w:tc>
          <w:tcPr>
            <w:tcW w:w="43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549" w:type="pct"/>
            <w:vMerge/>
            <w:vAlign w:val="center"/>
          </w:tcPr>
          <w:p>
            <w:pPr>
              <w:wordWrap w:val="0"/>
              <w:topLinePunct/>
              <w:adjustRightInd w:val="0"/>
              <w:snapToGrid w:val="0"/>
              <w:jc w:val="center"/>
              <w:rPr>
                <w:rFonts w:ascii="宋体" w:eastAsia="宋体" w:hAnsi="宋体" w:cs="Times New Roman"/>
                <w:kern w:val="0"/>
                <w:szCs w:val="21"/>
              </w:rPr>
            </w:pPr>
          </w:p>
        </w:tc>
        <w:tc>
          <w:tcPr>
            <w:tcW w:w="3312" w:type="pct"/>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kern w:val="0"/>
                <w:szCs w:val="21"/>
              </w:rPr>
              <w:t>寿命重复插拔1000次，其性能不变</w:t>
            </w:r>
          </w:p>
        </w:tc>
        <w:tc>
          <w:tcPr>
            <w:tcW w:w="452" w:type="pct"/>
            <w:vMerge/>
            <w:vAlign w:val="center"/>
          </w:tcPr>
          <w:p>
            <w:pPr>
              <w:wordWrap w:val="0"/>
              <w:topLinePunct/>
              <w:adjustRightInd w:val="0"/>
              <w:snapToGrid w:val="0"/>
              <w:jc w:val="center"/>
              <w:rPr>
                <w:rFonts w:ascii="宋体" w:eastAsia="宋体" w:hAnsi="宋体" w:cs="Times New Roman"/>
                <w:kern w:val="0"/>
                <w:szCs w:val="21"/>
              </w:rPr>
            </w:pPr>
          </w:p>
        </w:tc>
      </w:tr>
      <w:tr>
        <w:tblPrEx>
          <w:tblW w:w="5000" w:type="pct"/>
          <w:jc w:val="center"/>
          <w:tblCellMar>
            <w:top w:w="0" w:type="dxa"/>
            <w:left w:w="108" w:type="dxa"/>
            <w:bottom w:w="0" w:type="dxa"/>
            <w:right w:w="108" w:type="dxa"/>
          </w:tblCellMar>
        </w:tblPrEx>
        <w:trPr>
          <w:trHeight w:val="565"/>
          <w:jc w:val="center"/>
        </w:trPr>
        <w:tc>
          <w:tcPr>
            <w:tcW w:w="253"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4</w:t>
            </w:r>
          </w:p>
        </w:tc>
        <w:tc>
          <w:tcPr>
            <w:tcW w:w="43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549" w:type="pct"/>
            <w:vMerge/>
            <w:vAlign w:val="center"/>
          </w:tcPr>
          <w:p>
            <w:pPr>
              <w:wordWrap w:val="0"/>
              <w:topLinePunct/>
              <w:adjustRightInd w:val="0"/>
              <w:snapToGrid w:val="0"/>
              <w:jc w:val="center"/>
              <w:rPr>
                <w:rFonts w:ascii="宋体" w:eastAsia="宋体" w:hAnsi="宋体" w:cs="Times New Roman"/>
                <w:kern w:val="0"/>
                <w:szCs w:val="21"/>
              </w:rPr>
            </w:pPr>
          </w:p>
        </w:tc>
        <w:tc>
          <w:tcPr>
            <w:tcW w:w="3312" w:type="pct"/>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kern w:val="0"/>
                <w:szCs w:val="21"/>
              </w:rPr>
              <w:t>光缆接头：光纤接头损耗≤0.1db</w:t>
            </w:r>
          </w:p>
        </w:tc>
        <w:tc>
          <w:tcPr>
            <w:tcW w:w="452" w:type="pct"/>
            <w:vMerge/>
            <w:vAlign w:val="center"/>
          </w:tcPr>
          <w:p>
            <w:pPr>
              <w:wordWrap w:val="0"/>
              <w:topLinePunct/>
              <w:adjustRightInd w:val="0"/>
              <w:snapToGrid w:val="0"/>
              <w:jc w:val="center"/>
              <w:rPr>
                <w:rFonts w:ascii="宋体" w:eastAsia="宋体" w:hAnsi="宋体" w:cs="Times New Roman"/>
                <w:kern w:val="0"/>
                <w:szCs w:val="21"/>
              </w:rPr>
            </w:pPr>
          </w:p>
        </w:tc>
      </w:tr>
      <w:tr>
        <w:tblPrEx>
          <w:tblW w:w="5000" w:type="pct"/>
          <w:jc w:val="center"/>
          <w:tblCellMar>
            <w:top w:w="0" w:type="dxa"/>
            <w:left w:w="108" w:type="dxa"/>
            <w:bottom w:w="0" w:type="dxa"/>
            <w:right w:w="108" w:type="dxa"/>
          </w:tblCellMar>
        </w:tblPrEx>
        <w:trPr>
          <w:trHeight w:val="565"/>
          <w:jc w:val="center"/>
        </w:trPr>
        <w:tc>
          <w:tcPr>
            <w:tcW w:w="253"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5</w:t>
            </w:r>
          </w:p>
        </w:tc>
        <w:tc>
          <w:tcPr>
            <w:tcW w:w="43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549" w:type="pct"/>
            <w:vMerge/>
            <w:vAlign w:val="center"/>
          </w:tcPr>
          <w:p>
            <w:pPr>
              <w:wordWrap w:val="0"/>
              <w:topLinePunct/>
              <w:adjustRightInd w:val="0"/>
              <w:snapToGrid w:val="0"/>
              <w:jc w:val="center"/>
              <w:rPr>
                <w:rFonts w:ascii="宋体" w:eastAsia="宋体" w:hAnsi="宋体" w:cs="Times New Roman"/>
                <w:kern w:val="0"/>
                <w:szCs w:val="21"/>
              </w:rPr>
            </w:pPr>
          </w:p>
        </w:tc>
        <w:tc>
          <w:tcPr>
            <w:tcW w:w="3312" w:type="pct"/>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kern w:val="0"/>
                <w:szCs w:val="21"/>
              </w:rPr>
              <w:t>光缆衰耗≤0.5dB/公里</w:t>
            </w:r>
          </w:p>
        </w:tc>
        <w:tc>
          <w:tcPr>
            <w:tcW w:w="452" w:type="pct"/>
            <w:vMerge/>
            <w:vAlign w:val="center"/>
          </w:tcPr>
          <w:p>
            <w:pPr>
              <w:wordWrap w:val="0"/>
              <w:topLinePunct/>
              <w:adjustRightInd w:val="0"/>
              <w:snapToGrid w:val="0"/>
              <w:jc w:val="center"/>
              <w:rPr>
                <w:rFonts w:ascii="宋体" w:eastAsia="宋体" w:hAnsi="宋体" w:cs="Times New Roman"/>
                <w:kern w:val="0"/>
                <w:szCs w:val="21"/>
              </w:rPr>
            </w:pPr>
          </w:p>
        </w:tc>
      </w:tr>
      <w:tr>
        <w:tblPrEx>
          <w:tblW w:w="5000" w:type="pct"/>
          <w:jc w:val="center"/>
          <w:tblCellMar>
            <w:top w:w="0" w:type="dxa"/>
            <w:left w:w="108" w:type="dxa"/>
            <w:bottom w:w="0" w:type="dxa"/>
            <w:right w:w="108" w:type="dxa"/>
          </w:tblCellMar>
        </w:tblPrEx>
        <w:trPr>
          <w:trHeight w:val="565"/>
          <w:jc w:val="center"/>
        </w:trPr>
        <w:tc>
          <w:tcPr>
            <w:tcW w:w="253"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6</w:t>
            </w:r>
          </w:p>
        </w:tc>
        <w:tc>
          <w:tcPr>
            <w:tcW w:w="43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549" w:type="pct"/>
            <w:vMerge/>
            <w:vAlign w:val="center"/>
          </w:tcPr>
          <w:p>
            <w:pPr>
              <w:wordWrap w:val="0"/>
              <w:topLinePunct/>
              <w:adjustRightInd w:val="0"/>
              <w:snapToGrid w:val="0"/>
              <w:jc w:val="center"/>
              <w:rPr>
                <w:rFonts w:ascii="宋体" w:eastAsia="宋体" w:hAnsi="宋体" w:cs="Times New Roman"/>
                <w:kern w:val="0"/>
                <w:szCs w:val="21"/>
              </w:rPr>
            </w:pPr>
          </w:p>
        </w:tc>
        <w:tc>
          <w:tcPr>
            <w:tcW w:w="3312" w:type="pct"/>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hint="eastAsia"/>
                <w:kern w:val="0"/>
                <w:szCs w:val="21"/>
              </w:rPr>
              <w:t>其他要求：</w:t>
            </w:r>
            <w:r>
              <w:rPr>
                <w:rFonts w:ascii="宋体" w:eastAsia="宋体" w:hAnsi="宋体" w:cs="Times New Roman"/>
                <w:kern w:val="0"/>
                <w:szCs w:val="21"/>
              </w:rPr>
              <w:t>不得租用第三方链路或跨接</w:t>
            </w:r>
            <w:r>
              <w:rPr>
                <w:rFonts w:ascii="宋体" w:eastAsia="宋体" w:hAnsi="宋体" w:cs="Times New Roman" w:hint="eastAsia"/>
                <w:kern w:val="0"/>
                <w:szCs w:val="21"/>
              </w:rPr>
              <w:t>，</w:t>
            </w:r>
            <w:r>
              <w:rPr>
                <w:rFonts w:ascii="宋体" w:eastAsia="宋体" w:hAnsi="宋体" w:cs="Times New Roman"/>
                <w:kern w:val="0"/>
                <w:szCs w:val="21"/>
              </w:rPr>
              <w:t>专线电路需端到端均为固网资源</w:t>
            </w:r>
            <w:r>
              <w:rPr>
                <w:rFonts w:ascii="宋体" w:eastAsia="宋体" w:hAnsi="宋体" w:cs="Times New Roman" w:hint="eastAsia"/>
                <w:kern w:val="0"/>
                <w:szCs w:val="21"/>
              </w:rPr>
              <w:t>，</w:t>
            </w:r>
            <w:r>
              <w:rPr>
                <w:rFonts w:ascii="宋体" w:eastAsia="宋体" w:hAnsi="宋体" w:cs="Times New Roman"/>
                <w:kern w:val="0"/>
                <w:szCs w:val="21"/>
              </w:rPr>
              <w:t>不得采用无线链路。</w:t>
            </w:r>
          </w:p>
        </w:tc>
        <w:tc>
          <w:tcPr>
            <w:tcW w:w="452" w:type="pct"/>
            <w:vMerge/>
            <w:vAlign w:val="center"/>
          </w:tcPr>
          <w:p>
            <w:pPr>
              <w:wordWrap w:val="0"/>
              <w:topLinePunct/>
              <w:adjustRightInd w:val="0"/>
              <w:snapToGrid w:val="0"/>
              <w:jc w:val="center"/>
              <w:rPr>
                <w:rFonts w:ascii="宋体" w:eastAsia="宋体" w:hAnsi="宋体" w:cs="Times New Roman"/>
                <w:kern w:val="0"/>
                <w:szCs w:val="21"/>
              </w:rPr>
            </w:pPr>
          </w:p>
        </w:tc>
      </w:tr>
    </w:tbl>
    <w:p>
      <w:pPr>
        <w:rPr>
          <w:rFonts w:ascii="Times New Roman" w:eastAsia="宋体" w:hAnsi="Times New Roman" w:cs="Times New Roman"/>
          <w:szCs w:val="20"/>
        </w:rPr>
      </w:pPr>
    </w:p>
    <w:p>
      <w:pPr>
        <w:spacing w:line="360" w:lineRule="auto"/>
        <w:ind w:left="480"/>
        <w:rPr>
          <w:rFonts w:ascii="宋体" w:eastAsia="宋体" w:hAnsi="宋体" w:cs="Times New Roman"/>
          <w:b/>
          <w:color w:val="212121"/>
          <w:spacing w:val="8"/>
          <w:szCs w:val="20"/>
        </w:rPr>
      </w:pPr>
      <w:r>
        <w:rPr>
          <w:rFonts w:ascii="宋体" w:eastAsia="宋体" w:hAnsi="宋体" w:cs="Times New Roman" w:hint="eastAsia"/>
          <w:b/>
          <w:color w:val="212121"/>
          <w:spacing w:val="8"/>
          <w:sz w:val="24"/>
          <w:szCs w:val="24"/>
        </w:rPr>
        <w:t>四、技术服务要求</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8"/>
        <w:gridCol w:w="731"/>
        <w:gridCol w:w="941"/>
        <w:gridCol w:w="5651"/>
        <w:gridCol w:w="771"/>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70"/>
          <w:jc w:val="center"/>
        </w:trPr>
        <w:tc>
          <w:tcPr>
            <w:tcW w:w="251"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序号</w:t>
            </w:r>
          </w:p>
        </w:tc>
        <w:tc>
          <w:tcPr>
            <w:tcW w:w="429"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重要性</w:t>
            </w:r>
          </w:p>
        </w:tc>
        <w:tc>
          <w:tcPr>
            <w:tcW w:w="55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指标项</w:t>
            </w:r>
          </w:p>
        </w:tc>
        <w:tc>
          <w:tcPr>
            <w:tcW w:w="3315"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指标要求</w:t>
            </w:r>
          </w:p>
        </w:tc>
        <w:tc>
          <w:tcPr>
            <w:tcW w:w="45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证明材料要求</w:t>
            </w:r>
          </w:p>
        </w:tc>
      </w:tr>
      <w:tr>
        <w:tblPrEx>
          <w:tblW w:w="5000" w:type="pct"/>
          <w:jc w:val="center"/>
          <w:tblCellMar>
            <w:top w:w="0" w:type="dxa"/>
            <w:left w:w="108" w:type="dxa"/>
            <w:bottom w:w="0" w:type="dxa"/>
            <w:right w:w="108" w:type="dxa"/>
          </w:tblCellMar>
        </w:tblPrEx>
        <w:trPr>
          <w:trHeight w:val="565"/>
          <w:jc w:val="center"/>
        </w:trPr>
        <w:tc>
          <w:tcPr>
            <w:tcW w:w="251"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kern w:val="0"/>
                <w:szCs w:val="21"/>
              </w:rPr>
              <w:t>1</w:t>
            </w:r>
          </w:p>
        </w:tc>
        <w:tc>
          <w:tcPr>
            <w:tcW w:w="429"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55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实施团队</w:t>
            </w:r>
          </w:p>
        </w:tc>
        <w:tc>
          <w:tcPr>
            <w:tcW w:w="3315" w:type="pct"/>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hint="eastAsia"/>
                <w:kern w:val="0"/>
                <w:szCs w:val="21"/>
              </w:rPr>
              <w:t>供应商自身或其母公司或其全资子公司在本次项目所涉及的省（自治区、直辖市）设有分支机构。</w:t>
            </w:r>
            <w:r>
              <w:rPr>
                <w:rFonts w:ascii="宋体" w:eastAsia="宋体" w:hAnsi="宋体" w:cs="Times New Roman"/>
                <w:kern w:val="0"/>
                <w:szCs w:val="21"/>
              </w:rPr>
              <w:t>31个省市自治区均设有分支机构并安排配合本次项目。</w:t>
            </w:r>
          </w:p>
        </w:tc>
        <w:tc>
          <w:tcPr>
            <w:tcW w:w="452" w:type="pct"/>
            <w:vMerge w:val="restar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需提供承诺函</w:t>
            </w:r>
          </w:p>
        </w:tc>
      </w:tr>
      <w:tr>
        <w:tblPrEx>
          <w:tblW w:w="5000" w:type="pct"/>
          <w:jc w:val="center"/>
          <w:tblCellMar>
            <w:top w:w="0" w:type="dxa"/>
            <w:left w:w="108" w:type="dxa"/>
            <w:bottom w:w="0" w:type="dxa"/>
            <w:right w:w="108" w:type="dxa"/>
          </w:tblCellMar>
        </w:tblPrEx>
        <w:trPr>
          <w:trHeight w:val="285"/>
          <w:jc w:val="center"/>
        </w:trPr>
        <w:tc>
          <w:tcPr>
            <w:tcW w:w="251"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kern w:val="0"/>
                <w:szCs w:val="21"/>
              </w:rPr>
              <w:t>2</w:t>
            </w:r>
          </w:p>
        </w:tc>
        <w:tc>
          <w:tcPr>
            <w:tcW w:w="429"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55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故障响应</w:t>
            </w:r>
          </w:p>
        </w:tc>
        <w:tc>
          <w:tcPr>
            <w:tcW w:w="3315" w:type="pct"/>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hint="eastAsia"/>
                <w:kern w:val="0"/>
                <w:szCs w:val="21"/>
              </w:rPr>
              <w:t>供应商提供</w:t>
            </w:r>
            <w:r>
              <w:rPr>
                <w:rFonts w:ascii="宋体" w:eastAsia="宋体" w:hAnsi="宋体" w:cs="Times New Roman"/>
                <w:kern w:val="0"/>
                <w:szCs w:val="21"/>
              </w:rPr>
              <w:t>7×24小时的故障响应服务，响应率100%，供应商承诺在所提供的网络链路发生中断时15分钟内通过用户选定的通讯方式及时通知用户。供应商应提供热线电话及服务经理，提供7×24小时的不间断服务并实现在接到客户申告电话后，10分钟内电话回复；所有用户故障申告均可在北京统一受理（各地用户也可向供应商当地分公司申告），供应商负责协调相关分公司和相关技术人员，供应商应设专人负责处理电路故障、进行售后服务工作，协助用户相关管理人员排查可能因电路质量或故障造成的网络故障，全程跟踪故障的响应、处理和解决。提供承诺函并加盖供应商公章。</w:t>
            </w:r>
          </w:p>
        </w:tc>
        <w:tc>
          <w:tcPr>
            <w:tcW w:w="452" w:type="pct"/>
            <w:vMerge/>
            <w:vAlign w:val="center"/>
          </w:tcPr>
          <w:p>
            <w:pPr>
              <w:wordWrap w:val="0"/>
              <w:topLinePunct/>
              <w:adjustRightInd w:val="0"/>
              <w:snapToGrid w:val="0"/>
              <w:jc w:val="center"/>
              <w:rPr>
                <w:rFonts w:ascii="宋体" w:eastAsia="宋体" w:hAnsi="宋体" w:cs="Times New Roman"/>
                <w:kern w:val="0"/>
                <w:szCs w:val="21"/>
              </w:rPr>
            </w:pPr>
          </w:p>
        </w:tc>
      </w:tr>
      <w:tr>
        <w:tblPrEx>
          <w:tblW w:w="5000" w:type="pct"/>
          <w:jc w:val="center"/>
          <w:tblCellMar>
            <w:top w:w="0" w:type="dxa"/>
            <w:left w:w="108" w:type="dxa"/>
            <w:bottom w:w="0" w:type="dxa"/>
            <w:right w:w="108" w:type="dxa"/>
          </w:tblCellMar>
        </w:tblPrEx>
        <w:trPr>
          <w:trHeight w:val="285"/>
          <w:jc w:val="center"/>
        </w:trPr>
        <w:tc>
          <w:tcPr>
            <w:tcW w:w="251"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3</w:t>
            </w:r>
          </w:p>
        </w:tc>
        <w:tc>
          <w:tcPr>
            <w:tcW w:w="429"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55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重大</w:t>
            </w:r>
            <w:r>
              <w:rPr>
                <w:rFonts w:ascii="宋体" w:eastAsia="宋体" w:hAnsi="宋体" w:cs="Times New Roman"/>
                <w:kern w:val="0"/>
                <w:szCs w:val="21"/>
              </w:rPr>
              <w:t>保障</w:t>
            </w:r>
          </w:p>
        </w:tc>
        <w:tc>
          <w:tcPr>
            <w:tcW w:w="3315" w:type="pct"/>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hint="eastAsia"/>
                <w:kern w:val="0"/>
                <w:szCs w:val="21"/>
              </w:rPr>
              <w:t>在汛期、重大节日及重要事件的气象保障期间，乙方向甲方免费提供不少于5个重大活动保障任务相关的MPLS-VPN节点的重保服务，保证用户重点线路在重要运行时期的零中断。每次重大活动重保期间，乙方根据甲方需求免费提供MPLS-VPN节点或MSTP的临时升速服务。甲方提出正式申请后，乙方一个月内完成扩容实施工作。重保期不应产生任何额外费用。</w:t>
            </w:r>
          </w:p>
        </w:tc>
        <w:tc>
          <w:tcPr>
            <w:tcW w:w="452" w:type="pct"/>
            <w:vMerge/>
            <w:vAlign w:val="center"/>
          </w:tcPr>
          <w:p>
            <w:pPr>
              <w:wordWrap w:val="0"/>
              <w:topLinePunct/>
              <w:adjustRightInd w:val="0"/>
              <w:snapToGrid w:val="0"/>
              <w:jc w:val="center"/>
              <w:rPr>
                <w:rFonts w:ascii="宋体" w:eastAsia="宋体" w:hAnsi="宋体" w:cs="Times New Roman"/>
                <w:kern w:val="0"/>
                <w:szCs w:val="21"/>
              </w:rPr>
            </w:pPr>
          </w:p>
        </w:tc>
      </w:tr>
      <w:tr>
        <w:tblPrEx>
          <w:tblW w:w="5000" w:type="pct"/>
          <w:jc w:val="center"/>
          <w:tblCellMar>
            <w:top w:w="0" w:type="dxa"/>
            <w:left w:w="108" w:type="dxa"/>
            <w:bottom w:w="0" w:type="dxa"/>
            <w:right w:w="108" w:type="dxa"/>
          </w:tblCellMar>
        </w:tblPrEx>
        <w:trPr>
          <w:trHeight w:val="285"/>
          <w:jc w:val="center"/>
        </w:trPr>
        <w:tc>
          <w:tcPr>
            <w:tcW w:w="251"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4</w:t>
            </w:r>
          </w:p>
        </w:tc>
        <w:tc>
          <w:tcPr>
            <w:tcW w:w="429"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55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割接</w:t>
            </w:r>
            <w:r>
              <w:rPr>
                <w:rFonts w:ascii="宋体" w:eastAsia="宋体" w:hAnsi="宋体" w:cs="Times New Roman"/>
                <w:kern w:val="0"/>
                <w:szCs w:val="21"/>
              </w:rPr>
              <w:t>通知</w:t>
            </w:r>
          </w:p>
        </w:tc>
        <w:tc>
          <w:tcPr>
            <w:tcW w:w="3315" w:type="pct"/>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hint="eastAsia"/>
                <w:kern w:val="0"/>
                <w:szCs w:val="21"/>
              </w:rPr>
              <w:t>对于由于外部原因引起的业务割接，供应商至少提前</w:t>
            </w:r>
            <w:r>
              <w:rPr>
                <w:rFonts w:ascii="宋体" w:eastAsia="宋体" w:hAnsi="宋体" w:cs="Times New Roman"/>
                <w:kern w:val="0"/>
                <w:szCs w:val="21"/>
              </w:rPr>
              <w:t>3个工作日通知用户，重大业务割接应提前5个工作日通知用户，并制订详细割接方案备案；割接时间应事先征得用户书面或邮件同意，并应尽量做到不停或少停链路。</w:t>
            </w:r>
          </w:p>
        </w:tc>
        <w:tc>
          <w:tcPr>
            <w:tcW w:w="452" w:type="pct"/>
            <w:vMerge/>
            <w:vAlign w:val="center"/>
          </w:tcPr>
          <w:p>
            <w:pPr>
              <w:wordWrap w:val="0"/>
              <w:topLinePunct/>
              <w:adjustRightInd w:val="0"/>
              <w:snapToGrid w:val="0"/>
              <w:jc w:val="center"/>
              <w:rPr>
                <w:rFonts w:ascii="宋体" w:eastAsia="宋体" w:hAnsi="宋体" w:cs="Times New Roman"/>
                <w:kern w:val="0"/>
                <w:szCs w:val="21"/>
              </w:rPr>
            </w:pPr>
          </w:p>
        </w:tc>
      </w:tr>
      <w:tr>
        <w:tblPrEx>
          <w:tblW w:w="5000" w:type="pct"/>
          <w:jc w:val="center"/>
          <w:tblCellMar>
            <w:top w:w="0" w:type="dxa"/>
            <w:left w:w="108" w:type="dxa"/>
            <w:bottom w:w="0" w:type="dxa"/>
            <w:right w:w="108" w:type="dxa"/>
          </w:tblCellMar>
        </w:tblPrEx>
        <w:trPr>
          <w:trHeight w:val="285"/>
          <w:jc w:val="center"/>
        </w:trPr>
        <w:tc>
          <w:tcPr>
            <w:tcW w:w="251"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5</w:t>
            </w:r>
          </w:p>
        </w:tc>
        <w:tc>
          <w:tcPr>
            <w:tcW w:w="429"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w:t>
            </w:r>
          </w:p>
        </w:tc>
        <w:tc>
          <w:tcPr>
            <w:tcW w:w="552" w:type="pct"/>
            <w:vAlign w:val="center"/>
          </w:tcPr>
          <w:p>
            <w:pPr>
              <w:wordWrap w:val="0"/>
              <w:topLinePunct/>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其他</w:t>
            </w:r>
          </w:p>
        </w:tc>
        <w:tc>
          <w:tcPr>
            <w:tcW w:w="3315" w:type="pct"/>
            <w:vAlign w:val="center"/>
          </w:tcPr>
          <w:p>
            <w:pPr>
              <w:wordWrap w:val="0"/>
              <w:topLinePunct/>
              <w:adjustRightInd w:val="0"/>
              <w:snapToGrid w:val="0"/>
              <w:rPr>
                <w:rFonts w:ascii="宋体" w:eastAsia="宋体" w:hAnsi="宋体" w:cs="Times New Roman"/>
                <w:kern w:val="0"/>
                <w:szCs w:val="21"/>
              </w:rPr>
            </w:pPr>
            <w:r>
              <w:rPr>
                <w:rFonts w:ascii="宋体" w:eastAsia="宋体" w:hAnsi="宋体" w:cs="Times New Roman" w:hint="eastAsia"/>
                <w:kern w:val="0"/>
                <w:szCs w:val="21"/>
              </w:rPr>
              <w:t>供应商须配套所有</w:t>
            </w:r>
            <w:r>
              <w:rPr>
                <w:rFonts w:ascii="宋体" w:eastAsia="宋体" w:hAnsi="宋体" w:cs="Times New Roman"/>
                <w:kern w:val="0"/>
                <w:szCs w:val="21"/>
              </w:rPr>
              <w:t>MPLS-VPN</w:t>
            </w:r>
            <w:r>
              <w:rPr>
                <w:rFonts w:ascii="宋体" w:eastAsia="宋体" w:hAnsi="宋体" w:cs="Times New Roman" w:hint="eastAsia"/>
                <w:kern w:val="0"/>
                <w:szCs w:val="21"/>
              </w:rPr>
              <w:t>节点的网管专家服务，机房设备梳理运维，季度巡检及线路运维、重大事件及汛期重保、网络安全技术测试、组播业务测试等ICT服务；当采购人有升速需求时，可动态调整MPLS-VPN整体带宽，需至少提前10个工作日告知供应商，供应商在带宽总和保持不变的前提下，配合采购人进行多条线路的速率上调以及下调。</w:t>
            </w:r>
          </w:p>
        </w:tc>
        <w:tc>
          <w:tcPr>
            <w:tcW w:w="452" w:type="pct"/>
            <w:vMerge/>
            <w:vAlign w:val="center"/>
          </w:tcPr>
          <w:p>
            <w:pPr>
              <w:wordWrap w:val="0"/>
              <w:topLinePunct/>
              <w:adjustRightInd w:val="0"/>
              <w:snapToGrid w:val="0"/>
              <w:jc w:val="center"/>
              <w:rPr>
                <w:rFonts w:ascii="宋体" w:eastAsia="宋体" w:hAnsi="宋体" w:cs="Times New Roman"/>
                <w:kern w:val="0"/>
                <w:szCs w:val="21"/>
              </w:rPr>
            </w:pPr>
          </w:p>
        </w:tc>
      </w:tr>
    </w:tbl>
    <w:p>
      <w:pPr>
        <w:rPr>
          <w:rFonts w:ascii="Times New Roman" w:eastAsia="宋体" w:hAnsi="Times New Roman" w:cs="Times New Roman"/>
          <w:bCs/>
        </w:rPr>
      </w:pPr>
    </w:p>
    <w:p>
      <w:pPr>
        <w:spacing w:line="360" w:lineRule="auto"/>
        <w:ind w:firstLine="420" w:firstLineChars="200"/>
        <w:rPr>
          <w:rFonts w:ascii="宋体" w:eastAsia="宋体" w:hAnsi="宋体" w:cs="Times New Roman"/>
          <w:szCs w:val="21"/>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rPr>
      </w:pPr>
      <w:bookmarkStart w:id="60" w:name="投标被拒绝条款专用部分_JJTK"/>
      <w:r>
        <w:rPr>
          <w:rFonts w:ascii="宋体" w:hAnsi="宋体" w:hint="eastAsia"/>
          <w:b/>
          <w:sz w:val="30"/>
          <w:szCs w:val="30"/>
        </w:rPr>
        <w:t>第八章  投标被拒绝条款专用部分</w:t>
      </w:r>
    </w:p>
    <w:p>
      <w:pPr>
        <w:adjustRightInd w:val="0"/>
        <w:snapToGrid w:val="0"/>
        <w:spacing w:before="156" w:beforeLines="50" w:line="360" w:lineRule="auto"/>
        <w:rPr>
          <w:rFonts w:ascii="宋体" w:hAnsi="宋体"/>
          <w:szCs w:val="21"/>
        </w:rPr>
      </w:pPr>
    </w:p>
    <w:p>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8"/>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5</w:t>
            </w:r>
            <w:r>
              <w:rPr>
                <w:rFonts w:ascii="宋体" w:hAnsi="宋体"/>
                <w:sz w:val="18"/>
                <w:szCs w:val="18"/>
              </w:rPr>
              <w:t>.2</w:t>
            </w:r>
            <w:r>
              <w:rPr>
                <w:rFonts w:ascii="宋体" w:hAnsi="宋体" w:hint="eastAsia"/>
                <w:sz w:val="18"/>
                <w:szCs w:val="18"/>
              </w:rPr>
              <w:t>0</w:t>
            </w:r>
          </w:p>
        </w:tc>
        <w:tc>
          <w:tcPr>
            <w:tcW w:w="7347" w:type="dxa"/>
          </w:tcPr>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1、投</w:t>
            </w:r>
            <w:r>
              <w:rPr>
                <w:rFonts w:ascii="宋体" w:hAnsi="宋体" w:cs="微软雅黑" w:hint="eastAsia"/>
                <w:b/>
                <w:color w:val="0000FF"/>
                <w:kern w:val="0"/>
                <w:sz w:val="18"/>
                <w:szCs w:val="18"/>
                <w:lang w:val="en-US" w:eastAsia="zh-CN"/>
              </w:rPr>
              <w:t>标人必须为集团或总公司，不可以以分公司或子公司的名义参加本项目投标</w:t>
            </w:r>
            <w:r>
              <w:rPr>
                <w:rFonts w:ascii="宋体" w:hAnsi="宋体" w:cs="微软雅黑" w:hint="eastAsia"/>
                <w:b/>
                <w:color w:val="0000FF"/>
                <w:kern w:val="0"/>
                <w:sz w:val="18"/>
                <w:szCs w:val="18"/>
              </w:rPr>
              <w:t>；</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8"/>
              </w:numPr>
              <w:rPr>
                <w:rFonts w:ascii="宋体" w:hAnsi="宋体"/>
                <w:sz w:val="18"/>
                <w:szCs w:val="18"/>
              </w:rPr>
            </w:pPr>
          </w:p>
        </w:tc>
        <w:tc>
          <w:tcPr>
            <w:tcW w:w="898" w:type="dxa"/>
            <w:vAlign w:val="center"/>
          </w:tcPr>
          <w:p>
            <w:pPr>
              <w:jc w:val="center"/>
              <w:rPr>
                <w:rFonts w:ascii="宋体" w:hAnsi="宋体" w:hint="eastAsia"/>
                <w:sz w:val="18"/>
                <w:szCs w:val="18"/>
              </w:rPr>
            </w:pPr>
            <w:r>
              <w:rPr>
                <w:rFonts w:ascii="宋体" w:hAnsi="宋体" w:hint="eastAsia"/>
                <w:sz w:val="18"/>
                <w:szCs w:val="18"/>
              </w:rPr>
              <w:t>5</w:t>
            </w:r>
            <w:r>
              <w:rPr>
                <w:rFonts w:ascii="宋体" w:hAnsi="宋体"/>
                <w:sz w:val="18"/>
                <w:szCs w:val="18"/>
              </w:rPr>
              <w:t>.2</w:t>
            </w:r>
          </w:p>
        </w:tc>
        <w:tc>
          <w:tcPr>
            <w:tcW w:w="7347" w:type="dxa"/>
            <w:vAlign w:val="top"/>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投标人应具有以下有效期超过投标截止日的资质：基础电信业务经营许可证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8"/>
              </w:numPr>
              <w:rPr>
                <w:rFonts w:ascii="宋体" w:hAnsi="宋体"/>
                <w:sz w:val="18"/>
                <w:szCs w:val="18"/>
              </w:rPr>
            </w:pPr>
          </w:p>
        </w:tc>
        <w:tc>
          <w:tcPr>
            <w:tcW w:w="898" w:type="dxa"/>
            <w:vAlign w:val="center"/>
          </w:tcPr>
          <w:p>
            <w:pPr>
              <w:jc w:val="center"/>
              <w:rPr>
                <w:rFonts w:ascii="宋体" w:hAnsi="宋体" w:hint="eastAsia"/>
                <w:sz w:val="18"/>
                <w:szCs w:val="18"/>
              </w:rPr>
            </w:pPr>
            <w:r>
              <w:rPr>
                <w:rFonts w:ascii="宋体" w:hAnsi="宋体" w:hint="eastAsia"/>
                <w:sz w:val="18"/>
                <w:szCs w:val="18"/>
                <w:lang w:eastAsia="zh-CN"/>
              </w:rPr>
              <w:t>第七章</w:t>
            </w:r>
          </w:p>
          <w:p>
            <w:pPr>
              <w:jc w:val="center"/>
              <w:rPr>
                <w:rFonts w:ascii="宋体" w:hAnsi="宋体" w:hint="eastAsia"/>
                <w:sz w:val="18"/>
                <w:szCs w:val="18"/>
              </w:rPr>
            </w:pPr>
            <w:r>
              <w:rPr>
                <w:rFonts w:ascii="宋体" w:hAnsi="宋体" w:hint="eastAsia"/>
                <w:sz w:val="18"/>
                <w:szCs w:val="18"/>
                <w:lang w:eastAsia="zh-CN"/>
              </w:rPr>
              <w:t>三</w:t>
            </w:r>
          </w:p>
        </w:tc>
        <w:tc>
          <w:tcPr>
            <w:tcW w:w="7347" w:type="dxa"/>
            <w:vAlign w:val="center"/>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（1）MPLS VPN电路（国家级主中心）</w:t>
            </w:r>
            <w:r>
              <w:rPr>
                <w:rFonts w:ascii="宋体" w:hAnsi="宋体" w:cs="微软雅黑" w:hint="eastAsia"/>
                <w:b/>
                <w:color w:val="0000FF"/>
                <w:kern w:val="0"/>
                <w:sz w:val="18"/>
                <w:szCs w:val="18"/>
                <w:lang w:eastAsia="zh-CN"/>
              </w:rPr>
              <w:t>：</w:t>
            </w:r>
          </w:p>
          <w:p>
            <w:pPr>
              <w:tabs>
                <w:tab w:val="left" w:pos="709"/>
              </w:tabs>
              <w:spacing w:line="360" w:lineRule="auto"/>
              <w:ind w:firstLine="360" w:firstLineChars="200"/>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lang w:val="en-US" w:eastAsia="zh-CN"/>
              </w:rPr>
              <w:t>1.</w:t>
            </w:r>
            <w:r>
              <w:rPr>
                <w:rFonts w:ascii="宋体" w:hAnsi="宋体" w:cs="微软雅黑" w:hint="eastAsia"/>
                <w:b/>
                <w:color w:val="0000FF"/>
                <w:kern w:val="0"/>
                <w:sz w:val="18"/>
                <w:szCs w:val="18"/>
              </w:rPr>
              <w:t>带宽分级保障：视频业务分配最高等级，带宽占比5%；</w:t>
            </w:r>
          </w:p>
          <w:p>
            <w:pPr>
              <w:tabs>
                <w:tab w:val="left" w:pos="709"/>
              </w:tabs>
              <w:spacing w:line="360" w:lineRule="auto"/>
              <w:ind w:firstLine="540" w:firstLineChars="300"/>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重要数据分配次高等级，带宽占比45%；</w:t>
            </w:r>
          </w:p>
          <w:p>
            <w:pPr>
              <w:tabs>
                <w:tab w:val="left" w:pos="709"/>
              </w:tabs>
              <w:spacing w:line="360" w:lineRule="auto"/>
              <w:ind w:firstLine="540" w:firstLineChars="300"/>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次重要数据分配中等级，带宽占比30%；</w:t>
            </w:r>
          </w:p>
          <w:p>
            <w:pPr>
              <w:tabs>
                <w:tab w:val="left" w:pos="709"/>
              </w:tabs>
              <w:spacing w:line="360" w:lineRule="auto"/>
              <w:ind w:firstLine="540" w:firstLineChars="300"/>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一般数据分配普通等级，带宽占比20%；</w:t>
            </w:r>
          </w:p>
          <w:p>
            <w:pPr>
              <w:tabs>
                <w:tab w:val="left" w:pos="709"/>
              </w:tabs>
              <w:spacing w:line="360" w:lineRule="auto"/>
              <w:ind w:firstLine="360" w:firstLineChars="200"/>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lang w:val="en-US" w:eastAsia="zh-CN"/>
              </w:rPr>
              <w:t>5.</w:t>
            </w:r>
            <w:r>
              <w:rPr>
                <w:rFonts w:ascii="宋体" w:hAnsi="宋体" w:cs="微软雅黑" w:hint="eastAsia"/>
                <w:b/>
                <w:color w:val="0000FF"/>
                <w:kern w:val="0"/>
                <w:sz w:val="18"/>
                <w:szCs w:val="18"/>
              </w:rPr>
              <w:t>国家级主中心、陕西备份中心、8个区域中心、22个普通省级：站点可用率≥99.99% (双CE通过两条独立路由连接双 PE)</w:t>
            </w:r>
          </w:p>
          <w:p>
            <w:pPr>
              <w:tabs>
                <w:tab w:val="left" w:pos="709"/>
              </w:tabs>
              <w:spacing w:line="360" w:lineRule="auto"/>
              <w:ind w:firstLine="360" w:firstLineChars="200"/>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lang w:val="en-US" w:eastAsia="zh-CN"/>
              </w:rPr>
              <w:t>10.</w:t>
            </w:r>
            <w:r>
              <w:rPr>
                <w:rFonts w:ascii="宋体" w:hAnsi="宋体" w:cs="微软雅黑" w:hint="eastAsia"/>
                <w:b/>
                <w:color w:val="0000FF"/>
                <w:kern w:val="0"/>
                <w:sz w:val="18"/>
                <w:szCs w:val="18"/>
              </w:rPr>
              <w:t>国家级主中心、陕西备份中心、8个区域中心、22个普通省级：CE-PE 电路接入方式：双接入电路</w:t>
            </w:r>
          </w:p>
          <w:p>
            <w:pPr>
              <w:tabs>
                <w:tab w:val="left" w:pos="709"/>
              </w:tabs>
              <w:spacing w:line="360" w:lineRule="auto"/>
              <w:ind w:firstLine="360" w:firstLineChars="200"/>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lang w:val="en-US" w:eastAsia="zh-CN"/>
              </w:rPr>
              <w:t>12.</w:t>
            </w:r>
            <w:r>
              <w:rPr>
                <w:rFonts w:ascii="宋体" w:hAnsi="宋体" w:cs="微软雅黑" w:hint="eastAsia"/>
                <w:b/>
                <w:color w:val="0000FF"/>
                <w:kern w:val="0"/>
                <w:sz w:val="18"/>
                <w:szCs w:val="18"/>
              </w:rPr>
              <w:t>其他要求：不得租用第三方链路或跨接，专线电路需端到端均为固网资源，不得采用无线链路。</w:t>
            </w:r>
          </w:p>
          <w:p>
            <w:pPr>
              <w:tabs>
                <w:tab w:val="left" w:pos="709"/>
              </w:tabs>
              <w:spacing w:line="360" w:lineRule="auto"/>
              <w:ind w:firstLine="360" w:firstLineChars="200"/>
              <w:jc w:val="left"/>
              <w:rPr>
                <w:rFonts w:ascii="宋体" w:hAnsi="宋体" w:cs="微软雅黑" w:hint="eastAsia"/>
                <w:b/>
                <w:color w:val="0000FF"/>
                <w:kern w:val="0"/>
                <w:sz w:val="18"/>
                <w:szCs w:val="18"/>
              </w:rPr>
            </w:pPr>
          </w:p>
          <w:p>
            <w:pPr>
              <w:tabs>
                <w:tab w:val="left" w:pos="709"/>
              </w:tabs>
              <w:spacing w:line="360" w:lineRule="auto"/>
              <w:jc w:val="left"/>
              <w:rPr>
                <w:rFonts w:ascii="宋体" w:hAnsi="宋体" w:cs="微软雅黑" w:hint="eastAsia"/>
                <w:b/>
                <w:color w:val="0000FF"/>
                <w:kern w:val="0"/>
                <w:sz w:val="18"/>
                <w:szCs w:val="18"/>
              </w:rPr>
            </w:pPr>
            <w:bookmarkStart w:id="61" w:name="OLE_LINK3_0"/>
            <w:r>
              <w:rPr>
                <w:rFonts w:ascii="宋体" w:hAnsi="宋体" w:cs="微软雅黑" w:hint="eastAsia"/>
                <w:b/>
                <w:color w:val="0000FF"/>
                <w:kern w:val="0"/>
                <w:sz w:val="18"/>
                <w:szCs w:val="18"/>
              </w:rPr>
              <w:t>（2）广域网专线</w:t>
            </w:r>
            <w:bookmarkEnd w:id="61"/>
            <w:r>
              <w:rPr>
                <w:rFonts w:ascii="宋体" w:hAnsi="宋体" w:cs="微软雅黑" w:hint="eastAsia"/>
                <w:b/>
                <w:color w:val="0000FF"/>
                <w:kern w:val="0"/>
                <w:sz w:val="18"/>
                <w:szCs w:val="18"/>
                <w:lang w:eastAsia="zh-CN"/>
              </w:rPr>
              <w:t>：</w:t>
            </w:r>
          </w:p>
          <w:p>
            <w:pPr>
              <w:tabs>
                <w:tab w:val="left" w:pos="709"/>
              </w:tabs>
              <w:spacing w:line="360" w:lineRule="auto"/>
              <w:ind w:firstLine="360" w:firstLineChars="200"/>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lang w:val="en-US" w:eastAsia="zh-CN"/>
              </w:rPr>
              <w:t>1.</w:t>
            </w:r>
            <w:r>
              <w:rPr>
                <w:rFonts w:ascii="宋体" w:hAnsi="宋体" w:cs="微软雅黑" w:hint="eastAsia"/>
                <w:b/>
                <w:color w:val="0000FF"/>
                <w:kern w:val="0"/>
                <w:sz w:val="18"/>
                <w:szCs w:val="18"/>
              </w:rPr>
              <w:t>网络可用率：不低于99.9%</w:t>
            </w:r>
          </w:p>
        </w:tc>
      </w:tr>
    </w:tbl>
    <w:p>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3D7CEA">
      <w:pPr>
        <w:numPr>
          <w:ilvl w:val="0"/>
          <w:numId w:val="5"/>
        </w:numPr>
        <w:spacing w:line="360" w:lineRule="auto"/>
        <w:ind w:firstLine="3066" w:firstLineChars="1460"/>
        <w:jc w:val="left"/>
        <w:rPr>
          <w:rFonts w:ascii="Times New Roman" w:eastAsia="宋体" w:hAnsi="Times New Roman" w:cs="Times New Roman"/>
          <w:b/>
          <w:bCs/>
          <w:szCs w:val="21"/>
        </w:rPr>
      </w:pPr>
      <w:bookmarkStart w:id="62"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3D7CEA">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3D7CEA">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3D7CEA">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3D7CEA">
      <w:pPr>
        <w:rPr>
          <w:rFonts w:ascii="宋体" w:eastAsia="宋体" w:hAnsi="宋体" w:cs="宋体"/>
          <w:b/>
          <w:bCs/>
          <w:spacing w:val="-20"/>
          <w:kern w:val="44"/>
          <w:sz w:val="40"/>
          <w:szCs w:val="40"/>
        </w:rPr>
      </w:pPr>
    </w:p>
    <w:p w:rsidR="003D7CEA">
      <w:pPr>
        <w:rPr>
          <w:rFonts w:ascii="宋体" w:eastAsia="宋体" w:hAnsi="宋体" w:cs="宋体"/>
          <w:b/>
          <w:bCs/>
          <w:spacing w:val="-20"/>
          <w:kern w:val="44"/>
          <w:sz w:val="40"/>
          <w:szCs w:val="40"/>
        </w:rPr>
      </w:pPr>
    </w:p>
    <w:p w:rsidR="003D7CEA">
      <w:pPr>
        <w:rPr>
          <w:rFonts w:ascii="宋体" w:eastAsia="宋体" w:hAnsi="宋体" w:cs="宋体"/>
          <w:b/>
          <w:bCs/>
          <w:spacing w:val="-20"/>
          <w:kern w:val="44"/>
          <w:sz w:val="40"/>
          <w:szCs w:val="40"/>
        </w:rPr>
      </w:pPr>
    </w:p>
    <w:p w:rsidR="003D7CEA">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3D7CEA">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3D7CE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3D7CEA">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3D7CE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3D7CEA">
      <w:pPr>
        <w:rPr>
          <w:rFonts w:ascii="Times New Roman" w:eastAsia="宋体" w:hAnsi="Times New Roman" w:cs="Times New Roman"/>
          <w:szCs w:val="20"/>
        </w:rPr>
      </w:pPr>
    </w:p>
    <w:p w:rsidR="003D7CEA">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3D7CEA">
      <w:pPr>
        <w:rPr>
          <w:rFonts w:ascii="Times New Roman" w:eastAsia="黑体" w:hAnsi="Times New Roman" w:cs="Times New Roman"/>
          <w:sz w:val="44"/>
          <w:szCs w:val="44"/>
        </w:rPr>
      </w:pPr>
    </w:p>
    <w:p w:rsidR="003D7CEA">
      <w:pPr>
        <w:rPr>
          <w:rFonts w:ascii="Times New Roman" w:eastAsia="黑体" w:hAnsi="Times New Roman" w:cs="Times New Roman"/>
          <w:sz w:val="44"/>
          <w:szCs w:val="44"/>
        </w:rPr>
      </w:pPr>
    </w:p>
    <w:p w:rsidR="003D7CEA">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3D7CEA">
      <w:pPr>
        <w:ind w:firstLine="640" w:firstLineChars="200"/>
        <w:rPr>
          <w:rFonts w:ascii="仿宋_GB2312" w:eastAsia="仿宋_GB2312" w:hAnsi="仿宋_GB2312" w:cs="仿宋_GB2312"/>
          <w:sz w:val="32"/>
          <w:szCs w:val="32"/>
        </w:rPr>
      </w:pPr>
    </w:p>
    <w:p w:rsidR="003D7CEA">
      <w:pPr>
        <w:numPr>
          <w:ilvl w:val="0"/>
          <w:numId w:val="6"/>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3D7CEA">
      <w:pPr>
        <w:numPr>
          <w:ilvl w:val="0"/>
          <w:numId w:val="6"/>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3D7CEA">
      <w:pPr>
        <w:numPr>
          <w:ilvl w:val="0"/>
          <w:numId w:val="6"/>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3D7CEA">
      <w:pPr>
        <w:widowControl/>
        <w:jc w:val="left"/>
        <w:rPr>
          <w:rFonts w:ascii="宋体" w:eastAsia="宋体" w:hAnsi="宋体" w:cs="Times New Roman"/>
          <w:szCs w:val="21"/>
        </w:rPr>
      </w:pPr>
      <w:r>
        <w:rPr>
          <w:rFonts w:ascii="宋体" w:eastAsia="宋体" w:hAnsi="宋体" w:cs="Times New Roman"/>
          <w:szCs w:val="21"/>
        </w:rPr>
        <w:br w:type="page"/>
      </w:r>
    </w:p>
    <w:p w:rsidR="003D7CEA">
      <w:pPr>
        <w:snapToGrid w:val="0"/>
        <w:spacing w:line="360" w:lineRule="auto"/>
        <w:ind w:firstLine="420"/>
        <w:rPr>
          <w:rFonts w:ascii="宋体" w:eastAsia="宋体" w:hAnsi="宋体" w:cs="Times New Roman"/>
          <w:szCs w:val="21"/>
        </w:rPr>
      </w:pPr>
    </w:p>
    <w:p w:rsidR="003D7CEA">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合同专用部分</w:t>
      </w:r>
    </w:p>
    <w:p w:rsidR="003D7CEA">
      <w:pPr>
        <w:snapToGrid w:val="0"/>
        <w:spacing w:line="360" w:lineRule="auto"/>
        <w:ind w:firstLine="420"/>
        <w:jc w:val="center"/>
        <w:rPr>
          <w:rFonts w:ascii="宋体" w:eastAsia="宋体" w:hAnsi="宋体" w:cs="Times New Roman"/>
          <w:szCs w:val="21"/>
        </w:rPr>
      </w:pPr>
    </w:p>
    <w:p w:rsidR="003D7CEA">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3D7CEA">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3D7CEA">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3D7CEA">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3D7CEA">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3D7CEA">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3D7CEA">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3D7CE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3D7CE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3D7CE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3D7CE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3D7CE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3D7CEA">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3D7CEA">
            <w:pPr>
              <w:tabs>
                <w:tab w:val="left" w:pos="1573"/>
              </w:tabs>
              <w:autoSpaceDE w:val="0"/>
              <w:autoSpaceDN w:val="0"/>
              <w:adjustRightInd w:val="0"/>
              <w:snapToGrid w:val="0"/>
              <w:spacing w:line="360" w:lineRule="auto"/>
              <w:rPr>
                <w:rFonts w:ascii="宋体" w:eastAsia="宋体" w:hAnsi="宋体" w:cs="Times New Roman"/>
                <w:szCs w:val="21"/>
              </w:rPr>
            </w:pPr>
          </w:p>
        </w:tc>
      </w:tr>
    </w:tbl>
    <w:p w:rsidR="003D7CE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3D7CE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、合同总金额为人民币</w:t>
      </w:r>
      <w:r>
        <w:rPr>
          <w:rFonts w:ascii="宋体" w:eastAsia="宋体" w:hAnsi="宋体" w:cs="Times New Roman" w:hint="eastAsia"/>
          <w:szCs w:val="21"/>
          <w:u w:val="single"/>
        </w:rPr>
        <w:t xml:space="preserve">  </w:t>
      </w:r>
      <w:r w:rsidRPr="00516662" w:rsidR="00640C9F">
        <w:rPr>
          <w:rFonts w:ascii="宋体" w:hAnsi="宋体" w:hint="eastAsia"/>
          <w:szCs w:val="21"/>
          <w:u w:val="single"/>
        </w:rPr>
        <w:t>柒佰肆拾伍万伍仟贰佰</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sidRPr="00516662" w:rsidR="00640C9F">
        <w:rPr>
          <w:rFonts w:ascii="宋体" w:hAnsi="宋体"/>
          <w:szCs w:val="21"/>
          <w:u w:val="single"/>
        </w:rPr>
        <w:t>7455200</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3D7CE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、合同生效后付款：双方签署合同后</w:t>
      </w:r>
      <w:r w:rsidR="00640C9F">
        <w:rPr>
          <w:rFonts w:ascii="宋体" w:eastAsia="宋体" w:hAnsi="宋体" w:cs="Times New Roman"/>
          <w:szCs w:val="21"/>
        </w:rPr>
        <w:t>20</w:t>
      </w:r>
      <w:r>
        <w:rPr>
          <w:rFonts w:ascii="宋体" w:eastAsia="宋体" w:hAnsi="宋体" w:cs="Times New Roman" w:hint="eastAsia"/>
          <w:szCs w:val="21"/>
        </w:rPr>
        <w:t>个工作日内，甲方向乙方支付合同总金额的</w:t>
      </w:r>
      <w:r w:rsidR="00640C9F">
        <w:rPr>
          <w:rFonts w:ascii="宋体" w:eastAsia="宋体" w:hAnsi="宋体" w:cs="微软雅黑"/>
          <w:b/>
          <w:color w:val="0000FF"/>
          <w:kern w:val="0"/>
          <w:szCs w:val="21"/>
        </w:rPr>
        <w:t>100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sidRPr="00516662" w:rsidR="00640C9F">
        <w:rPr>
          <w:rFonts w:ascii="宋体" w:hAnsi="宋体" w:hint="eastAsia"/>
          <w:szCs w:val="21"/>
          <w:u w:val="single"/>
        </w:rPr>
        <w:t>柒佰肆拾伍万伍仟贰佰</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sidRPr="00640C9F" w:rsidR="00640C9F">
        <w:rPr>
          <w:rFonts w:ascii="宋体" w:eastAsia="宋体" w:hAnsi="宋体" w:cs="Times New Roman"/>
          <w:szCs w:val="21"/>
          <w:u w:val="single"/>
        </w:rPr>
        <w:t>7455200</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3D7CE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3D7CEA">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rsidR="003D7CEA">
      <w:pPr>
        <w:tabs>
          <w:tab w:val="left" w:pos="1573"/>
        </w:tabs>
        <w:adjustRightInd w:val="0"/>
        <w:snapToGrid w:val="0"/>
        <w:spacing w:line="360" w:lineRule="auto"/>
        <w:ind w:firstLine="412" w:firstLineChars="196"/>
        <w:jc w:val="left"/>
        <w:rPr>
          <w:rFonts w:ascii="宋体" w:eastAsia="宋体" w:hAnsi="宋体" w:cs="Times New Roman"/>
          <w:szCs w:val="28"/>
        </w:rPr>
      </w:pPr>
    </w:p>
    <w:p w:rsidR="003D7CE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3D7CE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3D7CE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3D7CE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、其他约定事项：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3D7CEA">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3D7CEA">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3D7CE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3D7CEA">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3D7CE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w:t>
      </w:r>
      <w:r>
        <w:rPr>
          <w:rFonts w:ascii="宋体" w:eastAsia="宋体" w:hAnsi="宋体" w:cs="Times New Roman" w:hint="eastAsia"/>
          <w:szCs w:val="21"/>
        </w:rPr>
        <w:t>容和标准（参见附表）；验收未通过（整体未通过或部分未通过）的处理措施；验收费用承担方等</w:t>
      </w:r>
    </w:p>
    <w:p w:rsidR="003D7CE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3D7CEA">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3D7CEA">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w:t>
      </w:r>
      <w:r>
        <w:rPr>
          <w:rFonts w:ascii="宋体" w:eastAsia="宋体" w:hAnsi="宋体" w:cs="Times New Roman" w:hint="eastAsia"/>
          <w:szCs w:val="20"/>
        </w:rPr>
        <w:t>2021</w:t>
      </w:r>
      <w:r>
        <w:rPr>
          <w:rFonts w:ascii="宋体" w:eastAsia="宋体" w:hAnsi="宋体" w:cs="Times New Roman" w:hint="eastAsia"/>
          <w:szCs w:val="20"/>
        </w:rPr>
        <w:t>】</w:t>
      </w:r>
      <w:r>
        <w:rPr>
          <w:rFonts w:ascii="宋体" w:eastAsia="宋体" w:hAnsi="宋体" w:cs="Times New Roman" w:hint="eastAsia"/>
          <w:szCs w:val="20"/>
        </w:rPr>
        <w:t>22</w:t>
      </w:r>
      <w:r>
        <w:rPr>
          <w:rFonts w:ascii="宋体" w:eastAsia="宋体" w:hAnsi="宋体" w:cs="Times New Roman" w:hint="eastAsia"/>
          <w:szCs w:val="20"/>
        </w:rPr>
        <w:t>号）有关规定，如本项目是</w:t>
      </w:r>
      <w:r>
        <w:rPr>
          <w:rFonts w:ascii="宋体" w:eastAsia="宋体" w:hAnsi="宋体" w:cs="Times New Roman" w:hint="eastAsia"/>
          <w:szCs w:val="20"/>
        </w:rPr>
        <w:t>1000</w:t>
      </w:r>
      <w:r>
        <w:rPr>
          <w:rFonts w:ascii="宋体" w:eastAsia="宋体" w:hAnsi="宋体" w:cs="Times New Roman" w:hint="eastAsia"/>
          <w:szCs w:val="20"/>
        </w:rPr>
        <w:t>万元以上的货物、服务采购项目或</w:t>
      </w:r>
      <w:r>
        <w:rPr>
          <w:rFonts w:ascii="宋体" w:eastAsia="宋体" w:hAnsi="宋体" w:cs="Times New Roman" w:hint="eastAsia"/>
          <w:szCs w:val="20"/>
        </w:rPr>
        <w:t>3000</w:t>
      </w:r>
      <w:r>
        <w:rPr>
          <w:rFonts w:ascii="宋体" w:eastAsia="宋体" w:hAnsi="宋体" w:cs="Times New Roman" w:hint="eastAsia"/>
          <w:szCs w:val="20"/>
        </w:rPr>
        <w:t>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w:t>
      </w:r>
      <w:r>
        <w:rPr>
          <w:rFonts w:ascii="宋体" w:eastAsia="宋体" w:hAnsi="宋体" w:cs="Times New Roman" w:hint="eastAsia"/>
          <w:szCs w:val="20"/>
        </w:rPr>
        <w:t>提出有针对性的处置措施和替代方案。如本项目不属于上述项目，“八、风险管理”可省略）</w:t>
      </w:r>
    </w:p>
    <w:p w:rsidR="003D7CE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3D7CEA">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8"/>
        </w:rPr>
        <w:t>、</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 xml:space="preserve"> </w:t>
      </w:r>
      <w:r>
        <w:rPr>
          <w:rFonts w:ascii="宋体" w:eastAsia="宋体" w:hAnsi="宋体" w:cs="Times New Roman" w:hint="eastAsia"/>
          <w:szCs w:val="21"/>
        </w:rPr>
        <w:t>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3D7CEA">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、其它违约责任</w:t>
      </w:r>
    </w:p>
    <w:p w:rsidR="003D7CE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的违约金。</w:t>
      </w:r>
    </w:p>
    <w:p w:rsidR="003D7CE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3D7CEA">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3D7CEA">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3D7CEA">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3D7CEA">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3D7CEA">
      <w:pPr>
        <w:tabs>
          <w:tab w:val="left" w:pos="1573"/>
        </w:tabs>
        <w:adjustRightInd w:val="0"/>
        <w:snapToGrid w:val="0"/>
        <w:ind w:firstLine="315" w:firstLineChars="150"/>
        <w:jc w:val="left"/>
        <w:rPr>
          <w:rFonts w:ascii="宋体" w:eastAsia="宋体" w:hAnsi="宋体" w:cs="Times New Roman"/>
          <w:szCs w:val="21"/>
          <w:u w:val="single"/>
        </w:rPr>
      </w:pPr>
    </w:p>
    <w:p w:rsidR="003D7CEA">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3D7CEA">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3D7CEA">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3D7CEA">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3D7CEA">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3D7CE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3D7CEA">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3D7CEA">
      <w:pPr>
        <w:tabs>
          <w:tab w:val="left" w:pos="1573"/>
        </w:tabs>
        <w:adjustRightInd w:val="0"/>
        <w:snapToGrid w:val="0"/>
        <w:spacing w:line="360" w:lineRule="auto"/>
        <w:ind w:firstLine="420" w:firstLineChars="200"/>
        <w:jc w:val="left"/>
        <w:rPr>
          <w:rFonts w:ascii="宋体" w:eastAsia="宋体" w:hAnsi="宋体" w:cs="Times New Roman"/>
          <w:b/>
          <w:szCs w:val="28"/>
        </w:rPr>
      </w:pPr>
    </w:p>
    <w:p w:rsidR="003D7CEA">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3D7CE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的履约保证金。</w:t>
      </w:r>
      <w:r>
        <w:rPr>
          <w:rFonts w:ascii="宋体" w:eastAsia="宋体" w:hAnsi="宋体" w:cs="Times New Roman" w:hint="eastAsia"/>
          <w:szCs w:val="21"/>
        </w:rPr>
        <w:t xml:space="preserve"> </w:t>
      </w:r>
    </w:p>
    <w:p w:rsidR="003D7CEA">
      <w:pPr>
        <w:tabs>
          <w:tab w:val="left" w:pos="1573"/>
        </w:tabs>
        <w:adjustRightInd w:val="0"/>
        <w:snapToGrid w:val="0"/>
        <w:spacing w:line="360" w:lineRule="auto"/>
        <w:ind w:firstLine="412" w:firstLineChars="196"/>
        <w:jc w:val="left"/>
        <w:rPr>
          <w:rFonts w:ascii="宋体" w:eastAsia="宋体" w:hAnsi="宋体" w:cs="Times New Roman"/>
          <w:b/>
          <w:szCs w:val="28"/>
        </w:rPr>
      </w:pPr>
    </w:p>
    <w:p w:rsidR="003D7CEA">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w:t>
      </w:r>
      <w:r>
        <w:rPr>
          <w:rFonts w:ascii="宋体" w:eastAsia="宋体" w:hAnsi="宋体" w:cs="Times New Roman" w:hint="eastAsia"/>
          <w:b/>
          <w:szCs w:val="21"/>
        </w:rPr>
        <w:t xml:space="preserve">                                   </w:t>
      </w:r>
      <w:r>
        <w:rPr>
          <w:rFonts w:ascii="宋体" w:eastAsia="宋体" w:hAnsi="宋体" w:cs="Times New Roman" w:hint="eastAsia"/>
          <w:b/>
          <w:szCs w:val="21"/>
        </w:rPr>
        <w:t>乙方：</w:t>
      </w:r>
    </w:p>
    <w:p w:rsidR="003D7CEA">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w:t>
      </w:r>
      <w:r>
        <w:rPr>
          <w:rFonts w:ascii="宋体" w:eastAsia="宋体" w:hAnsi="宋体" w:cs="Times New Roman" w:hint="eastAsia"/>
          <w:b/>
          <w:szCs w:val="21"/>
        </w:rPr>
        <w:t xml:space="preserve">                        </w:t>
      </w:r>
      <w:r>
        <w:rPr>
          <w:rFonts w:ascii="宋体" w:eastAsia="宋体" w:hAnsi="宋体" w:cs="Times New Roman" w:hint="eastAsia"/>
          <w:b/>
          <w:szCs w:val="21"/>
        </w:rPr>
        <w:t>单位名称：（公章）</w:t>
      </w:r>
    </w:p>
    <w:p w:rsidR="003D7CEA">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w:t>
      </w:r>
      <w:r>
        <w:rPr>
          <w:rFonts w:ascii="宋体" w:eastAsia="宋体" w:hAnsi="宋体" w:cs="Times New Roman" w:hint="eastAsia"/>
          <w:b/>
          <w:szCs w:val="21"/>
        </w:rPr>
        <w:t xml:space="preserve">                             </w:t>
      </w:r>
      <w:r>
        <w:rPr>
          <w:rFonts w:ascii="宋体" w:eastAsia="宋体" w:hAnsi="宋体" w:cs="Times New Roman" w:hint="eastAsia"/>
          <w:b/>
          <w:szCs w:val="21"/>
        </w:rPr>
        <w:t>法定代表人：</w:t>
      </w:r>
    </w:p>
    <w:p w:rsidR="003D7CEA">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w:t>
      </w:r>
      <w:r>
        <w:rPr>
          <w:rFonts w:ascii="宋体" w:eastAsia="宋体" w:hAnsi="宋体" w:cs="Times New Roman" w:hint="eastAsia"/>
          <w:b/>
          <w:szCs w:val="21"/>
        </w:rPr>
        <w:t xml:space="preserve">                               </w:t>
      </w:r>
      <w:r>
        <w:rPr>
          <w:rFonts w:ascii="宋体" w:eastAsia="宋体" w:hAnsi="宋体" w:cs="Times New Roman" w:hint="eastAsia"/>
          <w:b/>
          <w:szCs w:val="21"/>
        </w:rPr>
        <w:t>授权代表：</w:t>
      </w:r>
    </w:p>
    <w:p w:rsidR="003D7CEA">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w:t>
      </w:r>
      <w:r>
        <w:rPr>
          <w:rFonts w:ascii="宋体" w:eastAsia="宋体" w:hAnsi="宋体" w:cs="Times New Roman" w:hint="eastAsia"/>
          <w:b/>
          <w:szCs w:val="21"/>
        </w:rPr>
        <w:t xml:space="preserve">                               </w:t>
      </w:r>
      <w:r>
        <w:rPr>
          <w:rFonts w:ascii="宋体" w:eastAsia="宋体" w:hAnsi="宋体" w:cs="Times New Roman" w:hint="eastAsia"/>
          <w:b/>
          <w:szCs w:val="21"/>
        </w:rPr>
        <w:t>签约日期</w:t>
      </w:r>
      <w:r>
        <w:rPr>
          <w:rFonts w:ascii="宋体" w:eastAsia="宋体" w:hAnsi="宋体" w:cs="Times New Roman" w:hint="eastAsia"/>
          <w:b/>
          <w:szCs w:val="21"/>
        </w:rPr>
        <w:t>：</w:t>
      </w:r>
    </w:p>
    <w:p w:rsidR="003D7CEA">
      <w:pPr>
        <w:widowControl/>
        <w:jc w:val="left"/>
        <w:rPr>
          <w:rFonts w:ascii="宋体" w:eastAsia="宋体" w:hAnsi="宋体" w:cs="Times New Roman"/>
          <w:b/>
          <w:szCs w:val="21"/>
        </w:rPr>
      </w:pPr>
      <w:r>
        <w:rPr>
          <w:rFonts w:ascii="宋体" w:eastAsia="宋体" w:hAnsi="宋体" w:cs="Times New Roman"/>
          <w:b/>
          <w:szCs w:val="21"/>
        </w:rPr>
        <w:br w:type="page"/>
      </w:r>
    </w:p>
    <w:p w:rsidR="003D7CEA">
      <w:pPr>
        <w:spacing w:line="360" w:lineRule="auto"/>
        <w:jc w:val="left"/>
        <w:rPr>
          <w:rFonts w:ascii="Times New Roman" w:eastAsia="宋体" w:hAnsi="Times New Roman" w:cs="Times New Roman"/>
          <w:b/>
          <w:bCs/>
          <w:sz w:val="44"/>
          <w:szCs w:val="44"/>
        </w:rPr>
      </w:pPr>
    </w:p>
    <w:p w:rsidR="003D7CEA">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合同通用部分</w:t>
      </w:r>
    </w:p>
    <w:p w:rsidR="003D7CEA">
      <w:pPr>
        <w:tabs>
          <w:tab w:val="left" w:pos="1573"/>
        </w:tabs>
        <w:snapToGrid w:val="0"/>
        <w:spacing w:line="360" w:lineRule="auto"/>
        <w:jc w:val="center"/>
        <w:rPr>
          <w:rFonts w:ascii="宋体" w:eastAsia="宋体" w:hAnsi="宋体" w:cs="Times New Roman"/>
          <w:szCs w:val="21"/>
        </w:rPr>
      </w:pPr>
    </w:p>
    <w:p w:rsidR="003D7CEA">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3D7CE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3D7CE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3D7CE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3D7CE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3D7CE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3D7CE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3D7CE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3D7CE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3D7CE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3D7CEA">
      <w:pPr>
        <w:numPr>
          <w:ilvl w:val="0"/>
          <w:numId w:val="7"/>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、“附件”是指与本合同的订立、履行有关的，经甲乙双方认可的，对本合同约定的内容进行细化、补充、修改、变更的文件、图纸、音像制品等资料。</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、“合同服务”指合同服务清单（同投标文件中分项报价表，下同）中所规定的服务内容、设备和软件购置等内容。</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、“验收证书”指验收完成后由合同双方签署的最终验收确认书。</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、“保修期”指自验收证书甲方签署之日起，乙方免费对所提供给甲方服务内容进行技术支持、现场服务、升级服务等，并自担费用方式保证合同服务正常运行的时期。</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、“第三人”是指本合同双方以外的任何中国境内、外的自</w:t>
      </w:r>
      <w:r>
        <w:rPr>
          <w:rFonts w:ascii="宋体" w:eastAsia="宋体" w:hAnsi="宋体" w:cs="Times New Roman" w:hint="eastAsia"/>
          <w:szCs w:val="21"/>
        </w:rPr>
        <w:t>然人、法人或其他经济组织。</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、“招标文件”指采购中心发布的本项目招标文件。</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、“投标文件”指乙方按照采购中心发布的本项目招标文件的要求编制和投递，并最终被采购中心接受的投标文件。</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w:t>
      </w:r>
      <w:r>
        <w:rPr>
          <w:rFonts w:ascii="宋体" w:eastAsia="宋体" w:hAnsi="宋体" w:cs="Times New Roman" w:hint="eastAsia"/>
          <w:szCs w:val="21"/>
        </w:rPr>
        <w:t>、“合同标的”指甲方同意从乙方购买，乙方同意向甲方提供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3D7CEA">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w:t>
      </w:r>
      <w:r>
        <w:rPr>
          <w:rFonts w:ascii="黑体" w:eastAsia="黑体" w:hAnsi="黑体" w:cs="Times New Roman" w:hint="eastAsia"/>
          <w:b/>
          <w:bCs/>
          <w:szCs w:val="21"/>
        </w:rPr>
        <w:t>同条款专用部分</w:t>
      </w:r>
      <w:r>
        <w:rPr>
          <w:rFonts w:ascii="宋体" w:eastAsia="宋体" w:hAnsi="宋体" w:cs="Times New Roman" w:hint="eastAsia"/>
          <w:szCs w:val="21"/>
        </w:rPr>
        <w:t>。</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、本合同价格包括服务产品金额，是在项目交付前、交付时所发生或引起的本合同相关的全部成本、费用等，且为完税后价格。</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、双方因本合同发生的一切费用均以人民币结算及支付。</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、双方的帐户名称、开户银行及帐号以本合同提供的为准。</w:t>
      </w:r>
    </w:p>
    <w:p w:rsidR="003D7CEA">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w:t>
      </w:r>
      <w:r>
        <w:rPr>
          <w:rFonts w:ascii="宋体" w:eastAsia="宋体" w:hAnsi="宋体" w:cs="Times New Roman" w:hint="eastAsia"/>
          <w:szCs w:val="21"/>
        </w:rPr>
        <w:t>、付款方式：</w:t>
      </w:r>
      <w:r>
        <w:rPr>
          <w:rFonts w:ascii="Times New Roman" w:eastAsia="宋体" w:hAnsi="宋体" w:cs="Times New Roman" w:hint="eastAsia"/>
          <w:kern w:val="0"/>
          <w:szCs w:val="21"/>
        </w:rPr>
        <w:t xml:space="preserve"> </w:t>
      </w:r>
    </w:p>
    <w:p w:rsidR="003D7CEA">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3D7CEA">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3D7CEA">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w:t>
      </w:r>
      <w:r>
        <w:rPr>
          <w:rFonts w:ascii="宋体" w:eastAsia="宋体" w:hAnsi="宋体" w:cs="Times New Roman" w:hint="eastAsia"/>
          <w:kern w:val="0"/>
          <w:szCs w:val="20"/>
        </w:rPr>
        <w:t>3</w:t>
      </w:r>
      <w:r>
        <w:rPr>
          <w:rFonts w:ascii="宋体" w:eastAsia="宋体" w:hAnsi="宋体" w:cs="Times New Roman" w:hint="eastAsia"/>
          <w:kern w:val="0"/>
          <w:szCs w:val="20"/>
        </w:rPr>
        <w:t>）保修期满后付款：合同服务的保修期（合同服务的保修期自全部服务验收合格，双方签署验收证书之日起算）期满后</w:t>
      </w:r>
      <w:r>
        <w:rPr>
          <w:rFonts w:ascii="宋体" w:eastAsia="宋体" w:hAnsi="宋体" w:cs="Times New Roman" w:hint="eastAsia"/>
          <w:kern w:val="0"/>
          <w:szCs w:val="20"/>
        </w:rPr>
        <w:t>7</w:t>
      </w:r>
      <w:r>
        <w:rPr>
          <w:rFonts w:ascii="宋体" w:eastAsia="宋体" w:hAnsi="宋体" w:cs="Times New Roman" w:hint="eastAsia"/>
          <w:kern w:val="0"/>
          <w:szCs w:val="20"/>
        </w:rPr>
        <w:t>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、乙方在收到甲方每一笔付款的同时，应向甲方开具相应金额的商业发票。</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w:t>
      </w:r>
      <w:r>
        <w:rPr>
          <w:rFonts w:ascii="宋体" w:eastAsia="宋体" w:hAnsi="宋体" w:cs="Times New Roman" w:hint="eastAsia"/>
          <w:szCs w:val="21"/>
        </w:rPr>
        <w:t>履行所引起的任何及所有责任均应当全部给予赔偿。</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3D7CEA">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、没有甲方事先书面同意，除了履行本合同之外，乙方不应使用甲方提供的任何文件和资料。</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、没有甲方事先书面同意，乙方不得泄露与本项目有关的任何资料、数据及其它信息。</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、除了合同本身以外，甲方提供给乙方的任何文件是甲方的财产。如果甲方有要求，乙方在完成合同后应将这些文件</w:t>
      </w:r>
      <w:r>
        <w:rPr>
          <w:rFonts w:ascii="宋体" w:eastAsia="宋体" w:hAnsi="宋体" w:cs="Times New Roman" w:hint="eastAsia"/>
          <w:szCs w:val="21"/>
        </w:rPr>
        <w:t>(</w:t>
      </w:r>
      <w:r>
        <w:rPr>
          <w:rFonts w:ascii="宋体" w:eastAsia="宋体" w:hAnsi="宋体" w:cs="Times New Roman" w:hint="eastAsia"/>
          <w:szCs w:val="21"/>
        </w:rPr>
        <w:t>全部拷贝</w:t>
      </w:r>
      <w:r>
        <w:rPr>
          <w:rFonts w:ascii="宋体" w:eastAsia="宋体" w:hAnsi="宋体" w:cs="Times New Roman" w:hint="eastAsia"/>
          <w:szCs w:val="21"/>
        </w:rPr>
        <w:t>)</w:t>
      </w:r>
      <w:r>
        <w:rPr>
          <w:rFonts w:ascii="宋体" w:eastAsia="宋体" w:hAnsi="宋体" w:cs="Times New Roman" w:hint="eastAsia"/>
          <w:szCs w:val="21"/>
        </w:rPr>
        <w:t>还给甲方。</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、在本协议生效日前业已存在的版权及其他知识产权应属于本协议生效前既拥有该等权利的一方。</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、任何一方均不可凭借本协议取得另一方此前所已经拥有且根据本合同不应被合理的推论为其已经同意转移的版权、专利、商业秘密、商标或其他知识产权的所有权。</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、符合法律规定及当事人约定的原则：任何相关事项均应当符合法律规定，及应</w:t>
      </w:r>
      <w:r>
        <w:rPr>
          <w:rFonts w:ascii="宋体" w:eastAsia="宋体" w:hAnsi="宋体" w:cs="Times New Roman" w:hint="eastAsia"/>
          <w:szCs w:val="21"/>
        </w:rPr>
        <w:t>当符合当事人约定。</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、开发成果归属清晰原则：全部及</w:t>
      </w:r>
      <w:r>
        <w:rPr>
          <w:rFonts w:ascii="宋体" w:eastAsia="宋体" w:hAnsi="宋体" w:cs="Times New Roman" w:hint="eastAsia"/>
          <w:szCs w:val="21"/>
        </w:rPr>
        <w:t>/</w:t>
      </w:r>
      <w:r>
        <w:rPr>
          <w:rFonts w:ascii="宋体" w:eastAsia="宋体" w:hAnsi="宋体" w:cs="Times New Roman" w:hint="eastAsia"/>
          <w:szCs w:val="21"/>
        </w:rPr>
        <w:t>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或任何责任，包括但不限于应当承担其自身及甲方为排除任何争议或瑕疵所应当或所需要支付的一切相关及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、保护知识产权原则：乙方应当保证其有关参与本次采购相关的活动包括履行本次采购的任何行为，以及本次采购活动结束之后的任何涉</w:t>
      </w:r>
      <w:r>
        <w:rPr>
          <w:rFonts w:ascii="宋体" w:eastAsia="宋体" w:hAnsi="宋体" w:cs="Times New Roman" w:hint="eastAsia"/>
          <w:szCs w:val="21"/>
        </w:rPr>
        <w:t>及到本次采购的行为，均不会侵犯任何第三方的知识产权。若因此发生任何争议、侵权，均应当由乙方独自承担全部及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或任何责任，包括但不限于应当承担其自身及甲方为排除任何争议及</w:t>
      </w:r>
      <w:r>
        <w:rPr>
          <w:rFonts w:ascii="宋体" w:eastAsia="宋体" w:hAnsi="宋体" w:cs="Times New Roman" w:hint="eastAsia"/>
          <w:szCs w:val="21"/>
        </w:rPr>
        <w:t>/</w:t>
      </w:r>
      <w:r>
        <w:rPr>
          <w:rFonts w:ascii="宋体" w:eastAsia="宋体" w:hAnsi="宋体" w:cs="Times New Roman" w:hint="eastAsia"/>
          <w:szCs w:val="21"/>
        </w:rPr>
        <w:t>或赔偿侵权所应当或所需要支付的一切相关及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、甲方将拥有其在本协议项下所从事的所有工作（包括各类纸质文档，电子文档及其他可交付物）中所包含的或与之相关的全部版权、专利、商业秘密、商标和其他知识产权以及所有权和其他权益。</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3D7CEA">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w:t>
      </w:r>
      <w:r>
        <w:rPr>
          <w:rFonts w:ascii="宋体" w:eastAsia="宋体" w:hAnsi="宋体" w:cs="Times New Roman" w:hint="eastAsia"/>
          <w:szCs w:val="21"/>
        </w:rPr>
        <w:t>终止合同及索赔的权利。</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、乙方应保证通过执行合同中全部方案后，可以取得本合同规定的结果，达到本合同规定的预期目标。对任何情况下出现问题的，应尽快提出解决方案。</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、如果乙方提供的产品、服务和解决方案不符合甲方要求，或在规定的时间内没有弥补缺陷，甲方有权采取一切必要的补救措施，由此产生的费用全部由乙方负责。</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、如果中标人没有按照上述规定</w:t>
      </w:r>
      <w:r>
        <w:rPr>
          <w:rFonts w:ascii="宋体" w:eastAsia="宋体" w:hAnsi="宋体" w:cs="Times New Roman" w:hint="eastAsia"/>
          <w:szCs w:val="21"/>
        </w:rPr>
        <w:t>执行，甲方将有充分理由取消该中标决定，并不予退还其投标保证金。在此情况下甲方可将合同授予排名第二的中标候选人，或重新招标。</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、中标人的履约保证金将在合同服务试经甲方终验合格，履行完必要的审批手续后</w:t>
      </w:r>
      <w:r>
        <w:rPr>
          <w:rFonts w:ascii="宋体" w:eastAsia="宋体" w:hAnsi="宋体" w:cs="Times New Roman" w:hint="eastAsia"/>
          <w:szCs w:val="21"/>
        </w:rPr>
        <w:t>30</w:t>
      </w:r>
      <w:r>
        <w:rPr>
          <w:rFonts w:ascii="宋体" w:eastAsia="宋体" w:hAnsi="宋体" w:cs="Times New Roman" w:hint="eastAsia"/>
          <w:szCs w:val="21"/>
        </w:rPr>
        <w:t>日内退还中标人。</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、如乙方未能完全履行合同规定的义务，甲方有权从履约保证金中得到补偿。</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3D7CEA">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、若乙方未如期按照合同约定的任何或全部款项内容之要求交付合同服务产品，或乙方未能履行合同规定的任何其它义务时，甲方有权直</w:t>
      </w:r>
      <w:r>
        <w:rPr>
          <w:rFonts w:ascii="宋体" w:eastAsia="宋体" w:hAnsi="宋体" w:cs="Times New Roman" w:hint="eastAsia"/>
          <w:szCs w:val="21"/>
        </w:rPr>
        <w:t>接向乙方发出违约通知书，乙方应按照甲方选择的下列一种或多种方式承担赔偿责任及违约责任：</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）在甲方同意延长的期限内交付服务产品并承担由此给甲方造成的直接损失及甲方因此产生的对第三方的责任。</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）甲方有权部分或全部解除合同并要求乙方赔偿由此造成的损失及甲方因此产生的对第三方的责任。此时甲方可采取必要的补救措施，相关费用由乙方承担。</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）上述情形下甲方为采取必要的补救措施或因防止损失扩大而支出的合理费用应由乙方承担。</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、如果乙方在收到甲方的违约通知书后十日内未作答复也没有按照甲方选择的方式承担违约责任，</w:t>
      </w:r>
      <w:r>
        <w:rPr>
          <w:rFonts w:ascii="宋体" w:eastAsia="宋体" w:hAnsi="宋体" w:cs="Times New Roman" w:hint="eastAsia"/>
          <w:szCs w:val="21"/>
        </w:rPr>
        <w:t>则甲方有权从尚未支付的合同价款中扣回相当于甲方选择的方式计算的索赔金额。如果这些金额不足以补偿，甲方有权向乙方提出不足部分的赔偿要求。</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、其它违约责任</w:t>
      </w:r>
      <w:r>
        <w:rPr>
          <w:rFonts w:ascii="宋体" w:eastAsia="宋体" w:hAnsi="宋体" w:cs="Times New Roman" w:hint="eastAsia"/>
          <w:szCs w:val="21"/>
        </w:rPr>
        <w:t xml:space="preserve"> </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）如乙方在合同规定的交付日期后</w:t>
      </w:r>
      <w:r>
        <w:rPr>
          <w:rFonts w:ascii="宋体" w:eastAsia="宋体" w:hAnsi="宋体" w:cs="Times New Roman" w:hint="eastAsia"/>
          <w:szCs w:val="21"/>
        </w:rPr>
        <w:t>10</w:t>
      </w:r>
      <w:r>
        <w:rPr>
          <w:rFonts w:ascii="宋体" w:eastAsia="宋体" w:hAnsi="宋体" w:cs="Times New Roman" w:hint="eastAsia"/>
          <w:szCs w:val="21"/>
        </w:rPr>
        <w:t>天内仍未能交付，则视为乙方不能交付，甲方有权解除合同，乙方若已经收取了甲方的定金则同时还应双倍返还已收取的定金。</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、乙方违反规定，有下列行为之一的，甲方有权对因此造成的损失追究责任；构成犯罪的，由司法机关追究其刑事责任：</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）擅自向第三方提供或者转让项目资料的；</w:t>
      </w:r>
    </w:p>
    <w:p w:rsidR="003D7CEA">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）未经甲方许可使用项目资料的；</w:t>
      </w:r>
    </w:p>
    <w:p w:rsidR="003D7CEA">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）项目完成后，乙方未经甲方许可保留项目资料的；</w:t>
      </w:r>
    </w:p>
    <w:p w:rsidR="003D7CEA">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）对项目资料保管不当，造成数据全部或者部分丢失、被窃的。</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、乙方在进行项目时违反有关保密规定的，依照《中华人民共和国保密法》等有关法律法规的规定处理。</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、若发生延期交货或延期付款情形之外的任何违约时，违约方在接到对方关于违约的通知时，均应当就每一项违约向对方支付相当于合同金额</w:t>
      </w:r>
      <w:r>
        <w:rPr>
          <w:rFonts w:ascii="宋体" w:eastAsia="宋体" w:hAnsi="宋体" w:cs="Times New Roman" w:hint="eastAsia"/>
          <w:szCs w:val="21"/>
        </w:rPr>
        <w:t>5%</w:t>
      </w:r>
      <w:r>
        <w:rPr>
          <w:rFonts w:ascii="宋体" w:eastAsia="宋体" w:hAnsi="宋体" w:cs="Times New Roman" w:hint="eastAsia"/>
          <w:szCs w:val="21"/>
        </w:rPr>
        <w:t>的违约金。当违约行为给对方造成损失时，若违约金不足以弥补全部损失，违约方还应当赔偿对方因此所受全部损失。当构成严重违约时，对方可以单方面决定解除或终止合同履行，违约方同时还应当</w:t>
      </w:r>
      <w:r>
        <w:rPr>
          <w:rFonts w:ascii="宋体" w:eastAsia="宋体" w:hAnsi="宋体" w:cs="Times New Roman" w:hint="eastAsia"/>
          <w:szCs w:val="21"/>
        </w:rPr>
        <w:t>承担违约或赔偿责任。</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、以上各项交付的违约金并不影响违约方履行合同的各项义务。</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3D7CEA">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w:t>
      </w:r>
      <w:r>
        <w:rPr>
          <w:rFonts w:ascii="宋体" w:eastAsia="宋体" w:hAnsi="宋体" w:cs="Times New Roman" w:hint="eastAsia"/>
          <w:szCs w:val="21"/>
        </w:rPr>
        <w:t>、</w:t>
      </w:r>
      <w:r>
        <w:rPr>
          <w:rFonts w:ascii="宋体" w:eastAsia="宋体" w:hAnsi="宋体" w:cs="Times New Roman" w:hint="eastAsia"/>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w:t>
      </w:r>
      <w:r>
        <w:rPr>
          <w:rFonts w:ascii="宋体" w:eastAsia="宋体" w:hAnsi="宋体" w:cs="Times New Roman" w:hint="eastAsia"/>
          <w:szCs w:val="21"/>
        </w:rPr>
        <w:t>格遵守法律、法规，并且应当独立承担全部及任何法律责任，包括对采购中心、采购人、甲方、最终用户或任何第三方的民事侵权赔偿责任。上述该等责任同时亦均属严重违约责任。</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、不可抗力指下列事件：战争、动乱、瘟疫、严重火灾、洪水、地震、风暴或其他自然灾害，以及本合同各方不可预见、不可防止并不能避免或克服的一切其他因素及事件。</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、任何一方因不可抗力不能履行本合同规定的全部或部分义务，该方应尽快通知另一方，并须在不可抗力发生后三日内以书面形式向另一方提供详细情况报告及不可抗力对履行本合同的影响程度的说明</w:t>
      </w:r>
      <w:r>
        <w:rPr>
          <w:rFonts w:ascii="宋体" w:eastAsia="宋体" w:hAnsi="宋体" w:cs="Times New Roman" w:hint="eastAsia"/>
          <w:szCs w:val="21"/>
        </w:rPr>
        <w:t>。就上述不可抗力的发生须由受到不可抗力影响的一方负责同时提供由公证机关作出的公证证明。</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、合同各方应根据不可抗力对本合同履行的影响程度，协商确定是否终止本合同，或是继续履行本合同。</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w:t>
      </w:r>
      <w:r>
        <w:rPr>
          <w:rFonts w:ascii="宋体" w:eastAsia="宋体" w:hAnsi="宋体" w:cs="Times New Roman" w:hint="eastAsia"/>
          <w:szCs w:val="21"/>
        </w:rPr>
        <w:t>果承担法律责任。</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、上述发出通知、回复的费用由发出一方承担。</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0"/>
        </w:rPr>
        <w:t>、</w:t>
      </w:r>
      <w:r>
        <w:rPr>
          <w:rFonts w:ascii="宋体" w:eastAsia="宋体" w:hAnsi="宋体" w:cs="Times New Roman" w:hint="eastAsia"/>
          <w:szCs w:val="21"/>
        </w:rPr>
        <w:t>任何一方对其获知的本合同及附件中其他各方的商业秘密和国家秘密负有保密义务。</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、在下列情形下：当发布中标公告和其它公告时，当国家机关调查、审查、审计时，以及其他符合法律规定的情形下，无须事先征求投标人</w:t>
      </w:r>
      <w:r>
        <w:rPr>
          <w:rFonts w:ascii="宋体" w:eastAsia="宋体" w:hAnsi="宋体" w:cs="Times New Roman" w:hint="eastAsia"/>
          <w:szCs w:val="21"/>
        </w:rPr>
        <w:t>/</w:t>
      </w:r>
      <w:r>
        <w:rPr>
          <w:rFonts w:ascii="宋体" w:eastAsia="宋体" w:hAnsi="宋体" w:cs="Times New Roman" w:hint="eastAsia"/>
          <w:szCs w:val="21"/>
        </w:rPr>
        <w:t>中标人同意而可以披露关于采购过程、合同文本、签署情况的资料、投标人</w:t>
      </w:r>
      <w:r>
        <w:rPr>
          <w:rFonts w:ascii="宋体" w:eastAsia="宋体" w:hAnsi="宋体" w:cs="Times New Roman" w:hint="eastAsia"/>
          <w:szCs w:val="21"/>
        </w:rPr>
        <w:t>/</w:t>
      </w:r>
      <w:r>
        <w:rPr>
          <w:rFonts w:ascii="宋体" w:eastAsia="宋体" w:hAnsi="宋体" w:cs="Times New Roman" w:hint="eastAsia"/>
          <w:szCs w:val="21"/>
        </w:rPr>
        <w:t>中标人的名称及地址、采购内容的有关信息以及补充条款等，但应当在合理的必要范围内。对任何已经公布过的内容或与之内容相同的资料，以及投标人</w:t>
      </w:r>
      <w:r>
        <w:rPr>
          <w:rFonts w:ascii="宋体" w:eastAsia="宋体" w:hAnsi="宋体" w:cs="Times New Roman" w:hint="eastAsia"/>
          <w:szCs w:val="21"/>
        </w:rPr>
        <w:t>/</w:t>
      </w:r>
      <w:r>
        <w:rPr>
          <w:rFonts w:ascii="宋体" w:eastAsia="宋体" w:hAnsi="宋体" w:cs="Times New Roman" w:hint="eastAsia"/>
          <w:szCs w:val="21"/>
        </w:rPr>
        <w:t>中标人已经泄露或公开的</w:t>
      </w:r>
      <w:r>
        <w:rPr>
          <w:rFonts w:ascii="宋体" w:eastAsia="宋体" w:hAnsi="宋体" w:cs="Times New Roman" w:hint="eastAsia"/>
          <w:szCs w:val="21"/>
        </w:rPr>
        <w:t>，无须再承担保密责任。</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、任何一方对本合同及其附件的解释均应遵循诚实信用原则</w:t>
      </w:r>
      <w:r>
        <w:rPr>
          <w:rFonts w:ascii="宋体" w:eastAsia="宋体" w:hAnsi="宋体" w:cs="Times New Roman" w:hint="eastAsia"/>
          <w:szCs w:val="21"/>
        </w:rPr>
        <w:t>,</w:t>
      </w:r>
      <w:r>
        <w:rPr>
          <w:rFonts w:ascii="宋体" w:eastAsia="宋体" w:hAnsi="宋体" w:cs="Times New Roman" w:hint="eastAsia"/>
          <w:szCs w:val="21"/>
        </w:rPr>
        <w:t>依照本合同签订时有效的中国法律、法规以及通常的理解进行。</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、本合同标题仅供查阅方便，并非对本合同的诠释或解释；本合同中以日表述的时间期限均指自然日。</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、对本合同的任何解释均应以书面作</w:t>
      </w:r>
      <w:r>
        <w:rPr>
          <w:rFonts w:ascii="宋体" w:eastAsia="宋体" w:hAnsi="宋体" w:cs="Times New Roman" w:hint="eastAsia"/>
          <w:szCs w:val="21"/>
        </w:rPr>
        <w:t>出。</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3D7CE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、本合同因下列原因而终止：</w:t>
      </w:r>
    </w:p>
    <w:p w:rsidR="003D7CE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）本合同正常履行完毕；</w:t>
      </w:r>
    </w:p>
    <w:p w:rsidR="003D7CE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）合同双方协议终止本合同的履行；</w:t>
      </w:r>
    </w:p>
    <w:p w:rsidR="003D7CE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）不可抗力事件导致本合同无法履行或履行不必要；</w:t>
      </w:r>
    </w:p>
    <w:p w:rsidR="003D7CE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）任何一方行使解除权，解除本合同。</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、对本合同终止有过错的一方应赔偿另一方因合同终止而受到的损失。对合同终止双方均无过错的，则各自承担所受到的损失。</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、合同双方应通过友好协商解决因解释﹑执行本合同所发生的和本合同有关的一切争议。如果经协商不能达成协议，则双方同意：</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）在甲方所在地有管辖权的人民法院提起诉讼。</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）由贸易仲裁委员会根据现行有效的仲裁程序进行仲裁。仲裁裁决为最终裁决对双方均具有约束力。仲裁费除仲裁机关另有裁决外的应由败诉方承担。</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w:t>
      </w:r>
      <w:r>
        <w:rPr>
          <w:rFonts w:ascii="宋体" w:eastAsia="宋体" w:hAnsi="宋体" w:cs="Times New Roman"/>
          <w:szCs w:val="21"/>
        </w:rPr>
        <w:t>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、在争议解决期间，除了诉讼进行过程中正在解决的部分问题外，合同其余部分应继续履行。</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3D7CEA">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、甲方可以要求对技术文件进行修改。所有的修改要求都应以书面形式提交。甲方将准备一份书面的修改备忘录以说明所要求的更改，并列出对技术文件条款的任何修改。乙方应在</w:t>
      </w:r>
      <w:r>
        <w:rPr>
          <w:rFonts w:ascii="宋体" w:eastAsia="宋体" w:hAnsi="宋体" w:cs="Times New Roman" w:hint="eastAsia"/>
          <w:szCs w:val="21"/>
        </w:rPr>
        <w:t>3</w:t>
      </w:r>
      <w:r>
        <w:rPr>
          <w:rFonts w:ascii="宋体" w:eastAsia="宋体" w:hAnsi="宋体" w:cs="Times New Roman" w:hint="eastAsia"/>
          <w:szCs w:val="21"/>
        </w:rPr>
        <w:t>日内对此作出书面回应，其内容包括详细的该修改对合同价格、项目交付日期、项目技术参数的影响和变化以及对合同条款的影响等。</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、甲方收到乙方的上述回应后，应在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日内以书面方式通知乙方是否同意和接受乙方的上述回应。如果甲方接受乙方的上述回应，则双方另行对此修改签署予以确认，乙方则按修改后的约定履行本合同。</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、如甲方不同意乙方的上述回应、如对价格或交付</w:t>
      </w:r>
      <w:r>
        <w:rPr>
          <w:rFonts w:ascii="宋体" w:eastAsia="宋体" w:hAnsi="宋体" w:cs="Times New Roman" w:hint="eastAsia"/>
          <w:szCs w:val="21"/>
        </w:rPr>
        <w:t>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、甲方收到乙方的上述修改建议后，应在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日内以书面方式通知乙方是否同意和接受乙方的上述修改建议。如果甲方接受乙方的上述回应，则双方另行对此</w:t>
      </w:r>
      <w:r>
        <w:rPr>
          <w:rFonts w:ascii="宋体" w:eastAsia="宋体" w:hAnsi="宋体" w:cs="Times New Roman" w:hint="eastAsia"/>
          <w:szCs w:val="21"/>
        </w:rPr>
        <w:t>修改建议签署予以确认，甲乙双方则按修改后的约定履行本合同。如甲方不同意乙方的上述建议，双方仍按原合同执行。</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、所有的修改应在双方签署书面的修改备忘录时生效。修改备忘录将变更或取代有关的技术文件中或先前的任何修改备忘录中所有不一致的条款。</w:t>
      </w:r>
    </w:p>
    <w:p w:rsidR="003D7CEA">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、任何对合同条件的变更或修改均须双方签订书面的修改书。</w:t>
      </w:r>
    </w:p>
    <w:p w:rsidR="003D7C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、招投标文件及其全部条款、双方签订的补充协议以及修改或变更的条款与本合同具有同等法律效力。补充、修改或变更的协议的签署及生效方式与本合同的签署及生效方式相同。</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3D7CEA">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3D7CE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、本合同中的附件均为本合同不可分割的部分，与本合同具有相同的法律效力。</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、本合同正本一式两份，甲、乙双方各执一份，每份正本具有同等法律效力，副本报财政部备案。</w:t>
      </w:r>
    </w:p>
    <w:p w:rsidR="003D7CE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、本合同涉及的招标文件</w:t>
      </w:r>
      <w:r>
        <w:rPr>
          <w:rFonts w:ascii="宋体" w:eastAsia="宋体" w:hAnsi="宋体" w:cs="Times New Roman" w:hint="eastAsia"/>
          <w:szCs w:val="21"/>
        </w:rPr>
        <w:t>和投标文件，正本由中国气象局政府采购中心保存。</w:t>
      </w:r>
    </w:p>
    <w:p w:rsidR="003D7CEA">
      <w:pPr>
        <w:tabs>
          <w:tab w:val="left" w:pos="1573"/>
        </w:tabs>
        <w:adjustRightInd w:val="0"/>
        <w:snapToGrid w:val="0"/>
        <w:spacing w:line="360" w:lineRule="auto"/>
        <w:ind w:firstLine="412" w:firstLineChars="196"/>
        <w:jc w:val="left"/>
        <w:rPr>
          <w:rFonts w:ascii="宋体" w:eastAsia="宋体" w:hAnsi="宋体" w:cs="Times New Roman"/>
          <w:szCs w:val="21"/>
        </w:rPr>
      </w:pPr>
    </w:p>
    <w:p w:rsidR="003D7CEA"/>
    <w:p w:rsidR="00A77B3E"/>
    <w:p>
      <w:pPr>
        <w:spacing w:line="360" w:lineRule="auto"/>
        <w:ind w:firstLine="3066" w:firstLineChars="1460"/>
        <w:jc w:val="left"/>
        <w:rPr>
          <w:b/>
          <w:bCs/>
          <w:szCs w:val="21"/>
          <w:highlight w:val="none"/>
        </w:rPr>
      </w:pPr>
      <w:bookmarkEnd w:id="62"/>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altName w:val="Noto Sans Syriac Eastern"/>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fixed"/>
    <w:sig w:usb0="E0002EFF" w:usb1="C0007843" w:usb2="00000009" w:usb3="00000000" w:csb0="400001FF" w:csb1="FFFF0000"/>
  </w:font>
  <w:font w:name="Tahoma">
    <w:altName w:val="noto sans thai"/>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altName w:val="微软雅黑"/>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Noto Sans Syriac Eastern">
    <w:panose1 w:val="02040503050306020203"/>
    <w:charset w:val="86"/>
    <w:family w:val="auto"/>
    <w:pitch w:val="default"/>
    <w:sig w:usb0="00000000" w:usb1="00000000" w:usb2="00000080" w:usb3="00000000" w:csb0="203E0161" w:csb1="D7FF0000"/>
  </w:font>
  <w:font w:name="Microsoft YaHei">
    <w:panose1 w:val="020B0503020204020204"/>
    <w:charset w:val="86"/>
    <w:family w:val="auto"/>
    <w:pitch w:val="default"/>
    <w:sig w:usb0="80000287" w:usb1="280F3C52" w:usb2="00000016" w:usb3="00000000" w:csb0="0004001F" w:csb1="00000000"/>
  </w:font>
  <w:font w:name="DejaVu Sans">
    <w:panose1 w:val="020B0603030804020204"/>
    <w:charset w:val="00"/>
    <w:family w:val="auto"/>
    <w:pitch w:val="default"/>
    <w:sig w:usb0="E7006EFF" w:usb1="D200FDFF" w:usb2="0A246029" w:usb3="0400200C" w:csb0="600001FF" w:csb1="DFFF0000"/>
  </w:font>
  <w:font w:name="noto sans thai">
    <w:panose1 w:val="020B0502040504020204"/>
    <w:charset w:val="00"/>
    <w:family w:val="auto"/>
    <w:pitch w:val="default"/>
    <w:sig w:usb0="81000063" w:usb1="00002000" w:usb2="00000000" w:usb3="00000000" w:csb0="00010000"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D6EC19B4"/>
    <w:multiLevelType w:val="singleLevel"/>
    <w:tmpl w:val="D6EC19B4"/>
    <w:lvl w:ilvl="0">
      <w:start w:val="2"/>
      <w:numFmt w:val="chineseCounting"/>
      <w:suff w:val="nothing"/>
      <w:lvlText w:val="%1、"/>
      <w:lvlJc w:val="left"/>
      <w:rPr>
        <w:rFonts w:hint="eastAsia"/>
      </w:rPr>
    </w:lvl>
  </w:abstractNum>
  <w:abstractNum w:abstractNumId="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5">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3"/>
  </w:num>
  <w:num w:numId="3">
    <w:abstractNumId w:val="5"/>
  </w:num>
  <w:num w:numId="4">
    <w:abstractNumId w:val="2"/>
  </w:num>
  <w:num w:numId="5">
    <w:abstractNumId w:val="1"/>
  </w:num>
  <w:num w:numId="6">
    <w:abstractNumId w:val="0"/>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D7CEA"/>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6662"/>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C9F"/>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78451F1"/>
    <w:rsid w:val="08C230B8"/>
    <w:rsid w:val="0E576F53"/>
    <w:rsid w:val="125B2CFC"/>
    <w:rsid w:val="13405E2E"/>
    <w:rsid w:val="2F605368"/>
    <w:rsid w:val="31FD4B93"/>
    <w:rsid w:val="3FCA68B7"/>
    <w:rsid w:val="45196B36"/>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157263360</TotalTime>
  <Pages>38</Pages>
  <Words>26681</Words>
  <Characters>28214</Characters>
  <Application>Microsoft Office Word</Application>
  <DocSecurity>0</DocSecurity>
  <Lines>216</Lines>
  <Paragraphs>61</Paragraphs>
  <ScaleCrop>false</ScaleCrop>
  <Company>中国气象局</Company>
  <LinksUpToDate>false</LinksUpToDate>
  <CharactersWithSpaces>28397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2025-08-12T01:56:21Z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