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2026年国家级应急物资-陕西、四川激光测风雷达采购（第三次）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ZQCD-26192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陕西省气象综合技术保障中心、四川省气象数据中心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2026年国家级应急物资-陕西、四川激光测风雷达采购（第三次）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ZQCD-26192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合同签订后60天内交货，交货后10天内完成安装调试并具备验收条件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西安、成都</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2026年09月03日 00:00:00</w:t>
      </w:r>
      <w:bookmarkEnd w:id="26"/>
      <w:r>
        <w:rPr>
          <w:rFonts w:ascii="宋体" w:hint="eastAsia"/>
          <w:szCs w:val="21"/>
          <w:highlight w:val="none"/>
        </w:rPr>
        <w:t>至</w:t>
      </w:r>
      <w:bookmarkStart w:id="27" w:name="项目公告_signUpLastTime"/>
      <w:r>
        <w:rPr>
          <w:rFonts w:ascii="宋体" w:hint="eastAsia"/>
          <w:szCs w:val="21"/>
          <w:highlight w:val="none"/>
        </w:rPr>
        <w:t>2026年09月10日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陕西省气象综合技术保障中心、四川省气象数据中心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杨家锋</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029-89361019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西安市莲湖区北关正街36号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陕西省气象综合技术保障中心、四川省气象数据中心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不允许（仅针对以下产品：相干多普勒测风激光雷达（远距垂直廓线型）不允许代理商投标）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必须，以下产品需要提供至投标截止日仍有效的《气象专用技术装备使用许可证》：相干多普勒测风激光雷达（远距垂直廓线型）</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（1）标的：远距垂直廓线型相干多普勒激光测风雷达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销售合同必须包括相干多普勒测风激光雷达（远距垂直廓线型），每提供1份合同得1分，最多得5分。否则不得分。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针对本项目采购的相干多普勒测风激光雷达（远距垂直廓线型），承诺每提前10天交货的得1分，最多得1分。否则不得分。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针对相干多普勒测风激光雷达（远距垂直廓线型）设备，每提供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针对相干多普勒测风激光雷达（远距垂直廓线型）设备，测试报告应涵盖低温、高温等内容，每包含一项得1.5分，最多得3分。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pStyle w:val="2"/>
        <w:keepNext w:val="0"/>
        <w:keepLines w:val="0"/>
        <w:numPr>
          <w:ilvl w:val="0"/>
          <w:numId w:val="0"/>
        </w:numPr>
        <w:spacing w:before="156" w:beforeLines="50" w:after="0" w:line="360" w:lineRule="auto"/>
        <w:jc w:val="center"/>
        <w:rPr>
          <w:color w:val="auto"/>
          <w:sz w:val="30"/>
          <w:szCs w:val="30"/>
        </w:rPr>
      </w:pPr>
      <w:r>
        <w:rPr>
          <w:rFonts w:ascii="Times New Roman" w:hAnsi="Times New Roman"/>
          <w:b w:val="0"/>
          <w:bCs/>
          <w:color w:val="auto"/>
          <w:szCs w:val="21"/>
          <w:highlight w:val="none"/>
        </w:rPr>
        <w:br w:type="page"/>
      </w:r>
      <w:bookmarkStart w:id="59" w:name="插入_采购需求书"/>
      <w:r>
        <w:rPr>
          <w:rFonts w:hint="eastAsia"/>
          <w:b/>
          <w:color w:val="auto"/>
          <w:sz w:val="30"/>
          <w:szCs w:val="30"/>
        </w:rPr>
        <w:t>第八章  采购需求</w:t>
      </w:r>
    </w:p>
    <w:p>
      <w:pPr>
        <w:widowControl/>
        <w:ind w:firstLine="562"/>
        <w:jc w:val="left"/>
        <w:rPr>
          <w:rFonts w:ascii="宋体" w:hAnsi="宋体" w:hint="eastAsia"/>
          <w:b/>
          <w:sz w:val="28"/>
          <w:szCs w:val="21"/>
        </w:rPr>
      </w:pPr>
      <w:r>
        <w:rPr>
          <w:rFonts w:ascii="宋体" w:hAnsi="宋体" w:hint="eastAsia"/>
          <w:b/>
          <w:sz w:val="28"/>
          <w:szCs w:val="21"/>
        </w:rPr>
        <w:t>一、项目概况及总体要求</w:t>
      </w:r>
    </w:p>
    <w:p>
      <w:pPr>
        <w:ind w:firstLine="482"/>
        <w:rPr>
          <w:rFonts w:ascii="宋体" w:hAnsi="宋体"/>
          <w:b/>
        </w:rPr>
      </w:pPr>
      <w:r>
        <w:rPr>
          <w:rFonts w:ascii="宋体" w:hAnsi="宋体" w:hint="eastAsia"/>
          <w:b/>
          <w:sz w:val="24"/>
          <w:szCs w:val="24"/>
        </w:rPr>
        <w:t>1</w:t>
      </w:r>
      <w:r>
        <w:rPr>
          <w:rFonts w:ascii="宋体" w:hAnsi="宋体"/>
          <w:b/>
          <w:sz w:val="24"/>
          <w:szCs w:val="24"/>
        </w:rPr>
        <w:t>)</w:t>
      </w:r>
      <w:r>
        <w:rPr>
          <w:rFonts w:ascii="宋体" w:hAnsi="宋体" w:hint="eastAsia"/>
          <w:b/>
          <w:sz w:val="24"/>
          <w:szCs w:val="24"/>
        </w:rPr>
        <w:t>项目概况及总体要求：</w:t>
      </w:r>
    </w:p>
    <w:p>
      <w:pPr>
        <w:ind w:firstLine="420"/>
        <w:rPr>
          <w:rFonts w:ascii="宋体" w:hAnsi="宋体" w:hint="eastAsia"/>
        </w:rPr>
      </w:pPr>
      <w:r>
        <w:rPr>
          <w:rFonts w:ascii="宋体" w:hAnsi="宋体" w:hint="eastAsia"/>
        </w:rPr>
        <w:t>本项目目标是通过</w:t>
      </w:r>
      <w:r>
        <w:rPr>
          <w:rFonts w:ascii="宋体" w:hAnsi="宋体" w:hint="eastAsia"/>
          <w:lang w:val="en-US" w:eastAsia="zh-CN"/>
        </w:rPr>
        <w:t>陕西、四川</w:t>
      </w:r>
      <w:r>
        <w:rPr>
          <w:rFonts w:ascii="宋体" w:hAnsi="宋体" w:hint="eastAsia"/>
        </w:rPr>
        <w:t>等2个</w:t>
      </w:r>
      <w:r>
        <w:rPr>
          <w:rFonts w:ascii="宋体" w:hAnsi="宋体" w:hint="eastAsia"/>
          <w:lang w:val="en-US" w:eastAsia="zh-CN"/>
        </w:rPr>
        <w:t>国家级储备库垂直观测应急</w:t>
      </w:r>
      <w:r>
        <w:rPr>
          <w:rFonts w:ascii="宋体" w:hAnsi="宋体" w:hint="eastAsia"/>
        </w:rPr>
        <w:t>能力建设，填补</w:t>
      </w:r>
      <w:r>
        <w:rPr>
          <w:rFonts w:ascii="宋体" w:hAnsi="宋体" w:hint="eastAsia"/>
          <w:lang w:val="en-US" w:eastAsia="zh-CN"/>
        </w:rPr>
        <w:t>国家级储备库</w:t>
      </w:r>
      <w:r>
        <w:rPr>
          <w:rFonts w:ascii="宋体" w:hAnsi="宋体" w:hint="eastAsia"/>
        </w:rPr>
        <w:t>激光测风雷达</w:t>
      </w:r>
      <w:r>
        <w:rPr>
          <w:rFonts w:ascii="宋体" w:hAnsi="宋体" w:hint="eastAsia"/>
          <w:lang w:val="en-US" w:eastAsia="zh-CN"/>
        </w:rPr>
        <w:t>应急保障</w:t>
      </w:r>
      <w:r>
        <w:rPr>
          <w:rFonts w:ascii="宋体" w:hAnsi="宋体" w:hint="eastAsia"/>
        </w:rPr>
        <w:t>空白，拓展</w:t>
      </w:r>
      <w:r>
        <w:rPr>
          <w:rFonts w:ascii="宋体" w:hAnsi="宋体" w:hint="eastAsia"/>
          <w:lang w:val="en-US" w:eastAsia="zh-CN"/>
        </w:rPr>
        <w:t>国家级储备库应急保障设备种类</w:t>
      </w:r>
      <w:r>
        <w:rPr>
          <w:rFonts w:ascii="宋体" w:hAnsi="宋体" w:hint="eastAsia"/>
        </w:rPr>
        <w:t>，提升风向、风速、湍流、边界层等剖面参数的监测能力。</w:t>
      </w:r>
    </w:p>
    <w:p>
      <w:pPr>
        <w:ind w:firstLine="420"/>
        <w:rPr>
          <w:rFonts w:ascii="宋体" w:hAnsi="宋体" w:hint="eastAsia"/>
        </w:rPr>
      </w:pPr>
      <w:r>
        <w:rPr>
          <w:rFonts w:ascii="宋体" w:hAnsi="宋体" w:hint="eastAsia"/>
        </w:rPr>
        <w:t>本项目提到的激光测风雷达均为相干多普勒测风激光雷达（远距垂直廓线型）。采购的设备需取得相干多普勒激光测风雷达</w:t>
      </w:r>
      <w:r>
        <w:rPr>
          <w:rFonts w:ascii="宋体" w:hAnsi="宋体" w:hint="eastAsia"/>
          <w:lang w:eastAsia="zh-CN"/>
        </w:rPr>
        <w:t>（</w:t>
      </w:r>
      <w:r>
        <w:rPr>
          <w:rFonts w:ascii="宋体" w:hAnsi="宋体" w:hint="eastAsia"/>
        </w:rPr>
        <w:t>远距垂直廓线型</w:t>
      </w:r>
      <w:r>
        <w:rPr>
          <w:rFonts w:ascii="宋体" w:hAnsi="宋体" w:hint="eastAsia"/>
          <w:lang w:eastAsia="zh-CN"/>
        </w:rPr>
        <w:t>）</w:t>
      </w:r>
      <w:r>
        <w:rPr>
          <w:rFonts w:ascii="宋体" w:hAnsi="宋体" w:hint="eastAsia"/>
        </w:rPr>
        <w:t>气象专用技术装备使用许可证，通过进一步测试评估，选择技术指标高、运行稳定可靠的仪器设备。</w:t>
      </w:r>
    </w:p>
    <w:p>
      <w:pPr>
        <w:ind w:firstLine="420"/>
        <w:rPr>
          <w:rFonts w:ascii="宋体" w:hAnsi="宋体" w:hint="eastAsia"/>
        </w:rPr>
      </w:pPr>
      <w:r>
        <w:rPr>
          <w:rFonts w:cs="宋体" w:hint="eastAsia"/>
          <w:szCs w:val="21"/>
        </w:rPr>
        <w:t>本项目由</w:t>
      </w:r>
      <w:r>
        <w:rPr>
          <w:rFonts w:cs="宋体" w:hint="eastAsia"/>
          <w:szCs w:val="21"/>
          <w:lang w:val="en-US" w:eastAsia="zh-CN"/>
        </w:rPr>
        <w:t>陕西省大气探测技术保障中心</w:t>
      </w:r>
      <w:r>
        <w:rPr>
          <w:rFonts w:cs="宋体" w:hint="eastAsia"/>
          <w:szCs w:val="21"/>
        </w:rPr>
        <w:t>牵头委托中国气象局政府采购中心招标采购，由各采购人分别与中标供应商签订采购合同并办理经费支付、项目建设等。</w:t>
      </w:r>
    </w:p>
    <w:p>
      <w:pPr>
        <w:widowControl/>
        <w:ind w:firstLine="562"/>
        <w:jc w:val="left"/>
        <w:rPr>
          <w:rFonts w:ascii="宋体" w:hAnsi="宋体" w:hint="eastAsia"/>
          <w:b/>
          <w:sz w:val="28"/>
          <w:szCs w:val="21"/>
        </w:rPr>
      </w:pPr>
      <w:r>
        <w:rPr>
          <w:rFonts w:ascii="宋体" w:hAnsi="宋体" w:hint="eastAsia"/>
          <w:b/>
          <w:sz w:val="28"/>
          <w:szCs w:val="21"/>
        </w:rPr>
        <w:t>二、设备需求一览表</w:t>
      </w:r>
    </w:p>
    <w:p>
      <w:pPr>
        <w:spacing w:line="240" w:lineRule="auto"/>
        <w:ind w:firstLine="422"/>
        <w:jc w:val="center"/>
        <w:rPr>
          <w:rFonts w:ascii="宋体" w:hAnsi="宋体" w:hint="eastAsia"/>
          <w:b/>
          <w:lang w:val="zh-CN"/>
        </w:rPr>
      </w:pPr>
      <w:r>
        <w:rPr>
          <w:rFonts w:ascii="宋体" w:hAnsi="宋体" w:hint="eastAsia"/>
          <w:b/>
          <w:lang w:val="zh-CN"/>
        </w:rPr>
        <w:t>表1设备需求一览表</w:t>
      </w:r>
    </w:p>
    <w:tbl>
      <w:tblPr>
        <w:tblStyle w:val="TableNormal"/>
        <w:tblW w:w="5008" w:type="pct"/>
        <w:jc w:val="center"/>
        <w:tblInd w:w="-5" w:type="dxa"/>
        <w:tblCellMar>
          <w:top w:w="0" w:type="dxa"/>
          <w:left w:w="0" w:type="dxa"/>
          <w:bottom w:w="0" w:type="dxa"/>
          <w:right w:w="0" w:type="dxa"/>
        </w:tblCellMar>
        <w:tblLook w:val="0000"/>
      </w:tblPr>
      <w:tblGrid>
        <w:gridCol w:w="1271"/>
        <w:gridCol w:w="2831"/>
        <w:gridCol w:w="1936"/>
        <w:gridCol w:w="2773"/>
      </w:tblGrid>
      <w:tr>
        <w:tblPrEx>
          <w:tblW w:w="5008" w:type="pct"/>
          <w:jc w:val="center"/>
          <w:tblInd w:w="-5" w:type="dxa"/>
          <w:tblCellMar>
            <w:top w:w="0" w:type="dxa"/>
            <w:left w:w="0" w:type="dxa"/>
            <w:bottom w:w="0" w:type="dxa"/>
            <w:right w:w="0" w:type="dxa"/>
          </w:tblCellMar>
          <w:tblLook w:val="0000"/>
        </w:tblPrEx>
        <w:trPr>
          <w:trHeight w:val="930"/>
          <w:jc w:val="center"/>
        </w:trPr>
        <w:tc>
          <w:tcPr>
            <w:tcW w:w="721" w:type="pct"/>
            <w:tcBorders>
              <w:top w:val="single" w:sz="4" w:space="0" w:color="000000"/>
              <w:left w:val="single" w:sz="4" w:space="0" w:color="000000"/>
              <w:bottom w:val="single" w:sz="4" w:space="0" w:color="auto"/>
              <w:right w:val="single" w:sz="4" w:space="0" w:color="auto"/>
            </w:tcBorders>
            <w:vAlign w:val="center"/>
          </w:tcPr>
          <w:p>
            <w:pPr>
              <w:widowControl/>
              <w:autoSpaceDE w:val="0"/>
              <w:autoSpaceDN w:val="0"/>
              <w:adjustRightInd w:val="0"/>
              <w:ind w:firstLine="0" w:firstLineChars="0"/>
              <w:jc w:val="center"/>
              <w:rPr>
                <w:b/>
                <w:kern w:val="0"/>
                <w:szCs w:val="21"/>
              </w:rPr>
            </w:pPr>
            <w:r>
              <w:rPr>
                <w:b/>
                <w:kern w:val="0"/>
                <w:szCs w:val="21"/>
              </w:rPr>
              <w:t>序号</w:t>
            </w:r>
          </w:p>
        </w:tc>
        <w:tc>
          <w:tcPr>
            <w:tcW w:w="1606"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ind w:firstLine="0" w:firstLineChars="0"/>
              <w:jc w:val="center"/>
              <w:rPr>
                <w:b/>
                <w:kern w:val="0"/>
                <w:szCs w:val="21"/>
              </w:rPr>
            </w:pPr>
            <w:r>
              <w:rPr>
                <w:b/>
                <w:kern w:val="0"/>
                <w:szCs w:val="21"/>
              </w:rPr>
              <w:t>设备</w:t>
            </w:r>
            <w:r>
              <w:rPr>
                <w:b/>
                <w:spacing w:val="-2"/>
                <w:kern w:val="0"/>
                <w:szCs w:val="21"/>
              </w:rPr>
              <w:t>名</w:t>
            </w:r>
            <w:r>
              <w:rPr>
                <w:b/>
                <w:kern w:val="0"/>
                <w:szCs w:val="21"/>
              </w:rPr>
              <w:t>称</w:t>
            </w:r>
          </w:p>
        </w:tc>
        <w:tc>
          <w:tcPr>
            <w:tcW w:w="1098" w:type="pct"/>
            <w:tcBorders>
              <w:top w:val="single" w:sz="4" w:space="0" w:color="000000"/>
              <w:left w:val="nil"/>
              <w:bottom w:val="single" w:sz="4" w:space="0" w:color="000000"/>
              <w:right w:val="single" w:sz="4" w:space="0" w:color="auto"/>
            </w:tcBorders>
            <w:vAlign w:val="center"/>
          </w:tcPr>
          <w:p>
            <w:pPr>
              <w:widowControl/>
              <w:autoSpaceDE w:val="0"/>
              <w:autoSpaceDN w:val="0"/>
              <w:adjustRightInd w:val="0"/>
              <w:ind w:firstLine="0" w:firstLineChars="0"/>
              <w:jc w:val="center"/>
              <w:rPr>
                <w:rFonts w:eastAsia="楷体"/>
                <w:b/>
                <w:kern w:val="0"/>
                <w:sz w:val="18"/>
                <w:szCs w:val="18"/>
              </w:rPr>
            </w:pPr>
            <w:r>
              <w:rPr>
                <w:b/>
                <w:kern w:val="0"/>
                <w:szCs w:val="21"/>
              </w:rPr>
              <w:t>数量</w:t>
            </w:r>
            <w:r>
              <w:rPr>
                <w:b/>
                <w:szCs w:val="21"/>
              </w:rPr>
              <w:t>/套</w:t>
            </w:r>
          </w:p>
        </w:tc>
        <w:tc>
          <w:tcPr>
            <w:tcW w:w="1573"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ind w:firstLine="0" w:firstLineChars="0"/>
              <w:jc w:val="center"/>
              <w:rPr>
                <w:rFonts w:eastAsia="楷体"/>
                <w:b/>
                <w:kern w:val="0"/>
                <w:sz w:val="18"/>
                <w:szCs w:val="18"/>
              </w:rPr>
            </w:pPr>
            <w:r>
              <w:rPr>
                <w:b/>
                <w:szCs w:val="21"/>
              </w:rPr>
              <w:t>采购预算/万元</w:t>
            </w:r>
          </w:p>
        </w:tc>
      </w:tr>
      <w:tr>
        <w:tblPrEx>
          <w:tblW w:w="5008" w:type="pct"/>
          <w:jc w:val="center"/>
          <w:tblInd w:w="-5" w:type="dxa"/>
          <w:tblCellMar>
            <w:top w:w="0" w:type="dxa"/>
            <w:left w:w="0" w:type="dxa"/>
            <w:bottom w:w="0" w:type="dxa"/>
            <w:right w:w="0" w:type="dxa"/>
          </w:tblCellMar>
          <w:tblLook w:val="0000"/>
        </w:tblPrEx>
        <w:trPr>
          <w:trHeight w:val="897"/>
          <w:jc w:val="center"/>
        </w:trPr>
        <w:tc>
          <w:tcPr>
            <w:tcW w:w="721"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ind w:firstLine="0" w:firstLineChars="0"/>
              <w:jc w:val="center"/>
              <w:rPr>
                <w:rFonts w:ascii="宋体" w:hAnsi="宋体"/>
              </w:rPr>
            </w:pPr>
            <w:r>
              <w:rPr>
                <w:rFonts w:ascii="宋体" w:hAnsi="宋体"/>
              </w:rPr>
              <w:t>1</w:t>
            </w:r>
          </w:p>
        </w:tc>
        <w:tc>
          <w:tcPr>
            <w:tcW w:w="1606"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ind w:firstLine="0" w:firstLineChars="0"/>
              <w:jc w:val="center"/>
              <w:rPr>
                <w:rFonts w:ascii="宋体" w:eastAsia="宋体" w:hAnsi="宋体" w:hint="eastAsia"/>
              </w:rPr>
            </w:pPr>
            <w:r>
              <w:rPr>
                <w:rFonts w:ascii="宋体" w:hAnsi="宋体" w:hint="eastAsia"/>
              </w:rPr>
              <w:t>相干多普勒激光测风雷达</w:t>
            </w:r>
            <w:r>
              <w:rPr>
                <w:rFonts w:ascii="宋体" w:hAnsi="宋体" w:hint="eastAsia"/>
                <w:lang w:eastAsia="zh-CN"/>
              </w:rPr>
              <w:t>（</w:t>
            </w:r>
            <w:r>
              <w:rPr>
                <w:rFonts w:ascii="宋体" w:hAnsi="宋体" w:hint="eastAsia"/>
              </w:rPr>
              <w:t>远距垂直廓线型</w:t>
            </w:r>
            <w:r>
              <w:rPr>
                <w:rFonts w:ascii="宋体" w:hAnsi="宋体" w:hint="eastAsia"/>
                <w:lang w:eastAsia="zh-CN"/>
              </w:rPr>
              <w:t>）</w:t>
            </w:r>
          </w:p>
        </w:tc>
        <w:tc>
          <w:tcPr>
            <w:tcW w:w="1098" w:type="pct"/>
            <w:tcBorders>
              <w:top w:val="single" w:sz="4" w:space="0" w:color="000000"/>
              <w:left w:val="nil"/>
              <w:bottom w:val="single" w:sz="4" w:space="0" w:color="000000"/>
              <w:right w:val="single" w:sz="4" w:space="0" w:color="auto"/>
            </w:tcBorders>
            <w:vAlign w:val="center"/>
          </w:tcPr>
          <w:p>
            <w:pPr>
              <w:widowControl/>
              <w:autoSpaceDE w:val="0"/>
              <w:autoSpaceDN w:val="0"/>
              <w:adjustRightInd w:val="0"/>
              <w:ind w:firstLine="0" w:firstLineChars="0"/>
              <w:jc w:val="center"/>
              <w:rPr>
                <w:rFonts w:ascii="宋体" w:eastAsia="宋体" w:hAnsi="宋体" w:hint="eastAsia"/>
              </w:rPr>
            </w:pPr>
            <w:r>
              <w:rPr>
                <w:rFonts w:ascii="宋体" w:hAnsi="宋体" w:hint="eastAsia"/>
                <w:lang w:val="en-US" w:eastAsia="zh-CN"/>
              </w:rPr>
              <w:t>2</w:t>
            </w:r>
          </w:p>
        </w:tc>
        <w:tc>
          <w:tcPr>
            <w:tcW w:w="1573"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ind w:firstLine="0" w:firstLineChars="0"/>
              <w:jc w:val="center"/>
              <w:rPr>
                <w:rFonts w:ascii="宋体" w:eastAsia="宋体" w:hAnsi="宋体" w:hint="default"/>
              </w:rPr>
            </w:pPr>
            <w:r>
              <w:rPr>
                <w:rFonts w:ascii="宋体" w:hAnsi="宋体" w:hint="eastAsia"/>
                <w:lang w:val="en-US" w:eastAsia="zh-CN"/>
              </w:rPr>
              <w:t>96</w:t>
            </w:r>
          </w:p>
        </w:tc>
      </w:tr>
    </w:tbl>
    <w:p>
      <w:pPr>
        <w:widowControl/>
        <w:ind w:firstLine="562"/>
        <w:jc w:val="left"/>
        <w:rPr>
          <w:rFonts w:ascii="宋体" w:hAnsi="宋体" w:hint="eastAsia"/>
          <w:b/>
          <w:sz w:val="28"/>
          <w:szCs w:val="21"/>
        </w:rPr>
      </w:pPr>
    </w:p>
    <w:p>
      <w:pPr>
        <w:ind w:firstLine="422"/>
        <w:jc w:val="center"/>
        <w:rPr>
          <w:rFonts w:ascii="宋体" w:hAnsi="宋体" w:hint="eastAsia"/>
          <w:b/>
          <w:lang w:val="zh-CN"/>
        </w:rPr>
      </w:pPr>
      <w:r>
        <w:rPr>
          <w:rFonts w:ascii="宋体" w:hAnsi="宋体" w:hint="eastAsia"/>
          <w:b/>
          <w:lang w:val="zh-CN"/>
        </w:rPr>
        <w:t>表</w:t>
      </w:r>
      <w:r>
        <w:rPr>
          <w:rFonts w:ascii="宋体" w:hAnsi="宋体" w:hint="eastAsia"/>
          <w:b/>
        </w:rPr>
        <w:t xml:space="preserve">2 </w:t>
      </w:r>
      <w:r>
        <w:rPr>
          <w:rFonts w:ascii="宋体" w:hAnsi="宋体" w:hint="eastAsia"/>
          <w:b/>
          <w:lang w:val="zh-CN"/>
        </w:rPr>
        <w:t>采购人及预算情况表</w:t>
      </w:r>
    </w:p>
    <w:tbl>
      <w:tblPr>
        <w:tblStyle w:val="TableNormal"/>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846"/>
        <w:gridCol w:w="2528"/>
        <w:gridCol w:w="1836"/>
        <w:gridCol w:w="1282"/>
        <w:gridCol w:w="1343"/>
        <w:gridCol w:w="1163"/>
      </w:tblGrid>
      <w:tr>
        <w:tblPrEx>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312"/>
        </w:trPr>
        <w:tc>
          <w:tcPr>
            <w:tcW w:w="470" w:type="pct"/>
            <w:noWrap/>
            <w:vAlign w:val="center"/>
          </w:tcPr>
          <w:p>
            <w:pPr>
              <w:widowControl/>
              <w:adjustRightInd w:val="0"/>
              <w:snapToGrid w:val="0"/>
              <w:spacing w:line="240" w:lineRule="auto"/>
              <w:ind w:firstLine="0" w:firstLineChars="0"/>
              <w:textAlignment w:val="center"/>
              <w:rPr>
                <w:rFonts w:cs="宋体" w:hint="eastAsia"/>
                <w:color w:val="000000"/>
              </w:rPr>
            </w:pPr>
            <w:r>
              <w:rPr>
                <w:rFonts w:cs="宋体" w:hint="eastAsia"/>
                <w:color w:val="000000"/>
                <w:kern w:val="0"/>
                <w:szCs w:val="24"/>
                <w:lang w:bidi="ar"/>
              </w:rPr>
              <w:t>序号</w:t>
            </w:r>
          </w:p>
        </w:tc>
        <w:tc>
          <w:tcPr>
            <w:tcW w:w="1404" w:type="pct"/>
            <w:tcBorders>
              <w:bottom w:val="single" w:sz="4" w:space="0" w:color="000000"/>
            </w:tcBorders>
            <w:noWrap/>
            <w:vAlign w:val="center"/>
          </w:tcPr>
          <w:p>
            <w:pPr>
              <w:widowControl/>
              <w:adjustRightInd w:val="0"/>
              <w:snapToGrid w:val="0"/>
              <w:spacing w:line="240" w:lineRule="auto"/>
              <w:ind w:firstLine="420"/>
              <w:jc w:val="center"/>
              <w:textAlignment w:val="center"/>
              <w:rPr>
                <w:rFonts w:cs="宋体" w:hint="eastAsia"/>
                <w:color w:val="000000"/>
              </w:rPr>
            </w:pPr>
            <w:r>
              <w:rPr>
                <w:rFonts w:cs="宋体" w:hint="eastAsia"/>
                <w:color w:val="000000"/>
                <w:kern w:val="0"/>
                <w:szCs w:val="24"/>
                <w:lang w:bidi="ar"/>
              </w:rPr>
              <w:t>采购人</w:t>
            </w:r>
          </w:p>
        </w:tc>
        <w:tc>
          <w:tcPr>
            <w:tcW w:w="1020" w:type="pct"/>
            <w:tcBorders>
              <w:bottom w:val="single" w:sz="4" w:space="0" w:color="000000"/>
            </w:tcBorders>
            <w:noWrap/>
            <w:vAlign w:val="center"/>
          </w:tcPr>
          <w:p>
            <w:pPr>
              <w:widowControl/>
              <w:adjustRightInd w:val="0"/>
              <w:snapToGrid w:val="0"/>
              <w:spacing w:line="240" w:lineRule="auto"/>
              <w:ind w:firstLine="0" w:firstLineChars="0"/>
              <w:textAlignment w:val="center"/>
              <w:rPr>
                <w:rFonts w:cs="宋体" w:hint="eastAsia"/>
                <w:color w:val="000000"/>
              </w:rPr>
            </w:pPr>
            <w:r>
              <w:rPr>
                <w:rFonts w:cs="宋体" w:hint="eastAsia"/>
                <w:color w:val="000000"/>
                <w:kern w:val="0"/>
                <w:szCs w:val="24"/>
                <w:lang w:bidi="ar"/>
              </w:rPr>
              <w:t>设备名称</w:t>
            </w:r>
          </w:p>
        </w:tc>
        <w:tc>
          <w:tcPr>
            <w:tcW w:w="712" w:type="pct"/>
            <w:tcBorders>
              <w:bottom w:val="single" w:sz="4" w:space="0" w:color="000000"/>
            </w:tcBorders>
            <w:noWrap/>
            <w:vAlign w:val="center"/>
          </w:tcPr>
          <w:p>
            <w:pPr>
              <w:widowControl/>
              <w:adjustRightInd w:val="0"/>
              <w:snapToGrid w:val="0"/>
              <w:spacing w:line="240" w:lineRule="auto"/>
              <w:ind w:firstLine="0" w:firstLineChars="0"/>
              <w:textAlignment w:val="center"/>
              <w:rPr>
                <w:rFonts w:cs="宋体" w:hint="eastAsia"/>
                <w:color w:val="000000"/>
              </w:rPr>
            </w:pPr>
            <w:r>
              <w:rPr>
                <w:rFonts w:cs="宋体" w:hint="eastAsia"/>
                <w:color w:val="000000"/>
                <w:kern w:val="0"/>
                <w:szCs w:val="24"/>
                <w:lang w:bidi="ar"/>
              </w:rPr>
              <w:t>数量（套）</w:t>
            </w:r>
          </w:p>
        </w:tc>
        <w:tc>
          <w:tcPr>
            <w:tcW w:w="746" w:type="pct"/>
            <w:tcBorders>
              <w:bottom w:val="single" w:sz="4" w:space="0" w:color="000000"/>
            </w:tcBorders>
            <w:noWrap/>
            <w:vAlign w:val="center"/>
          </w:tcPr>
          <w:p>
            <w:pPr>
              <w:widowControl/>
              <w:adjustRightInd w:val="0"/>
              <w:snapToGrid w:val="0"/>
              <w:spacing w:line="240" w:lineRule="auto"/>
              <w:ind w:firstLine="0" w:firstLineChars="0"/>
              <w:textAlignment w:val="center"/>
              <w:rPr>
                <w:rFonts w:cs="宋体" w:hint="eastAsia"/>
                <w:color w:val="000000"/>
                <w:kern w:val="0"/>
                <w:lang w:bidi="ar"/>
              </w:rPr>
            </w:pPr>
            <w:r>
              <w:rPr>
                <w:rFonts w:cs="宋体" w:hint="eastAsia"/>
                <w:color w:val="000000"/>
                <w:kern w:val="0"/>
                <w:szCs w:val="24"/>
                <w:lang w:bidi="ar"/>
              </w:rPr>
              <w:t>预算</w:t>
            </w:r>
          </w:p>
          <w:p>
            <w:pPr>
              <w:widowControl/>
              <w:adjustRightInd w:val="0"/>
              <w:snapToGrid w:val="0"/>
              <w:spacing w:line="240" w:lineRule="auto"/>
              <w:ind w:firstLine="0" w:firstLineChars="0"/>
              <w:textAlignment w:val="center"/>
              <w:rPr>
                <w:rFonts w:cs="宋体" w:hint="eastAsia"/>
                <w:color w:val="000000"/>
              </w:rPr>
            </w:pPr>
            <w:r>
              <w:rPr>
                <w:rFonts w:cs="宋体" w:hint="eastAsia"/>
                <w:color w:val="000000"/>
                <w:kern w:val="0"/>
                <w:szCs w:val="24"/>
                <w:lang w:bidi="ar"/>
              </w:rPr>
              <w:t>（万元）</w:t>
            </w:r>
          </w:p>
        </w:tc>
        <w:tc>
          <w:tcPr>
            <w:tcW w:w="646" w:type="pct"/>
            <w:tcBorders>
              <w:bottom w:val="single" w:sz="4" w:space="0" w:color="000000"/>
            </w:tcBorders>
            <w:vAlign w:val="center"/>
          </w:tcPr>
          <w:p>
            <w:pPr>
              <w:widowControl/>
              <w:adjustRightInd w:val="0"/>
              <w:snapToGrid w:val="0"/>
              <w:spacing w:line="240" w:lineRule="auto"/>
              <w:ind w:firstLine="0" w:firstLineChars="0"/>
              <w:textAlignment w:val="center"/>
              <w:rPr>
                <w:rFonts w:cs="宋体" w:hint="eastAsia"/>
                <w:color w:val="000000"/>
              </w:rPr>
            </w:pPr>
            <w:r>
              <w:rPr>
                <w:rFonts w:cs="宋体" w:hint="eastAsia"/>
                <w:color w:val="000000"/>
                <w:kern w:val="0"/>
                <w:szCs w:val="24"/>
                <w:lang w:bidi="ar"/>
              </w:rPr>
              <w:t>联系人</w:t>
            </w:r>
          </w:p>
        </w:tc>
      </w:tr>
      <w:tr>
        <w:tblPrEx>
          <w:tblW w:w="4997" w:type="pct"/>
          <w:tblLayout w:type="fixed"/>
          <w:tblCellMar>
            <w:top w:w="0" w:type="dxa"/>
            <w:left w:w="108" w:type="dxa"/>
            <w:bottom w:w="0" w:type="dxa"/>
            <w:right w:w="108" w:type="dxa"/>
          </w:tblCellMar>
          <w:tblLook w:val="0000"/>
        </w:tblPrEx>
        <w:trPr>
          <w:trHeight w:val="312"/>
        </w:trPr>
        <w:tc>
          <w:tcPr>
            <w:tcW w:w="470" w:type="pct"/>
            <w:tcBorders>
              <w:top w:val="single" w:sz="4" w:space="0" w:color="000000"/>
              <w:left w:val="single" w:sz="4" w:space="0" w:color="000000"/>
              <w:bottom w:val="single" w:sz="4" w:space="0" w:color="000000"/>
              <w:right w:val="single" w:sz="4" w:space="0" w:color="000000"/>
            </w:tcBorders>
            <w:noWrap/>
            <w:vAlign w:val="center"/>
          </w:tcPr>
          <w:p>
            <w:pPr>
              <w:widowControl/>
              <w:adjustRightInd w:val="0"/>
              <w:snapToGrid w:val="0"/>
              <w:spacing w:line="240" w:lineRule="auto"/>
              <w:ind w:firstLine="420"/>
              <w:jc w:val="center"/>
              <w:textAlignment w:val="center"/>
              <w:rPr>
                <w:rFonts w:cs="宋体" w:hint="eastAsia"/>
                <w:color w:val="000000"/>
                <w:szCs w:val="21"/>
              </w:rPr>
            </w:pPr>
            <w:r>
              <w:rPr>
                <w:rFonts w:cs="宋体" w:hint="eastAsia"/>
                <w:color w:val="000000"/>
                <w:szCs w:val="21"/>
              </w:rPr>
              <w:t>1</w:t>
            </w:r>
          </w:p>
        </w:tc>
        <w:tc>
          <w:tcPr>
            <w:tcW w:w="1404" w:type="pct"/>
            <w:tcBorders>
              <w:top w:val="single" w:sz="4" w:space="0" w:color="000000"/>
              <w:left w:val="nil"/>
              <w:bottom w:val="single" w:sz="4" w:space="0" w:color="000000"/>
              <w:right w:val="single" w:sz="4" w:space="0" w:color="000000"/>
            </w:tcBorders>
            <w:noWrap/>
            <w:vAlign w:val="center"/>
          </w:tcPr>
          <w:p>
            <w:pPr>
              <w:widowControl/>
              <w:spacing w:line="240" w:lineRule="auto"/>
              <w:ind w:firstLine="420"/>
              <w:jc w:val="center"/>
              <w:rPr>
                <w:rFonts w:eastAsia="宋体" w:hint="default"/>
                <w:color w:val="000000"/>
                <w:szCs w:val="21"/>
              </w:rPr>
            </w:pPr>
            <w:r>
              <w:rPr>
                <w:rFonts w:hint="eastAsia"/>
                <w:color w:val="000000"/>
                <w:szCs w:val="21"/>
                <w:lang w:val="en-US" w:eastAsia="zh-CN"/>
              </w:rPr>
              <w:t>陕西省大气探测技术保障中心</w:t>
            </w:r>
          </w:p>
        </w:tc>
        <w:tc>
          <w:tcPr>
            <w:tcW w:w="1020" w:type="pct"/>
            <w:tcBorders>
              <w:top w:val="single" w:sz="4" w:space="0" w:color="000000"/>
              <w:left w:val="single" w:sz="4" w:space="0" w:color="000000"/>
              <w:bottom w:val="single" w:sz="4" w:space="0" w:color="000000"/>
              <w:right w:val="single" w:sz="4" w:space="0" w:color="000000"/>
            </w:tcBorders>
            <w:vAlign w:val="center"/>
          </w:tcPr>
          <w:p>
            <w:pPr>
              <w:widowControl/>
              <w:spacing w:line="240" w:lineRule="auto"/>
              <w:ind w:firstLine="0" w:firstLineChars="0"/>
              <w:rPr>
                <w:rFonts w:hint="eastAsia"/>
                <w:color w:val="000000"/>
                <w:szCs w:val="21"/>
              </w:rPr>
            </w:pPr>
            <w:r>
              <w:rPr>
                <w:rFonts w:ascii="宋体" w:hAnsi="宋体" w:hint="eastAsia"/>
              </w:rPr>
              <w:t>相干多普勒激光测风雷达</w:t>
            </w:r>
            <w:r>
              <w:rPr>
                <w:rFonts w:ascii="宋体" w:hAnsi="宋体" w:hint="eastAsia"/>
                <w:lang w:eastAsia="zh-CN"/>
              </w:rPr>
              <w:t>（</w:t>
            </w:r>
            <w:r>
              <w:rPr>
                <w:rFonts w:ascii="宋体" w:hAnsi="宋体" w:hint="eastAsia"/>
              </w:rPr>
              <w:t>远距垂直廓线型</w:t>
            </w:r>
            <w:r>
              <w:rPr>
                <w:rFonts w:ascii="宋体" w:hAnsi="宋体" w:hint="eastAsia"/>
                <w:lang w:eastAsia="zh-CN"/>
              </w:rPr>
              <w:t>）</w:t>
            </w:r>
          </w:p>
        </w:tc>
        <w:tc>
          <w:tcPr>
            <w:tcW w:w="712" w:type="pct"/>
            <w:tcBorders>
              <w:top w:val="single" w:sz="4" w:space="0" w:color="000000"/>
              <w:left w:val="single" w:sz="4" w:space="0" w:color="000000"/>
              <w:bottom w:val="single" w:sz="4" w:space="0" w:color="000000"/>
              <w:right w:val="single" w:sz="4" w:space="0" w:color="000000"/>
            </w:tcBorders>
            <w:vAlign w:val="center"/>
          </w:tcPr>
          <w:p>
            <w:pPr>
              <w:ind w:firstLine="420"/>
              <w:jc w:val="center"/>
              <w:rPr>
                <w:rFonts w:hint="eastAsia"/>
                <w:color w:val="000000"/>
                <w:szCs w:val="21"/>
              </w:rPr>
            </w:pPr>
            <w:r>
              <w:rPr>
                <w:rFonts w:hint="eastAsia"/>
                <w:color w:val="000000"/>
                <w:szCs w:val="21"/>
              </w:rPr>
              <w:t>1</w:t>
            </w:r>
          </w:p>
        </w:tc>
        <w:tc>
          <w:tcPr>
            <w:tcW w:w="746" w:type="pct"/>
            <w:tcBorders>
              <w:top w:val="single" w:sz="4" w:space="0" w:color="000000"/>
              <w:left w:val="single" w:sz="4" w:space="0" w:color="000000"/>
              <w:bottom w:val="single" w:sz="4" w:space="0" w:color="000000"/>
              <w:right w:val="single" w:sz="4" w:space="0" w:color="000000"/>
            </w:tcBorders>
            <w:vAlign w:val="center"/>
          </w:tcPr>
          <w:p>
            <w:pPr>
              <w:ind w:firstLine="420"/>
              <w:jc w:val="center"/>
              <w:rPr>
                <w:rFonts w:eastAsia="宋体" w:hint="default"/>
                <w:color w:val="000000"/>
                <w:szCs w:val="21"/>
              </w:rPr>
            </w:pPr>
            <w:r>
              <w:rPr>
                <w:rFonts w:hint="eastAsia"/>
                <w:color w:val="000000"/>
                <w:szCs w:val="21"/>
                <w:lang w:val="en-US" w:eastAsia="zh-CN"/>
              </w:rPr>
              <w:t>48</w:t>
            </w:r>
          </w:p>
        </w:tc>
        <w:tc>
          <w:tcPr>
            <w:tcW w:w="646" w:type="pct"/>
            <w:tcBorders>
              <w:top w:val="single" w:sz="4" w:space="0" w:color="000000"/>
              <w:left w:val="single" w:sz="4" w:space="0" w:color="000000"/>
              <w:bottom w:val="single" w:sz="4" w:space="0" w:color="000000"/>
              <w:right w:val="single" w:sz="4" w:space="0" w:color="000000"/>
            </w:tcBorders>
            <w:noWrap/>
            <w:vAlign w:val="center"/>
          </w:tcPr>
          <w:p>
            <w:pPr>
              <w:ind w:firstLine="0" w:firstLineChars="0"/>
              <w:jc w:val="center"/>
              <w:rPr>
                <w:rFonts w:eastAsia="宋体" w:hint="eastAsia"/>
                <w:color w:val="000000"/>
                <w:szCs w:val="21"/>
              </w:rPr>
            </w:pPr>
            <w:r>
              <w:rPr>
                <w:rFonts w:hint="eastAsia"/>
                <w:color w:val="000000"/>
                <w:szCs w:val="21"/>
                <w:lang w:val="en-US" w:eastAsia="zh-CN"/>
              </w:rPr>
              <w:t>杨家锋</w:t>
            </w:r>
          </w:p>
        </w:tc>
      </w:tr>
      <w:tr>
        <w:tblPrEx>
          <w:tblW w:w="4997" w:type="pct"/>
          <w:tblLayout w:type="fixed"/>
          <w:tblCellMar>
            <w:top w:w="0" w:type="dxa"/>
            <w:left w:w="108" w:type="dxa"/>
            <w:bottom w:w="0" w:type="dxa"/>
            <w:right w:w="108" w:type="dxa"/>
          </w:tblCellMar>
          <w:tblLook w:val="0000"/>
        </w:tblPrEx>
        <w:trPr>
          <w:trHeight w:val="312"/>
        </w:trPr>
        <w:tc>
          <w:tcPr>
            <w:tcW w:w="470" w:type="pct"/>
            <w:tcBorders>
              <w:top w:val="single" w:sz="4" w:space="0" w:color="000000"/>
              <w:left w:val="single" w:sz="4" w:space="0" w:color="000000"/>
              <w:bottom w:val="single" w:sz="4" w:space="0" w:color="000000"/>
              <w:right w:val="single" w:sz="4" w:space="0" w:color="000000"/>
            </w:tcBorders>
            <w:noWrap/>
            <w:vAlign w:val="center"/>
          </w:tcPr>
          <w:p>
            <w:pPr>
              <w:widowControl/>
              <w:adjustRightInd w:val="0"/>
              <w:snapToGrid w:val="0"/>
              <w:spacing w:line="240" w:lineRule="auto"/>
              <w:ind w:firstLine="420"/>
              <w:jc w:val="center"/>
              <w:textAlignment w:val="center"/>
              <w:rPr>
                <w:rFonts w:cs="宋体" w:hint="eastAsia"/>
                <w:color w:val="000000"/>
                <w:szCs w:val="21"/>
              </w:rPr>
            </w:pPr>
            <w:r>
              <w:rPr>
                <w:rFonts w:cs="宋体" w:hint="eastAsia"/>
                <w:color w:val="000000"/>
                <w:szCs w:val="21"/>
              </w:rPr>
              <w:t>2</w:t>
            </w:r>
          </w:p>
        </w:tc>
        <w:tc>
          <w:tcPr>
            <w:tcW w:w="1404" w:type="pct"/>
            <w:tcBorders>
              <w:top w:val="single" w:sz="4" w:space="0" w:color="000000"/>
              <w:left w:val="nil"/>
              <w:bottom w:val="single" w:sz="4" w:space="0" w:color="000000"/>
              <w:right w:val="single" w:sz="4" w:space="0" w:color="000000"/>
            </w:tcBorders>
            <w:noWrap/>
            <w:vAlign w:val="center"/>
          </w:tcPr>
          <w:p>
            <w:pPr>
              <w:widowControl/>
              <w:spacing w:line="240" w:lineRule="auto"/>
              <w:ind w:firstLine="420"/>
              <w:jc w:val="center"/>
              <w:rPr>
                <w:rFonts w:hint="eastAsia"/>
                <w:color w:val="000000"/>
                <w:szCs w:val="21"/>
              </w:rPr>
            </w:pPr>
            <w:r>
              <w:rPr>
                <w:rFonts w:hint="eastAsia"/>
                <w:color w:val="000000"/>
                <w:szCs w:val="21"/>
              </w:rPr>
              <w:t>四川省气象数据中心</w:t>
            </w:r>
          </w:p>
        </w:tc>
        <w:tc>
          <w:tcPr>
            <w:tcW w:w="1020" w:type="pct"/>
            <w:tcBorders>
              <w:top w:val="single" w:sz="4" w:space="0" w:color="000000"/>
              <w:left w:val="single" w:sz="4" w:space="0" w:color="000000"/>
              <w:bottom w:val="single" w:sz="4" w:space="0" w:color="000000"/>
              <w:right w:val="single" w:sz="4" w:space="0" w:color="000000"/>
            </w:tcBorders>
            <w:vAlign w:val="center"/>
          </w:tcPr>
          <w:p>
            <w:pPr>
              <w:widowControl/>
              <w:spacing w:line="240" w:lineRule="auto"/>
              <w:ind w:firstLine="0" w:firstLineChars="0"/>
              <w:rPr>
                <w:rFonts w:hint="eastAsia"/>
                <w:color w:val="000000"/>
                <w:szCs w:val="21"/>
              </w:rPr>
            </w:pPr>
            <w:r>
              <w:rPr>
                <w:rFonts w:ascii="宋体" w:hAnsi="宋体" w:hint="eastAsia"/>
              </w:rPr>
              <w:t>相干多普勒激光测风雷达</w:t>
            </w:r>
            <w:r>
              <w:rPr>
                <w:rFonts w:ascii="宋体" w:hAnsi="宋体" w:hint="eastAsia"/>
                <w:lang w:eastAsia="zh-CN"/>
              </w:rPr>
              <w:t>（</w:t>
            </w:r>
            <w:r>
              <w:rPr>
                <w:rFonts w:ascii="宋体" w:hAnsi="宋体" w:hint="eastAsia"/>
              </w:rPr>
              <w:t>远距垂直廓线型</w:t>
            </w:r>
            <w:r>
              <w:rPr>
                <w:rFonts w:ascii="宋体" w:hAnsi="宋体" w:hint="eastAsia"/>
                <w:lang w:eastAsia="zh-CN"/>
              </w:rPr>
              <w:t>）</w:t>
            </w:r>
          </w:p>
        </w:tc>
        <w:tc>
          <w:tcPr>
            <w:tcW w:w="712" w:type="pct"/>
            <w:tcBorders>
              <w:top w:val="single" w:sz="4" w:space="0" w:color="000000"/>
              <w:left w:val="single" w:sz="4" w:space="0" w:color="000000"/>
              <w:bottom w:val="single" w:sz="4" w:space="0" w:color="000000"/>
              <w:right w:val="single" w:sz="4" w:space="0" w:color="000000"/>
            </w:tcBorders>
            <w:vAlign w:val="center"/>
          </w:tcPr>
          <w:p>
            <w:pPr>
              <w:ind w:firstLine="420" w:firstLineChars="200"/>
              <w:jc w:val="center"/>
              <w:rPr>
                <w:rFonts w:hint="eastAsia"/>
                <w:color w:val="000000"/>
                <w:szCs w:val="21"/>
              </w:rPr>
            </w:pPr>
            <w:r>
              <w:rPr>
                <w:rFonts w:hint="eastAsia"/>
                <w:color w:val="000000"/>
                <w:szCs w:val="21"/>
              </w:rPr>
              <w:t>1</w:t>
            </w:r>
          </w:p>
        </w:tc>
        <w:tc>
          <w:tcPr>
            <w:tcW w:w="746" w:type="pct"/>
            <w:tcBorders>
              <w:top w:val="single" w:sz="4" w:space="0" w:color="000000"/>
              <w:left w:val="single" w:sz="4" w:space="0" w:color="000000"/>
              <w:bottom w:val="single" w:sz="4" w:space="0" w:color="000000"/>
              <w:right w:val="single" w:sz="4" w:space="0" w:color="000000"/>
            </w:tcBorders>
            <w:vAlign w:val="center"/>
          </w:tcPr>
          <w:p>
            <w:pPr>
              <w:ind w:firstLine="420" w:firstLineChars="200"/>
              <w:jc w:val="center"/>
              <w:rPr>
                <w:rFonts w:eastAsia="宋体" w:hint="eastAsia"/>
                <w:color w:val="000000"/>
                <w:szCs w:val="21"/>
              </w:rPr>
            </w:pPr>
            <w:r>
              <w:rPr>
                <w:rFonts w:hint="eastAsia"/>
                <w:color w:val="000000"/>
                <w:szCs w:val="21"/>
                <w:lang w:val="en-US" w:eastAsia="zh-CN"/>
              </w:rPr>
              <w:t>48</w:t>
            </w:r>
          </w:p>
        </w:tc>
        <w:tc>
          <w:tcPr>
            <w:tcW w:w="646" w:type="pct"/>
            <w:tcBorders>
              <w:top w:val="single" w:sz="4" w:space="0" w:color="000000"/>
              <w:left w:val="single" w:sz="4" w:space="0" w:color="000000"/>
              <w:bottom w:val="single" w:sz="4" w:space="0" w:color="000000"/>
              <w:right w:val="single" w:sz="4" w:space="0" w:color="000000"/>
            </w:tcBorders>
            <w:noWrap/>
            <w:vAlign w:val="center"/>
          </w:tcPr>
          <w:p>
            <w:pPr>
              <w:ind w:firstLine="0" w:firstLineChars="0"/>
              <w:jc w:val="center"/>
              <w:rPr>
                <w:rFonts w:eastAsia="宋体" w:hint="eastAsia"/>
                <w:color w:val="000000"/>
                <w:szCs w:val="21"/>
              </w:rPr>
            </w:pPr>
            <w:r>
              <w:rPr>
                <w:rFonts w:hint="eastAsia"/>
                <w:color w:val="000000"/>
                <w:szCs w:val="21"/>
                <w:lang w:val="en-US" w:eastAsia="zh-CN"/>
              </w:rPr>
              <w:t>龚朝东</w:t>
            </w:r>
          </w:p>
        </w:tc>
      </w:tr>
    </w:tbl>
    <w:p>
      <w:pPr>
        <w:widowControl/>
        <w:ind w:firstLine="562"/>
        <w:jc w:val="left"/>
        <w:rPr>
          <w:rFonts w:ascii="宋体" w:hAnsi="宋体" w:hint="eastAsia"/>
          <w:b/>
          <w:sz w:val="28"/>
          <w:szCs w:val="21"/>
        </w:rPr>
      </w:pPr>
      <w:r>
        <w:rPr>
          <w:rFonts w:ascii="宋体" w:hAnsi="宋体"/>
          <w:b/>
          <w:sz w:val="28"/>
          <w:szCs w:val="21"/>
        </w:rPr>
        <w:t>三、</w:t>
      </w:r>
      <w:r>
        <w:rPr>
          <w:rFonts w:ascii="宋体" w:hAnsi="宋体" w:hint="eastAsia"/>
          <w:b/>
          <w:sz w:val="28"/>
          <w:szCs w:val="21"/>
        </w:rPr>
        <w:t>技术性能指标</w:t>
      </w:r>
    </w:p>
    <w:p>
      <w:pPr>
        <w:ind w:firstLine="240" w:firstLineChars="100"/>
        <w:rPr>
          <w:rFonts w:ascii="宋体" w:hAnsi="宋体"/>
          <w:b/>
        </w:rPr>
      </w:pPr>
      <w:r>
        <w:rPr>
          <w:rFonts w:ascii="宋体" w:hAnsi="宋体"/>
          <w:b/>
          <w:sz w:val="24"/>
          <w:szCs w:val="24"/>
        </w:rPr>
        <w:t>1</w:t>
      </w:r>
      <w:r>
        <w:rPr>
          <w:rFonts w:ascii="宋体" w:hAnsi="宋体" w:hint="eastAsia"/>
          <w:b/>
          <w:sz w:val="24"/>
          <w:szCs w:val="24"/>
        </w:rPr>
        <w:t>、设备组成</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rPr>
        <w:t>一套完整的</w:t>
      </w:r>
      <w:r>
        <w:rPr>
          <w:rFonts w:ascii="宋体" w:hAnsi="宋体" w:hint="eastAsia"/>
        </w:rPr>
        <w:t>相干多普勒激光测风雷达</w:t>
      </w:r>
      <w:r>
        <w:rPr>
          <w:rFonts w:ascii="宋体" w:hAnsi="宋体" w:hint="eastAsia"/>
          <w:lang w:eastAsia="zh-CN"/>
        </w:rPr>
        <w:t>（</w:t>
      </w:r>
      <w:r>
        <w:rPr>
          <w:rFonts w:ascii="宋体" w:hAnsi="宋体" w:hint="eastAsia"/>
        </w:rPr>
        <w:t>远距垂直廓线型</w:t>
      </w:r>
      <w:r>
        <w:rPr>
          <w:rFonts w:ascii="宋体" w:hAnsi="宋体" w:hint="eastAsia"/>
          <w:lang w:eastAsia="zh-CN"/>
        </w:rPr>
        <w:t>）</w:t>
      </w:r>
      <w:r>
        <w:rPr>
          <w:rFonts w:ascii="宋体" w:hAnsi="Calibri" w:cs="宋体" w:hint="eastAsia"/>
          <w:kern w:val="0"/>
          <w:szCs w:val="21"/>
        </w:rPr>
        <w:t>系统（以下简称</w:t>
      </w:r>
      <w:r>
        <w:rPr>
          <w:rFonts w:ascii="宋体" w:hAnsi="Calibri" w:cs="宋体" w:hint="eastAsia"/>
          <w:kern w:val="0"/>
          <w:szCs w:val="21"/>
        </w:rPr>
        <w:t>“</w:t>
      </w:r>
      <w:r>
        <w:rPr>
          <w:rFonts w:ascii="宋体" w:hAnsi="Calibri" w:cs="宋体" w:hint="eastAsia"/>
          <w:kern w:val="0"/>
          <w:szCs w:val="21"/>
        </w:rPr>
        <w:t>测风激光雷达</w:t>
      </w:r>
      <w:r>
        <w:rPr>
          <w:rFonts w:ascii="宋体" w:hAnsi="Calibri" w:cs="宋体" w:hint="eastAsia"/>
          <w:kern w:val="0"/>
          <w:szCs w:val="21"/>
        </w:rPr>
        <w:t>”</w:t>
      </w:r>
      <w:r>
        <w:rPr>
          <w:rFonts w:ascii="宋体" w:hAnsi="Calibri" w:cs="宋体" w:hint="eastAsia"/>
          <w:kern w:val="0"/>
          <w:szCs w:val="21"/>
        </w:rPr>
        <w:t>）由以下的几个分系</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rPr>
        <w:t>统组成：</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rPr>
        <w:t>（</w:t>
      </w:r>
      <w:r>
        <w:rPr>
          <w:rFonts w:ascii="宋体" w:hAnsi="Calibri" w:cs="宋体"/>
          <w:kern w:val="0"/>
          <w:szCs w:val="21"/>
        </w:rPr>
        <w:t>1</w:t>
      </w:r>
      <w:r>
        <w:rPr>
          <w:rFonts w:ascii="宋体" w:hAnsi="Calibri" w:cs="宋体" w:hint="eastAsia"/>
          <w:kern w:val="0"/>
          <w:szCs w:val="21"/>
        </w:rPr>
        <w:t>）激光</w:t>
      </w:r>
      <w:r>
        <w:rPr>
          <w:rFonts w:ascii="宋体" w:hAnsi="Calibri" w:cs="宋体" w:hint="eastAsia"/>
          <w:kern w:val="0"/>
          <w:szCs w:val="21"/>
          <w:lang w:val="en-US" w:eastAsia="zh-CN"/>
        </w:rPr>
        <w:t>发射</w:t>
      </w:r>
      <w:r>
        <w:rPr>
          <w:rFonts w:ascii="宋体" w:hAnsi="Calibri" w:cs="宋体" w:hint="eastAsia"/>
          <w:kern w:val="0"/>
          <w:szCs w:val="21"/>
        </w:rPr>
        <w:t>系统；</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rPr>
        <w:t>（</w:t>
      </w:r>
      <w:r>
        <w:rPr>
          <w:rFonts w:ascii="宋体" w:hAnsi="Calibri" w:cs="宋体"/>
          <w:kern w:val="0"/>
          <w:szCs w:val="21"/>
        </w:rPr>
        <w:t>2</w:t>
      </w:r>
      <w:r>
        <w:rPr>
          <w:rFonts w:ascii="宋体" w:hAnsi="Calibri" w:cs="宋体" w:hint="eastAsia"/>
          <w:kern w:val="0"/>
          <w:szCs w:val="21"/>
        </w:rPr>
        <w:t>）光学</w:t>
      </w:r>
      <w:r>
        <w:rPr>
          <w:rFonts w:ascii="宋体" w:hAnsi="Calibri" w:cs="宋体" w:hint="eastAsia"/>
          <w:kern w:val="0"/>
          <w:szCs w:val="21"/>
          <w:lang w:val="en-US" w:eastAsia="zh-CN"/>
        </w:rPr>
        <w:t>接收</w:t>
      </w:r>
      <w:r>
        <w:rPr>
          <w:rFonts w:ascii="宋体" w:hAnsi="Calibri" w:cs="宋体" w:hint="eastAsia"/>
          <w:kern w:val="0"/>
          <w:szCs w:val="21"/>
        </w:rPr>
        <w:t>系统；</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rPr>
        <w:t>（</w:t>
      </w:r>
      <w:r>
        <w:rPr>
          <w:rFonts w:ascii="宋体" w:hAnsi="Calibri" w:cs="宋体"/>
          <w:kern w:val="0"/>
          <w:szCs w:val="21"/>
        </w:rPr>
        <w:t>3</w:t>
      </w:r>
      <w:r>
        <w:rPr>
          <w:rFonts w:ascii="宋体" w:hAnsi="Calibri" w:cs="宋体" w:hint="eastAsia"/>
          <w:kern w:val="0"/>
          <w:szCs w:val="21"/>
        </w:rPr>
        <w:t>）伺服系统</w:t>
      </w:r>
      <w:r>
        <w:rPr>
          <w:rFonts w:ascii="Times New Roman"/>
          <w:kern w:val="2"/>
          <w:szCs w:val="21"/>
        </w:rPr>
        <w:t>（具有扫描功能时）</w:t>
      </w:r>
      <w:r>
        <w:rPr>
          <w:rFonts w:ascii="宋体" w:hAnsi="Calibri" w:cs="宋体" w:hint="eastAsia"/>
          <w:kern w:val="0"/>
          <w:szCs w:val="21"/>
        </w:rPr>
        <w:t>；</w:t>
      </w:r>
    </w:p>
    <w:p>
      <w:pPr>
        <w:autoSpaceDE w:val="0"/>
        <w:autoSpaceDN w:val="0"/>
        <w:adjustRightInd w:val="0"/>
        <w:ind w:firstLine="420"/>
        <w:jc w:val="left"/>
        <w:rPr>
          <w:rFonts w:ascii="宋体" w:hAnsi="Calibri" w:cs="宋体" w:hint="eastAsia"/>
          <w:kern w:val="0"/>
          <w:szCs w:val="21"/>
        </w:rPr>
      </w:pPr>
      <w:r>
        <w:rPr>
          <w:rFonts w:ascii="宋体" w:hAnsi="Calibri" w:cs="宋体" w:hint="eastAsia"/>
          <w:kern w:val="0"/>
          <w:szCs w:val="21"/>
        </w:rPr>
        <w:t>（</w:t>
      </w:r>
      <w:r>
        <w:rPr>
          <w:rFonts w:ascii="宋体" w:hAnsi="Calibri" w:cs="宋体"/>
          <w:kern w:val="0"/>
          <w:szCs w:val="21"/>
        </w:rPr>
        <w:t>4</w:t>
      </w:r>
      <w:r>
        <w:rPr>
          <w:rFonts w:ascii="宋体" w:hAnsi="Calibri" w:cs="宋体" w:hint="eastAsia"/>
          <w:kern w:val="0"/>
          <w:szCs w:val="21"/>
        </w:rPr>
        <w:t>）</w:t>
      </w:r>
      <w:r>
        <w:rPr>
          <w:rFonts w:ascii="Times New Roman"/>
          <w:kern w:val="2"/>
          <w:szCs w:val="21"/>
        </w:rPr>
        <w:t>光电转换及数据采集系统；</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lang w:eastAsia="zh-CN"/>
        </w:rPr>
        <w:t>（</w:t>
      </w:r>
      <w:r>
        <w:rPr>
          <w:rFonts w:ascii="宋体" w:hAnsi="Calibri" w:cs="宋体" w:hint="eastAsia"/>
          <w:kern w:val="0"/>
          <w:szCs w:val="21"/>
          <w:lang w:val="en-US" w:eastAsia="zh-CN"/>
        </w:rPr>
        <w:t>5</w:t>
      </w:r>
      <w:r>
        <w:rPr>
          <w:rFonts w:ascii="宋体" w:hAnsi="Calibri" w:cs="宋体" w:hint="eastAsia"/>
          <w:kern w:val="0"/>
          <w:szCs w:val="21"/>
          <w:lang w:eastAsia="zh-CN"/>
        </w:rPr>
        <w:t>）</w:t>
      </w:r>
      <w:r>
        <w:rPr>
          <w:rFonts w:ascii="宋体" w:hAnsi="Calibri" w:cs="宋体" w:hint="eastAsia"/>
          <w:kern w:val="0"/>
          <w:szCs w:val="21"/>
        </w:rPr>
        <w:t>信号处理系统；</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rPr>
        <w:t>（</w:t>
      </w:r>
      <w:r>
        <w:rPr>
          <w:rFonts w:ascii="宋体" w:hAnsi="Calibri" w:cs="宋体" w:hint="eastAsia"/>
          <w:kern w:val="0"/>
          <w:szCs w:val="21"/>
          <w:lang w:val="en-US" w:eastAsia="zh-CN"/>
        </w:rPr>
        <w:t>6</w:t>
      </w:r>
      <w:r>
        <w:rPr>
          <w:rFonts w:ascii="宋体" w:hAnsi="Calibri" w:cs="宋体" w:hint="eastAsia"/>
          <w:kern w:val="0"/>
          <w:szCs w:val="21"/>
        </w:rPr>
        <w:t>）显示与控制终端；</w:t>
      </w:r>
    </w:p>
    <w:p>
      <w:pPr>
        <w:autoSpaceDE w:val="0"/>
        <w:autoSpaceDN w:val="0"/>
        <w:adjustRightInd w:val="0"/>
        <w:ind w:firstLine="420"/>
        <w:jc w:val="left"/>
        <w:rPr>
          <w:rFonts w:ascii="宋体" w:eastAsia="宋体" w:hAnsi="Calibri" w:cs="宋体" w:hint="eastAsia"/>
          <w:kern w:val="0"/>
          <w:szCs w:val="21"/>
        </w:rPr>
      </w:pPr>
      <w:r>
        <w:rPr>
          <w:rFonts w:ascii="宋体" w:hAnsi="Calibri" w:cs="宋体" w:hint="eastAsia"/>
          <w:kern w:val="0"/>
          <w:szCs w:val="21"/>
        </w:rPr>
        <w:t>（</w:t>
      </w:r>
      <w:r>
        <w:rPr>
          <w:rFonts w:ascii="宋体" w:hAnsi="Calibri" w:cs="宋体" w:hint="eastAsia"/>
          <w:kern w:val="0"/>
          <w:szCs w:val="21"/>
          <w:lang w:val="en-US" w:eastAsia="zh-CN"/>
        </w:rPr>
        <w:t>7</w:t>
      </w:r>
      <w:r>
        <w:rPr>
          <w:rFonts w:ascii="宋体" w:hAnsi="Calibri" w:cs="宋体" w:hint="eastAsia"/>
          <w:kern w:val="0"/>
          <w:szCs w:val="21"/>
        </w:rPr>
        <w:t>）</w:t>
      </w:r>
      <w:r>
        <w:rPr>
          <w:rFonts w:hint="eastAsia"/>
        </w:rPr>
        <w:t>气象要素传感器</w:t>
      </w:r>
      <w:r>
        <w:rPr>
          <w:rFonts w:hint="eastAsia"/>
          <w:lang w:eastAsia="zh-CN"/>
        </w:rPr>
        <w:t>；</w:t>
      </w:r>
    </w:p>
    <w:p>
      <w:pPr>
        <w:autoSpaceDE w:val="0"/>
        <w:autoSpaceDN w:val="0"/>
        <w:adjustRightInd w:val="0"/>
        <w:ind w:firstLine="420"/>
        <w:jc w:val="left"/>
        <w:rPr>
          <w:rFonts w:hint="eastAsia"/>
        </w:rPr>
      </w:pPr>
      <w:r>
        <w:rPr>
          <w:rFonts w:ascii="宋体" w:hAnsi="Calibri" w:cs="宋体" w:hint="eastAsia"/>
          <w:kern w:val="0"/>
          <w:szCs w:val="21"/>
          <w:lang w:eastAsia="zh-CN"/>
        </w:rPr>
        <w:t>（</w:t>
      </w:r>
      <w:r>
        <w:rPr>
          <w:rFonts w:ascii="宋体" w:hAnsi="Calibri" w:cs="宋体" w:hint="eastAsia"/>
          <w:kern w:val="0"/>
          <w:szCs w:val="21"/>
          <w:lang w:val="en-US" w:eastAsia="zh-CN"/>
        </w:rPr>
        <w:t>8</w:t>
      </w:r>
      <w:r>
        <w:rPr>
          <w:rFonts w:ascii="宋体" w:hAnsi="Calibri" w:cs="宋体" w:hint="eastAsia"/>
          <w:kern w:val="0"/>
          <w:szCs w:val="21"/>
          <w:lang w:eastAsia="zh-CN"/>
        </w:rPr>
        <w:t>）</w:t>
      </w:r>
      <w:r>
        <w:rPr>
          <w:rFonts w:ascii="Times New Roman"/>
          <w:kern w:val="2"/>
          <w:szCs w:val="21"/>
        </w:rPr>
        <w:t>附属设备（供电、防雷、通信、</w:t>
      </w:r>
      <w:bookmarkStart w:id="60" w:name="_Hlk122095934"/>
      <w:r>
        <w:rPr>
          <w:rFonts w:ascii="Times New Roman" w:hint="eastAsia"/>
          <w:kern w:val="2"/>
          <w:szCs w:val="21"/>
        </w:rPr>
        <w:t>指向标定装置</w:t>
      </w:r>
      <w:bookmarkEnd w:id="60"/>
      <w:r>
        <w:rPr>
          <w:rFonts w:ascii="Times New Roman"/>
          <w:kern w:val="2"/>
          <w:szCs w:val="21"/>
        </w:rPr>
        <w:t>）；</w:t>
      </w:r>
    </w:p>
    <w:p>
      <w:pPr>
        <w:autoSpaceDE w:val="0"/>
        <w:autoSpaceDN w:val="0"/>
        <w:adjustRightInd w:val="0"/>
        <w:ind w:firstLine="420"/>
        <w:jc w:val="left"/>
        <w:rPr>
          <w:rFonts w:eastAsia="宋体" w:hint="eastAsia"/>
        </w:rPr>
      </w:pPr>
      <w:r>
        <w:rPr>
          <w:rFonts w:hint="eastAsia"/>
          <w:lang w:eastAsia="zh-CN"/>
        </w:rPr>
        <w:t>（</w:t>
      </w:r>
      <w:r>
        <w:rPr>
          <w:rFonts w:hint="eastAsia"/>
          <w:lang w:val="en-US" w:eastAsia="zh-CN"/>
        </w:rPr>
        <w:t>9</w:t>
      </w:r>
      <w:r>
        <w:rPr>
          <w:rFonts w:hint="eastAsia"/>
          <w:lang w:eastAsia="zh-CN"/>
        </w:rPr>
        <w:t>）</w:t>
      </w:r>
      <w:r>
        <w:rPr>
          <w:rFonts w:hint="eastAsia"/>
        </w:rPr>
        <w:t>配套终端软件</w:t>
      </w:r>
      <w:r>
        <w:rPr>
          <w:rFonts w:hint="eastAsia"/>
          <w:lang w:eastAsia="zh-CN"/>
        </w:rPr>
        <w:t>；</w:t>
      </w:r>
    </w:p>
    <w:p>
      <w:pPr>
        <w:autoSpaceDE w:val="0"/>
        <w:autoSpaceDN w:val="0"/>
        <w:adjustRightInd w:val="0"/>
        <w:ind w:firstLine="420"/>
        <w:jc w:val="left"/>
        <w:rPr>
          <w:rFonts w:ascii="宋体" w:hAnsi="Calibri" w:cs="宋体"/>
          <w:kern w:val="0"/>
          <w:szCs w:val="21"/>
        </w:rPr>
      </w:pPr>
      <w:r>
        <w:rPr>
          <w:rFonts w:ascii="宋体" w:hAnsi="Calibri" w:cs="宋体" w:hint="eastAsia"/>
          <w:kern w:val="0"/>
          <w:szCs w:val="21"/>
        </w:rPr>
        <w:t>上述分系统可以在确保相关硬件无删减的情况下根据实际应用重新进行拆分、组合。</w:t>
      </w:r>
    </w:p>
    <w:p>
      <w:pPr>
        <w:pStyle w:val="Heading2"/>
        <w:numPr>
          <w:ilvl w:val="0"/>
          <w:numId w:val="0"/>
        </w:numPr>
        <w:adjustRightInd w:val="0"/>
        <w:snapToGrid w:val="0"/>
        <w:spacing w:beforeLines="0" w:afterLines="0" w:line="360" w:lineRule="auto"/>
        <w:ind w:left="576" w:hanging="576"/>
        <w:rPr>
          <w:rFonts w:ascii="Times New Roman" w:hAnsi="Times New Roman"/>
          <w:b w:val="0"/>
          <w:bCs w:val="0"/>
          <w:sz w:val="21"/>
          <w:szCs w:val="21"/>
        </w:rPr>
      </w:pPr>
      <w:r>
        <w:rPr>
          <w:rFonts w:ascii="宋体" w:hAnsi="宋体"/>
          <w:b w:val="0"/>
          <w:sz w:val="24"/>
          <w:szCs w:val="24"/>
        </w:rPr>
        <w:t>2</w:t>
      </w:r>
      <w:r>
        <w:rPr>
          <w:rFonts w:ascii="宋体" w:hAnsi="宋体" w:hint="eastAsia"/>
          <w:b w:val="0"/>
          <w:sz w:val="24"/>
          <w:szCs w:val="24"/>
        </w:rPr>
        <w:t>、</w:t>
      </w:r>
      <w:r>
        <w:rPr>
          <w:rFonts w:ascii="Times New Roman" w:eastAsia="黑体" w:hAnsi="Times New Roman"/>
          <w:b w:val="0"/>
          <w:bCs w:val="0"/>
          <w:sz w:val="21"/>
          <w:szCs w:val="21"/>
        </w:rPr>
        <w:t>总体结构</w:t>
      </w:r>
    </w:p>
    <w:p>
      <w:pPr>
        <w:pStyle w:val="a2"/>
        <w:widowControl w:val="0"/>
        <w:tabs>
          <w:tab w:val="center" w:pos="4201"/>
          <w:tab w:val="right" w:leader="dot" w:pos="9298"/>
        </w:tabs>
        <w:adjustRightInd w:val="0"/>
        <w:snapToGrid w:val="0"/>
        <w:spacing w:line="360" w:lineRule="auto"/>
        <w:ind w:firstLine="412"/>
        <w:rPr>
          <w:rFonts w:ascii="Times New Roman"/>
          <w:kern w:val="2"/>
          <w:szCs w:val="21"/>
        </w:rPr>
      </w:pPr>
      <w:bookmarkStart w:id="61" w:name="_Toc396328748"/>
      <w:r>
        <w:rPr>
          <w:rFonts w:ascii="Times New Roman"/>
          <w:kern w:val="2"/>
          <w:szCs w:val="21"/>
        </w:rPr>
        <w:t>测风激光雷达系统应分为本地系统和远程系统两大部分，本地系统包含</w:t>
      </w:r>
      <w:r>
        <w:rPr>
          <w:rFonts w:ascii="Times New Roman" w:hint="eastAsia"/>
          <w:kern w:val="2"/>
          <w:szCs w:val="21"/>
        </w:rPr>
        <w:t>测风</w:t>
      </w:r>
      <w:r>
        <w:rPr>
          <w:rFonts w:ascii="Times New Roman"/>
          <w:kern w:val="2"/>
          <w:szCs w:val="21"/>
        </w:rPr>
        <w:t>激光雷达主机和本地显示、控制终端。远程系统与本地系统采用网络通信进行数据传输和控制，可安装在用户要求的任意场所。总体结构示意图如图1所示，具体的结构根据实际情况可以调整。</w:t>
      </w:r>
      <w:bookmarkEnd w:id="61"/>
    </w:p>
    <w:p>
      <w:pPr>
        <w:adjustRightInd w:val="0"/>
        <w:snapToGrid w:val="0"/>
        <w:spacing w:line="360" w:lineRule="auto"/>
        <w:jc w:val="center"/>
        <w:rPr>
          <w:rFonts w:eastAsia="仿宋"/>
          <w:sz w:val="28"/>
          <w:szCs w:val="28"/>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i1026" type="#_x0000_t75" style="width:372.72pt;height:207.01pt;mso-position-horizontal-relative:page;mso-position-vertical-relative:page;mso-wrap-style:square" o:oleicon="f" o:ole="" o:preferrelative="t" filled="f" stroked="f">
            <v:stroke joinstyle="miter" linestyle="single"/>
            <v:imagedata r:id="rId6" o:title=""/>
            <v:path o:extrusionok="f"/>
            <o:lock v:ext="edit" aspectratio="t"/>
          </v:shape>
          <o:OLEObject Type="Embed" ProgID="Visio.Drawing.15" ShapeID="Object 2" DrawAspect="Content" ObjectID="_1234567890" r:id="rId7"/>
        </w:object>
      </w:r>
    </w:p>
    <w:p>
      <w:pPr>
        <w:adjustRightInd w:val="0"/>
        <w:snapToGrid w:val="0"/>
        <w:spacing w:line="360" w:lineRule="auto"/>
        <w:jc w:val="center"/>
        <w:rPr>
          <w:rFonts w:ascii="黑体" w:eastAsia="黑体" w:hAnsi="黑体"/>
          <w:szCs w:val="21"/>
        </w:rPr>
      </w:pPr>
      <w:r>
        <w:rPr>
          <w:rFonts w:ascii="黑体" w:eastAsia="黑体" w:hAnsi="黑体"/>
          <w:szCs w:val="21"/>
        </w:rPr>
        <w:t>图1测风激光雷达系统结构示意图</w:t>
      </w:r>
    </w:p>
    <w:p>
      <w:pPr>
        <w:numPr>
          <w:ilvl w:val="0"/>
          <w:numId w:val="4"/>
        </w:numPr>
        <w:adjustRightInd w:val="0"/>
        <w:snapToGrid w:val="0"/>
        <w:spacing w:line="360" w:lineRule="auto"/>
        <w:rPr>
          <w:rFonts w:ascii="宋体" w:hAnsi="宋体"/>
          <w:szCs w:val="21"/>
        </w:rPr>
      </w:pPr>
      <w:r>
        <w:rPr>
          <w:rFonts w:ascii="宋体" w:hAnsi="宋体" w:hint="eastAsia"/>
          <w:szCs w:val="21"/>
        </w:rPr>
        <w:t>测风</w:t>
      </w:r>
      <w:r>
        <w:rPr>
          <w:rFonts w:ascii="宋体" w:hAnsi="宋体"/>
          <w:szCs w:val="21"/>
        </w:rPr>
        <w:t>激光雷达具有防雨、防尘、防盐雾、温度控制等功能，其刚度和强度要求能承受强风的袭击，并根据情况配置防雷装置，以保证</w:t>
      </w:r>
      <w:r>
        <w:rPr>
          <w:rFonts w:ascii="宋体" w:hAnsi="宋体" w:hint="eastAsia"/>
          <w:szCs w:val="21"/>
        </w:rPr>
        <w:t>测风</w:t>
      </w:r>
      <w:r>
        <w:rPr>
          <w:rFonts w:ascii="宋体" w:hAnsi="宋体"/>
          <w:szCs w:val="21"/>
        </w:rPr>
        <w:t>激光雷达可以全天候工作；</w:t>
      </w:r>
    </w:p>
    <w:p>
      <w:pPr>
        <w:numPr>
          <w:ilvl w:val="0"/>
          <w:numId w:val="4"/>
        </w:numPr>
        <w:adjustRightInd w:val="0"/>
        <w:snapToGrid w:val="0"/>
        <w:spacing w:line="360" w:lineRule="auto"/>
        <w:rPr>
          <w:rFonts w:ascii="宋体" w:hAnsi="宋体"/>
          <w:szCs w:val="21"/>
        </w:rPr>
      </w:pPr>
      <w:r>
        <w:rPr>
          <w:rFonts w:ascii="宋体" w:hAnsi="宋体" w:hint="eastAsia"/>
          <w:szCs w:val="21"/>
        </w:rPr>
        <w:t>测风</w:t>
      </w:r>
      <w:r>
        <w:rPr>
          <w:rFonts w:ascii="宋体" w:hAnsi="宋体"/>
          <w:szCs w:val="21"/>
        </w:rPr>
        <w:t>激光雷达具有高可靠性，故障率低，维修方便的特性；</w:t>
      </w:r>
      <w:r>
        <w:rPr>
          <w:rFonts w:ascii="宋体" w:hAnsi="宋体"/>
          <w:szCs w:val="21"/>
        </w:rPr>
        <w:tab/>
      </w:r>
    </w:p>
    <w:p>
      <w:pPr>
        <w:numPr>
          <w:ilvl w:val="0"/>
          <w:numId w:val="4"/>
        </w:numPr>
        <w:adjustRightInd w:val="0"/>
        <w:snapToGrid w:val="0"/>
        <w:spacing w:line="360" w:lineRule="auto"/>
        <w:rPr>
          <w:rFonts w:ascii="宋体" w:hAnsi="宋体"/>
          <w:szCs w:val="21"/>
        </w:rPr>
      </w:pPr>
      <w:r>
        <w:rPr>
          <w:rFonts w:ascii="宋体" w:hAnsi="宋体" w:hint="eastAsia"/>
          <w:szCs w:val="21"/>
        </w:rPr>
        <w:t>测风</w:t>
      </w:r>
      <w:r>
        <w:rPr>
          <w:rFonts w:ascii="宋体" w:hAnsi="宋体"/>
          <w:szCs w:val="21"/>
        </w:rPr>
        <w:t>激光雷达具备模块化、标准化、统一化的设计原则，具备完善的在线监测、性能分析等功能；</w:t>
      </w:r>
    </w:p>
    <w:p>
      <w:pPr>
        <w:numPr>
          <w:ilvl w:val="0"/>
          <w:numId w:val="4"/>
        </w:numPr>
        <w:adjustRightInd w:val="0"/>
        <w:snapToGrid w:val="0"/>
        <w:spacing w:line="360" w:lineRule="auto"/>
        <w:rPr>
          <w:rFonts w:ascii="宋体" w:hAnsi="宋体"/>
          <w:szCs w:val="21"/>
        </w:rPr>
      </w:pPr>
      <w:r>
        <w:rPr>
          <w:rFonts w:ascii="宋体" w:hAnsi="宋体" w:hint="eastAsia"/>
          <w:szCs w:val="21"/>
        </w:rPr>
        <w:t>测风</w:t>
      </w:r>
      <w:r>
        <w:rPr>
          <w:rFonts w:ascii="宋体" w:hAnsi="宋体"/>
          <w:szCs w:val="21"/>
        </w:rPr>
        <w:t>激光雷达主机结构应采用一体化设计，架设时可安装在地基观测平台或移动装载平台上。</w:t>
      </w:r>
    </w:p>
    <w:p>
      <w:pPr>
        <w:numPr>
          <w:ilvl w:val="0"/>
          <w:numId w:val="4"/>
        </w:numPr>
        <w:adjustRightInd w:val="0"/>
        <w:snapToGrid w:val="0"/>
        <w:spacing w:line="360" w:lineRule="auto"/>
        <w:rPr>
          <w:rFonts w:ascii="宋体" w:hAnsi="宋体"/>
          <w:szCs w:val="21"/>
        </w:rPr>
      </w:pPr>
      <w:r>
        <w:rPr>
          <w:rFonts w:ascii="宋体" w:hAnsi="宋体" w:hint="eastAsia"/>
          <w:szCs w:val="21"/>
        </w:rPr>
        <w:t>测风</w:t>
      </w:r>
      <w:r>
        <w:rPr>
          <w:rFonts w:ascii="宋体" w:hAnsi="宋体"/>
          <w:szCs w:val="21"/>
        </w:rPr>
        <w:t>激光雷达的可移动装载平台包括但不限于：载车、载船、载机等架设平台，以及可移动箱体内。移动装载平台要求配置定位、测速、测姿系统，可以自动修正移动装载平台自身的速度和姿态信息。</w:t>
      </w:r>
    </w:p>
    <w:p>
      <w:pPr>
        <w:numPr>
          <w:ilvl w:val="0"/>
          <w:numId w:val="4"/>
        </w:numPr>
        <w:adjustRightInd w:val="0"/>
        <w:snapToGrid w:val="0"/>
        <w:spacing w:line="360" w:lineRule="auto"/>
        <w:rPr>
          <w:rFonts w:ascii="宋体" w:hAnsi="宋体"/>
          <w:szCs w:val="21"/>
        </w:rPr>
      </w:pPr>
      <w:r>
        <w:rPr>
          <w:rFonts w:ascii="宋体" w:hAnsi="宋体"/>
          <w:szCs w:val="21"/>
        </w:rPr>
        <w:t>标准配置下</w:t>
      </w:r>
      <w:r>
        <w:rPr>
          <w:rFonts w:ascii="宋体" w:hAnsi="宋体" w:hint="eastAsia"/>
          <w:szCs w:val="21"/>
        </w:rPr>
        <w:t>测风</w:t>
      </w:r>
      <w:r>
        <w:rPr>
          <w:rFonts w:ascii="宋体" w:hAnsi="宋体"/>
          <w:szCs w:val="21"/>
        </w:rPr>
        <w:t>激光雷达只含本地系统，远程系统根据用户需要选配。</w:t>
      </w:r>
    </w:p>
    <w:p>
      <w:pPr>
        <w:numPr>
          <w:ilvl w:val="0"/>
          <w:numId w:val="4"/>
        </w:numPr>
        <w:adjustRightInd w:val="0"/>
        <w:snapToGrid w:val="0"/>
        <w:spacing w:line="360" w:lineRule="auto"/>
        <w:rPr>
          <w:rFonts w:ascii="宋体" w:hAnsi="宋体"/>
          <w:szCs w:val="21"/>
        </w:rPr>
      </w:pPr>
      <w:r>
        <w:rPr>
          <w:rFonts w:ascii="宋体" w:hAnsi="宋体" w:hint="eastAsia"/>
          <w:szCs w:val="21"/>
        </w:rPr>
        <w:t>测风</w:t>
      </w:r>
      <w:r>
        <w:rPr>
          <w:rFonts w:ascii="宋体" w:hAnsi="宋体"/>
          <w:szCs w:val="21"/>
        </w:rPr>
        <w:t>激光雷达应包括数据存储系统。</w:t>
      </w:r>
    </w:p>
    <w:p>
      <w:pPr>
        <w:ind w:firstLine="240" w:firstLineChars="100"/>
        <w:rPr>
          <w:rFonts w:ascii="宋体" w:hAnsi="宋体"/>
          <w:b/>
        </w:rPr>
      </w:pPr>
      <w:r>
        <w:rPr>
          <w:rFonts w:ascii="宋体" w:hAnsi="宋体" w:hint="eastAsia"/>
          <w:b/>
          <w:sz w:val="24"/>
          <w:szCs w:val="24"/>
          <w:lang w:val="en-US" w:eastAsia="zh-CN"/>
        </w:rPr>
        <w:t>3、</w:t>
      </w:r>
      <w:r>
        <w:rPr>
          <w:rFonts w:ascii="宋体" w:hAnsi="宋体" w:hint="eastAsia"/>
          <w:b/>
          <w:sz w:val="24"/>
          <w:szCs w:val="24"/>
        </w:rPr>
        <w:t>技术指标</w:t>
      </w:r>
    </w:p>
    <w:p>
      <w:pPr>
        <w:autoSpaceDE w:val="0"/>
        <w:autoSpaceDN w:val="0"/>
        <w:adjustRightInd w:val="0"/>
        <w:ind w:firstLine="420"/>
        <w:jc w:val="left"/>
        <w:rPr>
          <w:rFonts w:ascii="宋体" w:eastAsia="宋体" w:hAnsi="Calibri" w:cs="宋体" w:hint="eastAsia"/>
          <w:kern w:val="0"/>
          <w:szCs w:val="21"/>
        </w:rPr>
      </w:pPr>
      <w:r>
        <w:rPr>
          <w:rFonts w:ascii="宋体" w:eastAsia="宋体" w:hAnsi="Calibri" w:cs="宋体" w:hint="eastAsia"/>
          <w:kern w:val="0"/>
          <w:szCs w:val="21"/>
        </w:rPr>
        <w:t>（1）总体指标</w:t>
      </w:r>
    </w:p>
    <w:p>
      <w:pPr>
        <w:autoSpaceDE w:val="0"/>
        <w:autoSpaceDN w:val="0"/>
        <w:adjustRightInd w:val="0"/>
        <w:ind w:firstLine="420"/>
        <w:jc w:val="left"/>
        <w:rPr>
          <w:rFonts w:ascii="宋体" w:eastAsia="宋体" w:hAnsi="Calibri" w:cs="宋体" w:hint="eastAsia"/>
          <w:kern w:val="0"/>
          <w:szCs w:val="21"/>
        </w:rPr>
      </w:pPr>
      <w:r>
        <w:rPr>
          <w:rFonts w:ascii="宋体" w:eastAsia="宋体" w:hAnsi="Calibri" w:cs="宋体" w:hint="eastAsia"/>
          <w:kern w:val="0"/>
          <w:szCs w:val="21"/>
        </w:rPr>
        <w:t>测风激光雷达总体性能要求包括：探测空间范围、速度范围、测量准确度、结构要求、供电要求、使用特性等，具体指标见下表。</w:t>
      </w:r>
    </w:p>
    <w:p>
      <w:pPr>
        <w:adjustRightInd w:val="0"/>
        <w:snapToGrid w:val="0"/>
        <w:spacing w:before="156" w:beforeLines="50"/>
        <w:ind w:firstLine="420"/>
        <w:jc w:val="center"/>
        <w:rPr>
          <w:rFonts w:ascii="仿宋_GB2312" w:eastAsia="仿宋_GB2312" w:hint="eastAsia"/>
          <w:bCs/>
          <w:szCs w:val="21"/>
        </w:rPr>
      </w:pPr>
      <w:r>
        <w:rPr>
          <w:rFonts w:ascii="仿宋_GB2312" w:eastAsia="仿宋_GB2312" w:hint="eastAsia"/>
          <w:bCs/>
          <w:szCs w:val="21"/>
        </w:rPr>
        <w:t>总体技术指标</w:t>
      </w:r>
    </w:p>
    <w:tbl>
      <w:tblPr>
        <w:tblStyle w:val="TableNormal"/>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
      <w:tblGrid>
        <w:gridCol w:w="844"/>
        <w:gridCol w:w="994"/>
        <w:gridCol w:w="992"/>
        <w:gridCol w:w="6804"/>
      </w:tblGrid>
      <w:tr>
        <w:tblPrEx>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bCs/>
                <w:sz w:val="18"/>
                <w:szCs w:val="18"/>
              </w:rPr>
            </w:pPr>
            <w:r>
              <w:rPr>
                <w:bCs/>
                <w:sz w:val="18"/>
                <w:szCs w:val="18"/>
              </w:rPr>
              <w:t>项目</w:t>
            </w:r>
          </w:p>
        </w:tc>
        <w:tc>
          <w:tcPr>
            <w:tcW w:w="6804" w:type="dxa"/>
            <w:vAlign w:val="center"/>
          </w:tcPr>
          <w:p>
            <w:pPr>
              <w:adjustRightInd w:val="0"/>
              <w:snapToGrid w:val="0"/>
              <w:jc w:val="center"/>
              <w:rPr>
                <w:bCs/>
                <w:sz w:val="18"/>
                <w:szCs w:val="18"/>
              </w:rPr>
            </w:pPr>
            <w:r>
              <w:rPr>
                <w:bCs/>
                <w:sz w:val="18"/>
                <w:szCs w:val="18"/>
              </w:rPr>
              <w:t>性能指标</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工作波长</w:t>
            </w:r>
          </w:p>
        </w:tc>
        <w:tc>
          <w:tcPr>
            <w:tcW w:w="6804" w:type="dxa"/>
            <w:vAlign w:val="center"/>
          </w:tcPr>
          <w:p>
            <w:pPr>
              <w:adjustRightInd w:val="0"/>
              <w:snapToGrid w:val="0"/>
              <w:jc w:val="left"/>
              <w:rPr>
                <w:sz w:val="18"/>
                <w:szCs w:val="18"/>
              </w:rPr>
            </w:pPr>
            <w:r>
              <w:rPr>
                <w:color w:val="000000"/>
                <w:sz w:val="18"/>
                <w:szCs w:val="18"/>
              </w:rPr>
              <w:t>1064nm～2200nm</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扫描模式</w:t>
            </w:r>
          </w:p>
        </w:tc>
        <w:tc>
          <w:tcPr>
            <w:tcW w:w="6804" w:type="dxa"/>
            <w:vAlign w:val="center"/>
          </w:tcPr>
          <w:p>
            <w:pPr>
              <w:adjustRightInd w:val="0"/>
              <w:snapToGrid w:val="0"/>
              <w:ind w:firstLine="0" w:firstLineChars="0"/>
              <w:rPr>
                <w:color w:val="000000"/>
                <w:sz w:val="18"/>
                <w:szCs w:val="18"/>
              </w:rPr>
            </w:pPr>
            <w:r>
              <w:rPr>
                <w:rFonts w:hint="eastAsia"/>
                <w:sz w:val="18"/>
                <w:szCs w:val="18"/>
                <w:lang w:val="en-US" w:eastAsia="zh-CN"/>
              </w:rPr>
              <w:t>#DBS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restart"/>
            <w:vAlign w:val="center"/>
          </w:tcPr>
          <w:p>
            <w:pPr>
              <w:adjustRightInd w:val="0"/>
              <w:snapToGrid w:val="0"/>
              <w:jc w:val="center"/>
              <w:rPr>
                <w:sz w:val="18"/>
                <w:szCs w:val="18"/>
              </w:rPr>
            </w:pPr>
            <w:r>
              <w:rPr>
                <w:sz w:val="18"/>
                <w:szCs w:val="18"/>
              </w:rPr>
              <w:t>天线</w:t>
            </w:r>
          </w:p>
          <w:p>
            <w:pPr>
              <w:adjustRightInd w:val="0"/>
              <w:snapToGrid w:val="0"/>
              <w:jc w:val="center"/>
              <w:rPr>
                <w:sz w:val="18"/>
                <w:szCs w:val="18"/>
              </w:rPr>
            </w:pPr>
            <w:r>
              <w:rPr>
                <w:sz w:val="18"/>
                <w:szCs w:val="18"/>
              </w:rPr>
              <w:t>扫描范围</w:t>
            </w:r>
          </w:p>
        </w:tc>
        <w:tc>
          <w:tcPr>
            <w:tcW w:w="992" w:type="dxa"/>
            <w:vAlign w:val="center"/>
          </w:tcPr>
          <w:p>
            <w:pPr>
              <w:adjustRightInd w:val="0"/>
              <w:snapToGrid w:val="0"/>
              <w:jc w:val="center"/>
              <w:rPr>
                <w:sz w:val="18"/>
                <w:szCs w:val="18"/>
              </w:rPr>
            </w:pPr>
            <w:r>
              <w:rPr>
                <w:sz w:val="18"/>
                <w:szCs w:val="18"/>
              </w:rPr>
              <w:t>方位</w:t>
            </w:r>
          </w:p>
        </w:tc>
        <w:tc>
          <w:tcPr>
            <w:tcW w:w="6804" w:type="dxa"/>
            <w:vAlign w:val="center"/>
          </w:tcPr>
          <w:p>
            <w:pPr>
              <w:adjustRightInd w:val="0"/>
              <w:snapToGrid w:val="0"/>
              <w:jc w:val="left"/>
              <w:rPr>
                <w:sz w:val="18"/>
                <w:szCs w:val="18"/>
              </w:rPr>
            </w:pPr>
            <w:r>
              <w:rPr>
                <w:sz w:val="18"/>
                <w:szCs w:val="18"/>
              </w:rPr>
              <w:t>0～360°</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ign w:val="center"/>
          </w:tcPr>
          <w:p>
            <w:pPr>
              <w:adjustRightInd w:val="0"/>
              <w:snapToGrid w:val="0"/>
              <w:jc w:val="center"/>
              <w:rPr>
                <w:sz w:val="18"/>
                <w:szCs w:val="18"/>
              </w:rPr>
            </w:pPr>
          </w:p>
        </w:tc>
        <w:tc>
          <w:tcPr>
            <w:tcW w:w="992" w:type="dxa"/>
            <w:vAlign w:val="center"/>
          </w:tcPr>
          <w:p>
            <w:pPr>
              <w:adjustRightInd w:val="0"/>
              <w:snapToGrid w:val="0"/>
              <w:jc w:val="center"/>
              <w:rPr>
                <w:sz w:val="18"/>
                <w:szCs w:val="18"/>
              </w:rPr>
            </w:pPr>
            <w:r>
              <w:rPr>
                <w:sz w:val="18"/>
                <w:szCs w:val="18"/>
              </w:rPr>
              <w:t>俯仰</w:t>
            </w:r>
          </w:p>
        </w:tc>
        <w:tc>
          <w:tcPr>
            <w:tcW w:w="6804" w:type="dxa"/>
            <w:vAlign w:val="center"/>
          </w:tcPr>
          <w:p>
            <w:pPr>
              <w:adjustRightInd w:val="0"/>
              <w:snapToGrid w:val="0"/>
              <w:jc w:val="center"/>
              <w:rPr>
                <w:sz w:val="18"/>
                <w:szCs w:val="18"/>
              </w:rPr>
            </w:pPr>
            <w:r>
              <w:rPr>
                <w:sz w:val="18"/>
                <w:szCs w:val="18"/>
              </w:rPr>
              <w:t>–2～+90°（仅对具有三维扫描功能的设备）</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最大作用距离</w:t>
            </w:r>
          </w:p>
          <w:p>
            <w:pPr>
              <w:adjustRightInd w:val="0"/>
              <w:snapToGrid w:val="0"/>
              <w:jc w:val="center"/>
              <w:rPr>
                <w:sz w:val="18"/>
                <w:szCs w:val="18"/>
              </w:rPr>
            </w:pPr>
            <w:r>
              <w:rPr>
                <w:sz w:val="18"/>
                <w:szCs w:val="18"/>
              </w:rPr>
              <w:t>（探测能力大于60%）</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垂直应不小于3km；</w:t>
            </w:r>
          </w:p>
          <w:p>
            <w:pPr>
              <w:adjustRightInd w:val="0"/>
              <w:snapToGrid w:val="0"/>
              <w:jc w:val="left"/>
              <w:rPr>
                <w:sz w:val="18"/>
                <w:szCs w:val="18"/>
              </w:rPr>
            </w:pP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最小作用距离（盲区）</w:t>
            </w:r>
          </w:p>
        </w:tc>
        <w:tc>
          <w:tcPr>
            <w:tcW w:w="6804" w:type="dxa"/>
            <w:vAlign w:val="center"/>
          </w:tcPr>
          <w:p>
            <w:pPr>
              <w:adjustRightInd w:val="0"/>
              <w:snapToGrid w:val="0"/>
              <w:rPr>
                <w:sz w:val="18"/>
                <w:szCs w:val="18"/>
              </w:rPr>
            </w:pPr>
            <w:r>
              <w:rPr>
                <w:rFonts w:hint="eastAsia"/>
                <w:sz w:val="18"/>
                <w:szCs w:val="18"/>
                <w:lang w:val="en-US" w:eastAsia="zh-CN"/>
              </w:rPr>
              <w:t>#</w:t>
            </w:r>
            <w:r>
              <w:rPr>
                <w:sz w:val="18"/>
                <w:szCs w:val="18"/>
              </w:rPr>
              <w:t>≤60m</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最大采集距离</w:t>
            </w:r>
          </w:p>
        </w:tc>
        <w:tc>
          <w:tcPr>
            <w:tcW w:w="6804" w:type="dxa"/>
            <w:vAlign w:val="center"/>
          </w:tcPr>
          <w:p>
            <w:pPr>
              <w:adjustRightInd w:val="0"/>
              <w:snapToGrid w:val="0"/>
              <w:rPr>
                <w:sz w:val="18"/>
                <w:szCs w:val="18"/>
              </w:rPr>
            </w:pPr>
            <w:r>
              <w:rPr>
                <w:rFonts w:hint="eastAsia"/>
                <w:sz w:val="18"/>
                <w:szCs w:val="18"/>
                <w:lang w:val="en-US" w:eastAsia="zh-CN"/>
              </w:rPr>
              <w:t>#</w:t>
            </w:r>
            <w:r>
              <w:rPr>
                <w:sz w:val="18"/>
                <w:szCs w:val="18"/>
              </w:rPr>
              <w:t>≥10km</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restart"/>
            <w:vAlign w:val="center"/>
          </w:tcPr>
          <w:p>
            <w:pPr>
              <w:adjustRightInd w:val="0"/>
              <w:snapToGrid w:val="0"/>
              <w:jc w:val="center"/>
              <w:rPr>
                <w:sz w:val="18"/>
                <w:szCs w:val="18"/>
              </w:rPr>
            </w:pPr>
            <w:r>
              <w:rPr>
                <w:sz w:val="18"/>
                <w:szCs w:val="18"/>
              </w:rPr>
              <w:t>空间分辨率</w:t>
            </w:r>
          </w:p>
        </w:tc>
        <w:tc>
          <w:tcPr>
            <w:tcW w:w="992" w:type="dxa"/>
            <w:vAlign w:val="center"/>
          </w:tcPr>
          <w:p>
            <w:pPr>
              <w:adjustRightInd w:val="0"/>
              <w:snapToGrid w:val="0"/>
              <w:jc w:val="center"/>
              <w:rPr>
                <w:sz w:val="18"/>
                <w:szCs w:val="18"/>
              </w:rPr>
            </w:pPr>
            <w:r>
              <w:rPr>
                <w:sz w:val="18"/>
                <w:szCs w:val="18"/>
              </w:rPr>
              <w:t>距离</w:t>
            </w:r>
          </w:p>
        </w:tc>
        <w:tc>
          <w:tcPr>
            <w:tcW w:w="6804" w:type="dxa"/>
            <w:vAlign w:val="center"/>
          </w:tcPr>
          <w:p>
            <w:pPr>
              <w:adjustRightInd w:val="0"/>
              <w:snapToGrid w:val="0"/>
              <w:rPr>
                <w:sz w:val="18"/>
                <w:szCs w:val="18"/>
              </w:rPr>
            </w:pPr>
            <w:r>
              <w:rPr>
                <w:sz w:val="18"/>
                <w:szCs w:val="18"/>
              </w:rPr>
              <w:t>4.5-120m（可选）</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ign w:val="center"/>
          </w:tcPr>
          <w:p>
            <w:pPr>
              <w:adjustRightInd w:val="0"/>
              <w:snapToGrid w:val="0"/>
              <w:jc w:val="center"/>
              <w:rPr>
                <w:sz w:val="18"/>
                <w:szCs w:val="18"/>
              </w:rPr>
            </w:pPr>
          </w:p>
        </w:tc>
        <w:tc>
          <w:tcPr>
            <w:tcW w:w="992" w:type="dxa"/>
            <w:vAlign w:val="center"/>
          </w:tcPr>
          <w:p>
            <w:pPr>
              <w:adjustRightInd w:val="0"/>
              <w:snapToGrid w:val="0"/>
              <w:jc w:val="center"/>
              <w:rPr>
                <w:sz w:val="18"/>
                <w:szCs w:val="18"/>
              </w:rPr>
            </w:pPr>
            <w:r>
              <w:rPr>
                <w:sz w:val="18"/>
                <w:szCs w:val="18"/>
              </w:rPr>
              <w:t>角度</w:t>
            </w:r>
          </w:p>
        </w:tc>
        <w:tc>
          <w:tcPr>
            <w:tcW w:w="6804" w:type="dxa"/>
            <w:vAlign w:val="center"/>
          </w:tcPr>
          <w:p>
            <w:pPr>
              <w:adjustRightInd w:val="0"/>
              <w:snapToGrid w:val="0"/>
              <w:rPr>
                <w:sz w:val="18"/>
                <w:szCs w:val="18"/>
              </w:rPr>
            </w:pPr>
            <w:r>
              <w:rPr>
                <w:rFonts w:hint="eastAsia"/>
                <w:sz w:val="18"/>
                <w:szCs w:val="18"/>
                <w:lang w:val="en-US" w:eastAsia="zh-CN"/>
              </w:rPr>
              <w:t>#</w:t>
            </w:r>
            <w:r>
              <w:rPr>
                <w:sz w:val="18"/>
                <w:szCs w:val="18"/>
              </w:rPr>
              <w:t>≤0.5°</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Align w:val="center"/>
          </w:tcPr>
          <w:p>
            <w:pPr>
              <w:adjustRightInd w:val="0"/>
              <w:snapToGrid w:val="0"/>
              <w:jc w:val="center"/>
              <w:rPr>
                <w:sz w:val="18"/>
                <w:szCs w:val="18"/>
              </w:rPr>
            </w:pPr>
            <w:r>
              <w:rPr>
                <w:sz w:val="18"/>
                <w:szCs w:val="18"/>
              </w:rPr>
              <w:t>时间分辨率</w:t>
            </w:r>
          </w:p>
        </w:tc>
        <w:tc>
          <w:tcPr>
            <w:tcW w:w="992" w:type="dxa"/>
            <w:vAlign w:val="center"/>
          </w:tcPr>
          <w:p>
            <w:pPr>
              <w:adjustRightInd w:val="0"/>
              <w:snapToGrid w:val="0"/>
              <w:ind w:firstLine="0" w:firstLineChars="0"/>
              <w:jc w:val="both"/>
              <w:rPr>
                <w:sz w:val="18"/>
                <w:szCs w:val="18"/>
              </w:rPr>
            </w:pPr>
            <w:r>
              <w:rPr>
                <w:sz w:val="18"/>
                <w:szCs w:val="18"/>
              </w:rPr>
              <w:t>风廓线</w:t>
            </w:r>
          </w:p>
        </w:tc>
        <w:tc>
          <w:tcPr>
            <w:tcW w:w="6804" w:type="dxa"/>
            <w:vAlign w:val="center"/>
          </w:tcPr>
          <w:p>
            <w:pPr>
              <w:adjustRightInd w:val="0"/>
              <w:snapToGrid w:val="0"/>
              <w:rPr>
                <w:sz w:val="18"/>
                <w:szCs w:val="18"/>
              </w:rPr>
            </w:pPr>
            <w:r>
              <w:rPr>
                <w:rFonts w:hint="eastAsia"/>
                <w:sz w:val="18"/>
                <w:szCs w:val="18"/>
                <w:lang w:val="en-US" w:eastAsia="zh-CN"/>
              </w:rPr>
              <w:t>#</w:t>
            </w:r>
            <w:r>
              <w:rPr>
                <w:sz w:val="18"/>
                <w:szCs w:val="18"/>
              </w:rPr>
              <w:t>≤1min</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restart"/>
            <w:vAlign w:val="center"/>
          </w:tcPr>
          <w:p>
            <w:pPr>
              <w:adjustRightInd w:val="0"/>
              <w:snapToGrid w:val="0"/>
              <w:jc w:val="center"/>
              <w:rPr>
                <w:sz w:val="18"/>
                <w:szCs w:val="18"/>
              </w:rPr>
            </w:pPr>
            <w:r>
              <w:rPr>
                <w:sz w:val="18"/>
                <w:szCs w:val="18"/>
              </w:rPr>
              <w:t>扫描速度</w:t>
            </w:r>
          </w:p>
        </w:tc>
        <w:tc>
          <w:tcPr>
            <w:tcW w:w="992" w:type="dxa"/>
            <w:vAlign w:val="center"/>
          </w:tcPr>
          <w:p>
            <w:pPr>
              <w:adjustRightInd w:val="0"/>
              <w:snapToGrid w:val="0"/>
              <w:jc w:val="center"/>
              <w:rPr>
                <w:sz w:val="18"/>
                <w:szCs w:val="18"/>
              </w:rPr>
            </w:pPr>
            <w:r>
              <w:rPr>
                <w:sz w:val="18"/>
                <w:szCs w:val="18"/>
              </w:rPr>
              <w:t>方位</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扫描速度≥20°/s（可调）</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ign w:val="center"/>
          </w:tcPr>
          <w:p>
            <w:pPr>
              <w:adjustRightInd w:val="0"/>
              <w:snapToGrid w:val="0"/>
              <w:jc w:val="center"/>
              <w:rPr>
                <w:sz w:val="18"/>
                <w:szCs w:val="18"/>
              </w:rPr>
            </w:pPr>
          </w:p>
        </w:tc>
        <w:tc>
          <w:tcPr>
            <w:tcW w:w="992" w:type="dxa"/>
            <w:vAlign w:val="center"/>
          </w:tcPr>
          <w:p>
            <w:pPr>
              <w:adjustRightInd w:val="0"/>
              <w:snapToGrid w:val="0"/>
              <w:jc w:val="center"/>
              <w:rPr>
                <w:sz w:val="18"/>
                <w:szCs w:val="18"/>
              </w:rPr>
            </w:pPr>
            <w:r>
              <w:rPr>
                <w:sz w:val="18"/>
                <w:szCs w:val="18"/>
              </w:rPr>
              <w:t>俯仰</w:t>
            </w:r>
          </w:p>
        </w:tc>
        <w:tc>
          <w:tcPr>
            <w:tcW w:w="6804" w:type="dxa"/>
            <w:vAlign w:val="center"/>
          </w:tcPr>
          <w:p>
            <w:pPr>
              <w:adjustRightInd w:val="0"/>
              <w:snapToGrid w:val="0"/>
              <w:jc w:val="both"/>
              <w:rPr>
                <w:sz w:val="18"/>
                <w:szCs w:val="18"/>
              </w:rPr>
            </w:pPr>
            <w:r>
              <w:rPr>
                <w:sz w:val="18"/>
                <w:szCs w:val="18"/>
              </w:rPr>
              <w:t>扫描速度≥12°/s（可调）</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指向精度</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≤0.1°</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径向风速测量范围</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–50～+50 m/s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径向风速测量误差</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≤0.1m/s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径向风速分辨率</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≤0.01 m/s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水平风速测量范围</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≥50m/s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水平风速测量误差</w:t>
            </w:r>
          </w:p>
          <w:p>
            <w:pPr>
              <w:adjustRightInd w:val="0"/>
              <w:snapToGrid w:val="0"/>
              <w:jc w:val="center"/>
              <w:rPr>
                <w:sz w:val="18"/>
                <w:szCs w:val="18"/>
              </w:rPr>
            </w:pPr>
            <w:r>
              <w:rPr>
                <w:sz w:val="18"/>
                <w:szCs w:val="18"/>
              </w:rPr>
              <w:t>（均方误差）</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≤0.8m/s（垂直高度3km以下）</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水平风速分辨率</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≤0.1 m/s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垂直气流测量范围</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-20～20 m/s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垂直气流测量精度</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≤0.3m/s</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风向测量范围</w:t>
            </w:r>
          </w:p>
        </w:tc>
        <w:tc>
          <w:tcPr>
            <w:tcW w:w="6804" w:type="dxa"/>
            <w:vAlign w:val="center"/>
          </w:tcPr>
          <w:p>
            <w:pPr>
              <w:adjustRightInd w:val="0"/>
              <w:snapToGrid w:val="0"/>
              <w:jc w:val="left"/>
              <w:rPr>
                <w:sz w:val="18"/>
                <w:szCs w:val="18"/>
              </w:rPr>
            </w:pPr>
            <w:r>
              <w:rPr>
                <w:rFonts w:hint="eastAsia"/>
                <w:sz w:val="18"/>
                <w:szCs w:val="18"/>
                <w:lang w:val="en-US" w:eastAsia="zh-CN"/>
              </w:rPr>
              <w:t>#</w:t>
            </w:r>
            <w:r>
              <w:rPr>
                <w:sz w:val="18"/>
                <w:szCs w:val="18"/>
              </w:rPr>
              <w:t>0～360°</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风向分辨率</w:t>
            </w:r>
          </w:p>
        </w:tc>
        <w:tc>
          <w:tcPr>
            <w:tcW w:w="6804" w:type="dxa"/>
            <w:vAlign w:val="center"/>
          </w:tcPr>
          <w:p>
            <w:pPr>
              <w:adjustRightInd w:val="0"/>
              <w:snapToGrid w:val="0"/>
              <w:jc w:val="left"/>
              <w:rPr>
                <w:sz w:val="18"/>
                <w:szCs w:val="18"/>
              </w:rPr>
            </w:pPr>
            <w:r>
              <w:rPr>
                <w:sz w:val="18"/>
                <w:szCs w:val="18"/>
              </w:rPr>
              <w:t>≤0.1°</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水平风向测量误差</w:t>
            </w:r>
          </w:p>
          <w:p>
            <w:pPr>
              <w:adjustRightInd w:val="0"/>
              <w:snapToGrid w:val="0"/>
              <w:jc w:val="center"/>
              <w:rPr>
                <w:sz w:val="18"/>
                <w:szCs w:val="18"/>
              </w:rPr>
            </w:pPr>
            <w:r>
              <w:rPr>
                <w:sz w:val="18"/>
                <w:szCs w:val="18"/>
              </w:rPr>
              <w:t>（均方根误差）</w:t>
            </w:r>
          </w:p>
        </w:tc>
        <w:tc>
          <w:tcPr>
            <w:tcW w:w="6804" w:type="dxa"/>
            <w:vAlign w:val="center"/>
          </w:tcPr>
          <w:p>
            <w:pPr>
              <w:adjustRightInd w:val="0"/>
              <w:snapToGrid w:val="0"/>
              <w:jc w:val="left"/>
              <w:rPr>
                <w:sz w:val="18"/>
                <w:szCs w:val="18"/>
              </w:rPr>
            </w:pPr>
            <w:r>
              <w:rPr>
                <w:sz w:val="18"/>
                <w:szCs w:val="18"/>
              </w:rPr>
              <w:t>≤8°</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数据产品</w:t>
            </w:r>
          </w:p>
        </w:tc>
        <w:tc>
          <w:tcPr>
            <w:tcW w:w="6804" w:type="dxa"/>
            <w:vAlign w:val="center"/>
          </w:tcPr>
          <w:p>
            <w:pPr>
              <w:pStyle w:val="CommentText"/>
              <w:adjustRightInd w:val="0"/>
              <w:snapToGrid w:val="0"/>
              <w:rPr>
                <w:sz w:val="18"/>
                <w:szCs w:val="18"/>
              </w:rPr>
            </w:pPr>
            <w:bookmarkStart w:id="62" w:name="_Hlk120746008"/>
            <w:r>
              <w:rPr>
                <w:rFonts w:hint="eastAsia"/>
                <w:sz w:val="18"/>
                <w:szCs w:val="18"/>
                <w:lang w:val="en-US" w:eastAsia="zh-CN"/>
              </w:rPr>
              <w:t>#</w:t>
            </w:r>
            <w:r>
              <w:rPr>
                <w:kern w:val="0"/>
                <w:sz w:val="18"/>
                <w:szCs w:val="18"/>
              </w:rPr>
              <w:t>径向速度、谱宽、谱强、信噪比、水平风速、风向、垂直气流等</w:t>
            </w:r>
            <w:bookmarkEnd w:id="62"/>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color w:val="000000"/>
                <w:sz w:val="18"/>
                <w:szCs w:val="18"/>
              </w:rPr>
            </w:pPr>
            <w:r>
              <w:rPr>
                <w:color w:val="000000"/>
                <w:sz w:val="18"/>
                <w:szCs w:val="18"/>
              </w:rPr>
              <w:t>重量</w:t>
            </w:r>
          </w:p>
        </w:tc>
        <w:tc>
          <w:tcPr>
            <w:tcW w:w="6804" w:type="dxa"/>
            <w:vAlign w:val="center"/>
          </w:tcPr>
          <w:p>
            <w:pPr>
              <w:adjustRightInd w:val="0"/>
              <w:snapToGrid w:val="0"/>
              <w:jc w:val="left"/>
              <w:rPr>
                <w:color w:val="000000"/>
                <w:sz w:val="18"/>
                <w:szCs w:val="18"/>
              </w:rPr>
            </w:pPr>
            <w:r>
              <w:rPr>
                <w:color w:val="000000"/>
                <w:sz w:val="18"/>
                <w:szCs w:val="18"/>
              </w:rPr>
              <w:t>≤250kg（</w:t>
            </w:r>
            <w:r>
              <w:rPr>
                <w:sz w:val="18"/>
                <w:szCs w:val="18"/>
              </w:rPr>
              <w:t>不包括方舱</w:t>
            </w:r>
            <w:r>
              <w:rPr>
                <w:color w:val="000000"/>
                <w:sz w:val="18"/>
                <w:szCs w:val="18"/>
              </w:rPr>
              <w:t>）</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844" w:type="dxa"/>
            <w:vMerge w:val="restart"/>
            <w:vAlign w:val="center"/>
          </w:tcPr>
          <w:p>
            <w:pPr>
              <w:adjustRightInd w:val="0"/>
              <w:snapToGrid w:val="0"/>
              <w:ind w:firstLine="0" w:firstLineChars="0"/>
              <w:jc w:val="left"/>
              <w:rPr>
                <w:sz w:val="18"/>
                <w:szCs w:val="18"/>
              </w:rPr>
            </w:pPr>
            <w:r>
              <w:rPr>
                <w:sz w:val="18"/>
                <w:szCs w:val="18"/>
              </w:rPr>
              <w:t>环境要求</w:t>
            </w:r>
          </w:p>
        </w:tc>
        <w:tc>
          <w:tcPr>
            <w:tcW w:w="1986" w:type="dxa"/>
            <w:gridSpan w:val="2"/>
            <w:vAlign w:val="center"/>
          </w:tcPr>
          <w:p>
            <w:pPr>
              <w:adjustRightInd w:val="0"/>
              <w:snapToGrid w:val="0"/>
              <w:jc w:val="left"/>
              <w:rPr>
                <w:sz w:val="18"/>
                <w:szCs w:val="18"/>
              </w:rPr>
            </w:pPr>
            <w:r>
              <w:rPr>
                <w:sz w:val="18"/>
                <w:szCs w:val="18"/>
              </w:rPr>
              <w:t>工作温度</w:t>
            </w:r>
          </w:p>
        </w:tc>
        <w:tc>
          <w:tcPr>
            <w:tcW w:w="6804" w:type="dxa"/>
            <w:vAlign w:val="center"/>
          </w:tcPr>
          <w:p>
            <w:pPr>
              <w:adjustRightInd w:val="0"/>
              <w:snapToGrid w:val="0"/>
              <w:jc w:val="left"/>
              <w:rPr>
                <w:sz w:val="18"/>
                <w:szCs w:val="18"/>
              </w:rPr>
            </w:pPr>
            <w:r>
              <w:rPr>
                <w:sz w:val="18"/>
                <w:szCs w:val="18"/>
              </w:rPr>
              <w:t>室外装置：–40℃～+</w:t>
            </w:r>
            <w:r>
              <w:rPr>
                <w:rFonts w:hint="eastAsia"/>
                <w:sz w:val="18"/>
                <w:szCs w:val="18"/>
                <w:lang w:val="en-US" w:eastAsia="zh-CN"/>
              </w:rPr>
              <w:t>6</w:t>
            </w:r>
            <w:r>
              <w:rPr>
                <w:sz w:val="18"/>
                <w:szCs w:val="18"/>
              </w:rPr>
              <w:t>0℃，室内装置：+10℃～+30℃</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844" w:type="dxa"/>
            <w:vMerge/>
            <w:vAlign w:val="center"/>
          </w:tcPr>
          <w:p>
            <w:pPr>
              <w:adjustRightInd w:val="0"/>
              <w:snapToGrid w:val="0"/>
              <w:jc w:val="left"/>
              <w:rPr>
                <w:sz w:val="18"/>
                <w:szCs w:val="18"/>
              </w:rPr>
            </w:pPr>
          </w:p>
        </w:tc>
        <w:tc>
          <w:tcPr>
            <w:tcW w:w="1986" w:type="dxa"/>
            <w:gridSpan w:val="2"/>
            <w:vAlign w:val="center"/>
          </w:tcPr>
          <w:p>
            <w:pPr>
              <w:adjustRightInd w:val="0"/>
              <w:snapToGrid w:val="0"/>
              <w:jc w:val="left"/>
              <w:rPr>
                <w:sz w:val="18"/>
                <w:szCs w:val="18"/>
              </w:rPr>
            </w:pPr>
            <w:r>
              <w:rPr>
                <w:sz w:val="18"/>
                <w:szCs w:val="18"/>
              </w:rPr>
              <w:t>贮存温度</w:t>
            </w:r>
          </w:p>
        </w:tc>
        <w:tc>
          <w:tcPr>
            <w:tcW w:w="6804" w:type="dxa"/>
            <w:vAlign w:val="center"/>
          </w:tcPr>
          <w:p>
            <w:pPr>
              <w:adjustRightInd w:val="0"/>
              <w:snapToGrid w:val="0"/>
              <w:jc w:val="left"/>
              <w:rPr>
                <w:sz w:val="18"/>
                <w:szCs w:val="18"/>
              </w:rPr>
            </w:pPr>
            <w:r>
              <w:rPr>
                <w:sz w:val="18"/>
                <w:szCs w:val="18"/>
              </w:rPr>
              <w:t>室外装置：–40℃～+60℃，室内装置：5℃～+60℃</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844" w:type="dxa"/>
            <w:vMerge/>
            <w:vAlign w:val="center"/>
          </w:tcPr>
          <w:p>
            <w:pPr>
              <w:adjustRightInd w:val="0"/>
              <w:snapToGrid w:val="0"/>
              <w:jc w:val="left"/>
              <w:rPr>
                <w:sz w:val="18"/>
                <w:szCs w:val="18"/>
              </w:rPr>
            </w:pPr>
          </w:p>
        </w:tc>
        <w:tc>
          <w:tcPr>
            <w:tcW w:w="1986" w:type="dxa"/>
            <w:gridSpan w:val="2"/>
            <w:vAlign w:val="center"/>
          </w:tcPr>
          <w:p>
            <w:pPr>
              <w:adjustRightInd w:val="0"/>
              <w:snapToGrid w:val="0"/>
              <w:jc w:val="left"/>
              <w:rPr>
                <w:sz w:val="18"/>
                <w:szCs w:val="18"/>
              </w:rPr>
            </w:pPr>
            <w:r>
              <w:rPr>
                <w:sz w:val="18"/>
                <w:szCs w:val="18"/>
              </w:rPr>
              <w:t>最大湿度</w:t>
            </w:r>
          </w:p>
        </w:tc>
        <w:tc>
          <w:tcPr>
            <w:tcW w:w="6804" w:type="dxa"/>
            <w:vAlign w:val="center"/>
          </w:tcPr>
          <w:p>
            <w:pPr>
              <w:adjustRightInd w:val="0"/>
              <w:snapToGrid w:val="0"/>
              <w:jc w:val="left"/>
              <w:rPr>
                <w:sz w:val="18"/>
                <w:szCs w:val="18"/>
              </w:rPr>
            </w:pPr>
            <w:r>
              <w:rPr>
                <w:sz w:val="18"/>
                <w:szCs w:val="18"/>
              </w:rPr>
              <w:t>室外装置：≥95%（+35℃），室内装置：≥90%（+30℃）</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844" w:type="dxa"/>
            <w:vMerge/>
            <w:vAlign w:val="center"/>
          </w:tcPr>
          <w:p>
            <w:pPr>
              <w:adjustRightInd w:val="0"/>
              <w:snapToGrid w:val="0"/>
              <w:jc w:val="left"/>
              <w:rPr>
                <w:sz w:val="18"/>
                <w:szCs w:val="18"/>
              </w:rPr>
            </w:pPr>
          </w:p>
        </w:tc>
        <w:tc>
          <w:tcPr>
            <w:tcW w:w="1986" w:type="dxa"/>
            <w:gridSpan w:val="2"/>
            <w:vAlign w:val="center"/>
          </w:tcPr>
          <w:p>
            <w:pPr>
              <w:adjustRightInd w:val="0"/>
              <w:snapToGrid w:val="0"/>
              <w:jc w:val="left"/>
              <w:rPr>
                <w:sz w:val="18"/>
                <w:szCs w:val="18"/>
              </w:rPr>
            </w:pPr>
            <w:r>
              <w:rPr>
                <w:sz w:val="18"/>
                <w:szCs w:val="18"/>
              </w:rPr>
              <w:t>工作高度</w:t>
            </w:r>
          </w:p>
        </w:tc>
        <w:tc>
          <w:tcPr>
            <w:tcW w:w="6804" w:type="dxa"/>
            <w:vAlign w:val="center"/>
          </w:tcPr>
          <w:p>
            <w:pPr>
              <w:adjustRightInd w:val="0"/>
              <w:snapToGrid w:val="0"/>
              <w:jc w:val="left"/>
              <w:rPr>
                <w:sz w:val="18"/>
                <w:szCs w:val="18"/>
              </w:rPr>
            </w:pPr>
            <w:r>
              <w:rPr>
                <w:sz w:val="18"/>
                <w:szCs w:val="18"/>
              </w:rPr>
              <w:t>海拔高度：≤3000m</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844" w:type="dxa"/>
            <w:vMerge/>
            <w:vAlign w:val="center"/>
          </w:tcPr>
          <w:p>
            <w:pPr>
              <w:adjustRightInd w:val="0"/>
              <w:snapToGrid w:val="0"/>
              <w:jc w:val="left"/>
              <w:rPr>
                <w:sz w:val="18"/>
                <w:szCs w:val="18"/>
              </w:rPr>
            </w:pPr>
          </w:p>
        </w:tc>
        <w:tc>
          <w:tcPr>
            <w:tcW w:w="1986" w:type="dxa"/>
            <w:gridSpan w:val="2"/>
            <w:vAlign w:val="center"/>
          </w:tcPr>
          <w:p>
            <w:pPr>
              <w:adjustRightInd w:val="0"/>
              <w:snapToGrid w:val="0"/>
              <w:jc w:val="left"/>
              <w:rPr>
                <w:sz w:val="18"/>
                <w:szCs w:val="18"/>
              </w:rPr>
            </w:pPr>
            <w:r>
              <w:rPr>
                <w:sz w:val="18"/>
                <w:szCs w:val="18"/>
              </w:rPr>
              <w:t>冲击、振动、淋雨</w:t>
            </w:r>
          </w:p>
        </w:tc>
        <w:tc>
          <w:tcPr>
            <w:tcW w:w="6804" w:type="dxa"/>
            <w:vAlign w:val="center"/>
          </w:tcPr>
          <w:p>
            <w:pPr>
              <w:adjustRightInd w:val="0"/>
              <w:snapToGrid w:val="0"/>
              <w:jc w:val="left"/>
              <w:rPr>
                <w:sz w:val="18"/>
                <w:szCs w:val="18"/>
              </w:rPr>
            </w:pPr>
            <w:r>
              <w:rPr>
                <w:sz w:val="18"/>
                <w:szCs w:val="18"/>
              </w:rPr>
              <w:t>符合国家有关部门规定，且满足野外运输要求。</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844" w:type="dxa"/>
            <w:vMerge/>
            <w:vAlign w:val="center"/>
          </w:tcPr>
          <w:p>
            <w:pPr>
              <w:adjustRightInd w:val="0"/>
              <w:snapToGrid w:val="0"/>
              <w:jc w:val="left"/>
              <w:rPr>
                <w:sz w:val="18"/>
                <w:szCs w:val="18"/>
              </w:rPr>
            </w:pPr>
          </w:p>
        </w:tc>
        <w:tc>
          <w:tcPr>
            <w:tcW w:w="1986" w:type="dxa"/>
            <w:gridSpan w:val="2"/>
            <w:vAlign w:val="center"/>
          </w:tcPr>
          <w:p>
            <w:pPr>
              <w:adjustRightInd w:val="0"/>
              <w:snapToGrid w:val="0"/>
              <w:jc w:val="left"/>
              <w:rPr>
                <w:sz w:val="18"/>
                <w:szCs w:val="18"/>
              </w:rPr>
            </w:pPr>
            <w:r>
              <w:rPr>
                <w:sz w:val="18"/>
                <w:szCs w:val="18"/>
              </w:rPr>
              <w:t>抗干扰</w:t>
            </w:r>
          </w:p>
        </w:tc>
        <w:tc>
          <w:tcPr>
            <w:tcW w:w="6804" w:type="dxa"/>
            <w:vAlign w:val="center"/>
          </w:tcPr>
          <w:p>
            <w:pPr>
              <w:adjustRightInd w:val="0"/>
              <w:snapToGrid w:val="0"/>
              <w:jc w:val="left"/>
              <w:rPr>
                <w:sz w:val="18"/>
                <w:szCs w:val="18"/>
              </w:rPr>
            </w:pPr>
            <w:r>
              <w:rPr>
                <w:sz w:val="18"/>
                <w:szCs w:val="18"/>
              </w:rPr>
              <w:t>电源干扰、电磁干扰、无线电频率干扰</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844" w:type="dxa"/>
            <w:vMerge/>
            <w:vAlign w:val="center"/>
          </w:tcPr>
          <w:p>
            <w:pPr>
              <w:adjustRightInd w:val="0"/>
              <w:snapToGrid w:val="0"/>
              <w:jc w:val="left"/>
              <w:rPr>
                <w:sz w:val="18"/>
                <w:szCs w:val="18"/>
              </w:rPr>
            </w:pPr>
          </w:p>
        </w:tc>
        <w:tc>
          <w:tcPr>
            <w:tcW w:w="1986" w:type="dxa"/>
            <w:gridSpan w:val="2"/>
            <w:vAlign w:val="center"/>
          </w:tcPr>
          <w:p>
            <w:pPr>
              <w:adjustRightInd w:val="0"/>
              <w:snapToGrid w:val="0"/>
              <w:jc w:val="left"/>
              <w:rPr>
                <w:sz w:val="18"/>
                <w:szCs w:val="18"/>
              </w:rPr>
            </w:pPr>
            <w:r>
              <w:rPr>
                <w:sz w:val="18"/>
                <w:szCs w:val="18"/>
              </w:rPr>
              <w:t>其它</w:t>
            </w:r>
          </w:p>
        </w:tc>
        <w:tc>
          <w:tcPr>
            <w:tcW w:w="6804" w:type="dxa"/>
            <w:vAlign w:val="center"/>
          </w:tcPr>
          <w:p>
            <w:pPr>
              <w:adjustRightInd w:val="0"/>
              <w:snapToGrid w:val="0"/>
              <w:jc w:val="left"/>
              <w:rPr>
                <w:sz w:val="18"/>
                <w:szCs w:val="18"/>
              </w:rPr>
            </w:pPr>
            <w:r>
              <w:rPr>
                <w:sz w:val="18"/>
                <w:szCs w:val="18"/>
              </w:rPr>
              <w:t>防水、防霉、防盐雾、防风沙</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整机功耗（峰值）</w:t>
            </w:r>
          </w:p>
        </w:tc>
        <w:tc>
          <w:tcPr>
            <w:tcW w:w="6804" w:type="dxa"/>
            <w:vAlign w:val="center"/>
          </w:tcPr>
          <w:p>
            <w:pPr>
              <w:adjustRightInd w:val="0"/>
              <w:snapToGrid w:val="0"/>
              <w:jc w:val="left"/>
              <w:rPr>
                <w:sz w:val="18"/>
                <w:szCs w:val="18"/>
              </w:rPr>
            </w:pPr>
            <w:r>
              <w:rPr>
                <w:sz w:val="18"/>
                <w:szCs w:val="18"/>
              </w:rPr>
              <w:t>≤3kW</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平均无故障时间（Mean Time Between Failure , MTBF）</w:t>
            </w:r>
          </w:p>
        </w:tc>
        <w:tc>
          <w:tcPr>
            <w:tcW w:w="6804" w:type="dxa"/>
            <w:vAlign w:val="center"/>
          </w:tcPr>
          <w:p>
            <w:pPr>
              <w:adjustRightInd w:val="0"/>
              <w:snapToGrid w:val="0"/>
              <w:jc w:val="left"/>
              <w:rPr>
                <w:sz w:val="18"/>
                <w:szCs w:val="18"/>
              </w:rPr>
            </w:pPr>
            <w:r>
              <w:rPr>
                <w:sz w:val="18"/>
                <w:szCs w:val="18"/>
              </w:rPr>
              <w:t>≥2500h</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平均故障修复时间（Mean Time To Repair , MTTR）</w:t>
            </w:r>
          </w:p>
        </w:tc>
        <w:tc>
          <w:tcPr>
            <w:tcW w:w="6804" w:type="dxa"/>
            <w:vAlign w:val="center"/>
          </w:tcPr>
          <w:p>
            <w:pPr>
              <w:adjustRightInd w:val="0"/>
              <w:snapToGrid w:val="0"/>
              <w:jc w:val="left"/>
              <w:rPr>
                <w:sz w:val="18"/>
                <w:szCs w:val="18"/>
              </w:rPr>
            </w:pPr>
            <w:r>
              <w:rPr>
                <w:sz w:val="18"/>
                <w:szCs w:val="18"/>
              </w:rPr>
              <w:t>≤1h</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连续工作时间</w:t>
            </w:r>
          </w:p>
        </w:tc>
        <w:tc>
          <w:tcPr>
            <w:tcW w:w="6804" w:type="dxa"/>
            <w:vAlign w:val="center"/>
          </w:tcPr>
          <w:p>
            <w:pPr>
              <w:adjustRightInd w:val="0"/>
              <w:snapToGrid w:val="0"/>
              <w:jc w:val="left"/>
              <w:rPr>
                <w:sz w:val="18"/>
                <w:szCs w:val="18"/>
              </w:rPr>
            </w:pPr>
            <w:r>
              <w:rPr>
                <w:sz w:val="18"/>
                <w:szCs w:val="18"/>
              </w:rPr>
              <w:t>可24h连续工作</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架设方式</w:t>
            </w:r>
          </w:p>
        </w:tc>
        <w:tc>
          <w:tcPr>
            <w:tcW w:w="6804" w:type="dxa"/>
            <w:vAlign w:val="center"/>
          </w:tcPr>
          <w:p>
            <w:pPr>
              <w:adjustRightInd w:val="0"/>
              <w:snapToGrid w:val="0"/>
              <w:jc w:val="left"/>
              <w:rPr>
                <w:sz w:val="18"/>
                <w:szCs w:val="18"/>
              </w:rPr>
            </w:pPr>
            <w:r>
              <w:rPr>
                <w:sz w:val="18"/>
                <w:szCs w:val="18"/>
              </w:rPr>
              <w:t>固定架设/移动平台式</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restart"/>
            <w:vAlign w:val="center"/>
          </w:tcPr>
          <w:p>
            <w:pPr>
              <w:adjustRightInd w:val="0"/>
              <w:snapToGrid w:val="0"/>
              <w:jc w:val="center"/>
              <w:rPr>
                <w:sz w:val="18"/>
                <w:szCs w:val="18"/>
              </w:rPr>
            </w:pPr>
            <w:r>
              <w:rPr>
                <w:sz w:val="18"/>
                <w:szCs w:val="18"/>
              </w:rPr>
              <w:t>架设和拆收</w:t>
            </w:r>
          </w:p>
          <w:p>
            <w:pPr>
              <w:adjustRightInd w:val="0"/>
              <w:snapToGrid w:val="0"/>
              <w:jc w:val="center"/>
              <w:rPr>
                <w:sz w:val="18"/>
                <w:szCs w:val="18"/>
              </w:rPr>
            </w:pPr>
            <w:r>
              <w:rPr>
                <w:sz w:val="18"/>
                <w:szCs w:val="18"/>
              </w:rPr>
              <w:t>（移动平台式雷达）</w:t>
            </w:r>
          </w:p>
        </w:tc>
        <w:tc>
          <w:tcPr>
            <w:tcW w:w="992" w:type="dxa"/>
            <w:vAlign w:val="center"/>
          </w:tcPr>
          <w:p>
            <w:pPr>
              <w:adjustRightInd w:val="0"/>
              <w:snapToGrid w:val="0"/>
              <w:ind w:firstLine="0" w:firstLineChars="0"/>
              <w:jc w:val="both"/>
              <w:rPr>
                <w:sz w:val="18"/>
                <w:szCs w:val="18"/>
              </w:rPr>
            </w:pPr>
            <w:r>
              <w:rPr>
                <w:sz w:val="18"/>
                <w:szCs w:val="18"/>
              </w:rPr>
              <w:t>架设时间</w:t>
            </w:r>
          </w:p>
        </w:tc>
        <w:tc>
          <w:tcPr>
            <w:tcW w:w="6804" w:type="dxa"/>
            <w:vAlign w:val="center"/>
          </w:tcPr>
          <w:p>
            <w:pPr>
              <w:adjustRightInd w:val="0"/>
              <w:snapToGrid w:val="0"/>
              <w:jc w:val="left"/>
              <w:rPr>
                <w:sz w:val="18"/>
                <w:szCs w:val="18"/>
              </w:rPr>
            </w:pPr>
            <w:r>
              <w:rPr>
                <w:sz w:val="18"/>
                <w:szCs w:val="18"/>
              </w:rPr>
              <w:t>≤2h</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ign w:val="center"/>
          </w:tcPr>
          <w:p>
            <w:pPr>
              <w:adjustRightInd w:val="0"/>
              <w:snapToGrid w:val="0"/>
              <w:jc w:val="center"/>
              <w:rPr>
                <w:sz w:val="18"/>
                <w:szCs w:val="18"/>
              </w:rPr>
            </w:pPr>
          </w:p>
        </w:tc>
        <w:tc>
          <w:tcPr>
            <w:tcW w:w="992" w:type="dxa"/>
            <w:vAlign w:val="center"/>
          </w:tcPr>
          <w:p>
            <w:pPr>
              <w:adjustRightInd w:val="0"/>
              <w:snapToGrid w:val="0"/>
              <w:ind w:firstLine="0" w:firstLineChars="0"/>
              <w:jc w:val="both"/>
              <w:rPr>
                <w:sz w:val="18"/>
                <w:szCs w:val="18"/>
              </w:rPr>
            </w:pPr>
            <w:r>
              <w:rPr>
                <w:sz w:val="18"/>
                <w:szCs w:val="18"/>
              </w:rPr>
              <w:t>拆收时间</w:t>
            </w:r>
          </w:p>
        </w:tc>
        <w:tc>
          <w:tcPr>
            <w:tcW w:w="6804" w:type="dxa"/>
            <w:vAlign w:val="center"/>
          </w:tcPr>
          <w:p>
            <w:pPr>
              <w:adjustRightInd w:val="0"/>
              <w:snapToGrid w:val="0"/>
              <w:jc w:val="left"/>
              <w:rPr>
                <w:sz w:val="18"/>
                <w:szCs w:val="18"/>
              </w:rPr>
            </w:pPr>
            <w:r>
              <w:rPr>
                <w:sz w:val="18"/>
                <w:szCs w:val="18"/>
              </w:rPr>
              <w:t>≤1h</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ign w:val="center"/>
          </w:tcPr>
          <w:p>
            <w:pPr>
              <w:adjustRightInd w:val="0"/>
              <w:snapToGrid w:val="0"/>
              <w:jc w:val="center"/>
              <w:rPr>
                <w:sz w:val="18"/>
                <w:szCs w:val="18"/>
              </w:rPr>
            </w:pPr>
          </w:p>
        </w:tc>
        <w:tc>
          <w:tcPr>
            <w:tcW w:w="992" w:type="dxa"/>
            <w:vAlign w:val="center"/>
          </w:tcPr>
          <w:p>
            <w:pPr>
              <w:adjustRightInd w:val="0"/>
              <w:snapToGrid w:val="0"/>
              <w:ind w:firstLine="0" w:firstLineChars="0"/>
              <w:jc w:val="both"/>
              <w:rPr>
                <w:sz w:val="18"/>
                <w:szCs w:val="18"/>
              </w:rPr>
            </w:pPr>
            <w:r>
              <w:rPr>
                <w:sz w:val="18"/>
                <w:szCs w:val="18"/>
              </w:rPr>
              <w:t>所需人数</w:t>
            </w:r>
          </w:p>
        </w:tc>
        <w:tc>
          <w:tcPr>
            <w:tcW w:w="6804" w:type="dxa"/>
            <w:vAlign w:val="center"/>
          </w:tcPr>
          <w:p>
            <w:pPr>
              <w:adjustRightInd w:val="0"/>
              <w:snapToGrid w:val="0"/>
              <w:jc w:val="left"/>
              <w:rPr>
                <w:sz w:val="18"/>
                <w:szCs w:val="18"/>
              </w:rPr>
            </w:pPr>
            <w:r>
              <w:rPr>
                <w:sz w:val="18"/>
                <w:szCs w:val="18"/>
              </w:rPr>
              <w:t>≤3人</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restart"/>
            <w:vAlign w:val="center"/>
          </w:tcPr>
          <w:p>
            <w:pPr>
              <w:adjustRightInd w:val="0"/>
              <w:snapToGrid w:val="0"/>
              <w:jc w:val="center"/>
              <w:rPr>
                <w:rFonts w:eastAsia="宋体" w:hint="default"/>
                <w:sz w:val="18"/>
                <w:szCs w:val="18"/>
              </w:rPr>
            </w:pPr>
            <w:r>
              <w:rPr>
                <w:rFonts w:hint="eastAsia"/>
                <w:sz w:val="18"/>
                <w:szCs w:val="18"/>
                <w:lang w:val="en-US" w:eastAsia="zh-CN"/>
              </w:rPr>
              <w:t>数据传输</w:t>
            </w:r>
          </w:p>
        </w:tc>
        <w:tc>
          <w:tcPr>
            <w:tcW w:w="992" w:type="dxa"/>
            <w:vAlign w:val="center"/>
          </w:tcPr>
          <w:p>
            <w:pPr>
              <w:pStyle w:val="a3"/>
              <w:ind w:firstLine="0" w:firstLineChars="0"/>
              <w:rPr>
                <w:sz w:val="18"/>
                <w:szCs w:val="18"/>
              </w:rPr>
            </w:pPr>
            <w:r>
              <w:t>本地数据传输</w:t>
            </w:r>
          </w:p>
        </w:tc>
        <w:tc>
          <w:tcPr>
            <w:tcW w:w="6804" w:type="dxa"/>
            <w:vAlign w:val="center"/>
          </w:tcPr>
          <w:p>
            <w:pPr>
              <w:pStyle w:val="a3"/>
              <w:ind w:firstLine="0" w:firstLineChars="0"/>
              <w:rPr>
                <w:sz w:val="18"/>
                <w:szCs w:val="18"/>
              </w:rPr>
            </w:pPr>
            <w:r>
              <w:rPr>
                <w:rFonts w:hint="eastAsia"/>
                <w:lang w:val="en-US" w:eastAsia="zh-CN"/>
              </w:rPr>
              <w:t>#</w:t>
            </w:r>
            <w:r>
              <w:t>有线+WIFI+4G</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1838" w:type="dxa"/>
            <w:gridSpan w:val="2"/>
            <w:vMerge/>
            <w:vAlign w:val="center"/>
          </w:tcPr>
          <w:p>
            <w:pPr>
              <w:adjustRightInd w:val="0"/>
              <w:snapToGrid w:val="0"/>
              <w:jc w:val="center"/>
              <w:rPr>
                <w:sz w:val="18"/>
                <w:szCs w:val="18"/>
              </w:rPr>
            </w:pPr>
          </w:p>
        </w:tc>
        <w:tc>
          <w:tcPr>
            <w:tcW w:w="992" w:type="dxa"/>
            <w:vAlign w:val="center"/>
          </w:tcPr>
          <w:p>
            <w:pPr>
              <w:pStyle w:val="a3"/>
              <w:ind w:firstLine="0" w:firstLineChars="0"/>
              <w:rPr>
                <w:sz w:val="18"/>
                <w:szCs w:val="18"/>
              </w:rPr>
            </w:pPr>
            <w:r>
              <w:t>远程数据传输</w:t>
            </w:r>
          </w:p>
        </w:tc>
        <w:tc>
          <w:tcPr>
            <w:tcW w:w="6804" w:type="dxa"/>
            <w:vAlign w:val="center"/>
          </w:tcPr>
          <w:p>
            <w:pPr>
              <w:pStyle w:val="a3"/>
              <w:ind w:firstLine="0" w:firstLineChars="0"/>
              <w:rPr>
                <w:sz w:val="18"/>
                <w:szCs w:val="18"/>
              </w:rPr>
            </w:pPr>
            <w:r>
              <w:rPr>
                <w:rFonts w:hint="eastAsia"/>
                <w:lang w:val="en-US" w:eastAsia="zh-CN"/>
              </w:rPr>
              <w:t>#</w:t>
            </w:r>
            <w:r>
              <w:t>互联网、4G通讯</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p>
        </w:tc>
        <w:tc>
          <w:tcPr>
            <w:tcW w:w="6804" w:type="dxa"/>
            <w:vAlign w:val="center"/>
          </w:tcPr>
          <w:p>
            <w:pPr>
              <w:adjustRightInd w:val="0"/>
              <w:snapToGrid w:val="0"/>
              <w:jc w:val="left"/>
              <w:rPr>
                <w:sz w:val="18"/>
                <w:szCs w:val="18"/>
              </w:rPr>
            </w:pP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ind w:firstLine="360" w:firstLineChars="200"/>
              <w:jc w:val="center"/>
              <w:rPr>
                <w:sz w:val="18"/>
                <w:szCs w:val="18"/>
              </w:rPr>
            </w:pPr>
            <w:r>
              <w:rPr>
                <w:sz w:val="18"/>
                <w:szCs w:val="18"/>
              </w:rPr>
              <w:t>运输方式</w:t>
            </w:r>
          </w:p>
        </w:tc>
        <w:tc>
          <w:tcPr>
            <w:tcW w:w="6804" w:type="dxa"/>
            <w:vAlign w:val="center"/>
          </w:tcPr>
          <w:p>
            <w:pPr>
              <w:adjustRightInd w:val="0"/>
              <w:snapToGrid w:val="0"/>
              <w:ind w:firstLine="360" w:firstLineChars="200"/>
              <w:jc w:val="left"/>
              <w:rPr>
                <w:sz w:val="18"/>
                <w:szCs w:val="18"/>
              </w:rPr>
            </w:pPr>
            <w:r>
              <w:rPr>
                <w:sz w:val="18"/>
                <w:szCs w:val="18"/>
              </w:rPr>
              <w:t>可人力拆卸，使用小型载重汽车运输。</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激光辐射安全性</w:t>
            </w:r>
          </w:p>
        </w:tc>
        <w:tc>
          <w:tcPr>
            <w:tcW w:w="6804" w:type="dxa"/>
            <w:vAlign w:val="center"/>
          </w:tcPr>
          <w:p>
            <w:pPr>
              <w:adjustRightInd w:val="0"/>
              <w:snapToGrid w:val="0"/>
              <w:jc w:val="left"/>
              <w:rPr>
                <w:strike/>
                <w:sz w:val="18"/>
                <w:szCs w:val="18"/>
              </w:rPr>
            </w:pPr>
            <w:r>
              <w:rPr>
                <w:sz w:val="18"/>
                <w:szCs w:val="18"/>
              </w:rPr>
              <w:t>对于全光纤的系统要求准直扩束后满足GB 7247.1-2012人眼安全的系统要求光学窗口粘贴激光安全警示标识。</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互换性</w:t>
            </w:r>
          </w:p>
        </w:tc>
        <w:tc>
          <w:tcPr>
            <w:tcW w:w="6804" w:type="dxa"/>
            <w:vAlign w:val="center"/>
          </w:tcPr>
          <w:p>
            <w:pPr>
              <w:adjustRightInd w:val="0"/>
              <w:snapToGrid w:val="0"/>
              <w:rPr>
                <w:sz w:val="18"/>
                <w:szCs w:val="18"/>
              </w:rPr>
            </w:pPr>
            <w:r>
              <w:rPr>
                <w:sz w:val="18"/>
                <w:szCs w:val="18"/>
              </w:rPr>
              <w:t>测风激光雷达备份零件、部件、组件和功能单元均能在现场更换，无需调整而正常工作。</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电磁兼容性</w:t>
            </w:r>
          </w:p>
        </w:tc>
        <w:tc>
          <w:tcPr>
            <w:tcW w:w="6804" w:type="dxa"/>
            <w:vAlign w:val="center"/>
          </w:tcPr>
          <w:p>
            <w:pPr>
              <w:adjustRightInd w:val="0"/>
              <w:snapToGrid w:val="0"/>
              <w:rPr>
                <w:sz w:val="18"/>
                <w:szCs w:val="18"/>
              </w:rPr>
            </w:pPr>
            <w:r>
              <w:rPr>
                <w:sz w:val="18"/>
                <w:szCs w:val="18"/>
              </w:rPr>
              <w:t>测风激光雷达具有市电滤波和防电磁干扰的能力，设置静电屏蔽、磁屏蔽、电磁屏蔽，模拟地线、数字地线和安全地线严格分开，油机地线和避雷地线要单独接地。</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安全性</w:t>
            </w:r>
          </w:p>
        </w:tc>
        <w:tc>
          <w:tcPr>
            <w:tcW w:w="6804" w:type="dxa"/>
            <w:vAlign w:val="center"/>
          </w:tcPr>
          <w:p>
            <w:pPr>
              <w:adjustRightInd w:val="0"/>
              <w:snapToGrid w:val="0"/>
              <w:rPr>
                <w:sz w:val="18"/>
                <w:szCs w:val="18"/>
              </w:rPr>
            </w:pPr>
            <w:r>
              <w:rPr>
                <w:sz w:val="18"/>
                <w:szCs w:val="18"/>
              </w:rPr>
              <w:t>测风激光雷达应有安全性设计，确保测风激光雷达按规定条件进行制造、安装、运输、贮存、使用和维护时的人身安全和设备安全。</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绝缘性</w:t>
            </w:r>
          </w:p>
        </w:tc>
        <w:tc>
          <w:tcPr>
            <w:tcW w:w="6804" w:type="dxa"/>
            <w:vAlign w:val="center"/>
          </w:tcPr>
          <w:p>
            <w:pPr>
              <w:adjustRightInd w:val="0"/>
              <w:snapToGrid w:val="0"/>
              <w:rPr>
                <w:sz w:val="18"/>
                <w:szCs w:val="18"/>
              </w:rPr>
            </w:pPr>
            <w:r>
              <w:rPr>
                <w:sz w:val="18"/>
                <w:szCs w:val="18"/>
              </w:rPr>
              <w:t>测风激光雷达各初级电源与大地间绝缘电阻应大于20MΩ。</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外观质量</w:t>
            </w:r>
          </w:p>
        </w:tc>
        <w:tc>
          <w:tcPr>
            <w:tcW w:w="6804" w:type="dxa"/>
            <w:vAlign w:val="center"/>
          </w:tcPr>
          <w:p>
            <w:pPr>
              <w:adjustRightInd w:val="0"/>
              <w:snapToGrid w:val="0"/>
              <w:rPr>
                <w:sz w:val="18"/>
                <w:szCs w:val="18"/>
              </w:rPr>
            </w:pPr>
            <w:r>
              <w:rPr>
                <w:sz w:val="18"/>
                <w:szCs w:val="18"/>
              </w:rPr>
              <w:t>测风激光雷达整体形象应协调一致。外表面应无凹痕、碰伤、裂痕和变形等缺陷；镀涂层不起泡、龟裂和脱落；金属零件无锈蚀、毛刺及其它机械损伤。</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标记与代号</w:t>
            </w:r>
          </w:p>
        </w:tc>
        <w:tc>
          <w:tcPr>
            <w:tcW w:w="6804" w:type="dxa"/>
            <w:vAlign w:val="center"/>
          </w:tcPr>
          <w:p>
            <w:pPr>
              <w:adjustRightInd w:val="0"/>
              <w:snapToGrid w:val="0"/>
              <w:rPr>
                <w:sz w:val="18"/>
                <w:szCs w:val="18"/>
              </w:rPr>
            </w:pPr>
            <w:r>
              <w:rPr>
                <w:sz w:val="18"/>
                <w:szCs w:val="18"/>
              </w:rPr>
              <w:t>机柜、机箱、插件和线缆等应有统一的编号和标记，符合国家标准。印制板、主要元器件等应在相应位置印有与电路图中项目代号相符的标记。标记的文字、字母和符号应完整、规范、清晰和牢固，且便于识读。</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环境噪声要求</w:t>
            </w:r>
          </w:p>
        </w:tc>
        <w:tc>
          <w:tcPr>
            <w:tcW w:w="6804" w:type="dxa"/>
            <w:vAlign w:val="center"/>
          </w:tcPr>
          <w:p>
            <w:pPr>
              <w:adjustRightInd w:val="0"/>
              <w:snapToGrid w:val="0"/>
              <w:jc w:val="left"/>
              <w:rPr>
                <w:sz w:val="18"/>
                <w:szCs w:val="18"/>
              </w:rPr>
            </w:pPr>
            <w:r>
              <w:rPr>
                <w:sz w:val="18"/>
                <w:szCs w:val="18"/>
              </w:rPr>
              <w:t>测风激光雷达架设现场和终端操作室均不大于65dB，发电机不大于85dB。</w:t>
            </w:r>
          </w:p>
        </w:tc>
      </w:tr>
      <w:tr>
        <w:tblPrEx>
          <w:tblW w:w="9634" w:type="dxa"/>
          <w:jc w:val="center"/>
          <w:tblLayout w:type="fixed"/>
          <w:tblCellMar>
            <w:top w:w="0" w:type="dxa"/>
            <w:left w:w="57" w:type="dxa"/>
            <w:bottom w:w="0" w:type="dxa"/>
            <w:right w:w="57" w:type="dxa"/>
          </w:tblCellMar>
          <w:tblLook w:val="0000"/>
        </w:tblPrEx>
        <w:trPr>
          <w:trHeight w:val="340"/>
          <w:jc w:val="center"/>
        </w:trPr>
        <w:tc>
          <w:tcPr>
            <w:tcW w:w="2830" w:type="dxa"/>
            <w:gridSpan w:val="3"/>
            <w:vAlign w:val="center"/>
          </w:tcPr>
          <w:p>
            <w:pPr>
              <w:adjustRightInd w:val="0"/>
              <w:snapToGrid w:val="0"/>
              <w:jc w:val="center"/>
              <w:rPr>
                <w:sz w:val="18"/>
                <w:szCs w:val="18"/>
              </w:rPr>
            </w:pPr>
            <w:r>
              <w:rPr>
                <w:sz w:val="18"/>
                <w:szCs w:val="18"/>
              </w:rPr>
              <w:t>测风激光雷达应有的铭牌内容</w:t>
            </w:r>
          </w:p>
        </w:tc>
        <w:tc>
          <w:tcPr>
            <w:tcW w:w="6804" w:type="dxa"/>
            <w:vAlign w:val="center"/>
          </w:tcPr>
          <w:p>
            <w:pPr>
              <w:adjustRightInd w:val="0"/>
              <w:snapToGrid w:val="0"/>
              <w:jc w:val="left"/>
              <w:rPr>
                <w:sz w:val="18"/>
                <w:szCs w:val="18"/>
              </w:rPr>
            </w:pPr>
            <w:r>
              <w:rPr>
                <w:sz w:val="18"/>
                <w:szCs w:val="18"/>
              </w:rPr>
              <w:t>测风激光雷达的名称、型号（代号）；出厂编号；出厂年月；制造厂商标。</w:t>
            </w:r>
          </w:p>
        </w:tc>
      </w:tr>
    </w:tbl>
    <w:p>
      <w:pPr>
        <w:autoSpaceDE w:val="0"/>
        <w:autoSpaceDN w:val="0"/>
        <w:adjustRightInd w:val="0"/>
        <w:ind w:firstLine="420"/>
        <w:jc w:val="left"/>
        <w:rPr>
          <w:rFonts w:ascii="宋体" w:eastAsia="宋体" w:hAnsi="Calibri" w:cs="宋体" w:hint="eastAsia"/>
          <w:kern w:val="0"/>
          <w:szCs w:val="21"/>
        </w:rPr>
      </w:pPr>
      <w:bookmarkStart w:id="63" w:name="_Toc122969546"/>
      <w:bookmarkStart w:id="64" w:name="_Toc124438497"/>
      <w:bookmarkStart w:id="65" w:name="_Toc396890409"/>
      <w:bookmarkStart w:id="66" w:name="_Toc429750536"/>
      <w:bookmarkStart w:id="67" w:name="_Toc396919237"/>
      <w:bookmarkStart w:id="68" w:name="_Toc404240569"/>
      <w:bookmarkStart w:id="69" w:name="_Toc429555198"/>
      <w:bookmarkStart w:id="70" w:name="_Toc397012807"/>
      <w:bookmarkStart w:id="71" w:name="_Toc403829757"/>
      <w:bookmarkStart w:id="72" w:name="_Toc404805819"/>
      <w:bookmarkStart w:id="73" w:name="_Toc404271284"/>
      <w:bookmarkStart w:id="74" w:name="_Toc404270664"/>
      <w:r>
        <w:rPr>
          <w:rFonts w:ascii="宋体" w:eastAsia="宋体" w:hAnsi="Calibri" w:cs="宋体" w:hint="eastAsia"/>
          <w:kern w:val="0"/>
          <w:szCs w:val="21"/>
        </w:rPr>
        <w:t>（2）激光发射系统</w:t>
      </w:r>
      <w:r>
        <w:rPr>
          <w:rFonts w:ascii="宋体" w:eastAsia="宋体" w:hAnsi="Calibri" w:cs="宋体" w:hint="eastAsia"/>
          <w:kern w:val="0"/>
          <w:szCs w:val="21"/>
          <w:lang w:val="en-US" w:eastAsia="zh-CN"/>
        </w:rPr>
        <w:t>技术指标</w:t>
      </w:r>
      <w:bookmarkEnd w:id="63"/>
      <w:bookmarkEnd w:id="64"/>
    </w:p>
    <w:p>
      <w:pPr>
        <w:autoSpaceDE w:val="0"/>
        <w:autoSpaceDN w:val="0"/>
        <w:adjustRightInd w:val="0"/>
        <w:ind w:firstLine="420"/>
        <w:jc w:val="left"/>
        <w:rPr>
          <w:rFonts w:ascii="宋体" w:eastAsia="宋体" w:hAnsi="Calibri" w:cs="宋体" w:hint="eastAsia"/>
          <w:kern w:val="0"/>
          <w:szCs w:val="21"/>
        </w:rPr>
      </w:pPr>
      <w:r>
        <w:rPr>
          <w:rFonts w:ascii="宋体" w:eastAsia="宋体" w:hAnsi="Calibri" w:cs="宋体" w:hint="eastAsia"/>
          <w:kern w:val="0"/>
          <w:szCs w:val="21"/>
        </w:rPr>
        <w:t>激光发射系统技术指标主要包括：工作波长、脉冲宽度、故障监测和保护、通风散热等，详见下表。</w:t>
      </w:r>
    </w:p>
    <w:p>
      <w:pPr>
        <w:adjustRightInd w:val="0"/>
        <w:snapToGrid w:val="0"/>
        <w:spacing w:line="360" w:lineRule="auto"/>
        <w:jc w:val="center"/>
        <w:rPr>
          <w:rFonts w:eastAsia="黑体"/>
          <w:bCs/>
          <w:szCs w:val="21"/>
        </w:rPr>
      </w:pPr>
      <w:r>
        <w:rPr>
          <w:rFonts w:eastAsia="黑体"/>
          <w:bCs/>
          <w:szCs w:val="21"/>
        </w:rPr>
        <w:t>表2激光发射系统技术性能指标表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47"/>
        <w:gridCol w:w="510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547" w:type="dxa"/>
            <w:vAlign w:val="center"/>
          </w:tcPr>
          <w:p>
            <w:pPr>
              <w:adjustRightInd w:val="0"/>
              <w:snapToGrid w:val="0"/>
              <w:jc w:val="center"/>
              <w:rPr>
                <w:bCs/>
                <w:color w:val="000000"/>
                <w:sz w:val="18"/>
                <w:szCs w:val="18"/>
              </w:rPr>
            </w:pPr>
            <w:r>
              <w:rPr>
                <w:bCs/>
                <w:color w:val="000000"/>
                <w:sz w:val="18"/>
                <w:szCs w:val="18"/>
              </w:rPr>
              <w:t>项目</w:t>
            </w:r>
          </w:p>
        </w:tc>
        <w:tc>
          <w:tcPr>
            <w:tcW w:w="5103" w:type="dxa"/>
            <w:vAlign w:val="center"/>
          </w:tcPr>
          <w:p>
            <w:pPr>
              <w:adjustRightInd w:val="0"/>
              <w:snapToGrid w:val="0"/>
              <w:jc w:val="center"/>
              <w:rPr>
                <w:bCs/>
                <w:color w:val="000000"/>
                <w:sz w:val="18"/>
                <w:szCs w:val="18"/>
              </w:rPr>
            </w:pPr>
            <w:r>
              <w:rPr>
                <w:bCs/>
                <w:color w:val="000000"/>
                <w:sz w:val="18"/>
                <w:szCs w:val="18"/>
              </w:rPr>
              <w:t>性能指标</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adjustRightInd w:val="0"/>
              <w:snapToGrid w:val="0"/>
              <w:rPr>
                <w:bCs/>
                <w:color w:val="000000"/>
                <w:sz w:val="18"/>
                <w:szCs w:val="18"/>
              </w:rPr>
            </w:pPr>
            <w:r>
              <w:rPr>
                <w:bCs/>
                <w:color w:val="000000"/>
                <w:sz w:val="18"/>
                <w:szCs w:val="18"/>
              </w:rPr>
              <w:t>工作波长</w:t>
            </w:r>
          </w:p>
        </w:tc>
        <w:tc>
          <w:tcPr>
            <w:tcW w:w="5103" w:type="dxa"/>
            <w:vAlign w:val="center"/>
          </w:tcPr>
          <w:p>
            <w:pPr>
              <w:adjustRightInd w:val="0"/>
              <w:snapToGrid w:val="0"/>
              <w:rPr>
                <w:bCs/>
                <w:color w:val="000000"/>
                <w:sz w:val="18"/>
                <w:szCs w:val="18"/>
              </w:rPr>
            </w:pPr>
            <w:r>
              <w:rPr>
                <w:bCs/>
                <w:color w:val="000000"/>
                <w:sz w:val="18"/>
                <w:szCs w:val="18"/>
              </w:rPr>
              <w:t>1064～2200nm</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adjustRightInd w:val="0"/>
              <w:snapToGrid w:val="0"/>
              <w:rPr>
                <w:bCs/>
                <w:color w:val="000000"/>
                <w:sz w:val="18"/>
                <w:szCs w:val="18"/>
                <w:vertAlign w:val="superscript"/>
              </w:rPr>
            </w:pPr>
            <w:r>
              <w:rPr>
                <w:bCs/>
                <w:color w:val="000000"/>
                <w:sz w:val="18"/>
                <w:szCs w:val="18"/>
              </w:rPr>
              <w:t>脉冲宽度（FWHM）</w:t>
            </w:r>
          </w:p>
        </w:tc>
        <w:tc>
          <w:tcPr>
            <w:tcW w:w="5103" w:type="dxa"/>
            <w:vAlign w:val="center"/>
          </w:tcPr>
          <w:p>
            <w:pPr>
              <w:adjustRightInd w:val="0"/>
              <w:snapToGrid w:val="0"/>
              <w:rPr>
                <w:bCs/>
                <w:color w:val="000000"/>
                <w:sz w:val="18"/>
                <w:szCs w:val="18"/>
              </w:rPr>
            </w:pPr>
            <w:r>
              <w:rPr>
                <w:bCs/>
                <w:color w:val="000000"/>
                <w:sz w:val="18"/>
                <w:szCs w:val="18"/>
              </w:rPr>
              <w:t>30～800ns可调或连续光</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adjustRightInd w:val="0"/>
              <w:snapToGrid w:val="0"/>
              <w:rPr>
                <w:bCs/>
                <w:color w:val="000000"/>
                <w:sz w:val="18"/>
                <w:szCs w:val="18"/>
              </w:rPr>
            </w:pPr>
            <w:r>
              <w:rPr>
                <w:bCs/>
                <w:color w:val="000000"/>
                <w:sz w:val="18"/>
                <w:szCs w:val="18"/>
              </w:rPr>
              <w:t>故障检测和保护</w:t>
            </w:r>
          </w:p>
        </w:tc>
        <w:tc>
          <w:tcPr>
            <w:tcW w:w="5103" w:type="dxa"/>
            <w:vAlign w:val="center"/>
          </w:tcPr>
          <w:p>
            <w:pPr>
              <w:adjustRightInd w:val="0"/>
              <w:snapToGrid w:val="0"/>
              <w:rPr>
                <w:bCs/>
                <w:color w:val="000000"/>
                <w:sz w:val="18"/>
                <w:szCs w:val="18"/>
              </w:rPr>
            </w:pPr>
            <w:r>
              <w:rPr>
                <w:bCs/>
                <w:color w:val="000000"/>
                <w:sz w:val="18"/>
                <w:szCs w:val="18"/>
              </w:rPr>
              <w:t>过流保护、过温保护，功率低时输出报警信号。</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adjustRightInd w:val="0"/>
              <w:snapToGrid w:val="0"/>
              <w:rPr>
                <w:bCs/>
                <w:color w:val="000000"/>
                <w:sz w:val="18"/>
                <w:szCs w:val="18"/>
              </w:rPr>
            </w:pPr>
            <w:r>
              <w:rPr>
                <w:bCs/>
                <w:color w:val="000000"/>
                <w:sz w:val="18"/>
                <w:szCs w:val="18"/>
              </w:rPr>
              <w:t>通风散热</w:t>
            </w:r>
          </w:p>
        </w:tc>
        <w:tc>
          <w:tcPr>
            <w:tcW w:w="5103" w:type="dxa"/>
            <w:vAlign w:val="center"/>
          </w:tcPr>
          <w:p>
            <w:pPr>
              <w:adjustRightInd w:val="0"/>
              <w:snapToGrid w:val="0"/>
              <w:rPr>
                <w:bCs/>
                <w:color w:val="000000"/>
                <w:sz w:val="18"/>
                <w:szCs w:val="18"/>
              </w:rPr>
            </w:pPr>
            <w:r>
              <w:rPr>
                <w:bCs/>
                <w:color w:val="000000"/>
                <w:sz w:val="18"/>
                <w:szCs w:val="18"/>
              </w:rPr>
              <w:t>有可靠的通风散热设计，保证激光发射系统正常工作。</w:t>
            </w:r>
          </w:p>
        </w:tc>
      </w:tr>
    </w:tbl>
    <w:p>
      <w:pPr>
        <w:numPr>
          <w:ilvl w:val="0"/>
          <w:numId w:val="5"/>
        </w:numPr>
        <w:autoSpaceDE w:val="0"/>
        <w:autoSpaceDN w:val="0"/>
        <w:adjustRightInd w:val="0"/>
        <w:ind w:firstLine="420"/>
        <w:jc w:val="left"/>
        <w:rPr>
          <w:rFonts w:ascii="宋体" w:eastAsia="宋体" w:hAnsi="Calibri" w:cs="宋体" w:hint="eastAsia"/>
          <w:kern w:val="0"/>
          <w:szCs w:val="21"/>
        </w:rPr>
      </w:pPr>
      <w:bookmarkStart w:id="75" w:name="_Toc32185"/>
      <w:bookmarkStart w:id="76" w:name="_Toc22170"/>
      <w:bookmarkStart w:id="77" w:name="_Toc20209"/>
      <w:bookmarkStart w:id="78" w:name="_Toc29425"/>
      <w:bookmarkStart w:id="79" w:name="_Toc15359"/>
      <w:bookmarkStart w:id="80" w:name="_Toc21935"/>
      <w:bookmarkStart w:id="81" w:name="_Toc6045"/>
      <w:bookmarkStart w:id="82" w:name="_Toc7599"/>
      <w:bookmarkStart w:id="83" w:name="_Toc23098"/>
      <w:bookmarkStart w:id="84" w:name="_Toc29170"/>
      <w:bookmarkStart w:id="85" w:name="_Toc13931"/>
      <w:bookmarkStart w:id="86" w:name="_Toc14645"/>
      <w:bookmarkStart w:id="87" w:name="_Toc4237"/>
      <w:bookmarkStart w:id="88" w:name="_Toc20462"/>
      <w:bookmarkStart w:id="89" w:name="_Toc12234"/>
      <w:bookmarkStart w:id="90" w:name="_Toc124438499"/>
      <w:bookmarkStart w:id="91" w:name="_Toc1361"/>
      <w:bookmarkEnd w:id="65"/>
      <w:bookmarkEnd w:id="66"/>
      <w:bookmarkEnd w:id="67"/>
      <w:bookmarkEnd w:id="68"/>
      <w:bookmarkEnd w:id="69"/>
      <w:bookmarkEnd w:id="70"/>
      <w:bookmarkEnd w:id="71"/>
      <w:bookmarkEnd w:id="72"/>
      <w:bookmarkEnd w:id="73"/>
      <w:bookmarkEnd w:id="74"/>
      <w:r>
        <w:rPr>
          <w:rFonts w:ascii="宋体" w:eastAsia="宋体" w:hAnsi="Calibri" w:cs="宋体" w:hint="eastAsia"/>
          <w:kern w:val="0"/>
          <w:szCs w:val="21"/>
        </w:rPr>
        <w:t>光学</w:t>
      </w:r>
      <w:bookmarkStart w:id="92" w:name="_Toc6982"/>
      <w:bookmarkStart w:id="93" w:name="_Toc14600"/>
      <w:bookmarkStart w:id="94" w:name="_Toc26469"/>
      <w:bookmarkStart w:id="95" w:name="_Toc5069"/>
      <w:bookmarkStart w:id="96" w:name="_Toc9343"/>
      <w:bookmarkStart w:id="97" w:name="_Toc26528"/>
      <w:bookmarkStart w:id="98" w:name="_Toc16438"/>
      <w:bookmarkStart w:id="99" w:name="_Toc28290"/>
      <w:bookmarkStart w:id="100" w:name="_Toc12051"/>
      <w:bookmarkStart w:id="101" w:name="_Toc17235"/>
      <w:bookmarkStart w:id="102" w:name="_Toc17445"/>
      <w:bookmarkEnd w:id="75"/>
      <w:bookmarkEnd w:id="76"/>
      <w:bookmarkEnd w:id="77"/>
      <w:bookmarkEnd w:id="78"/>
      <w:bookmarkEnd w:id="79"/>
      <w:bookmarkEnd w:id="80"/>
      <w:bookmarkEnd w:id="81"/>
      <w:bookmarkEnd w:id="82"/>
      <w:bookmarkEnd w:id="83"/>
      <w:bookmarkEnd w:id="84"/>
      <w:bookmarkEnd w:id="85"/>
      <w:r>
        <w:rPr>
          <w:rFonts w:ascii="宋体" w:eastAsia="宋体" w:hAnsi="Calibri" w:cs="宋体" w:hint="eastAsia"/>
          <w:kern w:val="0"/>
          <w:szCs w:val="21"/>
          <w:lang w:val="en-US" w:eastAsia="zh-CN"/>
        </w:rPr>
        <w:t>系统</w:t>
      </w:r>
      <w:r>
        <w:rPr>
          <w:rFonts w:ascii="Times New Roman" w:eastAsia="黑体" w:hAnsi="Times New Roman"/>
          <w:b w:val="0"/>
          <w:bCs w:val="0"/>
          <w:sz w:val="21"/>
          <w:szCs w:val="21"/>
        </w:rPr>
        <w:t>技术指标</w:t>
      </w:r>
    </w:p>
    <w:p>
      <w:pPr>
        <w:adjustRightInd w:val="0"/>
        <w:snapToGrid w:val="0"/>
        <w:spacing w:line="360" w:lineRule="auto"/>
        <w:ind w:firstLine="464" w:firstLineChars="221"/>
        <w:rPr>
          <w:rFonts w:ascii="宋体" w:hAnsi="宋体"/>
          <w:szCs w:val="21"/>
        </w:rPr>
      </w:pPr>
      <w:r>
        <w:rPr>
          <w:rFonts w:ascii="宋体" w:hAnsi="宋体"/>
          <w:szCs w:val="21"/>
        </w:rPr>
        <w:t>光学接收系统的技术指标包括工作波长</w:t>
      </w:r>
      <w:r>
        <w:rPr>
          <w:rFonts w:ascii="宋体" w:hAnsi="宋体" w:hint="eastAsia"/>
          <w:szCs w:val="21"/>
        </w:rPr>
        <w:t>。</w:t>
      </w:r>
    </w:p>
    <w:p>
      <w:pPr>
        <w:adjustRightInd w:val="0"/>
        <w:snapToGrid w:val="0"/>
        <w:spacing w:line="360" w:lineRule="auto"/>
        <w:jc w:val="center"/>
        <w:rPr>
          <w:rFonts w:eastAsia="黑体"/>
          <w:bCs/>
          <w:szCs w:val="21"/>
        </w:rPr>
      </w:pPr>
      <w:r>
        <w:rPr>
          <w:rFonts w:eastAsia="黑体" w:hint="eastAsia"/>
          <w:bCs/>
          <w:szCs w:val="21"/>
        </w:rPr>
        <w:t>表</w:t>
      </w:r>
      <w:r>
        <w:rPr>
          <w:rFonts w:eastAsia="黑体"/>
          <w:bCs/>
          <w:szCs w:val="21"/>
        </w:rPr>
        <w:t>3</w:t>
      </w:r>
      <w:r>
        <w:rPr>
          <w:rFonts w:eastAsia="黑体" w:hint="eastAsia"/>
          <w:bCs/>
          <w:szCs w:val="21"/>
        </w:rPr>
        <w:t>光学接收系统技术性能指标表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80"/>
        <w:gridCol w:w="52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980" w:type="dxa"/>
            <w:vAlign w:val="center"/>
          </w:tcPr>
          <w:p>
            <w:pPr>
              <w:adjustRightInd w:val="0"/>
              <w:snapToGrid w:val="0"/>
              <w:jc w:val="center"/>
              <w:rPr>
                <w:b/>
                <w:sz w:val="18"/>
                <w:szCs w:val="18"/>
              </w:rPr>
            </w:pPr>
            <w:r>
              <w:rPr>
                <w:b/>
                <w:sz w:val="18"/>
                <w:szCs w:val="18"/>
              </w:rPr>
              <w:t>项目</w:t>
            </w:r>
          </w:p>
        </w:tc>
        <w:tc>
          <w:tcPr>
            <w:tcW w:w="5245" w:type="dxa"/>
            <w:vAlign w:val="center"/>
          </w:tcPr>
          <w:p>
            <w:pPr>
              <w:adjustRightInd w:val="0"/>
              <w:snapToGrid w:val="0"/>
              <w:jc w:val="center"/>
              <w:rPr>
                <w:b/>
                <w:sz w:val="18"/>
                <w:szCs w:val="18"/>
              </w:rPr>
            </w:pPr>
            <w:r>
              <w:rPr>
                <w:b/>
                <w:sz w:val="18"/>
                <w:szCs w:val="18"/>
              </w:rPr>
              <w:t>性能指标</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1980"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sz w:val="18"/>
                <w:szCs w:val="18"/>
              </w:rPr>
            </w:pPr>
            <w:r>
              <w:rPr>
                <w:sz w:val="18"/>
                <w:szCs w:val="18"/>
              </w:rPr>
              <w:t>工作波长</w:t>
            </w:r>
          </w:p>
        </w:tc>
        <w:tc>
          <w:tcPr>
            <w:tcW w:w="5245"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sz w:val="18"/>
                <w:szCs w:val="18"/>
              </w:rPr>
            </w:pPr>
            <w:r>
              <w:rPr>
                <w:sz w:val="18"/>
                <w:szCs w:val="18"/>
              </w:rPr>
              <w:t>1064～2200nm</w:t>
            </w:r>
          </w:p>
        </w:tc>
      </w:tr>
    </w:tbl>
    <w:p>
      <w:pPr>
        <w:pStyle w:val="Heading2"/>
        <w:numPr>
          <w:ilvl w:val="0"/>
          <w:numId w:val="0"/>
        </w:numPr>
        <w:adjustRightInd w:val="0"/>
        <w:snapToGrid w:val="0"/>
        <w:spacing w:beforeLines="0" w:afterLines="0" w:line="360" w:lineRule="auto"/>
        <w:ind w:left="576" w:hanging="576"/>
        <w:rPr>
          <w:rFonts w:ascii="Times New Roman" w:hAnsi="Times New Roman"/>
          <w:b w:val="0"/>
          <w:bCs w:val="0"/>
          <w:sz w:val="21"/>
          <w:szCs w:val="21"/>
        </w:rPr>
      </w:pPr>
      <w:bookmarkStart w:id="103" w:name="_Toc17932"/>
      <w:bookmarkStart w:id="104" w:name="_Toc6018"/>
      <w:bookmarkStart w:id="105" w:name="_Toc4848"/>
      <w:bookmarkStart w:id="106" w:name="_Toc30127"/>
      <w:bookmarkStart w:id="107" w:name="_Toc131776219"/>
      <w:bookmarkStart w:id="108" w:name="_Toc667"/>
      <w:bookmarkStart w:id="109" w:name="_Toc25779"/>
      <w:bookmarkStart w:id="110" w:name="_Toc1643"/>
      <w:bookmarkStart w:id="111" w:name="_Toc4319"/>
      <w:bookmarkStart w:id="112" w:name="_Toc28106"/>
      <w:bookmarkStart w:id="113" w:name="_Toc17273"/>
      <w:bookmarkStart w:id="114" w:name="_Toc16539"/>
      <w:bookmarkEnd w:id="92"/>
      <w:bookmarkEnd w:id="93"/>
      <w:bookmarkEnd w:id="94"/>
      <w:bookmarkEnd w:id="95"/>
      <w:bookmarkEnd w:id="96"/>
      <w:bookmarkEnd w:id="97"/>
      <w:bookmarkEnd w:id="98"/>
      <w:bookmarkEnd w:id="99"/>
      <w:bookmarkEnd w:id="100"/>
      <w:bookmarkEnd w:id="101"/>
      <w:bookmarkEnd w:id="102"/>
      <w:r>
        <w:rPr>
          <w:rFonts w:ascii="宋体" w:eastAsia="宋体" w:hAnsi="宋体" w:cs="Times New Roman" w:hint="eastAsia"/>
          <w:kern w:val="2"/>
          <w:sz w:val="24"/>
          <w:lang w:eastAsia="zh-CN"/>
        </w:rPr>
        <w:t>（</w:t>
      </w:r>
      <w:r>
        <w:rPr>
          <w:rFonts w:ascii="宋体" w:eastAsia="宋体" w:hAnsi="宋体" w:cs="Times New Roman" w:hint="eastAsia"/>
          <w:kern w:val="2"/>
          <w:sz w:val="24"/>
          <w:lang w:val="en-US" w:eastAsia="zh-CN"/>
        </w:rPr>
        <w:t>4</w:t>
      </w:r>
      <w:r>
        <w:rPr>
          <w:rFonts w:ascii="宋体" w:eastAsia="宋体" w:hAnsi="宋体" w:cs="Times New Roman" w:hint="eastAsia"/>
          <w:kern w:val="2"/>
          <w:sz w:val="24"/>
          <w:lang w:eastAsia="zh-CN"/>
        </w:rPr>
        <w:t>）</w:t>
      </w:r>
      <w:bookmarkStart w:id="115" w:name="_Toc24657"/>
      <w:bookmarkStart w:id="116" w:name="_Toc24764"/>
      <w:bookmarkStart w:id="117" w:name="_Toc3561"/>
      <w:bookmarkStart w:id="118" w:name="_Toc6105"/>
      <w:bookmarkStart w:id="119" w:name="_Toc6309"/>
      <w:bookmarkStart w:id="120" w:name="_Toc16061"/>
      <w:bookmarkStart w:id="121" w:name="_Toc6780"/>
      <w:bookmarkStart w:id="122" w:name="_Toc11385"/>
      <w:bookmarkStart w:id="123" w:name="_Toc14148"/>
      <w:bookmarkStart w:id="124" w:name="_Toc11810"/>
      <w:bookmarkStart w:id="125" w:name="_Toc15899"/>
      <w:r>
        <w:rPr>
          <w:rFonts w:ascii="宋体" w:eastAsia="宋体" w:hAnsi="宋体" w:cs="Times New Roman" w:hint="eastAsia"/>
          <w:kern w:val="2"/>
          <w:sz w:val="24"/>
          <w:lang w:eastAsia="zh-CN"/>
        </w:rPr>
        <w:t>伺服系统</w:t>
      </w:r>
      <w:bookmarkStart w:id="126" w:name="_Toc8546"/>
      <w:bookmarkStart w:id="127" w:name="_Toc29546"/>
      <w:bookmarkStart w:id="128" w:name="_Toc23234"/>
      <w:bookmarkStart w:id="129" w:name="_Toc4885"/>
      <w:bookmarkStart w:id="130" w:name="_Toc19891"/>
      <w:bookmarkStart w:id="131" w:name="_Toc7518"/>
      <w:bookmarkStart w:id="132" w:name="_Toc29068"/>
      <w:bookmarkStart w:id="133" w:name="_Toc1012"/>
      <w:bookmarkStart w:id="134" w:name="_Toc30133"/>
      <w:bookmarkStart w:id="135" w:name="_Toc23241"/>
      <w:bookmarkStart w:id="136" w:name="_Toc31594"/>
      <w:bookmarkStart w:id="137" w:name="_Toc19713"/>
      <w:bookmarkStart w:id="138" w:name="_Toc28613"/>
      <w:bookmarkStart w:id="139" w:name="_Toc19446"/>
      <w:bookmarkStart w:id="140" w:name="_Toc15875"/>
      <w:bookmarkStart w:id="141" w:name="_Toc5320"/>
      <w:bookmarkEnd w:id="121"/>
      <w:bookmarkEnd w:id="122"/>
      <w:bookmarkEnd w:id="123"/>
      <w:bookmarkEnd w:id="120"/>
      <w:bookmarkEnd w:id="124"/>
      <w:bookmarkEnd w:id="125"/>
      <w:bookmarkEnd w:id="115"/>
      <w:bookmarkEnd w:id="116"/>
      <w:bookmarkEnd w:id="117"/>
      <w:bookmarkEnd w:id="118"/>
      <w:bookmarkEnd w:id="119"/>
      <w:r>
        <w:rPr>
          <w:rFonts w:ascii="Times New Roman" w:eastAsia="黑体" w:hAnsi="Times New Roman"/>
          <w:b w:val="0"/>
          <w:bCs w:val="0"/>
          <w:sz w:val="21"/>
          <w:szCs w:val="21"/>
        </w:rPr>
        <w:t>技术指标</w:t>
      </w:r>
    </w:p>
    <w:p>
      <w:pPr>
        <w:adjustRightInd w:val="0"/>
        <w:snapToGrid w:val="0"/>
        <w:spacing w:line="360" w:lineRule="auto"/>
        <w:ind w:firstLine="464" w:firstLineChars="221"/>
        <w:rPr>
          <w:rFonts w:ascii="宋体" w:hAnsi="宋体"/>
          <w:szCs w:val="21"/>
        </w:rPr>
      </w:pPr>
      <w:bookmarkStart w:id="142" w:name="_Toc1601"/>
      <w:bookmarkStart w:id="143" w:name="_Toc2208"/>
      <w:bookmarkStart w:id="144" w:name="_Toc24567"/>
      <w:bookmarkStart w:id="145" w:name="_Toc30647"/>
      <w:bookmarkStart w:id="146" w:name="_Toc20895"/>
      <w:bookmarkEnd w:id="136"/>
      <w:bookmarkEnd w:id="134"/>
      <w:bookmarkEnd w:id="133"/>
      <w:bookmarkEnd w:id="132"/>
      <w:bookmarkEnd w:id="131"/>
      <w:bookmarkEnd w:id="130"/>
      <w:bookmarkEnd w:id="135"/>
      <w:bookmarkEnd w:id="137"/>
      <w:bookmarkEnd w:id="138"/>
      <w:bookmarkEnd w:id="139"/>
      <w:bookmarkEnd w:id="140"/>
      <w:bookmarkEnd w:id="141"/>
      <w:bookmarkEnd w:id="126"/>
      <w:bookmarkEnd w:id="127"/>
      <w:bookmarkEnd w:id="128"/>
      <w:bookmarkEnd w:id="129"/>
      <w:r>
        <w:rPr>
          <w:rFonts w:ascii="宋体" w:hAnsi="宋体"/>
          <w:szCs w:val="21"/>
        </w:rPr>
        <w:t>具有扫描功能的测风激光雷达安装伺服系统，技术指标包括：扫描范围、扫描速度、控制方式、</w:t>
      </w:r>
      <w:r>
        <w:rPr>
          <w:rFonts w:ascii="宋体" w:hAnsi="宋体" w:hint="eastAsia"/>
          <w:szCs w:val="21"/>
        </w:rPr>
        <w:t>指向</w:t>
      </w:r>
      <w:r>
        <w:rPr>
          <w:rFonts w:ascii="宋体" w:hAnsi="宋体"/>
          <w:szCs w:val="21"/>
        </w:rPr>
        <w:t>精度等，具体见下表。</w:t>
      </w:r>
    </w:p>
    <w:p>
      <w:pPr>
        <w:adjustRightInd w:val="0"/>
        <w:snapToGrid w:val="0"/>
        <w:spacing w:line="360" w:lineRule="auto"/>
        <w:jc w:val="center"/>
        <w:rPr>
          <w:rFonts w:eastAsia="黑体"/>
          <w:bCs/>
          <w:szCs w:val="21"/>
        </w:rPr>
      </w:pPr>
      <w:r>
        <w:rPr>
          <w:rFonts w:eastAsia="黑体" w:hint="eastAsia"/>
          <w:bCs/>
          <w:szCs w:val="21"/>
        </w:rPr>
        <w:t>表</w:t>
      </w:r>
      <w:r>
        <w:rPr>
          <w:rFonts w:eastAsia="黑体"/>
          <w:bCs/>
          <w:szCs w:val="21"/>
        </w:rPr>
        <w:t>4</w:t>
      </w:r>
      <w:r>
        <w:rPr>
          <w:rFonts w:eastAsia="黑体" w:hint="eastAsia"/>
          <w:bCs/>
          <w:szCs w:val="21"/>
        </w:rPr>
        <w:t>伺服系统技术性能指标表</w:t>
      </w:r>
    </w:p>
    <w:tbl>
      <w:tblPr>
        <w:tblStyle w:val="TableNormal"/>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13"/>
        <w:gridCol w:w="992"/>
        <w:gridCol w:w="6237"/>
      </w:tblGrid>
      <w:tr>
        <w:tblPrEx>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2405" w:type="dxa"/>
            <w:gridSpan w:val="2"/>
            <w:vMerge w:val="restart"/>
            <w:vAlign w:val="center"/>
          </w:tcPr>
          <w:p>
            <w:pPr>
              <w:adjustRightInd w:val="0"/>
              <w:snapToGrid w:val="0"/>
              <w:jc w:val="center"/>
              <w:rPr>
                <w:bCs/>
                <w:sz w:val="18"/>
                <w:szCs w:val="18"/>
              </w:rPr>
            </w:pPr>
            <w:r>
              <w:rPr>
                <w:bCs/>
                <w:sz w:val="18"/>
                <w:szCs w:val="18"/>
              </w:rPr>
              <w:t>项目</w:t>
            </w:r>
          </w:p>
        </w:tc>
        <w:tc>
          <w:tcPr>
            <w:tcW w:w="6237" w:type="dxa"/>
            <w:vAlign w:val="center"/>
          </w:tcPr>
          <w:p>
            <w:pPr>
              <w:adjustRightInd w:val="0"/>
              <w:snapToGrid w:val="0"/>
              <w:jc w:val="center"/>
              <w:rPr>
                <w:bCs/>
                <w:sz w:val="18"/>
                <w:szCs w:val="18"/>
              </w:rPr>
            </w:pPr>
            <w:r>
              <w:rPr>
                <w:bCs/>
                <w:sz w:val="18"/>
                <w:szCs w:val="18"/>
              </w:rPr>
              <w:t>性能指标</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2405" w:type="dxa"/>
            <w:gridSpan w:val="2"/>
            <w:vMerge/>
            <w:vAlign w:val="center"/>
          </w:tcPr>
          <w:p>
            <w:pPr>
              <w:adjustRightInd w:val="0"/>
              <w:snapToGrid w:val="0"/>
              <w:jc w:val="center"/>
              <w:rPr>
                <w:bCs/>
                <w:sz w:val="18"/>
                <w:szCs w:val="18"/>
              </w:rPr>
            </w:pPr>
          </w:p>
        </w:tc>
        <w:tc>
          <w:tcPr>
            <w:tcW w:w="6237" w:type="dxa"/>
            <w:vAlign w:val="center"/>
          </w:tcPr>
          <w:p>
            <w:pPr>
              <w:adjustRightInd w:val="0"/>
              <w:snapToGrid w:val="0"/>
              <w:jc w:val="center"/>
              <w:rPr>
                <w:bCs/>
                <w:sz w:val="18"/>
                <w:szCs w:val="18"/>
              </w:rPr>
            </w:pPr>
            <w:r>
              <w:rPr>
                <w:bCs/>
                <w:sz w:val="18"/>
                <w:szCs w:val="18"/>
              </w:rPr>
              <w:t>远距型</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2405" w:type="dxa"/>
            <w:gridSpan w:val="2"/>
            <w:vMerge/>
            <w:vAlign w:val="center"/>
          </w:tcPr>
          <w:p>
            <w:pPr>
              <w:adjustRightInd w:val="0"/>
              <w:snapToGrid w:val="0"/>
              <w:jc w:val="center"/>
              <w:rPr>
                <w:bCs/>
                <w:sz w:val="18"/>
                <w:szCs w:val="18"/>
              </w:rPr>
            </w:pPr>
          </w:p>
        </w:tc>
        <w:tc>
          <w:tcPr>
            <w:tcW w:w="6237" w:type="dxa"/>
            <w:vAlign w:val="center"/>
          </w:tcPr>
          <w:p>
            <w:pPr>
              <w:adjustRightInd w:val="0"/>
              <w:snapToGrid w:val="0"/>
              <w:jc w:val="center"/>
              <w:rPr>
                <w:bCs/>
                <w:sz w:val="18"/>
                <w:szCs w:val="18"/>
              </w:rPr>
            </w:pPr>
            <w:r>
              <w:rPr>
                <w:bCs/>
                <w:sz w:val="18"/>
                <w:szCs w:val="18"/>
              </w:rPr>
              <w:t>脉冲</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2405" w:type="dxa"/>
            <w:gridSpan w:val="2"/>
            <w:vAlign w:val="center"/>
          </w:tcPr>
          <w:p>
            <w:pPr>
              <w:adjustRightInd w:val="0"/>
              <w:snapToGrid w:val="0"/>
              <w:jc w:val="center"/>
              <w:rPr>
                <w:bCs/>
                <w:sz w:val="18"/>
                <w:szCs w:val="18"/>
              </w:rPr>
            </w:pPr>
            <w:r>
              <w:rPr>
                <w:bCs/>
                <w:sz w:val="18"/>
                <w:szCs w:val="18"/>
              </w:rPr>
              <w:t>扫描方式</w:t>
            </w:r>
          </w:p>
        </w:tc>
        <w:tc>
          <w:tcPr>
            <w:tcW w:w="6237" w:type="dxa"/>
            <w:vAlign w:val="center"/>
          </w:tcPr>
          <w:p>
            <w:pPr>
              <w:adjustRightInd w:val="0"/>
              <w:snapToGrid w:val="0"/>
              <w:jc w:val="center"/>
              <w:rPr>
                <w:bCs/>
                <w:sz w:val="18"/>
                <w:szCs w:val="18"/>
              </w:rPr>
            </w:pPr>
            <w:r>
              <w:rPr>
                <w:rFonts w:eastAsia="宋体" w:cs="Times New Roman" w:hint="default"/>
                <w:bCs/>
                <w:sz w:val="18"/>
                <w:szCs w:val="18"/>
                <w:lang w:val="en-US" w:eastAsia="zh-CN" w:bidi="en-US"/>
              </w:rPr>
              <w:t>DBS</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1413" w:type="dxa"/>
            <w:vMerge w:val="restart"/>
            <w:vAlign w:val="center"/>
          </w:tcPr>
          <w:p>
            <w:pPr>
              <w:adjustRightInd w:val="0"/>
              <w:snapToGrid w:val="0"/>
              <w:jc w:val="center"/>
              <w:rPr>
                <w:bCs/>
                <w:sz w:val="18"/>
                <w:szCs w:val="18"/>
              </w:rPr>
            </w:pPr>
            <w:r>
              <w:rPr>
                <w:bCs/>
                <w:sz w:val="18"/>
                <w:szCs w:val="18"/>
              </w:rPr>
              <w:t>扫描范围</w:t>
            </w:r>
          </w:p>
        </w:tc>
        <w:tc>
          <w:tcPr>
            <w:tcW w:w="992" w:type="dxa"/>
            <w:vAlign w:val="center"/>
          </w:tcPr>
          <w:p>
            <w:pPr>
              <w:adjustRightInd w:val="0"/>
              <w:snapToGrid w:val="0"/>
              <w:jc w:val="center"/>
              <w:rPr>
                <w:bCs/>
                <w:sz w:val="18"/>
                <w:szCs w:val="18"/>
              </w:rPr>
            </w:pPr>
            <w:r>
              <w:rPr>
                <w:bCs/>
                <w:sz w:val="18"/>
                <w:szCs w:val="18"/>
              </w:rPr>
              <w:t>方位</w:t>
            </w:r>
          </w:p>
        </w:tc>
        <w:tc>
          <w:tcPr>
            <w:tcW w:w="6237" w:type="dxa"/>
            <w:vAlign w:val="center"/>
          </w:tcPr>
          <w:p>
            <w:pPr>
              <w:adjustRightInd w:val="0"/>
              <w:snapToGrid w:val="0"/>
              <w:rPr>
                <w:bCs/>
                <w:sz w:val="18"/>
                <w:szCs w:val="18"/>
              </w:rPr>
            </w:pPr>
            <w:r>
              <w:rPr>
                <w:bCs/>
                <w:sz w:val="18"/>
                <w:szCs w:val="18"/>
              </w:rPr>
              <w:t>0～360°</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1413" w:type="dxa"/>
            <w:vMerge/>
            <w:vAlign w:val="center"/>
          </w:tcPr>
          <w:p>
            <w:pPr>
              <w:adjustRightInd w:val="0"/>
              <w:snapToGrid w:val="0"/>
              <w:jc w:val="center"/>
              <w:rPr>
                <w:bCs/>
                <w:sz w:val="18"/>
                <w:szCs w:val="18"/>
              </w:rPr>
            </w:pPr>
          </w:p>
        </w:tc>
        <w:tc>
          <w:tcPr>
            <w:tcW w:w="992" w:type="dxa"/>
            <w:vAlign w:val="center"/>
          </w:tcPr>
          <w:p>
            <w:pPr>
              <w:adjustRightInd w:val="0"/>
              <w:snapToGrid w:val="0"/>
              <w:jc w:val="center"/>
              <w:rPr>
                <w:bCs/>
                <w:sz w:val="18"/>
                <w:szCs w:val="18"/>
              </w:rPr>
            </w:pPr>
            <w:r>
              <w:rPr>
                <w:bCs/>
                <w:sz w:val="18"/>
                <w:szCs w:val="18"/>
              </w:rPr>
              <w:t>俯仰</w:t>
            </w:r>
          </w:p>
        </w:tc>
        <w:tc>
          <w:tcPr>
            <w:tcW w:w="6237" w:type="dxa"/>
            <w:vAlign w:val="center"/>
          </w:tcPr>
          <w:p>
            <w:pPr>
              <w:adjustRightInd w:val="0"/>
              <w:snapToGrid w:val="0"/>
              <w:rPr>
                <w:bCs/>
                <w:sz w:val="18"/>
                <w:szCs w:val="18"/>
              </w:rPr>
            </w:pPr>
            <w:r>
              <w:rPr>
                <w:bCs/>
                <w:sz w:val="18"/>
                <w:szCs w:val="18"/>
              </w:rPr>
              <w:t>–2～+90°</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1413" w:type="dxa"/>
            <w:vMerge w:val="restart"/>
            <w:vAlign w:val="center"/>
          </w:tcPr>
          <w:p>
            <w:pPr>
              <w:adjustRightInd w:val="0"/>
              <w:snapToGrid w:val="0"/>
              <w:jc w:val="center"/>
              <w:rPr>
                <w:bCs/>
                <w:sz w:val="18"/>
                <w:szCs w:val="18"/>
              </w:rPr>
            </w:pPr>
            <w:r>
              <w:rPr>
                <w:bCs/>
                <w:sz w:val="18"/>
                <w:szCs w:val="18"/>
              </w:rPr>
              <w:t>扫描速度</w:t>
            </w:r>
          </w:p>
        </w:tc>
        <w:tc>
          <w:tcPr>
            <w:tcW w:w="992" w:type="dxa"/>
            <w:vAlign w:val="center"/>
          </w:tcPr>
          <w:p>
            <w:pPr>
              <w:adjustRightInd w:val="0"/>
              <w:snapToGrid w:val="0"/>
              <w:jc w:val="center"/>
              <w:rPr>
                <w:bCs/>
                <w:sz w:val="18"/>
                <w:szCs w:val="18"/>
              </w:rPr>
            </w:pPr>
            <w:r>
              <w:rPr>
                <w:bCs/>
                <w:sz w:val="18"/>
                <w:szCs w:val="18"/>
              </w:rPr>
              <w:t>方位</w:t>
            </w:r>
          </w:p>
        </w:tc>
        <w:tc>
          <w:tcPr>
            <w:tcW w:w="6237" w:type="dxa"/>
            <w:vAlign w:val="center"/>
          </w:tcPr>
          <w:p>
            <w:pPr>
              <w:adjustRightInd w:val="0"/>
              <w:snapToGrid w:val="0"/>
              <w:rPr>
                <w:bCs/>
                <w:sz w:val="18"/>
                <w:szCs w:val="18"/>
              </w:rPr>
            </w:pPr>
            <w:r>
              <w:rPr>
                <w:bCs/>
                <w:sz w:val="18"/>
                <w:szCs w:val="18"/>
              </w:rPr>
              <w:t>扫描速度≥20°/s（可调）</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1413" w:type="dxa"/>
            <w:vMerge/>
            <w:vAlign w:val="center"/>
          </w:tcPr>
          <w:p>
            <w:pPr>
              <w:adjustRightInd w:val="0"/>
              <w:snapToGrid w:val="0"/>
              <w:jc w:val="center"/>
              <w:rPr>
                <w:bCs/>
                <w:sz w:val="18"/>
                <w:szCs w:val="18"/>
              </w:rPr>
            </w:pPr>
          </w:p>
        </w:tc>
        <w:tc>
          <w:tcPr>
            <w:tcW w:w="992" w:type="dxa"/>
            <w:vAlign w:val="center"/>
          </w:tcPr>
          <w:p>
            <w:pPr>
              <w:adjustRightInd w:val="0"/>
              <w:snapToGrid w:val="0"/>
              <w:jc w:val="center"/>
              <w:rPr>
                <w:bCs/>
                <w:sz w:val="18"/>
                <w:szCs w:val="18"/>
              </w:rPr>
            </w:pPr>
            <w:r>
              <w:rPr>
                <w:bCs/>
                <w:sz w:val="18"/>
                <w:szCs w:val="18"/>
              </w:rPr>
              <w:t>俯仰</w:t>
            </w:r>
          </w:p>
        </w:tc>
        <w:tc>
          <w:tcPr>
            <w:tcW w:w="6237" w:type="dxa"/>
            <w:vAlign w:val="center"/>
          </w:tcPr>
          <w:p>
            <w:pPr>
              <w:adjustRightInd w:val="0"/>
              <w:snapToGrid w:val="0"/>
              <w:rPr>
                <w:bCs/>
                <w:sz w:val="18"/>
                <w:szCs w:val="18"/>
              </w:rPr>
            </w:pPr>
            <w:r>
              <w:rPr>
                <w:bCs/>
                <w:sz w:val="18"/>
                <w:szCs w:val="18"/>
              </w:rPr>
              <w:t>扫描速度≥12°/s （可调）</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2405" w:type="dxa"/>
            <w:gridSpan w:val="2"/>
            <w:vAlign w:val="center"/>
          </w:tcPr>
          <w:p>
            <w:pPr>
              <w:adjustRightInd w:val="0"/>
              <w:snapToGrid w:val="0"/>
              <w:jc w:val="center"/>
              <w:rPr>
                <w:bCs/>
                <w:sz w:val="18"/>
                <w:szCs w:val="18"/>
              </w:rPr>
            </w:pPr>
            <w:r>
              <w:rPr>
                <w:bCs/>
                <w:sz w:val="18"/>
                <w:szCs w:val="18"/>
              </w:rPr>
              <w:t>控制方式</w:t>
            </w:r>
          </w:p>
        </w:tc>
        <w:tc>
          <w:tcPr>
            <w:tcW w:w="6237" w:type="dxa"/>
            <w:vAlign w:val="center"/>
          </w:tcPr>
          <w:p>
            <w:pPr>
              <w:adjustRightInd w:val="0"/>
              <w:snapToGrid w:val="0"/>
              <w:rPr>
                <w:bCs/>
                <w:sz w:val="18"/>
                <w:szCs w:val="18"/>
              </w:rPr>
            </w:pPr>
            <w:r>
              <w:rPr>
                <w:bCs/>
                <w:sz w:val="18"/>
                <w:szCs w:val="18"/>
              </w:rPr>
              <w:t>预置全自动、人工干预自动/手动控制</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2405" w:type="dxa"/>
            <w:gridSpan w:val="2"/>
            <w:vAlign w:val="center"/>
          </w:tcPr>
          <w:p>
            <w:pPr>
              <w:adjustRightInd w:val="0"/>
              <w:snapToGrid w:val="0"/>
              <w:jc w:val="center"/>
              <w:rPr>
                <w:bCs/>
                <w:sz w:val="18"/>
                <w:szCs w:val="18"/>
              </w:rPr>
            </w:pPr>
            <w:r>
              <w:rPr>
                <w:bCs/>
                <w:sz w:val="18"/>
                <w:szCs w:val="18"/>
              </w:rPr>
              <w:t>指向精度</w:t>
            </w:r>
          </w:p>
        </w:tc>
        <w:tc>
          <w:tcPr>
            <w:tcW w:w="6237" w:type="dxa"/>
            <w:vAlign w:val="center"/>
          </w:tcPr>
          <w:p>
            <w:pPr>
              <w:adjustRightInd w:val="0"/>
              <w:snapToGrid w:val="0"/>
              <w:rPr>
                <w:bCs/>
                <w:sz w:val="18"/>
                <w:szCs w:val="18"/>
              </w:rPr>
            </w:pPr>
            <w:r>
              <w:rPr>
                <w:bCs/>
                <w:sz w:val="18"/>
                <w:szCs w:val="18"/>
              </w:rPr>
              <w:t>≤0.1°</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2405" w:type="dxa"/>
            <w:gridSpan w:val="2"/>
            <w:vAlign w:val="center"/>
          </w:tcPr>
          <w:p>
            <w:pPr>
              <w:adjustRightInd w:val="0"/>
              <w:snapToGrid w:val="0"/>
              <w:jc w:val="center"/>
              <w:rPr>
                <w:bCs/>
                <w:sz w:val="18"/>
                <w:szCs w:val="18"/>
              </w:rPr>
            </w:pPr>
            <w:r>
              <w:rPr>
                <w:bCs/>
                <w:sz w:val="18"/>
                <w:szCs w:val="18"/>
              </w:rPr>
              <w:t>安全与保护</w:t>
            </w:r>
          </w:p>
        </w:tc>
        <w:tc>
          <w:tcPr>
            <w:tcW w:w="6237" w:type="dxa"/>
            <w:vAlign w:val="center"/>
          </w:tcPr>
          <w:p>
            <w:pPr>
              <w:adjustRightInd w:val="0"/>
              <w:snapToGrid w:val="0"/>
              <w:rPr>
                <w:bCs/>
                <w:sz w:val="18"/>
                <w:szCs w:val="18"/>
              </w:rPr>
            </w:pPr>
            <w:r>
              <w:rPr>
                <w:bCs/>
                <w:sz w:val="18"/>
                <w:szCs w:val="18"/>
              </w:rPr>
              <w:t>方位、俯仰机构上应有电气、机械安全设施，以保护设备在工作与运输过程中的安全。方位、俯仰控制应有保护电路。</w:t>
            </w:r>
          </w:p>
        </w:tc>
      </w:tr>
      <w:tr>
        <w:tblPrEx>
          <w:tblW w:w="8642" w:type="dxa"/>
          <w:jc w:val="center"/>
          <w:tblLayout w:type="fixed"/>
          <w:tblCellMar>
            <w:top w:w="0" w:type="dxa"/>
            <w:left w:w="108" w:type="dxa"/>
            <w:bottom w:w="0" w:type="dxa"/>
            <w:right w:w="108" w:type="dxa"/>
          </w:tblCellMar>
          <w:tblLook w:val="0000"/>
        </w:tblPrEx>
        <w:trPr>
          <w:trHeight w:val="397"/>
          <w:jc w:val="center"/>
        </w:trPr>
        <w:tc>
          <w:tcPr>
            <w:tcW w:w="2405" w:type="dxa"/>
            <w:gridSpan w:val="2"/>
            <w:vAlign w:val="center"/>
          </w:tcPr>
          <w:p>
            <w:pPr>
              <w:adjustRightInd w:val="0"/>
              <w:snapToGrid w:val="0"/>
              <w:jc w:val="center"/>
              <w:rPr>
                <w:bCs/>
                <w:sz w:val="18"/>
                <w:szCs w:val="18"/>
              </w:rPr>
            </w:pPr>
            <w:r>
              <w:rPr>
                <w:bCs/>
                <w:sz w:val="18"/>
                <w:szCs w:val="18"/>
              </w:rPr>
              <w:t>抗风能力（阵风）</w:t>
            </w:r>
          </w:p>
        </w:tc>
        <w:tc>
          <w:tcPr>
            <w:tcW w:w="6237" w:type="dxa"/>
            <w:vAlign w:val="center"/>
          </w:tcPr>
          <w:p>
            <w:pPr>
              <w:adjustRightInd w:val="0"/>
              <w:snapToGrid w:val="0"/>
              <w:rPr>
                <w:bCs/>
                <w:sz w:val="18"/>
                <w:szCs w:val="18"/>
              </w:rPr>
            </w:pPr>
            <w:r>
              <w:rPr>
                <w:bCs/>
                <w:sz w:val="18"/>
                <w:szCs w:val="18"/>
              </w:rPr>
              <w:t>应能承受50 m/s的最大阵风风速、30 m/s的最大平稳风速，伺服系统应不产生永久性变形或破坏。</w:t>
            </w:r>
          </w:p>
        </w:tc>
      </w:tr>
    </w:tbl>
    <w:p>
      <w:pPr>
        <w:ind w:firstLine="480"/>
        <w:rPr>
          <w:rFonts w:hint="eastAsia"/>
        </w:rPr>
      </w:pPr>
    </w:p>
    <w:p>
      <w:pPr>
        <w:pStyle w:val="Heading2"/>
        <w:numPr>
          <w:ilvl w:val="0"/>
          <w:numId w:val="0"/>
        </w:numPr>
        <w:adjustRightInd w:val="0"/>
        <w:snapToGrid w:val="0"/>
        <w:spacing w:beforeLines="0" w:afterLines="0" w:line="360" w:lineRule="auto"/>
        <w:ind w:left="578" w:hanging="578"/>
        <w:rPr>
          <w:rFonts w:ascii="Times New Roman" w:hAnsi="Times New Roman"/>
          <w:b w:val="0"/>
          <w:bCs w:val="0"/>
          <w:sz w:val="21"/>
          <w:szCs w:val="21"/>
        </w:rPr>
      </w:pPr>
      <w:bookmarkEnd w:id="142"/>
      <w:bookmarkEnd w:id="143"/>
      <w:bookmarkEnd w:id="144"/>
      <w:bookmarkEnd w:id="146"/>
      <w:bookmarkEnd w:id="145"/>
      <w:r>
        <w:rPr>
          <w:rFonts w:ascii="宋体" w:eastAsia="宋体" w:hAnsi="宋体" w:cs="Times New Roman" w:hint="eastAsia"/>
          <w:kern w:val="2"/>
          <w:sz w:val="24"/>
          <w:lang w:eastAsia="zh-CN"/>
        </w:rPr>
        <w:t>（</w:t>
      </w:r>
      <w:r>
        <w:rPr>
          <w:rFonts w:ascii="宋体" w:eastAsia="宋体" w:hAnsi="宋体" w:cs="Times New Roman" w:hint="eastAsia"/>
          <w:kern w:val="2"/>
          <w:sz w:val="24"/>
          <w:lang w:val="en-US" w:eastAsia="zh-CN"/>
        </w:rPr>
        <w:t>5</w:t>
      </w:r>
      <w:r>
        <w:rPr>
          <w:rFonts w:ascii="宋体" w:eastAsia="宋体" w:hAnsi="宋体" w:cs="Times New Roman" w:hint="eastAsia"/>
          <w:kern w:val="2"/>
          <w:sz w:val="24"/>
          <w:lang w:eastAsia="zh-CN"/>
        </w:rPr>
        <w:t>）</w:t>
      </w:r>
      <w:r>
        <w:rPr>
          <w:rFonts w:ascii="Times New Roman" w:eastAsia="黑体" w:hAnsi="Times New Roman"/>
          <w:b w:val="0"/>
          <w:bCs w:val="0"/>
          <w:sz w:val="21"/>
          <w:szCs w:val="21"/>
        </w:rPr>
        <w:t>光电转换及数据采集系统技术指标</w:t>
      </w:r>
    </w:p>
    <w:p>
      <w:pPr>
        <w:adjustRightInd w:val="0"/>
        <w:snapToGrid w:val="0"/>
        <w:spacing w:line="360" w:lineRule="auto"/>
        <w:ind w:firstLine="464" w:firstLineChars="221"/>
        <w:rPr>
          <w:rFonts w:ascii="宋体" w:hAnsi="宋体"/>
          <w:szCs w:val="21"/>
        </w:rPr>
      </w:pPr>
      <w:r>
        <w:rPr>
          <w:rFonts w:ascii="宋体" w:hAnsi="宋体"/>
          <w:szCs w:val="21"/>
        </w:rPr>
        <w:t>光电转换及数据采集系统主要由光电转换器、放大器和数据采集器等组成。技术指标主要包括光电转换器类型、采样频率等，具体指标见下表。</w:t>
      </w:r>
    </w:p>
    <w:p>
      <w:pPr>
        <w:adjustRightInd w:val="0"/>
        <w:snapToGrid w:val="0"/>
        <w:spacing w:line="360" w:lineRule="auto"/>
        <w:jc w:val="center"/>
        <w:rPr>
          <w:rFonts w:ascii="黑体" w:eastAsia="黑体" w:hAnsi="黑体"/>
          <w:bCs/>
          <w:szCs w:val="21"/>
        </w:rPr>
      </w:pPr>
      <w:r>
        <w:rPr>
          <w:rFonts w:ascii="黑体" w:eastAsia="黑体" w:hAnsi="黑体" w:hint="eastAsia"/>
          <w:bCs/>
          <w:szCs w:val="21"/>
        </w:rPr>
        <w:t>表</w:t>
      </w:r>
      <w:r>
        <w:rPr>
          <w:rFonts w:ascii="黑体" w:eastAsia="黑体" w:hAnsi="黑体"/>
          <w:bCs/>
          <w:szCs w:val="21"/>
        </w:rPr>
        <w:t>5</w:t>
      </w:r>
      <w:r>
        <w:rPr>
          <w:rFonts w:ascii="黑体" w:eastAsia="黑体" w:hAnsi="黑体" w:hint="eastAsia"/>
          <w:bCs/>
          <w:szCs w:val="21"/>
        </w:rPr>
        <w:t>光电转换及数据采集系统技术性能指标表</w:t>
      </w:r>
    </w:p>
    <w:tbl>
      <w:tblPr>
        <w:tblStyle w:val="TableNorm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06"/>
        <w:gridCol w:w="2627"/>
        <w:gridCol w:w="2872"/>
      </w:tblGrid>
      <w:tr>
        <w:tblPrEx>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bCs/>
                <w:sz w:val="18"/>
                <w:szCs w:val="18"/>
              </w:rPr>
            </w:pPr>
            <w:r>
              <w:rPr>
                <w:bCs/>
                <w:sz w:val="18"/>
                <w:szCs w:val="18"/>
              </w:rPr>
              <w:t>项目</w:t>
            </w:r>
          </w:p>
        </w:tc>
        <w:tc>
          <w:tcPr>
            <w:tcW w:w="5499" w:type="dxa"/>
            <w:gridSpan w:val="2"/>
            <w:vAlign w:val="center"/>
          </w:tcPr>
          <w:p>
            <w:pPr>
              <w:adjustRightInd w:val="0"/>
              <w:snapToGrid w:val="0"/>
              <w:jc w:val="center"/>
              <w:rPr>
                <w:bCs/>
                <w:sz w:val="18"/>
                <w:szCs w:val="18"/>
              </w:rPr>
            </w:pPr>
            <w:r>
              <w:rPr>
                <w:bCs/>
                <w:sz w:val="18"/>
                <w:szCs w:val="18"/>
              </w:rPr>
              <w:t>性能指标</w:t>
            </w:r>
          </w:p>
        </w:tc>
      </w:tr>
      <w:tr>
        <w:tblPrEx>
          <w:tblW w:w="8505" w:type="dxa"/>
          <w:jc w:val="center"/>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bCs/>
                <w:sz w:val="18"/>
                <w:szCs w:val="18"/>
              </w:rPr>
            </w:pPr>
            <w:r>
              <w:rPr>
                <w:bCs/>
                <w:sz w:val="18"/>
                <w:szCs w:val="18"/>
              </w:rPr>
              <w:t>光电转换器类型</w:t>
            </w:r>
          </w:p>
        </w:tc>
        <w:tc>
          <w:tcPr>
            <w:tcW w:w="5499" w:type="dxa"/>
            <w:gridSpan w:val="2"/>
            <w:vAlign w:val="center"/>
          </w:tcPr>
          <w:p>
            <w:pPr>
              <w:adjustRightInd w:val="0"/>
              <w:snapToGrid w:val="0"/>
              <w:jc w:val="center"/>
              <w:rPr>
                <w:bCs/>
                <w:sz w:val="18"/>
                <w:szCs w:val="18"/>
              </w:rPr>
            </w:pPr>
            <w:bookmarkStart w:id="147" w:name="_Hlk120747220"/>
            <w:r>
              <w:rPr>
                <w:bCs/>
                <w:kern w:val="0"/>
                <w:sz w:val="18"/>
                <w:szCs w:val="18"/>
              </w:rPr>
              <w:t>基于PIN或APD光电二极管的平衡探测器</w:t>
            </w:r>
            <w:bookmarkEnd w:id="147"/>
          </w:p>
        </w:tc>
      </w:tr>
      <w:tr>
        <w:tblPrEx>
          <w:tblW w:w="8505" w:type="dxa"/>
          <w:jc w:val="center"/>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bCs/>
                <w:sz w:val="18"/>
                <w:szCs w:val="18"/>
              </w:rPr>
            </w:pPr>
            <w:r>
              <w:rPr>
                <w:bCs/>
                <w:sz w:val="18"/>
                <w:szCs w:val="18"/>
              </w:rPr>
              <w:t>数据采集器采样频率</w:t>
            </w:r>
          </w:p>
        </w:tc>
        <w:tc>
          <w:tcPr>
            <w:tcW w:w="2627" w:type="dxa"/>
            <w:vAlign w:val="center"/>
          </w:tcPr>
          <w:p>
            <w:pPr>
              <w:adjustRightInd w:val="0"/>
              <w:snapToGrid w:val="0"/>
              <w:rPr>
                <w:bCs/>
                <w:sz w:val="18"/>
                <w:szCs w:val="18"/>
              </w:rPr>
            </w:pPr>
            <w:r>
              <w:rPr>
                <w:bCs/>
                <w:sz w:val="18"/>
                <w:szCs w:val="18"/>
              </w:rPr>
              <w:t>≥250MHz（脉冲）</w:t>
            </w:r>
          </w:p>
        </w:tc>
        <w:tc>
          <w:tcPr>
            <w:tcW w:w="2872" w:type="dxa"/>
            <w:vAlign w:val="center"/>
          </w:tcPr>
          <w:p>
            <w:pPr>
              <w:adjustRightInd w:val="0"/>
              <w:snapToGrid w:val="0"/>
              <w:rPr>
                <w:bCs/>
                <w:sz w:val="18"/>
                <w:szCs w:val="18"/>
              </w:rPr>
            </w:pPr>
            <w:r>
              <w:rPr>
                <w:bCs/>
                <w:sz w:val="18"/>
                <w:szCs w:val="18"/>
              </w:rPr>
              <w:t>≥100MHz（连续）</w:t>
            </w:r>
          </w:p>
        </w:tc>
      </w:tr>
      <w:tr>
        <w:tblPrEx>
          <w:tblW w:w="8505" w:type="dxa"/>
          <w:jc w:val="center"/>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bCs/>
                <w:sz w:val="18"/>
                <w:szCs w:val="18"/>
              </w:rPr>
            </w:pPr>
            <w:r>
              <w:rPr>
                <w:bCs/>
                <w:sz w:val="18"/>
                <w:szCs w:val="18"/>
              </w:rPr>
              <w:t>采样位数</w:t>
            </w:r>
          </w:p>
        </w:tc>
        <w:tc>
          <w:tcPr>
            <w:tcW w:w="5499" w:type="dxa"/>
            <w:gridSpan w:val="2"/>
            <w:vAlign w:val="center"/>
          </w:tcPr>
          <w:p>
            <w:pPr>
              <w:adjustRightInd w:val="0"/>
              <w:snapToGrid w:val="0"/>
              <w:rPr>
                <w:bCs/>
                <w:sz w:val="18"/>
                <w:szCs w:val="18"/>
              </w:rPr>
            </w:pPr>
            <w:r>
              <w:rPr>
                <w:bCs/>
                <w:sz w:val="18"/>
                <w:szCs w:val="18"/>
              </w:rPr>
              <w:t>≥10 bit（有效位）</w:t>
            </w:r>
          </w:p>
        </w:tc>
      </w:tr>
    </w:tbl>
    <w:p>
      <w:pPr>
        <w:pStyle w:val="Style1285"/>
        <w:adjustRightInd w:val="0"/>
        <w:snapToGrid w:val="0"/>
        <w:spacing w:line="360" w:lineRule="auto"/>
        <w:ind w:firstLine="480"/>
        <w:rPr>
          <w:rFonts w:ascii="宋体" w:hAnsi="宋体" w:cs="Times New Roman" w:hint="eastAsia"/>
          <w:kern w:val="2"/>
          <w:sz w:val="24"/>
        </w:rPr>
      </w:pPr>
      <w:r>
        <w:rPr>
          <w:rFonts w:ascii="宋体" w:eastAsia="宋体" w:hAnsi="宋体" w:cs="Times New Roman" w:hint="eastAsia"/>
          <w:kern w:val="2"/>
          <w:sz w:val="24"/>
          <w:lang w:eastAsia="zh-CN"/>
        </w:rPr>
        <w:t>（</w:t>
      </w:r>
      <w:r>
        <w:rPr>
          <w:rFonts w:ascii="宋体" w:eastAsia="宋体" w:hAnsi="宋体" w:cs="Times New Roman" w:hint="eastAsia"/>
          <w:kern w:val="2"/>
          <w:sz w:val="24"/>
          <w:lang w:val="en-US" w:eastAsia="zh-CN"/>
        </w:rPr>
        <w:t>6</w:t>
      </w:r>
      <w:r>
        <w:rPr>
          <w:rFonts w:ascii="宋体" w:eastAsia="宋体" w:hAnsi="宋体" w:cs="Times New Roman" w:hint="eastAsia"/>
          <w:kern w:val="2"/>
          <w:sz w:val="24"/>
          <w:lang w:eastAsia="zh-CN"/>
        </w:rPr>
        <w:t>）信号处理器</w:t>
      </w:r>
      <w:bookmarkEnd w:id="105"/>
      <w:bookmarkEnd w:id="104"/>
      <w:bookmarkEnd w:id="106"/>
      <w:bookmarkEnd w:id="110"/>
      <w:bookmarkEnd w:id="111"/>
      <w:bookmarkEnd w:id="112"/>
      <w:bookmarkEnd w:id="113"/>
      <w:bookmarkEnd w:id="114"/>
      <w:bookmarkEnd w:id="103"/>
      <w:bookmarkEnd w:id="109"/>
      <w:bookmarkEnd w:id="107"/>
      <w:bookmarkEnd w:id="108"/>
    </w:p>
    <w:p>
      <w:pPr>
        <w:pStyle w:val="Style1285"/>
        <w:adjustRightInd w:val="0"/>
        <w:snapToGrid w:val="0"/>
        <w:spacing w:line="360" w:lineRule="auto"/>
        <w:ind w:firstLine="480"/>
        <w:rPr>
          <w:rFonts w:ascii="宋体" w:hAnsi="宋体"/>
          <w:kern w:val="2"/>
          <w:sz w:val="24"/>
        </w:rPr>
      </w:pPr>
      <w:r>
        <w:rPr>
          <w:rFonts w:ascii="宋体" w:hAnsi="宋体" w:hint="eastAsia"/>
          <w:kern w:val="2"/>
          <w:sz w:val="24"/>
        </w:rPr>
        <w:t>激光测风雷达中频处理器主要为：处理通用模块输出的中频信号，计算得到距离雷达不同位置处的速度谱信息，并结合转台角码参数上传观测区域内各个位置的速度谱信息，从上位机获取用户指令并下达给雷达部件，向上位机转发雷达部件的通信数据包，产生脉冲信号驱动激光器产生脉冲激光。其主要功能如下：</w:t>
      </w:r>
    </w:p>
    <w:p>
      <w:pPr>
        <w:pStyle w:val="Style1285"/>
        <w:numPr>
          <w:ilvl w:val="0"/>
          <w:numId w:val="6"/>
        </w:numPr>
        <w:tabs>
          <w:tab w:val="left" w:pos="420"/>
        </w:tabs>
        <w:adjustRightInd w:val="0"/>
        <w:snapToGrid w:val="0"/>
        <w:spacing w:line="360" w:lineRule="auto"/>
        <w:ind w:firstLineChars="0"/>
        <w:rPr>
          <w:rFonts w:ascii="宋体" w:hAnsi="宋体"/>
          <w:kern w:val="2"/>
          <w:sz w:val="24"/>
        </w:rPr>
      </w:pPr>
      <w:r>
        <w:rPr>
          <w:rFonts w:ascii="宋体" w:hAnsi="宋体" w:hint="eastAsia"/>
          <w:kern w:val="2"/>
          <w:sz w:val="24"/>
        </w:rPr>
        <w:t>激光测风雷达中频处理器具备400MHz中频信号采集能力。</w:t>
      </w:r>
    </w:p>
    <w:p>
      <w:pPr>
        <w:pStyle w:val="Style1285"/>
        <w:numPr>
          <w:ilvl w:val="0"/>
          <w:numId w:val="6"/>
        </w:numPr>
        <w:tabs>
          <w:tab w:val="left" w:pos="420"/>
        </w:tabs>
        <w:adjustRightInd w:val="0"/>
        <w:snapToGrid w:val="0"/>
        <w:spacing w:line="360" w:lineRule="auto"/>
        <w:ind w:firstLineChars="0"/>
        <w:rPr>
          <w:rFonts w:ascii="宋体" w:hAnsi="宋体"/>
          <w:kern w:val="2"/>
          <w:sz w:val="24"/>
        </w:rPr>
      </w:pPr>
      <w:r>
        <w:rPr>
          <w:rFonts w:ascii="宋体" w:hAnsi="宋体" w:hint="eastAsia"/>
          <w:kern w:val="2"/>
          <w:sz w:val="24"/>
        </w:rPr>
        <w:t>激光测风雷达中频处理器主要算法为快速傅里叶变换。</w:t>
      </w:r>
    </w:p>
    <w:p>
      <w:pPr>
        <w:pStyle w:val="Style1285"/>
        <w:numPr>
          <w:ilvl w:val="0"/>
          <w:numId w:val="6"/>
        </w:numPr>
        <w:tabs>
          <w:tab w:val="left" w:pos="420"/>
        </w:tabs>
        <w:adjustRightInd w:val="0"/>
        <w:snapToGrid w:val="0"/>
        <w:spacing w:line="360" w:lineRule="auto"/>
        <w:ind w:firstLineChars="0"/>
        <w:rPr>
          <w:rFonts w:ascii="宋体" w:hAnsi="宋体"/>
          <w:kern w:val="2"/>
          <w:sz w:val="24"/>
        </w:rPr>
      </w:pPr>
      <w:r>
        <w:rPr>
          <w:rFonts w:ascii="宋体" w:hAnsi="宋体" w:hint="eastAsia"/>
          <w:kern w:val="2"/>
          <w:sz w:val="24"/>
        </w:rPr>
        <w:t>激光测风雷达中频处理器支持大重叠运算，即参与FFT运算的采样点长度多于每个距离库的采样点数。</w:t>
      </w:r>
    </w:p>
    <w:p>
      <w:pPr>
        <w:pStyle w:val="Style1285"/>
        <w:numPr>
          <w:ilvl w:val="0"/>
          <w:numId w:val="6"/>
        </w:numPr>
        <w:tabs>
          <w:tab w:val="left" w:pos="420"/>
        </w:tabs>
        <w:adjustRightInd w:val="0"/>
        <w:snapToGrid w:val="0"/>
        <w:spacing w:line="360" w:lineRule="auto"/>
        <w:ind w:firstLineChars="0"/>
        <w:rPr>
          <w:rFonts w:ascii="宋体" w:hAnsi="宋体"/>
          <w:kern w:val="2"/>
          <w:sz w:val="24"/>
        </w:rPr>
      </w:pPr>
      <w:r>
        <w:rPr>
          <w:rFonts w:ascii="宋体" w:hAnsi="宋体" w:hint="eastAsia"/>
          <w:kern w:val="2"/>
          <w:sz w:val="24"/>
        </w:rPr>
        <w:t>激光测风雷达中频处理器中快速傅里叶变换的处理速度最低为800MHz。</w:t>
      </w:r>
    </w:p>
    <w:p>
      <w:pPr>
        <w:pStyle w:val="Style1285"/>
        <w:numPr>
          <w:ilvl w:val="0"/>
          <w:numId w:val="6"/>
        </w:numPr>
        <w:tabs>
          <w:tab w:val="left" w:pos="420"/>
        </w:tabs>
        <w:adjustRightInd w:val="0"/>
        <w:snapToGrid w:val="0"/>
        <w:spacing w:line="360" w:lineRule="auto"/>
        <w:ind w:firstLineChars="0"/>
        <w:rPr>
          <w:rFonts w:ascii="宋体" w:hAnsi="宋体"/>
          <w:kern w:val="2"/>
          <w:sz w:val="24"/>
        </w:rPr>
      </w:pPr>
      <w:r>
        <w:rPr>
          <w:rFonts w:ascii="宋体" w:hAnsi="宋体" w:hint="eastAsia"/>
          <w:kern w:val="2"/>
          <w:sz w:val="24"/>
        </w:rPr>
        <w:t>激光测风雷达中频处理器具备对于多个工作周期下的相同位置距离库进行谱积累运算功能。</w:t>
      </w:r>
    </w:p>
    <w:p>
      <w:pPr>
        <w:pStyle w:val="Style1285"/>
        <w:numPr>
          <w:ilvl w:val="0"/>
          <w:numId w:val="6"/>
        </w:numPr>
        <w:tabs>
          <w:tab w:val="left" w:pos="420"/>
        </w:tabs>
        <w:adjustRightInd w:val="0"/>
        <w:snapToGrid w:val="0"/>
        <w:spacing w:line="360" w:lineRule="auto"/>
        <w:ind w:firstLineChars="0"/>
        <w:rPr>
          <w:rFonts w:ascii="宋体" w:hAnsi="宋体"/>
          <w:kern w:val="2"/>
          <w:sz w:val="24"/>
        </w:rPr>
      </w:pPr>
      <w:r>
        <w:rPr>
          <w:rFonts w:ascii="宋体" w:hAnsi="宋体" w:hint="eastAsia"/>
          <w:kern w:val="2"/>
          <w:sz w:val="24"/>
        </w:rPr>
        <w:t>激光测风雷达中频处理器最长可处理探测距离在25KM内的回波数据。</w:t>
      </w:r>
    </w:p>
    <w:p>
      <w:pPr>
        <w:pStyle w:val="Style1285"/>
        <w:numPr>
          <w:ilvl w:val="0"/>
          <w:numId w:val="6"/>
        </w:numPr>
        <w:tabs>
          <w:tab w:val="left" w:pos="420"/>
        </w:tabs>
        <w:adjustRightInd w:val="0"/>
        <w:snapToGrid w:val="0"/>
        <w:spacing w:line="360" w:lineRule="auto"/>
        <w:ind w:firstLineChars="0"/>
        <w:rPr>
          <w:rFonts w:ascii="宋体" w:hAnsi="宋体"/>
          <w:kern w:val="2"/>
          <w:sz w:val="24"/>
        </w:rPr>
      </w:pPr>
      <w:r>
        <w:rPr>
          <w:rFonts w:ascii="宋体" w:hAnsi="宋体" w:hint="eastAsia"/>
          <w:kern w:val="2"/>
          <w:sz w:val="24"/>
        </w:rPr>
        <w:t>激光测风雷达中频处理器完成谱处理后通过千兆以太网向上位机传输处理结果。</w:t>
      </w:r>
    </w:p>
    <w:p>
      <w:pPr>
        <w:pStyle w:val="a4"/>
        <w:numPr>
          <w:ilvl w:val="0"/>
          <w:numId w:val="0"/>
        </w:numPr>
        <w:jc w:val="center"/>
      </w:pPr>
      <w:r>
        <w:rPr>
          <w:rFonts w:hint="eastAsia"/>
        </w:rPr>
        <w:t>信号处理器技术指标</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261"/>
        <w:gridCol w:w="426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4261" w:type="dxa"/>
          </w:tcPr>
          <w:p>
            <w:pPr>
              <w:pStyle w:val="a3"/>
              <w:jc w:val="center"/>
              <w:rPr>
                <w:b/>
                <w:bCs/>
              </w:rPr>
            </w:pPr>
            <w:r>
              <w:rPr>
                <w:b/>
                <w:bCs/>
              </w:rPr>
              <w:t>项目</w:t>
            </w:r>
          </w:p>
        </w:tc>
        <w:tc>
          <w:tcPr>
            <w:tcW w:w="4261" w:type="dxa"/>
          </w:tcPr>
          <w:p>
            <w:pPr>
              <w:pStyle w:val="a3"/>
              <w:jc w:val="center"/>
              <w:rPr>
                <w:b/>
                <w:bCs/>
              </w:rPr>
            </w:pPr>
            <w:r>
              <w:rPr>
                <w:b/>
                <w:bCs/>
              </w:rPr>
              <w:t>指标参数</w:t>
            </w:r>
          </w:p>
        </w:tc>
      </w:tr>
      <w:tr>
        <w:tblPrEx>
          <w:tblW w:w="0" w:type="auto"/>
          <w:tblLayout w:type="fixed"/>
          <w:tblCellMar>
            <w:top w:w="0" w:type="dxa"/>
            <w:left w:w="108" w:type="dxa"/>
            <w:bottom w:w="0" w:type="dxa"/>
            <w:right w:w="108" w:type="dxa"/>
          </w:tblCellMar>
          <w:tblLook w:val="0000"/>
        </w:tblPrEx>
        <w:tc>
          <w:tcPr>
            <w:tcW w:w="4261" w:type="dxa"/>
          </w:tcPr>
          <w:p>
            <w:pPr>
              <w:pStyle w:val="a3"/>
            </w:pPr>
            <w:r>
              <w:t>A/D量化字长</w:t>
            </w:r>
          </w:p>
        </w:tc>
        <w:tc>
          <w:tcPr>
            <w:tcW w:w="4261" w:type="dxa"/>
          </w:tcPr>
          <w:p>
            <w:pPr>
              <w:pStyle w:val="a3"/>
            </w:pPr>
            <w:r>
              <w:t>10位</w:t>
            </w:r>
          </w:p>
        </w:tc>
      </w:tr>
      <w:tr>
        <w:tblPrEx>
          <w:tblW w:w="0" w:type="auto"/>
          <w:tblLayout w:type="fixed"/>
          <w:tblCellMar>
            <w:top w:w="0" w:type="dxa"/>
            <w:left w:w="108" w:type="dxa"/>
            <w:bottom w:w="0" w:type="dxa"/>
            <w:right w:w="108" w:type="dxa"/>
          </w:tblCellMar>
          <w:tblLook w:val="0000"/>
        </w:tblPrEx>
        <w:tc>
          <w:tcPr>
            <w:tcW w:w="4261" w:type="dxa"/>
          </w:tcPr>
          <w:p>
            <w:pPr>
              <w:pStyle w:val="a3"/>
            </w:pPr>
            <w:r>
              <w:t>采样频率</w:t>
            </w:r>
          </w:p>
        </w:tc>
        <w:tc>
          <w:tcPr>
            <w:tcW w:w="4261" w:type="dxa"/>
          </w:tcPr>
          <w:p>
            <w:pPr>
              <w:pStyle w:val="a3"/>
            </w:pPr>
            <w:r>
              <w:t>400MHz</w:t>
            </w:r>
          </w:p>
        </w:tc>
      </w:tr>
      <w:tr>
        <w:tblPrEx>
          <w:tblW w:w="0" w:type="auto"/>
          <w:tblLayout w:type="fixed"/>
          <w:tblCellMar>
            <w:top w:w="0" w:type="dxa"/>
            <w:left w:w="108" w:type="dxa"/>
            <w:bottom w:w="0" w:type="dxa"/>
            <w:right w:w="108" w:type="dxa"/>
          </w:tblCellMar>
          <w:tblLook w:val="0000"/>
        </w:tblPrEx>
        <w:tc>
          <w:tcPr>
            <w:tcW w:w="4261" w:type="dxa"/>
          </w:tcPr>
          <w:p>
            <w:pPr>
              <w:pStyle w:val="a3"/>
            </w:pPr>
            <w:r>
              <w:t>线性动态范围</w:t>
            </w:r>
          </w:p>
        </w:tc>
        <w:tc>
          <w:tcPr>
            <w:tcW w:w="4261" w:type="dxa"/>
          </w:tcPr>
          <w:p>
            <w:pPr>
              <w:pStyle w:val="a3"/>
            </w:pPr>
            <w:r>
              <w:t>≥50dB</w:t>
            </w:r>
          </w:p>
        </w:tc>
      </w:tr>
      <w:tr>
        <w:tblPrEx>
          <w:tblW w:w="0" w:type="auto"/>
          <w:tblLayout w:type="fixed"/>
          <w:tblCellMar>
            <w:top w:w="0" w:type="dxa"/>
            <w:left w:w="108" w:type="dxa"/>
            <w:bottom w:w="0" w:type="dxa"/>
            <w:right w:w="108" w:type="dxa"/>
          </w:tblCellMar>
          <w:tblLook w:val="0000"/>
        </w:tblPrEx>
        <w:tc>
          <w:tcPr>
            <w:tcW w:w="4261" w:type="dxa"/>
          </w:tcPr>
          <w:p>
            <w:pPr>
              <w:pStyle w:val="a3"/>
            </w:pPr>
            <w:r>
              <w:t>输出数据</w:t>
            </w:r>
          </w:p>
        </w:tc>
        <w:tc>
          <w:tcPr>
            <w:tcW w:w="4261" w:type="dxa"/>
          </w:tcPr>
          <w:p>
            <w:pPr>
              <w:pStyle w:val="a3"/>
            </w:pPr>
            <w:r>
              <w:t>功率谱</w:t>
            </w:r>
          </w:p>
        </w:tc>
      </w:tr>
      <w:tr>
        <w:tblPrEx>
          <w:tblW w:w="0" w:type="auto"/>
          <w:tblLayout w:type="fixed"/>
          <w:tblCellMar>
            <w:top w:w="0" w:type="dxa"/>
            <w:left w:w="108" w:type="dxa"/>
            <w:bottom w:w="0" w:type="dxa"/>
            <w:right w:w="108" w:type="dxa"/>
          </w:tblCellMar>
          <w:tblLook w:val="0000"/>
        </w:tblPrEx>
        <w:tc>
          <w:tcPr>
            <w:tcW w:w="4261" w:type="dxa"/>
          </w:tcPr>
          <w:p>
            <w:pPr>
              <w:pStyle w:val="a3"/>
            </w:pPr>
            <w:r>
              <w:t>处理算法</w:t>
            </w:r>
          </w:p>
        </w:tc>
        <w:tc>
          <w:tcPr>
            <w:tcW w:w="4261" w:type="dxa"/>
          </w:tcPr>
          <w:p>
            <w:pPr>
              <w:pStyle w:val="a3"/>
            </w:pPr>
            <w:r>
              <w:t>FFT</w:t>
            </w:r>
          </w:p>
        </w:tc>
      </w:tr>
      <w:tr>
        <w:tblPrEx>
          <w:tblW w:w="0" w:type="auto"/>
          <w:tblLayout w:type="fixed"/>
          <w:tblCellMar>
            <w:top w:w="0" w:type="dxa"/>
            <w:left w:w="108" w:type="dxa"/>
            <w:bottom w:w="0" w:type="dxa"/>
            <w:right w:w="108" w:type="dxa"/>
          </w:tblCellMar>
          <w:tblLook w:val="0000"/>
        </w:tblPrEx>
        <w:tc>
          <w:tcPr>
            <w:tcW w:w="4261" w:type="dxa"/>
          </w:tcPr>
          <w:p>
            <w:pPr>
              <w:pStyle w:val="a3"/>
            </w:pPr>
            <w:r>
              <w:t>速度处理</w:t>
            </w:r>
          </w:p>
        </w:tc>
        <w:tc>
          <w:tcPr>
            <w:tcW w:w="4261" w:type="dxa"/>
          </w:tcPr>
          <w:p>
            <w:pPr>
              <w:pStyle w:val="a3"/>
            </w:pPr>
            <w:r>
              <w:t>方位平均</w:t>
            </w:r>
          </w:p>
        </w:tc>
      </w:tr>
      <w:tr>
        <w:tblPrEx>
          <w:tblW w:w="0" w:type="auto"/>
          <w:tblLayout w:type="fixed"/>
          <w:tblCellMar>
            <w:top w:w="0" w:type="dxa"/>
            <w:left w:w="108" w:type="dxa"/>
            <w:bottom w:w="0" w:type="dxa"/>
            <w:right w:w="108" w:type="dxa"/>
          </w:tblCellMar>
          <w:tblLook w:val="0000"/>
        </w:tblPrEx>
        <w:tc>
          <w:tcPr>
            <w:tcW w:w="4261" w:type="dxa"/>
          </w:tcPr>
          <w:p>
            <w:pPr>
              <w:pStyle w:val="a3"/>
            </w:pPr>
            <w:r>
              <w:t>距离库长</w:t>
            </w:r>
          </w:p>
        </w:tc>
        <w:tc>
          <w:tcPr>
            <w:tcW w:w="4261" w:type="dxa"/>
          </w:tcPr>
          <w:p>
            <w:pPr>
              <w:pStyle w:val="a3"/>
            </w:pPr>
            <w:r>
              <w:t>15m、30m、60m、100m</w:t>
            </w:r>
          </w:p>
        </w:tc>
      </w:tr>
      <w:tr>
        <w:tblPrEx>
          <w:tblW w:w="0" w:type="auto"/>
          <w:tblLayout w:type="fixed"/>
          <w:tblCellMar>
            <w:top w:w="0" w:type="dxa"/>
            <w:left w:w="108" w:type="dxa"/>
            <w:bottom w:w="0" w:type="dxa"/>
            <w:right w:w="108" w:type="dxa"/>
          </w:tblCellMar>
          <w:tblLook w:val="0000"/>
        </w:tblPrEx>
        <w:tc>
          <w:tcPr>
            <w:tcW w:w="4261" w:type="dxa"/>
          </w:tcPr>
          <w:p>
            <w:pPr>
              <w:pStyle w:val="a3"/>
            </w:pPr>
            <w:r>
              <w:t>距离库数</w:t>
            </w:r>
          </w:p>
        </w:tc>
        <w:tc>
          <w:tcPr>
            <w:tcW w:w="4261" w:type="dxa"/>
          </w:tcPr>
          <w:p>
            <w:pPr>
              <w:pStyle w:val="a3"/>
            </w:pPr>
            <w:r>
              <w:t>最大400</w:t>
            </w:r>
          </w:p>
        </w:tc>
      </w:tr>
      <w:tr>
        <w:tblPrEx>
          <w:tblW w:w="0" w:type="auto"/>
          <w:tblLayout w:type="fixed"/>
          <w:tblCellMar>
            <w:top w:w="0" w:type="dxa"/>
            <w:left w:w="108" w:type="dxa"/>
            <w:bottom w:w="0" w:type="dxa"/>
            <w:right w:w="108" w:type="dxa"/>
          </w:tblCellMar>
          <w:tblLook w:val="0000"/>
        </w:tblPrEx>
        <w:tc>
          <w:tcPr>
            <w:tcW w:w="4261" w:type="dxa"/>
          </w:tcPr>
          <w:p>
            <w:pPr>
              <w:pStyle w:val="a3"/>
            </w:pPr>
            <w:r>
              <w:t>脉内FFT点数</w:t>
            </w:r>
          </w:p>
        </w:tc>
        <w:tc>
          <w:tcPr>
            <w:tcW w:w="4261" w:type="dxa"/>
          </w:tcPr>
          <w:p>
            <w:pPr>
              <w:pStyle w:val="a3"/>
            </w:pPr>
            <w:r>
              <w:t>64、128、256、512可设</w:t>
            </w:r>
          </w:p>
        </w:tc>
      </w:tr>
      <w:tr>
        <w:tblPrEx>
          <w:tblW w:w="0" w:type="auto"/>
          <w:tblLayout w:type="fixed"/>
          <w:tblCellMar>
            <w:top w:w="0" w:type="dxa"/>
            <w:left w:w="108" w:type="dxa"/>
            <w:bottom w:w="0" w:type="dxa"/>
            <w:right w:w="108" w:type="dxa"/>
          </w:tblCellMar>
          <w:tblLook w:val="0000"/>
        </w:tblPrEx>
        <w:tc>
          <w:tcPr>
            <w:tcW w:w="4261" w:type="dxa"/>
          </w:tcPr>
          <w:p>
            <w:pPr>
              <w:pStyle w:val="a3"/>
            </w:pPr>
            <w:r>
              <w:t>平均方位数</w:t>
            </w:r>
          </w:p>
        </w:tc>
        <w:tc>
          <w:tcPr>
            <w:tcW w:w="4261" w:type="dxa"/>
          </w:tcPr>
          <w:p>
            <w:pPr>
              <w:pStyle w:val="a3"/>
            </w:pPr>
            <w:r>
              <w:t>最大10000可设</w:t>
            </w:r>
          </w:p>
        </w:tc>
      </w:tr>
    </w:tbl>
    <w:p>
      <w:pPr>
        <w:numPr>
          <w:ilvl w:val="0"/>
          <w:numId w:val="0"/>
        </w:numPr>
        <w:autoSpaceDE w:val="0"/>
        <w:autoSpaceDN w:val="0"/>
        <w:adjustRightInd w:val="0"/>
        <w:ind w:firstLine="420" w:firstLineChars="200"/>
        <w:jc w:val="left"/>
        <w:rPr>
          <w:rFonts w:ascii="宋体" w:hAnsi="Calibri" w:cs="宋体" w:hint="eastAsia"/>
          <w:kern w:val="0"/>
          <w:szCs w:val="21"/>
        </w:rPr>
      </w:pPr>
      <w:r>
        <w:rPr>
          <w:rFonts w:ascii="宋体" w:hAnsi="Calibri" w:cs="宋体" w:hint="eastAsia"/>
          <w:kern w:val="0"/>
          <w:szCs w:val="21"/>
          <w:lang w:eastAsia="zh-CN"/>
        </w:rPr>
        <w:t>（</w:t>
      </w:r>
      <w:r>
        <w:rPr>
          <w:rFonts w:ascii="宋体" w:hAnsi="Calibri" w:cs="宋体" w:hint="eastAsia"/>
          <w:kern w:val="0"/>
          <w:szCs w:val="21"/>
          <w:lang w:val="en-US" w:eastAsia="zh-CN"/>
        </w:rPr>
        <w:t>7</w:t>
      </w:r>
      <w:r>
        <w:rPr>
          <w:rFonts w:ascii="宋体" w:hAnsi="Calibri" w:cs="宋体" w:hint="eastAsia"/>
          <w:kern w:val="0"/>
          <w:szCs w:val="21"/>
          <w:lang w:eastAsia="zh-CN"/>
        </w:rPr>
        <w:t>）</w:t>
      </w:r>
      <w:r>
        <w:rPr>
          <w:rFonts w:ascii="宋体" w:hAnsi="Calibri" w:cs="宋体" w:hint="eastAsia"/>
          <w:kern w:val="0"/>
          <w:szCs w:val="21"/>
        </w:rPr>
        <w:t>显示与控制终端；</w:t>
      </w:r>
    </w:p>
    <w:p>
      <w:pPr>
        <w:ind w:firstLine="480"/>
        <w:rPr>
          <w:rFonts w:ascii="宋体" w:eastAsia="宋体" w:hAnsi="宋体" w:cs="Times New Roman" w:hint="eastAsia"/>
        </w:rPr>
      </w:pPr>
      <w:r>
        <w:rPr>
          <w:rFonts w:ascii="宋体" w:eastAsia="宋体" w:hAnsi="宋体" w:cs="Times New Roman" w:hint="eastAsia"/>
          <w:kern w:val="2"/>
          <w:sz w:val="24"/>
          <w:lang w:val="en-US" w:eastAsia="zh-CN" w:bidi="ar-SA"/>
        </w:rPr>
        <w:t>激光测风雷达箱体内部集成有高性能处理终端，该处理终端主要用于对激光测风雷达原始数据进行运算处理及实现激光测风雷达远程脱机运行能力。</w:t>
      </w:r>
    </w:p>
    <w:p>
      <w:pPr>
        <w:pStyle w:val="BodyText"/>
        <w:snapToGrid w:val="0"/>
        <w:spacing w:after="0"/>
        <w:ind w:firstLine="480"/>
        <w:rPr>
          <w:rFonts w:ascii="宋体" w:eastAsia="宋体" w:hAnsi="宋体" w:cs="Times New Roman" w:hint="eastAsia"/>
          <w:color w:val="auto"/>
          <w:kern w:val="2"/>
          <w:sz w:val="24"/>
          <w:lang w:val="en-US" w:bidi="ar-SA"/>
        </w:rPr>
      </w:pPr>
      <w:r>
        <w:rPr>
          <w:rFonts w:ascii="宋体" w:eastAsia="宋体" w:hAnsi="宋体" w:cs="Times New Roman" w:hint="eastAsia"/>
          <w:color w:val="auto"/>
          <w:kern w:val="2"/>
          <w:sz w:val="24"/>
          <w:lang w:val="en-US" w:eastAsia="zh-CN" w:bidi="ar-SA"/>
        </w:rPr>
        <w:t>该处理终端采用工业级2.5寸板卡作为处理板，其上搭载有英特尔酷睿8代处理器、8G DDR4内存及512G MINI PCIE 接口固态硬盘，所有组件均采用工业级标准要求，可在-40</w:t>
      </w:r>
      <w:r>
        <w:rPr>
          <w:rFonts w:ascii="宋体" w:eastAsia="宋体" w:hAnsi="宋体" w:cs="Times New Roman" w:hint="eastAsia"/>
          <w:color w:val="auto"/>
          <w:kern w:val="2"/>
          <w:sz w:val="24"/>
          <w:lang w:val="en-US" w:eastAsia="zh-CN" w:bidi="ar-SA"/>
        </w:rPr>
        <w:t>℃</w:t>
      </w:r>
      <w:r>
        <w:rPr>
          <w:rFonts w:ascii="宋体" w:eastAsia="宋体" w:hAnsi="宋体" w:cs="Times New Roman" w:hint="eastAsia"/>
          <w:color w:val="auto"/>
          <w:kern w:val="2"/>
          <w:sz w:val="24"/>
          <w:lang w:val="en-US" w:eastAsia="zh-CN" w:bidi="ar-SA"/>
        </w:rPr>
        <w:t>~85</w:t>
      </w:r>
      <w:r>
        <w:rPr>
          <w:rFonts w:ascii="宋体" w:eastAsia="宋体" w:hAnsi="宋体" w:cs="Times New Roman" w:hint="eastAsia"/>
          <w:color w:val="auto"/>
          <w:kern w:val="2"/>
          <w:sz w:val="24"/>
          <w:lang w:val="en-US" w:eastAsia="zh-CN" w:bidi="ar-SA"/>
        </w:rPr>
        <w:t>℃</w:t>
      </w:r>
      <w:r>
        <w:rPr>
          <w:rFonts w:ascii="宋体" w:eastAsia="宋体" w:hAnsi="宋体" w:cs="Times New Roman" w:hint="eastAsia"/>
          <w:color w:val="auto"/>
          <w:kern w:val="2"/>
          <w:sz w:val="24"/>
          <w:lang w:val="en-US" w:eastAsia="zh-CN" w:bidi="ar-SA"/>
        </w:rPr>
        <w:t>温度区间正常工作。</w:t>
      </w:r>
    </w:p>
    <w:p>
      <w:pPr>
        <w:pStyle w:val="a4"/>
        <w:numPr>
          <w:ilvl w:val="0"/>
          <w:numId w:val="0"/>
        </w:numPr>
        <w:ind w:leftChars="0"/>
        <w:jc w:val="center"/>
        <w:rPr>
          <w:rFonts w:hint="eastAsia"/>
        </w:rPr>
      </w:pPr>
      <w:r>
        <w:rPr>
          <w:rFonts w:hint="eastAsia"/>
        </w:rPr>
        <w:t>处理终端性能指标</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102"/>
        <w:gridCol w:w="519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3102" w:type="dxa"/>
          </w:tcPr>
          <w:p>
            <w:pPr>
              <w:pStyle w:val="a3"/>
              <w:jc w:val="center"/>
              <w:rPr>
                <w:b/>
                <w:bCs/>
              </w:rPr>
            </w:pPr>
            <w:r>
              <w:rPr>
                <w:b/>
                <w:bCs/>
              </w:rPr>
              <w:t>项目</w:t>
            </w:r>
          </w:p>
        </w:tc>
        <w:tc>
          <w:tcPr>
            <w:tcW w:w="5194" w:type="dxa"/>
          </w:tcPr>
          <w:p>
            <w:pPr>
              <w:pStyle w:val="a3"/>
              <w:jc w:val="center"/>
              <w:rPr>
                <w:b/>
                <w:bCs/>
              </w:rPr>
            </w:pPr>
            <w:r>
              <w:rPr>
                <w:b/>
                <w:bCs/>
              </w:rPr>
              <w:t>指标</w:t>
            </w:r>
          </w:p>
        </w:tc>
      </w:tr>
      <w:tr>
        <w:tblPrEx>
          <w:tblW w:w="0" w:type="auto"/>
          <w:tblLayout w:type="fixed"/>
          <w:tblCellMar>
            <w:top w:w="0" w:type="dxa"/>
            <w:left w:w="108" w:type="dxa"/>
            <w:bottom w:w="0" w:type="dxa"/>
            <w:right w:w="108" w:type="dxa"/>
          </w:tblCellMar>
          <w:tblLook w:val="0000"/>
        </w:tblPrEx>
        <w:tc>
          <w:tcPr>
            <w:tcW w:w="3102" w:type="dxa"/>
            <w:vAlign w:val="center"/>
          </w:tcPr>
          <w:p>
            <w:pPr>
              <w:pStyle w:val="a3"/>
            </w:pPr>
            <w:r>
              <w:t>处理器</w:t>
            </w:r>
          </w:p>
        </w:tc>
        <w:tc>
          <w:tcPr>
            <w:tcW w:w="5194" w:type="dxa"/>
          </w:tcPr>
          <w:p>
            <w:pPr>
              <w:pStyle w:val="a3"/>
            </w:pPr>
            <w:r>
              <w:t>i5-8365UE</w:t>
            </w:r>
          </w:p>
        </w:tc>
      </w:tr>
      <w:tr>
        <w:tblPrEx>
          <w:tblW w:w="0" w:type="auto"/>
          <w:tblLayout w:type="fixed"/>
          <w:tblCellMar>
            <w:top w:w="0" w:type="dxa"/>
            <w:left w:w="108" w:type="dxa"/>
            <w:bottom w:w="0" w:type="dxa"/>
            <w:right w:w="108" w:type="dxa"/>
          </w:tblCellMar>
          <w:tblLook w:val="0000"/>
        </w:tblPrEx>
        <w:tc>
          <w:tcPr>
            <w:tcW w:w="3102" w:type="dxa"/>
            <w:vAlign w:val="center"/>
          </w:tcPr>
          <w:p>
            <w:pPr>
              <w:pStyle w:val="a3"/>
            </w:pPr>
            <w:r>
              <w:t>内存</w:t>
            </w:r>
          </w:p>
        </w:tc>
        <w:tc>
          <w:tcPr>
            <w:tcW w:w="5194" w:type="dxa"/>
          </w:tcPr>
          <w:p>
            <w:pPr>
              <w:pStyle w:val="a3"/>
            </w:pPr>
            <w:r>
              <w:t>8G·DDR4</w:t>
            </w:r>
          </w:p>
        </w:tc>
      </w:tr>
      <w:tr>
        <w:tblPrEx>
          <w:tblW w:w="0" w:type="auto"/>
          <w:tblLayout w:type="fixed"/>
          <w:tblCellMar>
            <w:top w:w="0" w:type="dxa"/>
            <w:left w:w="108" w:type="dxa"/>
            <w:bottom w:w="0" w:type="dxa"/>
            <w:right w:w="108" w:type="dxa"/>
          </w:tblCellMar>
          <w:tblLook w:val="0000"/>
        </w:tblPrEx>
        <w:tc>
          <w:tcPr>
            <w:tcW w:w="3102" w:type="dxa"/>
            <w:vAlign w:val="center"/>
          </w:tcPr>
          <w:p>
            <w:pPr>
              <w:pStyle w:val="a3"/>
            </w:pPr>
            <w:r>
              <w:t>存储</w:t>
            </w:r>
          </w:p>
        </w:tc>
        <w:tc>
          <w:tcPr>
            <w:tcW w:w="5194" w:type="dxa"/>
          </w:tcPr>
          <w:p>
            <w:pPr>
              <w:pStyle w:val="a3"/>
            </w:pPr>
            <w:r>
              <w:t>512G固态盘</w:t>
            </w:r>
          </w:p>
        </w:tc>
      </w:tr>
      <w:tr>
        <w:tblPrEx>
          <w:tblW w:w="0" w:type="auto"/>
          <w:tblLayout w:type="fixed"/>
          <w:tblCellMar>
            <w:top w:w="0" w:type="dxa"/>
            <w:left w:w="108" w:type="dxa"/>
            <w:bottom w:w="0" w:type="dxa"/>
            <w:right w:w="108" w:type="dxa"/>
          </w:tblCellMar>
          <w:tblLook w:val="0000"/>
        </w:tblPrEx>
        <w:tc>
          <w:tcPr>
            <w:tcW w:w="3102" w:type="dxa"/>
            <w:vAlign w:val="center"/>
          </w:tcPr>
          <w:p>
            <w:pPr>
              <w:pStyle w:val="a3"/>
            </w:pPr>
            <w:r>
              <w:t>接口</w:t>
            </w:r>
          </w:p>
        </w:tc>
        <w:tc>
          <w:tcPr>
            <w:tcW w:w="5194" w:type="dxa"/>
          </w:tcPr>
          <w:p>
            <w:pPr>
              <w:pStyle w:val="a3"/>
            </w:pPr>
            <w:r>
              <w:t>1.USB接口*1</w:t>
            </w:r>
          </w:p>
          <w:p>
            <w:pPr>
              <w:pStyle w:val="a3"/>
            </w:pPr>
            <w:r>
              <w:t>2.HDMI接口*1</w:t>
            </w:r>
          </w:p>
          <w:p>
            <w:pPr>
              <w:pStyle w:val="a3"/>
            </w:pPr>
            <w:r>
              <w:t>3.千兆网口*2</w:t>
            </w:r>
          </w:p>
        </w:tc>
      </w:tr>
      <w:tr>
        <w:tblPrEx>
          <w:tblW w:w="0" w:type="auto"/>
          <w:tblLayout w:type="fixed"/>
          <w:tblCellMar>
            <w:top w:w="0" w:type="dxa"/>
            <w:left w:w="108" w:type="dxa"/>
            <w:bottom w:w="0" w:type="dxa"/>
            <w:right w:w="108" w:type="dxa"/>
          </w:tblCellMar>
          <w:tblLook w:val="0000"/>
        </w:tblPrEx>
        <w:tc>
          <w:tcPr>
            <w:tcW w:w="3102" w:type="dxa"/>
            <w:vAlign w:val="center"/>
          </w:tcPr>
          <w:p>
            <w:pPr>
              <w:pStyle w:val="a3"/>
            </w:pPr>
            <w:r>
              <w:t>工作环境温度</w:t>
            </w:r>
          </w:p>
        </w:tc>
        <w:tc>
          <w:tcPr>
            <w:tcW w:w="5194" w:type="dxa"/>
          </w:tcPr>
          <w:p>
            <w:pPr>
              <w:pStyle w:val="a3"/>
            </w:pPr>
            <w:r>
              <w:t>-40℃~85℃</w:t>
            </w:r>
          </w:p>
        </w:tc>
      </w:tr>
    </w:tbl>
    <w:p>
      <w:pPr>
        <w:pStyle w:val="Style1285"/>
        <w:adjustRightInd w:val="0"/>
        <w:snapToGrid w:val="0"/>
        <w:spacing w:line="360" w:lineRule="auto"/>
        <w:ind w:firstLine="480"/>
        <w:rPr>
          <w:rFonts w:ascii="宋体" w:hAnsi="宋体" w:cs="Times New Roman" w:hint="eastAsia"/>
          <w:kern w:val="2"/>
          <w:sz w:val="24"/>
        </w:rPr>
      </w:pPr>
      <w:bookmarkStart w:id="148" w:name="_Toc30585"/>
      <w:bookmarkStart w:id="149" w:name="_Toc17183"/>
      <w:bookmarkStart w:id="150" w:name="_Toc27392"/>
      <w:bookmarkStart w:id="151" w:name="_Toc1827"/>
      <w:bookmarkStart w:id="152" w:name="_Toc18167"/>
      <w:bookmarkStart w:id="153" w:name="_Toc22929"/>
      <w:bookmarkStart w:id="154" w:name="_Toc31353"/>
      <w:bookmarkStart w:id="155" w:name="_Toc3293"/>
      <w:bookmarkStart w:id="156" w:name="_Toc24577"/>
      <w:bookmarkStart w:id="157" w:name="_Toc17351"/>
      <w:bookmarkStart w:id="158" w:name="_Toc8653"/>
      <w:r>
        <w:rPr>
          <w:rFonts w:ascii="宋体" w:eastAsia="宋体" w:hAnsi="宋体" w:cs="Times New Roman" w:hint="eastAsia"/>
          <w:kern w:val="2"/>
          <w:sz w:val="24"/>
          <w:lang w:eastAsia="zh-CN"/>
        </w:rPr>
        <w:t>（</w:t>
      </w:r>
      <w:r>
        <w:rPr>
          <w:rFonts w:ascii="宋体" w:eastAsia="宋体" w:hAnsi="宋体" w:cs="Times New Roman" w:hint="eastAsia"/>
          <w:kern w:val="2"/>
          <w:sz w:val="24"/>
          <w:lang w:val="en-US" w:eastAsia="zh-CN"/>
        </w:rPr>
        <w:t>8</w:t>
      </w:r>
      <w:r>
        <w:rPr>
          <w:rFonts w:ascii="宋体" w:eastAsia="宋体" w:hAnsi="宋体" w:cs="Times New Roman" w:hint="eastAsia"/>
          <w:kern w:val="2"/>
          <w:sz w:val="24"/>
          <w:lang w:eastAsia="zh-CN"/>
        </w:rPr>
        <w:t>）气象要素传感器</w:t>
      </w:r>
      <w:bookmarkEnd w:id="153"/>
      <w:bookmarkEnd w:id="154"/>
      <w:bookmarkEnd w:id="155"/>
      <w:bookmarkEnd w:id="156"/>
      <w:bookmarkEnd w:id="157"/>
      <w:bookmarkEnd w:id="158"/>
      <w:bookmarkEnd w:id="148"/>
      <w:bookmarkEnd w:id="149"/>
      <w:bookmarkEnd w:id="150"/>
      <w:bookmarkEnd w:id="151"/>
      <w:bookmarkEnd w:id="152"/>
    </w:p>
    <w:p>
      <w:pPr>
        <w:ind w:firstLine="480"/>
        <w:rPr>
          <w:rFonts w:ascii="宋体" w:eastAsia="宋体" w:hAnsi="宋体" w:cs="Times New Roman" w:hint="eastAsia"/>
        </w:rPr>
      </w:pPr>
      <w:r>
        <w:rPr>
          <w:rFonts w:ascii="宋体" w:eastAsia="宋体" w:hAnsi="宋体" w:cs="Times New Roman" w:hint="eastAsia"/>
          <w:kern w:val="2"/>
          <w:sz w:val="24"/>
          <w:lang w:val="en-US" w:eastAsia="zh-CN" w:bidi="ar-SA"/>
        </w:rPr>
        <w:t>激光雷达系统采用的气象要素传感器为一体式气象站，该气象站主要用于雷达架设产地地面气象要素采集。</w:t>
      </w:r>
    </w:p>
    <w:p>
      <w:pPr>
        <w:ind w:firstLine="480"/>
        <w:rPr>
          <w:rFonts w:ascii="宋体" w:eastAsia="宋体" w:hAnsi="宋体" w:cs="Times New Roman" w:hint="eastAsia"/>
        </w:rPr>
      </w:pPr>
      <w:bookmarkStart w:id="159" w:name="_Hlk133160006"/>
      <w:r>
        <w:rPr>
          <w:rFonts w:ascii="宋体" w:eastAsia="宋体" w:hAnsi="宋体" w:cs="Times New Roman" w:hint="eastAsia"/>
          <w:kern w:val="2"/>
          <w:sz w:val="24"/>
          <w:lang w:val="en-US" w:eastAsia="zh-CN" w:bidi="ar-SA"/>
        </w:rPr>
        <w:t>该气象站</w:t>
      </w:r>
      <w:bookmarkEnd w:id="159"/>
      <w:r>
        <w:rPr>
          <w:rFonts w:ascii="宋体" w:eastAsia="宋体" w:hAnsi="宋体" w:cs="Times New Roman" w:hint="eastAsia"/>
          <w:kern w:val="2"/>
          <w:sz w:val="24"/>
          <w:lang w:val="en-US" w:eastAsia="zh-CN" w:bidi="ar-SA"/>
        </w:rPr>
        <w:t>可广泛适用于环境检测，集风速、风向、温度、湿度于一体，设备采用标准 MODBUS-RTU 通信协议，RS485信号输出，通信距离最远可达 2000米，可将数据通过 485 通信的方式上传至客户的监控软件或 PLC 组态屏等，也支持二次开发。</w:t>
      </w:r>
    </w:p>
    <w:p>
      <w:pPr>
        <w:ind w:firstLine="480"/>
        <w:rPr>
          <w:rFonts w:ascii="宋体" w:eastAsia="宋体" w:hAnsi="宋体" w:cs="Times New Roman" w:hint="eastAsia"/>
        </w:rPr>
      </w:pPr>
      <w:r>
        <w:rPr>
          <w:rFonts w:ascii="宋体" w:eastAsia="宋体" w:hAnsi="宋体" w:cs="Times New Roman" w:hint="eastAsia"/>
          <w:kern w:val="2"/>
          <w:sz w:val="24"/>
          <w:lang w:val="en-US" w:eastAsia="zh-CN" w:bidi="ar-SA"/>
        </w:rPr>
        <w:t>内置电子指南针选型的设备，安装时不再有方位的要求，只需保证水平安装即可。</w:t>
      </w:r>
    </w:p>
    <w:p>
      <w:pPr>
        <w:ind w:firstLine="480"/>
        <w:rPr>
          <w:rFonts w:ascii="宋体" w:eastAsia="宋体" w:hAnsi="宋体" w:cs="Times New Roman" w:hint="eastAsia"/>
        </w:rPr>
      </w:pPr>
      <w:r>
        <w:rPr>
          <w:rFonts w:ascii="宋体" w:eastAsia="宋体" w:hAnsi="宋体" w:cs="Times New Roman" w:hint="eastAsia"/>
          <w:kern w:val="2"/>
          <w:sz w:val="24"/>
          <w:lang w:val="en-US" w:eastAsia="zh-CN" w:bidi="ar-SA"/>
        </w:rPr>
        <w:t>该气象站广泛适用于需要测量环境温度、湿度、风速、风向等各种场合，安全可靠，外观美观，安装方便，经久耐用。</w:t>
      </w:r>
    </w:p>
    <w:p>
      <w:pPr>
        <w:pStyle w:val="a4"/>
        <w:numPr>
          <w:ilvl w:val="0"/>
          <w:numId w:val="0"/>
        </w:numPr>
        <w:ind w:leftChars="0"/>
        <w:jc w:val="center"/>
        <w:rPr>
          <w:rFonts w:cs="Times New Roman" w:hint="eastAsia"/>
        </w:rPr>
      </w:pPr>
      <w:r>
        <w:rPr>
          <w:rFonts w:eastAsia="宋体" w:cs="Times New Roman" w:hint="eastAsia"/>
        </w:rPr>
        <w:t>气象要素传感器性能指标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96"/>
        <w:gridCol w:w="2410"/>
        <w:gridCol w:w="326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8"/>
          <w:jc w:val="center"/>
        </w:trPr>
        <w:tc>
          <w:tcPr>
            <w:tcW w:w="4106" w:type="dxa"/>
            <w:gridSpan w:val="2"/>
            <w:vAlign w:val="center"/>
          </w:tcPr>
          <w:p>
            <w:pPr>
              <w:pStyle w:val="a3"/>
              <w:jc w:val="center"/>
              <w:rPr>
                <w:b/>
                <w:bCs/>
              </w:rPr>
            </w:pPr>
            <w:r>
              <w:rPr>
                <w:b/>
                <w:bCs/>
              </w:rPr>
              <w:t>项目</w:t>
            </w:r>
          </w:p>
        </w:tc>
        <w:tc>
          <w:tcPr>
            <w:tcW w:w="3260" w:type="dxa"/>
            <w:vAlign w:val="center"/>
          </w:tcPr>
          <w:p>
            <w:pPr>
              <w:pStyle w:val="a3"/>
              <w:jc w:val="center"/>
              <w:rPr>
                <w:b/>
                <w:bCs/>
              </w:rPr>
            </w:pPr>
            <w:r>
              <w:rPr>
                <w:b/>
                <w:bCs/>
              </w:rPr>
              <w:t>指标</w:t>
            </w:r>
          </w:p>
        </w:tc>
      </w:tr>
      <w:tr>
        <w:tblPrEx>
          <w:tblW w:w="0" w:type="auto"/>
          <w:jc w:val="center"/>
          <w:tblLayout w:type="fixed"/>
          <w:tblCellMar>
            <w:top w:w="0" w:type="dxa"/>
            <w:left w:w="108" w:type="dxa"/>
            <w:bottom w:w="0" w:type="dxa"/>
            <w:right w:w="108" w:type="dxa"/>
          </w:tblCellMar>
          <w:tblLook w:val="0000"/>
        </w:tblPrEx>
        <w:trPr>
          <w:jc w:val="center"/>
        </w:trPr>
        <w:tc>
          <w:tcPr>
            <w:tcW w:w="4106" w:type="dxa"/>
            <w:gridSpan w:val="2"/>
            <w:vAlign w:val="center"/>
          </w:tcPr>
          <w:p>
            <w:pPr>
              <w:pStyle w:val="a3"/>
            </w:pPr>
            <w:r>
              <w:t>观测要素</w:t>
            </w:r>
          </w:p>
        </w:tc>
        <w:tc>
          <w:tcPr>
            <w:tcW w:w="3260" w:type="dxa"/>
            <w:vAlign w:val="center"/>
          </w:tcPr>
          <w:p>
            <w:pPr>
              <w:pStyle w:val="a3"/>
            </w:pPr>
            <w:r>
              <w:t>风速、风向、温度、湿度</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restart"/>
            <w:vAlign w:val="center"/>
          </w:tcPr>
          <w:p>
            <w:pPr>
              <w:pStyle w:val="a3"/>
            </w:pPr>
            <w:r>
              <w:t>精度</w:t>
            </w:r>
          </w:p>
        </w:tc>
        <w:tc>
          <w:tcPr>
            <w:tcW w:w="2410" w:type="dxa"/>
            <w:vAlign w:val="center"/>
          </w:tcPr>
          <w:p>
            <w:pPr>
              <w:pStyle w:val="a3"/>
            </w:pPr>
            <w:r>
              <w:t>风速</w:t>
            </w:r>
          </w:p>
        </w:tc>
        <w:tc>
          <w:tcPr>
            <w:tcW w:w="3260" w:type="dxa"/>
            <w:vAlign w:val="center"/>
          </w:tcPr>
          <w:p>
            <w:pPr>
              <w:pStyle w:val="a3"/>
            </w:pPr>
            <w:r>
              <w:t>±(0.2m/s±0.02*v)(v为真实风速)</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风向</w:t>
            </w:r>
          </w:p>
        </w:tc>
        <w:tc>
          <w:tcPr>
            <w:tcW w:w="3260" w:type="dxa"/>
            <w:vAlign w:val="center"/>
          </w:tcPr>
          <w:p>
            <w:pPr>
              <w:pStyle w:val="a3"/>
            </w:pPr>
            <w:r>
              <w:t>±3°</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温度</w:t>
            </w:r>
          </w:p>
        </w:tc>
        <w:tc>
          <w:tcPr>
            <w:tcW w:w="3260" w:type="dxa"/>
            <w:vAlign w:val="center"/>
          </w:tcPr>
          <w:p>
            <w:pPr>
              <w:pStyle w:val="a3"/>
            </w:pPr>
            <w:r>
              <w:t>±0.5℃（25℃）</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湿度</w:t>
            </w:r>
          </w:p>
        </w:tc>
        <w:tc>
          <w:tcPr>
            <w:tcW w:w="3260" w:type="dxa"/>
            <w:vAlign w:val="center"/>
          </w:tcPr>
          <w:p>
            <w:pPr>
              <w:pStyle w:val="a3"/>
            </w:pPr>
            <w:r>
              <w:t>±3%RH(60%RH,25℃)</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restart"/>
            <w:vAlign w:val="center"/>
          </w:tcPr>
          <w:p>
            <w:pPr>
              <w:pStyle w:val="a3"/>
            </w:pPr>
            <w:r>
              <w:t>量程</w:t>
            </w:r>
          </w:p>
        </w:tc>
        <w:tc>
          <w:tcPr>
            <w:tcW w:w="2410" w:type="dxa"/>
            <w:vAlign w:val="center"/>
          </w:tcPr>
          <w:p>
            <w:pPr>
              <w:pStyle w:val="a3"/>
            </w:pPr>
            <w:r>
              <w:t>风速</w:t>
            </w:r>
          </w:p>
        </w:tc>
        <w:tc>
          <w:tcPr>
            <w:tcW w:w="3260" w:type="dxa"/>
            <w:vAlign w:val="center"/>
          </w:tcPr>
          <w:p>
            <w:pPr>
              <w:pStyle w:val="a3"/>
            </w:pPr>
            <w:r>
              <w:t>0~60m/s</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风向</w:t>
            </w:r>
          </w:p>
        </w:tc>
        <w:tc>
          <w:tcPr>
            <w:tcW w:w="3260" w:type="dxa"/>
            <w:vAlign w:val="center"/>
          </w:tcPr>
          <w:p>
            <w:pPr>
              <w:pStyle w:val="a3"/>
            </w:pPr>
            <w:r>
              <w:t>0~359°</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温度</w:t>
            </w:r>
          </w:p>
        </w:tc>
        <w:tc>
          <w:tcPr>
            <w:tcW w:w="3260" w:type="dxa"/>
            <w:vAlign w:val="center"/>
          </w:tcPr>
          <w:p>
            <w:pPr>
              <w:pStyle w:val="a3"/>
            </w:pPr>
            <w:r>
              <w:t>-40℃~+</w:t>
            </w:r>
            <w:r>
              <w:rPr>
                <w:rFonts w:hint="eastAsia"/>
                <w:lang w:val="en-US" w:eastAsia="zh-CN"/>
              </w:rPr>
              <w:t>6</w:t>
            </w:r>
            <w:r>
              <w:t>0℃</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湿度</w:t>
            </w:r>
          </w:p>
        </w:tc>
        <w:tc>
          <w:tcPr>
            <w:tcW w:w="3260" w:type="dxa"/>
            <w:vAlign w:val="center"/>
          </w:tcPr>
          <w:p>
            <w:pPr>
              <w:pStyle w:val="a3"/>
            </w:pPr>
            <w:r>
              <w:t>0%RH~9</w:t>
            </w:r>
            <w:r>
              <w:rPr>
                <w:rFonts w:hint="eastAsia"/>
                <w:lang w:val="en-US" w:eastAsia="zh-CN"/>
              </w:rPr>
              <w:t>5</w:t>
            </w:r>
            <w:r>
              <w:t>%RH</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restart"/>
            <w:vAlign w:val="center"/>
          </w:tcPr>
          <w:p>
            <w:pPr>
              <w:pStyle w:val="a3"/>
            </w:pPr>
            <w:r>
              <w:t>响应时间</w:t>
            </w:r>
          </w:p>
        </w:tc>
        <w:tc>
          <w:tcPr>
            <w:tcW w:w="2410" w:type="dxa"/>
            <w:vAlign w:val="center"/>
          </w:tcPr>
          <w:p>
            <w:pPr>
              <w:pStyle w:val="a3"/>
            </w:pPr>
            <w:r>
              <w:t>风速</w:t>
            </w:r>
          </w:p>
        </w:tc>
        <w:tc>
          <w:tcPr>
            <w:tcW w:w="3260" w:type="dxa"/>
            <w:vAlign w:val="center"/>
          </w:tcPr>
          <w:p>
            <w:pPr>
              <w:pStyle w:val="a3"/>
            </w:pPr>
            <w:r>
              <w:t>1s</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风向</w:t>
            </w:r>
          </w:p>
        </w:tc>
        <w:tc>
          <w:tcPr>
            <w:tcW w:w="3260" w:type="dxa"/>
            <w:vAlign w:val="center"/>
          </w:tcPr>
          <w:p>
            <w:pPr>
              <w:pStyle w:val="a3"/>
            </w:pPr>
            <w:r>
              <w:t>1s</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温度</w:t>
            </w:r>
          </w:p>
        </w:tc>
        <w:tc>
          <w:tcPr>
            <w:tcW w:w="3260" w:type="dxa"/>
            <w:vAlign w:val="center"/>
          </w:tcPr>
          <w:p>
            <w:pPr>
              <w:pStyle w:val="a3"/>
            </w:pPr>
            <w:r>
              <w:t>1s</w:t>
            </w:r>
          </w:p>
        </w:tc>
      </w:tr>
      <w:tr>
        <w:tblPrEx>
          <w:tblW w:w="0" w:type="auto"/>
          <w:jc w:val="center"/>
          <w:tblLayout w:type="fixed"/>
          <w:tblCellMar>
            <w:top w:w="0" w:type="dxa"/>
            <w:left w:w="108" w:type="dxa"/>
            <w:bottom w:w="0" w:type="dxa"/>
            <w:right w:w="108" w:type="dxa"/>
          </w:tblCellMar>
          <w:tblLook w:val="0000"/>
        </w:tblPrEx>
        <w:trPr>
          <w:jc w:val="center"/>
        </w:trPr>
        <w:tc>
          <w:tcPr>
            <w:tcW w:w="1696" w:type="dxa"/>
            <w:vMerge/>
            <w:vAlign w:val="center"/>
          </w:tcPr>
          <w:p>
            <w:pPr>
              <w:pStyle w:val="a3"/>
            </w:pPr>
          </w:p>
        </w:tc>
        <w:tc>
          <w:tcPr>
            <w:tcW w:w="2410" w:type="dxa"/>
            <w:vAlign w:val="center"/>
          </w:tcPr>
          <w:p>
            <w:pPr>
              <w:pStyle w:val="a3"/>
            </w:pPr>
            <w:r>
              <w:t>湿度</w:t>
            </w:r>
          </w:p>
        </w:tc>
        <w:tc>
          <w:tcPr>
            <w:tcW w:w="3260" w:type="dxa"/>
            <w:vAlign w:val="center"/>
          </w:tcPr>
          <w:p>
            <w:pPr>
              <w:pStyle w:val="a3"/>
            </w:pPr>
            <w:r>
              <w:t>1s</w:t>
            </w:r>
          </w:p>
        </w:tc>
      </w:tr>
    </w:tbl>
    <w:p>
      <w:pPr>
        <w:pStyle w:val="BodyText"/>
        <w:pageBreakBefore w:val="0"/>
        <w:kinsoku/>
        <w:wordWrap/>
        <w:overflowPunct/>
        <w:topLinePunct w:val="0"/>
        <w:autoSpaceDE/>
        <w:autoSpaceDN/>
        <w:bidi w:val="0"/>
        <w:spacing w:after="0" w:line="240" w:lineRule="auto"/>
        <w:ind w:firstLine="0" w:firstLineChars="0"/>
        <w:textAlignment w:val="auto"/>
        <w:rPr>
          <w:kern w:val="0"/>
          <w:szCs w:val="28"/>
        </w:rPr>
      </w:pPr>
    </w:p>
    <w:p>
      <w:pPr>
        <w:pStyle w:val="Style1285"/>
        <w:pageBreakBefore w:val="0"/>
        <w:kinsoku/>
        <w:wordWrap/>
        <w:overflowPunct/>
        <w:topLinePunct w:val="0"/>
        <w:autoSpaceDE/>
        <w:autoSpaceDN/>
        <w:bidi w:val="0"/>
        <w:adjustRightInd w:val="0"/>
        <w:snapToGrid w:val="0"/>
        <w:spacing w:line="240" w:lineRule="auto"/>
        <w:ind w:firstLine="480"/>
        <w:textAlignment w:val="auto"/>
        <w:rPr>
          <w:rFonts w:ascii="宋体" w:hAnsi="宋体" w:cs="Times New Roman" w:hint="eastAsia"/>
          <w:kern w:val="2"/>
          <w:sz w:val="24"/>
        </w:rPr>
      </w:pPr>
      <w:bookmarkStart w:id="160" w:name="_Toc2627"/>
      <w:bookmarkStart w:id="161" w:name="_Toc26089"/>
      <w:bookmarkStart w:id="162" w:name="_Toc27920"/>
      <w:bookmarkStart w:id="163" w:name="_Toc6753"/>
      <w:bookmarkStart w:id="164" w:name="_Toc275"/>
      <w:bookmarkStart w:id="165" w:name="_Toc16674"/>
      <w:bookmarkStart w:id="166" w:name="_Toc24811"/>
      <w:bookmarkStart w:id="167" w:name="_Toc20255"/>
      <w:bookmarkStart w:id="168" w:name="_Toc18673"/>
      <w:bookmarkStart w:id="169" w:name="_Toc26550"/>
      <w:bookmarkStart w:id="170" w:name="_Toc12934"/>
      <w:r>
        <w:rPr>
          <w:rFonts w:ascii="宋体" w:eastAsia="宋体" w:hAnsi="宋体" w:cs="Times New Roman" w:hint="eastAsia"/>
          <w:kern w:val="2"/>
          <w:sz w:val="24"/>
          <w:lang w:eastAsia="zh-CN"/>
        </w:rPr>
        <w:t>（</w:t>
      </w:r>
      <w:r>
        <w:rPr>
          <w:rFonts w:ascii="宋体" w:eastAsia="宋体" w:hAnsi="宋体" w:cs="Times New Roman" w:hint="eastAsia"/>
          <w:kern w:val="2"/>
          <w:sz w:val="24"/>
          <w:lang w:val="en-US" w:eastAsia="zh-CN"/>
        </w:rPr>
        <w:t>9</w:t>
      </w:r>
      <w:r>
        <w:rPr>
          <w:rFonts w:ascii="宋体" w:eastAsia="宋体" w:hAnsi="宋体" w:cs="Times New Roman" w:hint="eastAsia"/>
          <w:kern w:val="2"/>
          <w:sz w:val="24"/>
          <w:lang w:eastAsia="zh-CN"/>
        </w:rPr>
        <w:t>）</w:t>
      </w:r>
      <w:bookmarkEnd w:id="166"/>
      <w:bookmarkEnd w:id="167"/>
      <w:bookmarkEnd w:id="168"/>
      <w:bookmarkEnd w:id="169"/>
      <w:bookmarkEnd w:id="170"/>
      <w:bookmarkEnd w:id="160"/>
      <w:bookmarkEnd w:id="161"/>
      <w:bookmarkEnd w:id="162"/>
      <w:bookmarkEnd w:id="163"/>
      <w:bookmarkEnd w:id="164"/>
      <w:bookmarkEnd w:id="165"/>
      <w:r>
        <w:rPr>
          <w:rFonts w:ascii="Cambria" w:eastAsia="微软雅黑" w:hAnsi="Cambria" w:cs="Times New Roman" w:hint="eastAsia"/>
          <w:b w:val="0"/>
          <w:bCs w:val="0"/>
          <w:color w:val="595959"/>
          <w:kern w:val="20"/>
          <w:sz w:val="21"/>
          <w:szCs w:val="20"/>
          <w:lang w:val="zh-CN" w:eastAsia="zh-CN" w:bidi="ar-SA"/>
        </w:rPr>
        <w:t>配套终端软件</w:t>
      </w:r>
    </w:p>
    <w:p>
      <w:pPr>
        <w:pStyle w:val="Heading1"/>
        <w:pageBreakBefore w:val="0"/>
        <w:tabs>
          <w:tab w:val="left" w:pos="0"/>
        </w:tabs>
        <w:kinsoku/>
        <w:wordWrap/>
        <w:overflowPunct/>
        <w:topLinePunct w:val="0"/>
        <w:autoSpaceDE/>
        <w:autoSpaceDN/>
        <w:bidi w:val="0"/>
        <w:spacing w:before="0" w:after="0" w:line="240" w:lineRule="auto"/>
        <w:textAlignment w:val="auto"/>
        <w:rPr>
          <w:rFonts w:ascii="Cambria" w:eastAsia="微软雅黑" w:hAnsi="Cambria" w:cs="Times New Roman" w:hint="eastAsia"/>
          <w:b w:val="0"/>
          <w:bCs w:val="0"/>
          <w:color w:val="595959"/>
          <w:kern w:val="20"/>
          <w:sz w:val="21"/>
          <w:szCs w:val="20"/>
          <w:lang w:val="zh-CN" w:bidi="ar-SA"/>
        </w:rPr>
      </w:pPr>
      <w:bookmarkStart w:id="171" w:name="_bookmark8"/>
      <w:bookmarkEnd w:id="91"/>
      <w:bookmarkEnd w:id="86"/>
      <w:bookmarkEnd w:id="87"/>
      <w:bookmarkEnd w:id="88"/>
      <w:bookmarkEnd w:id="89"/>
      <w:bookmarkEnd w:id="171"/>
      <w:r>
        <w:rPr>
          <w:rFonts w:ascii="Cambria" w:eastAsia="微软雅黑" w:hAnsi="Cambria" w:cs="Times New Roman" w:hint="eastAsia"/>
          <w:b w:val="0"/>
          <w:bCs w:val="0"/>
          <w:color w:val="595959"/>
          <w:kern w:val="20"/>
          <w:sz w:val="21"/>
          <w:szCs w:val="20"/>
          <w:lang w:val="zh-CN" w:eastAsia="zh-CN" w:bidi="ar-SA"/>
        </w:rPr>
        <w:t xml:space="preserve">软件系统由控制终端（CT）软件和 Web 用户终端软件组成。 </w:t>
      </w:r>
    </w:p>
    <w:p>
      <w:pPr>
        <w:pStyle w:val="a5"/>
      </w:pPr>
      <w:r>
        <w:object>
          <v:shape id="Object 1" o:spid="_x0000_i1027" type="#_x0000_t75" style="width:345.65pt;height:193.35pt;mso-position-horizontal-relative:page;mso-position-vertical-relative:page;mso-wrap-style:square" o:oleicon="f" o:ole="" o:preferrelative="t" filled="f" stroked="f">
            <v:stroke linestyle="single"/>
            <v:imagedata r:id="rId8" o:title=""/>
            <v:path o:extrusionok="f"/>
            <o:lock v:ext="edit" aspectratio="t"/>
          </v:shape>
          <o:OLEObject Type="Embed" ProgID="Visio.Drawing.15" ShapeID="Object 1" DrawAspect="Content" ObjectID="_1234567891" r:id="rId9"/>
        </w:object>
      </w:r>
    </w:p>
    <w:p>
      <w:pPr>
        <w:pStyle w:val="BodyText"/>
        <w:pageBreakBefore w:val="0"/>
        <w:kinsoku/>
        <w:wordWrap/>
        <w:overflowPunct/>
        <w:topLinePunct w:val="0"/>
        <w:autoSpaceDE/>
        <w:autoSpaceDN/>
        <w:bidi w:val="0"/>
        <w:spacing w:before="185" w:line="240" w:lineRule="auto"/>
        <w:ind w:firstLine="420" w:leftChars="0" w:firstLineChars="200"/>
        <w:textAlignment w:val="auto"/>
        <w:rPr>
          <w:rFonts w:ascii="Times New Roman" w:eastAsia="宋体" w:hAnsi="Times New Roman" w:cs="Times New Roman" w:hint="eastAsia"/>
          <w:color w:val="auto"/>
          <w:kern w:val="2"/>
          <w:lang w:val="en-US" w:bidi="ar-SA"/>
        </w:rPr>
      </w:pPr>
      <w:r>
        <w:rPr>
          <w:rFonts w:ascii="Times New Roman" w:eastAsia="宋体" w:hAnsi="Times New Roman" w:cs="Times New Roman" w:hint="eastAsia"/>
          <w:color w:val="auto"/>
          <w:kern w:val="2"/>
          <w:sz w:val="21"/>
          <w:lang w:val="en-US" w:eastAsia="zh-CN" w:bidi="ar-SA"/>
        </w:rPr>
        <w:t xml:space="preserve">软件系统以控制终端(计算机)为载体，实现激光测风雷达操控、数据采集和产品运算，并通过有线或 4G 网络实现产品展示。 </w:t>
      </w:r>
    </w:p>
    <w:p>
      <w:pPr>
        <w:pStyle w:val="Heading2"/>
        <w:keepNext/>
        <w:keepLines/>
        <w:pageBreakBefore w:val="0"/>
        <w:widowControl w:val="0"/>
        <w:numPr>
          <w:ilvl w:val="0"/>
          <w:numId w:val="0"/>
        </w:numPr>
        <w:tabs>
          <w:tab w:val="left" w:pos="0"/>
        </w:tabs>
        <w:kinsoku/>
        <w:wordWrap/>
        <w:overflowPunct/>
        <w:topLinePunct w:val="0"/>
        <w:autoSpaceDE/>
        <w:autoSpaceDN/>
        <w:bidi w:val="0"/>
        <w:adjustRightInd/>
        <w:snapToGrid/>
        <w:spacing w:before="0" w:after="0" w:line="240" w:lineRule="auto"/>
        <w:ind w:firstLine="420" w:leftChars="0" w:firstLineChars="200"/>
        <w:textAlignment w:val="auto"/>
        <w:rPr>
          <w:rFonts w:ascii="Times New Roman" w:eastAsia="宋体" w:hAnsi="Times New Roman" w:cs="Times New Roman" w:hint="eastAsia"/>
          <w:color w:val="auto"/>
          <w:sz w:val="21"/>
          <w:lang w:val="zh-CN" w:bidi="ar-SA"/>
        </w:rPr>
      </w:pPr>
      <w:bookmarkStart w:id="172" w:name="_Toc22128"/>
      <w:bookmarkStart w:id="173" w:name="_Toc20361"/>
      <w:bookmarkStart w:id="174" w:name="_Toc13961"/>
      <w:bookmarkStart w:id="175" w:name="_Toc851"/>
      <w:bookmarkStart w:id="176" w:name="_Toc5598"/>
      <w:bookmarkStart w:id="177" w:name="_Toc30151"/>
      <w:bookmarkStart w:id="178" w:name="_Toc24105"/>
      <w:bookmarkStart w:id="179" w:name="_Toc23165"/>
      <w:bookmarkStart w:id="180" w:name="_Toc11770"/>
      <w:bookmarkStart w:id="181" w:name="_Toc15314"/>
      <w:bookmarkStart w:id="182" w:name="_Toc25874"/>
      <w:bookmarkStart w:id="183" w:name="_Toc25198"/>
      <w:bookmarkStart w:id="184" w:name="_Toc23574"/>
      <w:bookmarkStart w:id="185" w:name="_Toc24243"/>
      <w:bookmarkStart w:id="186" w:name="_bookmark9"/>
      <w:bookmarkStart w:id="187" w:name="_Toc11157"/>
      <w:bookmarkStart w:id="188" w:name="_Toc19166"/>
      <w:bookmarkEnd w:id="186"/>
      <w:r>
        <w:rPr>
          <w:rFonts w:ascii="Times New Roman" w:eastAsia="宋体" w:hAnsi="Times New Roman" w:cs="Times New Roman" w:hint="eastAsia"/>
          <w:color w:val="auto"/>
          <w:kern w:val="2"/>
          <w:sz w:val="21"/>
          <w:lang w:val="zh-CN" w:eastAsia="zh-CN" w:bidi="ar-SA"/>
        </w:rPr>
        <w:t>软件功能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8"/>
      <w:bookmarkEnd w:id="187"/>
      <w:r>
        <w:rPr>
          <w:rFonts w:ascii="Times New Roman" w:eastAsia="宋体" w:hAnsi="Times New Roman" w:cs="Times New Roman" w:hint="eastAsia"/>
          <w:color w:val="auto"/>
          <w:kern w:val="2"/>
          <w:sz w:val="21"/>
          <w:lang w:val="zh-CN" w:eastAsia="zh-CN" w:bidi="ar-SA"/>
        </w:rPr>
        <w:t xml:space="preserve"> </w:t>
      </w:r>
    </w:p>
    <w:p>
      <w:pPr>
        <w:pageBreakBefore w:val="0"/>
        <w:kinsoku/>
        <w:wordWrap/>
        <w:overflowPunct/>
        <w:topLinePunct w:val="0"/>
        <w:autoSpaceDE/>
        <w:autoSpaceDN/>
        <w:bidi w:val="0"/>
        <w:spacing w:line="240" w:lineRule="auto"/>
        <w:ind w:firstLine="420" w:leftChars="0" w:firstLineChars="200"/>
        <w:textAlignment w:val="auto"/>
        <w:rPr>
          <w:rFonts w:eastAsia="宋体" w:cs="Times New Roman" w:hint="eastAsia"/>
          <w:b/>
          <w:bCs/>
        </w:rPr>
      </w:pPr>
      <w:r>
        <w:rPr>
          <w:rFonts w:eastAsia="宋体" w:cs="Times New Roman" w:hint="eastAsia"/>
          <w:b/>
          <w:bCs/>
        </w:rPr>
        <w:t>1、VAP</w:t>
      </w:r>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 xml:space="preserve">IVAP 方法假定风场在方位角的有限区间内均匀，应用该区间内径向速度在方位角的余（正）弦上的投影来反演出该区间内的均匀风速，并通过调整区间的大小可以得到不同精度和分辨率的反演风场。 </w:t>
      </w:r>
    </w:p>
    <w:p>
      <w:pPr>
        <w:pageBreakBefore w:val="0"/>
        <w:kinsoku/>
        <w:wordWrap/>
        <w:overflowPunct/>
        <w:topLinePunct w:val="0"/>
        <w:autoSpaceDE/>
        <w:autoSpaceDN/>
        <w:bidi w:val="0"/>
        <w:spacing w:line="240" w:lineRule="auto"/>
        <w:ind w:firstLine="420" w:leftChars="0" w:firstLineChars="200"/>
        <w:textAlignment w:val="auto"/>
        <w:rPr>
          <w:rFonts w:hint="eastAsia"/>
          <w:b/>
          <w:bCs/>
        </w:rPr>
      </w:pPr>
      <w:r>
        <w:rPr>
          <w:rFonts w:hint="eastAsia"/>
          <w:b/>
          <w:bCs/>
        </w:rPr>
        <w:t xml:space="preserve">2、控制雷达运行状态 </w:t>
      </w:r>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具备对激光测风雷达进行运行、停止、机械转动和扫描模式切换等操作控制。</w:t>
      </w:r>
    </w:p>
    <w:p>
      <w:pPr>
        <w:pageBreakBefore w:val="0"/>
        <w:kinsoku/>
        <w:wordWrap/>
        <w:overflowPunct/>
        <w:topLinePunct w:val="0"/>
        <w:autoSpaceDE/>
        <w:autoSpaceDN/>
        <w:bidi w:val="0"/>
        <w:spacing w:line="240" w:lineRule="auto"/>
        <w:ind w:firstLine="420" w:leftChars="0" w:firstLineChars="200"/>
        <w:textAlignment w:val="auto"/>
        <w:rPr>
          <w:rFonts w:hint="eastAsia"/>
          <w:b/>
          <w:bCs/>
        </w:rPr>
      </w:pPr>
      <w:r>
        <w:rPr>
          <w:rFonts w:hint="eastAsia"/>
          <w:b/>
          <w:bCs/>
        </w:rPr>
        <w:t xml:space="preserve">3、查看雷达状态 </w:t>
      </w:r>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 xml:space="preserve">展示雷达的基本信息：雷达型号、分辨率、最大探测距离、经度、纬度、roll、Pitch、海拔以及剩余硬盘储存容量。 具备对激光测风雷达伺服系统、网络连接、传感器、雷达天线、激光器和信号处理进行监控。 </w:t>
      </w:r>
    </w:p>
    <w:p>
      <w:pPr>
        <w:pageBreakBefore w:val="0"/>
        <w:kinsoku/>
        <w:wordWrap/>
        <w:overflowPunct/>
        <w:topLinePunct w:val="0"/>
        <w:autoSpaceDE/>
        <w:autoSpaceDN/>
        <w:bidi w:val="0"/>
        <w:spacing w:line="240" w:lineRule="auto"/>
        <w:ind w:firstLine="420" w:leftChars="0" w:firstLineChars="200"/>
        <w:textAlignment w:val="auto"/>
        <w:rPr>
          <w:rFonts w:hint="eastAsia"/>
          <w:b/>
          <w:bCs/>
        </w:rPr>
      </w:pPr>
      <w:r>
        <w:rPr>
          <w:rFonts w:hint="eastAsia"/>
          <w:b/>
          <w:bCs/>
        </w:rPr>
        <w:t xml:space="preserve">4、采集风场资料 </w:t>
      </w:r>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利用大气中气溶胶颗粒的激光后向散射信号和激光发射系统的本振光做外差检测，获取大气运动引起的多普勒频移，从而获取风场的基本数据信息。通过地面温度、湿度和风向、风速四要素超声波传感器，获取雷达系统工作固定点的四要素信息，为产品运算提供分析数据。</w:t>
      </w:r>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使用电子罗盘获取正北方向信息，为风场的方向提供稳定的方向参考。</w:t>
      </w:r>
    </w:p>
    <w:p>
      <w:pPr>
        <w:pageBreakBefore w:val="0"/>
        <w:kinsoku/>
        <w:wordWrap/>
        <w:overflowPunct/>
        <w:topLinePunct w:val="0"/>
        <w:autoSpaceDE/>
        <w:autoSpaceDN/>
        <w:bidi w:val="0"/>
        <w:spacing w:line="240" w:lineRule="auto"/>
        <w:ind w:firstLine="420" w:leftChars="0" w:firstLineChars="200"/>
        <w:textAlignment w:val="auto"/>
        <w:rPr>
          <w:rFonts w:hint="eastAsia"/>
          <w:b/>
          <w:bCs/>
        </w:rPr>
      </w:pPr>
      <w:r>
        <w:rPr>
          <w:rFonts w:hint="eastAsia"/>
          <w:b/>
          <w:bCs/>
        </w:rPr>
        <w:t xml:space="preserve">5、产品运算 </w:t>
      </w:r>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数据采集后，经过数据处理和产品运算，得到风场产品信息，包括水平风速、水平风向、垂直风速、风羽图以及风切变等。</w:t>
      </w:r>
    </w:p>
    <w:p>
      <w:pPr>
        <w:pageBreakBefore w:val="0"/>
        <w:kinsoku/>
        <w:wordWrap/>
        <w:overflowPunct/>
        <w:topLinePunct w:val="0"/>
        <w:autoSpaceDE/>
        <w:autoSpaceDN/>
        <w:bidi w:val="0"/>
        <w:spacing w:line="240" w:lineRule="auto"/>
        <w:ind w:firstLine="420" w:leftChars="0" w:firstLineChars="200"/>
        <w:textAlignment w:val="auto"/>
        <w:rPr>
          <w:rFonts w:hint="eastAsia"/>
          <w:b/>
          <w:bCs/>
        </w:rPr>
      </w:pPr>
      <w:r>
        <w:rPr>
          <w:rFonts w:hint="eastAsia"/>
          <w:b/>
          <w:bCs/>
        </w:rPr>
        <w:t xml:space="preserve">6、风场资料管理 </w:t>
      </w:r>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可以按时间搜索查询风场资料，数据类型包括 DBS 模式下</w:t>
      </w:r>
      <w:r>
        <w:rPr>
          <w:rFonts w:hint="eastAsia"/>
        </w:rPr>
        <w:t>“</w:t>
      </w:r>
      <w:r>
        <w:rPr>
          <w:rFonts w:hint="eastAsia"/>
        </w:rPr>
        <w:t>秒级风数据</w:t>
      </w:r>
      <w:r>
        <w:rPr>
          <w:rFonts w:hint="eastAsia"/>
        </w:rPr>
        <w:t>”</w:t>
      </w:r>
      <w:r>
        <w:rPr>
          <w:rFonts w:hint="eastAsia"/>
        </w:rPr>
        <w:t xml:space="preserve"> 和</w:t>
      </w:r>
      <w:r>
        <w:rPr>
          <w:rFonts w:hint="eastAsia"/>
        </w:rPr>
        <w:t>“</w:t>
      </w:r>
      <w:r>
        <w:rPr>
          <w:rFonts w:hint="eastAsia"/>
        </w:rPr>
        <w:t>十分钟风平均数据</w:t>
      </w:r>
      <w:r>
        <w:rPr>
          <w:rFonts w:hint="eastAsia"/>
        </w:rPr>
        <w:t>”</w:t>
      </w:r>
      <w:r>
        <w:rPr>
          <w:rFonts w:hint="eastAsia"/>
        </w:rPr>
        <w:t xml:space="preserve">。风场资料可以直接打开分析，也可以导出到其他气象分析软件进行深度处理，用于二次开发或定制化服务。 </w:t>
      </w:r>
    </w:p>
    <w:p>
      <w:pPr>
        <w:pStyle w:val="Style1285"/>
        <w:pageBreakBefore w:val="0"/>
        <w:kinsoku/>
        <w:wordWrap/>
        <w:overflowPunct/>
        <w:topLinePunct w:val="0"/>
        <w:autoSpaceDE/>
        <w:autoSpaceDN/>
        <w:bidi w:val="0"/>
        <w:adjustRightInd w:val="0"/>
        <w:snapToGrid w:val="0"/>
        <w:spacing w:line="240" w:lineRule="auto"/>
        <w:ind w:firstLine="480" w:leftChars="0" w:firstLineChars="200"/>
        <w:textAlignment w:val="auto"/>
        <w:rPr>
          <w:rFonts w:ascii="宋体" w:hAnsi="宋体" w:cs="Times New Roman" w:hint="eastAsia"/>
          <w:kern w:val="2"/>
          <w:sz w:val="24"/>
        </w:rPr>
      </w:pPr>
      <w:bookmarkStart w:id="189" w:name="_Toc31681"/>
      <w:bookmarkStart w:id="190" w:name="_Toc11814"/>
      <w:bookmarkStart w:id="191" w:name="_Toc18310"/>
      <w:bookmarkStart w:id="192" w:name="_Toc5452"/>
      <w:bookmarkStart w:id="193" w:name="_Toc26440"/>
      <w:bookmarkStart w:id="194" w:name="_Toc5981"/>
      <w:bookmarkStart w:id="195" w:name="_Toc29511"/>
      <w:bookmarkStart w:id="196" w:name="_Toc22611"/>
      <w:bookmarkStart w:id="197" w:name="_Toc11131"/>
      <w:bookmarkStart w:id="198" w:name="_Toc23866"/>
      <w:bookmarkStart w:id="199" w:name="_Toc27582"/>
      <w:bookmarkStart w:id="200" w:name="_Toc13109"/>
      <w:bookmarkStart w:id="201" w:name="_Toc8477"/>
      <w:bookmarkStart w:id="202" w:name="_Toc28742"/>
      <w:bookmarkStart w:id="203" w:name="_Toc4605"/>
      <w:bookmarkStart w:id="204" w:name="_Toc24313"/>
      <w:r>
        <w:rPr>
          <w:rFonts w:ascii="宋体" w:eastAsia="宋体" w:hAnsi="宋体" w:cs="Times New Roman" w:hint="eastAsia"/>
          <w:kern w:val="2"/>
          <w:sz w:val="24"/>
          <w:lang w:eastAsia="zh-CN"/>
        </w:rPr>
        <w:t>（</w:t>
      </w:r>
      <w:r>
        <w:rPr>
          <w:rFonts w:ascii="宋体" w:eastAsia="宋体" w:hAnsi="宋体" w:cs="Times New Roman" w:hint="eastAsia"/>
          <w:kern w:val="2"/>
          <w:sz w:val="24"/>
          <w:lang w:val="en-US" w:eastAsia="zh-CN"/>
        </w:rPr>
        <w:t>9</w:t>
      </w:r>
      <w:r>
        <w:rPr>
          <w:rFonts w:ascii="宋体" w:eastAsia="宋体" w:hAnsi="宋体" w:cs="Times New Roman" w:hint="eastAsia"/>
          <w:kern w:val="2"/>
          <w:sz w:val="24"/>
          <w:lang w:eastAsia="zh-CN"/>
        </w:rPr>
        <w:t>）安装方式</w:t>
      </w:r>
      <w:bookmarkEnd w:id="190"/>
      <w:bookmarkEnd w:id="189"/>
      <w:bookmarkEnd w:id="204"/>
      <w:bookmarkEnd w:id="191"/>
      <w:bookmarkEnd w:id="192"/>
      <w:bookmarkEnd w:id="193"/>
      <w:bookmarkEnd w:id="194"/>
      <w:bookmarkEnd w:id="195"/>
      <w:bookmarkEnd w:id="196"/>
      <w:bookmarkEnd w:id="197"/>
      <w:bookmarkEnd w:id="198"/>
      <w:bookmarkEnd w:id="199"/>
      <w:bookmarkEnd w:id="200"/>
      <w:bookmarkEnd w:id="201"/>
      <w:bookmarkEnd w:id="202"/>
      <w:bookmarkEnd w:id="203"/>
    </w:p>
    <w:p>
      <w:pPr>
        <w:pageBreakBefore w:val="0"/>
        <w:kinsoku/>
        <w:wordWrap/>
        <w:overflowPunct/>
        <w:topLinePunct w:val="0"/>
        <w:autoSpaceDE/>
        <w:autoSpaceDN/>
        <w:bidi w:val="0"/>
        <w:spacing w:line="240" w:lineRule="auto"/>
        <w:ind w:firstLine="420" w:leftChars="0" w:firstLineChars="200"/>
        <w:textAlignment w:val="auto"/>
        <w:rPr>
          <w:rFonts w:hint="eastAsia"/>
        </w:rPr>
      </w:pPr>
      <w:r>
        <w:rPr>
          <w:rFonts w:hint="eastAsia"/>
        </w:rPr>
        <w:t>本雷达体积小、重量轻、结构简单，支持移动式部署、固定式架设使用，具体安装方式根据使用场景择优选择。</w:t>
      </w:r>
    </w:p>
    <w:p>
      <w:pPr>
        <w:widowControl/>
        <w:ind w:firstLine="562"/>
        <w:jc w:val="left"/>
        <w:rPr>
          <w:rFonts w:ascii="宋体" w:hAnsi="宋体"/>
          <w:b/>
          <w:sz w:val="28"/>
          <w:szCs w:val="21"/>
        </w:rPr>
      </w:pPr>
      <w:bookmarkEnd w:id="90"/>
      <w:r>
        <w:rPr>
          <w:rFonts w:ascii="宋体" w:hAnsi="宋体" w:hint="eastAsia"/>
          <w:b/>
          <w:sz w:val="28"/>
          <w:szCs w:val="21"/>
        </w:rPr>
        <w:t>四</w:t>
      </w:r>
      <w:r>
        <w:rPr>
          <w:rFonts w:ascii="宋体" w:hAnsi="宋体"/>
          <w:b/>
          <w:sz w:val="28"/>
          <w:szCs w:val="21"/>
        </w:rPr>
        <w:t>、</w:t>
      </w:r>
      <w:r>
        <w:rPr>
          <w:rFonts w:ascii="宋体" w:hAnsi="宋体" w:hint="eastAsia"/>
          <w:b/>
          <w:sz w:val="28"/>
          <w:szCs w:val="21"/>
        </w:rPr>
        <w:t>供货要求</w:t>
      </w:r>
    </w:p>
    <w:p>
      <w:pPr>
        <w:ind w:firstLine="420"/>
        <w:rPr>
          <w:rFonts w:hint="eastAsia"/>
        </w:rPr>
      </w:pPr>
      <w:r>
        <w:rPr>
          <w:rFonts w:hint="eastAsia"/>
        </w:rPr>
        <w:t>供应商将所有设备运送到招标人指定地点（运输相关费用由供应商负责），并负责安装调试。</w:t>
      </w:r>
    </w:p>
    <w:p>
      <w:pPr>
        <w:ind w:firstLine="420"/>
        <w:rPr>
          <w:rFonts w:hint="eastAsia"/>
        </w:rPr>
      </w:pPr>
      <w:r>
        <w:rPr>
          <w:rFonts w:hint="eastAsia"/>
          <w:color w:val="0000FF"/>
        </w:rPr>
        <w:t>合同签订后</w:t>
      </w:r>
      <w:r>
        <w:rPr>
          <w:rFonts w:hint="eastAsia"/>
          <w:color w:val="0000FF"/>
          <w:lang w:val="en-US" w:eastAsia="zh-CN"/>
        </w:rPr>
        <w:t>6</w:t>
      </w:r>
      <w:r>
        <w:rPr>
          <w:rFonts w:hint="eastAsia"/>
          <w:color w:val="0000FF"/>
        </w:rPr>
        <w:t>0天内完成</w:t>
      </w:r>
      <w:r>
        <w:rPr>
          <w:rFonts w:hint="eastAsia"/>
        </w:rPr>
        <w:t>供货</w:t>
      </w:r>
      <w:r>
        <w:rPr>
          <w:rFonts w:hint="eastAsia"/>
          <w:lang w:eastAsia="zh-CN"/>
        </w:rPr>
        <w:t>，</w:t>
      </w:r>
      <w:r>
        <w:rPr>
          <w:rFonts w:hint="eastAsia"/>
          <w:lang w:val="en-US" w:eastAsia="zh-CN"/>
        </w:rPr>
        <w:t>到货10天后完成</w:t>
      </w:r>
      <w:r>
        <w:rPr>
          <w:rFonts w:hint="eastAsia"/>
          <w:color w:val="0000FF"/>
        </w:rPr>
        <w:t>安装调试并具备验收条件。</w:t>
      </w:r>
    </w:p>
    <w:p>
      <w:pPr>
        <w:widowControl/>
        <w:ind w:firstLine="562"/>
        <w:jc w:val="left"/>
        <w:rPr>
          <w:rFonts w:ascii="宋体" w:hAnsi="宋体"/>
          <w:b/>
        </w:rPr>
      </w:pPr>
      <w:r>
        <w:rPr>
          <w:rFonts w:ascii="宋体" w:hAnsi="宋体" w:hint="eastAsia"/>
          <w:b/>
          <w:sz w:val="28"/>
          <w:szCs w:val="21"/>
        </w:rPr>
        <w:t>五</w:t>
      </w:r>
      <w:r>
        <w:rPr>
          <w:rFonts w:ascii="宋体" w:hAnsi="宋体"/>
          <w:b/>
          <w:sz w:val="28"/>
          <w:szCs w:val="21"/>
        </w:rPr>
        <w:t>、</w:t>
      </w:r>
      <w:r>
        <w:rPr>
          <w:rFonts w:ascii="宋体" w:hAnsi="宋体" w:hint="eastAsia"/>
          <w:b/>
          <w:sz w:val="28"/>
          <w:szCs w:val="21"/>
        </w:rPr>
        <w:t>服务要求</w:t>
      </w:r>
    </w:p>
    <w:p>
      <w:pPr>
        <w:ind w:firstLine="220" w:firstLineChars="100"/>
        <w:rPr>
          <w:rFonts w:ascii="宋体" w:hAnsi="宋体"/>
          <w:b/>
        </w:rPr>
      </w:pPr>
      <w:r>
        <w:rPr>
          <w:rFonts w:ascii="宋体" w:hAnsi="宋体" w:hint="eastAsia"/>
          <w:b/>
          <w:sz w:val="22"/>
          <w:szCs w:val="24"/>
        </w:rPr>
        <w:t>（一）项目团队</w:t>
      </w:r>
    </w:p>
    <w:p>
      <w:pPr>
        <w:ind w:firstLine="420"/>
      </w:pPr>
      <w:r>
        <w:rPr>
          <w:rFonts w:hint="eastAsia"/>
        </w:rPr>
        <w:t>供应商为本项目设立专业团队，负责项目中全部设备的安装、调试、故障排除和质保期内的其他相关工作。其中供应商应确保团队的稳定性和专业性，项目经理应具有必要的项目管理经验。</w:t>
      </w:r>
    </w:p>
    <w:p>
      <w:pPr>
        <w:ind w:firstLine="220" w:firstLineChars="100"/>
        <w:rPr>
          <w:rFonts w:ascii="宋体" w:hAnsi="宋体"/>
          <w:b/>
          <w:sz w:val="22"/>
        </w:rPr>
      </w:pPr>
      <w:r>
        <w:rPr>
          <w:rFonts w:ascii="宋体" w:hAnsi="宋体" w:hint="eastAsia"/>
          <w:b/>
          <w:sz w:val="22"/>
          <w:szCs w:val="24"/>
        </w:rPr>
        <w:t>（二）技术支持</w:t>
      </w:r>
    </w:p>
    <w:p>
      <w:pPr>
        <w:ind w:firstLine="420"/>
      </w:pPr>
      <w:r>
        <w:rPr>
          <w:rFonts w:hint="eastAsia"/>
        </w:rPr>
        <w:t>供应商服务时间应为</w:t>
      </w:r>
      <w:r>
        <w:t>7</w:t>
      </w:r>
      <w:r>
        <w:rPr>
          <w:rFonts w:hint="eastAsia"/>
        </w:rPr>
        <w:t>×</w:t>
      </w:r>
      <w:r>
        <w:t xml:space="preserve">24 </w:t>
      </w:r>
      <w:r>
        <w:rPr>
          <w:rFonts w:hint="eastAsia"/>
        </w:rPr>
        <w:t>小时，当设备或软件遭到损坏或出现故障时，要在用户报修之时起</w:t>
      </w:r>
      <w:r>
        <w:t xml:space="preserve">2 </w:t>
      </w:r>
      <w:r>
        <w:rPr>
          <w:rFonts w:hint="eastAsia"/>
        </w:rPr>
        <w:t>小时内做出响应，并在</w:t>
      </w:r>
      <w:r>
        <w:t xml:space="preserve">24 </w:t>
      </w:r>
      <w:r>
        <w:rPr>
          <w:rFonts w:hint="eastAsia"/>
        </w:rPr>
        <w:t>小时内到达现场，完成维修维护工作。</w:t>
      </w:r>
    </w:p>
    <w:p>
      <w:pPr>
        <w:ind w:firstLine="420"/>
      </w:pPr>
      <w:r>
        <w:rPr>
          <w:rFonts w:hint="eastAsia"/>
        </w:rPr>
        <w:t>供应商提供完善的售后服务方案（包含不限于现场服务方案和远程技术指导方案等）。具体内容包括售后服务方式、人员配置、服务期限、故障响应及维修时间、零配件供应方式等情况。</w:t>
      </w:r>
    </w:p>
    <w:p>
      <w:pPr>
        <w:ind w:firstLine="220" w:firstLineChars="100"/>
        <w:rPr>
          <w:rFonts w:ascii="宋体" w:hAnsi="宋体"/>
          <w:b/>
          <w:sz w:val="22"/>
        </w:rPr>
      </w:pPr>
      <w:r>
        <w:rPr>
          <w:rFonts w:ascii="宋体" w:hAnsi="宋体" w:hint="eastAsia"/>
          <w:b/>
          <w:sz w:val="22"/>
          <w:szCs w:val="24"/>
        </w:rPr>
        <w:t>（三）技术资料</w:t>
      </w:r>
    </w:p>
    <w:p>
      <w:pPr>
        <w:ind w:firstLine="420"/>
      </w:pPr>
      <w:r>
        <w:rPr>
          <w:rFonts w:hint="eastAsia"/>
        </w:rPr>
        <w:t>供应商向采购单位提供整套设备技术资料和用于维护使用的维护手册，含性能指标、系统构成等详细的维修内容。</w:t>
      </w:r>
    </w:p>
    <w:p>
      <w:pPr>
        <w:ind w:firstLine="220" w:firstLineChars="100"/>
        <w:rPr>
          <w:rFonts w:ascii="宋体" w:hAnsi="宋体"/>
          <w:b/>
        </w:rPr>
      </w:pPr>
      <w:r>
        <w:rPr>
          <w:rFonts w:ascii="宋体" w:hAnsi="宋体" w:hint="eastAsia"/>
          <w:b/>
          <w:sz w:val="22"/>
          <w:szCs w:val="24"/>
        </w:rPr>
        <w:t>（四）技术培训</w:t>
      </w:r>
    </w:p>
    <w:p>
      <w:pPr>
        <w:ind w:firstLine="420"/>
      </w:pPr>
      <w:r>
        <w:rPr>
          <w:rFonts w:hint="eastAsia"/>
        </w:rPr>
        <w:t>通过培训，使工作人员掌握本项目各系统设备的基本结构和原理、操作规范和流程、软件的功能和使用方法，具备常规操作、日常维护、中小故障排除、软件使用和系统管理的能力；</w:t>
      </w:r>
    </w:p>
    <w:p>
      <w:pPr>
        <w:ind w:firstLine="420"/>
      </w:pPr>
      <w:r>
        <w:rPr>
          <w:rFonts w:hint="eastAsia"/>
        </w:rPr>
        <w:t>熟练掌握所负责业务的质量控制、质量保证方法和措施；掌握本项目进一步开发、应用所需的知识和技能。书面承诺每种设备的培训讲师具有中级以上职称或从事该设备技术工作至少</w:t>
      </w:r>
      <w:r>
        <w:t xml:space="preserve">2 </w:t>
      </w:r>
      <w:r>
        <w:rPr>
          <w:rFonts w:hint="eastAsia"/>
        </w:rPr>
        <w:t>年；</w:t>
      </w:r>
    </w:p>
    <w:p>
      <w:pPr>
        <w:ind w:firstLine="420"/>
      </w:pPr>
      <w:r>
        <w:rPr>
          <w:rFonts w:hint="eastAsia"/>
        </w:rPr>
        <w:t>每种设备对每个采购单位的培训人数不少于</w:t>
      </w:r>
      <w:r>
        <w:t xml:space="preserve">1 </w:t>
      </w:r>
      <w:r>
        <w:rPr>
          <w:rFonts w:hint="eastAsia"/>
        </w:rPr>
        <w:t>人、课时不少于</w:t>
      </w:r>
      <w:r>
        <w:t xml:space="preserve">1 </w:t>
      </w:r>
      <w:r>
        <w:rPr>
          <w:rFonts w:hint="eastAsia"/>
        </w:rPr>
        <w:t>课时（每课时为</w:t>
      </w:r>
      <w:r>
        <w:t xml:space="preserve">1 </w:t>
      </w:r>
      <w:r>
        <w:rPr>
          <w:rFonts w:hint="eastAsia"/>
        </w:rPr>
        <w:t>小时）。</w:t>
      </w:r>
    </w:p>
    <w:p>
      <w:pPr>
        <w:ind w:firstLine="220" w:firstLineChars="100"/>
        <w:rPr>
          <w:rFonts w:ascii="宋体" w:hAnsi="宋体"/>
          <w:b/>
          <w:sz w:val="22"/>
        </w:rPr>
      </w:pPr>
      <w:r>
        <w:rPr>
          <w:rFonts w:ascii="宋体" w:hAnsi="宋体" w:hint="eastAsia"/>
          <w:b/>
          <w:sz w:val="22"/>
          <w:szCs w:val="24"/>
        </w:rPr>
        <w:t>（五）质保服务</w:t>
      </w:r>
    </w:p>
    <w:p>
      <w:pPr>
        <w:ind w:firstLine="420"/>
      </w:pPr>
      <w:r>
        <w:rPr>
          <w:sz w:val="18"/>
          <w:szCs w:val="18"/>
        </w:rPr>
        <w:t>*</w:t>
      </w:r>
      <w:r>
        <w:rPr>
          <w:rFonts w:hint="eastAsia"/>
        </w:rPr>
        <w:t>质保期：</w:t>
      </w:r>
      <w:r>
        <w:rPr>
          <w:rFonts w:hint="eastAsia"/>
          <w:lang w:val="en-US" w:eastAsia="zh-CN"/>
        </w:rPr>
        <w:t>3</w:t>
      </w:r>
      <w:r>
        <w:t xml:space="preserve"> </w:t>
      </w:r>
      <w:r>
        <w:rPr>
          <w:rFonts w:hint="eastAsia"/>
        </w:rPr>
        <w:t>年。</w:t>
      </w:r>
    </w:p>
    <w:p>
      <w:pPr>
        <w:ind w:firstLine="420" w:firstLineChars="0"/>
        <w:rPr>
          <w:rFonts w:hint="eastAsia"/>
        </w:rPr>
      </w:pPr>
      <w:r>
        <w:rPr>
          <w:rFonts w:hint="eastAsia"/>
        </w:rPr>
        <w:t>包含质保期内（自现场验收合格之日起</w:t>
      </w:r>
      <w:r>
        <w:rPr>
          <w:rFonts w:hint="eastAsia"/>
          <w:lang w:val="en-US" w:eastAsia="zh-CN"/>
        </w:rPr>
        <w:t>3</w:t>
      </w:r>
      <w:r>
        <w:rPr>
          <w:rFonts w:hint="eastAsia"/>
        </w:rPr>
        <w:t>年）针对设备故障的维修服务（含故障器件更换）以及保证设备正常运行所需的核心部件更换、安装、备品备件、配套软件及升级、标定、设备运行和巡查巡检等全部费用。</w:t>
      </w:r>
    </w:p>
    <w:p>
      <w:pPr>
        <w:spacing w:before="156" w:beforeLines="50"/>
        <w:ind w:firstLine="420"/>
        <w:jc w:val="center"/>
        <w:outlineLvl w:val="1"/>
        <w:rPr>
          <w:szCs w:val="21"/>
        </w:rPr>
      </w:pPr>
    </w:p>
    <w:p>
      <w:pPr>
        <w:ind w:firstLine="420"/>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7"/>
        <w:gridCol w:w="2453"/>
        <w:gridCol w:w="734"/>
        <w:gridCol w:w="1020"/>
        <w:gridCol w:w="1164"/>
        <w:gridCol w:w="1593"/>
        <w:gridCol w:w="115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205" w:name="货物一览表_index"/>
            <w:r>
              <w:rPr>
                <w:rFonts w:asciiTheme="minorEastAsia" w:eastAsiaTheme="minorEastAsia" w:hAnsiTheme="minorEastAsia" w:cstheme="minorEastAsia" w:hint="eastAsia"/>
                <w:kern w:val="0"/>
                <w:szCs w:val="21"/>
              </w:rPr>
              <w:t>序号</w:t>
            </w:r>
            <w:bookmarkEnd w:id="205"/>
          </w:p>
        </w:tc>
        <w:tc>
          <w:tcPr>
            <w:tcW w:w="1135" w:type="dxa"/>
          </w:tcPr>
          <w:p>
            <w:pPr>
              <w:autoSpaceDE w:val="0"/>
              <w:jc w:val="center"/>
              <w:rPr>
                <w:rFonts w:asciiTheme="minorEastAsia" w:hAnsiTheme="minorEastAsia" w:cstheme="minorEastAsia"/>
                <w:kern w:val="0"/>
                <w:szCs w:val="21"/>
              </w:rPr>
            </w:pPr>
            <w:bookmarkStart w:id="206" w:name="货物一览表_goodsName"/>
            <w:r>
              <w:rPr>
                <w:rFonts w:asciiTheme="minorEastAsia" w:eastAsiaTheme="minorEastAsia" w:hAnsiTheme="minorEastAsia" w:cstheme="minorEastAsia" w:hint="eastAsia"/>
                <w:kern w:val="0"/>
                <w:szCs w:val="21"/>
              </w:rPr>
              <w:t>设备名称</w:t>
            </w:r>
            <w:bookmarkEnd w:id="206"/>
          </w:p>
        </w:tc>
        <w:tc>
          <w:tcPr>
            <w:tcW w:w="965" w:type="dxa"/>
          </w:tcPr>
          <w:p>
            <w:pPr>
              <w:autoSpaceDE w:val="0"/>
              <w:jc w:val="center"/>
              <w:rPr>
                <w:rFonts w:asciiTheme="minorEastAsia" w:hAnsiTheme="minorEastAsia" w:cstheme="minorEastAsia"/>
                <w:kern w:val="0"/>
                <w:szCs w:val="21"/>
              </w:rPr>
            </w:pPr>
            <w:bookmarkStart w:id="207" w:name="货物一览表_nums"/>
            <w:r>
              <w:rPr>
                <w:rFonts w:asciiTheme="minorEastAsia" w:eastAsiaTheme="minorEastAsia" w:hAnsiTheme="minorEastAsia" w:cstheme="minorEastAsia" w:hint="eastAsia"/>
                <w:kern w:val="0"/>
                <w:szCs w:val="21"/>
              </w:rPr>
              <w:t>采购数量</w:t>
            </w:r>
            <w:bookmarkEnd w:id="207"/>
          </w:p>
        </w:tc>
        <w:tc>
          <w:tcPr>
            <w:tcW w:w="1062" w:type="dxa"/>
          </w:tcPr>
          <w:p>
            <w:pPr>
              <w:autoSpaceDE w:val="0"/>
              <w:jc w:val="center"/>
              <w:rPr>
                <w:rFonts w:asciiTheme="minorEastAsia" w:hAnsiTheme="minorEastAsia" w:cstheme="minorEastAsia"/>
                <w:kern w:val="0"/>
                <w:szCs w:val="21"/>
              </w:rPr>
            </w:pPr>
            <w:bookmarkStart w:id="208" w:name="货物一览表_units"/>
            <w:r>
              <w:rPr>
                <w:rFonts w:asciiTheme="minorEastAsia" w:eastAsiaTheme="minorEastAsia" w:hAnsiTheme="minorEastAsia" w:cstheme="minorEastAsia" w:hint="eastAsia"/>
                <w:kern w:val="0"/>
                <w:szCs w:val="21"/>
              </w:rPr>
              <w:t>计量单位</w:t>
            </w:r>
            <w:bookmarkEnd w:id="208"/>
          </w:p>
        </w:tc>
        <w:tc>
          <w:tcPr>
            <w:tcW w:w="1220" w:type="dxa"/>
          </w:tcPr>
          <w:p>
            <w:pPr>
              <w:autoSpaceDE w:val="0"/>
              <w:jc w:val="center"/>
              <w:rPr>
                <w:rFonts w:asciiTheme="minorEastAsia" w:hAnsiTheme="minorEastAsia" w:cstheme="minorEastAsia"/>
                <w:kern w:val="0"/>
                <w:szCs w:val="21"/>
              </w:rPr>
            </w:pPr>
            <w:bookmarkStart w:id="209" w:name="货物一览表_procurementBudget"/>
            <w:r>
              <w:rPr>
                <w:rFonts w:asciiTheme="minorEastAsia" w:eastAsiaTheme="minorEastAsia" w:hAnsiTheme="minorEastAsia" w:cstheme="minorEastAsia" w:hint="eastAsia"/>
                <w:kern w:val="0"/>
                <w:szCs w:val="21"/>
              </w:rPr>
              <w:t>采购预算（元）</w:t>
            </w:r>
            <w:bookmarkEnd w:id="209"/>
          </w:p>
        </w:tc>
        <w:tc>
          <w:tcPr>
            <w:tcW w:w="1329" w:type="dxa"/>
          </w:tcPr>
          <w:p>
            <w:pPr>
              <w:autoSpaceDE w:val="0"/>
              <w:jc w:val="center"/>
              <w:rPr>
                <w:rFonts w:asciiTheme="minorEastAsia" w:hAnsiTheme="minorEastAsia" w:cstheme="minorEastAsia" w:hint="eastAsia"/>
                <w:kern w:val="0"/>
                <w:szCs w:val="21"/>
              </w:rPr>
            </w:pPr>
            <w:bookmarkStart w:id="21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21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211" w:name="货物一览表_remark"/>
            <w:r>
              <w:rPr>
                <w:rFonts w:asciiTheme="minorEastAsia" w:eastAsiaTheme="minorEastAsia" w:hAnsiTheme="minorEastAsia" w:cstheme="minorEastAsia" w:hint="eastAsia"/>
                <w:kern w:val="0"/>
                <w:szCs w:val="21"/>
              </w:rPr>
              <w:t>备注</w:t>
            </w:r>
            <w:bookmarkEnd w:id="21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相干多普勒测风激光雷达（远距型）</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960,000.00</w:t>
            </w:r>
          </w:p>
        </w:tc>
        <w:tc>
          <w:tcPr/>
          <w:p>
            <w:pPr>
              <w:autoSpaceDE w:val="0"/>
              <w:jc w:val="center"/>
              <w:rPr>
                <w:rFonts w:asciiTheme="minorEastAsia" w:hAnsiTheme="minorEastAsia" w:cstheme="minorEastAsia" w:hint="eastAsia"/>
                <w:kern w:val="0"/>
                <w:szCs w:val="21"/>
              </w:rPr>
            </w:pPr>
            <w:r>
              <w:t>合同签订后60天内交货</w:t>
            </w:r>
          </w:p>
        </w:tc>
        <w:tc>
          <w:tcPr/>
          <w:p>
            <w:pPr>
              <w:autoSpaceDE w:val="0"/>
              <w:autoSpaceDN w:val="0"/>
              <w:adjustRightInd w:val="0"/>
              <w:spacing w:before="48"/>
              <w:ind w:right="-20"/>
              <w:jc w:val="center"/>
              <w:rPr>
                <w:rFonts w:asciiTheme="minorEastAsia" w:hAnsiTheme="minorEastAsia" w:cstheme="minorEastAsia"/>
                <w:kern w:val="0"/>
                <w:szCs w:val="21"/>
              </w:rPr>
            </w:pPr>
            <w:r>
              <w:t>远距垂直廓线型</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5"/>
        <w:gridCol w:w="1952"/>
        <w:gridCol w:w="2547"/>
        <w:gridCol w:w="465"/>
        <w:gridCol w:w="1060"/>
        <w:gridCol w:w="807"/>
        <w:gridCol w:w="762"/>
        <w:gridCol w:w="46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21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器材供应科(001055018004)</w:t>
            </w:r>
          </w:p>
        </w:tc>
        <w:tc>
          <w:tcPr/>
          <w:p>
            <w:r>
              <w:t>相干多普勒测风激光雷达（远距型）</w:t>
            </w:r>
          </w:p>
        </w:tc>
        <w:tc>
          <w:tcPr/>
          <w:p>
            <w:r>
              <w:t>2</w:t>
            </w:r>
          </w:p>
        </w:tc>
        <w:tc>
          <w:tcPr/>
          <w:p>
            <w:r>
              <w:t>960000.00</w:t>
            </w:r>
          </w:p>
        </w:tc>
        <w:tc>
          <w:tcPr/>
          <w:p>
            <w:r>
              <w:t xml:space="preserve">960000.00  </w:t>
            </w:r>
          </w:p>
        </w:tc>
        <w:tc>
          <w:tcPr/>
          <w:p/>
        </w:tc>
        <w:tc>
          <w:tcPr/>
          <w:p/>
        </w:tc>
      </w:tr>
    </w:tbl>
    <w:p w:rsidR="00A77B3E"/>
    <w:p>
      <w:pPr>
        <w:spacing w:line="360" w:lineRule="auto"/>
        <w:rPr>
          <w:rFonts w:ascii="宋体" w:hAnsi="宋体"/>
          <w:szCs w:val="21"/>
        </w:rPr>
      </w:pPr>
      <w:bookmarkEnd w:id="21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pStyle w:val="2"/>
        <w:keepNext w:val="0"/>
        <w:keepLines w:val="0"/>
        <w:numPr>
          <w:ilvl w:val="0"/>
          <w:numId w:val="0"/>
        </w:numPr>
        <w:spacing w:before="156" w:beforeLines="50" w:after="0" w:line="360" w:lineRule="auto"/>
        <w:jc w:val="center"/>
        <w:rPr>
          <w:color w:val="auto"/>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213"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7"/>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5.7</w:t>
            </w:r>
          </w:p>
        </w:tc>
        <w:tc>
          <w:tcPr>
            <w:tcW w:w="7347" w:type="dxa"/>
            <w:vAlign w:val="center"/>
          </w:tcPr>
          <w:p>
            <w:pPr>
              <w:rPr>
                <w:rFonts w:cs="微软雅黑"/>
                <w:b/>
                <w:color w:val="0000FF"/>
                <w:kern w:val="0"/>
                <w:sz w:val="18"/>
                <w:szCs w:val="18"/>
              </w:rPr>
            </w:pPr>
            <w:r>
              <w:rPr>
                <w:rFonts w:hint="eastAsia"/>
                <w:szCs w:val="21"/>
              </w:rPr>
              <w:t>投标的货物必须取得</w:t>
            </w:r>
            <w:r>
              <w:rPr>
                <w:rFonts w:ascii="宋体" w:hAnsi="宋体" w:cs="宋体" w:hint="eastAsia"/>
              </w:rPr>
              <w:t>相干多普勒激光测风雷达（远距垂直廓线型）</w:t>
            </w:r>
            <w:r>
              <w:rPr>
                <w:rFonts w:hint="eastAsia"/>
                <w:szCs w:val="21"/>
              </w:rPr>
              <w:t>《气象专用技术装备使用许可证》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7"/>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b/>
                <w:color w:val="0000FF"/>
                <w:kern w:val="0"/>
                <w:sz w:val="18"/>
                <w:szCs w:val="18"/>
              </w:rPr>
              <w:t>3年质保</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10"/>
          <w:footerReference w:type="default" r:id="rId11"/>
          <w:pgSz w:w="11906" w:h="16838"/>
          <w:pgMar w:top="1440" w:right="1800" w:bottom="1440" w:left="1800" w:header="851" w:footer="992" w:gutter="0"/>
          <w:cols w:space="708"/>
          <w:docGrid w:type="lines" w:linePitch="312"/>
        </w:sectPr>
      </w:pPr>
      <w:bookmarkEnd w:id="21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hint="eastAsia"/>
          <w:b/>
          <w:bCs/>
          <w:szCs w:val="21"/>
          <w:highlight w:val="none"/>
        </w:rPr>
      </w:pPr>
      <w:bookmarkStart w:id="214"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215"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215"/>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216"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216"/>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FE"/>
      </w:r>
      <w:r>
        <w:rPr>
          <w:rFonts w:ascii="宋体" w:hAnsi="宋体" w:hint="eastAsia"/>
          <w:iCs/>
          <w:szCs w:val="21"/>
          <w:highlight w:val="none"/>
        </w:rPr>
        <w:t xml:space="preserve">固定总价 </w:t>
      </w:r>
      <w:r>
        <w:rPr>
          <w:rFonts w:ascii="Wingdings" w:hAnsi="Wingdings"/>
          <w:iCs/>
          <w:szCs w:val="21"/>
          <w:highlight w:val="none"/>
        </w:rPr>
        <w:sym w:font="Wingdings" w:char="F0FE"/>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color w:val="FF0000"/>
          <w:szCs w:val="21"/>
          <w:highlight w:val="none"/>
          <w:u w:val="single"/>
          <w:lang w:val="en-US" w:eastAsia="zh-CN"/>
        </w:rPr>
        <w:t>合同签订生效后，甲方在收到乙方出具的正式发票10个工作日内支付合同金额80%的首付款；设备到货完成安装并在收到乙方出具的正式发票10个工作日内支付合同金额20%的尾款</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壹万元</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1"/>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FE"/>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u w:val="single"/>
          <w:lang w:val="en-US" w:eastAsia="zh-CN"/>
        </w:rPr>
        <w:t>肆</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两</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两</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217" w:name="_Toc27624"/>
      <w:r>
        <w:rPr>
          <w:rFonts w:ascii="黑体" w:hAnsi="黑体" w:hint="eastAsia"/>
          <w:b w:val="0"/>
          <w:bCs w:val="0"/>
          <w:sz w:val="28"/>
          <w:szCs w:val="28"/>
          <w:highlight w:val="none"/>
        </w:rPr>
        <w:t>第二节 政府采购合同通用条款</w:t>
      </w:r>
      <w:bookmarkEnd w:id="217"/>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218"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218"/>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219"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21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8"/>
        </w:numPr>
        <w:spacing w:line="360" w:lineRule="auto"/>
        <w:ind w:firstLine="3066" w:firstLineChars="1460"/>
        <w:jc w:val="left"/>
        <w:rPr>
          <w:rFonts w:hint="eastAsia"/>
          <w:b/>
          <w:bCs/>
          <w:szCs w:val="21"/>
          <w:highlight w:val="none"/>
        </w:rPr>
      </w:pPr>
      <w:bookmarkEnd w:id="214"/>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095F6F"/>
    <w:multiLevelType w:val="singleLevel"/>
    <w:tmpl w:val="B2095F6F"/>
    <w:lvl w:ilvl="0">
      <w:start w:val="1"/>
      <w:numFmt w:val="decimal"/>
      <w:lvlText w:val="%1."/>
      <w:lvlJc w:val="left"/>
      <w:pPr>
        <w:tabs>
          <w:tab w:val="num" w:pos="420"/>
        </w:tabs>
        <w:ind w:left="845" w:hanging="425"/>
      </w:pPr>
      <w:rPr>
        <w:rFonts w:hint="default"/>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9B76AE7"/>
    <w:multiLevelType w:val="singleLevel"/>
    <w:tmpl w:val="F9B76AE7"/>
    <w:lvl w:ilvl="0">
      <w:start w:val="1"/>
      <w:numFmt w:val="decimal"/>
      <w:lvlText w:val="（%1）"/>
      <w:lvlJc w:val="left"/>
      <w:pPr>
        <w:ind w:left="420" w:hanging="420"/>
      </w:pPr>
      <w:rPr>
        <w:rFonts w:hint="default"/>
        <w:lang w:val="en-US"/>
      </w:rPr>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E2D23C3"/>
    <w:multiLevelType w:val="singleLevel"/>
    <w:tmpl w:val="0E2D23C3"/>
    <w:lvl w:ilvl="0">
      <w:start w:val="3"/>
      <w:numFmt w:val="decimal"/>
      <w:suff w:val="nothing"/>
      <w:lvlText w:val="（%1）"/>
      <w:lvlJc w:val="left"/>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7A0F6431"/>
    <w:multiLevelType w:val="singleLevel"/>
    <w:tmpl w:val="7A0F6431"/>
    <w:lvl w:ilvl="0">
      <w:start w:val="1"/>
      <w:numFmt w:val="decimal"/>
      <w:suff w:val="space"/>
      <w:lvlText w:val="%1."/>
      <w:lvlJc w:val="left"/>
    </w:lvl>
  </w:abstractNum>
  <w:abstractNum w:abstractNumId="16">
    <w:nsid w:val="7BDA3705"/>
    <w:multiLevelType w:val="multilevel"/>
    <w:tmpl w:val="7BDA3705"/>
    <w:lvl w:ilvl="0">
      <w:start w:val="1"/>
      <w:numFmt w:val="decimal"/>
      <w:suff w:val="space"/>
      <w:lvlText w:val="表%1"/>
      <w:lvlJc w:val="center"/>
      <w:pPr>
        <w:ind w:left="2547" w:hanging="420"/>
      </w:pPr>
      <w:rPr>
        <w:b/>
        <w:bCs w:val="0"/>
        <w:i w:val="0"/>
        <w:iCs w:val="0"/>
        <w:caps w:val="0"/>
        <w:smallCaps w:val="0"/>
        <w:strike w:val="0"/>
        <w:dstrike w:val="0"/>
        <w:outline w:val="0"/>
        <w:shadow w:val="0"/>
        <w:emboss w:val="0"/>
        <w:imprint w:val="0"/>
        <w:vanish w:val="0"/>
        <w:spacing w:val="0"/>
        <w:position w:val="0"/>
        <w:u w:val="none"/>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9"/>
  </w:num>
  <w:num w:numId="2">
    <w:abstractNumId w:val="8"/>
  </w:num>
  <w:num w:numId="3">
    <w:abstractNumId w:val="10"/>
  </w:num>
  <w:num w:numId="4">
    <w:abstractNumId w:val="6"/>
  </w:num>
  <w:num w:numId="5">
    <w:abstractNumId w:val="11"/>
  </w:num>
  <w:num w:numId="6">
    <w:abstractNumId w:val="0"/>
  </w:num>
  <w:num w:numId="7">
    <w:abstractNumId w:val="16"/>
  </w:num>
  <w:num w:numId="8">
    <w:abstractNumId w:val="14"/>
  </w:num>
  <w:num w:numId="9">
    <w:abstractNumId w:val="15"/>
  </w:num>
  <w:num w:numId="10">
    <w:abstractNumId w:val="2"/>
  </w:num>
  <w:num w:numId="11">
    <w:abstractNumId w:val="7"/>
  </w:num>
  <w:num w:numId="12">
    <w:abstractNumId w:val="4"/>
  </w:num>
  <w:num w:numId="13">
    <w:abstractNumId w:val="3"/>
  </w:num>
  <w:num w:numId="14">
    <w:abstractNumId w:val="13"/>
  </w:num>
  <w:num w:numId="15">
    <w:abstractNumId w:val="1"/>
  </w:num>
  <w:num w:numId="16">
    <w:abstractNumId w:val="5"/>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段"/>
    <w:qFormat/>
    <w:pPr>
      <w:tabs>
        <w:tab w:val="center" w:pos="4201"/>
        <w:tab w:val="right" w:leader="dot" w:pos="9298"/>
      </w:tabs>
      <w:autoSpaceDE w:val="0"/>
      <w:autoSpaceDN w:val="0"/>
      <w:ind w:firstLine="420" w:firstLineChars="200"/>
      <w:jc w:val="both"/>
    </w:pPr>
    <w:rPr>
      <w:rFonts w:ascii="宋体"/>
      <w:sz w:val="21"/>
      <w:lang w:eastAsia="zh-CN"/>
    </w:rPr>
  </w:style>
  <w:style w:type="paragraph" w:customStyle="1" w:styleId="a3">
    <w:name w:val="表格文本"/>
    <w:basedOn w:val="Normal"/>
    <w:qFormat/>
    <w:pPr>
      <w:spacing w:line="360" w:lineRule="auto"/>
    </w:pPr>
    <w:rPr>
      <w:szCs w:val="21"/>
    </w:rPr>
  </w:style>
  <w:style w:type="paragraph" w:customStyle="1" w:styleId="Style1285">
    <w:name w:val="_Style 1285"/>
    <w:basedOn w:val="Normal"/>
    <w:next w:val="ListParagraph"/>
    <w:uiPriority w:val="34"/>
    <w:qFormat/>
    <w:pPr>
      <w:ind w:firstLine="420" w:firstLineChars="200"/>
    </w:pPr>
    <w:rPr>
      <w:kern w:val="0"/>
    </w:rPr>
  </w:style>
  <w:style w:type="paragraph" w:customStyle="1" w:styleId="a4">
    <w:name w:val="表题注"/>
    <w:basedOn w:val="Normal"/>
    <w:next w:val="Normal"/>
    <w:qFormat/>
    <w:pPr>
      <w:numPr>
        <w:numId w:val="7"/>
      </w:numPr>
      <w:spacing w:line="360" w:lineRule="auto"/>
      <w:ind w:left="0" w:firstLine="0"/>
      <w:jc w:val="center"/>
    </w:pPr>
    <w:rPr>
      <w:rFonts w:ascii="黑体" w:hAnsi="黑体"/>
      <w:b/>
      <w:bCs/>
      <w:szCs w:val="21"/>
    </w:rPr>
  </w:style>
  <w:style w:type="paragraph" w:customStyle="1" w:styleId="a5">
    <w:name w:val="图题注"/>
    <w:basedOn w:val="Normal"/>
    <w:qFormat/>
    <w:pPr>
      <w:spacing w:line="360" w:lineRule="auto"/>
      <w:jc w:val="center"/>
    </w:pPr>
    <w:rPr>
      <w:rFonts w:ascii="黑体" w:eastAsia="黑体" w:hAnsi="黑体" w:cs="黑体"/>
      <w:b/>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2.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image" Target="media/image2.emf" /><Relationship Id="rId9" Type="http://schemas.openxmlformats.org/officeDocument/2006/relationships/oleObject" Target="embeddings/oleObject2.bin"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