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2025年重庆等21省（区、市）计量能力提升及风洞升级计量自动化能力提升项目——计量信息化提升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ZQCD-25256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重庆市气象信息与技术保障中心；海南省气象探测中心；内蒙古自治区气象数据中心、宁夏回族自治区大气探测技术保障中心、湖南省气象技术装备中心、河北省气象技术装备中心、山西省大气探测技术保障中心、辽宁省气象装备保障中心、吉林省气象探测保障中心、黑龙江省气象数据中心、河南省气象探测数据中心、湖北省气象信息与技术保障中心、四川省气象探测数据中心、云南省大气探测技术保障中心、陕西省大气探测技术保障中心、青海省大气探测技术保障中心、广西壮族自治区气象技术装备中心、西藏自治区大气探测技术与装备保障中心、新疆维吾尔自治区气象技术装备保障中心、北京市气象探测中心、天津气象雷达研究试验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2025年重庆等21省（区、市）计量能力提升及风洞升级计量自动化能力提升项目——计量信息化提升</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ZQCD-25256</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合同签订后90天内完成产品交付，并具备验收条件。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重庆；海南；内蒙古；宁夏；湖南；河北；山西；辽宁；吉林；黑龙江；河南；湖北；四川；北京；天津西藏；新疆；青海；广西；云南；陕西；</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2025年08月28日 00:00:00</w:t>
      </w:r>
      <w:bookmarkEnd w:id="27"/>
      <w:r>
        <w:rPr>
          <w:rFonts w:ascii="宋体" w:hint="eastAsia"/>
          <w:szCs w:val="21"/>
          <w:highlight w:val="none"/>
        </w:rPr>
        <w:t>至</w:t>
      </w:r>
      <w:bookmarkStart w:id="28" w:name="项目公告_signUpLastTime"/>
      <w:r>
        <w:rPr>
          <w:rFonts w:ascii="宋体" w:hint="eastAsia"/>
          <w:szCs w:val="21"/>
          <w:highlight w:val="none"/>
        </w:rPr>
        <w:t>2025年09月04日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2025年09月26日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线上开标</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刘亚明</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重庆市气象信息与技术保障中心；海南省气象探测中心；内蒙古自治区气象数据中心、宁夏回族自治区大气探测技术保障中心、湖南省气象技术装备中心、河北省气象技术装备中心、山西省大气探测技术保障中心、辽宁省气象装备保障中心、吉林省气象探测保障中心、黑龙江省气象数据中心、河南省气象探测数据中心、湖北省气象信息与技术保障中心、四川省气象探测数据中心、云南省大气探测技术保障中心、陕西省大气探测技术保障中心、青海省大气探测技术保障中心、广西壮族自治区气象技术装备中心、西藏自治区大气探测技术与装备保障中心、新疆维吾尔自治区气象技术装备保障中心、北京市气象探测中心、天津气象雷达研究试验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屈波</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023-89116135</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重庆市渝北区新牌坊一路68号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重庆市气象信息与技术保障中心；海南省气象探测中心；内蒙古自治区气象数据中心、宁夏回族自治区大气探测技术保障中心、湖南省气象技术装备中心、河北省气象技术装备中心、山西省大气探测技术保障中心、辽宁省气象装备保障中心、吉林省气象探测保障中心、黑龙江省气象数据中心、河南省气象探测数据中心、湖北省气象信息与技术保障中心、四川省气象探测数据中心、云南省大气探测技术保障中心、陕西省大气探测技术保障中心、青海省大气探测技术保障中心、广西壮族自治区气象技术装备中心、西藏自治区大气探测技术与装备保障中心、新疆维吾尔自治区气象技术装备保障中心、北京市气象探测中心、天津气象雷达研究试验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是</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投标货物（不必须）取得《气象专用技术装备使用许可证》</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 xml:space="preserve">（不允许）代理商投标 </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针对以下产品不允许代理商投标：1、计量信息化软件系统；</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（不允许）进口产品投标</w:t>
            </w:r>
          </w:p>
          <w:p>
            <w:pPr>
              <w:rPr>
                <w:rFonts w:ascii="宋体" w:eastAsia="宋体" w:hAnsi="宋体" w:cs="微软雅黑" w:hint="eastAsia"/>
                <w:kern w:val="0"/>
                <w:szCs w:val="21"/>
                <w:highlight w:val="none"/>
              </w:rPr>
            </w:pP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r>
              <w:rPr>
                <w:rFonts w:ascii="宋体" w:hAnsi="宋体" w:cs="微软雅黑" w:hint="eastAsia"/>
                <w:kern w:val="0"/>
                <w:szCs w:val="21"/>
                <w:highlight w:val="none"/>
              </w:rPr>
              <w:t>无</w:t>
            </w:r>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（1）标的：2025年重庆等24省（区、市）计量能力提升及风洞升级计量自动化能力提升项目——计量信息化提升    ，属于  软件和信息技术服务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是，代理服务费：5.2万元。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606.900000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606.900000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1"/>
        <w:gridCol w:w="297"/>
        <w:gridCol w:w="1052"/>
        <w:gridCol w:w="297"/>
        <w:gridCol w:w="717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w:t>
            </w:r>
          </w:p>
        </w:tc>
        <w:tc>
          <w:tcPr/>
          <w:p>
            <w:r>
              <w:t>勾选打分</w:t>
            </w:r>
            <w:r>
              <w:t>(2)</w:t>
            </w:r>
          </w:p>
        </w:tc>
        <w:tc>
          <w:tcPr/>
          <w:p>
            <w:r>
              <w:t>评审标准：</w:t>
            </w:r>
          </w:p>
          <w:p>
            <w:r>
              <w:t>1、投标人具有CNITSEC认证机构出具的气象/水文/海洋/计量类的安全评估报告得1分。</w:t>
              <w:cr/>
              <w:t>2、投标人具有中国软件测评中心检测的气象/水文/海洋/计量类软件检测报告得1分。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(8)</w:t>
            </w:r>
          </w:p>
        </w:tc>
        <w:tc>
          <w:tcPr/>
          <w:p>
            <w:r>
              <w:t>评审标准：</w:t>
            </w:r>
          </w:p>
          <w:p>
            <w:r>
              <w:t>每提供1份已验收的气象/水文/海洋/计量类软件开发项目合同得1分，最多得8分。否则不得分。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6、相关验收材料</w:t>
              <w:cr/>
              <w:t>提供的材料不符合以上1-6要求的无效。</w:t>
            </w:r>
          </w:p>
          <w:p/>
        </w:tc>
      </w:tr>
      <w:tr>
        <w:tblPrEx>
          <w:tblW w:w="5000" w:type="pct"/>
          <w:tblCellMar>
            <w:left w:w="108" w:type="dxa"/>
            <w:right w:w="108" w:type="dxa"/>
          </w:tblCellMar>
        </w:tblPrEx>
        <w:tc>
          <w:tcPr/>
          <w:p>
            <w:r>
              <w:t>4</w:t>
            </w:r>
          </w:p>
        </w:tc>
        <w:tc>
          <w:tcPr>
            <w:vMerge/>
          </w:tcPr>
          <w:p>
            <w:r>
              <w:t>商务部分</w:t>
            </w:r>
          </w:p>
        </w:tc>
        <w:tc>
          <w:tcPr/>
          <w:p>
            <w:r>
              <w:t>用户满意度证明</w:t>
            </w:r>
          </w:p>
        </w:tc>
        <w:tc>
          <w:tcPr/>
          <w:p>
            <w:r>
              <w:t>勾选打分</w:t>
            </w:r>
            <w:r>
              <w:t>(4)</w:t>
            </w:r>
          </w:p>
        </w:tc>
        <w:tc>
          <w:tcPr/>
          <w:p>
            <w:r>
              <w:t>评审标准：</w:t>
            </w:r>
          </w:p>
          <w:p>
            <w:r>
              <w:t>每提供 1份加盖用户单位公章的计量信息化系统项目类用户满意度证明得2分，最多得4分。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w:t>
            </w:r>
          </w:p>
        </w:tc>
        <w:tc>
          <w:tcPr/>
          <w:p>
            <w:r>
              <w:t>区间打分</w:t>
            </w:r>
            <w:r>
              <w:t>(10)</w:t>
            </w:r>
          </w:p>
        </w:tc>
        <w:tc>
          <w:tcPr/>
          <w:p>
            <w:r>
              <w:t>评审标准：</w:t>
            </w:r>
          </w:p>
          <w:p>
            <w:r>
              <w:t>每提供1份投标人原始取得的气象/水文/海洋/计量类的软件著作权证书得1分，最多得10分。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w:t>
            </w:r>
          </w:p>
        </w:tc>
        <w:tc>
          <w:tcPr/>
          <w:p>
            <w:r>
              <w:t>区间打分</w:t>
            </w:r>
            <w:r>
              <w:t>(12)</w:t>
            </w:r>
          </w:p>
        </w:tc>
        <w:tc>
          <w:tcPr/>
          <w:p>
            <w:r>
              <w:t>评审标准：</w:t>
            </w:r>
          </w:p>
          <w:p>
            <w:r>
              <w:t>投标人应组成本项目开发服务团队，团队组织结构清晰，应设服务团队负责人（项目经理）、技术负责人（系统架构师）、产品开发工程师、实施工程师，人员专业背景齐全。具体如下：</w:t>
              <w:cr/>
              <w:t>1、团队人数至少10人，其中驻场人员至少4人。完全满足得3分，否则不得分。</w:t>
              <w:cr/>
              <w:t>2、团队负责人（项目经理）具有智能化系统工程师高级证书，得2分；具有智能化系统集成项目经理高级证书，得2分，否则不得分；</w:t>
              <w:cr/>
              <w:t>3、技术负责人（系统架构师）必须具有系统架构设计师证书得3分，否则不得分。</w:t>
              <w:cr/>
              <w:t>4、团队其他成员团队成员具有系统集成项目管理工程师证书的得2分。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w:t>
            </w:r>
          </w:p>
        </w:tc>
        <w:tc>
          <w:tcPr/>
          <w:p>
            <w:r>
              <w:t>勾选打分</w:t>
            </w:r>
            <w:r>
              <w:t>(5)</w:t>
            </w:r>
          </w:p>
        </w:tc>
        <w:tc>
          <w:tcPr/>
          <w:p>
            <w:r>
              <w:t>评审标准：</w:t>
            </w:r>
          </w:p>
          <w:p>
            <w:r>
              <w:t>投标人承诺质量保证期内采购人免费拥有20%的软件需求变更权利。</w:t>
            </w:r>
          </w:p>
          <w:p>
            <w:r>
              <w:t>评审标准说明：</w:t>
            </w:r>
          </w:p>
          <w:p>
            <w:r>
              <w:t>需提供承诺书并加盖投标人公章</w:t>
            </w:r>
          </w:p>
          <w:p/>
        </w:tc>
      </w:tr>
      <w:tr>
        <w:tblPrEx>
          <w:tblW w:w="5000" w:type="pct"/>
          <w:tblCellMar>
            <w:left w:w="108" w:type="dxa"/>
            <w:right w:w="108" w:type="dxa"/>
          </w:tblCellMar>
        </w:tblPrEx>
        <w:tc>
          <w:tcPr/>
          <w:p>
            <w:r>
              <w:t>8</w:t>
            </w:r>
          </w:p>
        </w:tc>
        <w:tc>
          <w:tcPr>
            <w:vMerge/>
          </w:tcPr>
          <w:p>
            <w:r>
              <w:t>服务部分</w:t>
            </w:r>
          </w:p>
        </w:tc>
        <w:tc>
          <w:tcPr/>
          <w:p>
            <w:r>
              <w:t>产品能力</w:t>
            </w:r>
          </w:p>
        </w:tc>
        <w:tc>
          <w:tcPr/>
          <w:p>
            <w:r>
              <w:t>勾选打分</w:t>
            </w:r>
            <w:r>
              <w:t>(6)</w:t>
            </w:r>
          </w:p>
        </w:tc>
        <w:tc>
          <w:tcPr/>
          <w:p>
            <w:r>
              <w:t>评审标准：</w:t>
            </w:r>
          </w:p>
          <w:p>
            <w:r>
              <w:t>建设内容中标注“▲”的3项为系统建设重要需求，投标人每满足1项得2分，满分6分。</w:t>
            </w:r>
          </w:p>
          <w:p>
            <w:r>
              <w:t>评审标准说明：</w:t>
            </w:r>
          </w:p>
          <w:p>
            <w:r>
              <w:t>需按照招标文件需求提供界面设计图，并作功能介绍。</w:t>
            </w:r>
          </w:p>
          <w:p/>
        </w:tc>
      </w:tr>
      <w:tr>
        <w:tblPrEx>
          <w:tblW w:w="5000" w:type="pct"/>
          <w:tblCellMar>
            <w:left w:w="108" w:type="dxa"/>
            <w:right w:w="108" w:type="dxa"/>
          </w:tblCellMar>
        </w:tblPrEx>
        <w:tc>
          <w:tcPr/>
          <w:p>
            <w:r>
              <w:t>9</w:t>
            </w:r>
          </w:p>
        </w:tc>
        <w:tc>
          <w:tcPr>
            <w:vMerge/>
          </w:tcPr>
          <w:p>
            <w:r>
              <w:t>服务部分</w:t>
            </w:r>
          </w:p>
        </w:tc>
        <w:tc>
          <w:tcPr/>
          <w:p>
            <w:r>
              <w:t>培训方案及承诺</w:t>
            </w:r>
          </w:p>
        </w:tc>
        <w:tc>
          <w:tcPr/>
          <w:p>
            <w:r>
              <w:t>勾选打分</w:t>
            </w:r>
            <w:r>
              <w:t>(2)</w:t>
            </w:r>
          </w:p>
        </w:tc>
        <w:tc>
          <w:tcPr/>
          <w:p>
            <w:r>
              <w:t>评审标准：</w:t>
            </w:r>
          </w:p>
          <w:p>
            <w:r>
              <w:t>一档0分</w:t>
              <w:cr/>
              <w:t>二档1分</w:t>
              <w:cr/>
              <w:t>三档2分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一档：未同时提供承诺和培训方案或但培训方案不完整（指缺失培训计划、培训材料（讲义）、培训课表、主要授课教师介绍任意一项）；</w:t>
              <w:cr/>
              <w:t>二档：同时提供承诺和培训方案，培训方案完整，但课程设计重点不突出或针对性不强，基本满足采购文件需求；</w:t>
              <w:cr/>
              <w:t>三档：同时提供承诺和培训方案，培训方案完整，课程设计重点突出、针对性强，完全满足采购文件需求。</w:t>
            </w:r>
          </w:p>
          <w:p/>
        </w:tc>
      </w:tr>
      <w:tr>
        <w:tblPrEx>
          <w:tblW w:w="5000" w:type="pct"/>
          <w:tblCellMar>
            <w:left w:w="108" w:type="dxa"/>
            <w:right w:w="108" w:type="dxa"/>
          </w:tblCellMar>
        </w:tblPrEx>
        <w:tc>
          <w:tcPr/>
          <w:p>
            <w:r>
              <w:t>10</w:t>
            </w:r>
          </w:p>
        </w:tc>
        <w:tc>
          <w:tcPr>
            <w:vMerge/>
          </w:tcPr>
          <w:p>
            <w:r>
              <w:t>服务部分</w:t>
            </w:r>
          </w:p>
        </w:tc>
        <w:tc>
          <w:tcPr/>
          <w:p>
            <w:r>
              <w:t>售后服务方案</w:t>
            </w:r>
          </w:p>
        </w:tc>
        <w:tc>
          <w:tcPr/>
          <w:p>
            <w:r>
              <w:t>勾选打分</w:t>
            </w:r>
            <w:r>
              <w:t>(2)</w:t>
            </w:r>
          </w:p>
        </w:tc>
        <w:tc>
          <w:tcPr/>
          <w:p>
            <w:r>
              <w:t>评审标准：</w:t>
            </w:r>
          </w:p>
          <w:p>
            <w:r>
              <w:t>一档0分</w:t>
              <w:cr/>
              <w:t>二档1分</w:t>
              <w:cr/>
              <w:t>三档2分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一档：未提供售后服务方案或售后服务方案不完整（指缺失售后服务响应速度、售后服务承诺、技术支持服务、售后人员配置中任一项内容）；</w:t>
              <w:cr/>
              <w:t>二档：售后服务方案完整，但针对性一般，没有建立合理的技术支持机构或技术支持小组，技术支持内容不明确；或者未提供质保期内的7×24小时电话技术支持和保修的承诺；</w:t>
              <w:cr/>
              <w:t>三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11</w:t>
            </w:r>
          </w:p>
        </w:tc>
        <w:tc>
          <w:tcPr>
            <w:vMerge/>
          </w:tcPr>
          <w:p>
            <w:r>
              <w:t>服务部分</w:t>
            </w:r>
          </w:p>
        </w:tc>
        <w:tc>
          <w:tcPr/>
          <w:p>
            <w:r>
              <w:t>质量保障与实施方案</w:t>
            </w:r>
          </w:p>
        </w:tc>
        <w:tc>
          <w:tcPr/>
          <w:p>
            <w:r>
              <w:t>勾选打分</w:t>
            </w:r>
            <w:r>
              <w:t>(2)</w:t>
            </w:r>
          </w:p>
        </w:tc>
        <w:tc>
          <w:tcPr/>
          <w:p>
            <w:r>
              <w:t>评审标准：</w:t>
            </w:r>
          </w:p>
          <w:p>
            <w:r>
              <w:t>一档0分</w:t>
              <w:cr/>
              <w:t>二档1分</w:t>
              <w:cr/>
              <w:t>三档2分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三档：方案内容完整、详细，项目组织机构清晰，进度控制保证措施有力，针对性强，切实可行。</w:t>
            </w:r>
          </w:p>
          <w:p/>
        </w:tc>
      </w:tr>
      <w:tr>
        <w:tblPrEx>
          <w:tblW w:w="5000" w:type="pct"/>
          <w:tblCellMar>
            <w:left w:w="108" w:type="dxa"/>
            <w:right w:w="108" w:type="dxa"/>
          </w:tblCellMar>
        </w:tblPrEx>
        <w:tc>
          <w:tcPr/>
          <w:p>
            <w:r>
              <w:t>12</w:t>
            </w:r>
          </w:p>
        </w:tc>
        <w:tc>
          <w:tcPr>
            <w:vMerge w:val="restart"/>
          </w:tcPr>
          <w:p>
            <w:r>
              <w:t>技术部分</w:t>
            </w:r>
          </w:p>
        </w:tc>
        <w:tc>
          <w:tcPr/>
          <w:p>
            <w:r>
              <w:t>软件功能开发需求分析</w:t>
            </w:r>
          </w:p>
        </w:tc>
        <w:tc>
          <w:tcPr/>
          <w:p>
            <w:r>
              <w:t>勾选打分</w:t>
            </w:r>
            <w:r>
              <w:t>(4)</w:t>
            </w:r>
          </w:p>
        </w:tc>
        <w:tc>
          <w:tcPr/>
          <w:p>
            <w:r>
              <w:t>评审标准：</w:t>
            </w:r>
          </w:p>
          <w:p>
            <w:r>
              <w:t>一档0分</w:t>
              <w:cr/>
              <w:t>二档1分</w:t>
              <w:cr/>
              <w:t>三档2分</w:t>
              <w:cr/>
              <w:t>四档4分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软件数据需求分析</w:t>
            </w:r>
          </w:p>
        </w:tc>
        <w:tc>
          <w:tcPr/>
          <w:p>
            <w:r>
              <w:t>勾选打分</w:t>
            </w:r>
            <w:r>
              <w:t>(2)</w:t>
            </w:r>
          </w:p>
        </w:tc>
        <w:tc>
          <w:tcPr/>
          <w:p>
            <w:r>
              <w:t>评审标准：</w:t>
            </w:r>
          </w:p>
          <w:p>
            <w:r>
              <w:t>一档0分</w:t>
              <w:cr/>
              <w:t>二档1分</w:t>
              <w:cr/>
              <w:t>三档2分</w:t>
            </w:r>
          </w:p>
          <w:p>
            <w:r>
              <w:t>评审标准说明：</w:t>
            </w:r>
          </w:p>
          <w:p>
            <w:r>
              <w:t>提供数据需求分析内容，具体评分标准如下：</w:t>
              <w:cr/>
              <w:t>一档：无数据需求分析。</w:t>
              <w:cr/>
              <w:t>二档：数据需求分析覆盖不全面或分析欠合理。</w:t>
              <w:cr/>
              <w:t>三档：数据需求分析涵盖全面、合理、详细、充分，完全覆盖招标文件要求。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软件关键技术识别</w:t>
            </w:r>
          </w:p>
        </w:tc>
        <w:tc>
          <w:tcPr/>
          <w:p>
            <w:r>
              <w:t>勾选打分</w:t>
            </w:r>
            <w:r>
              <w:t>(5)</w:t>
            </w:r>
          </w:p>
        </w:tc>
        <w:tc>
          <w:tcPr/>
          <w:p>
            <w:r>
              <w:t>评审标准：</w:t>
            </w:r>
          </w:p>
          <w:p>
            <w:r>
              <w:t>一档0分</w:t>
              <w:cr/>
              <w:t>二档1分</w:t>
              <w:cr/>
              <w:t>三档3分</w:t>
              <w:cr/>
              <w:t>四档5分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15</w:t>
            </w:r>
          </w:p>
        </w:tc>
        <w:tc>
          <w:tcPr>
            <w:vMerge/>
          </w:tcPr>
          <w:p>
            <w:r>
              <w:t>技术部分</w:t>
            </w:r>
          </w:p>
        </w:tc>
        <w:tc>
          <w:tcPr/>
          <w:p>
            <w:r>
              <w:t>系统整体架构技术方案</w:t>
            </w:r>
          </w:p>
        </w:tc>
        <w:tc>
          <w:tcPr/>
          <w:p>
            <w:r>
              <w:t>勾选打分</w:t>
            </w:r>
            <w:r>
              <w:t>(2)</w:t>
            </w:r>
          </w:p>
        </w:tc>
        <w:tc>
          <w:tcPr/>
          <w:p>
            <w:r>
              <w:t>评审标准：</w:t>
            </w:r>
          </w:p>
          <w:p>
            <w:r>
              <w:t>一档0分</w:t>
              <w:cr/>
              <w:t>二档1分</w:t>
              <w:cr/>
              <w:t>三档2分</w:t>
              <w:cr/>
            </w:r>
          </w:p>
          <w:p>
            <w:r>
              <w:t>评审标准说明：</w:t>
            </w:r>
          </w:p>
          <w:p>
            <w:r>
              <w:t>根据提交的系统整体架构设计技术方案评分：</w:t>
              <w:cr/>
              <w:t>一档：未提供；</w:t>
              <w:cr/>
              <w:t>二档：系统整体架构设计有一定合理性，但无针对性，功能不完整；</w:t>
              <w:cr/>
              <w:t>三档：系统整体架构设计合理可行，技术先进，功能完整，针对性强。</w:t>
            </w:r>
          </w:p>
          <w:p/>
        </w:tc>
      </w:tr>
      <w:tr>
        <w:tblPrEx>
          <w:tblW w:w="5000" w:type="pct"/>
          <w:tblCellMar>
            <w:left w:w="108" w:type="dxa"/>
            <w:right w:w="108" w:type="dxa"/>
          </w:tblCellMar>
        </w:tblPrEx>
        <w:tc>
          <w:tcPr/>
          <w:p>
            <w:r>
              <w:t>16</w:t>
            </w:r>
          </w:p>
        </w:tc>
        <w:tc>
          <w:tcPr>
            <w:vMerge/>
          </w:tcPr>
          <w:p>
            <w:r>
              <w:t>技术部分</w:t>
            </w:r>
          </w:p>
        </w:tc>
        <w:tc>
          <w:tcPr/>
          <w:p>
            <w:r>
              <w:t>系统接口设计技术方案</w:t>
            </w:r>
          </w:p>
        </w:tc>
        <w:tc>
          <w:tcPr/>
          <w:p>
            <w:r>
              <w:t>勾选打分</w:t>
            </w:r>
            <w:r>
              <w:t>(4)</w:t>
            </w:r>
          </w:p>
        </w:tc>
        <w:tc>
          <w:tcPr/>
          <w:p>
            <w:r>
              <w:t>评审标准：</w:t>
            </w:r>
          </w:p>
          <w:p>
            <w:r>
              <w:t>一档0分</w:t>
              <w:cr/>
              <w:t>二档1分</w:t>
              <w:cr/>
              <w:t>三档2分</w:t>
              <w:cr/>
              <w:t>四档4分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17</w:t>
            </w:r>
          </w:p>
        </w:tc>
        <w:tc>
          <w:tcPr>
            <w:vMerge/>
          </w:tcPr>
          <w:p>
            <w:r>
              <w:t>技术部分</w:t>
            </w:r>
          </w:p>
        </w:tc>
        <w:tc>
          <w:tcPr/>
          <w:p>
            <w:r>
              <w:t>省级计量数据管理模块设计技术方案</w:t>
            </w:r>
          </w:p>
        </w:tc>
        <w:tc>
          <w:tcPr/>
          <w:p>
            <w:r>
              <w:t>勾选打分</w:t>
            </w:r>
            <w:r>
              <w:t>(4)</w:t>
            </w:r>
          </w:p>
        </w:tc>
        <w:tc>
          <w:tcPr/>
          <w:p>
            <w:r>
              <w:t>评审标准：</w:t>
            </w:r>
          </w:p>
          <w:p>
            <w:r>
              <w:t>一档0分</w:t>
              <w:cr/>
              <w:t>二档1分</w:t>
              <w:cr/>
              <w:t>三档2分</w:t>
              <w:cr/>
              <w:t>四档4分</w:t>
            </w:r>
          </w:p>
          <w:p>
            <w:r>
              <w:t>评审标准说明：</w:t>
            </w:r>
          </w:p>
          <w:p>
            <w:r>
              <w:t>技术方案评分标准如下：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18</w:t>
            </w:r>
          </w:p>
        </w:tc>
        <w:tc>
          <w:tcPr>
            <w:vMerge/>
          </w:tcPr>
          <w:p>
            <w:r>
              <w:t>技术部分</w:t>
            </w:r>
          </w:p>
        </w:tc>
        <w:tc>
          <w:tcPr/>
          <w:p>
            <w:r>
              <w:t>MIP外场巡检模块设计技术方案</w:t>
            </w:r>
          </w:p>
        </w:tc>
        <w:tc>
          <w:tcPr/>
          <w:p>
            <w:r>
              <w:t>勾选打分</w:t>
            </w:r>
            <w:r>
              <w:t>(4)</w:t>
            </w:r>
          </w:p>
        </w:tc>
        <w:tc>
          <w:tcPr/>
          <w:p>
            <w:r>
              <w:t>评审标准：</w:t>
            </w:r>
          </w:p>
          <w:p>
            <w:r>
              <w:t>一档0分</w:t>
              <w:cr/>
              <w:t>二档1分</w:t>
              <w:cr/>
              <w:t>三档2分</w:t>
              <w:cr/>
              <w:t>四档4分</w:t>
            </w:r>
          </w:p>
          <w:p>
            <w:r>
              <w:t>评审标准说明：</w:t>
            </w:r>
          </w:p>
          <w:p>
            <w:r>
              <w:t>技术方案评分标准如下：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实验室计量数据管理模块设计技术方案</w:t>
            </w:r>
          </w:p>
        </w:tc>
        <w:tc>
          <w:tcPr/>
          <w:p>
            <w:r>
              <w:t>勾选打分</w:t>
            </w:r>
            <w:r>
              <w:t>(4)</w:t>
            </w:r>
          </w:p>
        </w:tc>
        <w:tc>
          <w:tcPr/>
          <w:p>
            <w:r>
              <w:t>评审标准：</w:t>
            </w:r>
          </w:p>
          <w:p>
            <w:r>
              <w:t>一档0分</w:t>
              <w:cr/>
              <w:t>二档1分</w:t>
              <w:cr/>
              <w:t>三档2分</w:t>
              <w:cr/>
              <w:t>四档4分</w:t>
            </w:r>
          </w:p>
          <w:p>
            <w:r>
              <w:t>评审标准说明：</w:t>
            </w:r>
          </w:p>
          <w:p>
            <w:r>
              <w:t>技术方案评分标准如下：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移动计量数据管理模块设计技术方案</w:t>
            </w:r>
          </w:p>
        </w:tc>
        <w:tc>
          <w:tcPr/>
          <w:p>
            <w:r>
              <w:t>勾选打分</w:t>
            </w:r>
            <w:r>
              <w:t>(4)</w:t>
            </w:r>
          </w:p>
        </w:tc>
        <w:tc>
          <w:tcPr/>
          <w:p>
            <w:r>
              <w:t>评审标准：</w:t>
            </w:r>
          </w:p>
          <w:p>
            <w:r>
              <w:t>一档0分</w:t>
              <w:cr/>
              <w:t>二档1分</w:t>
              <w:cr/>
              <w:t>三档2分</w:t>
              <w:cr/>
              <w:t>四档4分</w:t>
            </w:r>
          </w:p>
          <w:p>
            <w:r>
              <w:t>评审标准说明：</w:t>
            </w:r>
          </w:p>
          <w:p>
            <w:r>
              <w:t>技术方案评分标准如下：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21</w:t>
            </w:r>
          </w:p>
        </w:tc>
        <w:tc>
          <w:tcPr>
            <w:vMerge/>
          </w:tcPr>
          <w:p>
            <w:r>
              <w:t>技术部分</w:t>
            </w:r>
          </w:p>
        </w:tc>
        <w:tc>
          <w:tcPr/>
          <w:p>
            <w:r>
              <w:t>计量业务管理模块设计技术方案</w:t>
            </w:r>
          </w:p>
        </w:tc>
        <w:tc>
          <w:tcPr/>
          <w:p>
            <w:r>
              <w:t>勾选打分</w:t>
            </w:r>
            <w:r>
              <w:t>(4)</w:t>
            </w:r>
          </w:p>
        </w:tc>
        <w:tc>
          <w:tcPr/>
          <w:p>
            <w:r>
              <w:t>评审标准：</w:t>
            </w:r>
          </w:p>
          <w:p>
            <w:r>
              <w:t>一档0分</w:t>
              <w:cr/>
              <w:t>二档1分</w:t>
              <w:cr/>
              <w:t>三档2分</w:t>
              <w:cr/>
              <w:t>四档4分</w:t>
            </w:r>
          </w:p>
          <w:p>
            <w:r>
              <w:t>评审标准说明：</w:t>
            </w:r>
          </w:p>
          <w:p>
            <w:r>
              <w:t>技术方案评分标准如下：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bl>
    <w:p w:rsidR="00A77B3E">
      <w:r>
        <w:t xml:space="preserve">      </w:t>
      </w:r>
    </w:p>
    <w:p w:rsidR="00A77B3E"/>
    <w:p w:rsidR="00A77B3E">
      <w:bookmarkEnd w:id="59"/>
    </w:p>
    <w:p w:rsidR="00771170">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771170">
      <w:pPr>
        <w:snapToGrid w:val="0"/>
        <w:spacing w:line="360" w:lineRule="auto"/>
        <w:jc w:val="left"/>
        <w:rPr>
          <w:rFonts w:ascii="宋体" w:hAnsi="宋体"/>
          <w:b/>
          <w:bCs/>
          <w:szCs w:val="21"/>
        </w:rPr>
      </w:pPr>
      <w:r>
        <w:rPr>
          <w:rFonts w:ascii="宋体" w:hAnsi="宋体" w:hint="eastAsia"/>
          <w:b/>
          <w:bCs/>
          <w:szCs w:val="21"/>
        </w:rPr>
        <w:t>（一）采购标的需实现的功能或者目标，以及为落实政府采购政策需满足的要求；</w:t>
      </w:r>
    </w:p>
    <w:p w:rsidR="00771170">
      <w:pPr>
        <w:snapToGrid w:val="0"/>
        <w:spacing w:line="360" w:lineRule="auto"/>
        <w:ind w:firstLine="420" w:firstLineChars="200"/>
        <w:jc w:val="left"/>
        <w:rPr>
          <w:rFonts w:ascii="宋体" w:hAnsi="宋体"/>
          <w:szCs w:val="21"/>
        </w:rPr>
      </w:pPr>
      <w:r>
        <w:rPr>
          <w:rFonts w:ascii="宋体" w:hAnsi="宋体" w:hint="eastAsia"/>
          <w:szCs w:val="21"/>
        </w:rPr>
        <w:t>1</w:t>
      </w:r>
      <w:r>
        <w:rPr>
          <w:rFonts w:ascii="宋体" w:hAnsi="宋体" w:hint="eastAsia"/>
          <w:b/>
          <w:bCs/>
          <w:szCs w:val="21"/>
        </w:rPr>
        <w:t>、</w:t>
      </w:r>
      <w:r>
        <w:rPr>
          <w:rFonts w:ascii="宋体" w:hAnsi="宋体" w:hint="eastAsia"/>
          <w:b/>
          <w:bCs/>
          <w:szCs w:val="21"/>
        </w:rPr>
        <w:t>项目概况及总体要求</w:t>
      </w:r>
    </w:p>
    <w:p w:rsidR="00771170">
      <w:pPr>
        <w:snapToGrid w:val="0"/>
        <w:spacing w:line="360" w:lineRule="auto"/>
        <w:ind w:firstLine="420" w:firstLineChars="200"/>
        <w:jc w:val="left"/>
        <w:rPr>
          <w:rFonts w:ascii="宋体" w:hAnsi="宋体"/>
          <w:szCs w:val="21"/>
        </w:rPr>
      </w:pPr>
      <w:r>
        <w:rPr>
          <w:rFonts w:ascii="宋体" w:hAnsi="宋体" w:hint="eastAsia"/>
          <w:szCs w:val="21"/>
        </w:rPr>
        <w:t>2024</w:t>
      </w:r>
      <w:r>
        <w:rPr>
          <w:rFonts w:ascii="宋体" w:hAnsi="宋体" w:hint="eastAsia"/>
          <w:szCs w:val="21"/>
        </w:rPr>
        <w:t>年站网工程项目对上海、山东、江苏、浙江、福建、安徽、江西、广东、贵州</w:t>
      </w:r>
      <w:r>
        <w:rPr>
          <w:rFonts w:ascii="宋体" w:hAnsi="宋体" w:hint="eastAsia"/>
          <w:szCs w:val="21"/>
        </w:rPr>
        <w:t>9</w:t>
      </w:r>
      <w:r>
        <w:rPr>
          <w:rFonts w:ascii="宋体" w:hAnsi="宋体" w:hint="eastAsia"/>
          <w:szCs w:val="21"/>
        </w:rPr>
        <w:t>省市进行了计量信息化系统建设，实现了计量工作信息化管理。</w:t>
      </w:r>
      <w:r>
        <w:rPr>
          <w:rFonts w:ascii="宋体" w:hAnsi="宋体" w:hint="eastAsia"/>
          <w:szCs w:val="21"/>
        </w:rPr>
        <w:t>2025</w:t>
      </w:r>
      <w:r>
        <w:rPr>
          <w:rFonts w:ascii="宋体" w:hAnsi="宋体" w:hint="eastAsia"/>
          <w:szCs w:val="21"/>
        </w:rPr>
        <w:t>年将对全国剩余的</w:t>
      </w:r>
      <w:r>
        <w:rPr>
          <w:rFonts w:ascii="宋体" w:hAnsi="宋体" w:hint="eastAsia"/>
          <w:szCs w:val="21"/>
        </w:rPr>
        <w:t>22</w:t>
      </w:r>
      <w:r>
        <w:rPr>
          <w:rFonts w:ascii="宋体" w:hAnsi="宋体" w:hint="eastAsia"/>
          <w:szCs w:val="21"/>
        </w:rPr>
        <w:t>个省（自治区、直辖市）进行计量信息化系统建设，具体为北京、天津、河北、山西、内蒙古、辽宁、吉林、黑龙江、河南、湖北、湖南、广西、海南、重庆、四川、云南、西藏、陕西、甘肃、宁夏、青海、新疆。建设完成后，将形成全国统一的气象计量信息化系统，实现全国气象计量工作的信息化管理以及运行监控。</w:t>
      </w:r>
    </w:p>
    <w:p w:rsidR="00771170">
      <w:pPr>
        <w:snapToGrid w:val="0"/>
        <w:spacing w:line="360" w:lineRule="auto"/>
        <w:ind w:firstLine="420" w:firstLineChars="200"/>
        <w:jc w:val="left"/>
        <w:rPr>
          <w:rFonts w:ascii="宋体" w:hAnsi="宋体"/>
          <w:szCs w:val="21"/>
        </w:rPr>
      </w:pPr>
      <w:r>
        <w:rPr>
          <w:rFonts w:ascii="宋体" w:hAnsi="宋体" w:hint="eastAsia"/>
          <w:szCs w:val="21"/>
        </w:rPr>
        <w:t>省级计量信息化系统通过数据接口对接“天元”系统，实现站网、观测任务</w:t>
      </w:r>
      <w:r>
        <w:rPr>
          <w:rFonts w:ascii="宋体" w:hAnsi="宋体" w:hint="eastAsia"/>
          <w:szCs w:val="21"/>
        </w:rPr>
        <w:t>、设备信息、标准器信息、机构、人员、编码规则等信息的同步，并将各类信息按业务流程分发至各计量业务系统，确保元数据在各业务系统的一致性，实现计量数据、设备更换、设备流转等信息与“天元”系统实时同步。</w:t>
      </w:r>
    </w:p>
    <w:p w:rsidR="00771170">
      <w:pPr>
        <w:snapToGrid w:val="0"/>
        <w:spacing w:line="360" w:lineRule="auto"/>
        <w:ind w:firstLine="420" w:firstLineChars="200"/>
        <w:jc w:val="left"/>
        <w:rPr>
          <w:rFonts w:ascii="宋体" w:hAnsi="宋体"/>
          <w:szCs w:val="21"/>
        </w:rPr>
      </w:pPr>
      <w:r>
        <w:rPr>
          <w:rFonts w:ascii="宋体" w:hAnsi="宋体" w:hint="eastAsia"/>
          <w:szCs w:val="21"/>
        </w:rPr>
        <w:t>计量信息化系统依据“天元”系统的管理架构和规则，按照各省（自治区、直辖市）计量业务运行模式，实现省级实验室检定业务系统、移动计量业务系统、外场巡检系统的信息化融合管理，同时实现计量数据和设备状态变更信息在省级汇集管理并以标准数据格式实时向“天元”系统同步更新，实现省级计量业务信息化数据与“天元”系统的数据互通，保</w:t>
      </w:r>
      <w:r>
        <w:rPr>
          <w:rFonts w:ascii="宋体" w:hAnsi="宋体" w:hint="eastAsia"/>
          <w:szCs w:val="21"/>
        </w:rPr>
        <w:t>证“天元”系统元数据信息与探测设备的实际计量信息、状态位置信息保持一致，实现全国计量信息在“天元”系统的实时更新、集中管理和展示。</w:t>
      </w:r>
    </w:p>
    <w:p w:rsidR="00771170">
      <w:pPr>
        <w:snapToGrid w:val="0"/>
        <w:spacing w:line="360" w:lineRule="auto"/>
        <w:ind w:firstLine="420" w:firstLineChars="200"/>
        <w:jc w:val="left"/>
        <w:rPr>
          <w:rFonts w:ascii="宋体" w:hAnsi="宋体"/>
          <w:szCs w:val="21"/>
        </w:rPr>
      </w:pPr>
      <w:r>
        <w:rPr>
          <w:rFonts w:ascii="宋体" w:hAnsi="宋体" w:hint="eastAsia"/>
          <w:b/>
          <w:bCs/>
          <w:szCs w:val="21"/>
        </w:rPr>
        <w:t>2</w:t>
      </w:r>
      <w:r>
        <w:rPr>
          <w:rFonts w:ascii="宋体" w:hAnsi="宋体" w:hint="eastAsia"/>
          <w:b/>
          <w:bCs/>
          <w:szCs w:val="21"/>
        </w:rPr>
        <w:t>、</w:t>
      </w:r>
      <w:r>
        <w:rPr>
          <w:rFonts w:ascii="宋体" w:hAnsi="宋体" w:hint="eastAsia"/>
          <w:b/>
          <w:bCs/>
          <w:szCs w:val="21"/>
        </w:rPr>
        <w:t>建设内容</w:t>
      </w:r>
    </w:p>
    <w:p w:rsidR="00771170">
      <w:pPr>
        <w:snapToGrid w:val="0"/>
        <w:spacing w:line="360" w:lineRule="auto"/>
        <w:ind w:firstLine="420" w:firstLineChars="200"/>
        <w:jc w:val="left"/>
        <w:rPr>
          <w:rFonts w:ascii="宋体" w:hAnsi="宋体"/>
          <w:szCs w:val="21"/>
        </w:rPr>
      </w:pPr>
      <w:r>
        <w:rPr>
          <w:rFonts w:ascii="宋体" w:hAnsi="宋体" w:hint="eastAsia"/>
          <w:szCs w:val="21"/>
        </w:rPr>
        <w:t>系统</w:t>
      </w:r>
      <w:r>
        <w:rPr>
          <w:rFonts w:ascii="宋体" w:hAnsi="宋体" w:hint="eastAsia"/>
          <w:szCs w:val="21"/>
        </w:rPr>
        <w:t>建设内容包括：省级计量数据管理</w:t>
      </w:r>
      <w:r>
        <w:rPr>
          <w:rFonts w:ascii="宋体" w:hAnsi="宋体" w:hint="eastAsia"/>
          <w:szCs w:val="21"/>
        </w:rPr>
        <w:t>模块</w:t>
      </w:r>
      <w:r>
        <w:rPr>
          <w:rFonts w:ascii="宋体" w:hAnsi="宋体" w:hint="eastAsia"/>
          <w:szCs w:val="21"/>
        </w:rPr>
        <w:t>、实验室计量数据管理</w:t>
      </w:r>
      <w:r>
        <w:rPr>
          <w:rFonts w:ascii="宋体" w:hAnsi="宋体" w:hint="eastAsia"/>
          <w:szCs w:val="21"/>
        </w:rPr>
        <w:t>模块</w:t>
      </w:r>
      <w:r>
        <w:rPr>
          <w:rFonts w:ascii="宋体" w:hAnsi="宋体" w:hint="eastAsia"/>
          <w:szCs w:val="21"/>
        </w:rPr>
        <w:t>、移动计量数据管理</w:t>
      </w:r>
      <w:r>
        <w:rPr>
          <w:rFonts w:ascii="宋体" w:hAnsi="宋体" w:hint="eastAsia"/>
          <w:szCs w:val="21"/>
        </w:rPr>
        <w:t>模块</w:t>
      </w:r>
      <w:r>
        <w:rPr>
          <w:rFonts w:ascii="宋体" w:hAnsi="宋体" w:hint="eastAsia"/>
          <w:szCs w:val="21"/>
        </w:rPr>
        <w:t>、外场巡检</w:t>
      </w:r>
      <w:r>
        <w:rPr>
          <w:rFonts w:ascii="宋体" w:hAnsi="宋体" w:hint="eastAsia"/>
          <w:szCs w:val="21"/>
        </w:rPr>
        <w:t>模块</w:t>
      </w:r>
      <w:r>
        <w:rPr>
          <w:rFonts w:ascii="宋体" w:hAnsi="宋体" w:hint="eastAsia"/>
          <w:szCs w:val="21"/>
        </w:rPr>
        <w:t>、计量业务管理</w:t>
      </w:r>
      <w:r>
        <w:rPr>
          <w:rFonts w:ascii="宋体" w:hAnsi="宋体" w:hint="eastAsia"/>
          <w:szCs w:val="21"/>
        </w:rPr>
        <w:t>模块</w:t>
      </w:r>
      <w:r>
        <w:rPr>
          <w:rFonts w:ascii="宋体" w:hAnsi="宋体" w:hint="eastAsia"/>
          <w:szCs w:val="21"/>
        </w:rPr>
        <w:t>等</w:t>
      </w:r>
      <w:r>
        <w:rPr>
          <w:rFonts w:ascii="宋体" w:hAnsi="宋体" w:hint="eastAsia"/>
          <w:szCs w:val="21"/>
        </w:rPr>
        <w:t>5</w:t>
      </w:r>
      <w:r>
        <w:rPr>
          <w:rFonts w:ascii="宋体" w:hAnsi="宋体" w:hint="eastAsia"/>
          <w:szCs w:val="21"/>
        </w:rPr>
        <w:t>个</w:t>
      </w:r>
      <w:r>
        <w:rPr>
          <w:rFonts w:ascii="宋体" w:hAnsi="宋体" w:hint="eastAsia"/>
          <w:szCs w:val="21"/>
        </w:rPr>
        <w:t>模块</w:t>
      </w:r>
      <w:r>
        <w:rPr>
          <w:rFonts w:ascii="宋体" w:hAnsi="宋体" w:hint="eastAsia"/>
          <w:szCs w:val="21"/>
        </w:rPr>
        <w:t>。</w:t>
      </w:r>
      <w:r>
        <w:rPr>
          <w:rFonts w:ascii="宋体" w:hAnsi="宋体" w:hint="eastAsia"/>
          <w:b/>
          <w:bCs/>
          <w:szCs w:val="21"/>
          <w:u w:val="double"/>
        </w:rPr>
        <w:t>需同步完成</w:t>
      </w:r>
      <w:r>
        <w:rPr>
          <w:rFonts w:ascii="宋体" w:hAnsi="宋体" w:hint="eastAsia"/>
          <w:b/>
          <w:bCs/>
          <w:szCs w:val="21"/>
          <w:u w:val="double"/>
        </w:rPr>
        <w:t>对全国</w:t>
      </w:r>
      <w:r>
        <w:rPr>
          <w:rFonts w:ascii="宋体" w:hAnsi="宋体" w:hint="eastAsia"/>
          <w:b/>
          <w:bCs/>
          <w:szCs w:val="21"/>
          <w:u w:val="double"/>
        </w:rPr>
        <w:t>22</w:t>
      </w:r>
      <w:r>
        <w:rPr>
          <w:rFonts w:ascii="宋体" w:hAnsi="宋体" w:hint="eastAsia"/>
          <w:b/>
          <w:bCs/>
          <w:szCs w:val="21"/>
          <w:u w:val="double"/>
        </w:rPr>
        <w:t>个省、自治区、直辖市计量信息化系统的本地化部署及</w:t>
      </w:r>
      <w:r>
        <w:rPr>
          <w:rFonts w:ascii="宋体" w:hAnsi="宋体" w:hint="eastAsia"/>
          <w:b/>
          <w:bCs/>
          <w:szCs w:val="21"/>
          <w:u w:val="double"/>
        </w:rPr>
        <w:t>“</w:t>
      </w:r>
      <w:r>
        <w:rPr>
          <w:rFonts w:ascii="宋体" w:hAnsi="宋体" w:hint="eastAsia"/>
          <w:b/>
          <w:bCs/>
          <w:szCs w:val="21"/>
          <w:u w:val="double"/>
        </w:rPr>
        <w:t>天擎</w:t>
      </w:r>
      <w:r>
        <w:rPr>
          <w:rFonts w:ascii="宋体" w:hAnsi="宋体" w:hint="eastAsia"/>
          <w:b/>
          <w:bCs/>
          <w:szCs w:val="21"/>
          <w:u w:val="double"/>
        </w:rPr>
        <w:t>”</w:t>
      </w:r>
      <w:r>
        <w:rPr>
          <w:rFonts w:ascii="宋体" w:hAnsi="宋体" w:hint="eastAsia"/>
          <w:b/>
          <w:bCs/>
          <w:szCs w:val="21"/>
          <w:u w:val="double"/>
        </w:rPr>
        <w:t>云化改造。</w:t>
      </w:r>
    </w:p>
    <w:p w:rsidR="00771170">
      <w:pPr>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省级计量数据管理</w:t>
      </w:r>
      <w:r>
        <w:rPr>
          <w:rFonts w:ascii="宋体" w:hAnsi="宋体" w:hint="eastAsia"/>
          <w:szCs w:val="21"/>
        </w:rPr>
        <w:t>模块</w:t>
      </w:r>
    </w:p>
    <w:p w:rsidR="00771170">
      <w:pPr>
        <w:snapToGrid w:val="0"/>
        <w:spacing w:line="360" w:lineRule="auto"/>
        <w:ind w:firstLine="420" w:firstLineChars="200"/>
        <w:jc w:val="left"/>
        <w:rPr>
          <w:rFonts w:ascii="宋体" w:hAnsi="宋体"/>
          <w:szCs w:val="21"/>
        </w:rPr>
      </w:pPr>
      <w:r>
        <w:rPr>
          <w:rFonts w:ascii="宋体" w:hAnsi="宋体" w:hint="eastAsia"/>
          <w:szCs w:val="21"/>
        </w:rPr>
        <w:t>建设省级计量数据管理</w:t>
      </w:r>
      <w:r>
        <w:rPr>
          <w:rFonts w:ascii="宋体" w:hAnsi="宋体" w:hint="eastAsia"/>
          <w:szCs w:val="21"/>
        </w:rPr>
        <w:t>模块</w:t>
      </w:r>
      <w:r>
        <w:rPr>
          <w:rFonts w:ascii="宋体" w:hAnsi="宋体" w:hint="eastAsia"/>
          <w:szCs w:val="21"/>
        </w:rPr>
        <w:t>，建立省级计量数据存储库，符合</w:t>
      </w:r>
      <w:r>
        <w:rPr>
          <w:rFonts w:ascii="宋体" w:hAnsi="宋体" w:hint="eastAsia"/>
          <w:szCs w:val="21"/>
        </w:rPr>
        <w:t xml:space="preserve"> </w:t>
      </w:r>
      <w:r>
        <w:rPr>
          <w:rFonts w:ascii="宋体" w:hAnsi="宋体" w:hint="eastAsia"/>
          <w:szCs w:val="21"/>
        </w:rPr>
        <w:t>QXT611-2021</w:t>
      </w:r>
      <w:r>
        <w:rPr>
          <w:rFonts w:ascii="宋体" w:hAnsi="宋体" w:hint="eastAsia"/>
          <w:szCs w:val="21"/>
        </w:rPr>
        <w:t>《气象计量信息数据格式》、</w:t>
      </w:r>
      <w:r>
        <w:rPr>
          <w:rFonts w:ascii="宋体" w:hAnsi="宋体" w:hint="eastAsia"/>
          <w:szCs w:val="21"/>
        </w:rPr>
        <w:t>GB/T40215-2021</w:t>
      </w:r>
      <w:r>
        <w:rPr>
          <w:rFonts w:ascii="宋体" w:hAnsi="宋体" w:hint="eastAsia"/>
          <w:szCs w:val="21"/>
        </w:rPr>
        <w:t>《气象观测装备编码规则》、《省级气象计量信息标准数据格式》等国家、气象行业标准。子系统还包括“天元</w:t>
      </w:r>
      <w:r>
        <w:rPr>
          <w:rFonts w:ascii="宋体" w:hAnsi="宋体" w:hint="eastAsia"/>
          <w:szCs w:val="21"/>
        </w:rPr>
        <w:t xml:space="preserve"> </w:t>
      </w:r>
      <w:r>
        <w:rPr>
          <w:rFonts w:ascii="宋体" w:hAnsi="宋体" w:hint="eastAsia"/>
          <w:szCs w:val="21"/>
        </w:rPr>
        <w:t>”系统元数据接口下行程序，实现站网信息、机构信息、仓储信息、人员信息、装</w:t>
      </w:r>
      <w:r>
        <w:rPr>
          <w:rFonts w:ascii="宋体" w:hAnsi="宋体" w:hint="eastAsia"/>
          <w:szCs w:val="21"/>
        </w:rPr>
        <w:t xml:space="preserve">  </w:t>
      </w:r>
      <w:r>
        <w:rPr>
          <w:rFonts w:ascii="宋体" w:hAnsi="宋体" w:hint="eastAsia"/>
          <w:szCs w:val="21"/>
        </w:rPr>
        <w:t>备编码规则等信息本地存储；“天元</w:t>
      </w:r>
      <w:r>
        <w:rPr>
          <w:rFonts w:ascii="宋体" w:hAnsi="宋体" w:hint="eastAsia"/>
          <w:szCs w:val="21"/>
        </w:rPr>
        <w:t xml:space="preserve"> </w:t>
      </w:r>
      <w:r>
        <w:rPr>
          <w:rFonts w:ascii="宋体" w:hAnsi="宋体" w:hint="eastAsia"/>
          <w:szCs w:val="21"/>
        </w:rPr>
        <w:t>”系统设备编码动态管理</w:t>
      </w:r>
      <w:r>
        <w:rPr>
          <w:rFonts w:ascii="宋体" w:hAnsi="宋体" w:hint="eastAsia"/>
          <w:szCs w:val="21"/>
        </w:rPr>
        <w:t>子</w:t>
      </w:r>
      <w:r>
        <w:rPr>
          <w:rFonts w:ascii="宋体" w:hAnsi="宋体" w:hint="eastAsia"/>
          <w:szCs w:val="21"/>
        </w:rPr>
        <w:t>模块，实现组件和</w:t>
      </w:r>
      <w:r>
        <w:rPr>
          <w:rFonts w:ascii="宋体" w:hAnsi="宋体" w:hint="eastAsia"/>
          <w:szCs w:val="21"/>
        </w:rPr>
        <w:t xml:space="preserve">  </w:t>
      </w:r>
      <w:r>
        <w:rPr>
          <w:rFonts w:ascii="宋体" w:hAnsi="宋体" w:hint="eastAsia"/>
          <w:szCs w:val="21"/>
        </w:rPr>
        <w:t>仪器状态、位置变更；“天元</w:t>
      </w:r>
      <w:r>
        <w:rPr>
          <w:rFonts w:ascii="宋体" w:hAnsi="宋体" w:hint="eastAsia"/>
          <w:szCs w:val="21"/>
        </w:rPr>
        <w:t xml:space="preserve"> </w:t>
      </w:r>
      <w:r>
        <w:rPr>
          <w:rFonts w:ascii="宋体" w:hAnsi="宋体" w:hint="eastAsia"/>
          <w:szCs w:val="21"/>
        </w:rPr>
        <w:t>”系统设备编码初始化</w:t>
      </w:r>
      <w:r>
        <w:rPr>
          <w:rFonts w:ascii="宋体" w:hAnsi="宋体" w:hint="eastAsia"/>
          <w:szCs w:val="21"/>
        </w:rPr>
        <w:t>子</w:t>
      </w:r>
      <w:r>
        <w:rPr>
          <w:rFonts w:ascii="宋体" w:hAnsi="宋体" w:hint="eastAsia"/>
          <w:szCs w:val="21"/>
        </w:rPr>
        <w:t>模块；“天元</w:t>
      </w:r>
      <w:r>
        <w:rPr>
          <w:rFonts w:ascii="宋体" w:hAnsi="宋体" w:hint="eastAsia"/>
          <w:szCs w:val="21"/>
        </w:rPr>
        <w:t xml:space="preserve"> </w:t>
      </w:r>
      <w:r>
        <w:rPr>
          <w:rFonts w:ascii="宋体" w:hAnsi="宋体" w:hint="eastAsia"/>
          <w:szCs w:val="21"/>
        </w:rPr>
        <w:t>”系统设备编码打印</w:t>
      </w:r>
      <w:r>
        <w:rPr>
          <w:rFonts w:ascii="宋体" w:hAnsi="宋体" w:hint="eastAsia"/>
          <w:szCs w:val="21"/>
        </w:rPr>
        <w:t>子</w:t>
      </w:r>
      <w:r>
        <w:rPr>
          <w:rFonts w:ascii="宋体" w:hAnsi="宋体" w:hint="eastAsia"/>
          <w:szCs w:val="21"/>
        </w:rPr>
        <w:t>模块；“天元</w:t>
      </w:r>
      <w:r>
        <w:rPr>
          <w:rFonts w:ascii="宋体" w:hAnsi="宋体" w:hint="eastAsia"/>
          <w:szCs w:val="21"/>
        </w:rPr>
        <w:t xml:space="preserve"> </w:t>
      </w:r>
      <w:r>
        <w:rPr>
          <w:rFonts w:ascii="宋体" w:hAnsi="宋体" w:hint="eastAsia"/>
          <w:szCs w:val="21"/>
        </w:rPr>
        <w:t>”系统信息交互模块；“天元</w:t>
      </w:r>
      <w:r>
        <w:rPr>
          <w:rFonts w:ascii="宋体" w:hAnsi="宋体" w:hint="eastAsia"/>
          <w:szCs w:val="21"/>
        </w:rPr>
        <w:t xml:space="preserve"> </w:t>
      </w:r>
      <w:r>
        <w:rPr>
          <w:rFonts w:ascii="宋体" w:hAnsi="宋体" w:hint="eastAsia"/>
          <w:szCs w:val="21"/>
        </w:rPr>
        <w:t>”系统设备编码流转信息同步</w:t>
      </w:r>
      <w:r>
        <w:rPr>
          <w:rFonts w:ascii="宋体" w:hAnsi="宋体" w:hint="eastAsia"/>
          <w:szCs w:val="21"/>
        </w:rPr>
        <w:t>子</w:t>
      </w:r>
      <w:r>
        <w:rPr>
          <w:rFonts w:ascii="宋体" w:hAnsi="宋体" w:hint="eastAsia"/>
          <w:szCs w:val="21"/>
        </w:rPr>
        <w:t>模块。</w:t>
      </w:r>
    </w:p>
    <w:p w:rsidR="00771170">
      <w:pPr>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实验室计量数据</w:t>
      </w:r>
      <w:r>
        <w:rPr>
          <w:rFonts w:ascii="宋体" w:hAnsi="宋体" w:hint="eastAsia"/>
          <w:szCs w:val="21"/>
        </w:rPr>
        <w:t>管理</w:t>
      </w:r>
      <w:r>
        <w:rPr>
          <w:rFonts w:ascii="宋体" w:hAnsi="宋体" w:hint="eastAsia"/>
          <w:szCs w:val="21"/>
        </w:rPr>
        <w:t>模块</w:t>
      </w:r>
    </w:p>
    <w:p w:rsidR="00771170">
      <w:pPr>
        <w:snapToGrid w:val="0"/>
        <w:spacing w:line="360" w:lineRule="auto"/>
        <w:ind w:firstLine="420" w:firstLineChars="200"/>
        <w:jc w:val="left"/>
        <w:rPr>
          <w:rFonts w:ascii="宋体" w:hAnsi="宋体"/>
          <w:szCs w:val="21"/>
        </w:rPr>
      </w:pPr>
      <w:r>
        <w:rPr>
          <w:rFonts w:ascii="宋体" w:hAnsi="宋体" w:hint="eastAsia"/>
          <w:szCs w:val="21"/>
        </w:rPr>
        <w:t>建设实验室计量数据管理</w:t>
      </w:r>
      <w:r>
        <w:rPr>
          <w:rFonts w:ascii="宋体" w:hAnsi="宋体" w:hint="eastAsia"/>
          <w:szCs w:val="21"/>
        </w:rPr>
        <w:t>模块</w:t>
      </w:r>
      <w:r>
        <w:rPr>
          <w:rFonts w:ascii="宋体" w:hAnsi="宋体" w:hint="eastAsia"/>
          <w:szCs w:val="21"/>
        </w:rPr>
        <w:t>，实现“省级气象计量检定业务系统</w:t>
      </w:r>
      <w:r>
        <w:rPr>
          <w:rFonts w:ascii="宋体" w:hAnsi="宋体" w:hint="eastAsia"/>
          <w:szCs w:val="21"/>
        </w:rPr>
        <w:t xml:space="preserve"> </w:t>
      </w:r>
      <w:r>
        <w:rPr>
          <w:rFonts w:ascii="宋体" w:hAnsi="宋体" w:hint="eastAsia"/>
          <w:szCs w:val="21"/>
        </w:rPr>
        <w:t>”检定数据的获取，</w:t>
      </w:r>
      <w:r>
        <w:rPr>
          <w:rFonts w:ascii="宋体" w:hAnsi="宋体" w:hint="eastAsia"/>
          <w:szCs w:val="21"/>
        </w:rPr>
        <w:t>实现计量数据标准化格式存储；实现计量传感器检定收发自动接管</w:t>
      </w:r>
      <w:r>
        <w:rPr>
          <w:rFonts w:ascii="宋体" w:hAnsi="宋体" w:hint="eastAsia"/>
          <w:szCs w:val="21"/>
        </w:rPr>
        <w:t>，</w:t>
      </w:r>
      <w:r>
        <w:rPr>
          <w:rFonts w:ascii="宋体" w:hAnsi="宋体" w:hint="eastAsia"/>
          <w:color w:val="FF0000"/>
          <w:szCs w:val="21"/>
          <w:u w:val="single"/>
        </w:rPr>
        <w:t>▲</w:t>
      </w:r>
      <w:r>
        <w:rPr>
          <w:rFonts w:ascii="宋体" w:hAnsi="宋体" w:hint="eastAsia"/>
          <w:color w:val="FF0000"/>
          <w:szCs w:val="21"/>
          <w:u w:val="single"/>
        </w:rPr>
        <w:t>通过</w:t>
      </w:r>
      <w:r>
        <w:rPr>
          <w:rFonts w:ascii="宋体" w:hAnsi="宋体" w:hint="eastAsia"/>
          <w:color w:val="FF0000"/>
          <w:szCs w:val="21"/>
          <w:u w:val="single"/>
        </w:rPr>
        <w:t>传感器接收登记，</w:t>
      </w:r>
      <w:r>
        <w:rPr>
          <w:rFonts w:ascii="宋体" w:hAnsi="宋体" w:hint="eastAsia"/>
          <w:color w:val="FF0000"/>
          <w:szCs w:val="21"/>
          <w:u w:val="single"/>
        </w:rPr>
        <w:t>用户直接扫码收入系统，通过系统可直接推送至实验室检定系统</w:t>
      </w:r>
      <w:r>
        <w:rPr>
          <w:rFonts w:ascii="宋体" w:hAnsi="宋体" w:hint="eastAsia"/>
          <w:color w:val="FF0000"/>
          <w:szCs w:val="21"/>
          <w:u w:val="single"/>
        </w:rPr>
        <w:t>，</w:t>
      </w:r>
      <w:r>
        <w:rPr>
          <w:rFonts w:ascii="宋体" w:hAnsi="宋体" w:hint="eastAsia"/>
          <w:color w:val="FF0000"/>
          <w:szCs w:val="21"/>
          <w:u w:val="single"/>
        </w:rPr>
        <w:t>系统可通过实验室检定系统获取最新的传感器检定信息，并且可直接推送至天元</w:t>
      </w:r>
      <w:r>
        <w:rPr>
          <w:rFonts w:ascii="宋体" w:hAnsi="宋体" w:hint="eastAsia"/>
          <w:szCs w:val="21"/>
        </w:rPr>
        <w:t>；实现计量传感器检定电子证书审核、批准和生成，以及电子证书的管理和展示；实现计量数据以标准数据格式上传至“天元</w:t>
      </w:r>
      <w:r>
        <w:rPr>
          <w:rFonts w:ascii="宋体" w:hAnsi="宋体" w:hint="eastAsia"/>
          <w:szCs w:val="21"/>
        </w:rPr>
        <w:t xml:space="preserve"> </w:t>
      </w:r>
      <w:r>
        <w:rPr>
          <w:rFonts w:ascii="宋体" w:hAnsi="宋体" w:hint="eastAsia"/>
          <w:szCs w:val="21"/>
        </w:rPr>
        <w:t>”系统。</w:t>
      </w:r>
    </w:p>
    <w:p w:rsidR="00771170">
      <w:pPr>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移动计量数据管理</w:t>
      </w:r>
      <w:r>
        <w:rPr>
          <w:rFonts w:ascii="宋体" w:hAnsi="宋体" w:hint="eastAsia"/>
          <w:szCs w:val="21"/>
        </w:rPr>
        <w:t>模块</w:t>
      </w:r>
    </w:p>
    <w:p w:rsidR="00771170">
      <w:pPr>
        <w:snapToGrid w:val="0"/>
        <w:spacing w:line="360" w:lineRule="auto"/>
        <w:ind w:firstLine="420" w:firstLineChars="200"/>
        <w:jc w:val="left"/>
        <w:rPr>
          <w:rFonts w:ascii="宋体" w:hAnsi="宋体"/>
          <w:szCs w:val="21"/>
        </w:rPr>
      </w:pPr>
      <w:r>
        <w:rPr>
          <w:rFonts w:ascii="宋体" w:hAnsi="宋体" w:hint="eastAsia"/>
          <w:szCs w:val="21"/>
        </w:rPr>
        <w:t>建设移动计量数据管理</w:t>
      </w:r>
      <w:r>
        <w:rPr>
          <w:rFonts w:ascii="宋体" w:hAnsi="宋体" w:hint="eastAsia"/>
          <w:szCs w:val="21"/>
        </w:rPr>
        <w:t>模块</w:t>
      </w:r>
      <w:r>
        <w:rPr>
          <w:rFonts w:ascii="宋体" w:hAnsi="宋体" w:hint="eastAsia"/>
          <w:szCs w:val="21"/>
        </w:rPr>
        <w:t>，实现现场移动计量设备的元数据管理；实现</w:t>
      </w:r>
      <w:r>
        <w:rPr>
          <w:rFonts w:ascii="宋体" w:hAnsi="宋体" w:hint="eastAsia"/>
          <w:szCs w:val="21"/>
        </w:rPr>
        <w:t>现场校准任务派发；实现现场校准方法、控制参数管理；设计移动计量数据接收</w:t>
      </w:r>
      <w:r>
        <w:rPr>
          <w:rFonts w:ascii="宋体" w:hAnsi="宋体" w:hint="eastAsia"/>
          <w:szCs w:val="21"/>
        </w:rPr>
        <w:t xml:space="preserve"> </w:t>
      </w:r>
      <w:r>
        <w:rPr>
          <w:rFonts w:ascii="宋体" w:hAnsi="宋体" w:hint="eastAsia"/>
          <w:szCs w:val="21"/>
        </w:rPr>
        <w:t>标准化接口；实现移动计量数据标准化格式存储；实现移动计量电子证书的审核、批准和生成以及移动计量电子证书的管理和展示；实现移动计量标准器管理，对接计量业务管理子系统；实现移动计量软件在线更新。</w:t>
      </w:r>
    </w:p>
    <w:p w:rsidR="00771170">
      <w:pPr>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MIP</w:t>
      </w:r>
      <w:r>
        <w:rPr>
          <w:rFonts w:ascii="宋体" w:hAnsi="宋体" w:hint="eastAsia"/>
          <w:szCs w:val="21"/>
        </w:rPr>
        <w:t>外场巡检</w:t>
      </w:r>
      <w:r>
        <w:rPr>
          <w:rFonts w:ascii="宋体" w:hAnsi="宋体" w:hint="eastAsia"/>
          <w:szCs w:val="21"/>
        </w:rPr>
        <w:t>模块</w:t>
      </w:r>
    </w:p>
    <w:p w:rsidR="00771170">
      <w:pPr>
        <w:snapToGrid w:val="0"/>
        <w:spacing w:line="360" w:lineRule="auto"/>
        <w:ind w:firstLine="420" w:firstLineChars="200"/>
        <w:jc w:val="left"/>
        <w:rPr>
          <w:rFonts w:ascii="宋体" w:hAnsi="宋体"/>
          <w:szCs w:val="21"/>
        </w:rPr>
      </w:pPr>
      <w:r>
        <w:rPr>
          <w:rFonts w:ascii="宋体" w:hAnsi="宋体" w:hint="eastAsia"/>
          <w:szCs w:val="21"/>
        </w:rPr>
        <w:t>建设</w:t>
      </w:r>
      <w:r>
        <w:rPr>
          <w:rFonts w:ascii="宋体" w:hAnsi="宋体" w:hint="eastAsia"/>
          <w:szCs w:val="21"/>
        </w:rPr>
        <w:t>MIP</w:t>
      </w:r>
      <w:r>
        <w:rPr>
          <w:rFonts w:ascii="宋体" w:hAnsi="宋体" w:hint="eastAsia"/>
          <w:szCs w:val="21"/>
        </w:rPr>
        <w:t>外场巡检</w:t>
      </w:r>
      <w:r>
        <w:rPr>
          <w:rFonts w:ascii="宋体" w:hAnsi="宋体" w:hint="eastAsia"/>
          <w:szCs w:val="21"/>
        </w:rPr>
        <w:t>模块</w:t>
      </w:r>
      <w:r>
        <w:rPr>
          <w:rFonts w:ascii="宋体" w:hAnsi="宋体" w:hint="eastAsia"/>
          <w:szCs w:val="21"/>
        </w:rPr>
        <w:t>，实现国家站、区域站外场设备更换的编码信息上传；实现观测设备现场移动计量数据图形编码（二维码）解析上传；实现观测设备巡检、维修等业务工作的信息化管理。</w:t>
      </w:r>
      <w:r>
        <w:rPr>
          <w:rFonts w:ascii="宋体" w:hAnsi="宋体" w:cs="宋体" w:hint="eastAsia"/>
          <w:color w:val="FF0000"/>
          <w:kern w:val="0"/>
          <w:szCs w:val="21"/>
          <w:u w:val="single"/>
        </w:rPr>
        <w:t>▲</w:t>
      </w:r>
      <w:r>
        <w:rPr>
          <w:rFonts w:ascii="宋体" w:hAnsi="宋体" w:hint="eastAsia"/>
          <w:color w:val="FF0000"/>
          <w:szCs w:val="21"/>
          <w:u w:val="single"/>
        </w:rPr>
        <w:t>用户可</w:t>
      </w:r>
      <w:r>
        <w:rPr>
          <w:rFonts w:ascii="宋体" w:hAnsi="宋体" w:hint="eastAsia"/>
          <w:color w:val="FF0000"/>
          <w:szCs w:val="21"/>
          <w:u w:val="single"/>
        </w:rPr>
        <w:t>通过</w:t>
      </w:r>
      <w:r>
        <w:rPr>
          <w:rFonts w:ascii="宋体" w:hAnsi="宋体" w:hint="eastAsia"/>
          <w:color w:val="FF0000"/>
          <w:szCs w:val="21"/>
          <w:u w:val="single"/>
        </w:rPr>
        <w:t>web</w:t>
      </w:r>
      <w:r>
        <w:rPr>
          <w:rFonts w:ascii="宋体" w:hAnsi="宋体" w:hint="eastAsia"/>
          <w:color w:val="FF0000"/>
          <w:szCs w:val="21"/>
          <w:u w:val="single"/>
        </w:rPr>
        <w:t>端进行发布巡检或者维修单，外场人员使用小程序对气象站进行例行巡检，现场可执行传感器更换功能；外场人员接收到维修单时可使用小程序填写气象站损坏原因并且提供现场更换传感器</w:t>
      </w:r>
      <w:r>
        <w:rPr>
          <w:rFonts w:ascii="宋体" w:hAnsi="宋体" w:hint="eastAsia"/>
          <w:szCs w:val="21"/>
        </w:rPr>
        <w:t>。</w:t>
      </w:r>
      <w:r>
        <w:rPr>
          <w:rFonts w:ascii="宋体" w:hAnsi="宋体" w:cs="宋体" w:hint="eastAsia"/>
          <w:color w:val="FF0000"/>
          <w:kern w:val="0"/>
          <w:szCs w:val="21"/>
          <w:u w:val="single"/>
        </w:rPr>
        <w:t>▲</w:t>
      </w:r>
      <w:r>
        <w:rPr>
          <w:rFonts w:ascii="宋体" w:hAnsi="宋体" w:hint="eastAsia"/>
          <w:color w:val="FF0000"/>
          <w:szCs w:val="21"/>
          <w:u w:val="single"/>
        </w:rPr>
        <w:t>外场人员可通过小程序对气象站的传感器进行巡检核查检定，后台进行自动审核以及审批</w:t>
      </w:r>
      <w:r>
        <w:rPr>
          <w:rFonts w:ascii="宋体" w:hAnsi="宋体" w:hint="eastAsia"/>
          <w:szCs w:val="21"/>
        </w:rPr>
        <w:t>。</w:t>
      </w:r>
    </w:p>
    <w:p w:rsidR="00771170">
      <w:pPr>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w:t>
      </w:r>
      <w:r>
        <w:rPr>
          <w:rFonts w:ascii="宋体" w:hAnsi="宋体" w:hint="eastAsia"/>
          <w:szCs w:val="21"/>
        </w:rPr>
        <w:t>计量业务管理</w:t>
      </w:r>
      <w:r>
        <w:rPr>
          <w:rFonts w:ascii="宋体" w:hAnsi="宋体" w:hint="eastAsia"/>
          <w:szCs w:val="21"/>
        </w:rPr>
        <w:t>模块</w:t>
      </w:r>
    </w:p>
    <w:p w:rsidR="00771170">
      <w:pPr>
        <w:snapToGrid w:val="0"/>
        <w:spacing w:line="360" w:lineRule="auto"/>
        <w:ind w:firstLine="420" w:firstLineChars="200"/>
        <w:jc w:val="left"/>
        <w:rPr>
          <w:rFonts w:ascii="宋体" w:hAnsi="宋体"/>
          <w:szCs w:val="21"/>
        </w:rPr>
      </w:pPr>
      <w:r>
        <w:rPr>
          <w:rFonts w:ascii="宋体" w:hAnsi="宋体" w:hint="eastAsia"/>
          <w:szCs w:val="21"/>
        </w:rPr>
        <w:t>建设计量业务管理</w:t>
      </w:r>
      <w:r>
        <w:rPr>
          <w:rFonts w:ascii="宋体" w:hAnsi="宋体" w:hint="eastAsia"/>
          <w:szCs w:val="21"/>
        </w:rPr>
        <w:t>模块</w:t>
      </w:r>
      <w:r>
        <w:rPr>
          <w:rFonts w:ascii="宋体" w:hAnsi="宋体" w:hint="eastAsia"/>
          <w:szCs w:val="21"/>
        </w:rPr>
        <w:t>，实现标准器溯源信息、实验室标准器、移动计量标准器管理；实现计量机构、人员和计量标准管理，并与“天元</w:t>
      </w:r>
      <w:r>
        <w:rPr>
          <w:rFonts w:ascii="宋体" w:hAnsi="宋体" w:hint="eastAsia"/>
          <w:szCs w:val="21"/>
        </w:rPr>
        <w:t xml:space="preserve"> </w:t>
      </w:r>
      <w:r>
        <w:rPr>
          <w:rFonts w:ascii="宋体" w:hAnsi="宋体" w:hint="eastAsia"/>
          <w:szCs w:val="21"/>
        </w:rPr>
        <w:t>”系统相关信息同步更新；实现计量分中心、移动计量车管理；实现计量规程、规范、方法管理；实现国家站、区域站</w:t>
      </w:r>
      <w:r>
        <w:rPr>
          <w:rFonts w:ascii="宋体" w:hAnsi="宋体" w:hint="eastAsia"/>
          <w:szCs w:val="21"/>
        </w:rPr>
        <w:t>计量业务管理；实现维保公司计量业务管理；实现业务工作</w:t>
      </w:r>
      <w:r>
        <w:rPr>
          <w:rFonts w:ascii="宋体" w:hAnsi="宋体" w:hint="eastAsia"/>
          <w:szCs w:val="21"/>
        </w:rPr>
        <w:t xml:space="preserve"> </w:t>
      </w:r>
      <w:r>
        <w:rPr>
          <w:rFonts w:ascii="宋体" w:hAnsi="宋体" w:hint="eastAsia"/>
          <w:szCs w:val="21"/>
        </w:rPr>
        <w:t>统计；实现计量文件、软件下载。</w:t>
      </w:r>
    </w:p>
    <w:p w:rsidR="00771170">
      <w:pPr>
        <w:snapToGrid w:val="0"/>
        <w:spacing w:line="360" w:lineRule="auto"/>
        <w:jc w:val="left"/>
        <w:rPr>
          <w:rFonts w:ascii="宋体" w:hAnsi="宋体"/>
          <w:b/>
          <w:bCs/>
          <w:szCs w:val="21"/>
        </w:rPr>
      </w:pPr>
      <w:r>
        <w:rPr>
          <w:rFonts w:ascii="宋体" w:hAnsi="宋体" w:hint="eastAsia"/>
          <w:b/>
          <w:bCs/>
          <w:szCs w:val="21"/>
        </w:rPr>
        <w:t>（二）采购标的需执行的国家相关标准、行业标准、地方标准或者其他标准、规范；</w:t>
      </w:r>
    </w:p>
    <w:p w:rsidR="00771170">
      <w:pPr>
        <w:snapToGrid w:val="0"/>
        <w:spacing w:line="360" w:lineRule="auto"/>
        <w:ind w:firstLine="420" w:firstLineChars="200"/>
        <w:jc w:val="left"/>
        <w:rPr>
          <w:rFonts w:ascii="宋体" w:hAnsi="宋体"/>
          <w:szCs w:val="21"/>
        </w:rPr>
      </w:pPr>
      <w:r>
        <w:rPr>
          <w:rFonts w:ascii="宋体" w:hAnsi="宋体" w:hint="eastAsia"/>
          <w:szCs w:val="21"/>
        </w:rPr>
        <w:t>1</w:t>
      </w:r>
      <w:r>
        <w:rPr>
          <w:rFonts w:ascii="宋体" w:hAnsi="宋体" w:hint="eastAsia"/>
          <w:szCs w:val="21"/>
        </w:rPr>
        <w:t>、数据的存储和传输标准</w:t>
      </w:r>
    </w:p>
    <w:p w:rsidR="00771170">
      <w:pPr>
        <w:snapToGrid w:val="0"/>
        <w:spacing w:line="360" w:lineRule="auto"/>
        <w:ind w:firstLine="420" w:firstLineChars="200"/>
        <w:jc w:val="left"/>
        <w:rPr>
          <w:rFonts w:ascii="宋体" w:hAnsi="宋体"/>
          <w:szCs w:val="21"/>
        </w:rPr>
      </w:pPr>
      <w:r>
        <w:rPr>
          <w:rFonts w:ascii="宋体" w:hAnsi="宋体" w:hint="eastAsia"/>
          <w:szCs w:val="21"/>
        </w:rPr>
        <w:t>符合</w:t>
      </w:r>
      <w:r>
        <w:rPr>
          <w:rFonts w:ascii="宋体" w:hAnsi="宋体" w:hint="eastAsia"/>
          <w:szCs w:val="21"/>
        </w:rPr>
        <w:t xml:space="preserve"> QXT611-2021</w:t>
      </w:r>
      <w:r>
        <w:rPr>
          <w:rFonts w:ascii="宋体" w:hAnsi="宋体" w:hint="eastAsia"/>
          <w:szCs w:val="21"/>
        </w:rPr>
        <w:t>《气象计量信息数据格式》、</w:t>
      </w:r>
      <w:r>
        <w:rPr>
          <w:rFonts w:ascii="宋体" w:hAnsi="宋体" w:hint="eastAsia"/>
          <w:szCs w:val="21"/>
        </w:rPr>
        <w:t>GB/T40215-2021</w:t>
      </w:r>
      <w:r>
        <w:rPr>
          <w:rFonts w:ascii="宋体" w:hAnsi="宋体" w:hint="eastAsia"/>
          <w:szCs w:val="21"/>
        </w:rPr>
        <w:t>《气象观测装备编码规则》、《省级气象计量信息标准数据格式》等国家、气象行业标准。</w:t>
      </w:r>
    </w:p>
    <w:p w:rsidR="00771170">
      <w:pPr>
        <w:snapToGrid w:val="0"/>
        <w:spacing w:line="360" w:lineRule="auto"/>
        <w:ind w:firstLine="420" w:firstLineChars="200"/>
        <w:jc w:val="left"/>
        <w:rPr>
          <w:rFonts w:ascii="宋体" w:hAnsi="宋体"/>
          <w:szCs w:val="21"/>
        </w:rPr>
      </w:pPr>
      <w:r>
        <w:rPr>
          <w:rFonts w:ascii="宋体" w:hAnsi="宋体" w:hint="eastAsia"/>
          <w:szCs w:val="21"/>
        </w:rPr>
        <w:t>2</w:t>
      </w:r>
      <w:r>
        <w:rPr>
          <w:rFonts w:ascii="宋体" w:hAnsi="宋体" w:hint="eastAsia"/>
          <w:szCs w:val="21"/>
        </w:rPr>
        <w:t>、证书产品获取时效</w:t>
      </w:r>
    </w:p>
    <w:p w:rsidR="00771170">
      <w:pPr>
        <w:snapToGrid w:val="0"/>
        <w:spacing w:line="360" w:lineRule="auto"/>
        <w:ind w:firstLine="420" w:firstLineChars="200"/>
        <w:jc w:val="left"/>
        <w:rPr>
          <w:rFonts w:ascii="宋体" w:hAnsi="宋体"/>
          <w:szCs w:val="21"/>
        </w:rPr>
      </w:pPr>
      <w:r>
        <w:rPr>
          <w:rFonts w:ascii="宋体" w:hAnsi="宋体" w:hint="eastAsia"/>
          <w:szCs w:val="21"/>
        </w:rPr>
        <w:t>计量证书产品从各业务系统自动采集证书在证书签发完成后</w:t>
      </w:r>
      <w:r>
        <w:rPr>
          <w:rFonts w:ascii="宋体" w:hAnsi="宋体" w:hint="eastAsia"/>
          <w:szCs w:val="21"/>
        </w:rPr>
        <w:t>1</w:t>
      </w:r>
      <w:r>
        <w:rPr>
          <w:rFonts w:ascii="宋体" w:hAnsi="宋体" w:hint="eastAsia"/>
          <w:szCs w:val="21"/>
        </w:rPr>
        <w:t>小时内完成。</w:t>
      </w:r>
      <w:r>
        <w:rPr>
          <w:rFonts w:ascii="宋体" w:hAnsi="宋体" w:hint="eastAsia"/>
          <w:szCs w:val="21"/>
        </w:rPr>
        <w:t xml:space="preserve"> </w:t>
      </w:r>
    </w:p>
    <w:p w:rsidR="00771170">
      <w:pPr>
        <w:snapToGrid w:val="0"/>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、数据同步时效</w:t>
      </w:r>
    </w:p>
    <w:p w:rsidR="00771170">
      <w:pPr>
        <w:snapToGrid w:val="0"/>
        <w:spacing w:line="360" w:lineRule="auto"/>
        <w:ind w:firstLine="420" w:firstLineChars="200"/>
        <w:jc w:val="left"/>
        <w:rPr>
          <w:rFonts w:ascii="宋体" w:hAnsi="宋体"/>
          <w:szCs w:val="21"/>
        </w:rPr>
      </w:pPr>
      <w:r>
        <w:rPr>
          <w:rFonts w:ascii="宋体" w:hAnsi="宋体" w:hint="eastAsia"/>
          <w:szCs w:val="21"/>
        </w:rPr>
        <w:t>计量证书产品同步“天元”系统时效可设置为获取后定时同步或更换发生后触发同步。</w:t>
      </w:r>
    </w:p>
    <w:p w:rsidR="00771170">
      <w:pPr>
        <w:snapToGrid w:val="0"/>
        <w:spacing w:line="360" w:lineRule="auto"/>
        <w:ind w:firstLine="420" w:firstLineChars="200"/>
        <w:jc w:val="left"/>
        <w:rPr>
          <w:rFonts w:ascii="宋体" w:hAnsi="宋体"/>
          <w:szCs w:val="21"/>
        </w:rPr>
      </w:pPr>
      <w:r>
        <w:rPr>
          <w:rFonts w:ascii="宋体" w:hAnsi="宋体" w:hint="eastAsia"/>
          <w:szCs w:val="21"/>
        </w:rPr>
        <w:t>设备更换记录同步“天元”系统时效可设置为更换发生后定时同步或当日晚间定时集中同步</w:t>
      </w:r>
      <w:r>
        <w:rPr>
          <w:rFonts w:ascii="宋体" w:hAnsi="宋体" w:hint="eastAsia"/>
          <w:szCs w:val="21"/>
        </w:rPr>
        <w:t>(</w:t>
      </w:r>
      <w:r>
        <w:rPr>
          <w:rFonts w:ascii="宋体" w:hAnsi="宋体" w:hint="eastAsia"/>
          <w:szCs w:val="21"/>
        </w:rPr>
        <w:t>适当延迟便于操作失误后的回滚撤销</w:t>
      </w:r>
      <w:r>
        <w:rPr>
          <w:rFonts w:ascii="宋体" w:hAnsi="宋体" w:hint="eastAsia"/>
          <w:szCs w:val="21"/>
        </w:rPr>
        <w:t>)</w:t>
      </w:r>
      <w:r>
        <w:rPr>
          <w:rFonts w:ascii="宋体" w:hAnsi="宋体" w:hint="eastAsia"/>
          <w:szCs w:val="21"/>
        </w:rPr>
        <w:t>。</w:t>
      </w:r>
    </w:p>
    <w:p w:rsidR="00771170">
      <w:pPr>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hint="eastAsia"/>
          <w:szCs w:val="21"/>
        </w:rPr>
        <w:t>、元数据核验时效</w:t>
      </w:r>
    </w:p>
    <w:p w:rsidR="00771170">
      <w:pPr>
        <w:snapToGrid w:val="0"/>
        <w:spacing w:line="360" w:lineRule="auto"/>
        <w:ind w:firstLine="420" w:firstLineChars="200"/>
        <w:jc w:val="left"/>
        <w:rPr>
          <w:rFonts w:ascii="宋体" w:hAnsi="宋体"/>
          <w:szCs w:val="21"/>
        </w:rPr>
      </w:pPr>
      <w:r>
        <w:rPr>
          <w:rFonts w:ascii="宋体" w:hAnsi="宋体" w:hint="eastAsia"/>
          <w:szCs w:val="21"/>
        </w:rPr>
        <w:t>“天元”系统观测任务设备信息、设备状态信息数据自动核验频率不低于</w:t>
      </w:r>
      <w:r>
        <w:rPr>
          <w:rFonts w:ascii="宋体" w:hAnsi="宋体" w:hint="eastAsia"/>
          <w:szCs w:val="21"/>
        </w:rPr>
        <w:t>1</w:t>
      </w:r>
      <w:r>
        <w:rPr>
          <w:rFonts w:ascii="宋体" w:hAnsi="宋体" w:hint="eastAsia"/>
          <w:szCs w:val="21"/>
        </w:rPr>
        <w:t>次</w:t>
      </w:r>
      <w:r>
        <w:rPr>
          <w:rFonts w:ascii="宋体" w:hAnsi="宋体" w:hint="eastAsia"/>
          <w:szCs w:val="21"/>
        </w:rPr>
        <w:t>/</w:t>
      </w:r>
      <w:r>
        <w:rPr>
          <w:rFonts w:ascii="宋体" w:hAnsi="宋体" w:hint="eastAsia"/>
          <w:szCs w:val="21"/>
        </w:rPr>
        <w:t>天。</w:t>
      </w:r>
    </w:p>
    <w:p w:rsidR="00771170">
      <w:pPr>
        <w:snapToGrid w:val="0"/>
        <w:spacing w:line="360" w:lineRule="auto"/>
        <w:jc w:val="left"/>
        <w:rPr>
          <w:rFonts w:ascii="宋体" w:hAnsi="宋体"/>
          <w:b/>
          <w:bCs/>
          <w:szCs w:val="21"/>
        </w:rPr>
      </w:pPr>
      <w:r>
        <w:rPr>
          <w:rFonts w:ascii="宋体" w:hAnsi="宋体" w:hint="eastAsia"/>
          <w:b/>
          <w:bCs/>
          <w:szCs w:val="21"/>
        </w:rPr>
        <w:t>（三）采购标的需满足的质量、安全、技术规格、物理特性等要求；</w:t>
      </w:r>
    </w:p>
    <w:p w:rsidR="00771170">
      <w:pPr>
        <w:snapToGrid w:val="0"/>
        <w:spacing w:line="360" w:lineRule="auto"/>
        <w:ind w:firstLine="420" w:firstLineChars="200"/>
        <w:jc w:val="left"/>
        <w:rPr>
          <w:rFonts w:ascii="宋体" w:hAnsi="宋体"/>
          <w:szCs w:val="21"/>
        </w:rPr>
      </w:pPr>
      <w:r>
        <w:rPr>
          <w:rFonts w:ascii="宋体" w:hAnsi="宋体" w:hint="eastAsia"/>
          <w:szCs w:val="21"/>
        </w:rPr>
        <w:t>1</w:t>
      </w:r>
      <w:r>
        <w:rPr>
          <w:rFonts w:ascii="宋体" w:hAnsi="宋体" w:hint="eastAsia"/>
          <w:szCs w:val="21"/>
        </w:rPr>
        <w:t>、</w:t>
      </w:r>
      <w:r>
        <w:rPr>
          <w:rFonts w:ascii="宋体" w:hAnsi="宋体" w:hint="eastAsia"/>
          <w:szCs w:val="21"/>
        </w:rPr>
        <w:t>稳定性</w:t>
      </w:r>
    </w:p>
    <w:p w:rsidR="00771170">
      <w:pPr>
        <w:snapToGrid w:val="0"/>
        <w:spacing w:line="360" w:lineRule="auto"/>
        <w:ind w:firstLine="420" w:firstLineChars="200"/>
        <w:jc w:val="left"/>
        <w:rPr>
          <w:rFonts w:ascii="宋体" w:hAnsi="宋体"/>
          <w:szCs w:val="21"/>
        </w:rPr>
      </w:pPr>
      <w:r>
        <w:rPr>
          <w:rFonts w:ascii="宋体" w:hAnsi="宋体" w:hint="eastAsia"/>
          <w:szCs w:val="21"/>
        </w:rPr>
        <w:t>系统</w:t>
      </w:r>
      <w:r>
        <w:rPr>
          <w:rFonts w:ascii="宋体" w:hAnsi="宋体" w:hint="eastAsia"/>
          <w:szCs w:val="21"/>
        </w:rPr>
        <w:t>的运行时间为</w:t>
      </w:r>
      <w:r>
        <w:rPr>
          <w:rFonts w:ascii="宋体" w:hAnsi="宋体" w:hint="eastAsia"/>
          <w:szCs w:val="21"/>
        </w:rPr>
        <w:t xml:space="preserve"> 7</w:t>
      </w:r>
      <w:r>
        <w:rPr>
          <w:rFonts w:ascii="宋体" w:hAnsi="宋体" w:hint="eastAsia"/>
          <w:szCs w:val="21"/>
        </w:rPr>
        <w:t>×</w:t>
      </w:r>
      <w:r>
        <w:rPr>
          <w:rFonts w:ascii="宋体" w:hAnsi="宋体" w:hint="eastAsia"/>
          <w:szCs w:val="21"/>
        </w:rPr>
        <w:t>24</w:t>
      </w:r>
      <w:r>
        <w:rPr>
          <w:rFonts w:ascii="宋体" w:hAnsi="宋体" w:hint="eastAsia"/>
          <w:szCs w:val="21"/>
        </w:rPr>
        <w:t>，要求系统运行稳定。</w:t>
      </w:r>
    </w:p>
    <w:p w:rsidR="00771170">
      <w:pPr>
        <w:snapToGrid w:val="0"/>
        <w:spacing w:line="360" w:lineRule="auto"/>
        <w:ind w:firstLine="420" w:firstLineChars="200"/>
        <w:jc w:val="left"/>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规范性</w:t>
      </w:r>
    </w:p>
    <w:p w:rsidR="00771170">
      <w:pPr>
        <w:snapToGrid w:val="0"/>
        <w:spacing w:line="360" w:lineRule="auto"/>
        <w:ind w:firstLine="420" w:firstLineChars="200"/>
        <w:jc w:val="left"/>
        <w:rPr>
          <w:rFonts w:ascii="宋体" w:hAnsi="宋体"/>
          <w:szCs w:val="21"/>
        </w:rPr>
      </w:pPr>
      <w:r>
        <w:rPr>
          <w:rFonts w:ascii="宋体" w:hAnsi="宋体" w:hint="eastAsia"/>
          <w:szCs w:val="21"/>
        </w:rPr>
        <w:t>系统应统一规范、统一接口。规范系统建设的基本功能、业务流程、数据模型和数据编码等信息标准，逐步满足系统建设的需要。</w:t>
      </w:r>
    </w:p>
    <w:p w:rsidR="00771170">
      <w:pPr>
        <w:snapToGrid w:val="0"/>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w:t>
      </w:r>
      <w:r>
        <w:rPr>
          <w:rFonts w:ascii="宋体" w:hAnsi="宋体" w:hint="eastAsia"/>
          <w:szCs w:val="21"/>
        </w:rPr>
        <w:t>易用性和易操作性</w:t>
      </w:r>
    </w:p>
    <w:p w:rsidR="00771170">
      <w:pPr>
        <w:snapToGrid w:val="0"/>
        <w:spacing w:line="360" w:lineRule="auto"/>
        <w:ind w:firstLine="420" w:firstLineChars="200"/>
        <w:jc w:val="left"/>
        <w:rPr>
          <w:rFonts w:ascii="宋体" w:hAnsi="宋体"/>
          <w:szCs w:val="21"/>
        </w:rPr>
      </w:pPr>
      <w:r>
        <w:rPr>
          <w:rFonts w:ascii="宋体" w:hAnsi="宋体" w:hint="eastAsia"/>
          <w:szCs w:val="21"/>
        </w:rPr>
        <w:t>系统具有良好的用户操作界面、完备的帮助信息。能够提供友好、全面的监控工具或手段，易于管理人员对其进行管理和维护。</w:t>
      </w:r>
    </w:p>
    <w:p w:rsidR="00771170">
      <w:pPr>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hint="eastAsia"/>
          <w:szCs w:val="21"/>
        </w:rPr>
        <w:t>、</w:t>
      </w:r>
      <w:r>
        <w:rPr>
          <w:rFonts w:ascii="宋体" w:hAnsi="宋体" w:hint="eastAsia"/>
          <w:szCs w:val="21"/>
        </w:rPr>
        <w:t>容错性</w:t>
      </w:r>
    </w:p>
    <w:p w:rsidR="00771170">
      <w:pPr>
        <w:snapToGrid w:val="0"/>
        <w:spacing w:line="360" w:lineRule="auto"/>
        <w:ind w:firstLine="420" w:firstLineChars="200"/>
        <w:jc w:val="left"/>
        <w:rPr>
          <w:rFonts w:ascii="宋体" w:hAnsi="宋体"/>
          <w:szCs w:val="21"/>
        </w:rPr>
      </w:pPr>
      <w:r>
        <w:rPr>
          <w:rFonts w:ascii="宋体" w:hAnsi="宋体" w:hint="eastAsia"/>
          <w:szCs w:val="21"/>
        </w:rPr>
        <w:t>对用户常见的误操作要能进行提示；对用户的操作错误和软件错误，能准确、清晰的提示；对重要数据的删除要有警告和确认提示；能判断数据的有效性，屏蔽用户的错误输入，识别非法值，并有相应的</w:t>
      </w:r>
      <w:r>
        <w:rPr>
          <w:rFonts w:ascii="宋体" w:hAnsi="宋体" w:hint="eastAsia"/>
          <w:szCs w:val="21"/>
        </w:rPr>
        <w:t xml:space="preserve"> </w:t>
      </w:r>
      <w:r>
        <w:rPr>
          <w:rFonts w:ascii="宋体" w:hAnsi="宋体" w:hint="eastAsia"/>
          <w:szCs w:val="21"/>
        </w:rPr>
        <w:t>错误提示。</w:t>
      </w:r>
    </w:p>
    <w:p w:rsidR="00771170">
      <w:pPr>
        <w:snapToGrid w:val="0"/>
        <w:spacing w:line="360" w:lineRule="auto"/>
        <w:ind w:firstLine="420" w:firstLineChars="200"/>
        <w:jc w:val="left"/>
        <w:rPr>
          <w:rFonts w:ascii="宋体" w:hAnsi="宋体"/>
          <w:szCs w:val="21"/>
        </w:rPr>
      </w:pPr>
      <w:r>
        <w:rPr>
          <w:rFonts w:ascii="宋体" w:hAnsi="宋体" w:hint="eastAsia"/>
          <w:szCs w:val="21"/>
        </w:rPr>
        <w:t>5</w:t>
      </w:r>
      <w:r>
        <w:rPr>
          <w:rFonts w:ascii="宋体" w:hAnsi="宋体" w:hint="eastAsia"/>
          <w:szCs w:val="21"/>
        </w:rPr>
        <w:t>、技术规格及要求</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1</w:t>
      </w:r>
      <w:r w:rsidRPr="00A9225A">
        <w:rPr>
          <w:rFonts w:ascii="宋体" w:hAnsi="宋体" w:hint="eastAsia"/>
          <w:szCs w:val="21"/>
        </w:rPr>
        <w:t>）系统供应商需提供计量信息化系统</w:t>
      </w:r>
      <w:r w:rsidRPr="00A9225A">
        <w:rPr>
          <w:rFonts w:ascii="宋体" w:hAnsi="宋体" w:hint="eastAsia"/>
          <w:szCs w:val="21"/>
        </w:rPr>
        <w:t>整体架构技术方案，方案涵盖计量信息化系统的架构设计、技术选型、模块划分、数据流设计、安全策略、系统部署等各个方面，从而确保系统技术先进，结构清晰，功能完善。</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2</w:t>
      </w:r>
      <w:r w:rsidRPr="00A9225A">
        <w:rPr>
          <w:rFonts w:ascii="宋体" w:hAnsi="宋体" w:hint="eastAsia"/>
          <w:szCs w:val="21"/>
        </w:rPr>
        <w:t>）系统供应商需提供系统接口设计技术方案，需平衡“业务需求”与“技术实现”，通过标准化、安全策略、性能优化保障接口“易用、稳定、可扩展”。实际落地时需结合系统架构、技术栈、交互场景灵活调整，同时通过文档、监控、治理机制确保全生命周期可维护性。</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3</w:t>
      </w:r>
      <w:r w:rsidRPr="00A9225A">
        <w:rPr>
          <w:rFonts w:ascii="宋体" w:hAnsi="宋体" w:hint="eastAsia"/>
          <w:szCs w:val="21"/>
        </w:rPr>
        <w:t>）系统供应商需提供软件功能开发需求分析，系统供应商需从多个维度系统性拆解计量信息化系统的各个模块，确保各</w:t>
      </w:r>
      <w:r w:rsidRPr="00A9225A">
        <w:rPr>
          <w:rFonts w:ascii="宋体" w:hAnsi="宋体" w:hint="eastAsia"/>
          <w:szCs w:val="21"/>
        </w:rPr>
        <w:t>模块的各个功能需求完整、清晰、详细、合理。</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4</w:t>
      </w:r>
      <w:r w:rsidRPr="00A9225A">
        <w:rPr>
          <w:rFonts w:ascii="宋体" w:hAnsi="宋体" w:hint="eastAsia"/>
          <w:szCs w:val="21"/>
        </w:rPr>
        <w:t>）系统供应商需提供软件数据需求分析，需从多个维度系统性拆解数据需求，明确计量系统数据采集、存储、处理、流转及数据安全，确保数据支撑业务功能的完整性和可靠性。</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5</w:t>
      </w:r>
      <w:r w:rsidRPr="00A9225A">
        <w:rPr>
          <w:rFonts w:ascii="宋体" w:hAnsi="宋体" w:hint="eastAsia"/>
          <w:szCs w:val="21"/>
        </w:rPr>
        <w:t>）系统供应商需深度剖析本系统软件关键技术识别，明确系统建设的核心需求，从实验室检定、“天元”对接、“天擎”云化等多个维度匹配解决方案，最终形成针对性强、适配度高、可执行性强的技术蓝图。</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6</w:t>
      </w:r>
      <w:r w:rsidRPr="00A9225A">
        <w:rPr>
          <w:rFonts w:ascii="宋体" w:hAnsi="宋体" w:hint="eastAsia"/>
          <w:szCs w:val="21"/>
        </w:rPr>
        <w:t>）系统供应商需提供各模块设计技术方案，模块涵盖省级计量数据管理模块、</w:t>
      </w:r>
      <w:r w:rsidRPr="00A9225A">
        <w:rPr>
          <w:rFonts w:ascii="宋体" w:hAnsi="宋体" w:hint="eastAsia"/>
          <w:szCs w:val="21"/>
        </w:rPr>
        <w:t>MIP</w:t>
      </w:r>
      <w:r w:rsidRPr="00A9225A">
        <w:rPr>
          <w:rFonts w:ascii="宋体" w:hAnsi="宋体" w:hint="eastAsia"/>
          <w:szCs w:val="21"/>
        </w:rPr>
        <w:t>外场巡检模块、实验室计量数据管理模块、</w:t>
      </w:r>
      <w:r w:rsidRPr="00A9225A">
        <w:rPr>
          <w:rFonts w:ascii="宋体" w:hAnsi="宋体" w:hint="eastAsia"/>
          <w:szCs w:val="21"/>
        </w:rPr>
        <w:t>移动计量数据管理模块、计量业务管理模块，各模块技术方案内容完整、详实，覆盖项目的功能和非功能需求，描述清楚，逻辑性强，图文规范；技术先进，针对关建技术的分析详细，解决措施切实可行，针对性强。</w:t>
      </w:r>
    </w:p>
    <w:p w:rsidR="00771170">
      <w:pPr>
        <w:snapToGrid w:val="0"/>
        <w:spacing w:line="360" w:lineRule="auto"/>
        <w:ind w:firstLine="420" w:firstLineChars="200"/>
        <w:jc w:val="left"/>
        <w:rPr>
          <w:rFonts w:ascii="宋体" w:hAnsi="宋体"/>
          <w:szCs w:val="21"/>
        </w:rPr>
      </w:pPr>
      <w:r>
        <w:rPr>
          <w:rFonts w:ascii="宋体" w:hAnsi="宋体" w:hint="eastAsia"/>
          <w:szCs w:val="21"/>
        </w:rPr>
        <w:t>6</w:t>
      </w:r>
      <w:r>
        <w:rPr>
          <w:rFonts w:ascii="宋体" w:hAnsi="宋体" w:hint="eastAsia"/>
          <w:szCs w:val="21"/>
        </w:rPr>
        <w:t>、系统</w:t>
      </w:r>
      <w:r>
        <w:rPr>
          <w:rFonts w:ascii="宋体" w:hAnsi="宋体" w:hint="eastAsia"/>
          <w:szCs w:val="21"/>
        </w:rPr>
        <w:t>安全</w:t>
      </w:r>
      <w:r>
        <w:rPr>
          <w:rFonts w:ascii="宋体" w:hAnsi="宋体" w:hint="eastAsia"/>
          <w:szCs w:val="21"/>
        </w:rPr>
        <w:t>要求</w:t>
      </w:r>
    </w:p>
    <w:p w:rsidR="00771170">
      <w:pPr>
        <w:snapToGrid w:val="0"/>
        <w:spacing w:line="360" w:lineRule="auto"/>
        <w:ind w:firstLine="420" w:firstLineChars="200"/>
        <w:jc w:val="left"/>
        <w:rPr>
          <w:rFonts w:ascii="宋体" w:hAnsi="宋体"/>
          <w:szCs w:val="21"/>
        </w:rPr>
      </w:pPr>
      <w:r>
        <w:rPr>
          <w:rFonts w:ascii="宋体" w:hAnsi="宋体" w:hint="eastAsia"/>
          <w:szCs w:val="21"/>
        </w:rPr>
        <w:t>对于系统平台所涉及的业务数据，提供逻辑备份与恢复策略，恢复的数据必须保持其完整性和一致性</w:t>
      </w:r>
      <w:r>
        <w:rPr>
          <w:rFonts w:ascii="宋体" w:hAnsi="宋体" w:hint="eastAsia"/>
          <w:szCs w:val="21"/>
        </w:rPr>
        <w:t>;</w:t>
      </w:r>
      <w:r>
        <w:rPr>
          <w:rFonts w:ascii="宋体" w:hAnsi="宋体" w:hint="eastAsia"/>
          <w:szCs w:val="21"/>
        </w:rPr>
        <w:t>遵循信息安全及系统安全规范、账号口令管理办法等，保障系统数据的信息安全；系统在身份认证、权限管理、系统备份等环节采取强有力的安全保证措施。对源地址、目的地址、源端口、目的端口和协议等进行检查，以控制数据包进出；在</w:t>
      </w:r>
      <w:r>
        <w:rPr>
          <w:rFonts w:ascii="宋体" w:hAnsi="宋体" w:hint="eastAsia"/>
          <w:szCs w:val="21"/>
        </w:rPr>
        <w:t>网络边界或区域之间设置访问控制规则，拒绝控制规则以外的所有通信；及时删除多余或无效访问控制规则，优化访问控制列表，并保证访问控制规则数量最小化。系统建成后，接受省局信息网络安全运行管理机构监督。</w:t>
      </w:r>
    </w:p>
    <w:p w:rsidR="00771170">
      <w:pPr>
        <w:snapToGrid w:val="0"/>
        <w:spacing w:line="360" w:lineRule="auto"/>
        <w:jc w:val="left"/>
        <w:rPr>
          <w:rFonts w:ascii="宋体" w:hAnsi="宋体"/>
          <w:b/>
          <w:bCs/>
          <w:szCs w:val="21"/>
        </w:rPr>
      </w:pPr>
      <w:r>
        <w:rPr>
          <w:rFonts w:ascii="宋体" w:hAnsi="宋体" w:hint="eastAsia"/>
          <w:b/>
          <w:bCs/>
          <w:szCs w:val="21"/>
        </w:rPr>
        <w:t>（四）采购标的的数量、采购项目交付或者实施的时间和地点；</w:t>
      </w:r>
    </w:p>
    <w:p w:rsidR="00771170">
      <w:pPr>
        <w:snapToGrid w:val="0"/>
        <w:spacing w:line="360" w:lineRule="auto"/>
        <w:jc w:val="left"/>
        <w:rPr>
          <w:rFonts w:ascii="宋体" w:hAnsi="宋体"/>
          <w:szCs w:val="21"/>
        </w:rPr>
      </w:pPr>
      <w:r>
        <w:rPr>
          <w:rFonts w:ascii="宋体" w:hAnsi="宋体" w:hint="eastAsia"/>
          <w:szCs w:val="21"/>
        </w:rPr>
        <w:t>　　</w:t>
      </w: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合同签订后根据采购人的要求安排发货</w:t>
      </w:r>
      <w:r>
        <w:rPr>
          <w:rFonts w:ascii="宋体" w:hAnsi="宋体" w:hint="eastAsia"/>
          <w:szCs w:val="21"/>
        </w:rPr>
        <w:t>相应的数量到指定地点，包括但不限于北京、天津、河北、山西、内蒙古、辽宁、吉林、黑龙江、河南、湖北、湖南、广西、海南、重庆、四川、云南、西藏、陕西、甘肃、宁夏、青海、新疆等地</w:t>
      </w:r>
      <w:r>
        <w:rPr>
          <w:rFonts w:ascii="宋体" w:hAnsi="宋体" w:hint="eastAsia"/>
          <w:szCs w:val="21"/>
        </w:rPr>
        <w:t>。</w:t>
      </w:r>
    </w:p>
    <w:p w:rsidR="00771170">
      <w:pPr>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收到采购人通知</w:t>
      </w:r>
      <w:r>
        <w:rPr>
          <w:rFonts w:ascii="宋体" w:hAnsi="宋体" w:hint="eastAsia"/>
          <w:szCs w:val="21"/>
        </w:rPr>
        <w:t>三</w:t>
      </w:r>
      <w:r>
        <w:rPr>
          <w:rFonts w:ascii="宋体" w:hAnsi="宋体" w:hint="eastAsia"/>
          <w:szCs w:val="21"/>
        </w:rPr>
        <w:t>日内到达</w:t>
      </w:r>
      <w:r>
        <w:rPr>
          <w:rFonts w:ascii="宋体" w:hAnsi="宋体" w:hint="eastAsia"/>
          <w:szCs w:val="21"/>
        </w:rPr>
        <w:t>采购人</w:t>
      </w:r>
      <w:r>
        <w:rPr>
          <w:rFonts w:ascii="宋体" w:hAnsi="宋体" w:hint="eastAsia"/>
          <w:szCs w:val="21"/>
        </w:rPr>
        <w:t>现场，完成</w:t>
      </w:r>
      <w:r>
        <w:rPr>
          <w:rFonts w:ascii="宋体" w:hAnsi="宋体" w:hint="eastAsia"/>
          <w:szCs w:val="21"/>
        </w:rPr>
        <w:t>系统</w:t>
      </w:r>
      <w:r>
        <w:rPr>
          <w:rFonts w:ascii="宋体" w:hAnsi="宋体" w:hint="eastAsia"/>
          <w:szCs w:val="21"/>
        </w:rPr>
        <w:t>的安装、系统的联调工作</w:t>
      </w:r>
      <w:r>
        <w:rPr>
          <w:rFonts w:ascii="宋体" w:hAnsi="宋体" w:hint="eastAsia"/>
          <w:szCs w:val="21"/>
        </w:rPr>
        <w:t>及系统试运行</w:t>
      </w:r>
      <w:r>
        <w:rPr>
          <w:rFonts w:ascii="宋体" w:hAnsi="宋体" w:hint="eastAsia"/>
          <w:szCs w:val="21"/>
        </w:rPr>
        <w:t>。</w:t>
      </w:r>
    </w:p>
    <w:p w:rsidR="00771170">
      <w:pPr>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合同签订后</w:t>
      </w:r>
      <w:r>
        <w:rPr>
          <w:rFonts w:ascii="宋体" w:hAnsi="宋体" w:hint="eastAsia"/>
          <w:szCs w:val="21"/>
        </w:rPr>
        <w:t>90</w:t>
      </w:r>
      <w:r>
        <w:rPr>
          <w:rFonts w:ascii="宋体" w:hAnsi="宋体" w:hint="eastAsia"/>
          <w:szCs w:val="21"/>
        </w:rPr>
        <w:t>天内</w:t>
      </w:r>
      <w:r>
        <w:rPr>
          <w:rFonts w:ascii="宋体" w:hAnsi="宋体" w:hint="eastAsia"/>
          <w:szCs w:val="21"/>
        </w:rPr>
        <w:t>完成产品交付，并</w:t>
      </w:r>
      <w:r>
        <w:rPr>
          <w:rFonts w:ascii="宋体" w:hAnsi="宋体" w:hint="eastAsia"/>
          <w:szCs w:val="21"/>
        </w:rPr>
        <w:t>具备验收条件。</w:t>
      </w:r>
    </w:p>
    <w:p w:rsidR="00771170">
      <w:pPr>
        <w:snapToGrid w:val="0"/>
        <w:spacing w:line="360" w:lineRule="auto"/>
        <w:jc w:val="left"/>
        <w:rPr>
          <w:rFonts w:ascii="宋体" w:hAnsi="宋体"/>
          <w:b/>
          <w:bCs/>
          <w:szCs w:val="21"/>
        </w:rPr>
      </w:pPr>
      <w:r>
        <w:rPr>
          <w:rFonts w:ascii="宋体" w:hAnsi="宋体" w:hint="eastAsia"/>
          <w:b/>
          <w:bCs/>
          <w:szCs w:val="21"/>
        </w:rPr>
        <w:t>（五）采购标的需满足的服务标准、期限、效率等要求；</w:t>
      </w:r>
    </w:p>
    <w:p w:rsidR="00771170">
      <w:pPr>
        <w:snapToGrid w:val="0"/>
        <w:spacing w:line="360" w:lineRule="auto"/>
        <w:ind w:firstLine="420" w:firstLineChars="200"/>
        <w:jc w:val="left"/>
        <w:rPr>
          <w:rFonts w:ascii="宋体" w:hAnsi="宋体"/>
          <w:szCs w:val="21"/>
        </w:rPr>
      </w:pPr>
      <w:r>
        <w:rPr>
          <w:rFonts w:ascii="宋体" w:hAnsi="宋体" w:hint="eastAsia"/>
          <w:szCs w:val="21"/>
        </w:rPr>
        <w:t>1</w:t>
      </w:r>
      <w:r>
        <w:rPr>
          <w:rFonts w:ascii="宋体" w:hAnsi="宋体" w:hint="eastAsia"/>
          <w:szCs w:val="21"/>
        </w:rPr>
        <w:t>、技术服务标准</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1</w:t>
      </w:r>
      <w:r w:rsidRPr="00A9225A">
        <w:rPr>
          <w:rFonts w:ascii="宋体" w:hAnsi="宋体" w:hint="eastAsia"/>
          <w:szCs w:val="21"/>
        </w:rPr>
        <w:t>）为保证各省系统的本地化部署和业务运行，甲方拥有</w:t>
      </w:r>
      <w:r w:rsidRPr="00A9225A">
        <w:rPr>
          <w:rFonts w:ascii="宋体" w:hAnsi="宋体" w:hint="eastAsia"/>
          <w:szCs w:val="21"/>
        </w:rPr>
        <w:t>20%</w:t>
      </w:r>
      <w:r w:rsidRPr="00A9225A">
        <w:rPr>
          <w:rFonts w:ascii="宋体" w:hAnsi="宋体" w:hint="eastAsia"/>
          <w:szCs w:val="21"/>
        </w:rPr>
        <w:t>的软件需求变更权利，系统供应商需提供承诺函。</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2</w:t>
      </w:r>
      <w:r w:rsidRPr="00A9225A">
        <w:rPr>
          <w:rFonts w:ascii="宋体" w:hAnsi="宋体" w:hint="eastAsia"/>
          <w:szCs w:val="21"/>
        </w:rPr>
        <w:t>）系统供应商需提供交付须包括系统安装建设规范、系统需求说明书、系统操作手册、系统运行维护手册、系统测试报告等。</w:t>
      </w:r>
    </w:p>
    <w:p w:rsidR="00771170" w:rsidRPr="00A9225A">
      <w:pPr>
        <w:snapToGrid w:val="0"/>
        <w:spacing w:line="360" w:lineRule="auto"/>
        <w:ind w:firstLine="420" w:firstLineChars="200"/>
        <w:jc w:val="left"/>
        <w:rPr>
          <w:rFonts w:ascii="宋体" w:hAnsi="宋体"/>
          <w:b/>
          <w:bCs/>
          <w:szCs w:val="21"/>
        </w:rPr>
      </w:pPr>
      <w:r w:rsidRPr="00A9225A">
        <w:rPr>
          <w:rFonts w:ascii="宋体" w:hAnsi="宋体" w:hint="eastAsia"/>
          <w:szCs w:val="21"/>
        </w:rPr>
        <w:t>（</w:t>
      </w:r>
      <w:r w:rsidRPr="00A9225A">
        <w:rPr>
          <w:rFonts w:ascii="宋体" w:hAnsi="宋体" w:hint="eastAsia"/>
          <w:szCs w:val="21"/>
        </w:rPr>
        <w:t>3</w:t>
      </w:r>
      <w:r w:rsidRPr="00A9225A">
        <w:rPr>
          <w:rFonts w:ascii="宋体" w:hAnsi="宋体" w:hint="eastAsia"/>
          <w:szCs w:val="21"/>
        </w:rPr>
        <w:t>）系统供应商需提供详细的售后服务方案，售后服务方案应包括售后服务响应速度、售后服务承诺、技术支持服务、售后人员</w:t>
      </w:r>
      <w:r w:rsidRPr="00A9225A">
        <w:rPr>
          <w:rFonts w:ascii="宋体" w:hAnsi="宋体" w:hint="eastAsia"/>
          <w:szCs w:val="21"/>
        </w:rPr>
        <w:t>配置等。其中，售后服务组织机构设置合理，人员技术能力强，技术文档内容全面。</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4</w:t>
      </w:r>
      <w:r w:rsidRPr="00A9225A">
        <w:rPr>
          <w:rFonts w:ascii="宋体" w:hAnsi="宋体" w:hint="eastAsia"/>
          <w:szCs w:val="21"/>
        </w:rPr>
        <w:t>）系统供应商需质量保障与实施方案，体现合理的项目全过程质量保证措施，过程检查有明确依据，质量保障工作量化。</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5</w:t>
      </w:r>
      <w:r w:rsidRPr="00A9225A">
        <w:rPr>
          <w:rFonts w:ascii="宋体" w:hAnsi="宋体" w:hint="eastAsia"/>
          <w:szCs w:val="21"/>
        </w:rPr>
        <w:t>）系统供应商对投标产品提供培训方案，培训内容包括系统安装、使用、日常维护及产品应用，培训时间及地点双方协商确定。</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2</w:t>
      </w:r>
      <w:r w:rsidRPr="00A9225A">
        <w:rPr>
          <w:rFonts w:ascii="宋体" w:hAnsi="宋体" w:hint="eastAsia"/>
          <w:szCs w:val="21"/>
        </w:rPr>
        <w:t>、质保服务</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1</w:t>
      </w:r>
      <w:r w:rsidRPr="00A9225A">
        <w:rPr>
          <w:rFonts w:ascii="宋体" w:hAnsi="宋体" w:hint="eastAsia"/>
          <w:szCs w:val="21"/>
        </w:rPr>
        <w:t>）系统供应商对所有设备提供自验收合格后</w:t>
      </w:r>
      <w:r w:rsidRPr="00A9225A">
        <w:rPr>
          <w:rFonts w:ascii="宋体" w:hAnsi="宋体" w:hint="eastAsia"/>
          <w:szCs w:val="21"/>
        </w:rPr>
        <w:t>2</w:t>
      </w:r>
      <w:r w:rsidRPr="00A9225A">
        <w:rPr>
          <w:rFonts w:ascii="宋体" w:hAnsi="宋体" w:hint="eastAsia"/>
          <w:szCs w:val="21"/>
        </w:rPr>
        <w:t>年的免费维护维修服务，并提供相关承诺函。按照业务运行规范要求执行，确保设备可稳定运行。</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2</w:t>
      </w:r>
      <w:r w:rsidRPr="00A9225A">
        <w:rPr>
          <w:rFonts w:ascii="宋体" w:hAnsi="宋体" w:hint="eastAsia"/>
          <w:szCs w:val="21"/>
        </w:rPr>
        <w:t>）在质保期内，设备供应商服务</w:t>
      </w:r>
      <w:r>
        <w:rPr>
          <w:rFonts w:ascii="宋体" w:hAnsi="宋体" w:hint="eastAsia"/>
          <w:szCs w:val="21"/>
        </w:rPr>
        <w:t>时间应为</w:t>
      </w:r>
      <w:r>
        <w:rPr>
          <w:rFonts w:ascii="宋体" w:hAnsi="宋体" w:hint="eastAsia"/>
          <w:szCs w:val="21"/>
        </w:rPr>
        <w:t xml:space="preserve"> 7</w:t>
      </w:r>
      <w:r>
        <w:rPr>
          <w:rFonts w:ascii="宋体" w:hAnsi="宋体" w:hint="eastAsia"/>
          <w:szCs w:val="21"/>
        </w:rPr>
        <w:t>×</w:t>
      </w:r>
      <w:r>
        <w:rPr>
          <w:rFonts w:ascii="宋体" w:hAnsi="宋体" w:hint="eastAsia"/>
          <w:szCs w:val="21"/>
        </w:rPr>
        <w:t>24</w:t>
      </w:r>
      <w:r>
        <w:rPr>
          <w:rFonts w:ascii="宋体" w:hAnsi="宋体" w:hint="eastAsia"/>
          <w:szCs w:val="21"/>
        </w:rPr>
        <w:t>小时，当投</w:t>
      </w:r>
      <w:r>
        <w:rPr>
          <w:rFonts w:ascii="宋体" w:hAnsi="宋体" w:hint="eastAsia"/>
          <w:szCs w:val="21"/>
        </w:rPr>
        <w:t>标产品或软件遭到损坏或出现故障时，要在用户报修之时起</w:t>
      </w:r>
      <w:r>
        <w:rPr>
          <w:rFonts w:ascii="宋体" w:hAnsi="宋体" w:hint="eastAsia"/>
          <w:szCs w:val="21"/>
        </w:rPr>
        <w:t>4</w:t>
      </w:r>
      <w:r>
        <w:rPr>
          <w:rFonts w:ascii="宋体" w:hAnsi="宋体" w:hint="eastAsia"/>
          <w:szCs w:val="21"/>
        </w:rPr>
        <w:t>小时内做出响应，并在</w:t>
      </w:r>
      <w:r>
        <w:rPr>
          <w:rFonts w:ascii="宋体" w:hAnsi="宋体" w:hint="eastAsia"/>
          <w:szCs w:val="21"/>
        </w:rPr>
        <w:t>48</w:t>
      </w:r>
      <w:r>
        <w:rPr>
          <w:rFonts w:ascii="宋体" w:hAnsi="宋体" w:hint="eastAsia"/>
          <w:szCs w:val="21"/>
        </w:rPr>
        <w:t>小时内到达现场，开展维修维护工作，视</w:t>
      </w:r>
      <w:r w:rsidRPr="00A9225A">
        <w:rPr>
          <w:rFonts w:ascii="宋体" w:hAnsi="宋体" w:hint="eastAsia"/>
          <w:szCs w:val="21"/>
        </w:rPr>
        <w:t>情况双方协商设备恢复正常运行时限。</w:t>
      </w:r>
      <w:r w:rsidRPr="00A9225A">
        <w:rPr>
          <w:rFonts w:ascii="宋体" w:hAnsi="宋体" w:hint="eastAsia"/>
          <w:szCs w:val="21"/>
        </w:rPr>
        <w:t xml:space="preserve"> </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w:t>
      </w:r>
      <w:r w:rsidRPr="00A9225A">
        <w:rPr>
          <w:rFonts w:ascii="宋体" w:hAnsi="宋体" w:hint="eastAsia"/>
          <w:szCs w:val="21"/>
        </w:rPr>
        <w:t>3</w:t>
      </w:r>
      <w:r w:rsidRPr="00A9225A">
        <w:rPr>
          <w:rFonts w:ascii="宋体" w:hAnsi="宋体" w:hint="eastAsia"/>
          <w:szCs w:val="21"/>
        </w:rPr>
        <w:t>）质保期过后，设备供应商仍有义务提供技术服务（包括提供系统维护、技术咨询等）。</w:t>
      </w:r>
    </w:p>
    <w:p w:rsidR="00771170" w:rsidRPr="00A9225A">
      <w:pPr>
        <w:snapToGrid w:val="0"/>
        <w:spacing w:line="360" w:lineRule="auto"/>
        <w:ind w:firstLine="420" w:firstLineChars="200"/>
        <w:jc w:val="left"/>
        <w:rPr>
          <w:rFonts w:ascii="宋体" w:hAnsi="宋体"/>
          <w:szCs w:val="21"/>
        </w:rPr>
      </w:pPr>
      <w:r w:rsidRPr="00A9225A">
        <w:rPr>
          <w:rFonts w:ascii="宋体" w:hAnsi="宋体" w:hint="eastAsia"/>
          <w:szCs w:val="21"/>
        </w:rPr>
        <w:t>3</w:t>
      </w:r>
      <w:r w:rsidRPr="00A9225A">
        <w:rPr>
          <w:rFonts w:ascii="宋体" w:hAnsi="宋体" w:hint="eastAsia"/>
          <w:szCs w:val="21"/>
        </w:rPr>
        <w:t>、服务团队</w:t>
      </w:r>
    </w:p>
    <w:p w:rsidR="00771170" w:rsidRPr="00A9225A">
      <w:pPr>
        <w:snapToGrid w:val="0"/>
        <w:spacing w:line="360" w:lineRule="auto"/>
        <w:ind w:firstLine="420" w:firstLineChars="200"/>
        <w:jc w:val="left"/>
        <w:rPr>
          <w:rFonts w:ascii="宋体" w:hAnsi="宋体"/>
          <w:szCs w:val="21"/>
        </w:rPr>
      </w:pPr>
      <w:r w:rsidRPr="00A9225A">
        <w:rPr>
          <w:rFonts w:ascii="宋体" w:hAnsi="宋体"/>
          <w:szCs w:val="21"/>
        </w:rPr>
        <w:t>为保障项目的顺利实施，严格把控项目的工程质量，系统供应商需为本项目组建专门的开发服务团队，团队组织结构清晰，人员分工合理，专业背景齐全。其中，团队人数应不少于</w:t>
      </w:r>
      <w:r w:rsidRPr="00A9225A">
        <w:rPr>
          <w:rFonts w:ascii="宋体" w:hAnsi="宋体" w:hint="eastAsia"/>
          <w:szCs w:val="21"/>
        </w:rPr>
        <w:t>8</w:t>
      </w:r>
      <w:r w:rsidRPr="00A9225A">
        <w:rPr>
          <w:rFonts w:ascii="宋体" w:hAnsi="宋体"/>
          <w:szCs w:val="21"/>
        </w:rPr>
        <w:t>人，其中驻场人员应不少于</w:t>
      </w:r>
      <w:r w:rsidRPr="00A9225A">
        <w:rPr>
          <w:rFonts w:ascii="宋体" w:hAnsi="宋体" w:hint="eastAsia"/>
          <w:szCs w:val="21"/>
        </w:rPr>
        <w:t>4</w:t>
      </w:r>
      <w:r w:rsidRPr="00A9225A">
        <w:rPr>
          <w:rFonts w:ascii="宋体" w:hAnsi="宋体"/>
          <w:szCs w:val="21"/>
        </w:rPr>
        <w:t>人。</w:t>
      </w:r>
    </w:p>
    <w:p w:rsidR="00771170">
      <w:pPr>
        <w:snapToGrid w:val="0"/>
        <w:spacing w:line="360" w:lineRule="auto"/>
        <w:jc w:val="left"/>
        <w:rPr>
          <w:rFonts w:ascii="宋体" w:hAnsi="宋体"/>
          <w:b/>
          <w:bCs/>
          <w:szCs w:val="21"/>
        </w:rPr>
      </w:pPr>
      <w:r>
        <w:rPr>
          <w:rFonts w:ascii="宋体" w:hAnsi="宋体" w:hint="eastAsia"/>
          <w:b/>
          <w:bCs/>
          <w:szCs w:val="21"/>
        </w:rPr>
        <w:t>（六）采购标的的验收标准；</w:t>
      </w:r>
    </w:p>
    <w:p w:rsidR="00771170">
      <w:pPr>
        <w:snapToGrid w:val="0"/>
        <w:spacing w:line="360" w:lineRule="auto"/>
        <w:jc w:val="left"/>
        <w:rPr>
          <w:rFonts w:ascii="宋体" w:hAnsi="宋体"/>
          <w:szCs w:val="21"/>
        </w:rPr>
      </w:pPr>
      <w:r>
        <w:rPr>
          <w:rFonts w:ascii="宋体" w:hAnsi="宋体" w:hint="eastAsia"/>
          <w:szCs w:val="21"/>
        </w:rPr>
        <w:t>　　（</w:t>
      </w:r>
      <w:r>
        <w:rPr>
          <w:rFonts w:ascii="宋体" w:hAnsi="宋体" w:hint="eastAsia"/>
          <w:szCs w:val="21"/>
        </w:rPr>
        <w:t>1</w:t>
      </w:r>
      <w:r>
        <w:rPr>
          <w:rFonts w:ascii="宋体" w:hAnsi="宋体" w:hint="eastAsia"/>
          <w:szCs w:val="21"/>
        </w:rPr>
        <w:t>）系统的验收和交付参照《计算机软件工程规范国家标准》的要求执行。</w:t>
      </w:r>
    </w:p>
    <w:p w:rsidR="00771170">
      <w:pPr>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）乙方负责提出交付程序和交付日程表，报采购人同意后实施。乙方须按照计算机软件工程规范的国家标准分阶段递交相应文档。文档资料包括但不限于符合计算机软件产品开发文件编制指南（</w:t>
      </w:r>
      <w:r>
        <w:rPr>
          <w:rFonts w:ascii="宋体" w:hAnsi="宋体" w:hint="eastAsia"/>
          <w:szCs w:val="21"/>
        </w:rPr>
        <w:t>GB 8567-2006</w:t>
      </w:r>
      <w:r>
        <w:rPr>
          <w:rFonts w:ascii="宋体" w:hAnsi="宋体" w:hint="eastAsia"/>
          <w:szCs w:val="21"/>
        </w:rPr>
        <w:t>）规范的《软件需求说明书》、《总体设计说明书》、《用户操作手册》、《测试分析报告》、《系统部署与维护手册》、《系统培训报告》等内容。项目完成后，乙方应向采购人提供技术文档印刷本和电子文档拷贝各</w:t>
      </w:r>
      <w:r>
        <w:rPr>
          <w:rFonts w:ascii="宋体" w:hAnsi="宋体" w:hint="eastAsia"/>
          <w:szCs w:val="21"/>
        </w:rPr>
        <w:t>2</w:t>
      </w:r>
      <w:r>
        <w:rPr>
          <w:rFonts w:ascii="宋体" w:hAnsi="宋体" w:hint="eastAsia"/>
          <w:szCs w:val="21"/>
        </w:rPr>
        <w:t>份（电子文档应包括所有材料）。</w:t>
      </w:r>
    </w:p>
    <w:p w:rsidR="00771170">
      <w:pPr>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）软件需根</w:t>
      </w:r>
      <w:r>
        <w:rPr>
          <w:rFonts w:ascii="宋体" w:hAnsi="宋体" w:hint="eastAsia"/>
          <w:szCs w:val="21"/>
        </w:rPr>
        <w:t>据中国气象局以及按需的本地化部署，并正常运行，功能及性能达到设计要求。</w:t>
      </w:r>
    </w:p>
    <w:p w:rsidR="00771170">
      <w:pPr>
        <w:snapToGrid w:val="0"/>
        <w:spacing w:line="360" w:lineRule="auto"/>
        <w:jc w:val="left"/>
        <w:rPr>
          <w:rFonts w:ascii="宋体" w:hAnsi="宋体"/>
          <w:b/>
          <w:bCs/>
          <w:szCs w:val="21"/>
        </w:rPr>
      </w:pPr>
      <w:r>
        <w:rPr>
          <w:rFonts w:ascii="宋体" w:hAnsi="宋体" w:hint="eastAsia"/>
          <w:b/>
          <w:bCs/>
          <w:szCs w:val="21"/>
        </w:rPr>
        <w:t>（七）采购标的的其他技术、服务等要求。</w:t>
      </w:r>
    </w:p>
    <w:p w:rsidR="00771170">
      <w:pPr>
        <w:snapToGrid w:val="0"/>
        <w:spacing w:line="360" w:lineRule="auto"/>
        <w:ind w:firstLine="420" w:firstLineChars="200"/>
        <w:jc w:val="left"/>
        <w:rPr>
          <w:rFonts w:ascii="宋体" w:hAnsi="宋体"/>
          <w:szCs w:val="21"/>
        </w:rPr>
      </w:pPr>
      <w:r>
        <w:rPr>
          <w:rFonts w:ascii="宋体" w:hAnsi="宋体" w:hint="eastAsia"/>
          <w:szCs w:val="21"/>
        </w:rPr>
        <w:t>1</w:t>
      </w:r>
      <w:r>
        <w:rPr>
          <w:rFonts w:ascii="宋体" w:hAnsi="宋体" w:hint="eastAsia"/>
          <w:szCs w:val="21"/>
        </w:rPr>
        <w:t>、响应时间</w:t>
      </w:r>
    </w:p>
    <w:p w:rsidR="00771170">
      <w:pPr>
        <w:snapToGrid w:val="0"/>
        <w:spacing w:line="360" w:lineRule="auto"/>
        <w:ind w:firstLine="420" w:firstLineChars="200"/>
        <w:jc w:val="left"/>
        <w:rPr>
          <w:rFonts w:ascii="宋体" w:hAnsi="宋体"/>
          <w:szCs w:val="21"/>
        </w:rPr>
      </w:pPr>
      <w:r>
        <w:rPr>
          <w:rFonts w:ascii="宋体" w:hAnsi="宋体" w:hint="eastAsia"/>
          <w:szCs w:val="21"/>
        </w:rPr>
        <w:t>在并发允许范围内，从接受请求到处理完毕所耗费时间，达到</w:t>
      </w:r>
      <w:r>
        <w:rPr>
          <w:rFonts w:ascii="宋体" w:hAnsi="宋体" w:hint="eastAsia"/>
          <w:szCs w:val="21"/>
        </w:rPr>
        <w:t>:</w:t>
      </w:r>
      <w:r>
        <w:rPr>
          <w:rFonts w:ascii="宋体" w:hAnsi="宋体" w:hint="eastAsia"/>
          <w:szCs w:val="21"/>
        </w:rPr>
        <w:t>整体系统一般页面平均响应时间为小于</w:t>
      </w:r>
      <w:r>
        <w:rPr>
          <w:rFonts w:ascii="宋体" w:hAnsi="宋体" w:hint="eastAsia"/>
          <w:szCs w:val="21"/>
        </w:rPr>
        <w:t xml:space="preserve"> 3</w:t>
      </w:r>
      <w:r>
        <w:rPr>
          <w:rFonts w:ascii="宋体" w:hAnsi="宋体" w:hint="eastAsia"/>
          <w:szCs w:val="21"/>
        </w:rPr>
        <w:t>秒；统计类页面平均响应时间小于</w:t>
      </w:r>
      <w:r>
        <w:rPr>
          <w:rFonts w:ascii="宋体" w:hAnsi="宋体" w:hint="eastAsia"/>
          <w:szCs w:val="21"/>
        </w:rPr>
        <w:t>5</w:t>
      </w:r>
      <w:r>
        <w:rPr>
          <w:rFonts w:ascii="宋体" w:hAnsi="宋体" w:hint="eastAsia"/>
          <w:szCs w:val="21"/>
        </w:rPr>
        <w:t>秒；需要下载较多内容和图片的交互性页面响应时间小于</w:t>
      </w:r>
      <w:r>
        <w:rPr>
          <w:rFonts w:ascii="宋体" w:hAnsi="宋体" w:hint="eastAsia"/>
          <w:szCs w:val="21"/>
        </w:rPr>
        <w:t xml:space="preserve"> 5 </w:t>
      </w:r>
      <w:r>
        <w:rPr>
          <w:rFonts w:ascii="宋体" w:hAnsi="宋体" w:hint="eastAsia"/>
          <w:szCs w:val="21"/>
        </w:rPr>
        <w:t>秒。</w:t>
      </w:r>
    </w:p>
    <w:p w:rsidR="00771170">
      <w:pPr>
        <w:snapToGrid w:val="0"/>
        <w:spacing w:line="360" w:lineRule="auto"/>
        <w:ind w:firstLine="420" w:firstLineChars="200"/>
        <w:jc w:val="left"/>
        <w:rPr>
          <w:rFonts w:ascii="宋体" w:hAnsi="宋体"/>
          <w:szCs w:val="21"/>
        </w:rPr>
      </w:pPr>
      <w:r>
        <w:rPr>
          <w:rFonts w:ascii="宋体" w:hAnsi="宋体" w:hint="eastAsia"/>
          <w:szCs w:val="21"/>
        </w:rPr>
        <w:t>2</w:t>
      </w:r>
      <w:r>
        <w:rPr>
          <w:rFonts w:ascii="宋体" w:hAnsi="宋体" w:hint="eastAsia"/>
          <w:szCs w:val="21"/>
        </w:rPr>
        <w:t>、并发用户</w:t>
      </w:r>
    </w:p>
    <w:p w:rsidR="00771170">
      <w:pPr>
        <w:snapToGrid w:val="0"/>
        <w:spacing w:line="360" w:lineRule="auto"/>
        <w:ind w:firstLine="420" w:firstLineChars="200"/>
        <w:jc w:val="left"/>
        <w:rPr>
          <w:rFonts w:ascii="宋体" w:hAnsi="宋体"/>
          <w:szCs w:val="21"/>
        </w:rPr>
      </w:pPr>
      <w:r>
        <w:rPr>
          <w:rFonts w:ascii="宋体" w:hAnsi="宋体" w:hint="eastAsia"/>
          <w:szCs w:val="21"/>
        </w:rPr>
        <w:t>系统可满足</w:t>
      </w:r>
      <w:r>
        <w:rPr>
          <w:rFonts w:ascii="宋体" w:hAnsi="宋体" w:hint="eastAsia"/>
          <w:szCs w:val="21"/>
        </w:rPr>
        <w:t>500</w:t>
      </w:r>
      <w:r>
        <w:rPr>
          <w:rFonts w:ascii="宋体" w:hAnsi="宋体" w:hint="eastAsia"/>
          <w:szCs w:val="21"/>
        </w:rPr>
        <w:t>个用户同时在线，系统全部模块满足</w:t>
      </w:r>
      <w:r>
        <w:rPr>
          <w:rFonts w:ascii="宋体" w:hAnsi="宋体" w:hint="eastAsia"/>
          <w:szCs w:val="21"/>
        </w:rPr>
        <w:t>200</w:t>
      </w:r>
      <w:r>
        <w:rPr>
          <w:rFonts w:ascii="宋体" w:hAnsi="宋体" w:hint="eastAsia"/>
          <w:szCs w:val="21"/>
        </w:rPr>
        <w:t>个用户同时并发，即对同一功能调用。</w:t>
      </w:r>
    </w:p>
    <w:p w:rsidR="00771170">
      <w:pPr>
        <w:snapToGrid w:val="0"/>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、系统无故障运行时间</w:t>
      </w:r>
    </w:p>
    <w:p w:rsidR="00771170">
      <w:pPr>
        <w:snapToGrid w:val="0"/>
        <w:spacing w:line="360" w:lineRule="auto"/>
        <w:ind w:firstLine="420" w:firstLineChars="200"/>
        <w:jc w:val="left"/>
        <w:rPr>
          <w:rFonts w:ascii="宋体" w:hAnsi="宋体"/>
          <w:szCs w:val="21"/>
        </w:rPr>
      </w:pPr>
      <w:r>
        <w:rPr>
          <w:rFonts w:ascii="宋体" w:hAnsi="宋体" w:hint="eastAsia"/>
          <w:szCs w:val="21"/>
        </w:rPr>
        <w:t>支持</w:t>
      </w:r>
      <w:r>
        <w:rPr>
          <w:rFonts w:ascii="宋体" w:hAnsi="宋体" w:hint="eastAsia"/>
          <w:szCs w:val="21"/>
        </w:rPr>
        <w:t>7x24</w:t>
      </w:r>
      <w:r>
        <w:rPr>
          <w:rFonts w:ascii="宋体" w:hAnsi="宋体" w:hint="eastAsia"/>
          <w:szCs w:val="21"/>
        </w:rPr>
        <w:t>小时稳定运行，能够在非功能时间对系统进行局部维护，且不影响业务连续性。</w:t>
      </w:r>
    </w:p>
    <w:p w:rsidR="00771170">
      <w:pPr>
        <w:spacing w:line="560" w:lineRule="exact"/>
        <w:ind w:firstLine="560" w:firstLineChars="200"/>
        <w:outlineLvl w:val="1"/>
        <w:rPr>
          <w:rFonts w:asciiTheme="majorEastAsia" w:eastAsiaTheme="majorEastAsia" w:hAnsiTheme="majorEastAsia" w:cstheme="majorEastAsia"/>
          <w:sz w:val="28"/>
          <w:szCs w:val="20"/>
        </w:rPr>
      </w:pPr>
      <w:r>
        <w:rPr>
          <w:rFonts w:asciiTheme="majorEastAsia" w:eastAsiaTheme="majorEastAsia" w:hAnsiTheme="majorEastAsia" w:cstheme="majorEastAsia" w:hint="eastAsia"/>
          <w:sz w:val="28"/>
          <w:szCs w:val="20"/>
        </w:rPr>
        <w:t>采购需求</w:t>
      </w:r>
      <w:r>
        <w:rPr>
          <w:rFonts w:asciiTheme="majorEastAsia" w:eastAsiaTheme="majorEastAsia" w:hAnsiTheme="majorEastAsia" w:cstheme="majorEastAsia" w:hint="eastAsia"/>
          <w:sz w:val="28"/>
          <w:szCs w:val="20"/>
        </w:rPr>
        <w:t xml:space="preserve"> </w:t>
      </w:r>
      <w:r>
        <w:rPr>
          <w:rFonts w:asciiTheme="majorEastAsia" w:eastAsiaTheme="majorEastAsia" w:hAnsiTheme="majorEastAsia" w:cstheme="majorEastAsia" w:hint="eastAsia"/>
          <w:sz w:val="28"/>
          <w:szCs w:val="20"/>
        </w:rPr>
        <w:t>附表</w:t>
      </w:r>
    </w:p>
    <w:p w:rsidR="00771170">
      <w:pPr>
        <w:spacing w:line="560" w:lineRule="exact"/>
        <w:ind w:firstLine="560" w:firstLineChars="200"/>
        <w:jc w:val="center"/>
        <w:rPr>
          <w:rFonts w:asciiTheme="majorEastAsia" w:eastAsiaTheme="majorEastAsia" w:hAnsiTheme="majorEastAsia" w:cstheme="majorEastAsia"/>
          <w:szCs w:val="21"/>
        </w:rPr>
      </w:pPr>
      <w:r>
        <w:rPr>
          <w:rFonts w:asciiTheme="majorEastAsia" w:eastAsiaTheme="majorEastAsia" w:hAnsiTheme="majorEastAsia" w:cstheme="majorEastAsia" w:hint="eastAsia"/>
          <w:sz w:val="28"/>
          <w:szCs w:val="20"/>
        </w:rPr>
        <w:t>采购</w:t>
      </w:r>
      <w:r>
        <w:rPr>
          <w:rFonts w:asciiTheme="majorEastAsia" w:eastAsiaTheme="majorEastAsia" w:hAnsiTheme="majorEastAsia" w:cstheme="majorEastAsia" w:hint="eastAsia"/>
          <w:sz w:val="28"/>
          <w:szCs w:val="20"/>
        </w:rPr>
        <w:t>需求总表</w:t>
      </w:r>
    </w:p>
    <w:tbl>
      <w:tblPr>
        <w:tblStyle w:val="TableGrid"/>
        <w:tblW w:w="9203" w:type="dxa"/>
        <w:tblLook w:val="04A0"/>
      </w:tblPr>
      <w:tblGrid>
        <w:gridCol w:w="773"/>
        <w:gridCol w:w="2359"/>
        <w:gridCol w:w="859"/>
        <w:gridCol w:w="859"/>
        <w:gridCol w:w="1582"/>
        <w:gridCol w:w="1091"/>
        <w:gridCol w:w="1680"/>
      </w:tblGrid>
      <w:tr>
        <w:tblPrEx>
          <w:tblW w:w="9203" w:type="dxa"/>
          <w:tblLook w:val="04A0"/>
        </w:tblPrEx>
        <w:tc>
          <w:tcPr>
            <w:tcW w:w="773" w:type="dxa"/>
            <w:vAlign w:val="center"/>
          </w:tcPr>
          <w:p w:rsidR="00771170">
            <w:pPr>
              <w:autoSpaceDE w:val="0"/>
              <w:jc w:val="center"/>
              <w:rPr>
                <w:rFonts w:asciiTheme="majorEastAsia" w:eastAsiaTheme="majorEastAsia" w:hAnsiTheme="majorEastAsia" w:cstheme="majorEastAsia"/>
                <w:b/>
                <w:bCs/>
                <w:kern w:val="0"/>
              </w:rPr>
            </w:pPr>
            <w:bookmarkStart w:id="61" w:name="货物一览表_index"/>
            <w:r>
              <w:rPr>
                <w:rFonts w:asciiTheme="majorEastAsia" w:eastAsiaTheme="majorEastAsia" w:hAnsiTheme="majorEastAsia" w:cstheme="majorEastAsia" w:hint="eastAsia"/>
                <w:b/>
                <w:bCs/>
                <w:kern w:val="0"/>
                <w:sz w:val="24"/>
                <w:szCs w:val="24"/>
              </w:rPr>
              <w:t>序号</w:t>
            </w:r>
            <w:bookmarkEnd w:id="61"/>
          </w:p>
        </w:tc>
        <w:tc>
          <w:tcPr>
            <w:tcW w:w="2359" w:type="dxa"/>
            <w:vAlign w:val="center"/>
          </w:tcPr>
          <w:p w:rsidR="00771170">
            <w:pPr>
              <w:autoSpaceDE w:val="0"/>
              <w:jc w:val="center"/>
              <w:rPr>
                <w:rFonts w:asciiTheme="majorEastAsia" w:eastAsiaTheme="majorEastAsia" w:hAnsiTheme="majorEastAsia" w:cstheme="majorEastAsia"/>
                <w:b/>
                <w:bCs/>
                <w:kern w:val="0"/>
              </w:rPr>
            </w:pPr>
            <w:bookmarkStart w:id="62" w:name="货物一览表_goodsName"/>
            <w:r>
              <w:rPr>
                <w:rFonts w:asciiTheme="majorEastAsia" w:eastAsiaTheme="majorEastAsia" w:hAnsiTheme="majorEastAsia" w:cstheme="majorEastAsia" w:hint="eastAsia"/>
                <w:b/>
                <w:bCs/>
                <w:kern w:val="0"/>
                <w:sz w:val="24"/>
                <w:szCs w:val="24"/>
              </w:rPr>
              <w:t>设备名称</w:t>
            </w:r>
            <w:bookmarkEnd w:id="62"/>
          </w:p>
        </w:tc>
        <w:tc>
          <w:tcPr>
            <w:tcW w:w="859" w:type="dxa"/>
            <w:vAlign w:val="center"/>
          </w:tcPr>
          <w:p w:rsidR="00771170">
            <w:pPr>
              <w:autoSpaceDE w:val="0"/>
              <w:jc w:val="center"/>
              <w:rPr>
                <w:rFonts w:asciiTheme="majorEastAsia" w:eastAsiaTheme="majorEastAsia" w:hAnsiTheme="majorEastAsia" w:cstheme="majorEastAsia"/>
                <w:b/>
                <w:bCs/>
                <w:kern w:val="0"/>
              </w:rPr>
            </w:pPr>
            <w:bookmarkStart w:id="63" w:name="货物一览表_nums"/>
            <w:r>
              <w:rPr>
                <w:rFonts w:asciiTheme="majorEastAsia" w:eastAsiaTheme="majorEastAsia" w:hAnsiTheme="majorEastAsia" w:cstheme="majorEastAsia" w:hint="eastAsia"/>
                <w:b/>
                <w:bCs/>
                <w:kern w:val="0"/>
                <w:sz w:val="24"/>
                <w:szCs w:val="24"/>
              </w:rPr>
              <w:t>采购数量</w:t>
            </w:r>
            <w:bookmarkEnd w:id="63"/>
          </w:p>
        </w:tc>
        <w:tc>
          <w:tcPr>
            <w:tcW w:w="859" w:type="dxa"/>
            <w:vAlign w:val="center"/>
          </w:tcPr>
          <w:p w:rsidR="00771170">
            <w:pPr>
              <w:autoSpaceDE w:val="0"/>
              <w:jc w:val="center"/>
              <w:rPr>
                <w:rFonts w:asciiTheme="majorEastAsia" w:eastAsiaTheme="majorEastAsia" w:hAnsiTheme="majorEastAsia" w:cstheme="majorEastAsia"/>
                <w:b/>
                <w:bCs/>
                <w:kern w:val="0"/>
              </w:rPr>
            </w:pPr>
            <w:bookmarkStart w:id="64" w:name="货物一览表_units"/>
            <w:r>
              <w:rPr>
                <w:rFonts w:asciiTheme="majorEastAsia" w:eastAsiaTheme="majorEastAsia" w:hAnsiTheme="majorEastAsia" w:cstheme="majorEastAsia" w:hint="eastAsia"/>
                <w:b/>
                <w:bCs/>
                <w:kern w:val="0"/>
                <w:sz w:val="24"/>
                <w:szCs w:val="24"/>
              </w:rPr>
              <w:t>计量单位</w:t>
            </w:r>
            <w:bookmarkEnd w:id="64"/>
          </w:p>
        </w:tc>
        <w:tc>
          <w:tcPr>
            <w:tcW w:w="1582" w:type="dxa"/>
            <w:vAlign w:val="center"/>
          </w:tcPr>
          <w:p w:rsidR="00771170">
            <w:pPr>
              <w:autoSpaceDE w:val="0"/>
              <w:jc w:val="center"/>
              <w:rPr>
                <w:rFonts w:asciiTheme="majorEastAsia" w:eastAsiaTheme="majorEastAsia" w:hAnsiTheme="majorEastAsia" w:cstheme="majorEastAsia"/>
                <w:b/>
                <w:bCs/>
                <w:kern w:val="0"/>
              </w:rPr>
            </w:pPr>
            <w:bookmarkStart w:id="65" w:name="货物一览表_procurementBudget"/>
            <w:r>
              <w:rPr>
                <w:rFonts w:asciiTheme="majorEastAsia" w:eastAsiaTheme="majorEastAsia" w:hAnsiTheme="majorEastAsia" w:cstheme="majorEastAsia" w:hint="eastAsia"/>
                <w:b/>
                <w:bCs/>
                <w:kern w:val="0"/>
                <w:sz w:val="24"/>
                <w:szCs w:val="24"/>
              </w:rPr>
              <w:t>采购预算（元）</w:t>
            </w:r>
            <w:bookmarkEnd w:id="65"/>
          </w:p>
        </w:tc>
        <w:tc>
          <w:tcPr>
            <w:tcW w:w="1091" w:type="dxa"/>
            <w:vAlign w:val="center"/>
          </w:tcPr>
          <w:p w:rsidR="00771170">
            <w:pPr>
              <w:autoSpaceDE w:val="0"/>
              <w:jc w:val="center"/>
              <w:rPr>
                <w:rFonts w:asciiTheme="majorEastAsia" w:eastAsiaTheme="majorEastAsia" w:hAnsiTheme="majorEastAsia" w:cstheme="majorEastAsia"/>
                <w:b/>
                <w:bCs/>
                <w:kern w:val="0"/>
              </w:rPr>
            </w:pPr>
            <w:bookmarkStart w:id="66" w:name="货物一览表_supplyMaterialDate"/>
            <w:r>
              <w:rPr>
                <w:rFonts w:asciiTheme="majorEastAsia" w:eastAsiaTheme="majorEastAsia" w:hAnsiTheme="majorEastAsia" w:cstheme="majorEastAsia" w:hint="eastAsia"/>
                <w:b/>
                <w:bCs/>
                <w:kern w:val="0"/>
                <w:sz w:val="24"/>
                <w:szCs w:val="24"/>
              </w:rPr>
              <w:t>交货期（天）</w:t>
            </w:r>
            <w:bookmarkEnd w:id="66"/>
          </w:p>
        </w:tc>
        <w:tc>
          <w:tcPr>
            <w:tcW w:w="1680" w:type="dxa"/>
            <w:vAlign w:val="center"/>
          </w:tcPr>
          <w:p w:rsidR="00771170">
            <w:pPr>
              <w:autoSpaceDE w:val="0"/>
              <w:autoSpaceDN w:val="0"/>
              <w:adjustRightInd w:val="0"/>
              <w:spacing w:before="48"/>
              <w:ind w:right="-20"/>
              <w:jc w:val="center"/>
              <w:rPr>
                <w:rFonts w:asciiTheme="majorEastAsia" w:eastAsiaTheme="majorEastAsia" w:hAnsiTheme="majorEastAsia" w:cstheme="majorEastAsia"/>
                <w:b/>
                <w:bCs/>
                <w:kern w:val="0"/>
              </w:rPr>
            </w:pPr>
            <w:bookmarkStart w:id="67" w:name="货物一览表_remark"/>
            <w:r>
              <w:rPr>
                <w:rFonts w:asciiTheme="majorEastAsia" w:eastAsiaTheme="majorEastAsia" w:hAnsiTheme="majorEastAsia" w:cstheme="majorEastAsia" w:hint="eastAsia"/>
                <w:b/>
                <w:bCs/>
                <w:kern w:val="0"/>
                <w:sz w:val="24"/>
                <w:szCs w:val="24"/>
              </w:rPr>
              <w:t>备注</w:t>
            </w:r>
            <w:bookmarkEnd w:id="67"/>
          </w:p>
        </w:tc>
      </w:tr>
      <w:tr>
        <w:tblPrEx>
          <w:tblW w:w="9203" w:type="dxa"/>
          <w:tblLook w:val="04A0"/>
        </w:tblPrEx>
        <w:tc>
          <w:tcPr>
            <w:tcW w:w="773" w:type="dxa"/>
          </w:tcPr>
          <w:p w:rsidR="00771170">
            <w:pPr>
              <w:autoSpaceDE w:val="0"/>
              <w:jc w:val="center"/>
              <w:rPr>
                <w:rFonts w:asciiTheme="majorEastAsia" w:eastAsiaTheme="majorEastAsia" w:hAnsiTheme="majorEastAsia" w:cstheme="majorEastAsia"/>
                <w:kern w:val="0"/>
              </w:rPr>
            </w:pPr>
            <w:r>
              <w:rPr>
                <w:rFonts w:asciiTheme="majorEastAsia" w:eastAsiaTheme="majorEastAsia" w:hAnsiTheme="majorEastAsia" w:cstheme="majorEastAsia" w:hint="eastAsia"/>
                <w:kern w:val="0"/>
                <w:sz w:val="24"/>
                <w:szCs w:val="24"/>
              </w:rPr>
              <w:t>1</w:t>
            </w:r>
          </w:p>
        </w:tc>
        <w:tc>
          <w:tcPr>
            <w:tcW w:w="2359" w:type="dxa"/>
          </w:tcPr>
          <w:p w:rsidR="00771170">
            <w:pPr>
              <w:widowControl/>
              <w:jc w:val="center"/>
              <w:textAlignment w:val="center"/>
              <w:rPr>
                <w:rFonts w:asciiTheme="majorEastAsia" w:eastAsiaTheme="majorEastAsia" w:hAnsiTheme="majorEastAsia" w:cstheme="majorEastAsia"/>
                <w:color w:val="000000"/>
                <w:kern w:val="0"/>
                <w:lang w:bidi="ar"/>
              </w:rPr>
            </w:pPr>
            <w:r>
              <w:rPr>
                <w:rFonts w:asciiTheme="majorEastAsia" w:eastAsiaTheme="majorEastAsia" w:hAnsiTheme="majorEastAsia" w:cstheme="majorEastAsia" w:hint="eastAsia"/>
                <w:color w:val="000000"/>
                <w:kern w:val="0"/>
                <w:sz w:val="24"/>
                <w:szCs w:val="24"/>
                <w:lang w:bidi="ar"/>
              </w:rPr>
              <w:t>计量信息化系统</w:t>
            </w:r>
          </w:p>
        </w:tc>
        <w:tc>
          <w:tcPr>
            <w:tcW w:w="859" w:type="dxa"/>
          </w:tcPr>
          <w:p w:rsidR="00771170">
            <w:pPr>
              <w:widowControl/>
              <w:jc w:val="center"/>
              <w:textAlignment w:val="center"/>
              <w:rPr>
                <w:rFonts w:asciiTheme="majorEastAsia" w:eastAsiaTheme="majorEastAsia" w:hAnsiTheme="majorEastAsia" w:cstheme="majorEastAsia"/>
                <w:color w:val="000000"/>
                <w:kern w:val="0"/>
                <w:lang w:bidi="ar"/>
              </w:rPr>
            </w:pPr>
            <w:r>
              <w:rPr>
                <w:rFonts w:asciiTheme="majorEastAsia" w:eastAsiaTheme="majorEastAsia" w:hAnsiTheme="majorEastAsia" w:cstheme="majorEastAsia" w:hint="eastAsia"/>
                <w:color w:val="000000"/>
                <w:kern w:val="0"/>
                <w:sz w:val="24"/>
                <w:szCs w:val="24"/>
                <w:lang w:bidi="ar"/>
              </w:rPr>
              <w:t>21</w:t>
            </w:r>
          </w:p>
        </w:tc>
        <w:tc>
          <w:tcPr>
            <w:tcW w:w="859" w:type="dxa"/>
          </w:tcPr>
          <w:p w:rsidR="00771170">
            <w:pPr>
              <w:widowControl/>
              <w:jc w:val="center"/>
              <w:textAlignment w:val="center"/>
              <w:rPr>
                <w:rFonts w:asciiTheme="majorEastAsia" w:eastAsiaTheme="majorEastAsia" w:hAnsiTheme="majorEastAsia" w:cstheme="majorEastAsia"/>
                <w:color w:val="000000"/>
                <w:kern w:val="0"/>
                <w:lang w:bidi="ar"/>
              </w:rPr>
            </w:pPr>
            <w:r>
              <w:rPr>
                <w:rFonts w:asciiTheme="majorEastAsia" w:eastAsiaTheme="majorEastAsia" w:hAnsiTheme="majorEastAsia" w:cstheme="majorEastAsia" w:hint="eastAsia"/>
                <w:color w:val="000000"/>
                <w:kern w:val="0"/>
                <w:sz w:val="24"/>
                <w:szCs w:val="24"/>
                <w:lang w:bidi="ar"/>
              </w:rPr>
              <w:t>套</w:t>
            </w:r>
          </w:p>
        </w:tc>
        <w:tc>
          <w:tcPr>
            <w:tcW w:w="1582" w:type="dxa"/>
          </w:tcPr>
          <w:p w:rsidR="00771170">
            <w:pPr>
              <w:widowControl/>
              <w:jc w:val="center"/>
              <w:textAlignment w:val="center"/>
              <w:rPr>
                <w:rFonts w:asciiTheme="majorEastAsia" w:eastAsiaTheme="majorEastAsia" w:hAnsiTheme="majorEastAsia" w:cstheme="majorEastAsia"/>
                <w:color w:val="000000"/>
                <w:kern w:val="0"/>
                <w:lang w:bidi="ar"/>
              </w:rPr>
            </w:pPr>
            <w:r>
              <w:rPr>
                <w:rFonts w:asciiTheme="majorEastAsia" w:eastAsiaTheme="majorEastAsia" w:hAnsiTheme="majorEastAsia" w:cstheme="majorEastAsia" w:hint="eastAsia"/>
                <w:color w:val="000000"/>
                <w:kern w:val="0"/>
                <w:sz w:val="24"/>
                <w:szCs w:val="24"/>
                <w:lang w:bidi="ar"/>
              </w:rPr>
              <w:t>6069000.00</w:t>
            </w:r>
          </w:p>
        </w:tc>
        <w:tc>
          <w:tcPr>
            <w:tcW w:w="1091" w:type="dxa"/>
          </w:tcPr>
          <w:p w:rsidR="00771170">
            <w:pPr>
              <w:widowControl/>
              <w:jc w:val="center"/>
              <w:textAlignment w:val="center"/>
              <w:rPr>
                <w:rFonts w:asciiTheme="majorEastAsia" w:eastAsiaTheme="majorEastAsia" w:hAnsiTheme="majorEastAsia" w:cstheme="majorEastAsia"/>
                <w:color w:val="000000"/>
                <w:kern w:val="0"/>
                <w:lang w:bidi="ar"/>
              </w:rPr>
            </w:pPr>
            <w:r>
              <w:rPr>
                <w:rFonts w:asciiTheme="majorEastAsia" w:eastAsiaTheme="majorEastAsia" w:hAnsiTheme="majorEastAsia" w:cstheme="majorEastAsia" w:hint="eastAsia"/>
                <w:color w:val="000000"/>
                <w:kern w:val="0"/>
                <w:sz w:val="24"/>
                <w:szCs w:val="24"/>
                <w:lang w:bidi="ar"/>
              </w:rPr>
              <w:t>90</w:t>
            </w:r>
          </w:p>
        </w:tc>
        <w:tc>
          <w:tcPr>
            <w:tcW w:w="1680" w:type="dxa"/>
          </w:tcPr>
          <w:p w:rsidR="00771170">
            <w:pPr>
              <w:autoSpaceDE w:val="0"/>
              <w:autoSpaceDN w:val="0"/>
              <w:adjustRightInd w:val="0"/>
              <w:spacing w:before="48"/>
              <w:ind w:right="-20"/>
              <w:jc w:val="center"/>
              <w:rPr>
                <w:rFonts w:asciiTheme="majorEastAsia" w:eastAsiaTheme="majorEastAsia" w:hAnsiTheme="majorEastAsia" w:cstheme="majorEastAsia"/>
                <w:kern w:val="0"/>
              </w:rPr>
            </w:pPr>
          </w:p>
        </w:tc>
      </w:tr>
      <w:tr>
        <w:tblPrEx>
          <w:tblW w:w="9203" w:type="dxa"/>
          <w:tblLook w:val="04A0"/>
        </w:tblPrEx>
        <w:tc>
          <w:tcPr>
            <w:tcW w:w="0" w:type="auto"/>
          </w:tcPr>
          <w:p w:rsidR="00771170">
            <w:pPr>
              <w:autoSpaceDE w:val="0"/>
              <w:jc w:val="center"/>
              <w:rPr>
                <w:rFonts w:asciiTheme="majorEastAsia" w:eastAsiaTheme="majorEastAsia" w:hAnsiTheme="majorEastAsia" w:cstheme="majorEastAsia"/>
                <w:kern w:val="0"/>
              </w:rPr>
            </w:pPr>
            <w:r>
              <w:rPr>
                <w:rFonts w:asciiTheme="majorEastAsia" w:eastAsiaTheme="majorEastAsia" w:hAnsiTheme="majorEastAsia" w:cstheme="majorEastAsia" w:hint="eastAsia"/>
                <w:sz w:val="24"/>
                <w:szCs w:val="24"/>
              </w:rPr>
              <w:t>合计</w:t>
            </w:r>
          </w:p>
        </w:tc>
        <w:tc>
          <w:tcPr>
            <w:tcW w:w="8430" w:type="dxa"/>
            <w:gridSpan w:val="6"/>
          </w:tcPr>
          <w:p w:rsidR="00771170">
            <w:pPr>
              <w:autoSpaceDE w:val="0"/>
              <w:jc w:val="center"/>
              <w:rPr>
                <w:rFonts w:asciiTheme="majorEastAsia" w:eastAsiaTheme="majorEastAsia" w:hAnsiTheme="majorEastAsia" w:cstheme="majorEastAsia"/>
                <w:kern w:val="0"/>
              </w:rPr>
            </w:pPr>
            <w:r>
              <w:rPr>
                <w:rFonts w:asciiTheme="majorEastAsia" w:eastAsiaTheme="majorEastAsia" w:hAnsiTheme="majorEastAsia" w:cstheme="majorEastAsia" w:hint="eastAsia"/>
                <w:kern w:val="0"/>
                <w:sz w:val="24"/>
                <w:szCs w:val="24"/>
              </w:rPr>
              <w:t>6069000.00</w:t>
            </w:r>
          </w:p>
        </w:tc>
      </w:tr>
    </w:tbl>
    <w:p w:rsidR="00771170">
      <w:pPr>
        <w:spacing w:line="560" w:lineRule="exact"/>
        <w:ind w:firstLine="560" w:firstLineChars="200"/>
        <w:rPr>
          <w:rFonts w:asciiTheme="majorEastAsia" w:eastAsiaTheme="majorEastAsia" w:hAnsiTheme="majorEastAsia" w:cstheme="majorEastAsia"/>
          <w:sz w:val="28"/>
          <w:szCs w:val="20"/>
        </w:rPr>
      </w:pPr>
      <w:r>
        <w:rPr>
          <w:rFonts w:asciiTheme="majorEastAsia" w:eastAsiaTheme="majorEastAsia" w:hAnsiTheme="majorEastAsia" w:cstheme="majorEastAsia" w:hint="eastAsia"/>
          <w:sz w:val="28"/>
          <w:szCs w:val="20"/>
        </w:rPr>
        <w:t>注：交货期从采购合同签订之日起计算。</w:t>
      </w:r>
    </w:p>
    <w:p w:rsidR="00771170">
      <w:pPr>
        <w:spacing w:line="560" w:lineRule="exact"/>
        <w:ind w:firstLine="560" w:firstLineChars="200"/>
        <w:jc w:val="center"/>
        <w:rPr>
          <w:rFonts w:asciiTheme="majorEastAsia" w:eastAsiaTheme="majorEastAsia" w:hAnsiTheme="majorEastAsia" w:cstheme="majorEastAsia"/>
          <w:sz w:val="28"/>
          <w:szCs w:val="20"/>
        </w:rPr>
      </w:pPr>
      <w:r>
        <w:rPr>
          <w:rFonts w:asciiTheme="majorEastAsia" w:eastAsiaTheme="majorEastAsia" w:hAnsiTheme="majorEastAsia" w:cstheme="majorEastAsia" w:hint="eastAsia"/>
          <w:sz w:val="28"/>
          <w:szCs w:val="20"/>
        </w:rPr>
        <w:t>采购</w:t>
      </w:r>
      <w:r>
        <w:rPr>
          <w:rFonts w:asciiTheme="majorEastAsia" w:eastAsiaTheme="majorEastAsia" w:hAnsiTheme="majorEastAsia" w:cstheme="majorEastAsia" w:hint="eastAsia"/>
          <w:sz w:val="28"/>
          <w:szCs w:val="20"/>
        </w:rPr>
        <w:t>需求明细表</w:t>
      </w:r>
    </w:p>
    <w:tbl>
      <w:tblPr>
        <w:tblStyle w:val="TableGrid"/>
        <w:tblW w:w="0" w:type="auto"/>
        <w:tblLook w:val="04A0"/>
      </w:tblPr>
      <w:tblGrid>
        <w:gridCol w:w="580"/>
        <w:gridCol w:w="1719"/>
        <w:gridCol w:w="1641"/>
        <w:gridCol w:w="586"/>
        <w:gridCol w:w="1341"/>
        <w:gridCol w:w="1129"/>
        <w:gridCol w:w="828"/>
        <w:gridCol w:w="698"/>
      </w:tblGrid>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b/>
                <w:bCs/>
                <w:sz w:val="24"/>
                <w:szCs w:val="24"/>
              </w:rPr>
              <w:t>序号</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b/>
                <w:bCs/>
                <w:sz w:val="24"/>
                <w:szCs w:val="24"/>
              </w:rPr>
              <w:t>采购人</w:t>
            </w:r>
            <w:r>
              <w:rPr>
                <w:rFonts w:asciiTheme="majorEastAsia" w:eastAsiaTheme="majorEastAsia" w:hAnsiTheme="majorEastAsia" w:cstheme="majorEastAsia" w:hint="eastAsia"/>
                <w:b/>
                <w:bCs/>
                <w:sz w:val="24"/>
                <w:szCs w:val="24"/>
              </w:rPr>
              <w:t>(</w:t>
            </w:r>
            <w:r>
              <w:rPr>
                <w:rFonts w:asciiTheme="majorEastAsia" w:eastAsiaTheme="majorEastAsia" w:hAnsiTheme="majorEastAsia" w:cstheme="majorEastAsia" w:hint="eastAsia"/>
                <w:b/>
                <w:bCs/>
                <w:sz w:val="24"/>
                <w:szCs w:val="24"/>
              </w:rPr>
              <w:t>甲方</w:t>
            </w:r>
            <w:r>
              <w:rPr>
                <w:rFonts w:asciiTheme="majorEastAsia" w:eastAsiaTheme="majorEastAsia" w:hAnsiTheme="majorEastAsia" w:cstheme="majorEastAsia" w:hint="eastAsia"/>
                <w:b/>
                <w:bCs/>
                <w:sz w:val="24"/>
                <w:szCs w:val="24"/>
              </w:rPr>
              <w:t>)</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b/>
                <w:bCs/>
                <w:sz w:val="24"/>
                <w:szCs w:val="24"/>
              </w:rPr>
              <w:t>设备名称</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b/>
                <w:bCs/>
                <w:sz w:val="24"/>
                <w:szCs w:val="24"/>
              </w:rPr>
              <w:t>数量</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b/>
                <w:bCs/>
                <w:sz w:val="24"/>
                <w:szCs w:val="24"/>
              </w:rPr>
              <w:t>采购预算</w:t>
            </w:r>
            <w:r>
              <w:rPr>
                <w:rFonts w:asciiTheme="majorEastAsia" w:eastAsiaTheme="majorEastAsia" w:hAnsiTheme="majorEastAsia" w:cstheme="majorEastAsia" w:hint="eastAsia"/>
                <w:b/>
                <w:bCs/>
                <w:sz w:val="24"/>
                <w:szCs w:val="24"/>
              </w:rPr>
              <w:t>(</w:t>
            </w:r>
            <w:r>
              <w:rPr>
                <w:rFonts w:asciiTheme="majorEastAsia" w:eastAsiaTheme="majorEastAsia" w:hAnsiTheme="majorEastAsia" w:cstheme="majorEastAsia" w:hint="eastAsia"/>
                <w:b/>
                <w:bCs/>
                <w:sz w:val="24"/>
                <w:szCs w:val="24"/>
              </w:rPr>
              <w:t>元</w:t>
            </w:r>
            <w:r>
              <w:rPr>
                <w:rFonts w:asciiTheme="majorEastAsia" w:eastAsiaTheme="majorEastAsia" w:hAnsiTheme="majorEastAsia" w:cstheme="majorEastAsia" w:hint="eastAsia"/>
                <w:b/>
                <w:bCs/>
                <w:sz w:val="24"/>
                <w:szCs w:val="24"/>
              </w:rPr>
              <w:t>)</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b/>
                <w:bCs/>
                <w:sz w:val="24"/>
                <w:szCs w:val="24"/>
              </w:rPr>
              <w:t>合计</w:t>
            </w:r>
            <w:r>
              <w:rPr>
                <w:rFonts w:asciiTheme="majorEastAsia" w:eastAsiaTheme="majorEastAsia" w:hAnsiTheme="majorEastAsia" w:cstheme="majorEastAsia" w:hint="eastAsia"/>
                <w:b/>
                <w:bCs/>
                <w:sz w:val="24"/>
                <w:szCs w:val="24"/>
              </w:rPr>
              <w:t>(</w:t>
            </w:r>
            <w:r>
              <w:rPr>
                <w:rFonts w:asciiTheme="majorEastAsia" w:eastAsiaTheme="majorEastAsia" w:hAnsiTheme="majorEastAsia" w:cstheme="majorEastAsia" w:hint="eastAsia"/>
                <w:b/>
                <w:bCs/>
                <w:sz w:val="24"/>
                <w:szCs w:val="24"/>
              </w:rPr>
              <w:t>元</w:t>
            </w:r>
            <w:r>
              <w:rPr>
                <w:rFonts w:asciiTheme="majorEastAsia" w:eastAsiaTheme="majorEastAsia" w:hAnsiTheme="majorEastAsia" w:cstheme="majorEastAsia" w:hint="eastAsia"/>
                <w:b/>
                <w:bCs/>
                <w:sz w:val="24"/>
                <w:szCs w:val="24"/>
              </w:rPr>
              <w:t>)</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b/>
                <w:bCs/>
                <w:sz w:val="24"/>
                <w:szCs w:val="24"/>
              </w:rPr>
              <w:t>交货地点</w:t>
            </w:r>
          </w:p>
        </w:tc>
        <w:tc>
          <w:tcPr>
            <w:tcW w:w="6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b/>
                <w:bCs/>
                <w:sz w:val="24"/>
                <w:szCs w:val="24"/>
              </w:rPr>
              <w:t>备注</w:t>
            </w:r>
            <w:r>
              <w:rPr>
                <w:rFonts w:asciiTheme="majorEastAsia" w:eastAsiaTheme="majorEastAsia" w:hAnsiTheme="majorEastAsia" w:cstheme="majorEastAsia" w:hint="eastAsia"/>
                <w:b/>
                <w:bCs/>
                <w:sz w:val="24"/>
                <w:szCs w:val="24"/>
              </w:rPr>
              <w:t>（</w:t>
            </w:r>
            <w:r>
              <w:rPr>
                <w:rFonts w:asciiTheme="majorEastAsia" w:eastAsiaTheme="majorEastAsia" w:hAnsiTheme="majorEastAsia" w:cstheme="majorEastAsia" w:hint="eastAsia"/>
                <w:b/>
                <w:bCs/>
                <w:sz w:val="24"/>
                <w:szCs w:val="24"/>
              </w:rPr>
              <w:t>联系人</w:t>
            </w:r>
            <w:r>
              <w:rPr>
                <w:rFonts w:asciiTheme="majorEastAsia" w:eastAsiaTheme="majorEastAsia" w:hAnsiTheme="majorEastAsia" w:cstheme="majorEastAsia" w:hint="eastAsia"/>
                <w:b/>
                <w:bCs/>
                <w:sz w:val="24"/>
                <w:szCs w:val="24"/>
              </w:rPr>
              <w:t>）</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重庆市气象信息与技术保障中心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重庆</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屈波</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海南省气象探测中心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海南</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陈亮</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3</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内蒙古自治区气象数据中心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内蒙古</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陈利华</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4</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宁夏大气探测技术保障中心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宁夏</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杨晨芳</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5</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湖南省气象技术装备中心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湖南</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李建宇</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6</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河北省气象技术装备中心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河北</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刘宇</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7</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山西省大气探测技术保障中心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山西</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张朝明</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8</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辽宁省气象装备保障中心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辽宁</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韩莹</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9</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吉林省气象探测保障中心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吉林</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沈天舒</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10</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黑龙江省气象数据中心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黑龙江</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李帅</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11</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河南省气象探测数据中心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河南</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樊奇</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12</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湖北省气象信息与技术保障中心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湖北</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马帅</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13</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四川省气象探测数据中心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四川</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杨涛</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14</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云南省大气探测技术保障中</w:t>
            </w:r>
            <w:r>
              <w:rPr>
                <w:rFonts w:asciiTheme="majorEastAsia" w:eastAsiaTheme="majorEastAsia" w:hAnsiTheme="majorEastAsia" w:cstheme="majorEastAsia" w:hint="eastAsia"/>
                <w:sz w:val="24"/>
                <w:szCs w:val="24"/>
              </w:rPr>
              <w:t>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云南</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解莉</w:t>
            </w:r>
            <w:r>
              <w:rPr>
                <w:rFonts w:asciiTheme="majorEastAsia" w:eastAsiaTheme="majorEastAsia" w:hAnsiTheme="majorEastAsia" w:cstheme="majorEastAsia" w:hint="eastAsia"/>
                <w:sz w:val="24"/>
                <w:szCs w:val="24"/>
              </w:rPr>
              <w:t>燕</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15</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陕西省大气探测技术保障中心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陕西</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孟超</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16</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青海省大气探测技术保障中心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青海</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廖鑫</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17</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广西壮族自治区气象技术装备中心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广西</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李胤演</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18</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西藏自治区大气探测技术与装备保障中心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西藏</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袁伟</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19</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新疆维吾尔自治区气象技术装备保障中心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新疆</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殷星晨</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20</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北京市气象探测中心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北京</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许磊</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21</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天津气象雷达研究试验中心</w:t>
            </w:r>
          </w:p>
        </w:tc>
        <w:tc>
          <w:tcPr>
            <w:tcW w:w="186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计量信息化系统</w:t>
            </w: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289000</w:t>
            </w:r>
          </w:p>
        </w:tc>
        <w:tc>
          <w:tcPr>
            <w:tcW w:w="900"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天津</w:t>
            </w:r>
          </w:p>
        </w:tc>
        <w:tc>
          <w:tcPr>
            <w:tcW w:w="600" w:type="dxa"/>
          </w:tcPr>
          <w:p w:rsidR="00771170" w:rsidP="00A9225A">
            <w:pPr>
              <w:spacing w:line="560" w:lineRule="exact"/>
              <w:jc w:val="cente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颜平江</w:t>
            </w:r>
          </w:p>
        </w:tc>
      </w:tr>
      <w:tr>
        <w:tblPrEx>
          <w:tblW w:w="0" w:type="auto"/>
          <w:tblLook w:val="04A0"/>
        </w:tblPrEx>
        <w:tc>
          <w:tcPr>
            <w:tcW w:w="60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22</w:t>
            </w:r>
          </w:p>
        </w:tc>
        <w:tc>
          <w:tcPr>
            <w:tcW w:w="1939"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合计</w:t>
            </w:r>
          </w:p>
        </w:tc>
        <w:tc>
          <w:tcPr>
            <w:tcW w:w="1869" w:type="dxa"/>
          </w:tcPr>
          <w:p w:rsidR="00771170">
            <w:pPr>
              <w:rPr>
                <w:rFonts w:asciiTheme="majorEastAsia" w:eastAsiaTheme="majorEastAsia" w:hAnsiTheme="majorEastAsia" w:cstheme="majorEastAsia"/>
              </w:rPr>
            </w:pPr>
          </w:p>
        </w:tc>
        <w:tc>
          <w:tcPr>
            <w:tcW w:w="611"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21</w:t>
            </w:r>
          </w:p>
        </w:tc>
        <w:tc>
          <w:tcPr>
            <w:tcW w:w="1396"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6069000</w:t>
            </w:r>
          </w:p>
        </w:tc>
        <w:tc>
          <w:tcPr>
            <w:tcW w:w="1143" w:type="dxa"/>
          </w:tcPr>
          <w:p w:rsidR="00771170">
            <w:pPr>
              <w:rPr>
                <w:rFonts w:asciiTheme="majorEastAsia" w:eastAsiaTheme="majorEastAsia" w:hAnsiTheme="majorEastAsia" w:cstheme="majorEastAsia"/>
              </w:rPr>
            </w:pPr>
            <w:r>
              <w:rPr>
                <w:rFonts w:asciiTheme="majorEastAsia" w:eastAsiaTheme="majorEastAsia" w:hAnsiTheme="majorEastAsia" w:cstheme="majorEastAsia" w:hint="eastAsia"/>
                <w:sz w:val="24"/>
                <w:szCs w:val="24"/>
              </w:rPr>
              <w:t>6069000</w:t>
            </w:r>
          </w:p>
        </w:tc>
        <w:tc>
          <w:tcPr>
            <w:tcW w:w="900" w:type="dxa"/>
          </w:tcPr>
          <w:p w:rsidR="00771170">
            <w:pPr>
              <w:rPr>
                <w:rFonts w:asciiTheme="majorEastAsia" w:eastAsiaTheme="majorEastAsia" w:hAnsiTheme="majorEastAsia" w:cstheme="majorEastAsia"/>
              </w:rPr>
            </w:pPr>
          </w:p>
        </w:tc>
        <w:tc>
          <w:tcPr>
            <w:tcW w:w="600" w:type="dxa"/>
          </w:tcPr>
          <w:p w:rsidR="00771170">
            <w:pPr>
              <w:spacing w:line="560" w:lineRule="exact"/>
              <w:jc w:val="center"/>
              <w:rPr>
                <w:rFonts w:asciiTheme="majorEastAsia" w:eastAsiaTheme="majorEastAsia" w:hAnsiTheme="majorEastAsia" w:cstheme="majorEastAsia"/>
              </w:rPr>
            </w:pPr>
          </w:p>
        </w:tc>
      </w:tr>
    </w:tbl>
    <w:p w:rsidR="00771170">
      <w:pPr>
        <w:snapToGrid w:val="0"/>
        <w:spacing w:line="360" w:lineRule="auto"/>
        <w:ind w:firstLine="420" w:firstLineChars="200"/>
        <w:jc w:val="left"/>
        <w:rPr>
          <w:rFonts w:asciiTheme="majorEastAsia" w:eastAsiaTheme="majorEastAsia" w:hAnsiTheme="majorEastAsia" w:cstheme="majorEastAsia"/>
        </w:rPr>
      </w:pPr>
    </w:p>
    <w:p w:rsidR="00A77B3E"/>
    <w:p>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68"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C4D46">
      <w:pPr>
        <w:numPr>
          <w:ilvl w:val="0"/>
          <w:numId w:val="4"/>
        </w:numPr>
        <w:spacing w:line="360" w:lineRule="auto"/>
        <w:ind w:firstLine="3066" w:firstLineChars="1460"/>
        <w:jc w:val="left"/>
        <w:rPr>
          <w:rFonts w:ascii="Times New Roman" w:eastAsia="宋体" w:hAnsi="Times New Roman" w:cs="Times New Roman"/>
          <w:b/>
          <w:bCs/>
          <w:szCs w:val="21"/>
        </w:rPr>
      </w:pPr>
      <w:bookmarkStart w:id="69"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BC4D46">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BC4D46">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BC4D46">
      <w:pPr>
        <w:spacing w:line="360" w:lineRule="auto"/>
        <w:ind w:right="-210" w:rightChars="-100"/>
        <w:rPr>
          <w:rFonts w:ascii="宋体" w:eastAsia="宋体" w:hAnsi="宋体" w:cs="宋体"/>
          <w:szCs w:val="21"/>
        </w:rPr>
      </w:pPr>
    </w:p>
    <w:p w:rsidR="00BC4D46">
      <w:pPr>
        <w:spacing w:line="360" w:lineRule="auto"/>
        <w:ind w:right="-210" w:rightChars="-100"/>
        <w:rPr>
          <w:rFonts w:ascii="宋体" w:eastAsia="宋体" w:hAnsi="宋体" w:cs="宋体"/>
          <w:szCs w:val="21"/>
        </w:rPr>
      </w:pPr>
    </w:p>
    <w:p w:rsidR="00BC4D46">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BC4D46">
      <w:pPr>
        <w:spacing w:line="360" w:lineRule="auto"/>
        <w:jc w:val="center"/>
        <w:rPr>
          <w:rFonts w:ascii="宋体" w:eastAsia="宋体" w:hAnsi="宋体" w:cs="宋体"/>
          <w:szCs w:val="21"/>
        </w:rPr>
      </w:pPr>
    </w:p>
    <w:p w:rsidR="00BC4D46">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BC4D46">
      <w:pPr>
        <w:spacing w:line="360" w:lineRule="auto"/>
        <w:jc w:val="center"/>
        <w:rPr>
          <w:rFonts w:ascii="宋体" w:eastAsia="宋体" w:hAnsi="宋体" w:cs="宋体"/>
          <w:szCs w:val="21"/>
        </w:rPr>
      </w:pPr>
    </w:p>
    <w:p w:rsidR="00BC4D46">
      <w:pPr>
        <w:spacing w:line="360" w:lineRule="auto"/>
        <w:jc w:val="center"/>
        <w:rPr>
          <w:rFonts w:ascii="宋体" w:eastAsia="宋体" w:hAnsi="宋体" w:cs="宋体"/>
          <w:szCs w:val="21"/>
        </w:rPr>
      </w:pPr>
    </w:p>
    <w:p w:rsidR="00BC4D46">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600" w:lineRule="auto"/>
        <w:ind w:right="-15" w:firstLine="420" w:firstLineChars="200"/>
        <w:rPr>
          <w:rFonts w:ascii="宋体" w:eastAsia="宋体" w:hAnsi="宋体" w:cs="宋体"/>
          <w:b/>
          <w:bCs/>
          <w:szCs w:val="21"/>
          <w:u w:val="single"/>
        </w:rPr>
      </w:pPr>
    </w:p>
    <w:p w:rsidR="00BC4D46">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BC4D46">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BC4D46">
      <w:pPr>
        <w:spacing w:line="360" w:lineRule="auto"/>
        <w:ind w:firstLine="1680" w:firstLineChars="800"/>
        <w:rPr>
          <w:rFonts w:ascii="宋体" w:eastAsia="宋体" w:hAnsi="宋体" w:cs="宋体"/>
          <w:szCs w:val="21"/>
        </w:rPr>
      </w:pPr>
    </w:p>
    <w:p w:rsidR="00BC4D46">
      <w:pPr>
        <w:spacing w:line="480" w:lineRule="auto"/>
        <w:rPr>
          <w:rFonts w:ascii="宋体" w:eastAsia="宋体" w:hAnsi="宋体" w:cs="宋体"/>
          <w:szCs w:val="21"/>
        </w:rPr>
      </w:pPr>
      <w:r>
        <w:rPr>
          <w:rFonts w:ascii="宋体" w:eastAsia="宋体" w:hAnsi="宋体" w:cs="宋体" w:hint="eastAsia"/>
          <w:szCs w:val="21"/>
        </w:rPr>
        <w:t>委托方（甲方）：</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BC4D46">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BC4D46">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BC4D46">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BC4D46">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BC4D46">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BC4D46">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BC4D46">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BC4D46">
      <w:pPr>
        <w:jc w:val="center"/>
        <w:rPr>
          <w:rFonts w:ascii="黑体" w:eastAsia="黑体" w:hAnsi="黑体" w:cs="黑体"/>
          <w:sz w:val="32"/>
          <w:szCs w:val="32"/>
        </w:rPr>
      </w:pPr>
    </w:p>
    <w:p w:rsidR="00BC4D46">
      <w:pPr>
        <w:jc w:val="center"/>
        <w:rPr>
          <w:rFonts w:ascii="黑体" w:eastAsia="黑体" w:hAnsi="黑体" w:cs="黑体"/>
          <w:sz w:val="32"/>
          <w:szCs w:val="32"/>
        </w:rPr>
      </w:pPr>
    </w:p>
    <w:p w:rsidR="00BC4D46">
      <w:pPr>
        <w:jc w:val="center"/>
        <w:rPr>
          <w:rFonts w:ascii="黑体" w:eastAsia="黑体" w:hAnsi="黑体" w:cs="黑体"/>
          <w:sz w:val="32"/>
          <w:szCs w:val="32"/>
        </w:rPr>
      </w:pPr>
    </w:p>
    <w:p w:rsidR="00BC4D46">
      <w:pPr>
        <w:jc w:val="center"/>
        <w:rPr>
          <w:rFonts w:ascii="黑体" w:eastAsia="黑体" w:hAnsi="黑体" w:cs="黑体"/>
          <w:sz w:val="32"/>
          <w:szCs w:val="32"/>
        </w:rPr>
      </w:pPr>
      <w:r>
        <w:rPr>
          <w:rFonts w:ascii="黑体" w:eastAsia="黑体" w:hAnsi="黑体" w:cs="黑体" w:hint="eastAsia"/>
          <w:sz w:val="32"/>
          <w:szCs w:val="32"/>
        </w:rPr>
        <w:t>使</w:t>
      </w:r>
      <w:r>
        <w:rPr>
          <w:rFonts w:ascii="黑体" w:eastAsia="黑体" w:hAnsi="黑体" w:cs="黑体" w:hint="eastAsia"/>
          <w:sz w:val="32"/>
          <w:szCs w:val="32"/>
        </w:rPr>
        <w:t xml:space="preserve"> </w:t>
      </w:r>
      <w:r>
        <w:rPr>
          <w:rFonts w:ascii="黑体" w:eastAsia="黑体" w:hAnsi="黑体" w:cs="黑体" w:hint="eastAsia"/>
          <w:sz w:val="32"/>
          <w:szCs w:val="32"/>
        </w:rPr>
        <w:t>用</w:t>
      </w:r>
      <w:r>
        <w:rPr>
          <w:rFonts w:ascii="黑体" w:eastAsia="黑体" w:hAnsi="黑体" w:cs="黑体" w:hint="eastAsia"/>
          <w:sz w:val="32"/>
          <w:szCs w:val="32"/>
        </w:rPr>
        <w:t xml:space="preserve"> </w:t>
      </w:r>
      <w:r>
        <w:rPr>
          <w:rFonts w:ascii="黑体" w:eastAsia="黑体" w:hAnsi="黑体" w:cs="黑体" w:hint="eastAsia"/>
          <w:sz w:val="32"/>
          <w:szCs w:val="32"/>
        </w:rPr>
        <w:t>说</w:t>
      </w:r>
      <w:r>
        <w:rPr>
          <w:rFonts w:ascii="黑体" w:eastAsia="黑体" w:hAnsi="黑体" w:cs="黑体" w:hint="eastAsia"/>
          <w:sz w:val="32"/>
          <w:szCs w:val="32"/>
        </w:rPr>
        <w:t xml:space="preserve"> </w:t>
      </w:r>
      <w:r>
        <w:rPr>
          <w:rFonts w:ascii="黑体" w:eastAsia="黑体" w:hAnsi="黑体" w:cs="黑体" w:hint="eastAsia"/>
          <w:sz w:val="32"/>
          <w:szCs w:val="32"/>
        </w:rPr>
        <w:t>明</w:t>
      </w:r>
    </w:p>
    <w:p w:rsidR="00BC4D46">
      <w:pPr>
        <w:jc w:val="center"/>
        <w:rPr>
          <w:rFonts w:ascii="黑体" w:eastAsia="黑体" w:hAnsi="黑体" w:cs="黑体"/>
          <w:sz w:val="32"/>
          <w:szCs w:val="32"/>
        </w:rPr>
      </w:pPr>
    </w:p>
    <w:p w:rsidR="00BC4D46">
      <w:pPr>
        <w:numPr>
          <w:ilvl w:val="0"/>
          <w:numId w:val="5"/>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rsidR="00BC4D46">
      <w:pPr>
        <w:numPr>
          <w:ilvl w:val="0"/>
          <w:numId w:val="5"/>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BC4D46">
      <w:pPr>
        <w:numPr>
          <w:ilvl w:val="0"/>
          <w:numId w:val="5"/>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BC4D46">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BC4D46">
      <w:pPr>
        <w:keepNext/>
        <w:keepLines/>
        <w:numPr>
          <w:ilvl w:val="0"/>
          <w:numId w:val="6"/>
        </w:numPr>
        <w:spacing w:before="60" w:after="60" w:line="360" w:lineRule="auto"/>
        <w:jc w:val="left"/>
        <w:outlineLvl w:val="1"/>
        <w:rPr>
          <w:rFonts w:ascii="宋体" w:eastAsia="宋体" w:hAnsi="宋体" w:cs="宋体"/>
          <w:b/>
          <w:bCs/>
          <w:szCs w:val="21"/>
        </w:rPr>
      </w:pPr>
      <w:bookmarkStart w:id="70" w:name="_Toc150439537"/>
      <w:r>
        <w:rPr>
          <w:rFonts w:ascii="宋体" w:eastAsia="宋体" w:hAnsi="宋体" w:cs="宋体" w:hint="eastAsia"/>
          <w:b/>
          <w:bCs/>
          <w:szCs w:val="21"/>
        </w:rPr>
        <w:t>项目内容及概况</w:t>
      </w:r>
      <w:bookmarkEnd w:id="70"/>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707"/>
        <w:gridCol w:w="750"/>
        <w:gridCol w:w="1420"/>
        <w:gridCol w:w="1422"/>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BC4D46">
            <w:pPr>
              <w:jc w:val="left"/>
              <w:rPr>
                <w:rFonts w:ascii="宋体" w:eastAsia="宋体" w:hAnsi="宋体" w:cs="宋体"/>
                <w:szCs w:val="21"/>
              </w:rPr>
            </w:pPr>
            <w:r>
              <w:rPr>
                <w:rFonts w:ascii="宋体" w:eastAsia="宋体" w:hAnsi="宋体" w:cs="宋体" w:hint="eastAsia"/>
                <w:szCs w:val="21"/>
              </w:rPr>
              <w:t>名称</w:t>
            </w:r>
          </w:p>
        </w:tc>
        <w:tc>
          <w:tcPr>
            <w:tcW w:w="415" w:type="pct"/>
          </w:tcPr>
          <w:p w:rsidR="00BC4D46">
            <w:pPr>
              <w:jc w:val="left"/>
              <w:rPr>
                <w:rFonts w:ascii="宋体" w:eastAsia="宋体" w:hAnsi="宋体" w:cs="宋体"/>
                <w:szCs w:val="21"/>
              </w:rPr>
            </w:pPr>
            <w:r>
              <w:rPr>
                <w:rFonts w:ascii="宋体" w:eastAsia="宋体" w:hAnsi="宋体" w:cs="宋体" w:hint="eastAsia"/>
                <w:szCs w:val="21"/>
              </w:rPr>
              <w:t>数量</w:t>
            </w:r>
          </w:p>
        </w:tc>
        <w:tc>
          <w:tcPr>
            <w:tcW w:w="440" w:type="pct"/>
          </w:tcPr>
          <w:p w:rsidR="00BC4D46">
            <w:pPr>
              <w:jc w:val="left"/>
              <w:rPr>
                <w:rFonts w:ascii="宋体" w:eastAsia="宋体" w:hAnsi="宋体" w:cs="宋体"/>
                <w:szCs w:val="21"/>
              </w:rPr>
            </w:pPr>
            <w:r>
              <w:rPr>
                <w:rFonts w:ascii="宋体" w:eastAsia="宋体" w:hAnsi="宋体" w:cs="宋体" w:hint="eastAsia"/>
                <w:szCs w:val="21"/>
              </w:rPr>
              <w:t>单位</w:t>
            </w:r>
          </w:p>
        </w:tc>
        <w:tc>
          <w:tcPr>
            <w:tcW w:w="833" w:type="pct"/>
          </w:tcPr>
          <w:p w:rsidR="00BC4D46">
            <w:pPr>
              <w:jc w:val="left"/>
              <w:rPr>
                <w:rFonts w:ascii="宋体" w:eastAsia="宋体" w:hAnsi="宋体" w:cs="宋体"/>
                <w:szCs w:val="21"/>
              </w:rPr>
            </w:pPr>
            <w:r>
              <w:rPr>
                <w:rFonts w:ascii="宋体" w:eastAsia="宋体" w:hAnsi="宋体" w:cs="宋体" w:hint="eastAsia"/>
                <w:szCs w:val="21"/>
              </w:rPr>
              <w:t>单价（元）</w:t>
            </w:r>
          </w:p>
        </w:tc>
        <w:tc>
          <w:tcPr>
            <w:tcW w:w="834" w:type="pct"/>
          </w:tcPr>
          <w:p w:rsidR="00BC4D46">
            <w:pPr>
              <w:jc w:val="left"/>
              <w:rPr>
                <w:rFonts w:ascii="宋体" w:eastAsia="宋体" w:hAnsi="宋体" w:cs="宋体"/>
                <w:szCs w:val="21"/>
              </w:rPr>
            </w:pPr>
            <w:r>
              <w:rPr>
                <w:rFonts w:ascii="宋体" w:eastAsia="宋体" w:hAnsi="宋体" w:cs="宋体" w:hint="eastAsia"/>
                <w:szCs w:val="21"/>
              </w:rPr>
              <w:t>合计（元）</w:t>
            </w:r>
          </w:p>
        </w:tc>
        <w:tc>
          <w:tcPr>
            <w:tcW w:w="834" w:type="pct"/>
          </w:tcPr>
          <w:p w:rsidR="00BC4D46">
            <w:pPr>
              <w:jc w:val="left"/>
              <w:rPr>
                <w:rFonts w:ascii="宋体" w:eastAsia="宋体" w:hAnsi="宋体" w:cs="宋体"/>
                <w:szCs w:val="21"/>
              </w:rPr>
            </w:pPr>
            <w:r>
              <w:rPr>
                <w:rFonts w:ascii="宋体" w:eastAsia="宋体" w:hAnsi="宋体" w:cs="宋体" w:hint="eastAsia"/>
                <w:szCs w:val="21"/>
              </w:rPr>
              <w:t>备注</w:t>
            </w:r>
          </w:p>
        </w:tc>
      </w:tr>
      <w:tr>
        <w:tblPrEx>
          <w:tblW w:w="5000" w:type="pct"/>
          <w:tblLook w:val="04A0"/>
        </w:tblPrEx>
        <w:tc>
          <w:tcPr>
            <w:tcW w:w="1644" w:type="pct"/>
          </w:tcPr>
          <w:p w:rsidR="00BC4D46">
            <w:pPr>
              <w:jc w:val="left"/>
              <w:rPr>
                <w:rFonts w:ascii="宋体" w:eastAsia="宋体" w:hAnsi="宋体" w:cs="宋体"/>
                <w:szCs w:val="21"/>
              </w:rPr>
            </w:pPr>
          </w:p>
        </w:tc>
        <w:tc>
          <w:tcPr>
            <w:tcW w:w="415" w:type="pct"/>
          </w:tcPr>
          <w:p w:rsidR="00BC4D46">
            <w:pPr>
              <w:jc w:val="left"/>
              <w:rPr>
                <w:rFonts w:ascii="宋体" w:eastAsia="宋体" w:hAnsi="宋体" w:cs="宋体"/>
                <w:szCs w:val="21"/>
              </w:rPr>
            </w:pPr>
          </w:p>
        </w:tc>
        <w:tc>
          <w:tcPr>
            <w:tcW w:w="440" w:type="pct"/>
          </w:tcPr>
          <w:p w:rsidR="00BC4D46">
            <w:pPr>
              <w:jc w:val="left"/>
              <w:rPr>
                <w:rFonts w:ascii="宋体" w:eastAsia="宋体" w:hAnsi="宋体" w:cs="宋体"/>
                <w:szCs w:val="21"/>
              </w:rPr>
            </w:pPr>
          </w:p>
        </w:tc>
        <w:tc>
          <w:tcPr>
            <w:tcW w:w="833" w:type="pct"/>
          </w:tcPr>
          <w:p w:rsidR="00BC4D46">
            <w:pPr>
              <w:jc w:val="left"/>
              <w:rPr>
                <w:rFonts w:ascii="宋体" w:eastAsia="宋体" w:hAnsi="宋体" w:cs="宋体"/>
                <w:szCs w:val="21"/>
              </w:rPr>
            </w:pPr>
          </w:p>
        </w:tc>
        <w:tc>
          <w:tcPr>
            <w:tcW w:w="834" w:type="pct"/>
          </w:tcPr>
          <w:p w:rsidR="00BC4D46">
            <w:pPr>
              <w:jc w:val="left"/>
              <w:rPr>
                <w:rFonts w:ascii="宋体" w:eastAsia="宋体" w:hAnsi="宋体" w:cs="宋体"/>
                <w:szCs w:val="21"/>
              </w:rPr>
            </w:pPr>
          </w:p>
        </w:tc>
        <w:tc>
          <w:tcPr>
            <w:tcW w:w="834" w:type="pct"/>
          </w:tcPr>
          <w:p w:rsidR="00BC4D46">
            <w:pPr>
              <w:jc w:val="left"/>
              <w:rPr>
                <w:rFonts w:ascii="宋体" w:eastAsia="宋体" w:hAnsi="宋体" w:cs="宋体"/>
                <w:szCs w:val="21"/>
              </w:rPr>
            </w:pPr>
          </w:p>
        </w:tc>
      </w:tr>
      <w:tr>
        <w:tblPrEx>
          <w:tblW w:w="5000" w:type="pct"/>
          <w:tblLook w:val="04A0"/>
        </w:tblPrEx>
        <w:tc>
          <w:tcPr>
            <w:tcW w:w="1644" w:type="pct"/>
          </w:tcPr>
          <w:p w:rsidR="00BC4D46">
            <w:pPr>
              <w:jc w:val="left"/>
              <w:rPr>
                <w:rFonts w:ascii="宋体" w:eastAsia="宋体" w:hAnsi="宋体" w:cs="宋体"/>
                <w:szCs w:val="21"/>
              </w:rPr>
            </w:pPr>
          </w:p>
        </w:tc>
        <w:tc>
          <w:tcPr>
            <w:tcW w:w="415" w:type="pct"/>
          </w:tcPr>
          <w:p w:rsidR="00BC4D46">
            <w:pPr>
              <w:jc w:val="left"/>
              <w:rPr>
                <w:rFonts w:ascii="宋体" w:eastAsia="宋体" w:hAnsi="宋体" w:cs="宋体"/>
                <w:szCs w:val="21"/>
              </w:rPr>
            </w:pPr>
          </w:p>
        </w:tc>
        <w:tc>
          <w:tcPr>
            <w:tcW w:w="440" w:type="pct"/>
          </w:tcPr>
          <w:p w:rsidR="00BC4D46">
            <w:pPr>
              <w:jc w:val="left"/>
              <w:rPr>
                <w:rFonts w:ascii="宋体" w:eastAsia="宋体" w:hAnsi="宋体" w:cs="宋体"/>
                <w:szCs w:val="21"/>
              </w:rPr>
            </w:pPr>
          </w:p>
        </w:tc>
        <w:tc>
          <w:tcPr>
            <w:tcW w:w="833" w:type="pct"/>
          </w:tcPr>
          <w:p w:rsidR="00BC4D46">
            <w:pPr>
              <w:jc w:val="left"/>
              <w:rPr>
                <w:rFonts w:ascii="宋体" w:eastAsia="宋体" w:hAnsi="宋体" w:cs="宋体"/>
                <w:szCs w:val="21"/>
              </w:rPr>
            </w:pPr>
          </w:p>
        </w:tc>
        <w:tc>
          <w:tcPr>
            <w:tcW w:w="834" w:type="pct"/>
          </w:tcPr>
          <w:p w:rsidR="00BC4D46">
            <w:pPr>
              <w:jc w:val="left"/>
              <w:rPr>
                <w:rFonts w:ascii="宋体" w:eastAsia="宋体" w:hAnsi="宋体" w:cs="宋体"/>
                <w:szCs w:val="21"/>
              </w:rPr>
            </w:pPr>
          </w:p>
        </w:tc>
        <w:tc>
          <w:tcPr>
            <w:tcW w:w="834" w:type="pct"/>
          </w:tcPr>
          <w:p w:rsidR="00BC4D46">
            <w:pPr>
              <w:jc w:val="left"/>
              <w:rPr>
                <w:rFonts w:ascii="宋体" w:eastAsia="宋体" w:hAnsi="宋体" w:cs="宋体"/>
                <w:szCs w:val="21"/>
              </w:rPr>
            </w:pPr>
          </w:p>
        </w:tc>
      </w:tr>
      <w:tr>
        <w:tblPrEx>
          <w:tblW w:w="5000" w:type="pct"/>
          <w:tblLook w:val="04A0"/>
        </w:tblPrEx>
        <w:tc>
          <w:tcPr>
            <w:tcW w:w="5000" w:type="pct"/>
            <w:gridSpan w:val="6"/>
          </w:tcPr>
          <w:p w:rsidR="00BC4D46">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BC4D46">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rsidR="00BC4D46">
      <w:pPr>
        <w:ind w:firstLine="420" w:firstLineChars="200"/>
        <w:jc w:val="left"/>
        <w:rPr>
          <w:rFonts w:ascii="宋体" w:eastAsia="宋体" w:hAnsi="宋体" w:cs="宋体"/>
          <w:szCs w:val="21"/>
        </w:rPr>
      </w:pPr>
      <w:r>
        <w:rPr>
          <w:rFonts w:ascii="宋体" w:eastAsia="宋体" w:hAnsi="宋体" w:cs="宋体" w:hint="eastAsia"/>
          <w:szCs w:val="21"/>
        </w:rPr>
        <w:t>XXXX</w:t>
      </w:r>
      <w:r>
        <w:rPr>
          <w:rFonts w:ascii="宋体" w:eastAsia="宋体" w:hAnsi="宋体" w:cs="宋体" w:hint="eastAsia"/>
          <w:szCs w:val="21"/>
        </w:rPr>
        <w:t>（技术交底部分）。</w:t>
      </w:r>
    </w:p>
    <w:p w:rsidR="00BC4D46">
      <w:pPr>
        <w:ind w:firstLine="420" w:firstLineChars="200"/>
        <w:jc w:val="left"/>
        <w:rPr>
          <w:rFonts w:ascii="宋体" w:eastAsia="宋体" w:hAnsi="宋体" w:cs="宋体"/>
          <w:szCs w:val="21"/>
        </w:rPr>
      </w:pPr>
    </w:p>
    <w:p w:rsidR="00BC4D46">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rsidR="00BC4D46">
      <w:pPr>
        <w:ind w:firstLine="420" w:firstLineChars="200"/>
        <w:jc w:val="left"/>
        <w:rPr>
          <w:rFonts w:ascii="宋体" w:eastAsia="宋体" w:hAnsi="宋体" w:cs="宋体"/>
          <w:szCs w:val="21"/>
        </w:rPr>
      </w:pPr>
      <w:r>
        <w:rPr>
          <w:rFonts w:ascii="宋体" w:eastAsia="宋体" w:hAnsi="宋体" w:cs="宋体" w:hint="eastAsia"/>
          <w:szCs w:val="21"/>
        </w:rPr>
        <w:t xml:space="preserve"> XXXX</w:t>
      </w:r>
      <w:r>
        <w:rPr>
          <w:rFonts w:ascii="宋体" w:eastAsia="宋体" w:hAnsi="宋体" w:cs="宋体" w:hint="eastAsia"/>
          <w:szCs w:val="21"/>
        </w:rPr>
        <w:t>。</w:t>
      </w:r>
    </w:p>
    <w:p w:rsidR="00BC4D46">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BC4D46">
      <w:pPr>
        <w:keepNext/>
        <w:keepLines/>
        <w:numPr>
          <w:ilvl w:val="0"/>
          <w:numId w:val="6"/>
        </w:numPr>
        <w:spacing w:before="60" w:after="60" w:line="360" w:lineRule="auto"/>
        <w:jc w:val="left"/>
        <w:outlineLvl w:val="1"/>
        <w:rPr>
          <w:rFonts w:ascii="宋体" w:eastAsia="宋体" w:hAnsi="宋体" w:cs="宋体"/>
          <w:b/>
          <w:bCs/>
          <w:szCs w:val="21"/>
        </w:rPr>
      </w:pPr>
      <w:bookmarkStart w:id="71" w:name="_Toc150439540"/>
      <w:r>
        <w:rPr>
          <w:rFonts w:ascii="宋体" w:eastAsia="宋体" w:hAnsi="宋体" w:cs="宋体" w:hint="eastAsia"/>
          <w:b/>
          <w:bCs/>
          <w:szCs w:val="21"/>
        </w:rPr>
        <w:t>项目相关标准</w:t>
      </w:r>
      <w:bookmarkEnd w:id="71"/>
    </w:p>
    <w:p w:rsidR="00BC4D46">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rsidR="00BC4D46">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rsidR="00BC4D46">
      <w:pPr>
        <w:numPr>
          <w:ilvl w:val="1"/>
          <w:numId w:val="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w:t>
      </w: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BC4D46">
      <w:pPr>
        <w:numPr>
          <w:ilvl w:val="1"/>
          <w:numId w:val="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BC4D46">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rsidR="00BC4D46">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BC4D46">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BC4D46">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rsidR="00BC4D46">
      <w:pPr>
        <w:numPr>
          <w:ilvl w:val="1"/>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BC4D46">
      <w:pPr>
        <w:numPr>
          <w:ilvl w:val="1"/>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BC4D46">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rsidR="00BC4D46">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BC4D46">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BC4D46">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rsidR="00BC4D46">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《中华人民共和国政府采购法》</w:t>
      </w:r>
      <w:r>
        <w:rPr>
          <w:rFonts w:ascii="宋体" w:eastAsia="宋体" w:hAnsi="宋体" w:cs="宋体" w:hint="eastAsia"/>
          <w:szCs w:val="21"/>
          <w:u w:val="single"/>
        </w:rPr>
        <w:t xml:space="preserve">            </w:t>
      </w:r>
    </w:p>
    <w:p w:rsidR="00BC4D46">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《中华人民共和国民法典》</w:t>
      </w:r>
      <w:r>
        <w:rPr>
          <w:rFonts w:ascii="宋体" w:eastAsia="宋体" w:hAnsi="宋体" w:cs="宋体" w:hint="eastAsia"/>
          <w:szCs w:val="21"/>
          <w:u w:val="single"/>
        </w:rPr>
        <w:t xml:space="preserve">                </w:t>
      </w:r>
    </w:p>
    <w:p w:rsidR="00BC4D46">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BC4D46">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BC4D46">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《气象业务软件外包风险监管办法（试行）》（气办发〔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37</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BC4D46">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38</w:t>
      </w:r>
      <w:r>
        <w:rPr>
          <w:rFonts w:ascii="宋体" w:eastAsia="宋体" w:hAnsi="宋体" w:cs="宋体" w:hint="eastAsia"/>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BC4D46">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《关于统筹集约建设气象业务软件的指导意见》（气发〔</w:t>
      </w:r>
      <w:r>
        <w:rPr>
          <w:rFonts w:ascii="宋体" w:eastAsia="宋体" w:hAnsi="宋体" w:cs="宋体" w:hint="eastAsia"/>
          <w:szCs w:val="21"/>
          <w:u w:val="single"/>
        </w:rPr>
        <w:t>2024</w:t>
      </w:r>
      <w:r>
        <w:rPr>
          <w:rFonts w:ascii="宋体" w:eastAsia="宋体" w:hAnsi="宋体" w:cs="宋体" w:hint="eastAsia"/>
          <w:szCs w:val="21"/>
          <w:u w:val="single"/>
        </w:rPr>
        <w:t>〕</w:t>
      </w:r>
      <w:r>
        <w:rPr>
          <w:rFonts w:ascii="宋体" w:eastAsia="宋体" w:hAnsi="宋体" w:cs="宋体" w:hint="eastAsia"/>
          <w:szCs w:val="21"/>
          <w:u w:val="single"/>
        </w:rPr>
        <w:t>8</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BC4D46">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w:t>
      </w:r>
      <w:r>
        <w:rPr>
          <w:rFonts w:ascii="宋体" w:eastAsia="宋体" w:hAnsi="宋体" w:cs="宋体"/>
          <w:szCs w:val="21"/>
          <w:u w:val="single"/>
        </w:rPr>
        <w:t>版）》（气预函〔</w:t>
      </w:r>
      <w:r>
        <w:rPr>
          <w:rFonts w:ascii="宋体" w:eastAsia="宋体" w:hAnsi="宋体" w:cs="宋体"/>
          <w:szCs w:val="21"/>
          <w:u w:val="single"/>
        </w:rPr>
        <w:t>2023</w:t>
      </w:r>
      <w:r>
        <w:rPr>
          <w:rFonts w:ascii="宋体" w:eastAsia="宋体" w:hAnsi="宋体" w:cs="宋体"/>
          <w:szCs w:val="21"/>
          <w:u w:val="single"/>
        </w:rPr>
        <w:t>〕</w:t>
      </w:r>
      <w:r>
        <w:rPr>
          <w:rFonts w:ascii="宋体" w:eastAsia="宋体" w:hAnsi="宋体" w:cs="宋体"/>
          <w:szCs w:val="21"/>
          <w:u w:val="single"/>
        </w:rPr>
        <w:t>76</w:t>
      </w:r>
      <w:r>
        <w:rPr>
          <w:rFonts w:ascii="宋体" w:eastAsia="宋体" w:hAnsi="宋体" w:cs="宋体"/>
          <w:szCs w:val="21"/>
          <w:u w:val="single"/>
        </w:rPr>
        <w:t>号）</w:t>
      </w:r>
    </w:p>
    <w:p w:rsidR="00BC4D46">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2020</w:t>
      </w:r>
      <w:r>
        <w:rPr>
          <w:rFonts w:ascii="宋体" w:eastAsia="宋体" w:hAnsi="宋体" w:cs="宋体"/>
          <w:szCs w:val="21"/>
          <w:u w:val="single"/>
        </w:rPr>
        <w:t>〕</w:t>
      </w:r>
      <w:r>
        <w:rPr>
          <w:rFonts w:ascii="宋体" w:eastAsia="宋体" w:hAnsi="宋体" w:cs="宋体"/>
          <w:szCs w:val="21"/>
          <w:u w:val="single"/>
        </w:rPr>
        <w:t>92</w:t>
      </w:r>
      <w:r>
        <w:rPr>
          <w:rFonts w:ascii="宋体" w:eastAsia="宋体" w:hAnsi="宋体" w:cs="宋体"/>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BC4D46">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w:t>
      </w:r>
      <w:r>
        <w:rPr>
          <w:rFonts w:ascii="宋体" w:eastAsia="宋体" w:hAnsi="宋体" w:cs="宋体"/>
          <w:szCs w:val="21"/>
          <w:u w:val="single"/>
        </w:rPr>
        <w:t>〕</w:t>
      </w:r>
      <w:r>
        <w:rPr>
          <w:rFonts w:ascii="宋体" w:eastAsia="宋体" w:hAnsi="宋体" w:cs="宋体"/>
          <w:szCs w:val="21"/>
          <w:u w:val="single"/>
        </w:rPr>
        <w:t>59</w:t>
      </w:r>
      <w:r>
        <w:rPr>
          <w:rFonts w:ascii="宋体" w:eastAsia="宋体" w:hAnsi="宋体" w:cs="宋体"/>
          <w:szCs w:val="21"/>
          <w:u w:val="single"/>
        </w:rPr>
        <w:t>号）</w:t>
      </w:r>
      <w:r>
        <w:rPr>
          <w:rFonts w:ascii="宋体" w:eastAsia="宋体" w:hAnsi="宋体" w:cs="宋体" w:hint="eastAsia"/>
          <w:szCs w:val="21"/>
          <w:u w:val="single"/>
        </w:rPr>
        <w:t xml:space="preserve"> </w:t>
      </w:r>
    </w:p>
    <w:p w:rsidR="00BC4D46">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《中国气象局网络安全管理办法（试行）》（气发〔</w:t>
      </w:r>
      <w:r>
        <w:rPr>
          <w:rFonts w:ascii="宋体" w:eastAsia="宋体" w:hAnsi="宋体" w:cs="宋体" w:hint="eastAsia"/>
          <w:szCs w:val="21"/>
          <w:u w:val="single"/>
        </w:rPr>
        <w:t>2020</w:t>
      </w:r>
      <w:r>
        <w:rPr>
          <w:rFonts w:ascii="宋体" w:eastAsia="宋体" w:hAnsi="宋体" w:cs="宋体" w:hint="eastAsia"/>
          <w:szCs w:val="21"/>
          <w:u w:val="single"/>
        </w:rPr>
        <w:t>〕</w:t>
      </w:r>
      <w:r>
        <w:rPr>
          <w:rFonts w:ascii="宋体" w:eastAsia="宋体" w:hAnsi="宋体" w:cs="宋体" w:hint="eastAsia"/>
          <w:szCs w:val="21"/>
          <w:u w:val="single"/>
        </w:rPr>
        <w:t>41</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BC4D46">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BC4D46">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BC4D46">
      <w:pPr>
        <w:keepNext/>
        <w:keepLines/>
        <w:numPr>
          <w:ilvl w:val="0"/>
          <w:numId w:val="6"/>
        </w:numPr>
        <w:spacing w:before="60" w:after="60" w:line="360" w:lineRule="auto"/>
        <w:jc w:val="left"/>
        <w:outlineLvl w:val="1"/>
        <w:rPr>
          <w:rFonts w:ascii="宋体" w:eastAsia="宋体" w:hAnsi="宋体" w:cs="宋体"/>
          <w:b/>
          <w:bCs/>
          <w:szCs w:val="21"/>
        </w:rPr>
      </w:pPr>
      <w:bookmarkStart w:id="72" w:name="_Toc150439542"/>
      <w:r>
        <w:rPr>
          <w:rFonts w:ascii="宋体" w:eastAsia="宋体" w:hAnsi="宋体" w:cs="宋体" w:hint="eastAsia"/>
          <w:b/>
          <w:bCs/>
          <w:szCs w:val="21"/>
        </w:rPr>
        <w:t>组成本合同的文件</w:t>
      </w:r>
      <w:bookmarkEnd w:id="72"/>
    </w:p>
    <w:p w:rsidR="00BC4D46">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rsidR="00BC4D46">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BC4D46">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rsidR="00BC4D46">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rsidR="00BC4D46">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rsidR="00BC4D46">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rsidR="00BC4D46">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rsidR="00BC4D46">
      <w:pPr>
        <w:numPr>
          <w:ilvl w:val="0"/>
          <w:numId w:val="14"/>
        </w:numPr>
        <w:spacing w:line="360" w:lineRule="auto"/>
        <w:ind w:hanging="5"/>
        <w:jc w:val="left"/>
        <w:rPr>
          <w:rFonts w:ascii="宋体" w:eastAsia="宋体" w:hAnsi="宋体" w:cs="宋体"/>
          <w:szCs w:val="21"/>
        </w:rPr>
      </w:pPr>
      <w:r>
        <w:rPr>
          <w:rFonts w:ascii="宋体" w:eastAsia="宋体" w:hAnsi="宋体" w:cs="宋体"/>
          <w:szCs w:val="21"/>
        </w:rPr>
        <w:t>……</w:t>
      </w:r>
    </w:p>
    <w:p w:rsidR="00BC4D46">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rsidR="00BC4D46">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rsidR="00BC4D46">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BC4D46">
      <w:pPr>
        <w:keepNext/>
        <w:keepLines/>
        <w:numPr>
          <w:ilvl w:val="0"/>
          <w:numId w:val="6"/>
        </w:numPr>
        <w:spacing w:before="60" w:after="60" w:line="360" w:lineRule="auto"/>
        <w:jc w:val="left"/>
        <w:outlineLvl w:val="1"/>
        <w:rPr>
          <w:rFonts w:ascii="宋体" w:eastAsia="宋体" w:hAnsi="宋体" w:cs="宋体"/>
          <w:b/>
          <w:bCs/>
          <w:szCs w:val="21"/>
        </w:rPr>
      </w:pPr>
      <w:bookmarkStart w:id="73" w:name="_Toc150439545"/>
      <w:r>
        <w:rPr>
          <w:rFonts w:ascii="宋体" w:eastAsia="宋体" w:hAnsi="宋体" w:cs="宋体" w:hint="eastAsia"/>
          <w:b/>
          <w:bCs/>
          <w:szCs w:val="21"/>
        </w:rPr>
        <w:t>合同履行地点、合同服务期</w:t>
      </w:r>
      <w:bookmarkEnd w:id="73"/>
    </w:p>
    <w:p w:rsidR="00BC4D46">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BC4D46">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BC4D46">
      <w:pPr>
        <w:keepNext/>
        <w:keepLines/>
        <w:numPr>
          <w:ilvl w:val="0"/>
          <w:numId w:val="6"/>
        </w:numPr>
        <w:spacing w:before="60" w:after="60" w:line="360" w:lineRule="auto"/>
        <w:outlineLvl w:val="1"/>
        <w:rPr>
          <w:rFonts w:ascii="宋体" w:eastAsia="宋体" w:hAnsi="宋体" w:cs="宋体"/>
          <w:b/>
          <w:bCs/>
          <w:szCs w:val="21"/>
        </w:rPr>
      </w:pPr>
      <w:bookmarkStart w:id="74" w:name="_Toc150439547"/>
      <w:r>
        <w:rPr>
          <w:rFonts w:ascii="宋体" w:eastAsia="宋体" w:hAnsi="宋体" w:cs="宋体" w:hint="eastAsia"/>
          <w:b/>
          <w:bCs/>
          <w:szCs w:val="21"/>
        </w:rPr>
        <w:t>服务范围及内容</w:t>
      </w:r>
      <w:bookmarkEnd w:id="74"/>
    </w:p>
    <w:p w:rsidR="00BC4D46">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BC4D46">
      <w:pPr>
        <w:numPr>
          <w:ilvl w:val="0"/>
          <w:numId w:val="16"/>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BC4D46">
      <w:pPr>
        <w:numPr>
          <w:ilvl w:val="0"/>
          <w:numId w:val="16"/>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BC4D46">
      <w:pPr>
        <w:numPr>
          <w:ilvl w:val="0"/>
          <w:numId w:val="16"/>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BC4D46">
      <w:pPr>
        <w:numPr>
          <w:ilvl w:val="0"/>
          <w:numId w:val="16"/>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BC4D46">
      <w:pPr>
        <w:numPr>
          <w:ilvl w:val="0"/>
          <w:numId w:val="16"/>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BC4D46">
      <w:pPr>
        <w:numPr>
          <w:ilvl w:val="0"/>
          <w:numId w:val="16"/>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BC4D46">
      <w:pPr>
        <w:numPr>
          <w:ilvl w:val="0"/>
          <w:numId w:val="16"/>
        </w:numPr>
        <w:spacing w:line="360" w:lineRule="auto"/>
        <w:rPr>
          <w:rFonts w:ascii="宋体" w:eastAsia="宋体" w:hAnsi="宋体" w:cs="宋体"/>
          <w:szCs w:val="21"/>
        </w:rPr>
      </w:pPr>
      <w:r>
        <w:rPr>
          <w:rFonts w:ascii="宋体" w:eastAsia="宋体" w:hAnsi="宋体" w:cs="宋体" w:hint="eastAsia"/>
          <w:szCs w:val="21"/>
        </w:rPr>
        <w:t>进度安排：</w:t>
      </w:r>
    </w:p>
    <w:p w:rsidR="00BC4D46">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BC4D46">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BC4D46">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7"/>
        <w:gridCol w:w="600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BC4D46">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BC4D46">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BC4D46">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BC4D46">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BC4D46">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初设方案</w:t>
            </w:r>
          </w:p>
        </w:tc>
        <w:tc>
          <w:tcPr>
            <w:tcW w:w="3523" w:type="pct"/>
          </w:tcPr>
          <w:p w:rsidR="00BC4D46">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BC4D46">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BC4D46">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BC4D46">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BC4D46">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BC4D46">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BC4D46">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BC4D46">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BC4D46">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szCs w:val="21"/>
              </w:rPr>
              <w:t>日</w:t>
            </w:r>
            <w:r>
              <w:rPr>
                <w:rFonts w:ascii="宋体" w:eastAsia="宋体" w:hAnsi="宋体" w:cs="宋体" w:hint="eastAsia"/>
                <w:szCs w:val="21"/>
              </w:rPr>
              <w:t>至</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BC4D46">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BC4D46">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bl>
    <w:p w:rsidR="00BC4D46">
      <w:pPr>
        <w:keepNext/>
        <w:keepLines/>
        <w:numPr>
          <w:ilvl w:val="0"/>
          <w:numId w:val="6"/>
        </w:numPr>
        <w:spacing w:before="60" w:after="60" w:line="360" w:lineRule="auto"/>
        <w:outlineLvl w:val="1"/>
        <w:rPr>
          <w:rFonts w:ascii="宋体" w:eastAsia="宋体" w:hAnsi="宋体" w:cs="宋体"/>
          <w:b/>
          <w:bCs/>
          <w:szCs w:val="21"/>
        </w:rPr>
      </w:pPr>
      <w:bookmarkStart w:id="75" w:name="_Toc150439549"/>
      <w:r>
        <w:rPr>
          <w:rFonts w:ascii="宋体" w:eastAsia="宋体" w:hAnsi="宋体" w:cs="宋体" w:hint="eastAsia"/>
          <w:b/>
          <w:bCs/>
          <w:szCs w:val="21"/>
        </w:rPr>
        <w:t>乙方的权利与义务</w:t>
      </w:r>
      <w:bookmarkEnd w:id="75"/>
    </w:p>
    <w:p w:rsidR="00BC4D46">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BC4D46">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组成</w:t>
      </w:r>
      <w:r>
        <w:rPr>
          <w:rFonts w:ascii="宋体" w:eastAsia="宋体" w:hAnsi="宋体" w:cs="宋体" w:hint="eastAsia"/>
          <w:szCs w:val="21"/>
          <w:u w:val="single"/>
        </w:rPr>
        <w:t>XX</w:t>
      </w:r>
      <w:r>
        <w:rPr>
          <w:rFonts w:ascii="宋体" w:eastAsia="宋体" w:hAnsi="宋体" w:cs="宋体" w:hint="eastAsia"/>
          <w:szCs w:val="21"/>
          <w:u w:val="single"/>
        </w:rPr>
        <w:t>人的开发团队，其中专职人员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人具有软件开发经历，技术负责人还应具有</w:t>
      </w:r>
      <w:r>
        <w:rPr>
          <w:rFonts w:ascii="宋体" w:eastAsia="宋体" w:hAnsi="宋体" w:cs="宋体" w:hint="eastAsia"/>
          <w:szCs w:val="21"/>
          <w:u w:val="single"/>
        </w:rPr>
        <w:t>XXX</w:t>
      </w:r>
      <w:r>
        <w:rPr>
          <w:rFonts w:ascii="宋体" w:eastAsia="宋体" w:hAnsi="宋体" w:cs="宋体" w:hint="eastAsia"/>
          <w:szCs w:val="21"/>
          <w:u w:val="single"/>
        </w:rPr>
        <w:t>资质，项目经理还应具有</w:t>
      </w:r>
      <w:r>
        <w:rPr>
          <w:rFonts w:ascii="宋体" w:eastAsia="宋体" w:hAnsi="宋体" w:cs="宋体" w:hint="eastAsia"/>
          <w:szCs w:val="21"/>
          <w:u w:val="single"/>
        </w:rPr>
        <w:t>XXX</w:t>
      </w:r>
      <w:r>
        <w:rPr>
          <w:rFonts w:ascii="宋体" w:eastAsia="宋体" w:hAnsi="宋体" w:cs="宋体" w:hint="eastAsia"/>
          <w:szCs w:val="21"/>
          <w:u w:val="single"/>
        </w:rPr>
        <w:t>资质；兼职人员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w:t>
      </w:r>
      <w:r>
        <w:rPr>
          <w:rFonts w:ascii="宋体" w:eastAsia="宋体" w:hAnsi="宋体" w:cs="宋体" w:hint="eastAsia"/>
          <w:szCs w:val="21"/>
          <w:u w:val="single"/>
        </w:rPr>
        <w:t xml:space="preserve">                                       </w:t>
      </w:r>
    </w:p>
    <w:p w:rsidR="00BC4D46">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开发团队中</w:t>
      </w:r>
      <w:r>
        <w:rPr>
          <w:rFonts w:ascii="宋体" w:eastAsia="宋体" w:hAnsi="宋体" w:cs="宋体" w:hint="eastAsia"/>
          <w:szCs w:val="21"/>
          <w:u w:val="single"/>
        </w:rPr>
        <w:t>X</w:t>
      </w:r>
      <w:r>
        <w:rPr>
          <w:rFonts w:ascii="宋体" w:eastAsia="宋体" w:hAnsi="宋体" w:cs="宋体" w:hint="eastAsia"/>
          <w:szCs w:val="21"/>
          <w:u w:val="single"/>
        </w:rPr>
        <w:t>人需驻场开发，驻场地址为</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BC4D46">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投入所必需的</w:t>
      </w:r>
      <w:r>
        <w:rPr>
          <w:rFonts w:ascii="宋体" w:eastAsia="宋体" w:hAnsi="宋体" w:cs="宋体" w:hint="eastAsia"/>
          <w:szCs w:val="21"/>
          <w:u w:val="single"/>
        </w:rPr>
        <w:t>XXX</w:t>
      </w:r>
      <w:r>
        <w:rPr>
          <w:rFonts w:ascii="宋体" w:eastAsia="宋体" w:hAnsi="宋体" w:cs="宋体" w:hint="eastAsia"/>
          <w:szCs w:val="21"/>
          <w:u w:val="single"/>
        </w:rPr>
        <w:t>等软硬件设施资源及</w:t>
      </w:r>
      <w:r>
        <w:rPr>
          <w:rFonts w:ascii="宋体" w:eastAsia="宋体" w:hAnsi="宋体" w:cs="宋体" w:hint="eastAsia"/>
          <w:szCs w:val="21"/>
          <w:u w:val="single"/>
        </w:rPr>
        <w:t>XXX</w:t>
      </w:r>
      <w:r>
        <w:rPr>
          <w:rFonts w:ascii="宋体" w:eastAsia="宋体" w:hAnsi="宋体" w:cs="宋体" w:hint="eastAsia"/>
          <w:szCs w:val="21"/>
          <w:u w:val="single"/>
        </w:rPr>
        <w:t>场地；</w:t>
      </w:r>
      <w:r>
        <w:rPr>
          <w:rFonts w:ascii="宋体" w:eastAsia="宋体" w:hAnsi="宋体" w:cs="宋体" w:hint="eastAsia"/>
          <w:szCs w:val="21"/>
          <w:u w:val="single"/>
        </w:rPr>
        <w:t xml:space="preserve">                         </w:t>
      </w:r>
    </w:p>
    <w:p w:rsidR="00BC4D46">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制定针对本项目的备份恢复措施和应急预案；</w:t>
      </w:r>
      <w:r>
        <w:rPr>
          <w:rFonts w:ascii="宋体" w:eastAsia="宋体" w:hAnsi="宋体" w:cs="宋体" w:hint="eastAsia"/>
          <w:szCs w:val="21"/>
          <w:u w:val="single"/>
        </w:rPr>
        <w:t xml:space="preserve">                             </w:t>
      </w:r>
    </w:p>
    <w:p w:rsidR="00BC4D46">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具有</w:t>
      </w:r>
      <w:r>
        <w:rPr>
          <w:rFonts w:ascii="宋体" w:eastAsia="宋体" w:hAnsi="宋体" w:cs="宋体" w:hint="eastAsia"/>
          <w:szCs w:val="21"/>
          <w:u w:val="single"/>
        </w:rPr>
        <w:t>XXX</w:t>
      </w:r>
      <w:r>
        <w:rPr>
          <w:rFonts w:ascii="宋体" w:eastAsia="宋体" w:hAnsi="宋体" w:cs="宋体" w:hint="eastAsia"/>
          <w:szCs w:val="21"/>
          <w:u w:val="single"/>
        </w:rPr>
        <w:t>等内控、保密和管理制度。</w:t>
      </w:r>
      <w:r>
        <w:rPr>
          <w:rFonts w:ascii="宋体" w:eastAsia="宋体" w:hAnsi="宋体" w:cs="宋体" w:hint="eastAsia"/>
          <w:szCs w:val="21"/>
          <w:u w:val="single"/>
        </w:rPr>
        <w:t xml:space="preserve">                                     </w:t>
      </w:r>
    </w:p>
    <w:p w:rsidR="00BC4D46">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BC4D46">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BC4D46">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用于本项目的设施、系统和数据与其他项目有明确、清晰的边界；</w:t>
      </w:r>
      <w:r>
        <w:rPr>
          <w:rFonts w:ascii="宋体" w:eastAsia="宋体" w:hAnsi="宋体" w:cs="宋体" w:hint="eastAsia"/>
          <w:szCs w:val="21"/>
          <w:u w:val="single"/>
        </w:rPr>
        <w:t xml:space="preserve">            </w:t>
      </w:r>
    </w:p>
    <w:p w:rsidR="00BC4D46">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对用于本项目的乙方服务器、存储、网络设备</w:t>
      </w:r>
      <w:r>
        <w:rPr>
          <w:rFonts w:ascii="宋体" w:eastAsia="宋体" w:hAnsi="宋体" w:cs="宋体" w:hint="eastAsia"/>
          <w:szCs w:val="21"/>
          <w:u w:val="single"/>
        </w:rPr>
        <w:t>、操作系统、数据库、中间件等软</w:t>
      </w:r>
      <w:r>
        <w:rPr>
          <w:rFonts w:ascii="宋体" w:eastAsia="宋体" w:hAnsi="宋体" w:cs="宋体" w:hint="eastAsia"/>
          <w:szCs w:val="21"/>
          <w:u w:val="single"/>
        </w:rPr>
        <w:t>硬件设施具有最高管理权限；</w:t>
      </w:r>
      <w:r>
        <w:rPr>
          <w:rFonts w:ascii="宋体" w:eastAsia="宋体" w:hAnsi="宋体" w:cs="宋体" w:hint="eastAsia"/>
          <w:szCs w:val="21"/>
          <w:u w:val="single"/>
        </w:rPr>
        <w:t xml:space="preserve">                                                  </w:t>
      </w:r>
    </w:p>
    <w:p w:rsidR="00BC4D46">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不存在规避监管的情形。</w:t>
      </w:r>
      <w:r>
        <w:rPr>
          <w:rFonts w:ascii="宋体" w:eastAsia="宋体" w:hAnsi="宋体" w:cs="宋体" w:hint="eastAsia"/>
          <w:szCs w:val="21"/>
          <w:u w:val="single"/>
        </w:rPr>
        <w:t xml:space="preserve">                                                </w:t>
      </w:r>
    </w:p>
    <w:p w:rsidR="00BC4D46">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BC4D46">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rsidR="00BC4D46">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rsidR="00BC4D46">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rsidR="00BC4D46">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rsidR="00BC4D46">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BC4D46">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BC4D46">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w:t>
      </w:r>
      <w:r>
        <w:rPr>
          <w:rFonts w:ascii="宋体" w:eastAsia="宋体" w:hAnsi="宋体" w:cs="宋体" w:hint="eastAsia"/>
          <w:szCs w:val="21"/>
        </w:rPr>
        <w:t>根据实际情况提出具体改进意见。</w:t>
      </w:r>
    </w:p>
    <w:p w:rsidR="00BC4D46">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BC4D46">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BC4D46">
      <w:pPr>
        <w:numPr>
          <w:ilvl w:val="0"/>
          <w:numId w:val="18"/>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BC4D46">
      <w:pPr>
        <w:numPr>
          <w:ilvl w:val="0"/>
          <w:numId w:val="18"/>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BC4D46">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w:t>
      </w:r>
      <w:r>
        <w:rPr>
          <w:rFonts w:ascii="宋体" w:eastAsia="宋体" w:hAnsi="宋体" w:cs="宋体"/>
          <w:szCs w:val="21"/>
        </w:rPr>
        <w:t>用途。</w:t>
      </w:r>
    </w:p>
    <w:p w:rsidR="00BC4D46">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6" w:name="_Toc150439565"/>
      <w:r>
        <w:rPr>
          <w:rFonts w:ascii="宋体" w:eastAsia="宋体" w:hAnsi="宋体" w:cs="宋体" w:hint="eastAsia"/>
          <w:b/>
          <w:bCs/>
          <w:szCs w:val="21"/>
        </w:rPr>
        <w:t>甲方</w:t>
      </w:r>
      <w:r>
        <w:rPr>
          <w:rFonts w:ascii="宋体" w:eastAsia="宋体" w:hAnsi="宋体" w:cs="宋体"/>
          <w:b/>
          <w:bCs/>
          <w:szCs w:val="21"/>
        </w:rPr>
        <w:t>的权利与义务</w:t>
      </w:r>
      <w:bookmarkEnd w:id="76"/>
    </w:p>
    <w:p w:rsidR="00BC4D46">
      <w:pPr>
        <w:numPr>
          <w:ilvl w:val="0"/>
          <w:numId w:val="23"/>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BC4D46">
      <w:pPr>
        <w:numPr>
          <w:ilvl w:val="0"/>
          <w:numId w:val="24"/>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numPr>
          <w:ilvl w:val="0"/>
          <w:numId w:val="24"/>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numPr>
          <w:ilvl w:val="0"/>
          <w:numId w:val="24"/>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numPr>
          <w:ilvl w:val="0"/>
          <w:numId w:val="23"/>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BC4D46">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w:t>
      </w:r>
      <w:r>
        <w:rPr>
          <w:rFonts w:ascii="宋体" w:eastAsia="宋体" w:hAnsi="宋体" w:cs="宋体" w:hint="eastAsia"/>
          <w:spacing w:val="7"/>
          <w:szCs w:val="21"/>
        </w:rPr>
        <w:t>的研究开发经费由乙方以研发支出的方式使用。甲方对乙方进行研究开发工作和使用研究开发经费的情况具有监督、检查和评价的权利，有权要求乙方向甲方定期汇报，但不得妨碍乙方的正常工作。</w:t>
      </w:r>
    </w:p>
    <w:p w:rsidR="00BC4D46">
      <w:pPr>
        <w:numPr>
          <w:ilvl w:val="0"/>
          <w:numId w:val="23"/>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rsidR="00BC4D46">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w:t>
      </w:r>
      <w:r>
        <w:rPr>
          <w:rFonts w:ascii="宋体" w:eastAsia="宋体" w:hAnsi="宋体" w:cs="宋体"/>
          <w:szCs w:val="21"/>
        </w:rPr>
        <w:t>,</w:t>
      </w:r>
      <w:r>
        <w:rPr>
          <w:rFonts w:ascii="宋体" w:eastAsia="宋体" w:hAnsi="宋体" w:cs="宋体"/>
          <w:szCs w:val="21"/>
        </w:rPr>
        <w:t>乙方不享有上述权利，并且甲方在决定行使上述权利时，乙方应无条件予以协助。未经甲方书面同意，乙方</w:t>
      </w:r>
      <w:r>
        <w:rPr>
          <w:rFonts w:ascii="宋体" w:eastAsia="宋体" w:hAnsi="宋体" w:cs="宋体"/>
          <w:szCs w:val="21"/>
        </w:rPr>
        <w:t>不得主张任何权利，不得自行使用或许可他人使用，也不得提供或泄露给任何第三方。</w:t>
      </w:r>
    </w:p>
    <w:p w:rsidR="00BC4D46">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BC4D46">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BC4D46">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rsidR="00BC4D46">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rsidR="00BC4D46">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rsidR="00BC4D46">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BC4D46">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BC4D46">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BC4D46">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numPr>
          <w:ilvl w:val="0"/>
          <w:numId w:val="27"/>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rsidR="00BC4D46">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rsidR="00BC4D46">
      <w:pPr>
        <w:numPr>
          <w:ilvl w:val="0"/>
          <w:numId w:val="28"/>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BC4D46">
      <w:pPr>
        <w:numPr>
          <w:ilvl w:val="0"/>
          <w:numId w:val="28"/>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w:t>
      </w:r>
      <w:r>
        <w:rPr>
          <w:rFonts w:ascii="宋体" w:eastAsia="宋体" w:hAnsi="宋体" w:cs="宋体"/>
          <w:szCs w:val="21"/>
        </w:rPr>
        <w:t>性及后续运行维护要求，由于人员变动影响本合同履行或造成损失的，应承担相应的责任。</w:t>
      </w:r>
    </w:p>
    <w:p w:rsidR="00BC4D46">
      <w:pPr>
        <w:numPr>
          <w:ilvl w:val="0"/>
          <w:numId w:val="28"/>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7" w:name="_Toc150439567"/>
      <w:r>
        <w:rPr>
          <w:rFonts w:ascii="宋体" w:eastAsia="宋体" w:hAnsi="宋体" w:cs="宋体" w:hint="eastAsia"/>
          <w:b/>
          <w:bCs/>
          <w:szCs w:val="21"/>
        </w:rPr>
        <w:t>项目交付</w:t>
      </w:r>
      <w:bookmarkEnd w:id="77"/>
    </w:p>
    <w:p w:rsidR="00BC4D46">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BC4D46">
      <w:pPr>
        <w:numPr>
          <w:ilvl w:val="0"/>
          <w:numId w:val="30"/>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需求分析、需求规格说明书、系统原型；</w:t>
      </w:r>
      <w:r>
        <w:rPr>
          <w:rFonts w:ascii="宋体" w:eastAsia="宋体" w:hAnsi="宋体" w:cs="宋体" w:hint="eastAsia"/>
          <w:szCs w:val="21"/>
          <w:u w:val="single"/>
        </w:rPr>
        <w:t xml:space="preserve">    </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概要设计、详细设计方案；</w:t>
      </w:r>
      <w:r>
        <w:rPr>
          <w:rFonts w:ascii="宋体" w:eastAsia="宋体" w:hAnsi="宋体" w:cs="宋体" w:hint="eastAsia"/>
          <w:szCs w:val="21"/>
          <w:u w:val="single"/>
        </w:rPr>
        <w:t xml:space="preserve">                </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运行正常的系统；</w:t>
      </w:r>
      <w:r>
        <w:rPr>
          <w:rFonts w:ascii="宋体" w:eastAsia="宋体" w:hAnsi="宋体" w:cs="宋体" w:hint="eastAsia"/>
          <w:szCs w:val="21"/>
          <w:u w:val="single"/>
        </w:rPr>
        <w:t xml:space="preserve">                        </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软件使用手册；</w:t>
      </w:r>
      <w:r>
        <w:rPr>
          <w:rFonts w:ascii="宋体" w:eastAsia="宋体" w:hAnsi="宋体" w:cs="宋体" w:hint="eastAsia"/>
          <w:szCs w:val="21"/>
          <w:u w:val="single"/>
        </w:rPr>
        <w:t xml:space="preserve">                          </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软件技术说明；</w:t>
      </w:r>
      <w:r>
        <w:rPr>
          <w:rFonts w:ascii="宋体" w:eastAsia="宋体" w:hAnsi="宋体" w:cs="宋体" w:hint="eastAsia"/>
          <w:szCs w:val="21"/>
          <w:u w:val="single"/>
        </w:rPr>
        <w:t xml:space="preserve">                          </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软件测试大纲、测试报告；</w:t>
      </w:r>
      <w:r>
        <w:rPr>
          <w:rFonts w:ascii="宋体" w:eastAsia="宋体" w:hAnsi="宋体" w:cs="宋体" w:hint="eastAsia"/>
          <w:szCs w:val="21"/>
          <w:u w:val="single"/>
        </w:rPr>
        <w:t xml:space="preserve">                </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w:t>
      </w:r>
      <w:r>
        <w:rPr>
          <w:rFonts w:ascii="宋体" w:eastAsia="宋体" w:hAnsi="宋体" w:cs="宋体" w:hint="eastAsia"/>
          <w:szCs w:val="21"/>
          <w:u w:val="single"/>
        </w:rPr>
        <w:t>x</w:t>
      </w:r>
      <w:r>
        <w:rPr>
          <w:rFonts w:ascii="宋体" w:eastAsia="宋体" w:hAnsi="宋体" w:cs="宋体" w:hint="eastAsia"/>
          <w:szCs w:val="21"/>
          <w:u w:val="single"/>
        </w:rPr>
        <w:t>套，硬拷贝</w:t>
      </w:r>
      <w:r>
        <w:rPr>
          <w:rFonts w:ascii="宋体" w:eastAsia="宋体" w:hAnsi="宋体" w:cs="宋体" w:hint="eastAsia"/>
          <w:szCs w:val="21"/>
          <w:u w:val="single"/>
        </w:rPr>
        <w:t>x</w:t>
      </w:r>
      <w:r>
        <w:rPr>
          <w:rFonts w:ascii="宋体" w:eastAsia="宋体" w:hAnsi="宋体" w:cs="宋体" w:hint="eastAsia"/>
          <w:szCs w:val="21"/>
          <w:u w:val="single"/>
        </w:rPr>
        <w:t>套）。</w:t>
      </w:r>
    </w:p>
    <w:p w:rsidR="00BC4D46">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w:t>
      </w:r>
      <w:r>
        <w:rPr>
          <w:rFonts w:ascii="宋体" w:eastAsia="宋体" w:hAnsi="宋体" w:cs="宋体" w:hint="eastAsia"/>
          <w:szCs w:val="21"/>
        </w:rPr>
        <w:t xml:space="preserve">             </w:t>
      </w:r>
      <w:r>
        <w:rPr>
          <w:rFonts w:ascii="宋体" w:eastAsia="宋体" w:hAnsi="宋体" w:cs="宋体" w:hint="eastAsia"/>
          <w:szCs w:val="21"/>
        </w:rPr>
        <w:t>在</w:t>
      </w:r>
      <w:r>
        <w:rPr>
          <w:rFonts w:ascii="宋体" w:eastAsia="宋体" w:hAnsi="宋体" w:cs="宋体" w:hint="eastAsia"/>
          <w:szCs w:val="21"/>
        </w:rPr>
        <w:t xml:space="preserve">            </w:t>
      </w:r>
      <w:r>
        <w:rPr>
          <w:rFonts w:ascii="宋体" w:eastAsia="宋体" w:hAnsi="宋体" w:cs="宋体" w:hint="eastAsia"/>
          <w:szCs w:val="21"/>
        </w:rPr>
        <w:t>交付。</w:t>
      </w:r>
    </w:p>
    <w:p w:rsidR="00BC4D46">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BC4D46">
      <w:pPr>
        <w:ind w:firstLine="420" w:firstLineChars="200"/>
        <w:rPr>
          <w:rFonts w:ascii="宋体" w:eastAsia="宋体" w:hAnsi="宋体" w:cs="宋体"/>
          <w:szCs w:val="21"/>
        </w:rPr>
      </w:pPr>
      <w:r>
        <w:rPr>
          <w:rFonts w:ascii="宋体" w:eastAsia="宋体" w:hAnsi="宋体" w:cs="宋体" w:hint="eastAsia"/>
          <w:szCs w:val="21"/>
        </w:rPr>
        <w:t>资料清单</w:t>
      </w:r>
      <w:r>
        <w:rPr>
          <w:rFonts w:ascii="宋体" w:eastAsia="宋体" w:hAnsi="宋体" w:cs="宋体" w:hint="eastAsia"/>
          <w:szCs w:val="21"/>
        </w:rPr>
        <w:t>:_</w:t>
      </w:r>
      <w:r>
        <w:rPr>
          <w:rFonts w:ascii="宋体" w:eastAsia="宋体" w:hAnsi="宋体" w:cs="宋体" w:hint="eastAsia"/>
          <w:szCs w:val="21"/>
        </w:rPr>
        <w:t>_____________________</w:t>
      </w:r>
    </w:p>
    <w:p w:rsidR="00BC4D46">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BC4D46">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rsidR="00BC4D46">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BC4D46">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BC4D46">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BC4D46">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rsidR="00BC4D46">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rsidR="00BC4D46">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rsidR="00BC4D46">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BC4D46">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BC4D46">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rsidR="00BC4D46">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BC4D46">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BC4D46">
      <w:pPr>
        <w:numPr>
          <w:ilvl w:val="0"/>
          <w:numId w:val="3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BC4D46">
      <w:pPr>
        <w:numPr>
          <w:ilvl w:val="0"/>
          <w:numId w:val="3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BC4D46">
      <w:pPr>
        <w:numPr>
          <w:ilvl w:val="0"/>
          <w:numId w:val="3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BC4D46">
      <w:pPr>
        <w:numPr>
          <w:ilvl w:val="0"/>
          <w:numId w:val="3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研究开发经费由甲方分期支付给乙方。具体支付方式和时间如下：</w:t>
      </w:r>
      <w:r>
        <w:rPr>
          <w:rFonts w:ascii="宋体" w:eastAsia="宋体" w:hAnsi="宋体" w:cs="宋体" w:hint="eastAsia"/>
          <w:szCs w:val="21"/>
        </w:rPr>
        <w:t xml:space="preserve"> </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w:t>
      </w:r>
      <w:r>
        <w:rPr>
          <w:rFonts w:ascii="宋体" w:eastAsia="宋体" w:hAnsi="宋体" w:cs="宋体" w:hint="eastAsia"/>
          <w:szCs w:val="21"/>
        </w:rPr>
        <w:t>支付前，乙方向甲方提交付款申请及出具同等金额的增值税发票，否则甲方有权拒绝付款并不承担违约责任。</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w:t>
      </w:r>
      <w:r w:rsidR="0012438D">
        <w:rPr>
          <w:rFonts w:ascii="宋体" w:eastAsia="宋体" w:hAnsi="宋体" w:cs="宋体"/>
          <w:szCs w:val="21"/>
          <w:u w:val="single"/>
        </w:rPr>
        <w:t>30</w:t>
      </w:r>
      <w:r>
        <w:rPr>
          <w:rFonts w:ascii="宋体" w:eastAsia="宋体" w:hAnsi="宋体" w:cs="宋体" w:hint="eastAsia"/>
          <w:szCs w:val="21"/>
          <w:u w:val="single"/>
        </w:rPr>
        <w:t>】</w:t>
      </w:r>
      <w:r>
        <w:rPr>
          <w:rFonts w:ascii="宋体" w:eastAsia="宋体" w:hAnsi="宋体" w:cs="宋体" w:hint="eastAsia"/>
          <w:szCs w:val="21"/>
        </w:rPr>
        <w:t>个工作日内，甲方向乙方支付本合同首付款至乙方指定账户，首付款为合同总额</w:t>
      </w:r>
      <w:r w:rsidR="0012438D">
        <w:rPr>
          <w:rFonts w:ascii="宋体" w:eastAsia="宋体" w:hAnsi="宋体" w:cs="宋体" w:hint="eastAsia"/>
          <w:szCs w:val="21"/>
        </w:rPr>
        <w:t>80%</w:t>
      </w:r>
      <w:r>
        <w:rPr>
          <w:rFonts w:ascii="宋体" w:eastAsia="宋体" w:hAnsi="宋体" w:cs="宋体" w:hint="eastAsia"/>
          <w:szCs w:val="21"/>
        </w:rPr>
        <w:t>_</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第二阶段：乙方完成</w:t>
      </w:r>
      <w:r>
        <w:rPr>
          <w:rFonts w:ascii="宋体" w:eastAsia="宋体" w:hAnsi="宋体" w:cs="宋体" w:hint="eastAsia"/>
          <w:szCs w:val="21"/>
          <w:u w:val="single"/>
        </w:rPr>
        <w:t xml:space="preserve"> </w:t>
      </w:r>
      <w:r w:rsidR="0012438D">
        <w:rPr>
          <w:rFonts w:ascii="宋体" w:eastAsia="宋体" w:hAnsi="宋体" w:cs="宋体" w:hint="eastAsia"/>
          <w:szCs w:val="21"/>
          <w:u w:val="single"/>
        </w:rPr>
        <w:t>项目</w:t>
      </w:r>
      <w:r w:rsidR="0012438D">
        <w:rPr>
          <w:rFonts w:ascii="宋体" w:eastAsia="宋体" w:hAnsi="宋体" w:cs="宋体"/>
          <w:szCs w:val="21"/>
          <w:u w:val="single"/>
        </w:rPr>
        <w:t>验收</w:t>
      </w:r>
      <w:r>
        <w:rPr>
          <w:rFonts w:ascii="宋体" w:eastAsia="宋体" w:hAnsi="宋体" w:cs="宋体" w:hint="eastAsia"/>
          <w:szCs w:val="21"/>
        </w:rPr>
        <w:t>，甲方向乙方支付本合同总额的</w:t>
      </w:r>
      <w:r>
        <w:rPr>
          <w:rFonts w:ascii="宋体" w:eastAsia="宋体" w:hAnsi="宋体" w:cs="宋体" w:hint="eastAsia"/>
          <w:szCs w:val="21"/>
          <w:u w:val="single"/>
        </w:rPr>
        <w:t>_</w:t>
      </w:r>
      <w:r w:rsidR="0012438D">
        <w:rPr>
          <w:rFonts w:ascii="宋体" w:eastAsia="宋体" w:hAnsi="宋体" w:cs="宋体"/>
          <w:szCs w:val="21"/>
          <w:u w:val="single"/>
        </w:rPr>
        <w:t>20</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r>
        <w:rPr>
          <w:rFonts w:ascii="宋体" w:eastAsia="宋体" w:hAnsi="宋体" w:cs="宋体" w:hint="eastAsia"/>
          <w:szCs w:val="21"/>
        </w:rPr>
        <w:t>；</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rPr>
        <w:t>X</w:t>
      </w:r>
      <w:r>
        <w:rPr>
          <w:rFonts w:ascii="宋体" w:eastAsia="宋体" w:hAnsi="宋体" w:cs="宋体" w:hint="eastAsia"/>
          <w:szCs w:val="21"/>
        </w:rPr>
        <w:t>阶段：乙方完成</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r>
        <w:rPr>
          <w:rFonts w:ascii="宋体" w:eastAsia="宋体" w:hAnsi="宋体" w:cs="宋体" w:hint="eastAsia"/>
          <w:szCs w:val="21"/>
        </w:rPr>
        <w:t>；</w:t>
      </w:r>
    </w:p>
    <w:p w:rsidR="00BC4D46">
      <w:pPr>
        <w:tabs>
          <w:tab w:val="left" w:pos="720"/>
        </w:tabs>
        <w:ind w:firstLine="420" w:firstLineChars="200"/>
        <w:rPr>
          <w:rFonts w:ascii="宋体" w:eastAsia="宋体" w:hAnsi="宋体" w:cs="宋体"/>
          <w:szCs w:val="21"/>
        </w:rPr>
      </w:pPr>
      <w:r>
        <w:rPr>
          <w:rFonts w:ascii="Arial" w:eastAsia="仿宋_GB2312" w:hAnsi="Arial" w:cs="Arial"/>
          <w:szCs w:val="21"/>
        </w:rPr>
        <w:t>………</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rPr>
        <w:t>X</w:t>
      </w:r>
      <w:r>
        <w:rPr>
          <w:rFonts w:ascii="宋体" w:eastAsia="宋体" w:hAnsi="宋体" w:cs="宋体" w:hint="eastAsia"/>
          <w:szCs w:val="21"/>
        </w:rPr>
        <w:t>阶段：最后一次付款额应为本合同总额的</w:t>
      </w:r>
      <w:r>
        <w:rPr>
          <w:rFonts w:ascii="宋体" w:eastAsia="宋体" w:hAnsi="宋体" w:cs="宋体" w:hint="eastAsia"/>
          <w:szCs w:val="21"/>
          <w:u w:val="single"/>
        </w:rPr>
        <w:t xml:space="preserve">      %</w:t>
      </w:r>
      <w:r>
        <w:rPr>
          <w:rFonts w:ascii="宋体" w:eastAsia="宋体" w:hAnsi="宋体" w:cs="宋体" w:hint="eastAsia"/>
          <w:szCs w:val="21"/>
        </w:rPr>
        <w:t>，甲方应在</w:t>
      </w:r>
      <w:r>
        <w:rPr>
          <w:rFonts w:ascii="宋体" w:eastAsia="宋体" w:hAnsi="宋体" w:cs="宋体" w:hint="eastAsia"/>
          <w:szCs w:val="21"/>
        </w:rPr>
        <w:t>乙方完成</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并完全履行合同约定全部义务后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日内付给乙方。</w:t>
      </w:r>
    </w:p>
    <w:p w:rsidR="00BC4D46">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rsidR="00BC4D46">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r>
        <w:rPr>
          <w:rFonts w:ascii="宋体" w:eastAsia="宋体" w:hAnsi="宋体" w:cs="宋体" w:hint="eastAsia"/>
          <w:szCs w:val="21"/>
        </w:rPr>
        <w:t>如果乙方未按合同要求履行合同，或因乙方原因导致本合同解除的，甲方将不予归</w:t>
      </w:r>
      <w:r>
        <w:rPr>
          <w:rFonts w:ascii="宋体" w:eastAsia="宋体" w:hAnsi="宋体" w:cs="宋体" w:hint="eastAsia"/>
          <w:szCs w:val="21"/>
        </w:rPr>
        <w:t>还履约保证金。如乙方未按前述约定支付保证金，甲方有权直接在研究开发经费和报酬中扣除相应费用。</w:t>
      </w:r>
    </w:p>
    <w:p w:rsidR="00BC4D46">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w:t>
      </w:r>
      <w:r>
        <w:rPr>
          <w:rFonts w:ascii="宋体" w:eastAsia="宋体" w:hAnsi="宋体" w:cs="宋体" w:hint="eastAsia"/>
          <w:szCs w:val="21"/>
        </w:rPr>
        <w:t xml:space="preserve">   </w:t>
      </w:r>
      <w:r>
        <w:rPr>
          <w:rFonts w:ascii="宋体" w:eastAsia="宋体" w:hAnsi="宋体" w:cs="宋体" w:hint="eastAsia"/>
          <w:szCs w:val="21"/>
        </w:rPr>
        <w:t>】日内补齐履约保证金。</w:t>
      </w:r>
    </w:p>
    <w:p w:rsidR="00BC4D46">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rsidR="00BC4D46">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BC4D46">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BC4D46">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BC4D46">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BC4D46">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Look w:val="04A0"/>
        </w:tblPrEx>
        <w:tc>
          <w:tcPr>
            <w:tcW w:w="2500" w:type="pct"/>
          </w:tcPr>
          <w:p w:rsidR="00BC4D46">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BC4D46">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Look w:val="04A0"/>
        </w:tblPrEx>
        <w:tc>
          <w:tcPr>
            <w:tcW w:w="2500" w:type="pct"/>
          </w:tcPr>
          <w:p w:rsidR="00BC4D46">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BC4D46">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BC4D46">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BC4D46">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BC4D46">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BC4D46">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BC4D46">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8" w:name="_Toc150439569"/>
      <w:r>
        <w:rPr>
          <w:rFonts w:ascii="宋体" w:eastAsia="宋体" w:hAnsi="宋体" w:cs="宋体" w:hint="eastAsia"/>
          <w:b/>
          <w:bCs/>
          <w:szCs w:val="21"/>
        </w:rPr>
        <w:t>项目验收</w:t>
      </w:r>
      <w:bookmarkEnd w:id="78"/>
    </w:p>
    <w:p w:rsidR="00BC4D46">
      <w:pPr>
        <w:ind w:firstLine="420" w:firstLineChars="20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系统测试</w:t>
      </w:r>
    </w:p>
    <w:p w:rsidR="00BC4D46">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BC4D46">
      <w:pPr>
        <w:numPr>
          <w:ilvl w:val="0"/>
          <w:numId w:val="36"/>
        </w:numPr>
        <w:spacing w:line="360" w:lineRule="auto"/>
        <w:ind w:firstLine="420"/>
        <w:rPr>
          <w:rFonts w:ascii="宋体" w:eastAsia="宋体" w:hAnsi="宋体" w:cs="宋体"/>
          <w:szCs w:val="21"/>
          <w:u w:val="single"/>
        </w:rPr>
      </w:pPr>
      <w:r>
        <w:rPr>
          <w:rFonts w:ascii="宋体" w:eastAsia="宋体" w:hAnsi="宋体" w:cs="宋体" w:hint="eastAsia"/>
          <w:szCs w:val="21"/>
          <w:u w:val="single"/>
        </w:rPr>
        <w:t>需求说明书、概要设计说明书、详细设计说明书、数据库设计说明书、测试计划、测试报告、用户手册、项目计划书、用户培训计划、会议记录和开发进度月报等；</w:t>
      </w:r>
      <w:r>
        <w:rPr>
          <w:rFonts w:ascii="宋体" w:eastAsia="宋体" w:hAnsi="宋体" w:cs="宋体" w:hint="eastAsia"/>
          <w:szCs w:val="21"/>
          <w:u w:val="single"/>
        </w:rPr>
        <w:t xml:space="preserve">       </w:t>
      </w:r>
    </w:p>
    <w:p w:rsidR="00BC4D46">
      <w:pPr>
        <w:numPr>
          <w:ilvl w:val="0"/>
          <w:numId w:val="36"/>
        </w:numPr>
        <w:spacing w:line="360" w:lineRule="auto"/>
        <w:ind w:firstLine="420"/>
        <w:rPr>
          <w:rFonts w:ascii="宋体" w:eastAsia="宋体" w:hAnsi="宋体" w:cs="宋体"/>
          <w:szCs w:val="21"/>
          <w:u w:val="single"/>
        </w:rPr>
      </w:pPr>
      <w:r>
        <w:rPr>
          <w:rFonts w:ascii="宋体" w:eastAsia="宋体" w:hAnsi="宋体" w:cs="宋体" w:hint="eastAsia"/>
          <w:szCs w:val="21"/>
          <w:u w:val="single"/>
        </w:rPr>
        <w:t>按照合同和招标文件中所标明的软件系统及相关的技术维护文档、培训教材、使用说明书等；</w:t>
      </w:r>
      <w:r>
        <w:rPr>
          <w:rFonts w:ascii="宋体" w:eastAsia="宋体" w:hAnsi="宋体" w:cs="宋体" w:hint="eastAsia"/>
          <w:szCs w:val="21"/>
          <w:u w:val="single"/>
        </w:rPr>
        <w:t xml:space="preserve">                                                                     </w:t>
      </w:r>
    </w:p>
    <w:p w:rsidR="00BC4D46">
      <w:pPr>
        <w:numPr>
          <w:ilvl w:val="0"/>
          <w:numId w:val="36"/>
        </w:numPr>
        <w:spacing w:line="360" w:lineRule="auto"/>
        <w:ind w:firstLine="420"/>
        <w:rPr>
          <w:rFonts w:ascii="宋体" w:eastAsia="宋体" w:hAnsi="宋体" w:cs="宋体"/>
          <w:szCs w:val="21"/>
          <w:u w:val="single"/>
        </w:rPr>
      </w:pPr>
      <w:r>
        <w:rPr>
          <w:rFonts w:ascii="宋体" w:eastAsia="宋体" w:hAnsi="宋体" w:cs="宋体" w:hint="eastAsia"/>
          <w:szCs w:val="21"/>
          <w:u w:val="single"/>
        </w:rPr>
        <w:t>全部源代码（电子版）；</w:t>
      </w:r>
      <w:r>
        <w:rPr>
          <w:rFonts w:ascii="宋体" w:eastAsia="宋体" w:hAnsi="宋体" w:cs="宋体" w:hint="eastAsia"/>
          <w:szCs w:val="21"/>
          <w:u w:val="single"/>
        </w:rPr>
        <w:t xml:space="preserve">                                                      </w:t>
      </w:r>
    </w:p>
    <w:p w:rsidR="00BC4D46">
      <w:pPr>
        <w:numPr>
          <w:ilvl w:val="0"/>
          <w:numId w:val="3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rsidR="00BC4D46">
      <w:pPr>
        <w:ind w:firstLine="420" w:firstLineChars="200"/>
        <w:rPr>
          <w:rFonts w:ascii="宋体" w:eastAsia="宋体" w:hAnsi="宋体" w:cs="宋体"/>
          <w:szCs w:val="21"/>
        </w:rPr>
      </w:pPr>
      <w:r>
        <w:rPr>
          <w:rFonts w:ascii="宋体" w:eastAsia="宋体" w:hAnsi="宋体" w:cs="宋体" w:hint="eastAsia"/>
          <w:szCs w:val="21"/>
        </w:rPr>
        <w:t>在本项</w:t>
      </w:r>
      <w:r>
        <w:rPr>
          <w:rFonts w:ascii="宋体" w:eastAsia="宋体" w:hAnsi="宋体" w:cs="宋体" w:hint="eastAsia"/>
          <w:szCs w:val="21"/>
        </w:rPr>
        <w:t>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w:t>
      </w:r>
      <w:r>
        <w:rPr>
          <w:rFonts w:ascii="宋体" w:eastAsia="宋体" w:hAnsi="宋体" w:cs="宋体" w:hint="eastAsia"/>
          <w:szCs w:val="21"/>
        </w:rPr>
        <w:t xml:space="preserve">   </w:t>
      </w:r>
      <w:r>
        <w:rPr>
          <w:rFonts w:ascii="宋体" w:eastAsia="宋体" w:hAnsi="宋体" w:cs="宋体" w:hint="eastAsia"/>
          <w:szCs w:val="21"/>
        </w:rPr>
        <w:t>】个工作日内组织由甲方或甲方委托的第三方主持的软件测试，乙方参加，对软件进行测试。测试时应有甲方现场确认交付的全部源代码通过编译获得可执行程序的环节。</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项目初验</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w:t>
      </w:r>
      <w:r>
        <w:rPr>
          <w:rFonts w:ascii="宋体" w:eastAsia="宋体" w:hAnsi="宋体" w:cs="宋体" w:hint="eastAsia"/>
          <w:szCs w:val="21"/>
        </w:rPr>
        <w:t>初步验收申请。甲方审核通过后，组织系统初验，并在验收通过后签署初验报告。</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系统试运行</w:t>
      </w:r>
    </w:p>
    <w:p w:rsidR="00BC4D46">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个月的试运行权利。试运行期间，乙方应进行全程跟踪，提供全面技术支持服务，及时修改、完善、补充系统功能，确保试运行的顺利进行。</w:t>
      </w:r>
      <w:r>
        <w:rPr>
          <w:rFonts w:ascii="宋体" w:eastAsia="宋体" w:hAnsi="宋体" w:cs="宋体" w:hint="eastAsia"/>
          <w:szCs w:val="21"/>
        </w:rPr>
        <w:t xml:space="preserve">   </w:t>
      </w:r>
    </w:p>
    <w:p w:rsidR="00BC4D46">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BC4D46">
      <w:pPr>
        <w:ind w:firstLine="420" w:firstLineChars="200"/>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项目终验</w:t>
      </w:r>
    </w:p>
    <w:p w:rsidR="00BC4D46">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rsidR="00BC4D46">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w:t>
      </w:r>
      <w:r>
        <w:rPr>
          <w:rFonts w:ascii="宋体" w:eastAsia="宋体" w:hAnsi="宋体" w:cs="宋体" w:hint="eastAsia"/>
          <w:szCs w:val="21"/>
        </w:rPr>
        <w:t>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9" w:name="_Toc150439566"/>
      <w:r>
        <w:rPr>
          <w:rFonts w:ascii="宋体" w:eastAsia="宋体" w:hAnsi="宋体" w:cs="宋体" w:hint="eastAsia"/>
          <w:b/>
          <w:bCs/>
          <w:szCs w:val="21"/>
        </w:rPr>
        <w:t>质量保证</w:t>
      </w:r>
      <w:bookmarkEnd w:id="79"/>
    </w:p>
    <w:p w:rsidR="00BC4D46">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BC4D46">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BC4D46">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w:t>
      </w:r>
      <w:r>
        <w:rPr>
          <w:rFonts w:ascii="宋体" w:eastAsia="宋体" w:hAnsi="宋体" w:cs="宋体" w:hint="eastAsia"/>
          <w:szCs w:val="21"/>
          <w:u w:val="single"/>
        </w:rPr>
        <w:t>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BC4D46">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w:t>
      </w:r>
      <w:r>
        <w:rPr>
          <w:rFonts w:ascii="宋体" w:eastAsia="宋体" w:hAnsi="宋体" w:cs="宋体" w:hint="eastAsia"/>
          <w:szCs w:val="21"/>
          <w:u w:val="single"/>
        </w:rPr>
        <w:t>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BC4D46">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BC4D46">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BC4D46">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w:t>
      </w:r>
      <w:r>
        <w:rPr>
          <w:rFonts w:ascii="宋体" w:eastAsia="宋体" w:hAnsi="宋体" w:cs="宋体" w:hint="eastAsia"/>
          <w:szCs w:val="21"/>
        </w:rPr>
        <w:t>需求变更，或需要乙方提供技术维护和指导的，乙方承诺以材料及人工的成本价格向甲方提供系统修改、升级及其他运维服务。</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0" w:name="_Toc150439612"/>
      <w:r>
        <w:rPr>
          <w:rFonts w:ascii="宋体" w:eastAsia="宋体" w:hAnsi="宋体" w:cs="宋体" w:hint="eastAsia"/>
          <w:b/>
          <w:bCs/>
          <w:szCs w:val="21"/>
        </w:rPr>
        <w:t>保密条款（保密协议）</w:t>
      </w:r>
      <w:bookmarkEnd w:id="80"/>
    </w:p>
    <w:p w:rsidR="00BC4D46">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BC4D46">
      <w:pPr>
        <w:numPr>
          <w:ilvl w:val="0"/>
          <w:numId w:val="38"/>
        </w:numPr>
        <w:spacing w:line="360" w:lineRule="auto"/>
        <w:ind w:firstLine="420" w:firstLineChars="200"/>
        <w:rPr>
          <w:rFonts w:ascii="宋体" w:eastAsia="宋体" w:hAnsi="宋体" w:cs="宋体"/>
          <w:szCs w:val="21"/>
        </w:rPr>
      </w:pPr>
      <w:bookmarkStart w:id="81" w:name="_Hlk150343297"/>
      <w:r>
        <w:rPr>
          <w:rFonts w:ascii="宋体" w:eastAsia="宋体" w:hAnsi="宋体" w:cs="宋体" w:hint="eastAsia"/>
          <w:szCs w:val="21"/>
        </w:rPr>
        <w:t>保密内容（包括技术信息和经营信息）</w:t>
      </w:r>
      <w:r>
        <w:rPr>
          <w:rFonts w:ascii="宋体" w:eastAsia="宋体" w:hAnsi="宋体" w:cs="宋体" w:hint="eastAsia"/>
          <w:szCs w:val="21"/>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BC4D46">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numPr>
          <w:ilvl w:val="0"/>
          <w:numId w:val="38"/>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BC4D46">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r>
        <w:rPr>
          <w:rFonts w:ascii="宋体" w:eastAsia="宋体" w:hAnsi="宋体" w:cs="宋体" w:hint="eastAsia"/>
          <w:szCs w:val="21"/>
          <w:u w:val="single"/>
        </w:rPr>
        <w:t>。</w:t>
      </w:r>
    </w:p>
    <w:bookmarkEnd w:id="81"/>
    <w:p w:rsidR="00BC4D46">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BC4D46">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BC4D46">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乙方必须实施防止数据泄露的措施。乙方在对甲方进行系统实施服务过程中，对所取得的甲方资料、数据等应严格保密，不得外泄。</w:t>
      </w:r>
      <w:r>
        <w:rPr>
          <w:rFonts w:ascii="宋体" w:eastAsia="宋体" w:hAnsi="宋体" w:cs="宋体" w:hint="eastAsia"/>
          <w:szCs w:val="21"/>
          <w:u w:val="single"/>
        </w:rPr>
        <w:t xml:space="preserve">                                                                     </w:t>
      </w:r>
    </w:p>
    <w:p w:rsidR="00BC4D46">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乙方按照投标承诺严格执行内控、保密管理制度。在本项目实施过程中产生的任何文档资料，包括但不限于来往信函、邮件、产品信息，均应保密，乙方应采取严格的保密措施，未经甲方书面许可，不得向第三方透露。</w:t>
      </w:r>
      <w:r>
        <w:rPr>
          <w:rFonts w:ascii="宋体" w:eastAsia="宋体" w:hAnsi="宋体" w:cs="宋体" w:hint="eastAsia"/>
          <w:szCs w:val="21"/>
          <w:u w:val="single"/>
        </w:rPr>
        <w:t xml:space="preserve">                                         </w:t>
      </w:r>
    </w:p>
    <w:p w:rsidR="00BC4D46">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涉及国家秘密和安全的</w:t>
      </w:r>
      <w:r>
        <w:rPr>
          <w:rFonts w:ascii="宋体" w:eastAsia="宋体" w:hAnsi="宋体" w:cs="宋体" w:hint="eastAsia"/>
          <w:szCs w:val="21"/>
          <w:u w:val="single"/>
        </w:rPr>
        <w:t xml:space="preserve"> </w:t>
      </w:r>
      <w:r>
        <w:rPr>
          <w:rFonts w:ascii="宋体" w:eastAsia="宋体" w:hAnsi="宋体" w:cs="宋体" w:hint="eastAsia"/>
          <w:szCs w:val="21"/>
          <w:u w:val="single"/>
        </w:rPr>
        <w:t>，依照有关保密规定执行。</w:t>
      </w:r>
      <w:r>
        <w:rPr>
          <w:rFonts w:ascii="宋体" w:eastAsia="宋体" w:hAnsi="宋体" w:cs="宋体" w:hint="eastAsia"/>
          <w:szCs w:val="21"/>
          <w:u w:val="single"/>
        </w:rPr>
        <w:t xml:space="preserve">                          </w:t>
      </w:r>
    </w:p>
    <w:p w:rsidR="00BC4D46">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所有参与本项目人员。</w:t>
      </w:r>
      <w:r>
        <w:rPr>
          <w:rFonts w:ascii="宋体" w:eastAsia="宋体" w:hAnsi="宋体" w:cs="宋体" w:hint="eastAsia"/>
          <w:szCs w:val="21"/>
          <w:u w:val="single"/>
        </w:rPr>
        <w:t xml:space="preserve">                                      </w:t>
      </w:r>
    </w:p>
    <w:p w:rsidR="00BC4D46">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82" w:name="_Hlk150343509"/>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bookmarkEnd w:id="82"/>
      <w:r>
        <w:rPr>
          <w:rFonts w:ascii="宋体" w:eastAsia="宋体" w:hAnsi="宋体" w:cs="宋体" w:hint="eastAsia"/>
          <w:szCs w:val="21"/>
          <w:u w:val="single"/>
        </w:rPr>
        <w:t xml:space="preserve">                                </w:t>
      </w:r>
    </w:p>
    <w:p w:rsidR="00BC4D46">
      <w:pPr>
        <w:numPr>
          <w:ilvl w:val="0"/>
          <w:numId w:val="3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由于乙方泄密给甲方造成损失的，甲方可依据我国法律相关规定，选择移送司法机关依法办理。乙方应赔偿甲方的全部损失并向甲方承担违约责任。</w:t>
      </w:r>
      <w:r>
        <w:rPr>
          <w:rFonts w:ascii="宋体" w:eastAsia="宋体" w:hAnsi="宋体" w:cs="宋体" w:hint="eastAsia"/>
          <w:szCs w:val="21"/>
          <w:u w:val="single"/>
        </w:rPr>
        <w:t xml:space="preserve">           </w:t>
      </w:r>
    </w:p>
    <w:p w:rsidR="00BC4D46">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3" w:name="_Toc150439618"/>
      <w:r>
        <w:rPr>
          <w:rFonts w:ascii="宋体" w:eastAsia="宋体" w:hAnsi="宋体" w:cs="宋体" w:hint="eastAsia"/>
          <w:b/>
          <w:bCs/>
          <w:szCs w:val="21"/>
        </w:rPr>
        <w:t>违约</w:t>
      </w:r>
      <w:r>
        <w:rPr>
          <w:rFonts w:ascii="宋体" w:eastAsia="宋体" w:hAnsi="宋体" w:cs="宋体"/>
          <w:b/>
          <w:bCs/>
          <w:szCs w:val="21"/>
        </w:rPr>
        <w:t>责任及赔偿</w:t>
      </w:r>
      <w:bookmarkEnd w:id="83"/>
    </w:p>
    <w:p w:rsidR="00BC4D46">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rsidR="00BC4D46">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w:t>
      </w:r>
      <w:r>
        <w:rPr>
          <w:rFonts w:ascii="宋体" w:eastAsia="宋体" w:hAnsi="宋体" w:cs="宋体"/>
          <w:szCs w:val="21"/>
        </w:rPr>
        <w:t>的违约金，</w:t>
      </w:r>
      <w:r>
        <w:rPr>
          <w:rFonts w:ascii="宋体" w:eastAsia="宋体" w:hAnsi="宋体" w:cs="宋体" w:hint="eastAsia"/>
          <w:szCs w:val="21"/>
        </w:rPr>
        <w:t>并继续履行本合同规定的</w:t>
      </w:r>
      <w:r>
        <w:rPr>
          <w:rFonts w:ascii="宋体" w:eastAsia="宋体" w:hAnsi="宋体" w:cs="宋体" w:hint="eastAsia"/>
          <w:szCs w:val="21"/>
        </w:rPr>
        <w:t>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BC4D46">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％的违约金。</w:t>
      </w:r>
    </w:p>
    <w:p w:rsidR="00BC4D46">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w:t>
      </w:r>
      <w:r>
        <w:rPr>
          <w:rFonts w:ascii="宋体" w:eastAsia="宋体" w:hAnsi="宋体" w:cs="宋体" w:hint="eastAsia"/>
          <w:szCs w:val="21"/>
        </w:rPr>
        <w:t>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w:t>
      </w:r>
    </w:p>
    <w:p w:rsidR="00BC4D46">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p>
    <w:p w:rsidR="00BC4D46">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日内仍拒绝履行或拒绝改正完毕的，甲方有权单方解除本合同</w:t>
      </w:r>
      <w:r>
        <w:rPr>
          <w:rFonts w:ascii="宋体" w:eastAsia="宋体" w:hAnsi="宋体" w:cs="宋体" w:hint="eastAsia"/>
          <w:szCs w:val="21"/>
        </w:rPr>
        <w:t>，乙方除向甲方支付相当于合同金额的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BC4D46">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BC4D46">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w:t>
      </w:r>
      <w:r>
        <w:rPr>
          <w:rFonts w:ascii="宋体" w:eastAsia="宋体" w:hAnsi="宋体" w:cs="宋体" w:hint="eastAsia"/>
          <w:szCs w:val="21"/>
        </w:rPr>
        <w:t>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4" w:name="_Toc150439619"/>
      <w:r>
        <w:rPr>
          <w:rFonts w:ascii="宋体" w:eastAsia="宋体" w:hAnsi="宋体" w:cs="宋体" w:hint="eastAsia"/>
          <w:b/>
          <w:bCs/>
          <w:szCs w:val="21"/>
        </w:rPr>
        <w:t>争议的解决</w:t>
      </w:r>
      <w:bookmarkEnd w:id="84"/>
    </w:p>
    <w:p w:rsidR="00BC4D46">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BC4D46">
      <w:pPr>
        <w:numPr>
          <w:ilvl w:val="0"/>
          <w:numId w:val="42"/>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BC4D46">
      <w:pPr>
        <w:numPr>
          <w:ilvl w:val="0"/>
          <w:numId w:val="42"/>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5" w:name="_Toc150439621"/>
      <w:r>
        <w:rPr>
          <w:rFonts w:ascii="宋体" w:eastAsia="宋体" w:hAnsi="宋体" w:cs="宋体" w:hint="eastAsia"/>
          <w:b/>
          <w:bCs/>
          <w:szCs w:val="21"/>
        </w:rPr>
        <w:t>不可抗力</w:t>
      </w:r>
      <w:bookmarkEnd w:id="85"/>
    </w:p>
    <w:p w:rsidR="00BC4D46">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w:t>
      </w:r>
      <w:r>
        <w:rPr>
          <w:rFonts w:ascii="宋体" w:eastAsia="宋体" w:hAnsi="宋体" w:cs="宋体" w:hint="eastAsia"/>
          <w:szCs w:val="21"/>
        </w:rPr>
        <w:t>当包括技术风险的存在、范围、程度及损失大小等。认定技术风险的基本条件是：</w:t>
      </w:r>
    </w:p>
    <w:p w:rsidR="00BC4D46">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rsidR="00BC4D46">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BC4D46">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BC4D46">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BC4D46">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BC4D46">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w:t>
      </w:r>
      <w:r>
        <w:rPr>
          <w:rFonts w:ascii="宋体" w:eastAsia="宋体" w:hAnsi="宋体" w:cs="宋体" w:hint="eastAsia"/>
          <w:szCs w:val="21"/>
        </w:rPr>
        <w:t>合同的履行成为不必要或不可能的，一方可以通知另一方解除本合同；</w:t>
      </w:r>
    </w:p>
    <w:p w:rsidR="00BC4D46">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rsidR="00BC4D46">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rsidR="00BC4D46">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6" w:name="_Toc150439624"/>
      <w:r>
        <w:rPr>
          <w:rFonts w:ascii="宋体" w:eastAsia="宋体" w:hAnsi="宋体" w:cs="宋体" w:hint="eastAsia"/>
          <w:b/>
          <w:bCs/>
          <w:szCs w:val="21"/>
        </w:rPr>
        <w:t>本合同的变更</w:t>
      </w:r>
      <w:bookmarkEnd w:id="86"/>
    </w:p>
    <w:p w:rsidR="00BC4D46">
      <w:pPr>
        <w:numPr>
          <w:ilvl w:val="0"/>
          <w:numId w:val="46"/>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BC4D46">
      <w:pPr>
        <w:numPr>
          <w:ilvl w:val="0"/>
          <w:numId w:val="46"/>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BC4D46">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7" w:name="_Toc150439623"/>
      <w:r>
        <w:rPr>
          <w:rFonts w:ascii="宋体" w:eastAsia="宋体" w:hAnsi="宋体" w:cs="宋体" w:hint="eastAsia"/>
          <w:b/>
          <w:bCs/>
          <w:szCs w:val="21"/>
        </w:rPr>
        <w:t>其它</w:t>
      </w:r>
      <w:bookmarkEnd w:id="87"/>
    </w:p>
    <w:p w:rsidR="00BC4D46">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BC4D46">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8" w:name="_Toc150439626"/>
      <w:r>
        <w:rPr>
          <w:rFonts w:ascii="宋体" w:eastAsia="宋体" w:hAnsi="宋体" w:cs="宋体" w:hint="eastAsia"/>
          <w:b/>
          <w:bCs/>
          <w:szCs w:val="21"/>
        </w:rPr>
        <w:t>合同生效</w:t>
      </w:r>
      <w:bookmarkEnd w:id="88"/>
    </w:p>
    <w:p w:rsidR="00BC4D46">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rsidR="00BC4D46">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BC4D46">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盖章）</w:t>
      </w:r>
      <w:r>
        <w:rPr>
          <w:rFonts w:ascii="宋体" w:eastAsia="宋体" w:hAnsi="宋体" w:cs="宋体" w:hint="eastAsia"/>
          <w:szCs w:val="21"/>
        </w:rPr>
        <w:t xml:space="preserve"> </w:t>
      </w:r>
    </w:p>
    <w:p w:rsidR="00BC4D46">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BC4D46">
      <w:pPr>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BC4D46">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BC4D46">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BC4D46">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BC4D46">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BC4D46">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BC4D46"/>
    <w:p w:rsidR="00A77B3E"/>
    <w:p w:rsidR="00BC4D46">
      <w:pPr>
        <w:numPr>
          <w:ilvl w:val="0"/>
          <w:numId w:val="4"/>
        </w:numPr>
        <w:spacing w:line="360" w:lineRule="auto"/>
        <w:ind w:firstLine="3066" w:firstLineChars="1460"/>
        <w:jc w:val="left"/>
        <w:rPr>
          <w:rFonts w:ascii="Times New Roman" w:eastAsia="宋体" w:hAnsi="Times New Roman" w:cs="Times New Roman"/>
          <w:b/>
          <w:bCs/>
          <w:szCs w:val="21"/>
        </w:rPr>
      </w:pPr>
      <w:bookmarkEnd w:id="69"/>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6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charset w:val="86"/>
    <w:family w:val="auto"/>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D46">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BC4D46">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D46">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12438D" w:rsidR="0012438D">
      <w:rPr>
        <w:rFonts w:ascii="宋体" w:eastAsia="宋体" w:hAnsi="宋体" w:cs="Times New Roman"/>
        <w:noProof/>
        <w:szCs w:val="21"/>
        <w:lang w:val="zh-CN"/>
      </w:rPr>
      <w:t>3</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D46">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BC4D46">
    <w:pPr>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D46">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12438D" w:rsidR="0012438D">
      <w:rPr>
        <w:rFonts w:ascii="宋体" w:eastAsia="宋体" w:hAnsi="宋体" w:cs="Times New Roman"/>
        <w:noProof/>
        <w:szCs w:val="21"/>
        <w:lang w:val="zh-CN"/>
      </w:rPr>
      <w:t>3</w:t>
    </w:r>
    <w:r>
      <w:rPr>
        <w:rFonts w:ascii="宋体" w:eastAsia="宋体" w:hAnsi="宋体" w:cs="Times New Roman"/>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3DD946C"/>
    <w:multiLevelType w:val="singleLevel"/>
    <w:tmpl w:val="13DD946C"/>
    <w:lvl w:ilvl="0">
      <w:start w:val="9"/>
      <w:numFmt w:val="chineseCounting"/>
      <w:suff w:val="space"/>
      <w:lvlText w:val="第%1章"/>
      <w:lvlJc w:val="left"/>
      <w:rPr>
        <w:rFonts w:hint="eastAsia"/>
      </w:rPr>
    </w:lvl>
  </w:abstractNum>
  <w:abstractNum w:abstractNumId="24">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8">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C7A993F"/>
    <w:multiLevelType w:val="singleLevel"/>
    <w:tmpl w:val="4C7A993F"/>
    <w:lvl w:ilvl="0">
      <w:start w:val="1"/>
      <w:numFmt w:val="decimal"/>
      <w:lvlText w:val="%1)"/>
      <w:lvlJc w:val="left"/>
      <w:pPr>
        <w:ind w:left="425" w:hanging="425"/>
      </w:pPr>
      <w:rPr>
        <w:rFonts w:hint="default"/>
      </w:rPr>
    </w:lvl>
  </w:abstractNum>
  <w:abstractNum w:abstractNumId="32">
    <w:nsid w:val="57FFC18B"/>
    <w:multiLevelType w:val="singleLevel"/>
    <w:tmpl w:val="57FFC18B"/>
    <w:lvl w:ilvl="0">
      <w:start w:val="1"/>
      <w:numFmt w:val="decimal"/>
      <w:lvlText w:val="%1)"/>
      <w:lvlJc w:val="left"/>
      <w:pPr>
        <w:ind w:left="425" w:hanging="425"/>
      </w:pPr>
      <w:rPr>
        <w:rFonts w:hint="default"/>
      </w:rPr>
    </w:lvl>
  </w:abstractNum>
  <w:abstractNum w:abstractNumId="33">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5">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9">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79F8DDAB"/>
    <w:multiLevelType w:val="singleLevel"/>
    <w:tmpl w:val="79F8DDAB"/>
    <w:lvl w:ilvl="0">
      <w:start w:val="1"/>
      <w:numFmt w:val="decimal"/>
      <w:lvlText w:val="%1)"/>
      <w:lvlJc w:val="left"/>
      <w:pPr>
        <w:ind w:left="425" w:hanging="425"/>
      </w:pPr>
      <w:rPr>
        <w:rFonts w:hint="default"/>
      </w:rPr>
    </w:lvl>
  </w:abstractNum>
  <w:abstractNum w:abstractNumId="43">
    <w:nsid w:val="7BF79D3F"/>
    <w:multiLevelType w:val="singleLevel"/>
    <w:tmpl w:val="7BF79D3F"/>
    <w:lvl w:ilvl="0">
      <w:start w:val="1"/>
      <w:numFmt w:val="decimal"/>
      <w:lvlText w:val="%1)"/>
      <w:lvlJc w:val="left"/>
      <w:pPr>
        <w:ind w:left="425" w:hanging="425"/>
      </w:pPr>
      <w:rPr>
        <w:rFonts w:hint="default"/>
      </w:rPr>
    </w:lvl>
  </w:abstractNum>
  <w:abstractNum w:abstractNumId="44">
    <w:nsid w:val="7FAFA353"/>
    <w:multiLevelType w:val="singleLevel"/>
    <w:tmpl w:val="7FAFA353"/>
    <w:lvl w:ilvl="0">
      <w:start w:val="1"/>
      <w:numFmt w:val="decimal"/>
      <w:lvlText w:val="%1)"/>
      <w:lvlJc w:val="left"/>
      <w:pPr>
        <w:ind w:left="425" w:hanging="425"/>
      </w:pPr>
      <w:rPr>
        <w:rFonts w:hint="default"/>
      </w:rPr>
    </w:lvl>
  </w:abstractNum>
  <w:abstractNum w:abstractNumId="45">
    <w:nsid w:val="7FDAC479"/>
    <w:multiLevelType w:val="singleLevel"/>
    <w:tmpl w:val="7FDAC479"/>
    <w:lvl w:ilvl="0">
      <w:start w:val="1"/>
      <w:numFmt w:val="decimal"/>
      <w:lvlText w:val="%1)"/>
      <w:lvlJc w:val="left"/>
      <w:pPr>
        <w:ind w:left="425" w:hanging="425"/>
      </w:pPr>
      <w:rPr>
        <w:rFonts w:hint="default"/>
      </w:rPr>
    </w:lvl>
  </w:abstractNum>
  <w:abstractNum w:abstractNumId="46">
    <w:nsid w:val="7FF73EAD"/>
    <w:multiLevelType w:val="singleLevel"/>
    <w:tmpl w:val="7FF73EAD"/>
    <w:lvl w:ilvl="0">
      <w:start w:val="1"/>
      <w:numFmt w:val="decimal"/>
      <w:lvlText w:val="%1)"/>
      <w:lvlJc w:val="left"/>
      <w:pPr>
        <w:ind w:left="425" w:hanging="425"/>
      </w:pPr>
      <w:rPr>
        <w:rFonts w:hint="default"/>
      </w:rPr>
    </w:lvl>
  </w:abstractNum>
  <w:abstractNum w:abstractNumId="47">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23"/>
  </w:num>
  <w:num w:numId="5">
    <w:abstractNumId w:val="0"/>
  </w:num>
  <w:num w:numId="6">
    <w:abstractNumId w:val="25"/>
  </w:num>
  <w:num w:numId="7">
    <w:abstractNumId w:val="38"/>
  </w:num>
  <w:num w:numId="8">
    <w:abstractNumId w:val="24"/>
  </w:num>
  <w:num w:numId="9">
    <w:abstractNumId w:val="41"/>
  </w:num>
  <w:num w:numId="10">
    <w:abstractNumId w:val="3"/>
  </w:num>
  <w:num w:numId="11">
    <w:abstractNumId w:val="46"/>
  </w:num>
  <w:num w:numId="12">
    <w:abstractNumId w:val="6"/>
  </w:num>
  <w:num w:numId="13">
    <w:abstractNumId w:val="37"/>
  </w:num>
  <w:num w:numId="14">
    <w:abstractNumId w:val="13"/>
  </w:num>
  <w:num w:numId="15">
    <w:abstractNumId w:val="36"/>
  </w:num>
  <w:num w:numId="16">
    <w:abstractNumId w:val="35"/>
  </w:num>
  <w:num w:numId="17">
    <w:abstractNumId w:val="18"/>
  </w:num>
  <w:num w:numId="18">
    <w:abstractNumId w:val="40"/>
  </w:num>
  <w:num w:numId="19">
    <w:abstractNumId w:val="2"/>
  </w:num>
  <w:num w:numId="20">
    <w:abstractNumId w:val="42"/>
  </w:num>
  <w:num w:numId="21">
    <w:abstractNumId w:val="43"/>
  </w:num>
  <w:num w:numId="22">
    <w:abstractNumId w:val="32"/>
  </w:num>
  <w:num w:numId="23">
    <w:abstractNumId w:val="27"/>
  </w:num>
  <w:num w:numId="24">
    <w:abstractNumId w:val="8"/>
  </w:num>
  <w:num w:numId="25">
    <w:abstractNumId w:val="1"/>
  </w:num>
  <w:num w:numId="26">
    <w:abstractNumId w:val="21"/>
  </w:num>
  <w:num w:numId="27">
    <w:abstractNumId w:val="44"/>
  </w:num>
  <w:num w:numId="28">
    <w:abstractNumId w:val="31"/>
  </w:num>
  <w:num w:numId="29">
    <w:abstractNumId w:val="28"/>
  </w:num>
  <w:num w:numId="30">
    <w:abstractNumId w:val="45"/>
  </w:num>
  <w:num w:numId="31">
    <w:abstractNumId w:val="7"/>
  </w:num>
  <w:num w:numId="32">
    <w:abstractNumId w:val="39"/>
  </w:num>
  <w:num w:numId="33">
    <w:abstractNumId w:val="9"/>
  </w:num>
  <w:num w:numId="34">
    <w:abstractNumId w:val="5"/>
  </w:num>
  <w:num w:numId="35">
    <w:abstractNumId w:val="47"/>
  </w:num>
  <w:num w:numId="36">
    <w:abstractNumId w:val="12"/>
  </w:num>
  <w:num w:numId="37">
    <w:abstractNumId w:val="30"/>
  </w:num>
  <w:num w:numId="38">
    <w:abstractNumId w:val="33"/>
  </w:num>
  <w:num w:numId="39">
    <w:abstractNumId w:val="20"/>
  </w:num>
  <w:num w:numId="40">
    <w:abstractNumId w:val="14"/>
  </w:num>
  <w:num w:numId="41">
    <w:abstractNumId w:val="22"/>
  </w:num>
  <w:num w:numId="42">
    <w:abstractNumId w:val="11"/>
  </w:num>
  <w:num w:numId="43">
    <w:abstractNumId w:val="34"/>
  </w:num>
  <w:num w:numId="44">
    <w:abstractNumId w:val="4"/>
  </w:num>
  <w:num w:numId="45">
    <w:abstractNumId w:val="10"/>
  </w:num>
  <w:num w:numId="46">
    <w:abstractNumId w:val="17"/>
  </w:num>
  <w:num w:numId="47">
    <w:abstractNumId w:val="29"/>
  </w:num>
  <w:num w:numId="4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38D"/>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1170"/>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225A"/>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D46"/>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rPr>
      <w:rFonts w:ascii="Calibri" w:hAnsi="Calibri" w:eastAsiaTheme="minorEastAsia"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