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2025年森火工程内蒙古自治区林草热源点红外监测仪采购项目（内蒙古自治区气象数据中心）</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2025年森火工程内蒙古自治区林草热源点红外监测仪采购项目（内蒙古自治区气象数据中心）</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ZQCD-25481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内蒙古自治区境内甲方指定地点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2025年12月11日 00:00:00</w:t>
      </w:r>
      <w:bookmarkEnd w:id="26"/>
      <w:r>
        <w:rPr>
          <w:rFonts w:ascii="宋体" w:hint="eastAsia"/>
          <w:szCs w:val="21"/>
          <w:highlight w:val="none"/>
        </w:rPr>
        <w:t>至</w:t>
      </w:r>
      <w:bookmarkStart w:id="27" w:name="项目公告_signUpLastTime"/>
      <w:r>
        <w:rPr>
          <w:rFonts w:ascii="宋体" w:hint="eastAsia"/>
          <w:szCs w:val="21"/>
          <w:highlight w:val="none"/>
        </w:rPr>
        <w:t>2025年12月18日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0471-3335547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不允许（仅针对以下产品：1、林草热源点红外监测仪不允许代理商投标）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（1）标的：2025年森火工程林草热源点红外监测仪的采购项目（内蒙古自治区），属于工业；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4,879.000000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4,879.000000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销售合同必须包括地面气象环境监测类或森林草原防火监测类相关设备，每提供1份合同得1分，最多得5分。否则不得分。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针对本项目采购的林草热源点红外监测仪，承诺每提前10天交货的得1分，最多得1分。否则不得分。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针对地面气象环境监测类或森林草原防火监测类相关设备，每提供 1份应用证明材料得1分，最多得3分。否则不得分。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针对林草热源点红外监测仪，测试报告应涵盖低温、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（一）系统组成</w:t>
      </w:r>
    </w:p>
    <w:p>
      <w:pPr>
        <w:spacing w:line="560" w:lineRule="exact"/>
        <w:ind w:firstLine="560" w:firstLineChars="200"/>
        <w:jc w:val="left"/>
        <w:rPr>
          <w:rFonts w:ascii="仿宋" w:eastAsia="仿宋" w:hAnsi="仿宋" w:cs="仿宋" w:hint="eastAsia"/>
          <w:color w:val="000000"/>
          <w:sz w:val="28"/>
          <w:szCs w:val="28"/>
        </w:rPr>
      </w:pPr>
      <w:r>
        <w:rPr>
          <w:rFonts w:ascii="仿宋" w:eastAsia="仿宋" w:hAnsi="仿宋" w:cs="仿宋" w:hint="eastAsia"/>
          <w:color w:val="000000"/>
          <w:sz w:val="28"/>
          <w:szCs w:val="28"/>
        </w:rPr>
        <w:t>林草热源点红外监测仪主要由红外探测单元、视频观测单元、主控单元、通信单元、供电单元和外围组件等组成，如图1所示。红外探测单元实现监测数据的采集、处理。主控单元主要负责系统的管理控制、数据的处理、算法实现和标准格式报文的生产及存储。通信单元能通过加密链路与中心站通讯。</w:t>
      </w:r>
    </w:p>
    <w:p>
      <w:pPr>
        <w:spacing w:line="360" w:lineRule="auto"/>
        <w:ind w:firstLine="420" w:firstLineChars="200"/>
        <w:jc w:val="center"/>
        <w:rPr>
          <w:rFonts w:ascii="仿宋" w:eastAsia="仿宋" w:hAnsi="仿宋" w:cs="仿宋" w:hint="eastAsia"/>
          <w:color w:val="000000"/>
        </w:rPr>
      </w:pPr>
      <w:r>
        <w:rPr>
          <w:rFonts w:ascii="Times New Roman" w:eastAsia="宋体" w:hAnsi="Times New Roman" w:cs="Times New Roman"/>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 o:spid="_x0000_i1026" type="#_x0000_t75" style="width:415.1pt;height:187.35pt" o:oleicon="f" o:ole="" o:preferrelative="t" filled="f" stroked="f">
            <v:imagedata r:id="rId6" o:title=""/>
            <v:path o:extrusionok="f"/>
            <o:lock v:ext="edit" aspectratio="f"/>
          </v:shape>
          <o:OLEObject Type="Embed" ProgID="Visio.Drawing.15" ShapeID="Object 4" DrawAspect="Content" ObjectID="_1234567890" r:id="rId7"/>
        </w:object>
      </w:r>
      <w:r>
        <w:rPr>
          <w:rFonts w:ascii="仿宋" w:eastAsia="仿宋" w:hAnsi="仿宋" w:cs="仿宋" w:hint="eastAsia"/>
          <w:color w:val="000000"/>
          <w:sz w:val="24"/>
        </w:rPr>
        <w:t>图1 林草热源点红外监测仪组成示意图</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(二) 技术性能要求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#1.热源点识别能力</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在不同识别半径条件下，监测仪对热源点的最小可监测面积应符合表1中的要求。</w:t>
      </w:r>
    </w:p>
    <w:p>
      <w:pPr>
        <w:spacing w:line="560" w:lineRule="exact"/>
        <w:ind w:firstLine="480" w:firstLineChars="200"/>
        <w:jc w:val="center"/>
        <w:rPr>
          <w:rFonts w:ascii="仿宋" w:eastAsia="仿宋" w:hAnsi="仿宋" w:cs="仿宋" w:hint="eastAsia"/>
        </w:rPr>
      </w:pPr>
      <w:r>
        <w:rPr>
          <w:rFonts w:ascii="仿宋" w:eastAsia="仿宋" w:hAnsi="仿宋" w:cs="仿宋" w:hint="eastAsia"/>
          <w:sz w:val="24"/>
        </w:rPr>
        <w:t>表 1识别半径与最小识别监控热源点面积</w:t>
      </w:r>
    </w:p>
    <w:tbl>
      <w:tblPr>
        <w:tblStyle w:val="TableNormal"/>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09"/>
        <w:gridCol w:w="3600"/>
        <w:gridCol w:w="3417"/>
      </w:tblGrid>
      <w:tr>
        <w:tblPrEx>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31"/>
        </w:trPr>
        <w:tc>
          <w:tcPr>
            <w:tcW w:w="1509"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序号</w:t>
            </w:r>
          </w:p>
        </w:tc>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识别半径</w:t>
            </w:r>
          </w:p>
        </w:tc>
        <w:tc>
          <w:tcPr>
            <w:tcW w:w="3417"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最小识别监控热源点面积</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5km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2.5㎡</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10km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15km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25㎡</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30km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#2.热源点识别率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识别准确率不低于85%。</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#3.热源点探测定位精度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在不同识别半径条件下，系统对热源点的识别定位误差应符合表2中的要求。</w:t>
      </w:r>
    </w:p>
    <w:p>
      <w:pPr>
        <w:spacing w:line="560" w:lineRule="exact"/>
        <w:ind w:firstLine="480" w:firstLineChars="200"/>
        <w:jc w:val="center"/>
        <w:rPr>
          <w:rFonts w:ascii="仿宋" w:eastAsia="仿宋" w:hAnsi="仿宋" w:cs="仿宋" w:hint="eastAsia"/>
        </w:rPr>
      </w:pPr>
      <w:r>
        <w:rPr>
          <w:rFonts w:ascii="仿宋" w:eastAsia="仿宋" w:hAnsi="仿宋" w:cs="仿宋" w:hint="eastAsia"/>
          <w:sz w:val="24"/>
        </w:rPr>
        <w:t>表 2识别半径与识别热源点定位误差</w:t>
      </w:r>
    </w:p>
    <w:tbl>
      <w:tblPr>
        <w:tblStyle w:val="TableNormal"/>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00"/>
        <w:gridCol w:w="3609"/>
        <w:gridCol w:w="3417"/>
      </w:tblGrid>
      <w:tr>
        <w:tblPrEx>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31"/>
        </w:trPr>
        <w:tc>
          <w:tcPr>
            <w:tcW w:w="15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bookmarkStart w:id="61" w:name="OLE_LINK2" w:colFirst="0" w:colLast="66"/>
            <w:bookmarkStart w:id="62" w:name="OLE_LINK1" w:colFirst="0" w:colLast="66"/>
            <w:bookmarkStart w:id="63" w:name="_Hlk214200518"/>
            <w:r>
              <w:rPr>
                <w:rFonts w:ascii="仿宋" w:eastAsia="仿宋" w:hAnsi="仿宋" w:cs="仿宋" w:hint="eastAsia"/>
                <w:kern w:val="0"/>
                <w:sz w:val="24"/>
              </w:rPr>
              <w:t>序号</w:t>
            </w:r>
          </w:p>
        </w:tc>
        <w:tc>
          <w:tcPr>
            <w:tcW w:w="3609"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识别半径</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识别热源点定位误差</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1km</w:t>
            </w:r>
          </w:p>
        </w:tc>
        <w:tc>
          <w:tcPr>
            <w:tcW w:w="3417" w:type="dxa"/>
            <w:tcBorders>
              <w:top w:val="single" w:sz="4" w:space="0" w:color="auto"/>
              <w:left w:val="single" w:sz="4" w:space="0" w:color="auto"/>
              <w:bottom w:val="single" w:sz="4" w:space="0" w:color="auto"/>
              <w:right w:val="single" w:sz="4" w:space="0" w:color="auto"/>
            </w:tcBorders>
          </w:tcPr>
          <w:p>
            <w:pPr>
              <w:topLinePunct/>
              <w:jc w:val="center"/>
              <w:rPr>
                <w:rFonts w:ascii="仿宋" w:eastAsia="仿宋" w:hAnsi="仿宋" w:cs="仿宋" w:hint="eastAsia"/>
                <w:kern w:val="0"/>
              </w:rPr>
            </w:pPr>
            <w:r>
              <w:rPr>
                <w:rFonts w:ascii="仿宋" w:eastAsia="仿宋" w:hAnsi="仿宋" w:cs="仿宋" w:hint="eastAsia"/>
                <w:kern w:val="0"/>
                <w:sz w:val="24"/>
              </w:rPr>
              <w:t>50m</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5km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200m</w:t>
            </w:r>
          </w:p>
        </w:tc>
      </w:tr>
      <w:tr>
        <w:tblPrEx>
          <w:tblW w:w="8526" w:type="dxa"/>
          <w:tblCellMar>
            <w:top w:w="0" w:type="dxa"/>
            <w:left w:w="108" w:type="dxa"/>
            <w:bottom w:w="0" w:type="dxa"/>
            <w:right w:w="108" w:type="dxa"/>
          </w:tblCellMar>
          <w:tblLook w:val="0000"/>
        </w:tblPrEx>
        <w:trPr>
          <w:trHeight w:val="296"/>
        </w:trPr>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10km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500m</w:t>
            </w:r>
          </w:p>
        </w:tc>
      </w:tr>
      <w:bookmarkEnd w:id="61"/>
      <w:bookmarkEnd w:id="62"/>
      <w:bookmarkEnd w:id="63"/>
      <w:tr>
        <w:tblPrEx>
          <w:tblW w:w="8526" w:type="dxa"/>
          <w:tblCellMar>
            <w:top w:w="0" w:type="dxa"/>
            <w:left w:w="108" w:type="dxa"/>
            <w:bottom w:w="0" w:type="dxa"/>
            <w:right w:w="108" w:type="dxa"/>
          </w:tblCellMar>
          <w:tblLook w:val="0000"/>
        </w:tblPrEx>
        <w:trPr>
          <w:trHeight w:val="296"/>
        </w:trPr>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15km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1000m</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30km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2500m</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#4.水平旋转角度为0～360</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，上下运动夹角和不小于90</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highlight w:val="yellow"/>
        </w:rPr>
        <w:t>#5.探测光谱范围：3</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m～5</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w:t>
      </w:r>
    </w:p>
    <w:p>
      <w:pPr>
        <w:ind w:firstLine="560" w:firstLineChars="200"/>
        <w:textAlignment w:val="center"/>
        <w:rPr>
          <w:rFonts w:ascii="仿宋" w:eastAsia="仿宋" w:hAnsi="仿宋" w:cs="仿宋"/>
          <w:sz w:val="28"/>
          <w:szCs w:val="20"/>
        </w:rPr>
      </w:pPr>
      <w:r>
        <w:rPr>
          <w:rFonts w:ascii="仿宋" w:eastAsia="仿宋" w:hAnsi="仿宋" w:cs="仿宋" w:hint="eastAsia"/>
          <w:sz w:val="28"/>
          <w:szCs w:val="20"/>
          <w:highlight w:val="yellow"/>
        </w:rPr>
        <w:t>#6.归一化</w:t>
      </w:r>
      <w:r>
        <w:rPr>
          <w:rFonts w:ascii="仿宋" w:eastAsia="仿宋" w:hAnsi="仿宋" w:cs="仿宋" w:hint="eastAsia"/>
          <w:color w:val="000000"/>
          <w:sz w:val="28"/>
          <w:szCs w:val="20"/>
          <w:highlight w:val="yellow"/>
        </w:rPr>
        <w:t>探测率</w:t>
      </w:r>
      <w:r>
        <w:rPr>
          <w:rFonts w:ascii="Times New Roman" w:eastAsia="宋体" w:hAnsi="Times New Roman" w:cs="Times New Roman" w:hint="eastAsia"/>
          <w:color w:val="000000"/>
          <w:szCs w:val="21"/>
          <w:highlight w:val="yellow"/>
        </w:rPr>
        <w:t>：</w:t>
      </w:r>
      <w:r>
        <w:rPr>
          <w:rFonts w:ascii="宋体" w:eastAsia="宋体" w:hAnsi="宋体" w:cs="宋体"/>
          <w:sz w:val="21"/>
          <w:szCs w:val="21"/>
          <w:highlight w:val="yellow"/>
        </w:rPr>
        <w:pict>
          <v:shape id="图片 5" o:spid="_x0000_i1027" type="#_x0000_t75" style="width:16.75pt;height:23.34pt"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7&quot;/&gt;&lt;w:characterSpacingControl w:val=&quot;DontCompress&quot;/&gt;&lt;w:documentProtection w:enforcement=&quot;off&quot;/&gt;&lt;w:embedTrueTypeFonts/&gt;&lt;w:doNotEmbedSystemFonts/&gt;&lt;w:saveSubsetFonts/&gt;&lt;w:defaultTabStop w:val=&quot;420&quot;/&gt;&lt;w:displayHorizontalDrawingGridEvery w:val=&quot;1&quot;/&gt;&lt;w:displayVerticalDrawingGridEvery w:val=&quot;1&quot;/&gt;&lt;w:evenAndOddHeaders w:val=&quot;1&quot;/&gt;&lt;w:compat&gt;&lt;w:doNotExpandShiftReturn/&gt;&lt;w:breakWrappedTables/&gt;&lt;w:dontGrowAutofit/&gt;&lt;w:useFELayout/&gt;&lt;/w:compat&gt;&lt;/w:docPr&gt;&lt;w:body&gt;&lt;wx:sect&gt;&lt;w:p&gt;&lt;m:oMathPara&gt;&lt;m:oMath&gt;&lt;m:sSup&gt;&lt;m:sSupPr&gt;&lt;m:ctrlPr&gt;&lt;w:rPr&gt;&lt;w:rFonts w:ascii=&quot;Cambria Math&quot; w:h-ansi=&quot;Cambria Math&quot; w:cs=&quot;Times New Roman&quot; w:hint=&quot;default&quot;/&gt;&lt;w:i/&gt;&lt;w:color w:val=&quot;000000&quot;/&gt;&lt;w:sz-cs w:val=&quot;21&quot;/&gt;&lt;w:lang w:val=&quot;EN-US&quot;/&gt;&lt;/w:rPr&gt;&lt;/m:ctrlPr&gt;&lt;/m:sSupPr&gt;&lt;m:e&gt;&lt;m:r&gt;&lt;m:rPr&gt;&lt;m:scr m:val=&quot;roman&quot;/&gt;&lt;/m:rPr&gt;&lt;w:rPr&gt;&lt;w:rFonts w:ascii=&quot;Cambria Math&quot; w:h-ansi=&quot;Cambria Math&quot; w:cs=&quot;Times New Roman&quot; w:hint=&quot;default&quot;/&gt;&lt;w:color w:val=&quot;000000&quot;/&gt;&lt;w:sz-cs w:val=&quot;21&quot;/&gt;&lt;w:lang w:val=&quot;EN-US&quot; w:fareast=&quot;ZH-CN&quot;/&gt;&lt;/w:rPr&gt;&lt;m:t&gt;D&lt;/m:t&gt;&lt;/m:r&gt;&lt;m:ctrlPr&gt;&lt;w:rPr&gt;&lt;w:rFonts w:ascii=&quot;Cambria Math&quot; w:h-ansi=&quot;Cambria Math&quot; w:cs=&quot;Times New Roman&quot; w:hint=&quot;default&quot;/&gt;&lt;w:i/&gt;&lt;w:color w:val=&quot;000000&quot;/&gt;&lt;w:sz-cs w:val=&quot;21&quot;/&gt;&lt;w:lang w:val=&quot;EN-US&quot;/&gt;&lt;/w:rPr&gt;&lt;/m:ctrlPr&gt;&lt;/m:e&gt;&lt;m:sup&gt;&lt;m:r&gt;&lt;m:rPr&gt;&lt;m:scr m:val=&quot;roman&quot;/&gt;&lt;/m:rPr&gt;&lt;w:rPr&gt;&lt;w:rFonts w:ascii=&quot;Cambria Math&quot; w:h-ansi=&quot;Cambria Math&quot; w:cs=&quot;Times New Roman&quot; w:hint=&quot;default&quot;/&gt;&lt;w:color w:val=&quot;000000&quot;/&gt;&lt;w:sz-cs w:val=&quot;21&quot;/&gt;&lt;w:lang w:val=&quot;EN-US&quot; w:fareast=&quot;ZH-CN&quot;/&gt;&lt;/w:rPr&gt;&lt;m:t&gt;∗&lt;/m:t&gt;&lt;/m:r&gt;&lt;m:ctrlPr&gt;&lt;w:rPr&gt;&lt;w:rFonts w:ascii=&quot;Cambria Math&quot; w:h-ansi=&quot;Cambria Math&quot; w:cs=&quot;Times New Roman&quot; w:hint=&quot;default&quot;/&gt;&lt;w:i/&gt;&lt;w:color w:val=&quot;000000&quot;/&gt;&lt;w:sz-cs w:val=&quot;21&quot;/&gt;&lt;w:lang w:val=&quot;EN-US&quot;/&gt;&lt;/w:rPr&gt;&lt;/m:ctrlPr&gt;&lt;/m:sup&gt;&lt;/m:sSup&gt;&lt;/m:oMath&gt;&lt;/m:oMathPara&gt;&lt;/w:p&gt;&lt;/wx:sect&gt;&lt;/w:body&gt;&lt;/w:wordDocument" o:preferrelative="t" filled="f" stroked="f">
            <v:imagedata r:id="rId8" o:title=""/>
            <v:path o:extrusionok="f"/>
            <o:lock v:ext="edit" aspectratio="f"/>
          </v:shape>
        </w:pict>
      </w:r>
      <w:r>
        <w:rPr>
          <w:rFonts w:ascii="宋体" w:eastAsia="宋体" w:hAnsi="宋体" w:cs="宋体"/>
          <w:sz w:val="21"/>
          <w:szCs w:val="21"/>
          <w:highlight w:val="yellow"/>
        </w:rPr>
        <w:t>≥</w:t>
      </w:r>
      <w:r>
        <w:rPr>
          <w:rFonts w:ascii="仿宋" w:eastAsia="仿宋" w:hAnsi="仿宋" w:cs="仿宋" w:hint="eastAsia"/>
          <w:sz w:val="28"/>
          <w:szCs w:val="20"/>
          <w:highlight w:val="yellow"/>
        </w:rPr>
        <w:pict>
          <v:shape id="图片 6" o:spid="_x0000_i1028" type="#_x0000_t75" style="width:111.43pt;height:25.24pt"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7&quot;/&gt;&lt;w:characterSpacingControl w:val=&quot;DontCompress&quot;/&gt;&lt;w:documentProtection w:enforcement=&quot;off&quot;/&gt;&lt;w:embedTrueTypeFonts/&gt;&lt;w:doNotEmbedSystemFonts/&gt;&lt;w:saveSubsetFonts/&gt;&lt;w:defaultTabStop w:val=&quot;420&quot;/&gt;&lt;w:displayHorizontalDrawingGridEvery w:val=&quot;1&quot;/&gt;&lt;w:displayVerticalDrawingGridEvery w:val=&quot;1&quot;/&gt;&lt;w:evenAndOddHeaders w:val=&quot;1&quot;/&gt;&lt;w:compat&gt;&lt;w:doNotExpandShiftReturn/&gt;&lt;w:breakWrappedTables/&gt;&lt;w:dontGrowAutofit/&gt;&lt;w:useFELayout/&gt;&lt;/w:compat&gt;&lt;/w:docPr&gt;&lt;w:body&gt;&lt;wx:sect&gt;&lt;w:p&gt;&lt;m:oMathPara&gt;&lt;m:oMath&gt;&lt;m:sSup&gt;&lt;m:sSupPr&gt;&lt;m:ctrlPr&gt;&lt;w:rPr&gt;&lt;w:rFonts w:ascii=&quot;Cambria Math&quot; w:h-ansi=&quot;Cambria Math&quot; w:cs=&quot;宋体&quot; w:hint=&quot;default&quot;/&gt;&lt;w:i/&gt;&lt;w:sz w:val=&quot;21&quot;/&gt;&lt;w:sz-cs w:val=&quot;21&quot;/&gt;&lt;/w:rPr&gt;&lt;/m:ctrlPr&gt;&lt;/m:sSupPr&gt;&lt;m:e&gt;&lt;m:r&gt;&lt;m:rPr&gt;&lt;m:scr m:val=&quot;roman&quot;/&gt;&lt;/m:rPr&gt;&lt;w:rPr&gt;&lt;w:rFonts w:ascii=&quot;Cambria Math&quot; w:h-ansi=&quot;Cambria Math&quot; w:cs=&quot;宋体&quot; w:hint=&quot;default&quot;/&gt;&lt;w:sz w:val=&quot;21&quot;/&gt;&lt;w:sz-cs w:val=&quot;21&quot;/&gt;&lt;w:lang w:val=&quot;EN-US&quot; w:fareast=&quot;ZH-CN&quot;/&gt;&lt;/w:rPr&gt;&lt;m:t&gt;3&lt;/m:t&gt;&lt;/m:r&gt;&lt;m:r&gt;&lt;m:rPr&gt;&lt;m:scr m:val=&quot;roman&quot;/&gt;&lt;/m:rPr&gt;&lt;w:rPr&gt;&lt;w:rFonts w:ascii=&quot;Cambria Math&quot; w:h-ansi=&quot;Cambria Math&quot; w:cs=&quot;宋体&quot; w:hint=&quot;default&quot;/&gt;&lt;w:sz w:val=&quot;21&quot;/&gt;&lt;w:sz-cs w:val=&quot;21&quot;/&gt;&lt;w:lang w:val=&quot;EN-US&quot;/&gt;&lt;/w:rPr&gt;&lt;m:t&gt;×&lt;/m:t&gt;&lt;/m:r&gt;&lt;m:r&gt;&lt;m:rPr&gt;&lt;m:scr m:val=&quot;roman&quot;/&gt;&lt;/m:rPr&gt;&lt;w:rPr&gt;&lt;w:rFonts w:ascii=&quot;Cambria Math&quot; w:h-ansi=&quot;Cambria Math&quot; w:cs=&quot;宋体&quot; w:hint=&quot;default&quot;/&gt;&lt;w:sz w:val=&quot;21&quot;/&gt;&lt;w:sz-cs w:val=&quot;21&quot;/&gt;&lt;w:lang w:val=&quot;EN-US&quot; w:fareast=&quot;ZH-CN&quot;/&gt;&lt;/w:rPr&gt;&lt;m:t&gt;10&lt;/m:t&gt;&lt;/m:r&gt;&lt;m:ctrlPr&gt;&lt;w:rPr&gt;&lt;w:rFonts w:ascii=&quot;Cambria Math&quot; w:h-ansi=&quot;Cambria Math&quot; w:cs=&quot;宋体&quot; w:hint=&quot;default&quot;/&gt;&lt;w:i/&gt;&lt;w:sz w:val=&quot;21&quot;/&gt;&lt;w:sz-cs w:val=&quot;21&quot;/&gt;&lt;/w:rPr&gt;&lt;/m:ctrlPr&gt;&lt;/m:e&gt;&lt;m:sup&gt;&lt;m:r&gt;&lt;m:rPr&gt;&lt;m:scr m:val=&quot;roman&quot;/&gt;&lt;/m:rPr&gt;&lt;w:rPr&gt;&lt;w:rFonts w:ascii=&quot;Cambria Math&quot; w:h-ansi=&quot;Cambria Math&quot; w:cs=&quot;宋体&quot; w:hint=&quot;default&quot;/&gt;&lt;w:sz w:val=&quot;21&quot;/&gt;&lt;w:sz-cs w:val=&quot;21&quot;/&gt;&lt;w:lang w:val=&quot;EN-US&quot; w:fareast=&quot;ZH-CN&quot;/&gt;&lt;/w:rPr&gt;&lt;m:t&gt;11&lt;/m:t&gt;&lt;/m:r&gt;&lt;m:ctrlPr&gt;&lt;w:rPr&gt;&lt;w:rFonts w:ascii=&quot;Cambria Math&quot; w:h-ansi=&quot;Cambria Math&quot; w:cs=&quot;宋体&quot; w:hint=&quot;default&quot;/&gt;&lt;w:i/&gt;&lt;w:sz w:val=&quot;21&quot;/&gt;&lt;w:sz-cs w:val=&quot;21&quot;/&gt;&lt;/w:rPr&gt;&lt;/m:ctrlPr&gt;&lt;/m:sup&gt;&lt;/m:sSup&gt;&lt;m:r&gt;&lt;m:rPr&gt;&lt;m:scr m:val=&quot;roman&quot;/&gt;&lt;/m:rPr&gt;&lt;w:rPr&gt;&lt;w:rFonts w:ascii=&quot;Cambria Math&quot; w:h-ansi=&quot;Cambria Math&quot; w:cs=&quot;宋体&quot; w:hint=&quot;default&quot;/&gt;&lt;w:sz w:val=&quot;21&quot;/&gt;&lt;w:sz-cs w:val=&quot;21&quot;/&gt;&lt;w:lang w:val=&quot;EN-US&quot; w:fareast=&quot;ZH-CN&quot;/&gt;&lt;/w:rPr&gt;&lt;m:t&gt;cm&lt;/m:t&gt;&lt;/m:r&gt;&lt;m:r&gt;&lt;m:rPr&gt;&lt;m:scr m:val=&quot;roman&quot;/&gt;&lt;/m:rPr&gt;&lt;w:rPr&gt;&lt;w:rFonts w:ascii=&quot;Cambria Math&quot; w:h-ansi=&quot;Cambria Math&quot; w:cs=&quot;Cambria Math&quot; w:hint=&quot;default&quot;/&gt;&lt;w:sz w:val=&quot;21&quot;/&gt;&lt;w:sz-cs w:val=&quot;21&quot;/&gt;&lt;w:lang w:val=&quot;EN-US&quot; w:fareast=&quot;ZH-CN&quot;/&gt;&lt;/w:rPr&gt;&lt;m:t&gt;∙&lt;/m:t&gt;&lt;/m:r&gt;&lt;m:r&gt;&lt;m:rPr&gt;&lt;m:scr m:val=&quot;roman&quot;/&gt;&lt;/m:rPr&gt;&lt;w:rPr&gt;&lt;w:rFonts w:ascii=&quot;Cambria Math&quot; w:h-ansi=&quot;Cambria Math&quot; w:cs=&quot;宋体&quot; w:hint=&quot;default&quot;/&gt;&lt;w:sz w:val=&quot;21&quot;/&gt;&lt;w:sz-cs w:val=&quot;21&quot;/&gt;&lt;w:lang w:val=&quot;EN-US&quot; w:fareast=&quot;ZH-CN&quot;/&gt;&lt;/w:rPr&gt;&lt;m:t&gt;H&lt;/m:t&gt;&lt;/m:r&gt;&lt;m:sSup&gt;&lt;m:sSupPr&gt;&lt;m:ctrlPr&gt;&lt;w:rPr&gt;&lt;w:rFonts w:ascii=&quot;Cambria Math&quot; w:h-ansi=&quot;Cambria Math&quot; w:cs=&quot;宋体&quot; w:hint=&quot;default&quot;/&gt;&lt;w:i/&gt;&lt;w:sz w:val=&quot;21&quot;/&gt;&lt;w:sz-cs w:val=&quot;21&quot;/&gt;&lt;w:lang w:val=&quot;EN-US&quot; w:fareast=&quot;ZH-CN&quot;/&gt;&lt;/w:rPr&gt;&lt;/m:ctrlPr&gt;&lt;/m:sSupPr&gt;&lt;m:e&gt;&lt;m:r&gt;&lt;m:rPr&gt;&lt;m:scr m:val=&quot;roman&quot;/&gt;&lt;/m:rPr&gt;&lt;w:rPr&gt;&lt;w:rFonts w:ascii=&quot;Cambria Math&quot; w:h-ansi=&quot;Cambria Math&quot; w:cs=&quot;宋体&quot; w:hint=&quot;default&quot;/&gt;&lt;w:sz w:val=&quot;21&quot;/&gt;&lt;w:sz-cs w:val=&quot;21&quot;/&gt;&lt;w:lang w:val=&quot;EN-US&quot; w:fareast=&quot;ZH-CN&quot;/&gt;&lt;/w:rPr&gt;&lt;m:t&gt;z&lt;/m:t&gt;&lt;/m:r&gt;&lt;m:ctrlPr&gt;&lt;w:rPr&gt;&lt;w:rFonts w:ascii=&quot;Cambria Math&quot; w:h-ansi=&quot;Cambria Math&quot; w:cs=&quot;宋体&quot; w:hint=&quot;default&quot;/&gt;&lt;w:i/&gt;&lt;w:sz w:val=&quot;21&quot;/&gt;&lt;w:sz-cs w:val=&quot;21&quot;/&gt;&lt;w:lang w:val=&quot;EN-US&quot; w:fareast=&quot;ZH-CN&quot;/&gt;&lt;/w:rPr&gt;&lt;/m:ctrlPr&gt;&lt;/m:e&gt;&lt;m:sup&gt;&lt;m:r&gt;&lt;m:rPr&gt;&lt;m:scr m:val=&quot;roman&quot;/&gt;&lt;/m:rPr&gt;&lt;w:rPr&gt;&lt;w:rFonts w:ascii=&quot;Cambria Math&quot; w:h-ansi=&quot;Cambria Math&quot; w:cs=&quot;宋体&quot; w:hint=&quot;default&quot;/&gt;&lt;w:sz w:val=&quot;21&quot;/&gt;&lt;w:sz-cs w:val=&quot;21&quot;/&gt;&lt;w:lang w:val=&quot;EN-US&quot; w:fareast=&quot;ZH-CN&quot;/&gt;&lt;/w:rPr&gt;&lt;m:t&gt;1/2&lt;/m:t&gt;&lt;/m:r&gt;&lt;m:ctrlPr&gt;&lt;w:rPr&gt;&lt;w:rFonts w:ascii=&quot;Cambria Math&quot; w:h-ansi=&quot;Cambria Math&quot; w:cs=&quot;宋体&quot; w:hint=&quot;default&quot;/&gt;&lt;w:i/&gt;&lt;w:sz w:val=&quot;21&quot;/&gt;&lt;w:sz-cs w:val=&quot;21&quot;/&gt;&lt;w:lang w:val=&quot;EN-US&quot; w:fareast=&quot;ZH-CN&quot;/&gt;&lt;/w:rPr&gt;&lt;/m:ctrlPr&gt;&lt;/m:sup&gt;&lt;/m:sSup&gt;&lt;m:r&gt;&lt;m:rPr&gt;&lt;m:scr m:val=&quot;roman&quot;/&gt;&lt;/m:rPr&gt;&lt;w:rPr&gt;&lt;w:rFonts w:ascii=&quot;Cambria Math&quot; w:h-ansi=&quot;Cambria Math&quot; w:cs=&quot;Cambria Math&quot; w:hint=&quot;default&quot;/&gt;&lt;w:sz w:val=&quot;21&quot;/&gt;&lt;w:sz-cs w:val=&quot;21&quot;/&gt;&lt;w:lang w:val=&quot;EN-US&quot; w:fareast=&quot;ZH-CN&quot;/&gt;&lt;/w:rPr&gt;&lt;m:t&gt;∙&lt;/m:t&gt;&lt;/m:r&gt;&lt;m:sSup&gt;&lt;m:sSupPr&gt;&lt;m:ctrlPr&gt;&lt;w:rPr&gt;&lt;w:rFonts w:ascii=&quot;Cambria Math&quot; w:h-ansi=&quot;Cambria Math&quot; w:cs=&quot;Cambria Math&quot; w:hint=&quot;default&quot;/&gt;&lt;w:i/&gt;&lt;w:sz w:val=&quot;21&quot;/&gt;&lt;w:sz-cs w:val=&quot;21&quot;/&gt;&lt;w:lang w:val=&quot;EN-US&quot; w:fareast=&quot;ZH-CN&quot;/&gt;&lt;/w:rPr&gt;&lt;/m:ctrlPr&gt;&lt;/m:sSupPr&gt;&lt;m:e&gt;&lt;m:r&gt;&lt;m:rPr&gt;&lt;m:scr m:val=&quot;roman&quot;/&gt;&lt;/m:rPr&gt;&lt;w:rPr&gt;&lt;w:rFonts w:ascii=&quot;Cambria Math&quot; w:h-ansi=&quot;Cambria Math&quot; w:cs=&quot;Cambria Math&quot; w:hint=&quot;default&quot;/&gt;&lt;w:sz w:val=&quot;21&quot;/&gt;&lt;w:sz-cs w:val=&quot;21&quot;/&gt;&lt;w:lang w:val=&quot;EN-US&quot; w:fareast=&quot;ZH-CN&quot;/&gt;&lt;/w:rPr&gt;&lt;m:t&gt;W&lt;/m:t&gt;&lt;/m:r&gt;&lt;m:ctrlPr&gt;&lt;w:rPr&gt;&lt;w:rFonts w:ascii=&quot;Cambria Math&quot; w:h-ansi=&quot;Cambria Math&quot; w:cs=&quot;Cambria Math&quot; w:hint=&quot;default&quot;/&gt;&lt;w:i/&gt;&lt;w:sz w:val=&quot;21&quot;/&gt;&lt;w:sz-cs w:val=&quot;21&quot;/&gt;&lt;w:lang w:val=&quot;EN-US&quot; w:fareast=&quot;ZH-CN&quot;/&gt;&lt;/w:rPr&gt;&lt;/m:ctrlPr&gt;&lt;/m:e&gt;&lt;m:sup&gt;&lt;m:r&gt;&lt;m:rPr&gt;&lt;m:scr m:val=&quot;roman&quot;/&gt;&lt;/m:rPr&gt;&lt;w:rPr&gt;&lt;w:rFonts w:ascii=&quot;Cambria Math&quot; w:h-ansi=&quot;Cambria Math&quot; w:cs=&quot;Cambria Math&quot; w:hint=&quot;default&quot;/&gt;&lt;w:sz w:val=&quot;21&quot;/&gt;&lt;w:sz-cs w:val=&quot;21&quot;/&gt;&lt;w:lang w:val=&quot;EN-US&quot; w:fareast=&quot;ZH-CN&quot;/&gt;&lt;/w:rPr&gt;&lt;m:t&gt;−1&lt;/m:t&gt;&lt;/m:r&gt;&lt;m:ctrlPr&gt;&lt;w:rPr&gt;&lt;w:rFonts w:ascii=&quot;Cambria Math&quot; w:h-ansi=&quot;Cambria Math&quot; w:cs=&quot;Cambria Math&quot; w:hint=&quot;default&quot;/&gt;&lt;w:i/&gt;&lt;w:sz w:val=&quot;21&quot;/&gt;&lt;w:sz-cs w:val=&quot;21&quot;/&gt;&lt;w:lang w:val=&quot;EN-US&quot; w:fareast=&quot;ZH-CN&quot;/&gt;&lt;/w:rPr&gt;&lt;/m:ctrlPr&gt;&lt;/m:sup&gt;&lt;/m:sSup&gt;&lt;/m:oMath&gt;&lt;/m:oMathPara&gt;&lt;/w:p&gt;&lt;/wx:sect&gt;&lt;/w:body&gt;&lt;/w:wordDocument" o:preferrelative="t" filled="f" stroked="f">
            <v:imagedata r:id="rId9" o:title=""/>
            <v:path o:extrusionok="f"/>
            <o:lock v:ext="edit" aspectratio="f"/>
          </v:shape>
        </w:pic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#7.光谱响应曲线：峰值位于3</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m～5</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m之间，且峰值相对响应不低于0.8。</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#8.探测灵敏度：焦平面噪声等效温差（</w:t>
      </w:r>
      <w:r>
        <w:rPr>
          <w:rFonts w:ascii="仿宋" w:eastAsia="仿宋" w:hAnsi="仿宋" w:cs="仿宋"/>
          <w:sz w:val="28"/>
          <w:szCs w:val="20"/>
          <w:highlight w:val="yellow"/>
        </w:rPr>
        <w:t>NETD</w:t>
      </w:r>
      <w:r>
        <w:rPr>
          <w:rFonts w:ascii="仿宋" w:eastAsia="仿宋" w:hAnsi="仿宋" w:cs="仿宋" w:hint="eastAsia"/>
          <w:sz w:val="28"/>
          <w:szCs w:val="20"/>
          <w:highlight w:val="yellow"/>
        </w:rPr>
        <w:t>）</w:t>
      </w:r>
      <w:r>
        <w:rPr>
          <w:rFonts w:ascii="仿宋" w:eastAsia="仿宋" w:hAnsi="仿宋" w:cs="仿宋"/>
          <w:sz w:val="28"/>
          <w:szCs w:val="20"/>
          <w:highlight w:val="yellow"/>
        </w:rPr>
        <w:t>≤20mK</w:t>
      </w:r>
      <w:r>
        <w:rPr>
          <w:rFonts w:ascii="仿宋" w:eastAsia="仿宋" w:hAnsi="仿宋" w:cs="仿宋" w:hint="eastAsia"/>
          <w:sz w:val="28"/>
          <w:szCs w:val="20"/>
          <w:highlight w:val="yellow"/>
        </w:rPr>
        <w:t>（常温</w:t>
      </w:r>
      <w:r>
        <w:rPr>
          <w:rFonts w:ascii="仿宋" w:eastAsia="仿宋" w:hAnsi="仿宋" w:cs="仿宋"/>
          <w:sz w:val="28"/>
          <w:szCs w:val="20"/>
          <w:highlight w:val="yellow"/>
        </w:rPr>
        <w:t>25℃</w:t>
      </w:r>
      <w:r>
        <w:rPr>
          <w:rFonts w:ascii="仿宋" w:eastAsia="仿宋" w:hAnsi="仿宋" w:cs="仿宋" w:hint="eastAsia"/>
          <w:sz w:val="28"/>
          <w:szCs w:val="20"/>
          <w:highlight w:val="yellow"/>
        </w:rPr>
        <w:t>）或单传感器噪声等效功率（</w:t>
      </w:r>
      <w:r>
        <w:rPr>
          <w:rFonts w:ascii="仿宋" w:eastAsia="仿宋" w:hAnsi="仿宋" w:cs="仿宋"/>
          <w:sz w:val="28"/>
          <w:szCs w:val="20"/>
          <w:highlight w:val="yellow"/>
        </w:rPr>
        <w:t>NEP</w:t>
      </w:r>
      <w:r>
        <w:rPr>
          <w:rFonts w:ascii="仿宋" w:eastAsia="仿宋" w:hAnsi="仿宋" w:cs="仿宋" w:hint="eastAsia"/>
          <w:sz w:val="28"/>
          <w:szCs w:val="20"/>
          <w:highlight w:val="yellow"/>
        </w:rPr>
        <w:t>）</w:t>
      </w:r>
      <w:r>
        <w:rPr>
          <w:rFonts w:ascii="仿宋" w:eastAsia="仿宋" w:hAnsi="仿宋" w:cs="仿宋"/>
          <w:sz w:val="28"/>
          <w:szCs w:val="20"/>
          <w:highlight w:val="yellow"/>
        </w:rPr>
        <w:t>≤1×10</w:t>
      </w:r>
      <w:r>
        <w:rPr>
          <w:rFonts w:ascii="Cambria Math" w:eastAsia="仿宋" w:hAnsi="Cambria Math" w:cs="Cambria Math"/>
          <w:sz w:val="28"/>
          <w:szCs w:val="20"/>
          <w:highlight w:val="yellow"/>
        </w:rPr>
        <w:t>⁻¹⁰</w:t>
      </w:r>
      <w:r>
        <w:rPr>
          <w:rFonts w:ascii="仿宋" w:eastAsia="仿宋" w:hAnsi="仿宋" w:cs="仿宋"/>
          <w:sz w:val="28"/>
          <w:szCs w:val="20"/>
          <w:highlight w:val="yellow"/>
        </w:rPr>
        <w:t xml:space="preserve"> W</w:t>
      </w:r>
      <w:r>
        <w:rPr>
          <w:rFonts w:ascii="仿宋" w:eastAsia="仿宋" w:hAnsi="仿宋" w:cs="仿宋" w:hint="eastAsia"/>
          <w:sz w:val="28"/>
          <w:szCs w:val="20"/>
          <w:highlight w:val="yellow"/>
        </w:rPr>
        <w:t>。</w:t>
      </w:r>
    </w:p>
    <w:p>
      <w:pPr>
        <w:adjustRightInd w:val="0"/>
        <w:snapToGrid w:val="0"/>
        <w:spacing w:line="560" w:lineRule="exact"/>
        <w:ind w:firstLine="560" w:firstLineChars="200"/>
        <w:jc w:val="left"/>
        <w:rPr>
          <w:rFonts w:ascii="仿宋" w:eastAsia="仿宋" w:hAnsi="仿宋" w:cs="仿宋" w:hint="eastAsia"/>
          <w:sz w:val="28"/>
          <w:szCs w:val="20"/>
          <w:highlight w:val="yellow"/>
        </w:rPr>
      </w:pPr>
      <w:r>
        <w:rPr>
          <w:rFonts w:ascii="仿宋" w:eastAsia="仿宋" w:hAnsi="仿宋" w:cs="仿宋" w:hint="eastAsia"/>
          <w:sz w:val="28"/>
          <w:szCs w:val="20"/>
          <w:highlight w:val="yellow"/>
        </w:rPr>
        <w:t>#9.可见光像素：</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400万。</w:t>
      </w:r>
    </w:p>
    <w:p>
      <w:pPr>
        <w:adjustRightInd w:val="0"/>
        <w:snapToGrid w:val="0"/>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highlight w:val="yellow"/>
        </w:rPr>
        <w:t xml:space="preserve">#10.全面探测时间 </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7min。</w:t>
      </w:r>
    </w:p>
    <w:p>
      <w:pPr>
        <w:adjustRightInd w:val="0"/>
        <w:snapToGrid w:val="0"/>
        <w:spacing w:line="560" w:lineRule="exact"/>
        <w:ind w:firstLine="560" w:firstLineChars="200"/>
        <w:jc w:val="left"/>
        <w:rPr>
          <w:rFonts w:ascii="仿宋" w:eastAsia="仿宋" w:hAnsi="仿宋" w:cs="仿宋"/>
          <w:b/>
          <w:bCs/>
          <w:sz w:val="28"/>
          <w:szCs w:val="20"/>
        </w:rPr>
      </w:pPr>
      <w:r>
        <w:rPr>
          <w:rFonts w:ascii="仿宋" w:eastAsia="仿宋" w:hAnsi="仿宋" w:cs="仿宋" w:hint="eastAsia"/>
          <w:b/>
          <w:bCs/>
          <w:sz w:val="28"/>
          <w:szCs w:val="20"/>
        </w:rPr>
        <w:t>(三) 数据要求</w:t>
      </w:r>
    </w:p>
    <w:p>
      <w:pPr>
        <w:adjustRightInd w:val="0"/>
        <w:snapToGrid w:val="0"/>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sz w:val="28"/>
          <w:szCs w:val="20"/>
        </w:rPr>
        <w:t>供应商提供的林草热源点红外监测仪应能够按照设备功能规格需求书要求完成林草热源点报警数据的识别和上传以及支持对现场视频流的实时监控推流和查看，</w:t>
      </w:r>
      <w:r>
        <w:rPr>
          <w:rFonts w:ascii="仿宋" w:eastAsia="仿宋" w:hAnsi="仿宋" w:cs="仿宋"/>
          <w:sz w:val="28"/>
          <w:szCs w:val="20"/>
        </w:rPr>
        <w:t>视频查看功能与文件传输过程需相互独立，互不干扰</w:t>
      </w:r>
      <w:r>
        <w:rPr>
          <w:rFonts w:ascii="仿宋" w:eastAsia="仿宋" w:hAnsi="仿宋" w:cs="仿宋" w:hint="eastAsia"/>
          <w:sz w:val="28"/>
          <w:szCs w:val="20"/>
        </w:rPr>
        <w:t>。供应商提供的林草热源点红外监测仪需要配置足够空间的存储器（存储空间不少于128G），能够存储不少于90天的热源点识别数据、视频、图片数据等。存储具有掉电保存能力，采用循环存储结构，允许最新的数据覆盖旧数据。同时，设备应支持有线或无线网络传输方式，实现与中心站的数据通信功能。在没有网络信号覆盖的地区，设备可支持扩展连接网桥或微波通信，实现无地面网络覆盖下的数据传输。</w:t>
      </w:r>
    </w:p>
    <w:p>
      <w:pPr>
        <w:numPr>
          <w:ilvl w:val="0"/>
          <w:numId w:val="6"/>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质保服务要求</w:t>
      </w:r>
    </w:p>
    <w:p>
      <w:pPr>
        <w:autoSpaceDE w:val="0"/>
        <w:adjustRightInd w:val="0"/>
        <w:snapToGrid w:val="0"/>
        <w:spacing w:line="560" w:lineRule="exact"/>
        <w:ind w:firstLine="560" w:firstLineChars="200"/>
        <w:jc w:val="left"/>
        <w:rPr>
          <w:rFonts w:ascii="仿宋" w:eastAsia="仿宋" w:hAnsi="仿宋" w:cs="仿宋" w:hint="eastAsia"/>
          <w:sz w:val="28"/>
          <w:szCs w:val="20"/>
        </w:rPr>
      </w:pPr>
      <w:r>
        <w:rPr>
          <w:rFonts w:ascii="仿宋" w:eastAsia="仿宋" w:hAnsi="仿宋" w:cs="Times New Roman"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Times New Roman" w:hint="eastAsia"/>
          <w:sz w:val="28"/>
          <w:szCs w:val="28"/>
        </w:rPr>
        <w:t>“</w:t>
      </w:r>
      <w:r>
        <w:rPr>
          <w:rFonts w:ascii="仿宋" w:eastAsia="仿宋" w:hAnsi="仿宋" w:cs="Times New Roman" w:hint="eastAsia"/>
          <w:sz w:val="28"/>
          <w:szCs w:val="28"/>
        </w:rPr>
        <w:t>十四五</w:t>
      </w:r>
      <w:r>
        <w:rPr>
          <w:rFonts w:ascii="仿宋" w:eastAsia="仿宋" w:hAnsi="仿宋" w:cs="Times New Roman" w:hint="eastAsia"/>
          <w:sz w:val="28"/>
          <w:szCs w:val="28"/>
        </w:rPr>
        <w:t>”</w:t>
      </w:r>
      <w:r>
        <w:rPr>
          <w:rFonts w:ascii="仿宋" w:eastAsia="仿宋" w:hAnsi="仿宋" w:cs="Times New Roman" w:hint="eastAsia"/>
          <w:sz w:val="28"/>
          <w:szCs w:val="28"/>
        </w:rPr>
        <w:t>期间综合观测类工程项目新上设备建设及质保指导意见》中</w:t>
      </w:r>
      <w:r>
        <w:rPr>
          <w:rFonts w:ascii="仿宋" w:eastAsia="仿宋" w:hAnsi="仿宋" w:cs="Times New Roman" w:hint="eastAsia"/>
          <w:sz w:val="28"/>
          <w:szCs w:val="28"/>
        </w:rPr>
        <w:t>“</w:t>
      </w:r>
      <w:r>
        <w:rPr>
          <w:rFonts w:ascii="仿宋" w:eastAsia="仿宋" w:hAnsi="仿宋" w:cs="Times New Roman" w:hint="eastAsia"/>
          <w:sz w:val="28"/>
          <w:szCs w:val="28"/>
        </w:rPr>
        <w:t>森林火险气象自动观测系统</w:t>
      </w:r>
      <w:r>
        <w:rPr>
          <w:rFonts w:ascii="仿宋" w:eastAsia="仿宋" w:hAnsi="仿宋" w:cs="Times New Roman" w:hint="eastAsia"/>
          <w:sz w:val="28"/>
          <w:szCs w:val="28"/>
        </w:rPr>
        <w:t>”</w:t>
      </w:r>
      <w:r>
        <w:rPr>
          <w:rFonts w:ascii="仿宋" w:eastAsia="仿宋" w:hAnsi="仿宋" w:cs="Times New Roman" w:hint="eastAsia"/>
          <w:sz w:val="28"/>
          <w:szCs w:val="28"/>
        </w:rPr>
        <w:t>采购要求中相关要求执行，并提供相关承诺函。</w:t>
      </w:r>
    </w:p>
    <w:p>
      <w:pPr>
        <w:numPr>
          <w:ilvl w:val="0"/>
          <w:numId w:val="7"/>
        </w:num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供应商将所有设备运送到招标人指定地点（运输相关费用由供应商负责），并负责安装调试。</w:t>
      </w:r>
    </w:p>
    <w:p>
      <w:pPr>
        <w:numPr>
          <w:ilvl w:val="0"/>
          <w:numId w:val="7"/>
        </w:numPr>
        <w:spacing w:line="560" w:lineRule="exact"/>
        <w:ind w:firstLine="560" w:firstLineChars="200"/>
        <w:rPr>
          <w:rFonts w:ascii="仿宋" w:eastAsia="仿宋" w:hAnsi="仿宋" w:cs="仿宋"/>
          <w:sz w:val="28"/>
          <w:szCs w:val="28"/>
        </w:rPr>
      </w:pPr>
      <w:r>
        <w:rPr>
          <w:rFonts w:ascii="仿宋" w:eastAsia="仿宋" w:hAnsi="仿宋" w:cs="仿宋" w:hint="eastAsia"/>
          <w:sz w:val="28"/>
          <w:szCs w:val="20"/>
          <w:highlight w:val="yellow"/>
        </w:rPr>
        <w:t>*</w:t>
      </w:r>
      <w:r>
        <w:rPr>
          <w:rFonts w:ascii="仿宋" w:eastAsia="仿宋" w:hAnsi="仿宋" w:cs="仿宋"/>
          <w:sz w:val="28"/>
          <w:szCs w:val="20"/>
          <w:highlight w:val="yellow"/>
        </w:rPr>
        <w:t>质保期：8年</w:t>
      </w:r>
      <w:r>
        <w:rPr>
          <w:rFonts w:ascii="仿宋" w:eastAsia="仿宋" w:hAnsi="仿宋" w:cs="仿宋"/>
          <w:sz w:val="28"/>
          <w:szCs w:val="20"/>
        </w:rPr>
        <w:t>，供应商需对质保期（保内、保外）政策进行阐述或承诺，列明有偿服务和无偿服务内容</w:t>
      </w:r>
      <w:r>
        <w:rPr>
          <w:rFonts w:ascii="仿宋" w:eastAsia="仿宋" w:hAnsi="仿宋" w:cs="仿宋" w:hint="eastAsia"/>
          <w:sz w:val="28"/>
          <w:szCs w:val="28"/>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（4）质保期过后，供应商仍有义务提供技术服务（包括提供设备维护、备件等）。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8"/>
        </w:rPr>
        <w:t>中标人应免费向采购人提供培训，培训次数不少于5次，培训人次不少于20人次</w:t>
      </w:r>
      <w:r>
        <w:rPr>
          <w:rFonts w:ascii="仿宋" w:eastAsia="仿宋" w:hAnsi="仿宋" w:cs="仿宋" w:hint="eastAsia"/>
          <w:sz w:val="28"/>
          <w:szCs w:val="20"/>
        </w:rPr>
        <w:t>（达到熟练操作），免费向用户提供设备安装、调试以及日常维护培训。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ind w:firstLine="560" w:firstLineChars="200"/>
        <w:rPr>
          <w:rFonts w:ascii="Times New Roman" w:eastAsia="仿宋" w:hAnsi="Times New Roman" w:cs="Times New Roman"/>
          <w:sz w:val="28"/>
          <w:szCs w:val="20"/>
        </w:rPr>
      </w:pPr>
      <w:r>
        <w:rPr>
          <w:rFonts w:ascii="Times New Roman" w:eastAsia="仿宋" w:hAnsi="Times New Roman" w:cs="Times New Roman"/>
          <w:sz w:val="28"/>
          <w:szCs w:val="20"/>
        </w:rPr>
        <w:t>参照功能规格需求书、测试大纲，以及中国气象局最新业务管理规定等有关文件要求开展检验考核。</w:t>
      </w:r>
    </w:p>
    <w:p>
      <w:pPr>
        <w:numPr>
          <w:ilvl w:val="0"/>
          <w:numId w:val="8"/>
        </w:numPr>
        <w:ind w:firstLine="560" w:firstLineChars="200"/>
        <w:rPr>
          <w:rFonts w:ascii="仿宋" w:eastAsia="仿宋" w:hAnsi="仿宋" w:cs="仿宋"/>
          <w:sz w:val="28"/>
          <w:szCs w:val="20"/>
          <w:highlight w:val="yellow"/>
        </w:rPr>
      </w:pPr>
      <w:r>
        <w:rPr>
          <w:rFonts w:ascii="Times New Roman" w:eastAsia="仿宋" w:hAnsi="Times New Roman" w:cs="Times New Roman" w:hint="eastAsia"/>
          <w:sz w:val="28"/>
          <w:szCs w:val="20"/>
          <w:highlight w:val="yellow"/>
        </w:rPr>
        <w:t>提供的</w:t>
      </w:r>
      <w:r>
        <w:rPr>
          <w:rFonts w:ascii="仿宋" w:eastAsia="仿宋" w:hAnsi="仿宋" w:cs="仿宋" w:hint="eastAsia"/>
          <w:sz w:val="28"/>
          <w:szCs w:val="28"/>
          <w:highlight w:val="yellow"/>
        </w:rPr>
        <w:t>林草热源点红外监测仪</w:t>
      </w:r>
      <w:r>
        <w:rPr>
          <w:rFonts w:ascii="Times New Roman" w:eastAsia="仿宋" w:hAnsi="Times New Roman" w:cs="Times New Roman" w:hint="eastAsia"/>
          <w:sz w:val="28"/>
          <w:szCs w:val="20"/>
          <w:highlight w:val="yellow"/>
        </w:rPr>
        <w:t>需具备装备许可，否则验收为不合格，追究中标方的责任。</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sz w:val="28"/>
          <w:szCs w:val="20"/>
        </w:rPr>
        <w:t>设备出厂前，采购人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hint="eastAsia"/>
          <w:sz w:val="28"/>
          <w:szCs w:val="20"/>
        </w:rPr>
        <w:t>设备安装、调试达到功能规格需求书规定的指标后，可根据验收规范进行初步验收。验收规范(包括项目、方式和测试仪器等)应由中标人提前1个月提交给采购人，采购人可根据合同及功能规格需求书和以及采购人的有关规定进行修改和补充，经双方确认后形成验收规范文件作为验收依据。初步验收测试合格后，双方签署初验合格协议，设备进入试运行期。</w:t>
      </w:r>
    </w:p>
    <w:p>
      <w:pPr>
        <w:numPr>
          <w:ilvl w:val="0"/>
          <w:numId w:val="8"/>
        </w:numPr>
        <w:ind w:firstLine="560" w:firstLineChars="200"/>
        <w:rPr>
          <w:rFonts w:ascii="Times New Roman" w:eastAsia="仿宋" w:hAnsi="Times New Roman" w:cs="Times New Roman" w:hint="eastAsia"/>
          <w:sz w:val="28"/>
          <w:szCs w:val="20"/>
        </w:rPr>
      </w:pPr>
      <w:r>
        <w:rPr>
          <w:rFonts w:ascii="Times New Roman" w:eastAsia="仿宋" w:hAnsi="Times New Roman" w:cs="Times New Roman" w:hint="eastAsia"/>
          <w:sz w:val="28"/>
          <w:szCs w:val="20"/>
        </w:rPr>
        <w:t>设备经过1个月试运行期，达到功能规格需求书的要求时，可进行最终验收。在试运行期间，由于设备质量等造成某些指标达不到要求，允许中标人更换或进行修复。</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hint="eastAsia"/>
          <w:sz w:val="28"/>
          <w:szCs w:val="20"/>
        </w:rPr>
        <w:t>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1)供应商已提供合同中签署的全部货物及完整技术资料；</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2)货物符合技术规格，性能满足要求；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3)安装工程符合技术要求，系统性能满足要求，设备正常运行。</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4)供应商提供</w:t>
      </w:r>
      <w:r>
        <w:rPr>
          <w:rFonts w:ascii="仿宋" w:eastAsia="仿宋" w:hAnsi="仿宋" w:cs="仿宋"/>
          <w:sz w:val="28"/>
          <w:szCs w:val="20"/>
        </w:rPr>
        <w:t>1</w:t>
      </w:r>
      <w:r>
        <w:rPr>
          <w:rFonts w:ascii="仿宋" w:eastAsia="仿宋" w:hAnsi="仿宋" w:cs="仿宋" w:hint="eastAsia"/>
          <w:sz w:val="28"/>
          <w:szCs w:val="20"/>
        </w:rPr>
        <w:t>个月试运行报告。</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outlineLvl w:val="1"/>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林草热源点红外监测仪</w:t>
            </w:r>
          </w:p>
        </w:tc>
        <w:tc>
          <w:tcPr/>
          <w:p>
            <w:pPr>
              <w:autoSpaceDE w:val="0"/>
              <w:jc w:val="center"/>
              <w:rPr>
                <w:rFonts w:asciiTheme="minorEastAsia" w:hAnsiTheme="minorEastAsia" w:cstheme="minorEastAsia"/>
                <w:kern w:val="0"/>
                <w:szCs w:val="21"/>
              </w:rPr>
            </w:pPr>
            <w:r>
              <w:t>82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48,790,000.00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48,790,000.00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9"/>
        <w:gridCol w:w="950"/>
        <w:gridCol w:w="995"/>
        <w:gridCol w:w="279"/>
        <w:gridCol w:w="637"/>
        <w:gridCol w:w="576"/>
        <w:gridCol w:w="1352"/>
        <w:gridCol w:w="34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林草热源点红外监测仪</w:t>
            </w:r>
          </w:p>
        </w:tc>
        <w:tc>
          <w:tcPr/>
          <w:p>
            <w:r>
              <w:t>82</w:t>
            </w:r>
          </w:p>
        </w:tc>
        <w:tc>
          <w:tcPr/>
          <w:p>
            <w:r>
              <w:t>48790000.00</w:t>
            </w:r>
          </w:p>
        </w:tc>
        <w:tc>
          <w:tcPr/>
          <w:p>
            <w:r>
              <w:t xml:space="preserve">48790000.00  </w:t>
            </w:r>
          </w:p>
        </w:tc>
        <w:tc>
          <w:tcPr/>
          <w:p>
            <w:r>
              <w:t>内蒙古自治区境内甲方指定地点</w:t>
            </w:r>
          </w:p>
        </w:tc>
        <w:tc>
          <w:tcPr/>
          <w:p>
            <w:r>
              <w:t>设备及8年质保、测试、选址和观测塔使用（内蒙古自治区气象数据中心、李博、0471-3335547）</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森林草原火灾是关系人民群众生命财产安全和国家生态安全的大事。党的十八大以来，以习近平同志为核心的党中央高度重视森林草原防灭火工作，将其作为防灾减灾的重要任务。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在内蒙古自治区呼伦贝尔市</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兴安盟</w:t>
      </w:r>
      <w:r>
        <w:rPr>
          <w:rFonts w:ascii="仿宋" w:eastAsia="仿宋" w:hAnsi="仿宋" w:cs="仿宋" w:hint="eastAsia"/>
          <w:sz w:val="28"/>
          <w:szCs w:val="20"/>
        </w:rPr>
        <w:t>，针对林区气象观测能力不足，在森林火险监控重点区域新建</w:t>
      </w:r>
      <w:r>
        <w:rPr>
          <w:rFonts w:ascii="仿宋" w:eastAsia="仿宋" w:hAnsi="仿宋" w:cs="仿宋" w:hint="eastAsia"/>
          <w:sz w:val="28"/>
          <w:szCs w:val="20"/>
          <w:lang w:val="en-US" w:eastAsia="zh-CN"/>
        </w:rPr>
        <w:t>82</w:t>
      </w:r>
      <w:r>
        <w:rPr>
          <w:rFonts w:ascii="仿宋" w:eastAsia="仿宋" w:hAnsi="仿宋" w:cs="仿宋" w:hint="eastAsia"/>
          <w:sz w:val="28"/>
          <w:szCs w:val="20"/>
        </w:rPr>
        <w:t>套林草热源点红外监测仪，对数公里范围内的森林进行扫描监测，实现林区自动火点监测、夜视监控巡护、森林火灾无人值守报警。建立健全森林火灾自动观测，对研究森林生态系统多样化，保护森林物种资源多样性，提升森林碳汇容量，提高火情监测的精度与自动化水平等，具有重要应用价值，也是新阶段保障我国生态文明建设国家重大战略顺利实施的有力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除“第七章 采购需求 五、技术培训”的基本要求外，还应满足以下要求；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设备供应商对每类投标产品提供至少5次技术培训，培训人次不少于20人次（达到熟练操作）。培训内容包括设备安装、使用、日常维护、观测原理及产品应用，培训时间及地点双方协商确定。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内蒙古境内甲方指定</w:t>
      </w:r>
      <w:r>
        <w:rPr>
          <w:rFonts w:ascii="仿宋" w:eastAsia="仿宋" w:hAnsi="仿宋" w:cs="仿宋" w:hint="eastAsia"/>
          <w:sz w:val="28"/>
          <w:szCs w:val="20"/>
        </w:rPr>
        <w:t>地点（运输相关费用由供应商负责），并负责安装调试。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合同签订后120天内完成供货，180天内完成安装调试并具备验收条件，若因行政许可审批流程原因导致装备许可证未能按时取得，其间不视为工期延误。</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设备应支持有线或无线网络传输方式，实现与中心站的数据通信功能。在没有网络信号覆盖的地区，设备可支持扩展连接网桥或微波通信，实现无地面网络覆盖下的数据传输。</w:t>
      </w:r>
      <w:r>
        <w:rPr>
          <w:rFonts w:ascii="仿宋" w:eastAsia="仿宋" w:hAnsi="仿宋" w:cs="仿宋" w:hint="eastAsia"/>
          <w:sz w:val="28"/>
          <w:szCs w:val="20"/>
          <w:lang w:val="en-US" w:eastAsia="zh-CN"/>
        </w:rPr>
        <w:t>符合甲方要求和规范。</w:t>
      </w:r>
      <w:r>
        <w:rPr>
          <w:rFonts w:ascii="仿宋" w:eastAsia="仿宋" w:hAnsi="仿宋" w:cs="仿宋" w:hint="eastAsia"/>
          <w:sz w:val="28"/>
          <w:szCs w:val="20"/>
        </w:rPr>
        <w:t xml:space="preserve"> </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AD72E0">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AD72E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D72E0">
            <w:pPr>
              <w:rPr>
                <w:sz w:val="18"/>
                <w:szCs w:val="18"/>
              </w:rPr>
            </w:pPr>
            <w:r>
              <w:rPr>
                <w:rFonts w:hint="eastAsia"/>
                <w:sz w:val="18"/>
                <w:szCs w:val="18"/>
              </w:rPr>
              <w:t>序号</w:t>
            </w:r>
          </w:p>
        </w:tc>
        <w:tc>
          <w:tcPr>
            <w:tcW w:w="898" w:type="dxa"/>
            <w:vAlign w:val="center"/>
          </w:tcPr>
          <w:p w:rsidR="00AD72E0">
            <w:pPr>
              <w:jc w:val="center"/>
              <w:rPr>
                <w:sz w:val="18"/>
                <w:szCs w:val="18"/>
              </w:rPr>
            </w:pPr>
            <w:r>
              <w:rPr>
                <w:rFonts w:hint="eastAsia"/>
                <w:sz w:val="18"/>
                <w:szCs w:val="18"/>
              </w:rPr>
              <w:t>对应</w:t>
            </w:r>
          </w:p>
          <w:p w:rsidR="00AD72E0">
            <w:pPr>
              <w:jc w:val="center"/>
              <w:rPr>
                <w:sz w:val="18"/>
                <w:szCs w:val="18"/>
              </w:rPr>
            </w:pPr>
            <w:r>
              <w:rPr>
                <w:rFonts w:hint="eastAsia"/>
                <w:sz w:val="18"/>
                <w:szCs w:val="18"/>
              </w:rPr>
              <w:t>条款号</w:t>
            </w:r>
          </w:p>
        </w:tc>
        <w:tc>
          <w:tcPr>
            <w:tcW w:w="7347" w:type="dxa"/>
            <w:vAlign w:val="center"/>
          </w:tcPr>
          <w:p w:rsidR="00AD72E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AD72E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AD72E0">
            <w:pPr>
              <w:numPr>
                <w:ilvl w:val="0"/>
                <w:numId w:val="19"/>
              </w:numPr>
              <w:rPr>
                <w:rFonts w:ascii="宋体" w:hAnsi="宋体"/>
                <w:sz w:val="18"/>
                <w:szCs w:val="18"/>
              </w:rPr>
            </w:pPr>
          </w:p>
        </w:tc>
        <w:tc>
          <w:tcPr>
            <w:tcW w:w="898" w:type="dxa"/>
            <w:vAlign w:val="center"/>
          </w:tcPr>
          <w:p w:rsidR="00AD72E0">
            <w:pPr>
              <w:jc w:val="center"/>
              <w:rPr>
                <w:rFonts w:ascii="宋体" w:hAnsi="宋体"/>
                <w:sz w:val="18"/>
                <w:szCs w:val="18"/>
              </w:rPr>
            </w:pPr>
            <w:r>
              <w:rPr>
                <w:rFonts w:ascii="宋体" w:hAnsi="宋体" w:hint="eastAsia"/>
                <w:sz w:val="18"/>
                <w:szCs w:val="18"/>
              </w:rPr>
              <w:t>5</w:t>
            </w:r>
            <w:r>
              <w:rPr>
                <w:rFonts w:ascii="宋体" w:hAnsi="宋体" w:hint="eastAsia"/>
                <w:sz w:val="18"/>
                <w:szCs w:val="18"/>
              </w:rPr>
              <w:t>.2</w:t>
            </w:r>
          </w:p>
        </w:tc>
        <w:tc>
          <w:tcPr>
            <w:tcW w:w="7347" w:type="dxa"/>
          </w:tcPr>
          <w:p w:rsidR="00AD72E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AD72E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AD72E0">
            <w:pPr>
              <w:numPr>
                <w:ilvl w:val="0"/>
                <w:numId w:val="19"/>
              </w:numPr>
              <w:rPr>
                <w:rFonts w:ascii="宋体" w:hAnsi="宋体"/>
                <w:sz w:val="18"/>
                <w:szCs w:val="18"/>
              </w:rPr>
            </w:pPr>
          </w:p>
        </w:tc>
        <w:tc>
          <w:tcPr>
            <w:tcW w:w="898" w:type="dxa"/>
            <w:vAlign w:val="center"/>
          </w:tcPr>
          <w:p w:rsidR="00AD72E0">
            <w:pPr>
              <w:jc w:val="center"/>
              <w:rPr>
                <w:rFonts w:ascii="宋体" w:hAnsi="宋体"/>
                <w:sz w:val="18"/>
                <w:szCs w:val="18"/>
              </w:rPr>
            </w:pPr>
            <w:r>
              <w:rPr>
                <w:rFonts w:ascii="宋体" w:hAnsi="宋体" w:hint="eastAsia"/>
                <w:sz w:val="18"/>
                <w:szCs w:val="18"/>
              </w:rPr>
              <w:t>7.4</w:t>
            </w:r>
            <w:r>
              <w:rPr>
                <w:rFonts w:ascii="宋体" w:hAnsi="宋体"/>
                <w:sz w:val="18"/>
                <w:szCs w:val="18"/>
              </w:rPr>
              <w:t>.2</w:t>
            </w:r>
          </w:p>
        </w:tc>
        <w:tc>
          <w:tcPr>
            <w:tcW w:w="7347" w:type="dxa"/>
            <w:vAlign w:val="center"/>
          </w:tcPr>
          <w:p w:rsidR="00AD72E0">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，并提供相关承诺函。</w:t>
            </w:r>
          </w:p>
        </w:tc>
      </w:tr>
    </w:tbl>
    <w:p w:rsidR="00AD72E0">
      <w:pPr>
        <w:spacing w:before="156" w:beforeLines="50" w:line="360" w:lineRule="auto"/>
        <w:ind w:firstLine="420"/>
      </w:pPr>
      <w:r>
        <w:rPr>
          <w:rFonts w:ascii="宋体" w:hAnsi="宋体" w:hint="eastAsia"/>
          <w:szCs w:val="21"/>
        </w:rPr>
        <w:t>注：根据项目</w:t>
      </w:r>
      <w:r>
        <w:rPr>
          <w:rFonts w:ascii="宋体" w:hAnsi="宋体" w:hint="eastAsia"/>
          <w:szCs w:val="21"/>
        </w:rPr>
        <w:t>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0"/>
          <w:footerReference w:type="default" r:id="rId11"/>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9"/>
        </w:numPr>
        <w:spacing w:line="360" w:lineRule="auto"/>
        <w:ind w:firstLine="3066" w:firstLineChars="1460"/>
        <w:jc w:val="left"/>
        <w:rPr>
          <w:b/>
          <w:bCs/>
          <w:szCs w:val="21"/>
        </w:rPr>
      </w:pPr>
      <w:bookmarkStart w:id="73"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4"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space="708"/>
          <w:docGrid w:type="lines" w:linePitch="312"/>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75" w:name="_Toc22209"/>
      <w:bookmarkEnd w:id="74"/>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5"/>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11"/>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lang w:val="en-US" w:eastAsia="zh-CN"/>
        </w:rPr>
        <w:t>双方签署合同后30个工作日内，甲方向乙方支付合同总金额95%，到货、检验后付款：双方签署验收报告后30个工作日内，甲方向乙方支付合同总金额5%</w:t>
      </w:r>
      <w:r>
        <w:rPr>
          <w:rFonts w:ascii="宋体" w:hAnsi="宋体" w:hint="eastAsia"/>
          <w:szCs w:val="21"/>
          <w:u w:val="single"/>
        </w:rPr>
        <w:t xml:space="preserve"> </w:t>
      </w:r>
    </w:p>
    <w:p>
      <w:pPr>
        <w:numPr>
          <w:ilvl w:val="0"/>
          <w:numId w:val="10"/>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FE"/>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Pr>
          <w:rFonts w:ascii="宋体" w:eastAsia="宋体" w:hAnsi="宋体" w:cs="宋体" w:hint="eastAsia"/>
          <w:bCs/>
          <w:sz w:val="21"/>
          <w:u w:val="single"/>
          <w:lang w:val="en-US" w:eastAsia="zh-CN"/>
        </w:rPr>
        <w:t>银行保函</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Pr>
          <w:rFonts w:ascii="宋体" w:eastAsia="宋体" w:hAnsi="宋体" w:cs="宋体" w:hint="eastAsia"/>
          <w:bCs/>
          <w:sz w:val="21"/>
          <w:u w:val="single"/>
          <w:lang w:val="en-US" w:eastAsia="zh-CN"/>
        </w:rPr>
        <w:t>合同金额3%</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10"/>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12"/>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12"/>
        </w:numPr>
        <w:tabs>
          <w:tab w:val="left" w:pos="1573"/>
        </w:tabs>
        <w:adjustRightInd w:val="0"/>
        <w:snapToGrid w:val="0"/>
        <w:spacing w:line="360" w:lineRule="auto"/>
        <w:ind w:firstLine="420" w:firstLineChars="200"/>
        <w:rPr>
          <w:rFonts w:hint="eastAsia"/>
        </w:rPr>
      </w:pPr>
      <w:r>
        <w:rPr>
          <w:rFonts w:hint="eastAsia"/>
        </w:rPr>
        <w:t>合同签订后XXX天内，完成设备出厂测试，XXX天内发货</w:t>
      </w:r>
    </w:p>
    <w:p>
      <w:pPr>
        <w:numPr>
          <w:ilvl w:val="0"/>
          <w:numId w:val="12"/>
        </w:numPr>
        <w:tabs>
          <w:tab w:val="left" w:pos="1573"/>
        </w:tabs>
        <w:adjustRightInd w:val="0"/>
        <w:snapToGrid w:val="0"/>
        <w:spacing w:line="360" w:lineRule="auto"/>
        <w:ind w:firstLine="420" w:firstLineChars="200"/>
        <w:rPr>
          <w:rFonts w:hint="eastAsia"/>
        </w:rPr>
      </w:pPr>
      <w:r>
        <w:rPr>
          <w:rFonts w:hint="eastAsia"/>
        </w:rPr>
        <w:t>合同签订后XXX天内，完成现场后安装、测试和数据上传。</w:t>
      </w:r>
    </w:p>
    <w:p>
      <w:pPr>
        <w:numPr>
          <w:ilvl w:val="0"/>
          <w:numId w:val="12"/>
        </w:numPr>
        <w:tabs>
          <w:tab w:val="left" w:pos="1573"/>
        </w:tabs>
        <w:adjustRightInd w:val="0"/>
        <w:snapToGrid w:val="0"/>
        <w:spacing w:line="360" w:lineRule="auto"/>
        <w:ind w:firstLine="420" w:firstLineChars="200"/>
      </w:pPr>
      <w:r>
        <w:rPr>
          <w:rFonts w:hint="eastAsia"/>
        </w:rPr>
        <w:t>合同签订后XXX天内，完成现场验收。</w:t>
      </w:r>
    </w:p>
    <w:p>
      <w:pPr>
        <w:numPr>
          <w:ilvl w:val="0"/>
          <w:numId w:val="12"/>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备品备件、故障维修、巡检巡查等具体要求按照《2024年气象观测站网工程新上设备建设及质保指导意见（7种生态观测设备）》、《</w:t>
      </w:r>
      <w:r>
        <w:rPr>
          <w:rFonts w:hint="eastAsia"/>
        </w:rPr>
        <w:t>“</w:t>
      </w:r>
      <w:r>
        <w:rPr>
          <w:rFonts w:hint="eastAsia"/>
        </w:rPr>
        <w:t>十四五</w:t>
      </w:r>
      <w:r>
        <w:rPr>
          <w:rFonts w:hint="eastAsia"/>
        </w:rPr>
        <w:t>”</w:t>
      </w:r>
      <w:r>
        <w:rPr>
          <w:rFonts w:hint="eastAsia"/>
        </w:rPr>
        <w:t>期间综合观测类工程项目新上设备建设及质保指导意见》文件执行。</w:t>
      </w:r>
      <w:r>
        <w:rPr>
          <w:rFonts w:hAnsi="仿宋_GB2312" w:cs="仿宋_GB2312" w:hint="eastAsia"/>
          <w:color w:val="3366FF"/>
        </w:rPr>
        <w:t>（已发布质保指导意见的设备采购遵照指导意见具体要求执行，未发布的修改为：按照XXXXXX招标文件具体要求执行）</w:t>
      </w:r>
    </w:p>
    <w:p>
      <w:pPr>
        <w:numPr>
          <w:ilvl w:val="0"/>
          <w:numId w:val="11"/>
        </w:numPr>
        <w:adjustRightInd w:val="0"/>
        <w:snapToGrid w:val="0"/>
        <w:spacing w:line="360" w:lineRule="auto"/>
        <w:ind w:left="420"/>
        <w:rPr>
          <w:b/>
        </w:rPr>
      </w:pPr>
      <w:r>
        <w:rPr>
          <w:rFonts w:hint="eastAsia"/>
          <w:b/>
        </w:rPr>
        <w:t>验收</w:t>
      </w:r>
    </w:p>
    <w:p>
      <w:pPr>
        <w:pStyle w:val="BodyTextFirstIndent2"/>
        <w:numPr>
          <w:ilvl w:val="0"/>
          <w:numId w:val="13"/>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color w:val="FF0000"/>
          <w:highlight w:val="yellow"/>
        </w:rPr>
        <w:t>XX</w:t>
      </w:r>
      <w:r>
        <w:rPr>
          <w:rFonts w:hint="eastAsia"/>
          <w:highlight w:val="yellow"/>
        </w:rPr>
        <w:t>设备需具备装备许可，否则验收为不合格，追究乙方责任。满足《</w:t>
      </w:r>
      <w:r>
        <w:rPr>
          <w:rFonts w:hint="eastAsia"/>
          <w:highlight w:val="yellow"/>
        </w:rPr>
        <w:t>“</w:t>
      </w:r>
      <w:r>
        <w:rPr>
          <w:rFonts w:hint="eastAsia"/>
          <w:highlight w:val="yellow"/>
        </w:rPr>
        <w:t>十四五</w:t>
      </w:r>
      <w:r>
        <w:rPr>
          <w:rFonts w:hint="eastAsia"/>
          <w:highlight w:val="yellow"/>
        </w:rPr>
        <w:t>”</w:t>
      </w:r>
      <w:r>
        <w:rPr>
          <w:rFonts w:hint="eastAsia"/>
          <w:highlight w:val="yellow"/>
        </w:rPr>
        <w:t>期间综合观测类工程项目新上设备验收技术指南》验收要求。</w:t>
      </w:r>
    </w:p>
    <w:p>
      <w:pPr>
        <w:pStyle w:val="BodyTextFirstIndent2"/>
        <w:numPr>
          <w:ilvl w:val="0"/>
          <w:numId w:val="13"/>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13"/>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13"/>
        </w:numPr>
        <w:ind w:leftChars="0" w:firstLineChars="0"/>
        <w:rPr>
          <w:rFonts w:hint="eastAsia"/>
          <w:highlight w:val="yellow"/>
        </w:rPr>
      </w:pPr>
      <w:r>
        <w:rPr>
          <w:rFonts w:hint="eastAsia"/>
          <w:highlight w:val="yellow"/>
        </w:rPr>
        <w:t>在设备试运行结束后，经甲方验收合格后签署合同验收报告。</w:t>
      </w:r>
      <w:r>
        <w:rPr>
          <w:rFonts w:hint="eastAsia"/>
          <w:color w:val="FF0000"/>
          <w:highlight w:val="yellow"/>
        </w:rPr>
        <w:t>各省根据设备情况补充，</w:t>
      </w:r>
      <w:r>
        <w:rPr>
          <w:rFonts w:hint="eastAsia"/>
          <w:highlight w:val="yellow"/>
        </w:rPr>
        <w:t>按照验收技术指导意见完善。</w:t>
      </w:r>
    </w:p>
    <w:p>
      <w:pPr>
        <w:pStyle w:val="BodyTextFirstIndent2"/>
        <w:numPr>
          <w:ilvl w:val="0"/>
          <w:numId w:val="13"/>
        </w:numPr>
        <w:ind w:leftChars="0" w:firstLineChars="0"/>
        <w:rPr>
          <w:rFonts w:hint="eastAsia"/>
          <w:highlight w:val="yellow"/>
        </w:rPr>
      </w:pPr>
      <w:r>
        <w:rPr>
          <w:rFonts w:hint="eastAsia"/>
          <w:color w:val="FF0000"/>
          <w:highlight w:val="yellow"/>
        </w:rPr>
        <w:t>各省根据情况补充。</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各省根据情况可补充。</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乙方承诺为甲方提供终身免费7天</w:t>
      </w:r>
      <w:r>
        <w:rPr>
          <w:rFonts w:ascii="宋体" w:hAnsi="宋体" w:hint="eastAsia"/>
          <w:szCs w:val="21"/>
          <w:highlight w:val="yellow"/>
        </w:rPr>
        <w:t>×</w:t>
      </w:r>
      <w:r>
        <w:rPr>
          <w:rFonts w:ascii="宋体" w:hAnsi="宋体"/>
          <w:szCs w:val="21"/>
          <w:highlight w:val="yellow"/>
        </w:rPr>
        <w:t>24</w:t>
      </w:r>
      <w:r>
        <w:rPr>
          <w:rFonts w:ascii="宋体" w:hAnsi="宋体" w:hint="eastAsia"/>
          <w:szCs w:val="21"/>
          <w:highlight w:val="yellow"/>
        </w:rPr>
        <w:t>小时远程技术支持服务。在货物出现故障或接到甲方提出的技术服务要求后2小时内予以答复，1</w:t>
      </w:r>
      <w:r>
        <w:rPr>
          <w:rFonts w:ascii="宋体" w:hAnsi="宋体"/>
          <w:szCs w:val="21"/>
          <w:highlight w:val="yellow"/>
        </w:rPr>
        <w:t>2</w:t>
      </w:r>
      <w:r>
        <w:rPr>
          <w:rFonts w:ascii="宋体" w:hAnsi="宋体" w:hint="eastAsia"/>
          <w:szCs w:val="21"/>
          <w:highlight w:val="yellow"/>
        </w:rPr>
        <w:t>小时内给出维修方案。甲方有要求或必要时，乙方将在接到甲方通知后7</w:t>
      </w:r>
      <w:r>
        <w:rPr>
          <w:rFonts w:ascii="宋体" w:hAnsi="宋体"/>
          <w:szCs w:val="21"/>
          <w:highlight w:val="yellow"/>
        </w:rPr>
        <w:t>2</w:t>
      </w:r>
      <w:r>
        <w:rPr>
          <w:rFonts w:ascii="宋体" w:hAnsi="宋体" w:hint="eastAsia"/>
          <w:szCs w:val="21"/>
          <w:highlight w:val="yellow"/>
        </w:rPr>
        <w:t>小时内到达现场。</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szCs w:val="21"/>
          <w:highlight w:val="yellow"/>
        </w:rPr>
        <w:t>4）质保期内提供XX 次现场培训</w:t>
      </w:r>
    </w:p>
    <w:p>
      <w:pPr>
        <w:adjustRightInd w:val="0"/>
        <w:snapToGrid w:val="0"/>
        <w:spacing w:line="360" w:lineRule="auto"/>
        <w:ind w:left="420"/>
        <w:rPr>
          <w:b/>
        </w:rPr>
      </w:pPr>
      <w:r>
        <w:rPr>
          <w:rFonts w:hint="eastAsia"/>
          <w:b/>
        </w:rPr>
        <w:t>（5）安全生产责任</w:t>
      </w:r>
    </w:p>
    <w:p>
      <w:pPr>
        <w:pStyle w:val="BodyTextFirstIndent2"/>
        <w:ind w:left="0" w:leftChars="0"/>
        <w:rPr>
          <w:rFonts w:ascii="宋体" w:hAnsi="宋体"/>
          <w:color w:val="FF0000"/>
          <w:szCs w:val="21"/>
          <w:highlight w:val="yellow"/>
        </w:rPr>
      </w:pPr>
      <w:r>
        <w:rPr>
          <w:rFonts w:hint="eastAsia"/>
          <w:color w:val="FF0000"/>
          <w:highlight w:val="yellow"/>
        </w:rPr>
        <w:t>各省根据情况可补充</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10"/>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CellMar>
            <w:top w:w="0" w:type="dxa"/>
            <w:left w:w="108" w:type="dxa"/>
            <w:bottom w:w="0" w:type="dxa"/>
            <w:right w:w="108" w:type="dxa"/>
          </w:tblCellMar>
          <w:tblLook w:val="0000"/>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CellMar>
            <w:top w:w="0" w:type="dxa"/>
            <w:left w:w="108" w:type="dxa"/>
            <w:bottom w:w="0" w:type="dxa"/>
            <w:right w:w="108" w:type="dxa"/>
          </w:tblCellMar>
          <w:tblLook w:val="0000"/>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合同</w:t>
      </w:r>
      <w:r>
        <w:rPr>
          <w:rFonts w:ascii="宋体" w:hAnsi="宋体" w:hint="eastAsia"/>
          <w:szCs w:val="21"/>
        </w:rPr>
        <w:t>”</w:t>
      </w:r>
      <w:r>
        <w:rPr>
          <w:rFonts w:ascii="宋体" w:hAnsi="宋体" w:hint="eastAsia"/>
          <w:szCs w:val="21"/>
        </w:rPr>
        <w:t>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合同价款</w:t>
      </w:r>
      <w:r>
        <w:rPr>
          <w:rFonts w:ascii="宋体" w:hAnsi="宋体" w:hint="eastAsia"/>
          <w:szCs w:val="21"/>
        </w:rPr>
        <w:t>”</w:t>
      </w:r>
      <w:r>
        <w:rPr>
          <w:rFonts w:ascii="宋体" w:hAnsi="宋体" w:hint="eastAsia"/>
          <w:szCs w:val="21"/>
        </w:rPr>
        <w:t>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w:t>
      </w:r>
      <w:r>
        <w:rPr>
          <w:rFonts w:ascii="宋体" w:hAnsi="宋体" w:hint="eastAsia"/>
          <w:szCs w:val="21"/>
        </w:rPr>
        <w:t>“</w:t>
      </w:r>
      <w:r>
        <w:rPr>
          <w:rFonts w:ascii="宋体" w:hAnsi="宋体" w:hint="eastAsia"/>
          <w:szCs w:val="21"/>
        </w:rPr>
        <w:t>货物</w:t>
      </w:r>
      <w:r>
        <w:rPr>
          <w:rFonts w:ascii="宋体" w:hAnsi="宋体" w:hint="eastAsia"/>
          <w:szCs w:val="21"/>
        </w:rPr>
        <w:t>”</w:t>
      </w:r>
      <w:r>
        <w:rPr>
          <w:rFonts w:ascii="宋体" w:hAnsi="宋体" w:hint="eastAsia"/>
          <w:szCs w:val="21"/>
        </w:rPr>
        <w:t>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w:t>
      </w:r>
      <w:r>
        <w:rPr>
          <w:rFonts w:ascii="宋体" w:hAnsi="宋体" w:hint="eastAsia"/>
          <w:color w:val="000000"/>
          <w:szCs w:val="21"/>
        </w:rPr>
        <w:t>”</w:t>
      </w:r>
      <w:r>
        <w:rPr>
          <w:rFonts w:ascii="宋体" w:hAnsi="宋体" w:hint="eastAsia"/>
          <w:color w:val="000000"/>
          <w:szCs w:val="21"/>
        </w:rPr>
        <w:t>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分包</w:t>
      </w:r>
      <w:r>
        <w:rPr>
          <w:rFonts w:ascii="宋体" w:hAnsi="宋体" w:hint="eastAsia"/>
          <w:color w:val="000000"/>
          <w:szCs w:val="21"/>
        </w:rPr>
        <w:t>”</w:t>
      </w:r>
      <w:r>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w:t>
      </w:r>
      <w:r>
        <w:rPr>
          <w:rFonts w:ascii="宋体" w:hAnsi="宋体" w:hint="eastAsia"/>
          <w:szCs w:val="21"/>
        </w:rPr>
        <w:t>联合体</w:t>
      </w:r>
      <w:r>
        <w:rPr>
          <w:rFonts w:ascii="宋体" w:hAnsi="宋体" w:hint="eastAsia"/>
          <w:szCs w:val="21"/>
        </w:rPr>
        <w:t>”</w:t>
      </w:r>
      <w:r>
        <w:rPr>
          <w:rFonts w:ascii="宋体" w:hAnsi="宋体" w:hint="eastAsia"/>
          <w:szCs w:val="21"/>
        </w:rPr>
        <w:t>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4"/>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5"/>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6"/>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7"/>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8"/>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8"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Look w:val="0000"/>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spacing w:line="360" w:lineRule="auto"/>
        <w:ind w:firstLine="3066" w:firstLineChars="1460"/>
        <w:jc w:val="left"/>
        <w:rPr>
          <w:b/>
          <w:bCs/>
          <w:szCs w:val="21"/>
          <w:highlight w:val="none"/>
        </w:rPr>
      </w:pPr>
      <w:bookmarkEnd w:id="73"/>
    </w:p>
    <w:sectPr>
      <w:headerReference w:type="even" r:id="rId12"/>
      <w:headerReference w:type="default" r:id="rId13"/>
      <w:footerReference w:type="default" r:id="rId14"/>
      <w:headerReference w:type="first" r:id="rId15"/>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1530C5B"/>
    <w:multiLevelType w:val="singleLevel"/>
    <w:tmpl w:val="21530C5B"/>
    <w:lvl w:ilvl="0">
      <w:start w:val="1"/>
      <w:numFmt w:val="decimal"/>
      <w:lvlText w:val="%1)"/>
      <w:lvlJc w:val="left"/>
      <w:pPr>
        <w:ind w:left="56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73D3221"/>
    <w:multiLevelType w:val="singleLevel"/>
    <w:tmpl w:val="373D3221"/>
    <w:lvl w:ilvl="0">
      <w:start w:val="1"/>
      <w:numFmt w:val="decimal"/>
      <w:suff w:val="nothing"/>
      <w:lvlText w:val="（%1）"/>
      <w:lvlJc w:val="left"/>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E0846E6"/>
    <w:multiLevelType w:val="multilevel"/>
    <w:tmpl w:val="4E0846E6"/>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5C156407"/>
    <w:multiLevelType w:val="multilevel"/>
    <w:tmpl w:val="5C15640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7">
    <w:nsid w:val="7A0F6431"/>
    <w:multiLevelType w:val="singleLevel"/>
    <w:tmpl w:val="7A0F6431"/>
    <w:lvl w:ilvl="0">
      <w:start w:val="1"/>
      <w:numFmt w:val="decimal"/>
      <w:suff w:val="space"/>
      <w:lvlText w:val="%1."/>
      <w:lvlJc w:val="left"/>
    </w:lvl>
  </w:abstractNum>
  <w:abstractNum w:abstractNumId="18">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1"/>
  </w:num>
  <w:num w:numId="8">
    <w:abstractNumId w:val="5"/>
  </w:num>
  <w:num w:numId="9">
    <w:abstractNumId w:val="14"/>
  </w:num>
  <w:num w:numId="10">
    <w:abstractNumId w:val="17"/>
  </w:num>
  <w:num w:numId="11">
    <w:abstractNumId w:val="1"/>
  </w:num>
  <w:num w:numId="12">
    <w:abstractNumId w:val="9"/>
  </w:num>
  <w:num w:numId="13">
    <w:abstractNumId w:val="16"/>
  </w:num>
  <w:num w:numId="14">
    <w:abstractNumId w:val="3"/>
  </w:num>
  <w:num w:numId="15">
    <w:abstractNumId w:val="2"/>
  </w:num>
  <w:num w:numId="16">
    <w:abstractNumId w:val="12"/>
  </w:num>
  <w:num w:numId="17">
    <w:abstractNumId w:val="0"/>
  </w:num>
  <w:num w:numId="18">
    <w:abstractNumId w:val="4"/>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2E0"/>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link w:val="2Char"/>
    <w:pPr>
      <w:ind w:firstLine="420" w:firstLineChars="200"/>
    </w:pPr>
    <w:rPr>
      <w:rFonts w:ascii="Calibri" w:hAnsi="Calibri"/>
      <w:szCs w:val="22"/>
    </w:rPr>
  </w:style>
  <w:style w:type="character" w:customStyle="1" w:styleId="2Char">
    <w:name w:val="正文首行缩进 2 Char"/>
    <w:link w:val="BodyTextFirstIndent2"/>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3.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