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民航气象观测资料传输采购项目（重新招标）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民航气象观测资料传输采购项目（重新招标）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2025年10月27日—2026年10月26日</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国家气象信息中心交付</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2025年09月16日 00:00:00</w:t>
      </w:r>
      <w:bookmarkEnd w:id="26"/>
      <w:r>
        <w:rPr>
          <w:rFonts w:ascii="宋体" w:hint="eastAsia"/>
          <w:szCs w:val="21"/>
          <w:highlight w:val="none"/>
        </w:rPr>
        <w:t>至</w:t>
      </w:r>
      <w:bookmarkStart w:id="27" w:name="项目公告_signUpLastTime"/>
      <w:r>
        <w:rPr>
          <w:rFonts w:ascii="宋体" w:hint="eastAsia"/>
          <w:szCs w:val="21"/>
          <w:highlight w:val="none"/>
        </w:rPr>
        <w:t>2025年09月23日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石明远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010-58994373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不需要</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标的：民航气象观测资料传输 ，属于软件和信息技术服务业行业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是，代理服务费：2.4万元。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215.000000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215.000000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具有在有效期内的IS09001 质管理体系认证或同等质量管理体系认证证书、ISO 27001信息安全管理体系证书、ISO20000信息技术服务管理体系认证证书。每提供1个得2分，最高得6分。不提供得0分。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提供在获取AMDAR资料或相近行业承接的，与本项目类似的项目的合同复印件。提供1份合同得2分，提供2份合同得5分，提供3份合同得8分。否则不得分。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提供客户单位出具同类开发、服务、维护项目评价良好的证明文件。每提供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1、应组成服务团队，服务团队3人的得2分，服务团队5人的得3分，最高3分；</w:t>
              <w:cr/>
              <w:t>2、服务团队负责人（项目经理）应有民航航空数据通信服务与相关业务的系统集成与专业技术服务专业背景，高级工程师证书（或信息系统项目管理师证书），有同类项目工作经验3年以上。完全满足得3分，否则不得分；</w:t>
              <w:cr/>
              <w:t>3、除服务团队负责人（项目经理）之外，服务团队应包含有VHF地空数据通信网络和铱星网络下传两种方式获取AMDAR资料的人员，每具备一个专业得1分，最多得2分；</w:t>
              <w:cr/>
              <w:t>4、除服务团队负责人（项目经理）之外，服务团队其他成员应有2年以上获取AMDAR资料的工作经历，每有1名得1分，最多得2分。</w:t>
              <w:cr/>
              <w:t>以上满分10分。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(3)</w:t>
            </w:r>
          </w:p>
        </w:tc>
        <w:tc>
          <w:tcPr/>
          <w:p>
            <w:r>
              <w:t>评审标准：</w:t>
            </w:r>
          </w:p>
          <w:p>
            <w:r>
              <w:t>针对以下业务需求与用户需求提供分析方案。</w:t>
              <w:cr/>
              <w:t>（1）参照WMO发布的《Guide to Aircraft-based Observations》，提供基于飞机高空观测的高空气象数据，数据覆盖全球范围。</w:t>
              <w:cr/>
              <w:t>（2）气象观测数据要素至少包含风向、风速、静温，以及观测数据对应的采集时间（精确到分钟）、高度、经度和纬度要素。</w:t>
              <w:cr/>
              <w:t>（3）按照年度计算，平均每日提供的经质量控制的有效观测数据数量不少于50,000个，数据延迟不大于5分钟，有效观测数据中必须包含不少于15%的中国西部（东经70度至东经104度，北纬20度至北纬50度）地区的数据。</w:t>
              <w:cr/>
              <w:t>（4）根据要求配置国际交换数据的经纬度区域范围，并支持进行配置调整。</w:t>
              <w:cr/>
              <w:t>（5）实时对甲方的数据质量控制要求，观测数据采集要求等业务需求进行响应。</w:t>
              <w:cr/>
              <w:t>（6）根据甲方的业务要求，进行相关的技术支持，包含但不限于采用培训、会议、讲座等方式。</w:t>
              <w:cr/>
              <w:t>（7）在系统发生故障时，及时进行问题修复，并补发缺少的AMDAR资料。</w:t>
              <w:c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依据招标人提供的服务标准约束条件，采用符合WMO等相关行业标准的方法提供所需的数据要素，采取必要的数据要素质量控制措施，以及标准化的数据编码和数据传输方法，技术方案详细，质量控制方法和程序运用得当。</w:t>
              <w:c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可提供包括中国在内的全球范围数据；年度日均数据量不少于50,000个有效观测点，且数据传输时延不大于5分钟；观测数据包含风向、风速、静温，以及数据采集时间（到分钟）、高度、经度、纬度要素；每日提供的有效观测数据中包含不少于15%的中国西部地区观测数据；提供可以配置的国际交换数据区域和中国西部地区的当前经纬度配置参数。</w:t>
              <w:cr/>
              <w:t>2、持采用白名单机制进行国际交换数据的飞机机尾号设置；同时支持飞机机尾号的加密推送方式。</w:t>
              <w:cr/>
              <w:t>3、可按照从地面0米至16,000米高度切分为不少于10个高度层对各数据要素进行质量控制，每个高度层包含多个数据要素，且提供数据要素的最大值与最小值；有效观测数据中的全部要素采用BUFR编码格式进行数据编码并向外推送；支持文件方式数据交换。</w:t>
              <w:cr/>
              <w:t>4、按月提供月度数传输质量情况报告，报告内容包含中国民航航班运行情况，当月数据范围（数据分布图和热力图方式）、总数据量和逐日数据量，按月统计的每日24小时逐小时数据量分布情况、中国西部地区逐日数据量，国际交换逐日数据量。</w:t>
              <w:cr/>
              <w:t>5、提供年度数传输质量情况总报告，报告内容包含当年数据范围（数据分布图和热力图方式）、总数据量、当年日均数据量，中国西部数据总量和日均数据量，国际交换总数据量和日均数据量。</w:t>
              <w:cr/>
              <w:t>6、提供包含观测数据要素提取的技术架构图，以及包含观测数据中的要素采集、要素提取和归一化处理、数据要素质量控制、数据要素分类等业务服务流程、观测数据分类推送的业务逻辑、数据打包和传输方法；提供不少于3种飞机下发的原始观测数据的报文样例，并给出提取相关要素后的数据分析结果。</w:t>
              <w:cr/>
              <w:t>7、按民航气象观测资料领域的技术标准规范，提供民航气象观测资料的实时传输。正常情况下，年度应确保每天传输符合要求的气象报文40,000份以上。在提供新增民航气象观测资料时，应及时通报甲方。平均日报文数量在40,000份以上，为四挡；平均日报文数量在30,000份以上，为三挡；平均日报文数量在20,000份以上，为二挡；平均日报文数量在10,000份以下，为一挡。</w:t>
              <w:cr/>
              <w:t>8、提供对民航气象观测资料实时传输业务的监视，确保系统稳定运行。发现技术服务异常，在30分钟内及时通知，并在2小时内恢复系统故障，并尽可能补充服务异常期间的民航气象观测资料。</w:t>
              <w:cr/>
              <w:t>以上每项服务内容：</w:t>
              <w:cr/>
              <w:t>一档0分</w:t>
              <w:cr/>
              <w:t>二档0.5分</w:t>
              <w:cr/>
              <w:t>三档1.5分</w:t>
              <w:cr/>
              <w:t>四档2.5分</w:t>
              <w:cr/>
              <w:t>以上共计8项服务内容，满分20分。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区间打分</w:t>
            </w:r>
            <w:r>
              <w:t>(15)</w:t>
            </w:r>
          </w:p>
        </w:tc>
        <w:tc>
          <w:tcPr/>
          <w:p>
            <w:r>
              <w:t>评审标准：</w:t>
            </w:r>
          </w:p>
          <w:p>
            <w:r>
              <w:t>1、服务内容一：全球范围内年度日均有效观测点指标优于第七章采购需求的规定达到55,000份或以上，得4分；</w:t>
              <w:cr/>
              <w:t>2、服务内容二：数据传输时延指标优于第七章采购需求的规定达到4分钟或4分钟以内，得4分；</w:t>
              <w:cr/>
              <w:t>3、服务内容三：中国西部地区观测数据指标优于第七章采购需求的规定达到每日有效观测数据量中包含多于17%的中国西部地区数据，得3分；</w:t>
              <w:cr/>
              <w:t>4、服务内容四：按照观测数据所在的高度层对各气象数据要素进行质量控制指标优于第七章采购需求的规定达到从地面0米至16,000米高度切分，多于12个高度层，得4分</w:t>
            </w:r>
          </w:p>
          <w:p>
            <w:r>
              <w:t>评审标准说明：</w:t>
            </w:r>
          </w:p>
          <w:p>
            <w:r>
              <w:t>需提供第三方出具证明材料，并加盖投标人公章。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一、</w:t>
      </w:r>
      <w:r>
        <w:rPr>
          <w:rFonts w:ascii="Times New Roman" w:eastAsia="宋体" w:hAnsi="Times New Roman"/>
          <w:kern w:val="0"/>
          <w:sz w:val="21"/>
          <w:szCs w:val="21"/>
        </w:rPr>
        <w:tab/>
      </w:r>
      <w:r>
        <w:rPr>
          <w:rFonts w:ascii="Times New Roman" w:eastAsia="宋体" w:hAnsi="Times New Roman" w:hint="eastAsia"/>
          <w:kern w:val="0"/>
          <w:sz w:val="21"/>
          <w:szCs w:val="21"/>
        </w:rPr>
        <w:t>项目现状</w:t>
      </w:r>
    </w:p>
    <w:p>
      <w:pPr>
        <w:pStyle w:val="42"/>
        <w:spacing w:line="360" w:lineRule="auto"/>
        <w:ind w:firstLine="420"/>
        <w:rPr>
          <w:sz w:val="21"/>
          <w:szCs w:val="21"/>
        </w:rPr>
      </w:pPr>
      <w:r>
        <w:rPr>
          <w:rFonts w:hint="eastAsia"/>
          <w:sz w:val="21"/>
          <w:szCs w:val="21"/>
        </w:rPr>
        <w:t>航空器气象资料下传（Aircraft Meteorological Data Relay，简称AMDAR）是国际民航组织（ICAO）和世界气象组织（WMO）在全球范围内积极推动的项目。从2002年底开始，中国气象局与民航部门之间进行了民用航空器探测气象资料的采集传输试验，完成了资料的编解码工作，建立了资料接收平台。并从2003年5月开始，AMDAR资料并入国家气象中心实时数据库供数值预报室试验使用。2004年10月1日起，我国AMDAR资料开始参加全球电信系统（GTS）交换。目前，飞机采集的AMDAR数据，通过民航VHF地空数据通信网络或铱星方式下发，且仅可选择其中一种。2020年期间，已有多个航空公司由民航VHF地空数据通信网络改为通过全球铱星网络下传AMDAR资料。现需同时具备VHF地空数据通信网络和铱星两种方式接收AMDAR数据的公司提供相关服务。</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二、</w:t>
      </w:r>
      <w:r>
        <w:rPr>
          <w:rFonts w:ascii="Times New Roman" w:eastAsia="宋体" w:hAnsi="Times New Roman"/>
          <w:kern w:val="0"/>
          <w:sz w:val="21"/>
          <w:szCs w:val="21"/>
        </w:rPr>
        <w:tab/>
      </w:r>
      <w:r>
        <w:rPr>
          <w:rFonts w:ascii="Times New Roman" w:eastAsia="宋体" w:hAnsi="Times New Roman" w:hint="eastAsia"/>
          <w:kern w:val="0"/>
          <w:sz w:val="21"/>
          <w:szCs w:val="21"/>
        </w:rPr>
        <w:t>项目需求</w:t>
      </w:r>
    </w:p>
    <w:p>
      <w:pPr>
        <w:pStyle w:val="42"/>
        <w:spacing w:line="360" w:lineRule="auto"/>
        <w:ind w:firstLine="420"/>
        <w:rPr>
          <w:sz w:val="21"/>
          <w:szCs w:val="21"/>
        </w:rPr>
      </w:pPr>
      <w:r>
        <w:rPr>
          <w:rFonts w:hint="eastAsia"/>
          <w:sz w:val="21"/>
          <w:szCs w:val="21"/>
        </w:rPr>
        <w:t>1、参照WMO发布的《</w:t>
      </w:r>
      <w:r>
        <w:rPr>
          <w:sz w:val="21"/>
          <w:szCs w:val="21"/>
        </w:rPr>
        <w:t>Guide to Aircraft-based Observations</w:t>
      </w:r>
      <w:r>
        <w:rPr>
          <w:rFonts w:hint="eastAsia"/>
          <w:sz w:val="21"/>
          <w:szCs w:val="21"/>
        </w:rPr>
        <w:t>》，提供基于飞机高空观测的高空气象数据，数据覆盖全球范围。</w:t>
      </w:r>
    </w:p>
    <w:p>
      <w:pPr>
        <w:pStyle w:val="42"/>
        <w:spacing w:line="360" w:lineRule="auto"/>
        <w:ind w:firstLine="420"/>
        <w:rPr>
          <w:sz w:val="21"/>
          <w:szCs w:val="21"/>
        </w:rPr>
      </w:pPr>
      <w:r>
        <w:rPr>
          <w:sz w:val="21"/>
          <w:szCs w:val="21"/>
        </w:rPr>
        <w:t>2</w:t>
      </w:r>
      <w:r>
        <w:rPr>
          <w:rFonts w:hint="eastAsia"/>
          <w:sz w:val="21"/>
          <w:szCs w:val="21"/>
        </w:rPr>
        <w:t>、气象观测数据要素至少包含风向、风速、静温，以及观测数据对应的采集时间（精确到分钟）、高度、经度和纬度要素。</w:t>
      </w:r>
    </w:p>
    <w:p>
      <w:pPr>
        <w:pStyle w:val="42"/>
        <w:spacing w:line="360" w:lineRule="auto"/>
        <w:ind w:firstLine="420"/>
        <w:rPr>
          <w:sz w:val="21"/>
          <w:szCs w:val="21"/>
        </w:rPr>
      </w:pPr>
      <w:r>
        <w:rPr>
          <w:sz w:val="21"/>
          <w:szCs w:val="21"/>
        </w:rPr>
        <w:t>3</w:t>
      </w:r>
      <w:r>
        <w:rPr>
          <w:rFonts w:hint="eastAsia"/>
          <w:sz w:val="21"/>
          <w:szCs w:val="21"/>
        </w:rPr>
        <w:t>、按照年度计算，平均每日提供的经质量控制的有效观测数据数量不少于50,000个，数据延迟不大于5分钟，有效观测数据中必须包含不少于15%的中国西部（东经70度至东经104度，北纬20度至北纬50度）地区的数据。</w:t>
      </w:r>
    </w:p>
    <w:p>
      <w:pPr>
        <w:pStyle w:val="42"/>
        <w:spacing w:line="360" w:lineRule="auto"/>
        <w:ind w:firstLine="420"/>
        <w:rPr>
          <w:sz w:val="21"/>
          <w:szCs w:val="21"/>
        </w:rPr>
      </w:pPr>
      <w:r>
        <w:rPr>
          <w:sz w:val="21"/>
          <w:szCs w:val="21"/>
        </w:rPr>
        <w:t>4</w:t>
      </w:r>
      <w:r>
        <w:rPr>
          <w:rFonts w:hint="eastAsia"/>
          <w:sz w:val="21"/>
          <w:szCs w:val="21"/>
        </w:rPr>
        <w:t>、根据要求配置国际交换数据的经纬度区域范围，并支持进行配置调整。</w:t>
      </w:r>
    </w:p>
    <w:p>
      <w:pPr>
        <w:pStyle w:val="42"/>
        <w:spacing w:line="360" w:lineRule="auto"/>
        <w:ind w:firstLine="420"/>
        <w:rPr>
          <w:sz w:val="21"/>
          <w:szCs w:val="21"/>
        </w:rPr>
      </w:pPr>
      <w:r>
        <w:rPr>
          <w:sz w:val="21"/>
          <w:szCs w:val="21"/>
        </w:rPr>
        <w:t>5</w:t>
      </w:r>
      <w:r>
        <w:rPr>
          <w:rFonts w:hint="eastAsia"/>
          <w:sz w:val="21"/>
          <w:szCs w:val="21"/>
        </w:rPr>
        <w:t>、实时对甲方的数据质量控制要求，观测数据采集要求等业务需求进行响应。</w:t>
      </w:r>
    </w:p>
    <w:p>
      <w:pPr>
        <w:pStyle w:val="42"/>
        <w:spacing w:line="360" w:lineRule="auto"/>
        <w:ind w:firstLine="420"/>
        <w:rPr>
          <w:sz w:val="21"/>
          <w:szCs w:val="21"/>
        </w:rPr>
      </w:pPr>
      <w:r>
        <w:rPr>
          <w:rFonts w:hint="eastAsia"/>
          <w:sz w:val="21"/>
          <w:szCs w:val="21"/>
        </w:rPr>
        <w:t>6、根据甲方的业务要求，进行相关的技术支持，包含但不限于采用培训、会议、讲座等方式。</w:t>
      </w:r>
    </w:p>
    <w:p>
      <w:pPr>
        <w:pStyle w:val="42"/>
        <w:spacing w:line="360" w:lineRule="auto"/>
        <w:ind w:firstLine="420"/>
        <w:rPr>
          <w:sz w:val="21"/>
          <w:szCs w:val="21"/>
        </w:rPr>
      </w:pPr>
      <w:r>
        <w:rPr>
          <w:sz w:val="21"/>
          <w:szCs w:val="21"/>
        </w:rPr>
        <w:t>7</w:t>
      </w:r>
      <w:r>
        <w:rPr>
          <w:rFonts w:hint="eastAsia"/>
          <w:sz w:val="21"/>
          <w:szCs w:val="21"/>
        </w:rPr>
        <w:t>、在系统发生故障时，及时进行问题修复，并补发缺少的AMDAR资料。</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三、</w:t>
      </w:r>
      <w:r>
        <w:rPr>
          <w:rFonts w:ascii="Times New Roman" w:eastAsia="宋体" w:hAnsi="Times New Roman"/>
          <w:kern w:val="0"/>
          <w:sz w:val="21"/>
          <w:szCs w:val="21"/>
        </w:rPr>
        <w:tab/>
      </w:r>
      <w:r>
        <w:rPr>
          <w:rFonts w:ascii="Times New Roman" w:eastAsia="宋体" w:hAnsi="Times New Roman" w:hint="eastAsia"/>
          <w:kern w:val="0"/>
          <w:sz w:val="21"/>
          <w:szCs w:val="21"/>
        </w:rPr>
        <w:t>项目执行要求</w:t>
      </w:r>
    </w:p>
    <w:p>
      <w:pPr>
        <w:pStyle w:val="42"/>
        <w:spacing w:line="360" w:lineRule="auto"/>
        <w:ind w:firstLine="420"/>
        <w:rPr>
          <w:sz w:val="21"/>
          <w:szCs w:val="21"/>
        </w:rPr>
      </w:pPr>
      <w:r>
        <w:rPr>
          <w:rFonts w:hint="eastAsia"/>
          <w:sz w:val="21"/>
          <w:szCs w:val="21"/>
        </w:rPr>
        <w:t>1、采用符合WMO等相关行业标准的方法提供所需的数据要素，采取必要的数据要素质量控制措施，以及标准化的数据编码和数据传输方法，技术方案详细，质量控制方法和程序运用得当。</w:t>
      </w:r>
    </w:p>
    <w:p>
      <w:pPr>
        <w:ind w:firstLine="420" w:firstLineChars="200"/>
        <w:rPr>
          <w:rFonts w:ascii="宋体" w:hAnsi="宋体" w:cs="宋体"/>
        </w:rPr>
      </w:pPr>
      <w:r>
        <w:rPr>
          <w:szCs w:val="21"/>
        </w:rPr>
        <w:t>2</w:t>
      </w:r>
      <w:r>
        <w:rPr>
          <w:rFonts w:hint="eastAsia"/>
          <w:szCs w:val="21"/>
        </w:rPr>
        <w:t>、提供在有效期内的IS09001 质管理体系认证或同等质量管理体系认证证书、</w:t>
      </w:r>
      <w:r>
        <w:rPr>
          <w:rFonts w:ascii="宋体" w:hAnsi="宋体" w:cs="宋体" w:hint="eastAsia"/>
        </w:rPr>
        <w:t xml:space="preserve">ISO </w:t>
      </w:r>
      <w:r>
        <w:rPr>
          <w:rFonts w:ascii="宋体" w:hAnsi="宋体" w:cs="宋体" w:hint="eastAsia"/>
          <w:spacing w:val="-1"/>
        </w:rPr>
        <w:t>27001信息安全管理体系证书、</w:t>
      </w:r>
      <w:r>
        <w:rPr>
          <w:rFonts w:ascii="宋体" w:hAnsi="宋体" w:cs="宋体" w:hint="eastAsia"/>
        </w:rPr>
        <w:t>ISO20000信息技术服务管理体系认证证书。</w:t>
      </w:r>
    </w:p>
    <w:p>
      <w:pPr>
        <w:pStyle w:val="42"/>
        <w:spacing w:line="360" w:lineRule="auto"/>
        <w:ind w:firstLine="420"/>
        <w:rPr>
          <w:sz w:val="21"/>
          <w:szCs w:val="21"/>
        </w:rPr>
      </w:pPr>
      <w:r>
        <w:rPr>
          <w:sz w:val="21"/>
          <w:szCs w:val="21"/>
        </w:rPr>
        <w:t>3</w:t>
      </w:r>
      <w:r>
        <w:rPr>
          <w:rFonts w:hint="eastAsia"/>
          <w:sz w:val="21"/>
          <w:szCs w:val="21"/>
        </w:rPr>
        <w:t>、 提供近3年在获取AMDAR资料等相近行业承接的，与本项目类似的项目的合同复印件（所提供材料必须包括合同首页、合同金额所在页、签字盖章页、合同标的页）。</w:t>
      </w:r>
    </w:p>
    <w:p>
      <w:pPr>
        <w:pStyle w:val="42"/>
        <w:spacing w:line="360" w:lineRule="auto"/>
        <w:ind w:firstLine="420"/>
        <w:rPr>
          <w:sz w:val="21"/>
          <w:szCs w:val="21"/>
        </w:rPr>
      </w:pPr>
      <w:r>
        <w:rPr>
          <w:rFonts w:hint="eastAsia"/>
          <w:sz w:val="21"/>
          <w:szCs w:val="21"/>
        </w:rPr>
        <w:t>4、提供近</w:t>
      </w:r>
      <w:r>
        <w:rPr>
          <w:sz w:val="21"/>
          <w:szCs w:val="21"/>
        </w:rPr>
        <w:t>3</w:t>
      </w:r>
      <w:r>
        <w:rPr>
          <w:rFonts w:hint="eastAsia"/>
          <w:sz w:val="21"/>
          <w:szCs w:val="21"/>
        </w:rPr>
        <w:t>年客户单位出具同类开发、服务、维护项目评价良好的证明文件。</w:t>
      </w:r>
    </w:p>
    <w:p>
      <w:pPr>
        <w:pStyle w:val="42"/>
        <w:spacing w:line="360" w:lineRule="auto"/>
        <w:ind w:firstLine="420"/>
        <w:rPr>
          <w:sz w:val="21"/>
          <w:szCs w:val="21"/>
        </w:rPr>
      </w:pPr>
      <w:r>
        <w:rPr>
          <w:rFonts w:hint="eastAsia"/>
          <w:sz w:val="21"/>
          <w:szCs w:val="21"/>
        </w:rPr>
        <w:t>5、</w:t>
      </w:r>
      <w:r>
        <w:rPr>
          <w:sz w:val="21"/>
          <w:szCs w:val="21"/>
        </w:rPr>
        <w:t>提供质量保障与实施方案，提出合理的项目全过程质量保证措施，过程检查有明确依据，质量保证工作量化。</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四、项目标的</w:t>
      </w:r>
    </w:p>
    <w:p>
      <w:pPr>
        <w:snapToGrid w:val="0"/>
        <w:spacing w:line="360" w:lineRule="auto"/>
        <w:ind w:firstLine="420" w:firstLineChars="200"/>
        <w:rPr>
          <w:rFonts w:ascii="宋体" w:hAnsi="宋体"/>
          <w:szCs w:val="21"/>
        </w:rPr>
      </w:pPr>
      <w:r>
        <w:rPr>
          <w:rFonts w:ascii="宋体" w:hAnsi="宋体" w:hint="eastAsia"/>
          <w:szCs w:val="21"/>
          <w:lang w:eastAsia="zh-CN"/>
        </w:rPr>
        <w:t>服务</w:t>
      </w:r>
      <w:r>
        <w:rPr>
          <w:rFonts w:ascii="宋体" w:hAnsi="宋体" w:hint="eastAsia"/>
          <w:szCs w:val="21"/>
        </w:rPr>
        <w:t>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24"/>
        <w:gridCol w:w="2131"/>
        <w:gridCol w:w="1061"/>
        <w:gridCol w:w="1276"/>
        <w:gridCol w:w="233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624" w:type="dxa"/>
            <w:vAlign w:val="center"/>
          </w:tcPr>
          <w:p>
            <w:pPr>
              <w:tabs>
                <w:tab w:val="left" w:pos="1573"/>
              </w:tabs>
              <w:autoSpaceDE w:val="0"/>
              <w:autoSpaceDN w:val="0"/>
              <w:snapToGrid w:val="0"/>
              <w:spacing w:line="360" w:lineRule="auto"/>
              <w:jc w:val="center"/>
              <w:rPr>
                <w:szCs w:val="21"/>
              </w:rPr>
            </w:pPr>
            <w:r>
              <w:rPr>
                <w:rFonts w:ascii="宋体" w:hAnsi="宋体"/>
                <w:szCs w:val="21"/>
              </w:rPr>
              <w:t>No.</w:t>
            </w:r>
          </w:p>
        </w:tc>
        <w:tc>
          <w:tcPr>
            <w:tcW w:w="2131" w:type="dxa"/>
            <w:vAlign w:val="center"/>
          </w:tcPr>
          <w:p>
            <w:pPr>
              <w:tabs>
                <w:tab w:val="left" w:pos="1573"/>
              </w:tabs>
              <w:autoSpaceDE w:val="0"/>
              <w:autoSpaceDN w:val="0"/>
              <w:snapToGrid w:val="0"/>
              <w:spacing w:line="360" w:lineRule="auto"/>
              <w:jc w:val="center"/>
              <w:rPr>
                <w:szCs w:val="21"/>
              </w:rPr>
            </w:pPr>
            <w:r>
              <w:rPr>
                <w:rFonts w:ascii="宋体" w:hAnsi="宋体" w:hint="eastAsia"/>
                <w:szCs w:val="21"/>
                <w:lang w:eastAsia="zh-CN"/>
              </w:rPr>
              <w:t>提供的服务内容</w:t>
            </w:r>
          </w:p>
        </w:tc>
        <w:tc>
          <w:tcPr>
            <w:tcW w:w="1061"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1276"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2339" w:type="dxa"/>
            <w:vAlign w:val="center"/>
          </w:tcPr>
          <w:p>
            <w:pPr>
              <w:tabs>
                <w:tab w:val="left" w:pos="1573"/>
              </w:tabs>
              <w:autoSpaceDE w:val="0"/>
              <w:autoSpaceDN w:val="0"/>
              <w:snapToGrid w:val="0"/>
              <w:spacing w:line="360" w:lineRule="auto"/>
              <w:jc w:val="center"/>
              <w:rPr>
                <w:rFonts w:ascii="宋体" w:hAnsi="宋体"/>
                <w:szCs w:val="21"/>
              </w:rPr>
            </w:pPr>
            <w:r>
              <w:rPr>
                <w:rFonts w:ascii="宋体" w:hAnsi="宋体" w:hint="eastAsia"/>
                <w:szCs w:val="21"/>
                <w:lang w:eastAsia="zh-CN"/>
              </w:rPr>
              <w:t>服务</w:t>
            </w:r>
            <w:r>
              <w:rPr>
                <w:rFonts w:ascii="宋体" w:hAnsi="宋体" w:hint="eastAsia"/>
                <w:szCs w:val="21"/>
              </w:rPr>
              <w:t>时间</w:t>
            </w:r>
          </w:p>
        </w:tc>
      </w:tr>
      <w:tr>
        <w:tblPrEx>
          <w:tblW w:w="0" w:type="auto"/>
          <w:jc w:val="center"/>
          <w:tblLayout w:type="fixed"/>
          <w:tblCellMar>
            <w:top w:w="0" w:type="dxa"/>
            <w:left w:w="108" w:type="dxa"/>
            <w:bottom w:w="0" w:type="dxa"/>
            <w:right w:w="108" w:type="dxa"/>
          </w:tblCellMar>
        </w:tblPrEx>
        <w:trPr>
          <w:jc w:val="center"/>
        </w:trPr>
        <w:tc>
          <w:tcPr>
            <w:tcW w:w="624" w:type="dxa"/>
            <w:vAlign w:val="center"/>
          </w:tcPr>
          <w:p>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1</w:t>
            </w:r>
          </w:p>
        </w:tc>
        <w:tc>
          <w:tcPr>
            <w:tcW w:w="2131" w:type="dxa"/>
            <w:vAlign w:val="center"/>
          </w:tcPr>
          <w:p>
            <w:pPr>
              <w:tabs>
                <w:tab w:val="left" w:pos="1573"/>
              </w:tabs>
              <w:autoSpaceDE w:val="0"/>
              <w:autoSpaceDN w:val="0"/>
              <w:snapToGrid w:val="0"/>
              <w:spacing w:line="360" w:lineRule="auto"/>
              <w:rPr>
                <w:rFonts w:ascii="宋体" w:hAnsi="宋体"/>
                <w:szCs w:val="21"/>
              </w:rPr>
            </w:pPr>
            <w:r>
              <w:rPr>
                <w:rFonts w:ascii="宋体" w:hAnsi="宋体" w:hint="eastAsia"/>
                <w:szCs w:val="21"/>
              </w:rPr>
              <w:t>航空器气象资料下传（AMDAR）服务</w:t>
            </w:r>
          </w:p>
        </w:tc>
        <w:tc>
          <w:tcPr>
            <w:tcW w:w="1061" w:type="dxa"/>
            <w:vAlign w:val="center"/>
          </w:tcPr>
          <w:p>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1套</w:t>
            </w:r>
          </w:p>
        </w:tc>
        <w:tc>
          <w:tcPr>
            <w:tcW w:w="1276" w:type="dxa"/>
            <w:vAlign w:val="center"/>
          </w:tcPr>
          <w:p>
            <w:pPr>
              <w:tabs>
                <w:tab w:val="left" w:pos="1573"/>
              </w:tabs>
              <w:autoSpaceDE w:val="0"/>
              <w:autoSpaceDN w:val="0"/>
              <w:snapToGrid w:val="0"/>
              <w:spacing w:line="360" w:lineRule="auto"/>
              <w:jc w:val="center"/>
              <w:rPr>
                <w:rFonts w:ascii="宋体" w:hAnsi="宋体"/>
                <w:szCs w:val="21"/>
              </w:rPr>
            </w:pPr>
            <w:r>
              <w:rPr>
                <w:rFonts w:asciiTheme="minorEastAsia" w:hAnsiTheme="minorEastAsia"/>
              </w:rPr>
              <w:t>2</w:t>
            </w:r>
            <w:r>
              <w:rPr>
                <w:rFonts w:asciiTheme="minorEastAsia" w:hAnsiTheme="minorEastAsia" w:hint="eastAsia"/>
              </w:rPr>
              <w:t>,</w:t>
            </w:r>
            <w:r>
              <w:rPr>
                <w:rFonts w:asciiTheme="minorEastAsia" w:hAnsiTheme="minorEastAsia"/>
              </w:rPr>
              <w:t>15</w:t>
            </w:r>
            <w:r>
              <w:rPr>
                <w:rFonts w:asciiTheme="minorEastAsia" w:hAnsiTheme="minorEastAsia" w:hint="eastAsia"/>
              </w:rPr>
              <w:t>0,000</w:t>
            </w:r>
          </w:p>
        </w:tc>
        <w:tc>
          <w:tcPr>
            <w:tcW w:w="2339" w:type="dxa"/>
            <w:vAlign w:val="center"/>
          </w:tcPr>
          <w:p>
            <w:pPr>
              <w:tabs>
                <w:tab w:val="left" w:pos="1573"/>
              </w:tabs>
              <w:autoSpaceDE w:val="0"/>
              <w:autoSpaceDN w:val="0"/>
              <w:snapToGrid w:val="0"/>
              <w:spacing w:line="360" w:lineRule="auto"/>
              <w:jc w:val="center"/>
              <w:rPr>
                <w:rFonts w:ascii="宋体" w:hAnsi="宋体"/>
                <w:szCs w:val="21"/>
              </w:rPr>
            </w:pPr>
            <w:r>
              <w:rPr>
                <w:rFonts w:ascii="宋体" w:hAnsi="宋体" w:hint="eastAsia"/>
                <w:szCs w:val="21"/>
                <w:lang w:val="en-US" w:eastAsia="zh-CN"/>
              </w:rPr>
              <w:t>2025年10月27日——</w:t>
            </w:r>
            <w:r>
              <w:rPr>
                <w:rFonts w:ascii="宋体" w:hAnsi="宋体" w:hint="eastAsia"/>
                <w:szCs w:val="21"/>
              </w:rPr>
              <w:t>2026年</w:t>
            </w:r>
            <w:r>
              <w:rPr>
                <w:rFonts w:ascii="宋体" w:hAnsi="宋体"/>
                <w:szCs w:val="21"/>
              </w:rPr>
              <w:t>10</w:t>
            </w:r>
            <w:r>
              <w:rPr>
                <w:rFonts w:ascii="宋体" w:hAnsi="宋体" w:hint="eastAsia"/>
                <w:szCs w:val="21"/>
              </w:rPr>
              <w:t>月</w:t>
            </w:r>
            <w:r>
              <w:rPr>
                <w:rFonts w:ascii="宋体" w:hAnsi="宋体"/>
                <w:szCs w:val="21"/>
              </w:rPr>
              <w:t>26</w:t>
            </w:r>
            <w:r>
              <w:rPr>
                <w:rFonts w:ascii="宋体" w:hAnsi="宋体" w:hint="eastAsia"/>
                <w:szCs w:val="21"/>
              </w:rPr>
              <w:t>日</w:t>
            </w:r>
          </w:p>
        </w:tc>
      </w:tr>
    </w:tbl>
    <w:p>
      <w:pPr>
        <w:pStyle w:val="42"/>
        <w:spacing w:line="360" w:lineRule="auto"/>
        <w:ind w:firstLine="0" w:firstLineChars="0"/>
        <w:rPr>
          <w:sz w:val="21"/>
          <w:szCs w:val="21"/>
        </w:rPr>
      </w:pP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五、</w:t>
      </w:r>
      <w:r>
        <w:rPr>
          <w:rFonts w:ascii="Times New Roman" w:eastAsia="宋体" w:hAnsi="Times New Roman"/>
          <w:kern w:val="0"/>
          <w:sz w:val="21"/>
          <w:szCs w:val="21"/>
        </w:rPr>
        <w:tab/>
      </w:r>
      <w:r>
        <w:rPr>
          <w:rFonts w:ascii="Times New Roman" w:eastAsia="宋体" w:hAnsi="Times New Roman" w:hint="eastAsia"/>
          <w:kern w:val="0"/>
          <w:sz w:val="21"/>
          <w:szCs w:val="21"/>
        </w:rPr>
        <w:t>项目验收标准</w:t>
      </w:r>
    </w:p>
    <w:p>
      <w:pPr>
        <w:pStyle w:val="42"/>
        <w:spacing w:line="360" w:lineRule="auto"/>
        <w:ind w:firstLine="420"/>
        <w:rPr>
          <w:sz w:val="21"/>
          <w:szCs w:val="21"/>
        </w:rPr>
      </w:pPr>
      <w:r>
        <w:rPr>
          <w:rFonts w:hint="eastAsia"/>
          <w:sz w:val="21"/>
          <w:szCs w:val="21"/>
        </w:rPr>
        <w:t>1、提供包括中国在内的全球范围数据；年度日均数据量不少于50,000个有效观测点，且数据传输时延不大于5分钟；观测数据包含风向、风速、静温，以及数据采集时间（到分钟）、高度、经度、纬度要素；每日提供的有效观测数据中包含不少于15%的中国西部地区观测数据。</w:t>
      </w:r>
    </w:p>
    <w:p>
      <w:pPr>
        <w:pStyle w:val="42"/>
        <w:spacing w:line="360" w:lineRule="auto"/>
        <w:ind w:firstLine="420"/>
        <w:rPr>
          <w:sz w:val="21"/>
          <w:szCs w:val="21"/>
        </w:rPr>
      </w:pPr>
      <w:r>
        <w:rPr>
          <w:rFonts w:hint="eastAsia"/>
          <w:sz w:val="21"/>
          <w:szCs w:val="21"/>
        </w:rPr>
        <w:t>2、提供可以配置的国际交换数据区域和中国西部地区的当前经纬度配置参数。</w:t>
      </w:r>
    </w:p>
    <w:p>
      <w:pPr>
        <w:pStyle w:val="42"/>
        <w:spacing w:line="360" w:lineRule="auto"/>
        <w:ind w:firstLine="420"/>
        <w:rPr>
          <w:sz w:val="21"/>
          <w:szCs w:val="21"/>
        </w:rPr>
      </w:pPr>
      <w:r>
        <w:rPr>
          <w:rFonts w:hint="eastAsia"/>
          <w:sz w:val="21"/>
          <w:szCs w:val="21"/>
        </w:rPr>
        <w:t>3、支持采用白名单机制进行国际交换数据的飞机机尾号设置；同时支持飞机机尾号的加密推送方式。</w:t>
      </w:r>
    </w:p>
    <w:p>
      <w:pPr>
        <w:pStyle w:val="42"/>
        <w:spacing w:line="360" w:lineRule="auto"/>
        <w:ind w:firstLine="420"/>
        <w:rPr>
          <w:sz w:val="21"/>
          <w:szCs w:val="21"/>
        </w:rPr>
      </w:pPr>
      <w:r>
        <w:rPr>
          <w:rFonts w:hint="eastAsia"/>
          <w:sz w:val="21"/>
          <w:szCs w:val="21"/>
        </w:rPr>
        <w:t>4、可按照从地面0米至16,000米高度切分为不少于10个高度层对各数据要素进行质量控制，每个高度层包含多个数据要素，且提供数据要素的最大值与最小值；有效观测数据中的全部要素采用BUFR编码格式进行数据编码并向外推送；支持文件方式数据交换。</w:t>
      </w:r>
    </w:p>
    <w:p>
      <w:pPr>
        <w:pStyle w:val="42"/>
        <w:spacing w:line="360" w:lineRule="auto"/>
        <w:ind w:firstLine="420"/>
        <w:rPr>
          <w:sz w:val="21"/>
          <w:szCs w:val="21"/>
        </w:rPr>
      </w:pPr>
      <w:r>
        <w:rPr>
          <w:rFonts w:hint="eastAsia"/>
          <w:sz w:val="21"/>
          <w:szCs w:val="21"/>
        </w:rPr>
        <w:t>5、按月提供月度数传输质量情况报告，报告内容包含中国民航航班运行情况，当月数据范围（数据分布图和热力图方式）、总数据量和逐日数据量，按月统计的每日24小时逐小时数据量分布情况、中国西部地区逐日数据量，国际交换逐日数据量。</w:t>
      </w:r>
    </w:p>
    <w:p>
      <w:pPr>
        <w:pStyle w:val="42"/>
        <w:spacing w:line="360" w:lineRule="auto"/>
        <w:ind w:firstLine="420"/>
        <w:rPr>
          <w:sz w:val="21"/>
          <w:szCs w:val="21"/>
        </w:rPr>
      </w:pPr>
      <w:r>
        <w:rPr>
          <w:rFonts w:hint="eastAsia"/>
          <w:sz w:val="21"/>
          <w:szCs w:val="21"/>
        </w:rPr>
        <w:t>6、提供年度数传输质量情况总报告，报告内容包含当年数据范围（数据分布图和热力图方式）、总数据量、当年日均数据量，中国西部数据总量和日均数据量，国际交换总数据量和日均数据量。</w:t>
      </w:r>
    </w:p>
    <w:p>
      <w:pPr>
        <w:pStyle w:val="42"/>
        <w:spacing w:line="360" w:lineRule="auto"/>
        <w:ind w:firstLine="420"/>
        <w:rPr>
          <w:sz w:val="21"/>
          <w:szCs w:val="21"/>
        </w:rPr>
      </w:pPr>
      <w:r>
        <w:rPr>
          <w:rFonts w:hint="eastAsia"/>
          <w:sz w:val="21"/>
          <w:szCs w:val="21"/>
        </w:rPr>
        <w:t>7、提供包含观测数据要素提取的技术架构图，以及包含观测数据中的要素采集、要素提取和归一化处理、数据要素质量控制、数据要素分类等业务服务流程、观测数据分类推送的业务逻辑、数据打包和传输方法；提供不少于3种飞机下发的原始观测数据的报文样例，并给出提取相关要素后的数据分析结果。</w:t>
      </w:r>
    </w:p>
    <w:p>
      <w:pPr>
        <w:pStyle w:val="42"/>
        <w:spacing w:line="360" w:lineRule="auto"/>
        <w:ind w:firstLine="420"/>
        <w:rPr>
          <w:sz w:val="21"/>
          <w:szCs w:val="21"/>
        </w:rPr>
      </w:pPr>
      <w:r>
        <w:rPr>
          <w:rFonts w:hint="eastAsia"/>
          <w:sz w:val="21"/>
          <w:szCs w:val="21"/>
        </w:rPr>
        <w:t>8、按民航气象观测资料领域的技术标准规范，提供民航气象观测资料的实时传输。正常情况下，年度应确保每天传输符合要求的气象报文40,000份以上。在提供新增民航气象观测资料时，应及时通报甲方。</w:t>
      </w:r>
    </w:p>
    <w:p>
      <w:pPr>
        <w:pStyle w:val="42"/>
        <w:spacing w:line="360" w:lineRule="auto"/>
        <w:ind w:firstLine="420"/>
        <w:rPr>
          <w:sz w:val="21"/>
          <w:szCs w:val="21"/>
        </w:rPr>
      </w:pPr>
      <w:r>
        <w:rPr>
          <w:rFonts w:hint="eastAsia"/>
          <w:sz w:val="21"/>
          <w:szCs w:val="21"/>
        </w:rPr>
        <w:t>9、提供对民航气象观测资料实时传输业务的监视，确保系统稳定运行。发现技术服务异常，在30分钟内及时通知，并在2小时内恢复系统故障，并尽可能补充服务异常期间的民航气象观测资料。</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六、</w:t>
      </w:r>
      <w:r>
        <w:rPr>
          <w:rFonts w:ascii="Times New Roman" w:eastAsia="宋体" w:hAnsi="Times New Roman"/>
          <w:kern w:val="0"/>
          <w:sz w:val="21"/>
          <w:szCs w:val="21"/>
        </w:rPr>
        <w:tab/>
      </w:r>
      <w:r>
        <w:rPr>
          <w:rFonts w:ascii="Times New Roman" w:eastAsia="宋体" w:hAnsi="Times New Roman" w:hint="eastAsia"/>
          <w:kern w:val="0"/>
          <w:sz w:val="21"/>
          <w:szCs w:val="21"/>
        </w:rPr>
        <w:t>项目的人员及组织机构要求</w:t>
      </w:r>
    </w:p>
    <w:p>
      <w:pPr>
        <w:pStyle w:val="42"/>
        <w:spacing w:line="360" w:lineRule="auto"/>
        <w:ind w:firstLine="420"/>
        <w:rPr>
          <w:sz w:val="21"/>
          <w:szCs w:val="21"/>
        </w:rPr>
      </w:pPr>
      <w:r>
        <w:rPr>
          <w:rFonts w:hint="eastAsia"/>
          <w:sz w:val="21"/>
          <w:szCs w:val="21"/>
        </w:rPr>
        <w:t>应组成服务团队，服务团队负责人（项目经理）应有民航航空数据通信服务与相关业务的系统集成与专业技术服务专业背景，高级工程师证书（或信息系统项目管理师证书），有同类项目工作经验</w:t>
      </w:r>
      <w:r>
        <w:rPr>
          <w:sz w:val="21"/>
          <w:szCs w:val="21"/>
        </w:rPr>
        <w:t>3</w:t>
      </w:r>
      <w:r>
        <w:rPr>
          <w:rFonts w:hint="eastAsia"/>
          <w:sz w:val="21"/>
          <w:szCs w:val="21"/>
        </w:rPr>
        <w:t>年以上。</w:t>
      </w:r>
    </w:p>
    <w:p>
      <w:pPr>
        <w:pStyle w:val="42"/>
        <w:spacing w:line="360" w:lineRule="auto"/>
        <w:ind w:firstLine="420"/>
        <w:rPr>
          <w:sz w:val="21"/>
          <w:szCs w:val="21"/>
        </w:rPr>
      </w:pPr>
      <w:r>
        <w:rPr>
          <w:rFonts w:hint="eastAsia"/>
          <w:sz w:val="21"/>
          <w:szCs w:val="21"/>
        </w:rPr>
        <w:t>除服务团队负责人（项目经理）之外，服务团队应包含有VHF地空数据通信网络和铱星网络下传两种方式获取AMDAR资料的人员。</w:t>
      </w:r>
    </w:p>
    <w:p>
      <w:pPr>
        <w:pStyle w:val="42"/>
        <w:spacing w:line="360" w:lineRule="auto"/>
        <w:ind w:firstLine="420"/>
        <w:rPr>
          <w:sz w:val="21"/>
          <w:szCs w:val="21"/>
        </w:rPr>
      </w:pPr>
      <w:r>
        <w:rPr>
          <w:rFonts w:hint="eastAsia"/>
          <w:sz w:val="21"/>
          <w:szCs w:val="21"/>
        </w:rPr>
        <w:t>除服务团队负责人（项目经理）之外，服务团队其他成员应有2年以上获取AMDAR资料的工作经历。</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七、</w:t>
      </w:r>
      <w:r>
        <w:rPr>
          <w:rFonts w:ascii="Times New Roman" w:eastAsia="宋体" w:hAnsi="Times New Roman"/>
          <w:kern w:val="0"/>
          <w:sz w:val="21"/>
          <w:szCs w:val="21"/>
        </w:rPr>
        <w:tab/>
      </w:r>
      <w:r>
        <w:rPr>
          <w:rFonts w:ascii="Times New Roman" w:eastAsia="宋体" w:hAnsi="Times New Roman" w:hint="eastAsia"/>
          <w:kern w:val="0"/>
          <w:sz w:val="21"/>
          <w:szCs w:val="21"/>
        </w:rPr>
        <w:t>安全保密要求</w:t>
      </w:r>
    </w:p>
    <w:p>
      <w:pPr>
        <w:pStyle w:val="42"/>
        <w:spacing w:line="360" w:lineRule="auto"/>
        <w:ind w:firstLine="420"/>
        <w:rPr>
          <w:sz w:val="21"/>
          <w:szCs w:val="21"/>
        </w:rPr>
      </w:pPr>
      <w:r>
        <w:rPr>
          <w:rFonts w:hint="eastAsia"/>
          <w:sz w:val="21"/>
          <w:szCs w:val="21"/>
        </w:rPr>
        <w:t>投标人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供项目建设使用，投标人在项目执行过程中如发生气象数据丢失、转让或交易等行为，甲方将根据合同和相关法规要求乙方赔偿并追究法律责任。</w:t>
      </w:r>
    </w:p>
    <w:p>
      <w:pPr>
        <w:pStyle w:val="42"/>
        <w:spacing w:line="360" w:lineRule="auto"/>
        <w:ind w:firstLine="420"/>
        <w:rPr>
          <w:sz w:val="21"/>
          <w:szCs w:val="21"/>
        </w:rPr>
      </w:pPr>
      <w:r>
        <w:rPr>
          <w:rFonts w:hint="eastAsia"/>
          <w:sz w:val="21"/>
          <w:szCs w:val="21"/>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八、</w:t>
      </w:r>
      <w:r>
        <w:rPr>
          <w:rFonts w:ascii="Times New Roman" w:eastAsia="宋体" w:hAnsi="Times New Roman"/>
          <w:kern w:val="0"/>
          <w:sz w:val="21"/>
          <w:szCs w:val="21"/>
        </w:rPr>
        <w:tab/>
      </w:r>
      <w:r>
        <w:rPr>
          <w:rFonts w:ascii="Times New Roman" w:eastAsia="宋体" w:hAnsi="Times New Roman" w:hint="eastAsia"/>
          <w:kern w:val="0"/>
          <w:sz w:val="21"/>
          <w:szCs w:val="21"/>
        </w:rPr>
        <w:t>售后服务要求</w:t>
      </w:r>
    </w:p>
    <w:p>
      <w:pPr>
        <w:pStyle w:val="42"/>
        <w:spacing w:line="360" w:lineRule="auto"/>
        <w:ind w:firstLine="420"/>
        <w:rPr>
          <w:sz w:val="21"/>
          <w:szCs w:val="21"/>
        </w:rPr>
      </w:pPr>
      <w:r>
        <w:rPr>
          <w:rFonts w:hint="eastAsia"/>
          <w:sz w:val="21"/>
          <w:szCs w:val="21"/>
        </w:rPr>
        <w:t>本次招标要求投标人能够提供从</w:t>
      </w:r>
      <w:r>
        <w:rPr>
          <w:rFonts w:hint="eastAsia"/>
          <w:sz w:val="21"/>
          <w:szCs w:val="21"/>
          <w:lang w:eastAsia="zh-CN"/>
        </w:rPr>
        <w:t>服务交付</w:t>
      </w:r>
      <w:r>
        <w:rPr>
          <w:rFonts w:hint="eastAsia"/>
          <w:sz w:val="21"/>
          <w:szCs w:val="21"/>
        </w:rPr>
        <w:t>之日起为期</w:t>
      </w:r>
      <w:r>
        <w:rPr>
          <w:rFonts w:hint="eastAsia"/>
          <w:sz w:val="21"/>
          <w:szCs w:val="21"/>
          <w:lang w:eastAsia="zh-CN"/>
        </w:rPr>
        <w:t>一</w:t>
      </w:r>
      <w:r>
        <w:rPr>
          <w:rFonts w:hint="eastAsia"/>
          <w:sz w:val="21"/>
          <w:szCs w:val="21"/>
        </w:rPr>
        <w:t>年的质量保证期，质量保证期内提供免费现场技术支持服务。成立专门的技术支持小组，提供完善周到的技术支持提供完善及时的上门服务及技术支持，并提交书面承诺服务。</w:t>
      </w:r>
    </w:p>
    <w:p>
      <w:pPr>
        <w:pStyle w:val="42"/>
        <w:spacing w:line="360" w:lineRule="auto"/>
        <w:ind w:firstLine="420"/>
        <w:rPr>
          <w:sz w:val="21"/>
          <w:szCs w:val="21"/>
        </w:rPr>
      </w:pPr>
      <w:r>
        <w:rPr>
          <w:rFonts w:hint="eastAsia"/>
          <w:sz w:val="21"/>
          <w:szCs w:val="21"/>
        </w:rPr>
        <w:t>质量保证期内，系统发生异常情况，在接到招标人的通知后，中标人技术人员应提供7*24小时的服务响应，随时进行电话应答；60分钟内完成远程登录诊断；在2小时内到达现场解决疑难。</w:t>
      </w:r>
    </w:p>
    <w:p>
      <w:pPr>
        <w:pStyle w:val="42"/>
        <w:spacing w:line="360" w:lineRule="auto"/>
        <w:ind w:firstLine="420"/>
        <w:rPr>
          <w:sz w:val="21"/>
          <w:szCs w:val="21"/>
        </w:rPr>
      </w:pPr>
      <w:r>
        <w:rPr>
          <w:rFonts w:hint="eastAsia"/>
          <w:sz w:val="21"/>
          <w:szCs w:val="21"/>
        </w:rPr>
        <w:t>在质量保证期结束后，乙方应向甲方提供7*8小时的服务响应，保证甲方可以随时找到相应的技术人员，如有必要，要在12小时之内赶到现场予以技术支持。</w:t>
      </w:r>
    </w:p>
    <w:p>
      <w:pPr>
        <w:pStyle w:val="42"/>
        <w:spacing w:line="360" w:lineRule="auto"/>
        <w:ind w:firstLine="420"/>
        <w:rPr>
          <w:sz w:val="21"/>
          <w:szCs w:val="21"/>
        </w:rPr>
      </w:pPr>
      <w:r>
        <w:rPr>
          <w:rFonts w:hint="eastAsia"/>
          <w:sz w:val="21"/>
          <w:szCs w:val="21"/>
        </w:rPr>
        <w:t>质量保证期间的维护服务不收取任何额外费用，质量保证期后按合同约定进行维护。</w:t>
      </w:r>
    </w:p>
    <w:p>
      <w:pPr>
        <w:pStyle w:val="Heading2"/>
        <w:keepNext w:val="0"/>
        <w:keepLines w:val="0"/>
        <w:spacing w:before="24" w:after="0" w:line="480" w:lineRule="auto"/>
        <w:ind w:left="521" w:right="1678"/>
        <w:jc w:val="left"/>
        <w:rPr>
          <w:rFonts w:ascii="Times New Roman" w:eastAsia="宋体" w:hAnsi="Times New Roman"/>
          <w:kern w:val="0"/>
          <w:sz w:val="21"/>
          <w:szCs w:val="21"/>
        </w:rPr>
      </w:pPr>
      <w:r>
        <w:rPr>
          <w:rFonts w:ascii="Times New Roman" w:eastAsia="宋体" w:hAnsi="Times New Roman" w:hint="eastAsia"/>
          <w:kern w:val="0"/>
          <w:sz w:val="21"/>
          <w:szCs w:val="21"/>
        </w:rPr>
        <w:t>九、</w:t>
      </w:r>
      <w:r>
        <w:rPr>
          <w:rFonts w:ascii="Times New Roman" w:eastAsia="宋体" w:hAnsi="Times New Roman"/>
          <w:kern w:val="0"/>
          <w:sz w:val="21"/>
          <w:szCs w:val="21"/>
        </w:rPr>
        <w:tab/>
      </w:r>
      <w:r>
        <w:rPr>
          <w:rFonts w:ascii="Times New Roman" w:eastAsia="宋体" w:hAnsi="Times New Roman" w:hint="eastAsia"/>
          <w:kern w:val="0"/>
          <w:sz w:val="21"/>
          <w:szCs w:val="21"/>
        </w:rPr>
        <w:t>知识产权要求</w:t>
      </w:r>
    </w:p>
    <w:p>
      <w:pPr>
        <w:pStyle w:val="42"/>
        <w:spacing w:line="360" w:lineRule="auto"/>
        <w:ind w:firstLine="420"/>
        <w:rPr>
          <w:sz w:val="21"/>
          <w:szCs w:val="21"/>
        </w:rPr>
      </w:pPr>
      <w:r>
        <w:rPr>
          <w:rFonts w:hint="eastAsia"/>
          <w:sz w:val="21"/>
          <w:szCs w:val="21"/>
        </w:rPr>
        <w:t>全部及/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pPr>
        <w:pStyle w:val="42"/>
        <w:spacing w:line="360" w:lineRule="auto"/>
        <w:ind w:firstLine="420"/>
        <w:rPr>
          <w:sz w:val="21"/>
          <w:szCs w:val="21"/>
        </w:rPr>
      </w:pPr>
      <w:r>
        <w:rPr>
          <w:rFonts w:hint="eastAsia"/>
          <w:sz w:val="21"/>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pStyle w:val="42"/>
        <w:spacing w:line="360" w:lineRule="auto"/>
        <w:ind w:firstLine="420"/>
        <w:rPr>
          <w:sz w:val="21"/>
          <w:szCs w:val="21"/>
        </w:rPr>
      </w:pPr>
      <w:r>
        <w:rPr>
          <w:rFonts w:hint="eastAsia"/>
          <w:sz w:val="21"/>
          <w:szCs w:val="21"/>
        </w:rPr>
        <w:t>为甲方提供与本项目设计、开发和集成有关的各类技术咨询服务。</w:t>
      </w:r>
    </w:p>
    <w:p>
      <w:pPr>
        <w:pStyle w:val="42"/>
        <w:spacing w:line="360" w:lineRule="auto"/>
        <w:ind w:firstLine="420"/>
        <w:rPr>
          <w:sz w:val="21"/>
          <w:szCs w:val="21"/>
        </w:rPr>
      </w:pPr>
      <w:r>
        <w:rPr>
          <w:rFonts w:hint="eastAsia"/>
          <w:sz w:val="21"/>
          <w:szCs w:val="21"/>
        </w:rPr>
        <w:t>协助甲方预见本项目设计、开发和系统集成工作中和项目其他建设工作中可能发生的问题和困难，并向甲方提出解决的办法或建议。</w:t>
      </w:r>
    </w:p>
    <w:p>
      <w:pPr>
        <w:pStyle w:val="42"/>
        <w:spacing w:line="360" w:lineRule="auto"/>
        <w:ind w:firstLine="420"/>
        <w:rPr>
          <w:sz w:val="21"/>
          <w:szCs w:val="21"/>
        </w:rPr>
      </w:pPr>
      <w:r>
        <w:rPr>
          <w:rFonts w:hint="eastAsia"/>
          <w:sz w:val="21"/>
          <w:szCs w:val="21"/>
        </w:rPr>
        <w:t>在系统的运行维护阶段提供技术支持。对运行过程中出现的新问题提供建议和解决方案。</w:t>
      </w:r>
      <w:r>
        <w:rPr>
          <w:rFonts w:hint="eastAsia"/>
          <w:sz w:val="21"/>
          <w:szCs w:val="21"/>
        </w:rPr>
        <w:cr/>
      </w:r>
      <w:r>
        <w:rPr>
          <w:rFonts w:hint="eastAsia"/>
          <w:sz w:val="21"/>
          <w:szCs w:val="21"/>
        </w:rPr>
        <w:t>提供其他与项目相关的服务。</w:t>
      </w:r>
    </w:p>
    <w:p>
      <w:pPr>
        <w:pStyle w:val="42"/>
        <w:spacing w:line="360" w:lineRule="auto"/>
        <w:ind w:firstLine="420"/>
        <w:rPr>
          <w:sz w:val="21"/>
          <w:szCs w:val="21"/>
        </w:rPr>
      </w:pPr>
      <w:r>
        <w:rPr>
          <w:rFonts w:hint="eastAsia"/>
          <w:sz w:val="21"/>
          <w:szCs w:val="21"/>
        </w:rPr>
        <w:t>积极协助配合甲方开展与项目有关的工作。</w:t>
      </w:r>
    </w:p>
    <w:p>
      <w:pPr>
        <w:pStyle w:val="42"/>
        <w:spacing w:line="360" w:lineRule="auto"/>
        <w:ind w:firstLine="420"/>
        <w:rPr>
          <w:sz w:val="21"/>
          <w:szCs w:val="21"/>
        </w:rPr>
      </w:pPr>
      <w:r>
        <w:rPr>
          <w:rFonts w:hint="eastAsia"/>
          <w:sz w:val="21"/>
          <w:szCs w:val="21"/>
        </w:rPr>
        <w:t>技术支持工作需要及时、有效，充分满足项目建设的需求。</w:t>
      </w:r>
    </w:p>
    <w:p>
      <w:pPr>
        <w:pStyle w:val="42"/>
        <w:spacing w:line="360" w:lineRule="auto"/>
        <w:ind w:firstLine="420"/>
        <w:rPr>
          <w:sz w:val="21"/>
          <w:szCs w:val="21"/>
        </w:rPr>
      </w:pPr>
    </w:p>
    <w:p>
      <w:pPr>
        <w:pStyle w:val="42"/>
        <w:spacing w:line="360" w:lineRule="auto"/>
        <w:ind w:firstLine="420"/>
        <w:rPr>
          <w:sz w:val="21"/>
          <w:szCs w:val="21"/>
        </w:rPr>
      </w:pPr>
    </w:p>
    <w:p>
      <w:pPr>
        <w:spacing w:line="360" w:lineRule="auto"/>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5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Times New Roman" w:hint="eastAsia"/>
          <w:szCs w:val="21"/>
          <w:highlight w:val="none"/>
          <w:lang w:val="en-US" w:eastAsia="zh-CN"/>
        </w:rPr>
        <w:t xml:space="preserve"> </w:t>
      </w:r>
      <w:r>
        <w:rPr>
          <w:rFonts w:ascii="宋体" w:eastAsia="宋体" w:hAnsi="宋体" w:cs="微软雅黑" w:hint="eastAsia"/>
          <w:b/>
          <w:color w:val="0000FF"/>
          <w:kern w:val="0"/>
          <w:szCs w:val="21"/>
          <w:highlight w:val="none"/>
          <w:lang w:val="en-US" w:eastAsia="zh-CN"/>
        </w:rPr>
        <w:t>90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3、签署验收报告后付款：双方签署验收报告后7个工作日内，甲方向乙方支付合同总金额的</w:t>
      </w:r>
      <w:r>
        <w:rPr>
          <w:rFonts w:ascii="宋体" w:eastAsia="宋体" w:hAnsi="宋体" w:cs="Times New Roman" w:hint="eastAsia"/>
          <w:szCs w:val="21"/>
          <w:highlight w:val="none"/>
          <w:lang w:val="en-US" w:eastAsia="zh-CN"/>
        </w:rPr>
        <w:t xml:space="preserve"> </w:t>
      </w:r>
      <w:r>
        <w:rPr>
          <w:rFonts w:ascii="宋体" w:eastAsia="宋体" w:hAnsi="宋体" w:cs="微软雅黑" w:hint="eastAsia"/>
          <w:b/>
          <w:color w:val="0000FF"/>
          <w:kern w:val="0"/>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4、保修期满后付款：保修期满期满后7个工作日内，甲方向乙方支付合同总金额的</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noto sans thai">
    <w:panose1 w:val="020B0502040504020204"/>
    <w:charset w:val="00"/>
    <w:family w:val="auto"/>
    <w:pitch w:val="default"/>
    <w:sig w:usb0="81000063" w:usb1="00002000" w:usb2="00000000" w:usb3="00000000" w:csb0="00010001" w:csb1="00000000"/>
  </w:font>
  <w:font w:name="方正仿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华文楷体">
    <w:altName w:val="方正楷体_GBK"/>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42">
    <w:name w:val="正文小4号字缩进2字符"/>
    <w:link w:val="42Char1"/>
    <w:qFormat/>
    <w:pPr>
      <w:widowControl w:val="0"/>
      <w:tabs>
        <w:tab w:val="left" w:pos="2205"/>
      </w:tabs>
      <w:spacing w:line="400" w:lineRule="atLeast"/>
      <w:ind w:firstLine="600" w:firstLineChars="200"/>
      <w:jc w:val="both"/>
    </w:pPr>
    <w:rPr>
      <w:rFonts w:ascii="宋体" w:hAnsi="宋体"/>
      <w:color w:val="000000"/>
      <w:kern w:val="2"/>
      <w:sz w:val="30"/>
      <w:szCs w:val="24"/>
      <w:lang w:eastAsia="zh-CN"/>
    </w:rPr>
  </w:style>
  <w:style w:type="character" w:customStyle="1" w:styleId="42Char1">
    <w:name w:val="正文小4号字缩进2字符 Char1"/>
    <w:link w:val="42"/>
    <w:qFormat/>
    <w:locked/>
    <w:rPr>
      <w:rFonts w:ascii="宋体" w:hAnsi="宋体"/>
      <w:color w:val="000000"/>
      <w:kern w:val="2"/>
      <w:sz w:val="30"/>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