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上川岛S波段固态雷达观测策略比对评估及X波段相控阵测试</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上川岛S波段固态雷达观测策略比对评估及X波段相控阵测试</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ZQCD-25236</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合同签订后18个月内完成开发部署并具备验收条件。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2025年10月15日 00:00:00</w:t>
      </w:r>
      <w:bookmarkEnd w:id="27"/>
      <w:r>
        <w:rPr>
          <w:rFonts w:ascii="宋体" w:hint="eastAsia"/>
          <w:szCs w:val="21"/>
          <w:highlight w:val="none"/>
        </w:rPr>
        <w:t>至</w:t>
      </w:r>
      <w:bookmarkStart w:id="28" w:name="项目公告_signUpLastTime"/>
      <w:r>
        <w:rPr>
          <w:rFonts w:ascii="宋体" w:hint="eastAsia"/>
          <w:szCs w:val="21"/>
          <w:highlight w:val="none"/>
        </w:rPr>
        <w:t>2025年10月21日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2025年11月05日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李璐</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010-58993376</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是</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投标货物（不必须）取得《气象专用技术装备使用许可证》</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 xml:space="preserve">（允许）代理商投标 </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针对以下产品允许代理商投标：天气雷达边缘缓存设备；</w:t>
            </w:r>
          </w:p>
          <w:p>
            <w:pPr>
              <w:rPr>
                <w:rFonts w:ascii="宋体" w:eastAsia="宋体" w:hAnsi="宋体" w:cs="微软雅黑" w:hint="eastAsia"/>
                <w:kern w:val="0"/>
                <w:szCs w:val="21"/>
                <w:highlight w:val="none"/>
              </w:rPr>
            </w:pPr>
            <w:r>
              <w:rPr>
                <w:rFonts w:ascii="宋体" w:eastAsia="宋体" w:hAnsi="宋体" w:cs="微软雅黑" w:hint="eastAsia"/>
                <w:kern w:val="0"/>
                <w:szCs w:val="21"/>
                <w:highlight w:val="none"/>
              </w:rPr>
              <w:t>（不允许）进口产品投标</w:t>
            </w:r>
          </w:p>
          <w:p>
            <w:pPr>
              <w:rPr>
                <w:rFonts w:ascii="宋体" w:eastAsia="宋体" w:hAnsi="宋体" w:cs="微软雅黑" w:hint="eastAsia"/>
                <w:kern w:val="0"/>
                <w:szCs w:val="21"/>
                <w:highlight w:val="none"/>
              </w:rPr>
            </w:pP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r>
              <w:rPr>
                <w:rFonts w:ascii="宋体" w:eastAsia="宋体" w:hAnsi="宋体" w:cs="微软雅黑"/>
                <w:b/>
                <w:color w:val="0000FF"/>
                <w:kern w:val="0"/>
                <w:szCs w:val="21"/>
                <w:highlight w:val="none"/>
              </w:rPr>
              <w:t>不涉及</w:t>
            </w:r>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（1）标的：上川岛S波段固态发射机设备升级及X波段相控阵测试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是，代理服务费：2.8万元。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265.000000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265.000000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1"/>
        <w:gridCol w:w="296"/>
        <w:gridCol w:w="875"/>
        <w:gridCol w:w="296"/>
        <w:gridCol w:w="73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w:t>
            </w:r>
          </w:p>
        </w:tc>
        <w:tc>
          <w:tcPr/>
          <w:p>
            <w:r>
              <w:t>勾选打分</w:t>
            </w:r>
            <w:r>
              <w:t>(2)</w:t>
            </w:r>
          </w:p>
        </w:tc>
        <w:tc>
          <w:tcPr/>
          <w:p>
            <w:r>
              <w:t>评审标准：</w:t>
            </w:r>
          </w:p>
          <w:p>
            <w:r>
              <w:t>投标人具有ISO9000系列或GJB9001B质量管理体系认证，得2分。否则不得分。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(10)</w:t>
            </w:r>
          </w:p>
        </w:tc>
        <w:tc>
          <w:tcPr/>
          <w:p>
            <w:r>
              <w:t>评审标准：</w:t>
            </w:r>
          </w:p>
          <w:p>
            <w:r>
              <w:t>每提供1份与本项目类似的合同得2分，最多得10分。否则不得分。</w:t>
            </w:r>
          </w:p>
          <w:p>
            <w:r>
              <w:t>评审标准说明：</w:t>
            </w:r>
          </w:p>
          <w:p>
            <w:r>
              <w:t>1、需提供投标人的合同（必须包括合同首页、金额页、标的页、签字盖章页）复印件并加盖投标人公章。</w:t>
              <w:cr/>
              <w:t>2、合同签署日期为投标截止日前三年内。如合同无签署日期无效。</w:t>
              <w:cr/>
              <w:t>3、合同标的必须包括气象雷达类供货合同或技术开发。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每提供1份用户满意度证明得2分，最多得4分。</w:t>
            </w:r>
          </w:p>
          <w:p>
            <w:r>
              <w:t>评审标准说明：</w:t>
            </w:r>
          </w:p>
          <w:p>
            <w:r>
              <w:t>投标人提供投标截止日前三年内用户出具的与本项目类似项目使用评价良好的证明文件（包括用户单位联系人及联系方式），并加盖投标人公章。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投标人实力（客观分）</w:t>
            </w:r>
          </w:p>
        </w:tc>
        <w:tc>
          <w:tcPr/>
          <w:p>
            <w:r>
              <w:t>区间打分</w:t>
            </w:r>
            <w:r>
              <w:t>(10)</w:t>
            </w:r>
          </w:p>
        </w:tc>
        <w:tc>
          <w:tcPr/>
          <w:p>
            <w:r>
              <w:t>评审标准：</w:t>
            </w:r>
          </w:p>
          <w:p>
            <w:r>
              <w:t>投标人每提供一项与气象雷达相关的发明专利，得2分，最多得10分。</w:t>
            </w:r>
          </w:p>
          <w:p>
            <w:r>
              <w:t>评审标准说明：</w:t>
            </w:r>
          </w:p>
          <w:p>
            <w:r>
              <w:t>须提供相关发明专利证书复印件，上述均需加盖投标人公章。</w:t>
            </w:r>
          </w:p>
          <w:p/>
        </w:tc>
      </w:tr>
      <w:tr>
        <w:tblPrEx>
          <w:tblW w:w="5000" w:type="pct"/>
          <w:tblCellMar>
            <w:left w:w="108" w:type="dxa"/>
            <w:right w:w="108" w:type="dxa"/>
          </w:tblCellMar>
        </w:tblPrEx>
        <w:tc>
          <w:tcPr/>
          <w:p>
            <w:r>
              <w:t>6</w:t>
            </w:r>
          </w:p>
        </w:tc>
        <w:tc>
          <w:tcPr>
            <w:vMerge/>
          </w:tcPr>
          <w:p>
            <w:r>
              <w:t>服务部分</w:t>
            </w:r>
          </w:p>
        </w:tc>
        <w:tc>
          <w:tcPr/>
          <w:p>
            <w:r>
              <w:t>服务团队 （客观分）</w:t>
            </w:r>
          </w:p>
        </w:tc>
        <w:tc>
          <w:tcPr/>
          <w:p>
            <w:r>
              <w:t>勾选打分</w:t>
            </w:r>
            <w:r>
              <w:t>(12)</w:t>
            </w:r>
          </w:p>
        </w:tc>
        <w:tc>
          <w:tcPr/>
          <w:p>
            <w:r>
              <w:t>评审标准：</w:t>
            </w:r>
          </w:p>
          <w:p>
            <w:r>
              <w:t>投标人应组成本项目服务团队，团队组织结构清晰，应设服务团队负责人（项目经理），人员专业背景齐全。具体如下：</w:t>
              <w:cr/>
              <w:cr/>
              <w:t>1、服务团队负责人（项目经理）应有雷达专业背景，有同类项目工作经验3年以上，完全满足得2分，否则不得分。</w:t>
              <w:cr/>
              <w:t>2、服务团队应包含有PMP项目管理专业人员资格认证证书的人员，每有一人得1分，最多得2 分。</w:t>
              <w:cr/>
              <w:t>3、服务团队中具有10人及以上大气探测类或大气科学类专业背景，且职称为工程师及以上，完全满足得4分，否则不得分。</w:t>
              <w:cr/>
              <w:t>4、服务团队中具有大气探测类专业背景，且职称为高级工程师及以上，有5年以上同类项目开发经历，每一人得2分，最多得4分。</w:t>
              <w:cr/>
              <w:t>以上3、4人员不重复计算。</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及特殊原因的，可提供聘用合同）。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(2)</w:t>
            </w:r>
          </w:p>
        </w:tc>
        <w:tc>
          <w:tcPr/>
          <w:p>
            <w:r>
              <w:t>评审标准：</w:t>
            </w:r>
          </w:p>
          <w:p>
            <w:r>
              <w:t>提供书面承诺得2分。</w:t>
            </w:r>
          </w:p>
          <w:p>
            <w:r>
              <w:t>评审标准说明：</w:t>
            </w:r>
          </w:p>
          <w:p>
            <w:r>
              <w:t>书面承诺质量保证期内采购人免费拥有20%的软件及技术需求变更权利。</w:t>
            </w:r>
          </w:p>
          <w:p/>
        </w:tc>
      </w:tr>
      <w:tr>
        <w:tblPrEx>
          <w:tblW w:w="5000" w:type="pct"/>
          <w:tblCellMar>
            <w:left w:w="108" w:type="dxa"/>
            <w:right w:w="108" w:type="dxa"/>
          </w:tblCellMar>
        </w:tblPrEx>
        <w:tc>
          <w:tcPr/>
          <w:p>
            <w:r>
              <w:t>8</w:t>
            </w:r>
          </w:p>
        </w:tc>
        <w:tc>
          <w:tcPr>
            <w:vMerge/>
          </w:tcPr>
          <w:p>
            <w:r>
              <w:t>服务部分</w:t>
            </w:r>
          </w:p>
        </w:tc>
        <w:tc>
          <w:tcPr/>
          <w:p>
            <w:r>
              <w:t>知识产权承诺</w:t>
            </w:r>
          </w:p>
        </w:tc>
        <w:tc>
          <w:tcPr/>
          <w:p>
            <w:r>
              <w:t>勾选打分</w:t>
            </w:r>
            <w:r>
              <w:t>(2)</w:t>
            </w:r>
          </w:p>
        </w:tc>
        <w:tc>
          <w:tcPr/>
          <w:p>
            <w:r>
              <w:t>评审标准：</w:t>
            </w:r>
          </w:p>
          <w:p>
            <w:r>
              <w:t>提供书面承诺得2分。</w:t>
            </w:r>
          </w:p>
          <w:p>
            <w:r>
              <w:t>评审标准说明：</w:t>
            </w:r>
          </w:p>
          <w:p>
            <w:r>
              <w:t>书面承诺相关知识产权归采购人所有。</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 xml:space="preserve">四档：方案内容完整详实，项目组织机构清晰，进度控制保证措施针对性强，切实可行。 </w:t>
            </w:r>
          </w:p>
          <w:p/>
        </w:tc>
      </w:tr>
      <w:tr>
        <w:tblPrEx>
          <w:tblW w:w="5000" w:type="pct"/>
          <w:tblCellMar>
            <w:left w:w="108" w:type="dxa"/>
            <w:right w:w="108" w:type="dxa"/>
          </w:tblCellMar>
        </w:tblPrEx>
        <w:tc>
          <w:tcPr/>
          <w:p>
            <w:r>
              <w:t>10</w:t>
            </w:r>
          </w:p>
        </w:tc>
        <w:tc>
          <w:tcPr>
            <w:vMerge w:val="restart"/>
          </w:tcPr>
          <w:p>
            <w:r>
              <w:t>技术部分</w:t>
            </w:r>
          </w:p>
        </w:tc>
        <w:tc>
          <w:tcPr/>
          <w:p>
            <w:r>
              <w:t>具体技术服务方案</w:t>
            </w:r>
          </w:p>
        </w:tc>
        <w:tc>
          <w:tcPr/>
          <w:p>
            <w:r>
              <w:t>区间打分</w:t>
            </w:r>
            <w:r>
              <w:t>(20)</w:t>
            </w:r>
          </w:p>
        </w:tc>
        <w:tc>
          <w:tcPr/>
          <w:p>
            <w:r>
              <w:t>评审标准：</w:t>
            </w:r>
          </w:p>
          <w:p>
            <w:r>
              <w:t>针对以下每项服务内容提交具体技术方案，包括但不限于总体技术方案、需求分析及培训要求：</w:t>
              <w:cr/>
              <w:t>1.上川岛S波段固态雷达观测策略模块开发及比对观测评估</w:t>
              <w:cr/>
              <w:t>2.X波段相控阵天气雷达组件测试</w:t>
              <w:cr/>
              <w:t>3.X波段相控阵天气雷达雷达测试</w:t>
              <w:cr/>
              <w:t>4.雷达信号处理能力提升</w:t>
              <w:cr/>
              <w:t>以上每项内容：</w:t>
              <w:cr/>
              <w:t>一档0分</w:t>
              <w:cr/>
              <w:t>二档1分</w:t>
              <w:cr/>
              <w:t>三档3分</w:t>
              <w:cr/>
              <w:t>四档5分</w:t>
              <w:cr/>
              <w:t>以上共计4项服务内容，满分20分。</w:t>
            </w:r>
          </w:p>
          <w:p>
            <w:r>
              <w:t>评审标准说明：</w:t>
            </w:r>
          </w:p>
          <w:p>
            <w:r>
              <w:t>根据投标人提供具体技术服务方案进行评分。具体评分标准如下：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11</w:t>
            </w:r>
          </w:p>
        </w:tc>
        <w:tc>
          <w:tcPr>
            <w:vMerge/>
          </w:tcPr>
          <w:p>
            <w:r>
              <w:t>技术部分</w:t>
            </w:r>
          </w:p>
        </w:tc>
        <w:tc>
          <w:tcPr/>
          <w:p>
            <w:r>
              <w:t>具体服务指标（客观分）</w:t>
            </w:r>
          </w:p>
        </w:tc>
        <w:tc>
          <w:tcPr/>
          <w:p>
            <w:r>
              <w:t>区间打分</w:t>
            </w:r>
            <w:r>
              <w:t>(15)</w:t>
            </w:r>
          </w:p>
        </w:tc>
        <w:tc>
          <w:tcPr/>
          <w:p>
            <w:r>
              <w:t>评审标准：</w:t>
            </w:r>
          </w:p>
          <w:p>
            <w:r>
              <w:t>须提供类似项目验收意见和测试记录，测试项每包括一个#号项（第七章采购求。第三条第3.3款“X波段相控阵雷达主要指标要求”表）得3分，共计得15分</w:t>
            </w:r>
          </w:p>
          <w:p>
            <w:r>
              <w:t>评审标准说明：</w:t>
            </w:r>
          </w:p>
          <w:p>
            <w:r>
              <w:t>提供方案说明材料，并加盖投标人公章。</w:t>
            </w:r>
          </w:p>
          <w:p/>
        </w:tc>
      </w:tr>
      <w:tr>
        <w:tblPrEx>
          <w:tblW w:w="5000" w:type="pct"/>
          <w:tblCellMar>
            <w:left w:w="108" w:type="dxa"/>
            <w:right w:w="108" w:type="dxa"/>
          </w:tblCellMar>
        </w:tblPrEx>
        <w:tc>
          <w:tcPr/>
          <w:p>
            <w:r>
              <w:t>12</w:t>
            </w:r>
          </w:p>
        </w:tc>
        <w:tc>
          <w:tcPr>
            <w:vMerge/>
          </w:tcPr>
          <w:p>
            <w:r>
              <w:t>技术部分</w:t>
            </w:r>
          </w:p>
        </w:tc>
        <w:tc>
          <w:tcPr/>
          <w:p>
            <w:r>
              <w:t>测试能力</w:t>
            </w:r>
          </w:p>
        </w:tc>
        <w:tc>
          <w:tcPr/>
          <w:p>
            <w:r>
              <w:t>勾选打分</w:t>
            </w:r>
            <w:r>
              <w:t>(8)</w:t>
            </w:r>
          </w:p>
        </w:tc>
        <w:tc>
          <w:tcPr/>
          <w:p>
            <w:r>
              <w:t>评审标准：</w:t>
            </w:r>
          </w:p>
          <w:p>
            <w:r>
              <w:t>1、投标人具有微波暗室得4分；</w:t>
              <w:cr/>
              <w:t>2、投标人具有示波器、频谱仪、矢量网络分析仪，可以完成组件测试，完全满足得4分。</w:t>
            </w:r>
          </w:p>
          <w:p>
            <w:r>
              <w:t>评审标准说明：</w:t>
            </w:r>
          </w:p>
          <w:p>
            <w:r>
              <w:t>须提供合同或采购记录等证明材料，未提供不得分。</w:t>
            </w:r>
          </w:p>
          <w:p/>
        </w:tc>
      </w:tr>
      <w:tr>
        <w:tblPrEx>
          <w:tblW w:w="5000" w:type="pct"/>
          <w:tblCellMar>
            <w:left w:w="108" w:type="dxa"/>
            <w:right w:w="108" w:type="dxa"/>
          </w:tblCellMar>
        </w:tblPrEx>
        <w:tc>
          <w:tcPr/>
          <w:p>
            <w:r>
              <w:t>13</w:t>
            </w:r>
          </w:p>
        </w:tc>
        <w:tc>
          <w:tcPr>
            <w:vMerge/>
          </w:tcPr>
          <w:p>
            <w:r>
              <w:t>技术部分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spacing w:line="480" w:lineRule="auto"/>
        <w:ind w:firstLine="420" w:firstLineChars="200"/>
        <w:textAlignment w:val="baseline"/>
        <w:outlineLvl w:val="2"/>
        <w:rPr>
          <w:rFonts w:ascii="宋体" w:hAnsi="宋体" w:hint="eastAsia"/>
          <w:b/>
          <w:bCs/>
          <w:sz w:val="20"/>
          <w:szCs w:val="21"/>
        </w:rPr>
      </w:pPr>
      <w:bookmarkStart w:id="61" w:name="插入_采购需求书_0"/>
      <w:r>
        <w:rPr>
          <w:rFonts w:ascii="宋体" w:hAnsi="宋体" w:hint="eastAsia"/>
          <w:b/>
          <w:bCs/>
          <w:szCs w:val="21"/>
        </w:rPr>
        <w:t>一、项目概况及总体要求</w:t>
      </w:r>
    </w:p>
    <w:p>
      <w:pPr>
        <w:snapToGrid w:val="0"/>
        <w:spacing w:line="360" w:lineRule="auto"/>
        <w:ind w:firstLine="420" w:firstLineChars="200"/>
        <w:jc w:val="left"/>
        <w:rPr>
          <w:rFonts w:ascii="宋体" w:hAnsi="宋体" w:hint="eastAsia"/>
          <w:szCs w:val="21"/>
        </w:rPr>
      </w:pPr>
      <w:r>
        <w:rPr>
          <w:rFonts w:ascii="宋体" w:hAnsi="宋体" w:hint="eastAsia"/>
          <w:szCs w:val="21"/>
        </w:rPr>
        <w:t>上川岛S波段固态雷达观测策略模块开发及比对观测评估、X波段相控阵天气雷达组件测试、X波段相控阵雷达测试、雷达信号处理能力提升。</w:t>
      </w:r>
    </w:p>
    <w:p>
      <w:pPr>
        <w:adjustRightInd w:val="0"/>
        <w:snapToGrid w:val="0"/>
        <w:spacing w:line="360" w:lineRule="auto"/>
        <w:ind w:firstLine="420" w:firstLineChars="200"/>
        <w:rPr>
          <w:rFonts w:cs="宋体"/>
          <w:color w:val="EE0000"/>
          <w:lang w:bidi="ar"/>
        </w:rPr>
      </w:pPr>
      <w:r>
        <w:rPr>
          <w:rFonts w:cs="宋体" w:hint="eastAsia"/>
          <w:lang w:bidi="ar"/>
        </w:rPr>
        <w:t>1.</w:t>
      </w:r>
      <w:r>
        <w:rPr>
          <w:rFonts w:ascii="宋体" w:hAnsi="宋体" w:hint="eastAsia"/>
          <w:szCs w:val="21"/>
        </w:rPr>
        <w:t>上川岛S波段固态雷达观测策略模块开发及比对观测评估</w:t>
      </w:r>
    </w:p>
    <w:p>
      <w:pPr>
        <w:adjustRightInd w:val="0"/>
        <w:snapToGrid w:val="0"/>
        <w:spacing w:line="360" w:lineRule="auto"/>
        <w:ind w:firstLine="420" w:firstLineChars="200"/>
        <w:rPr>
          <w:rFonts w:cs="宋体"/>
          <w:lang w:bidi="ar"/>
        </w:rPr>
      </w:pPr>
      <w:r>
        <w:rPr>
          <w:rFonts w:cs="宋体" w:hint="eastAsia"/>
          <w:lang w:bidi="ar"/>
        </w:rPr>
        <w:t>结合S波段固态雷达特点初步开发固态雷达观测策略，完成晴空风场、超视距的大气状态探索和强天气等观测及建立数据集和比对观测评估。</w:t>
      </w:r>
    </w:p>
    <w:p>
      <w:pPr>
        <w:adjustRightInd w:val="0"/>
        <w:snapToGrid w:val="0"/>
        <w:spacing w:line="360" w:lineRule="auto"/>
        <w:ind w:firstLine="420" w:firstLineChars="200"/>
        <w:rPr>
          <w:rFonts w:cs="宋体"/>
          <w:lang w:bidi="ar"/>
        </w:rPr>
      </w:pPr>
      <w:r>
        <w:rPr>
          <w:rFonts w:cs="宋体" w:hint="eastAsia"/>
          <w:lang w:bidi="ar"/>
        </w:rPr>
        <w:t>2.X波段相控阵天气雷达组件测试</w:t>
      </w:r>
    </w:p>
    <w:p>
      <w:pPr>
        <w:adjustRightInd w:val="0"/>
        <w:snapToGrid w:val="0"/>
        <w:spacing w:line="360" w:lineRule="auto"/>
        <w:ind w:firstLine="420" w:firstLineChars="200"/>
        <w:rPr>
          <w:rFonts w:cs="宋体"/>
          <w:lang w:bidi="ar"/>
        </w:rPr>
      </w:pPr>
      <w:r>
        <w:rPr>
          <w:rFonts w:cs="宋体" w:hint="eastAsia"/>
          <w:lang w:bidi="ar"/>
        </w:rPr>
        <w:t>开展X波段相控阵天气雷达T/R组件技术要求研究，以及技术指标的测试方法设计和验证，标准化T/R组件技术要求和测试方法，为T/R组件测试平台设计提供技术基础。</w:t>
      </w:r>
    </w:p>
    <w:p>
      <w:pPr>
        <w:adjustRightInd w:val="0"/>
        <w:snapToGrid w:val="0"/>
        <w:spacing w:line="360" w:lineRule="auto"/>
        <w:ind w:firstLine="420" w:firstLineChars="200"/>
        <w:rPr>
          <w:rFonts w:cs="宋体"/>
          <w:lang w:bidi="ar"/>
        </w:rPr>
      </w:pPr>
      <w:r>
        <w:rPr>
          <w:rFonts w:cs="宋体" w:hint="eastAsia"/>
          <w:lang w:bidi="ar"/>
        </w:rPr>
        <w:t>3.X波段相控阵雷达测试和评估</w:t>
      </w:r>
    </w:p>
    <w:p>
      <w:pPr>
        <w:adjustRightInd w:val="0"/>
        <w:snapToGrid w:val="0"/>
        <w:spacing w:line="360" w:lineRule="auto"/>
        <w:ind w:firstLine="420" w:firstLineChars="200"/>
        <w:rPr>
          <w:rFonts w:cs="宋体"/>
          <w:lang w:bidi="ar"/>
        </w:rPr>
      </w:pPr>
      <w:r>
        <w:rPr>
          <w:rFonts w:cs="宋体" w:hint="eastAsia"/>
          <w:lang w:bidi="ar"/>
        </w:rPr>
        <w:t>形成业务运行X波段相控阵天气雷达测试和评估方法，包括标校精度、运行稳定性、数据质量、业务试用效益等内容，并</w:t>
      </w:r>
      <w:r>
        <w:rPr>
          <w:rFonts w:ascii="宋体" w:hAnsi="宋体" w:cs="宋体" w:hint="eastAsia"/>
          <w:szCs w:val="21"/>
          <w:lang w:bidi="ar"/>
        </w:rPr>
        <w:t>在广东、浙江、上海等地开展共不少于3部雷达的试验验证</w:t>
      </w:r>
      <w:r>
        <w:rPr>
          <w:rFonts w:cs="宋体" w:hint="eastAsia"/>
          <w:lang w:bidi="ar"/>
        </w:rPr>
        <w:t>。</w:t>
      </w:r>
    </w:p>
    <w:p>
      <w:pPr>
        <w:adjustRightInd w:val="0"/>
        <w:snapToGrid w:val="0"/>
        <w:spacing w:line="360" w:lineRule="auto"/>
        <w:ind w:firstLine="420" w:firstLineChars="200"/>
        <w:rPr>
          <w:rFonts w:cs="宋体"/>
          <w:lang w:bidi="ar"/>
        </w:rPr>
      </w:pPr>
      <w:r>
        <w:rPr>
          <w:rFonts w:cs="宋体" w:hint="eastAsia"/>
          <w:lang w:bidi="ar"/>
        </w:rPr>
        <w:t>4.雷达信号处理能力提升</w:t>
      </w:r>
    </w:p>
    <w:p>
      <w:pPr>
        <w:adjustRightInd w:val="0"/>
        <w:snapToGrid w:val="0"/>
        <w:spacing w:line="360" w:lineRule="auto"/>
        <w:ind w:firstLine="420" w:firstLineChars="200"/>
        <w:rPr>
          <w:rFonts w:cs="宋体"/>
          <w:lang w:bidi="ar"/>
        </w:rPr>
      </w:pPr>
      <w:r>
        <w:rPr>
          <w:rFonts w:cs="宋体" w:hint="eastAsia"/>
          <w:lang w:bidi="ar"/>
        </w:rPr>
        <w:t>（1）天气雷达边缘缓存设备研制</w:t>
      </w:r>
    </w:p>
    <w:p>
      <w:pPr>
        <w:adjustRightInd w:val="0"/>
        <w:snapToGrid w:val="0"/>
        <w:spacing w:line="360" w:lineRule="auto"/>
        <w:ind w:firstLine="420" w:firstLineChars="200"/>
        <w:rPr>
          <w:rFonts w:cs="宋体"/>
          <w:lang w:bidi="ar"/>
        </w:rPr>
      </w:pPr>
      <w:r>
        <w:rPr>
          <w:rFonts w:cs="宋体" w:hint="eastAsia"/>
          <w:lang w:bidi="ar"/>
        </w:rPr>
        <w:t>研制天气雷达边缘缓存设备，实现对雷达IQ数据短期存储，为后续信号处理算法开发、业务雷达数据质量分析提供数据支撑。</w:t>
      </w:r>
    </w:p>
    <w:p>
      <w:pPr>
        <w:adjustRightInd w:val="0"/>
        <w:snapToGrid w:val="0"/>
        <w:spacing w:line="360" w:lineRule="auto"/>
        <w:ind w:firstLine="420" w:firstLineChars="200"/>
        <w:rPr>
          <w:rFonts w:cs="宋体"/>
          <w:lang w:bidi="ar"/>
        </w:rPr>
      </w:pPr>
      <w:r>
        <w:rPr>
          <w:rFonts w:cs="宋体" w:hint="eastAsia"/>
          <w:lang w:bidi="ar"/>
        </w:rPr>
        <w:t>（2）天气雷达多普勒数据覆盖区域扩展研究</w:t>
      </w:r>
    </w:p>
    <w:p>
      <w:pPr>
        <w:adjustRightInd w:val="0"/>
        <w:snapToGrid w:val="0"/>
        <w:spacing w:line="360" w:lineRule="auto"/>
        <w:ind w:firstLine="420" w:firstLineChars="200"/>
        <w:rPr>
          <w:rFonts w:cs="宋体"/>
          <w:lang w:bidi="ar"/>
        </w:rPr>
      </w:pPr>
      <w:r>
        <w:rPr>
          <w:rFonts w:cs="宋体" w:hint="eastAsia"/>
          <w:lang w:bidi="ar"/>
        </w:rPr>
        <w:t>通过对连续监测模式和连续多普勒模式的多普勒数据进行拼接和连续性检查，实现对天气雷达多普勒数据覆盖区域的扩展；在长沙气象雷达标校中心开展试验，验证算法可行性。</w:t>
      </w:r>
    </w:p>
    <w:p>
      <w:pPr>
        <w:adjustRightInd w:val="0"/>
        <w:snapToGrid w:val="0"/>
        <w:spacing w:line="360" w:lineRule="auto"/>
        <w:ind w:firstLine="420" w:firstLineChars="200"/>
        <w:rPr>
          <w:rFonts w:cs="宋体"/>
          <w:lang w:bidi="ar"/>
        </w:rPr>
      </w:pPr>
      <w:r>
        <w:rPr>
          <w:rFonts w:cs="宋体" w:hint="eastAsia"/>
          <w:lang w:bidi="ar"/>
        </w:rPr>
        <w:t>（3）下一代脉冲压缩技术研发</w:t>
      </w:r>
    </w:p>
    <w:p>
      <w:pPr>
        <w:adjustRightInd w:val="0"/>
        <w:snapToGrid w:val="0"/>
        <w:spacing w:line="360" w:lineRule="auto"/>
        <w:ind w:firstLine="420" w:firstLineChars="200"/>
        <w:rPr>
          <w:rFonts w:cs="宋体"/>
          <w:lang w:bidi="ar"/>
        </w:rPr>
      </w:pPr>
      <w:r>
        <w:rPr>
          <w:rFonts w:cs="宋体" w:hint="eastAsia"/>
          <w:lang w:bidi="ar"/>
        </w:rPr>
        <w:t>通过人工智能算法开发、非线性脉冲压缩算法建模及渐进式脉冲压缩技术，提升天气雷达数据信噪比，实现小的距离分辨率和更高的灵敏度。</w:t>
      </w:r>
    </w:p>
    <w:p>
      <w:pPr>
        <w:spacing w:line="360" w:lineRule="auto"/>
        <w:ind w:firstLine="420" w:firstLineChars="200"/>
        <w:outlineLvl w:val="2"/>
      </w:pPr>
      <w:r>
        <w:rPr>
          <w:rFonts w:ascii="宋体" w:hAnsi="宋体" w:cs="宋体" w:hint="eastAsia"/>
          <w:b/>
          <w:bCs/>
          <w:color w:val="000000"/>
          <w:szCs w:val="21"/>
          <w:lang w:bidi="ar"/>
        </w:rPr>
        <w:t>二、招标内容</w:t>
      </w:r>
    </w:p>
    <w:p>
      <w:pPr>
        <w:adjustRightInd w:val="0"/>
        <w:snapToGrid w:val="0"/>
        <w:spacing w:line="360" w:lineRule="auto"/>
        <w:ind w:firstLine="420" w:firstLineChars="200"/>
        <w:rPr>
          <w:rFonts w:cs="宋体"/>
          <w:lang w:bidi="ar"/>
        </w:rPr>
      </w:pPr>
      <w:r>
        <w:rPr>
          <w:rFonts w:cs="宋体" w:hint="eastAsia"/>
          <w:lang w:bidi="ar"/>
        </w:rPr>
        <w:t>包括上川岛S波段固态雷达观测策略模块开发及比对观测评估、X波段相控阵天气雷达组件测试、X波段相控阵雷达测试和评估、雷达信号处理能力提升（含</w:t>
      </w:r>
      <w:r>
        <w:rPr>
          <w:rFonts w:ascii="Times New Roman" w:hAnsi="Times New Roman" w:cs="宋体" w:hint="eastAsia"/>
          <w:color w:val="auto"/>
          <w:kern w:val="2"/>
          <w:sz w:val="21"/>
          <w:lang w:bidi="ar"/>
        </w:rPr>
        <w:t>天气雷达边缘缓存设备</w:t>
      </w:r>
      <w:r>
        <w:rPr>
          <w:rFonts w:cs="宋体" w:hint="eastAsia"/>
          <w:lang w:bidi="ar"/>
        </w:rPr>
        <w:t>）共四部分内容。</w:t>
      </w:r>
    </w:p>
    <w:p>
      <w:pPr>
        <w:spacing w:line="360" w:lineRule="auto"/>
        <w:ind w:firstLine="420" w:firstLineChars="200"/>
        <w:outlineLvl w:val="2"/>
        <w:rPr>
          <w:rFonts w:ascii="宋体" w:hAnsi="宋体" w:cs="宋体" w:hint="eastAsia"/>
          <w:b/>
          <w:bCs/>
          <w:color w:val="000000"/>
          <w:szCs w:val="21"/>
          <w:lang w:bidi="ar"/>
        </w:rPr>
      </w:pPr>
      <w:r>
        <w:rPr>
          <w:rFonts w:ascii="宋体" w:hAnsi="宋体" w:cs="宋体" w:hint="eastAsia"/>
          <w:b/>
          <w:bCs/>
          <w:color w:val="000000"/>
          <w:szCs w:val="21"/>
          <w:lang w:bidi="ar"/>
        </w:rPr>
        <w:t>三、技术性能指标</w:t>
      </w:r>
    </w:p>
    <w:p>
      <w:pPr>
        <w:snapToGrid w:val="0"/>
        <w:spacing w:line="360" w:lineRule="auto"/>
        <w:ind w:firstLine="420" w:firstLineChars="200"/>
        <w:jc w:val="left"/>
        <w:rPr>
          <w:rFonts w:cs="宋体"/>
          <w:b/>
          <w:bCs/>
          <w:lang w:bidi="ar"/>
        </w:rPr>
      </w:pPr>
      <w:r>
        <w:rPr>
          <w:rFonts w:ascii="宋体" w:hAnsi="宋体" w:cs="宋体" w:hint="eastAsia"/>
          <w:b/>
          <w:bCs/>
          <w:szCs w:val="21"/>
          <w:lang w:bidi="ar"/>
        </w:rPr>
        <w:t>3.1</w:t>
      </w:r>
      <w:r>
        <w:rPr>
          <w:rFonts w:cs="宋体" w:hint="eastAsia"/>
          <w:b/>
          <w:bCs/>
          <w:lang w:bidi="ar"/>
        </w:rPr>
        <w:t>上川岛S波段固态雷达观测策略模块开发及比对观测评估</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开展晴空风场探测模式及强天气等观测策略模块开发，在满足现有基数据格式要求下，实现对晴空风场观测、强天气、台风等观测策略模块开发，观测评估，再优化，再比对观测分析和数据集建设，新技术、新算法观测策略模块最终满足业务要求。具体见下表。</w:t>
      </w:r>
    </w:p>
    <w:p>
      <w:pPr>
        <w:snapToGrid w:val="0"/>
        <w:spacing w:line="360" w:lineRule="auto"/>
        <w:ind w:firstLine="420" w:firstLineChars="200"/>
        <w:jc w:val="center"/>
        <w:rPr>
          <w:rFonts w:ascii="宋体" w:hAnsi="宋体" w:cs="宋体" w:hint="eastAsia"/>
          <w:szCs w:val="21"/>
          <w:lang w:bidi="ar"/>
        </w:rPr>
      </w:pPr>
      <w:r>
        <w:rPr>
          <w:rFonts w:ascii="宋体" w:hAnsi="宋体" w:cs="宋体" w:hint="eastAsia"/>
          <w:szCs w:val="21"/>
          <w:lang w:bidi="ar"/>
        </w:rPr>
        <w:t>表 1雷达观测内容</w:t>
      </w:r>
    </w:p>
    <w:tbl>
      <w:tblPr>
        <w:tblStyle w:val="TableNormal"/>
        <w:tblW w:w="5000" w:type="pct"/>
        <w:jc w:val="center"/>
        <w:tblCellMar>
          <w:top w:w="0" w:type="dxa"/>
          <w:left w:w="108" w:type="dxa"/>
          <w:bottom w:w="0" w:type="dxa"/>
          <w:right w:w="108" w:type="dxa"/>
        </w:tblCellMar>
      </w:tblPr>
      <w:tblGrid>
        <w:gridCol w:w="929"/>
        <w:gridCol w:w="3117"/>
        <w:gridCol w:w="4957"/>
      </w:tblGrid>
      <w:tr>
        <w:tblPrEx>
          <w:tblW w:w="5000" w:type="pct"/>
          <w:jc w:val="center"/>
          <w:tblCellMar>
            <w:top w:w="0" w:type="dxa"/>
            <w:left w:w="108" w:type="dxa"/>
            <w:bottom w:w="0" w:type="dxa"/>
            <w:right w:w="108" w:type="dxa"/>
          </w:tblCellMar>
        </w:tblPrEx>
        <w:trPr>
          <w:trHeight w:val="264"/>
          <w:tblHeader/>
          <w:jc w:val="center"/>
        </w:trPr>
        <w:tc>
          <w:tcPr>
            <w:tcW w:w="516"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编号</w:t>
            </w:r>
          </w:p>
        </w:tc>
        <w:tc>
          <w:tcPr>
            <w:tcW w:w="1731"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内容</w:t>
            </w:r>
          </w:p>
        </w:tc>
        <w:tc>
          <w:tcPr>
            <w:tcW w:w="2753"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主要功能</w:t>
            </w:r>
          </w:p>
        </w:tc>
      </w:tr>
      <w:tr>
        <w:tblPrEx>
          <w:tblW w:w="5000" w:type="pct"/>
          <w:jc w:val="center"/>
          <w:tblCellMar>
            <w:top w:w="0" w:type="dxa"/>
            <w:left w:w="108" w:type="dxa"/>
            <w:bottom w:w="0" w:type="dxa"/>
            <w:right w:w="108" w:type="dxa"/>
          </w:tblCellMar>
        </w:tblPrEx>
        <w:trPr>
          <w:trHeight w:val="255"/>
          <w:jc w:val="center"/>
        </w:trPr>
        <w:tc>
          <w:tcPr>
            <w:tcW w:w="516"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1</w:t>
            </w:r>
          </w:p>
        </w:tc>
        <w:tc>
          <w:tcPr>
            <w:tcW w:w="1731"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观测策略模块开发</w:t>
            </w:r>
          </w:p>
        </w:tc>
        <w:tc>
          <w:tcPr>
            <w:tcW w:w="2753"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晴空风场、强回波、台风等观测策略模块开发</w:t>
            </w:r>
          </w:p>
        </w:tc>
      </w:tr>
      <w:tr>
        <w:tblPrEx>
          <w:tblW w:w="5000" w:type="pct"/>
          <w:jc w:val="center"/>
          <w:tblCellMar>
            <w:top w:w="0" w:type="dxa"/>
            <w:left w:w="108" w:type="dxa"/>
            <w:bottom w:w="0" w:type="dxa"/>
            <w:right w:w="108" w:type="dxa"/>
          </w:tblCellMar>
        </w:tblPrEx>
        <w:trPr>
          <w:trHeight w:val="255"/>
          <w:jc w:val="center"/>
        </w:trPr>
        <w:tc>
          <w:tcPr>
            <w:tcW w:w="516"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2</w:t>
            </w:r>
          </w:p>
        </w:tc>
        <w:tc>
          <w:tcPr>
            <w:tcW w:w="1731"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数据集建设</w:t>
            </w:r>
          </w:p>
        </w:tc>
        <w:tc>
          <w:tcPr>
            <w:tcW w:w="2753"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S波段固态雷达IQ数据集建设</w:t>
            </w:r>
          </w:p>
        </w:tc>
      </w:tr>
      <w:tr>
        <w:tblPrEx>
          <w:tblW w:w="5000" w:type="pct"/>
          <w:jc w:val="center"/>
          <w:tblCellMar>
            <w:top w:w="0" w:type="dxa"/>
            <w:left w:w="108" w:type="dxa"/>
            <w:bottom w:w="0" w:type="dxa"/>
            <w:right w:w="108" w:type="dxa"/>
          </w:tblCellMar>
        </w:tblPrEx>
        <w:trPr>
          <w:trHeight w:val="153"/>
          <w:jc w:val="center"/>
        </w:trPr>
        <w:tc>
          <w:tcPr>
            <w:tcW w:w="516"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3</w:t>
            </w:r>
          </w:p>
        </w:tc>
        <w:tc>
          <w:tcPr>
            <w:tcW w:w="1731"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比对观测评估</w:t>
            </w:r>
          </w:p>
        </w:tc>
        <w:tc>
          <w:tcPr>
            <w:tcW w:w="2753" w:type="pct"/>
            <w:tcBorders>
              <w:top w:val="single" w:sz="6" w:space="0" w:color="auto"/>
              <w:left w:val="single" w:sz="6" w:space="0" w:color="auto"/>
              <w:bottom w:val="single" w:sz="6" w:space="0" w:color="auto"/>
              <w:right w:val="single" w:sz="6" w:space="0" w:color="auto"/>
            </w:tcBorders>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固态和速调管不同技术体制雷达对比试验评估</w:t>
            </w:r>
          </w:p>
        </w:tc>
      </w:tr>
    </w:tbl>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（1）观测策略模块开发</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在S波段固态雷达建立适合我国海洋气候特征的观测模式（晴空风场模式、强天气模式、台风模式等）；确定不同观测模式的扫描策略、数据处理方法、雷达的适配参数等，对观测模式进行业务化对比试验和评估分析，验证定制观测模式的可行性。</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（2）固态雷达观测策略应用</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对上川岛S波段固态雷达建立观测策略，开展晴空风廓线风场观测、超远距离的大气状态探索及强天气等观测，建立数据集并对观测策略模块进行分析。根据观测效果，调整观测策略，优化算法参数和数据处理流程，引入新技术、新算法不断提升观测能力，观测策略模块最终满足业务要求。</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（3）固态雷达对比观测评估</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开展固态雷达与速调管体制双偏振天气雷达对比观测，对两种雷达的数据进行对比分析，评估其差异和一致性，并将对比试验的数据进行整理、分类和存储，形成标准化的数据集。</w:t>
      </w:r>
    </w:p>
    <w:p>
      <w:pPr>
        <w:snapToGrid w:val="0"/>
        <w:spacing w:line="360" w:lineRule="auto"/>
        <w:ind w:firstLine="420" w:firstLineChars="200"/>
        <w:jc w:val="left"/>
        <w:rPr>
          <w:rFonts w:ascii="宋体" w:hAnsi="宋体" w:cs="宋体" w:hint="eastAsia"/>
          <w:b/>
          <w:bCs/>
          <w:szCs w:val="21"/>
          <w:lang w:bidi="ar"/>
        </w:rPr>
      </w:pPr>
      <w:r>
        <w:rPr>
          <w:rFonts w:ascii="宋体" w:hAnsi="宋体" w:cs="宋体" w:hint="eastAsia"/>
          <w:b/>
          <w:bCs/>
          <w:szCs w:val="21"/>
          <w:lang w:bidi="ar"/>
        </w:rPr>
        <w:t>3.2 X波段相控阵天气雷达组件测试</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开展T/R组件标准化测试模块设计，包含T/R组件性能测试策略设计、T/R组件性能测试验证及T/R组件关键指标数据质量评估，主要指标包括单个T/R组件发射和接收指标、多个T/R组件间一致性指标、T/R组件收发系统指标、标定标校指标等方面，具体见下表。</w:t>
      </w:r>
    </w:p>
    <w:p>
      <w:pPr>
        <w:snapToGrid w:val="0"/>
        <w:spacing w:line="360" w:lineRule="auto"/>
        <w:jc w:val="center"/>
        <w:rPr>
          <w:rFonts w:ascii="宋体" w:hAnsi="宋体" w:cs="宋体" w:hint="eastAsia"/>
          <w:szCs w:val="21"/>
          <w:lang w:bidi="ar"/>
        </w:rPr>
      </w:pPr>
      <w:bookmarkStart w:id="62" w:name="_Hlk183876485"/>
      <w:r>
        <w:rPr>
          <w:rFonts w:ascii="宋体" w:hAnsi="宋体" w:cs="宋体" w:hint="eastAsia"/>
          <w:szCs w:val="21"/>
          <w:lang w:bidi="ar"/>
        </w:rPr>
        <w:t xml:space="preserve">表 2 </w:t>
      </w:r>
      <w:bookmarkEnd w:id="62"/>
      <w:r>
        <w:rPr>
          <w:rFonts w:ascii="宋体" w:hAnsi="宋体" w:cs="宋体" w:hint="eastAsia"/>
          <w:szCs w:val="21"/>
          <w:lang w:bidi="ar"/>
        </w:rPr>
        <w:t>测试方法涵盖以下测试项目（T/R组件标准化技术要求指标项）</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204"/>
        <w:gridCol w:w="579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分类</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具体指标项</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单个T/R组件发射指标项</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工作频率、脉冲宽度、上升时间、下降时间、脉内顶降、谐波抑制、杂波抑制、输出极限改善因子、频谱特性、脉冲重复频率、输出占空比、收发状态切换时间、发射幅度校准后时间稳定性标准差、发射相位校准后时间稳定性标准差等。</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单个T/R组件接收指标项</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噪声系数、线性动态范围、镜频抑制度、噪声系数时间稳定性标准差、接收幅度校准后时间稳定性标准差、接收相位校准后时间稳定性标准差等。</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多个T/R组件一致性指标项</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组件间发射幅度校准后一致性误差、组件间发射相位校准后一致性误差、线性动态范围一致性标准差、噪声系数一致性标准差、组件间接收幅度校准后一致性误差、组件间接收相位校准后一致性误差等。</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T/R组件收发系统指标项</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相位噪声等。</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T/R组件标定标校指标项</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标定耦合器耦合比、在线标校功能等。</w:t>
            </w:r>
          </w:p>
        </w:tc>
      </w:tr>
      <w:tr>
        <w:tblPrEx>
          <w:tblW w:w="0" w:type="auto"/>
          <w:tblInd w:w="0" w:type="dxa"/>
          <w:tblCellMar>
            <w:top w:w="0" w:type="dxa"/>
            <w:left w:w="108" w:type="dxa"/>
            <w:bottom w:w="0" w:type="dxa"/>
            <w:right w:w="108" w:type="dxa"/>
          </w:tblCellMar>
        </w:tblPrEx>
        <w:tc>
          <w:tcPr>
            <w:tcW w:w="3227"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其他功能要求</w:t>
            </w:r>
          </w:p>
        </w:tc>
        <w:tc>
          <w:tcPr>
            <w:tcW w:w="5844"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IQ数据存储能力、远程升级能力、状态监测功能等。</w:t>
            </w:r>
          </w:p>
        </w:tc>
      </w:tr>
    </w:tbl>
    <w:p>
      <w:pPr>
        <w:snapToGrid w:val="0"/>
        <w:spacing w:line="360" w:lineRule="auto"/>
        <w:ind w:firstLine="420" w:firstLineChars="200"/>
        <w:jc w:val="left"/>
        <w:rPr>
          <w:rFonts w:ascii="宋体" w:hAnsi="宋体" w:cs="宋体" w:hint="eastAsia"/>
          <w:b/>
          <w:bCs/>
          <w:szCs w:val="21"/>
          <w:lang w:bidi="ar"/>
        </w:rPr>
      </w:pPr>
      <w:r>
        <w:rPr>
          <w:rFonts w:ascii="宋体" w:hAnsi="宋体" w:cs="宋体" w:hint="eastAsia"/>
          <w:b/>
          <w:bCs/>
          <w:szCs w:val="21"/>
          <w:lang w:bidi="ar"/>
        </w:rPr>
        <w:t>3.3 X波段相控阵雷达测试和评估</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开展X波段相控阵雷达性能测试评估模块设计，包含雷达性能测试策略设计和雷达性能测试评估方法设计。X波段相控阵天气雷达测试和评估方法包括标校精度、运行稳定性、数据质量、业务试用效益等内容。</w:t>
      </w:r>
    </w:p>
    <w:p>
      <w:pPr>
        <w:snapToGrid w:val="0"/>
        <w:spacing w:line="360" w:lineRule="auto"/>
        <w:ind w:firstLine="420" w:firstLineChars="200"/>
        <w:jc w:val="left"/>
        <w:rPr>
          <w:rFonts w:ascii="宋体" w:hAnsi="宋体" w:cs="宋体" w:hint="eastAsia"/>
          <w:szCs w:val="21"/>
          <w:lang w:bidi="ar"/>
        </w:rPr>
      </w:pPr>
      <w:r>
        <w:rPr>
          <w:rFonts w:ascii="宋体" w:hAnsi="宋体" w:cs="宋体" w:hint="eastAsia"/>
          <w:szCs w:val="21"/>
          <w:lang w:bidi="ar"/>
        </w:rPr>
        <w:t>在广东、浙江、上海等地开展共不少于3部雷达的试验验证，检查现场不具备测试条件项目的出厂测试记录，主要指标要求如下：</w:t>
      </w:r>
    </w:p>
    <w:p>
      <w:pPr>
        <w:snapToGrid w:val="0"/>
        <w:spacing w:line="360" w:lineRule="auto"/>
        <w:ind w:firstLine="420" w:firstLineChars="200"/>
        <w:jc w:val="center"/>
        <w:rPr>
          <w:rFonts w:ascii="宋体" w:hAnsi="宋体" w:cs="宋体" w:hint="eastAsia"/>
          <w:szCs w:val="21"/>
          <w:lang w:bidi="ar"/>
        </w:rPr>
      </w:pPr>
      <w:r>
        <w:rPr>
          <w:rFonts w:ascii="宋体" w:hAnsi="宋体" w:cs="宋体" w:hint="eastAsia"/>
          <w:szCs w:val="21"/>
          <w:lang w:bidi="ar"/>
        </w:rPr>
        <w:t>表 3 测试方法涵盖测试项目（X波段相控阵雷达主要指标要求）</w:t>
      </w:r>
    </w:p>
    <w:tbl>
      <w:tblPr>
        <w:tblStyle w:val="TableNormal"/>
        <w:tblW w:w="49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194"/>
        <w:gridCol w:w="1208"/>
        <w:gridCol w:w="1218"/>
        <w:gridCol w:w="3381"/>
      </w:tblGrid>
      <w:tr>
        <w:tblPrEx>
          <w:tblW w:w="4999"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trPr>
        <w:tc>
          <w:tcPr>
            <w:tcW w:w="3195" w:type="dxa"/>
            <w:vMerge w:val="restart"/>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测试项</w:t>
            </w:r>
          </w:p>
        </w:tc>
        <w:tc>
          <w:tcPr>
            <w:tcW w:w="2426" w:type="dxa"/>
            <w:gridSpan w:val="2"/>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指标要求</w:t>
            </w:r>
          </w:p>
        </w:tc>
        <w:tc>
          <w:tcPr>
            <w:tcW w:w="3381" w:type="dxa"/>
            <w:vMerge w:val="restart"/>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备注</w:t>
            </w:r>
          </w:p>
        </w:tc>
      </w:tr>
      <w:tr>
        <w:tblPrEx>
          <w:tblW w:w="4999" w:type="pct"/>
          <w:tblInd w:w="0" w:type="dxa"/>
          <w:tblLayout w:type="fixed"/>
          <w:tblCellMar>
            <w:top w:w="0" w:type="dxa"/>
            <w:left w:w="108" w:type="dxa"/>
            <w:bottom w:w="0" w:type="dxa"/>
            <w:right w:w="108" w:type="dxa"/>
          </w:tblCellMar>
        </w:tblPrEx>
        <w:trPr>
          <w:tblHeader/>
        </w:trPr>
        <w:tc>
          <w:tcPr>
            <w:tcW w:w="3195" w:type="dxa"/>
            <w:vMerge/>
            <w:vAlign w:val="center"/>
          </w:tcPr>
          <w:p>
            <w:pPr>
              <w:snapToGrid w:val="0"/>
              <w:spacing w:line="360" w:lineRule="auto"/>
              <w:ind w:firstLine="420" w:firstLineChars="200"/>
              <w:rPr>
                <w:rFonts w:ascii="宋体" w:hAnsi="宋体" w:cs="宋体" w:hint="eastAsia"/>
                <w:szCs w:val="21"/>
                <w:lang w:bidi="ar"/>
              </w:rPr>
            </w:pPr>
          </w:p>
        </w:tc>
        <w:tc>
          <w:tcPr>
            <w:tcW w:w="1208"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标准型</w:t>
            </w:r>
          </w:p>
        </w:tc>
        <w:tc>
          <w:tcPr>
            <w:tcW w:w="1218" w:type="dxa"/>
            <w:vAlign w:val="center"/>
          </w:tcPr>
          <w:p>
            <w:pPr>
              <w:snapToGrid w:val="0"/>
              <w:spacing w:line="360" w:lineRule="auto"/>
              <w:jc w:val="center"/>
              <w:rPr>
                <w:rFonts w:ascii="宋体" w:hAnsi="宋体" w:cs="宋体" w:hint="eastAsia"/>
                <w:szCs w:val="21"/>
                <w:lang w:bidi="ar"/>
              </w:rPr>
            </w:pPr>
            <w:r>
              <w:rPr>
                <w:rFonts w:ascii="宋体" w:hAnsi="宋体" w:cs="宋体" w:hint="eastAsia"/>
                <w:szCs w:val="21"/>
                <w:lang w:bidi="ar"/>
              </w:rPr>
              <w:t>轻小型</w:t>
            </w:r>
          </w:p>
        </w:tc>
        <w:tc>
          <w:tcPr>
            <w:tcW w:w="3381" w:type="dxa"/>
            <w:vMerge/>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天线</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波束水平宽度（法向）</w:t>
            </w:r>
          </w:p>
        </w:tc>
        <w:tc>
          <w:tcPr>
            <w:tcW w:w="1208" w:type="dxa"/>
            <w:vAlign w:val="center"/>
          </w:tcPr>
          <w:p>
            <w:pPr>
              <w:snapToGrid w:val="0"/>
              <w:spacing w:line="360" w:lineRule="auto"/>
              <w:jc w:val="left"/>
              <w:rPr>
                <w:rFonts w:ascii="宋体" w:hAnsi="宋体" w:cs="宋体" w:hint="eastAsia"/>
                <w:szCs w:val="21"/>
                <w:lang w:bidi="ar"/>
              </w:rPr>
            </w:pPr>
            <w:r>
              <w:rPr>
                <w:rFonts w:ascii="宋体" w:hAnsi="宋体" w:cs="宋体" w:hint="eastAsia"/>
                <w:szCs w:val="21"/>
                <w:lang w:bidi="ar"/>
              </w:rPr>
              <w:t>≤1.8°</w:t>
            </w:r>
          </w:p>
        </w:tc>
        <w:tc>
          <w:tcPr>
            <w:tcW w:w="1218" w:type="dxa"/>
            <w:vAlign w:val="center"/>
          </w:tcPr>
          <w:p>
            <w:pPr>
              <w:snapToGrid w:val="0"/>
              <w:spacing w:line="360" w:lineRule="auto"/>
              <w:jc w:val="left"/>
              <w:rPr>
                <w:rFonts w:ascii="宋体" w:hAnsi="宋体" w:cs="宋体" w:hint="eastAsia"/>
                <w:szCs w:val="21"/>
                <w:lang w:bidi="ar"/>
              </w:rPr>
            </w:pPr>
            <w:r>
              <w:rPr>
                <w:rFonts w:ascii="宋体" w:hAnsi="宋体" w:cs="宋体" w:hint="eastAsia"/>
                <w:szCs w:val="21"/>
                <w:lang w:bidi="ar"/>
              </w:rPr>
              <w:t>≤3.6°</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波束垂直宽度（法向）</w:t>
            </w:r>
          </w:p>
        </w:tc>
        <w:tc>
          <w:tcPr>
            <w:tcW w:w="1208" w:type="dxa"/>
            <w:vAlign w:val="center"/>
          </w:tcPr>
          <w:p>
            <w:pPr>
              <w:snapToGrid w:val="0"/>
              <w:spacing w:line="360" w:lineRule="auto"/>
              <w:jc w:val="left"/>
              <w:rPr>
                <w:rFonts w:ascii="宋体" w:hAnsi="宋体" w:cs="宋体" w:hint="eastAsia"/>
                <w:szCs w:val="21"/>
                <w:lang w:bidi="ar"/>
              </w:rPr>
            </w:pPr>
            <w:r>
              <w:rPr>
                <w:rFonts w:ascii="宋体" w:hAnsi="宋体" w:cs="宋体" w:hint="eastAsia"/>
                <w:szCs w:val="21"/>
                <w:lang w:bidi="ar"/>
              </w:rPr>
              <w:t>≤1.8°</w:t>
            </w:r>
          </w:p>
        </w:tc>
        <w:tc>
          <w:tcPr>
            <w:tcW w:w="1218" w:type="dxa"/>
            <w:vAlign w:val="center"/>
          </w:tcPr>
          <w:p>
            <w:pPr>
              <w:snapToGrid w:val="0"/>
              <w:spacing w:line="360" w:lineRule="auto"/>
              <w:jc w:val="left"/>
              <w:rPr>
                <w:rFonts w:ascii="宋体" w:hAnsi="宋体" w:cs="宋体" w:hint="eastAsia"/>
                <w:szCs w:val="21"/>
                <w:lang w:bidi="ar"/>
              </w:rPr>
            </w:pPr>
            <w:r>
              <w:rPr>
                <w:rFonts w:ascii="宋体" w:hAnsi="宋体" w:cs="宋体" w:hint="eastAsia"/>
                <w:szCs w:val="21"/>
                <w:lang w:bidi="ar"/>
              </w:rPr>
              <w:t>≤1.8°</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rPr>
          <w:trHeight w:val="527"/>
        </w:trPr>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增益（法向）</w:t>
            </w:r>
          </w:p>
        </w:tc>
        <w:tc>
          <w:tcPr>
            <w:tcW w:w="1208"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≥38dB</w:t>
            </w:r>
          </w:p>
        </w:tc>
        <w:tc>
          <w:tcPr>
            <w:tcW w:w="1218"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≥36dB</w:t>
            </w:r>
          </w:p>
        </w:tc>
        <w:tc>
          <w:tcPr>
            <w:tcW w:w="3381"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如无法得出结果，发射增益使用EIRP代替，接收增益使用G/T代替</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第一副瓣电平（水平）</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≤-23dB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交叉极化隔离度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≥30dB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天线阵面和伺服系统</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天线阵面定位精度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方位和俯仰≤0.1°</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天线阵面控制精度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方位≤0.1°</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发射通道</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脉冲峰值功率（每个极化）</w:t>
            </w:r>
          </w:p>
        </w:tc>
        <w:tc>
          <w:tcPr>
            <w:tcW w:w="1208"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≥200W</w:t>
            </w:r>
          </w:p>
        </w:tc>
        <w:tc>
          <w:tcPr>
            <w:tcW w:w="1218"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≥100W</w:t>
            </w:r>
          </w:p>
        </w:tc>
        <w:tc>
          <w:tcPr>
            <w:tcW w:w="3381"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如无法得出结果，使用EIRP代替</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发射脉冲宽度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1～200μs（可选）</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发射通道输出端极限改善因子</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≥50dB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接收通道</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噪声系数</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≤4dB</w:t>
            </w:r>
          </w:p>
        </w:tc>
        <w:tc>
          <w:tcPr>
            <w:tcW w:w="3381"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如无法得出结果，使用G/T代替</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 接收系统动态范围</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≥95dB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 最小可测功率（灵敏度）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≤-110dBm（带宽1MHz）</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 最大脉冲压缩比</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≥100</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波束控制与合成单元</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电扫方向发射第一副瓣电平</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数字域≤-22dB（窄发窄收）</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电扫方向接收第一副瓣电平</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数字域≤-35dB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信号处理单元</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 脉冲压缩主副瓣比</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≥40dB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9002" w:type="dxa"/>
            <w:gridSpan w:val="4"/>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系统指标</w:t>
            </w: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强度测量精度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速度测量精度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≤1m/s</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差分反射率因子测量精度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≤0.2dB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差分传播相位测量精度</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≤3°</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系统相位噪声</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≤0.2°</w:t>
            </w:r>
          </w:p>
        </w:tc>
        <w:tc>
          <w:tcPr>
            <w:tcW w:w="3381" w:type="dxa"/>
            <w:vAlign w:val="center"/>
          </w:tcPr>
          <w:p>
            <w:pPr>
              <w:snapToGrid w:val="0"/>
              <w:spacing w:line="360" w:lineRule="auto"/>
              <w:ind w:firstLine="420" w:firstLineChars="200"/>
              <w:rPr>
                <w:rFonts w:ascii="宋体" w:hAnsi="宋体" w:cs="宋体" w:hint="eastAsia"/>
                <w:szCs w:val="21"/>
                <w:lang w:bidi="ar"/>
              </w:rPr>
            </w:pPr>
          </w:p>
        </w:tc>
      </w:tr>
      <w:tr>
        <w:tblPrEx>
          <w:tblW w:w="4999" w:type="pct"/>
          <w:tblInd w:w="0" w:type="dxa"/>
          <w:tblLayout w:type="fixed"/>
          <w:tblCellMar>
            <w:top w:w="0" w:type="dxa"/>
            <w:left w:w="108" w:type="dxa"/>
            <w:bottom w:w="0" w:type="dxa"/>
            <w:right w:w="108" w:type="dxa"/>
          </w:tblCellMar>
        </w:tblPrEx>
        <w:tc>
          <w:tcPr>
            <w:tcW w:w="3195" w:type="dxa"/>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 地物杂波抑制比</w:t>
            </w:r>
          </w:p>
        </w:tc>
        <w:tc>
          <w:tcPr>
            <w:tcW w:w="2426" w:type="dxa"/>
            <w:gridSpan w:val="2"/>
            <w:vAlign w:val="center"/>
          </w:tcPr>
          <w:p>
            <w:pPr>
              <w:snapToGrid w:val="0"/>
              <w:spacing w:line="360" w:lineRule="auto"/>
              <w:rPr>
                <w:rFonts w:ascii="宋体" w:hAnsi="宋体" w:cs="宋体" w:hint="eastAsia"/>
                <w:szCs w:val="21"/>
                <w:lang w:bidi="ar"/>
              </w:rPr>
            </w:pPr>
            <w:r>
              <w:rPr>
                <w:rFonts w:ascii="宋体" w:hAnsi="宋体" w:cs="宋体" w:hint="eastAsia"/>
                <w:szCs w:val="21"/>
                <w:lang w:bidi="ar"/>
              </w:rPr>
              <w:t>≥50dB</w:t>
            </w:r>
          </w:p>
        </w:tc>
        <w:tc>
          <w:tcPr>
            <w:tcW w:w="3381" w:type="dxa"/>
            <w:vAlign w:val="center"/>
          </w:tcPr>
          <w:p>
            <w:pPr>
              <w:snapToGrid w:val="0"/>
              <w:spacing w:line="360" w:lineRule="auto"/>
              <w:ind w:firstLine="420" w:firstLineChars="200"/>
              <w:rPr>
                <w:rFonts w:ascii="宋体" w:hAnsi="宋体" w:cs="宋体" w:hint="eastAsia"/>
                <w:szCs w:val="21"/>
                <w:lang w:bidi="ar"/>
              </w:rPr>
            </w:pPr>
          </w:p>
        </w:tc>
      </w:tr>
    </w:tbl>
    <w:p>
      <w:pPr>
        <w:snapToGrid w:val="0"/>
        <w:spacing w:line="360" w:lineRule="auto"/>
        <w:ind w:firstLine="420" w:firstLineChars="200"/>
        <w:jc w:val="left"/>
        <w:rPr>
          <w:rFonts w:ascii="宋体" w:hAnsi="宋体" w:cs="宋体" w:hint="eastAsia"/>
          <w:b/>
          <w:bCs/>
          <w:szCs w:val="21"/>
          <w:lang w:bidi="ar"/>
        </w:rPr>
      </w:pPr>
      <w:r>
        <w:rPr>
          <w:rFonts w:ascii="宋体" w:hAnsi="宋体" w:cs="宋体" w:hint="eastAsia"/>
          <w:b/>
          <w:bCs/>
          <w:szCs w:val="21"/>
          <w:lang w:bidi="ar"/>
        </w:rPr>
        <w:t>3.4雷达信号处理能力提升</w:t>
      </w:r>
    </w:p>
    <w:p>
      <w:pPr>
        <w:snapToGrid w:val="0"/>
        <w:spacing w:line="360" w:lineRule="auto"/>
        <w:ind w:left="54" w:firstLine="508" w:firstLineChars="242"/>
        <w:jc w:val="left"/>
        <w:rPr>
          <w:rFonts w:ascii="仿宋_GB2312" w:hAnsi="仿宋_GB2312" w:cs="仿宋_GB2312" w:hint="eastAsia"/>
          <w:color w:val="000000"/>
          <w:szCs w:val="32"/>
        </w:rPr>
      </w:pPr>
      <w:r>
        <w:rPr>
          <w:rFonts w:ascii="仿宋_GB2312" w:hAnsi="仿宋_GB2312" w:cs="仿宋_GB2312" w:hint="eastAsia"/>
          <w:color w:val="000000"/>
          <w:szCs w:val="32"/>
        </w:rPr>
        <w:t>完成天气雷达边缘缓存设备样机研制，天气雷达边缘缓存设备包括：处理单元、存储单元、通信单元、显示单元以及供电单元。通过线缆（例如光纤）与雷达信号处理器进行连接。I/Q数据缓存装置与雷达各自独立运行，二者不会互相影响。</w:t>
      </w:r>
      <w:r>
        <w:rPr>
          <w:rFonts w:ascii="仿宋_GB2312" w:hAnsi="仿宋_GB2312" w:cs="仿宋_GB2312" w:hint="eastAsia"/>
          <w:color w:val="auto"/>
          <w:szCs w:val="32"/>
          <w:highlight w:val="none"/>
        </w:rPr>
        <w:t>至少具备存储1个月天气雷达IQ数据的能力。</w:t>
      </w:r>
      <w:r>
        <w:rPr>
          <w:rFonts w:ascii="仿宋_GB2312" w:hAnsi="仿宋_GB2312" w:cs="仿宋_GB2312" w:hint="eastAsia"/>
          <w:color w:val="000000"/>
          <w:szCs w:val="32"/>
        </w:rPr>
        <w:t>在长沙气象雷达标校中心开展试验，验证设备性能；在华南、华东等龙卷高发地区挑选至少2个台站进行试运行。</w:t>
      </w:r>
    </w:p>
    <w:tbl>
      <w:tblPr>
        <w:tblStyle w:val="TableNormal"/>
        <w:tblW w:w="4897" w:type="pct"/>
        <w:tblInd w:w="0" w:type="dxa"/>
        <w:tblCellMar>
          <w:top w:w="0" w:type="dxa"/>
          <w:left w:w="108" w:type="dxa"/>
          <w:bottom w:w="0" w:type="dxa"/>
          <w:right w:w="108" w:type="dxa"/>
        </w:tblCellMar>
      </w:tblPr>
      <w:tblGrid>
        <w:gridCol w:w="1263"/>
        <w:gridCol w:w="2852"/>
        <w:gridCol w:w="981"/>
        <w:gridCol w:w="780"/>
        <w:gridCol w:w="1620"/>
        <w:gridCol w:w="699"/>
        <w:gridCol w:w="623"/>
      </w:tblGrid>
      <w:tr>
        <w:tblPrEx>
          <w:tblW w:w="4897" w:type="pct"/>
          <w:tblInd w:w="0" w:type="dxa"/>
          <w:tblCellMar>
            <w:top w:w="0" w:type="dxa"/>
            <w:left w:w="108" w:type="dxa"/>
            <w:bottom w:w="0" w:type="dxa"/>
            <w:right w:w="108" w:type="dxa"/>
          </w:tblCellMar>
        </w:tblPrEx>
        <w:trPr>
          <w:trHeight w:val="312"/>
        </w:trPr>
        <w:tc>
          <w:tcPr>
            <w:tcW w:w="716"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设备名称</w:t>
            </w:r>
          </w:p>
        </w:tc>
        <w:tc>
          <w:tcPr>
            <w:tcW w:w="1616"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简要规格</w:t>
            </w:r>
          </w:p>
        </w:tc>
        <w:tc>
          <w:tcPr>
            <w:tcW w:w="556"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参考型号</w:t>
            </w:r>
          </w:p>
        </w:tc>
        <w:tc>
          <w:tcPr>
            <w:tcW w:w="442"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Style w:val="font21"/>
                <w:rFonts w:hint="default"/>
                <w:lang w:bidi="ar"/>
              </w:rPr>
              <w:t>产地</w:t>
            </w:r>
          </w:p>
        </w:tc>
        <w:tc>
          <w:tcPr>
            <w:tcW w:w="918"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设备必要性</w:t>
            </w:r>
          </w:p>
        </w:tc>
        <w:tc>
          <w:tcPr>
            <w:tcW w:w="396"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单位</w:t>
            </w:r>
          </w:p>
        </w:tc>
        <w:tc>
          <w:tcPr>
            <w:tcW w:w="353" w:type="pct"/>
            <w:vMerge w:val="restart"/>
            <w:tcBorders>
              <w:top w:val="single" w:sz="8"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b/>
                <w:bCs/>
                <w:color w:val="000000"/>
                <w:sz w:val="20"/>
              </w:rPr>
            </w:pPr>
            <w:r>
              <w:rPr>
                <w:rFonts w:ascii="宋体" w:hAnsi="宋体" w:cs="宋体" w:hint="eastAsia"/>
                <w:b/>
                <w:bCs/>
                <w:color w:val="000000"/>
                <w:kern w:val="0"/>
                <w:sz w:val="20"/>
                <w:lang w:bidi="ar"/>
              </w:rPr>
              <w:t>数量</w:t>
            </w:r>
          </w:p>
        </w:tc>
      </w:tr>
      <w:tr>
        <w:tblPrEx>
          <w:tblW w:w="4897" w:type="pct"/>
          <w:tblInd w:w="0" w:type="dxa"/>
          <w:tblCellMar>
            <w:top w:w="0" w:type="dxa"/>
            <w:left w:w="108" w:type="dxa"/>
            <w:bottom w:w="0" w:type="dxa"/>
            <w:right w:w="108" w:type="dxa"/>
          </w:tblCellMar>
        </w:tblPrEx>
        <w:trPr>
          <w:trHeight w:val="312"/>
        </w:trPr>
        <w:tc>
          <w:tcPr>
            <w:tcW w:w="716"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1616"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556"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442"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918"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396"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c>
          <w:tcPr>
            <w:tcW w:w="353" w:type="pct"/>
            <w:vMerge/>
            <w:tcBorders>
              <w:top w:val="single" w:sz="8" w:space="0" w:color="000000"/>
              <w:left w:val="single" w:sz="4" w:space="0" w:color="000000"/>
              <w:bottom w:val="single" w:sz="4" w:space="0" w:color="000000"/>
              <w:right w:val="single" w:sz="4" w:space="0" w:color="000000"/>
            </w:tcBorders>
            <w:vAlign w:val="center"/>
          </w:tcPr>
          <w:p>
            <w:pPr>
              <w:jc w:val="center"/>
              <w:rPr>
                <w:rFonts w:ascii="宋体" w:hAnsi="宋体" w:cs="宋体" w:hint="eastAsia"/>
                <w:b/>
                <w:bCs/>
                <w:color w:val="000000"/>
                <w:sz w:val="20"/>
              </w:rPr>
            </w:pPr>
          </w:p>
        </w:tc>
      </w:tr>
      <w:tr>
        <w:tblPrEx>
          <w:tblW w:w="4897" w:type="pct"/>
          <w:tblInd w:w="0" w:type="dxa"/>
          <w:tblCellMar>
            <w:top w:w="0" w:type="dxa"/>
            <w:left w:w="108" w:type="dxa"/>
            <w:bottom w:w="0" w:type="dxa"/>
            <w:right w:w="108" w:type="dxa"/>
          </w:tblCellMar>
        </w:tblPrEx>
        <w:trPr>
          <w:trHeight w:val="1430"/>
        </w:trPr>
        <w:tc>
          <w:tcPr>
            <w:tcW w:w="716" w:type="pct"/>
            <w:tcBorders>
              <w:top w:val="single" w:sz="4" w:space="0" w:color="000000"/>
              <w:left w:val="single" w:sz="4" w:space="0" w:color="000000"/>
              <w:bottom w:val="single" w:sz="4" w:space="0" w:color="000000"/>
              <w:right w:val="single" w:sz="4" w:space="0" w:color="000000"/>
            </w:tcBorders>
            <w:vAlign w:val="center"/>
          </w:tcPr>
          <w:p>
            <w:pPr>
              <w:widowControl/>
              <w:textAlignment w:val="center"/>
              <w:rPr>
                <w:rFonts w:ascii="宋体" w:hAnsi="宋体" w:cs="宋体" w:hint="eastAsia"/>
                <w:color w:val="000000"/>
                <w:sz w:val="20"/>
              </w:rPr>
            </w:pPr>
            <w:r>
              <w:rPr>
                <w:rFonts w:ascii="宋体" w:hAnsi="宋体" w:cs="宋体" w:hint="eastAsia"/>
                <w:color w:val="000000"/>
                <w:kern w:val="0"/>
                <w:sz w:val="20"/>
                <w:lang w:bidi="ar"/>
              </w:rPr>
              <w:t>天气雷达边缘缓存设备</w:t>
            </w:r>
          </w:p>
        </w:tc>
        <w:tc>
          <w:tcPr>
            <w:tcW w:w="1616" w:type="pct"/>
            <w:tcBorders>
              <w:top w:val="single" w:sz="4" w:space="0" w:color="000000"/>
              <w:left w:val="single" w:sz="4" w:space="0" w:color="000000"/>
              <w:bottom w:val="single" w:sz="4" w:space="0" w:color="000000"/>
              <w:right w:val="single" w:sz="4" w:space="0" w:color="000000"/>
            </w:tcBorders>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可实时接收RDA工作站发送的IQ数据，并至少具备保存1个月天气雷达IQ数据的能力</w:t>
            </w:r>
          </w:p>
        </w:tc>
        <w:tc>
          <w:tcPr>
            <w:tcW w:w="556"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定制</w:t>
            </w:r>
          </w:p>
        </w:tc>
        <w:tc>
          <w:tcPr>
            <w:tcW w:w="442"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中国</w:t>
            </w:r>
          </w:p>
        </w:tc>
        <w:tc>
          <w:tcPr>
            <w:tcW w:w="918" w:type="pct"/>
            <w:tcBorders>
              <w:top w:val="single" w:sz="4" w:space="0" w:color="000000"/>
              <w:left w:val="single" w:sz="4" w:space="0" w:color="000000"/>
              <w:bottom w:val="single" w:sz="4" w:space="0" w:color="000000"/>
              <w:right w:val="single" w:sz="4" w:space="0" w:color="000000"/>
            </w:tcBorders>
            <w:vAlign w:val="center"/>
          </w:tcPr>
          <w:p>
            <w:pPr>
              <w:widowControl/>
              <w:jc w:val="left"/>
              <w:textAlignment w:val="center"/>
              <w:rPr>
                <w:rFonts w:ascii="宋体" w:hAnsi="宋体" w:cs="宋体" w:hint="eastAsia"/>
                <w:color w:val="000000"/>
                <w:sz w:val="20"/>
              </w:rPr>
            </w:pPr>
            <w:r>
              <w:rPr>
                <w:rFonts w:ascii="宋体" w:hAnsi="宋体" w:cs="宋体" w:hint="eastAsia"/>
                <w:color w:val="000000"/>
                <w:kern w:val="0"/>
                <w:sz w:val="20"/>
                <w:lang w:bidi="ar"/>
              </w:rPr>
              <w:t>用于布置在设备端存储IQ数据</w:t>
            </w:r>
          </w:p>
        </w:tc>
        <w:tc>
          <w:tcPr>
            <w:tcW w:w="396"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rFonts w:ascii="宋体" w:hAnsi="宋体" w:cs="宋体" w:hint="eastAsia"/>
                <w:color w:val="000000"/>
                <w:sz w:val="20"/>
              </w:rPr>
            </w:pPr>
            <w:r>
              <w:rPr>
                <w:rFonts w:ascii="宋体" w:hAnsi="宋体" w:cs="宋体" w:hint="eastAsia"/>
                <w:color w:val="000000"/>
                <w:kern w:val="0"/>
                <w:sz w:val="20"/>
                <w:lang w:bidi="ar"/>
              </w:rPr>
              <w:t>套</w:t>
            </w:r>
          </w:p>
        </w:tc>
        <w:tc>
          <w:tcPr>
            <w:tcW w:w="353" w:type="pct"/>
            <w:tcBorders>
              <w:top w:val="single" w:sz="4" w:space="0" w:color="000000"/>
              <w:left w:val="single" w:sz="4" w:space="0" w:color="000000"/>
              <w:bottom w:val="single" w:sz="4" w:space="0" w:color="000000"/>
              <w:right w:val="single" w:sz="4" w:space="0" w:color="000000"/>
            </w:tcBorders>
            <w:vAlign w:val="center"/>
          </w:tcPr>
          <w:p>
            <w:pPr>
              <w:widowControl/>
              <w:jc w:val="center"/>
              <w:textAlignment w:val="center"/>
              <w:rPr>
                <w:color w:val="000000"/>
                <w:sz w:val="20"/>
              </w:rPr>
            </w:pPr>
            <w:r>
              <w:rPr>
                <w:color w:val="000000"/>
                <w:kern w:val="0"/>
                <w:sz w:val="20"/>
                <w:lang w:bidi="ar"/>
              </w:rPr>
              <w:t>1</w:t>
            </w:r>
          </w:p>
        </w:tc>
      </w:tr>
    </w:tbl>
    <w:p>
      <w:pPr>
        <w:snapToGrid w:val="0"/>
        <w:spacing w:line="360" w:lineRule="auto"/>
        <w:ind w:left="54" w:firstLine="508" w:firstLineChars="242"/>
        <w:jc w:val="left"/>
        <w:rPr>
          <w:rFonts w:ascii="宋体" w:hAnsi="宋体" w:hint="eastAsia"/>
          <w:szCs w:val="21"/>
        </w:rPr>
      </w:pPr>
      <w:r>
        <w:rPr>
          <w:rFonts w:ascii="宋体" w:hAnsi="宋体" w:hint="eastAsia"/>
          <w:szCs w:val="21"/>
        </w:rPr>
        <w:t>完成天气雷达多普勒数据覆盖区域扩展算法开发，基于连续性原理的速度退模糊</w:t>
      </w:r>
      <w:r>
        <w:rPr>
          <w:rFonts w:ascii="宋体" w:hAnsi="宋体" w:hint="eastAsia"/>
          <w:b/>
          <w:bCs/>
          <w:szCs w:val="21"/>
        </w:rPr>
        <w:t>模块</w:t>
      </w:r>
      <w:r>
        <w:rPr>
          <w:rFonts w:ascii="宋体" w:hAnsi="宋体" w:hint="eastAsia"/>
          <w:szCs w:val="21"/>
        </w:rPr>
        <w:t>和特征速度原理的退速度模糊</w:t>
      </w:r>
      <w:r>
        <w:rPr>
          <w:rFonts w:ascii="宋体" w:hAnsi="宋体" w:hint="eastAsia"/>
          <w:b/>
          <w:bCs/>
          <w:szCs w:val="21"/>
        </w:rPr>
        <w:t>模块</w:t>
      </w:r>
      <w:r>
        <w:rPr>
          <w:rFonts w:ascii="宋体" w:hAnsi="宋体" w:hint="eastAsia"/>
          <w:szCs w:val="21"/>
        </w:rPr>
        <w:t>设计及速度填充</w:t>
      </w:r>
      <w:r>
        <w:rPr>
          <w:rFonts w:ascii="宋体" w:hAnsi="宋体" w:hint="eastAsia"/>
          <w:b/>
          <w:bCs/>
          <w:szCs w:val="21"/>
        </w:rPr>
        <w:t>模块</w:t>
      </w:r>
      <w:r>
        <w:rPr>
          <w:rFonts w:ascii="宋体" w:hAnsi="宋体" w:hint="eastAsia"/>
          <w:szCs w:val="21"/>
        </w:rPr>
        <w:t>设计，实现</w:t>
      </w:r>
      <w:r>
        <w:rPr>
          <w:rFonts w:ascii="仿宋_GB2312" w:hAnsi="仿宋_GB2312" w:cs="仿宋_GB2312" w:hint="eastAsia"/>
          <w:szCs w:val="32"/>
        </w:rPr>
        <w:t>多普勒数据覆盖面积提升5%以上，</w:t>
      </w:r>
      <w:r>
        <w:rPr>
          <w:rFonts w:ascii="宋体" w:hAnsi="宋体" w:hint="eastAsia"/>
          <w:szCs w:val="21"/>
        </w:rPr>
        <w:t>达到改进风场反演、强对流天气预警等数据应用效果。完成下一代脉冲压缩技术研发，</w:t>
      </w:r>
      <w:r>
        <w:rPr>
          <w:rFonts w:ascii="仿宋_GB2312" w:hAnsi="仿宋_GB2312" w:cs="仿宋_GB2312" w:hint="eastAsia"/>
          <w:szCs w:val="32"/>
        </w:rPr>
        <w:t>通过非线性脉冲压缩算法建模、人工智能算法优化及渐进式脉冲压缩技术，</w:t>
      </w:r>
      <w:r>
        <w:rPr>
          <w:rFonts w:ascii="宋体" w:hAnsi="宋体" w:hint="eastAsia"/>
          <w:szCs w:val="21"/>
        </w:rPr>
        <w:t>提升天气雷达数据信噪比，实现小的距离分辨率和更高的灵敏度。</w:t>
      </w:r>
    </w:p>
    <w:p>
      <w:pPr>
        <w:spacing w:line="360" w:lineRule="auto"/>
        <w:ind w:firstLine="420" w:firstLineChars="200"/>
        <w:outlineLvl w:val="2"/>
        <w:rPr>
          <w:rFonts w:ascii="宋体" w:hAnsi="宋体" w:cs="宋体" w:hint="eastAsia"/>
          <w:b/>
          <w:kern w:val="0"/>
          <w:szCs w:val="21"/>
        </w:rPr>
      </w:pPr>
      <w:r>
        <w:rPr>
          <w:rFonts w:ascii="宋体" w:hAnsi="宋体" w:cs="宋体" w:hint="eastAsia"/>
          <w:b/>
          <w:kern w:val="0"/>
          <w:szCs w:val="21"/>
          <w:lang w:bidi="ar"/>
        </w:rPr>
        <w:t>四、</w:t>
      </w:r>
      <w:r>
        <w:rPr>
          <w:rFonts w:ascii="宋体" w:hAnsi="宋体" w:hint="eastAsia"/>
          <w:b/>
          <w:bCs/>
          <w:szCs w:val="21"/>
        </w:rPr>
        <w:t>项目组人员要求</w:t>
      </w:r>
    </w:p>
    <w:p>
      <w:pPr>
        <w:spacing w:line="360" w:lineRule="auto"/>
        <w:ind w:firstLine="420" w:firstLineChars="200"/>
        <w:textAlignment w:val="baseline"/>
        <w:rPr>
          <w:sz w:val="20"/>
        </w:rPr>
      </w:pPr>
      <w:r>
        <w:t>投标人必须成立合理的组织机构，建立全面保障设计、开发工作顺利实施的各项管理制度和质量保证体系，安排好足够的高素质人才参加本项目工作。</w:t>
      </w:r>
    </w:p>
    <w:p>
      <w:pPr>
        <w:spacing w:line="360" w:lineRule="auto"/>
        <w:ind w:firstLine="450"/>
        <w:textAlignment w:val="baseline"/>
      </w:pPr>
      <w:r>
        <w:t>在组织机构中应明确各岗位的职责，确保项目顺利实施，应分别配备有项目经理、技术负责人。投标人应确保服务与本项目的核心技术人员及主要开发人员</w:t>
      </w:r>
      <w:r>
        <w:rPr>
          <w:rFonts w:hint="eastAsia"/>
        </w:rPr>
        <w:t>稳定</w:t>
      </w:r>
      <w:r>
        <w:t>，</w:t>
      </w:r>
      <w:r>
        <w:rPr>
          <w:rFonts w:hint="eastAsia"/>
        </w:rPr>
        <w:t>承诺组成不少于8人的雷达研发团队，</w:t>
      </w:r>
      <w:r>
        <w:t>核心团队规模达到</w:t>
      </w:r>
      <w:r>
        <w:rPr>
          <w:rFonts w:hint="eastAsia"/>
        </w:rPr>
        <w:t>8</w:t>
      </w:r>
      <w:r>
        <w:t>人以上，未经甲方允许不得调整核心团队成员。</w:t>
      </w:r>
    </w:p>
    <w:p>
      <w:pPr>
        <w:spacing w:line="480" w:lineRule="auto"/>
        <w:ind w:firstLine="420" w:firstLineChars="200"/>
        <w:textAlignment w:val="baseline"/>
        <w:outlineLvl w:val="2"/>
        <w:rPr>
          <w:rFonts w:ascii="宋体" w:hAnsi="宋体" w:hint="eastAsia"/>
          <w:b/>
          <w:bCs/>
          <w:szCs w:val="21"/>
        </w:rPr>
      </w:pPr>
      <w:r>
        <w:rPr>
          <w:rFonts w:ascii="宋体" w:hAnsi="宋体" w:hint="eastAsia"/>
          <w:b/>
          <w:bCs/>
          <w:szCs w:val="21"/>
        </w:rPr>
        <w:t>五、培训要求</w:t>
      </w:r>
    </w:p>
    <w:p>
      <w:pPr>
        <w:spacing w:line="360" w:lineRule="auto"/>
        <w:ind w:firstLine="420" w:firstLineChars="200"/>
        <w:textAlignment w:val="baseline"/>
        <w:rPr>
          <w:sz w:val="20"/>
        </w:rPr>
      </w:pPr>
      <w:r>
        <w:rPr>
          <w:rFonts w:hint="eastAsia"/>
        </w:rPr>
        <w:t>1</w:t>
      </w:r>
      <w:r>
        <w:t>、培训</w:t>
      </w:r>
      <w:r>
        <w:rPr>
          <w:rFonts w:hint="eastAsia"/>
        </w:rPr>
        <w:t>采取现场集中培训的方式</w:t>
      </w:r>
      <w:r>
        <w:t>。</w:t>
      </w:r>
    </w:p>
    <w:p>
      <w:pPr>
        <w:spacing w:line="360" w:lineRule="auto"/>
        <w:ind w:firstLine="420" w:firstLineChars="200"/>
        <w:textAlignment w:val="baseline"/>
      </w:pPr>
      <w:r>
        <w:rPr>
          <w:rFonts w:hint="eastAsia"/>
        </w:rPr>
        <w:t>2</w:t>
      </w:r>
      <w:r>
        <w:t>、集中培训地点由甲方根据本项目的实际情况确定，确保培训时间不少于2</w:t>
      </w:r>
      <w:r>
        <w:rPr>
          <w:rFonts w:hint="eastAsia"/>
        </w:rPr>
        <w:t>天</w:t>
      </w:r>
      <w:r>
        <w:t>，培训人次不少于10</w:t>
      </w:r>
      <w:r>
        <w:rPr>
          <w:rFonts w:hint="eastAsia"/>
        </w:rPr>
        <w:t>人次</w:t>
      </w:r>
      <w:r>
        <w:t>。具体培训时间由甲方与投标人根据项目进展情况协商确定。</w:t>
      </w:r>
    </w:p>
    <w:p>
      <w:pPr>
        <w:spacing w:line="360" w:lineRule="auto"/>
        <w:ind w:firstLine="420" w:firstLineChars="200"/>
        <w:textAlignment w:val="baseline"/>
        <w:rPr>
          <w:sz w:val="20"/>
        </w:rPr>
      </w:pPr>
      <w:r>
        <w:rPr>
          <w:rFonts w:hint="eastAsia"/>
        </w:rPr>
        <w:t>3</w:t>
      </w:r>
      <w:r>
        <w:t>、投标人负责培训搭建所需的环境，并提供培训教材等相关用品。</w:t>
      </w:r>
    </w:p>
    <w:p>
      <w:pPr>
        <w:spacing w:line="360" w:lineRule="auto"/>
        <w:ind w:firstLine="420" w:firstLineChars="200"/>
        <w:textAlignment w:val="baseline"/>
        <w:rPr>
          <w:sz w:val="20"/>
        </w:rPr>
      </w:pPr>
      <w:r>
        <w:rPr>
          <w:rFonts w:hint="eastAsia"/>
        </w:rPr>
        <w:t>4</w:t>
      </w:r>
      <w:r>
        <w:t>、</w:t>
      </w:r>
      <w:r>
        <w:rPr>
          <w:rFonts w:hint="eastAsia"/>
        </w:rPr>
        <w:t>投标人承担培训教师和培训材料的费用。</w:t>
      </w:r>
    </w:p>
    <w:p>
      <w:pPr>
        <w:spacing w:line="480" w:lineRule="auto"/>
        <w:ind w:firstLine="420" w:firstLineChars="200"/>
        <w:textAlignment w:val="baseline"/>
        <w:outlineLvl w:val="2"/>
        <w:rPr>
          <w:rFonts w:ascii="宋体" w:hAnsi="宋体" w:hint="eastAsia"/>
          <w:b/>
          <w:bCs/>
          <w:szCs w:val="21"/>
        </w:rPr>
      </w:pPr>
      <w:r>
        <w:rPr>
          <w:rFonts w:ascii="宋体" w:hAnsi="宋体" w:hint="eastAsia"/>
          <w:b/>
          <w:bCs/>
          <w:szCs w:val="21"/>
        </w:rPr>
        <w:t>六、售后服务要求</w:t>
      </w:r>
    </w:p>
    <w:p>
      <w:pPr>
        <w:spacing w:line="360" w:lineRule="auto"/>
        <w:ind w:firstLine="420" w:firstLineChars="200"/>
        <w:textAlignment w:val="baseline"/>
      </w:pPr>
      <w:r>
        <w:rPr>
          <w:rFonts w:hint="eastAsia"/>
        </w:rPr>
        <w:t xml:space="preserve">质保期内，中标人技术人员应提供 </w:t>
      </w:r>
      <w:r>
        <w:t xml:space="preserve">7*24 </w:t>
      </w:r>
      <w:r>
        <w:rPr>
          <w:rFonts w:hint="eastAsia"/>
        </w:rPr>
        <w:t xml:space="preserve">小时的服务响应，随时进行电话应答。需要现场解决的问题，中标人技术人员须在 </w:t>
      </w:r>
      <w:r>
        <w:t>2</w:t>
      </w:r>
      <w:r>
        <w:rPr>
          <w:rFonts w:hint="eastAsia"/>
        </w:rPr>
        <w:t>天内抵达现场，技术人员所发生的差旅费由中标方承担。</w:t>
      </w:r>
    </w:p>
    <w:p>
      <w:pPr>
        <w:spacing w:line="360" w:lineRule="auto"/>
        <w:ind w:firstLine="420" w:firstLineChars="200"/>
        <w:textAlignment w:val="baseline"/>
      </w:pPr>
      <w:r>
        <w:rPr>
          <w:rFonts w:hint="eastAsia"/>
        </w:rPr>
        <w:t>提供超过质保期后的技术跟踪服务，包含电话疑难问题解答、远程技术指导等。</w:t>
      </w:r>
    </w:p>
    <w:p>
      <w:pPr>
        <w:spacing w:line="360" w:lineRule="auto"/>
        <w:ind w:firstLine="420" w:firstLineChars="200"/>
        <w:textAlignment w:val="baseline"/>
      </w:pPr>
      <w:r>
        <w:rPr>
          <w:rFonts w:hint="eastAsia"/>
        </w:rPr>
        <w:t>通过验收之日起，中标方提供</w:t>
      </w:r>
      <w:r>
        <w:t>3</w:t>
      </w:r>
      <w:r>
        <w:rPr>
          <w:rFonts w:hint="eastAsia"/>
        </w:rPr>
        <w:t>年免费技术支持服务。</w:t>
      </w:r>
    </w:p>
    <w:p>
      <w:pPr>
        <w:spacing w:line="480" w:lineRule="auto"/>
        <w:ind w:firstLine="420" w:firstLineChars="200"/>
        <w:textAlignment w:val="baseline"/>
        <w:outlineLvl w:val="2"/>
        <w:rPr>
          <w:rFonts w:ascii="宋体" w:hAnsi="宋体" w:hint="eastAsia"/>
          <w:b/>
          <w:bCs/>
          <w:szCs w:val="21"/>
        </w:rPr>
      </w:pPr>
      <w:r>
        <w:rPr>
          <w:rFonts w:ascii="宋体" w:hAnsi="宋体" w:hint="eastAsia"/>
          <w:b/>
          <w:bCs/>
          <w:szCs w:val="21"/>
        </w:rPr>
        <w:t>七、交付物与实施时间地点</w:t>
      </w:r>
    </w:p>
    <w:p>
      <w:pPr>
        <w:spacing w:line="360" w:lineRule="auto"/>
        <w:ind w:firstLine="420" w:firstLineChars="200"/>
        <w:textAlignment w:val="baseline"/>
        <w:rPr>
          <w:sz w:val="20"/>
        </w:rPr>
      </w:pPr>
      <w:r>
        <w:t>项目交付成果包括：</w:t>
      </w:r>
      <w:r>
        <w:rPr>
          <w:rFonts w:hint="eastAsia"/>
        </w:rPr>
        <w:t>上川岛固态脉压雷达观测策略模块开发及比对观测评估技术和报告</w:t>
      </w:r>
      <w:r>
        <w:t>1套</w:t>
      </w:r>
      <w:r>
        <w:rPr>
          <w:rFonts w:hint="eastAsia"/>
        </w:rPr>
        <w:t>；T/R组件标准化测试方法</w:t>
      </w:r>
      <w:r>
        <w:t>1套</w:t>
      </w:r>
      <w:r>
        <w:rPr>
          <w:rFonts w:hint="eastAsia"/>
        </w:rPr>
        <w:t>；</w:t>
      </w:r>
      <w:r>
        <w:rPr>
          <w:rFonts w:ascii="宋体" w:hAnsi="宋体" w:cs="宋体" w:hint="eastAsia"/>
          <w:szCs w:val="21"/>
          <w:lang w:bidi="ar"/>
        </w:rPr>
        <w:t>X波段相控阵雷达性能测试评估方法1</w:t>
      </w:r>
      <w:r>
        <w:rPr>
          <w:rFonts w:hint="eastAsia"/>
          <w:lang w:bidi="ar"/>
        </w:rPr>
        <w:t>套、3部雷达测试报告各1份；</w:t>
      </w:r>
      <w:r>
        <w:rPr>
          <w:rFonts w:ascii="仿宋_GB2312" w:hAnsi="仿宋_GB2312" w:cs="仿宋_GB2312" w:hint="eastAsia"/>
          <w:color w:val="000000"/>
          <w:szCs w:val="32"/>
        </w:rPr>
        <w:t>天气雷达边缘缓存设备</w:t>
      </w:r>
      <w:r>
        <w:rPr>
          <w:rFonts w:ascii="仿宋_GB2312" w:hAnsi="仿宋_GB2312" w:cs="仿宋_GB2312" w:hint="eastAsia"/>
          <w:szCs w:val="32"/>
        </w:rPr>
        <w:t>1套；</w:t>
      </w:r>
      <w:r>
        <w:rPr>
          <w:rFonts w:hint="eastAsia"/>
        </w:rPr>
        <w:t>天气雷达多普勒数据覆盖区域扩展算法</w:t>
      </w:r>
      <w:r>
        <w:t>1套</w:t>
      </w:r>
      <w:r>
        <w:rPr>
          <w:rFonts w:hint="eastAsia"/>
          <w:szCs w:val="21"/>
        </w:rPr>
        <w:t>；下一代脉冲压缩技术报告</w:t>
      </w:r>
      <w:r>
        <w:rPr>
          <w:rFonts w:hint="eastAsia"/>
        </w:rPr>
        <w:t>1套</w:t>
      </w:r>
      <w:r>
        <w:rPr>
          <w:rFonts w:hint="eastAsia"/>
          <w:bCs/>
          <w:szCs w:val="21"/>
        </w:rPr>
        <w:t>。</w:t>
      </w:r>
    </w:p>
    <w:p>
      <w:pPr>
        <w:spacing w:line="360" w:lineRule="auto"/>
        <w:ind w:firstLine="420" w:firstLineChars="200"/>
        <w:textAlignment w:val="baseline"/>
        <w:rPr>
          <w:sz w:val="20"/>
        </w:rPr>
      </w:pPr>
      <w:r>
        <w:t>具备注释的全部系统软件</w:t>
      </w:r>
      <w:r>
        <w:rPr>
          <w:rFonts w:hint="eastAsia"/>
        </w:rPr>
        <w:t>算法</w:t>
      </w:r>
      <w:r>
        <w:t>以及功能设计方案，测试分析报告，项目阶段性验收报告</w:t>
      </w:r>
      <w:r>
        <w:rPr>
          <w:rFonts w:hint="eastAsia"/>
        </w:rPr>
        <w:t>，技术总结报告</w:t>
      </w:r>
      <w:r>
        <w:t>等相关文档。</w:t>
      </w:r>
    </w:p>
    <w:p>
      <w:pPr>
        <w:spacing w:line="360" w:lineRule="auto"/>
        <w:ind w:firstLine="420" w:firstLineChars="200"/>
        <w:textAlignment w:val="baseline"/>
      </w:pPr>
      <w:r>
        <w:t>履约时间：供货合同签订之日起</w:t>
      </w:r>
      <w:r>
        <w:rPr>
          <w:rFonts w:hint="eastAsia"/>
          <w:lang w:bidi="ar"/>
        </w:rPr>
        <w:t>18个月内</w:t>
      </w:r>
      <w:r>
        <w:t>供货，其余事项详见合同文本。</w:t>
      </w:r>
    </w:p>
    <w:p>
      <w:pPr>
        <w:spacing w:line="360" w:lineRule="auto"/>
        <w:ind w:firstLine="420" w:firstLineChars="200"/>
        <w:textAlignment w:val="baseline"/>
      </w:pPr>
      <w:r>
        <w:t>履约地点：中国气象局气象探测中心。</w:t>
      </w:r>
    </w:p>
    <w:p>
      <w:pPr>
        <w:spacing w:line="480" w:lineRule="auto"/>
        <w:ind w:firstLine="420" w:firstLineChars="200"/>
        <w:textAlignment w:val="baseline"/>
        <w:outlineLvl w:val="2"/>
        <w:rPr>
          <w:rFonts w:ascii="宋体" w:hAnsi="宋体" w:hint="eastAsia"/>
          <w:b/>
          <w:bCs/>
          <w:szCs w:val="21"/>
        </w:rPr>
      </w:pPr>
      <w:r>
        <w:rPr>
          <w:rFonts w:ascii="宋体" w:hAnsi="宋体" w:hint="eastAsia"/>
          <w:b/>
          <w:bCs/>
          <w:szCs w:val="21"/>
        </w:rPr>
        <w:t>八、验收标准与质量保障</w:t>
      </w:r>
    </w:p>
    <w:p>
      <w:pPr>
        <w:spacing w:line="360" w:lineRule="auto"/>
        <w:ind w:firstLine="420" w:firstLineChars="200"/>
        <w:textAlignment w:val="baseline"/>
      </w:pPr>
      <w:r>
        <w:rPr>
          <w:rFonts w:hint="eastAsia"/>
        </w:rPr>
        <w:t>1、中标人提供的产品交付物完全满足内容、技术及性能需求。</w:t>
      </w:r>
    </w:p>
    <w:p>
      <w:pPr>
        <w:spacing w:line="360" w:lineRule="auto"/>
        <w:ind w:firstLine="420" w:firstLineChars="200"/>
        <w:textAlignment w:val="baseline"/>
      </w:pPr>
      <w:r>
        <w:rPr>
          <w:rFonts w:hint="eastAsia"/>
        </w:rPr>
        <w:t>包括但不限于：</w:t>
      </w:r>
    </w:p>
    <w:p>
      <w:pPr>
        <w:numPr>
          <w:ilvl w:val="0"/>
          <w:numId w:val="4"/>
        </w:numPr>
        <w:spacing w:line="360" w:lineRule="auto"/>
        <w:ind w:left="0" w:firstLine="420"/>
        <w:textAlignment w:val="baseline"/>
      </w:pPr>
      <w:r>
        <w:rPr>
          <w:rFonts w:hint="eastAsia"/>
        </w:rPr>
        <w:t>需求功能完全实现；</w:t>
      </w:r>
    </w:p>
    <w:p>
      <w:pPr>
        <w:numPr>
          <w:ilvl w:val="0"/>
          <w:numId w:val="4"/>
        </w:numPr>
        <w:spacing w:line="360" w:lineRule="auto"/>
        <w:ind w:left="0" w:firstLine="420"/>
        <w:textAlignment w:val="baseline"/>
      </w:pPr>
      <w:r>
        <w:rPr>
          <w:rFonts w:hint="eastAsia"/>
        </w:rPr>
        <w:t>良好的错误校验；</w:t>
      </w:r>
    </w:p>
    <w:p>
      <w:pPr>
        <w:numPr>
          <w:ilvl w:val="0"/>
          <w:numId w:val="4"/>
        </w:numPr>
        <w:spacing w:line="360" w:lineRule="auto"/>
        <w:ind w:left="0" w:firstLine="420"/>
        <w:textAlignment w:val="baseline"/>
      </w:pPr>
      <w:r>
        <w:rPr>
          <w:rFonts w:hint="eastAsia"/>
        </w:rPr>
        <w:t>没有性能问题；</w:t>
      </w:r>
    </w:p>
    <w:p>
      <w:pPr>
        <w:numPr>
          <w:ilvl w:val="0"/>
          <w:numId w:val="4"/>
        </w:numPr>
        <w:spacing w:line="360" w:lineRule="auto"/>
        <w:ind w:left="0" w:firstLine="420"/>
        <w:textAlignment w:val="baseline"/>
      </w:pPr>
      <w:r>
        <w:rPr>
          <w:rFonts w:hint="eastAsia"/>
        </w:rPr>
        <w:t>交付物完整齐全。</w:t>
      </w:r>
    </w:p>
    <w:p>
      <w:pPr>
        <w:numPr>
          <w:ilvl w:val="0"/>
          <w:numId w:val="5"/>
        </w:numPr>
        <w:spacing w:line="360" w:lineRule="auto"/>
        <w:ind w:firstLine="420" w:firstLineChars="200"/>
        <w:textAlignment w:val="baseline"/>
      </w:pPr>
      <w:r>
        <w:rPr>
          <w:rFonts w:hint="eastAsia"/>
        </w:rPr>
        <w:t>项目进入交付阶段后，中标方根据可行性研究报告、合同中涉及的相关技术指标形成验收方案。在招标方指定地点，在招标方代表在场的情况下，依据验收方案中相关要求和技术指标对各子项目进行检查并形成报告，如果未能通过，待中标方整改后择日重新进行验收，由此增加的一切费用由中标方承担。</w:t>
      </w:r>
    </w:p>
    <w:p>
      <w:pPr>
        <w:numPr>
          <w:ilvl w:val="0"/>
          <w:numId w:val="5"/>
        </w:numPr>
        <w:spacing w:line="360" w:lineRule="auto"/>
        <w:ind w:firstLine="420" w:firstLineChars="200"/>
        <w:textAlignment w:val="baseline"/>
      </w:pPr>
      <w:r>
        <w:rPr>
          <w:rFonts w:hint="eastAsia"/>
        </w:rPr>
        <w:t>质量保障与实施方案</w:t>
      </w:r>
    </w:p>
    <w:p>
      <w:pPr>
        <w:numPr>
          <w:ilvl w:val="12"/>
          <w:numId w:val="0"/>
        </w:numPr>
        <w:spacing w:line="360" w:lineRule="auto"/>
        <w:ind w:firstLine="420" w:firstLineChars="200"/>
        <w:textAlignment w:val="baseline"/>
      </w:pPr>
      <w:r>
        <w:rPr>
          <w:rFonts w:hint="eastAsia"/>
        </w:rPr>
        <w:t>提供质量保障与实施方案，提出合理的项目全过程质量保证措施，过程检查有明确依据，质量保证工作量化。项目组织机构清晰，进度控制保证措施切实可行。</w:t>
      </w:r>
    </w:p>
    <w:p>
      <w:pPr>
        <w:spacing w:line="480" w:lineRule="auto"/>
        <w:ind w:firstLine="420" w:firstLineChars="200"/>
        <w:textAlignment w:val="baseline"/>
        <w:outlineLvl w:val="2"/>
        <w:rPr>
          <w:rFonts w:ascii="宋体" w:hAnsi="宋体" w:hint="eastAsia"/>
          <w:b/>
          <w:bCs/>
          <w:szCs w:val="21"/>
        </w:rPr>
      </w:pPr>
      <w:r>
        <w:rPr>
          <w:rFonts w:ascii="宋体" w:hAnsi="宋体" w:hint="eastAsia"/>
          <w:b/>
          <w:bCs/>
          <w:szCs w:val="21"/>
        </w:rPr>
        <w:t>九、软件知识产权要求</w:t>
      </w:r>
    </w:p>
    <w:p>
      <w:pPr>
        <w:spacing w:line="360" w:lineRule="auto"/>
        <w:ind w:firstLine="420"/>
        <w:textAlignment w:val="baseline"/>
        <w:rPr>
          <w:rFonts w:ascii="宋体" w:hAnsi="宋体" w:hint="eastAsia"/>
          <w:szCs w:val="21"/>
        </w:rPr>
      </w:pPr>
      <w:r>
        <w:rPr>
          <w:rFonts w:hint="eastAsia"/>
          <w:szCs w:val="21"/>
        </w:rPr>
        <w:t>本项目软件知识产权和所有算法归属中国气象局气象探测中心。</w:t>
      </w:r>
      <w:r>
        <w:rPr>
          <w:rFonts w:hint="eastAsia"/>
          <w:spacing w:val="-11"/>
        </w:rPr>
        <w:t>中标人同时应保证该项目执行过程中所应用的算法、程序和软件等没有知识产权纠纷。</w:t>
      </w:r>
    </w:p>
    <w:bookmarkEnd w:id="61"/>
    <w:p>
      <w:pPr>
        <w:adjustRightInd w:val="0"/>
        <w:snapToGrid w:val="0"/>
        <w:spacing w:line="360" w:lineRule="auto"/>
        <w:jc w:val="center"/>
        <w:rPr>
          <w:rFonts w:ascii="宋体" w:hAnsi="宋体" w:hint="eastAsia"/>
          <w:b/>
          <w:sz w:val="30"/>
          <w:szCs w:val="30"/>
        </w:rPr>
        <w:sectPr>
          <w:footerReference w:type="default" r:id="rId6"/>
          <w:pgSz w:w="11906" w:h="16838"/>
          <w:pgMar w:top="1418" w:right="1418" w:bottom="1418" w:left="1701" w:header="851" w:footer="851" w:gutter="0"/>
          <w:cols w:num="1" w:space="720"/>
          <w:docGrid w:type="linesAndChars" w:linePitch="312" w:charSpace="0"/>
        </w:sectPr>
      </w:pPr>
    </w:p>
    <w:p/>
    <w:p w:rsidR="00A77B3E"/>
    <w:p>
      <w:pPr>
        <w:adjustRightInd w:val="0"/>
        <w:snapToGrid w:val="0"/>
        <w:spacing w:line="360" w:lineRule="auto"/>
        <w:jc w:val="center"/>
        <w:rPr>
          <w:rFonts w:ascii="宋体" w:hAnsi="宋体" w:hint="eastAsia"/>
          <w:b/>
          <w:sz w:val="30"/>
          <w:szCs w:val="30"/>
          <w:highlight w:val="none"/>
        </w:rPr>
        <w:sectPr>
          <w:footerReference w:type="default" r:id="rId7"/>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63"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4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6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rFonts w:ascii="Times New Roman" w:eastAsia="宋体" w:hAnsi="Times New Roman" w:cs="Times New Roman"/>
          <w:b/>
          <w:bCs/>
          <w:szCs w:val="21"/>
        </w:rPr>
      </w:pPr>
      <w:bookmarkStart w:id="64" w:name="采购公告合同部分_ZBGGHT"/>
      <w:r>
        <w:rPr>
          <w:rFonts w:ascii="Times New Roman" w:eastAsia="宋体" w:hAnsi="Times New Roman" w:cs="Times New Roman" w:hint="eastAsia"/>
          <w:b/>
          <w:bCs/>
          <w:szCs w:val="21"/>
        </w:rPr>
        <w:t>第九章  采购合同</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10"/>
          <w:footerReference w:type="default" r:id="rId11"/>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6"/>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5" w:name="_Toc150439537"/>
      <w:r>
        <w:rPr>
          <w:rFonts w:ascii="宋体" w:eastAsia="宋体" w:hAnsi="宋体" w:cs="宋体" w:hint="eastAsia"/>
          <w:b/>
          <w:bCs/>
          <w:szCs w:val="21"/>
        </w:rPr>
        <w:t>项目内容及概况</w:t>
      </w:r>
      <w:bookmarkEnd w:id="65"/>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60"/>
        <w:gridCol w:w="747"/>
        <w:gridCol w:w="792"/>
        <w:gridCol w:w="1500"/>
        <w:gridCol w:w="1502"/>
        <w:gridCol w:w="1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6" w:name="_Toc150439540"/>
      <w:r>
        <w:rPr>
          <w:rFonts w:ascii="宋体" w:eastAsia="宋体" w:hAnsi="宋体" w:cs="宋体" w:hint="eastAsia"/>
          <w:b/>
          <w:bCs/>
          <w:szCs w:val="21"/>
        </w:rPr>
        <w:t>项目相关标准</w:t>
      </w:r>
      <w:bookmarkEnd w:id="66"/>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8"/>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9"/>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7" w:name="_Toc150439542"/>
      <w:r>
        <w:rPr>
          <w:rFonts w:ascii="宋体" w:eastAsia="宋体" w:hAnsi="宋体" w:cs="宋体" w:hint="eastAsia"/>
          <w:b/>
          <w:bCs/>
          <w:szCs w:val="21"/>
        </w:rPr>
        <w:t>组成本合同的文件</w:t>
      </w:r>
      <w:bookmarkEnd w:id="67"/>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5"/>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5"/>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4"/>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7"/>
        </w:numPr>
        <w:spacing w:before="60" w:after="60" w:line="360" w:lineRule="auto"/>
        <w:ind w:left="840" w:hanging="840"/>
        <w:jc w:val="left"/>
        <w:outlineLvl w:val="1"/>
        <w:rPr>
          <w:rFonts w:ascii="宋体" w:eastAsia="宋体" w:hAnsi="宋体" w:cs="宋体"/>
          <w:b/>
          <w:bCs/>
          <w:szCs w:val="21"/>
        </w:rPr>
      </w:pPr>
      <w:bookmarkStart w:id="68" w:name="_Toc150439545"/>
      <w:r>
        <w:rPr>
          <w:rFonts w:ascii="宋体" w:eastAsia="宋体" w:hAnsi="宋体" w:cs="宋体" w:hint="eastAsia"/>
          <w:b/>
          <w:bCs/>
          <w:szCs w:val="21"/>
        </w:rPr>
        <w:t>合同履行地点、合同服务期</w:t>
      </w:r>
      <w:bookmarkEnd w:id="68"/>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7"/>
        </w:numPr>
        <w:spacing w:before="60" w:after="60" w:line="360" w:lineRule="auto"/>
        <w:ind w:left="840" w:hanging="840"/>
        <w:outlineLvl w:val="1"/>
        <w:rPr>
          <w:rFonts w:ascii="宋体" w:eastAsia="宋体" w:hAnsi="宋体" w:cs="宋体"/>
          <w:b/>
          <w:bCs/>
          <w:szCs w:val="21"/>
        </w:rPr>
      </w:pPr>
      <w:bookmarkStart w:id="69" w:name="_Toc150439547"/>
      <w:r>
        <w:rPr>
          <w:rFonts w:ascii="宋体" w:eastAsia="宋体" w:hAnsi="宋体" w:cs="宋体" w:hint="eastAsia"/>
          <w:b/>
          <w:bCs/>
          <w:szCs w:val="21"/>
        </w:rPr>
        <w:t>服务范围及内容</w:t>
      </w:r>
      <w:bookmarkEnd w:id="69"/>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7"/>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7"/>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9"/>
        <w:gridCol w:w="63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7"/>
        </w:numPr>
        <w:spacing w:before="60" w:after="60" w:line="360" w:lineRule="auto"/>
        <w:ind w:left="840" w:hanging="840"/>
        <w:outlineLvl w:val="1"/>
        <w:rPr>
          <w:rFonts w:ascii="宋体" w:eastAsia="宋体" w:hAnsi="宋体" w:cs="宋体"/>
          <w:b/>
          <w:bCs/>
          <w:szCs w:val="21"/>
        </w:rPr>
      </w:pPr>
      <w:bookmarkStart w:id="70" w:name="_Toc150439549"/>
      <w:r>
        <w:rPr>
          <w:rFonts w:ascii="宋体" w:eastAsia="宋体" w:hAnsi="宋体" w:cs="宋体" w:hint="eastAsia"/>
          <w:b/>
          <w:bCs/>
          <w:szCs w:val="21"/>
        </w:rPr>
        <w:t>乙方的权利与义务</w:t>
      </w:r>
      <w:bookmarkEnd w:id="70"/>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0"/>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1"/>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2"/>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19"/>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3"/>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19"/>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19"/>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1" w:name="_Toc150439565"/>
      <w:r>
        <w:rPr>
          <w:rFonts w:ascii="宋体" w:eastAsia="宋体" w:hAnsi="宋体" w:cs="宋体" w:hint="eastAsia"/>
          <w:b/>
          <w:bCs/>
          <w:szCs w:val="21"/>
        </w:rPr>
        <w:t>甲方</w:t>
      </w:r>
      <w:r>
        <w:rPr>
          <w:rFonts w:ascii="宋体" w:eastAsia="宋体" w:hAnsi="宋体" w:cs="宋体"/>
          <w:b/>
          <w:bCs/>
          <w:szCs w:val="21"/>
        </w:rPr>
        <w:t>的权利与义务</w:t>
      </w:r>
      <w:bookmarkEnd w:id="71"/>
    </w:p>
    <w:p>
      <w:pPr>
        <w:numPr>
          <w:ilvl w:val="0"/>
          <w:numId w:val="24"/>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5"/>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5"/>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4"/>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4"/>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28"/>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8"/>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7"/>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29"/>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2" w:name="_Toc150439567"/>
      <w:r>
        <w:rPr>
          <w:rFonts w:ascii="宋体" w:eastAsia="宋体" w:hAnsi="宋体" w:cs="宋体" w:hint="eastAsia"/>
          <w:b/>
          <w:bCs/>
          <w:szCs w:val="21"/>
        </w:rPr>
        <w:t>项目交付</w:t>
      </w:r>
      <w:bookmarkEnd w:id="72"/>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4"/>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eastAsia"/>
          <w:szCs w:val="21"/>
          <w:u w:val="single"/>
          <w:lang w:val="en-US" w:eastAsia="zh-CN"/>
        </w:rPr>
        <w:t xml:space="preserve"> 90% </w:t>
      </w:r>
      <w:r>
        <w:rPr>
          <w:rFonts w:ascii="宋体" w:eastAsia="宋体" w:hAnsi="宋体" w:cs="宋体" w:hint="eastAsia"/>
          <w:szCs w:val="21"/>
        </w:rPr>
        <w:t>，即：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w:t>
      </w:r>
      <w:r>
        <w:rPr>
          <w:rFonts w:ascii="宋体" w:eastAsia="宋体" w:hAnsi="宋体" w:cs="宋体" w:hint="eastAsia"/>
          <w:szCs w:val="21"/>
          <w:lang w:val="en-US" w:eastAsia="zh-CN"/>
        </w:rPr>
        <w:t>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10</w:t>
      </w:r>
      <w:r>
        <w:rPr>
          <w:rFonts w:ascii="宋体" w:eastAsia="宋体" w:hAnsi="宋体" w:cs="宋体" w:hint="eastAsia"/>
          <w:szCs w:val="21"/>
          <w:u w:val="single"/>
        </w:rPr>
        <w:t xml:space="preserve"> %</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合同验收</w:t>
      </w:r>
      <w:r>
        <w:rPr>
          <w:rFonts w:ascii="宋体" w:eastAsia="宋体" w:hAnsi="宋体" w:cs="宋体" w:hint="eastAsia"/>
          <w:szCs w:val="21"/>
          <w:u w:val="single"/>
        </w:rPr>
        <w:t xml:space="preserve">   ，</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w:t>
      </w:r>
      <w:r>
        <w:rPr>
          <w:rFonts w:ascii="宋体" w:eastAsia="宋体" w:hAnsi="宋体" w:cs="宋体" w:hint="eastAsia"/>
          <w:szCs w:val="21"/>
        </w:rPr>
        <w:t>方。</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5"/>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1"/>
        <w:gridCol w:w="4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3"/>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6"/>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3" w:name="_Toc150439569"/>
      <w:r>
        <w:rPr>
          <w:rFonts w:ascii="宋体" w:eastAsia="宋体" w:hAnsi="宋体" w:cs="宋体" w:hint="eastAsia"/>
          <w:b/>
          <w:bCs/>
          <w:szCs w:val="21"/>
        </w:rPr>
        <w:t>项目验收</w:t>
      </w:r>
      <w:bookmarkEnd w:id="73"/>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7"/>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4" w:name="_Toc150439566"/>
      <w:r>
        <w:rPr>
          <w:rFonts w:ascii="宋体" w:eastAsia="宋体" w:hAnsi="宋体" w:cs="宋体" w:hint="eastAsia"/>
          <w:b/>
          <w:bCs/>
          <w:szCs w:val="21"/>
        </w:rPr>
        <w:t>质量保证</w:t>
      </w:r>
      <w:bookmarkEnd w:id="74"/>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38"/>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5" w:name="_Toc150439612"/>
      <w:r>
        <w:rPr>
          <w:rFonts w:ascii="宋体" w:eastAsia="宋体" w:hAnsi="宋体" w:cs="宋体" w:hint="eastAsia"/>
          <w:b/>
          <w:bCs/>
          <w:szCs w:val="21"/>
        </w:rPr>
        <w:t>保密条款（保密协议）</w:t>
      </w:r>
      <w:bookmarkEnd w:id="75"/>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39"/>
        </w:numPr>
        <w:spacing w:line="360" w:lineRule="auto"/>
        <w:ind w:firstLine="420" w:firstLineChars="200"/>
        <w:rPr>
          <w:rFonts w:ascii="宋体" w:eastAsia="宋体" w:hAnsi="宋体" w:cs="宋体"/>
          <w:szCs w:val="21"/>
        </w:rPr>
      </w:pPr>
      <w:bookmarkStart w:id="76"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39"/>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6"/>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1"/>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7" w:name="_Hlk150343509"/>
      <w:r>
        <w:rPr>
          <w:rFonts w:ascii="宋体" w:eastAsia="宋体" w:hAnsi="宋体" w:cs="宋体" w:hint="eastAsia"/>
          <w:szCs w:val="21"/>
          <w:u w:val="single"/>
        </w:rPr>
        <w:t xml:space="preserve">                             </w:t>
      </w:r>
      <w:bookmarkEnd w:id="77"/>
      <w:r>
        <w:rPr>
          <w:rFonts w:ascii="宋体" w:eastAsia="宋体" w:hAnsi="宋体" w:cs="宋体" w:hint="eastAsia"/>
          <w:szCs w:val="21"/>
          <w:u w:val="single"/>
        </w:rPr>
        <w:t xml:space="preserve">                                </w:t>
      </w:r>
    </w:p>
    <w:p>
      <w:pPr>
        <w:numPr>
          <w:ilvl w:val="0"/>
          <w:numId w:val="40"/>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8" w:name="_Toc150439618"/>
      <w:r>
        <w:rPr>
          <w:rFonts w:ascii="宋体" w:eastAsia="宋体" w:hAnsi="宋体" w:cs="宋体" w:hint="eastAsia"/>
          <w:b/>
          <w:bCs/>
          <w:szCs w:val="21"/>
        </w:rPr>
        <w:t>违约</w:t>
      </w:r>
      <w:r>
        <w:rPr>
          <w:rFonts w:ascii="宋体" w:eastAsia="宋体" w:hAnsi="宋体" w:cs="宋体"/>
          <w:b/>
          <w:bCs/>
          <w:szCs w:val="21"/>
        </w:rPr>
        <w:t>责任及赔偿</w:t>
      </w:r>
      <w:bookmarkEnd w:id="78"/>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2"/>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79" w:name="_Toc150439619"/>
      <w:r>
        <w:rPr>
          <w:rFonts w:ascii="宋体" w:eastAsia="宋体" w:hAnsi="宋体" w:cs="宋体" w:hint="eastAsia"/>
          <w:b/>
          <w:bCs/>
          <w:szCs w:val="21"/>
        </w:rPr>
        <w:t>争议的解决</w:t>
      </w:r>
      <w:bookmarkEnd w:id="79"/>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3"/>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0" w:name="_Toc150439621"/>
      <w:r>
        <w:rPr>
          <w:rFonts w:ascii="宋体" w:eastAsia="宋体" w:hAnsi="宋体" w:cs="宋体" w:hint="eastAsia"/>
          <w:b/>
          <w:bCs/>
          <w:szCs w:val="21"/>
        </w:rPr>
        <w:t>不可抗力</w:t>
      </w:r>
      <w:bookmarkEnd w:id="80"/>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4"/>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1" w:name="_Toc150439624"/>
      <w:r>
        <w:rPr>
          <w:rFonts w:ascii="宋体" w:eastAsia="宋体" w:hAnsi="宋体" w:cs="宋体" w:hint="eastAsia"/>
          <w:b/>
          <w:bCs/>
          <w:szCs w:val="21"/>
        </w:rPr>
        <w:t>本合同的变更</w:t>
      </w:r>
      <w:bookmarkEnd w:id="81"/>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7"/>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2" w:name="_Toc150439623"/>
      <w:r>
        <w:rPr>
          <w:rFonts w:ascii="宋体" w:eastAsia="宋体" w:hAnsi="宋体" w:cs="宋体" w:hint="eastAsia"/>
          <w:b/>
          <w:bCs/>
          <w:szCs w:val="21"/>
        </w:rPr>
        <w:t>其它</w:t>
      </w:r>
      <w:bookmarkEnd w:id="82"/>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7"/>
        </w:numPr>
        <w:spacing w:before="60" w:after="60" w:line="360" w:lineRule="auto"/>
        <w:ind w:left="0" w:firstLine="420" w:firstLineChars="200"/>
        <w:outlineLvl w:val="1"/>
        <w:rPr>
          <w:rFonts w:ascii="宋体" w:eastAsia="宋体" w:hAnsi="宋体" w:cs="宋体"/>
          <w:b/>
          <w:bCs/>
          <w:szCs w:val="21"/>
        </w:rPr>
      </w:pPr>
      <w:bookmarkStart w:id="83" w:name="_Toc150439626"/>
      <w:r>
        <w:rPr>
          <w:rFonts w:ascii="宋体" w:eastAsia="宋体" w:hAnsi="宋体" w:cs="宋体" w:hint="eastAsia"/>
          <w:b/>
          <w:bCs/>
          <w:szCs w:val="21"/>
        </w:rPr>
        <w:t>合同生效</w:t>
      </w:r>
      <w:bookmarkEnd w:id="83"/>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48"/>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spacing w:line="360" w:lineRule="auto"/>
        <w:ind w:firstLine="3066" w:firstLineChars="1460"/>
        <w:jc w:val="left"/>
        <w:rPr>
          <w:b/>
          <w:bCs/>
          <w:szCs w:val="21"/>
          <w:highlight w:val="none"/>
        </w:rPr>
      </w:pPr>
      <w:bookmarkEnd w:id="64"/>
    </w:p>
    <w:p>
      <w:pPr>
        <w:rPr>
          <w:rFonts w:ascii="Calibri" w:hAnsi="Calibri"/>
          <w:szCs w:val="22"/>
          <w:highlight w:val="none"/>
        </w:rPr>
      </w:pPr>
    </w:p>
    <w:p>
      <w:pPr>
        <w:spacing w:line="360" w:lineRule="auto"/>
        <w:jc w:val="left"/>
        <w:rPr>
          <w:b/>
          <w:bCs/>
          <w:sz w:val="44"/>
          <w:szCs w:val="44"/>
          <w:highlight w:val="none"/>
        </w:rPr>
      </w:pPr>
    </w:p>
    <w:sectPr>
      <w:headerReference w:type="even" r:id="rId12"/>
      <w:headerReference w:type="default" r:id="rId13"/>
      <w:footerReference w:type="default" r:id="rId14"/>
      <w:headerReference w:type="first" r:id="rId15"/>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noto sans thai"/>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altName w:val="微软雅黑"/>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crosoft YaHei">
    <w:panose1 w:val="020B0503020204020204"/>
    <w:charset w:val="86"/>
    <w:family w:val="auto"/>
    <w:pitch w:val="default"/>
    <w:sig w:usb0="80000287" w:usb1="280F3C52" w:usb2="00000016" w:usb3="00000000" w:csb0="0004001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rFonts w:ascii="宋体" w:hAnsi="宋体" w:hint="eastAsia"/>
        <w:szCs w:val="21"/>
      </w:rPr>
    </w:pPr>
    <w:r>
      <w:rPr>
        <w:rFonts w:ascii="宋体" w:hAnsi="宋体"/>
        <w:szCs w:val="21"/>
      </w:rPr>
      <w:fldChar w:fldCharType="begin"/>
    </w:r>
    <w:r>
      <w:rPr>
        <w:rFonts w:ascii="宋体" w:hAnsi="宋体"/>
        <w:szCs w:val="21"/>
      </w:rPr>
      <w:instrText>PAGE   \* MERGEFORMAT</w:instrText>
    </w:r>
    <w:r>
      <w:rPr>
        <w:rFonts w:ascii="宋体" w:hAnsi="宋体"/>
        <w:szCs w:val="21"/>
      </w:rPr>
      <w:fldChar w:fldCharType="separate"/>
    </w:r>
    <w:r>
      <w:rPr>
        <w:rFonts w:ascii="宋体" w:hAnsi="宋体"/>
        <w:szCs w:val="21"/>
        <w:lang w:val="zh-CN"/>
      </w:rPr>
      <w:t>24</w:t>
    </w:r>
    <w:r>
      <w:rPr>
        <w:rFonts w:ascii="宋体" w:hAnsi="宋体"/>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7">
    <w:nsid w:val="353A3418"/>
    <w:multiLevelType w:val="singleLevel"/>
    <w:tmpl w:val="353A3418"/>
    <w:lvl w:ilvl="0">
      <w:start w:val="1"/>
      <w:numFmt w:val="bullet"/>
      <w:lvlText w:val=""/>
      <w:lvlJc w:val="left"/>
      <w:pPr>
        <w:ind w:left="420" w:hanging="420"/>
      </w:pPr>
      <w:rPr>
        <w:rFonts w:ascii="Wingdings" w:hAnsi="Wingdings" w:hint="default"/>
      </w:rPr>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C7A993F"/>
    <w:multiLevelType w:val="singleLevel"/>
    <w:tmpl w:val="4C7A993F"/>
    <w:lvl w:ilvl="0">
      <w:start w:val="1"/>
      <w:numFmt w:val="decimal"/>
      <w:lvlText w:val="%1)"/>
      <w:lvlJc w:val="left"/>
      <w:pPr>
        <w:ind w:left="425" w:hanging="425"/>
      </w:pPr>
      <w:rPr>
        <w:rFonts w:hint="default"/>
      </w:rPr>
    </w:lvl>
  </w:abstractNum>
  <w:abstractNum w:abstractNumId="32">
    <w:nsid w:val="57FFC18B"/>
    <w:multiLevelType w:val="singleLevel"/>
    <w:tmpl w:val="57FFC18B"/>
    <w:lvl w:ilvl="0">
      <w:start w:val="1"/>
      <w:numFmt w:val="decimal"/>
      <w:lvlText w:val="%1)"/>
      <w:lvlJc w:val="left"/>
      <w:pPr>
        <w:ind w:left="425" w:hanging="425"/>
      </w:pPr>
      <w:rPr>
        <w:rFonts w:hint="default"/>
      </w:rPr>
    </w:lvl>
  </w:abstractNum>
  <w:abstractNum w:abstractNumId="33">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5">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6792FF58"/>
    <w:multiLevelType w:val="singleLevel"/>
    <w:tmpl w:val="6792FF58"/>
    <w:lvl w:ilvl="0">
      <w:start w:val="2"/>
      <w:numFmt w:val="decimal"/>
      <w:suff w:val="nothing"/>
      <w:lvlText w:val="%1、"/>
      <w:lvlJc w:val="left"/>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0">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9F8DDAB"/>
    <w:multiLevelType w:val="singleLevel"/>
    <w:tmpl w:val="79F8DDAB"/>
    <w:lvl w:ilvl="0">
      <w:start w:val="1"/>
      <w:numFmt w:val="decimal"/>
      <w:lvlText w:val="%1)"/>
      <w:lvlJc w:val="left"/>
      <w:pPr>
        <w:ind w:left="425" w:hanging="425"/>
      </w:pPr>
      <w:rPr>
        <w:rFonts w:hint="default"/>
      </w:rPr>
    </w:lvl>
  </w:abstractNum>
  <w:abstractNum w:abstractNumId="44">
    <w:nsid w:val="7BF79D3F"/>
    <w:multiLevelType w:val="singleLevel"/>
    <w:tmpl w:val="7BF79D3F"/>
    <w:lvl w:ilvl="0">
      <w:start w:val="1"/>
      <w:numFmt w:val="decimal"/>
      <w:lvlText w:val="%1)"/>
      <w:lvlJc w:val="left"/>
      <w:pPr>
        <w:ind w:left="425" w:hanging="425"/>
      </w:pPr>
      <w:rPr>
        <w:rFonts w:hint="default"/>
      </w:rPr>
    </w:lvl>
  </w:abstractNum>
  <w:abstractNum w:abstractNumId="45">
    <w:nsid w:val="7FAFA353"/>
    <w:multiLevelType w:val="singleLevel"/>
    <w:tmpl w:val="7FAFA353"/>
    <w:lvl w:ilvl="0">
      <w:start w:val="1"/>
      <w:numFmt w:val="decimal"/>
      <w:lvlText w:val="%1)"/>
      <w:lvlJc w:val="left"/>
      <w:pPr>
        <w:ind w:left="425" w:hanging="425"/>
      </w:pPr>
      <w:rPr>
        <w:rFonts w:hint="default"/>
      </w:rPr>
    </w:lvl>
  </w:abstractNum>
  <w:abstractNum w:abstractNumId="46">
    <w:nsid w:val="7FDAC479"/>
    <w:multiLevelType w:val="singleLevel"/>
    <w:tmpl w:val="7FDAC479"/>
    <w:lvl w:ilvl="0">
      <w:start w:val="1"/>
      <w:numFmt w:val="decimal"/>
      <w:lvlText w:val="%1)"/>
      <w:lvlJc w:val="left"/>
      <w:pPr>
        <w:ind w:left="425" w:hanging="425"/>
      </w:pPr>
      <w:rPr>
        <w:rFonts w:hint="default"/>
      </w:rPr>
    </w:lvl>
  </w:abstractNum>
  <w:abstractNum w:abstractNumId="47">
    <w:nsid w:val="7FF73EAD"/>
    <w:multiLevelType w:val="singleLevel"/>
    <w:tmpl w:val="7FF73EAD"/>
    <w:lvl w:ilvl="0">
      <w:start w:val="1"/>
      <w:numFmt w:val="decimal"/>
      <w:lvlText w:val="%1)"/>
      <w:lvlJc w:val="left"/>
      <w:pPr>
        <w:ind w:left="425" w:hanging="425"/>
      </w:pPr>
      <w:rPr>
        <w:rFonts w:hint="default"/>
      </w:rPr>
    </w:lvl>
  </w:abstractNum>
  <w:abstractNum w:abstractNumId="48">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27"/>
  </w:num>
  <w:num w:numId="5">
    <w:abstractNumId w:val="37"/>
  </w:num>
  <w:num w:numId="6">
    <w:abstractNumId w:val="0"/>
  </w:num>
  <w:num w:numId="7">
    <w:abstractNumId w:val="24"/>
  </w:num>
  <w:num w:numId="8">
    <w:abstractNumId w:val="39"/>
  </w:num>
  <w:num w:numId="9">
    <w:abstractNumId w:val="23"/>
  </w:num>
  <w:num w:numId="10">
    <w:abstractNumId w:val="42"/>
  </w:num>
  <w:num w:numId="11">
    <w:abstractNumId w:val="3"/>
  </w:num>
  <w:num w:numId="12">
    <w:abstractNumId w:val="47"/>
  </w:num>
  <w:num w:numId="13">
    <w:abstractNumId w:val="6"/>
  </w:num>
  <w:num w:numId="14">
    <w:abstractNumId w:val="38"/>
  </w:num>
  <w:num w:numId="15">
    <w:abstractNumId w:val="13"/>
  </w:num>
  <w:num w:numId="16">
    <w:abstractNumId w:val="36"/>
  </w:num>
  <w:num w:numId="17">
    <w:abstractNumId w:val="35"/>
  </w:num>
  <w:num w:numId="18">
    <w:abstractNumId w:val="18"/>
  </w:num>
  <w:num w:numId="19">
    <w:abstractNumId w:val="41"/>
  </w:num>
  <w:num w:numId="20">
    <w:abstractNumId w:val="2"/>
  </w:num>
  <w:num w:numId="21">
    <w:abstractNumId w:val="43"/>
  </w:num>
  <w:num w:numId="22">
    <w:abstractNumId w:val="44"/>
  </w:num>
  <w:num w:numId="23">
    <w:abstractNumId w:val="32"/>
  </w:num>
  <w:num w:numId="24">
    <w:abstractNumId w:val="26"/>
  </w:num>
  <w:num w:numId="25">
    <w:abstractNumId w:val="8"/>
  </w:num>
  <w:num w:numId="26">
    <w:abstractNumId w:val="1"/>
  </w:num>
  <w:num w:numId="27">
    <w:abstractNumId w:val="21"/>
  </w:num>
  <w:num w:numId="28">
    <w:abstractNumId w:val="45"/>
  </w:num>
  <w:num w:numId="29">
    <w:abstractNumId w:val="31"/>
  </w:num>
  <w:num w:numId="30">
    <w:abstractNumId w:val="28"/>
  </w:num>
  <w:num w:numId="31">
    <w:abstractNumId w:val="46"/>
  </w:num>
  <w:num w:numId="32">
    <w:abstractNumId w:val="7"/>
  </w:num>
  <w:num w:numId="33">
    <w:abstractNumId w:val="40"/>
  </w:num>
  <w:num w:numId="34">
    <w:abstractNumId w:val="9"/>
  </w:num>
  <w:num w:numId="35">
    <w:abstractNumId w:val="5"/>
  </w:num>
  <w:num w:numId="36">
    <w:abstractNumId w:val="48"/>
  </w:num>
  <w:num w:numId="37">
    <w:abstractNumId w:val="12"/>
  </w:num>
  <w:num w:numId="38">
    <w:abstractNumId w:val="30"/>
  </w:num>
  <w:num w:numId="39">
    <w:abstractNumId w:val="33"/>
  </w:num>
  <w:num w:numId="40">
    <w:abstractNumId w:val="20"/>
  </w:num>
  <w:num w:numId="41">
    <w:abstractNumId w:val="14"/>
  </w:num>
  <w:num w:numId="42">
    <w:abstractNumId w:val="22"/>
  </w:num>
  <w:num w:numId="43">
    <w:abstractNumId w:val="11"/>
  </w:num>
  <w:num w:numId="44">
    <w:abstractNumId w:val="34"/>
  </w:num>
  <w:num w:numId="45">
    <w:abstractNumId w:val="4"/>
  </w:num>
  <w:num w:numId="46">
    <w:abstractNumId w:val="10"/>
  </w:num>
  <w:num w:numId="47">
    <w:abstractNumId w:val="17"/>
  </w:num>
  <w:num w:numId="48">
    <w:abstractNumId w:val="29"/>
  </w:num>
  <w:num w:numId="4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font21">
    <w:name w:val="font21"/>
    <w:basedOn w:val="DefaultParagraphFont"/>
    <w:qFormat/>
    <w:rPr>
      <w:rFonts w:ascii="宋体" w:eastAsia="宋体" w:hAnsi="宋体" w:cs="宋体"/>
      <w:b/>
      <w:bCs/>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header" Target="header2.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