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西南区域人工影响天气能力建设-试验示范基地-车载X波段双偏振多普勒天气雷达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ZQCD-25272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四川省气象服务中心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西南区域人工影响天气能力建设-试验示范基地-车载X波段双偏振多普勒天气雷达</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ZQCD-25272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四川省眉山市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2025年09月05日 00:00:00</w:t>
      </w:r>
      <w:bookmarkEnd w:id="26"/>
      <w:r>
        <w:rPr>
          <w:rFonts w:ascii="宋体" w:hint="eastAsia"/>
          <w:szCs w:val="21"/>
          <w:highlight w:val="none"/>
        </w:rPr>
        <w:t>至</w:t>
      </w:r>
      <w:bookmarkStart w:id="27" w:name="项目公告_signUpLastTime"/>
      <w:r>
        <w:rPr>
          <w:rFonts w:ascii="宋体" w:hint="eastAsia"/>
          <w:szCs w:val="21"/>
          <w:highlight w:val="none"/>
        </w:rPr>
        <w:t>2025年09月12日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2025年09月26日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北京市海淀区中关村南大街46号中国气象局北区7号楼2层小会议室（202），届时投标人的法定代表人或其授权的投标人授权代表可到场参加。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王丽岩</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68409602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四川省气象服务中心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刘女士</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028-87317554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成都市青羊区光华村街20号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四川省气象服务中心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允许（仅针对以下产品：车载X波段双偏振多普勒天气雷达允许代理商投标）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不涉及进口产品</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设有，核心产品为X波段双偏振多普勒天气雷达</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必须，以下产品需要提供至投标截止日仍有效的《气象专用技术装备使用许可证》：X波段双偏振多普勒天气雷达</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 xml:space="preserve"> （1）标的：车载X波段双偏振多普勒天气雷达，属于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是，中标服务费：4.4万元。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368.000000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368.000000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销售合同必须包括车载X波段双偏振多普勒天气雷达，每提供1份合同得1分，最多得5分。否则不得分。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针对本项目采购的车载X波段双偏振多普勒天气雷达，</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针对车载X波段双偏振多普勒天气雷达，每提供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2、除项目经理外至少4人具有2年及以上相关工作经验的，得2分；为本项目派出的技术人员至少5人具有1年及以上相关工作经验的，得1分；其他不得分。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针对车载X波段双偏振多普勒天气雷达，测试报告应涵盖电磁兼容性、工作温度范围、防水防尘等内容，每包含一项得1分，最多得3分。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outlineLvl w:val="1"/>
        <w:rPr>
          <w:rFonts w:ascii="宋体" w:eastAsia="宋体" w:hAnsi="宋体" w:cs="Times New Roman"/>
          <w:szCs w:val="21"/>
        </w:rPr>
      </w:pPr>
      <w:r>
        <w:rPr>
          <w:rFonts w:ascii="宋体" w:eastAsia="宋体" w:hAnsi="宋体" w:cs="Times New Roman" w:hint="eastAsia"/>
          <w:szCs w:val="21"/>
        </w:rPr>
        <w:t>一、项目概况及总体要求</w:t>
      </w:r>
    </w:p>
    <w:p>
      <w:pPr>
        <w:spacing w:line="360" w:lineRule="auto"/>
        <w:ind w:firstLine="420" w:firstLineChars="200"/>
        <w:rPr>
          <w:rFonts w:ascii="宋体" w:eastAsia="宋体" w:hAnsi="宋体"/>
          <w:szCs w:val="21"/>
        </w:rPr>
      </w:pPr>
      <w:r>
        <w:rPr>
          <w:rFonts w:ascii="宋体" w:eastAsia="宋体" w:hAnsi="宋体" w:hint="eastAsia"/>
          <w:szCs w:val="21"/>
        </w:rPr>
        <w:t>2023年6月12日，中国气象局批复《四川省气象局关于报请审批西南区域人工影响天气能力建设核概后初步设计的请示》（川气发〔2023〕52号）。四川建设内容包括：复杂地形下积层混合云增雨试验示范基地中，1部车载X波段双偏振多普勒天气雷达及其配套设施和相应的服务采购。项目总体由四川省气象服务中心进行委托招标。</w:t>
      </w:r>
    </w:p>
    <w:p>
      <w:pPr>
        <w:spacing w:line="360" w:lineRule="auto"/>
        <w:ind w:firstLine="420" w:firstLineChars="200"/>
        <w:outlineLvl w:val="1"/>
        <w:rPr>
          <w:rFonts w:ascii="宋体" w:eastAsia="宋体" w:hAnsi="宋体"/>
          <w:szCs w:val="21"/>
        </w:rPr>
      </w:pPr>
      <w:r>
        <w:rPr>
          <w:rFonts w:ascii="宋体" w:eastAsia="宋体" w:hAnsi="宋体" w:cs="Times New Roman" w:hint="eastAsia"/>
          <w:szCs w:val="21"/>
        </w:rPr>
        <w:t>二、设备需求一览表（见第七章 采购需求 附表）</w:t>
      </w:r>
    </w:p>
    <w:p>
      <w:pPr>
        <w:spacing w:line="360" w:lineRule="auto"/>
        <w:ind w:firstLine="420" w:firstLineChars="200"/>
        <w:rPr>
          <w:rFonts w:ascii="宋体" w:eastAsia="宋体" w:hAnsi="宋体"/>
          <w:szCs w:val="21"/>
        </w:rPr>
      </w:pPr>
    </w:p>
    <w:p>
      <w:pPr>
        <w:spacing w:line="360" w:lineRule="auto"/>
        <w:ind w:firstLine="420" w:firstLineChars="200"/>
        <w:outlineLvl w:val="1"/>
        <w:rPr>
          <w:rFonts w:ascii="宋体" w:eastAsia="宋体" w:hAnsi="宋体" w:cs="Times New Roman"/>
          <w:szCs w:val="21"/>
        </w:rPr>
      </w:pPr>
      <w:r>
        <w:rPr>
          <w:rFonts w:ascii="宋体" w:eastAsia="宋体" w:hAnsi="宋体" w:cs="Times New Roman" w:hint="eastAsia"/>
          <w:szCs w:val="21"/>
        </w:rPr>
        <w:t>三、技术性能指标</w:t>
      </w:r>
    </w:p>
    <w:p>
      <w:pPr>
        <w:spacing w:line="360" w:lineRule="auto"/>
        <w:ind w:firstLine="420" w:firstLineChars="200"/>
        <w:outlineLvl w:val="3"/>
        <w:rPr>
          <w:rFonts w:ascii="宋体" w:eastAsia="宋体" w:hAnsi="宋体"/>
          <w:b/>
          <w:bCs/>
          <w:szCs w:val="21"/>
        </w:rPr>
      </w:pPr>
      <w:bookmarkStart w:id="60" w:name="_Toc174710826"/>
      <w:r>
        <w:rPr>
          <w:rFonts w:ascii="宋体" w:eastAsia="宋体" w:hAnsi="宋体"/>
          <w:b/>
          <w:bCs/>
          <w:szCs w:val="21"/>
        </w:rPr>
        <w:t>1.总体技术性能指标</w:t>
      </w:r>
      <w:bookmarkEnd w:id="60"/>
    </w:p>
    <w:p>
      <w:pPr>
        <w:spacing w:line="360" w:lineRule="auto"/>
        <w:ind w:firstLine="420" w:firstLineChars="200"/>
        <w:rPr>
          <w:rFonts w:ascii="宋体" w:eastAsia="宋体" w:hAnsi="宋体"/>
          <w:szCs w:val="21"/>
        </w:rPr>
      </w:pPr>
      <w:r>
        <w:rPr>
          <w:rFonts w:ascii="宋体" w:eastAsia="宋体" w:hAnsi="宋体" w:hint="eastAsia"/>
          <w:szCs w:val="21"/>
        </w:rPr>
        <w:t>总体技术指标包括：探测距离范围、参数测量精度、可探测的最小反射率因子、占用带宽、重量、环境要求、整机功耗等，</w:t>
      </w:r>
      <w:r>
        <w:rPr>
          <w:rFonts w:ascii="宋体" w:eastAsia="宋体" w:hAnsi="宋体"/>
          <w:szCs w:val="21"/>
        </w:rPr>
        <w:t>具体数据见表1。</w:t>
      </w:r>
      <w:bookmarkStart w:id="61" w:name="OLE_LINK3"/>
      <w:bookmarkStart w:id="62" w:name="OLE_LINK2"/>
    </w:p>
    <w:p>
      <w:pPr>
        <w:spacing w:line="360" w:lineRule="auto"/>
        <w:ind w:firstLine="643"/>
        <w:jc w:val="center"/>
        <w:rPr>
          <w:rFonts w:ascii="宋体" w:eastAsia="宋体" w:hAnsi="宋体"/>
          <w:szCs w:val="21"/>
        </w:rPr>
      </w:pPr>
      <w:r>
        <w:rPr>
          <w:rFonts w:ascii="宋体" w:eastAsia="宋体" w:hAnsi="宋体"/>
          <w:szCs w:val="21"/>
        </w:rPr>
        <w:t>表1 总体技术指标</w:t>
      </w:r>
      <w:bookmarkEnd w:id="61"/>
      <w:bookmarkEnd w:id="62"/>
    </w:p>
    <w:tbl>
      <w:tblPr>
        <w:tblStyle w:val="TableNormal"/>
        <w:tblW w:w="8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387"/>
        <w:gridCol w:w="2030"/>
        <w:gridCol w:w="4919"/>
      </w:tblGrid>
      <w:tr>
        <w:tblPrEx>
          <w:tblW w:w="8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right w:val="single" w:sz="4" w:space="0" w:color="auto"/>
            </w:tcBorders>
            <w:vAlign w:val="center"/>
          </w:tcPr>
          <w:p>
            <w:pPr>
              <w:spacing w:line="380" w:lineRule="exact"/>
              <w:jc w:val="center"/>
              <w:rPr>
                <w:rFonts w:ascii="宋体" w:eastAsia="宋体" w:hAnsi="宋体" w:cs="仿宋_GB2312"/>
                <w:b/>
                <w:bCs/>
                <w:szCs w:val="21"/>
              </w:rPr>
            </w:pPr>
            <w:r>
              <w:rPr>
                <w:rFonts w:ascii="宋体" w:eastAsia="宋体" w:hAnsi="宋体" w:cs="仿宋_GB2312" w:hint="eastAsia"/>
                <w:b/>
                <w:bCs/>
                <w:szCs w:val="21"/>
              </w:rPr>
              <w:t>项目</w:t>
            </w:r>
          </w:p>
        </w:tc>
        <w:tc>
          <w:tcPr>
            <w:tcW w:w="4919" w:type="dxa"/>
            <w:tcBorders>
              <w:top w:val="single" w:sz="4" w:space="0" w:color="auto"/>
              <w:left w:val="single" w:sz="4" w:space="0" w:color="auto"/>
              <w:right w:val="single" w:sz="4" w:space="0" w:color="auto"/>
            </w:tcBorders>
            <w:vAlign w:val="center"/>
          </w:tcPr>
          <w:p>
            <w:pPr>
              <w:spacing w:line="380" w:lineRule="exact"/>
              <w:jc w:val="center"/>
              <w:rPr>
                <w:rFonts w:ascii="宋体" w:eastAsia="宋体" w:hAnsi="宋体" w:cs="仿宋_GB2312"/>
                <w:b/>
                <w:bCs/>
                <w:szCs w:val="21"/>
              </w:rPr>
            </w:pPr>
            <w:r>
              <w:rPr>
                <w:rFonts w:ascii="宋体" w:eastAsia="宋体" w:hAnsi="宋体" w:cs="仿宋_GB2312" w:hint="eastAsia"/>
                <w:b/>
                <w:bCs/>
                <w:szCs w:val="21"/>
              </w:rPr>
              <w:t>性能指标</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雷达体制</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全固态双线偏振多普勒体制</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工作频率</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9.1～9.5GHz范围内，间隔1M可选</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整机寿命</w:t>
            </w:r>
          </w:p>
        </w:tc>
        <w:tc>
          <w:tcPr>
            <w:tcW w:w="4919"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bCs/>
                <w:szCs w:val="21"/>
              </w:rPr>
            </w:pPr>
            <w:r>
              <w:rPr>
                <w:rFonts w:ascii="宋体" w:eastAsia="宋体" w:hAnsi="宋体" w:hint="eastAsia"/>
                <w:bCs/>
                <w:szCs w:val="21"/>
              </w:rPr>
              <w:t>≥15年</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探测距离范围</w:t>
            </w:r>
          </w:p>
        </w:tc>
        <w:tc>
          <w:tcPr>
            <w:tcW w:w="4919"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bCs/>
                <w:szCs w:val="21"/>
              </w:rPr>
            </w:pPr>
            <w:r>
              <w:rPr>
                <w:rFonts w:ascii="宋体" w:eastAsia="宋体" w:hAnsi="宋体" w:hint="eastAsia"/>
                <w:bCs/>
                <w:szCs w:val="21"/>
              </w:rPr>
              <w:t>警戒≥150km</w:t>
            </w:r>
          </w:p>
          <w:p>
            <w:pPr>
              <w:jc w:val="left"/>
              <w:rPr>
                <w:rFonts w:ascii="宋体" w:eastAsia="宋体" w:hAnsi="宋体"/>
                <w:bCs/>
                <w:szCs w:val="21"/>
              </w:rPr>
            </w:pPr>
            <w:r>
              <w:rPr>
                <w:rFonts w:ascii="宋体" w:eastAsia="宋体" w:hAnsi="宋体" w:hint="eastAsia"/>
                <w:bCs/>
                <w:szCs w:val="21"/>
              </w:rPr>
              <w:t>定量≥75km</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近距离盲区范围</w:t>
            </w:r>
          </w:p>
        </w:tc>
        <w:tc>
          <w:tcPr>
            <w:tcW w:w="4919"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bCs/>
                <w:szCs w:val="21"/>
              </w:rPr>
            </w:pPr>
            <w:r>
              <w:rPr>
                <w:rFonts w:ascii="宋体" w:eastAsia="宋体" w:hAnsi="宋体" w:hint="eastAsia"/>
                <w:bCs/>
                <w:szCs w:val="21"/>
              </w:rPr>
              <w:t>≤500m</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val="restar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分辨率</w:t>
            </w:r>
          </w:p>
        </w:tc>
        <w:tc>
          <w:tcPr>
            <w:tcW w:w="2030"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距离</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≤75m</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p>
        </w:tc>
        <w:tc>
          <w:tcPr>
            <w:tcW w:w="203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角度</w:t>
            </w:r>
          </w:p>
        </w:tc>
        <w:tc>
          <w:tcPr>
            <w:tcW w:w="491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≤1°</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val="restart"/>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测量范围</w:t>
            </w:r>
          </w:p>
        </w:tc>
        <w:tc>
          <w:tcPr>
            <w:tcW w:w="2030"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强度</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-15～+80dBZ</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tcBorders>
              <w:left w:val="single" w:sz="4" w:space="0" w:color="auto"/>
              <w:right w:val="single" w:sz="4" w:space="0" w:color="auto"/>
            </w:tcBorders>
            <w:vAlign w:val="center"/>
          </w:tcPr>
          <w:p>
            <w:pPr>
              <w:rPr>
                <w:rFonts w:ascii="宋体" w:eastAsia="宋体" w:hAnsi="宋体"/>
                <w:bCs/>
                <w:szCs w:val="21"/>
              </w:rPr>
            </w:pPr>
          </w:p>
        </w:tc>
        <w:tc>
          <w:tcPr>
            <w:tcW w:w="203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速度</w:t>
            </w:r>
          </w:p>
        </w:tc>
        <w:tc>
          <w:tcPr>
            <w:tcW w:w="491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±48m/s</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tcBorders>
              <w:left w:val="single" w:sz="4" w:space="0" w:color="auto"/>
              <w:right w:val="single" w:sz="4" w:space="0" w:color="auto"/>
            </w:tcBorders>
            <w:vAlign w:val="center"/>
          </w:tcPr>
          <w:p>
            <w:pPr>
              <w:rPr>
                <w:rFonts w:ascii="宋体" w:eastAsia="宋体" w:hAnsi="宋体"/>
                <w:bCs/>
                <w:szCs w:val="21"/>
              </w:rPr>
            </w:pPr>
          </w:p>
        </w:tc>
        <w:tc>
          <w:tcPr>
            <w:tcW w:w="2030" w:type="dxa"/>
            <w:tcBorders>
              <w:top w:val="single" w:sz="4" w:space="0" w:color="auto"/>
              <w:left w:val="single" w:sz="4" w:space="0" w:color="auto"/>
              <w:bottom w:val="single" w:sz="4" w:space="0" w:color="auto"/>
              <w:right w:val="single" w:sz="4" w:space="0" w:color="auto"/>
            </w:tcBorders>
            <w:shd w:val="clear" w:color="auto" w:fill="auto"/>
            <w:vAlign w:val="center"/>
          </w:tcPr>
          <w:p>
            <w:pPr>
              <w:spacing w:line="380" w:lineRule="exact"/>
              <w:rPr>
                <w:rFonts w:ascii="宋体" w:eastAsia="宋体" w:hAnsi="宋体"/>
                <w:bCs/>
                <w:szCs w:val="21"/>
              </w:rPr>
            </w:pPr>
            <w:r>
              <w:rPr>
                <w:rFonts w:ascii="宋体" w:eastAsia="宋体" w:hAnsi="宋体" w:hint="eastAsia"/>
                <w:bCs/>
                <w:szCs w:val="21"/>
              </w:rPr>
              <w:t>谱宽</w:t>
            </w:r>
          </w:p>
        </w:tc>
        <w:tc>
          <w:tcPr>
            <w:tcW w:w="4919" w:type="dxa"/>
            <w:tcBorders>
              <w:top w:val="single" w:sz="4" w:space="0" w:color="auto"/>
              <w:left w:val="single" w:sz="4" w:space="0" w:color="auto"/>
              <w:bottom w:val="single" w:sz="4" w:space="0" w:color="auto"/>
              <w:right w:val="single" w:sz="4" w:space="0" w:color="auto"/>
            </w:tcBorders>
            <w:shd w:val="clear" w:color="auto" w:fill="auto"/>
            <w:vAlign w:val="center"/>
          </w:tcPr>
          <w:p>
            <w:pPr>
              <w:spacing w:line="380" w:lineRule="exact"/>
              <w:rPr>
                <w:rFonts w:ascii="宋体" w:eastAsia="宋体" w:hAnsi="宋体"/>
                <w:bCs/>
                <w:szCs w:val="21"/>
              </w:rPr>
            </w:pPr>
            <w:r>
              <w:rPr>
                <w:rFonts w:ascii="宋体" w:eastAsia="宋体" w:hAnsi="宋体" w:hint="eastAsia"/>
                <w:bCs/>
                <w:szCs w:val="21"/>
              </w:rPr>
              <w:t>0～16m/s</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tcBorders>
              <w:left w:val="single" w:sz="4" w:space="0" w:color="auto"/>
              <w:right w:val="single" w:sz="4" w:space="0" w:color="auto"/>
            </w:tcBorders>
            <w:vAlign w:val="center"/>
          </w:tcPr>
          <w:p>
            <w:pPr>
              <w:rPr>
                <w:rFonts w:ascii="宋体" w:eastAsia="宋体" w:hAnsi="宋体"/>
                <w:bCs/>
                <w:szCs w:val="21"/>
              </w:rPr>
            </w:pPr>
          </w:p>
        </w:tc>
        <w:tc>
          <w:tcPr>
            <w:tcW w:w="203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差分反射率</w:t>
            </w:r>
          </w:p>
        </w:tc>
        <w:tc>
          <w:tcPr>
            <w:tcW w:w="491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-7.9dB～+7.9dB</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tcBorders>
              <w:left w:val="single" w:sz="4" w:space="0" w:color="auto"/>
              <w:right w:val="single" w:sz="4" w:space="0" w:color="auto"/>
            </w:tcBorders>
            <w:vAlign w:val="center"/>
          </w:tcPr>
          <w:p>
            <w:pPr>
              <w:rPr>
                <w:rFonts w:ascii="宋体" w:eastAsia="宋体" w:hAnsi="宋体"/>
                <w:bCs/>
                <w:szCs w:val="21"/>
              </w:rPr>
            </w:pPr>
          </w:p>
        </w:tc>
        <w:tc>
          <w:tcPr>
            <w:tcW w:w="203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差分传播相移</w:t>
            </w:r>
          </w:p>
        </w:tc>
        <w:tc>
          <w:tcPr>
            <w:tcW w:w="491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-180°～+180°</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tcBorders>
              <w:left w:val="single" w:sz="4" w:space="0" w:color="auto"/>
              <w:right w:val="single" w:sz="4" w:space="0" w:color="auto"/>
            </w:tcBorders>
            <w:vAlign w:val="center"/>
          </w:tcPr>
          <w:p>
            <w:pPr>
              <w:rPr>
                <w:rFonts w:ascii="宋体" w:eastAsia="宋体" w:hAnsi="宋体"/>
                <w:bCs/>
                <w:szCs w:val="21"/>
              </w:rPr>
            </w:pPr>
          </w:p>
        </w:tc>
        <w:tc>
          <w:tcPr>
            <w:tcW w:w="203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差分传播相移率</w:t>
            </w:r>
          </w:p>
        </w:tc>
        <w:tc>
          <w:tcPr>
            <w:tcW w:w="491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-2°/km～+10°/km</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tcBorders>
              <w:left w:val="single" w:sz="4" w:space="0" w:color="auto"/>
              <w:right w:val="single" w:sz="4" w:space="0" w:color="auto"/>
            </w:tcBorders>
            <w:vAlign w:val="center"/>
          </w:tcPr>
          <w:p>
            <w:pPr>
              <w:rPr>
                <w:rFonts w:ascii="宋体" w:eastAsia="宋体" w:hAnsi="宋体"/>
                <w:bCs/>
                <w:szCs w:val="21"/>
              </w:rPr>
            </w:pPr>
          </w:p>
        </w:tc>
        <w:tc>
          <w:tcPr>
            <w:tcW w:w="203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相关系数</w:t>
            </w:r>
          </w:p>
        </w:tc>
        <w:tc>
          <w:tcPr>
            <w:tcW w:w="491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0～1</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tcBorders>
              <w:left w:val="single" w:sz="4" w:space="0" w:color="auto"/>
              <w:bottom w:val="single" w:sz="4" w:space="0" w:color="auto"/>
              <w:right w:val="single" w:sz="4" w:space="0" w:color="auto"/>
            </w:tcBorders>
            <w:vAlign w:val="center"/>
          </w:tcPr>
          <w:p>
            <w:pPr>
              <w:rPr>
                <w:rFonts w:ascii="宋体" w:eastAsia="宋体" w:hAnsi="宋体"/>
                <w:bCs/>
                <w:szCs w:val="21"/>
              </w:rPr>
            </w:pPr>
          </w:p>
        </w:tc>
        <w:tc>
          <w:tcPr>
            <w:tcW w:w="203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退偏振比</w:t>
            </w:r>
          </w:p>
        </w:tc>
        <w:tc>
          <w:tcPr>
            <w:tcW w:w="491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-35dB～6dB（单发双收模式）</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val="restart"/>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参数测</w:t>
            </w:r>
          </w:p>
          <w:p>
            <w:pPr>
              <w:rPr>
                <w:rFonts w:ascii="宋体" w:eastAsia="宋体" w:hAnsi="宋体"/>
                <w:bCs/>
                <w:szCs w:val="21"/>
              </w:rPr>
            </w:pPr>
            <w:r>
              <w:rPr>
                <w:rFonts w:ascii="宋体" w:eastAsia="宋体" w:hAnsi="宋体" w:hint="eastAsia"/>
                <w:bCs/>
                <w:szCs w:val="21"/>
              </w:rPr>
              <w:t>量精度</w:t>
            </w:r>
          </w:p>
          <w:p>
            <w:pPr>
              <w:rPr>
                <w:rFonts w:ascii="宋体" w:eastAsia="宋体" w:hAnsi="宋体"/>
                <w:bCs/>
                <w:szCs w:val="21"/>
              </w:rPr>
            </w:pPr>
            <w:r>
              <w:rPr>
                <w:rFonts w:ascii="宋体" w:eastAsia="宋体" w:hAnsi="宋体" w:hint="eastAsia"/>
                <w:bCs/>
                <w:szCs w:val="21"/>
              </w:rPr>
              <w:t>（标准差）</w:t>
            </w:r>
          </w:p>
        </w:tc>
        <w:tc>
          <w:tcPr>
            <w:tcW w:w="2030"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强度</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≤1dB</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tcBorders>
              <w:left w:val="single" w:sz="4" w:space="0" w:color="auto"/>
              <w:right w:val="single" w:sz="4" w:space="0" w:color="auto"/>
            </w:tcBorders>
            <w:vAlign w:val="center"/>
          </w:tcPr>
          <w:p>
            <w:pPr>
              <w:rPr>
                <w:rFonts w:ascii="宋体" w:eastAsia="宋体" w:hAnsi="宋体"/>
                <w:bCs/>
                <w:szCs w:val="21"/>
              </w:rPr>
            </w:pPr>
          </w:p>
        </w:tc>
        <w:tc>
          <w:tcPr>
            <w:tcW w:w="203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速度</w:t>
            </w:r>
          </w:p>
        </w:tc>
        <w:tc>
          <w:tcPr>
            <w:tcW w:w="491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≤1m/s</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tcBorders>
              <w:left w:val="single" w:sz="4" w:space="0" w:color="auto"/>
              <w:right w:val="single" w:sz="4" w:space="0" w:color="auto"/>
            </w:tcBorders>
            <w:vAlign w:val="center"/>
          </w:tcPr>
          <w:p>
            <w:pPr>
              <w:rPr>
                <w:rFonts w:ascii="宋体" w:eastAsia="宋体" w:hAnsi="宋体"/>
                <w:bCs/>
                <w:szCs w:val="21"/>
              </w:rPr>
            </w:pPr>
          </w:p>
        </w:tc>
        <w:tc>
          <w:tcPr>
            <w:tcW w:w="203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谱宽</w:t>
            </w:r>
          </w:p>
        </w:tc>
        <w:tc>
          <w:tcPr>
            <w:tcW w:w="491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≤1m/s</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tcBorders>
              <w:left w:val="single" w:sz="4" w:space="0" w:color="auto"/>
              <w:right w:val="single" w:sz="4" w:space="0" w:color="auto"/>
            </w:tcBorders>
            <w:vAlign w:val="center"/>
          </w:tcPr>
          <w:p>
            <w:pPr>
              <w:rPr>
                <w:rFonts w:ascii="宋体" w:eastAsia="宋体" w:hAnsi="宋体"/>
                <w:bCs/>
                <w:szCs w:val="21"/>
              </w:rPr>
            </w:pPr>
          </w:p>
        </w:tc>
        <w:tc>
          <w:tcPr>
            <w:tcW w:w="2030" w:type="dxa"/>
            <w:tcBorders>
              <w:top w:val="single" w:sz="4" w:space="0" w:color="auto"/>
              <w:left w:val="single" w:sz="4" w:space="0" w:color="auto"/>
              <w:bottom w:val="single" w:sz="4" w:space="0" w:color="auto"/>
              <w:right w:val="single" w:sz="4" w:space="0" w:color="auto"/>
            </w:tcBorders>
            <w:shd w:val="clear" w:color="auto" w:fill="auto"/>
            <w:vAlign w:val="center"/>
          </w:tcPr>
          <w:p>
            <w:pPr>
              <w:spacing w:line="380" w:lineRule="exact"/>
              <w:rPr>
                <w:rFonts w:ascii="宋体" w:eastAsia="宋体" w:hAnsi="宋体"/>
                <w:bCs/>
                <w:szCs w:val="21"/>
              </w:rPr>
            </w:pPr>
            <w:r>
              <w:rPr>
                <w:rFonts w:ascii="宋体" w:eastAsia="宋体" w:hAnsi="宋体" w:hint="eastAsia"/>
                <w:bCs/>
                <w:szCs w:val="21"/>
              </w:rPr>
              <w:t>差分反射率</w:t>
            </w:r>
          </w:p>
        </w:tc>
        <w:tc>
          <w:tcPr>
            <w:tcW w:w="4919" w:type="dxa"/>
            <w:tcBorders>
              <w:top w:val="single" w:sz="4" w:space="0" w:color="auto"/>
              <w:left w:val="single" w:sz="4" w:space="0" w:color="auto"/>
              <w:bottom w:val="single" w:sz="4" w:space="0" w:color="auto"/>
              <w:right w:val="single" w:sz="4" w:space="0" w:color="auto"/>
            </w:tcBorders>
            <w:shd w:val="clear" w:color="auto" w:fill="auto"/>
            <w:vAlign w:val="center"/>
          </w:tcPr>
          <w:p>
            <w:pPr>
              <w:spacing w:line="380" w:lineRule="exact"/>
              <w:rPr>
                <w:rFonts w:ascii="宋体" w:eastAsia="宋体" w:hAnsi="宋体"/>
                <w:bCs/>
                <w:szCs w:val="21"/>
              </w:rPr>
            </w:pPr>
            <w:r>
              <w:rPr>
                <w:rFonts w:ascii="宋体" w:eastAsia="宋体" w:hAnsi="宋体" w:hint="eastAsia"/>
                <w:bCs/>
                <w:szCs w:val="21"/>
              </w:rPr>
              <w:t>≤0.2dB</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tcBorders>
              <w:left w:val="single" w:sz="4" w:space="0" w:color="auto"/>
              <w:right w:val="single" w:sz="4" w:space="0" w:color="auto"/>
            </w:tcBorders>
            <w:vAlign w:val="center"/>
          </w:tcPr>
          <w:p>
            <w:pPr>
              <w:rPr>
                <w:rFonts w:ascii="宋体" w:eastAsia="宋体" w:hAnsi="宋体"/>
                <w:bCs/>
                <w:szCs w:val="21"/>
              </w:rPr>
            </w:pPr>
          </w:p>
        </w:tc>
        <w:tc>
          <w:tcPr>
            <w:tcW w:w="203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差分传播相移</w:t>
            </w:r>
          </w:p>
        </w:tc>
        <w:tc>
          <w:tcPr>
            <w:tcW w:w="491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≤3°</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tcBorders>
              <w:left w:val="single" w:sz="4" w:space="0" w:color="auto"/>
              <w:right w:val="single" w:sz="4" w:space="0" w:color="auto"/>
            </w:tcBorders>
            <w:vAlign w:val="center"/>
          </w:tcPr>
          <w:p>
            <w:pPr>
              <w:rPr>
                <w:rFonts w:ascii="宋体" w:eastAsia="宋体" w:hAnsi="宋体"/>
                <w:bCs/>
                <w:szCs w:val="21"/>
              </w:rPr>
            </w:pPr>
          </w:p>
        </w:tc>
        <w:tc>
          <w:tcPr>
            <w:tcW w:w="203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差分传播相移率</w:t>
            </w:r>
          </w:p>
        </w:tc>
        <w:tc>
          <w:tcPr>
            <w:tcW w:w="491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≤0.2°/km</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tcBorders>
              <w:left w:val="single" w:sz="4" w:space="0" w:color="auto"/>
              <w:right w:val="single" w:sz="4" w:space="0" w:color="auto"/>
            </w:tcBorders>
            <w:vAlign w:val="center"/>
          </w:tcPr>
          <w:p>
            <w:pPr>
              <w:rPr>
                <w:rFonts w:ascii="宋体" w:eastAsia="宋体" w:hAnsi="宋体"/>
                <w:bCs/>
                <w:szCs w:val="21"/>
              </w:rPr>
            </w:pPr>
          </w:p>
        </w:tc>
        <w:tc>
          <w:tcPr>
            <w:tcW w:w="203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相关系数</w:t>
            </w:r>
          </w:p>
        </w:tc>
        <w:tc>
          <w:tcPr>
            <w:tcW w:w="491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≤0.01</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可探测的最小反射率因子（50km处，75m分辨率，同发同收）</w:t>
            </w:r>
          </w:p>
        </w:tc>
        <w:tc>
          <w:tcPr>
            <w:tcW w:w="4919" w:type="dxa"/>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≤3dBZ</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系统相位噪声</w:t>
            </w:r>
          </w:p>
        </w:tc>
        <w:tc>
          <w:tcPr>
            <w:tcW w:w="4919" w:type="dxa"/>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≤0.1°</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滤波前后功率比</w:t>
            </w:r>
          </w:p>
        </w:tc>
        <w:tc>
          <w:tcPr>
            <w:tcW w:w="4919" w:type="dxa"/>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≥55dB</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实际地物抑制能力</w:t>
            </w:r>
          </w:p>
        </w:tc>
        <w:tc>
          <w:tcPr>
            <w:tcW w:w="4919" w:type="dxa"/>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≥35dB</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占用带宽</w:t>
            </w:r>
          </w:p>
        </w:tc>
        <w:tc>
          <w:tcPr>
            <w:tcW w:w="4919" w:type="dxa"/>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≤30MHz</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输出参数</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滤波前回波强度、滤波后回波强度、径向速度、速度谱宽、差分反射率、差分传播相移、差分传播相移率、相关系数、信噪比，退偏振比</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电源要求</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单相AC220V±10%或三相AC380V±10%，50Hz±5%</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重量（标准配置，参考值）</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≤1200kg（不含天线罩）</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val="restar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环境要求</w:t>
            </w:r>
          </w:p>
        </w:tc>
        <w:tc>
          <w:tcPr>
            <w:tcW w:w="2030"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工作温度</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0～+40℃</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tcBorders>
              <w:left w:val="single" w:sz="4" w:space="0" w:color="auto"/>
              <w:right w:val="single" w:sz="4" w:space="0" w:color="auto"/>
            </w:tcBorders>
            <w:vAlign w:val="center"/>
          </w:tcPr>
          <w:p>
            <w:pPr>
              <w:rPr>
                <w:rFonts w:ascii="宋体" w:eastAsia="宋体" w:hAnsi="宋体"/>
                <w:bCs/>
                <w:szCs w:val="21"/>
              </w:rPr>
            </w:pPr>
          </w:p>
        </w:tc>
        <w:tc>
          <w:tcPr>
            <w:tcW w:w="2030"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贮存温度</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-40～+60℃</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p>
        </w:tc>
        <w:tc>
          <w:tcPr>
            <w:tcW w:w="203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工作湿度</w:t>
            </w:r>
          </w:p>
        </w:tc>
        <w:tc>
          <w:tcPr>
            <w:tcW w:w="491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≤90%（+30℃）</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p>
        </w:tc>
        <w:tc>
          <w:tcPr>
            <w:tcW w:w="203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工作高度</w:t>
            </w:r>
          </w:p>
        </w:tc>
        <w:tc>
          <w:tcPr>
            <w:tcW w:w="491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海拔≤5000m</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p>
        </w:tc>
        <w:tc>
          <w:tcPr>
            <w:tcW w:w="203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冲击、振动、淋雨</w:t>
            </w:r>
          </w:p>
        </w:tc>
        <w:tc>
          <w:tcPr>
            <w:tcW w:w="491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符合国家有关部门规定，且满足野外运输要求</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p>
        </w:tc>
        <w:tc>
          <w:tcPr>
            <w:tcW w:w="203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抗干扰</w:t>
            </w:r>
          </w:p>
        </w:tc>
        <w:tc>
          <w:tcPr>
            <w:tcW w:w="491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电源干扰、电磁干扰、无线电频率干扰</w:t>
            </w:r>
          </w:p>
        </w:tc>
      </w:tr>
      <w:tr>
        <w:tblPrEx>
          <w:tblW w:w="8336" w:type="dxa"/>
          <w:jc w:val="center"/>
          <w:tblLayout w:type="fixed"/>
          <w:tblCellMar>
            <w:top w:w="0" w:type="dxa"/>
            <w:left w:w="108" w:type="dxa"/>
            <w:bottom w:w="0" w:type="dxa"/>
            <w:right w:w="108" w:type="dxa"/>
          </w:tblCellMar>
        </w:tblPrEx>
        <w:trPr>
          <w:trHeight w:val="20"/>
          <w:jc w:val="center"/>
        </w:trPr>
        <w:tc>
          <w:tcPr>
            <w:tcW w:w="1387" w:type="dxa"/>
            <w:vMerge/>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p>
        </w:tc>
        <w:tc>
          <w:tcPr>
            <w:tcW w:w="203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其它</w:t>
            </w:r>
          </w:p>
        </w:tc>
        <w:tc>
          <w:tcPr>
            <w:tcW w:w="491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bCs/>
                <w:szCs w:val="21"/>
              </w:rPr>
            </w:pPr>
            <w:r>
              <w:rPr>
                <w:rFonts w:ascii="宋体" w:eastAsia="宋体" w:hAnsi="宋体" w:hint="eastAsia"/>
                <w:bCs/>
                <w:szCs w:val="21"/>
              </w:rPr>
              <w:t>防水、防霉、防盐雾</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整机功耗（峰值）</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≤3000W</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平均严重故障间隔时间（MTBCF）</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≥5000h</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架设方式</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固定架设</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开机时间</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≤5min</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微波辐射安全性</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雷达微波漏能功率密度应符合GJB5313-2004的要求。</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安全标识</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微波泄漏部位、机械转动部位、危险电压部位等应有清晰、醒目的安全警示标记。</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互换性</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雷达备份零件、部件、组件和功能单元均能在现场更换，无需调整而正常工作。</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电磁兼容性</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雷达具有市电滤波和防电磁干扰的能力，设置静电屏蔽、电磁屏蔽，模拟地线、数字地线和安全地线严格分开，避雷地线要单独接地。</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安全性</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雷达应有安全性设计，确保雷达按规定条件进行制造、安装、运输、贮存、使用和维护时的人身安全和设备安全。雷达系统电源开关、伺服转台维护开关带自锁功能和指示灯。</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防雷要求</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雷达电源线输入端应加装防雷滤波器，室外电缆一律采用屏蔽电缆或光缆。</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绝缘性</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雷达各初级电源与大地间绝缘电阻应大于1MΩ。</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外观质量</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雷达整体形象应协调一致。外表面应无凹痕、碰伤、裂痕和变形等缺陷；镀涂层不起泡、龟裂和脱落；金属零件无锈蚀、毛刺及其它机械损伤。</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标记与代号</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机箱、机箱、插件和线缆等应有统一的编号和标记，符合国家标准。</w:t>
            </w:r>
          </w:p>
          <w:p>
            <w:pPr>
              <w:rPr>
                <w:rFonts w:ascii="宋体" w:eastAsia="宋体" w:hAnsi="宋体"/>
                <w:bCs/>
                <w:szCs w:val="21"/>
              </w:rPr>
            </w:pPr>
            <w:r>
              <w:rPr>
                <w:rFonts w:ascii="宋体" w:eastAsia="宋体" w:hAnsi="宋体" w:hint="eastAsia"/>
                <w:bCs/>
                <w:szCs w:val="21"/>
              </w:rPr>
              <w:t>印制板、主要元器件等应在相应位置印有与电路图中项目代号相符的标记。</w:t>
            </w:r>
          </w:p>
          <w:p>
            <w:pPr>
              <w:rPr>
                <w:rFonts w:ascii="宋体" w:eastAsia="宋体" w:hAnsi="宋体"/>
                <w:bCs/>
                <w:szCs w:val="21"/>
              </w:rPr>
            </w:pPr>
            <w:r>
              <w:rPr>
                <w:rFonts w:ascii="宋体" w:eastAsia="宋体" w:hAnsi="宋体" w:hint="eastAsia"/>
                <w:bCs/>
                <w:szCs w:val="21"/>
              </w:rPr>
              <w:t>标记的文字、字母和符号应完整、规范、清晰和牢固，且便于识读。</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环境噪声要求</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发射机和接收机的噪音应低于85dB。</w:t>
            </w:r>
          </w:p>
        </w:tc>
      </w:tr>
      <w:tr>
        <w:tblPrEx>
          <w:tblW w:w="8336" w:type="dxa"/>
          <w:jc w:val="center"/>
          <w:tblLayout w:type="fixed"/>
          <w:tblCellMar>
            <w:top w:w="0" w:type="dxa"/>
            <w:left w:w="108" w:type="dxa"/>
            <w:bottom w:w="0" w:type="dxa"/>
            <w:right w:w="108" w:type="dxa"/>
          </w:tblCellMar>
        </w:tblPrEx>
        <w:trPr>
          <w:trHeight w:val="20"/>
          <w:jc w:val="center"/>
        </w:trPr>
        <w:tc>
          <w:tcPr>
            <w:tcW w:w="3417"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雷达应有的铭牌包括的内容</w:t>
            </w:r>
          </w:p>
        </w:tc>
        <w:tc>
          <w:tcPr>
            <w:tcW w:w="4919"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雷达的名称、型号（代号）；出厂编号；出厂年月；制造厂商标。</w:t>
            </w:r>
          </w:p>
        </w:tc>
      </w:tr>
    </w:tbl>
    <w:p>
      <w:pPr>
        <w:spacing w:line="360" w:lineRule="auto"/>
        <w:ind w:firstLine="420" w:firstLineChars="200"/>
        <w:outlineLvl w:val="3"/>
        <w:rPr>
          <w:rFonts w:ascii="宋体" w:eastAsia="宋体" w:hAnsi="宋体"/>
          <w:b/>
          <w:bCs/>
          <w:szCs w:val="21"/>
        </w:rPr>
      </w:pPr>
      <w:bookmarkStart w:id="63" w:name="_Toc174710827"/>
      <w:r>
        <w:rPr>
          <w:rFonts w:ascii="宋体" w:eastAsia="宋体" w:hAnsi="宋体"/>
          <w:b/>
          <w:bCs/>
          <w:szCs w:val="21"/>
        </w:rPr>
        <w:t>2</w:t>
      </w:r>
      <w:bookmarkStart w:id="64" w:name="_Toc881706821_WPSOffice_Level2"/>
      <w:r>
        <w:rPr>
          <w:rFonts w:ascii="宋体" w:eastAsia="宋体" w:hAnsi="宋体"/>
          <w:b/>
          <w:bCs/>
          <w:szCs w:val="21"/>
        </w:rPr>
        <w:t>.天线技术指标</w:t>
      </w:r>
      <w:bookmarkEnd w:id="63"/>
      <w:bookmarkEnd w:id="64"/>
    </w:p>
    <w:p>
      <w:pPr>
        <w:spacing w:line="360" w:lineRule="auto"/>
        <w:ind w:firstLine="420" w:firstLineChars="200"/>
        <w:rPr>
          <w:rFonts w:ascii="宋体" w:eastAsia="宋体" w:hAnsi="宋体"/>
          <w:szCs w:val="21"/>
        </w:rPr>
      </w:pPr>
      <w:r>
        <w:rPr>
          <w:rFonts w:ascii="宋体" w:eastAsia="宋体" w:hAnsi="宋体" w:hint="eastAsia"/>
          <w:szCs w:val="21"/>
        </w:rPr>
        <w:t>天线的技术指标包括：工作频率、反射面直径、波束宽度、增益、最大副瓣电平、交叉极化隔离度等，</w:t>
      </w:r>
      <w:r>
        <w:rPr>
          <w:rFonts w:ascii="宋体" w:eastAsia="宋体" w:hAnsi="宋体"/>
          <w:szCs w:val="21"/>
        </w:rPr>
        <w:t>具体指标见表2。</w:t>
      </w:r>
    </w:p>
    <w:p>
      <w:pPr>
        <w:spacing w:line="360" w:lineRule="auto"/>
        <w:ind w:firstLine="643"/>
        <w:jc w:val="center"/>
        <w:rPr>
          <w:rFonts w:ascii="宋体" w:eastAsia="宋体" w:hAnsi="宋体"/>
          <w:szCs w:val="21"/>
        </w:rPr>
      </w:pPr>
      <w:r>
        <w:rPr>
          <w:rFonts w:ascii="宋体" w:eastAsia="宋体" w:hAnsi="宋体"/>
          <w:szCs w:val="21"/>
        </w:rPr>
        <w:t>表2 天线技术性能指标表</w:t>
      </w:r>
    </w:p>
    <w:tbl>
      <w:tblPr>
        <w:tblStyle w:val="TableNormal"/>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402"/>
        <w:gridCol w:w="4904"/>
      </w:tblGrid>
      <w:tr>
        <w:tblPrEx>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jc w:val="center"/>
        </w:trPr>
        <w:tc>
          <w:tcPr>
            <w:tcW w:w="2048" w:type="pct"/>
            <w:tcBorders>
              <w:top w:val="single" w:sz="4" w:space="0" w:color="auto"/>
              <w:left w:val="single" w:sz="4" w:space="0" w:color="auto"/>
              <w:right w:val="single" w:sz="4" w:space="0" w:color="auto"/>
            </w:tcBorders>
            <w:vAlign w:val="center"/>
          </w:tcPr>
          <w:p>
            <w:pPr>
              <w:spacing w:line="380" w:lineRule="exact"/>
              <w:jc w:val="center"/>
              <w:rPr>
                <w:rFonts w:ascii="宋体" w:eastAsia="宋体" w:hAnsi="宋体"/>
                <w:b/>
                <w:bCs/>
                <w:szCs w:val="21"/>
              </w:rPr>
            </w:pPr>
            <w:r>
              <w:rPr>
                <w:rFonts w:ascii="宋体" w:eastAsia="宋体" w:hAnsi="宋体" w:hint="eastAsia"/>
                <w:b/>
                <w:bCs/>
                <w:szCs w:val="21"/>
              </w:rPr>
              <w:t>项目</w:t>
            </w:r>
          </w:p>
        </w:tc>
        <w:tc>
          <w:tcPr>
            <w:tcW w:w="2952" w:type="pct"/>
            <w:tcBorders>
              <w:top w:val="single" w:sz="4" w:space="0" w:color="auto"/>
              <w:left w:val="single" w:sz="4" w:space="0" w:color="auto"/>
              <w:right w:val="single" w:sz="4" w:space="0" w:color="auto"/>
            </w:tcBorders>
            <w:vAlign w:val="center"/>
          </w:tcPr>
          <w:p>
            <w:pPr>
              <w:spacing w:line="380" w:lineRule="exact"/>
              <w:jc w:val="center"/>
              <w:rPr>
                <w:rFonts w:ascii="宋体" w:eastAsia="宋体" w:hAnsi="宋体"/>
                <w:b/>
                <w:bCs/>
                <w:szCs w:val="21"/>
              </w:rPr>
            </w:pPr>
            <w:r>
              <w:rPr>
                <w:rFonts w:ascii="宋体" w:eastAsia="宋体" w:hAnsi="宋体" w:hint="eastAsia"/>
                <w:b/>
                <w:bCs/>
                <w:szCs w:val="21"/>
              </w:rPr>
              <w:t>性能指标</w:t>
            </w:r>
          </w:p>
        </w:tc>
      </w:tr>
      <w:tr>
        <w:tblPrEx>
          <w:tblW w:w="4873" w:type="pct"/>
          <w:jc w:val="center"/>
          <w:tblCellMar>
            <w:top w:w="0" w:type="dxa"/>
            <w:left w:w="108" w:type="dxa"/>
            <w:bottom w:w="0" w:type="dxa"/>
            <w:right w:w="108" w:type="dxa"/>
          </w:tblCellMar>
        </w:tblPrEx>
        <w:trPr>
          <w:trHeight w:val="20"/>
          <w:jc w:val="center"/>
        </w:trPr>
        <w:tc>
          <w:tcPr>
            <w:tcW w:w="2048"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天线形式</w:t>
            </w:r>
          </w:p>
        </w:tc>
        <w:tc>
          <w:tcPr>
            <w:tcW w:w="2952"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圆形旋转抛物面反射体天线，喇叭中心馈电</w:t>
            </w:r>
          </w:p>
        </w:tc>
      </w:tr>
      <w:tr>
        <w:tblPrEx>
          <w:tblW w:w="4873" w:type="pct"/>
          <w:jc w:val="center"/>
          <w:tblCellMar>
            <w:top w:w="0" w:type="dxa"/>
            <w:left w:w="108" w:type="dxa"/>
            <w:bottom w:w="0" w:type="dxa"/>
            <w:right w:w="108" w:type="dxa"/>
          </w:tblCellMar>
        </w:tblPrEx>
        <w:trPr>
          <w:trHeight w:val="20"/>
          <w:jc w:val="center"/>
        </w:trPr>
        <w:tc>
          <w:tcPr>
            <w:tcW w:w="2048"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工作频率</w:t>
            </w:r>
          </w:p>
        </w:tc>
        <w:tc>
          <w:tcPr>
            <w:tcW w:w="2952"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9.1～9.5GHz</w:t>
            </w:r>
          </w:p>
        </w:tc>
      </w:tr>
      <w:tr>
        <w:tblPrEx>
          <w:tblW w:w="4873" w:type="pct"/>
          <w:jc w:val="center"/>
          <w:tblCellMar>
            <w:top w:w="0" w:type="dxa"/>
            <w:left w:w="108" w:type="dxa"/>
            <w:bottom w:w="0" w:type="dxa"/>
            <w:right w:w="108" w:type="dxa"/>
          </w:tblCellMar>
        </w:tblPrEx>
        <w:trPr>
          <w:trHeight w:val="20"/>
          <w:jc w:val="center"/>
        </w:trPr>
        <w:tc>
          <w:tcPr>
            <w:tcW w:w="2048"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极化方式</w:t>
            </w:r>
          </w:p>
        </w:tc>
        <w:tc>
          <w:tcPr>
            <w:tcW w:w="2952"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线性水平、垂直极化</w:t>
            </w:r>
          </w:p>
        </w:tc>
      </w:tr>
      <w:tr>
        <w:tblPrEx>
          <w:tblW w:w="4873" w:type="pct"/>
          <w:jc w:val="center"/>
          <w:tblCellMar>
            <w:top w:w="0" w:type="dxa"/>
            <w:left w:w="108" w:type="dxa"/>
            <w:bottom w:w="0" w:type="dxa"/>
            <w:right w:w="108" w:type="dxa"/>
          </w:tblCellMar>
        </w:tblPrEx>
        <w:trPr>
          <w:trHeight w:val="20"/>
          <w:jc w:val="center"/>
        </w:trPr>
        <w:tc>
          <w:tcPr>
            <w:tcW w:w="2048"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cs="Cambria Math"/>
                <w:color w:val="FF0000"/>
                <w:szCs w:val="21"/>
              </w:rPr>
              <w:t>#</w:t>
            </w:r>
            <w:r>
              <w:rPr>
                <w:rFonts w:ascii="宋体" w:eastAsia="宋体" w:hAnsi="宋体" w:hint="eastAsia"/>
                <w:bCs/>
                <w:szCs w:val="21"/>
              </w:rPr>
              <w:t>反射面直径</w:t>
            </w:r>
          </w:p>
        </w:tc>
        <w:tc>
          <w:tcPr>
            <w:tcW w:w="2952"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2.4～2.424m</w:t>
            </w:r>
          </w:p>
        </w:tc>
      </w:tr>
      <w:tr>
        <w:tblPrEx>
          <w:tblW w:w="4873" w:type="pct"/>
          <w:jc w:val="center"/>
          <w:tblCellMar>
            <w:top w:w="0" w:type="dxa"/>
            <w:left w:w="108" w:type="dxa"/>
            <w:bottom w:w="0" w:type="dxa"/>
            <w:right w:w="108" w:type="dxa"/>
          </w:tblCellMar>
        </w:tblPrEx>
        <w:trPr>
          <w:trHeight w:val="20"/>
          <w:jc w:val="center"/>
        </w:trPr>
        <w:tc>
          <w:tcPr>
            <w:tcW w:w="2048" w:type="pct"/>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cs="Cambria Math"/>
                <w:color w:val="FF0000"/>
                <w:szCs w:val="21"/>
              </w:rPr>
              <w:t>#</w:t>
            </w:r>
            <w:r>
              <w:rPr>
                <w:rFonts w:ascii="宋体" w:eastAsia="宋体" w:hAnsi="宋体" w:hint="eastAsia"/>
                <w:bCs/>
                <w:szCs w:val="21"/>
              </w:rPr>
              <w:t>水平和垂直波束宽度（3dB）</w:t>
            </w:r>
          </w:p>
        </w:tc>
        <w:tc>
          <w:tcPr>
            <w:tcW w:w="2952" w:type="pct"/>
            <w:tcBorders>
              <w:top w:val="single" w:sz="4" w:space="0" w:color="auto"/>
              <w:left w:val="single" w:sz="4" w:space="0" w:color="auto"/>
              <w:right w:val="single" w:sz="4" w:space="0" w:color="auto"/>
            </w:tcBorders>
            <w:vAlign w:val="center"/>
          </w:tcPr>
          <w:p>
            <w:pPr>
              <w:jc w:val="left"/>
              <w:rPr>
                <w:rFonts w:ascii="宋体" w:eastAsia="宋体" w:hAnsi="宋体"/>
                <w:bCs/>
                <w:szCs w:val="21"/>
              </w:rPr>
            </w:pPr>
            <w:r>
              <w:rPr>
                <w:rFonts w:ascii="宋体" w:eastAsia="宋体" w:hAnsi="宋体" w:hint="eastAsia"/>
                <w:bCs/>
                <w:szCs w:val="21"/>
              </w:rPr>
              <w:t>≤1.0°</w:t>
            </w:r>
          </w:p>
        </w:tc>
      </w:tr>
      <w:tr>
        <w:tblPrEx>
          <w:tblW w:w="4873" w:type="pct"/>
          <w:jc w:val="center"/>
          <w:tblCellMar>
            <w:top w:w="0" w:type="dxa"/>
            <w:left w:w="108" w:type="dxa"/>
            <w:bottom w:w="0" w:type="dxa"/>
            <w:right w:w="108" w:type="dxa"/>
          </w:tblCellMar>
        </w:tblPrEx>
        <w:trPr>
          <w:trHeight w:val="20"/>
          <w:jc w:val="center"/>
        </w:trPr>
        <w:tc>
          <w:tcPr>
            <w:tcW w:w="2048" w:type="pct"/>
            <w:tcBorders>
              <w:top w:val="single" w:sz="4" w:space="0" w:color="auto"/>
              <w:left w:val="single" w:sz="4" w:space="0" w:color="auto"/>
              <w:bottom w:val="single" w:sz="4" w:space="0" w:color="auto"/>
              <w:right w:val="single" w:sz="4" w:space="0" w:color="auto"/>
            </w:tcBorders>
            <w:shd w:val="clear" w:color="auto" w:fill="auto"/>
            <w:vAlign w:val="center"/>
          </w:tcPr>
          <w:p>
            <w:pPr>
              <w:rPr>
                <w:rFonts w:ascii="宋体" w:eastAsia="宋体" w:hAnsi="宋体"/>
                <w:bCs/>
                <w:szCs w:val="21"/>
              </w:rPr>
            </w:pPr>
            <w:r>
              <w:rPr>
                <w:rFonts w:ascii="宋体" w:eastAsia="宋体" w:hAnsi="宋体" w:hint="eastAsia"/>
                <w:bCs/>
                <w:szCs w:val="21"/>
              </w:rPr>
              <w:t>双极化波束宽度差异（3dB）</w:t>
            </w:r>
          </w:p>
        </w:tc>
        <w:tc>
          <w:tcPr>
            <w:tcW w:w="2952" w:type="pct"/>
            <w:tcBorders>
              <w:top w:val="single" w:sz="4" w:space="0" w:color="auto"/>
              <w:left w:val="single" w:sz="4" w:space="0" w:color="auto"/>
              <w:bottom w:val="single" w:sz="4" w:space="0" w:color="auto"/>
              <w:right w:val="single" w:sz="4" w:space="0" w:color="auto"/>
            </w:tcBorders>
            <w:shd w:val="clear" w:color="auto" w:fill="auto"/>
            <w:vAlign w:val="center"/>
          </w:tcPr>
          <w:p>
            <w:pPr>
              <w:jc w:val="left"/>
              <w:rPr>
                <w:rFonts w:ascii="宋体" w:eastAsia="宋体" w:hAnsi="宋体"/>
                <w:bCs/>
                <w:szCs w:val="21"/>
              </w:rPr>
            </w:pPr>
            <w:r>
              <w:rPr>
                <w:rFonts w:ascii="宋体" w:eastAsia="宋体" w:hAnsi="宋体" w:hint="eastAsia"/>
                <w:bCs/>
                <w:szCs w:val="21"/>
              </w:rPr>
              <w:t>≤0.05°</w:t>
            </w:r>
          </w:p>
        </w:tc>
      </w:tr>
      <w:tr>
        <w:tblPrEx>
          <w:tblW w:w="4873" w:type="pct"/>
          <w:jc w:val="center"/>
          <w:tblCellMar>
            <w:top w:w="0" w:type="dxa"/>
            <w:left w:w="108" w:type="dxa"/>
            <w:bottom w:w="0" w:type="dxa"/>
            <w:right w:w="108" w:type="dxa"/>
          </w:tblCellMar>
        </w:tblPrEx>
        <w:trPr>
          <w:trHeight w:val="20"/>
          <w:jc w:val="center"/>
        </w:trPr>
        <w:tc>
          <w:tcPr>
            <w:tcW w:w="2048" w:type="pct"/>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cs="Cambria Math"/>
                <w:color w:val="FF0000"/>
                <w:szCs w:val="21"/>
              </w:rPr>
              <w:t>#</w:t>
            </w:r>
            <w:r>
              <w:rPr>
                <w:rFonts w:ascii="宋体" w:eastAsia="宋体" w:hAnsi="宋体" w:hint="eastAsia"/>
                <w:bCs/>
                <w:szCs w:val="21"/>
              </w:rPr>
              <w:t>增益（水平和垂直）</w:t>
            </w:r>
          </w:p>
        </w:tc>
        <w:tc>
          <w:tcPr>
            <w:tcW w:w="2952" w:type="pct"/>
            <w:tcBorders>
              <w:top w:val="single" w:sz="4" w:space="0" w:color="auto"/>
              <w:left w:val="single" w:sz="4" w:space="0" w:color="auto"/>
              <w:right w:val="single" w:sz="4" w:space="0" w:color="auto"/>
            </w:tcBorders>
            <w:vAlign w:val="center"/>
          </w:tcPr>
          <w:p>
            <w:pPr>
              <w:jc w:val="left"/>
              <w:rPr>
                <w:rFonts w:ascii="宋体" w:eastAsia="宋体" w:hAnsi="宋体"/>
                <w:bCs/>
                <w:szCs w:val="21"/>
              </w:rPr>
            </w:pPr>
            <w:r>
              <w:rPr>
                <w:rFonts w:ascii="宋体" w:eastAsia="宋体" w:hAnsi="宋体" w:hint="eastAsia"/>
                <w:bCs/>
                <w:szCs w:val="21"/>
              </w:rPr>
              <w:t>≥44dB</w:t>
            </w:r>
          </w:p>
        </w:tc>
      </w:tr>
      <w:tr>
        <w:tblPrEx>
          <w:tblW w:w="4873" w:type="pct"/>
          <w:jc w:val="center"/>
          <w:tblCellMar>
            <w:top w:w="0" w:type="dxa"/>
            <w:left w:w="108" w:type="dxa"/>
            <w:bottom w:w="0" w:type="dxa"/>
            <w:right w:w="108" w:type="dxa"/>
          </w:tblCellMar>
        </w:tblPrEx>
        <w:trPr>
          <w:trHeight w:val="20"/>
          <w:jc w:val="center"/>
        </w:trPr>
        <w:tc>
          <w:tcPr>
            <w:tcW w:w="2048" w:type="pct"/>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双极化天线增益差（H面和E面）</w:t>
            </w:r>
          </w:p>
        </w:tc>
        <w:tc>
          <w:tcPr>
            <w:tcW w:w="2952" w:type="pct"/>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bCs/>
                <w:szCs w:val="21"/>
              </w:rPr>
            </w:pPr>
            <w:r>
              <w:rPr>
                <w:rFonts w:ascii="宋体" w:eastAsia="宋体" w:hAnsi="宋体" w:hint="eastAsia"/>
                <w:bCs/>
                <w:szCs w:val="21"/>
              </w:rPr>
              <w:t>≤0.3dB</w:t>
            </w:r>
          </w:p>
        </w:tc>
      </w:tr>
      <w:tr>
        <w:tblPrEx>
          <w:tblW w:w="4873" w:type="pct"/>
          <w:jc w:val="center"/>
          <w:tblCellMar>
            <w:top w:w="0" w:type="dxa"/>
            <w:left w:w="108" w:type="dxa"/>
            <w:bottom w:w="0" w:type="dxa"/>
            <w:right w:w="108" w:type="dxa"/>
          </w:tblCellMar>
        </w:tblPrEx>
        <w:trPr>
          <w:trHeight w:val="20"/>
          <w:jc w:val="center"/>
        </w:trPr>
        <w:tc>
          <w:tcPr>
            <w:tcW w:w="2048" w:type="pct"/>
            <w:tcBorders>
              <w:top w:val="single" w:sz="4" w:space="0" w:color="auto"/>
              <w:left w:val="single" w:sz="4" w:space="0" w:color="auto"/>
              <w:right w:val="single" w:sz="4" w:space="0" w:color="auto"/>
            </w:tcBorders>
            <w:shd w:val="clear" w:color="auto" w:fill="auto"/>
            <w:vAlign w:val="center"/>
          </w:tcPr>
          <w:p>
            <w:pPr>
              <w:rPr>
                <w:rFonts w:ascii="宋体" w:eastAsia="宋体" w:hAnsi="宋体"/>
                <w:bCs/>
                <w:szCs w:val="21"/>
              </w:rPr>
            </w:pPr>
            <w:r>
              <w:rPr>
                <w:rFonts w:ascii="宋体" w:eastAsia="宋体" w:hAnsi="宋体" w:hint="eastAsia"/>
                <w:bCs/>
                <w:szCs w:val="21"/>
              </w:rPr>
              <w:t>最大副瓣电平</w:t>
            </w:r>
          </w:p>
        </w:tc>
        <w:tc>
          <w:tcPr>
            <w:tcW w:w="2952" w:type="pct"/>
            <w:tcBorders>
              <w:top w:val="single" w:sz="4" w:space="0" w:color="auto"/>
              <w:left w:val="single" w:sz="4" w:space="0" w:color="auto"/>
              <w:right w:val="single" w:sz="4" w:space="0" w:color="auto"/>
            </w:tcBorders>
            <w:shd w:val="clear" w:color="auto" w:fill="auto"/>
            <w:vAlign w:val="center"/>
          </w:tcPr>
          <w:p>
            <w:pPr>
              <w:jc w:val="left"/>
              <w:rPr>
                <w:rFonts w:ascii="宋体" w:eastAsia="宋体" w:hAnsi="宋体"/>
                <w:bCs/>
                <w:szCs w:val="21"/>
              </w:rPr>
            </w:pPr>
            <w:r>
              <w:rPr>
                <w:rFonts w:ascii="宋体" w:eastAsia="宋体" w:hAnsi="宋体" w:hint="eastAsia"/>
                <w:bCs/>
                <w:szCs w:val="21"/>
              </w:rPr>
              <w:t>≤-29dB</w:t>
            </w:r>
          </w:p>
        </w:tc>
      </w:tr>
      <w:tr>
        <w:tblPrEx>
          <w:tblW w:w="4873" w:type="pct"/>
          <w:jc w:val="center"/>
          <w:tblCellMar>
            <w:top w:w="0" w:type="dxa"/>
            <w:left w:w="108" w:type="dxa"/>
            <w:bottom w:w="0" w:type="dxa"/>
            <w:right w:w="108" w:type="dxa"/>
          </w:tblCellMar>
        </w:tblPrEx>
        <w:trPr>
          <w:trHeight w:val="20"/>
          <w:jc w:val="center"/>
        </w:trPr>
        <w:tc>
          <w:tcPr>
            <w:tcW w:w="2048" w:type="pct"/>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交叉极化隔离度</w:t>
            </w:r>
          </w:p>
        </w:tc>
        <w:tc>
          <w:tcPr>
            <w:tcW w:w="2952" w:type="pct"/>
            <w:tcBorders>
              <w:top w:val="single" w:sz="4" w:space="0" w:color="auto"/>
              <w:left w:val="single" w:sz="4" w:space="0" w:color="auto"/>
              <w:right w:val="single" w:sz="4" w:space="0" w:color="auto"/>
            </w:tcBorders>
            <w:vAlign w:val="center"/>
          </w:tcPr>
          <w:p>
            <w:pPr>
              <w:jc w:val="left"/>
              <w:rPr>
                <w:rFonts w:ascii="宋体" w:eastAsia="宋体" w:hAnsi="宋体"/>
                <w:bCs/>
                <w:szCs w:val="21"/>
              </w:rPr>
            </w:pPr>
            <w:r>
              <w:rPr>
                <w:rFonts w:ascii="宋体" w:eastAsia="宋体" w:hAnsi="宋体" w:hint="eastAsia"/>
                <w:bCs/>
                <w:szCs w:val="21"/>
              </w:rPr>
              <w:t>≥35dB</w:t>
            </w:r>
          </w:p>
        </w:tc>
      </w:tr>
      <w:tr>
        <w:tblPrEx>
          <w:tblW w:w="4873" w:type="pct"/>
          <w:jc w:val="center"/>
          <w:tblCellMar>
            <w:top w:w="0" w:type="dxa"/>
            <w:left w:w="108" w:type="dxa"/>
            <w:bottom w:w="0" w:type="dxa"/>
            <w:right w:w="108" w:type="dxa"/>
          </w:tblCellMar>
        </w:tblPrEx>
        <w:trPr>
          <w:trHeight w:val="20"/>
          <w:jc w:val="center"/>
        </w:trPr>
        <w:tc>
          <w:tcPr>
            <w:tcW w:w="2048"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天线座水平度</w:t>
            </w:r>
          </w:p>
        </w:tc>
        <w:tc>
          <w:tcPr>
            <w:tcW w:w="2952" w:type="pct"/>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bCs/>
                <w:szCs w:val="21"/>
              </w:rPr>
            </w:pPr>
            <w:r>
              <w:rPr>
                <w:rFonts w:ascii="宋体" w:eastAsia="宋体" w:hAnsi="宋体" w:hint="eastAsia"/>
                <w:bCs/>
                <w:szCs w:val="21"/>
              </w:rPr>
              <w:t>≤30″</w:t>
            </w:r>
          </w:p>
        </w:tc>
      </w:tr>
    </w:tbl>
    <w:p>
      <w:pPr>
        <w:spacing w:line="360" w:lineRule="auto"/>
        <w:ind w:firstLine="420" w:firstLineChars="200"/>
        <w:outlineLvl w:val="3"/>
        <w:rPr>
          <w:rFonts w:ascii="宋体" w:eastAsia="宋体" w:hAnsi="宋体"/>
          <w:b/>
          <w:bCs/>
          <w:szCs w:val="21"/>
        </w:rPr>
      </w:pPr>
      <w:bookmarkStart w:id="65" w:name="_Toc174710828"/>
      <w:bookmarkStart w:id="66" w:name="_Toc3800043"/>
      <w:r>
        <w:rPr>
          <w:rFonts w:ascii="宋体" w:eastAsia="宋体" w:hAnsi="宋体" w:hint="eastAsia"/>
          <w:b/>
          <w:bCs/>
          <w:szCs w:val="21"/>
        </w:rPr>
        <w:t>3</w:t>
      </w:r>
      <w:r>
        <w:rPr>
          <w:rFonts w:ascii="宋体" w:eastAsia="宋体" w:hAnsi="宋体"/>
          <w:b/>
          <w:bCs/>
          <w:szCs w:val="21"/>
        </w:rPr>
        <w:t>.馈线技术指标</w:t>
      </w:r>
    </w:p>
    <w:p>
      <w:pPr>
        <w:spacing w:line="360" w:lineRule="auto"/>
        <w:ind w:firstLine="420" w:firstLineChars="200"/>
        <w:rPr>
          <w:rFonts w:ascii="宋体" w:eastAsia="宋体" w:hAnsi="宋体"/>
          <w:szCs w:val="21"/>
        </w:rPr>
      </w:pPr>
      <w:r>
        <w:rPr>
          <w:rFonts w:ascii="宋体" w:eastAsia="宋体" w:hAnsi="宋体" w:hint="eastAsia"/>
          <w:szCs w:val="21"/>
        </w:rPr>
        <w:t>馈线的技术指标包括：收发支路损耗差异、驻波比。</w:t>
      </w:r>
      <w:r>
        <w:rPr>
          <w:rFonts w:ascii="宋体" w:eastAsia="宋体" w:hAnsi="宋体"/>
          <w:szCs w:val="21"/>
        </w:rPr>
        <w:t>具体指标见表3。</w:t>
      </w:r>
    </w:p>
    <w:p>
      <w:pPr>
        <w:spacing w:line="360" w:lineRule="auto"/>
        <w:ind w:firstLine="643"/>
        <w:jc w:val="center"/>
        <w:rPr>
          <w:rFonts w:ascii="宋体" w:eastAsia="宋体" w:hAnsi="宋体"/>
          <w:szCs w:val="21"/>
        </w:rPr>
      </w:pPr>
      <w:r>
        <w:rPr>
          <w:rFonts w:ascii="宋体" w:eastAsia="宋体" w:hAnsi="宋体"/>
          <w:szCs w:val="21"/>
        </w:rPr>
        <w:t>表3 馈线技术性能指标表</w:t>
      </w:r>
    </w:p>
    <w:tbl>
      <w:tblPr>
        <w:tblStyle w:val="TableNormal"/>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358"/>
        <w:gridCol w:w="4859"/>
      </w:tblGrid>
      <w:tr>
        <w:tblPrEx>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0"/>
          <w:jc w:val="center"/>
        </w:trPr>
        <w:tc>
          <w:tcPr>
            <w:tcW w:w="3358" w:type="dxa"/>
            <w:tcBorders>
              <w:top w:val="single" w:sz="4" w:space="0" w:color="auto"/>
              <w:left w:val="single" w:sz="4" w:space="0" w:color="auto"/>
              <w:right w:val="single" w:sz="4" w:space="0" w:color="auto"/>
            </w:tcBorders>
            <w:vAlign w:val="center"/>
          </w:tcPr>
          <w:p>
            <w:pPr>
              <w:spacing w:line="380" w:lineRule="exact"/>
              <w:jc w:val="center"/>
              <w:rPr>
                <w:rFonts w:ascii="宋体" w:eastAsia="宋体" w:hAnsi="宋体"/>
                <w:b/>
                <w:bCs/>
                <w:szCs w:val="21"/>
              </w:rPr>
            </w:pPr>
            <w:r>
              <w:rPr>
                <w:rFonts w:ascii="宋体" w:eastAsia="宋体" w:hAnsi="宋体" w:hint="eastAsia"/>
                <w:b/>
                <w:bCs/>
                <w:szCs w:val="21"/>
              </w:rPr>
              <w:t>项目</w:t>
            </w:r>
          </w:p>
        </w:tc>
        <w:tc>
          <w:tcPr>
            <w:tcW w:w="4859" w:type="dxa"/>
            <w:tcBorders>
              <w:top w:val="single" w:sz="4" w:space="0" w:color="auto"/>
              <w:left w:val="single" w:sz="4" w:space="0" w:color="auto"/>
              <w:right w:val="single" w:sz="4" w:space="0" w:color="auto"/>
            </w:tcBorders>
            <w:vAlign w:val="center"/>
          </w:tcPr>
          <w:p>
            <w:pPr>
              <w:spacing w:line="380" w:lineRule="exact"/>
              <w:jc w:val="center"/>
              <w:rPr>
                <w:rFonts w:ascii="宋体" w:eastAsia="宋体" w:hAnsi="宋体"/>
                <w:b/>
                <w:bCs/>
                <w:szCs w:val="21"/>
              </w:rPr>
            </w:pPr>
            <w:r>
              <w:rPr>
                <w:rFonts w:ascii="宋体" w:eastAsia="宋体" w:hAnsi="宋体" w:hint="eastAsia"/>
                <w:b/>
                <w:bCs/>
                <w:szCs w:val="21"/>
              </w:rPr>
              <w:t>性能指标</w:t>
            </w:r>
          </w:p>
        </w:tc>
      </w:tr>
      <w:tr>
        <w:tblPrEx>
          <w:tblW w:w="8217" w:type="dxa"/>
          <w:jc w:val="center"/>
          <w:tblLayout w:type="fixed"/>
          <w:tblCellMar>
            <w:top w:w="0" w:type="dxa"/>
            <w:left w:w="108" w:type="dxa"/>
            <w:bottom w:w="0" w:type="dxa"/>
            <w:right w:w="108" w:type="dxa"/>
          </w:tblCellMar>
        </w:tblPrEx>
        <w:trPr>
          <w:trHeight w:val="20"/>
          <w:jc w:val="center"/>
        </w:trPr>
        <w:tc>
          <w:tcPr>
            <w:tcW w:w="3358"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szCs w:val="21"/>
              </w:rPr>
            </w:pPr>
            <w:r>
              <w:rPr>
                <w:rFonts w:ascii="宋体" w:eastAsia="宋体" w:hAnsi="宋体" w:hint="eastAsia"/>
                <w:szCs w:val="21"/>
              </w:rPr>
              <w:t>收发支路损耗差异（双发双收）</w:t>
            </w:r>
          </w:p>
        </w:tc>
        <w:tc>
          <w:tcPr>
            <w:tcW w:w="485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szCs w:val="21"/>
              </w:rPr>
            </w:pPr>
            <w:r>
              <w:rPr>
                <w:rFonts w:ascii="宋体" w:eastAsia="宋体" w:hAnsi="宋体" w:hint="eastAsia"/>
                <w:szCs w:val="21"/>
              </w:rPr>
              <w:t>≤0.4dB</w:t>
            </w:r>
          </w:p>
        </w:tc>
      </w:tr>
      <w:tr>
        <w:tblPrEx>
          <w:tblW w:w="8217" w:type="dxa"/>
          <w:jc w:val="center"/>
          <w:tblLayout w:type="fixed"/>
          <w:tblCellMar>
            <w:top w:w="0" w:type="dxa"/>
            <w:left w:w="108" w:type="dxa"/>
            <w:bottom w:w="0" w:type="dxa"/>
            <w:right w:w="108" w:type="dxa"/>
          </w:tblCellMar>
        </w:tblPrEx>
        <w:trPr>
          <w:trHeight w:val="20"/>
          <w:jc w:val="center"/>
        </w:trPr>
        <w:tc>
          <w:tcPr>
            <w:tcW w:w="3358"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宋体" w:eastAsia="宋体" w:hAnsi="宋体"/>
                <w:szCs w:val="21"/>
              </w:rPr>
            </w:pPr>
            <w:r>
              <w:rPr>
                <w:rFonts w:ascii="宋体" w:eastAsia="宋体" w:hAnsi="宋体" w:hint="eastAsia"/>
                <w:szCs w:val="21"/>
              </w:rPr>
              <w:t>驻波比</w:t>
            </w:r>
          </w:p>
        </w:tc>
        <w:tc>
          <w:tcPr>
            <w:tcW w:w="4859"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宋体" w:eastAsia="宋体" w:hAnsi="宋体"/>
                <w:szCs w:val="21"/>
              </w:rPr>
            </w:pPr>
            <w:r>
              <w:rPr>
                <w:rFonts w:ascii="宋体" w:eastAsia="宋体" w:hAnsi="宋体" w:hint="eastAsia"/>
                <w:szCs w:val="21"/>
              </w:rPr>
              <w:t>≤1.5:1</w:t>
            </w:r>
          </w:p>
        </w:tc>
      </w:tr>
    </w:tbl>
    <w:p>
      <w:pPr>
        <w:spacing w:line="360" w:lineRule="auto"/>
        <w:ind w:firstLine="420" w:firstLineChars="200"/>
        <w:outlineLvl w:val="3"/>
        <w:rPr>
          <w:rFonts w:ascii="宋体" w:eastAsia="宋体" w:hAnsi="宋体"/>
          <w:b/>
          <w:bCs/>
          <w:szCs w:val="21"/>
        </w:rPr>
      </w:pPr>
      <w:r>
        <w:rPr>
          <w:rFonts w:ascii="宋体" w:eastAsia="宋体" w:hAnsi="宋体"/>
          <w:b/>
          <w:bCs/>
          <w:szCs w:val="21"/>
        </w:rPr>
        <w:t>4.伺服</w:t>
      </w:r>
      <w:r>
        <w:rPr>
          <w:rFonts w:ascii="宋体" w:eastAsia="宋体" w:hAnsi="宋体" w:hint="eastAsia"/>
          <w:b/>
          <w:bCs/>
          <w:szCs w:val="21"/>
        </w:rPr>
        <w:t>转台</w:t>
      </w:r>
      <w:r>
        <w:rPr>
          <w:rFonts w:ascii="宋体" w:eastAsia="宋体" w:hAnsi="宋体"/>
          <w:b/>
          <w:bCs/>
          <w:szCs w:val="21"/>
        </w:rPr>
        <w:t>技术指标</w:t>
      </w:r>
      <w:bookmarkEnd w:id="65"/>
      <w:bookmarkEnd w:id="66"/>
    </w:p>
    <w:p>
      <w:pPr>
        <w:spacing w:line="360" w:lineRule="auto"/>
        <w:ind w:firstLine="420" w:firstLineChars="200"/>
        <w:rPr>
          <w:rFonts w:ascii="宋体" w:eastAsia="宋体" w:hAnsi="宋体"/>
          <w:szCs w:val="21"/>
        </w:rPr>
      </w:pPr>
      <w:r>
        <w:rPr>
          <w:rFonts w:ascii="宋体" w:eastAsia="宋体" w:hAnsi="宋体" w:hint="eastAsia"/>
          <w:szCs w:val="21"/>
        </w:rPr>
        <w:t>伺服转台的技术指标包括：天线扫描方式、扫描范围、扫描速度、扫描加速度、定位精度和控制精度等</w:t>
      </w:r>
      <w:r>
        <w:rPr>
          <w:rFonts w:ascii="宋体" w:eastAsia="宋体" w:hAnsi="宋体"/>
          <w:szCs w:val="21"/>
        </w:rPr>
        <w:t>，具体指标见表4。</w:t>
      </w:r>
    </w:p>
    <w:p>
      <w:pPr>
        <w:spacing w:line="360" w:lineRule="auto"/>
        <w:ind w:firstLine="643"/>
        <w:jc w:val="center"/>
        <w:rPr>
          <w:rFonts w:ascii="宋体" w:eastAsia="宋体" w:hAnsi="宋体"/>
          <w:szCs w:val="21"/>
        </w:rPr>
      </w:pPr>
      <w:r>
        <w:rPr>
          <w:rFonts w:ascii="宋体" w:eastAsia="宋体" w:hAnsi="宋体"/>
          <w:szCs w:val="21"/>
        </w:rPr>
        <w:t>表4 伺服</w:t>
      </w:r>
      <w:r>
        <w:rPr>
          <w:rFonts w:ascii="宋体" w:eastAsia="宋体" w:hAnsi="宋体" w:hint="eastAsia"/>
          <w:szCs w:val="21"/>
        </w:rPr>
        <w:t>转台</w:t>
      </w:r>
      <w:r>
        <w:rPr>
          <w:rFonts w:ascii="宋体" w:eastAsia="宋体" w:hAnsi="宋体"/>
          <w:szCs w:val="21"/>
        </w:rPr>
        <w:t>技术性能指标表</w:t>
      </w:r>
    </w:p>
    <w:tbl>
      <w:tblPr>
        <w:tblStyle w:val="TableNormal"/>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799"/>
        <w:gridCol w:w="1134"/>
        <w:gridCol w:w="5284"/>
      </w:tblGrid>
      <w:tr>
        <w:tblPrEx>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right w:val="single" w:sz="4" w:space="0" w:color="auto"/>
            </w:tcBorders>
          </w:tcPr>
          <w:p>
            <w:pPr>
              <w:spacing w:line="400" w:lineRule="exact"/>
              <w:jc w:val="center"/>
              <w:rPr>
                <w:rFonts w:ascii="宋体" w:eastAsia="宋体" w:hAnsi="宋体"/>
                <w:b/>
                <w:bCs/>
                <w:szCs w:val="21"/>
              </w:rPr>
            </w:pPr>
            <w:r>
              <w:rPr>
                <w:rFonts w:ascii="宋体" w:eastAsia="宋体" w:hAnsi="宋体" w:hint="eastAsia"/>
                <w:b/>
                <w:bCs/>
                <w:szCs w:val="21"/>
              </w:rPr>
              <w:t>项目</w:t>
            </w:r>
          </w:p>
        </w:tc>
        <w:tc>
          <w:tcPr>
            <w:tcW w:w="5284" w:type="dxa"/>
            <w:tcBorders>
              <w:top w:val="single" w:sz="4" w:space="0" w:color="auto"/>
              <w:left w:val="single" w:sz="4" w:space="0" w:color="auto"/>
              <w:bottom w:val="single" w:sz="4" w:space="0" w:color="auto"/>
              <w:right w:val="single" w:sz="4" w:space="0" w:color="auto"/>
            </w:tcBorders>
          </w:tcPr>
          <w:p>
            <w:pPr>
              <w:spacing w:line="400" w:lineRule="exact"/>
              <w:jc w:val="center"/>
              <w:rPr>
                <w:rFonts w:ascii="宋体" w:eastAsia="宋体" w:hAnsi="宋体"/>
                <w:b/>
                <w:bCs/>
                <w:szCs w:val="21"/>
              </w:rPr>
            </w:pPr>
            <w:r>
              <w:rPr>
                <w:rFonts w:ascii="宋体" w:eastAsia="宋体" w:hAnsi="宋体" w:hint="eastAsia"/>
                <w:b/>
                <w:bCs/>
                <w:szCs w:val="21"/>
              </w:rPr>
              <w:t>性能指标</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cs="Cambria Math"/>
                <w:color w:val="FF0000"/>
                <w:szCs w:val="21"/>
              </w:rPr>
              <w:t>#</w:t>
            </w:r>
            <w:r>
              <w:rPr>
                <w:rFonts w:ascii="宋体" w:eastAsia="宋体" w:hAnsi="宋体" w:hint="eastAsia"/>
                <w:bCs/>
                <w:szCs w:val="21"/>
              </w:rPr>
              <w:t>天线扫描方式</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平面位置扫描、距离高度扫描、体积扫描、扇形扫描、定点扫描、任意指向扫描</w:t>
            </w:r>
          </w:p>
        </w:tc>
      </w:tr>
      <w:tr>
        <w:tblPrEx>
          <w:tblW w:w="8217" w:type="dxa"/>
          <w:jc w:val="center"/>
          <w:tblLayout w:type="fixed"/>
          <w:tblCellMar>
            <w:top w:w="0" w:type="dxa"/>
            <w:left w:w="108" w:type="dxa"/>
            <w:bottom w:w="0" w:type="dxa"/>
            <w:right w:w="108" w:type="dxa"/>
          </w:tblCellMar>
        </w:tblPrEx>
        <w:trPr>
          <w:trHeight w:val="20"/>
          <w:jc w:val="center"/>
        </w:trPr>
        <w:tc>
          <w:tcPr>
            <w:tcW w:w="1799" w:type="dxa"/>
            <w:vMerge w:val="restar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天线扫描范围</w:t>
            </w:r>
          </w:p>
        </w:tc>
        <w:tc>
          <w:tcPr>
            <w:tcW w:w="113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方位</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0～360°连续扫描</w:t>
            </w:r>
          </w:p>
        </w:tc>
      </w:tr>
      <w:tr>
        <w:tblPrEx>
          <w:tblW w:w="8217" w:type="dxa"/>
          <w:jc w:val="center"/>
          <w:tblLayout w:type="fixed"/>
          <w:tblCellMar>
            <w:top w:w="0" w:type="dxa"/>
            <w:left w:w="108" w:type="dxa"/>
            <w:bottom w:w="0" w:type="dxa"/>
            <w:right w:w="108" w:type="dxa"/>
          </w:tblCellMar>
        </w:tblPrEx>
        <w:trPr>
          <w:trHeight w:val="20"/>
          <w:jc w:val="center"/>
        </w:trPr>
        <w:tc>
          <w:tcPr>
            <w:tcW w:w="1799" w:type="dxa"/>
            <w:vMerge/>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p>
        </w:tc>
        <w:tc>
          <w:tcPr>
            <w:tcW w:w="113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俯仰</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-2～+180°往返扫描</w:t>
            </w:r>
          </w:p>
        </w:tc>
      </w:tr>
      <w:tr>
        <w:tblPrEx>
          <w:tblW w:w="8217" w:type="dxa"/>
          <w:jc w:val="center"/>
          <w:tblLayout w:type="fixed"/>
          <w:tblCellMar>
            <w:top w:w="0" w:type="dxa"/>
            <w:left w:w="108" w:type="dxa"/>
            <w:bottom w:w="0" w:type="dxa"/>
            <w:right w:w="108" w:type="dxa"/>
          </w:tblCellMar>
        </w:tblPrEx>
        <w:trPr>
          <w:trHeight w:val="20"/>
          <w:jc w:val="center"/>
        </w:trPr>
        <w:tc>
          <w:tcPr>
            <w:tcW w:w="1799" w:type="dxa"/>
            <w:vMerge w:val="restart"/>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cs="Cambria Math"/>
                <w:color w:val="FF0000"/>
                <w:szCs w:val="21"/>
              </w:rPr>
              <w:t>#</w:t>
            </w:r>
            <w:r>
              <w:rPr>
                <w:rFonts w:ascii="宋体" w:eastAsia="宋体" w:hAnsi="宋体" w:hint="eastAsia"/>
                <w:bCs/>
                <w:szCs w:val="21"/>
              </w:rPr>
              <w:t>天线扫描速度</w:t>
            </w:r>
          </w:p>
        </w:tc>
        <w:tc>
          <w:tcPr>
            <w:tcW w:w="1134" w:type="dxa"/>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方位</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≥60°/s，</w:t>
            </w:r>
          </w:p>
          <w:p>
            <w:pPr>
              <w:rPr>
                <w:rFonts w:ascii="宋体" w:eastAsia="宋体" w:hAnsi="宋体"/>
                <w:bCs/>
                <w:szCs w:val="21"/>
              </w:rPr>
            </w:pPr>
            <w:r>
              <w:rPr>
                <w:rFonts w:ascii="宋体" w:eastAsia="宋体" w:hAnsi="宋体" w:hint="eastAsia"/>
                <w:bCs/>
                <w:szCs w:val="21"/>
              </w:rPr>
              <w:t>≥6°/s误差≤5%</w:t>
            </w:r>
          </w:p>
        </w:tc>
      </w:tr>
      <w:tr>
        <w:tblPrEx>
          <w:tblW w:w="8217" w:type="dxa"/>
          <w:jc w:val="center"/>
          <w:tblLayout w:type="fixed"/>
          <w:tblCellMar>
            <w:top w:w="0" w:type="dxa"/>
            <w:left w:w="108" w:type="dxa"/>
            <w:bottom w:w="0" w:type="dxa"/>
            <w:right w:w="108" w:type="dxa"/>
          </w:tblCellMar>
        </w:tblPrEx>
        <w:trPr>
          <w:trHeight w:val="20"/>
          <w:jc w:val="center"/>
        </w:trPr>
        <w:tc>
          <w:tcPr>
            <w:tcW w:w="1799" w:type="dxa"/>
            <w:vMerge/>
            <w:tcBorders>
              <w:left w:val="single" w:sz="4" w:space="0" w:color="auto"/>
              <w:bottom w:val="single" w:sz="4" w:space="0" w:color="auto"/>
              <w:right w:val="single" w:sz="4" w:space="0" w:color="auto"/>
            </w:tcBorders>
            <w:vAlign w:val="center"/>
          </w:tcPr>
          <w:p>
            <w:pPr>
              <w:rPr>
                <w:rFonts w:ascii="宋体" w:eastAsia="宋体" w:hAnsi="宋体"/>
                <w:bCs/>
                <w:szCs w:val="21"/>
              </w:rPr>
            </w:pPr>
          </w:p>
        </w:tc>
        <w:tc>
          <w:tcPr>
            <w:tcW w:w="1134" w:type="dxa"/>
            <w:tcBorders>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俯仰</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≥60°/s，</w:t>
            </w:r>
          </w:p>
          <w:p>
            <w:pPr>
              <w:rPr>
                <w:rFonts w:ascii="宋体" w:eastAsia="宋体" w:hAnsi="宋体"/>
                <w:bCs/>
                <w:szCs w:val="21"/>
              </w:rPr>
            </w:pPr>
            <w:r>
              <w:rPr>
                <w:rFonts w:ascii="宋体" w:eastAsia="宋体" w:hAnsi="宋体" w:hint="eastAsia"/>
                <w:bCs/>
                <w:szCs w:val="21"/>
              </w:rPr>
              <w:t>≥6°/s误差≤5%</w:t>
            </w:r>
          </w:p>
        </w:tc>
      </w:tr>
      <w:tr>
        <w:tblPrEx>
          <w:tblW w:w="8217" w:type="dxa"/>
          <w:jc w:val="center"/>
          <w:tblLayout w:type="fixed"/>
          <w:tblCellMar>
            <w:top w:w="0" w:type="dxa"/>
            <w:left w:w="108" w:type="dxa"/>
            <w:bottom w:w="0" w:type="dxa"/>
            <w:right w:w="108" w:type="dxa"/>
          </w:tblCellMar>
        </w:tblPrEx>
        <w:trPr>
          <w:trHeight w:val="20"/>
          <w:jc w:val="center"/>
        </w:trPr>
        <w:tc>
          <w:tcPr>
            <w:tcW w:w="1799" w:type="dxa"/>
            <w:vMerge w:val="restart"/>
            <w:tcBorders>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天线扫描加速度</w:t>
            </w:r>
          </w:p>
        </w:tc>
        <w:tc>
          <w:tcPr>
            <w:tcW w:w="1134" w:type="dxa"/>
            <w:tcBorders>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方位</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≥60°/s</w:t>
            </w:r>
            <w:r>
              <w:rPr>
                <w:rFonts w:ascii="宋体" w:eastAsia="宋体" w:hAnsi="宋体" w:hint="eastAsia"/>
                <w:bCs/>
                <w:szCs w:val="21"/>
                <w:vertAlign w:val="superscript"/>
              </w:rPr>
              <w:t>2</w:t>
            </w:r>
          </w:p>
        </w:tc>
      </w:tr>
      <w:tr>
        <w:tblPrEx>
          <w:tblW w:w="8217" w:type="dxa"/>
          <w:jc w:val="center"/>
          <w:tblLayout w:type="fixed"/>
          <w:tblCellMar>
            <w:top w:w="0" w:type="dxa"/>
            <w:left w:w="108" w:type="dxa"/>
            <w:bottom w:w="0" w:type="dxa"/>
            <w:right w:w="108" w:type="dxa"/>
          </w:tblCellMar>
        </w:tblPrEx>
        <w:trPr>
          <w:trHeight w:val="20"/>
          <w:jc w:val="center"/>
        </w:trPr>
        <w:tc>
          <w:tcPr>
            <w:tcW w:w="1799" w:type="dxa"/>
            <w:vMerge/>
            <w:tcBorders>
              <w:left w:val="single" w:sz="4" w:space="0" w:color="auto"/>
              <w:bottom w:val="single" w:sz="4" w:space="0" w:color="auto"/>
              <w:right w:val="single" w:sz="4" w:space="0" w:color="auto"/>
            </w:tcBorders>
            <w:vAlign w:val="center"/>
          </w:tcPr>
          <w:p>
            <w:pPr>
              <w:rPr>
                <w:rFonts w:ascii="宋体" w:eastAsia="宋体" w:hAnsi="宋体"/>
                <w:bCs/>
                <w:szCs w:val="21"/>
              </w:rPr>
            </w:pPr>
          </w:p>
        </w:tc>
        <w:tc>
          <w:tcPr>
            <w:tcW w:w="1134" w:type="dxa"/>
            <w:tcBorders>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俯仰</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≥60°/s</w:t>
            </w:r>
            <w:r>
              <w:rPr>
                <w:rFonts w:ascii="宋体" w:eastAsia="宋体" w:hAnsi="宋体" w:hint="eastAsia"/>
                <w:bCs/>
                <w:szCs w:val="21"/>
                <w:vertAlign w:val="superscript"/>
              </w:rPr>
              <w:t>2</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天线控制方式</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预置全自动、人工干预自动/手动控制</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cs="Cambria Math"/>
                <w:color w:val="FF0000"/>
                <w:szCs w:val="21"/>
              </w:rPr>
              <w:t>#</w:t>
            </w:r>
            <w:r>
              <w:rPr>
                <w:rFonts w:ascii="宋体" w:eastAsia="宋体" w:hAnsi="宋体" w:hint="eastAsia"/>
                <w:bCs/>
                <w:szCs w:val="21"/>
              </w:rPr>
              <w:t>波束指向误差（方位和俯仰）</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±0.05°之间</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天线控制精度（方位和俯仰）</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±0.05°之间</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天线控制字长</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≥16位</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cs="Cambria Math"/>
                <w:color w:val="FF0000"/>
                <w:szCs w:val="21"/>
              </w:rPr>
              <w:t>#</w:t>
            </w:r>
            <w:r>
              <w:rPr>
                <w:rFonts w:ascii="宋体" w:eastAsia="宋体" w:hAnsi="宋体" w:hint="eastAsia"/>
                <w:bCs/>
                <w:szCs w:val="21"/>
              </w:rPr>
              <w:t>角度编码器字长</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≥16位</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角码传输延迟时间</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≤5ms</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安全与保护</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spacing w:line="360" w:lineRule="auto"/>
        <w:ind w:firstLine="420" w:firstLineChars="200"/>
        <w:outlineLvl w:val="3"/>
        <w:rPr>
          <w:rFonts w:ascii="宋体" w:eastAsia="宋体" w:hAnsi="宋体"/>
          <w:b/>
          <w:bCs/>
          <w:szCs w:val="21"/>
        </w:rPr>
      </w:pPr>
      <w:bookmarkStart w:id="67" w:name="_Toc374091455"/>
      <w:bookmarkStart w:id="68" w:name="_Toc3800044"/>
      <w:bookmarkStart w:id="69" w:name="_Toc174710829"/>
      <w:r>
        <w:rPr>
          <w:rFonts w:ascii="宋体" w:eastAsia="宋体" w:hAnsi="宋体"/>
          <w:b/>
          <w:bCs/>
          <w:szCs w:val="21"/>
        </w:rPr>
        <w:t>5.发射机技术指标</w:t>
      </w:r>
      <w:bookmarkEnd w:id="67"/>
      <w:bookmarkEnd w:id="68"/>
      <w:bookmarkEnd w:id="69"/>
    </w:p>
    <w:p>
      <w:pPr>
        <w:spacing w:line="360" w:lineRule="auto"/>
        <w:ind w:firstLine="420" w:firstLineChars="200"/>
        <w:rPr>
          <w:rFonts w:ascii="宋体" w:eastAsia="宋体" w:hAnsi="宋体"/>
          <w:szCs w:val="21"/>
        </w:rPr>
      </w:pPr>
      <w:r>
        <w:rPr>
          <w:rFonts w:ascii="宋体" w:eastAsia="宋体" w:hAnsi="宋体"/>
          <w:szCs w:val="21"/>
        </w:rPr>
        <w:t>发射机技术指标主要包括：工作频率、脉冲峰值功率、脉冲</w:t>
      </w:r>
      <w:r>
        <w:rPr>
          <w:rFonts w:ascii="宋体" w:eastAsia="宋体" w:hAnsi="宋体" w:hint="eastAsia"/>
          <w:szCs w:val="21"/>
        </w:rPr>
        <w:t>宽度</w:t>
      </w:r>
      <w:r>
        <w:rPr>
          <w:rFonts w:ascii="宋体" w:eastAsia="宋体" w:hAnsi="宋体"/>
          <w:szCs w:val="21"/>
        </w:rPr>
        <w:t>等，见表5。</w:t>
      </w:r>
    </w:p>
    <w:p>
      <w:pPr>
        <w:spacing w:line="360" w:lineRule="auto"/>
        <w:ind w:firstLine="643"/>
        <w:jc w:val="center"/>
        <w:rPr>
          <w:rFonts w:ascii="宋体" w:eastAsia="宋体" w:hAnsi="宋体"/>
          <w:szCs w:val="21"/>
        </w:rPr>
      </w:pPr>
      <w:r>
        <w:rPr>
          <w:rFonts w:ascii="宋体" w:eastAsia="宋体" w:hAnsi="宋体"/>
          <w:szCs w:val="21"/>
        </w:rPr>
        <w:t>表5 发射机技术性能指标表</w:t>
      </w:r>
    </w:p>
    <w:tbl>
      <w:tblPr>
        <w:tblStyle w:val="TableNormal"/>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628"/>
        <w:gridCol w:w="1305"/>
        <w:gridCol w:w="5284"/>
      </w:tblGrid>
      <w:tr>
        <w:tblPrEx>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right w:val="single" w:sz="4" w:space="0" w:color="auto"/>
            </w:tcBorders>
            <w:vAlign w:val="center"/>
          </w:tcPr>
          <w:p>
            <w:pPr>
              <w:spacing w:line="360" w:lineRule="exact"/>
              <w:jc w:val="center"/>
              <w:rPr>
                <w:rFonts w:ascii="宋体" w:eastAsia="宋体" w:hAnsi="宋体"/>
                <w:b/>
                <w:bCs/>
                <w:szCs w:val="21"/>
              </w:rPr>
            </w:pPr>
            <w:r>
              <w:rPr>
                <w:rFonts w:ascii="宋体" w:eastAsia="宋体" w:hAnsi="宋体" w:hint="eastAsia"/>
                <w:b/>
                <w:bCs/>
                <w:szCs w:val="21"/>
              </w:rPr>
              <w:t>项目</w:t>
            </w:r>
          </w:p>
        </w:tc>
        <w:tc>
          <w:tcPr>
            <w:tcW w:w="5284" w:type="dxa"/>
            <w:tcBorders>
              <w:top w:val="single" w:sz="4" w:space="0" w:color="auto"/>
              <w:left w:val="single" w:sz="4" w:space="0" w:color="auto"/>
              <w:right w:val="single" w:sz="4" w:space="0" w:color="auto"/>
            </w:tcBorders>
            <w:vAlign w:val="center"/>
          </w:tcPr>
          <w:p>
            <w:pPr>
              <w:spacing w:line="360" w:lineRule="exact"/>
              <w:jc w:val="center"/>
              <w:rPr>
                <w:rFonts w:ascii="宋体" w:eastAsia="宋体" w:hAnsi="宋体"/>
                <w:b/>
                <w:bCs/>
                <w:szCs w:val="21"/>
              </w:rPr>
            </w:pPr>
            <w:r>
              <w:rPr>
                <w:rFonts w:ascii="宋体" w:eastAsia="宋体" w:hAnsi="宋体" w:hint="eastAsia"/>
                <w:b/>
                <w:bCs/>
                <w:szCs w:val="21"/>
              </w:rPr>
              <w:t>性能指标</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发射机类型</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全固态功率合成</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寿命</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全寿命周期</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cs="Cambria Math"/>
                <w:color w:val="FF0000"/>
                <w:szCs w:val="21"/>
              </w:rPr>
              <w:t>#</w:t>
            </w:r>
            <w:r>
              <w:rPr>
                <w:rFonts w:ascii="宋体" w:eastAsia="宋体" w:hAnsi="宋体" w:hint="eastAsia"/>
                <w:bCs/>
                <w:szCs w:val="21"/>
              </w:rPr>
              <w:t>工作频率</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9.1～9.5GHz</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cs="Cambria Math"/>
                <w:color w:val="FF0000"/>
                <w:szCs w:val="21"/>
              </w:rPr>
              <w:t>#</w:t>
            </w:r>
            <w:r>
              <w:rPr>
                <w:rFonts w:ascii="宋体" w:eastAsia="宋体" w:hAnsi="宋体" w:hint="eastAsia"/>
                <w:bCs/>
                <w:szCs w:val="21"/>
              </w:rPr>
              <w:t>脉冲峰值功率（总功率）</w:t>
            </w:r>
          </w:p>
        </w:tc>
        <w:tc>
          <w:tcPr>
            <w:tcW w:w="5284" w:type="dxa"/>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≥500W</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机内外峰值功率最大偏差</w:t>
            </w:r>
          </w:p>
        </w:tc>
        <w:tc>
          <w:tcPr>
            <w:tcW w:w="5284" w:type="dxa"/>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±0.2dB之间</w:t>
            </w:r>
          </w:p>
        </w:tc>
      </w:tr>
      <w:tr>
        <w:tblPrEx>
          <w:tblW w:w="8217" w:type="dxa"/>
          <w:jc w:val="center"/>
          <w:tblLayout w:type="fixed"/>
          <w:tblCellMar>
            <w:top w:w="0" w:type="dxa"/>
            <w:left w:w="108" w:type="dxa"/>
            <w:bottom w:w="0" w:type="dxa"/>
            <w:right w:w="108" w:type="dxa"/>
          </w:tblCellMar>
        </w:tblPrEx>
        <w:trPr>
          <w:trHeight w:val="20"/>
          <w:jc w:val="center"/>
        </w:trPr>
        <w:tc>
          <w:tcPr>
            <w:tcW w:w="1628" w:type="dxa"/>
            <w:vMerge w:val="restart"/>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cs="Cambria Math"/>
                <w:color w:val="FF0000"/>
                <w:szCs w:val="21"/>
              </w:rPr>
              <w:t>#</w:t>
            </w:r>
            <w:r>
              <w:rPr>
                <w:rFonts w:ascii="宋体" w:eastAsia="宋体" w:hAnsi="宋体" w:hint="eastAsia"/>
                <w:bCs/>
                <w:szCs w:val="21"/>
              </w:rPr>
              <w:t>峰值功率波动</w:t>
            </w:r>
          </w:p>
        </w:tc>
        <w:tc>
          <w:tcPr>
            <w:tcW w:w="1305" w:type="dxa"/>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机外</w:t>
            </w:r>
          </w:p>
        </w:tc>
        <w:tc>
          <w:tcPr>
            <w:tcW w:w="5284" w:type="dxa"/>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≤0.3dB</w:t>
            </w:r>
          </w:p>
        </w:tc>
      </w:tr>
      <w:tr>
        <w:tblPrEx>
          <w:tblW w:w="8217" w:type="dxa"/>
          <w:jc w:val="center"/>
          <w:tblLayout w:type="fixed"/>
          <w:tblCellMar>
            <w:top w:w="0" w:type="dxa"/>
            <w:left w:w="108" w:type="dxa"/>
            <w:bottom w:w="0" w:type="dxa"/>
            <w:right w:w="108" w:type="dxa"/>
          </w:tblCellMar>
        </w:tblPrEx>
        <w:trPr>
          <w:trHeight w:val="20"/>
          <w:jc w:val="center"/>
        </w:trPr>
        <w:tc>
          <w:tcPr>
            <w:tcW w:w="1628" w:type="dxa"/>
            <w:vMerge/>
            <w:tcBorders>
              <w:left w:val="single" w:sz="4" w:space="0" w:color="auto"/>
              <w:right w:val="single" w:sz="4" w:space="0" w:color="auto"/>
            </w:tcBorders>
            <w:vAlign w:val="center"/>
          </w:tcPr>
          <w:p>
            <w:pPr>
              <w:rPr>
                <w:rFonts w:ascii="宋体" w:eastAsia="宋体" w:hAnsi="宋体"/>
                <w:bCs/>
                <w:szCs w:val="21"/>
              </w:rPr>
            </w:pPr>
          </w:p>
        </w:tc>
        <w:tc>
          <w:tcPr>
            <w:tcW w:w="1305" w:type="dxa"/>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机内</w:t>
            </w:r>
          </w:p>
        </w:tc>
        <w:tc>
          <w:tcPr>
            <w:tcW w:w="5284" w:type="dxa"/>
            <w:tcBorders>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≤0.4dB</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脉冲重复频率</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500Hz～3000Hz</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脉冲宽度</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0.5±0.05μs，1.0±0.10μs，0.5～200μs（可选）</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上升时间、下降时间</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≤200ns</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顶降</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≤5%</w:t>
            </w:r>
          </w:p>
        </w:tc>
      </w:tr>
      <w:tr>
        <w:tblPrEx>
          <w:tblW w:w="8217" w:type="dxa"/>
          <w:jc w:val="center"/>
          <w:tblLayout w:type="fixed"/>
          <w:tblCellMar>
            <w:top w:w="0" w:type="dxa"/>
            <w:left w:w="108" w:type="dxa"/>
            <w:bottom w:w="0" w:type="dxa"/>
            <w:right w:w="108" w:type="dxa"/>
          </w:tblCellMar>
        </w:tblPrEx>
        <w:trPr>
          <w:trHeight w:val="20"/>
          <w:jc w:val="center"/>
        </w:trPr>
        <w:tc>
          <w:tcPr>
            <w:tcW w:w="1628" w:type="dxa"/>
            <w:vMerge w:val="restart"/>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谱宽特性</w:t>
            </w:r>
          </w:p>
          <w:p>
            <w:pPr>
              <w:rPr>
                <w:rFonts w:ascii="宋体" w:eastAsia="宋体" w:hAnsi="宋体"/>
                <w:bCs/>
                <w:szCs w:val="21"/>
              </w:rPr>
            </w:pPr>
            <w:r>
              <w:rPr>
                <w:rFonts w:ascii="宋体" w:eastAsia="宋体" w:hAnsi="宋体" w:hint="eastAsia"/>
                <w:bCs/>
                <w:szCs w:val="21"/>
              </w:rPr>
              <w:t>（-40dB处）</w:t>
            </w:r>
          </w:p>
        </w:tc>
        <w:tc>
          <w:tcPr>
            <w:tcW w:w="1305"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左频偏</w:t>
            </w:r>
          </w:p>
        </w:tc>
        <w:tc>
          <w:tcPr>
            <w:tcW w:w="5284" w:type="dxa"/>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≥-15.0MHz</w:t>
            </w:r>
          </w:p>
        </w:tc>
      </w:tr>
      <w:tr>
        <w:tblPrEx>
          <w:tblW w:w="8217" w:type="dxa"/>
          <w:jc w:val="center"/>
          <w:tblLayout w:type="fixed"/>
          <w:tblCellMar>
            <w:top w:w="0" w:type="dxa"/>
            <w:left w:w="108" w:type="dxa"/>
            <w:bottom w:w="0" w:type="dxa"/>
            <w:right w:w="108" w:type="dxa"/>
          </w:tblCellMar>
        </w:tblPrEx>
        <w:trPr>
          <w:trHeight w:val="20"/>
          <w:jc w:val="center"/>
        </w:trPr>
        <w:tc>
          <w:tcPr>
            <w:tcW w:w="1628" w:type="dxa"/>
            <w:vMerge/>
            <w:tcBorders>
              <w:left w:val="single" w:sz="4" w:space="0" w:color="auto"/>
              <w:bottom w:val="single" w:sz="4" w:space="0" w:color="auto"/>
              <w:right w:val="single" w:sz="4" w:space="0" w:color="auto"/>
            </w:tcBorders>
            <w:vAlign w:val="center"/>
          </w:tcPr>
          <w:p>
            <w:pPr>
              <w:rPr>
                <w:rFonts w:ascii="宋体" w:eastAsia="宋体" w:hAnsi="宋体"/>
                <w:bCs/>
                <w:szCs w:val="21"/>
              </w:rPr>
            </w:pPr>
          </w:p>
        </w:tc>
        <w:tc>
          <w:tcPr>
            <w:tcW w:w="1305"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右频偏</w:t>
            </w:r>
          </w:p>
        </w:tc>
        <w:tc>
          <w:tcPr>
            <w:tcW w:w="5284" w:type="dxa"/>
            <w:tcBorders>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≤15.0MHz</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cs="Cambria Math"/>
                <w:color w:val="FF0000"/>
                <w:szCs w:val="21"/>
              </w:rPr>
              <w:t>#</w:t>
            </w:r>
            <w:r>
              <w:rPr>
                <w:rFonts w:ascii="宋体" w:eastAsia="宋体" w:hAnsi="宋体" w:hint="eastAsia"/>
                <w:bCs/>
                <w:szCs w:val="21"/>
              </w:rPr>
              <w:t>输出极限改善因子</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≥50dB</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输出杂噪比</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≤10dB</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谐波和杂散抑制</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≥40dB</w:t>
            </w:r>
          </w:p>
        </w:tc>
      </w:tr>
      <w:tr>
        <w:tblPrEx>
          <w:tblW w:w="8217" w:type="dxa"/>
          <w:jc w:val="center"/>
          <w:tblLayout w:type="fixed"/>
          <w:tblCellMar>
            <w:top w:w="0" w:type="dxa"/>
            <w:left w:w="108" w:type="dxa"/>
            <w:bottom w:w="0" w:type="dxa"/>
            <w:right w:w="108" w:type="dxa"/>
          </w:tblCellMar>
        </w:tblPrEx>
        <w:trPr>
          <w:trHeight w:val="20"/>
          <w:jc w:val="center"/>
        </w:trPr>
        <w:tc>
          <w:tcPr>
            <w:tcW w:w="2933"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故障检测和保护</w:t>
            </w:r>
          </w:p>
        </w:tc>
        <w:tc>
          <w:tcPr>
            <w:tcW w:w="5284"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发生过占空比、过脉宽、发生过温、过流等情况时可报警并实现自保；输出功率低时输出报警信号。</w:t>
            </w:r>
          </w:p>
        </w:tc>
      </w:tr>
    </w:tbl>
    <w:p>
      <w:pPr>
        <w:spacing w:line="360" w:lineRule="auto"/>
        <w:ind w:firstLine="420" w:firstLineChars="200"/>
        <w:outlineLvl w:val="3"/>
        <w:rPr>
          <w:rFonts w:ascii="宋体" w:eastAsia="宋体" w:hAnsi="宋体"/>
          <w:b/>
          <w:bCs/>
          <w:szCs w:val="21"/>
        </w:rPr>
      </w:pPr>
      <w:bookmarkStart w:id="70" w:name="_Toc3800045"/>
      <w:bookmarkStart w:id="71" w:name="_Toc374091456"/>
      <w:bookmarkStart w:id="72" w:name="_Toc174710830"/>
      <w:r>
        <w:rPr>
          <w:rFonts w:ascii="宋体" w:eastAsia="宋体" w:hAnsi="宋体"/>
          <w:b/>
          <w:bCs/>
          <w:szCs w:val="21"/>
        </w:rPr>
        <w:t>6.接收机技术指标</w:t>
      </w:r>
      <w:bookmarkEnd w:id="70"/>
      <w:bookmarkEnd w:id="71"/>
      <w:bookmarkEnd w:id="72"/>
    </w:p>
    <w:p>
      <w:pPr>
        <w:spacing w:line="360" w:lineRule="auto"/>
        <w:ind w:firstLine="420" w:firstLineChars="200"/>
        <w:rPr>
          <w:rFonts w:ascii="宋体" w:eastAsia="宋体" w:hAnsi="宋体"/>
          <w:szCs w:val="21"/>
        </w:rPr>
      </w:pPr>
      <w:r>
        <w:rPr>
          <w:rFonts w:ascii="宋体" w:eastAsia="宋体" w:hAnsi="宋体" w:hint="eastAsia"/>
          <w:szCs w:val="21"/>
        </w:rPr>
        <w:t>接收机技术指标主要包括：工作频率、噪声系数、动态范围、最小可测功率、频率源射频输出相位噪声等</w:t>
      </w:r>
      <w:r>
        <w:rPr>
          <w:rFonts w:ascii="宋体" w:eastAsia="宋体" w:hAnsi="宋体"/>
          <w:szCs w:val="21"/>
        </w:rPr>
        <w:t>，具体指标见表6。</w:t>
      </w:r>
    </w:p>
    <w:p>
      <w:pPr>
        <w:spacing w:line="360" w:lineRule="auto"/>
        <w:ind w:firstLine="643"/>
        <w:jc w:val="center"/>
        <w:rPr>
          <w:rFonts w:ascii="宋体" w:eastAsia="宋体" w:hAnsi="宋体"/>
          <w:szCs w:val="21"/>
        </w:rPr>
      </w:pPr>
      <w:r>
        <w:rPr>
          <w:rFonts w:ascii="宋体" w:eastAsia="宋体" w:hAnsi="宋体"/>
          <w:szCs w:val="21"/>
        </w:rPr>
        <w:t>表6 接收机技术性能指标表</w:t>
      </w:r>
    </w:p>
    <w:tbl>
      <w:tblPr>
        <w:tblStyle w:val="TableNormal"/>
        <w:tblW w:w="8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973"/>
        <w:gridCol w:w="322"/>
        <w:gridCol w:w="1078"/>
        <w:gridCol w:w="4875"/>
      </w:tblGrid>
      <w:tr>
        <w:tblPrEx>
          <w:tblW w:w="8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0"/>
          <w:jc w:val="center"/>
        </w:trPr>
        <w:tc>
          <w:tcPr>
            <w:tcW w:w="3373" w:type="dxa"/>
            <w:gridSpan w:val="3"/>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b/>
                <w:bCs/>
                <w:szCs w:val="21"/>
              </w:rPr>
            </w:pPr>
            <w:r>
              <w:rPr>
                <w:rFonts w:ascii="宋体" w:eastAsia="宋体" w:hAnsi="宋体"/>
                <w:b/>
                <w:bCs/>
                <w:szCs w:val="21"/>
              </w:rPr>
              <w:t>项目</w:t>
            </w:r>
          </w:p>
        </w:tc>
        <w:tc>
          <w:tcPr>
            <w:tcW w:w="4875"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b/>
                <w:bCs/>
                <w:szCs w:val="21"/>
              </w:rPr>
            </w:pPr>
            <w:r>
              <w:rPr>
                <w:rFonts w:ascii="宋体" w:eastAsia="宋体" w:hAnsi="宋体"/>
                <w:b/>
                <w:bCs/>
                <w:szCs w:val="21"/>
              </w:rPr>
              <w:t>性能指标</w:t>
            </w:r>
          </w:p>
        </w:tc>
      </w:tr>
      <w:tr>
        <w:tblPrEx>
          <w:tblW w:w="8248" w:type="dxa"/>
          <w:jc w:val="center"/>
          <w:tblLayout w:type="fixed"/>
          <w:tblCellMar>
            <w:top w:w="0" w:type="dxa"/>
            <w:left w:w="108" w:type="dxa"/>
            <w:bottom w:w="0" w:type="dxa"/>
            <w:right w:w="108" w:type="dxa"/>
          </w:tblCellMar>
        </w:tblPrEx>
        <w:trPr>
          <w:trHeight w:val="20"/>
          <w:jc w:val="center"/>
        </w:trPr>
        <w:tc>
          <w:tcPr>
            <w:tcW w:w="3373" w:type="dxa"/>
            <w:gridSpan w:val="3"/>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工作频率</w:t>
            </w:r>
          </w:p>
        </w:tc>
        <w:tc>
          <w:tcPr>
            <w:tcW w:w="4875"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9.1～9.5GHz</w:t>
            </w:r>
          </w:p>
        </w:tc>
      </w:tr>
      <w:tr>
        <w:tblPrEx>
          <w:tblW w:w="8248" w:type="dxa"/>
          <w:jc w:val="center"/>
          <w:tblLayout w:type="fixed"/>
          <w:tblCellMar>
            <w:top w:w="0" w:type="dxa"/>
            <w:left w:w="108" w:type="dxa"/>
            <w:bottom w:w="0" w:type="dxa"/>
            <w:right w:w="108" w:type="dxa"/>
          </w:tblCellMar>
        </w:tblPrEx>
        <w:trPr>
          <w:trHeight w:val="20"/>
          <w:jc w:val="center"/>
        </w:trPr>
        <w:tc>
          <w:tcPr>
            <w:tcW w:w="3373" w:type="dxa"/>
            <w:gridSpan w:val="3"/>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数字中频采样速率</w:t>
            </w:r>
          </w:p>
        </w:tc>
        <w:tc>
          <w:tcPr>
            <w:tcW w:w="4875"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＞40MHz</w:t>
            </w:r>
          </w:p>
        </w:tc>
      </w:tr>
      <w:tr>
        <w:tblPrEx>
          <w:tblW w:w="8248" w:type="dxa"/>
          <w:jc w:val="center"/>
          <w:tblLayout w:type="fixed"/>
          <w:tblCellMar>
            <w:top w:w="0" w:type="dxa"/>
            <w:left w:w="108" w:type="dxa"/>
            <w:bottom w:w="0" w:type="dxa"/>
            <w:right w:w="108" w:type="dxa"/>
          </w:tblCellMar>
        </w:tblPrEx>
        <w:trPr>
          <w:trHeight w:val="20"/>
          <w:jc w:val="center"/>
        </w:trPr>
        <w:tc>
          <w:tcPr>
            <w:tcW w:w="1973" w:type="dxa"/>
            <w:vMerge w:val="restart"/>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中频带宽</w:t>
            </w:r>
          </w:p>
        </w:tc>
        <w:tc>
          <w:tcPr>
            <w:tcW w:w="1400"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0.5μs</w:t>
            </w:r>
          </w:p>
        </w:tc>
        <w:tc>
          <w:tcPr>
            <w:tcW w:w="4875" w:type="dxa"/>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2.00±0.10MHz</w:t>
            </w:r>
          </w:p>
        </w:tc>
      </w:tr>
      <w:tr>
        <w:tblPrEx>
          <w:tblW w:w="8248" w:type="dxa"/>
          <w:jc w:val="center"/>
          <w:tblLayout w:type="fixed"/>
          <w:tblCellMar>
            <w:top w:w="0" w:type="dxa"/>
            <w:left w:w="108" w:type="dxa"/>
            <w:bottom w:w="0" w:type="dxa"/>
            <w:right w:w="108" w:type="dxa"/>
          </w:tblCellMar>
        </w:tblPrEx>
        <w:trPr>
          <w:trHeight w:val="20"/>
          <w:jc w:val="center"/>
        </w:trPr>
        <w:tc>
          <w:tcPr>
            <w:tcW w:w="1973" w:type="dxa"/>
            <w:vMerge/>
            <w:tcBorders>
              <w:left w:val="single" w:sz="4" w:space="0" w:color="auto"/>
              <w:bottom w:val="single" w:sz="4" w:space="0" w:color="auto"/>
              <w:right w:val="single" w:sz="4" w:space="0" w:color="auto"/>
            </w:tcBorders>
            <w:vAlign w:val="center"/>
          </w:tcPr>
          <w:p>
            <w:pPr>
              <w:rPr>
                <w:rFonts w:ascii="宋体" w:eastAsia="宋体" w:hAnsi="宋体"/>
                <w:bCs/>
                <w:szCs w:val="21"/>
              </w:rPr>
            </w:pPr>
          </w:p>
        </w:tc>
        <w:tc>
          <w:tcPr>
            <w:tcW w:w="1400" w:type="dxa"/>
            <w:gridSpan w:val="2"/>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1.0μs</w:t>
            </w:r>
          </w:p>
        </w:tc>
        <w:tc>
          <w:tcPr>
            <w:tcW w:w="4875" w:type="dxa"/>
            <w:tcBorders>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1.00±0.10MHz</w:t>
            </w:r>
          </w:p>
        </w:tc>
      </w:tr>
      <w:tr>
        <w:tblPrEx>
          <w:tblW w:w="8248" w:type="dxa"/>
          <w:jc w:val="center"/>
          <w:tblLayout w:type="fixed"/>
          <w:tblCellMar>
            <w:top w:w="0" w:type="dxa"/>
            <w:left w:w="108" w:type="dxa"/>
            <w:bottom w:w="0" w:type="dxa"/>
            <w:right w:w="108" w:type="dxa"/>
          </w:tblCellMar>
        </w:tblPrEx>
        <w:trPr>
          <w:trHeight w:val="20"/>
          <w:jc w:val="center"/>
        </w:trPr>
        <w:tc>
          <w:tcPr>
            <w:tcW w:w="3373" w:type="dxa"/>
            <w:gridSpan w:val="3"/>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cs="Cambria Math"/>
                <w:color w:val="FF0000"/>
                <w:szCs w:val="21"/>
              </w:rPr>
              <w:t>#</w:t>
            </w:r>
            <w:r>
              <w:rPr>
                <w:rFonts w:ascii="宋体" w:eastAsia="宋体" w:hAnsi="宋体" w:hint="eastAsia"/>
                <w:bCs/>
                <w:szCs w:val="21"/>
              </w:rPr>
              <w:t>噪声系数</w:t>
            </w:r>
          </w:p>
        </w:tc>
        <w:tc>
          <w:tcPr>
            <w:tcW w:w="4875"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≤3dB</w:t>
            </w:r>
          </w:p>
        </w:tc>
      </w:tr>
      <w:tr>
        <w:tblPrEx>
          <w:tblW w:w="8248" w:type="dxa"/>
          <w:jc w:val="center"/>
          <w:tblLayout w:type="fixed"/>
          <w:tblCellMar>
            <w:top w:w="0" w:type="dxa"/>
            <w:left w:w="108" w:type="dxa"/>
            <w:bottom w:w="0" w:type="dxa"/>
            <w:right w:w="108" w:type="dxa"/>
          </w:tblCellMar>
        </w:tblPrEx>
        <w:trPr>
          <w:trHeight w:val="20"/>
          <w:jc w:val="center"/>
        </w:trPr>
        <w:tc>
          <w:tcPr>
            <w:tcW w:w="3373" w:type="dxa"/>
            <w:gridSpan w:val="3"/>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cs="Cambria Math"/>
                <w:color w:val="FF0000"/>
                <w:szCs w:val="21"/>
              </w:rPr>
              <w:t>#</w:t>
            </w:r>
            <w:r>
              <w:rPr>
                <w:rFonts w:ascii="宋体" w:eastAsia="宋体" w:hAnsi="宋体" w:hint="eastAsia"/>
                <w:bCs/>
                <w:szCs w:val="21"/>
              </w:rPr>
              <w:t>双通道噪声系数差异</w:t>
            </w:r>
          </w:p>
        </w:tc>
        <w:tc>
          <w:tcPr>
            <w:tcW w:w="4875"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±0.3dB范围内</w:t>
            </w:r>
          </w:p>
        </w:tc>
      </w:tr>
      <w:tr>
        <w:tblPrEx>
          <w:tblW w:w="8248" w:type="dxa"/>
          <w:jc w:val="center"/>
          <w:tblLayout w:type="fixed"/>
          <w:tblCellMar>
            <w:top w:w="0" w:type="dxa"/>
            <w:left w:w="108" w:type="dxa"/>
            <w:bottom w:w="0" w:type="dxa"/>
            <w:right w:w="108" w:type="dxa"/>
          </w:tblCellMar>
        </w:tblPrEx>
        <w:trPr>
          <w:trHeight w:val="20"/>
          <w:jc w:val="center"/>
        </w:trPr>
        <w:tc>
          <w:tcPr>
            <w:tcW w:w="3373" w:type="dxa"/>
            <w:gridSpan w:val="3"/>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机内外噪声系数差异</w:t>
            </w:r>
          </w:p>
        </w:tc>
        <w:tc>
          <w:tcPr>
            <w:tcW w:w="4875"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±0.2dB范围内</w:t>
            </w:r>
          </w:p>
        </w:tc>
      </w:tr>
      <w:tr>
        <w:tblPrEx>
          <w:tblW w:w="8248" w:type="dxa"/>
          <w:jc w:val="center"/>
          <w:tblLayout w:type="fixed"/>
          <w:tblCellMar>
            <w:top w:w="0" w:type="dxa"/>
            <w:left w:w="108" w:type="dxa"/>
            <w:bottom w:w="0" w:type="dxa"/>
            <w:right w:w="108" w:type="dxa"/>
          </w:tblCellMar>
        </w:tblPrEx>
        <w:trPr>
          <w:trHeight w:val="20"/>
          <w:jc w:val="center"/>
        </w:trPr>
        <w:tc>
          <w:tcPr>
            <w:tcW w:w="3373" w:type="dxa"/>
            <w:gridSpan w:val="3"/>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cs="Cambria Math"/>
                <w:color w:val="FF0000"/>
                <w:szCs w:val="21"/>
              </w:rPr>
              <w:t>#</w:t>
            </w:r>
            <w:r>
              <w:rPr>
                <w:rFonts w:ascii="宋体" w:eastAsia="宋体" w:hAnsi="宋体" w:hint="eastAsia"/>
                <w:bCs/>
                <w:szCs w:val="21"/>
              </w:rPr>
              <w:t>线性动态范围</w:t>
            </w:r>
          </w:p>
        </w:tc>
        <w:tc>
          <w:tcPr>
            <w:tcW w:w="4875"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≥95dB</w:t>
            </w:r>
          </w:p>
        </w:tc>
      </w:tr>
      <w:tr>
        <w:tblPrEx>
          <w:tblW w:w="8248" w:type="dxa"/>
          <w:jc w:val="center"/>
          <w:tblLayout w:type="fixed"/>
          <w:tblCellMar>
            <w:top w:w="0" w:type="dxa"/>
            <w:left w:w="108" w:type="dxa"/>
            <w:bottom w:w="0" w:type="dxa"/>
            <w:right w:w="108" w:type="dxa"/>
          </w:tblCellMar>
        </w:tblPrEx>
        <w:trPr>
          <w:trHeight w:val="20"/>
          <w:jc w:val="center"/>
        </w:trPr>
        <w:tc>
          <w:tcPr>
            <w:tcW w:w="3373" w:type="dxa"/>
            <w:gridSpan w:val="3"/>
            <w:vMerge w:val="restart"/>
            <w:tcBorders>
              <w:top w:val="single" w:sz="4" w:space="0" w:color="auto"/>
              <w:left w:val="single" w:sz="4" w:space="0" w:color="auto"/>
              <w:right w:val="single" w:sz="4" w:space="0" w:color="auto"/>
            </w:tcBorders>
            <w:vAlign w:val="center"/>
          </w:tcPr>
          <w:p>
            <w:pPr>
              <w:rPr>
                <w:rFonts w:ascii="宋体" w:eastAsia="宋体" w:hAnsi="宋体"/>
                <w:bCs/>
                <w:szCs w:val="21"/>
              </w:rPr>
            </w:pPr>
            <w:r>
              <w:rPr>
                <w:rFonts w:ascii="宋体" w:eastAsia="宋体" w:hAnsi="宋体" w:cs="Cambria Math"/>
                <w:color w:val="FF0000"/>
                <w:szCs w:val="21"/>
              </w:rPr>
              <w:t>#</w:t>
            </w:r>
            <w:r>
              <w:rPr>
                <w:rFonts w:ascii="宋体" w:eastAsia="宋体" w:hAnsi="宋体" w:hint="eastAsia"/>
                <w:bCs/>
                <w:szCs w:val="21"/>
              </w:rPr>
              <w:t>最小可测功率（灵敏度）</w:t>
            </w:r>
          </w:p>
        </w:tc>
        <w:tc>
          <w:tcPr>
            <w:tcW w:w="4875"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≤-107dBm（带宽2MHz）</w:t>
            </w:r>
          </w:p>
        </w:tc>
      </w:tr>
      <w:tr>
        <w:tblPrEx>
          <w:tblW w:w="8248" w:type="dxa"/>
          <w:jc w:val="center"/>
          <w:tblLayout w:type="fixed"/>
          <w:tblCellMar>
            <w:top w:w="0" w:type="dxa"/>
            <w:left w:w="108" w:type="dxa"/>
            <w:bottom w:w="0" w:type="dxa"/>
            <w:right w:w="108" w:type="dxa"/>
          </w:tblCellMar>
        </w:tblPrEx>
        <w:trPr>
          <w:trHeight w:val="20"/>
          <w:jc w:val="center"/>
        </w:trPr>
        <w:tc>
          <w:tcPr>
            <w:tcW w:w="3373" w:type="dxa"/>
            <w:gridSpan w:val="3"/>
            <w:vMerge/>
            <w:tcBorders>
              <w:left w:val="single" w:sz="4" w:space="0" w:color="auto"/>
              <w:bottom w:val="single" w:sz="4" w:space="0" w:color="auto"/>
              <w:right w:val="single" w:sz="4" w:space="0" w:color="auto"/>
            </w:tcBorders>
            <w:vAlign w:val="center"/>
          </w:tcPr>
          <w:p>
            <w:pPr>
              <w:rPr>
                <w:rFonts w:ascii="宋体" w:eastAsia="宋体" w:hAnsi="宋体"/>
                <w:bCs/>
                <w:szCs w:val="21"/>
              </w:rPr>
            </w:pPr>
          </w:p>
        </w:tc>
        <w:tc>
          <w:tcPr>
            <w:tcW w:w="4875"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≤-110dBm（带宽1MHz）</w:t>
            </w:r>
          </w:p>
        </w:tc>
      </w:tr>
      <w:tr>
        <w:tblPrEx>
          <w:tblW w:w="8248" w:type="dxa"/>
          <w:jc w:val="center"/>
          <w:tblLayout w:type="fixed"/>
          <w:tblCellMar>
            <w:top w:w="0" w:type="dxa"/>
            <w:left w:w="108" w:type="dxa"/>
            <w:bottom w:w="0" w:type="dxa"/>
            <w:right w:w="108" w:type="dxa"/>
          </w:tblCellMar>
        </w:tblPrEx>
        <w:trPr>
          <w:trHeight w:val="20"/>
          <w:jc w:val="center"/>
        </w:trPr>
        <w:tc>
          <w:tcPr>
            <w:tcW w:w="3373" w:type="dxa"/>
            <w:gridSpan w:val="3"/>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中频输出杂散</w:t>
            </w:r>
          </w:p>
        </w:tc>
        <w:tc>
          <w:tcPr>
            <w:tcW w:w="4875"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≤-60dBc</w:t>
            </w:r>
          </w:p>
        </w:tc>
      </w:tr>
      <w:tr>
        <w:tblPrEx>
          <w:tblW w:w="8248" w:type="dxa"/>
          <w:jc w:val="center"/>
          <w:tblLayout w:type="fixed"/>
          <w:tblCellMar>
            <w:top w:w="0" w:type="dxa"/>
            <w:left w:w="108" w:type="dxa"/>
            <w:bottom w:w="0" w:type="dxa"/>
            <w:right w:w="108" w:type="dxa"/>
          </w:tblCellMar>
        </w:tblPrEx>
        <w:trPr>
          <w:trHeight w:val="20"/>
          <w:jc w:val="center"/>
        </w:trPr>
        <w:tc>
          <w:tcPr>
            <w:tcW w:w="2295" w:type="dxa"/>
            <w:gridSpan w:val="2"/>
            <w:vMerge w:val="restar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cs="Cambria Math"/>
                <w:color w:val="FF0000"/>
                <w:szCs w:val="21"/>
              </w:rPr>
              <w:t>#</w:t>
            </w:r>
            <w:r>
              <w:rPr>
                <w:rFonts w:ascii="宋体" w:eastAsia="宋体" w:hAnsi="宋体" w:hint="eastAsia"/>
                <w:bCs/>
                <w:szCs w:val="21"/>
              </w:rPr>
              <w:t>频率源射频输出相位噪声</w:t>
            </w:r>
          </w:p>
        </w:tc>
        <w:tc>
          <w:tcPr>
            <w:tcW w:w="1078"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@1KHz</w:t>
            </w:r>
          </w:p>
        </w:tc>
        <w:tc>
          <w:tcPr>
            <w:tcW w:w="4875"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≤-110dBc/Hz</w:t>
            </w:r>
          </w:p>
        </w:tc>
      </w:tr>
      <w:tr>
        <w:tblPrEx>
          <w:tblW w:w="8248" w:type="dxa"/>
          <w:jc w:val="center"/>
          <w:tblLayout w:type="fixed"/>
          <w:tblCellMar>
            <w:top w:w="0" w:type="dxa"/>
            <w:left w:w="108" w:type="dxa"/>
            <w:bottom w:w="0" w:type="dxa"/>
            <w:right w:w="108" w:type="dxa"/>
          </w:tblCellMar>
        </w:tblPrEx>
        <w:trPr>
          <w:trHeight w:val="20"/>
          <w:jc w:val="center"/>
        </w:trPr>
        <w:tc>
          <w:tcPr>
            <w:tcW w:w="2295" w:type="dxa"/>
            <w:gridSpan w:val="2"/>
            <w:vMerge/>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p>
        </w:tc>
        <w:tc>
          <w:tcPr>
            <w:tcW w:w="1078"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@10KHz</w:t>
            </w:r>
          </w:p>
        </w:tc>
        <w:tc>
          <w:tcPr>
            <w:tcW w:w="4875"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≤-115dBc/Hz</w:t>
            </w:r>
          </w:p>
        </w:tc>
      </w:tr>
      <w:tr>
        <w:tblPrEx>
          <w:tblW w:w="8248" w:type="dxa"/>
          <w:jc w:val="center"/>
          <w:tblLayout w:type="fixed"/>
          <w:tblCellMar>
            <w:top w:w="0" w:type="dxa"/>
            <w:left w:w="108" w:type="dxa"/>
            <w:bottom w:w="0" w:type="dxa"/>
            <w:right w:w="108" w:type="dxa"/>
          </w:tblCellMar>
        </w:tblPrEx>
        <w:trPr>
          <w:trHeight w:val="20"/>
          <w:jc w:val="center"/>
        </w:trPr>
        <w:tc>
          <w:tcPr>
            <w:tcW w:w="3373" w:type="dxa"/>
            <w:gridSpan w:val="3"/>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频率源晶振短期(1ms)稳定度</w:t>
            </w:r>
          </w:p>
        </w:tc>
        <w:tc>
          <w:tcPr>
            <w:tcW w:w="4875"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≤10</w:t>
            </w:r>
            <w:r>
              <w:rPr>
                <w:rFonts w:ascii="宋体" w:eastAsia="宋体" w:hAnsi="宋体"/>
                <w:bCs/>
                <w:szCs w:val="21"/>
                <w:vertAlign w:val="superscript"/>
              </w:rPr>
              <w:t>-11</w:t>
            </w:r>
          </w:p>
        </w:tc>
      </w:tr>
      <w:tr>
        <w:tblPrEx>
          <w:tblW w:w="8248" w:type="dxa"/>
          <w:jc w:val="center"/>
          <w:tblLayout w:type="fixed"/>
          <w:tblCellMar>
            <w:top w:w="0" w:type="dxa"/>
            <w:left w:w="108" w:type="dxa"/>
            <w:bottom w:w="0" w:type="dxa"/>
            <w:right w:w="108" w:type="dxa"/>
          </w:tblCellMar>
        </w:tblPrEx>
        <w:trPr>
          <w:trHeight w:val="20"/>
          <w:jc w:val="center"/>
        </w:trPr>
        <w:tc>
          <w:tcPr>
            <w:tcW w:w="3373" w:type="dxa"/>
            <w:gridSpan w:val="3"/>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谐波和杂散抑制</w:t>
            </w:r>
          </w:p>
        </w:tc>
        <w:tc>
          <w:tcPr>
            <w:tcW w:w="4875"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≥60dB</w:t>
            </w:r>
          </w:p>
        </w:tc>
      </w:tr>
      <w:tr>
        <w:tblPrEx>
          <w:tblW w:w="8248" w:type="dxa"/>
          <w:jc w:val="center"/>
          <w:tblLayout w:type="fixed"/>
          <w:tblCellMar>
            <w:top w:w="0" w:type="dxa"/>
            <w:left w:w="108" w:type="dxa"/>
            <w:bottom w:w="0" w:type="dxa"/>
            <w:right w:w="108" w:type="dxa"/>
          </w:tblCellMar>
        </w:tblPrEx>
        <w:trPr>
          <w:trHeight w:val="20"/>
          <w:jc w:val="center"/>
        </w:trPr>
        <w:tc>
          <w:tcPr>
            <w:tcW w:w="3373" w:type="dxa"/>
            <w:gridSpan w:val="3"/>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本振中的射频信号抑制</w:t>
            </w:r>
          </w:p>
        </w:tc>
        <w:tc>
          <w:tcPr>
            <w:tcW w:w="4875"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≥60dB</w:t>
            </w:r>
          </w:p>
        </w:tc>
      </w:tr>
      <w:tr>
        <w:tblPrEx>
          <w:tblW w:w="8248" w:type="dxa"/>
          <w:jc w:val="center"/>
          <w:tblLayout w:type="fixed"/>
          <w:tblCellMar>
            <w:top w:w="0" w:type="dxa"/>
            <w:left w:w="108" w:type="dxa"/>
            <w:bottom w:w="0" w:type="dxa"/>
            <w:right w:w="108" w:type="dxa"/>
          </w:tblCellMar>
        </w:tblPrEx>
        <w:trPr>
          <w:trHeight w:val="20"/>
          <w:jc w:val="center"/>
        </w:trPr>
        <w:tc>
          <w:tcPr>
            <w:tcW w:w="3373" w:type="dxa"/>
            <w:gridSpan w:val="3"/>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温度波动范围（采用恒温接收机）</w:t>
            </w:r>
          </w:p>
        </w:tc>
        <w:tc>
          <w:tcPr>
            <w:tcW w:w="4875"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±2℃范围内（工作温度）。当环境温度为0度或+40度，达到恒定温度的时间不超过10min；当环境温度为-30度或+50度，达到恒定温度的时间不超过30min。</w:t>
            </w:r>
          </w:p>
        </w:tc>
      </w:tr>
      <w:tr>
        <w:tblPrEx>
          <w:tblW w:w="8248" w:type="dxa"/>
          <w:jc w:val="center"/>
          <w:tblLayout w:type="fixed"/>
          <w:tblCellMar>
            <w:top w:w="0" w:type="dxa"/>
            <w:left w:w="108" w:type="dxa"/>
            <w:bottom w:w="0" w:type="dxa"/>
            <w:right w:w="108" w:type="dxa"/>
          </w:tblCellMar>
        </w:tblPrEx>
        <w:trPr>
          <w:trHeight w:val="20"/>
          <w:jc w:val="center"/>
        </w:trPr>
        <w:tc>
          <w:tcPr>
            <w:tcW w:w="3373" w:type="dxa"/>
            <w:gridSpan w:val="3"/>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故障检测和保护</w:t>
            </w:r>
          </w:p>
        </w:tc>
        <w:tc>
          <w:tcPr>
            <w:tcW w:w="4875" w:type="dxa"/>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发生本振故障、激励故障、时钟故障、RFD测量误差超限、噪声系数超限、地杂物抑制超限、双通道幅相一致性超限等情况时可报警。</w:t>
            </w:r>
          </w:p>
        </w:tc>
      </w:tr>
    </w:tbl>
    <w:p>
      <w:pPr>
        <w:spacing w:line="360" w:lineRule="auto"/>
        <w:ind w:firstLine="420" w:firstLineChars="200"/>
        <w:outlineLvl w:val="3"/>
        <w:rPr>
          <w:rFonts w:ascii="宋体" w:eastAsia="宋体" w:hAnsi="宋体"/>
          <w:b/>
          <w:bCs/>
          <w:szCs w:val="21"/>
        </w:rPr>
      </w:pPr>
      <w:bookmarkStart w:id="73" w:name="_Toc374091459"/>
      <w:bookmarkStart w:id="74" w:name="_Toc174710831"/>
      <w:bookmarkStart w:id="75" w:name="_Toc3800046"/>
      <w:r>
        <w:rPr>
          <w:rFonts w:ascii="宋体" w:eastAsia="宋体" w:hAnsi="宋体"/>
          <w:b/>
          <w:bCs/>
          <w:szCs w:val="21"/>
        </w:rPr>
        <w:t>7.信号处理器技术指标</w:t>
      </w:r>
      <w:bookmarkEnd w:id="73"/>
      <w:bookmarkEnd w:id="74"/>
      <w:bookmarkEnd w:id="75"/>
    </w:p>
    <w:p>
      <w:pPr>
        <w:pStyle w:val="BodyTextFirstIndent2"/>
        <w:spacing w:line="360" w:lineRule="auto"/>
        <w:ind w:left="0" w:leftChars="0"/>
        <w:outlineLvl w:val="4"/>
        <w:rPr>
          <w:rFonts w:ascii="宋体" w:hAnsi="宋体"/>
          <w:szCs w:val="21"/>
        </w:rPr>
      </w:pPr>
      <w:r>
        <w:rPr>
          <w:rFonts w:ascii="宋体" w:hAnsi="宋体"/>
          <w:szCs w:val="21"/>
        </w:rPr>
        <w:t>7</w:t>
      </w:r>
      <w:r>
        <w:rPr>
          <w:rFonts w:ascii="宋体" w:hAnsi="宋体" w:hint="eastAsia"/>
          <w:szCs w:val="21"/>
        </w:rPr>
        <w:t>.1数字中频单元技术指标</w:t>
      </w:r>
    </w:p>
    <w:p>
      <w:pPr>
        <w:snapToGrid w:val="0"/>
        <w:spacing w:line="324" w:lineRule="auto"/>
        <w:ind w:firstLine="420" w:firstLineChars="200"/>
        <w:jc w:val="center"/>
        <w:rPr>
          <w:rFonts w:ascii="宋体" w:eastAsia="宋体" w:hAnsi="宋体"/>
          <w:szCs w:val="21"/>
        </w:rPr>
      </w:pPr>
      <w:r>
        <w:rPr>
          <w:rFonts w:ascii="宋体" w:eastAsia="宋体" w:hAnsi="宋体" w:hint="eastAsia"/>
          <w:szCs w:val="21"/>
        </w:rPr>
        <w:t>表</w:t>
      </w:r>
      <w:r>
        <w:rPr>
          <w:rFonts w:ascii="宋体" w:eastAsia="宋体" w:hAnsi="宋体"/>
          <w:szCs w:val="21"/>
        </w:rPr>
        <w:t xml:space="preserve">7 </w:t>
      </w:r>
      <w:r>
        <w:rPr>
          <w:rFonts w:ascii="宋体" w:eastAsia="宋体" w:hAnsi="宋体" w:hint="eastAsia"/>
          <w:szCs w:val="21"/>
        </w:rPr>
        <w:t>数字中频单元技术性能指标表</w:t>
      </w:r>
    </w:p>
    <w:tbl>
      <w:tblPr>
        <w:tblStyle w:val="TableNormal"/>
        <w:tblW w:w="48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256"/>
        <w:gridCol w:w="6027"/>
      </w:tblGrid>
      <w:tr>
        <w:tblPrEx>
          <w:tblW w:w="48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jc w:val="center"/>
        </w:trPr>
        <w:tc>
          <w:tcPr>
            <w:tcW w:w="1362" w:type="pct"/>
            <w:tcBorders>
              <w:top w:val="single" w:sz="4" w:space="0" w:color="auto"/>
              <w:left w:val="single" w:sz="4" w:space="0" w:color="auto"/>
              <w:right w:val="single" w:sz="4" w:space="0" w:color="auto"/>
            </w:tcBorders>
            <w:vAlign w:val="center"/>
          </w:tcPr>
          <w:p>
            <w:pPr>
              <w:jc w:val="center"/>
              <w:rPr>
                <w:rFonts w:ascii="宋体" w:eastAsia="宋体" w:hAnsi="宋体"/>
                <w:b/>
                <w:bCs/>
                <w:szCs w:val="21"/>
              </w:rPr>
            </w:pPr>
            <w:r>
              <w:rPr>
                <w:rFonts w:ascii="宋体" w:eastAsia="宋体" w:hAnsi="宋体" w:hint="eastAsia"/>
                <w:b/>
                <w:bCs/>
                <w:szCs w:val="21"/>
              </w:rPr>
              <w:t>项目</w:t>
            </w:r>
          </w:p>
        </w:tc>
        <w:tc>
          <w:tcPr>
            <w:tcW w:w="3638" w:type="pct"/>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b/>
                <w:bCs/>
                <w:szCs w:val="21"/>
              </w:rPr>
            </w:pPr>
            <w:r>
              <w:rPr>
                <w:rFonts w:ascii="宋体" w:eastAsia="宋体" w:hAnsi="宋体" w:hint="eastAsia"/>
                <w:b/>
                <w:bCs/>
                <w:szCs w:val="21"/>
              </w:rPr>
              <w:t>性能指标</w:t>
            </w:r>
          </w:p>
        </w:tc>
      </w:tr>
      <w:tr>
        <w:tblPrEx>
          <w:tblW w:w="4860" w:type="pct"/>
          <w:jc w:val="center"/>
          <w:tblCellMar>
            <w:top w:w="0" w:type="dxa"/>
            <w:left w:w="108" w:type="dxa"/>
            <w:bottom w:w="0" w:type="dxa"/>
            <w:right w:w="108" w:type="dxa"/>
          </w:tblCellMar>
        </w:tblPrEx>
        <w:trPr>
          <w:trHeight w:val="20"/>
          <w:jc w:val="center"/>
        </w:trPr>
        <w:tc>
          <w:tcPr>
            <w:tcW w:w="1362"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cs="Cambria Math"/>
                <w:color w:val="FF0000"/>
                <w:szCs w:val="21"/>
              </w:rPr>
              <w:t>#</w:t>
            </w:r>
            <w:r>
              <w:rPr>
                <w:rFonts w:ascii="宋体" w:eastAsia="宋体" w:hAnsi="宋体" w:hint="eastAsia"/>
                <w:bCs/>
                <w:szCs w:val="21"/>
              </w:rPr>
              <w:t>参考时钟</w:t>
            </w:r>
          </w:p>
        </w:tc>
        <w:tc>
          <w:tcPr>
            <w:tcW w:w="3638"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800MHz，3±1dBm</w:t>
            </w:r>
          </w:p>
        </w:tc>
      </w:tr>
      <w:tr>
        <w:tblPrEx>
          <w:tblW w:w="4860" w:type="pct"/>
          <w:jc w:val="center"/>
          <w:tblCellMar>
            <w:top w:w="0" w:type="dxa"/>
            <w:left w:w="108" w:type="dxa"/>
            <w:bottom w:w="0" w:type="dxa"/>
            <w:right w:w="108" w:type="dxa"/>
          </w:tblCellMar>
        </w:tblPrEx>
        <w:trPr>
          <w:trHeight w:val="20"/>
          <w:jc w:val="center"/>
        </w:trPr>
        <w:tc>
          <w:tcPr>
            <w:tcW w:w="1362"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输出中频激励信号</w:t>
            </w:r>
          </w:p>
        </w:tc>
        <w:tc>
          <w:tcPr>
            <w:tcW w:w="3638"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30MHz～70MHz，0±5dBm</w:t>
            </w:r>
          </w:p>
        </w:tc>
      </w:tr>
      <w:tr>
        <w:tblPrEx>
          <w:tblW w:w="4860" w:type="pct"/>
          <w:jc w:val="center"/>
          <w:tblCellMar>
            <w:top w:w="0" w:type="dxa"/>
            <w:left w:w="108" w:type="dxa"/>
            <w:bottom w:w="0" w:type="dxa"/>
            <w:right w:w="108" w:type="dxa"/>
          </w:tblCellMar>
        </w:tblPrEx>
        <w:trPr>
          <w:trHeight w:val="20"/>
          <w:jc w:val="center"/>
        </w:trPr>
        <w:tc>
          <w:tcPr>
            <w:tcW w:w="1362"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输入中频信号</w:t>
            </w:r>
          </w:p>
        </w:tc>
        <w:tc>
          <w:tcPr>
            <w:tcW w:w="3638"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30MHz～70MHz，≤+15dBm</w:t>
            </w:r>
          </w:p>
        </w:tc>
      </w:tr>
      <w:tr>
        <w:tblPrEx>
          <w:tblW w:w="4860" w:type="pct"/>
          <w:jc w:val="center"/>
          <w:tblCellMar>
            <w:top w:w="0" w:type="dxa"/>
            <w:left w:w="108" w:type="dxa"/>
            <w:bottom w:w="0" w:type="dxa"/>
            <w:right w:w="108" w:type="dxa"/>
          </w:tblCellMar>
        </w:tblPrEx>
        <w:trPr>
          <w:trHeight w:val="20"/>
          <w:jc w:val="center"/>
        </w:trPr>
        <w:tc>
          <w:tcPr>
            <w:tcW w:w="1362"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cs="Cambria Math"/>
                <w:color w:val="FF0000"/>
                <w:szCs w:val="21"/>
              </w:rPr>
              <w:t>#</w:t>
            </w:r>
            <w:r>
              <w:rPr>
                <w:rFonts w:ascii="宋体" w:eastAsia="宋体" w:hAnsi="宋体" w:hint="eastAsia"/>
                <w:bCs/>
                <w:szCs w:val="21"/>
              </w:rPr>
              <w:t>脉冲压缩主副瓣比</w:t>
            </w:r>
          </w:p>
        </w:tc>
        <w:tc>
          <w:tcPr>
            <w:tcW w:w="3638"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≥50dB（脉压比≥100）</w:t>
            </w:r>
          </w:p>
          <w:p>
            <w:pPr>
              <w:rPr>
                <w:rFonts w:ascii="宋体" w:eastAsia="宋体" w:hAnsi="宋体"/>
                <w:bCs/>
                <w:szCs w:val="21"/>
              </w:rPr>
            </w:pPr>
            <w:r>
              <w:rPr>
                <w:rFonts w:ascii="宋体" w:eastAsia="宋体" w:hAnsi="宋体" w:hint="eastAsia"/>
                <w:bCs/>
                <w:szCs w:val="21"/>
              </w:rPr>
              <w:t>≥45dB（脉压比＜100）</w:t>
            </w:r>
          </w:p>
        </w:tc>
      </w:tr>
      <w:tr>
        <w:tblPrEx>
          <w:tblW w:w="4860" w:type="pct"/>
          <w:jc w:val="center"/>
          <w:tblCellMar>
            <w:top w:w="0" w:type="dxa"/>
            <w:left w:w="108" w:type="dxa"/>
            <w:bottom w:w="0" w:type="dxa"/>
            <w:right w:w="108" w:type="dxa"/>
          </w:tblCellMar>
        </w:tblPrEx>
        <w:trPr>
          <w:trHeight w:val="20"/>
          <w:jc w:val="center"/>
        </w:trPr>
        <w:tc>
          <w:tcPr>
            <w:tcW w:w="1362"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cs="Cambria Math"/>
                <w:color w:val="FF0000"/>
                <w:szCs w:val="21"/>
              </w:rPr>
              <w:t>#</w:t>
            </w:r>
            <w:r>
              <w:rPr>
                <w:rFonts w:ascii="宋体" w:eastAsia="宋体" w:hAnsi="宋体" w:hint="eastAsia"/>
                <w:bCs/>
                <w:szCs w:val="21"/>
              </w:rPr>
              <w:t>距离库长</w:t>
            </w:r>
          </w:p>
        </w:tc>
        <w:tc>
          <w:tcPr>
            <w:tcW w:w="3638"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≤75m</w:t>
            </w:r>
          </w:p>
        </w:tc>
      </w:tr>
      <w:tr>
        <w:tblPrEx>
          <w:tblW w:w="4860" w:type="pct"/>
          <w:jc w:val="center"/>
          <w:tblCellMar>
            <w:top w:w="0" w:type="dxa"/>
            <w:left w:w="108" w:type="dxa"/>
            <w:bottom w:w="0" w:type="dxa"/>
            <w:right w:w="108" w:type="dxa"/>
          </w:tblCellMar>
        </w:tblPrEx>
        <w:trPr>
          <w:trHeight w:val="20"/>
          <w:jc w:val="center"/>
        </w:trPr>
        <w:tc>
          <w:tcPr>
            <w:tcW w:w="1362"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距离库数</w:t>
            </w:r>
          </w:p>
        </w:tc>
        <w:tc>
          <w:tcPr>
            <w:tcW w:w="3638"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≥2000个</w:t>
            </w:r>
          </w:p>
        </w:tc>
      </w:tr>
      <w:tr>
        <w:tblPrEx>
          <w:tblW w:w="4860" w:type="pct"/>
          <w:jc w:val="center"/>
          <w:tblCellMar>
            <w:top w:w="0" w:type="dxa"/>
            <w:left w:w="108" w:type="dxa"/>
            <w:bottom w:w="0" w:type="dxa"/>
            <w:right w:w="108" w:type="dxa"/>
          </w:tblCellMar>
        </w:tblPrEx>
        <w:trPr>
          <w:trHeight w:val="20"/>
          <w:jc w:val="center"/>
        </w:trPr>
        <w:tc>
          <w:tcPr>
            <w:tcW w:w="1362"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相关系数处理方式</w:t>
            </w:r>
          </w:p>
        </w:tc>
        <w:tc>
          <w:tcPr>
            <w:tcW w:w="3638"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一阶相关或多阶相关</w:t>
            </w:r>
          </w:p>
        </w:tc>
      </w:tr>
      <w:tr>
        <w:tblPrEx>
          <w:tblW w:w="4860" w:type="pct"/>
          <w:jc w:val="center"/>
          <w:tblCellMar>
            <w:top w:w="0" w:type="dxa"/>
            <w:left w:w="108" w:type="dxa"/>
            <w:bottom w:w="0" w:type="dxa"/>
            <w:right w:w="108" w:type="dxa"/>
          </w:tblCellMar>
        </w:tblPrEx>
        <w:trPr>
          <w:trHeight w:val="20"/>
          <w:jc w:val="center"/>
        </w:trPr>
        <w:tc>
          <w:tcPr>
            <w:tcW w:w="1362"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处理对数</w:t>
            </w:r>
          </w:p>
        </w:tc>
        <w:tc>
          <w:tcPr>
            <w:tcW w:w="3638"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16、32、64、128、256等可选</w:t>
            </w:r>
          </w:p>
        </w:tc>
      </w:tr>
      <w:tr>
        <w:tblPrEx>
          <w:tblW w:w="4860" w:type="pct"/>
          <w:jc w:val="center"/>
          <w:tblCellMar>
            <w:top w:w="0" w:type="dxa"/>
            <w:left w:w="108" w:type="dxa"/>
            <w:bottom w:w="0" w:type="dxa"/>
            <w:right w:w="108" w:type="dxa"/>
          </w:tblCellMar>
        </w:tblPrEx>
        <w:trPr>
          <w:trHeight w:val="20"/>
          <w:jc w:val="center"/>
        </w:trPr>
        <w:tc>
          <w:tcPr>
            <w:tcW w:w="1362"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支持脉冲数</w:t>
            </w:r>
          </w:p>
        </w:tc>
        <w:tc>
          <w:tcPr>
            <w:tcW w:w="3638"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同一发射周期内最大支持3种脉冲宽度拼接补盲，可选脉冲宽度支持0.5μs～200μs</w:t>
            </w:r>
          </w:p>
        </w:tc>
      </w:tr>
      <w:tr>
        <w:tblPrEx>
          <w:tblW w:w="4860" w:type="pct"/>
          <w:jc w:val="center"/>
          <w:tblCellMar>
            <w:top w:w="0" w:type="dxa"/>
            <w:left w:w="108" w:type="dxa"/>
            <w:bottom w:w="0" w:type="dxa"/>
            <w:right w:w="108" w:type="dxa"/>
          </w:tblCellMar>
        </w:tblPrEx>
        <w:trPr>
          <w:trHeight w:val="20"/>
          <w:jc w:val="center"/>
        </w:trPr>
        <w:tc>
          <w:tcPr>
            <w:tcW w:w="1362"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距离退模糊方法</w:t>
            </w:r>
          </w:p>
        </w:tc>
        <w:tc>
          <w:tcPr>
            <w:tcW w:w="3638"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相位编码或其它等效方法</w:t>
            </w:r>
          </w:p>
        </w:tc>
      </w:tr>
      <w:tr>
        <w:tblPrEx>
          <w:tblW w:w="4860" w:type="pct"/>
          <w:jc w:val="center"/>
          <w:tblCellMar>
            <w:top w:w="0" w:type="dxa"/>
            <w:left w:w="108" w:type="dxa"/>
            <w:bottom w:w="0" w:type="dxa"/>
            <w:right w:w="108" w:type="dxa"/>
          </w:tblCellMar>
        </w:tblPrEx>
        <w:trPr>
          <w:trHeight w:val="20"/>
          <w:jc w:val="center"/>
        </w:trPr>
        <w:tc>
          <w:tcPr>
            <w:tcW w:w="1362"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cs="Cambria Math"/>
                <w:color w:val="FF0000"/>
                <w:szCs w:val="21"/>
              </w:rPr>
              <w:t>#</w:t>
            </w:r>
            <w:r>
              <w:rPr>
                <w:rFonts w:ascii="宋体" w:eastAsia="宋体" w:hAnsi="宋体" w:hint="eastAsia"/>
                <w:bCs/>
                <w:szCs w:val="21"/>
              </w:rPr>
              <w:t>速度退模糊方法</w:t>
            </w:r>
          </w:p>
        </w:tc>
        <w:tc>
          <w:tcPr>
            <w:tcW w:w="3638"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双重频或其它等效方法</w:t>
            </w:r>
          </w:p>
        </w:tc>
      </w:tr>
      <w:tr>
        <w:tblPrEx>
          <w:tblW w:w="4860" w:type="pct"/>
          <w:jc w:val="center"/>
          <w:tblCellMar>
            <w:top w:w="0" w:type="dxa"/>
            <w:left w:w="108" w:type="dxa"/>
            <w:bottom w:w="0" w:type="dxa"/>
            <w:right w:w="108" w:type="dxa"/>
          </w:tblCellMar>
        </w:tblPrEx>
        <w:trPr>
          <w:trHeight w:val="20"/>
          <w:jc w:val="center"/>
        </w:trPr>
        <w:tc>
          <w:tcPr>
            <w:tcW w:w="1362"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故障检测和保护</w:t>
            </w:r>
          </w:p>
        </w:tc>
        <w:tc>
          <w:tcPr>
            <w:tcW w:w="3638"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IQ数据、数据丢包、参数输出等故障</w:t>
            </w:r>
          </w:p>
        </w:tc>
      </w:tr>
      <w:tr>
        <w:tblPrEx>
          <w:tblW w:w="4860" w:type="pct"/>
          <w:jc w:val="center"/>
          <w:tblCellMar>
            <w:top w:w="0" w:type="dxa"/>
            <w:left w:w="108" w:type="dxa"/>
            <w:bottom w:w="0" w:type="dxa"/>
            <w:right w:w="108" w:type="dxa"/>
          </w:tblCellMar>
        </w:tblPrEx>
        <w:trPr>
          <w:trHeight w:val="20"/>
          <w:jc w:val="center"/>
        </w:trPr>
        <w:tc>
          <w:tcPr>
            <w:tcW w:w="1362"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其它</w:t>
            </w:r>
          </w:p>
        </w:tc>
        <w:tc>
          <w:tcPr>
            <w:tcW w:w="3638" w:type="pct"/>
            <w:tcBorders>
              <w:top w:val="single" w:sz="4" w:space="0" w:color="auto"/>
              <w:left w:val="single" w:sz="4" w:space="0" w:color="auto"/>
              <w:bottom w:val="single" w:sz="4" w:space="0" w:color="auto"/>
              <w:right w:val="single" w:sz="4" w:space="0" w:color="auto"/>
            </w:tcBorders>
            <w:vAlign w:val="center"/>
          </w:tcPr>
          <w:p>
            <w:pPr>
              <w:rPr>
                <w:rFonts w:ascii="宋体" w:eastAsia="宋体" w:hAnsi="宋体"/>
                <w:bCs/>
                <w:szCs w:val="21"/>
              </w:rPr>
            </w:pPr>
            <w:r>
              <w:rPr>
                <w:rFonts w:ascii="宋体" w:eastAsia="宋体" w:hAnsi="宋体" w:hint="eastAsia"/>
                <w:bCs/>
                <w:szCs w:val="21"/>
              </w:rPr>
              <w:t>具有与信号带宽相匹配的数字下变频滤波处理和</w:t>
            </w:r>
            <w:r>
              <w:rPr>
                <w:rFonts w:ascii="宋体" w:eastAsia="宋体" w:hAnsi="宋体"/>
                <w:bCs/>
                <w:szCs w:val="21"/>
              </w:rPr>
              <w:t>NLFM</w:t>
            </w:r>
            <w:r>
              <w:rPr>
                <w:rFonts w:ascii="宋体" w:eastAsia="宋体" w:hAnsi="宋体" w:hint="eastAsia"/>
                <w:bCs/>
                <w:szCs w:val="21"/>
              </w:rPr>
              <w:t>信号的脉冲压缩运算能力</w:t>
            </w:r>
          </w:p>
        </w:tc>
      </w:tr>
    </w:tbl>
    <w:p>
      <w:pPr>
        <w:pStyle w:val="BodyTextFirstIndent2"/>
        <w:spacing w:line="360" w:lineRule="auto"/>
        <w:ind w:left="0" w:leftChars="0"/>
        <w:outlineLvl w:val="4"/>
        <w:rPr>
          <w:rFonts w:ascii="宋体" w:hAnsi="宋体"/>
          <w:szCs w:val="21"/>
        </w:rPr>
      </w:pPr>
      <w:r>
        <w:rPr>
          <w:rFonts w:ascii="宋体" w:hAnsi="宋体"/>
          <w:szCs w:val="21"/>
        </w:rPr>
        <w:t>7</w:t>
      </w:r>
      <w:r>
        <w:rPr>
          <w:rFonts w:ascii="宋体" w:hAnsi="宋体" w:hint="eastAsia"/>
          <w:szCs w:val="21"/>
        </w:rPr>
        <w:t>.</w:t>
      </w:r>
      <w:r>
        <w:rPr>
          <w:rFonts w:ascii="宋体" w:hAnsi="宋体"/>
          <w:szCs w:val="21"/>
        </w:rPr>
        <w:t>2</w:t>
      </w:r>
      <w:r>
        <w:rPr>
          <w:rFonts w:ascii="宋体" w:hAnsi="宋体" w:hint="eastAsia"/>
          <w:szCs w:val="21"/>
        </w:rPr>
        <w:t>信号处理算法</w:t>
      </w:r>
    </w:p>
    <w:p>
      <w:pPr>
        <w:snapToGrid w:val="0"/>
        <w:spacing w:line="324" w:lineRule="auto"/>
        <w:ind w:firstLine="420" w:firstLineChars="200"/>
        <w:jc w:val="center"/>
        <w:rPr>
          <w:rFonts w:ascii="宋体" w:eastAsia="宋体" w:hAnsi="宋体"/>
          <w:szCs w:val="21"/>
        </w:rPr>
      </w:pPr>
      <w:r>
        <w:rPr>
          <w:rFonts w:ascii="宋体" w:eastAsia="宋体" w:hAnsi="宋体" w:hint="eastAsia"/>
          <w:szCs w:val="21"/>
        </w:rPr>
        <w:t>表</w:t>
      </w:r>
      <w:r>
        <w:rPr>
          <w:rFonts w:ascii="宋体" w:eastAsia="宋体" w:hAnsi="宋体"/>
          <w:szCs w:val="21"/>
        </w:rPr>
        <w:t>8</w:t>
      </w:r>
      <w:r>
        <w:rPr>
          <w:rFonts w:ascii="宋体" w:eastAsia="宋体" w:hAnsi="宋体" w:hint="eastAsia"/>
          <w:szCs w:val="21"/>
        </w:rPr>
        <w:t xml:space="preserve"> 信号处理算法</w:t>
      </w:r>
    </w:p>
    <w:tbl>
      <w:tblPr>
        <w:tblStyle w:val="TableNormal"/>
        <w:tblW w:w="48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07"/>
        <w:gridCol w:w="1647"/>
        <w:gridCol w:w="6290"/>
      </w:tblGrid>
      <w:tr>
        <w:tblPrEx>
          <w:tblW w:w="48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
                <w:bCs/>
                <w:szCs w:val="21"/>
              </w:rPr>
            </w:pPr>
            <w:r>
              <w:rPr>
                <w:rFonts w:ascii="宋体" w:eastAsia="宋体" w:hAnsi="宋体" w:hint="eastAsia"/>
                <w:b/>
                <w:bCs/>
                <w:szCs w:val="21"/>
              </w:rPr>
              <w:t>序号</w:t>
            </w:r>
          </w:p>
        </w:tc>
        <w:tc>
          <w:tcPr>
            <w:tcW w:w="4539" w:type="pct"/>
            <w:gridSpan w:val="2"/>
            <w:shd w:val="clear" w:color="auto" w:fill="auto"/>
            <w:noWrap/>
            <w:vAlign w:val="center"/>
          </w:tcPr>
          <w:p>
            <w:pPr>
              <w:jc w:val="center"/>
              <w:rPr>
                <w:rFonts w:ascii="宋体" w:eastAsia="宋体" w:hAnsi="宋体"/>
                <w:b/>
                <w:bCs/>
                <w:szCs w:val="21"/>
              </w:rPr>
            </w:pPr>
            <w:r>
              <w:rPr>
                <w:rFonts w:ascii="宋体" w:eastAsia="宋体" w:hAnsi="宋体" w:hint="eastAsia"/>
                <w:b/>
                <w:bCs/>
                <w:szCs w:val="21"/>
              </w:rPr>
              <w:t>算法名称</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1</w:t>
            </w:r>
          </w:p>
        </w:tc>
        <w:tc>
          <w:tcPr>
            <w:tcW w:w="942" w:type="pct"/>
            <w:vMerge w:val="restart"/>
            <w:shd w:val="clear" w:color="auto" w:fill="auto"/>
            <w:noWrap/>
            <w:vAlign w:val="center"/>
          </w:tcPr>
          <w:p>
            <w:pPr>
              <w:rPr>
                <w:rFonts w:ascii="宋体" w:eastAsia="宋体" w:hAnsi="宋体"/>
                <w:bCs/>
                <w:szCs w:val="21"/>
              </w:rPr>
            </w:pPr>
            <w:r>
              <w:rPr>
                <w:rFonts w:ascii="宋体" w:eastAsia="宋体" w:hAnsi="宋体" w:hint="eastAsia"/>
                <w:bCs/>
                <w:szCs w:val="21"/>
              </w:rPr>
              <w:t>杂波抑制（采用先动态识别再进行自适应频域滤波的方法进行杂波过滤）</w:t>
            </w: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电磁干扰识别</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2</w:t>
            </w:r>
          </w:p>
        </w:tc>
        <w:tc>
          <w:tcPr>
            <w:tcW w:w="942" w:type="pct"/>
            <w:vMerge/>
            <w:vAlign w:val="center"/>
          </w:tcPr>
          <w:p>
            <w:pPr>
              <w:rPr>
                <w:rFonts w:ascii="宋体" w:eastAsia="宋体" w:hAnsi="宋体"/>
                <w:bCs/>
                <w:szCs w:val="21"/>
              </w:rPr>
            </w:pP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电磁干扰抑制</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3</w:t>
            </w:r>
          </w:p>
        </w:tc>
        <w:tc>
          <w:tcPr>
            <w:tcW w:w="942" w:type="pct"/>
            <w:vMerge/>
            <w:vAlign w:val="center"/>
          </w:tcPr>
          <w:p>
            <w:pPr>
              <w:rPr>
                <w:rFonts w:ascii="宋体" w:eastAsia="宋体" w:hAnsi="宋体"/>
                <w:bCs/>
                <w:szCs w:val="21"/>
              </w:rPr>
            </w:pP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风电干扰识别</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4</w:t>
            </w:r>
          </w:p>
        </w:tc>
        <w:tc>
          <w:tcPr>
            <w:tcW w:w="942" w:type="pct"/>
            <w:vMerge/>
            <w:vAlign w:val="center"/>
          </w:tcPr>
          <w:p>
            <w:pPr>
              <w:rPr>
                <w:rFonts w:ascii="宋体" w:eastAsia="宋体" w:hAnsi="宋体"/>
                <w:bCs/>
                <w:szCs w:val="21"/>
              </w:rPr>
            </w:pP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风电干扰抑制</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5</w:t>
            </w:r>
          </w:p>
        </w:tc>
        <w:tc>
          <w:tcPr>
            <w:tcW w:w="942" w:type="pct"/>
            <w:vMerge/>
            <w:vAlign w:val="center"/>
          </w:tcPr>
          <w:p>
            <w:pPr>
              <w:rPr>
                <w:rFonts w:ascii="宋体" w:eastAsia="宋体" w:hAnsi="宋体"/>
                <w:bCs/>
                <w:szCs w:val="21"/>
              </w:rPr>
            </w:pP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地杂波识别</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6</w:t>
            </w:r>
          </w:p>
        </w:tc>
        <w:tc>
          <w:tcPr>
            <w:tcW w:w="942" w:type="pct"/>
            <w:vMerge/>
            <w:vAlign w:val="center"/>
          </w:tcPr>
          <w:p>
            <w:pPr>
              <w:rPr>
                <w:rFonts w:ascii="宋体" w:eastAsia="宋体" w:hAnsi="宋体"/>
                <w:bCs/>
                <w:szCs w:val="21"/>
              </w:rPr>
            </w:pP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地杂波抑制</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7</w:t>
            </w:r>
          </w:p>
        </w:tc>
        <w:tc>
          <w:tcPr>
            <w:tcW w:w="942" w:type="pct"/>
            <w:vMerge w:val="restart"/>
            <w:shd w:val="clear" w:color="auto" w:fill="auto"/>
            <w:noWrap/>
            <w:vAlign w:val="center"/>
          </w:tcPr>
          <w:p>
            <w:pPr>
              <w:rPr>
                <w:rFonts w:ascii="宋体" w:eastAsia="宋体" w:hAnsi="宋体"/>
                <w:bCs/>
                <w:szCs w:val="21"/>
              </w:rPr>
            </w:pPr>
            <w:r>
              <w:rPr>
                <w:rFonts w:ascii="宋体" w:eastAsia="宋体" w:hAnsi="宋体" w:hint="eastAsia"/>
                <w:bCs/>
                <w:szCs w:val="21"/>
              </w:rPr>
              <w:t>距离/速度退模糊</w:t>
            </w: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双重频（DPRF）</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8</w:t>
            </w:r>
          </w:p>
        </w:tc>
        <w:tc>
          <w:tcPr>
            <w:tcW w:w="942" w:type="pct"/>
            <w:vMerge/>
            <w:vAlign w:val="center"/>
          </w:tcPr>
          <w:p>
            <w:pPr>
              <w:rPr>
                <w:rFonts w:ascii="宋体" w:eastAsia="宋体" w:hAnsi="宋体"/>
                <w:bCs/>
                <w:szCs w:val="21"/>
              </w:rPr>
            </w:pP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参差重频（SPRT）</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9</w:t>
            </w:r>
          </w:p>
        </w:tc>
        <w:tc>
          <w:tcPr>
            <w:tcW w:w="942" w:type="pct"/>
            <w:vMerge/>
            <w:vAlign w:val="center"/>
          </w:tcPr>
          <w:p>
            <w:pPr>
              <w:rPr>
                <w:rFonts w:ascii="宋体" w:eastAsia="宋体" w:hAnsi="宋体"/>
                <w:bCs/>
                <w:szCs w:val="21"/>
              </w:rPr>
            </w:pP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随机相位调制</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10</w:t>
            </w:r>
          </w:p>
        </w:tc>
        <w:tc>
          <w:tcPr>
            <w:tcW w:w="942" w:type="pct"/>
            <w:vMerge/>
            <w:vAlign w:val="center"/>
          </w:tcPr>
          <w:p>
            <w:pPr>
              <w:rPr>
                <w:rFonts w:ascii="宋体" w:eastAsia="宋体" w:hAnsi="宋体"/>
                <w:bCs/>
                <w:szCs w:val="21"/>
              </w:rPr>
            </w:pP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系统相位编码</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11</w:t>
            </w:r>
          </w:p>
        </w:tc>
        <w:tc>
          <w:tcPr>
            <w:tcW w:w="942" w:type="pct"/>
            <w:vMerge/>
            <w:vAlign w:val="center"/>
          </w:tcPr>
          <w:p>
            <w:pPr>
              <w:rPr>
                <w:rFonts w:ascii="宋体" w:eastAsia="宋体" w:hAnsi="宋体"/>
                <w:bCs/>
                <w:szCs w:val="21"/>
              </w:rPr>
            </w:pP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批处理</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12</w:t>
            </w:r>
          </w:p>
        </w:tc>
        <w:tc>
          <w:tcPr>
            <w:tcW w:w="942" w:type="pct"/>
            <w:vMerge/>
            <w:vAlign w:val="center"/>
          </w:tcPr>
          <w:p>
            <w:pPr>
              <w:rPr>
                <w:rFonts w:ascii="宋体" w:eastAsia="宋体" w:hAnsi="宋体"/>
                <w:bCs/>
                <w:szCs w:val="21"/>
              </w:rPr>
            </w:pP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分层处理</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13</w:t>
            </w:r>
          </w:p>
        </w:tc>
        <w:tc>
          <w:tcPr>
            <w:tcW w:w="942" w:type="pct"/>
            <w:vMerge w:val="restart"/>
            <w:shd w:val="clear" w:color="auto" w:fill="auto"/>
            <w:noWrap/>
            <w:vAlign w:val="center"/>
          </w:tcPr>
          <w:p>
            <w:pPr>
              <w:rPr>
                <w:rFonts w:ascii="宋体" w:eastAsia="宋体" w:hAnsi="宋体"/>
                <w:bCs/>
                <w:szCs w:val="21"/>
              </w:rPr>
            </w:pPr>
            <w:r>
              <w:rPr>
                <w:rFonts w:ascii="宋体" w:eastAsia="宋体" w:hAnsi="宋体" w:hint="eastAsia"/>
                <w:bCs/>
                <w:szCs w:val="21"/>
              </w:rPr>
              <w:t>参数估计</w:t>
            </w: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常规估计（反射率因子、径向速度、速度谱宽、差分反射率、差分传播相移、相关系数）</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14</w:t>
            </w:r>
          </w:p>
        </w:tc>
        <w:tc>
          <w:tcPr>
            <w:tcW w:w="942" w:type="pct"/>
            <w:vMerge/>
            <w:vAlign w:val="center"/>
          </w:tcPr>
          <w:p>
            <w:pPr>
              <w:rPr>
                <w:rFonts w:ascii="宋体" w:eastAsia="宋体" w:hAnsi="宋体"/>
                <w:bCs/>
                <w:szCs w:val="21"/>
              </w:rPr>
            </w:pP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频域估计（反射率因子、径向速度、速度谱宽、差分反射率、差分传播相移、相关系数）</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15</w:t>
            </w:r>
          </w:p>
        </w:tc>
        <w:tc>
          <w:tcPr>
            <w:tcW w:w="942" w:type="pct"/>
            <w:vMerge/>
            <w:vAlign w:val="center"/>
          </w:tcPr>
          <w:p>
            <w:pPr>
              <w:rPr>
                <w:rFonts w:ascii="宋体" w:eastAsia="宋体" w:hAnsi="宋体"/>
                <w:bCs/>
                <w:szCs w:val="21"/>
              </w:rPr>
            </w:pP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多阶相关估计（反射率因子、径向速度、速度谱宽、差分反射率、差分传播相移、相关系数）</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16</w:t>
            </w:r>
          </w:p>
        </w:tc>
        <w:tc>
          <w:tcPr>
            <w:tcW w:w="942" w:type="pct"/>
            <w:vMerge/>
            <w:vAlign w:val="center"/>
          </w:tcPr>
          <w:p>
            <w:pPr>
              <w:rPr>
                <w:rFonts w:ascii="宋体" w:eastAsia="宋体" w:hAnsi="宋体"/>
                <w:bCs/>
                <w:szCs w:val="21"/>
              </w:rPr>
            </w:pP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线性规划估计、最小二乘估计等多种方式（差分传播相移率）</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17</w:t>
            </w:r>
          </w:p>
        </w:tc>
        <w:tc>
          <w:tcPr>
            <w:tcW w:w="942" w:type="pct"/>
            <w:vMerge w:val="restart"/>
            <w:shd w:val="clear" w:color="auto" w:fill="auto"/>
            <w:noWrap/>
            <w:vAlign w:val="center"/>
          </w:tcPr>
          <w:p>
            <w:pPr>
              <w:rPr>
                <w:rFonts w:ascii="宋体" w:eastAsia="宋体" w:hAnsi="宋体"/>
                <w:bCs/>
                <w:szCs w:val="21"/>
              </w:rPr>
            </w:pPr>
            <w:r>
              <w:rPr>
                <w:rFonts w:ascii="宋体" w:eastAsia="宋体" w:hAnsi="宋体" w:hint="eastAsia"/>
                <w:bCs/>
                <w:szCs w:val="21"/>
              </w:rPr>
              <w:t>门限设置</w:t>
            </w: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信号质量指数（SQI）</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18</w:t>
            </w:r>
          </w:p>
        </w:tc>
        <w:tc>
          <w:tcPr>
            <w:tcW w:w="942" w:type="pct"/>
            <w:vMerge/>
            <w:vAlign w:val="center"/>
          </w:tcPr>
          <w:p>
            <w:pPr>
              <w:rPr>
                <w:rFonts w:ascii="宋体" w:eastAsia="宋体" w:hAnsi="宋体"/>
                <w:bCs/>
                <w:szCs w:val="21"/>
              </w:rPr>
            </w:pP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天气信号强度指数（SIG）</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19</w:t>
            </w:r>
          </w:p>
        </w:tc>
        <w:tc>
          <w:tcPr>
            <w:tcW w:w="942" w:type="pct"/>
            <w:vMerge/>
            <w:vAlign w:val="center"/>
          </w:tcPr>
          <w:p>
            <w:pPr>
              <w:rPr>
                <w:rFonts w:ascii="宋体" w:eastAsia="宋体" w:hAnsi="宋体"/>
                <w:bCs/>
                <w:szCs w:val="21"/>
              </w:rPr>
            </w:pP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杂波订正指数（CCOR）</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20</w:t>
            </w:r>
          </w:p>
        </w:tc>
        <w:tc>
          <w:tcPr>
            <w:tcW w:w="942" w:type="pct"/>
            <w:vMerge/>
            <w:vAlign w:val="center"/>
          </w:tcPr>
          <w:p>
            <w:pPr>
              <w:rPr>
                <w:rFonts w:ascii="宋体" w:eastAsia="宋体" w:hAnsi="宋体"/>
                <w:bCs/>
                <w:szCs w:val="21"/>
              </w:rPr>
            </w:pP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杂信比（CSR）</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21</w:t>
            </w:r>
          </w:p>
        </w:tc>
        <w:tc>
          <w:tcPr>
            <w:tcW w:w="942" w:type="pct"/>
            <w:vMerge/>
            <w:vAlign w:val="center"/>
          </w:tcPr>
          <w:p>
            <w:pPr>
              <w:rPr>
                <w:rFonts w:ascii="宋体" w:eastAsia="宋体" w:hAnsi="宋体"/>
                <w:bCs/>
                <w:szCs w:val="21"/>
              </w:rPr>
            </w:pP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信噪比（LOG）</w:t>
            </w:r>
          </w:p>
        </w:tc>
      </w:tr>
      <w:tr>
        <w:tblPrEx>
          <w:tblW w:w="4856" w:type="pct"/>
          <w:jc w:val="center"/>
          <w:tblLayout w:type="fixed"/>
          <w:tblCellMar>
            <w:top w:w="0" w:type="dxa"/>
            <w:left w:w="108" w:type="dxa"/>
            <w:bottom w:w="0" w:type="dxa"/>
            <w:right w:w="108" w:type="dxa"/>
          </w:tblCellMar>
        </w:tblPrEx>
        <w:trPr>
          <w:trHeight w:val="20"/>
          <w:jc w:val="center"/>
        </w:trPr>
        <w:tc>
          <w:tcPr>
            <w:tcW w:w="461" w:type="pct"/>
            <w:shd w:val="clear" w:color="auto" w:fill="auto"/>
            <w:noWrap/>
            <w:vAlign w:val="center"/>
          </w:tcPr>
          <w:p>
            <w:pPr>
              <w:jc w:val="center"/>
              <w:rPr>
                <w:rFonts w:ascii="宋体" w:eastAsia="宋体" w:hAnsi="宋体"/>
                <w:bCs/>
                <w:szCs w:val="21"/>
              </w:rPr>
            </w:pPr>
            <w:r>
              <w:rPr>
                <w:rFonts w:ascii="宋体" w:eastAsia="宋体" w:hAnsi="宋体" w:hint="eastAsia"/>
                <w:bCs/>
                <w:szCs w:val="21"/>
              </w:rPr>
              <w:t>22</w:t>
            </w:r>
          </w:p>
        </w:tc>
        <w:tc>
          <w:tcPr>
            <w:tcW w:w="942" w:type="pct"/>
            <w:vMerge/>
            <w:vAlign w:val="center"/>
          </w:tcPr>
          <w:p>
            <w:pPr>
              <w:rPr>
                <w:rFonts w:ascii="宋体" w:eastAsia="宋体" w:hAnsi="宋体"/>
                <w:bCs/>
                <w:szCs w:val="21"/>
              </w:rPr>
            </w:pPr>
          </w:p>
        </w:tc>
        <w:tc>
          <w:tcPr>
            <w:tcW w:w="3597" w:type="pct"/>
            <w:shd w:val="clear" w:color="auto" w:fill="auto"/>
            <w:noWrap/>
            <w:vAlign w:val="center"/>
          </w:tcPr>
          <w:p>
            <w:pPr>
              <w:rPr>
                <w:rFonts w:ascii="宋体" w:eastAsia="宋体" w:hAnsi="宋体"/>
                <w:bCs/>
                <w:szCs w:val="21"/>
              </w:rPr>
            </w:pPr>
            <w:r>
              <w:rPr>
                <w:rFonts w:ascii="宋体" w:eastAsia="宋体" w:hAnsi="宋体" w:hint="eastAsia"/>
                <w:bCs/>
                <w:szCs w:val="21"/>
              </w:rPr>
              <w:t>偏振量信噪比（DPLOG）</w:t>
            </w:r>
          </w:p>
        </w:tc>
      </w:tr>
    </w:tbl>
    <w:p>
      <w:pPr>
        <w:pStyle w:val="BodyTextFirstIndent2"/>
        <w:spacing w:line="360" w:lineRule="auto"/>
        <w:ind w:left="0" w:leftChars="0"/>
        <w:outlineLvl w:val="4"/>
        <w:rPr>
          <w:rFonts w:ascii="宋体" w:hAnsi="宋体"/>
          <w:szCs w:val="21"/>
        </w:rPr>
      </w:pPr>
      <w:r>
        <w:rPr>
          <w:rFonts w:ascii="宋体" w:hAnsi="宋体"/>
          <w:szCs w:val="21"/>
        </w:rPr>
        <w:t>7</w:t>
      </w:r>
      <w:r>
        <w:rPr>
          <w:rFonts w:ascii="宋体" w:hAnsi="宋体" w:hint="eastAsia"/>
          <w:szCs w:val="21"/>
        </w:rPr>
        <w:t>.3雷达终端技术指标</w:t>
      </w:r>
    </w:p>
    <w:p>
      <w:pPr>
        <w:spacing w:line="360" w:lineRule="auto"/>
        <w:ind w:firstLine="643"/>
        <w:jc w:val="center"/>
        <w:rPr>
          <w:rFonts w:ascii="宋体" w:eastAsia="宋体" w:hAnsi="宋体"/>
          <w:szCs w:val="21"/>
        </w:rPr>
      </w:pPr>
      <w:bookmarkStart w:id="76" w:name="_Hlk529347860"/>
      <w:r>
        <w:rPr>
          <w:rFonts w:ascii="宋体" w:eastAsia="宋体" w:hAnsi="宋体" w:hint="eastAsia"/>
          <w:szCs w:val="21"/>
        </w:rPr>
        <w:t>表</w:t>
      </w:r>
      <w:r>
        <w:rPr>
          <w:rFonts w:ascii="宋体" w:eastAsia="宋体" w:hAnsi="宋体"/>
          <w:szCs w:val="21"/>
        </w:rPr>
        <w:t xml:space="preserve">9 </w:t>
      </w:r>
      <w:r>
        <w:rPr>
          <w:rFonts w:ascii="宋体" w:eastAsia="宋体" w:hAnsi="宋体" w:hint="eastAsia"/>
          <w:szCs w:val="21"/>
        </w:rPr>
        <w:t>雷达终端配置</w:t>
      </w:r>
    </w:p>
    <w:tbl>
      <w:tblPr>
        <w:tblStyle w:val="TableNormal"/>
        <w:tblW w:w="8222" w:type="dxa"/>
        <w:jc w:val="center"/>
        <w:tblCellMar>
          <w:top w:w="0" w:type="dxa"/>
          <w:left w:w="108" w:type="dxa"/>
          <w:bottom w:w="0" w:type="dxa"/>
          <w:right w:w="108" w:type="dxa"/>
        </w:tblCellMar>
      </w:tblPr>
      <w:tblGrid>
        <w:gridCol w:w="809"/>
        <w:gridCol w:w="1417"/>
        <w:gridCol w:w="5996"/>
      </w:tblGrid>
      <w:tr>
        <w:tblPrEx>
          <w:tblW w:w="8222" w:type="dxa"/>
          <w:jc w:val="center"/>
          <w:tblCellMar>
            <w:top w:w="0" w:type="dxa"/>
            <w:left w:w="108" w:type="dxa"/>
            <w:bottom w:w="0" w:type="dxa"/>
            <w:right w:w="108" w:type="dxa"/>
          </w:tblCellMar>
        </w:tblPrEx>
        <w:trPr>
          <w:trHeight w:val="20"/>
          <w:jc w:val="center"/>
        </w:trPr>
        <w:tc>
          <w:tcPr>
            <w:tcW w:w="809" w:type="dxa"/>
            <w:tcBorders>
              <w:top w:val="single" w:sz="4" w:space="0" w:color="auto"/>
              <w:left w:val="single" w:sz="4" w:space="0" w:color="auto"/>
              <w:bottom w:val="single" w:sz="4" w:space="0" w:color="auto"/>
              <w:right w:val="nil"/>
            </w:tcBorders>
            <w:vAlign w:val="center"/>
          </w:tcPr>
          <w:p>
            <w:pPr>
              <w:jc w:val="center"/>
              <w:rPr>
                <w:rFonts w:ascii="宋体" w:eastAsia="宋体" w:hAnsi="宋体"/>
                <w:b/>
                <w:bCs/>
                <w:szCs w:val="21"/>
              </w:rPr>
            </w:pPr>
            <w:r>
              <w:rPr>
                <w:rFonts w:ascii="宋体" w:eastAsia="宋体" w:hAnsi="宋体" w:hint="eastAsia"/>
                <w:b/>
                <w:bCs/>
                <w:szCs w:val="21"/>
              </w:rPr>
              <w:t>序号</w:t>
            </w:r>
          </w:p>
        </w:tc>
        <w:tc>
          <w:tcPr>
            <w:tcW w:w="1417" w:type="dxa"/>
            <w:tcBorders>
              <w:top w:val="single" w:sz="4" w:space="0" w:color="auto"/>
              <w:left w:val="single" w:sz="4" w:space="0" w:color="auto"/>
              <w:bottom w:val="single" w:sz="4" w:space="0" w:color="auto"/>
              <w:right w:val="nil"/>
            </w:tcBorders>
            <w:shd w:val="clear" w:color="auto" w:fill="auto"/>
            <w:noWrap/>
            <w:vAlign w:val="center"/>
          </w:tcPr>
          <w:p>
            <w:pPr>
              <w:jc w:val="center"/>
              <w:rPr>
                <w:rFonts w:ascii="宋体" w:eastAsia="宋体" w:hAnsi="宋体"/>
                <w:b/>
                <w:bCs/>
                <w:szCs w:val="21"/>
              </w:rPr>
            </w:pPr>
            <w:r>
              <w:rPr>
                <w:rFonts w:ascii="宋体" w:eastAsia="宋体" w:hAnsi="宋体" w:hint="eastAsia"/>
                <w:b/>
                <w:bCs/>
                <w:szCs w:val="21"/>
              </w:rPr>
              <w:t>项目</w:t>
            </w:r>
          </w:p>
        </w:tc>
        <w:tc>
          <w:tcPr>
            <w:tcW w:w="5996"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rPr>
                <w:rFonts w:ascii="宋体" w:eastAsia="宋体" w:hAnsi="宋体"/>
                <w:b/>
                <w:bCs/>
                <w:szCs w:val="21"/>
              </w:rPr>
            </w:pPr>
            <w:r>
              <w:rPr>
                <w:rFonts w:ascii="宋体" w:eastAsia="宋体" w:hAnsi="宋体" w:hint="eastAsia"/>
                <w:b/>
                <w:bCs/>
                <w:szCs w:val="21"/>
              </w:rPr>
              <w:t>性能指标</w:t>
            </w:r>
          </w:p>
        </w:tc>
      </w:tr>
      <w:tr>
        <w:tblPrEx>
          <w:tblW w:w="8222" w:type="dxa"/>
          <w:jc w:val="center"/>
          <w:tblCellMar>
            <w:top w:w="0" w:type="dxa"/>
            <w:left w:w="108" w:type="dxa"/>
            <w:bottom w:w="0" w:type="dxa"/>
            <w:right w:w="108" w:type="dxa"/>
          </w:tblCellMar>
        </w:tblPrEx>
        <w:trPr>
          <w:trHeight w:val="20"/>
          <w:jc w:val="center"/>
        </w:trPr>
        <w:tc>
          <w:tcPr>
            <w:tcW w:w="809" w:type="dxa"/>
            <w:tcBorders>
              <w:top w:val="nil"/>
              <w:left w:val="single" w:sz="4" w:space="0" w:color="auto"/>
              <w:bottom w:val="single" w:sz="4" w:space="0" w:color="auto"/>
              <w:right w:val="nil"/>
            </w:tcBorders>
            <w:vAlign w:val="center"/>
          </w:tcPr>
          <w:p>
            <w:pPr>
              <w:jc w:val="center"/>
              <w:rPr>
                <w:rFonts w:ascii="宋体" w:eastAsia="宋体" w:hAnsi="宋体"/>
                <w:bCs/>
                <w:szCs w:val="21"/>
              </w:rPr>
            </w:pPr>
            <w:r>
              <w:rPr>
                <w:rFonts w:ascii="宋体" w:eastAsia="宋体" w:hAnsi="宋体" w:hint="eastAsia"/>
                <w:bCs/>
                <w:szCs w:val="21"/>
              </w:rPr>
              <w:t>1</w:t>
            </w:r>
          </w:p>
        </w:tc>
        <w:tc>
          <w:tcPr>
            <w:tcW w:w="1417" w:type="dxa"/>
            <w:tcBorders>
              <w:top w:val="nil"/>
              <w:left w:val="single" w:sz="4" w:space="0" w:color="auto"/>
              <w:bottom w:val="single" w:sz="4" w:space="0" w:color="auto"/>
              <w:right w:val="nil"/>
            </w:tcBorders>
            <w:shd w:val="clear" w:color="auto" w:fill="auto"/>
            <w:noWrap/>
            <w:vAlign w:val="center"/>
          </w:tcPr>
          <w:p>
            <w:pPr>
              <w:rPr>
                <w:rFonts w:ascii="宋体" w:eastAsia="宋体" w:hAnsi="宋体"/>
                <w:bCs/>
                <w:szCs w:val="21"/>
              </w:rPr>
            </w:pPr>
            <w:r>
              <w:rPr>
                <w:rFonts w:ascii="宋体" w:eastAsia="宋体" w:hAnsi="宋体" w:hint="eastAsia"/>
                <w:bCs/>
                <w:szCs w:val="21"/>
              </w:rPr>
              <w:t>CPU</w:t>
            </w:r>
          </w:p>
        </w:tc>
        <w:tc>
          <w:tcPr>
            <w:tcW w:w="5996" w:type="dxa"/>
            <w:tcBorders>
              <w:top w:val="nil"/>
              <w:left w:val="single" w:sz="4" w:space="0" w:color="auto"/>
              <w:bottom w:val="single" w:sz="4" w:space="0" w:color="auto"/>
              <w:right w:val="single" w:sz="4" w:space="0" w:color="auto"/>
            </w:tcBorders>
            <w:shd w:val="clear" w:color="auto" w:fill="auto"/>
            <w:noWrap/>
            <w:vAlign w:val="center"/>
          </w:tcPr>
          <w:p>
            <w:pPr>
              <w:rPr>
                <w:rFonts w:ascii="宋体" w:eastAsia="宋体" w:hAnsi="宋体"/>
                <w:bCs/>
                <w:szCs w:val="21"/>
              </w:rPr>
            </w:pPr>
            <w:r>
              <w:rPr>
                <w:rFonts w:ascii="宋体" w:eastAsia="宋体" w:hAnsi="宋体" w:hint="eastAsia"/>
                <w:bCs/>
                <w:szCs w:val="21"/>
              </w:rPr>
              <w:t>不少于8核16线程，频率不低于2.8GHz</w:t>
            </w:r>
          </w:p>
        </w:tc>
      </w:tr>
      <w:tr>
        <w:tblPrEx>
          <w:tblW w:w="8222" w:type="dxa"/>
          <w:jc w:val="center"/>
          <w:tblCellMar>
            <w:top w:w="0" w:type="dxa"/>
            <w:left w:w="108" w:type="dxa"/>
            <w:bottom w:w="0" w:type="dxa"/>
            <w:right w:w="108" w:type="dxa"/>
          </w:tblCellMar>
        </w:tblPrEx>
        <w:trPr>
          <w:trHeight w:val="20"/>
          <w:jc w:val="center"/>
        </w:trPr>
        <w:tc>
          <w:tcPr>
            <w:tcW w:w="809" w:type="dxa"/>
            <w:tcBorders>
              <w:top w:val="nil"/>
              <w:left w:val="single" w:sz="4" w:space="0" w:color="auto"/>
              <w:bottom w:val="single" w:sz="4" w:space="0" w:color="auto"/>
              <w:right w:val="nil"/>
            </w:tcBorders>
            <w:vAlign w:val="center"/>
          </w:tcPr>
          <w:p>
            <w:pPr>
              <w:jc w:val="center"/>
              <w:rPr>
                <w:rFonts w:ascii="宋体" w:eastAsia="宋体" w:hAnsi="宋体"/>
                <w:bCs/>
                <w:szCs w:val="21"/>
              </w:rPr>
            </w:pPr>
            <w:r>
              <w:rPr>
                <w:rFonts w:ascii="宋体" w:eastAsia="宋体" w:hAnsi="宋体" w:hint="eastAsia"/>
                <w:bCs/>
                <w:szCs w:val="21"/>
              </w:rPr>
              <w:t>2</w:t>
            </w:r>
          </w:p>
        </w:tc>
        <w:tc>
          <w:tcPr>
            <w:tcW w:w="1417" w:type="dxa"/>
            <w:tcBorders>
              <w:top w:val="nil"/>
              <w:left w:val="single" w:sz="4" w:space="0" w:color="auto"/>
              <w:bottom w:val="single" w:sz="4" w:space="0" w:color="auto"/>
              <w:right w:val="nil"/>
            </w:tcBorders>
            <w:shd w:val="clear" w:color="auto" w:fill="auto"/>
            <w:noWrap/>
            <w:vAlign w:val="center"/>
          </w:tcPr>
          <w:p>
            <w:pPr>
              <w:rPr>
                <w:rFonts w:ascii="宋体" w:eastAsia="宋体" w:hAnsi="宋体"/>
                <w:bCs/>
                <w:szCs w:val="21"/>
              </w:rPr>
            </w:pPr>
            <w:r>
              <w:rPr>
                <w:rFonts w:ascii="宋体" w:eastAsia="宋体" w:hAnsi="宋体" w:hint="eastAsia"/>
                <w:bCs/>
                <w:szCs w:val="21"/>
              </w:rPr>
              <w:t>内存</w:t>
            </w:r>
          </w:p>
        </w:tc>
        <w:tc>
          <w:tcPr>
            <w:tcW w:w="5996" w:type="dxa"/>
            <w:tcBorders>
              <w:top w:val="nil"/>
              <w:left w:val="single" w:sz="4" w:space="0" w:color="auto"/>
              <w:bottom w:val="single" w:sz="4" w:space="0" w:color="auto"/>
              <w:right w:val="single" w:sz="4" w:space="0" w:color="auto"/>
            </w:tcBorders>
            <w:shd w:val="clear" w:color="auto" w:fill="auto"/>
            <w:noWrap/>
            <w:vAlign w:val="center"/>
          </w:tcPr>
          <w:p>
            <w:pPr>
              <w:rPr>
                <w:rFonts w:ascii="宋体" w:eastAsia="宋体" w:hAnsi="宋体"/>
                <w:bCs/>
                <w:szCs w:val="21"/>
              </w:rPr>
            </w:pPr>
            <w:r>
              <w:rPr>
                <w:rFonts w:ascii="宋体" w:eastAsia="宋体" w:hAnsi="宋体" w:hint="eastAsia"/>
                <w:bCs/>
                <w:szCs w:val="21"/>
              </w:rPr>
              <w:t>不低于16GB，不低于DDR4</w:t>
            </w:r>
          </w:p>
        </w:tc>
      </w:tr>
      <w:tr>
        <w:tblPrEx>
          <w:tblW w:w="8222" w:type="dxa"/>
          <w:jc w:val="center"/>
          <w:tblCellMar>
            <w:top w:w="0" w:type="dxa"/>
            <w:left w:w="108" w:type="dxa"/>
            <w:bottom w:w="0" w:type="dxa"/>
            <w:right w:w="108" w:type="dxa"/>
          </w:tblCellMar>
        </w:tblPrEx>
        <w:trPr>
          <w:trHeight w:val="20"/>
          <w:jc w:val="center"/>
        </w:trPr>
        <w:tc>
          <w:tcPr>
            <w:tcW w:w="809"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bCs/>
                <w:szCs w:val="21"/>
              </w:rPr>
            </w:pPr>
            <w:r>
              <w:rPr>
                <w:rFonts w:ascii="宋体" w:eastAsia="宋体" w:hAnsi="宋体" w:hint="eastAsia"/>
                <w:bCs/>
                <w:szCs w:val="21"/>
              </w:rPr>
              <w:t>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pPr>
              <w:rPr>
                <w:rFonts w:ascii="宋体" w:eastAsia="宋体" w:hAnsi="宋体"/>
                <w:bCs/>
                <w:szCs w:val="21"/>
              </w:rPr>
            </w:pPr>
            <w:r>
              <w:rPr>
                <w:rFonts w:ascii="宋体" w:eastAsia="宋体" w:hAnsi="宋体" w:hint="eastAsia"/>
                <w:bCs/>
                <w:szCs w:val="21"/>
              </w:rPr>
              <w:t>固态硬盘</w:t>
            </w:r>
          </w:p>
        </w:tc>
        <w:tc>
          <w:tcPr>
            <w:tcW w:w="5996" w:type="dxa"/>
            <w:tcBorders>
              <w:top w:val="single" w:sz="4" w:space="0" w:color="auto"/>
              <w:left w:val="single" w:sz="4" w:space="0" w:color="auto"/>
              <w:bottom w:val="single" w:sz="4" w:space="0" w:color="auto"/>
              <w:right w:val="single" w:sz="4" w:space="0" w:color="auto"/>
            </w:tcBorders>
            <w:shd w:val="clear" w:color="auto" w:fill="auto"/>
            <w:noWrap/>
            <w:vAlign w:val="center"/>
          </w:tcPr>
          <w:p>
            <w:pPr>
              <w:rPr>
                <w:rFonts w:ascii="宋体" w:eastAsia="宋体" w:hAnsi="宋体"/>
                <w:bCs/>
                <w:szCs w:val="21"/>
              </w:rPr>
            </w:pPr>
            <w:r>
              <w:rPr>
                <w:rFonts w:ascii="宋体" w:eastAsia="宋体" w:hAnsi="宋体" w:hint="eastAsia"/>
                <w:bCs/>
                <w:szCs w:val="21"/>
              </w:rPr>
              <w:t>NVME协议，不低于4TB</w:t>
            </w:r>
          </w:p>
        </w:tc>
      </w:tr>
      <w:tr>
        <w:tblPrEx>
          <w:tblW w:w="8222" w:type="dxa"/>
          <w:jc w:val="center"/>
          <w:tblCellMar>
            <w:top w:w="0" w:type="dxa"/>
            <w:left w:w="108" w:type="dxa"/>
            <w:bottom w:w="0" w:type="dxa"/>
            <w:right w:w="108" w:type="dxa"/>
          </w:tblCellMar>
        </w:tblPrEx>
        <w:trPr>
          <w:trHeight w:val="20"/>
          <w:jc w:val="center"/>
        </w:trPr>
        <w:tc>
          <w:tcPr>
            <w:tcW w:w="809" w:type="dxa"/>
            <w:tcBorders>
              <w:top w:val="single" w:sz="4" w:space="0" w:color="auto"/>
              <w:left w:val="single" w:sz="4" w:space="0" w:color="auto"/>
              <w:bottom w:val="single" w:sz="4" w:space="0" w:color="auto"/>
              <w:right w:val="nil"/>
            </w:tcBorders>
            <w:vAlign w:val="center"/>
          </w:tcPr>
          <w:p>
            <w:pPr>
              <w:jc w:val="center"/>
              <w:rPr>
                <w:rFonts w:ascii="宋体" w:eastAsia="宋体" w:hAnsi="宋体"/>
                <w:bCs/>
                <w:szCs w:val="21"/>
              </w:rPr>
            </w:pPr>
            <w:r>
              <w:rPr>
                <w:rFonts w:ascii="宋体" w:eastAsia="宋体" w:hAnsi="宋体"/>
                <w:bCs/>
                <w:szCs w:val="21"/>
              </w:rPr>
              <w:t>4</w:t>
            </w:r>
          </w:p>
        </w:tc>
        <w:tc>
          <w:tcPr>
            <w:tcW w:w="1417" w:type="dxa"/>
            <w:tcBorders>
              <w:top w:val="single" w:sz="4" w:space="0" w:color="auto"/>
              <w:left w:val="single" w:sz="4" w:space="0" w:color="auto"/>
              <w:bottom w:val="single" w:sz="4" w:space="0" w:color="auto"/>
              <w:right w:val="nil"/>
            </w:tcBorders>
            <w:shd w:val="clear" w:color="auto" w:fill="auto"/>
            <w:noWrap/>
            <w:vAlign w:val="center"/>
          </w:tcPr>
          <w:p>
            <w:pPr>
              <w:rPr>
                <w:rFonts w:ascii="宋体" w:eastAsia="宋体" w:hAnsi="宋体"/>
                <w:bCs/>
                <w:szCs w:val="21"/>
              </w:rPr>
            </w:pPr>
            <w:r>
              <w:rPr>
                <w:rFonts w:ascii="宋体" w:eastAsia="宋体" w:hAnsi="宋体" w:hint="eastAsia"/>
                <w:bCs/>
                <w:szCs w:val="21"/>
              </w:rPr>
              <w:t>操作系统</w:t>
            </w:r>
          </w:p>
        </w:tc>
        <w:tc>
          <w:tcPr>
            <w:tcW w:w="5996" w:type="dxa"/>
            <w:tcBorders>
              <w:top w:val="single" w:sz="4" w:space="0" w:color="auto"/>
              <w:left w:val="single" w:sz="4" w:space="0" w:color="auto"/>
              <w:bottom w:val="single" w:sz="4" w:space="0" w:color="auto"/>
              <w:right w:val="single" w:sz="4" w:space="0" w:color="auto"/>
            </w:tcBorders>
            <w:shd w:val="clear" w:color="auto" w:fill="auto"/>
            <w:noWrap/>
            <w:vAlign w:val="center"/>
          </w:tcPr>
          <w:p>
            <w:pPr>
              <w:rPr>
                <w:rFonts w:ascii="宋体" w:eastAsia="宋体" w:hAnsi="宋体"/>
                <w:bCs/>
                <w:szCs w:val="21"/>
              </w:rPr>
            </w:pPr>
            <w:r>
              <w:rPr>
                <w:rFonts w:ascii="宋体" w:eastAsia="宋体" w:hAnsi="宋体" w:hint="eastAsia"/>
                <w:bCs/>
                <w:szCs w:val="21"/>
              </w:rPr>
              <w:t>国产信创系统</w:t>
            </w:r>
          </w:p>
        </w:tc>
      </w:tr>
      <w:bookmarkEnd w:id="76"/>
    </w:tbl>
    <w:p>
      <w:pPr>
        <w:spacing w:line="360" w:lineRule="auto"/>
        <w:ind w:firstLine="420" w:firstLineChars="200"/>
        <w:outlineLvl w:val="3"/>
        <w:rPr>
          <w:rFonts w:ascii="宋体" w:eastAsia="宋体" w:hAnsi="宋体"/>
          <w:b/>
          <w:bCs/>
          <w:szCs w:val="21"/>
        </w:rPr>
      </w:pPr>
      <w:bookmarkStart w:id="77" w:name="_Toc1451018862"/>
      <w:bookmarkStart w:id="78" w:name="_Hlk523995085"/>
      <w:r>
        <w:rPr>
          <w:rFonts w:ascii="宋体" w:eastAsia="宋体" w:hAnsi="宋体"/>
          <w:b/>
          <w:bCs/>
          <w:szCs w:val="21"/>
        </w:rPr>
        <w:t>8.</w:t>
      </w:r>
      <w:r>
        <w:rPr>
          <w:rFonts w:ascii="宋体" w:eastAsia="宋体" w:hAnsi="宋体" w:hint="eastAsia"/>
          <w:b/>
          <w:bCs/>
          <w:szCs w:val="21"/>
        </w:rPr>
        <w:t>气象产品要求</w:t>
      </w:r>
      <w:bookmarkEnd w:id="77"/>
    </w:p>
    <w:p>
      <w:pPr>
        <w:pStyle w:val="BodyTextFirstIndent2"/>
        <w:spacing w:line="360" w:lineRule="auto"/>
        <w:ind w:left="0" w:leftChars="0"/>
        <w:outlineLvl w:val="4"/>
        <w:rPr>
          <w:rFonts w:ascii="宋体" w:hAnsi="宋体"/>
          <w:szCs w:val="21"/>
        </w:rPr>
      </w:pPr>
      <w:r>
        <w:rPr>
          <w:rFonts w:ascii="宋体" w:hAnsi="宋体"/>
          <w:szCs w:val="21"/>
        </w:rPr>
        <w:t>8</w:t>
      </w:r>
      <w:r>
        <w:rPr>
          <w:rFonts w:ascii="宋体" w:hAnsi="宋体" w:hint="eastAsia"/>
          <w:szCs w:val="21"/>
        </w:rPr>
        <w:t>.1数据质量控制</w:t>
      </w:r>
    </w:p>
    <w:p>
      <w:pPr>
        <w:spacing w:line="360" w:lineRule="auto"/>
        <w:ind w:firstLine="420" w:firstLineChars="200"/>
        <w:rPr>
          <w:rFonts w:ascii="宋体" w:eastAsia="宋体" w:hAnsi="宋体"/>
          <w:szCs w:val="21"/>
        </w:rPr>
      </w:pPr>
      <w:r>
        <w:rPr>
          <w:rFonts w:ascii="宋体" w:eastAsia="宋体" w:hAnsi="宋体" w:hint="eastAsia"/>
          <w:szCs w:val="21"/>
        </w:rPr>
        <w:t>利用不少于3年的雷达标准数据集进行评估，算法质量需满足指标要求。</w:t>
      </w:r>
    </w:p>
    <w:p>
      <w:pPr>
        <w:spacing w:line="360" w:lineRule="auto"/>
        <w:ind w:firstLine="643"/>
        <w:jc w:val="center"/>
        <w:rPr>
          <w:rFonts w:ascii="宋体" w:eastAsia="宋体" w:hAnsi="宋体"/>
          <w:szCs w:val="21"/>
        </w:rPr>
      </w:pPr>
      <w:r>
        <w:rPr>
          <w:rFonts w:ascii="宋体" w:eastAsia="宋体" w:hAnsi="宋体" w:hint="eastAsia"/>
          <w:szCs w:val="21"/>
        </w:rPr>
        <w:t>表</w:t>
      </w:r>
      <w:r>
        <w:rPr>
          <w:rFonts w:ascii="宋体" w:eastAsia="宋体" w:hAnsi="宋体"/>
          <w:szCs w:val="21"/>
        </w:rPr>
        <w:t>10</w:t>
      </w:r>
      <w:r>
        <w:rPr>
          <w:rFonts w:ascii="宋体" w:eastAsia="宋体" w:hAnsi="宋体" w:hint="eastAsia"/>
          <w:szCs w:val="21"/>
        </w:rPr>
        <w:t xml:space="preserve"> 质控算法列表</w:t>
      </w:r>
    </w:p>
    <w:tbl>
      <w:tblPr>
        <w:tblStyle w:val="TableNormal"/>
        <w:tblW w:w="8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73"/>
        <w:gridCol w:w="2245"/>
        <w:gridCol w:w="5226"/>
      </w:tblGrid>
      <w:tr>
        <w:tblPrEx>
          <w:tblW w:w="8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jc w:val="center"/>
        </w:trPr>
        <w:tc>
          <w:tcPr>
            <w:tcW w:w="773" w:type="dxa"/>
            <w:vAlign w:val="center"/>
          </w:tcPr>
          <w:p>
            <w:pPr>
              <w:jc w:val="center"/>
              <w:rPr>
                <w:rFonts w:ascii="宋体" w:eastAsia="宋体" w:hAnsi="宋体"/>
                <w:b/>
                <w:bCs/>
                <w:szCs w:val="21"/>
              </w:rPr>
            </w:pPr>
            <w:r>
              <w:rPr>
                <w:rFonts w:ascii="宋体" w:eastAsia="宋体" w:hAnsi="宋体" w:hint="eastAsia"/>
                <w:b/>
                <w:bCs/>
                <w:szCs w:val="21"/>
              </w:rPr>
              <w:t>序号</w:t>
            </w:r>
          </w:p>
        </w:tc>
        <w:tc>
          <w:tcPr>
            <w:tcW w:w="2245" w:type="dxa"/>
            <w:noWrap/>
            <w:vAlign w:val="center"/>
          </w:tcPr>
          <w:p>
            <w:pPr>
              <w:jc w:val="center"/>
              <w:rPr>
                <w:rFonts w:ascii="宋体" w:eastAsia="宋体" w:hAnsi="宋体"/>
                <w:b/>
                <w:bCs/>
                <w:szCs w:val="21"/>
              </w:rPr>
            </w:pPr>
            <w:r>
              <w:rPr>
                <w:rFonts w:ascii="宋体" w:eastAsia="宋体" w:hAnsi="宋体" w:hint="eastAsia"/>
                <w:b/>
                <w:bCs/>
                <w:szCs w:val="21"/>
              </w:rPr>
              <w:t>算法名称</w:t>
            </w:r>
          </w:p>
        </w:tc>
        <w:tc>
          <w:tcPr>
            <w:tcW w:w="5226" w:type="dxa"/>
            <w:vAlign w:val="center"/>
          </w:tcPr>
          <w:p>
            <w:pPr>
              <w:jc w:val="center"/>
              <w:rPr>
                <w:rFonts w:ascii="宋体" w:eastAsia="宋体" w:hAnsi="宋体"/>
                <w:b/>
                <w:bCs/>
                <w:szCs w:val="21"/>
              </w:rPr>
            </w:pPr>
            <w:r>
              <w:rPr>
                <w:rFonts w:ascii="宋体" w:eastAsia="宋体" w:hAnsi="宋体" w:hint="eastAsia"/>
                <w:b/>
                <w:bCs/>
                <w:szCs w:val="21"/>
              </w:rPr>
              <w:t>指标要求</w:t>
            </w:r>
          </w:p>
        </w:tc>
      </w:tr>
      <w:tr>
        <w:tblPrEx>
          <w:tblW w:w="8244" w:type="dxa"/>
          <w:jc w:val="center"/>
          <w:tblCellMar>
            <w:top w:w="0" w:type="dxa"/>
            <w:left w:w="108" w:type="dxa"/>
            <w:bottom w:w="0" w:type="dxa"/>
            <w:right w:w="108" w:type="dxa"/>
          </w:tblCellMar>
        </w:tblPrEx>
        <w:trPr>
          <w:trHeight w:val="20"/>
          <w:jc w:val="center"/>
        </w:trPr>
        <w:tc>
          <w:tcPr>
            <w:tcW w:w="773" w:type="dxa"/>
            <w:vAlign w:val="center"/>
          </w:tcPr>
          <w:p>
            <w:pPr>
              <w:jc w:val="center"/>
              <w:rPr>
                <w:rFonts w:ascii="宋体" w:eastAsia="宋体" w:hAnsi="宋体"/>
                <w:bCs/>
                <w:szCs w:val="21"/>
              </w:rPr>
            </w:pPr>
            <w:r>
              <w:rPr>
                <w:rFonts w:ascii="宋体" w:eastAsia="宋体" w:hAnsi="宋体" w:hint="eastAsia"/>
                <w:bCs/>
                <w:szCs w:val="21"/>
              </w:rPr>
              <w:t>1</w:t>
            </w:r>
          </w:p>
        </w:tc>
        <w:tc>
          <w:tcPr>
            <w:tcW w:w="2245" w:type="dxa"/>
            <w:noWrap/>
            <w:vAlign w:val="center"/>
          </w:tcPr>
          <w:p>
            <w:pPr>
              <w:jc w:val="center"/>
              <w:rPr>
                <w:rFonts w:ascii="宋体" w:eastAsia="宋体" w:hAnsi="宋体"/>
                <w:bCs/>
                <w:szCs w:val="21"/>
              </w:rPr>
            </w:pPr>
            <w:r>
              <w:rPr>
                <w:rFonts w:ascii="宋体" w:eastAsia="宋体" w:hAnsi="宋体" w:hint="eastAsia"/>
                <w:bCs/>
                <w:szCs w:val="21"/>
              </w:rPr>
              <w:t>反射率因子衰减订正</w:t>
            </w:r>
          </w:p>
        </w:tc>
        <w:tc>
          <w:tcPr>
            <w:tcW w:w="5226" w:type="dxa"/>
            <w:vAlign w:val="center"/>
          </w:tcPr>
          <w:p>
            <w:pPr>
              <w:jc w:val="left"/>
              <w:rPr>
                <w:rFonts w:ascii="宋体" w:eastAsia="宋体" w:hAnsi="宋体"/>
                <w:bCs/>
                <w:szCs w:val="21"/>
              </w:rPr>
            </w:pPr>
            <w:r>
              <w:rPr>
                <w:rFonts w:ascii="宋体" w:eastAsia="宋体" w:hAnsi="宋体" w:hint="eastAsia"/>
                <w:bCs/>
                <w:szCs w:val="21"/>
              </w:rPr>
              <w:t>衰减订正后，与相邻S波段雷达相比平均偏差≤3.0dB</w:t>
            </w:r>
          </w:p>
        </w:tc>
      </w:tr>
      <w:tr>
        <w:tblPrEx>
          <w:tblW w:w="8244" w:type="dxa"/>
          <w:jc w:val="center"/>
          <w:tblCellMar>
            <w:top w:w="0" w:type="dxa"/>
            <w:left w:w="108" w:type="dxa"/>
            <w:bottom w:w="0" w:type="dxa"/>
            <w:right w:w="108" w:type="dxa"/>
          </w:tblCellMar>
        </w:tblPrEx>
        <w:trPr>
          <w:trHeight w:val="20"/>
          <w:jc w:val="center"/>
        </w:trPr>
        <w:tc>
          <w:tcPr>
            <w:tcW w:w="773" w:type="dxa"/>
            <w:vAlign w:val="center"/>
          </w:tcPr>
          <w:p>
            <w:pPr>
              <w:jc w:val="center"/>
              <w:rPr>
                <w:rFonts w:ascii="宋体" w:eastAsia="宋体" w:hAnsi="宋体"/>
                <w:bCs/>
                <w:szCs w:val="21"/>
              </w:rPr>
            </w:pPr>
            <w:r>
              <w:rPr>
                <w:rFonts w:ascii="宋体" w:eastAsia="宋体" w:hAnsi="宋体" w:hint="eastAsia"/>
                <w:bCs/>
                <w:szCs w:val="21"/>
              </w:rPr>
              <w:t>2</w:t>
            </w:r>
          </w:p>
        </w:tc>
        <w:tc>
          <w:tcPr>
            <w:tcW w:w="2245" w:type="dxa"/>
            <w:noWrap/>
            <w:vAlign w:val="center"/>
          </w:tcPr>
          <w:p>
            <w:pPr>
              <w:jc w:val="center"/>
              <w:rPr>
                <w:rFonts w:ascii="宋体" w:eastAsia="宋体" w:hAnsi="宋体"/>
                <w:bCs/>
                <w:szCs w:val="21"/>
              </w:rPr>
            </w:pPr>
            <w:r>
              <w:rPr>
                <w:rFonts w:ascii="宋体" w:eastAsia="宋体" w:hAnsi="宋体" w:hint="eastAsia"/>
                <w:bCs/>
                <w:szCs w:val="21"/>
              </w:rPr>
              <w:t>差分反射率衰减订正</w:t>
            </w:r>
          </w:p>
        </w:tc>
        <w:tc>
          <w:tcPr>
            <w:tcW w:w="5226" w:type="dxa"/>
            <w:vAlign w:val="center"/>
          </w:tcPr>
          <w:p>
            <w:pPr>
              <w:jc w:val="left"/>
              <w:rPr>
                <w:rFonts w:ascii="宋体" w:eastAsia="宋体" w:hAnsi="宋体"/>
                <w:bCs/>
                <w:szCs w:val="21"/>
              </w:rPr>
            </w:pPr>
            <w:r>
              <w:rPr>
                <w:rFonts w:ascii="宋体" w:eastAsia="宋体" w:hAnsi="宋体" w:hint="eastAsia"/>
                <w:bCs/>
                <w:szCs w:val="21"/>
              </w:rPr>
              <w:t>衰减订正后，与相邻S波段雷达相比平均偏差≤0.6dB</w:t>
            </w:r>
          </w:p>
        </w:tc>
      </w:tr>
      <w:tr>
        <w:tblPrEx>
          <w:tblW w:w="8244" w:type="dxa"/>
          <w:jc w:val="center"/>
          <w:tblCellMar>
            <w:top w:w="0" w:type="dxa"/>
            <w:left w:w="108" w:type="dxa"/>
            <w:bottom w:w="0" w:type="dxa"/>
            <w:right w:w="108" w:type="dxa"/>
          </w:tblCellMar>
        </w:tblPrEx>
        <w:trPr>
          <w:trHeight w:val="20"/>
          <w:jc w:val="center"/>
        </w:trPr>
        <w:tc>
          <w:tcPr>
            <w:tcW w:w="773" w:type="dxa"/>
            <w:vAlign w:val="center"/>
          </w:tcPr>
          <w:p>
            <w:pPr>
              <w:jc w:val="center"/>
              <w:rPr>
                <w:rFonts w:ascii="宋体" w:eastAsia="宋体" w:hAnsi="宋体"/>
                <w:bCs/>
                <w:szCs w:val="21"/>
              </w:rPr>
            </w:pPr>
            <w:r>
              <w:rPr>
                <w:rFonts w:ascii="宋体" w:eastAsia="宋体" w:hAnsi="宋体" w:hint="eastAsia"/>
                <w:bCs/>
                <w:szCs w:val="21"/>
              </w:rPr>
              <w:t>3</w:t>
            </w:r>
          </w:p>
        </w:tc>
        <w:tc>
          <w:tcPr>
            <w:tcW w:w="2245" w:type="dxa"/>
            <w:noWrap/>
            <w:vAlign w:val="center"/>
          </w:tcPr>
          <w:p>
            <w:pPr>
              <w:jc w:val="center"/>
              <w:rPr>
                <w:rFonts w:ascii="宋体" w:eastAsia="宋体" w:hAnsi="宋体"/>
                <w:bCs/>
                <w:szCs w:val="21"/>
              </w:rPr>
            </w:pPr>
            <w:r>
              <w:rPr>
                <w:rFonts w:ascii="宋体" w:eastAsia="宋体" w:hAnsi="宋体" w:hint="eastAsia"/>
                <w:bCs/>
                <w:szCs w:val="21"/>
              </w:rPr>
              <w:t>地物杂波消除</w:t>
            </w:r>
          </w:p>
        </w:tc>
        <w:tc>
          <w:tcPr>
            <w:tcW w:w="5226" w:type="dxa"/>
            <w:vAlign w:val="center"/>
          </w:tcPr>
          <w:p>
            <w:pPr>
              <w:jc w:val="left"/>
              <w:rPr>
                <w:rFonts w:ascii="宋体" w:eastAsia="宋体" w:hAnsi="宋体"/>
                <w:bCs/>
                <w:szCs w:val="21"/>
              </w:rPr>
            </w:pPr>
            <w:r>
              <w:rPr>
                <w:rFonts w:ascii="宋体" w:eastAsia="宋体" w:hAnsi="宋体" w:hint="eastAsia"/>
                <w:bCs/>
                <w:szCs w:val="21"/>
              </w:rPr>
              <w:t>非降水回波识别准确率≥88%，且降水回波误判率≤5%</w:t>
            </w:r>
          </w:p>
        </w:tc>
      </w:tr>
      <w:tr>
        <w:tblPrEx>
          <w:tblW w:w="8244" w:type="dxa"/>
          <w:jc w:val="center"/>
          <w:tblCellMar>
            <w:top w:w="0" w:type="dxa"/>
            <w:left w:w="108" w:type="dxa"/>
            <w:bottom w:w="0" w:type="dxa"/>
            <w:right w:w="108" w:type="dxa"/>
          </w:tblCellMar>
        </w:tblPrEx>
        <w:trPr>
          <w:trHeight w:val="20"/>
          <w:jc w:val="center"/>
        </w:trPr>
        <w:tc>
          <w:tcPr>
            <w:tcW w:w="773" w:type="dxa"/>
            <w:vAlign w:val="center"/>
          </w:tcPr>
          <w:p>
            <w:pPr>
              <w:jc w:val="center"/>
              <w:rPr>
                <w:rFonts w:ascii="宋体" w:eastAsia="宋体" w:hAnsi="宋体"/>
                <w:bCs/>
                <w:szCs w:val="21"/>
              </w:rPr>
            </w:pPr>
            <w:r>
              <w:rPr>
                <w:rFonts w:ascii="宋体" w:eastAsia="宋体" w:hAnsi="宋体" w:hint="eastAsia"/>
                <w:bCs/>
                <w:szCs w:val="21"/>
              </w:rPr>
              <w:t>4</w:t>
            </w:r>
          </w:p>
        </w:tc>
        <w:tc>
          <w:tcPr>
            <w:tcW w:w="2245" w:type="dxa"/>
            <w:noWrap/>
            <w:vAlign w:val="center"/>
          </w:tcPr>
          <w:p>
            <w:pPr>
              <w:jc w:val="center"/>
              <w:rPr>
                <w:rFonts w:ascii="宋体" w:eastAsia="宋体" w:hAnsi="宋体"/>
                <w:bCs/>
                <w:szCs w:val="21"/>
              </w:rPr>
            </w:pPr>
            <w:r>
              <w:rPr>
                <w:rFonts w:ascii="宋体" w:eastAsia="宋体" w:hAnsi="宋体" w:hint="eastAsia"/>
                <w:bCs/>
                <w:szCs w:val="21"/>
              </w:rPr>
              <w:t>径向干扰消除</w:t>
            </w:r>
          </w:p>
        </w:tc>
        <w:tc>
          <w:tcPr>
            <w:tcW w:w="5226" w:type="dxa"/>
            <w:vAlign w:val="center"/>
          </w:tcPr>
          <w:p>
            <w:pPr>
              <w:jc w:val="left"/>
              <w:rPr>
                <w:rFonts w:ascii="宋体" w:eastAsia="宋体" w:hAnsi="宋体"/>
                <w:bCs/>
                <w:szCs w:val="21"/>
              </w:rPr>
            </w:pPr>
            <w:r>
              <w:rPr>
                <w:rFonts w:ascii="宋体" w:eastAsia="宋体" w:hAnsi="宋体" w:hint="eastAsia"/>
                <w:bCs/>
                <w:szCs w:val="21"/>
              </w:rPr>
              <w:t>径向干扰识别准确率≥90%，且降水回波误判率≤5%</w:t>
            </w:r>
          </w:p>
        </w:tc>
      </w:tr>
      <w:tr>
        <w:tblPrEx>
          <w:tblW w:w="8244" w:type="dxa"/>
          <w:jc w:val="center"/>
          <w:tblCellMar>
            <w:top w:w="0" w:type="dxa"/>
            <w:left w:w="108" w:type="dxa"/>
            <w:bottom w:w="0" w:type="dxa"/>
            <w:right w:w="108" w:type="dxa"/>
          </w:tblCellMar>
        </w:tblPrEx>
        <w:trPr>
          <w:trHeight w:val="20"/>
          <w:jc w:val="center"/>
        </w:trPr>
        <w:tc>
          <w:tcPr>
            <w:tcW w:w="773" w:type="dxa"/>
            <w:vAlign w:val="center"/>
          </w:tcPr>
          <w:p>
            <w:pPr>
              <w:jc w:val="center"/>
              <w:rPr>
                <w:rFonts w:ascii="宋体" w:eastAsia="宋体" w:hAnsi="宋体"/>
                <w:bCs/>
                <w:szCs w:val="21"/>
              </w:rPr>
            </w:pPr>
            <w:r>
              <w:rPr>
                <w:rFonts w:ascii="宋体" w:eastAsia="宋体" w:hAnsi="宋体" w:hint="eastAsia"/>
                <w:bCs/>
                <w:szCs w:val="21"/>
              </w:rPr>
              <w:t>5</w:t>
            </w:r>
          </w:p>
        </w:tc>
        <w:tc>
          <w:tcPr>
            <w:tcW w:w="2245" w:type="dxa"/>
            <w:noWrap/>
            <w:vAlign w:val="center"/>
          </w:tcPr>
          <w:p>
            <w:pPr>
              <w:jc w:val="center"/>
              <w:rPr>
                <w:rFonts w:ascii="宋体" w:eastAsia="宋体" w:hAnsi="宋体"/>
                <w:bCs/>
                <w:szCs w:val="21"/>
              </w:rPr>
            </w:pPr>
            <w:r>
              <w:rPr>
                <w:rFonts w:ascii="宋体" w:eastAsia="宋体" w:hAnsi="宋体" w:hint="eastAsia"/>
                <w:bCs/>
                <w:szCs w:val="21"/>
              </w:rPr>
              <w:t>晴空回波消除</w:t>
            </w:r>
          </w:p>
        </w:tc>
        <w:tc>
          <w:tcPr>
            <w:tcW w:w="5226" w:type="dxa"/>
            <w:vAlign w:val="center"/>
          </w:tcPr>
          <w:p>
            <w:pPr>
              <w:jc w:val="left"/>
              <w:rPr>
                <w:rFonts w:ascii="宋体" w:eastAsia="宋体" w:hAnsi="宋体"/>
                <w:bCs/>
                <w:szCs w:val="21"/>
              </w:rPr>
            </w:pPr>
            <w:r>
              <w:rPr>
                <w:rFonts w:ascii="宋体" w:eastAsia="宋体" w:hAnsi="宋体" w:hint="eastAsia"/>
                <w:bCs/>
                <w:szCs w:val="21"/>
              </w:rPr>
              <w:t>非降水回波识别准确率≥88%，且降水回波误判率≤5%</w:t>
            </w:r>
          </w:p>
        </w:tc>
      </w:tr>
    </w:tbl>
    <w:p>
      <w:pPr>
        <w:pStyle w:val="BodyTextFirstIndent2"/>
        <w:spacing w:line="360" w:lineRule="auto"/>
        <w:ind w:left="0" w:leftChars="0"/>
        <w:outlineLvl w:val="4"/>
        <w:rPr>
          <w:rFonts w:ascii="宋体" w:hAnsi="宋体"/>
          <w:szCs w:val="21"/>
        </w:rPr>
      </w:pPr>
      <w:r>
        <w:rPr>
          <w:rFonts w:ascii="宋体" w:hAnsi="宋体"/>
          <w:szCs w:val="21"/>
        </w:rPr>
        <w:t>8</w:t>
      </w:r>
      <w:r>
        <w:rPr>
          <w:rFonts w:ascii="宋体" w:hAnsi="宋体" w:hint="eastAsia"/>
          <w:szCs w:val="21"/>
        </w:rPr>
        <w:t>.2气象产品种类</w:t>
      </w:r>
    </w:p>
    <w:p>
      <w:pPr>
        <w:spacing w:line="360" w:lineRule="auto"/>
        <w:ind w:firstLine="420" w:firstLineChars="200"/>
        <w:rPr>
          <w:rFonts w:ascii="宋体" w:eastAsia="宋体" w:hAnsi="宋体"/>
          <w:szCs w:val="21"/>
        </w:rPr>
      </w:pPr>
      <w:r>
        <w:rPr>
          <w:rFonts w:ascii="宋体" w:eastAsia="宋体" w:hAnsi="宋体" w:hint="eastAsia"/>
          <w:szCs w:val="21"/>
        </w:rPr>
        <w:t>气象产品包含但不限于以下内容，可以根据雷达实际用途进行扩展。</w:t>
      </w:r>
    </w:p>
    <w:p>
      <w:pPr>
        <w:spacing w:line="360" w:lineRule="auto"/>
        <w:ind w:firstLine="643"/>
        <w:jc w:val="center"/>
        <w:rPr>
          <w:rFonts w:ascii="宋体" w:eastAsia="宋体" w:hAnsi="宋体"/>
          <w:szCs w:val="21"/>
        </w:rPr>
      </w:pPr>
      <w:r>
        <w:rPr>
          <w:rFonts w:ascii="宋体" w:eastAsia="宋体" w:hAnsi="宋体" w:hint="eastAsia"/>
          <w:szCs w:val="21"/>
        </w:rPr>
        <w:t>表</w:t>
      </w:r>
      <w:r>
        <w:rPr>
          <w:rFonts w:ascii="宋体" w:eastAsia="宋体" w:hAnsi="宋体"/>
          <w:szCs w:val="21"/>
        </w:rPr>
        <w:t>11</w:t>
      </w:r>
      <w:r>
        <w:rPr>
          <w:rFonts w:ascii="宋体" w:eastAsia="宋体" w:hAnsi="宋体" w:hint="eastAsia"/>
          <w:szCs w:val="21"/>
        </w:rPr>
        <w:t xml:space="preserve"> 基本产品列表</w:t>
      </w:r>
    </w:p>
    <w:tbl>
      <w:tblPr>
        <w:tblStyle w:val="13"/>
        <w:tblW w:w="48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655"/>
        <w:gridCol w:w="3427"/>
        <w:gridCol w:w="2195"/>
      </w:tblGrid>
      <w:tr>
        <w:tblPrEx>
          <w:tblW w:w="48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20"/>
          <w:jc w:val="center"/>
        </w:trPr>
        <w:tc>
          <w:tcPr>
            <w:tcW w:w="1604" w:type="pct"/>
            <w:vAlign w:val="center"/>
          </w:tcPr>
          <w:p>
            <w:pPr>
              <w:jc w:val="center"/>
              <w:rPr>
                <w:rFonts w:ascii="宋体" w:eastAsia="宋体" w:hAnsi="宋体"/>
                <w:b/>
                <w:bCs/>
                <w:szCs w:val="21"/>
              </w:rPr>
            </w:pPr>
            <w:bookmarkStart w:id="79" w:name="_Toc374091462"/>
            <w:bookmarkStart w:id="80" w:name="_Toc28194"/>
            <w:r>
              <w:rPr>
                <w:rFonts w:ascii="宋体" w:eastAsia="宋体" w:hAnsi="宋体" w:hint="eastAsia"/>
                <w:b/>
                <w:bCs/>
                <w:szCs w:val="21"/>
              </w:rPr>
              <w:t>类别</w:t>
            </w:r>
          </w:p>
        </w:tc>
        <w:tc>
          <w:tcPr>
            <w:tcW w:w="2070" w:type="pct"/>
            <w:vAlign w:val="center"/>
          </w:tcPr>
          <w:p>
            <w:pPr>
              <w:jc w:val="center"/>
              <w:rPr>
                <w:rFonts w:ascii="宋体" w:eastAsia="宋体" w:hAnsi="宋体"/>
                <w:b/>
                <w:bCs/>
                <w:szCs w:val="21"/>
              </w:rPr>
            </w:pPr>
            <w:r>
              <w:rPr>
                <w:rFonts w:ascii="宋体" w:eastAsia="宋体" w:hAnsi="宋体" w:hint="eastAsia"/>
                <w:b/>
                <w:bCs/>
                <w:szCs w:val="21"/>
              </w:rPr>
              <w:t>产品名称</w:t>
            </w:r>
          </w:p>
        </w:tc>
        <w:tc>
          <w:tcPr>
            <w:tcW w:w="1326" w:type="pct"/>
            <w:vAlign w:val="center"/>
          </w:tcPr>
          <w:p>
            <w:pPr>
              <w:jc w:val="center"/>
              <w:rPr>
                <w:rFonts w:ascii="宋体" w:eastAsia="宋体" w:hAnsi="宋体"/>
                <w:b/>
                <w:bCs/>
                <w:szCs w:val="21"/>
              </w:rPr>
            </w:pPr>
            <w:r>
              <w:rPr>
                <w:rFonts w:ascii="宋体" w:eastAsia="宋体" w:hAnsi="宋体" w:hint="eastAsia"/>
                <w:b/>
                <w:bCs/>
                <w:szCs w:val="21"/>
              </w:rPr>
              <w:t>产品标识</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restart"/>
            <w:vAlign w:val="center"/>
          </w:tcPr>
          <w:p>
            <w:pPr>
              <w:jc w:val="center"/>
              <w:rPr>
                <w:rFonts w:ascii="宋体" w:eastAsia="宋体" w:hAnsi="宋体"/>
                <w:bCs/>
                <w:szCs w:val="21"/>
              </w:rPr>
            </w:pPr>
            <w:r>
              <w:rPr>
                <w:rFonts w:ascii="宋体" w:eastAsia="宋体" w:hAnsi="宋体" w:hint="eastAsia"/>
                <w:bCs/>
                <w:szCs w:val="21"/>
              </w:rPr>
              <w:t>基础量</w:t>
            </w:r>
          </w:p>
          <w:p>
            <w:pPr>
              <w:jc w:val="center"/>
              <w:rPr>
                <w:rFonts w:ascii="宋体" w:eastAsia="宋体" w:hAnsi="宋体"/>
                <w:bCs/>
                <w:szCs w:val="21"/>
              </w:rPr>
            </w:pPr>
            <w:r>
              <w:rPr>
                <w:rFonts w:ascii="宋体" w:eastAsia="宋体" w:hAnsi="宋体" w:hint="eastAsia"/>
                <w:bCs/>
                <w:szCs w:val="21"/>
              </w:rPr>
              <w:t>（10种）</w:t>
            </w:r>
          </w:p>
        </w:tc>
        <w:tc>
          <w:tcPr>
            <w:tcW w:w="2070" w:type="pct"/>
            <w:vAlign w:val="center"/>
          </w:tcPr>
          <w:p>
            <w:pPr>
              <w:jc w:val="center"/>
              <w:rPr>
                <w:rFonts w:ascii="宋体" w:eastAsia="宋体" w:hAnsi="宋体"/>
                <w:bCs/>
                <w:szCs w:val="21"/>
              </w:rPr>
            </w:pPr>
            <w:r>
              <w:rPr>
                <w:rFonts w:ascii="宋体" w:eastAsia="宋体" w:hAnsi="宋体" w:hint="eastAsia"/>
                <w:bCs/>
                <w:szCs w:val="21"/>
              </w:rPr>
              <w:t>滤波前反射率</w:t>
            </w:r>
          </w:p>
        </w:tc>
        <w:tc>
          <w:tcPr>
            <w:tcW w:w="1326" w:type="pct"/>
            <w:vAlign w:val="center"/>
          </w:tcPr>
          <w:p>
            <w:pPr>
              <w:jc w:val="center"/>
              <w:rPr>
                <w:rFonts w:ascii="宋体" w:eastAsia="宋体" w:hAnsi="宋体"/>
                <w:bCs/>
                <w:szCs w:val="21"/>
              </w:rPr>
            </w:pPr>
            <w:r>
              <w:rPr>
                <w:rFonts w:ascii="宋体" w:eastAsia="宋体" w:hAnsi="宋体" w:hint="eastAsia"/>
                <w:bCs/>
                <w:szCs w:val="21"/>
              </w:rPr>
              <w:t>TR</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滤波后反射率</w:t>
            </w:r>
          </w:p>
        </w:tc>
        <w:tc>
          <w:tcPr>
            <w:tcW w:w="1326" w:type="pct"/>
            <w:vAlign w:val="center"/>
          </w:tcPr>
          <w:p>
            <w:pPr>
              <w:jc w:val="center"/>
              <w:rPr>
                <w:rFonts w:ascii="宋体" w:eastAsia="宋体" w:hAnsi="宋体"/>
                <w:bCs/>
                <w:szCs w:val="21"/>
              </w:rPr>
            </w:pPr>
            <w:r>
              <w:rPr>
                <w:rFonts w:ascii="宋体" w:eastAsia="宋体" w:hAnsi="宋体" w:hint="eastAsia"/>
                <w:bCs/>
                <w:szCs w:val="21"/>
              </w:rPr>
              <w:t>R</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径向速度</w:t>
            </w:r>
          </w:p>
        </w:tc>
        <w:tc>
          <w:tcPr>
            <w:tcW w:w="1326" w:type="pct"/>
            <w:vAlign w:val="center"/>
          </w:tcPr>
          <w:p>
            <w:pPr>
              <w:jc w:val="center"/>
              <w:rPr>
                <w:rFonts w:ascii="宋体" w:eastAsia="宋体" w:hAnsi="宋体"/>
                <w:bCs/>
                <w:szCs w:val="21"/>
              </w:rPr>
            </w:pPr>
            <w:r>
              <w:rPr>
                <w:rFonts w:ascii="宋体" w:eastAsia="宋体" w:hAnsi="宋体" w:hint="eastAsia"/>
                <w:bCs/>
                <w:szCs w:val="21"/>
              </w:rPr>
              <w:t>V</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速度谱宽</w:t>
            </w:r>
          </w:p>
        </w:tc>
        <w:tc>
          <w:tcPr>
            <w:tcW w:w="1326" w:type="pct"/>
            <w:vAlign w:val="center"/>
          </w:tcPr>
          <w:p>
            <w:pPr>
              <w:jc w:val="center"/>
              <w:rPr>
                <w:rFonts w:ascii="宋体" w:eastAsia="宋体" w:hAnsi="宋体"/>
                <w:bCs/>
                <w:szCs w:val="21"/>
              </w:rPr>
            </w:pPr>
            <w:r>
              <w:rPr>
                <w:rFonts w:ascii="宋体" w:eastAsia="宋体" w:hAnsi="宋体" w:hint="eastAsia"/>
                <w:bCs/>
                <w:szCs w:val="21"/>
              </w:rPr>
              <w:t>SW</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差分反射率</w:t>
            </w:r>
          </w:p>
        </w:tc>
        <w:tc>
          <w:tcPr>
            <w:tcW w:w="1326" w:type="pct"/>
            <w:vAlign w:val="center"/>
          </w:tcPr>
          <w:p>
            <w:pPr>
              <w:jc w:val="center"/>
              <w:rPr>
                <w:rFonts w:ascii="宋体" w:eastAsia="宋体" w:hAnsi="宋体"/>
                <w:bCs/>
                <w:szCs w:val="21"/>
              </w:rPr>
            </w:pPr>
            <w:r>
              <w:rPr>
                <w:rFonts w:ascii="宋体" w:eastAsia="宋体" w:hAnsi="宋体" w:hint="eastAsia"/>
                <w:bCs/>
                <w:szCs w:val="21"/>
              </w:rPr>
              <w:t>ZDR</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差分传播相移</w:t>
            </w:r>
          </w:p>
        </w:tc>
        <w:tc>
          <w:tcPr>
            <w:tcW w:w="1326" w:type="pct"/>
            <w:vAlign w:val="center"/>
          </w:tcPr>
          <w:p>
            <w:pPr>
              <w:jc w:val="center"/>
              <w:rPr>
                <w:rFonts w:ascii="宋体" w:eastAsia="宋体" w:hAnsi="宋体"/>
                <w:bCs/>
                <w:szCs w:val="21"/>
              </w:rPr>
            </w:pPr>
            <w:r>
              <w:rPr>
                <w:rFonts w:ascii="宋体" w:eastAsia="宋体" w:hAnsi="宋体" w:hint="eastAsia"/>
                <w:bCs/>
                <w:szCs w:val="21"/>
              </w:rPr>
              <w:t>PDP</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差分传播相移率</w:t>
            </w:r>
          </w:p>
        </w:tc>
        <w:tc>
          <w:tcPr>
            <w:tcW w:w="1326" w:type="pct"/>
            <w:vAlign w:val="center"/>
          </w:tcPr>
          <w:p>
            <w:pPr>
              <w:jc w:val="center"/>
              <w:rPr>
                <w:rFonts w:ascii="宋体" w:eastAsia="宋体" w:hAnsi="宋体"/>
                <w:bCs/>
                <w:szCs w:val="21"/>
              </w:rPr>
            </w:pPr>
            <w:r>
              <w:rPr>
                <w:rFonts w:ascii="宋体" w:eastAsia="宋体" w:hAnsi="宋体" w:hint="eastAsia"/>
                <w:bCs/>
                <w:szCs w:val="21"/>
              </w:rPr>
              <w:t>KDP</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相关系数</w:t>
            </w:r>
          </w:p>
        </w:tc>
        <w:tc>
          <w:tcPr>
            <w:tcW w:w="1326" w:type="pct"/>
            <w:vAlign w:val="center"/>
          </w:tcPr>
          <w:p>
            <w:pPr>
              <w:jc w:val="center"/>
              <w:rPr>
                <w:rFonts w:ascii="宋体" w:eastAsia="宋体" w:hAnsi="宋体"/>
                <w:bCs/>
                <w:szCs w:val="21"/>
              </w:rPr>
            </w:pPr>
            <w:r>
              <w:rPr>
                <w:rFonts w:ascii="宋体" w:eastAsia="宋体" w:hAnsi="宋体" w:hint="eastAsia"/>
                <w:bCs/>
                <w:szCs w:val="21"/>
              </w:rPr>
              <w:t>CC</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水平通道信噪比</w:t>
            </w:r>
          </w:p>
        </w:tc>
        <w:tc>
          <w:tcPr>
            <w:tcW w:w="1326" w:type="pct"/>
            <w:vAlign w:val="center"/>
          </w:tcPr>
          <w:p>
            <w:pPr>
              <w:jc w:val="center"/>
              <w:rPr>
                <w:rFonts w:ascii="宋体" w:eastAsia="宋体" w:hAnsi="宋体"/>
                <w:bCs/>
                <w:szCs w:val="21"/>
              </w:rPr>
            </w:pPr>
            <w:r>
              <w:rPr>
                <w:rFonts w:ascii="宋体" w:eastAsia="宋体" w:hAnsi="宋体" w:hint="eastAsia"/>
                <w:bCs/>
                <w:szCs w:val="21"/>
              </w:rPr>
              <w:t>SNRH</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垂直通道信噪比</w:t>
            </w:r>
          </w:p>
        </w:tc>
        <w:tc>
          <w:tcPr>
            <w:tcW w:w="1326" w:type="pct"/>
            <w:vAlign w:val="center"/>
          </w:tcPr>
          <w:p>
            <w:pPr>
              <w:jc w:val="center"/>
              <w:rPr>
                <w:rFonts w:ascii="宋体" w:eastAsia="宋体" w:hAnsi="宋体"/>
                <w:bCs/>
                <w:szCs w:val="21"/>
              </w:rPr>
            </w:pPr>
            <w:r>
              <w:rPr>
                <w:rFonts w:ascii="宋体" w:eastAsia="宋体" w:hAnsi="宋体" w:hint="eastAsia"/>
                <w:bCs/>
                <w:szCs w:val="21"/>
              </w:rPr>
              <w:t>SNRV</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restart"/>
            <w:vAlign w:val="center"/>
          </w:tcPr>
          <w:p>
            <w:pPr>
              <w:jc w:val="center"/>
              <w:rPr>
                <w:rFonts w:ascii="宋体" w:eastAsia="宋体" w:hAnsi="宋体"/>
                <w:bCs/>
                <w:szCs w:val="21"/>
              </w:rPr>
            </w:pPr>
            <w:r>
              <w:rPr>
                <w:rFonts w:ascii="宋体" w:eastAsia="宋体" w:hAnsi="宋体" w:hint="eastAsia"/>
                <w:bCs/>
                <w:szCs w:val="21"/>
              </w:rPr>
              <w:t>物理量</w:t>
            </w:r>
          </w:p>
          <w:p>
            <w:pPr>
              <w:jc w:val="center"/>
              <w:rPr>
                <w:rFonts w:ascii="宋体" w:eastAsia="宋体" w:hAnsi="宋体"/>
                <w:bCs/>
                <w:szCs w:val="21"/>
              </w:rPr>
            </w:pPr>
            <w:r>
              <w:rPr>
                <w:rFonts w:ascii="宋体" w:eastAsia="宋体" w:hAnsi="宋体" w:hint="eastAsia"/>
                <w:bCs/>
                <w:szCs w:val="21"/>
              </w:rPr>
              <w:t>（10种）</w:t>
            </w:r>
          </w:p>
        </w:tc>
        <w:tc>
          <w:tcPr>
            <w:tcW w:w="2070" w:type="pct"/>
            <w:vAlign w:val="center"/>
          </w:tcPr>
          <w:p>
            <w:pPr>
              <w:jc w:val="center"/>
              <w:rPr>
                <w:rFonts w:ascii="宋体" w:eastAsia="宋体" w:hAnsi="宋体"/>
                <w:bCs/>
                <w:szCs w:val="21"/>
              </w:rPr>
            </w:pPr>
            <w:r>
              <w:rPr>
                <w:rFonts w:ascii="宋体" w:eastAsia="宋体" w:hAnsi="宋体" w:hint="eastAsia"/>
                <w:bCs/>
                <w:szCs w:val="21"/>
              </w:rPr>
              <w:t>组合反射率</w:t>
            </w:r>
          </w:p>
        </w:tc>
        <w:tc>
          <w:tcPr>
            <w:tcW w:w="1326" w:type="pct"/>
            <w:vAlign w:val="center"/>
          </w:tcPr>
          <w:p>
            <w:pPr>
              <w:jc w:val="center"/>
              <w:rPr>
                <w:rFonts w:ascii="宋体" w:eastAsia="宋体" w:hAnsi="宋体"/>
                <w:bCs/>
                <w:szCs w:val="21"/>
              </w:rPr>
            </w:pPr>
            <w:r>
              <w:rPr>
                <w:rFonts w:ascii="宋体" w:eastAsia="宋体" w:hAnsi="宋体" w:hint="eastAsia"/>
                <w:bCs/>
                <w:szCs w:val="21"/>
              </w:rPr>
              <w:t>CR</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垂直积分液态水</w:t>
            </w:r>
          </w:p>
        </w:tc>
        <w:tc>
          <w:tcPr>
            <w:tcW w:w="1326" w:type="pct"/>
            <w:vAlign w:val="center"/>
          </w:tcPr>
          <w:p>
            <w:pPr>
              <w:jc w:val="center"/>
              <w:rPr>
                <w:rFonts w:ascii="宋体" w:eastAsia="宋体" w:hAnsi="宋体"/>
                <w:bCs/>
                <w:szCs w:val="21"/>
              </w:rPr>
            </w:pPr>
            <w:r>
              <w:rPr>
                <w:rFonts w:ascii="宋体" w:eastAsia="宋体" w:hAnsi="宋体" w:hint="eastAsia"/>
                <w:bCs/>
                <w:szCs w:val="21"/>
              </w:rPr>
              <w:t>VIL</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回波顶高</w:t>
            </w:r>
          </w:p>
        </w:tc>
        <w:tc>
          <w:tcPr>
            <w:tcW w:w="1326" w:type="pct"/>
            <w:vAlign w:val="bottom"/>
          </w:tcPr>
          <w:p>
            <w:pPr>
              <w:jc w:val="center"/>
              <w:rPr>
                <w:rFonts w:ascii="宋体" w:eastAsia="宋体" w:hAnsi="宋体"/>
                <w:bCs/>
                <w:szCs w:val="21"/>
              </w:rPr>
            </w:pPr>
            <w:r>
              <w:rPr>
                <w:rFonts w:ascii="宋体" w:eastAsia="宋体" w:hAnsi="宋体" w:hint="eastAsia"/>
                <w:bCs/>
                <w:szCs w:val="21"/>
              </w:rPr>
              <w:t>ET</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反射率等高平面位置显示</w:t>
            </w:r>
          </w:p>
        </w:tc>
        <w:tc>
          <w:tcPr>
            <w:tcW w:w="1326" w:type="pct"/>
            <w:vAlign w:val="bottom"/>
          </w:tcPr>
          <w:p>
            <w:pPr>
              <w:jc w:val="center"/>
              <w:rPr>
                <w:rFonts w:ascii="宋体" w:eastAsia="宋体" w:hAnsi="宋体"/>
                <w:bCs/>
                <w:szCs w:val="21"/>
              </w:rPr>
            </w:pPr>
            <w:r>
              <w:rPr>
                <w:rFonts w:ascii="宋体" w:eastAsia="宋体" w:hAnsi="宋体" w:hint="eastAsia"/>
                <w:bCs/>
                <w:szCs w:val="21"/>
              </w:rPr>
              <w:t>CAP</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速度方位显示</w:t>
            </w:r>
          </w:p>
        </w:tc>
        <w:tc>
          <w:tcPr>
            <w:tcW w:w="1326" w:type="pct"/>
            <w:vAlign w:val="bottom"/>
          </w:tcPr>
          <w:p>
            <w:pPr>
              <w:jc w:val="center"/>
              <w:rPr>
                <w:rFonts w:ascii="宋体" w:eastAsia="宋体" w:hAnsi="宋体"/>
                <w:bCs/>
                <w:szCs w:val="21"/>
              </w:rPr>
            </w:pPr>
            <w:r>
              <w:rPr>
                <w:rFonts w:ascii="宋体" w:eastAsia="宋体" w:hAnsi="宋体" w:hint="eastAsia"/>
                <w:bCs/>
                <w:szCs w:val="21"/>
              </w:rPr>
              <w:t>VAD</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速度方位显示风廓线</w:t>
            </w:r>
          </w:p>
        </w:tc>
        <w:tc>
          <w:tcPr>
            <w:tcW w:w="1326" w:type="pct"/>
            <w:vAlign w:val="center"/>
          </w:tcPr>
          <w:p>
            <w:pPr>
              <w:jc w:val="center"/>
              <w:rPr>
                <w:rFonts w:ascii="宋体" w:eastAsia="宋体" w:hAnsi="宋体"/>
                <w:bCs/>
                <w:szCs w:val="21"/>
              </w:rPr>
            </w:pPr>
            <w:r>
              <w:rPr>
                <w:rFonts w:ascii="宋体" w:eastAsia="宋体" w:hAnsi="宋体" w:hint="eastAsia"/>
                <w:bCs/>
                <w:szCs w:val="21"/>
              </w:rPr>
              <w:t>VWP</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1小时累积降水量</w:t>
            </w:r>
          </w:p>
        </w:tc>
        <w:tc>
          <w:tcPr>
            <w:tcW w:w="1326" w:type="pct"/>
            <w:vAlign w:val="center"/>
          </w:tcPr>
          <w:p>
            <w:pPr>
              <w:jc w:val="center"/>
              <w:rPr>
                <w:rFonts w:ascii="宋体" w:eastAsia="宋体" w:hAnsi="宋体"/>
                <w:bCs/>
                <w:szCs w:val="21"/>
              </w:rPr>
            </w:pPr>
            <w:r>
              <w:rPr>
                <w:rFonts w:ascii="宋体" w:eastAsia="宋体" w:hAnsi="宋体"/>
                <w:bCs/>
                <w:szCs w:val="21"/>
              </w:rPr>
              <w:t>1</w:t>
            </w:r>
            <w:r>
              <w:rPr>
                <w:rFonts w:ascii="宋体" w:eastAsia="宋体" w:hAnsi="宋体" w:hint="eastAsia"/>
                <w:bCs/>
                <w:szCs w:val="21"/>
              </w:rPr>
              <w:t>HP</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bCs/>
                <w:szCs w:val="21"/>
              </w:rPr>
              <w:t>2</w:t>
            </w:r>
            <w:r>
              <w:rPr>
                <w:rFonts w:ascii="宋体" w:eastAsia="宋体" w:hAnsi="宋体" w:hint="eastAsia"/>
                <w:bCs/>
                <w:szCs w:val="21"/>
              </w:rPr>
              <w:t>小时累积降水量</w:t>
            </w:r>
          </w:p>
        </w:tc>
        <w:tc>
          <w:tcPr>
            <w:tcW w:w="1326" w:type="pct"/>
            <w:vAlign w:val="center"/>
          </w:tcPr>
          <w:p>
            <w:pPr>
              <w:jc w:val="center"/>
              <w:rPr>
                <w:rFonts w:ascii="宋体" w:eastAsia="宋体" w:hAnsi="宋体"/>
                <w:bCs/>
                <w:szCs w:val="21"/>
              </w:rPr>
            </w:pPr>
            <w:r>
              <w:rPr>
                <w:rFonts w:ascii="宋体" w:eastAsia="宋体" w:hAnsi="宋体"/>
                <w:bCs/>
                <w:szCs w:val="21"/>
              </w:rPr>
              <w:t>2</w:t>
            </w:r>
            <w:r>
              <w:rPr>
                <w:rFonts w:ascii="宋体" w:eastAsia="宋体" w:hAnsi="宋体" w:hint="eastAsia"/>
                <w:bCs/>
                <w:szCs w:val="21"/>
              </w:rPr>
              <w:t>HP</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N小时累积降水量</w:t>
            </w:r>
          </w:p>
        </w:tc>
        <w:tc>
          <w:tcPr>
            <w:tcW w:w="1326" w:type="pct"/>
            <w:vAlign w:val="center"/>
          </w:tcPr>
          <w:p>
            <w:pPr>
              <w:jc w:val="center"/>
              <w:rPr>
                <w:rFonts w:ascii="宋体" w:eastAsia="宋体" w:hAnsi="宋体"/>
                <w:bCs/>
                <w:szCs w:val="21"/>
              </w:rPr>
            </w:pPr>
            <w:r>
              <w:rPr>
                <w:rFonts w:ascii="宋体" w:eastAsia="宋体" w:hAnsi="宋体" w:hint="eastAsia"/>
                <w:bCs/>
                <w:szCs w:val="21"/>
              </w:rPr>
              <w:t>NHP</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风暴质心高度</w:t>
            </w:r>
          </w:p>
        </w:tc>
        <w:tc>
          <w:tcPr>
            <w:tcW w:w="1326" w:type="pct"/>
            <w:vAlign w:val="center"/>
          </w:tcPr>
          <w:p>
            <w:pPr>
              <w:jc w:val="center"/>
              <w:rPr>
                <w:rFonts w:ascii="宋体" w:eastAsia="宋体" w:hAnsi="宋体"/>
                <w:bCs/>
                <w:szCs w:val="21"/>
              </w:rPr>
            </w:pPr>
            <w:r>
              <w:rPr>
                <w:rFonts w:ascii="宋体" w:eastAsia="宋体" w:hAnsi="宋体" w:hint="eastAsia"/>
                <w:bCs/>
                <w:szCs w:val="21"/>
              </w:rPr>
              <w:t>RCH</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restart"/>
            <w:vAlign w:val="center"/>
          </w:tcPr>
          <w:p>
            <w:pPr>
              <w:jc w:val="center"/>
              <w:rPr>
                <w:rFonts w:ascii="宋体" w:eastAsia="宋体" w:hAnsi="宋体"/>
                <w:bCs/>
                <w:szCs w:val="21"/>
              </w:rPr>
            </w:pPr>
            <w:r>
              <w:rPr>
                <w:rFonts w:ascii="宋体" w:eastAsia="宋体" w:hAnsi="宋体" w:hint="eastAsia"/>
                <w:bCs/>
                <w:szCs w:val="21"/>
              </w:rPr>
              <w:t>识别产品</w:t>
            </w:r>
          </w:p>
          <w:p>
            <w:pPr>
              <w:jc w:val="center"/>
              <w:rPr>
                <w:rFonts w:ascii="宋体" w:eastAsia="宋体" w:hAnsi="宋体"/>
                <w:bCs/>
                <w:szCs w:val="21"/>
              </w:rPr>
            </w:pPr>
            <w:r>
              <w:rPr>
                <w:rFonts w:ascii="宋体" w:eastAsia="宋体" w:hAnsi="宋体" w:hint="eastAsia"/>
                <w:bCs/>
                <w:szCs w:val="21"/>
              </w:rPr>
              <w:t>（6种）</w:t>
            </w:r>
          </w:p>
        </w:tc>
        <w:tc>
          <w:tcPr>
            <w:tcW w:w="2070" w:type="pct"/>
            <w:vAlign w:val="center"/>
          </w:tcPr>
          <w:p>
            <w:pPr>
              <w:jc w:val="center"/>
              <w:rPr>
                <w:rFonts w:ascii="宋体" w:eastAsia="宋体" w:hAnsi="宋体"/>
                <w:bCs/>
                <w:szCs w:val="21"/>
              </w:rPr>
            </w:pPr>
            <w:r>
              <w:rPr>
                <w:rFonts w:ascii="宋体" w:eastAsia="宋体" w:hAnsi="宋体" w:hint="eastAsia"/>
                <w:bCs/>
                <w:szCs w:val="21"/>
              </w:rPr>
              <w:t>冰雹指数</w:t>
            </w:r>
          </w:p>
        </w:tc>
        <w:tc>
          <w:tcPr>
            <w:tcW w:w="1326" w:type="pct"/>
            <w:vAlign w:val="center"/>
          </w:tcPr>
          <w:p>
            <w:pPr>
              <w:jc w:val="center"/>
              <w:rPr>
                <w:rFonts w:ascii="宋体" w:eastAsia="宋体" w:hAnsi="宋体"/>
                <w:bCs/>
                <w:szCs w:val="21"/>
              </w:rPr>
            </w:pPr>
            <w:r>
              <w:rPr>
                <w:rFonts w:ascii="宋体" w:eastAsia="宋体" w:hAnsi="宋体" w:hint="eastAsia"/>
                <w:bCs/>
                <w:szCs w:val="21"/>
              </w:rPr>
              <w:t>HI</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风暴追踪信息</w:t>
            </w:r>
          </w:p>
        </w:tc>
        <w:tc>
          <w:tcPr>
            <w:tcW w:w="1326" w:type="pct"/>
            <w:vAlign w:val="center"/>
          </w:tcPr>
          <w:p>
            <w:pPr>
              <w:jc w:val="center"/>
              <w:rPr>
                <w:rFonts w:ascii="宋体" w:eastAsia="宋体" w:hAnsi="宋体"/>
                <w:bCs/>
                <w:szCs w:val="21"/>
              </w:rPr>
            </w:pPr>
            <w:r>
              <w:rPr>
                <w:rFonts w:ascii="宋体" w:eastAsia="宋体" w:hAnsi="宋体" w:hint="eastAsia"/>
                <w:bCs/>
                <w:szCs w:val="21"/>
              </w:rPr>
              <w:t>STI</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中气旋</w:t>
            </w:r>
          </w:p>
        </w:tc>
        <w:tc>
          <w:tcPr>
            <w:tcW w:w="1326" w:type="pct"/>
            <w:vAlign w:val="center"/>
          </w:tcPr>
          <w:p>
            <w:pPr>
              <w:jc w:val="center"/>
              <w:rPr>
                <w:rFonts w:ascii="宋体" w:eastAsia="宋体" w:hAnsi="宋体"/>
                <w:bCs/>
                <w:szCs w:val="21"/>
              </w:rPr>
            </w:pPr>
            <w:r>
              <w:rPr>
                <w:rFonts w:ascii="宋体" w:eastAsia="宋体" w:hAnsi="宋体" w:hint="eastAsia"/>
                <w:bCs/>
                <w:szCs w:val="21"/>
              </w:rPr>
              <w:t>M</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水凝物分类</w:t>
            </w:r>
          </w:p>
        </w:tc>
        <w:tc>
          <w:tcPr>
            <w:tcW w:w="1326" w:type="pct"/>
            <w:vAlign w:val="bottom"/>
          </w:tcPr>
          <w:p>
            <w:pPr>
              <w:jc w:val="center"/>
              <w:rPr>
                <w:rFonts w:ascii="宋体" w:eastAsia="宋体" w:hAnsi="宋体"/>
                <w:bCs/>
                <w:szCs w:val="21"/>
              </w:rPr>
            </w:pPr>
            <w:r>
              <w:rPr>
                <w:rFonts w:ascii="宋体" w:eastAsia="宋体" w:hAnsi="宋体" w:hint="eastAsia"/>
                <w:bCs/>
                <w:szCs w:val="21"/>
              </w:rPr>
              <w:t>HCL</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雷暴大风</w:t>
            </w:r>
          </w:p>
        </w:tc>
        <w:tc>
          <w:tcPr>
            <w:tcW w:w="1326" w:type="pct"/>
            <w:vAlign w:val="center"/>
          </w:tcPr>
          <w:p>
            <w:pPr>
              <w:jc w:val="center"/>
              <w:rPr>
                <w:rFonts w:ascii="宋体" w:eastAsia="宋体" w:hAnsi="宋体"/>
                <w:bCs/>
                <w:szCs w:val="21"/>
              </w:rPr>
            </w:pPr>
            <w:r>
              <w:rPr>
                <w:rFonts w:ascii="宋体" w:eastAsia="宋体" w:hAnsi="宋体" w:hint="eastAsia"/>
                <w:bCs/>
                <w:szCs w:val="21"/>
              </w:rPr>
              <w:t>TD</w:t>
            </w:r>
          </w:p>
        </w:tc>
      </w:tr>
      <w:tr>
        <w:tblPrEx>
          <w:tblW w:w="4856" w:type="pct"/>
          <w:jc w:val="center"/>
          <w:tblCellMar>
            <w:top w:w="0" w:type="dxa"/>
            <w:left w:w="108" w:type="dxa"/>
            <w:bottom w:w="0" w:type="dxa"/>
            <w:right w:w="108" w:type="dxa"/>
          </w:tblCellMar>
        </w:tblPrEx>
        <w:trPr>
          <w:cantSplit/>
          <w:trHeight w:val="20"/>
          <w:jc w:val="center"/>
        </w:trPr>
        <w:tc>
          <w:tcPr>
            <w:tcW w:w="1604" w:type="pct"/>
            <w:vMerge/>
            <w:vAlign w:val="center"/>
          </w:tcPr>
          <w:p>
            <w:pPr>
              <w:jc w:val="center"/>
              <w:rPr>
                <w:rFonts w:ascii="宋体" w:eastAsia="宋体" w:hAnsi="宋体"/>
                <w:bCs/>
                <w:szCs w:val="21"/>
              </w:rPr>
            </w:pPr>
          </w:p>
        </w:tc>
        <w:tc>
          <w:tcPr>
            <w:tcW w:w="2070" w:type="pct"/>
            <w:vAlign w:val="center"/>
          </w:tcPr>
          <w:p>
            <w:pPr>
              <w:jc w:val="center"/>
              <w:rPr>
                <w:rFonts w:ascii="宋体" w:eastAsia="宋体" w:hAnsi="宋体"/>
                <w:bCs/>
                <w:szCs w:val="21"/>
              </w:rPr>
            </w:pPr>
            <w:r>
              <w:rPr>
                <w:rFonts w:ascii="宋体" w:eastAsia="宋体" w:hAnsi="宋体" w:hint="eastAsia"/>
                <w:bCs/>
                <w:szCs w:val="21"/>
              </w:rPr>
              <w:t>短时强降水</w:t>
            </w:r>
          </w:p>
        </w:tc>
        <w:tc>
          <w:tcPr>
            <w:tcW w:w="1326" w:type="pct"/>
            <w:vAlign w:val="bottom"/>
          </w:tcPr>
          <w:p>
            <w:pPr>
              <w:jc w:val="center"/>
              <w:rPr>
                <w:rFonts w:ascii="宋体" w:eastAsia="宋体" w:hAnsi="宋体"/>
                <w:bCs/>
                <w:szCs w:val="21"/>
              </w:rPr>
            </w:pPr>
            <w:r>
              <w:rPr>
                <w:rFonts w:ascii="宋体" w:eastAsia="宋体" w:hAnsi="宋体" w:hint="eastAsia"/>
                <w:bCs/>
                <w:szCs w:val="21"/>
              </w:rPr>
              <w:t>HR</w:t>
            </w:r>
          </w:p>
        </w:tc>
      </w:tr>
    </w:tbl>
    <w:p>
      <w:pPr>
        <w:pStyle w:val="BodyTextFirstIndent2"/>
        <w:spacing w:line="360" w:lineRule="auto"/>
        <w:ind w:left="0" w:leftChars="0"/>
        <w:outlineLvl w:val="4"/>
        <w:rPr>
          <w:rFonts w:ascii="宋体" w:hAnsi="宋体"/>
          <w:szCs w:val="21"/>
        </w:rPr>
      </w:pPr>
      <w:r>
        <w:rPr>
          <w:rFonts w:ascii="宋体" w:hAnsi="宋体"/>
          <w:szCs w:val="21"/>
        </w:rPr>
        <w:t>8</w:t>
      </w:r>
      <w:r>
        <w:rPr>
          <w:rFonts w:ascii="宋体" w:hAnsi="宋体" w:hint="eastAsia"/>
          <w:szCs w:val="21"/>
        </w:rPr>
        <w:t>.3</w:t>
      </w:r>
      <w:bookmarkEnd w:id="79"/>
      <w:bookmarkEnd w:id="80"/>
      <w:r>
        <w:rPr>
          <w:rFonts w:ascii="宋体" w:hAnsi="宋体" w:hint="eastAsia"/>
          <w:szCs w:val="21"/>
        </w:rPr>
        <w:t>软件功能要求</w:t>
      </w:r>
    </w:p>
    <w:p>
      <w:pPr>
        <w:spacing w:line="360" w:lineRule="auto"/>
        <w:ind w:firstLine="420" w:firstLineChars="200"/>
        <w:rPr>
          <w:rFonts w:ascii="宋体" w:eastAsia="宋体" w:hAnsi="宋体"/>
          <w:szCs w:val="21"/>
        </w:rPr>
      </w:pPr>
      <w:bookmarkStart w:id="81" w:name="_Toc374091465"/>
      <w:bookmarkStart w:id="82" w:name="_Toc24693"/>
      <w:r>
        <w:rPr>
          <w:rFonts w:ascii="宋体" w:eastAsia="宋体" w:hAnsi="宋体" w:hint="eastAsia"/>
          <w:szCs w:val="21"/>
        </w:rPr>
        <w:t>1）产品显示：平面位置产品、距离高度产品、等高面位置产品、二次产品等显示功能。</w:t>
      </w:r>
    </w:p>
    <w:p>
      <w:pPr>
        <w:spacing w:line="360" w:lineRule="auto"/>
        <w:ind w:firstLine="420" w:firstLineChars="200"/>
        <w:rPr>
          <w:rFonts w:ascii="宋体" w:eastAsia="宋体" w:hAnsi="宋体"/>
          <w:szCs w:val="21"/>
        </w:rPr>
      </w:pPr>
      <w:r>
        <w:rPr>
          <w:rFonts w:ascii="宋体" w:eastAsia="宋体" w:hAnsi="宋体" w:hint="eastAsia"/>
          <w:szCs w:val="21"/>
        </w:rPr>
        <w:t>2）分屏显示：二分屏、四分屏等分屏显示功能、支持光标联动信息显示。</w:t>
      </w:r>
    </w:p>
    <w:p>
      <w:pPr>
        <w:spacing w:line="360" w:lineRule="auto"/>
        <w:ind w:firstLine="420" w:firstLineChars="200"/>
        <w:rPr>
          <w:rFonts w:ascii="宋体" w:eastAsia="宋体" w:hAnsi="宋体"/>
          <w:szCs w:val="21"/>
        </w:rPr>
      </w:pPr>
      <w:r>
        <w:rPr>
          <w:rFonts w:ascii="宋体" w:eastAsia="宋体" w:hAnsi="宋体" w:hint="eastAsia"/>
          <w:szCs w:val="21"/>
        </w:rPr>
        <w:t>3）垂直剖面：基本产品任意垂直剖面显示功能，支持折线剖面，可同时显示多个产品，支持缩放、拖曳及保存图像。</w:t>
      </w:r>
    </w:p>
    <w:p>
      <w:pPr>
        <w:spacing w:line="360" w:lineRule="auto"/>
        <w:ind w:firstLine="420" w:firstLineChars="200"/>
        <w:rPr>
          <w:rFonts w:ascii="宋体" w:eastAsia="宋体" w:hAnsi="宋体"/>
          <w:szCs w:val="21"/>
        </w:rPr>
      </w:pPr>
      <w:r>
        <w:rPr>
          <w:rFonts w:ascii="宋体" w:eastAsia="宋体" w:hAnsi="宋体" w:hint="eastAsia"/>
          <w:szCs w:val="21"/>
        </w:rPr>
        <w:t>4）图形缩放、拖曳：产品图像可放大缩小，拖曳移动。</w:t>
      </w:r>
    </w:p>
    <w:p>
      <w:pPr>
        <w:spacing w:line="360" w:lineRule="auto"/>
        <w:ind w:firstLine="420" w:firstLineChars="200"/>
        <w:rPr>
          <w:rFonts w:ascii="宋体" w:eastAsia="宋体" w:hAnsi="宋体"/>
          <w:szCs w:val="21"/>
        </w:rPr>
      </w:pPr>
      <w:r>
        <w:rPr>
          <w:rFonts w:ascii="宋体" w:eastAsia="宋体" w:hAnsi="宋体" w:hint="eastAsia"/>
          <w:szCs w:val="21"/>
        </w:rPr>
        <w:t>5）图像保存：产品图像可保存为图片格式。</w:t>
      </w:r>
    </w:p>
    <w:p>
      <w:pPr>
        <w:spacing w:line="360" w:lineRule="auto"/>
        <w:ind w:firstLine="420" w:firstLineChars="200"/>
        <w:rPr>
          <w:rFonts w:ascii="宋体" w:eastAsia="宋体" w:hAnsi="宋体"/>
          <w:szCs w:val="21"/>
        </w:rPr>
      </w:pPr>
      <w:r>
        <w:rPr>
          <w:rFonts w:ascii="宋体" w:eastAsia="宋体" w:hAnsi="宋体" w:hint="eastAsia"/>
          <w:szCs w:val="21"/>
        </w:rPr>
        <w:t>6）动态展示：支持产品时序播放、动图制作。</w:t>
      </w:r>
    </w:p>
    <w:p>
      <w:pPr>
        <w:spacing w:line="360" w:lineRule="auto"/>
        <w:ind w:firstLine="420" w:firstLineChars="200"/>
        <w:rPr>
          <w:rFonts w:ascii="宋体" w:eastAsia="宋体" w:hAnsi="宋体"/>
          <w:szCs w:val="21"/>
        </w:rPr>
      </w:pPr>
      <w:r>
        <w:rPr>
          <w:rFonts w:ascii="宋体" w:eastAsia="宋体" w:hAnsi="宋体" w:hint="eastAsia"/>
          <w:szCs w:val="21"/>
        </w:rPr>
        <w:t>7）地图加载：产品显示可加载离线地图文件，同时应支持API接口获取在线瓦片地图。</w:t>
      </w:r>
    </w:p>
    <w:p>
      <w:pPr>
        <w:spacing w:line="360" w:lineRule="auto"/>
        <w:ind w:firstLine="420" w:firstLineChars="200"/>
        <w:rPr>
          <w:rFonts w:ascii="宋体" w:eastAsia="宋体" w:hAnsi="宋体"/>
          <w:szCs w:val="21"/>
        </w:rPr>
      </w:pPr>
      <w:r>
        <w:rPr>
          <w:rFonts w:ascii="宋体" w:eastAsia="宋体" w:hAnsi="宋体" w:hint="eastAsia"/>
          <w:szCs w:val="21"/>
        </w:rPr>
        <w:t>8）测距功能：产品显示界面可测量两点间距离、折线距离。</w:t>
      </w:r>
    </w:p>
    <w:p>
      <w:pPr>
        <w:spacing w:line="360" w:lineRule="auto"/>
        <w:ind w:firstLine="420" w:firstLineChars="200"/>
        <w:rPr>
          <w:rFonts w:ascii="宋体" w:eastAsia="宋体" w:hAnsi="宋体"/>
          <w:szCs w:val="21"/>
        </w:rPr>
      </w:pPr>
      <w:r>
        <w:rPr>
          <w:rFonts w:ascii="宋体" w:eastAsia="宋体" w:hAnsi="宋体" w:hint="eastAsia"/>
          <w:szCs w:val="21"/>
        </w:rPr>
        <w:t>9）游标引导：游标所在点的经纬度、方位、距离、高度、产品数值、地理位置等信息显示。</w:t>
      </w:r>
    </w:p>
    <w:p>
      <w:pPr>
        <w:spacing w:line="360" w:lineRule="auto"/>
        <w:ind w:firstLine="420" w:firstLineChars="200"/>
        <w:rPr>
          <w:rFonts w:ascii="宋体" w:eastAsia="宋体" w:hAnsi="宋体"/>
          <w:szCs w:val="21"/>
        </w:rPr>
      </w:pPr>
      <w:r>
        <w:rPr>
          <w:rFonts w:ascii="宋体" w:eastAsia="宋体" w:hAnsi="宋体" w:hint="eastAsia"/>
          <w:szCs w:val="21"/>
        </w:rPr>
        <w:t>10）阈值过滤：显示阈值范围内数据，过滤超限数据；可单一范围显隐；可调整产品透明度。</w:t>
      </w:r>
    </w:p>
    <w:p>
      <w:pPr>
        <w:spacing w:line="360" w:lineRule="auto"/>
        <w:ind w:firstLine="420" w:firstLineChars="200"/>
        <w:rPr>
          <w:rFonts w:ascii="宋体" w:eastAsia="宋体" w:hAnsi="宋体"/>
          <w:szCs w:val="21"/>
        </w:rPr>
      </w:pPr>
      <w:r>
        <w:rPr>
          <w:rFonts w:ascii="宋体" w:eastAsia="宋体" w:hAnsi="宋体" w:hint="eastAsia"/>
          <w:szCs w:val="21"/>
        </w:rPr>
        <w:t>11）自动刷新：可启停的自动显示最新产品数据。</w:t>
      </w:r>
    </w:p>
    <w:p>
      <w:pPr>
        <w:spacing w:line="360" w:lineRule="auto"/>
        <w:ind w:firstLine="420" w:firstLineChars="200"/>
        <w:rPr>
          <w:rFonts w:ascii="宋体" w:eastAsia="宋体" w:hAnsi="宋体"/>
          <w:szCs w:val="21"/>
        </w:rPr>
      </w:pPr>
      <w:r>
        <w:rPr>
          <w:rFonts w:ascii="宋体" w:eastAsia="宋体" w:hAnsi="宋体" w:hint="eastAsia"/>
          <w:szCs w:val="21"/>
        </w:rPr>
        <w:t>12）状态监控：包括数据接收、产品制作、产品传输状态监控。</w:t>
      </w:r>
    </w:p>
    <w:p>
      <w:pPr>
        <w:spacing w:line="360" w:lineRule="auto"/>
        <w:ind w:firstLine="420" w:firstLineChars="200"/>
        <w:rPr>
          <w:rFonts w:ascii="宋体" w:eastAsia="宋体" w:hAnsi="宋体"/>
          <w:szCs w:val="21"/>
        </w:rPr>
      </w:pPr>
      <w:r>
        <w:rPr>
          <w:rFonts w:ascii="宋体" w:eastAsia="宋体" w:hAnsi="宋体" w:hint="eastAsia"/>
          <w:szCs w:val="21"/>
        </w:rPr>
        <w:t>13）数据归档：本地或异地产品数据归档，支持定时清理。</w:t>
      </w:r>
    </w:p>
    <w:p>
      <w:pPr>
        <w:spacing w:line="360" w:lineRule="auto"/>
        <w:ind w:firstLine="420" w:firstLineChars="200"/>
        <w:rPr>
          <w:rFonts w:ascii="宋体" w:eastAsia="宋体" w:hAnsi="宋体"/>
          <w:szCs w:val="21"/>
        </w:rPr>
      </w:pPr>
      <w:r>
        <w:rPr>
          <w:rFonts w:ascii="宋体" w:eastAsia="宋体" w:hAnsi="宋体" w:hint="eastAsia"/>
          <w:szCs w:val="21"/>
        </w:rPr>
        <w:t>14）数据上传：产品数据多节点上传，支持恢复网络后自动补传、手动补传。</w:t>
      </w:r>
    </w:p>
    <w:p>
      <w:pPr>
        <w:spacing w:line="360" w:lineRule="auto"/>
        <w:ind w:firstLine="420" w:firstLineChars="200"/>
        <w:rPr>
          <w:rFonts w:ascii="宋体" w:eastAsia="宋体" w:hAnsi="宋体"/>
          <w:szCs w:val="21"/>
        </w:rPr>
      </w:pPr>
      <w:r>
        <w:rPr>
          <w:rFonts w:ascii="宋体" w:eastAsia="宋体" w:hAnsi="宋体" w:hint="eastAsia"/>
          <w:szCs w:val="21"/>
        </w:rPr>
        <w:t>15）算法参数：算法参数可本地化调整。</w:t>
      </w:r>
    </w:p>
    <w:p>
      <w:pPr>
        <w:spacing w:line="360" w:lineRule="auto"/>
        <w:ind w:firstLine="420" w:firstLineChars="200"/>
        <w:rPr>
          <w:rFonts w:ascii="宋体" w:eastAsia="宋体" w:hAnsi="宋体"/>
          <w:szCs w:val="21"/>
        </w:rPr>
      </w:pPr>
      <w:r>
        <w:rPr>
          <w:rFonts w:ascii="宋体" w:eastAsia="宋体" w:hAnsi="宋体" w:hint="eastAsia"/>
          <w:szCs w:val="21"/>
        </w:rPr>
        <w:t>16）算法接口：支持外部算法接入，使用统一数据接口调用。</w:t>
      </w:r>
    </w:p>
    <w:p>
      <w:pPr>
        <w:spacing w:line="360" w:lineRule="auto"/>
        <w:ind w:firstLine="420" w:firstLineChars="200"/>
        <w:rPr>
          <w:rFonts w:ascii="宋体" w:eastAsia="宋体" w:hAnsi="宋体"/>
          <w:szCs w:val="21"/>
        </w:rPr>
      </w:pPr>
      <w:r>
        <w:rPr>
          <w:rFonts w:ascii="宋体" w:eastAsia="宋体" w:hAnsi="宋体" w:hint="eastAsia"/>
          <w:szCs w:val="21"/>
        </w:rPr>
        <w:t>17）系统日志：包括软件运行日志、数据接收日志、产品生成日志、数据上传日志等。</w:t>
      </w:r>
    </w:p>
    <w:p>
      <w:pPr>
        <w:spacing w:line="360" w:lineRule="auto"/>
        <w:ind w:firstLine="420" w:firstLineChars="200"/>
        <w:rPr>
          <w:rFonts w:ascii="宋体" w:eastAsia="宋体" w:hAnsi="宋体"/>
          <w:szCs w:val="21"/>
        </w:rPr>
      </w:pPr>
      <w:r>
        <w:rPr>
          <w:rFonts w:ascii="宋体" w:eastAsia="宋体" w:hAnsi="宋体" w:hint="eastAsia"/>
          <w:szCs w:val="21"/>
        </w:rPr>
        <w:t>18）多用户并发：每个产品生成终端应至少能够满足30位用户同时访问。</w:t>
      </w:r>
    </w:p>
    <w:p>
      <w:pPr>
        <w:spacing w:line="360" w:lineRule="auto"/>
        <w:ind w:firstLine="420" w:firstLineChars="200"/>
        <w:rPr>
          <w:rFonts w:ascii="宋体" w:eastAsia="宋体" w:hAnsi="宋体"/>
          <w:szCs w:val="21"/>
        </w:rPr>
      </w:pPr>
      <w:r>
        <w:rPr>
          <w:rFonts w:ascii="宋体" w:eastAsia="宋体" w:hAnsi="宋体" w:hint="eastAsia"/>
          <w:szCs w:val="21"/>
        </w:rPr>
        <w:t>19）数据库接口：可从外部接口获取雷达数据作为数据源。</w:t>
      </w:r>
    </w:p>
    <w:p>
      <w:pPr>
        <w:spacing w:line="360" w:lineRule="auto"/>
        <w:ind w:firstLine="420" w:firstLineChars="200"/>
        <w:rPr>
          <w:rFonts w:ascii="宋体" w:eastAsia="宋体" w:hAnsi="宋体"/>
          <w:szCs w:val="21"/>
        </w:rPr>
      </w:pPr>
      <w:r>
        <w:rPr>
          <w:rFonts w:ascii="宋体" w:eastAsia="宋体" w:hAnsi="宋体" w:hint="eastAsia"/>
          <w:szCs w:val="21"/>
        </w:rPr>
        <w:t>20）快捷操作：可通过键盘进行时间切换、仰角层切换等快捷操作。</w:t>
      </w:r>
    </w:p>
    <w:p>
      <w:pPr>
        <w:spacing w:line="360" w:lineRule="auto"/>
        <w:ind w:firstLine="420" w:firstLineChars="200"/>
        <w:rPr>
          <w:rFonts w:ascii="宋体" w:eastAsia="宋体" w:hAnsi="宋体"/>
          <w:szCs w:val="21"/>
        </w:rPr>
      </w:pPr>
      <w:r>
        <w:rPr>
          <w:rFonts w:ascii="宋体" w:eastAsia="宋体" w:hAnsi="宋体" w:hint="eastAsia"/>
          <w:szCs w:val="21"/>
        </w:rPr>
        <w:t>21）关注点标记：设定不同类型的关注点，可设置备注信息并保存；可单选、多选、分类选择叠加在产品上进行显示；可设定关注点预警范围。支持关注点信息导入导出。</w:t>
      </w:r>
    </w:p>
    <w:p>
      <w:pPr>
        <w:pStyle w:val="BodyTextFirstIndent2"/>
        <w:spacing w:line="360" w:lineRule="auto"/>
        <w:ind w:left="0" w:leftChars="0"/>
        <w:outlineLvl w:val="4"/>
        <w:rPr>
          <w:rFonts w:ascii="宋体" w:hAnsi="宋体"/>
          <w:szCs w:val="21"/>
        </w:rPr>
      </w:pPr>
      <w:r>
        <w:rPr>
          <w:rFonts w:ascii="宋体" w:hAnsi="宋体"/>
          <w:szCs w:val="21"/>
        </w:rPr>
        <w:t>8</w:t>
      </w:r>
      <w:r>
        <w:rPr>
          <w:rFonts w:ascii="宋体" w:hAnsi="宋体" w:hint="eastAsia"/>
          <w:szCs w:val="21"/>
        </w:rPr>
        <w:t>.4产品终端要求</w:t>
      </w:r>
      <w:bookmarkEnd w:id="81"/>
      <w:bookmarkEnd w:id="82"/>
    </w:p>
    <w:p>
      <w:pPr>
        <w:spacing w:line="360" w:lineRule="auto"/>
        <w:ind w:firstLine="420" w:firstLineChars="200"/>
        <w:rPr>
          <w:rFonts w:ascii="宋体" w:eastAsia="宋体" w:hAnsi="宋体"/>
          <w:szCs w:val="21"/>
        </w:rPr>
      </w:pPr>
      <w:r>
        <w:rPr>
          <w:rFonts w:ascii="宋体" w:eastAsia="宋体" w:hAnsi="宋体" w:hint="eastAsia"/>
          <w:szCs w:val="21"/>
        </w:rPr>
        <w:t>1）用户端至少配置2台产品终端，负责产品制作及数据归档。</w:t>
      </w:r>
    </w:p>
    <w:p>
      <w:pPr>
        <w:spacing w:line="360" w:lineRule="auto"/>
        <w:ind w:firstLine="420" w:firstLineChars="200"/>
        <w:rPr>
          <w:rFonts w:ascii="宋体" w:eastAsia="宋体" w:hAnsi="宋体"/>
          <w:szCs w:val="21"/>
        </w:rPr>
      </w:pPr>
      <w:r>
        <w:rPr>
          <w:rFonts w:ascii="宋体" w:eastAsia="宋体" w:hAnsi="宋体" w:hint="eastAsia"/>
          <w:szCs w:val="21"/>
        </w:rPr>
        <w:t>2）应支持国产信创系统。</w:t>
      </w:r>
    </w:p>
    <w:p>
      <w:pPr>
        <w:spacing w:line="360" w:lineRule="auto"/>
        <w:ind w:firstLine="420" w:firstLineChars="200"/>
        <w:rPr>
          <w:rFonts w:ascii="宋体" w:eastAsia="宋体" w:hAnsi="宋体"/>
          <w:szCs w:val="21"/>
        </w:rPr>
      </w:pPr>
      <w:r>
        <w:rPr>
          <w:rFonts w:ascii="宋体" w:eastAsia="宋体" w:hAnsi="宋体" w:hint="eastAsia"/>
          <w:szCs w:val="21"/>
        </w:rPr>
        <w:t>3）产品终端数据处理能力应满足产品制作整体耗时小于雷达最短体扫用时，避免造成数据积压。</w:t>
      </w:r>
    </w:p>
    <w:p>
      <w:pPr>
        <w:spacing w:line="360" w:lineRule="auto"/>
        <w:ind w:firstLine="420" w:firstLineChars="200"/>
        <w:rPr>
          <w:rFonts w:ascii="宋体" w:eastAsia="宋体" w:hAnsi="宋体"/>
          <w:szCs w:val="21"/>
        </w:rPr>
      </w:pPr>
      <w:r>
        <w:rPr>
          <w:rFonts w:ascii="宋体" w:eastAsia="宋体" w:hAnsi="宋体" w:hint="eastAsia"/>
          <w:szCs w:val="21"/>
        </w:rPr>
        <w:t>4）产品终端能存储不少于1年的基数据及3个月的雷达产品。</w:t>
      </w:r>
    </w:p>
    <w:bookmarkEnd w:id="78"/>
    <w:p>
      <w:pPr>
        <w:spacing w:line="360" w:lineRule="auto"/>
        <w:ind w:firstLine="420" w:firstLineChars="200"/>
        <w:outlineLvl w:val="3"/>
        <w:rPr>
          <w:rFonts w:ascii="宋体" w:eastAsia="宋体" w:hAnsi="宋体"/>
          <w:b/>
          <w:bCs/>
          <w:szCs w:val="21"/>
        </w:rPr>
      </w:pPr>
      <w:bookmarkStart w:id="83" w:name="_Toc174710833"/>
      <w:r>
        <w:rPr>
          <w:rFonts w:ascii="宋体" w:eastAsia="宋体" w:hAnsi="宋体"/>
          <w:b/>
          <w:bCs/>
          <w:szCs w:val="21"/>
        </w:rPr>
        <w:t>9.可自主移动的方舱平台基本要求</w:t>
      </w:r>
      <w:bookmarkEnd w:id="83"/>
    </w:p>
    <w:p>
      <w:pPr>
        <w:spacing w:line="360" w:lineRule="auto"/>
        <w:ind w:firstLine="420" w:firstLineChars="200"/>
        <w:rPr>
          <w:rFonts w:ascii="宋体" w:eastAsia="宋体" w:hAnsi="宋体"/>
          <w:szCs w:val="21"/>
        </w:rPr>
      </w:pPr>
      <w:r>
        <w:rPr>
          <w:rFonts w:ascii="宋体" w:eastAsia="宋体" w:hAnsi="宋体"/>
          <w:szCs w:val="21"/>
        </w:rPr>
        <w:t>可自主移动的方舱平台基本要求包含但不限于以下内容，可以根据雷达实际用途和用户要求，进行扩展或精简。</w:t>
      </w:r>
    </w:p>
    <w:p>
      <w:pPr>
        <w:spacing w:line="360" w:lineRule="auto"/>
        <w:ind w:firstLine="420" w:firstLineChars="200"/>
        <w:rPr>
          <w:rFonts w:ascii="宋体" w:eastAsia="宋体" w:hAnsi="宋体"/>
          <w:szCs w:val="21"/>
        </w:rPr>
      </w:pPr>
      <w:r>
        <w:rPr>
          <w:rFonts w:ascii="宋体" w:eastAsia="宋体" w:hAnsi="宋体"/>
          <w:szCs w:val="21"/>
        </w:rPr>
        <w:t>可自主移动的方舱平台的技术指标包括：环保标准、发动机排量、平台装置尺寸、底盘、载重、燃料形式等，具体指标见表7。</w:t>
      </w:r>
    </w:p>
    <w:p>
      <w:pPr>
        <w:spacing w:line="360" w:lineRule="auto"/>
        <w:ind w:firstLine="643"/>
        <w:jc w:val="center"/>
        <w:rPr>
          <w:rFonts w:ascii="宋体" w:eastAsia="宋体" w:hAnsi="宋体"/>
          <w:b/>
          <w:bCs/>
          <w:szCs w:val="21"/>
        </w:rPr>
      </w:pPr>
      <w:r>
        <w:rPr>
          <w:rFonts w:ascii="宋体" w:eastAsia="宋体" w:hAnsi="宋体"/>
          <w:szCs w:val="21"/>
        </w:rPr>
        <w:t>表12 可自主移动的方舱平台性能指标表</w:t>
      </w:r>
    </w:p>
    <w:tbl>
      <w:tblPr>
        <w:tblStyle w:val="TableNormal"/>
        <w:tblW w:w="4818" w:type="pct"/>
        <w:jc w:val="center"/>
        <w:tblLayout w:type="fixed"/>
        <w:tblCellMar>
          <w:top w:w="0" w:type="dxa"/>
          <w:left w:w="108" w:type="dxa"/>
          <w:bottom w:w="0" w:type="dxa"/>
          <w:right w:w="108" w:type="dxa"/>
        </w:tblCellMar>
      </w:tblPr>
      <w:tblGrid>
        <w:gridCol w:w="832"/>
        <w:gridCol w:w="2692"/>
        <w:gridCol w:w="5151"/>
      </w:tblGrid>
      <w:tr>
        <w:tblPrEx>
          <w:tblW w:w="4818" w:type="pct"/>
          <w:jc w:val="center"/>
          <w:tblLayout w:type="fixed"/>
          <w:tblCellMar>
            <w:top w:w="0" w:type="dxa"/>
            <w:left w:w="108" w:type="dxa"/>
            <w:bottom w:w="0" w:type="dxa"/>
            <w:right w:w="108" w:type="dxa"/>
          </w:tblCellMar>
        </w:tblPrEx>
        <w:trPr>
          <w:trHeight w:val="20"/>
          <w:jc w:val="center"/>
        </w:trPr>
        <w:tc>
          <w:tcPr>
            <w:tcW w:w="480" w:type="pct"/>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b/>
                <w:szCs w:val="21"/>
              </w:rPr>
            </w:pPr>
            <w:r>
              <w:rPr>
                <w:rFonts w:ascii="宋体" w:eastAsia="宋体" w:hAnsi="宋体"/>
                <w:b/>
                <w:szCs w:val="21"/>
              </w:rPr>
              <w:t>序号</w:t>
            </w:r>
          </w:p>
        </w:tc>
        <w:tc>
          <w:tcPr>
            <w:tcW w:w="1551" w:type="pct"/>
            <w:tcBorders>
              <w:top w:val="single" w:sz="4" w:space="0" w:color="auto"/>
              <w:left w:val="nil"/>
              <w:bottom w:val="single" w:sz="4" w:space="0" w:color="auto"/>
              <w:right w:val="single" w:sz="4" w:space="0" w:color="auto"/>
            </w:tcBorders>
            <w:vAlign w:val="center"/>
          </w:tcPr>
          <w:p>
            <w:pPr>
              <w:jc w:val="center"/>
              <w:rPr>
                <w:rFonts w:ascii="宋体" w:eastAsia="宋体" w:hAnsi="宋体"/>
                <w:b/>
                <w:szCs w:val="21"/>
              </w:rPr>
            </w:pPr>
            <w:r>
              <w:rPr>
                <w:rFonts w:ascii="宋体" w:eastAsia="宋体" w:hAnsi="宋体"/>
                <w:b/>
                <w:szCs w:val="21"/>
              </w:rPr>
              <w:t>名称</w:t>
            </w:r>
          </w:p>
        </w:tc>
        <w:tc>
          <w:tcPr>
            <w:tcW w:w="2968" w:type="pct"/>
            <w:tcBorders>
              <w:top w:val="single" w:sz="4" w:space="0" w:color="auto"/>
              <w:left w:val="nil"/>
              <w:bottom w:val="single" w:sz="4" w:space="0" w:color="auto"/>
              <w:right w:val="single" w:sz="4" w:space="0" w:color="auto"/>
            </w:tcBorders>
            <w:vAlign w:val="center"/>
          </w:tcPr>
          <w:p>
            <w:pPr>
              <w:jc w:val="center"/>
              <w:rPr>
                <w:rFonts w:ascii="宋体" w:eastAsia="宋体" w:hAnsi="宋体"/>
                <w:b/>
                <w:szCs w:val="21"/>
              </w:rPr>
            </w:pPr>
            <w:r>
              <w:rPr>
                <w:rFonts w:ascii="宋体" w:eastAsia="宋体" w:hAnsi="宋体"/>
                <w:b/>
                <w:szCs w:val="21"/>
              </w:rPr>
              <w:t>配置</w:t>
            </w:r>
          </w:p>
        </w:tc>
      </w:tr>
      <w:tr>
        <w:tblPrEx>
          <w:tblW w:w="4818" w:type="pct"/>
          <w:jc w:val="center"/>
          <w:tblLayout w:type="fixed"/>
          <w:tblCellMar>
            <w:top w:w="0" w:type="dxa"/>
            <w:left w:w="108" w:type="dxa"/>
            <w:bottom w:w="0" w:type="dxa"/>
            <w:right w:w="108" w:type="dxa"/>
          </w:tblCellMar>
        </w:tblPrEx>
        <w:trPr>
          <w:trHeight w:val="20"/>
          <w:jc w:val="center"/>
        </w:trPr>
        <w:tc>
          <w:tcPr>
            <w:tcW w:w="480" w:type="pct"/>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szCs w:val="21"/>
              </w:rPr>
            </w:pPr>
            <w:r>
              <w:rPr>
                <w:rFonts w:ascii="宋体" w:eastAsia="宋体" w:hAnsi="宋体"/>
                <w:szCs w:val="21"/>
              </w:rPr>
              <w:t>1</w:t>
            </w:r>
          </w:p>
        </w:tc>
        <w:tc>
          <w:tcPr>
            <w:tcW w:w="1551" w:type="pct"/>
            <w:tcBorders>
              <w:top w:val="single" w:sz="4" w:space="0" w:color="auto"/>
              <w:left w:val="nil"/>
              <w:bottom w:val="single" w:sz="4" w:space="0" w:color="auto"/>
              <w:right w:val="single" w:sz="4" w:space="0" w:color="auto"/>
            </w:tcBorders>
            <w:vAlign w:val="center"/>
          </w:tcPr>
          <w:p>
            <w:pPr>
              <w:jc w:val="left"/>
              <w:rPr>
                <w:rFonts w:ascii="宋体" w:eastAsia="宋体" w:hAnsi="宋体" w:hint="eastAsia"/>
                <w:szCs w:val="21"/>
              </w:rPr>
            </w:pPr>
            <w:r>
              <w:rPr>
                <w:rFonts w:ascii="宋体" w:eastAsia="宋体" w:hAnsi="宋体" w:hint="eastAsia"/>
                <w:szCs w:val="21"/>
              </w:rPr>
              <w:t>平台装置结构</w:t>
            </w:r>
          </w:p>
        </w:tc>
        <w:tc>
          <w:tcPr>
            <w:tcW w:w="2968" w:type="pct"/>
            <w:tcBorders>
              <w:top w:val="single" w:sz="4" w:space="0" w:color="auto"/>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重型载货汽车</w:t>
            </w:r>
          </w:p>
        </w:tc>
      </w:tr>
      <w:tr>
        <w:tblPrEx>
          <w:tblW w:w="4818" w:type="pct"/>
          <w:jc w:val="center"/>
          <w:tblLayout w:type="fixed"/>
          <w:tblCellMar>
            <w:top w:w="0" w:type="dxa"/>
            <w:left w:w="108" w:type="dxa"/>
            <w:bottom w:w="0" w:type="dxa"/>
            <w:right w:w="108" w:type="dxa"/>
          </w:tblCellMar>
        </w:tblPrEx>
        <w:trPr>
          <w:trHeight w:val="20"/>
          <w:jc w:val="center"/>
        </w:trPr>
        <w:tc>
          <w:tcPr>
            <w:tcW w:w="480" w:type="pct"/>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szCs w:val="21"/>
              </w:rPr>
            </w:pPr>
            <w:r>
              <w:rPr>
                <w:rFonts w:ascii="宋体" w:eastAsia="宋体" w:hAnsi="宋体"/>
                <w:szCs w:val="21"/>
              </w:rPr>
              <w:t>2</w:t>
            </w:r>
          </w:p>
        </w:tc>
        <w:tc>
          <w:tcPr>
            <w:tcW w:w="1551" w:type="pct"/>
            <w:tcBorders>
              <w:top w:val="single" w:sz="4" w:space="0" w:color="auto"/>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驱动形式</w:t>
            </w:r>
          </w:p>
        </w:tc>
        <w:tc>
          <w:tcPr>
            <w:tcW w:w="2968" w:type="pct"/>
            <w:tcBorders>
              <w:top w:val="single" w:sz="4" w:space="0" w:color="auto"/>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4×2或4×4</w:t>
            </w:r>
          </w:p>
        </w:tc>
      </w:tr>
      <w:tr>
        <w:tblPrEx>
          <w:tblW w:w="4818" w:type="pct"/>
          <w:jc w:val="center"/>
          <w:tblLayout w:type="fixed"/>
          <w:tblCellMar>
            <w:top w:w="0" w:type="dxa"/>
            <w:left w:w="108" w:type="dxa"/>
            <w:bottom w:w="0" w:type="dxa"/>
            <w:right w:w="108" w:type="dxa"/>
          </w:tblCellMar>
        </w:tblPrEx>
        <w:trPr>
          <w:trHeight w:val="20"/>
          <w:jc w:val="center"/>
        </w:trPr>
        <w:tc>
          <w:tcPr>
            <w:tcW w:w="480" w:type="pct"/>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szCs w:val="21"/>
              </w:rPr>
            </w:pPr>
            <w:r>
              <w:rPr>
                <w:rFonts w:ascii="宋体" w:eastAsia="宋体" w:hAnsi="宋体"/>
                <w:szCs w:val="21"/>
              </w:rPr>
              <w:t>3</w:t>
            </w:r>
          </w:p>
        </w:tc>
        <w:tc>
          <w:tcPr>
            <w:tcW w:w="1551" w:type="pct"/>
            <w:tcBorders>
              <w:top w:val="single" w:sz="4" w:space="0" w:color="auto"/>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环保标准</w:t>
            </w:r>
          </w:p>
        </w:tc>
        <w:tc>
          <w:tcPr>
            <w:tcW w:w="2968" w:type="pct"/>
            <w:tcBorders>
              <w:top w:val="single" w:sz="4" w:space="0" w:color="auto"/>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不低于国六</w:t>
            </w:r>
          </w:p>
        </w:tc>
      </w:tr>
      <w:tr>
        <w:tblPrEx>
          <w:tblW w:w="4818" w:type="pct"/>
          <w:jc w:val="center"/>
          <w:tblLayout w:type="fixed"/>
          <w:tblCellMar>
            <w:top w:w="0" w:type="dxa"/>
            <w:left w:w="108" w:type="dxa"/>
            <w:bottom w:w="0" w:type="dxa"/>
            <w:right w:w="108" w:type="dxa"/>
          </w:tblCellMar>
        </w:tblPrEx>
        <w:trPr>
          <w:trHeight w:val="20"/>
          <w:jc w:val="center"/>
        </w:trPr>
        <w:tc>
          <w:tcPr>
            <w:tcW w:w="480" w:type="pct"/>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szCs w:val="21"/>
              </w:rPr>
            </w:pPr>
            <w:r>
              <w:rPr>
                <w:rFonts w:ascii="宋体" w:eastAsia="宋体" w:hAnsi="宋体"/>
                <w:szCs w:val="21"/>
              </w:rPr>
              <w:t>4</w:t>
            </w:r>
          </w:p>
        </w:tc>
        <w:tc>
          <w:tcPr>
            <w:tcW w:w="1551" w:type="pct"/>
            <w:tcBorders>
              <w:top w:val="single" w:sz="4" w:space="0" w:color="auto"/>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hint="eastAsia"/>
                <w:szCs w:val="21"/>
              </w:rPr>
              <w:t>平台装置</w:t>
            </w:r>
            <w:r>
              <w:rPr>
                <w:rFonts w:ascii="宋体" w:eastAsia="宋体" w:hAnsi="宋体"/>
                <w:szCs w:val="21"/>
              </w:rPr>
              <w:t>长*宽*高（mm）</w:t>
            </w:r>
          </w:p>
        </w:tc>
        <w:tc>
          <w:tcPr>
            <w:tcW w:w="2968" w:type="pct"/>
            <w:tcBorders>
              <w:top w:val="single" w:sz="4" w:space="0" w:color="auto"/>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长≥9000，宽≥2450，高≥2800</w:t>
            </w:r>
          </w:p>
        </w:tc>
      </w:tr>
      <w:tr>
        <w:tblPrEx>
          <w:tblW w:w="4818" w:type="pct"/>
          <w:jc w:val="center"/>
          <w:tblLayout w:type="fixed"/>
          <w:tblCellMar>
            <w:top w:w="0" w:type="dxa"/>
            <w:left w:w="108" w:type="dxa"/>
            <w:bottom w:w="0" w:type="dxa"/>
            <w:right w:w="108" w:type="dxa"/>
          </w:tblCellMar>
        </w:tblPrEx>
        <w:trPr>
          <w:trHeight w:val="20"/>
          <w:jc w:val="center"/>
        </w:trPr>
        <w:tc>
          <w:tcPr>
            <w:tcW w:w="480" w:type="pct"/>
            <w:tcBorders>
              <w:top w:val="nil"/>
              <w:left w:val="single" w:sz="4" w:space="0" w:color="auto"/>
              <w:bottom w:val="single" w:sz="4" w:space="0" w:color="auto"/>
              <w:right w:val="single" w:sz="4" w:space="0" w:color="auto"/>
            </w:tcBorders>
            <w:vAlign w:val="center"/>
          </w:tcPr>
          <w:p>
            <w:pPr>
              <w:jc w:val="center"/>
              <w:rPr>
                <w:rFonts w:ascii="宋体" w:eastAsia="宋体" w:hAnsi="宋体"/>
                <w:szCs w:val="21"/>
              </w:rPr>
            </w:pPr>
            <w:r>
              <w:rPr>
                <w:rFonts w:ascii="宋体" w:eastAsia="宋体" w:hAnsi="宋体"/>
                <w:szCs w:val="21"/>
              </w:rPr>
              <w:t>5</w:t>
            </w:r>
          </w:p>
        </w:tc>
        <w:tc>
          <w:tcPr>
            <w:tcW w:w="1551" w:type="pct"/>
            <w:tcBorders>
              <w:top w:val="nil"/>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货箱长度</w:t>
            </w:r>
          </w:p>
        </w:tc>
        <w:tc>
          <w:tcPr>
            <w:tcW w:w="2968" w:type="pct"/>
            <w:tcBorders>
              <w:top w:val="single" w:sz="4" w:space="0" w:color="auto"/>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≥7000</w:t>
            </w:r>
          </w:p>
        </w:tc>
      </w:tr>
      <w:tr>
        <w:tblPrEx>
          <w:tblW w:w="4818" w:type="pct"/>
          <w:jc w:val="center"/>
          <w:tblLayout w:type="fixed"/>
          <w:tblCellMar>
            <w:top w:w="0" w:type="dxa"/>
            <w:left w:w="108" w:type="dxa"/>
            <w:bottom w:w="0" w:type="dxa"/>
            <w:right w:w="108" w:type="dxa"/>
          </w:tblCellMar>
        </w:tblPrEx>
        <w:trPr>
          <w:trHeight w:val="20"/>
          <w:jc w:val="center"/>
        </w:trPr>
        <w:tc>
          <w:tcPr>
            <w:tcW w:w="480" w:type="pct"/>
            <w:tcBorders>
              <w:top w:val="nil"/>
              <w:left w:val="single" w:sz="4" w:space="0" w:color="auto"/>
              <w:bottom w:val="single" w:sz="4" w:space="0" w:color="auto"/>
              <w:right w:val="single" w:sz="4" w:space="0" w:color="auto"/>
            </w:tcBorders>
            <w:vAlign w:val="center"/>
          </w:tcPr>
          <w:p>
            <w:pPr>
              <w:jc w:val="center"/>
              <w:rPr>
                <w:rFonts w:ascii="宋体" w:eastAsia="宋体" w:hAnsi="宋体"/>
                <w:szCs w:val="21"/>
              </w:rPr>
            </w:pPr>
            <w:r>
              <w:rPr>
                <w:rFonts w:ascii="宋体" w:eastAsia="宋体" w:hAnsi="宋体"/>
                <w:szCs w:val="21"/>
              </w:rPr>
              <w:t>6</w:t>
            </w:r>
          </w:p>
        </w:tc>
        <w:tc>
          <w:tcPr>
            <w:tcW w:w="1551" w:type="pct"/>
            <w:tcBorders>
              <w:top w:val="nil"/>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轴距（mm）</w:t>
            </w:r>
          </w:p>
        </w:tc>
        <w:tc>
          <w:tcPr>
            <w:tcW w:w="2968" w:type="pct"/>
            <w:tcBorders>
              <w:top w:val="single" w:sz="4" w:space="0" w:color="auto"/>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≥5200</w:t>
            </w:r>
          </w:p>
        </w:tc>
      </w:tr>
      <w:tr>
        <w:tblPrEx>
          <w:tblW w:w="4818" w:type="pct"/>
          <w:jc w:val="center"/>
          <w:tblLayout w:type="fixed"/>
          <w:tblCellMar>
            <w:top w:w="0" w:type="dxa"/>
            <w:left w:w="108" w:type="dxa"/>
            <w:bottom w:w="0" w:type="dxa"/>
            <w:right w:w="108" w:type="dxa"/>
          </w:tblCellMar>
        </w:tblPrEx>
        <w:trPr>
          <w:trHeight w:val="20"/>
          <w:jc w:val="center"/>
        </w:trPr>
        <w:tc>
          <w:tcPr>
            <w:tcW w:w="480" w:type="pct"/>
            <w:tcBorders>
              <w:top w:val="nil"/>
              <w:left w:val="single" w:sz="4" w:space="0" w:color="auto"/>
              <w:bottom w:val="single" w:sz="4" w:space="0" w:color="auto"/>
              <w:right w:val="single" w:sz="4" w:space="0" w:color="auto"/>
            </w:tcBorders>
            <w:vAlign w:val="center"/>
          </w:tcPr>
          <w:p>
            <w:pPr>
              <w:jc w:val="center"/>
              <w:rPr>
                <w:rFonts w:ascii="宋体" w:eastAsia="宋体" w:hAnsi="宋体"/>
                <w:szCs w:val="21"/>
              </w:rPr>
            </w:pPr>
            <w:r>
              <w:rPr>
                <w:rFonts w:ascii="宋体" w:eastAsia="宋体" w:hAnsi="宋体"/>
                <w:szCs w:val="21"/>
              </w:rPr>
              <w:t>7</w:t>
            </w:r>
          </w:p>
        </w:tc>
        <w:tc>
          <w:tcPr>
            <w:tcW w:w="1551" w:type="pct"/>
            <w:tcBorders>
              <w:top w:val="nil"/>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最大功率（KW）</w:t>
            </w:r>
          </w:p>
        </w:tc>
        <w:tc>
          <w:tcPr>
            <w:tcW w:w="2968" w:type="pct"/>
            <w:tcBorders>
              <w:top w:val="single" w:sz="4" w:space="0" w:color="auto"/>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≥200</w:t>
            </w:r>
          </w:p>
        </w:tc>
      </w:tr>
      <w:tr>
        <w:tblPrEx>
          <w:tblW w:w="4818" w:type="pct"/>
          <w:jc w:val="center"/>
          <w:tblLayout w:type="fixed"/>
          <w:tblCellMar>
            <w:top w:w="0" w:type="dxa"/>
            <w:left w:w="108" w:type="dxa"/>
            <w:bottom w:w="0" w:type="dxa"/>
            <w:right w:w="108" w:type="dxa"/>
          </w:tblCellMar>
        </w:tblPrEx>
        <w:trPr>
          <w:trHeight w:val="20"/>
          <w:jc w:val="center"/>
        </w:trPr>
        <w:tc>
          <w:tcPr>
            <w:tcW w:w="480" w:type="pct"/>
            <w:tcBorders>
              <w:top w:val="nil"/>
              <w:left w:val="single" w:sz="4" w:space="0" w:color="auto"/>
              <w:bottom w:val="single" w:sz="4" w:space="0" w:color="auto"/>
              <w:right w:val="single" w:sz="4" w:space="0" w:color="auto"/>
            </w:tcBorders>
            <w:vAlign w:val="center"/>
          </w:tcPr>
          <w:p>
            <w:pPr>
              <w:jc w:val="center"/>
              <w:rPr>
                <w:rFonts w:ascii="宋体" w:eastAsia="宋体" w:hAnsi="宋体"/>
                <w:szCs w:val="21"/>
              </w:rPr>
            </w:pPr>
            <w:r>
              <w:rPr>
                <w:rFonts w:ascii="宋体" w:eastAsia="宋体" w:hAnsi="宋体"/>
                <w:szCs w:val="21"/>
              </w:rPr>
              <w:t>8</w:t>
            </w:r>
          </w:p>
        </w:tc>
        <w:tc>
          <w:tcPr>
            <w:tcW w:w="1551" w:type="pct"/>
            <w:tcBorders>
              <w:top w:val="nil"/>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最大扭矩（N.m）</w:t>
            </w:r>
          </w:p>
        </w:tc>
        <w:tc>
          <w:tcPr>
            <w:tcW w:w="2968" w:type="pct"/>
            <w:tcBorders>
              <w:top w:val="single" w:sz="4" w:space="0" w:color="auto"/>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≥400</w:t>
            </w:r>
          </w:p>
        </w:tc>
      </w:tr>
      <w:tr>
        <w:tblPrEx>
          <w:tblW w:w="4818" w:type="pct"/>
          <w:jc w:val="center"/>
          <w:tblLayout w:type="fixed"/>
          <w:tblCellMar>
            <w:top w:w="0" w:type="dxa"/>
            <w:left w:w="108" w:type="dxa"/>
            <w:bottom w:w="0" w:type="dxa"/>
            <w:right w:w="108" w:type="dxa"/>
          </w:tblCellMar>
        </w:tblPrEx>
        <w:trPr>
          <w:trHeight w:val="20"/>
          <w:jc w:val="center"/>
        </w:trPr>
        <w:tc>
          <w:tcPr>
            <w:tcW w:w="480" w:type="pct"/>
            <w:tcBorders>
              <w:top w:val="nil"/>
              <w:left w:val="single" w:sz="4" w:space="0" w:color="auto"/>
              <w:bottom w:val="single" w:sz="4" w:space="0" w:color="auto"/>
              <w:right w:val="single" w:sz="4" w:space="0" w:color="auto"/>
            </w:tcBorders>
            <w:vAlign w:val="center"/>
          </w:tcPr>
          <w:p>
            <w:pPr>
              <w:jc w:val="center"/>
              <w:rPr>
                <w:rFonts w:ascii="宋体" w:eastAsia="宋体" w:hAnsi="宋体"/>
                <w:szCs w:val="21"/>
              </w:rPr>
            </w:pPr>
            <w:r>
              <w:rPr>
                <w:rFonts w:ascii="宋体" w:eastAsia="宋体" w:hAnsi="宋体"/>
                <w:szCs w:val="21"/>
              </w:rPr>
              <w:t>9</w:t>
            </w:r>
          </w:p>
        </w:tc>
        <w:tc>
          <w:tcPr>
            <w:tcW w:w="1551" w:type="pct"/>
            <w:tcBorders>
              <w:top w:val="nil"/>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发动机</w:t>
            </w:r>
          </w:p>
        </w:tc>
        <w:tc>
          <w:tcPr>
            <w:tcW w:w="2968" w:type="pct"/>
            <w:tcBorders>
              <w:top w:val="single" w:sz="4" w:space="0" w:color="auto"/>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排量不小于6L或3.0T</w:t>
            </w:r>
          </w:p>
        </w:tc>
      </w:tr>
      <w:tr>
        <w:tblPrEx>
          <w:tblW w:w="4818" w:type="pct"/>
          <w:jc w:val="center"/>
          <w:tblLayout w:type="fixed"/>
          <w:tblCellMar>
            <w:top w:w="0" w:type="dxa"/>
            <w:left w:w="108" w:type="dxa"/>
            <w:bottom w:w="0" w:type="dxa"/>
            <w:right w:w="108" w:type="dxa"/>
          </w:tblCellMar>
        </w:tblPrEx>
        <w:trPr>
          <w:trHeight w:val="20"/>
          <w:jc w:val="center"/>
        </w:trPr>
        <w:tc>
          <w:tcPr>
            <w:tcW w:w="480" w:type="pct"/>
            <w:tcBorders>
              <w:top w:val="nil"/>
              <w:left w:val="single" w:sz="4" w:space="0" w:color="auto"/>
              <w:bottom w:val="single" w:sz="4" w:space="0" w:color="auto"/>
              <w:right w:val="single" w:sz="4" w:space="0" w:color="auto"/>
            </w:tcBorders>
            <w:vAlign w:val="center"/>
          </w:tcPr>
          <w:p>
            <w:pPr>
              <w:jc w:val="center"/>
              <w:rPr>
                <w:rFonts w:ascii="宋体" w:eastAsia="宋体" w:hAnsi="宋体"/>
                <w:szCs w:val="21"/>
              </w:rPr>
            </w:pPr>
            <w:r>
              <w:rPr>
                <w:rFonts w:ascii="宋体" w:eastAsia="宋体" w:hAnsi="宋体"/>
                <w:szCs w:val="21"/>
              </w:rPr>
              <w:t>10</w:t>
            </w:r>
          </w:p>
        </w:tc>
        <w:tc>
          <w:tcPr>
            <w:tcW w:w="1551" w:type="pct"/>
            <w:tcBorders>
              <w:top w:val="nil"/>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hint="eastAsia"/>
                <w:szCs w:val="21"/>
              </w:rPr>
              <w:t>平台装置</w:t>
            </w:r>
            <w:r>
              <w:rPr>
                <w:rFonts w:ascii="宋体" w:eastAsia="宋体" w:hAnsi="宋体"/>
                <w:szCs w:val="21"/>
              </w:rPr>
              <w:t>底盘</w:t>
            </w:r>
          </w:p>
        </w:tc>
        <w:tc>
          <w:tcPr>
            <w:tcW w:w="2968" w:type="pct"/>
            <w:tcBorders>
              <w:top w:val="single" w:sz="4" w:space="0" w:color="auto"/>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二类底盘</w:t>
            </w:r>
          </w:p>
        </w:tc>
      </w:tr>
      <w:tr>
        <w:tblPrEx>
          <w:tblW w:w="4818" w:type="pct"/>
          <w:jc w:val="center"/>
          <w:tblLayout w:type="fixed"/>
          <w:tblCellMar>
            <w:top w:w="0" w:type="dxa"/>
            <w:left w:w="108" w:type="dxa"/>
            <w:bottom w:w="0" w:type="dxa"/>
            <w:right w:w="108" w:type="dxa"/>
          </w:tblCellMar>
        </w:tblPrEx>
        <w:trPr>
          <w:trHeight w:val="20"/>
          <w:jc w:val="center"/>
        </w:trPr>
        <w:tc>
          <w:tcPr>
            <w:tcW w:w="480" w:type="pct"/>
            <w:tcBorders>
              <w:top w:val="nil"/>
              <w:left w:val="single" w:sz="4" w:space="0" w:color="auto"/>
              <w:bottom w:val="single" w:sz="4" w:space="0" w:color="auto"/>
              <w:right w:val="single" w:sz="4" w:space="0" w:color="auto"/>
            </w:tcBorders>
            <w:vAlign w:val="center"/>
          </w:tcPr>
          <w:p>
            <w:pPr>
              <w:jc w:val="center"/>
              <w:rPr>
                <w:rFonts w:ascii="宋体" w:eastAsia="宋体" w:hAnsi="宋体"/>
                <w:szCs w:val="21"/>
              </w:rPr>
            </w:pPr>
            <w:r>
              <w:rPr>
                <w:rFonts w:ascii="宋体" w:eastAsia="宋体" w:hAnsi="宋体"/>
                <w:szCs w:val="21"/>
              </w:rPr>
              <w:t>11</w:t>
            </w:r>
          </w:p>
        </w:tc>
        <w:tc>
          <w:tcPr>
            <w:tcW w:w="1551" w:type="pct"/>
            <w:tcBorders>
              <w:top w:val="nil"/>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燃料形式</w:t>
            </w:r>
          </w:p>
        </w:tc>
        <w:tc>
          <w:tcPr>
            <w:tcW w:w="2968" w:type="pct"/>
            <w:tcBorders>
              <w:top w:val="single" w:sz="4" w:space="0" w:color="auto"/>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柴油</w:t>
            </w:r>
          </w:p>
        </w:tc>
      </w:tr>
      <w:tr>
        <w:tblPrEx>
          <w:tblW w:w="4818" w:type="pct"/>
          <w:jc w:val="center"/>
          <w:tblLayout w:type="fixed"/>
          <w:tblCellMar>
            <w:top w:w="0" w:type="dxa"/>
            <w:left w:w="108" w:type="dxa"/>
            <w:bottom w:w="0" w:type="dxa"/>
            <w:right w:w="108" w:type="dxa"/>
          </w:tblCellMar>
        </w:tblPrEx>
        <w:trPr>
          <w:trHeight w:val="20"/>
          <w:jc w:val="center"/>
        </w:trPr>
        <w:tc>
          <w:tcPr>
            <w:tcW w:w="480" w:type="pct"/>
            <w:tcBorders>
              <w:top w:val="nil"/>
              <w:left w:val="single" w:sz="4" w:space="0" w:color="auto"/>
              <w:bottom w:val="single" w:sz="4" w:space="0" w:color="auto"/>
              <w:right w:val="single" w:sz="4" w:space="0" w:color="auto"/>
            </w:tcBorders>
            <w:vAlign w:val="center"/>
          </w:tcPr>
          <w:p>
            <w:pPr>
              <w:jc w:val="center"/>
              <w:rPr>
                <w:rFonts w:ascii="宋体" w:eastAsia="宋体" w:hAnsi="宋体"/>
                <w:szCs w:val="21"/>
              </w:rPr>
            </w:pPr>
            <w:r>
              <w:rPr>
                <w:rFonts w:ascii="宋体" w:eastAsia="宋体" w:hAnsi="宋体"/>
                <w:szCs w:val="21"/>
              </w:rPr>
              <w:t>12</w:t>
            </w:r>
          </w:p>
        </w:tc>
        <w:tc>
          <w:tcPr>
            <w:tcW w:w="1551" w:type="pct"/>
            <w:tcBorders>
              <w:top w:val="nil"/>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hint="eastAsia"/>
                <w:szCs w:val="21"/>
              </w:rPr>
              <w:t>平台装置</w:t>
            </w:r>
            <w:r>
              <w:rPr>
                <w:rFonts w:ascii="宋体" w:eastAsia="宋体" w:hAnsi="宋体"/>
                <w:szCs w:val="21"/>
              </w:rPr>
              <w:t>允许总重（kg）</w:t>
            </w:r>
          </w:p>
        </w:tc>
        <w:tc>
          <w:tcPr>
            <w:tcW w:w="2968" w:type="pct"/>
            <w:tcBorders>
              <w:top w:val="single" w:sz="4" w:space="0" w:color="auto"/>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≥18000</w:t>
            </w:r>
          </w:p>
        </w:tc>
      </w:tr>
      <w:tr>
        <w:tblPrEx>
          <w:tblW w:w="4818" w:type="pct"/>
          <w:jc w:val="center"/>
          <w:tblLayout w:type="fixed"/>
          <w:tblCellMar>
            <w:top w:w="0" w:type="dxa"/>
            <w:left w:w="108" w:type="dxa"/>
            <w:bottom w:w="0" w:type="dxa"/>
            <w:right w:w="108" w:type="dxa"/>
          </w:tblCellMar>
        </w:tblPrEx>
        <w:trPr>
          <w:trHeight w:val="20"/>
          <w:jc w:val="center"/>
        </w:trPr>
        <w:tc>
          <w:tcPr>
            <w:tcW w:w="480" w:type="pct"/>
            <w:tcBorders>
              <w:top w:val="nil"/>
              <w:left w:val="single" w:sz="4" w:space="0" w:color="auto"/>
              <w:bottom w:val="single" w:sz="4" w:space="0" w:color="auto"/>
              <w:right w:val="single" w:sz="4" w:space="0" w:color="auto"/>
            </w:tcBorders>
            <w:vAlign w:val="center"/>
          </w:tcPr>
          <w:p>
            <w:pPr>
              <w:jc w:val="center"/>
              <w:rPr>
                <w:rFonts w:ascii="宋体" w:eastAsia="宋体" w:hAnsi="宋体"/>
                <w:szCs w:val="21"/>
              </w:rPr>
            </w:pPr>
            <w:r>
              <w:rPr>
                <w:rFonts w:ascii="宋体" w:eastAsia="宋体" w:hAnsi="宋体"/>
                <w:szCs w:val="21"/>
              </w:rPr>
              <w:t>13</w:t>
            </w:r>
          </w:p>
        </w:tc>
        <w:tc>
          <w:tcPr>
            <w:tcW w:w="1551" w:type="pct"/>
            <w:tcBorders>
              <w:top w:val="nil"/>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最高移动速度（km/h）</w:t>
            </w:r>
          </w:p>
        </w:tc>
        <w:tc>
          <w:tcPr>
            <w:tcW w:w="2968" w:type="pct"/>
            <w:tcBorders>
              <w:top w:val="single" w:sz="4" w:space="0" w:color="auto"/>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≥100</w:t>
            </w:r>
          </w:p>
        </w:tc>
      </w:tr>
      <w:tr>
        <w:tblPrEx>
          <w:tblW w:w="4818" w:type="pct"/>
          <w:jc w:val="center"/>
          <w:tblLayout w:type="fixed"/>
          <w:tblCellMar>
            <w:top w:w="0" w:type="dxa"/>
            <w:left w:w="108" w:type="dxa"/>
            <w:bottom w:w="0" w:type="dxa"/>
            <w:right w:w="108" w:type="dxa"/>
          </w:tblCellMar>
        </w:tblPrEx>
        <w:trPr>
          <w:trHeight w:val="20"/>
          <w:jc w:val="center"/>
        </w:trPr>
        <w:tc>
          <w:tcPr>
            <w:tcW w:w="480" w:type="pct"/>
            <w:tcBorders>
              <w:top w:val="nil"/>
              <w:left w:val="single" w:sz="4" w:space="0" w:color="auto"/>
              <w:bottom w:val="single" w:sz="4" w:space="0" w:color="auto"/>
              <w:right w:val="single" w:sz="4" w:space="0" w:color="auto"/>
            </w:tcBorders>
            <w:vAlign w:val="center"/>
          </w:tcPr>
          <w:p>
            <w:pPr>
              <w:jc w:val="center"/>
              <w:rPr>
                <w:rFonts w:ascii="宋体" w:eastAsia="宋体" w:hAnsi="宋体"/>
                <w:szCs w:val="21"/>
              </w:rPr>
            </w:pPr>
            <w:r>
              <w:rPr>
                <w:rFonts w:ascii="宋体" w:eastAsia="宋体" w:hAnsi="宋体"/>
                <w:szCs w:val="21"/>
              </w:rPr>
              <w:t>14</w:t>
            </w:r>
          </w:p>
        </w:tc>
        <w:tc>
          <w:tcPr>
            <w:tcW w:w="1551" w:type="pct"/>
            <w:tcBorders>
              <w:top w:val="nil"/>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最小转弯半径（m）</w:t>
            </w:r>
          </w:p>
        </w:tc>
        <w:tc>
          <w:tcPr>
            <w:tcW w:w="2968" w:type="pct"/>
            <w:tcBorders>
              <w:top w:val="single" w:sz="4" w:space="0" w:color="auto"/>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≤10</w:t>
            </w:r>
          </w:p>
        </w:tc>
      </w:tr>
      <w:tr>
        <w:tblPrEx>
          <w:tblW w:w="4818" w:type="pct"/>
          <w:jc w:val="center"/>
          <w:tblLayout w:type="fixed"/>
          <w:tblCellMar>
            <w:top w:w="0" w:type="dxa"/>
            <w:left w:w="108" w:type="dxa"/>
            <w:bottom w:w="0" w:type="dxa"/>
            <w:right w:w="108" w:type="dxa"/>
          </w:tblCellMar>
        </w:tblPrEx>
        <w:trPr>
          <w:trHeight w:val="20"/>
          <w:jc w:val="center"/>
        </w:trPr>
        <w:tc>
          <w:tcPr>
            <w:tcW w:w="480" w:type="pct"/>
            <w:tcBorders>
              <w:top w:val="nil"/>
              <w:left w:val="single" w:sz="4" w:space="0" w:color="auto"/>
              <w:bottom w:val="single" w:sz="4" w:space="0" w:color="auto"/>
              <w:right w:val="single" w:sz="4" w:space="0" w:color="auto"/>
            </w:tcBorders>
            <w:vAlign w:val="center"/>
          </w:tcPr>
          <w:p>
            <w:pPr>
              <w:jc w:val="center"/>
              <w:rPr>
                <w:rFonts w:ascii="宋体" w:eastAsia="宋体" w:hAnsi="宋体"/>
                <w:szCs w:val="21"/>
              </w:rPr>
            </w:pPr>
            <w:r>
              <w:rPr>
                <w:rFonts w:ascii="宋体" w:eastAsia="宋体" w:hAnsi="宋体"/>
                <w:szCs w:val="21"/>
              </w:rPr>
              <w:t>15</w:t>
            </w:r>
          </w:p>
        </w:tc>
        <w:tc>
          <w:tcPr>
            <w:tcW w:w="1551" w:type="pct"/>
            <w:tcBorders>
              <w:top w:val="nil"/>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驾驶室准乘人数(人)</w:t>
            </w:r>
          </w:p>
        </w:tc>
        <w:tc>
          <w:tcPr>
            <w:tcW w:w="2968" w:type="pct"/>
            <w:tcBorders>
              <w:top w:val="single" w:sz="4" w:space="0" w:color="auto"/>
              <w:left w:val="nil"/>
              <w:bottom w:val="single" w:sz="4" w:space="0" w:color="auto"/>
              <w:right w:val="single" w:sz="4" w:space="0" w:color="auto"/>
            </w:tcBorders>
            <w:vAlign w:val="center"/>
          </w:tcPr>
          <w:p>
            <w:pPr>
              <w:jc w:val="left"/>
              <w:rPr>
                <w:rFonts w:ascii="宋体" w:eastAsia="宋体" w:hAnsi="宋体"/>
                <w:szCs w:val="21"/>
              </w:rPr>
            </w:pPr>
            <w:r>
              <w:rPr>
                <w:rFonts w:ascii="宋体" w:eastAsia="宋体" w:hAnsi="宋体"/>
                <w:szCs w:val="21"/>
              </w:rPr>
              <w:t>≥3</w:t>
            </w:r>
          </w:p>
        </w:tc>
      </w:tr>
    </w:tbl>
    <w:p>
      <w:pPr>
        <w:spacing w:line="360" w:lineRule="auto"/>
        <w:ind w:firstLine="643"/>
        <w:jc w:val="center"/>
        <w:rPr>
          <w:rFonts w:ascii="宋体" w:eastAsia="宋体" w:hAnsi="宋体"/>
          <w:szCs w:val="21"/>
        </w:rPr>
      </w:pPr>
      <w:r>
        <w:rPr>
          <w:rFonts w:ascii="宋体" w:eastAsia="宋体" w:hAnsi="宋体"/>
          <w:szCs w:val="21"/>
        </w:rPr>
        <w:t>表13 可自主移动的方舱平台配置</w:t>
      </w:r>
    </w:p>
    <w:tbl>
      <w:tblPr>
        <w:tblStyle w:val="TableNormal"/>
        <w:tblW w:w="49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30" w:type="dxa"/>
          <w:bottom w:w="0" w:type="dxa"/>
          <w:right w:w="30" w:type="dxa"/>
        </w:tblCellMar>
      </w:tblPr>
      <w:tblGrid>
        <w:gridCol w:w="720"/>
        <w:gridCol w:w="702"/>
        <w:gridCol w:w="1788"/>
        <w:gridCol w:w="566"/>
        <w:gridCol w:w="4428"/>
      </w:tblGrid>
      <w:tr>
        <w:tblPrEx>
          <w:tblW w:w="49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30" w:type="dxa"/>
            <w:bottom w:w="0" w:type="dxa"/>
            <w:right w:w="30" w:type="dxa"/>
          </w:tblCellMar>
        </w:tblPrEx>
        <w:trPr>
          <w:trHeight w:val="20"/>
          <w:jc w:val="center"/>
        </w:trPr>
        <w:tc>
          <w:tcPr>
            <w:tcW w:w="439" w:type="pct"/>
            <w:vAlign w:val="center"/>
          </w:tcPr>
          <w:p>
            <w:pPr>
              <w:jc w:val="center"/>
              <w:rPr>
                <w:rFonts w:ascii="宋体" w:eastAsia="宋体" w:hAnsi="宋体"/>
                <w:b/>
                <w:szCs w:val="21"/>
              </w:rPr>
            </w:pPr>
            <w:r>
              <w:rPr>
                <w:rFonts w:ascii="宋体" w:eastAsia="宋体" w:hAnsi="宋体"/>
                <w:b/>
                <w:szCs w:val="21"/>
              </w:rPr>
              <w:t>序号</w:t>
            </w:r>
          </w:p>
        </w:tc>
        <w:tc>
          <w:tcPr>
            <w:tcW w:w="428" w:type="pct"/>
            <w:vAlign w:val="center"/>
          </w:tcPr>
          <w:p>
            <w:pPr>
              <w:jc w:val="center"/>
              <w:rPr>
                <w:rFonts w:ascii="宋体" w:eastAsia="宋体" w:hAnsi="宋体"/>
                <w:b/>
                <w:szCs w:val="21"/>
              </w:rPr>
            </w:pPr>
            <w:r>
              <w:rPr>
                <w:rFonts w:ascii="宋体" w:eastAsia="宋体" w:hAnsi="宋体"/>
                <w:b/>
                <w:szCs w:val="21"/>
              </w:rPr>
              <w:t>项目</w:t>
            </w:r>
          </w:p>
        </w:tc>
        <w:tc>
          <w:tcPr>
            <w:tcW w:w="1090" w:type="pct"/>
            <w:vAlign w:val="center"/>
          </w:tcPr>
          <w:p>
            <w:pPr>
              <w:jc w:val="center"/>
              <w:rPr>
                <w:rFonts w:ascii="宋体" w:eastAsia="宋体" w:hAnsi="宋体"/>
                <w:b/>
                <w:szCs w:val="21"/>
              </w:rPr>
            </w:pPr>
            <w:r>
              <w:rPr>
                <w:rFonts w:ascii="宋体" w:eastAsia="宋体" w:hAnsi="宋体"/>
                <w:b/>
                <w:szCs w:val="21"/>
              </w:rPr>
              <w:t>内容</w:t>
            </w:r>
          </w:p>
        </w:tc>
        <w:tc>
          <w:tcPr>
            <w:tcW w:w="345" w:type="pct"/>
            <w:vAlign w:val="center"/>
          </w:tcPr>
          <w:p>
            <w:pPr>
              <w:jc w:val="center"/>
              <w:rPr>
                <w:rFonts w:ascii="宋体" w:eastAsia="宋体" w:hAnsi="宋体"/>
                <w:b/>
                <w:szCs w:val="21"/>
              </w:rPr>
            </w:pPr>
            <w:r>
              <w:rPr>
                <w:rFonts w:ascii="宋体" w:eastAsia="宋体" w:hAnsi="宋体"/>
                <w:b/>
                <w:szCs w:val="21"/>
              </w:rPr>
              <w:t>数量</w:t>
            </w:r>
          </w:p>
        </w:tc>
        <w:tc>
          <w:tcPr>
            <w:tcW w:w="2698" w:type="pct"/>
            <w:vAlign w:val="center"/>
          </w:tcPr>
          <w:p>
            <w:pPr>
              <w:jc w:val="center"/>
              <w:rPr>
                <w:rFonts w:ascii="宋体" w:eastAsia="宋体" w:hAnsi="宋体"/>
                <w:b/>
                <w:szCs w:val="21"/>
              </w:rPr>
            </w:pPr>
            <w:r>
              <w:rPr>
                <w:rFonts w:ascii="宋体" w:eastAsia="宋体" w:hAnsi="宋体"/>
                <w:b/>
                <w:szCs w:val="21"/>
              </w:rPr>
              <w:t>备注</w:t>
            </w:r>
          </w:p>
        </w:tc>
      </w:tr>
      <w:tr>
        <w:tblPrEx>
          <w:tblW w:w="4903" w:type="pct"/>
          <w:jc w:val="center"/>
          <w:tblCellMar>
            <w:top w:w="0" w:type="dxa"/>
            <w:left w:w="30" w:type="dxa"/>
            <w:bottom w:w="0" w:type="dxa"/>
            <w:right w:w="30" w:type="dxa"/>
          </w:tblCellMar>
        </w:tblPrEx>
        <w:trPr>
          <w:trHeight w:val="20"/>
          <w:jc w:val="center"/>
        </w:trPr>
        <w:tc>
          <w:tcPr>
            <w:tcW w:w="439" w:type="pct"/>
            <w:vAlign w:val="center"/>
          </w:tcPr>
          <w:p>
            <w:pPr>
              <w:jc w:val="center"/>
              <w:rPr>
                <w:rFonts w:ascii="宋体" w:eastAsia="宋体" w:hAnsi="宋体"/>
                <w:szCs w:val="21"/>
              </w:rPr>
            </w:pPr>
            <w:r>
              <w:rPr>
                <w:rFonts w:ascii="宋体" w:eastAsia="宋体" w:hAnsi="宋体"/>
                <w:szCs w:val="21"/>
              </w:rPr>
              <w:t>1</w:t>
            </w:r>
          </w:p>
        </w:tc>
        <w:tc>
          <w:tcPr>
            <w:tcW w:w="428" w:type="pct"/>
            <w:vAlign w:val="center"/>
          </w:tcPr>
          <w:p>
            <w:pPr>
              <w:rPr>
                <w:rFonts w:ascii="宋体" w:eastAsia="宋体" w:hAnsi="宋体"/>
                <w:szCs w:val="21"/>
              </w:rPr>
            </w:pPr>
            <w:r>
              <w:rPr>
                <w:rFonts w:ascii="宋体" w:eastAsia="宋体" w:hAnsi="宋体"/>
                <w:szCs w:val="21"/>
              </w:rPr>
              <w:t>自动站</w:t>
            </w:r>
          </w:p>
        </w:tc>
        <w:tc>
          <w:tcPr>
            <w:tcW w:w="1090" w:type="pct"/>
            <w:vAlign w:val="center"/>
          </w:tcPr>
          <w:p>
            <w:pPr>
              <w:rPr>
                <w:rFonts w:ascii="宋体" w:eastAsia="宋体" w:hAnsi="宋体"/>
                <w:szCs w:val="21"/>
              </w:rPr>
            </w:pPr>
            <w:r>
              <w:rPr>
                <w:rFonts w:ascii="宋体" w:eastAsia="宋体" w:hAnsi="宋体"/>
                <w:szCs w:val="21"/>
              </w:rPr>
              <w:t>6要素气象自动站</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r>
              <w:rPr>
                <w:rFonts w:ascii="宋体" w:eastAsia="宋体" w:hAnsi="宋体"/>
                <w:szCs w:val="21"/>
              </w:rPr>
              <w:t>专业气象观测仪器</w:t>
            </w:r>
          </w:p>
        </w:tc>
      </w:tr>
      <w:tr>
        <w:tblPrEx>
          <w:tblW w:w="4903" w:type="pct"/>
          <w:jc w:val="center"/>
          <w:tblCellMar>
            <w:top w:w="0" w:type="dxa"/>
            <w:left w:w="30" w:type="dxa"/>
            <w:bottom w:w="0" w:type="dxa"/>
            <w:right w:w="30" w:type="dxa"/>
          </w:tblCellMar>
        </w:tblPrEx>
        <w:trPr>
          <w:trHeight w:val="20"/>
          <w:jc w:val="center"/>
        </w:trPr>
        <w:tc>
          <w:tcPr>
            <w:tcW w:w="439" w:type="pct"/>
            <w:vAlign w:val="center"/>
          </w:tcPr>
          <w:p>
            <w:pPr>
              <w:jc w:val="center"/>
              <w:rPr>
                <w:rFonts w:ascii="宋体" w:eastAsia="宋体" w:hAnsi="宋体"/>
                <w:szCs w:val="21"/>
              </w:rPr>
            </w:pPr>
            <w:r>
              <w:rPr>
                <w:rFonts w:ascii="宋体" w:eastAsia="宋体" w:hAnsi="宋体"/>
                <w:szCs w:val="21"/>
              </w:rPr>
              <w:t>2</w:t>
            </w:r>
          </w:p>
        </w:tc>
        <w:tc>
          <w:tcPr>
            <w:tcW w:w="428" w:type="pct"/>
            <w:vMerge w:val="restart"/>
            <w:vAlign w:val="center"/>
          </w:tcPr>
          <w:p>
            <w:pPr>
              <w:rPr>
                <w:rFonts w:ascii="宋体" w:eastAsia="宋体" w:hAnsi="宋体"/>
                <w:szCs w:val="21"/>
              </w:rPr>
            </w:pPr>
            <w:r>
              <w:rPr>
                <w:rFonts w:ascii="宋体" w:eastAsia="宋体" w:hAnsi="宋体"/>
                <w:szCs w:val="21"/>
              </w:rPr>
              <w:t>通信网络部分</w:t>
            </w:r>
          </w:p>
        </w:tc>
        <w:tc>
          <w:tcPr>
            <w:tcW w:w="1090" w:type="pct"/>
            <w:vAlign w:val="center"/>
          </w:tcPr>
          <w:p>
            <w:pPr>
              <w:rPr>
                <w:rFonts w:ascii="宋体" w:eastAsia="宋体" w:hAnsi="宋体"/>
                <w:szCs w:val="21"/>
              </w:rPr>
            </w:pPr>
            <w:r>
              <w:rPr>
                <w:rFonts w:ascii="宋体" w:eastAsia="宋体" w:hAnsi="宋体"/>
                <w:szCs w:val="21"/>
              </w:rPr>
              <w:t>5G通信组合</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3</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北斗系统</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4</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车载电台</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5</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手持电台</w:t>
            </w:r>
          </w:p>
        </w:tc>
        <w:tc>
          <w:tcPr>
            <w:tcW w:w="345" w:type="pct"/>
            <w:vAlign w:val="center"/>
          </w:tcPr>
          <w:p>
            <w:pPr>
              <w:jc w:val="center"/>
              <w:rPr>
                <w:rFonts w:ascii="宋体" w:eastAsia="宋体" w:hAnsi="宋体"/>
                <w:szCs w:val="21"/>
              </w:rPr>
            </w:pPr>
            <w:r>
              <w:rPr>
                <w:rFonts w:ascii="宋体" w:eastAsia="宋体" w:hAnsi="宋体"/>
                <w:szCs w:val="21"/>
              </w:rPr>
              <w:t>3</w:t>
            </w:r>
          </w:p>
        </w:tc>
        <w:tc>
          <w:tcPr>
            <w:tcW w:w="2698" w:type="pct"/>
            <w:vAlign w:val="center"/>
          </w:tcPr>
          <w:p>
            <w:pPr>
              <w:rPr>
                <w:rFonts w:ascii="宋体" w:eastAsia="宋体" w:hAnsi="宋体"/>
                <w:szCs w:val="21"/>
              </w:rPr>
            </w:pP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6</w:t>
            </w:r>
          </w:p>
        </w:tc>
        <w:tc>
          <w:tcPr>
            <w:tcW w:w="428" w:type="pct"/>
            <w:vMerge w:val="restart"/>
            <w:vAlign w:val="center"/>
          </w:tcPr>
          <w:p>
            <w:pPr>
              <w:rPr>
                <w:rFonts w:ascii="宋体" w:eastAsia="宋体" w:hAnsi="宋体"/>
                <w:szCs w:val="21"/>
              </w:rPr>
            </w:pPr>
            <w:r>
              <w:rPr>
                <w:rFonts w:ascii="宋体" w:eastAsia="宋体" w:hAnsi="宋体" w:hint="eastAsia"/>
                <w:szCs w:val="21"/>
              </w:rPr>
              <w:t>方舱</w:t>
            </w:r>
          </w:p>
        </w:tc>
        <w:tc>
          <w:tcPr>
            <w:tcW w:w="1090" w:type="pct"/>
            <w:vAlign w:val="center"/>
          </w:tcPr>
          <w:p>
            <w:pPr>
              <w:rPr>
                <w:rFonts w:ascii="宋体" w:eastAsia="宋体" w:hAnsi="宋体"/>
                <w:szCs w:val="21"/>
              </w:rPr>
            </w:pPr>
            <w:r>
              <w:rPr>
                <w:rFonts w:ascii="宋体" w:eastAsia="宋体" w:hAnsi="宋体" w:hint="eastAsia"/>
                <w:szCs w:val="21"/>
              </w:rPr>
              <w:t>方舱</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r>
              <w:rPr>
                <w:rFonts w:ascii="宋体" w:eastAsia="宋体" w:hAnsi="宋体"/>
                <w:szCs w:val="21"/>
              </w:rPr>
              <w:t>定制</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7</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采光窗</w:t>
            </w:r>
          </w:p>
        </w:tc>
        <w:tc>
          <w:tcPr>
            <w:tcW w:w="345" w:type="pct"/>
            <w:vAlign w:val="center"/>
          </w:tcPr>
          <w:p>
            <w:pPr>
              <w:jc w:val="center"/>
              <w:rPr>
                <w:rFonts w:ascii="宋体" w:eastAsia="宋体" w:hAnsi="宋体"/>
                <w:szCs w:val="21"/>
              </w:rPr>
            </w:pPr>
            <w:r>
              <w:rPr>
                <w:rFonts w:ascii="宋体" w:eastAsia="宋体" w:hAnsi="宋体"/>
                <w:szCs w:val="21"/>
              </w:rPr>
              <w:t>2</w:t>
            </w:r>
          </w:p>
        </w:tc>
        <w:tc>
          <w:tcPr>
            <w:tcW w:w="2698" w:type="pct"/>
            <w:vAlign w:val="center"/>
          </w:tcPr>
          <w:p>
            <w:pPr>
              <w:rPr>
                <w:rFonts w:ascii="宋体" w:eastAsia="宋体" w:hAnsi="宋体"/>
                <w:szCs w:val="21"/>
              </w:rPr>
            </w:pPr>
            <w:r>
              <w:rPr>
                <w:rFonts w:ascii="宋体" w:eastAsia="宋体" w:hAnsi="宋体"/>
                <w:szCs w:val="21"/>
              </w:rPr>
              <w:t>定制</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8</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工作门</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r>
              <w:rPr>
                <w:rFonts w:ascii="宋体" w:eastAsia="宋体" w:hAnsi="宋体"/>
                <w:szCs w:val="21"/>
              </w:rPr>
              <w:t>定制</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9</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后部双开</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r>
              <w:rPr>
                <w:rFonts w:ascii="宋体" w:eastAsia="宋体" w:hAnsi="宋体"/>
                <w:szCs w:val="21"/>
              </w:rPr>
              <w:t>定制</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10</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发电机舱</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r>
              <w:rPr>
                <w:rFonts w:ascii="宋体" w:eastAsia="宋体" w:hAnsi="宋体"/>
                <w:szCs w:val="21"/>
              </w:rPr>
              <w:t>定制</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11</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空调舱</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r>
              <w:rPr>
                <w:rFonts w:ascii="宋体" w:eastAsia="宋体" w:hAnsi="宋体"/>
                <w:szCs w:val="21"/>
              </w:rPr>
              <w:t>定制</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12</w:t>
            </w:r>
          </w:p>
        </w:tc>
        <w:tc>
          <w:tcPr>
            <w:tcW w:w="428" w:type="pct"/>
            <w:vMerge w:val="restart"/>
            <w:vAlign w:val="center"/>
          </w:tcPr>
          <w:p>
            <w:pPr>
              <w:rPr>
                <w:rFonts w:ascii="宋体" w:eastAsia="宋体" w:hAnsi="宋体"/>
                <w:szCs w:val="21"/>
              </w:rPr>
            </w:pPr>
            <w:r>
              <w:rPr>
                <w:rFonts w:ascii="宋体" w:eastAsia="宋体" w:hAnsi="宋体"/>
                <w:szCs w:val="21"/>
              </w:rPr>
              <w:t>外部</w:t>
            </w:r>
          </w:p>
          <w:p>
            <w:pPr>
              <w:rPr>
                <w:rFonts w:ascii="宋体" w:eastAsia="宋体" w:hAnsi="宋体"/>
                <w:szCs w:val="21"/>
              </w:rPr>
            </w:pPr>
            <w:r>
              <w:rPr>
                <w:rFonts w:ascii="宋体" w:eastAsia="宋体" w:hAnsi="宋体"/>
                <w:szCs w:val="21"/>
              </w:rPr>
              <w:t>改装</w:t>
            </w:r>
          </w:p>
        </w:tc>
        <w:tc>
          <w:tcPr>
            <w:tcW w:w="1090" w:type="pct"/>
            <w:vAlign w:val="center"/>
          </w:tcPr>
          <w:p>
            <w:pPr>
              <w:rPr>
                <w:rFonts w:ascii="宋体" w:eastAsia="宋体" w:hAnsi="宋体"/>
                <w:szCs w:val="21"/>
              </w:rPr>
            </w:pPr>
            <w:r>
              <w:rPr>
                <w:rFonts w:ascii="宋体" w:eastAsia="宋体" w:hAnsi="宋体"/>
                <w:szCs w:val="21"/>
              </w:rPr>
              <w:t>千斤顶</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r>
              <w:rPr>
                <w:rFonts w:ascii="宋体" w:eastAsia="宋体" w:hAnsi="宋体"/>
                <w:szCs w:val="21"/>
              </w:rPr>
              <w:t>配垫木</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13</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hint="eastAsia"/>
                <w:szCs w:val="21"/>
              </w:rPr>
              <w:t>方舱</w:t>
            </w:r>
            <w:r>
              <w:rPr>
                <w:rFonts w:ascii="宋体" w:eastAsia="宋体" w:hAnsi="宋体"/>
                <w:szCs w:val="21"/>
              </w:rPr>
              <w:t>顶平台</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14</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hint="eastAsia"/>
                <w:szCs w:val="21"/>
              </w:rPr>
              <w:t>方舱</w:t>
            </w:r>
            <w:r>
              <w:rPr>
                <w:rFonts w:ascii="宋体" w:eastAsia="宋体" w:hAnsi="宋体"/>
                <w:szCs w:val="21"/>
              </w:rPr>
              <w:t>顶防护栏</w:t>
            </w:r>
          </w:p>
        </w:tc>
        <w:tc>
          <w:tcPr>
            <w:tcW w:w="345" w:type="pct"/>
            <w:vAlign w:val="center"/>
          </w:tcPr>
          <w:p>
            <w:pPr>
              <w:jc w:val="center"/>
              <w:rPr>
                <w:rFonts w:ascii="宋体" w:eastAsia="宋体" w:hAnsi="宋体"/>
                <w:szCs w:val="21"/>
              </w:rPr>
            </w:pPr>
            <w:r>
              <w:rPr>
                <w:rFonts w:ascii="宋体" w:eastAsia="宋体" w:hAnsi="宋体" w:hint="eastAsia"/>
                <w:szCs w:val="21"/>
              </w:rPr>
              <w:t>1</w:t>
            </w:r>
          </w:p>
        </w:tc>
        <w:tc>
          <w:tcPr>
            <w:tcW w:w="2698" w:type="pct"/>
            <w:vAlign w:val="center"/>
          </w:tcPr>
          <w:p>
            <w:pPr>
              <w:rPr>
                <w:rFonts w:ascii="宋体" w:eastAsia="宋体" w:hAnsi="宋体"/>
                <w:szCs w:val="21"/>
              </w:rPr>
            </w:pP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15</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hint="eastAsia"/>
                <w:szCs w:val="21"/>
              </w:rPr>
              <w:t>方舱</w:t>
            </w:r>
            <w:r>
              <w:rPr>
                <w:rFonts w:ascii="宋体" w:eastAsia="宋体" w:hAnsi="宋体"/>
                <w:szCs w:val="21"/>
              </w:rPr>
              <w:t>尾登顶爬梯</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16</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升降避雷针</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r>
              <w:rPr>
                <w:rFonts w:ascii="宋体" w:eastAsia="宋体" w:hAnsi="宋体" w:hint="eastAsia"/>
                <w:szCs w:val="21"/>
              </w:rPr>
              <w:t>需提供资质方防雷检测报告</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17</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电动顶门</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r>
              <w:rPr>
                <w:rFonts w:ascii="宋体" w:eastAsia="宋体" w:hAnsi="宋体"/>
                <w:szCs w:val="21"/>
              </w:rPr>
              <w:t>齿轮齿条</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18</w:t>
            </w:r>
          </w:p>
        </w:tc>
        <w:tc>
          <w:tcPr>
            <w:tcW w:w="428" w:type="pct"/>
            <w:vMerge w:val="restart"/>
            <w:vAlign w:val="center"/>
          </w:tcPr>
          <w:p>
            <w:pPr>
              <w:rPr>
                <w:rFonts w:ascii="宋体" w:eastAsia="宋体" w:hAnsi="宋体"/>
                <w:szCs w:val="21"/>
              </w:rPr>
            </w:pPr>
            <w:r>
              <w:rPr>
                <w:rFonts w:ascii="宋体" w:eastAsia="宋体" w:hAnsi="宋体"/>
                <w:szCs w:val="21"/>
              </w:rPr>
              <w:t>雷达间</w:t>
            </w:r>
          </w:p>
        </w:tc>
        <w:tc>
          <w:tcPr>
            <w:tcW w:w="1090" w:type="pct"/>
            <w:vAlign w:val="center"/>
          </w:tcPr>
          <w:p>
            <w:pPr>
              <w:autoSpaceDE w:val="0"/>
              <w:autoSpaceDN w:val="0"/>
              <w:adjustRightInd w:val="0"/>
              <w:jc w:val="left"/>
              <w:rPr>
                <w:rFonts w:ascii="宋体" w:eastAsia="宋体" w:hAnsi="宋体"/>
                <w:szCs w:val="21"/>
              </w:rPr>
            </w:pPr>
            <w:r>
              <w:rPr>
                <w:rFonts w:ascii="宋体" w:eastAsia="宋体" w:hAnsi="宋体"/>
                <w:kern w:val="0"/>
                <w:szCs w:val="21"/>
              </w:rPr>
              <w:t>电动升降机构（升降控制盒）</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autoSpaceDE w:val="0"/>
              <w:autoSpaceDN w:val="0"/>
              <w:adjustRightInd w:val="0"/>
              <w:jc w:val="left"/>
              <w:rPr>
                <w:rFonts w:ascii="宋体" w:eastAsia="宋体" w:hAnsi="宋体"/>
                <w:szCs w:val="21"/>
              </w:rPr>
            </w:pPr>
            <w:r>
              <w:rPr>
                <w:rFonts w:ascii="宋体" w:eastAsia="宋体" w:hAnsi="宋体"/>
                <w:kern w:val="0"/>
                <w:szCs w:val="21"/>
              </w:rPr>
              <w:t>升降天气雷达（加-40</w:t>
            </w:r>
            <w:r>
              <w:rPr>
                <w:rFonts w:ascii="宋体" w:eastAsia="宋体" w:hAnsi="宋体" w:cs="微软雅黑" w:hint="eastAsia"/>
                <w:kern w:val="0"/>
                <w:szCs w:val="21"/>
              </w:rPr>
              <w:t>℃</w:t>
            </w:r>
            <w:r>
              <w:rPr>
                <w:rFonts w:ascii="宋体" w:eastAsia="宋体" w:hAnsi="宋体"/>
                <w:kern w:val="0"/>
                <w:szCs w:val="21"/>
              </w:rPr>
              <w:t>齿轮油）</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19</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雷达间装饰</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r>
              <w:rPr>
                <w:rFonts w:ascii="宋体" w:eastAsia="宋体" w:hAnsi="宋体"/>
                <w:szCs w:val="21"/>
              </w:rPr>
              <w:t>铝塑板+花纹铝地板</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20</w:t>
            </w:r>
          </w:p>
        </w:tc>
        <w:tc>
          <w:tcPr>
            <w:tcW w:w="428" w:type="pct"/>
            <w:vMerge w:val="restart"/>
            <w:vAlign w:val="center"/>
          </w:tcPr>
          <w:p>
            <w:pPr>
              <w:rPr>
                <w:rFonts w:ascii="宋体" w:eastAsia="宋体" w:hAnsi="宋体"/>
                <w:szCs w:val="21"/>
              </w:rPr>
            </w:pPr>
            <w:r>
              <w:rPr>
                <w:rFonts w:ascii="宋体" w:eastAsia="宋体" w:hAnsi="宋体"/>
                <w:szCs w:val="21"/>
              </w:rPr>
              <w:t>操作间</w:t>
            </w:r>
          </w:p>
        </w:tc>
        <w:tc>
          <w:tcPr>
            <w:tcW w:w="1090" w:type="pct"/>
            <w:vAlign w:val="center"/>
          </w:tcPr>
          <w:p>
            <w:pPr>
              <w:rPr>
                <w:rFonts w:ascii="宋体" w:eastAsia="宋体" w:hAnsi="宋体"/>
                <w:szCs w:val="21"/>
              </w:rPr>
            </w:pPr>
            <w:r>
              <w:rPr>
                <w:rFonts w:ascii="宋体" w:eastAsia="宋体" w:hAnsi="宋体"/>
                <w:szCs w:val="21"/>
              </w:rPr>
              <w:t>双联机柜</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21</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发电机隔间</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r>
              <w:rPr>
                <w:rFonts w:ascii="宋体" w:eastAsia="宋体" w:hAnsi="宋体"/>
                <w:szCs w:val="21"/>
              </w:rPr>
              <w:t>含发电机托盘</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22</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附件柜</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23</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操作间装饰</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r>
              <w:rPr>
                <w:rFonts w:ascii="宋体" w:eastAsia="宋体" w:hAnsi="宋体"/>
                <w:szCs w:val="21"/>
              </w:rPr>
              <w:t>软包+防静电地胶</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24</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座椅</w:t>
            </w:r>
          </w:p>
        </w:tc>
        <w:tc>
          <w:tcPr>
            <w:tcW w:w="345" w:type="pct"/>
            <w:vAlign w:val="center"/>
          </w:tcPr>
          <w:p>
            <w:pPr>
              <w:jc w:val="center"/>
              <w:rPr>
                <w:rFonts w:ascii="宋体" w:eastAsia="宋体" w:hAnsi="宋体"/>
                <w:szCs w:val="21"/>
              </w:rPr>
            </w:pPr>
            <w:r>
              <w:rPr>
                <w:rFonts w:ascii="宋体" w:eastAsia="宋体" w:hAnsi="宋体"/>
                <w:szCs w:val="21"/>
              </w:rPr>
              <w:t>2</w:t>
            </w:r>
          </w:p>
        </w:tc>
        <w:tc>
          <w:tcPr>
            <w:tcW w:w="2698" w:type="pct"/>
            <w:vAlign w:val="center"/>
          </w:tcPr>
          <w:p>
            <w:pPr>
              <w:rPr>
                <w:rFonts w:ascii="宋体" w:eastAsia="宋体" w:hAnsi="宋体"/>
                <w:szCs w:val="21"/>
              </w:rPr>
            </w:pP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25</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操作桌板</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r>
              <w:rPr>
                <w:rFonts w:ascii="宋体" w:eastAsia="宋体" w:hAnsi="宋体" w:hint="eastAsia"/>
                <w:szCs w:val="21"/>
              </w:rPr>
              <w:t>不低于E</w:t>
            </w:r>
            <w:r>
              <w:rPr>
                <w:rFonts w:ascii="宋体" w:eastAsia="宋体" w:hAnsi="宋体"/>
                <w:szCs w:val="21"/>
              </w:rPr>
              <w:t>0级环保等级</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26</w:t>
            </w:r>
          </w:p>
        </w:tc>
        <w:tc>
          <w:tcPr>
            <w:tcW w:w="428" w:type="pct"/>
            <w:vMerge w:val="restart"/>
            <w:vAlign w:val="center"/>
          </w:tcPr>
          <w:p>
            <w:pPr>
              <w:rPr>
                <w:rFonts w:ascii="宋体" w:eastAsia="宋体" w:hAnsi="宋体"/>
                <w:szCs w:val="21"/>
              </w:rPr>
            </w:pPr>
            <w:r>
              <w:rPr>
                <w:rFonts w:ascii="宋体" w:eastAsia="宋体" w:hAnsi="宋体"/>
                <w:szCs w:val="21"/>
              </w:rPr>
              <w:t>电气</w:t>
            </w:r>
          </w:p>
          <w:p>
            <w:pPr>
              <w:rPr>
                <w:rFonts w:ascii="宋体" w:eastAsia="宋体" w:hAnsi="宋体"/>
                <w:szCs w:val="21"/>
              </w:rPr>
            </w:pPr>
            <w:r>
              <w:rPr>
                <w:rFonts w:ascii="宋体" w:eastAsia="宋体" w:hAnsi="宋体"/>
                <w:szCs w:val="21"/>
              </w:rPr>
              <w:t>部分</w:t>
            </w:r>
          </w:p>
        </w:tc>
        <w:tc>
          <w:tcPr>
            <w:tcW w:w="1090" w:type="pct"/>
            <w:vAlign w:val="center"/>
          </w:tcPr>
          <w:p>
            <w:pPr>
              <w:rPr>
                <w:rFonts w:ascii="宋体" w:eastAsia="宋体" w:hAnsi="宋体"/>
                <w:szCs w:val="21"/>
              </w:rPr>
            </w:pPr>
            <w:r>
              <w:rPr>
                <w:rFonts w:ascii="宋体" w:eastAsia="宋体" w:hAnsi="宋体"/>
                <w:szCs w:val="21"/>
              </w:rPr>
              <w:t>工作舱照明灯</w:t>
            </w:r>
          </w:p>
        </w:tc>
        <w:tc>
          <w:tcPr>
            <w:tcW w:w="345" w:type="pct"/>
            <w:vAlign w:val="center"/>
          </w:tcPr>
          <w:p>
            <w:pPr>
              <w:jc w:val="center"/>
              <w:rPr>
                <w:rFonts w:ascii="宋体" w:eastAsia="宋体" w:hAnsi="宋体"/>
                <w:szCs w:val="21"/>
              </w:rPr>
            </w:pPr>
            <w:r>
              <w:rPr>
                <w:rFonts w:ascii="宋体" w:eastAsia="宋体" w:hAnsi="宋体"/>
                <w:szCs w:val="21"/>
              </w:rPr>
              <w:t>3</w:t>
            </w:r>
          </w:p>
        </w:tc>
        <w:tc>
          <w:tcPr>
            <w:tcW w:w="2698" w:type="pct"/>
            <w:vAlign w:val="center"/>
          </w:tcPr>
          <w:p>
            <w:pPr>
              <w:rPr>
                <w:rFonts w:ascii="宋体" w:eastAsia="宋体" w:hAnsi="宋体"/>
                <w:szCs w:val="21"/>
              </w:rPr>
            </w:pPr>
            <w:r>
              <w:rPr>
                <w:rFonts w:ascii="宋体" w:eastAsia="宋体" w:hAnsi="宋体"/>
                <w:szCs w:val="21"/>
              </w:rPr>
              <w:t>护眼灯、无频闪，2交流1直流</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27</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雷达舱照明灯</w:t>
            </w:r>
          </w:p>
        </w:tc>
        <w:tc>
          <w:tcPr>
            <w:tcW w:w="345" w:type="pct"/>
            <w:vAlign w:val="center"/>
          </w:tcPr>
          <w:p>
            <w:pPr>
              <w:jc w:val="center"/>
              <w:rPr>
                <w:rFonts w:ascii="宋体" w:eastAsia="宋体" w:hAnsi="宋体"/>
                <w:szCs w:val="21"/>
              </w:rPr>
            </w:pPr>
            <w:r>
              <w:rPr>
                <w:rFonts w:ascii="宋体" w:eastAsia="宋体" w:hAnsi="宋体"/>
                <w:szCs w:val="21"/>
              </w:rPr>
              <w:t>2</w:t>
            </w:r>
          </w:p>
        </w:tc>
        <w:tc>
          <w:tcPr>
            <w:tcW w:w="2698" w:type="pct"/>
            <w:vAlign w:val="center"/>
          </w:tcPr>
          <w:p>
            <w:pPr>
              <w:rPr>
                <w:rFonts w:ascii="宋体" w:eastAsia="宋体" w:hAnsi="宋体"/>
                <w:szCs w:val="21"/>
              </w:rPr>
            </w:pPr>
            <w:r>
              <w:rPr>
                <w:rFonts w:ascii="宋体" w:eastAsia="宋体" w:hAnsi="宋体"/>
                <w:szCs w:val="21"/>
              </w:rPr>
              <w:t>护眼灯、无频闪，1交流1直流</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28</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hint="eastAsia"/>
                <w:szCs w:val="21"/>
              </w:rPr>
              <w:t>方舱</w:t>
            </w:r>
            <w:r>
              <w:rPr>
                <w:rFonts w:ascii="宋体" w:eastAsia="宋体" w:hAnsi="宋体"/>
                <w:szCs w:val="21"/>
              </w:rPr>
              <w:t>顶围框照明</w:t>
            </w:r>
          </w:p>
        </w:tc>
        <w:tc>
          <w:tcPr>
            <w:tcW w:w="345" w:type="pct"/>
            <w:vAlign w:val="center"/>
          </w:tcPr>
          <w:p>
            <w:pPr>
              <w:jc w:val="center"/>
              <w:rPr>
                <w:rFonts w:ascii="宋体" w:eastAsia="宋体" w:hAnsi="宋体"/>
                <w:szCs w:val="21"/>
              </w:rPr>
            </w:pPr>
            <w:r>
              <w:rPr>
                <w:rFonts w:ascii="宋体" w:eastAsia="宋体" w:hAnsi="宋体"/>
                <w:szCs w:val="21"/>
              </w:rPr>
              <w:t>8</w:t>
            </w:r>
          </w:p>
        </w:tc>
        <w:tc>
          <w:tcPr>
            <w:tcW w:w="2698" w:type="pct"/>
            <w:vAlign w:val="center"/>
          </w:tcPr>
          <w:p>
            <w:pPr>
              <w:rPr>
                <w:rFonts w:ascii="宋体" w:eastAsia="宋体" w:hAnsi="宋体"/>
                <w:szCs w:val="21"/>
              </w:rPr>
            </w:pPr>
            <w:r>
              <w:rPr>
                <w:rFonts w:ascii="宋体" w:eastAsia="宋体" w:hAnsi="宋体"/>
                <w:szCs w:val="21"/>
              </w:rPr>
              <w:t>无频闪。</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29</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配电箱</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r>
              <w:rPr>
                <w:rFonts w:ascii="宋体" w:eastAsia="宋体" w:hAnsi="宋体"/>
                <w:szCs w:val="21"/>
              </w:rPr>
              <w:t>含漏电防雷保护功能，做成上架式</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30</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便携式电缆盘</w:t>
            </w:r>
          </w:p>
        </w:tc>
        <w:tc>
          <w:tcPr>
            <w:tcW w:w="345" w:type="pct"/>
            <w:vAlign w:val="center"/>
          </w:tcPr>
          <w:p>
            <w:pPr>
              <w:jc w:val="center"/>
              <w:rPr>
                <w:rFonts w:ascii="宋体" w:eastAsia="宋体" w:hAnsi="宋体"/>
                <w:szCs w:val="21"/>
              </w:rPr>
            </w:pPr>
            <w:r>
              <w:rPr>
                <w:rFonts w:ascii="宋体" w:eastAsia="宋体" w:hAnsi="宋体"/>
                <w:szCs w:val="21"/>
              </w:rPr>
              <w:t>2</w:t>
            </w:r>
          </w:p>
        </w:tc>
        <w:tc>
          <w:tcPr>
            <w:tcW w:w="2698" w:type="pct"/>
            <w:vAlign w:val="center"/>
          </w:tcPr>
          <w:p>
            <w:pPr>
              <w:rPr>
                <w:rFonts w:ascii="宋体" w:eastAsia="宋体" w:hAnsi="宋体"/>
                <w:szCs w:val="21"/>
              </w:rPr>
            </w:pPr>
            <w:r>
              <w:rPr>
                <w:rFonts w:ascii="宋体" w:eastAsia="宋体" w:hAnsi="宋体"/>
                <w:szCs w:val="21"/>
              </w:rPr>
              <w:t>含50m×2盘市电电缆，输入电压</w:t>
            </w:r>
            <w:r>
              <w:rPr>
                <w:rFonts w:ascii="宋体" w:eastAsia="宋体" w:hAnsi="宋体" w:hint="eastAsia"/>
                <w:szCs w:val="21"/>
              </w:rPr>
              <w:t>220V</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31</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雷达升降控制箱</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r>
              <w:rPr>
                <w:rFonts w:ascii="宋体" w:eastAsia="宋体" w:hAnsi="宋体"/>
                <w:szCs w:val="21"/>
              </w:rPr>
              <w:t>控制雷达升降与顶门开启</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32</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空调</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r>
              <w:rPr>
                <w:rFonts w:ascii="宋体" w:eastAsia="宋体" w:hAnsi="宋体"/>
                <w:szCs w:val="21"/>
              </w:rPr>
              <w:t>1.5p冷暖分体式</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33</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半球摄像机</w:t>
            </w:r>
          </w:p>
        </w:tc>
        <w:tc>
          <w:tcPr>
            <w:tcW w:w="345" w:type="pct"/>
            <w:vAlign w:val="center"/>
          </w:tcPr>
          <w:p>
            <w:pPr>
              <w:jc w:val="center"/>
              <w:rPr>
                <w:rFonts w:ascii="宋体" w:eastAsia="宋体" w:hAnsi="宋体"/>
                <w:szCs w:val="21"/>
              </w:rPr>
            </w:pPr>
            <w:r>
              <w:rPr>
                <w:rFonts w:ascii="宋体" w:eastAsia="宋体" w:hAnsi="宋体"/>
                <w:szCs w:val="21"/>
              </w:rPr>
              <w:t>2</w:t>
            </w:r>
          </w:p>
        </w:tc>
        <w:tc>
          <w:tcPr>
            <w:tcW w:w="2698" w:type="pct"/>
            <w:vAlign w:val="center"/>
          </w:tcPr>
          <w:p>
            <w:pPr>
              <w:rPr>
                <w:rFonts w:ascii="宋体" w:eastAsia="宋体" w:hAnsi="宋体"/>
                <w:szCs w:val="21"/>
              </w:rPr>
            </w:pPr>
            <w:r>
              <w:rPr>
                <w:rFonts w:ascii="宋体" w:eastAsia="宋体" w:hAnsi="宋体"/>
                <w:szCs w:val="21"/>
              </w:rPr>
              <w:t>高清可录制时长24h</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35</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前后对讲装置</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34</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柴油或汽油发电机</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autoSpaceDE w:val="0"/>
              <w:autoSpaceDN w:val="0"/>
              <w:adjustRightInd w:val="0"/>
              <w:jc w:val="left"/>
              <w:rPr>
                <w:rFonts w:ascii="宋体" w:eastAsia="宋体" w:hAnsi="宋体"/>
                <w:szCs w:val="21"/>
              </w:rPr>
            </w:pPr>
            <w:r>
              <w:rPr>
                <w:rFonts w:ascii="宋体" w:eastAsia="宋体" w:hAnsi="宋体"/>
                <w:szCs w:val="21"/>
              </w:rPr>
              <w:t>不小于12kw，</w:t>
            </w:r>
            <w:r>
              <w:rPr>
                <w:rFonts w:ascii="宋体" w:eastAsia="宋体" w:hAnsi="宋体" w:hint="eastAsia"/>
                <w:szCs w:val="21"/>
              </w:rPr>
              <w:t>方舱</w:t>
            </w:r>
            <w:r>
              <w:rPr>
                <w:rFonts w:ascii="宋体" w:eastAsia="宋体" w:hAnsi="宋体"/>
                <w:kern w:val="0"/>
                <w:szCs w:val="21"/>
              </w:rPr>
              <w:t>内做隔音降噪处理（含10m油机电缆）</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36</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硬盘录像机</w:t>
            </w:r>
          </w:p>
        </w:tc>
        <w:tc>
          <w:tcPr>
            <w:tcW w:w="345" w:type="pct"/>
            <w:vAlign w:val="center"/>
          </w:tcPr>
          <w:p>
            <w:pPr>
              <w:jc w:val="center"/>
              <w:rPr>
                <w:rFonts w:ascii="宋体" w:eastAsia="宋体" w:hAnsi="宋体"/>
                <w:szCs w:val="21"/>
              </w:rPr>
            </w:pPr>
            <w:r>
              <w:rPr>
                <w:rFonts w:ascii="宋体" w:eastAsia="宋体" w:hAnsi="宋体"/>
                <w:szCs w:val="21"/>
              </w:rPr>
              <w:t>1</w:t>
            </w:r>
          </w:p>
        </w:tc>
        <w:tc>
          <w:tcPr>
            <w:tcW w:w="2698" w:type="pct"/>
            <w:vAlign w:val="center"/>
          </w:tcPr>
          <w:p>
            <w:pPr>
              <w:rPr>
                <w:rFonts w:ascii="宋体" w:eastAsia="宋体" w:hAnsi="宋体"/>
                <w:szCs w:val="21"/>
              </w:rPr>
            </w:pPr>
            <w:r>
              <w:rPr>
                <w:rFonts w:ascii="宋体" w:eastAsia="宋体" w:hAnsi="宋体"/>
                <w:szCs w:val="21"/>
              </w:rPr>
              <w:t>满足存储</w:t>
            </w:r>
            <w:r>
              <w:rPr>
                <w:rFonts w:ascii="宋体" w:eastAsia="宋体" w:hAnsi="宋体" w:hint="eastAsia"/>
                <w:szCs w:val="21"/>
              </w:rPr>
              <w:t>1</w:t>
            </w:r>
            <w:r>
              <w:rPr>
                <w:rFonts w:ascii="宋体" w:eastAsia="宋体" w:hAnsi="宋体"/>
                <w:szCs w:val="21"/>
              </w:rPr>
              <w:t>80天存储时间</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37</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液晶显示器</w:t>
            </w:r>
          </w:p>
        </w:tc>
        <w:tc>
          <w:tcPr>
            <w:tcW w:w="345" w:type="pct"/>
            <w:vAlign w:val="center"/>
          </w:tcPr>
          <w:p>
            <w:pPr>
              <w:pStyle w:val="a2"/>
              <w:spacing w:line="240" w:lineRule="auto"/>
              <w:ind w:firstLine="0" w:firstLineChars="0"/>
              <w:jc w:val="center"/>
              <w:rPr>
                <w:rFonts w:ascii="宋体" w:hAnsi="宋体"/>
                <w:color w:val="auto"/>
                <w:sz w:val="21"/>
                <w:szCs w:val="21"/>
              </w:rPr>
            </w:pPr>
            <w:r>
              <w:rPr>
                <w:rFonts w:ascii="宋体" w:hAnsi="宋体"/>
                <w:color w:val="auto"/>
                <w:sz w:val="21"/>
                <w:szCs w:val="21"/>
              </w:rPr>
              <w:t>4</w:t>
            </w:r>
          </w:p>
        </w:tc>
        <w:tc>
          <w:tcPr>
            <w:tcW w:w="2698" w:type="pct"/>
            <w:vAlign w:val="center"/>
          </w:tcPr>
          <w:p>
            <w:pPr>
              <w:pStyle w:val="a2"/>
              <w:spacing w:line="240" w:lineRule="auto"/>
              <w:ind w:firstLine="0" w:firstLineChars="0"/>
              <w:rPr>
                <w:rFonts w:ascii="宋体" w:hAnsi="宋体"/>
                <w:color w:val="auto"/>
                <w:sz w:val="21"/>
                <w:szCs w:val="21"/>
              </w:rPr>
            </w:pPr>
            <w:r>
              <w:rPr>
                <w:rFonts w:ascii="宋体" w:hAnsi="宋体" w:hint="eastAsia"/>
                <w:color w:val="auto"/>
                <w:sz w:val="21"/>
                <w:szCs w:val="21"/>
              </w:rPr>
              <w:t>不小于27寸</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38</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trike/>
                <w:szCs w:val="21"/>
              </w:rPr>
            </w:pPr>
            <w:r>
              <w:rPr>
                <w:rFonts w:ascii="宋体" w:eastAsia="宋体" w:hAnsi="宋体"/>
                <w:szCs w:val="21"/>
              </w:rPr>
              <w:t>工业级无线路由器</w:t>
            </w:r>
          </w:p>
        </w:tc>
        <w:tc>
          <w:tcPr>
            <w:tcW w:w="345" w:type="pct"/>
            <w:vAlign w:val="center"/>
          </w:tcPr>
          <w:p>
            <w:pPr>
              <w:pStyle w:val="a2"/>
              <w:spacing w:line="240" w:lineRule="auto"/>
              <w:ind w:firstLine="0" w:firstLineChars="0"/>
              <w:jc w:val="center"/>
              <w:rPr>
                <w:rFonts w:ascii="宋体" w:hAnsi="宋体"/>
                <w:color w:val="auto"/>
                <w:sz w:val="21"/>
                <w:szCs w:val="21"/>
              </w:rPr>
            </w:pPr>
            <w:r>
              <w:rPr>
                <w:rFonts w:ascii="宋体" w:hAnsi="宋体"/>
                <w:color w:val="auto"/>
                <w:sz w:val="21"/>
                <w:szCs w:val="21"/>
              </w:rPr>
              <w:t>1</w:t>
            </w:r>
          </w:p>
        </w:tc>
        <w:tc>
          <w:tcPr>
            <w:tcW w:w="2698" w:type="pct"/>
            <w:vAlign w:val="center"/>
          </w:tcPr>
          <w:p>
            <w:pPr>
              <w:pStyle w:val="a2"/>
              <w:spacing w:line="240" w:lineRule="auto"/>
              <w:ind w:firstLine="0" w:firstLineChars="0"/>
              <w:rPr>
                <w:rFonts w:ascii="宋体" w:hAnsi="宋体"/>
                <w:color w:val="auto"/>
                <w:sz w:val="21"/>
                <w:szCs w:val="21"/>
              </w:rPr>
            </w:pP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39</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UPS</w:t>
            </w:r>
          </w:p>
        </w:tc>
        <w:tc>
          <w:tcPr>
            <w:tcW w:w="345" w:type="pct"/>
            <w:vAlign w:val="center"/>
          </w:tcPr>
          <w:p>
            <w:pPr>
              <w:pStyle w:val="a2"/>
              <w:spacing w:line="240" w:lineRule="auto"/>
              <w:ind w:firstLine="0" w:firstLineChars="0"/>
              <w:jc w:val="center"/>
              <w:rPr>
                <w:rFonts w:ascii="宋体" w:hAnsi="宋体"/>
                <w:color w:val="auto"/>
                <w:sz w:val="21"/>
                <w:szCs w:val="21"/>
              </w:rPr>
            </w:pPr>
            <w:r>
              <w:rPr>
                <w:rFonts w:ascii="宋体" w:hAnsi="宋体"/>
                <w:color w:val="auto"/>
                <w:sz w:val="21"/>
                <w:szCs w:val="21"/>
              </w:rPr>
              <w:t>1</w:t>
            </w:r>
          </w:p>
        </w:tc>
        <w:tc>
          <w:tcPr>
            <w:tcW w:w="2698" w:type="pct"/>
            <w:vAlign w:val="center"/>
          </w:tcPr>
          <w:p>
            <w:pPr>
              <w:rPr>
                <w:rFonts w:ascii="宋体" w:eastAsia="宋体" w:hAnsi="宋体"/>
                <w:szCs w:val="21"/>
              </w:rPr>
            </w:pPr>
            <w:r>
              <w:rPr>
                <w:rFonts w:ascii="宋体" w:eastAsia="宋体" w:hAnsi="宋体" w:hint="eastAsia"/>
                <w:szCs w:val="21"/>
              </w:rPr>
              <w:t>功率不小于10kVA，带稳压功能，保证突然断电后雷达设备能够正常运行至少1小时。</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40</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工控机</w:t>
            </w:r>
          </w:p>
        </w:tc>
        <w:tc>
          <w:tcPr>
            <w:tcW w:w="345" w:type="pct"/>
            <w:vAlign w:val="center"/>
          </w:tcPr>
          <w:p>
            <w:pPr>
              <w:pStyle w:val="a2"/>
              <w:spacing w:line="240" w:lineRule="auto"/>
              <w:ind w:firstLine="0" w:firstLineChars="0"/>
              <w:jc w:val="center"/>
              <w:rPr>
                <w:rFonts w:ascii="宋体" w:hAnsi="宋体"/>
                <w:color w:val="auto"/>
                <w:sz w:val="21"/>
                <w:szCs w:val="21"/>
              </w:rPr>
            </w:pPr>
            <w:r>
              <w:rPr>
                <w:rFonts w:ascii="宋体" w:hAnsi="宋体"/>
                <w:color w:val="auto"/>
                <w:sz w:val="21"/>
                <w:szCs w:val="21"/>
              </w:rPr>
              <w:t>2</w:t>
            </w:r>
          </w:p>
        </w:tc>
        <w:tc>
          <w:tcPr>
            <w:tcW w:w="2698" w:type="pct"/>
            <w:vAlign w:val="center"/>
          </w:tcPr>
          <w:p>
            <w:pPr>
              <w:rPr>
                <w:rFonts w:ascii="宋体" w:eastAsia="宋体" w:hAnsi="宋体"/>
                <w:szCs w:val="21"/>
              </w:rPr>
            </w:pPr>
            <w:r>
              <w:rPr>
                <w:rFonts w:ascii="宋体" w:eastAsia="宋体" w:hAnsi="宋体"/>
                <w:szCs w:val="21"/>
              </w:rPr>
              <w:t>内存不低于</w:t>
            </w:r>
            <w:r>
              <w:rPr>
                <w:rFonts w:ascii="宋体" w:eastAsia="宋体" w:hAnsi="宋体" w:hint="eastAsia"/>
                <w:szCs w:val="21"/>
              </w:rPr>
              <w:t>6</w:t>
            </w:r>
            <w:r>
              <w:rPr>
                <w:rFonts w:ascii="宋体" w:eastAsia="宋体" w:hAnsi="宋体"/>
                <w:szCs w:val="21"/>
              </w:rPr>
              <w:t>4G，</w:t>
            </w:r>
            <w:r>
              <w:rPr>
                <w:rFonts w:ascii="宋体" w:eastAsia="宋体" w:hAnsi="宋体" w:hint="eastAsia"/>
                <w:bCs/>
                <w:szCs w:val="21"/>
              </w:rPr>
              <w:t>不低于DDR4</w:t>
            </w:r>
          </w:p>
          <w:p>
            <w:pPr>
              <w:rPr>
                <w:rFonts w:ascii="宋体" w:eastAsia="宋体" w:hAnsi="宋体"/>
                <w:szCs w:val="21"/>
              </w:rPr>
            </w:pPr>
            <w:r>
              <w:rPr>
                <w:rFonts w:ascii="宋体" w:eastAsia="宋体" w:hAnsi="宋体" w:hint="eastAsia"/>
                <w:bCs/>
                <w:szCs w:val="21"/>
              </w:rPr>
              <w:t>固态硬盘不低于4TB</w:t>
            </w:r>
          </w:p>
          <w:p>
            <w:pPr>
              <w:rPr>
                <w:rFonts w:ascii="宋体" w:eastAsia="宋体" w:hAnsi="宋体"/>
                <w:szCs w:val="21"/>
              </w:rPr>
            </w:pPr>
            <w:r>
              <w:rPr>
                <w:rFonts w:ascii="宋体" w:eastAsia="宋体" w:hAnsi="宋体" w:hint="eastAsia"/>
                <w:szCs w:val="21"/>
              </w:rPr>
              <w:t>C</w:t>
            </w:r>
            <w:r>
              <w:rPr>
                <w:rFonts w:ascii="宋体" w:eastAsia="宋体" w:hAnsi="宋体"/>
                <w:szCs w:val="21"/>
              </w:rPr>
              <w:t>PU</w:t>
            </w:r>
            <w:r>
              <w:rPr>
                <w:rFonts w:ascii="宋体" w:eastAsia="宋体" w:hAnsi="宋体" w:hint="eastAsia"/>
                <w:bCs/>
                <w:szCs w:val="21"/>
              </w:rPr>
              <w:t>不少于8核16线程，频率不低于2.8GHz</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41</w:t>
            </w:r>
          </w:p>
        </w:tc>
        <w:tc>
          <w:tcPr>
            <w:tcW w:w="428" w:type="pct"/>
            <w:vMerge w:val="restart"/>
            <w:vAlign w:val="center"/>
          </w:tcPr>
          <w:p>
            <w:pPr>
              <w:rPr>
                <w:rFonts w:ascii="宋体" w:eastAsia="宋体" w:hAnsi="宋体"/>
                <w:szCs w:val="21"/>
              </w:rPr>
            </w:pPr>
            <w:r>
              <w:rPr>
                <w:rFonts w:ascii="宋体" w:eastAsia="宋体" w:hAnsi="宋体"/>
                <w:szCs w:val="21"/>
              </w:rPr>
              <w:t>附件</w:t>
            </w:r>
          </w:p>
        </w:tc>
        <w:tc>
          <w:tcPr>
            <w:tcW w:w="1090" w:type="pct"/>
            <w:vAlign w:val="center"/>
          </w:tcPr>
          <w:p>
            <w:pPr>
              <w:rPr>
                <w:rFonts w:ascii="宋体" w:eastAsia="宋体" w:hAnsi="宋体"/>
                <w:szCs w:val="21"/>
              </w:rPr>
            </w:pPr>
            <w:r>
              <w:rPr>
                <w:rFonts w:ascii="宋体" w:eastAsia="宋体" w:hAnsi="宋体"/>
                <w:szCs w:val="21"/>
              </w:rPr>
              <w:t>灭火器</w:t>
            </w:r>
          </w:p>
        </w:tc>
        <w:tc>
          <w:tcPr>
            <w:tcW w:w="345" w:type="pct"/>
            <w:vAlign w:val="center"/>
          </w:tcPr>
          <w:p>
            <w:pPr>
              <w:pStyle w:val="a2"/>
              <w:spacing w:line="240" w:lineRule="auto"/>
              <w:ind w:firstLine="0" w:firstLineChars="0"/>
              <w:jc w:val="center"/>
              <w:rPr>
                <w:rFonts w:ascii="宋体" w:hAnsi="宋体"/>
                <w:color w:val="auto"/>
                <w:sz w:val="21"/>
                <w:szCs w:val="21"/>
              </w:rPr>
            </w:pPr>
            <w:r>
              <w:rPr>
                <w:rFonts w:ascii="宋体" w:hAnsi="宋体"/>
                <w:color w:val="auto"/>
                <w:sz w:val="21"/>
                <w:szCs w:val="21"/>
              </w:rPr>
              <w:t>2</w:t>
            </w:r>
          </w:p>
        </w:tc>
        <w:tc>
          <w:tcPr>
            <w:tcW w:w="2698" w:type="pct"/>
            <w:vAlign w:val="center"/>
          </w:tcPr>
          <w:p>
            <w:pPr>
              <w:pStyle w:val="a2"/>
              <w:spacing w:line="240" w:lineRule="auto"/>
              <w:ind w:firstLine="0" w:firstLineChars="0"/>
              <w:rPr>
                <w:rFonts w:ascii="宋体" w:hAnsi="宋体"/>
                <w:color w:val="auto"/>
                <w:sz w:val="21"/>
                <w:szCs w:val="21"/>
              </w:rPr>
            </w:pPr>
            <w:r>
              <w:rPr>
                <w:rFonts w:ascii="宋体" w:hAnsi="宋体"/>
                <w:color w:val="auto"/>
                <w:sz w:val="21"/>
                <w:szCs w:val="21"/>
              </w:rPr>
              <w:t>ABC类 2KG</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42</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土木工具</w:t>
            </w:r>
          </w:p>
        </w:tc>
        <w:tc>
          <w:tcPr>
            <w:tcW w:w="345" w:type="pct"/>
            <w:vAlign w:val="center"/>
          </w:tcPr>
          <w:p>
            <w:pPr>
              <w:pStyle w:val="a2"/>
              <w:spacing w:line="240" w:lineRule="auto"/>
              <w:ind w:firstLine="0" w:firstLineChars="0"/>
              <w:jc w:val="center"/>
              <w:rPr>
                <w:rFonts w:ascii="宋体" w:hAnsi="宋体"/>
                <w:color w:val="auto"/>
                <w:sz w:val="21"/>
                <w:szCs w:val="21"/>
              </w:rPr>
            </w:pPr>
            <w:r>
              <w:rPr>
                <w:rFonts w:ascii="宋体" w:hAnsi="宋体"/>
                <w:color w:val="auto"/>
                <w:sz w:val="21"/>
                <w:szCs w:val="21"/>
              </w:rPr>
              <w:t>1</w:t>
            </w:r>
          </w:p>
        </w:tc>
        <w:tc>
          <w:tcPr>
            <w:tcW w:w="2698" w:type="pct"/>
            <w:vAlign w:val="center"/>
          </w:tcPr>
          <w:p>
            <w:pPr>
              <w:pStyle w:val="a2"/>
              <w:spacing w:line="240" w:lineRule="auto"/>
              <w:ind w:firstLine="0" w:firstLineChars="0"/>
              <w:rPr>
                <w:rFonts w:ascii="宋体" w:hAnsi="宋体"/>
                <w:color w:val="auto"/>
                <w:sz w:val="21"/>
                <w:szCs w:val="21"/>
              </w:rPr>
            </w:pPr>
            <w:r>
              <w:rPr>
                <w:rFonts w:ascii="宋体" w:hAnsi="宋体"/>
                <w:color w:val="auto"/>
                <w:sz w:val="21"/>
                <w:szCs w:val="21"/>
              </w:rPr>
              <w:t>4件套</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szCs w:val="21"/>
              </w:rPr>
              <w:t>43</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地钉</w:t>
            </w:r>
          </w:p>
        </w:tc>
        <w:tc>
          <w:tcPr>
            <w:tcW w:w="345" w:type="pct"/>
            <w:vAlign w:val="center"/>
          </w:tcPr>
          <w:p>
            <w:pPr>
              <w:pStyle w:val="a2"/>
              <w:spacing w:line="240" w:lineRule="auto"/>
              <w:ind w:firstLine="0" w:firstLineChars="0"/>
              <w:jc w:val="center"/>
              <w:rPr>
                <w:rFonts w:ascii="宋体" w:hAnsi="宋体"/>
                <w:color w:val="auto"/>
                <w:sz w:val="21"/>
                <w:szCs w:val="21"/>
              </w:rPr>
            </w:pPr>
            <w:r>
              <w:rPr>
                <w:rFonts w:ascii="宋体" w:hAnsi="宋体"/>
                <w:color w:val="auto"/>
                <w:sz w:val="21"/>
                <w:szCs w:val="21"/>
              </w:rPr>
              <w:t>3</w:t>
            </w:r>
          </w:p>
        </w:tc>
        <w:tc>
          <w:tcPr>
            <w:tcW w:w="2698" w:type="pct"/>
            <w:vAlign w:val="center"/>
          </w:tcPr>
          <w:p>
            <w:pPr>
              <w:pStyle w:val="a2"/>
              <w:spacing w:line="240" w:lineRule="auto"/>
              <w:ind w:firstLine="0" w:firstLineChars="0"/>
              <w:rPr>
                <w:rFonts w:ascii="宋体" w:hAnsi="宋体"/>
                <w:color w:val="auto"/>
                <w:sz w:val="21"/>
                <w:szCs w:val="21"/>
              </w:rPr>
            </w:pPr>
            <w:r>
              <w:rPr>
                <w:rFonts w:ascii="宋体" w:hAnsi="宋体"/>
                <w:color w:val="auto"/>
                <w:sz w:val="21"/>
                <w:szCs w:val="21"/>
              </w:rPr>
              <w:t>含3根16平方地线</w:t>
            </w:r>
          </w:p>
        </w:tc>
      </w:tr>
      <w:tr>
        <w:tblPrEx>
          <w:tblW w:w="4903" w:type="pct"/>
          <w:jc w:val="center"/>
          <w:tblCellMar>
            <w:top w:w="0" w:type="dxa"/>
            <w:left w:w="30" w:type="dxa"/>
            <w:bottom w:w="0" w:type="dxa"/>
            <w:right w:w="30" w:type="dxa"/>
          </w:tblCellMar>
        </w:tblPrEx>
        <w:trPr>
          <w:trHeight w:val="20"/>
          <w:jc w:val="center"/>
        </w:trPr>
        <w:tc>
          <w:tcPr>
            <w:tcW w:w="439" w:type="pct"/>
          </w:tcPr>
          <w:p>
            <w:pPr>
              <w:jc w:val="center"/>
              <w:rPr>
                <w:rFonts w:ascii="宋体" w:eastAsia="宋体" w:hAnsi="宋体"/>
                <w:szCs w:val="21"/>
              </w:rPr>
            </w:pPr>
            <w:r>
              <w:rPr>
                <w:rFonts w:ascii="宋体" w:eastAsia="宋体" w:hAnsi="宋体" w:hint="eastAsia"/>
                <w:szCs w:val="21"/>
              </w:rPr>
              <w:t>4</w:t>
            </w:r>
            <w:r>
              <w:rPr>
                <w:rFonts w:ascii="宋体" w:eastAsia="宋体" w:hAnsi="宋体"/>
                <w:szCs w:val="21"/>
              </w:rPr>
              <w:t>4</w:t>
            </w:r>
          </w:p>
        </w:tc>
        <w:tc>
          <w:tcPr>
            <w:tcW w:w="428" w:type="pct"/>
            <w:vMerge/>
            <w:vAlign w:val="center"/>
          </w:tcPr>
          <w:p>
            <w:pPr>
              <w:rPr>
                <w:rFonts w:ascii="宋体" w:eastAsia="宋体" w:hAnsi="宋体"/>
                <w:szCs w:val="21"/>
              </w:rPr>
            </w:pPr>
          </w:p>
        </w:tc>
        <w:tc>
          <w:tcPr>
            <w:tcW w:w="1090" w:type="pct"/>
            <w:vAlign w:val="center"/>
          </w:tcPr>
          <w:p>
            <w:pPr>
              <w:rPr>
                <w:rFonts w:ascii="宋体" w:eastAsia="宋体" w:hAnsi="宋体"/>
                <w:szCs w:val="21"/>
              </w:rPr>
            </w:pPr>
            <w:r>
              <w:rPr>
                <w:rFonts w:ascii="宋体" w:eastAsia="宋体" w:hAnsi="宋体"/>
                <w:szCs w:val="21"/>
              </w:rPr>
              <w:t>手提应急灯</w:t>
            </w:r>
          </w:p>
        </w:tc>
        <w:tc>
          <w:tcPr>
            <w:tcW w:w="345" w:type="pct"/>
            <w:vAlign w:val="center"/>
          </w:tcPr>
          <w:p>
            <w:pPr>
              <w:pStyle w:val="a2"/>
              <w:spacing w:line="240" w:lineRule="auto"/>
              <w:ind w:firstLine="0" w:firstLineChars="0"/>
              <w:jc w:val="center"/>
              <w:rPr>
                <w:rFonts w:ascii="宋体" w:hAnsi="宋体"/>
                <w:color w:val="auto"/>
                <w:sz w:val="21"/>
                <w:szCs w:val="21"/>
              </w:rPr>
            </w:pPr>
            <w:r>
              <w:rPr>
                <w:rFonts w:ascii="宋体" w:hAnsi="宋体"/>
                <w:color w:val="auto"/>
                <w:sz w:val="21"/>
                <w:szCs w:val="21"/>
              </w:rPr>
              <w:t>2</w:t>
            </w:r>
          </w:p>
        </w:tc>
        <w:tc>
          <w:tcPr>
            <w:tcW w:w="2698" w:type="pct"/>
            <w:vAlign w:val="center"/>
          </w:tcPr>
          <w:p>
            <w:pPr>
              <w:pStyle w:val="a2"/>
              <w:spacing w:line="240" w:lineRule="auto"/>
              <w:ind w:firstLine="420"/>
              <w:rPr>
                <w:rFonts w:ascii="宋体" w:hAnsi="宋体"/>
                <w:color w:val="auto"/>
                <w:sz w:val="21"/>
                <w:szCs w:val="21"/>
              </w:rPr>
            </w:pPr>
          </w:p>
        </w:tc>
      </w:tr>
    </w:tbl>
    <w:p>
      <w:pPr>
        <w:spacing w:line="360" w:lineRule="auto"/>
        <w:ind w:firstLine="420" w:firstLineChars="200"/>
        <w:outlineLvl w:val="1"/>
        <w:rPr>
          <w:rFonts w:ascii="宋体" w:hAnsi="宋体"/>
          <w:szCs w:val="21"/>
        </w:rPr>
      </w:pPr>
      <w:r>
        <w:rPr>
          <w:rFonts w:ascii="宋体" w:hAnsi="宋体" w:hint="eastAsia"/>
          <w:szCs w:val="21"/>
        </w:rPr>
        <w:t>四、技术服务要求</w:t>
      </w:r>
    </w:p>
    <w:p>
      <w:pPr>
        <w:spacing w:line="360" w:lineRule="auto"/>
        <w:ind w:firstLine="420" w:firstLineChars="200"/>
        <w:rPr>
          <w:rFonts w:ascii="宋体" w:hAnsi="宋体"/>
          <w:szCs w:val="21"/>
        </w:rPr>
      </w:pPr>
      <w:r>
        <w:rPr>
          <w:rFonts w:ascii="宋体" w:hAnsi="宋体"/>
          <w:szCs w:val="21"/>
        </w:rPr>
        <w:t>中标人需提供详细技术方案，包括但不限于：设备安装建设规范、设备工作原理、设备部件结构组成、设备操作手册、设备运行维护手册、设备软件使用手册、相关产品算法说明文档等。</w:t>
      </w:r>
    </w:p>
    <w:p>
      <w:pPr>
        <w:spacing w:line="360" w:lineRule="auto"/>
        <w:ind w:firstLine="420" w:firstLineChars="200"/>
        <w:outlineLvl w:val="1"/>
        <w:rPr>
          <w:rFonts w:ascii="宋体" w:hAnsi="宋体"/>
          <w:szCs w:val="21"/>
        </w:rPr>
      </w:pPr>
      <w:r>
        <w:rPr>
          <w:rFonts w:ascii="宋体" w:hAnsi="宋体" w:hint="eastAsia"/>
          <w:szCs w:val="21"/>
        </w:rPr>
        <w:t>五、质保期服务要求</w:t>
      </w:r>
    </w:p>
    <w:p>
      <w:pPr>
        <w:spacing w:line="360" w:lineRule="auto"/>
        <w:ind w:firstLine="420" w:firstLineChars="200"/>
        <w:rPr>
          <w:rFonts w:ascii="宋体" w:hAnsi="宋体"/>
          <w:szCs w:val="21"/>
        </w:rPr>
      </w:pPr>
      <w:r>
        <w:rPr>
          <w:rFonts w:ascii="宋体" w:hAnsi="宋体"/>
          <w:szCs w:val="21"/>
        </w:rPr>
        <w:t>1.中标人提供自用户验收合格后8年的免费质保期，质保期内因设备设计、质量出现问题，均由中标人即时无偿解决（包括更换器件），如因自身故障致设备停用时间累计超过20天时，则质保期在状态恢复正常时重新计算。</w:t>
      </w:r>
    </w:p>
    <w:p>
      <w:pPr>
        <w:spacing w:line="360" w:lineRule="auto"/>
        <w:ind w:firstLine="420" w:firstLineChars="200"/>
        <w:rPr>
          <w:rFonts w:ascii="宋体" w:hAnsi="宋体"/>
          <w:szCs w:val="21"/>
        </w:rPr>
      </w:pPr>
      <w:r>
        <w:rPr>
          <w:rFonts w:ascii="宋体" w:hAnsi="宋体"/>
          <w:szCs w:val="21"/>
        </w:rPr>
        <w:t>2.在质保期内，中标人服务时间应为7×24小时，在接报后1小时内响应，给予远程技术支持；需现场处理的，观测期12小时内到达现场，48小时完成故障修复；非观测期24小时内到达现场，72小时完成故障修复，确保设备正常投入业务运行。如在检修时间后仍无法排除故障，则乙方应在24小时内提供不低于故障设备规格、型号、性能的备用设备供甲方使用，直至故障设备修复或更换。</w:t>
      </w:r>
    </w:p>
    <w:p>
      <w:pPr>
        <w:spacing w:line="360" w:lineRule="auto"/>
        <w:ind w:firstLine="420" w:firstLineChars="200"/>
        <w:rPr>
          <w:rFonts w:ascii="宋体" w:hAnsi="宋体"/>
          <w:szCs w:val="21"/>
        </w:rPr>
      </w:pPr>
      <w:r>
        <w:rPr>
          <w:rFonts w:ascii="宋体" w:hAnsi="宋体"/>
          <w:szCs w:val="21"/>
        </w:rPr>
        <w:t>3.质保期内，经中标人累计5次维修仍无法正常使用或达不到相关质量标准的，视作设备存在严重质量问题，应支付赔偿金并退还已付全部款项。</w:t>
      </w:r>
    </w:p>
    <w:p>
      <w:pPr>
        <w:spacing w:line="360" w:lineRule="auto"/>
        <w:ind w:firstLine="420" w:firstLineChars="200"/>
        <w:rPr>
          <w:rFonts w:ascii="宋体" w:hAnsi="宋体"/>
          <w:szCs w:val="21"/>
        </w:rPr>
      </w:pPr>
      <w:r>
        <w:rPr>
          <w:rFonts w:ascii="宋体" w:hAnsi="宋体"/>
          <w:szCs w:val="21"/>
        </w:rPr>
        <w:t>4.中标人应对投标产品提供每年</w:t>
      </w:r>
      <w:r>
        <w:rPr>
          <w:rFonts w:ascii="宋体" w:hAnsi="宋体" w:hint="eastAsia"/>
          <w:szCs w:val="21"/>
        </w:rPr>
        <w:t>1</w:t>
      </w:r>
      <w:r>
        <w:rPr>
          <w:rFonts w:ascii="宋体" w:hAnsi="宋体"/>
          <w:szCs w:val="21"/>
        </w:rPr>
        <w:t>次定期巡检、定标，时间及地点根据设备安装地点双方协商确定。</w:t>
      </w:r>
    </w:p>
    <w:p>
      <w:pPr>
        <w:spacing w:line="360" w:lineRule="auto"/>
        <w:ind w:firstLine="420" w:firstLineChars="200"/>
        <w:rPr>
          <w:rFonts w:ascii="宋体" w:hAnsi="宋体"/>
          <w:szCs w:val="21"/>
        </w:rPr>
      </w:pPr>
      <w:r>
        <w:rPr>
          <w:rFonts w:ascii="宋体" w:hAnsi="宋体"/>
          <w:szCs w:val="21"/>
        </w:rPr>
        <w:t>5.保修服务方式为中标人上门保修，派遣技术人员到设备使用现场维修，由此产生的一切费用均由中标人承担。如果需要将部件托运或邮寄到异地维修，中标人承担由此产生的拆装、邮寄、维修等一切费用。</w:t>
      </w:r>
    </w:p>
    <w:p>
      <w:pPr>
        <w:spacing w:line="360" w:lineRule="auto"/>
        <w:ind w:firstLine="420" w:firstLineChars="200"/>
        <w:rPr>
          <w:rFonts w:ascii="宋体" w:hAnsi="宋体"/>
          <w:szCs w:val="21"/>
        </w:rPr>
      </w:pPr>
      <w:r>
        <w:rPr>
          <w:rFonts w:ascii="宋体" w:hAnsi="宋体"/>
          <w:szCs w:val="21"/>
        </w:rPr>
        <w:t>6.质保期过后，中标人仍有义务提供技术服务（包括提供设备维护、备件等）。</w:t>
      </w:r>
    </w:p>
    <w:p>
      <w:pPr>
        <w:spacing w:line="360" w:lineRule="auto"/>
        <w:ind w:firstLine="420" w:firstLineChars="200"/>
        <w:rPr>
          <w:rFonts w:ascii="宋体" w:hAnsi="宋体" w:hint="eastAsia"/>
          <w:szCs w:val="21"/>
        </w:rPr>
      </w:pPr>
      <w:r>
        <w:rPr>
          <w:rFonts w:ascii="宋体" w:hAnsi="宋体"/>
          <w:szCs w:val="21"/>
        </w:rPr>
        <w:t>7.采购人</w:t>
      </w:r>
      <w:r>
        <w:rPr>
          <w:rFonts w:ascii="宋体" w:hAnsi="宋体" w:hint="eastAsia"/>
          <w:szCs w:val="21"/>
        </w:rPr>
        <w:t>有重大活动或应急保障时，可要求中标人提供现场保障服务。</w:t>
      </w:r>
    </w:p>
    <w:p>
      <w:pPr>
        <w:spacing w:line="360" w:lineRule="auto"/>
        <w:ind w:firstLine="420" w:firstLineChars="200"/>
        <w:outlineLvl w:val="1"/>
        <w:rPr>
          <w:rFonts w:ascii="仿宋" w:eastAsia="仿宋" w:hAnsi="仿宋" w:cs="仿宋"/>
          <w:b/>
          <w:bCs/>
          <w:sz w:val="28"/>
        </w:rPr>
      </w:pPr>
      <w:r>
        <w:rPr>
          <w:rFonts w:ascii="宋体" w:hAnsi="宋体" w:hint="eastAsia"/>
          <w:szCs w:val="21"/>
        </w:rPr>
        <w:t>六</w:t>
      </w:r>
      <w:r>
        <w:rPr>
          <w:rFonts w:ascii="宋体" w:hAnsi="宋体"/>
          <w:szCs w:val="21"/>
        </w:rPr>
        <w:t>、售后</w:t>
      </w:r>
      <w:r>
        <w:rPr>
          <w:rFonts w:ascii="宋体" w:hAnsi="宋体" w:hint="eastAsia"/>
          <w:szCs w:val="21"/>
        </w:rPr>
        <w:t>服务要求</w:t>
      </w:r>
    </w:p>
    <w:p>
      <w:pPr>
        <w:spacing w:line="360" w:lineRule="auto"/>
        <w:ind w:firstLine="420" w:firstLineChars="200"/>
        <w:rPr>
          <w:rFonts w:ascii="宋体" w:hAnsi="宋体"/>
          <w:szCs w:val="21"/>
        </w:rPr>
      </w:pPr>
      <w:r>
        <w:rPr>
          <w:rFonts w:ascii="宋体" w:hAnsi="宋体" w:hint="eastAsia"/>
          <w:szCs w:val="21"/>
        </w:rPr>
        <w:t>中标人需提供详细售后服务方案，包括设备售后服务组织机构、人员组成、技术支持文档等。其中，售后服务组织机构设置合理，人员技术能力强，技术文档内容全面。</w:t>
      </w:r>
    </w:p>
    <w:p>
      <w:pPr>
        <w:spacing w:line="360" w:lineRule="auto"/>
        <w:ind w:firstLine="420" w:firstLineChars="200"/>
        <w:outlineLvl w:val="1"/>
        <w:rPr>
          <w:rFonts w:ascii="宋体" w:hAnsi="宋体"/>
          <w:szCs w:val="21"/>
        </w:rPr>
      </w:pPr>
      <w:r>
        <w:rPr>
          <w:rFonts w:ascii="宋体" w:hAnsi="宋体" w:hint="eastAsia"/>
          <w:szCs w:val="21"/>
        </w:rPr>
        <w:t>七、培训要求</w:t>
      </w:r>
    </w:p>
    <w:p>
      <w:pPr>
        <w:spacing w:line="360" w:lineRule="auto"/>
        <w:ind w:firstLine="420" w:firstLineChars="200"/>
        <w:rPr>
          <w:rFonts w:ascii="宋体" w:hAnsi="宋体"/>
          <w:szCs w:val="21"/>
        </w:rPr>
      </w:pPr>
      <w:r>
        <w:rPr>
          <w:rFonts w:ascii="宋体" w:hAnsi="宋体" w:hint="eastAsia"/>
          <w:szCs w:val="21"/>
        </w:rPr>
        <w:t>1</w:t>
      </w:r>
      <w:r>
        <w:rPr>
          <w:rFonts w:ascii="宋体" w:hAnsi="宋体"/>
          <w:szCs w:val="21"/>
        </w:rPr>
        <w:t>.中标人需提供详细培训方案，</w:t>
      </w:r>
      <w:r>
        <w:rPr>
          <w:rFonts w:ascii="宋体" w:hAnsi="宋体" w:hint="eastAsia"/>
          <w:szCs w:val="21"/>
        </w:rPr>
        <w:t>培训内容包括设备安装、使用、日常维护、观测原理及产品应用，培训时间及地点双方协商确定。中标人需至少2次技术培训，培训课时</w:t>
      </w:r>
      <w:r>
        <w:rPr>
          <w:rFonts w:ascii="宋体" w:hAnsi="宋体"/>
          <w:szCs w:val="21"/>
        </w:rPr>
        <w:t>不少于40</w:t>
      </w:r>
      <w:r>
        <w:rPr>
          <w:rFonts w:ascii="宋体" w:hAnsi="宋体" w:hint="eastAsia"/>
          <w:szCs w:val="21"/>
        </w:rPr>
        <w:t>个</w:t>
      </w:r>
      <w:r>
        <w:rPr>
          <w:rFonts w:ascii="宋体" w:hAnsi="宋体"/>
          <w:szCs w:val="21"/>
        </w:rPr>
        <w:t>课时，培训人数不少于50</w:t>
      </w:r>
      <w:r>
        <w:rPr>
          <w:rFonts w:ascii="宋体" w:hAnsi="宋体" w:hint="eastAsia"/>
          <w:szCs w:val="21"/>
        </w:rPr>
        <w:t>人</w:t>
      </w:r>
      <w:r>
        <w:rPr>
          <w:rFonts w:ascii="宋体" w:hAnsi="宋体"/>
          <w:szCs w:val="21"/>
        </w:rPr>
        <w:t>。</w:t>
      </w:r>
    </w:p>
    <w:p>
      <w:pPr>
        <w:spacing w:line="360" w:lineRule="auto"/>
        <w:ind w:firstLine="420" w:firstLineChars="200"/>
        <w:rPr>
          <w:rFonts w:ascii="宋体" w:hAnsi="宋体"/>
          <w:szCs w:val="21"/>
        </w:rPr>
      </w:pPr>
      <w:r>
        <w:rPr>
          <w:rFonts w:ascii="宋体" w:hAnsi="宋体" w:hint="eastAsia"/>
          <w:szCs w:val="21"/>
        </w:rPr>
        <w:t>2</w:t>
      </w:r>
      <w:r>
        <w:rPr>
          <w:rFonts w:ascii="宋体" w:hAnsi="宋体"/>
          <w:szCs w:val="21"/>
        </w:rPr>
        <w:t>.</w:t>
      </w:r>
      <w:r>
        <w:rPr>
          <w:rFonts w:ascii="宋体" w:hAnsi="宋体" w:hint="eastAsia"/>
          <w:szCs w:val="21"/>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spacing w:line="360" w:lineRule="auto"/>
        <w:ind w:firstLine="420" w:firstLineChars="200"/>
        <w:outlineLvl w:val="1"/>
        <w:rPr>
          <w:rFonts w:ascii="宋体" w:hAnsi="宋体"/>
          <w:szCs w:val="21"/>
        </w:rPr>
      </w:pPr>
      <w:r>
        <w:rPr>
          <w:rFonts w:ascii="宋体" w:hAnsi="宋体" w:hint="eastAsia"/>
          <w:szCs w:val="21"/>
        </w:rPr>
        <w:t>八、交货要求及履约地点</w:t>
      </w:r>
    </w:p>
    <w:p>
      <w:pPr>
        <w:spacing w:line="360" w:lineRule="auto"/>
        <w:ind w:firstLine="420" w:firstLineChars="200"/>
        <w:rPr>
          <w:rFonts w:ascii="宋体" w:hAnsi="宋体"/>
          <w:szCs w:val="21"/>
        </w:rPr>
      </w:pPr>
      <w:r>
        <w:rPr>
          <w:rFonts w:ascii="宋体" w:hAnsi="宋体" w:hint="eastAsia"/>
          <w:szCs w:val="21"/>
        </w:rPr>
        <w:t>1</w:t>
      </w:r>
      <w:r>
        <w:rPr>
          <w:rFonts w:ascii="宋体" w:hAnsi="宋体"/>
          <w:szCs w:val="21"/>
        </w:rPr>
        <w:t>.</w:t>
      </w:r>
      <w:r>
        <w:rPr>
          <w:rFonts w:ascii="宋体" w:hAnsi="宋体" w:hint="eastAsia"/>
          <w:szCs w:val="21"/>
        </w:rPr>
        <w:t>中标人将所有设备运送至四川省眉山市（运输相关费用由中标人负责），并负责安装调试。</w:t>
      </w:r>
    </w:p>
    <w:p>
      <w:pPr>
        <w:spacing w:line="360" w:lineRule="auto"/>
        <w:ind w:firstLine="420" w:firstLineChars="200"/>
        <w:rPr>
          <w:rFonts w:ascii="宋体" w:hAnsi="宋体"/>
          <w:szCs w:val="21"/>
        </w:rPr>
      </w:pPr>
      <w:r>
        <w:rPr>
          <w:rFonts w:ascii="宋体" w:hAnsi="宋体" w:hint="eastAsia"/>
          <w:szCs w:val="21"/>
        </w:rPr>
        <w:t>2</w:t>
      </w:r>
      <w:r>
        <w:rPr>
          <w:rFonts w:ascii="宋体" w:hAnsi="宋体"/>
          <w:szCs w:val="21"/>
        </w:rPr>
        <w:t>.</w:t>
      </w:r>
      <w:r>
        <w:rPr>
          <w:rFonts w:ascii="宋体" w:hAnsi="宋体" w:hint="eastAsia"/>
          <w:szCs w:val="21"/>
        </w:rPr>
        <w:t>合同签订生效之日起</w:t>
      </w:r>
      <w:r>
        <w:rPr>
          <w:rFonts w:ascii="宋体" w:hAnsi="宋体" w:hint="eastAsia"/>
          <w:szCs w:val="21"/>
          <w:lang w:val="en-US" w:eastAsia="zh-CN"/>
        </w:rPr>
        <w:t>6</w:t>
      </w:r>
      <w:r>
        <w:rPr>
          <w:rFonts w:ascii="宋体" w:hAnsi="宋体"/>
          <w:szCs w:val="21"/>
        </w:rPr>
        <w:t>0天</w:t>
      </w:r>
      <w:r>
        <w:rPr>
          <w:rFonts w:ascii="宋体" w:hAnsi="宋体" w:hint="eastAsia"/>
          <w:szCs w:val="21"/>
        </w:rPr>
        <w:t>内交货，并完成项目的整体安装调试。交货验收时须提供产品质检部门从同类产品中抽样检查合格的检测报告。</w:t>
      </w:r>
    </w:p>
    <w:p>
      <w:pPr>
        <w:spacing w:line="360" w:lineRule="auto"/>
        <w:ind w:firstLine="420" w:firstLineChars="200"/>
        <w:rPr>
          <w:rFonts w:ascii="宋体" w:hAnsi="宋体"/>
          <w:szCs w:val="21"/>
        </w:rPr>
      </w:pPr>
      <w:r>
        <w:rPr>
          <w:rFonts w:ascii="宋体" w:hAnsi="宋体" w:hint="eastAsia"/>
          <w:szCs w:val="21"/>
        </w:rPr>
        <w:t>3</w:t>
      </w:r>
      <w:r>
        <w:rPr>
          <w:rFonts w:ascii="宋体" w:hAnsi="宋体"/>
          <w:szCs w:val="21"/>
        </w:rPr>
        <w:t>.中标人须为安装和验收提供必须的一切条件及承担相关费用。</w:t>
      </w:r>
    </w:p>
    <w:p>
      <w:pPr>
        <w:spacing w:line="360" w:lineRule="auto"/>
        <w:ind w:firstLine="420" w:firstLineChars="200"/>
        <w:outlineLvl w:val="1"/>
        <w:rPr>
          <w:rFonts w:ascii="仿宋" w:eastAsia="仿宋" w:hAnsi="仿宋" w:cs="仿宋"/>
          <w:b/>
          <w:bCs/>
          <w:sz w:val="28"/>
        </w:rPr>
      </w:pPr>
      <w:r>
        <w:rPr>
          <w:rFonts w:ascii="宋体" w:hAnsi="宋体" w:hint="eastAsia"/>
          <w:szCs w:val="21"/>
        </w:rPr>
        <w:t>九、服务团队要求</w:t>
      </w:r>
    </w:p>
    <w:p>
      <w:pPr>
        <w:spacing w:line="360" w:lineRule="auto"/>
        <w:ind w:firstLine="420" w:firstLineChars="200"/>
        <w:rPr>
          <w:rFonts w:ascii="宋体" w:hAnsi="宋体"/>
          <w:szCs w:val="21"/>
        </w:rPr>
      </w:pPr>
      <w:r>
        <w:rPr>
          <w:rFonts w:ascii="宋体" w:hAnsi="宋体" w:hint="eastAsia"/>
          <w:szCs w:val="21"/>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spacing w:line="360" w:lineRule="auto"/>
        <w:ind w:firstLine="420" w:firstLineChars="200"/>
        <w:outlineLvl w:val="1"/>
        <w:rPr>
          <w:rFonts w:ascii="宋体" w:hAnsi="宋体"/>
          <w:szCs w:val="21"/>
        </w:rPr>
      </w:pPr>
      <w:r>
        <w:rPr>
          <w:rFonts w:ascii="宋体" w:hAnsi="宋体" w:hint="eastAsia"/>
          <w:szCs w:val="21"/>
        </w:rPr>
        <w:t>十、投标产品软件兼容性要求</w:t>
      </w:r>
    </w:p>
    <w:p>
      <w:pPr>
        <w:spacing w:line="360" w:lineRule="auto"/>
        <w:ind w:firstLine="420" w:firstLineChars="200"/>
        <w:rPr>
          <w:rFonts w:ascii="宋体" w:hAnsi="宋体"/>
          <w:szCs w:val="21"/>
        </w:rPr>
      </w:pPr>
      <w:r>
        <w:rPr>
          <w:rFonts w:ascii="宋体" w:hAnsi="宋体" w:hint="eastAsia"/>
          <w:szCs w:val="21"/>
        </w:rPr>
        <w:t>投标产品软件兼容性强，观测数据可无缝接入采购人现有气象数据平台</w:t>
      </w:r>
      <w:r>
        <w:rPr>
          <w:rFonts w:ascii="宋体" w:hAnsi="宋体" w:hint="eastAsia"/>
          <w:szCs w:val="21"/>
          <w:lang w:eastAsia="zh-CN"/>
        </w:rPr>
        <w:t>，</w:t>
      </w:r>
      <w:r>
        <w:rPr>
          <w:rFonts w:ascii="宋体" w:hAnsi="宋体" w:hint="eastAsia"/>
          <w:szCs w:val="21"/>
        </w:rPr>
        <w:t>完全符合甲方相关要求和规范，保证其系统的兼容性和功能的完整性。</w:t>
      </w:r>
    </w:p>
    <w:p>
      <w:pPr>
        <w:spacing w:line="360" w:lineRule="auto"/>
        <w:ind w:firstLine="420" w:firstLineChars="200"/>
        <w:outlineLvl w:val="1"/>
        <w:rPr>
          <w:rFonts w:ascii="宋体" w:hAnsi="宋体"/>
          <w:szCs w:val="21"/>
        </w:rPr>
      </w:pPr>
      <w:r>
        <w:rPr>
          <w:rFonts w:ascii="宋体" w:hAnsi="宋体" w:hint="eastAsia"/>
          <w:szCs w:val="21"/>
        </w:rPr>
        <w:t>十一、验收要求</w:t>
      </w:r>
    </w:p>
    <w:p>
      <w:pPr>
        <w:spacing w:line="360" w:lineRule="auto"/>
        <w:ind w:firstLine="420" w:firstLineChars="200"/>
        <w:rPr>
          <w:rFonts w:ascii="宋体" w:hAnsi="宋体"/>
          <w:szCs w:val="21"/>
        </w:rPr>
      </w:pPr>
      <w:r>
        <w:rPr>
          <w:rFonts w:ascii="宋体" w:hAnsi="宋体" w:hint="eastAsia"/>
          <w:szCs w:val="21"/>
        </w:rPr>
        <w:t>1</w:t>
      </w:r>
      <w:r>
        <w:rPr>
          <w:rFonts w:ascii="宋体" w:hAnsi="宋体"/>
          <w:szCs w:val="21"/>
        </w:rPr>
        <w:t>.</w:t>
      </w:r>
      <w:r>
        <w:rPr>
          <w:rFonts w:ascii="宋体" w:hAnsi="宋体" w:hint="eastAsia"/>
          <w:szCs w:val="21"/>
        </w:rPr>
        <w:t>验收内容及标准</w:t>
      </w:r>
    </w:p>
    <w:p>
      <w:pPr>
        <w:spacing w:line="360" w:lineRule="auto"/>
        <w:ind w:firstLine="420" w:firstLineChars="200"/>
        <w:rPr>
          <w:rFonts w:ascii="宋体" w:hAnsi="宋体"/>
          <w:szCs w:val="21"/>
        </w:rPr>
      </w:pPr>
      <w:r>
        <w:rPr>
          <w:rFonts w:ascii="宋体" w:hAnsi="宋体" w:hint="eastAsia"/>
          <w:szCs w:val="21"/>
        </w:rPr>
        <w:t>本项目将依据合同条款、招标文件要求及投标文件内容的要求进行验收。</w:t>
      </w:r>
    </w:p>
    <w:p>
      <w:pPr>
        <w:spacing w:line="360" w:lineRule="auto"/>
        <w:ind w:firstLine="420" w:firstLineChars="200"/>
        <w:rPr>
          <w:rFonts w:ascii="宋体" w:hAnsi="宋体"/>
          <w:szCs w:val="21"/>
        </w:rPr>
      </w:pPr>
      <w:r>
        <w:rPr>
          <w:rFonts w:ascii="宋体" w:hAnsi="宋体"/>
          <w:szCs w:val="21"/>
        </w:rPr>
        <w:t>2.验收程序</w:t>
      </w:r>
    </w:p>
    <w:p>
      <w:pPr>
        <w:spacing w:line="360" w:lineRule="auto"/>
        <w:ind w:firstLine="420" w:firstLineChars="200"/>
        <w:rPr>
          <w:rFonts w:ascii="宋体" w:hAnsi="宋体"/>
          <w:szCs w:val="21"/>
        </w:rPr>
      </w:pPr>
      <w:r>
        <w:rPr>
          <w:rFonts w:ascii="宋体" w:hAnsi="宋体"/>
          <w:szCs w:val="21"/>
        </w:rPr>
        <w:t>雷达设备生产完成之后，中标人需邀请采购人进行出厂验收，验收合格后方可出厂。设备全部到场后中标人进行安装调试工作，安装调试完毕后，进行现场验收。现场验收合格后，设备进入1个月试运行阶段，试运行结束后，进行合同验收。验收过程中雷达测试按照</w:t>
      </w:r>
      <w:r>
        <w:rPr>
          <w:rFonts w:ascii="宋体" w:hAnsi="宋体" w:hint="eastAsia"/>
          <w:szCs w:val="21"/>
        </w:rPr>
        <w:t>《X波段双线偏振多普勒天气雷达测试大纲（第二版）》（气测函〔2025〕109号）</w:t>
      </w:r>
      <w:r>
        <w:rPr>
          <w:rFonts w:ascii="宋体" w:hAnsi="宋体"/>
          <w:szCs w:val="21"/>
        </w:rPr>
        <w:t>开展，各项指标需符合测试大纲和合同相关要求。</w:t>
      </w:r>
    </w:p>
    <w:p>
      <w:pPr>
        <w:spacing w:line="360" w:lineRule="auto"/>
        <w:ind w:firstLine="420" w:firstLineChars="200"/>
        <w:rPr>
          <w:rFonts w:ascii="宋体" w:hAnsi="宋体"/>
          <w:szCs w:val="21"/>
        </w:rPr>
      </w:pPr>
      <w:r>
        <w:rPr>
          <w:rFonts w:ascii="宋体" w:hAnsi="宋体"/>
          <w:szCs w:val="21"/>
        </w:rPr>
        <w:t>2.1出厂验收</w:t>
      </w:r>
    </w:p>
    <w:p>
      <w:pPr>
        <w:spacing w:line="360" w:lineRule="auto"/>
        <w:ind w:firstLine="420" w:firstLineChars="200"/>
        <w:rPr>
          <w:rFonts w:ascii="宋体" w:hAnsi="宋体"/>
          <w:szCs w:val="21"/>
        </w:rPr>
      </w:pPr>
      <w:r>
        <w:rPr>
          <w:rFonts w:ascii="宋体" w:hAnsi="宋体"/>
          <w:szCs w:val="21"/>
        </w:rPr>
        <w:t>（1）货物完成生产、调试完毕且具备交付条件后，中标人组织出厂测试，并通知采购人参加，出厂测试合格并经双方签署出厂测试报告后方可出厂，测试场所和必要的测试条件由中标方安排。</w:t>
      </w:r>
    </w:p>
    <w:p>
      <w:pPr>
        <w:spacing w:line="360" w:lineRule="auto"/>
        <w:ind w:firstLine="420" w:firstLineChars="200"/>
        <w:rPr>
          <w:rFonts w:ascii="宋体" w:hAnsi="宋体"/>
          <w:szCs w:val="21"/>
        </w:rPr>
      </w:pPr>
      <w:r>
        <w:rPr>
          <w:rFonts w:ascii="宋体" w:hAnsi="宋体"/>
          <w:szCs w:val="21"/>
        </w:rPr>
        <w:t>（2）中标人负责对系统功能、指标等进行符合性测试并编写出厂验收报告，报告经专家组评审质询无误、确认设备出厂验收合格后，双方签署出厂验收报告及验收意见。</w:t>
      </w:r>
    </w:p>
    <w:p>
      <w:pPr>
        <w:spacing w:line="360" w:lineRule="auto"/>
        <w:ind w:firstLine="420" w:firstLineChars="200"/>
        <w:rPr>
          <w:rFonts w:ascii="宋体" w:hAnsi="宋体"/>
          <w:szCs w:val="21"/>
        </w:rPr>
      </w:pPr>
      <w:r>
        <w:rPr>
          <w:rFonts w:ascii="宋体" w:hAnsi="宋体"/>
          <w:szCs w:val="21"/>
        </w:rPr>
        <w:t>（3）中标人负责将设备打包、运输到施工现场并进行安装调试。</w:t>
      </w:r>
    </w:p>
    <w:p>
      <w:pPr>
        <w:spacing w:line="360" w:lineRule="auto"/>
        <w:ind w:firstLine="420" w:firstLineChars="200"/>
        <w:rPr>
          <w:rFonts w:ascii="宋体" w:hAnsi="宋体"/>
          <w:szCs w:val="21"/>
        </w:rPr>
      </w:pPr>
      <w:r>
        <w:rPr>
          <w:rFonts w:ascii="宋体" w:hAnsi="宋体"/>
          <w:szCs w:val="21"/>
        </w:rPr>
        <w:t>2.2现场验收</w:t>
      </w:r>
    </w:p>
    <w:p>
      <w:pPr>
        <w:spacing w:line="360" w:lineRule="auto"/>
        <w:ind w:firstLine="420" w:firstLineChars="200"/>
        <w:rPr>
          <w:rFonts w:ascii="宋体" w:hAnsi="宋体"/>
          <w:szCs w:val="21"/>
        </w:rPr>
      </w:pPr>
      <w:r>
        <w:rPr>
          <w:rFonts w:ascii="宋体" w:hAnsi="宋体"/>
          <w:szCs w:val="21"/>
        </w:rPr>
        <w:t>（1）货物在采购人指定的现场安装调试完毕后进入试运行，货物须满足气象业务入网要求。</w:t>
      </w:r>
    </w:p>
    <w:p>
      <w:pPr>
        <w:spacing w:line="360" w:lineRule="auto"/>
        <w:ind w:firstLine="420" w:firstLineChars="200"/>
        <w:rPr>
          <w:rFonts w:ascii="宋体" w:hAnsi="宋体"/>
          <w:szCs w:val="21"/>
        </w:rPr>
      </w:pPr>
      <w:r>
        <w:rPr>
          <w:rFonts w:ascii="宋体" w:hAnsi="宋体"/>
          <w:szCs w:val="21"/>
        </w:rPr>
        <w:t>（2）对于气象业务入网测试不通过的一切风险和损失由中标人承担。</w:t>
      </w:r>
    </w:p>
    <w:p>
      <w:pPr>
        <w:spacing w:line="360" w:lineRule="auto"/>
        <w:ind w:firstLine="420" w:firstLineChars="200"/>
        <w:rPr>
          <w:rFonts w:ascii="宋体" w:hAnsi="宋体"/>
          <w:szCs w:val="21"/>
        </w:rPr>
      </w:pPr>
      <w:r>
        <w:rPr>
          <w:rFonts w:ascii="宋体" w:hAnsi="宋体"/>
          <w:szCs w:val="21"/>
        </w:rPr>
        <w:t>（3）试运行时间由双方协商确定，1个月的试运行内完成不低于5个自然日的外场运行，1次外场运行达到稳定运行时间不小于3小时。</w:t>
      </w:r>
    </w:p>
    <w:p>
      <w:pPr>
        <w:spacing w:line="360" w:lineRule="auto"/>
        <w:ind w:firstLine="420" w:firstLineChars="200"/>
        <w:rPr>
          <w:rFonts w:ascii="宋体" w:hAnsi="宋体"/>
          <w:szCs w:val="21"/>
        </w:rPr>
      </w:pPr>
      <w:r>
        <w:rPr>
          <w:rFonts w:ascii="宋体" w:hAnsi="宋体"/>
          <w:szCs w:val="21"/>
        </w:rPr>
        <w:t>（4）试运行结束后由中标人申请现场验收，由采购人组织专家团队进行现场验收。</w:t>
      </w:r>
    </w:p>
    <w:p>
      <w:pPr>
        <w:spacing w:line="360" w:lineRule="auto"/>
        <w:ind w:firstLine="420" w:firstLineChars="200"/>
        <w:rPr>
          <w:rFonts w:ascii="宋体" w:hAnsi="宋体"/>
          <w:szCs w:val="21"/>
        </w:rPr>
      </w:pPr>
      <w:r>
        <w:rPr>
          <w:rFonts w:ascii="宋体" w:hAnsi="宋体"/>
          <w:szCs w:val="21"/>
        </w:rPr>
        <w:t>（5）中标人负责对系统功能、指标等进行符合性测试并编写现场验收报告，报告经验收专家组评审质询无误、确认设备验收合格后，双方签署现场验收报告及验收意见。</w:t>
      </w:r>
    </w:p>
    <w:p>
      <w:pPr>
        <w:spacing w:line="360" w:lineRule="auto"/>
        <w:ind w:firstLine="420" w:firstLineChars="200"/>
        <w:rPr>
          <w:rFonts w:ascii="宋体" w:hAnsi="宋体"/>
          <w:szCs w:val="21"/>
        </w:rPr>
      </w:pPr>
      <w:r>
        <w:rPr>
          <w:rFonts w:ascii="宋体" w:hAnsi="宋体"/>
          <w:szCs w:val="21"/>
        </w:rPr>
        <w:t>（6）在验收期间，如果设备出现重大问题，中标人应在5个工作日内解决该问题，再正常运行1个月后重新组织现场验收，中标人应对所有设备和配套工程负全部责任。</w:t>
      </w:r>
    </w:p>
    <w:p>
      <w:pPr>
        <w:spacing w:line="360" w:lineRule="auto"/>
        <w:ind w:firstLine="420" w:firstLineChars="200"/>
        <w:rPr>
          <w:rFonts w:ascii="宋体" w:hAnsi="宋体"/>
          <w:szCs w:val="21"/>
        </w:rPr>
      </w:pPr>
      <w:r>
        <w:rPr>
          <w:rFonts w:ascii="宋体" w:hAnsi="宋体"/>
          <w:szCs w:val="21"/>
        </w:rPr>
        <w:t>（7）所有设备的修改和调整都应在验收结束后写入操作和维修手册中，中标人应给出修复的全部细节。</w:t>
      </w:r>
    </w:p>
    <w:p>
      <w:pPr>
        <w:spacing w:line="360" w:lineRule="auto"/>
        <w:ind w:firstLine="420" w:firstLineChars="200"/>
        <w:rPr>
          <w:rFonts w:ascii="宋体" w:hAnsi="宋体"/>
          <w:szCs w:val="21"/>
        </w:rPr>
      </w:pPr>
      <w:r>
        <w:rPr>
          <w:rFonts w:ascii="宋体" w:hAnsi="宋体"/>
          <w:szCs w:val="21"/>
        </w:rPr>
        <w:t>（8）中标人提供约定的备件、用户手册、维修手册，软件安装光盘及使用手册，日常维修工具1套。</w:t>
      </w:r>
    </w:p>
    <w:p>
      <w:pPr>
        <w:spacing w:line="360" w:lineRule="auto"/>
        <w:ind w:firstLine="420" w:firstLineChars="200"/>
        <w:rPr>
          <w:rFonts w:ascii="宋体" w:hAnsi="宋体"/>
          <w:szCs w:val="21"/>
        </w:rPr>
      </w:pPr>
      <w:r>
        <w:rPr>
          <w:rFonts w:ascii="宋体" w:hAnsi="宋体"/>
          <w:szCs w:val="21"/>
        </w:rPr>
        <w:t>（9）验收按照采购人的内部规定操作。通过验收后，需要中标人、采购人双方在验收报告上签字盖章，签字盖章后视为验收通过。</w:t>
      </w:r>
    </w:p>
    <w:p>
      <w:pPr>
        <w:spacing w:line="360" w:lineRule="auto"/>
        <w:ind w:firstLine="420" w:firstLineChars="200"/>
        <w:rPr>
          <w:rFonts w:ascii="宋体" w:hAnsi="宋体"/>
          <w:szCs w:val="21"/>
        </w:rPr>
      </w:pPr>
      <w:r>
        <w:rPr>
          <w:rFonts w:ascii="宋体" w:hAnsi="宋体"/>
          <w:szCs w:val="21"/>
        </w:rPr>
        <w:t>2.</w:t>
      </w:r>
      <w:r>
        <w:rPr>
          <w:rFonts w:ascii="宋体" w:hAnsi="宋体" w:hint="eastAsia"/>
          <w:szCs w:val="21"/>
        </w:rPr>
        <w:t>3</w:t>
      </w:r>
      <w:r>
        <w:rPr>
          <w:rFonts w:ascii="宋体" w:hAnsi="宋体"/>
          <w:szCs w:val="21"/>
        </w:rPr>
        <w:t>合同验收</w:t>
      </w:r>
    </w:p>
    <w:p>
      <w:pPr>
        <w:spacing w:line="360" w:lineRule="auto"/>
        <w:ind w:firstLine="420" w:firstLineChars="200"/>
        <w:rPr>
          <w:rFonts w:ascii="宋体" w:hAnsi="宋体"/>
          <w:szCs w:val="21"/>
        </w:rPr>
      </w:pPr>
      <w:r>
        <w:rPr>
          <w:rFonts w:ascii="宋体" w:hAnsi="宋体" w:hint="eastAsia"/>
          <w:szCs w:val="21"/>
        </w:rPr>
        <w:t>（1）在合同任务完成后，采购人组织中标人编制合同验收材料，审核后申请合同验收。</w:t>
      </w:r>
    </w:p>
    <w:p>
      <w:pPr>
        <w:spacing w:line="360" w:lineRule="auto"/>
        <w:ind w:firstLine="420" w:firstLineChars="200"/>
        <w:rPr>
          <w:rFonts w:ascii="宋体" w:hAnsi="宋体"/>
          <w:szCs w:val="21"/>
        </w:rPr>
      </w:pPr>
      <w:r>
        <w:rPr>
          <w:rFonts w:ascii="宋体" w:hAnsi="宋体" w:hint="eastAsia"/>
          <w:szCs w:val="21"/>
        </w:rPr>
        <w:t>（2）审查合同验收申请材料，主要审查项目是否按照合同完成建设、材料是否齐全、内容是否规范，审查通过后组织合同验收。</w:t>
      </w:r>
    </w:p>
    <w:p>
      <w:pPr>
        <w:spacing w:line="360" w:lineRule="auto"/>
        <w:ind w:firstLine="420" w:firstLineChars="200"/>
        <w:rPr>
          <w:rFonts w:ascii="宋体" w:hAnsi="宋体"/>
          <w:szCs w:val="21"/>
        </w:rPr>
      </w:pPr>
      <w:r>
        <w:rPr>
          <w:rFonts w:ascii="宋体" w:hAnsi="宋体" w:hint="eastAsia"/>
          <w:szCs w:val="21"/>
        </w:rPr>
        <w:t>（3）采购人应在10个工作日内完成材料审核，并组织成立合同验收专家组开展合同验收，专家组成员一般不少于5人，人数为单数。</w:t>
      </w:r>
    </w:p>
    <w:p>
      <w:pPr>
        <w:spacing w:line="360" w:lineRule="auto"/>
        <w:ind w:firstLine="420" w:firstLineChars="200"/>
        <w:rPr>
          <w:rFonts w:ascii="宋体" w:hAnsi="宋体"/>
          <w:szCs w:val="21"/>
        </w:rPr>
      </w:pPr>
      <w:r>
        <w:rPr>
          <w:rFonts w:ascii="宋体" w:hAnsi="宋体" w:hint="eastAsia"/>
          <w:szCs w:val="21"/>
        </w:rPr>
        <w:t>（4）验收专家组以会议或实地考察的形式进行，专家组要对合同的完成情况做出明确验收意见。验收不通过的合同，应在30个工作日内完成整改，整改完成后重新申请验收。</w:t>
      </w:r>
    </w:p>
    <w:p>
      <w:pPr>
        <w:spacing w:line="360" w:lineRule="auto"/>
        <w:ind w:firstLine="420" w:firstLineChars="200"/>
        <w:rPr>
          <w:rFonts w:ascii="宋体" w:hAnsi="宋体"/>
          <w:szCs w:val="21"/>
        </w:rPr>
      </w:pPr>
      <w:r>
        <w:rPr>
          <w:rFonts w:ascii="宋体" w:hAnsi="宋体" w:hint="eastAsia"/>
          <w:szCs w:val="21"/>
        </w:rPr>
        <w:t>（5）合同不能按期完成的，合同中标单位应在合同有效期限前1个月提出书面延期申请，采购人合同延期验收申请给出意见，同意延期继续开展合同建设，不同意合同延期按照合同相关条款执行。</w:t>
      </w:r>
    </w:p>
    <w:p>
      <w:pPr>
        <w:spacing w:line="360" w:lineRule="auto"/>
        <w:ind w:firstLine="420" w:firstLineChars="200"/>
        <w:rPr>
          <w:rFonts w:ascii="宋体" w:hAnsi="宋体"/>
          <w:szCs w:val="21"/>
        </w:rPr>
      </w:pPr>
      <w:r>
        <w:rPr>
          <w:rFonts w:ascii="宋体" w:hAnsi="宋体"/>
          <w:szCs w:val="21"/>
        </w:rPr>
        <w:t>3.中标人</w:t>
      </w:r>
      <w:r>
        <w:rPr>
          <w:rFonts w:ascii="宋体" w:hAnsi="宋体" w:hint="eastAsia"/>
          <w:szCs w:val="21"/>
        </w:rPr>
        <w:t>应将所提供货物的装箱清单、配件、随机工具、用户使用手册、原厂保修卡等资料交付给甲方；</w:t>
      </w:r>
      <w:r>
        <w:rPr>
          <w:rFonts w:ascii="宋体" w:hAnsi="宋体"/>
          <w:szCs w:val="21"/>
        </w:rPr>
        <w:t>中标人</w:t>
      </w:r>
      <w:r>
        <w:rPr>
          <w:rFonts w:ascii="宋体" w:hAnsi="宋体" w:hint="eastAsia"/>
          <w:szCs w:val="21"/>
        </w:rPr>
        <w:t>不能完整交付货物及本款规定的单证和工具的，必须负责补齐，否则视为未按合同约定交货。</w:t>
      </w:r>
    </w:p>
    <w:p>
      <w:pPr>
        <w:spacing w:line="360" w:lineRule="auto"/>
        <w:ind w:firstLine="420" w:firstLineChars="200"/>
        <w:rPr>
          <w:rFonts w:ascii="宋体" w:hAnsi="宋体"/>
          <w:szCs w:val="21"/>
        </w:rPr>
      </w:pPr>
      <w:r>
        <w:rPr>
          <w:rFonts w:ascii="宋体" w:hAnsi="宋体"/>
          <w:szCs w:val="21"/>
        </w:rPr>
        <w:t>4.</w:t>
      </w:r>
      <w:r>
        <w:rPr>
          <w:rFonts w:ascii="宋体" w:hAnsi="宋体" w:hint="eastAsia"/>
          <w:szCs w:val="21"/>
        </w:rPr>
        <w:t>如货物经</w:t>
      </w:r>
      <w:r>
        <w:rPr>
          <w:rFonts w:ascii="宋体" w:hAnsi="宋体"/>
          <w:szCs w:val="21"/>
        </w:rPr>
        <w:t>中标人</w:t>
      </w:r>
      <w:r>
        <w:rPr>
          <w:rFonts w:ascii="宋体" w:hAnsi="宋体" w:hint="eastAsia"/>
          <w:szCs w:val="21"/>
        </w:rPr>
        <w:t>2次维修仍不能达到合同约定的质量标准，采购人有权退货，并视作</w:t>
      </w:r>
      <w:r>
        <w:rPr>
          <w:rFonts w:ascii="宋体" w:hAnsi="宋体"/>
          <w:szCs w:val="21"/>
        </w:rPr>
        <w:t>中标人</w:t>
      </w:r>
      <w:r>
        <w:rPr>
          <w:rFonts w:ascii="宋体" w:hAnsi="宋体" w:hint="eastAsia"/>
          <w:szCs w:val="21"/>
        </w:rPr>
        <w:t>不能交付货物而须支付违约赔偿金给</w:t>
      </w:r>
      <w:r>
        <w:rPr>
          <w:rFonts w:ascii="宋体" w:hAnsi="宋体"/>
          <w:szCs w:val="21"/>
        </w:rPr>
        <w:t>采购人</w:t>
      </w:r>
      <w:r>
        <w:rPr>
          <w:rFonts w:ascii="宋体" w:hAnsi="宋体" w:hint="eastAsia"/>
          <w:szCs w:val="21"/>
        </w:rPr>
        <w:t>，采购人还可依法追究</w:t>
      </w:r>
      <w:r>
        <w:rPr>
          <w:rFonts w:ascii="宋体" w:hAnsi="宋体"/>
          <w:szCs w:val="21"/>
        </w:rPr>
        <w:t>中标人</w:t>
      </w:r>
      <w:r>
        <w:rPr>
          <w:rFonts w:ascii="宋体" w:hAnsi="宋体" w:hint="eastAsia"/>
          <w:szCs w:val="21"/>
        </w:rPr>
        <w:t>的违约责任。</w:t>
      </w:r>
    </w:p>
    <w:p>
      <w:pPr>
        <w:spacing w:line="360" w:lineRule="auto"/>
        <w:ind w:firstLine="420" w:firstLineChars="200"/>
        <w:rPr>
          <w:rFonts w:ascii="宋体" w:hAnsi="宋体"/>
          <w:szCs w:val="21"/>
        </w:rPr>
      </w:pPr>
      <w:r>
        <w:rPr>
          <w:rFonts w:ascii="宋体" w:hAnsi="宋体"/>
          <w:szCs w:val="21"/>
        </w:rPr>
        <w:t>5.中标人</w:t>
      </w:r>
      <w:r>
        <w:rPr>
          <w:rFonts w:ascii="宋体" w:hAnsi="宋体" w:hint="eastAsia"/>
          <w:szCs w:val="21"/>
        </w:rPr>
        <w:t>须配合采购方完成该项目的业务验收，在业务验收过程中涉及乙方的责任，乙方须按照甲方要求完成整改。</w:t>
      </w:r>
    </w:p>
    <w:p>
      <w:pPr>
        <w:spacing w:line="360" w:lineRule="auto"/>
        <w:ind w:firstLine="420" w:firstLineChars="200"/>
        <w:rPr>
          <w:rFonts w:ascii="宋体" w:hAnsi="宋体"/>
          <w:szCs w:val="21"/>
        </w:rPr>
      </w:pPr>
      <w:r>
        <w:rPr>
          <w:rFonts w:ascii="宋体" w:hAnsi="宋体"/>
          <w:szCs w:val="21"/>
        </w:rPr>
        <w:t>6.</w:t>
      </w:r>
      <w:r>
        <w:rPr>
          <w:rFonts w:ascii="宋体" w:hAnsi="宋体" w:hint="eastAsia"/>
          <w:szCs w:val="21"/>
        </w:rPr>
        <w:t>产品所有权在合同验收通过后转移给采购人。</w:t>
      </w:r>
    </w:p>
    <w:p>
      <w:pPr>
        <w:spacing w:line="360" w:lineRule="auto"/>
        <w:ind w:firstLine="420" w:firstLineChars="200"/>
        <w:outlineLvl w:val="1"/>
        <w:rPr>
          <w:rFonts w:ascii="宋体" w:hAnsi="宋体"/>
          <w:szCs w:val="21"/>
        </w:rPr>
      </w:pPr>
      <w:r>
        <w:rPr>
          <w:rFonts w:ascii="宋体" w:hAnsi="宋体"/>
          <w:szCs w:val="21"/>
        </w:rPr>
        <w:t>十二、其他要求</w:t>
      </w:r>
    </w:p>
    <w:p>
      <w:pPr>
        <w:spacing w:line="360" w:lineRule="auto"/>
        <w:ind w:firstLine="420" w:firstLineChars="200"/>
        <w:rPr>
          <w:rFonts w:ascii="宋体" w:hAnsi="宋体"/>
          <w:szCs w:val="21"/>
        </w:rPr>
      </w:pPr>
      <w:r>
        <w:rPr>
          <w:rFonts w:ascii="宋体" w:hAnsi="宋体" w:hint="eastAsia"/>
          <w:szCs w:val="21"/>
        </w:rPr>
        <w:t>1</w:t>
      </w:r>
      <w:r>
        <w:rPr>
          <w:rFonts w:ascii="宋体" w:hAnsi="宋体"/>
          <w:szCs w:val="21"/>
        </w:rPr>
        <w:t>.</w:t>
      </w:r>
      <w:r>
        <w:rPr>
          <w:rFonts w:ascii="宋体" w:hAnsi="宋体" w:hint="eastAsia"/>
          <w:szCs w:val="21"/>
        </w:rPr>
        <w:t>准备相关必要文件（无线电频率测试报告、设备技术方案、申请表等），办理无线电频率使用许可证，并且提供承诺函。</w:t>
      </w:r>
    </w:p>
    <w:p>
      <w:pPr>
        <w:spacing w:line="360" w:lineRule="auto"/>
        <w:ind w:firstLine="420" w:firstLineChars="200"/>
        <w:rPr>
          <w:rFonts w:ascii="宋体" w:hAnsi="宋体" w:hint="eastAsia"/>
          <w:szCs w:val="21"/>
        </w:rPr>
      </w:pPr>
      <w:r>
        <w:rPr>
          <w:rFonts w:ascii="宋体" w:hAnsi="宋体" w:hint="eastAsia"/>
          <w:szCs w:val="21"/>
        </w:rPr>
        <w:t>2</w:t>
      </w:r>
      <w:r>
        <w:rPr>
          <w:rFonts w:ascii="宋体" w:hAnsi="宋体"/>
          <w:szCs w:val="21"/>
        </w:rPr>
        <w:t>.承诺改装后的移动平台能够上车牌，并且提供承诺函。</w:t>
      </w: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19"/>
        <w:gridCol w:w="1493"/>
        <w:gridCol w:w="688"/>
        <w:gridCol w:w="956"/>
        <w:gridCol w:w="1091"/>
        <w:gridCol w:w="688"/>
        <w:gridCol w:w="322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84" w:name="货物一览表_index"/>
            <w:r>
              <w:rPr>
                <w:rFonts w:asciiTheme="minorEastAsia" w:eastAsiaTheme="minorEastAsia" w:hAnsiTheme="minorEastAsia" w:cstheme="minorEastAsia" w:hint="eastAsia"/>
                <w:kern w:val="0"/>
                <w:szCs w:val="21"/>
              </w:rPr>
              <w:t>序号</w:t>
            </w:r>
            <w:bookmarkEnd w:id="84"/>
          </w:p>
        </w:tc>
        <w:tc>
          <w:tcPr>
            <w:tcW w:w="1135" w:type="dxa"/>
          </w:tcPr>
          <w:p>
            <w:pPr>
              <w:autoSpaceDE w:val="0"/>
              <w:jc w:val="center"/>
              <w:rPr>
                <w:rFonts w:asciiTheme="minorEastAsia" w:hAnsiTheme="minorEastAsia" w:cstheme="minorEastAsia"/>
                <w:kern w:val="0"/>
                <w:szCs w:val="21"/>
              </w:rPr>
            </w:pPr>
            <w:bookmarkStart w:id="85" w:name="货物一览表_goodsName"/>
            <w:r>
              <w:rPr>
                <w:rFonts w:asciiTheme="minorEastAsia" w:eastAsiaTheme="minorEastAsia" w:hAnsiTheme="minorEastAsia" w:cstheme="minorEastAsia" w:hint="eastAsia"/>
                <w:kern w:val="0"/>
                <w:szCs w:val="21"/>
              </w:rPr>
              <w:t>设备名称</w:t>
            </w:r>
            <w:bookmarkEnd w:id="85"/>
          </w:p>
        </w:tc>
        <w:tc>
          <w:tcPr>
            <w:tcW w:w="965" w:type="dxa"/>
          </w:tcPr>
          <w:p>
            <w:pPr>
              <w:autoSpaceDE w:val="0"/>
              <w:jc w:val="center"/>
              <w:rPr>
                <w:rFonts w:asciiTheme="minorEastAsia" w:hAnsiTheme="minorEastAsia" w:cstheme="minorEastAsia"/>
                <w:kern w:val="0"/>
                <w:szCs w:val="21"/>
              </w:rPr>
            </w:pPr>
            <w:bookmarkStart w:id="86" w:name="货物一览表_nums"/>
            <w:r>
              <w:rPr>
                <w:rFonts w:asciiTheme="minorEastAsia" w:eastAsiaTheme="minorEastAsia" w:hAnsiTheme="minorEastAsia" w:cstheme="minorEastAsia" w:hint="eastAsia"/>
                <w:kern w:val="0"/>
                <w:szCs w:val="21"/>
              </w:rPr>
              <w:t>采购数量</w:t>
            </w:r>
            <w:bookmarkEnd w:id="86"/>
          </w:p>
        </w:tc>
        <w:tc>
          <w:tcPr>
            <w:tcW w:w="1062" w:type="dxa"/>
          </w:tcPr>
          <w:p>
            <w:pPr>
              <w:autoSpaceDE w:val="0"/>
              <w:jc w:val="center"/>
              <w:rPr>
                <w:rFonts w:asciiTheme="minorEastAsia" w:hAnsiTheme="minorEastAsia" w:cstheme="minorEastAsia"/>
                <w:kern w:val="0"/>
                <w:szCs w:val="21"/>
              </w:rPr>
            </w:pPr>
            <w:bookmarkStart w:id="87" w:name="货物一览表_units"/>
            <w:r>
              <w:rPr>
                <w:rFonts w:asciiTheme="minorEastAsia" w:eastAsiaTheme="minorEastAsia" w:hAnsiTheme="minorEastAsia" w:cstheme="minorEastAsia" w:hint="eastAsia"/>
                <w:kern w:val="0"/>
                <w:szCs w:val="21"/>
              </w:rPr>
              <w:t>计量单位</w:t>
            </w:r>
            <w:bookmarkEnd w:id="87"/>
          </w:p>
        </w:tc>
        <w:tc>
          <w:tcPr>
            <w:tcW w:w="1220" w:type="dxa"/>
          </w:tcPr>
          <w:p>
            <w:pPr>
              <w:autoSpaceDE w:val="0"/>
              <w:jc w:val="center"/>
              <w:rPr>
                <w:rFonts w:asciiTheme="minorEastAsia" w:hAnsiTheme="minorEastAsia" w:cstheme="minorEastAsia"/>
                <w:kern w:val="0"/>
                <w:szCs w:val="21"/>
              </w:rPr>
            </w:pPr>
            <w:bookmarkStart w:id="88" w:name="货物一览表_procurementBudget"/>
            <w:r>
              <w:rPr>
                <w:rFonts w:asciiTheme="minorEastAsia" w:eastAsiaTheme="minorEastAsia" w:hAnsiTheme="minorEastAsia" w:cstheme="minorEastAsia" w:hint="eastAsia"/>
                <w:kern w:val="0"/>
                <w:szCs w:val="21"/>
              </w:rPr>
              <w:t>采购预算（元）</w:t>
            </w:r>
            <w:bookmarkEnd w:id="88"/>
          </w:p>
        </w:tc>
        <w:tc>
          <w:tcPr>
            <w:tcW w:w="1329" w:type="dxa"/>
          </w:tcPr>
          <w:p>
            <w:pPr>
              <w:autoSpaceDE w:val="0"/>
              <w:jc w:val="center"/>
              <w:rPr>
                <w:rFonts w:asciiTheme="minorEastAsia" w:hAnsiTheme="minorEastAsia" w:cstheme="minorEastAsia" w:hint="eastAsia"/>
                <w:kern w:val="0"/>
                <w:szCs w:val="21"/>
              </w:rPr>
            </w:pPr>
            <w:bookmarkStart w:id="89"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9"/>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90" w:name="货物一览表_remark"/>
            <w:r>
              <w:rPr>
                <w:rFonts w:asciiTheme="minorEastAsia" w:eastAsiaTheme="minorEastAsia" w:hAnsiTheme="minorEastAsia" w:cstheme="minorEastAsia" w:hint="eastAsia"/>
                <w:kern w:val="0"/>
                <w:szCs w:val="21"/>
              </w:rPr>
              <w:t>备注</w:t>
            </w:r>
            <w:bookmarkEnd w:id="90"/>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X波段双偏振多普勒天气雷达</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3,280,000.00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r>
              <w:t>包括雷达系统及附属设施等，具体参数见招标文件。</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可自主移动的方舱平台</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400,000.00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r>
              <w:t>具体参数见招标文件</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3,680,000.00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40"/>
        <w:gridCol w:w="1211"/>
        <w:gridCol w:w="1211"/>
        <w:gridCol w:w="340"/>
        <w:gridCol w:w="775"/>
        <w:gridCol w:w="646"/>
        <w:gridCol w:w="775"/>
        <w:gridCol w:w="32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91"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技术科(001016024003)</w:t>
            </w:r>
          </w:p>
        </w:tc>
        <w:tc>
          <w:tcPr/>
          <w:p>
            <w:r>
              <w:t>X波段双偏振多普勒天气雷达</w:t>
            </w:r>
          </w:p>
        </w:tc>
        <w:tc>
          <w:tcPr/>
          <w:p>
            <w:r>
              <w:t>1</w:t>
            </w:r>
          </w:p>
        </w:tc>
        <w:tc>
          <w:tcPr/>
          <w:p>
            <w:r>
              <w:t>3280000.00</w:t>
            </w:r>
          </w:p>
        </w:tc>
        <w:tc>
          <w:tcPr>
            <w:vMerge w:val="restart"/>
          </w:tcPr>
          <w:p>
            <w:r>
              <w:t xml:space="preserve">3680000.00  </w:t>
            </w:r>
          </w:p>
        </w:tc>
        <w:tc>
          <w:tcPr/>
          <w:p>
            <w:r>
              <w:t>四川省眉山市</w:t>
            </w:r>
          </w:p>
        </w:tc>
        <w:tc>
          <w:tcPr/>
          <w:p>
            <w:r>
              <w:t>采购人全称：四川省气象服务中心，联系人：刘女士02887317554</w:t>
            </w:r>
          </w:p>
        </w:tc>
      </w:tr>
      <w:tr>
        <w:tblPrEx>
          <w:tblW w:w="5000" w:type="pct"/>
          <w:tblCellMar>
            <w:left w:w="108" w:type="dxa"/>
            <w:right w:w="108" w:type="dxa"/>
          </w:tblCellMar>
        </w:tblPrEx>
        <w:tc>
          <w:tcPr/>
          <w:p>
            <w:r>
              <w:t>2</w:t>
            </w:r>
          </w:p>
        </w:tc>
        <w:tc>
          <w:tcPr>
            <w:vMerge/>
          </w:tcPr>
          <w:p>
            <w:r>
              <w:t>技术科(001016024003)</w:t>
            </w:r>
          </w:p>
        </w:tc>
        <w:tc>
          <w:tcPr/>
          <w:p>
            <w:r>
              <w:t>可自主移动的方舱平台</w:t>
            </w:r>
          </w:p>
        </w:tc>
        <w:tc>
          <w:tcPr/>
          <w:p>
            <w:r>
              <w:t>1</w:t>
            </w:r>
          </w:p>
        </w:tc>
        <w:tc>
          <w:tcPr/>
          <w:p>
            <w:r>
              <w:t>400000.00</w:t>
            </w:r>
          </w:p>
        </w:tc>
        <w:tc>
          <w:tcPr>
            <w:vMerge/>
          </w:tcPr>
          <w:p>
            <w:r>
              <w:t xml:space="preserve">3680000.00  </w:t>
            </w:r>
          </w:p>
        </w:tc>
        <w:tc>
          <w:tcPr/>
          <w:p>
            <w:r>
              <w:t>四川省眉山市</w:t>
            </w:r>
          </w:p>
        </w:tc>
        <w:tc>
          <w:tcPr/>
          <w:p>
            <w:r>
              <w:t>采购人全称：四川省气象服务中心，联系人：刘女士02887317554</w:t>
            </w:r>
          </w:p>
        </w:tc>
      </w:tr>
    </w:tbl>
    <w:p w:rsidR="00A77B3E"/>
    <w:p>
      <w:pPr>
        <w:spacing w:line="360" w:lineRule="auto"/>
        <w:rPr>
          <w:rFonts w:ascii="宋体" w:hAnsi="宋体"/>
          <w:szCs w:val="21"/>
        </w:rPr>
      </w:pPr>
      <w:bookmarkEnd w:id="91"/>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92"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rPr>
                <w:rFonts w:cs="微软雅黑" w:hint="eastAsia"/>
                <w:b/>
                <w:color w:val="0000FF"/>
                <w:kern w:val="0"/>
                <w:sz w:val="18"/>
                <w:szCs w:val="18"/>
                <w:highlight w:val="none"/>
              </w:rPr>
            </w:pPr>
            <w:r>
              <w:rPr>
                <w:rFonts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ind w:firstLine="420"/>
        <w:rPr>
          <w:highlight w:val="none"/>
        </w:rPr>
      </w:pPr>
      <w:r>
        <w:rPr>
          <w:rFonts w:ascii="宋体" w:hAnsi="宋体" w:hint="eastAsia"/>
          <w:szCs w:val="21"/>
          <w:highlight w:val="none"/>
        </w:rPr>
        <w:t>注：根据项目具体情况，</w:t>
      </w:r>
      <w:r>
        <w:rPr>
          <w:rFonts w:ascii="宋体" w:hAnsi="宋体" w:hint="eastAsia"/>
          <w:szCs w:val="21"/>
          <w:highlight w:val="none"/>
        </w:rPr>
        <w:t>对投标人有具体要求，且投标人必须遵守的，逐条列出</w:t>
      </w:r>
      <w:r>
        <w:rPr>
          <w:rFonts w:ascii="宋体" w:hAnsi="宋体" w:hint="eastAsia"/>
          <w:szCs w:val="21"/>
          <w:highlight w:val="none"/>
        </w:rPr>
        <w:t>。</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9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b/>
          <w:bCs/>
          <w:szCs w:val="21"/>
        </w:rPr>
      </w:pPr>
      <w:bookmarkStart w:id="93" w:name="采购公告合同部分_ZBGGHT"/>
      <w:r>
        <w:rPr>
          <w:rFonts w:hint="eastAsia"/>
          <w:b/>
          <w:bCs/>
          <w:szCs w:val="21"/>
        </w:rPr>
        <w:t xml:space="preserve"> 采购合同</w:t>
      </w:r>
    </w:p>
    <w:p>
      <w:pPr>
        <w:spacing w:line="360" w:lineRule="auto"/>
        <w:ind w:left="1680" w:firstLine="420"/>
        <w:jc w:val="left"/>
        <w:rPr>
          <w:b/>
          <w:bCs/>
          <w:szCs w:val="21"/>
        </w:rPr>
      </w:pPr>
      <w:r>
        <w:rPr>
          <w:rFonts w:hint="eastAsia"/>
          <w:b/>
          <w:bCs/>
          <w:szCs w:val="21"/>
        </w:rPr>
        <w:t>必须明确合同金额支付条件及支付比例</w:t>
      </w:r>
    </w:p>
    <w:p>
      <w:pPr>
        <w:pStyle w:val="BodyText"/>
        <w:spacing w:after="0"/>
        <w:jc w:val="center"/>
        <w:rPr>
          <w:rFonts w:ascii="宋体" w:hAnsi="宋体" w:cs="宋体"/>
          <w:b/>
          <w:bCs/>
          <w:spacing w:val="-20"/>
          <w:kern w:val="44"/>
          <w:sz w:val="48"/>
          <w:szCs w:val="48"/>
        </w:rPr>
      </w:pPr>
      <w:r>
        <w:rPr>
          <w:b/>
          <w:bCs/>
          <w:szCs w:val="21"/>
        </w:rPr>
        <w:br w:type="page"/>
      </w:r>
      <w:bookmarkStart w:id="94" w:name="_Toc3995"/>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pPr>
        <w:rPr>
          <w:rFonts w:ascii="宋体" w:hAnsi="宋体" w:cs="宋体"/>
          <w:b/>
          <w:bCs/>
          <w:spacing w:val="-20"/>
          <w:kern w:val="44"/>
          <w:sz w:val="40"/>
          <w:szCs w:val="40"/>
        </w:rPr>
      </w:pPr>
    </w:p>
    <w:p>
      <w:pPr>
        <w:rPr>
          <w:rFonts w:ascii="宋体" w:hAnsi="宋体" w:cs="宋体"/>
          <w:b/>
          <w:bCs/>
          <w:spacing w:val="-20"/>
          <w:kern w:val="44"/>
          <w:sz w:val="40"/>
          <w:szCs w:val="40"/>
        </w:rPr>
      </w:pPr>
    </w:p>
    <w:p>
      <w:pPr>
        <w:rPr>
          <w:rFonts w:ascii="宋体" w:hAnsi="宋体" w:cs="宋体"/>
          <w:b/>
          <w:bCs/>
          <w:spacing w:val="-20"/>
          <w:kern w:val="44"/>
          <w:sz w:val="40"/>
          <w:szCs w:val="40"/>
        </w:rPr>
      </w:pPr>
    </w:p>
    <w:p>
      <w:pPr>
        <w:spacing w:line="360" w:lineRule="auto"/>
        <w:ind w:left="420" w:leftChars="200"/>
        <w:rPr>
          <w:sz w:val="32"/>
          <w:szCs w:val="32"/>
          <w:u w:val="single"/>
        </w:rPr>
      </w:pPr>
      <w:r>
        <w:rPr>
          <w:rFonts w:ascii="宋体" w:hAnsi="宋体" w:cs="宋体" w:hint="eastAsia"/>
          <w:kern w:val="0"/>
          <w:sz w:val="32"/>
          <w:szCs w:val="32"/>
        </w:rPr>
        <w:t>项目名称：</w:t>
      </w:r>
      <w:r>
        <w:rPr>
          <w:rFonts w:hint="eastAsia"/>
          <w:sz w:val="32"/>
          <w:szCs w:val="32"/>
          <w:u w:val="single"/>
        </w:rPr>
        <w:t xml:space="preserve"> 西南区域人工影响天气能力建设</w:t>
      </w:r>
    </w:p>
    <w:p>
      <w:pPr>
        <w:spacing w:line="360" w:lineRule="auto"/>
        <w:ind w:firstLine="1920" w:firstLineChars="600"/>
        <w:rPr>
          <w:sz w:val="32"/>
          <w:szCs w:val="32"/>
          <w:u w:val="single"/>
        </w:rPr>
      </w:pPr>
      <w:r>
        <w:rPr>
          <w:rFonts w:hint="eastAsia"/>
          <w:sz w:val="32"/>
          <w:szCs w:val="32"/>
          <w:u w:val="single"/>
        </w:rPr>
        <w:t>—试验示范基地建设—车载X波段</w:t>
      </w:r>
    </w:p>
    <w:p>
      <w:pPr>
        <w:spacing w:line="360" w:lineRule="auto"/>
        <w:ind w:firstLine="1920" w:firstLineChars="600"/>
        <w:rPr>
          <w:sz w:val="32"/>
          <w:szCs w:val="32"/>
        </w:rPr>
      </w:pPr>
      <w:r>
        <w:rPr>
          <w:rFonts w:hint="eastAsia"/>
          <w:sz w:val="32"/>
          <w:szCs w:val="32"/>
          <w:u w:val="single"/>
        </w:rPr>
        <w:t xml:space="preserve">双偏振多普勒雷达             </w:t>
      </w:r>
    </w:p>
    <w:p>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pPr>
        <w:spacing w:line="360" w:lineRule="auto"/>
        <w:ind w:left="420" w:leftChars="200"/>
        <w:rPr>
          <w:sz w:val="32"/>
          <w:szCs w:val="32"/>
        </w:rPr>
      </w:pPr>
      <w:r>
        <w:rPr>
          <w:rFonts w:hint="eastAsia"/>
          <w:sz w:val="32"/>
          <w:szCs w:val="32"/>
        </w:rPr>
        <w:t>甲    方：</w:t>
      </w:r>
      <w:r>
        <w:rPr>
          <w:rFonts w:hint="eastAsia"/>
          <w:sz w:val="32"/>
          <w:szCs w:val="32"/>
          <w:u w:val="single"/>
        </w:rPr>
        <w:t xml:space="preserve">   四川省人工影响天气办公室  </w:t>
      </w:r>
    </w:p>
    <w:p>
      <w:pPr>
        <w:spacing w:line="360" w:lineRule="auto"/>
        <w:ind w:left="420" w:leftChars="200"/>
        <w:rPr>
          <w:sz w:val="32"/>
          <w:szCs w:val="32"/>
        </w:rPr>
      </w:pPr>
      <w:r>
        <w:rPr>
          <w:rFonts w:hint="eastAsia"/>
          <w:sz w:val="32"/>
          <w:szCs w:val="32"/>
        </w:rPr>
        <w:t>乙    方：</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丙    方：</w:t>
      </w:r>
      <w:r>
        <w:rPr>
          <w:rFonts w:hint="eastAsia"/>
          <w:sz w:val="32"/>
          <w:szCs w:val="32"/>
          <w:u w:val="single"/>
        </w:rPr>
        <w:t xml:space="preserve">   四川省气象服务中心        </w:t>
      </w:r>
    </w:p>
    <w:p>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p>
      <w:pPr>
        <w:rPr>
          <w:rFonts w:eastAsia="黑体"/>
          <w:sz w:val="44"/>
          <w:szCs w:val="44"/>
        </w:rPr>
      </w:pPr>
      <w:r>
        <w:rPr>
          <w:rFonts w:eastAsia="黑体"/>
          <w:sz w:val="44"/>
          <w:szCs w:val="44"/>
        </w:rPr>
        <w:br w:type="page"/>
      </w:r>
    </w:p>
    <w:p>
      <w:pPr>
        <w:rPr>
          <w:rFonts w:eastAsia="黑体"/>
          <w:sz w:val="44"/>
          <w:szCs w:val="44"/>
        </w:rPr>
      </w:pPr>
    </w:p>
    <w:p>
      <w:pPr>
        <w:rPr>
          <w:rFonts w:eastAsia="黑体"/>
          <w:sz w:val="44"/>
          <w:szCs w:val="44"/>
        </w:rPr>
      </w:pPr>
    </w:p>
    <w:p>
      <w:pPr>
        <w:jc w:val="center"/>
        <w:rPr>
          <w:rFonts w:eastAsia="黑体"/>
          <w:sz w:val="44"/>
          <w:szCs w:val="44"/>
        </w:rPr>
      </w:pPr>
      <w:r>
        <w:rPr>
          <w:rFonts w:eastAsia="黑体" w:hint="eastAsia"/>
          <w:sz w:val="44"/>
          <w:szCs w:val="44"/>
        </w:rPr>
        <w:t>使 用 说 明</w:t>
      </w:r>
    </w:p>
    <w:p>
      <w:pPr>
        <w:ind w:firstLine="640" w:firstLineChars="200"/>
        <w:rPr>
          <w:rFonts w:ascii="仿宋_GB2312" w:eastAsia="仿宋_GB2312" w:hAnsi="仿宋_GB2312" w:cs="仿宋_GB2312"/>
          <w:sz w:val="32"/>
          <w:szCs w:val="32"/>
        </w:rPr>
      </w:pP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ind w:firstLine="640" w:firstLineChars="200"/>
        <w:rPr>
          <w:rFonts w:eastAsia="黑体"/>
          <w:sz w:val="44"/>
          <w:szCs w:val="44"/>
        </w:rPr>
      </w:pP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eastAsia="黑体"/>
          <w:sz w:val="44"/>
          <w:szCs w:val="44"/>
        </w:rPr>
        <w:sectPr>
          <w:pgSz w:w="11906" w:h="16838"/>
          <w:pgMar w:top="1440" w:right="1800" w:bottom="1440" w:left="1800" w:header="851" w:footer="992" w:gutter="0"/>
          <w:cols w:num="1" w:space="425"/>
          <w:docGrid w:type="lines" w:linePitch="312" w:charSpace="0"/>
        </w:sectPr>
      </w:pPr>
    </w:p>
    <w:bookmarkEnd w:id="94"/>
    <w:p>
      <w:pPr>
        <w:pStyle w:val="Heading2"/>
        <w:numPr>
          <w:ilvl w:val="0"/>
          <w:numId w:val="0"/>
        </w:numPr>
        <w:adjustRightInd w:val="0"/>
        <w:snapToGrid w:val="0"/>
        <w:spacing w:line="400" w:lineRule="exact"/>
        <w:jc w:val="center"/>
        <w:rPr>
          <w:rFonts w:ascii="黑体" w:hAnsi="华文中宋"/>
          <w:b w:val="0"/>
          <w:bCs w:val="0"/>
          <w:sz w:val="28"/>
          <w:szCs w:val="28"/>
        </w:rPr>
      </w:pPr>
      <w:bookmarkStart w:id="95" w:name="_Toc22209"/>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95"/>
    </w:p>
    <w:p>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szCs w:val="21"/>
          <w:u w:val="single"/>
        </w:rPr>
        <w:t>四川省人工影响天气办公室</w:t>
      </w:r>
      <w:r>
        <w:rPr>
          <w:rFonts w:ascii="宋体" w:hAnsi="宋体" w:hint="eastAsia"/>
          <w:szCs w:val="21"/>
        </w:rPr>
        <w:t>（采购文件约定的合同甲方、使用方）</w:t>
      </w:r>
    </w:p>
    <w:p>
      <w:pPr>
        <w:adjustRightInd w:val="0"/>
        <w:snapToGrid w:val="0"/>
        <w:spacing w:line="400" w:lineRule="exact"/>
        <w:rPr>
          <w:rFonts w:ascii="宋体" w:hAnsi="宋体"/>
          <w:szCs w:val="21"/>
        </w:rPr>
      </w:pPr>
      <w:r>
        <w:rPr>
          <w:rFonts w:ascii="宋体" w:hAnsi="宋体" w:hint="eastAsia"/>
          <w:szCs w:val="21"/>
        </w:rPr>
        <w:t>乙方（全称）：</w:t>
      </w:r>
      <w:r>
        <w:rPr>
          <w:rFonts w:ascii="宋体" w:hAnsi="宋体" w:hint="eastAsia"/>
          <w:szCs w:val="21"/>
          <w:u w:val="single"/>
        </w:rPr>
        <w:t xml:space="preserve">                       </w:t>
      </w:r>
      <w:r>
        <w:rPr>
          <w:rFonts w:ascii="宋体" w:hAnsi="宋体" w:hint="eastAsia"/>
          <w:szCs w:val="21"/>
        </w:rPr>
        <w:t>（中标人、供应商）</w:t>
      </w:r>
    </w:p>
    <w:p>
      <w:pPr>
        <w:adjustRightInd w:val="0"/>
        <w:snapToGrid w:val="0"/>
        <w:spacing w:line="400" w:lineRule="exact"/>
      </w:pPr>
      <w:r>
        <w:rPr>
          <w:rFonts w:hint="eastAsia"/>
        </w:rPr>
        <w:t>丙方（全称）</w:t>
      </w:r>
      <w:r>
        <w:rPr>
          <w:rFonts w:ascii="宋体" w:hAnsi="宋体" w:hint="eastAsia"/>
          <w:szCs w:val="21"/>
          <w:u w:val="single"/>
        </w:rPr>
        <w:t xml:space="preserve">  四川省气象服务中心    </w:t>
      </w:r>
      <w:r>
        <w:rPr>
          <w:rFonts w:ascii="宋体" w:hAnsi="宋体" w:hint="eastAsia"/>
          <w:szCs w:val="21"/>
        </w:rPr>
        <w:t>（采购人、付款方）</w:t>
      </w: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r>
        <w:rPr>
          <w:rFonts w:ascii="宋体" w:hAnsi="宋体" w:hint="eastAsia"/>
          <w:szCs w:val="21"/>
          <w:u w:val="single"/>
        </w:rPr>
        <w:t>西南区域人工影响天气能力建设—试验示范基地建设—车载X波段双偏振多普勒天气雷达</w:t>
      </w:r>
      <w:r>
        <w:rPr>
          <w:rFonts w:ascii="宋体" w:hAnsi="宋体"/>
          <w:szCs w:val="21"/>
          <w:u w:val="single"/>
        </w:rPr>
        <w:t xml:space="preserve">                                        </w:t>
      </w:r>
    </w:p>
    <w:p>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7958077551732506925853</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车载X波段双偏振多普勒天气雷达，1套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pPr>
        <w:adjustRightInd w:val="0"/>
        <w:snapToGrid w:val="0"/>
        <w:spacing w:line="400" w:lineRule="exact"/>
        <w:ind w:firstLine="945" w:firstLineChars="450"/>
        <w:rPr>
          <w:rFonts w:ascii="宋体" w:eastAsia="宋体" w:hAnsi="宋体" w:cs="宋体"/>
        </w:rPr>
      </w:pPr>
      <w:r>
        <w:rPr>
          <w:rFonts w:ascii="汉仪书宋二S" w:eastAsia="汉仪书宋二S" w:hAnsi="汉仪书宋二S" w:cs="汉仪书宋二S" w:hint="eastAsia"/>
        </w:rPr>
        <w:t>②</w:t>
      </w:r>
      <w:r>
        <w:rPr>
          <w:rFonts w:ascii="宋体" w:eastAsia="宋体" w:hAnsi="宋体" w:cs="宋体" w:hint="eastAsia"/>
        </w:rPr>
        <w:t>涉及车辆采购，请填写是否属于新能源汽车：</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FE"/>
      </w:r>
      <w:r>
        <w:rPr>
          <w:rFonts w:ascii="宋体" w:eastAsia="宋体" w:hAnsi="宋体" w:cs="宋体" w:hint="eastAsia"/>
          <w:sz w:val="21"/>
        </w:rPr>
        <w:t>否</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FE"/>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FE"/>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eastAsia="宋体" w:hAnsi="Wingdings" w:cs="宋体"/>
        </w:rPr>
        <w:sym w:font="Wingdings" w:char="F0FE"/>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ascii="Wingdings" w:eastAsia="宋体" w:hAnsi="Wingdings" w:cs="宋体"/>
        </w:rPr>
        <w:sym w:font="Wingdings" w:char="F0FE"/>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eastAsia="宋体" w:hAnsi="Wingdings" w:cs="宋体"/>
        </w:rPr>
        <w:sym w:font="Wingdings" w:char="F0FE"/>
      </w:r>
      <w:r>
        <w:rPr>
          <w:rFonts w:ascii="宋体" w:hAnsi="宋体" w:hint="eastAsia"/>
          <w:iCs/>
          <w:szCs w:val="21"/>
        </w:rPr>
        <w:t>否</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eastAsia="宋体" w:hAnsi="Wingdings" w:cs="宋体"/>
        </w:rPr>
        <w:sym w:font="Wingdings" w:char="F0FE"/>
      </w:r>
      <w:r>
        <w:rPr>
          <w:rFonts w:ascii="宋体" w:hAnsi="宋体" w:cs="宋体" w:hint="eastAsia"/>
          <w:iCs/>
          <w:szCs w:val="21"/>
        </w:rPr>
        <w:t>否</w:t>
      </w:r>
    </w:p>
    <w:p>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eastAsia="宋体" w:hAnsi="Wingdings" w:cs="宋体"/>
        </w:rPr>
        <w:sym w:font="Wingdings" w:char="F0FE"/>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（2）合同定价方式（采用组合定价方式的，可以勾选多项）：</w:t>
      </w:r>
    </w:p>
    <w:p>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eastAsia="宋体" w:hAnsi="Wingdings" w:cs="宋体"/>
        </w:rPr>
        <w:sym w:font="Wingdings" w:char="F0FE"/>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pPr>
        <w:pStyle w:val="12"/>
        <w:spacing w:line="400" w:lineRule="exact"/>
      </w:pPr>
      <w:r>
        <w:rPr>
          <w:rFonts w:ascii="宋体" w:hAnsi="宋体" w:hint="eastAsia"/>
        </w:rPr>
        <w:t>（3）付款方式（按项目实际勾选填写）：</w:t>
      </w:r>
    </w:p>
    <w:p>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pPr>
        <w:snapToGrid w:val="0"/>
        <w:spacing w:line="400" w:lineRule="exact"/>
        <w:ind w:firstLine="630" w:firstLineChars="300"/>
        <w:rPr>
          <w:rFonts w:ascii="宋体" w:hAnsi="宋体"/>
          <w:szCs w:val="21"/>
        </w:rPr>
      </w:pPr>
      <w:r>
        <w:rPr>
          <w:rFonts w:ascii="Wingdings" w:hAnsi="Wingdings" w:cs="宋体"/>
        </w:rPr>
        <w:sym w:font="Wingdings" w:char="F0FE"/>
      </w:r>
      <w:r>
        <w:rPr>
          <w:rFonts w:ascii="宋体" w:hAnsi="宋体" w:hint="eastAsia"/>
          <w:szCs w:val="21"/>
        </w:rPr>
        <w:t>分期付款：</w:t>
      </w:r>
      <w:r>
        <w:rPr>
          <w:rFonts w:ascii="宋体" w:hAnsi="宋体" w:hint="eastAsia"/>
          <w:szCs w:val="21"/>
          <w:u w:val="single"/>
        </w:rPr>
        <w:t xml:space="preserve">  （应明确分期支付合同款项的各期比例和支付条件，各期支付条件应与分期履约验收情况挂钩）</w:t>
      </w:r>
      <w:r>
        <w:rPr>
          <w:rFonts w:ascii="宋体" w:hAnsi="宋体" w:hint="eastAsia"/>
          <w:szCs w:val="21"/>
        </w:rPr>
        <w:t>，</w:t>
      </w:r>
    </w:p>
    <w:p>
      <w:pPr>
        <w:snapToGrid w:val="0"/>
        <w:spacing w:line="400" w:lineRule="exact"/>
        <w:ind w:firstLine="630" w:firstLineChars="300"/>
      </w:pPr>
      <w:r>
        <w:rPr>
          <w:rFonts w:ascii="宋体" w:hAnsi="宋体" w:hint="eastAsia"/>
          <w:szCs w:val="21"/>
        </w:rPr>
        <w:t>其中涉及预付款的：</w:t>
      </w:r>
      <w:r>
        <w:rPr>
          <w:rFonts w:ascii="宋体" w:hAnsi="宋体" w:hint="eastAsia"/>
          <w:szCs w:val="21"/>
          <w:u w:val="single"/>
        </w:rPr>
        <w:t xml:space="preserve"> （应明确预付款的支付比例和支付条件） </w:t>
      </w:r>
    </w:p>
    <w:p>
      <w:pPr>
        <w:snapToGrid w:val="0"/>
        <w:spacing w:line="400" w:lineRule="exact"/>
        <w:ind w:firstLine="630" w:firstLineChars="300"/>
        <w:rPr>
          <w:rFonts w:ascii="宋体" w:hAnsi="宋体"/>
          <w:szCs w:val="21"/>
          <w:u w:val="single"/>
        </w:rPr>
      </w:pPr>
      <w:r>
        <w:rPr>
          <w:rFonts w:ascii="宋体" w:hAnsi="宋体" w:hint="eastAsia"/>
          <w:szCs w:val="21"/>
          <w:u w:val="single"/>
        </w:rPr>
        <w:t>合同签订生效后，收到履约保证金后10个工作日内，丙方向乙方支付合同总价款的30%作为本项目预付款，同时，乙方向丙方开具相应金额的增值税专用发票。</w:t>
      </w:r>
    </w:p>
    <w:p>
      <w:pPr>
        <w:snapToGrid w:val="0"/>
        <w:spacing w:line="400" w:lineRule="exact"/>
        <w:ind w:firstLine="630" w:firstLineChars="300"/>
        <w:rPr>
          <w:rFonts w:ascii="宋体" w:hAnsi="宋体"/>
          <w:szCs w:val="21"/>
          <w:u w:val="single"/>
        </w:rPr>
      </w:pPr>
      <w:r>
        <w:rPr>
          <w:rFonts w:ascii="宋体" w:hAnsi="宋体" w:hint="eastAsia"/>
          <w:szCs w:val="21"/>
          <w:u w:val="single"/>
        </w:rPr>
        <w:t>设备完成安装，现场验收合格后，丙方向乙方支付合同金额的50%，同时，乙方向丙方开具相应金额的增值税专用发票。</w:t>
      </w:r>
    </w:p>
    <w:p>
      <w:pPr>
        <w:snapToGrid w:val="0"/>
        <w:spacing w:line="400" w:lineRule="exact"/>
        <w:ind w:firstLine="630" w:firstLineChars="300"/>
        <w:rPr>
          <w:rFonts w:ascii="宋体" w:hAnsi="宋体"/>
          <w:szCs w:val="21"/>
          <w:u w:val="single"/>
        </w:rPr>
      </w:pPr>
      <w:r>
        <w:rPr>
          <w:rFonts w:ascii="宋体" w:hAnsi="宋体" w:hint="eastAsia"/>
          <w:szCs w:val="21"/>
          <w:u w:val="single"/>
        </w:rPr>
        <w:t xml:space="preserve">合同验收合格后，丙方向乙方支付合同金额的20%，同时，乙方向丙方开具相应金额的增值税专用发票。 </w:t>
      </w:r>
    </w:p>
    <w:p>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rPr>
        <w:sym w:font="Wingdings" w:char="F0FE"/>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pPr>
        <w:pStyle w:val="AONormal"/>
        <w:rPr>
          <w:rFonts w:ascii="宋体" w:eastAsia="宋体" w:hAnsi="宋体" w:cs="宋体"/>
          <w:bCs/>
          <w:sz w:val="21"/>
          <w:u w:val="single"/>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乙方以银行转账形式向丙方提交    </w:t>
      </w:r>
    </w:p>
    <w:p>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合同总金额的10%</w:t>
      </w:r>
      <w:r>
        <w:rPr>
          <w:rFonts w:ascii="宋体" w:eastAsia="宋体" w:hAnsi="宋体" w:cs="宋体"/>
          <w:bCs/>
          <w:sz w:val="21"/>
          <w:u w:val="single"/>
        </w:rPr>
        <w:t xml:space="preserve"> </w:t>
      </w:r>
      <w:r>
        <w:rPr>
          <w:rFonts w:ascii="宋体" w:eastAsia="宋体" w:hAnsi="宋体" w:cs="宋体" w:hint="eastAsia"/>
          <w:bCs/>
          <w:sz w:val="21"/>
          <w:u w:val="single"/>
        </w:rPr>
        <w:t xml:space="preserve">      </w:t>
      </w:r>
      <w:r>
        <w:rPr>
          <w:rFonts w:ascii="宋体" w:eastAsia="宋体" w:hAnsi="宋体" w:cs="宋体"/>
          <w:bCs/>
          <w:sz w:val="21"/>
          <w:u w:val="single"/>
        </w:rPr>
        <w:t xml:space="preserve"> </w:t>
      </w:r>
      <w:r>
        <w:rPr>
          <w:rFonts w:ascii="宋体" w:eastAsia="宋体" w:hAnsi="宋体" w:cs="宋体" w:hint="eastAsia"/>
          <w:bCs/>
          <w:sz w:val="21"/>
          <w:u w:val="single"/>
        </w:rPr>
        <w:t xml:space="preserve">          </w:t>
      </w:r>
    </w:p>
    <w:p>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r>
        <w:rPr>
          <w:rFonts w:ascii="宋体" w:hAnsi="宋体" w:cs="宋体"/>
          <w:bCs/>
          <w:szCs w:val="21"/>
          <w:u w:val="single"/>
        </w:rPr>
        <w:t>8年</w:t>
      </w:r>
      <w:r>
        <w:rPr>
          <w:rFonts w:ascii="宋体" w:hAnsi="宋体" w:cs="宋体" w:hint="eastAsia"/>
          <w:bCs/>
          <w:szCs w:val="21"/>
          <w:u w:val="single"/>
        </w:rPr>
        <w:t xml:space="preserve">                  </w:t>
      </w:r>
      <w:r>
        <w:rPr>
          <w:rFonts w:ascii="宋体" w:hAnsi="宋体" w:cs="宋体"/>
          <w:bCs/>
          <w:szCs w:val="21"/>
          <w:u w:val="single"/>
        </w:rPr>
        <w:t xml:space="preserve">     </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pPr>
        <w:numPr>
          <w:ilvl w:val="0"/>
          <w:numId w:val="7"/>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rPr>
        <w:sym w:font="Wingdings" w:char="F0FE"/>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rPr>
        <w:sym w:font="Wingdings" w:char="F0FE"/>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rPr>
        <w:sym w:font="Wingdings" w:char="F0FE"/>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rPr>
        <w:sym w:font="Wingdings" w:char="F0FE"/>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rPr>
        <w:sym w:font="Wingdings" w:char="F0FE"/>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rPr>
        <w:sym w:font="Wingdings" w:char="F0FE"/>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rPr>
        <w:sym w:font="Wingdings" w:char="F0FE"/>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（计划于何时验收/供应商提出验收申请之日起   日内组织验收）</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u w:val="single"/>
        </w:rPr>
        <w:t xml:space="preserve">乙方提出验收申请之日起 </w:t>
      </w:r>
      <w:r>
        <w:rPr>
          <w:rFonts w:ascii="宋体" w:hAnsi="宋体"/>
          <w:bCs/>
          <w:szCs w:val="21"/>
          <w:u w:val="single"/>
        </w:rPr>
        <w:t>10个工作日</w:t>
      </w:r>
      <w:r>
        <w:rPr>
          <w:rFonts w:ascii="宋体" w:hAnsi="宋体" w:hint="eastAsia"/>
          <w:bCs/>
          <w:szCs w:val="21"/>
          <w:u w:val="single"/>
        </w:rPr>
        <w:t>内组织验收</w:t>
      </w:r>
    </w:p>
    <w:p>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rPr>
        <w:sym w:font="Wingdings" w:char="F0FE"/>
      </w:r>
      <w:r>
        <w:rPr>
          <w:rFonts w:ascii="宋体" w:hAnsi="宋体" w:hint="eastAsia"/>
          <w:bCs/>
          <w:szCs w:val="21"/>
        </w:rPr>
        <w:t xml:space="preserve">一次性验收         </w:t>
      </w:r>
    </w:p>
    <w:p>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出厂验收-现场验收-合同验收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《西南区域人工影响天气能力建设货物服务验收管理办法》      </w:t>
      </w:r>
    </w:p>
    <w:p>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hAnsi="Wingdings" w:cs="宋体"/>
        </w:rPr>
        <w:sym w:font="Wingdings" w:char="F0FE"/>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
        <w:rPr>
          <w:rFonts w:hint="eastAsia"/>
        </w:rPr>
        <w:br w:type="page"/>
      </w:r>
    </w:p>
    <w:p>
      <w:pPr>
        <w:pStyle w:val="12"/>
      </w:pP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384"/>
        <w:gridCol w:w="1267"/>
        <w:gridCol w:w="1384"/>
        <w:gridCol w:w="2317"/>
        <w:gridCol w:w="1385"/>
        <w:gridCol w:w="1266"/>
      </w:tblGrid>
      <w:tr>
        <w:tblPrEx>
          <w:tblW w:w="5000"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1667" w:type="pct"/>
            <w:gridSpan w:val="2"/>
            <w:tcBorders>
              <w:bottom w:val="single" w:sz="2" w:space="0" w:color="auto"/>
              <w:right w:val="single" w:sz="2" w:space="0" w:color="auto"/>
            </w:tcBorders>
            <w:vAlign w:val="center"/>
          </w:tcPr>
          <w:p>
            <w:pPr>
              <w:adjustRightInd w:val="0"/>
              <w:snapToGrid w:val="0"/>
              <w:spacing w:line="300" w:lineRule="exact"/>
              <w:jc w:val="center"/>
            </w:pPr>
            <w:r>
              <w:rPr>
                <w:szCs w:val="21"/>
              </w:rPr>
              <w:t>甲方</w:t>
            </w:r>
            <w:r>
              <w:rPr>
                <w:rFonts w:hint="eastAsia"/>
                <w:szCs w:val="21"/>
              </w:rPr>
              <w:t>（使用方）</w:t>
            </w:r>
          </w:p>
        </w:tc>
        <w:tc>
          <w:tcPr>
            <w:tcW w:w="1667" w:type="pct"/>
            <w:gridSpan w:val="2"/>
            <w:tcBorders>
              <w:left w:val="single" w:sz="2" w:space="0" w:color="auto"/>
              <w:bottom w:val="single" w:sz="2" w:space="0" w:color="auto"/>
            </w:tcBorders>
            <w:vAlign w:val="center"/>
          </w:tcPr>
          <w:p>
            <w:pPr>
              <w:adjustRightInd w:val="0"/>
              <w:snapToGrid w:val="0"/>
              <w:spacing w:line="300" w:lineRule="exact"/>
              <w:jc w:val="center"/>
            </w:pPr>
            <w:r>
              <w:rPr>
                <w:szCs w:val="21"/>
              </w:rPr>
              <w:t>乙方</w:t>
            </w:r>
            <w:r>
              <w:rPr>
                <w:rFonts w:hint="eastAsia"/>
                <w:szCs w:val="21"/>
              </w:rPr>
              <w:t>（供应商）</w:t>
            </w:r>
          </w:p>
        </w:tc>
        <w:tc>
          <w:tcPr>
            <w:tcW w:w="1667" w:type="pct"/>
            <w:gridSpan w:val="2"/>
            <w:tcBorders>
              <w:left w:val="single" w:sz="2" w:space="0" w:color="auto"/>
              <w:bottom w:val="single" w:sz="2" w:space="0" w:color="auto"/>
            </w:tcBorders>
            <w:vAlign w:val="center"/>
          </w:tcPr>
          <w:p>
            <w:pPr>
              <w:adjustRightInd w:val="0"/>
              <w:snapToGrid w:val="0"/>
              <w:spacing w:line="300" w:lineRule="exact"/>
              <w:jc w:val="center"/>
              <w:rPr>
                <w:szCs w:val="21"/>
              </w:rPr>
            </w:pPr>
            <w:r>
              <w:rPr>
                <w:szCs w:val="21"/>
              </w:rPr>
              <w:t>丙方（付款方）</w:t>
            </w:r>
          </w:p>
        </w:tc>
      </w:tr>
      <w:tr>
        <w:tblPrEx>
          <w:tblW w:w="5000" w:type="pct"/>
          <w:tblInd w:w="0" w:type="dxa"/>
          <w:tblCellMar>
            <w:top w:w="0" w:type="dxa"/>
            <w:left w:w="108" w:type="dxa"/>
            <w:bottom w:w="0" w:type="dxa"/>
            <w:right w:w="108" w:type="dxa"/>
          </w:tblCellMar>
        </w:tblPrEx>
        <w:trPr>
          <w:trHeight w:val="917"/>
        </w:trPr>
        <w:tc>
          <w:tcPr>
            <w:tcW w:w="86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801"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四川省人工影响天气办公室</w:t>
            </w: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r>
              <w:rPr>
                <w:rFonts w:hint="eastAsia"/>
                <w:szCs w:val="21"/>
              </w:rPr>
              <w:t>××××××××××</w:t>
            </w: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r>
              <w:rPr>
                <w:szCs w:val="21"/>
              </w:rPr>
              <w:t>四川省</w:t>
            </w:r>
            <w:r>
              <w:rPr>
                <w:rFonts w:hint="eastAsia"/>
                <w:szCs w:val="21"/>
              </w:rPr>
              <w:t>气象服务中心</w:t>
            </w:r>
          </w:p>
        </w:tc>
      </w:tr>
      <w:tr>
        <w:tblPrEx>
          <w:tblW w:w="5000" w:type="pct"/>
          <w:tblInd w:w="0" w:type="dxa"/>
          <w:tblCellMar>
            <w:top w:w="0" w:type="dxa"/>
            <w:left w:w="108" w:type="dxa"/>
            <w:bottom w:w="0" w:type="dxa"/>
            <w:right w:w="108" w:type="dxa"/>
          </w:tblCellMar>
        </w:tblPrEx>
        <w:trPr>
          <w:trHeight w:val="1171"/>
        </w:trPr>
        <w:tc>
          <w:tcPr>
            <w:tcW w:w="866" w:type="pct"/>
            <w:vMerge w:val="restart"/>
            <w:tcBorders>
              <w:top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801"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p>
        </w:tc>
        <w:tc>
          <w:tcPr>
            <w:tcW w:w="866"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c>
          <w:tcPr>
            <w:tcW w:w="86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801" w:type="pct"/>
            <w:vMerge w:val="restart"/>
            <w:tcBorders>
              <w:top w:val="single" w:sz="2" w:space="0" w:color="auto"/>
              <w:left w:val="single" w:sz="2" w:space="0" w:color="auto"/>
            </w:tcBorders>
            <w:vAlign w:val="center"/>
          </w:tcPr>
          <w:p>
            <w:pPr>
              <w:adjustRightInd w:val="0"/>
              <w:snapToGrid w:val="0"/>
              <w:spacing w:line="300" w:lineRule="exact"/>
              <w:jc w:val="center"/>
              <w:rPr>
                <w:szCs w:val="21"/>
              </w:rPr>
            </w:pPr>
          </w:p>
        </w:tc>
      </w:tr>
      <w:tr>
        <w:tblPrEx>
          <w:tblW w:w="5000" w:type="pct"/>
          <w:tblInd w:w="0" w:type="dxa"/>
          <w:tblCellMar>
            <w:top w:w="0" w:type="dxa"/>
            <w:left w:w="108" w:type="dxa"/>
            <w:bottom w:w="0" w:type="dxa"/>
            <w:right w:w="108" w:type="dxa"/>
          </w:tblCellMar>
        </w:tblPrEx>
        <w:trPr>
          <w:trHeight w:val="483"/>
        </w:trPr>
        <w:tc>
          <w:tcPr>
            <w:tcW w:w="866" w:type="pct"/>
            <w:vMerge/>
            <w:tcBorders>
              <w:bottom w:val="single" w:sz="2" w:space="0" w:color="auto"/>
              <w:right w:val="single" w:sz="2" w:space="0" w:color="auto"/>
            </w:tcBorders>
            <w:vAlign w:val="center"/>
          </w:tcPr>
          <w:p>
            <w:pPr>
              <w:adjustRightInd w:val="0"/>
              <w:snapToGrid w:val="0"/>
              <w:spacing w:line="300" w:lineRule="exact"/>
              <w:jc w:val="center"/>
              <w:rPr>
                <w:szCs w:val="21"/>
              </w:rPr>
            </w:pPr>
          </w:p>
        </w:tc>
        <w:tc>
          <w:tcPr>
            <w:tcW w:w="801"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拥有者性别</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c>
          <w:tcPr>
            <w:tcW w:w="86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801" w:type="pct"/>
            <w:vMerge/>
            <w:tcBorders>
              <w:left w:val="single" w:sz="2" w:space="0" w:color="auto"/>
              <w:bottom w:val="single" w:sz="2" w:space="0" w:color="auto"/>
            </w:tcBorders>
            <w:vAlign w:val="center"/>
          </w:tcPr>
          <w:p>
            <w:pPr>
              <w:adjustRightInd w:val="0"/>
              <w:snapToGrid w:val="0"/>
              <w:spacing w:line="300" w:lineRule="exact"/>
              <w:jc w:val="center"/>
              <w:rPr>
                <w:szCs w:val="21"/>
              </w:rPr>
            </w:pPr>
          </w:p>
        </w:tc>
      </w:tr>
      <w:tr>
        <w:tblPrEx>
          <w:tblW w:w="5000" w:type="pct"/>
          <w:tblInd w:w="0" w:type="dxa"/>
          <w:tblCellMar>
            <w:top w:w="0" w:type="dxa"/>
            <w:left w:w="108" w:type="dxa"/>
            <w:bottom w:w="0" w:type="dxa"/>
            <w:right w:w="108" w:type="dxa"/>
          </w:tblCellMar>
        </w:tblPrEx>
        <w:trPr>
          <w:trHeight w:val="483"/>
        </w:trPr>
        <w:tc>
          <w:tcPr>
            <w:tcW w:w="86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801"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5000" w:type="pct"/>
          <w:tblInd w:w="0" w:type="dxa"/>
          <w:tblCellMar>
            <w:top w:w="0" w:type="dxa"/>
            <w:left w:w="108" w:type="dxa"/>
            <w:bottom w:w="0" w:type="dxa"/>
            <w:right w:w="108" w:type="dxa"/>
          </w:tblCellMar>
        </w:tblPrEx>
        <w:trPr>
          <w:trHeight w:val="483"/>
        </w:trPr>
        <w:tc>
          <w:tcPr>
            <w:tcW w:w="86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801"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5000" w:type="pct"/>
          <w:tblInd w:w="0" w:type="dxa"/>
          <w:tblCellMar>
            <w:top w:w="0" w:type="dxa"/>
            <w:left w:w="108" w:type="dxa"/>
            <w:bottom w:w="0" w:type="dxa"/>
            <w:right w:w="108" w:type="dxa"/>
          </w:tblCellMar>
        </w:tblPrEx>
        <w:trPr>
          <w:trHeight w:val="483"/>
        </w:trPr>
        <w:tc>
          <w:tcPr>
            <w:tcW w:w="86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801"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5000" w:type="pct"/>
          <w:tblInd w:w="0" w:type="dxa"/>
          <w:tblCellMar>
            <w:top w:w="0" w:type="dxa"/>
            <w:left w:w="108" w:type="dxa"/>
            <w:bottom w:w="0" w:type="dxa"/>
            <w:right w:w="108" w:type="dxa"/>
          </w:tblCellMar>
        </w:tblPrEx>
        <w:trPr>
          <w:trHeight w:val="483"/>
        </w:trPr>
        <w:tc>
          <w:tcPr>
            <w:tcW w:w="86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801"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5000" w:type="pct"/>
          <w:tblInd w:w="0" w:type="dxa"/>
          <w:tblCellMar>
            <w:top w:w="0" w:type="dxa"/>
            <w:left w:w="108" w:type="dxa"/>
            <w:bottom w:w="0" w:type="dxa"/>
            <w:right w:w="108" w:type="dxa"/>
          </w:tblCellMar>
        </w:tblPrEx>
        <w:trPr>
          <w:trHeight w:val="483"/>
        </w:trPr>
        <w:tc>
          <w:tcPr>
            <w:tcW w:w="86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801"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5000" w:type="pct"/>
          <w:tblInd w:w="0" w:type="dxa"/>
          <w:tblCellMar>
            <w:top w:w="0" w:type="dxa"/>
            <w:left w:w="108" w:type="dxa"/>
            <w:bottom w:w="0" w:type="dxa"/>
            <w:right w:w="108" w:type="dxa"/>
          </w:tblCellMar>
        </w:tblPrEx>
        <w:trPr>
          <w:trHeight w:val="483"/>
        </w:trPr>
        <w:tc>
          <w:tcPr>
            <w:tcW w:w="86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801"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5000" w:type="pct"/>
          <w:tblInd w:w="0" w:type="dxa"/>
          <w:tblCellMar>
            <w:top w:w="0" w:type="dxa"/>
            <w:left w:w="108" w:type="dxa"/>
            <w:bottom w:w="0" w:type="dxa"/>
            <w:right w:w="108" w:type="dxa"/>
          </w:tblCellMar>
        </w:tblPrEx>
        <w:trPr>
          <w:trHeight w:val="483"/>
        </w:trPr>
        <w:tc>
          <w:tcPr>
            <w:tcW w:w="86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801"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5000" w:type="pct"/>
          <w:tblInd w:w="0" w:type="dxa"/>
          <w:tblCellMar>
            <w:top w:w="0" w:type="dxa"/>
            <w:left w:w="108" w:type="dxa"/>
            <w:bottom w:w="0" w:type="dxa"/>
            <w:right w:w="108" w:type="dxa"/>
          </w:tblCellMar>
        </w:tblPrEx>
        <w:trPr>
          <w:trHeight w:val="483"/>
        </w:trPr>
        <w:tc>
          <w:tcPr>
            <w:tcW w:w="86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801"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开户名称</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5000" w:type="pct"/>
          <w:tblInd w:w="0" w:type="dxa"/>
          <w:tblCellMar>
            <w:top w:w="0" w:type="dxa"/>
            <w:left w:w="108" w:type="dxa"/>
            <w:bottom w:w="0" w:type="dxa"/>
            <w:right w:w="108" w:type="dxa"/>
          </w:tblCellMar>
        </w:tblPrEx>
        <w:trPr>
          <w:trHeight w:val="483"/>
        </w:trPr>
        <w:tc>
          <w:tcPr>
            <w:tcW w:w="86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801"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开户银行</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5000" w:type="pct"/>
          <w:tblInd w:w="0" w:type="dxa"/>
          <w:tblCellMar>
            <w:top w:w="0" w:type="dxa"/>
            <w:left w:w="108" w:type="dxa"/>
            <w:bottom w:w="0" w:type="dxa"/>
            <w:right w:w="108" w:type="dxa"/>
          </w:tblCellMar>
        </w:tblPrEx>
        <w:trPr>
          <w:trHeight w:val="483"/>
        </w:trPr>
        <w:tc>
          <w:tcPr>
            <w:tcW w:w="86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801"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银行账号</w:t>
            </w: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c>
          <w:tcPr>
            <w:tcW w:w="86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801"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5000" w:type="pct"/>
          <w:tblInd w:w="0" w:type="dxa"/>
          <w:tblCellMar>
            <w:top w:w="0" w:type="dxa"/>
            <w:left w:w="108" w:type="dxa"/>
            <w:bottom w:w="0" w:type="dxa"/>
            <w:right w:w="108" w:type="dxa"/>
          </w:tblCellMar>
        </w:tblPrEx>
        <w:trPr>
          <w:trHeight w:val="586"/>
        </w:trPr>
        <w:tc>
          <w:tcPr>
            <w:tcW w:w="3333" w:type="pct"/>
            <w:gridSpan w:val="4"/>
            <w:tcBorders>
              <w:top w:val="single" w:sz="2" w:space="0" w:color="auto"/>
            </w:tcBorders>
            <w:vAlign w:val="center"/>
          </w:tcPr>
          <w:p>
            <w:pPr>
              <w:pStyle w:val="BodyTextIndent"/>
              <w:adjustRightInd w:val="0"/>
              <w:snapToGrid w:val="0"/>
              <w:spacing w:before="156" w:beforeLines="50" w:after="0" w:line="360" w:lineRule="auto"/>
              <w:ind w:left="0" w:leftChars="0"/>
              <w:jc w:val="center"/>
              <w:rPr>
                <w:spacing w:val="20"/>
                <w:szCs w:val="21"/>
              </w:rPr>
            </w:pPr>
            <w:r>
              <w:rPr>
                <w:rFonts w:ascii="宋体" w:hAnsi="宋体" w:hint="eastAsia"/>
                <w:szCs w:val="21"/>
              </w:rPr>
              <w:t>注：涉及联合体或其他合同主体的信息应按上表格式加列。</w:t>
            </w:r>
          </w:p>
        </w:tc>
        <w:tc>
          <w:tcPr>
            <w:tcW w:w="866" w:type="pct"/>
            <w:tcBorders>
              <w:top w:val="single" w:sz="2" w:space="0" w:color="auto"/>
            </w:tcBorders>
            <w:vAlign w:val="center"/>
          </w:tcPr>
          <w:p>
            <w:pPr>
              <w:adjustRightInd w:val="0"/>
              <w:snapToGrid w:val="0"/>
              <w:spacing w:line="300" w:lineRule="exact"/>
              <w:jc w:val="center"/>
              <w:rPr>
                <w:szCs w:val="21"/>
              </w:rPr>
            </w:pPr>
          </w:p>
        </w:tc>
        <w:tc>
          <w:tcPr>
            <w:tcW w:w="801" w:type="pct"/>
            <w:tcBorders>
              <w:top w:val="single" w:sz="2" w:space="0" w:color="auto"/>
            </w:tcBorders>
            <w:vAlign w:val="center"/>
          </w:tcPr>
          <w:p>
            <w:pPr>
              <w:adjustRightInd w:val="0"/>
              <w:snapToGrid w:val="0"/>
              <w:spacing w:line="300" w:lineRule="exact"/>
              <w:jc w:val="center"/>
              <w:rPr>
                <w:szCs w:val="21"/>
              </w:rPr>
            </w:pPr>
          </w:p>
        </w:tc>
      </w:tr>
    </w:tbl>
    <w:p>
      <w:pPr>
        <w:pStyle w:val="12"/>
      </w:pPr>
    </w:p>
    <w:p>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96" w:name="_Toc27624"/>
      <w:r>
        <w:rPr>
          <w:rFonts w:ascii="黑体" w:hAnsi="黑体" w:hint="eastAsia"/>
          <w:b w:val="0"/>
          <w:bCs w:val="0"/>
          <w:sz w:val="28"/>
          <w:szCs w:val="28"/>
        </w:rPr>
        <w:t>第二节 政府采购合同通用条款</w:t>
      </w:r>
      <w:bookmarkEnd w:id="96"/>
    </w:p>
    <w:p>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pPr>
        <w:pStyle w:val="PlainText"/>
        <w:adjustRightInd w:val="0"/>
        <w:snapToGrid w:val="0"/>
        <w:spacing w:line="400" w:lineRule="exact"/>
        <w:ind w:firstLine="420" w:firstLineChars="200"/>
        <w:jc w:val="left"/>
        <w:rPr>
          <w:rFonts w:hAnsi="宋体"/>
          <w:b/>
        </w:rPr>
      </w:pPr>
      <w:r>
        <w:rPr>
          <w:rFonts w:hAnsi="宋体" w:hint="eastAsia"/>
        </w:rPr>
        <w:t>8.1 质量标准</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97"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97"/>
      <w:r>
        <w:rPr>
          <w:rFonts w:ascii="宋体" w:hAnsi="宋体" w:hint="eastAsia"/>
          <w:szCs w:val="21"/>
        </w:rPr>
        <w:t>。</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pPr>
        <w:adjustRightInd w:val="0"/>
        <w:snapToGrid w:val="0"/>
        <w:spacing w:line="400" w:lineRule="exact"/>
        <w:jc w:val="left"/>
        <w:rPr>
          <w:rFonts w:ascii="宋体" w:hAnsi="宋体"/>
          <w:b/>
          <w:bCs/>
        </w:rPr>
      </w:pPr>
      <w:r>
        <w:rPr>
          <w:rFonts w:ascii="宋体" w:hAnsi="宋体" w:hint="eastAsia"/>
          <w:b/>
          <w:bCs/>
          <w:sz w:val="24"/>
        </w:rPr>
        <w:t>15. 违约责任</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pPr>
        <w:adjustRightInd w:val="0"/>
        <w:snapToGrid w:val="0"/>
        <w:spacing w:line="400" w:lineRule="exact"/>
        <w:jc w:val="left"/>
        <w:rPr>
          <w:rFonts w:ascii="宋体" w:hAnsi="宋体"/>
          <w:szCs w:val="21"/>
        </w:rPr>
      </w:pPr>
      <w:r>
        <w:rPr>
          <w:rFonts w:ascii="宋体" w:hAnsi="宋体" w:hint="eastAsia"/>
          <w:szCs w:val="21"/>
        </w:rPr>
        <w:t xml:space="preserve">    16.1合同的变更</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98" w:name="_Toc20313"/>
    </w:p>
    <w:p>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9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第1.2（6）项</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联合体具体要求</w:t>
            </w:r>
          </w:p>
        </w:tc>
        <w:tc>
          <w:tcPr>
            <w:tcW w:w="5170" w:type="dxa"/>
            <w:vAlign w:val="center"/>
          </w:tcPr>
          <w:p>
            <w:pPr>
              <w:adjustRightInd w:val="0"/>
              <w:snapToGrid w:val="0"/>
              <w:ind w:firstLine="420" w:firstLineChars="200"/>
              <w:jc w:val="left"/>
              <w:rPr>
                <w:rFonts w:ascii="宋体" w:eastAsia="宋体" w:hAnsi="宋体"/>
                <w:szCs w:val="21"/>
              </w:rPr>
            </w:pPr>
          </w:p>
        </w:tc>
      </w:tr>
      <w:tr>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第1.2（7）项</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其他术语解释</w:t>
            </w:r>
          </w:p>
        </w:tc>
        <w:tc>
          <w:tcPr>
            <w:tcW w:w="5170" w:type="dxa"/>
            <w:vAlign w:val="center"/>
          </w:tcPr>
          <w:p>
            <w:pPr>
              <w:adjustRightInd w:val="0"/>
              <w:snapToGrid w:val="0"/>
              <w:ind w:firstLine="420" w:firstLineChars="200"/>
              <w:jc w:val="left"/>
              <w:rPr>
                <w:rFonts w:ascii="宋体" w:eastAsia="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第4.4款</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履约验收中甲方提出异议或作出说明的期限</w:t>
            </w:r>
          </w:p>
        </w:tc>
        <w:tc>
          <w:tcPr>
            <w:tcW w:w="5170" w:type="dxa"/>
            <w:vAlign w:val="center"/>
          </w:tcPr>
          <w:p>
            <w:pPr>
              <w:adjustRightInd w:val="0"/>
              <w:snapToGrid w:val="0"/>
              <w:ind w:firstLine="420" w:firstLineChars="200"/>
              <w:jc w:val="left"/>
              <w:rPr>
                <w:rFonts w:ascii="宋体" w:eastAsia="宋体" w:hAnsi="宋体"/>
                <w:szCs w:val="21"/>
              </w:rPr>
            </w:pPr>
            <w:r>
              <w:rPr>
                <w:rFonts w:ascii="宋体" w:eastAsia="宋体" w:hAnsi="宋体" w:hint="eastAsia"/>
                <w:szCs w:val="21"/>
              </w:rPr>
              <w:t>5</w:t>
            </w:r>
            <w:r>
              <w:rPr>
                <w:rFonts w:ascii="宋体" w:eastAsia="宋体" w:hAnsi="宋体"/>
                <w:szCs w:val="21"/>
              </w:rPr>
              <w:t>个工作日</w:t>
            </w: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第4.6款</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约定甲方承担的其他义务和责任</w:t>
            </w:r>
          </w:p>
        </w:tc>
        <w:tc>
          <w:tcPr>
            <w:tcW w:w="5170" w:type="dxa"/>
            <w:vAlign w:val="center"/>
          </w:tcPr>
          <w:p>
            <w:pPr>
              <w:adjustRightInd w:val="0"/>
              <w:snapToGrid w:val="0"/>
              <w:ind w:firstLine="420" w:firstLineChars="200"/>
              <w:jc w:val="left"/>
              <w:rPr>
                <w:rFonts w:ascii="宋体" w:eastAsia="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snapToGrid w:val="0"/>
              <w:jc w:val="center"/>
              <w:rPr>
                <w:rFonts w:ascii="宋体" w:eastAsia="宋体" w:hAnsi="宋体"/>
              </w:rPr>
            </w:pPr>
            <w:r>
              <w:rPr>
                <w:rFonts w:ascii="宋体" w:eastAsia="宋体" w:hAnsi="宋体" w:hint="eastAsia"/>
                <w:szCs w:val="21"/>
              </w:rPr>
              <w:t>第5.4款</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约定乙方承担的其他义务和责任</w:t>
            </w:r>
          </w:p>
        </w:tc>
        <w:tc>
          <w:tcPr>
            <w:tcW w:w="5170" w:type="dxa"/>
            <w:vAlign w:val="center"/>
          </w:tcPr>
          <w:p>
            <w:pPr>
              <w:adjustRightInd w:val="0"/>
              <w:snapToGrid w:val="0"/>
              <w:ind w:firstLine="420" w:firstLineChars="200"/>
              <w:jc w:val="left"/>
              <w:rPr>
                <w:rFonts w:ascii="宋体" w:eastAsia="宋体" w:hAnsi="宋体"/>
                <w:szCs w:val="21"/>
              </w:rPr>
            </w:pPr>
            <w:r>
              <w:rPr>
                <w:rFonts w:ascii="宋体" w:eastAsia="宋体" w:hAnsi="宋体" w:hint="eastAsia"/>
                <w:szCs w:val="21"/>
              </w:rPr>
              <w:t>1.乙方需提供详细技术方案，包括但不限于：设备安装建设规范、设备工作原理、设备部件结构组成、设备操作手册、设备运行维护手册、设备软件使用手册、相关产品算法说明文档等。</w:t>
            </w:r>
          </w:p>
          <w:p>
            <w:pPr>
              <w:adjustRightInd w:val="0"/>
              <w:snapToGrid w:val="0"/>
              <w:ind w:firstLine="420" w:firstLineChars="200"/>
              <w:jc w:val="left"/>
              <w:rPr>
                <w:rFonts w:ascii="宋体" w:eastAsia="宋体" w:hAnsi="宋体"/>
                <w:szCs w:val="21"/>
              </w:rPr>
            </w:pPr>
            <w:r>
              <w:rPr>
                <w:rFonts w:ascii="宋体" w:eastAsia="宋体" w:hAnsi="宋体" w:hint="eastAsia"/>
                <w:szCs w:val="21"/>
              </w:rPr>
              <w:t>2.乙方需提供详细售后服务方案，包括设备售后服务组织机构、人员组成、技术支持文档等。其中，售后服务组织机构设置合理，人员技术能力强，技术文档内容全面。</w:t>
            </w:r>
          </w:p>
          <w:p>
            <w:pPr>
              <w:adjustRightInd w:val="0"/>
              <w:snapToGrid w:val="0"/>
              <w:ind w:firstLine="420" w:firstLineChars="200"/>
              <w:jc w:val="left"/>
              <w:rPr>
                <w:rFonts w:ascii="宋体" w:eastAsia="宋体" w:hAnsi="宋体"/>
                <w:szCs w:val="21"/>
              </w:rPr>
            </w:pPr>
            <w:r>
              <w:rPr>
                <w:rFonts w:ascii="宋体" w:eastAsia="宋体" w:hAnsi="宋体" w:hint="eastAsia"/>
                <w:szCs w:val="21"/>
              </w:rPr>
              <w:t>3.乙方需提供详细培训方案，包括设备使用、日常维护、观测原理及产品应用等理论培训及现场培训，培训时间及地点双方协商确定。</w:t>
            </w:r>
          </w:p>
          <w:p>
            <w:pPr>
              <w:adjustRightInd w:val="0"/>
              <w:snapToGrid w:val="0"/>
              <w:ind w:firstLine="420" w:firstLineChars="200"/>
              <w:jc w:val="left"/>
              <w:rPr>
                <w:rFonts w:ascii="宋体" w:eastAsia="宋体" w:hAnsi="宋体"/>
                <w:szCs w:val="21"/>
              </w:rPr>
            </w:pPr>
            <w:r>
              <w:rPr>
                <w:rFonts w:ascii="宋体" w:eastAsia="宋体" w:hAnsi="宋体" w:hint="eastAsia"/>
                <w:szCs w:val="21"/>
              </w:rPr>
              <w:t>4.乙方提供自用户验收合格后8年的免费质保期，质保期内因设备设计、质量出现问题，均由乙方即时无偿解决（包括更换器件），如因自身故障致设备停用时间累计超过20天时，则质保期在状态恢复正常时重新计算。</w:t>
            </w:r>
          </w:p>
          <w:p>
            <w:pPr>
              <w:adjustRightInd w:val="0"/>
              <w:snapToGrid w:val="0"/>
              <w:ind w:firstLine="420" w:firstLineChars="200"/>
              <w:jc w:val="left"/>
              <w:rPr>
                <w:rFonts w:ascii="宋体" w:eastAsia="宋体" w:hAnsi="宋体"/>
                <w:szCs w:val="21"/>
              </w:rPr>
            </w:pPr>
            <w:r>
              <w:rPr>
                <w:rFonts w:ascii="宋体" w:eastAsia="宋体" w:hAnsi="宋体"/>
                <w:szCs w:val="21"/>
              </w:rPr>
              <w:t>5</w:t>
            </w:r>
            <w:r>
              <w:rPr>
                <w:rFonts w:ascii="宋体" w:eastAsia="宋体" w:hAnsi="宋体" w:hint="eastAsia"/>
                <w:szCs w:val="21"/>
              </w:rPr>
              <w:t>.质保期内，经乙方累计5次维修仍无法正常使用或达不到相关质量标准的，视作设备存在严重质量问题，应支付赔偿金并退还已付全部款项。</w:t>
            </w:r>
          </w:p>
          <w:p>
            <w:pPr>
              <w:adjustRightInd w:val="0"/>
              <w:snapToGrid w:val="0"/>
              <w:ind w:firstLine="420" w:firstLineChars="200"/>
              <w:jc w:val="left"/>
              <w:rPr>
                <w:rFonts w:ascii="宋体" w:eastAsia="宋体" w:hAnsi="宋体"/>
                <w:szCs w:val="21"/>
              </w:rPr>
            </w:pPr>
            <w:r>
              <w:rPr>
                <w:rFonts w:ascii="宋体" w:eastAsia="宋体" w:hAnsi="宋体"/>
                <w:szCs w:val="21"/>
              </w:rPr>
              <w:t>6.</w:t>
            </w:r>
            <w:r>
              <w:rPr>
                <w:rFonts w:ascii="宋体" w:eastAsia="宋体" w:hAnsi="宋体" w:hint="eastAsia"/>
                <w:szCs w:val="21"/>
              </w:rPr>
              <w:t>乙方应对投标产品提供每年1次定期巡检、定标，时间及地点根据设备安装地点双方协商确定。</w:t>
            </w:r>
          </w:p>
          <w:p>
            <w:pPr>
              <w:adjustRightInd w:val="0"/>
              <w:snapToGrid w:val="0"/>
              <w:ind w:firstLine="420" w:firstLineChars="200"/>
              <w:jc w:val="left"/>
              <w:rPr>
                <w:rFonts w:ascii="宋体" w:eastAsia="宋体" w:hAnsi="宋体"/>
                <w:szCs w:val="21"/>
              </w:rPr>
            </w:pPr>
            <w:r>
              <w:rPr>
                <w:rFonts w:ascii="宋体" w:eastAsia="宋体" w:hAnsi="宋体"/>
                <w:szCs w:val="21"/>
              </w:rPr>
              <w:t>7</w:t>
            </w:r>
            <w:r>
              <w:rPr>
                <w:rFonts w:ascii="宋体" w:eastAsia="宋体" w:hAnsi="宋体" w:hint="eastAsia"/>
                <w:szCs w:val="21"/>
              </w:rPr>
              <w:t>.保修服务方式为乙方上门保修，派遣技术人员到设备使用现场维修，由此产生的一切费用均由乙方承担。如果需要将部件托运或邮寄到异地维修，乙方承担由此产生的拆装、邮寄、维修等一切费用。</w:t>
            </w:r>
          </w:p>
          <w:p>
            <w:pPr>
              <w:adjustRightInd w:val="0"/>
              <w:snapToGrid w:val="0"/>
              <w:ind w:firstLine="420" w:firstLineChars="200"/>
              <w:jc w:val="left"/>
              <w:rPr>
                <w:rFonts w:ascii="宋体" w:eastAsia="宋体" w:hAnsi="宋体"/>
                <w:szCs w:val="21"/>
              </w:rPr>
            </w:pPr>
            <w:r>
              <w:rPr>
                <w:rFonts w:ascii="宋体" w:eastAsia="宋体" w:hAnsi="宋体"/>
                <w:szCs w:val="21"/>
              </w:rPr>
              <w:t>8</w:t>
            </w:r>
            <w:r>
              <w:rPr>
                <w:rFonts w:ascii="宋体" w:eastAsia="宋体" w:hAnsi="宋体" w:hint="eastAsia"/>
                <w:szCs w:val="21"/>
              </w:rPr>
              <w:t>.质保期过后，乙方仍有义务提供技术服务（包括提供设备维护、备件等）。</w:t>
            </w:r>
          </w:p>
          <w:p>
            <w:pPr>
              <w:adjustRightInd w:val="0"/>
              <w:snapToGrid w:val="0"/>
              <w:ind w:firstLine="420" w:firstLineChars="200"/>
              <w:jc w:val="left"/>
              <w:rPr>
                <w:rFonts w:ascii="宋体" w:eastAsia="宋体" w:hAnsi="宋体"/>
                <w:szCs w:val="21"/>
              </w:rPr>
            </w:pPr>
            <w:r>
              <w:rPr>
                <w:rFonts w:ascii="宋体" w:eastAsia="宋体" w:hAnsi="宋体"/>
                <w:szCs w:val="21"/>
              </w:rPr>
              <w:t>9</w:t>
            </w:r>
            <w:r>
              <w:rPr>
                <w:rFonts w:ascii="宋体" w:eastAsia="宋体" w:hAnsi="宋体" w:hint="eastAsia"/>
                <w:szCs w:val="21"/>
              </w:rPr>
              <w:t>.采购人有重大活动或应急保障时，可要求中标人提供现场保障服务。</w:t>
            </w: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snapToGrid w:val="0"/>
              <w:jc w:val="center"/>
              <w:rPr>
                <w:rFonts w:ascii="宋体" w:eastAsia="宋体" w:hAnsi="宋体"/>
                <w:szCs w:val="21"/>
              </w:rPr>
            </w:pPr>
            <w:r>
              <w:rPr>
                <w:rFonts w:ascii="宋体" w:eastAsia="宋体" w:hAnsi="宋体" w:hint="eastAsia"/>
                <w:szCs w:val="21"/>
              </w:rPr>
              <w:t>第6.1款</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履行合同义务的顺序</w:t>
            </w:r>
          </w:p>
        </w:tc>
        <w:tc>
          <w:tcPr>
            <w:tcW w:w="5170" w:type="dxa"/>
            <w:vAlign w:val="center"/>
          </w:tcPr>
          <w:p>
            <w:pPr>
              <w:adjustRightInd w:val="0"/>
              <w:snapToGrid w:val="0"/>
              <w:ind w:firstLine="420" w:firstLineChars="200"/>
              <w:jc w:val="left"/>
              <w:rPr>
                <w:rFonts w:ascii="宋体" w:eastAsia="宋体" w:hAnsi="宋体"/>
                <w:szCs w:val="21"/>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第7.1款</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包装特殊要求</w:t>
            </w:r>
          </w:p>
        </w:tc>
        <w:tc>
          <w:tcPr>
            <w:tcW w:w="5170" w:type="dxa"/>
            <w:vAlign w:val="center"/>
          </w:tcPr>
          <w:p>
            <w:pPr>
              <w:ind w:firstLine="420" w:firstLineChars="200"/>
              <w:rPr>
                <w:rFonts w:ascii="宋体" w:eastAsia="宋体" w:hAnsi="宋体"/>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pPr>
              <w:adjustRightInd w:val="0"/>
              <w:snapToGrid w:val="0"/>
              <w:jc w:val="center"/>
              <w:rPr>
                <w:rFonts w:ascii="宋体" w:eastAsia="宋体" w:hAnsi="宋体"/>
                <w:szCs w:val="21"/>
              </w:rPr>
            </w:pP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指定现场</w:t>
            </w:r>
          </w:p>
        </w:tc>
        <w:tc>
          <w:tcPr>
            <w:tcW w:w="5170" w:type="dxa"/>
            <w:vAlign w:val="center"/>
          </w:tcPr>
          <w:p>
            <w:pPr>
              <w:ind w:firstLine="420" w:firstLineChars="200"/>
              <w:rPr>
                <w:rFonts w:ascii="宋体" w:eastAsia="宋体" w:hAnsi="宋体"/>
              </w:rPr>
            </w:pPr>
          </w:p>
        </w:tc>
      </w:tr>
      <w:tr>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第7.2款</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运输特殊要求</w:t>
            </w:r>
          </w:p>
        </w:tc>
        <w:tc>
          <w:tcPr>
            <w:tcW w:w="5170" w:type="dxa"/>
            <w:vAlign w:val="center"/>
          </w:tcPr>
          <w:p>
            <w:pPr>
              <w:ind w:firstLine="420" w:firstLineChars="200"/>
              <w:rPr>
                <w:rFonts w:ascii="宋体" w:eastAsia="宋体" w:hAnsi="宋体"/>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第7.3款</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保险要求</w:t>
            </w:r>
          </w:p>
        </w:tc>
        <w:tc>
          <w:tcPr>
            <w:tcW w:w="5170" w:type="dxa"/>
            <w:vAlign w:val="center"/>
          </w:tcPr>
          <w:p>
            <w:pPr>
              <w:ind w:firstLine="420" w:firstLineChars="200"/>
              <w:rPr>
                <w:rFonts w:ascii="宋体" w:eastAsia="宋体" w:hAnsi="宋体"/>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第8.2（1）项</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eastAsia="宋体" w:hAnsi="宋体"/>
                <w:szCs w:val="21"/>
              </w:rPr>
            </w:pPr>
            <w:r>
              <w:rPr>
                <w:rFonts w:ascii="宋体" w:eastAsia="宋体" w:hAnsi="宋体" w:hint="eastAsia"/>
                <w:szCs w:val="21"/>
              </w:rPr>
              <w:t>验收合格后8年</w:t>
            </w: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第8.2（3）项</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货物质量缺陷</w:t>
            </w:r>
          </w:p>
          <w:p>
            <w:pPr>
              <w:adjustRightInd w:val="0"/>
              <w:snapToGrid w:val="0"/>
              <w:jc w:val="left"/>
              <w:rPr>
                <w:rFonts w:ascii="宋体" w:eastAsia="宋体" w:hAnsi="宋体"/>
                <w:szCs w:val="21"/>
              </w:rPr>
            </w:pPr>
            <w:r>
              <w:rPr>
                <w:rFonts w:ascii="宋体" w:eastAsia="宋体" w:hAnsi="宋体" w:hint="eastAsia"/>
                <w:szCs w:val="21"/>
              </w:rPr>
              <w:t>响应时间</w:t>
            </w:r>
          </w:p>
        </w:tc>
        <w:tc>
          <w:tcPr>
            <w:tcW w:w="5170" w:type="dxa"/>
            <w:vAlign w:val="center"/>
          </w:tcPr>
          <w:p>
            <w:pPr>
              <w:adjustRightInd w:val="0"/>
              <w:snapToGrid w:val="0"/>
              <w:ind w:firstLine="420" w:firstLineChars="200"/>
              <w:jc w:val="left"/>
              <w:rPr>
                <w:rFonts w:ascii="宋体" w:eastAsia="宋体" w:hAnsi="宋体"/>
                <w:szCs w:val="21"/>
              </w:rPr>
            </w:pPr>
            <w:r>
              <w:rPr>
                <w:rFonts w:ascii="宋体" w:eastAsia="宋体" w:hAnsi="宋体"/>
                <w:kern w:val="0"/>
                <w:szCs w:val="21"/>
              </w:rPr>
              <w:t>在质保期内，乙方服务时间应为7×24小时，在接报后1小时内响应，给予远程技术支持；需现场处理的，观测期12小时内到达现场，48小时完成故障修复；非观测期24小时内到达现场，72小时完成故障修复，确保设备正常投入业务运行。如在检修时间后仍无法排除故障，则乙方应在24小时内提供不低于故障设备规格、型号、性能的备用设备供甲方使用，直至故障设备修复或更换。</w:t>
            </w: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snapToGrid w:val="0"/>
              <w:jc w:val="center"/>
              <w:rPr>
                <w:rFonts w:ascii="宋体" w:eastAsia="宋体" w:hAnsi="宋体" w:cs="宋体"/>
                <w:szCs w:val="21"/>
              </w:rPr>
            </w:pPr>
            <w:r>
              <w:rPr>
                <w:rFonts w:ascii="宋体" w:eastAsia="宋体" w:hAnsi="宋体" w:cs="宋体" w:hint="eastAsia"/>
                <w:szCs w:val="21"/>
              </w:rPr>
              <w:t>第二节</w:t>
            </w:r>
          </w:p>
          <w:p>
            <w:pPr>
              <w:pStyle w:val="AONormal"/>
              <w:ind w:firstLine="0" w:firstLineChars="0"/>
              <w:jc w:val="center"/>
              <w:rPr>
                <w:rFonts w:ascii="宋体" w:eastAsia="宋体" w:hAnsi="宋体"/>
              </w:rPr>
            </w:pPr>
            <w:r>
              <w:rPr>
                <w:rFonts w:ascii="宋体" w:eastAsia="宋体" w:hAnsi="宋体" w:cs="宋体" w:hint="eastAsia"/>
              </w:rPr>
              <w:t>第11.1款</w:t>
            </w:r>
          </w:p>
        </w:tc>
        <w:tc>
          <w:tcPr>
            <w:tcW w:w="1742" w:type="dxa"/>
            <w:vAlign w:val="center"/>
          </w:tcPr>
          <w:p>
            <w:pPr>
              <w:adjustRightInd w:val="0"/>
              <w:snapToGrid w:val="0"/>
              <w:rPr>
                <w:rFonts w:ascii="宋体" w:eastAsia="宋体" w:hAnsi="宋体"/>
                <w:szCs w:val="21"/>
              </w:rPr>
            </w:pPr>
            <w:r>
              <w:rPr>
                <w:rFonts w:ascii="宋体" w:eastAsia="宋体" w:hAnsi="宋体" w:hint="eastAsia"/>
                <w:szCs w:val="21"/>
              </w:rPr>
              <w:t>其他应当保密的信息</w:t>
            </w:r>
          </w:p>
        </w:tc>
        <w:tc>
          <w:tcPr>
            <w:tcW w:w="5170" w:type="dxa"/>
            <w:vAlign w:val="center"/>
          </w:tcPr>
          <w:p>
            <w:pPr>
              <w:adjustRightInd w:val="0"/>
              <w:snapToGrid w:val="0"/>
              <w:ind w:firstLine="420" w:firstLineChars="200"/>
              <w:jc w:val="left"/>
              <w:rPr>
                <w:rFonts w:ascii="宋体" w:eastAsia="宋体" w:hAnsi="宋体"/>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第12.2款</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合同价款支付时间</w:t>
            </w:r>
          </w:p>
        </w:tc>
        <w:tc>
          <w:tcPr>
            <w:tcW w:w="5170" w:type="dxa"/>
            <w:vAlign w:val="center"/>
          </w:tcPr>
          <w:p>
            <w:pPr>
              <w:adjustRightInd w:val="0"/>
              <w:snapToGrid w:val="0"/>
              <w:ind w:firstLine="420" w:firstLineChars="200"/>
              <w:jc w:val="left"/>
              <w:rPr>
                <w:rFonts w:ascii="宋体" w:eastAsia="宋体" w:hAnsi="宋体"/>
                <w:szCs w:val="21"/>
              </w:rPr>
            </w:pPr>
            <w:r>
              <w:rPr>
                <w:rFonts w:ascii="宋体" w:eastAsia="宋体" w:hAnsi="宋体" w:hint="eastAsia"/>
                <w:szCs w:val="21"/>
              </w:rPr>
              <w:t>合同签订生效后，收到履约保证金后10个工作日内，丙方向乙方支付合同总价款的30%作为本项目预付款。</w:t>
            </w:r>
          </w:p>
          <w:p>
            <w:pPr>
              <w:adjustRightInd w:val="0"/>
              <w:snapToGrid w:val="0"/>
              <w:ind w:firstLine="420" w:firstLineChars="200"/>
              <w:jc w:val="left"/>
              <w:rPr>
                <w:rFonts w:ascii="宋体" w:eastAsia="宋体" w:hAnsi="宋体"/>
                <w:szCs w:val="21"/>
              </w:rPr>
            </w:pPr>
            <w:r>
              <w:rPr>
                <w:rFonts w:ascii="宋体" w:eastAsia="宋体" w:hAnsi="宋体" w:hint="eastAsia"/>
                <w:szCs w:val="21"/>
              </w:rPr>
              <w:t>现场验收合格后，丙方向乙方支付合同金额的50%。</w:t>
            </w:r>
          </w:p>
          <w:p>
            <w:pPr>
              <w:adjustRightInd w:val="0"/>
              <w:snapToGrid w:val="0"/>
              <w:ind w:firstLine="420" w:firstLineChars="200"/>
              <w:jc w:val="left"/>
              <w:rPr>
                <w:rFonts w:ascii="宋体" w:eastAsia="宋体" w:hAnsi="宋体"/>
                <w:szCs w:val="21"/>
              </w:rPr>
            </w:pPr>
            <w:r>
              <w:rPr>
                <w:rFonts w:ascii="宋体" w:eastAsia="宋体" w:hAnsi="宋体" w:hint="eastAsia"/>
                <w:szCs w:val="21"/>
              </w:rPr>
              <w:t>合同验收合格后，丙方向乙方支付合同金额的20%。</w:t>
            </w: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第13.2款</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履约保证金不予退还的情形</w:t>
            </w:r>
          </w:p>
        </w:tc>
        <w:tc>
          <w:tcPr>
            <w:tcW w:w="5170" w:type="dxa"/>
            <w:vAlign w:val="center"/>
          </w:tcPr>
          <w:p>
            <w:pPr>
              <w:adjustRightInd w:val="0"/>
              <w:snapToGrid w:val="0"/>
              <w:ind w:firstLine="420" w:firstLineChars="200"/>
              <w:jc w:val="left"/>
              <w:rPr>
                <w:rFonts w:ascii="宋体" w:eastAsia="宋体" w:hAnsi="宋体"/>
                <w:szCs w:val="21"/>
              </w:rPr>
            </w:pPr>
            <w:r>
              <w:rPr>
                <w:rFonts w:ascii="宋体" w:eastAsia="宋体" w:hAnsi="宋体" w:hint="eastAsia"/>
                <w:szCs w:val="21"/>
              </w:rPr>
              <w:t>乙方履约不合格的，履约保证金不予退还。</w:t>
            </w: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第13.3款</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履约保证金退还时间及逾期退还的违约金</w:t>
            </w:r>
          </w:p>
        </w:tc>
        <w:tc>
          <w:tcPr>
            <w:tcW w:w="5170" w:type="dxa"/>
            <w:vAlign w:val="center"/>
          </w:tcPr>
          <w:p>
            <w:pPr>
              <w:adjustRightInd w:val="0"/>
              <w:snapToGrid w:val="0"/>
              <w:ind w:firstLine="420" w:firstLineChars="200"/>
              <w:jc w:val="left"/>
              <w:rPr>
                <w:rFonts w:ascii="宋体" w:eastAsia="宋体" w:hAnsi="宋体"/>
                <w:szCs w:val="21"/>
              </w:rPr>
            </w:pPr>
            <w:r>
              <w:rPr>
                <w:rFonts w:ascii="宋体" w:eastAsia="宋体" w:hAnsi="宋体" w:hint="eastAsia"/>
                <w:szCs w:val="21"/>
              </w:rPr>
              <w:t>合同验收合格后</w:t>
            </w:r>
            <w:r>
              <w:rPr>
                <w:rFonts w:ascii="宋体" w:eastAsia="宋体" w:hAnsi="宋体"/>
                <w:szCs w:val="21"/>
              </w:rPr>
              <w:t>7</w:t>
            </w:r>
            <w:r>
              <w:rPr>
                <w:rFonts w:ascii="宋体" w:eastAsia="宋体" w:hAnsi="宋体" w:hint="eastAsia"/>
                <w:szCs w:val="21"/>
              </w:rPr>
              <w:t>个工作日内，退还合同总金额5%的履约保证金；</w:t>
            </w:r>
          </w:p>
          <w:p>
            <w:pPr>
              <w:adjustRightInd w:val="0"/>
              <w:snapToGrid w:val="0"/>
              <w:ind w:firstLine="420" w:firstLineChars="200"/>
              <w:jc w:val="left"/>
              <w:rPr>
                <w:rFonts w:ascii="宋体" w:eastAsia="宋体" w:hAnsi="宋体"/>
                <w:szCs w:val="21"/>
              </w:rPr>
            </w:pPr>
            <w:r>
              <w:rPr>
                <w:rFonts w:ascii="宋体" w:eastAsia="宋体" w:hAnsi="宋体" w:hint="eastAsia"/>
                <w:szCs w:val="21"/>
              </w:rPr>
              <w:t>合同验收之日起，4个自然年后的7个工作日内，</w:t>
            </w:r>
            <w:r>
              <w:rPr>
                <w:rFonts w:ascii="宋体" w:eastAsia="宋体" w:hAnsi="宋体"/>
                <w:szCs w:val="21"/>
              </w:rPr>
              <w:t>退还合同总金额</w:t>
            </w:r>
            <w:r>
              <w:rPr>
                <w:rFonts w:ascii="宋体" w:eastAsia="宋体" w:hAnsi="宋体" w:hint="eastAsia"/>
                <w:szCs w:val="21"/>
              </w:rPr>
              <w:t>3</w:t>
            </w:r>
            <w:r>
              <w:rPr>
                <w:rFonts w:ascii="宋体" w:eastAsia="宋体" w:hAnsi="宋体"/>
                <w:szCs w:val="21"/>
              </w:rPr>
              <w:t>%的履约保证金；</w:t>
            </w:r>
          </w:p>
          <w:p>
            <w:pPr>
              <w:adjustRightInd w:val="0"/>
              <w:snapToGrid w:val="0"/>
              <w:ind w:firstLine="420" w:firstLineChars="200"/>
              <w:jc w:val="left"/>
              <w:rPr>
                <w:rFonts w:ascii="宋体" w:eastAsia="宋体" w:hAnsi="宋体"/>
                <w:szCs w:val="21"/>
              </w:rPr>
            </w:pPr>
            <w:r>
              <w:rPr>
                <w:rFonts w:ascii="宋体" w:eastAsia="宋体" w:hAnsi="宋体" w:hint="eastAsia"/>
                <w:szCs w:val="21"/>
              </w:rPr>
              <w:t>质量保证期结束后的7个工作日内，</w:t>
            </w:r>
            <w:r>
              <w:rPr>
                <w:rFonts w:ascii="宋体" w:eastAsia="宋体" w:hAnsi="宋体"/>
                <w:szCs w:val="21"/>
              </w:rPr>
              <w:t>退还合同总金额2%的履约保证金。</w:t>
            </w: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第14.1（3）项</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运行监督、维修期限</w:t>
            </w:r>
          </w:p>
        </w:tc>
        <w:tc>
          <w:tcPr>
            <w:tcW w:w="5170" w:type="dxa"/>
            <w:vAlign w:val="center"/>
          </w:tcPr>
          <w:p>
            <w:pPr>
              <w:adjustRightInd w:val="0"/>
              <w:snapToGrid w:val="0"/>
              <w:ind w:firstLine="420" w:firstLineChars="200"/>
              <w:jc w:val="left"/>
              <w:rPr>
                <w:rFonts w:ascii="宋体" w:eastAsia="宋体" w:hAnsi="宋体"/>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第14.1（5）项</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货物回收的约定</w:t>
            </w:r>
          </w:p>
        </w:tc>
        <w:tc>
          <w:tcPr>
            <w:tcW w:w="5170" w:type="dxa"/>
            <w:vAlign w:val="center"/>
          </w:tcPr>
          <w:p>
            <w:pPr>
              <w:adjustRightInd w:val="0"/>
              <w:snapToGrid w:val="0"/>
              <w:ind w:firstLine="420" w:firstLineChars="200"/>
              <w:jc w:val="left"/>
              <w:rPr>
                <w:rFonts w:ascii="宋体" w:eastAsia="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第14.1（6）项</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乙方提供的其他服务</w:t>
            </w:r>
          </w:p>
        </w:tc>
        <w:tc>
          <w:tcPr>
            <w:tcW w:w="5170" w:type="dxa"/>
            <w:vAlign w:val="center"/>
          </w:tcPr>
          <w:p>
            <w:pPr>
              <w:adjustRightInd w:val="0"/>
              <w:snapToGrid w:val="0"/>
              <w:ind w:firstLine="420" w:firstLineChars="200"/>
              <w:jc w:val="left"/>
              <w:rPr>
                <w:rFonts w:ascii="宋体" w:eastAsia="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第15.1款</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修理、重作、更换相关具体规定</w:t>
            </w:r>
          </w:p>
        </w:tc>
        <w:tc>
          <w:tcPr>
            <w:tcW w:w="5170" w:type="dxa"/>
            <w:vAlign w:val="center"/>
          </w:tcPr>
          <w:p>
            <w:pPr>
              <w:adjustRightInd w:val="0"/>
              <w:snapToGrid w:val="0"/>
              <w:ind w:firstLine="420" w:firstLineChars="200"/>
              <w:jc w:val="left"/>
              <w:rPr>
                <w:rFonts w:ascii="宋体" w:eastAsia="宋体" w:hAnsi="宋体"/>
                <w:szCs w:val="21"/>
              </w:rPr>
            </w:pPr>
            <w:r>
              <w:rPr>
                <w:rFonts w:ascii="宋体" w:eastAsia="宋体" w:hAnsi="宋体"/>
                <w:szCs w:val="21"/>
              </w:rPr>
              <w:t>在甲方规定的时间内，用符合合同规定的规格、质量和性能要求的新零件、部件或货物来更换有缺陷的零件、部件和货物，或修补缺陷部分以达到合同规定的要求，乙方应承担由此发生的相关费用并承担由此给甲方造成的直接损失及甲方因此产生的对第三方的责任。此时，相关货物的质量保修期也应相应延长。</w:t>
            </w: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第15.2（2）项</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迟延交货赔偿费</w:t>
            </w:r>
          </w:p>
        </w:tc>
        <w:tc>
          <w:tcPr>
            <w:tcW w:w="5170" w:type="dxa"/>
            <w:vAlign w:val="center"/>
          </w:tcPr>
          <w:p>
            <w:pPr>
              <w:adjustRightInd w:val="0"/>
              <w:snapToGrid w:val="0"/>
              <w:ind w:firstLine="420" w:firstLineChars="200"/>
              <w:jc w:val="left"/>
              <w:rPr>
                <w:rFonts w:ascii="宋体" w:eastAsia="宋体" w:hAnsi="宋体"/>
                <w:szCs w:val="21"/>
                <w:u w:val="single"/>
              </w:rPr>
            </w:pPr>
            <w:r>
              <w:rPr>
                <w:rFonts w:ascii="宋体" w:eastAsia="宋体" w:hAnsi="宋体"/>
                <w:szCs w:val="21"/>
              </w:rPr>
              <w:t>乙方延期交货，每逾期</w:t>
            </w:r>
            <w:r>
              <w:rPr>
                <w:rFonts w:ascii="宋体" w:eastAsia="宋体" w:hAnsi="宋体" w:hint="eastAsia"/>
                <w:szCs w:val="21"/>
              </w:rPr>
              <w:t>1</w:t>
            </w:r>
            <w:r>
              <w:rPr>
                <w:rFonts w:ascii="宋体" w:eastAsia="宋体" w:hAnsi="宋体"/>
                <w:szCs w:val="21"/>
              </w:rPr>
              <w:t>天，</w:t>
            </w:r>
            <w:r>
              <w:rPr>
                <w:rFonts w:ascii="宋体" w:eastAsia="宋体" w:hAnsi="宋体" w:hint="eastAsia"/>
                <w:szCs w:val="21"/>
              </w:rPr>
              <w:t>乙</w:t>
            </w:r>
            <w:r>
              <w:rPr>
                <w:rFonts w:ascii="宋体" w:eastAsia="宋体" w:hAnsi="宋体"/>
                <w:szCs w:val="21"/>
              </w:rPr>
              <w:t>方应按延期交货所折合的金额的0.5%的比例向丙方支付违约金，但该违约金累计不得超过合同对应金额的5%；上述逾期超过30天，</w:t>
            </w:r>
            <w:r>
              <w:rPr>
                <w:rFonts w:ascii="宋体" w:eastAsia="宋体" w:hAnsi="宋体" w:hint="eastAsia"/>
                <w:szCs w:val="21"/>
              </w:rPr>
              <w:t>丙</w:t>
            </w:r>
            <w:r>
              <w:rPr>
                <w:rFonts w:ascii="宋体" w:eastAsia="宋体" w:hAnsi="宋体"/>
                <w:szCs w:val="21"/>
              </w:rPr>
              <w:t>方有权解除合同，并要求</w:t>
            </w:r>
            <w:r>
              <w:rPr>
                <w:rFonts w:ascii="宋体" w:eastAsia="宋体" w:hAnsi="宋体" w:hint="eastAsia"/>
                <w:szCs w:val="21"/>
              </w:rPr>
              <w:t>乙</w:t>
            </w:r>
            <w:r>
              <w:rPr>
                <w:rFonts w:ascii="宋体" w:eastAsia="宋体" w:hAnsi="宋体"/>
                <w:szCs w:val="21"/>
              </w:rPr>
              <w:t>方赔偿由此造成的损失。</w:t>
            </w: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第15.3款</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szCs w:val="21"/>
              </w:rPr>
              <w:t>逾期付款利息</w:t>
            </w:r>
          </w:p>
        </w:tc>
        <w:tc>
          <w:tcPr>
            <w:tcW w:w="5170" w:type="dxa"/>
            <w:vAlign w:val="center"/>
          </w:tcPr>
          <w:p>
            <w:pPr>
              <w:adjustRightInd w:val="0"/>
              <w:snapToGrid w:val="0"/>
              <w:ind w:firstLine="420" w:firstLineChars="200"/>
              <w:jc w:val="left"/>
              <w:rPr>
                <w:rFonts w:ascii="宋体" w:eastAsia="宋体" w:hAnsi="宋体"/>
                <w:szCs w:val="21"/>
                <w:u w:val="single"/>
              </w:rPr>
            </w:pPr>
            <w:r>
              <w:rPr>
                <w:rFonts w:ascii="宋体" w:eastAsia="宋体" w:hAnsi="宋体"/>
                <w:szCs w:val="21"/>
              </w:rPr>
              <w:t>丙方延期付款，每逾期</w:t>
            </w:r>
            <w:r>
              <w:rPr>
                <w:rFonts w:ascii="宋体" w:eastAsia="宋体" w:hAnsi="宋体" w:hint="eastAsia"/>
                <w:szCs w:val="21"/>
              </w:rPr>
              <w:t>1</w:t>
            </w:r>
            <w:r>
              <w:rPr>
                <w:rFonts w:ascii="宋体" w:eastAsia="宋体" w:hAnsi="宋体"/>
                <w:szCs w:val="21"/>
              </w:rPr>
              <w:t>天，</w:t>
            </w:r>
            <w:r>
              <w:rPr>
                <w:rFonts w:ascii="宋体" w:eastAsia="宋体" w:hAnsi="宋体" w:hint="eastAsia"/>
                <w:szCs w:val="21"/>
              </w:rPr>
              <w:t>丙</w:t>
            </w:r>
            <w:r>
              <w:rPr>
                <w:rFonts w:ascii="宋体" w:eastAsia="宋体" w:hAnsi="宋体"/>
                <w:szCs w:val="21"/>
              </w:rPr>
              <w:t>方应按延期付款金额的0.5%的比例向</w:t>
            </w:r>
            <w:r>
              <w:rPr>
                <w:rFonts w:ascii="宋体" w:eastAsia="宋体" w:hAnsi="宋体" w:hint="eastAsia"/>
                <w:szCs w:val="21"/>
              </w:rPr>
              <w:t>乙方</w:t>
            </w:r>
            <w:r>
              <w:rPr>
                <w:rFonts w:ascii="宋体" w:eastAsia="宋体" w:hAnsi="宋体"/>
                <w:szCs w:val="21"/>
              </w:rPr>
              <w:t>支付违约金，但该违约金累计不得超过合同对应金额的5%；上述逾期超过30天，乙方有权解除合同，并要求</w:t>
            </w:r>
            <w:r>
              <w:rPr>
                <w:rFonts w:ascii="宋体" w:eastAsia="宋体" w:hAnsi="宋体" w:hint="eastAsia"/>
                <w:szCs w:val="21"/>
              </w:rPr>
              <w:t>丙</w:t>
            </w:r>
            <w:r>
              <w:rPr>
                <w:rFonts w:ascii="宋体" w:eastAsia="宋体" w:hAnsi="宋体"/>
                <w:szCs w:val="21"/>
              </w:rPr>
              <w:t>方赔偿由此造成的损失。</w:t>
            </w: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eastAsia="宋体" w:hAnsi="宋体"/>
                <w:szCs w:val="21"/>
              </w:rPr>
            </w:pPr>
            <w:r>
              <w:rPr>
                <w:rFonts w:ascii="宋体" w:eastAsia="宋体" w:hAnsi="宋体" w:hint="eastAsia"/>
                <w:szCs w:val="21"/>
              </w:rPr>
              <w:t>其他违约责任</w:t>
            </w:r>
          </w:p>
        </w:tc>
        <w:tc>
          <w:tcPr>
            <w:tcW w:w="5170" w:type="dxa"/>
            <w:tcBorders>
              <w:left w:val="single" w:sz="2" w:space="0" w:color="auto"/>
              <w:bottom w:val="single" w:sz="2" w:space="0" w:color="auto"/>
            </w:tcBorders>
            <w:vAlign w:val="center"/>
          </w:tcPr>
          <w:p>
            <w:pPr>
              <w:adjustRightInd w:val="0"/>
              <w:snapToGrid w:val="0"/>
              <w:ind w:firstLine="420" w:firstLineChars="200"/>
              <w:jc w:val="left"/>
              <w:rPr>
                <w:rFonts w:ascii="宋体" w:eastAsia="宋体" w:hAnsi="宋体"/>
                <w:szCs w:val="21"/>
              </w:rPr>
            </w:pPr>
            <w:r>
              <w:rPr>
                <w:rFonts w:ascii="宋体" w:eastAsia="宋体" w:hAnsi="宋体"/>
                <w:szCs w:val="21"/>
              </w:rPr>
              <w:t>1</w:t>
            </w:r>
            <w:r>
              <w:rPr>
                <w:rFonts w:ascii="宋体" w:eastAsia="宋体" w:hAnsi="宋体" w:hint="eastAsia"/>
                <w:szCs w:val="21"/>
              </w:rPr>
              <w:t>.</w:t>
            </w:r>
            <w:r>
              <w:rPr>
                <w:rFonts w:ascii="宋体" w:eastAsia="宋体" w:hAnsi="宋体"/>
                <w:szCs w:val="21"/>
              </w:rPr>
              <w:t>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ind w:firstLine="420" w:firstLineChars="200"/>
              <w:jc w:val="left"/>
              <w:rPr>
                <w:rFonts w:ascii="宋体" w:eastAsia="宋体" w:hAnsi="宋体"/>
                <w:szCs w:val="21"/>
              </w:rPr>
            </w:pPr>
            <w:r>
              <w:rPr>
                <w:rFonts w:ascii="宋体" w:eastAsia="宋体" w:hAnsi="宋体"/>
                <w:szCs w:val="21"/>
              </w:rPr>
              <w:t>2</w:t>
            </w:r>
            <w:r>
              <w:rPr>
                <w:rFonts w:ascii="宋体" w:eastAsia="宋体" w:hAnsi="宋体" w:hint="eastAsia"/>
                <w:szCs w:val="21"/>
              </w:rPr>
              <w:t>.</w:t>
            </w:r>
            <w:r>
              <w:rPr>
                <w:rFonts w:ascii="宋体" w:eastAsia="宋体" w:hAnsi="宋体"/>
                <w:szCs w:val="21"/>
              </w:rPr>
              <w:t>若乙方未如期按照合同约定的任何或全部款项内容之要求交付合同货物或提供服务、补足或更换货物且符合要求，或乙方未能履行合同规定的任何其它义务时，甲方有权直接向乙方发出违约通知书，乙方应按照甲方选择的下列一种或多种方式承担赔偿责任及违约责任：</w:t>
            </w:r>
          </w:p>
          <w:p>
            <w:pPr>
              <w:adjustRightInd w:val="0"/>
              <w:snapToGrid w:val="0"/>
              <w:ind w:firstLine="420" w:firstLineChars="200"/>
              <w:jc w:val="left"/>
              <w:rPr>
                <w:rFonts w:ascii="宋体" w:eastAsia="宋体" w:hAnsi="宋体"/>
                <w:szCs w:val="21"/>
              </w:rPr>
            </w:pPr>
            <w:r>
              <w:rPr>
                <w:rFonts w:ascii="宋体" w:eastAsia="宋体" w:hAnsi="宋体"/>
                <w:szCs w:val="21"/>
              </w:rPr>
              <w:t>2.1在甲方同意延长的期限内交付全部货物、提供服务并承担由此给甲方造成的直接损失及甲方因此产生的对第三方的责任。</w:t>
            </w:r>
          </w:p>
          <w:p>
            <w:pPr>
              <w:adjustRightInd w:val="0"/>
              <w:snapToGrid w:val="0"/>
              <w:ind w:firstLine="420" w:firstLineChars="200"/>
              <w:jc w:val="left"/>
              <w:rPr>
                <w:rFonts w:ascii="宋体" w:eastAsia="宋体" w:hAnsi="宋体"/>
                <w:szCs w:val="21"/>
              </w:rPr>
            </w:pPr>
            <w:r>
              <w:rPr>
                <w:rFonts w:ascii="宋体" w:eastAsia="宋体" w:hAnsi="宋体"/>
                <w:szCs w:val="21"/>
              </w:rPr>
              <w:t>2.2在甲方规定的时间内，用符合合同规定的规格、质量和性能要求的新零件、部件或货物来更换有缺陷的零件、部件和货物，或修补缺陷部分以达到合同规定的要求，乙方应承担由此发生的相关费用并承担由此给甲方造成的直接损失及甲方因此产生的对第三方的责任。此时，相关货物的质量保修期也应相应延长。</w:t>
            </w:r>
          </w:p>
          <w:p>
            <w:pPr>
              <w:adjustRightInd w:val="0"/>
              <w:snapToGrid w:val="0"/>
              <w:ind w:firstLine="420" w:firstLineChars="200"/>
              <w:jc w:val="left"/>
              <w:rPr>
                <w:rFonts w:ascii="宋体" w:eastAsia="宋体" w:hAnsi="宋体"/>
                <w:szCs w:val="21"/>
              </w:rPr>
            </w:pPr>
            <w:r>
              <w:rPr>
                <w:rFonts w:ascii="宋体" w:eastAsia="宋体" w:hAnsi="宋体"/>
                <w:szCs w:val="21"/>
              </w:rPr>
              <w:t>2.3根据货物低劣程度、损坏程度以及使甲方所遭受的损失及甲方因此产生的对第三方的责任，经双方商定降低货物的价格或赔偿甲方所遭受的损失及甲方因此产生的对第三方的责任。</w:t>
            </w:r>
          </w:p>
          <w:p>
            <w:pPr>
              <w:adjustRightInd w:val="0"/>
              <w:snapToGrid w:val="0"/>
              <w:ind w:firstLine="420" w:firstLineChars="200"/>
              <w:jc w:val="left"/>
              <w:rPr>
                <w:rFonts w:ascii="宋体" w:eastAsia="宋体" w:hAnsi="宋体"/>
                <w:szCs w:val="21"/>
              </w:rPr>
            </w:pPr>
            <w:r>
              <w:rPr>
                <w:rFonts w:ascii="宋体" w:eastAsia="宋体" w:hAnsi="宋体"/>
                <w:szCs w:val="21"/>
              </w:rPr>
              <w:t>2.4按合同规定的同种货币将甲方所退货物已支付的货款全部退还给甲方，并承担由此发生的直接损失和相关费用及甲方因此产生的对第三方的责任。</w:t>
            </w:r>
          </w:p>
          <w:p>
            <w:pPr>
              <w:adjustRightInd w:val="0"/>
              <w:snapToGrid w:val="0"/>
              <w:ind w:firstLine="420" w:firstLineChars="200"/>
              <w:jc w:val="left"/>
              <w:rPr>
                <w:rFonts w:ascii="宋体" w:eastAsia="宋体" w:hAnsi="宋体"/>
                <w:szCs w:val="21"/>
              </w:rPr>
            </w:pPr>
            <w:r>
              <w:rPr>
                <w:rFonts w:ascii="宋体" w:eastAsia="宋体" w:hAnsi="宋体"/>
                <w:szCs w:val="21"/>
              </w:rPr>
              <w:t>2.5甲方有权部分或全部解除合同并要求乙方赔偿由此造成的损失及甲方因此产生的对第三方的责任。此时甲方可采取必要的补救措施，相关费用由乙方承担。</w:t>
            </w:r>
          </w:p>
          <w:p>
            <w:pPr>
              <w:adjustRightInd w:val="0"/>
              <w:snapToGrid w:val="0"/>
              <w:ind w:firstLine="420" w:firstLineChars="200"/>
              <w:jc w:val="left"/>
              <w:rPr>
                <w:rFonts w:ascii="宋体" w:eastAsia="宋体" w:hAnsi="宋体"/>
                <w:szCs w:val="21"/>
              </w:rPr>
            </w:pPr>
            <w:r>
              <w:rPr>
                <w:rFonts w:ascii="宋体" w:eastAsia="宋体" w:hAnsi="宋体"/>
                <w:szCs w:val="21"/>
              </w:rPr>
              <w:t>2.6此外，上述情形下甲方为采取必要的补救措施或因防止损失扩大而支出的合理费用应由乙方承担。</w:t>
            </w:r>
          </w:p>
          <w:p>
            <w:pPr>
              <w:adjustRightInd w:val="0"/>
              <w:snapToGrid w:val="0"/>
              <w:ind w:firstLine="420" w:firstLineChars="200"/>
              <w:jc w:val="left"/>
              <w:rPr>
                <w:rFonts w:ascii="宋体" w:eastAsia="宋体" w:hAnsi="宋体"/>
                <w:szCs w:val="21"/>
              </w:rPr>
            </w:pPr>
            <w:r>
              <w:rPr>
                <w:rFonts w:ascii="宋体" w:eastAsia="宋体" w:hAnsi="宋体"/>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ind w:firstLine="420" w:firstLineChars="200"/>
              <w:jc w:val="left"/>
              <w:rPr>
                <w:rFonts w:ascii="宋体" w:eastAsia="宋体" w:hAnsi="宋体"/>
                <w:szCs w:val="21"/>
              </w:rPr>
            </w:pPr>
            <w:r>
              <w:rPr>
                <w:rFonts w:ascii="宋体" w:eastAsia="宋体" w:hAnsi="宋体" w:hint="eastAsia"/>
                <w:szCs w:val="21"/>
                <w:lang w:val="en-US" w:eastAsia="zh-CN"/>
              </w:rPr>
              <w:t>4.</w:t>
            </w:r>
            <w:r>
              <w:rPr>
                <w:rFonts w:ascii="宋体" w:eastAsia="宋体" w:hAnsi="宋体"/>
                <w:szCs w:val="21"/>
              </w:rPr>
              <w:t>如任何一方无故解除合同或有违反本合同规定的任何情形均属于违约行为，违约方应就每一单项违约向对方支付合同总金额5%的违约金。</w:t>
            </w:r>
          </w:p>
          <w:p>
            <w:pPr>
              <w:adjustRightInd w:val="0"/>
              <w:snapToGrid w:val="0"/>
              <w:ind w:firstLine="420" w:firstLineChars="200"/>
              <w:jc w:val="left"/>
              <w:rPr>
                <w:rFonts w:ascii="宋体" w:eastAsia="宋体" w:hAnsi="宋体"/>
                <w:szCs w:val="21"/>
              </w:rPr>
            </w:pPr>
            <w:r>
              <w:rPr>
                <w:rFonts w:ascii="宋体" w:eastAsia="宋体" w:hAnsi="宋体" w:hint="eastAsia"/>
                <w:szCs w:val="21"/>
                <w:lang w:val="en-US" w:eastAsia="zh-CN"/>
              </w:rPr>
              <w:t>5.</w:t>
            </w:r>
            <w:r>
              <w:rPr>
                <w:rFonts w:ascii="宋体" w:eastAsia="宋体" w:hAnsi="宋体"/>
                <w:szCs w:val="21"/>
              </w:rPr>
              <w:t>若货物为假冒伪劣产品或其中包括该类情形的零、部件，乙方应按照合同总金额的2倍向甲方支付惩罚性赔偿金，若该赔偿未达到给甲方造成损失的2倍，则乙方应当支付给甲方造成损失的2倍的惩罚性赔偿金，且并不当然免除其依法应受的其它处罚。</w:t>
            </w:r>
          </w:p>
          <w:p>
            <w:pPr>
              <w:adjustRightInd w:val="0"/>
              <w:snapToGrid w:val="0"/>
              <w:ind w:firstLine="420" w:firstLineChars="200"/>
              <w:jc w:val="left"/>
              <w:rPr>
                <w:rFonts w:ascii="宋体" w:eastAsia="宋体" w:hAnsi="宋体"/>
                <w:szCs w:val="21"/>
              </w:rPr>
            </w:pPr>
            <w:r>
              <w:rPr>
                <w:rFonts w:ascii="宋体" w:eastAsia="宋体" w:hAnsi="宋体" w:hint="eastAsia"/>
                <w:szCs w:val="21"/>
                <w:lang w:val="en-US" w:eastAsia="zh-CN"/>
              </w:rPr>
              <w:t>6.</w:t>
            </w:r>
            <w:r>
              <w:rPr>
                <w:rFonts w:ascii="宋体" w:eastAsia="宋体" w:hAnsi="宋体"/>
                <w:szCs w:val="21"/>
              </w:rPr>
              <w:t>如乙方在合同规定的交货日期后10天内仍未能交货，则视为乙方不能交货，甲方有权解除合同，乙方若已经收取了甲方的定金则同时还应双倍返还已收取的定金。</w:t>
            </w:r>
          </w:p>
          <w:p>
            <w:pPr>
              <w:adjustRightInd w:val="0"/>
              <w:snapToGrid w:val="0"/>
              <w:ind w:firstLine="420" w:firstLineChars="200"/>
              <w:jc w:val="left"/>
              <w:rPr>
                <w:rFonts w:ascii="宋体" w:eastAsia="宋体" w:hAnsi="宋体"/>
                <w:szCs w:val="21"/>
              </w:rPr>
            </w:pPr>
            <w:r>
              <w:rPr>
                <w:rFonts w:ascii="宋体" w:eastAsia="宋体" w:hAnsi="宋体" w:hint="eastAsia"/>
                <w:szCs w:val="21"/>
                <w:lang w:val="en-US" w:eastAsia="zh-CN"/>
              </w:rPr>
              <w:t>7.</w:t>
            </w:r>
            <w:r>
              <w:rPr>
                <w:rFonts w:ascii="宋体" w:eastAsia="宋体" w:hAnsi="宋体"/>
                <w:szCs w:val="21"/>
              </w:rPr>
              <w:t>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ind w:firstLine="420" w:firstLineChars="200"/>
              <w:jc w:val="left"/>
              <w:rPr>
                <w:rFonts w:ascii="宋体" w:eastAsia="宋体" w:hAnsi="宋体"/>
                <w:szCs w:val="21"/>
              </w:rPr>
            </w:pPr>
            <w:r>
              <w:rPr>
                <w:rFonts w:ascii="宋体" w:eastAsia="宋体" w:hAnsi="宋体" w:hint="eastAsia"/>
                <w:szCs w:val="21"/>
                <w:lang w:val="en-US" w:eastAsia="zh-CN"/>
              </w:rPr>
              <w:t>8</w:t>
            </w:r>
            <w:r>
              <w:rPr>
                <w:rFonts w:ascii="宋体" w:eastAsia="宋体" w:hAnsi="宋体"/>
                <w:szCs w:val="21"/>
              </w:rPr>
              <w:t>.合同生效后，因乙方在招标过程中或合同履行过程中存在违法违规情形，甲方有权立即要求撤销或者解除合同，乙方应返还甲方已支付的全部款项，并按照项目合同总额的10%承担违约责任，造成甲方其他损失的，由乙方承担赔偿责任。</w:t>
            </w:r>
          </w:p>
          <w:p>
            <w:pPr>
              <w:adjustRightInd w:val="0"/>
              <w:snapToGrid w:val="0"/>
              <w:ind w:firstLine="420" w:firstLineChars="200"/>
              <w:jc w:val="left"/>
              <w:rPr>
                <w:rFonts w:ascii="宋体" w:eastAsia="宋体" w:hAnsi="宋体"/>
                <w:szCs w:val="21"/>
              </w:rPr>
            </w:pPr>
            <w:r>
              <w:rPr>
                <w:rFonts w:ascii="宋体" w:eastAsia="宋体" w:hAnsi="宋体" w:hint="eastAsia"/>
                <w:szCs w:val="21"/>
                <w:lang w:val="en-US" w:eastAsia="zh-CN"/>
              </w:rPr>
              <w:t>9</w:t>
            </w:r>
            <w:r>
              <w:rPr>
                <w:rFonts w:ascii="宋体" w:eastAsia="宋体" w:hAnsi="宋体"/>
                <w:szCs w:val="21"/>
              </w:rPr>
              <w:t>.违约金总额不超过合同总额的10%。</w:t>
            </w:r>
          </w:p>
          <w:p>
            <w:pPr>
              <w:adjustRightInd w:val="0"/>
              <w:snapToGrid w:val="0"/>
              <w:ind w:firstLine="420" w:firstLineChars="200"/>
              <w:jc w:val="left"/>
              <w:rPr>
                <w:rFonts w:ascii="宋体" w:eastAsia="宋体" w:hAnsi="宋体"/>
                <w:szCs w:val="21"/>
              </w:rPr>
            </w:pPr>
            <w:r>
              <w:rPr>
                <w:rFonts w:ascii="宋体" w:eastAsia="宋体" w:hAnsi="宋体" w:hint="eastAsia"/>
                <w:szCs w:val="21"/>
                <w:lang w:val="en-US" w:eastAsia="zh-CN"/>
              </w:rPr>
              <w:t>10</w:t>
            </w:r>
            <w:r>
              <w:rPr>
                <w:rFonts w:ascii="宋体" w:eastAsia="宋体" w:hAnsi="宋体"/>
                <w:szCs w:val="21"/>
              </w:rPr>
              <w:t>.以上各项交付的违约金并不影响违约方履行合同的各项义务。</w:t>
            </w:r>
          </w:p>
          <w:p>
            <w:pPr>
              <w:adjustRightInd w:val="0"/>
              <w:snapToGrid w:val="0"/>
              <w:ind w:firstLine="420" w:firstLineChars="200"/>
              <w:jc w:val="left"/>
              <w:rPr>
                <w:rFonts w:ascii="宋体" w:eastAsia="宋体" w:hAnsi="宋体"/>
                <w:szCs w:val="21"/>
              </w:rPr>
            </w:pPr>
            <w:r>
              <w:rPr>
                <w:rFonts w:ascii="宋体" w:eastAsia="宋体" w:hAnsi="宋体" w:hint="eastAsia"/>
                <w:szCs w:val="21"/>
                <w:lang w:val="en-US" w:eastAsia="zh-CN"/>
              </w:rPr>
              <w:t>11</w:t>
            </w:r>
            <w:r>
              <w:rPr>
                <w:rFonts w:ascii="宋体" w:eastAsia="宋体" w:hAnsi="宋体"/>
                <w:szCs w:val="21"/>
              </w:rPr>
              <w:t>.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djustRightInd w:val="0"/>
              <w:snapToGrid w:val="0"/>
              <w:ind w:firstLine="420" w:firstLineChars="200"/>
              <w:jc w:val="left"/>
              <w:rPr>
                <w:rFonts w:ascii="宋体" w:eastAsia="宋体" w:hAnsi="宋体"/>
                <w:szCs w:val="21"/>
                <w:u w:val="single"/>
              </w:rPr>
            </w:pPr>
            <w:r>
              <w:rPr>
                <w:rFonts w:ascii="宋体" w:eastAsia="宋体" w:hAnsi="宋体"/>
                <w:szCs w:val="21"/>
              </w:rPr>
              <w:t>1</w:t>
            </w:r>
            <w:r>
              <w:rPr>
                <w:rFonts w:ascii="宋体" w:eastAsia="宋体" w:hAnsi="宋体" w:hint="eastAsia"/>
                <w:szCs w:val="21"/>
                <w:lang w:val="en-US" w:eastAsia="zh-CN"/>
              </w:rPr>
              <w:t>2</w:t>
            </w:r>
            <w:r>
              <w:rPr>
                <w:rFonts w:ascii="宋体" w:eastAsia="宋体" w:hAnsi="宋体" w:hint="eastAsia"/>
                <w:szCs w:val="21"/>
              </w:rPr>
              <w:t>.</w:t>
            </w:r>
            <w:r>
              <w:rPr>
                <w:rFonts w:ascii="宋体" w:eastAsia="宋体" w:hAnsi="宋体"/>
                <w:szCs w:val="21"/>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甲方和丙方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甲方、最终用户或任何第三方的民事侵权赔偿责任。上述该等责任同时亦均属严重违约责任。</w:t>
            </w: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eastAsia="宋体" w:hAnsi="宋体"/>
                <w:szCs w:val="21"/>
              </w:rPr>
            </w:pPr>
            <w:r>
              <w:rPr>
                <w:rFonts w:ascii="宋体" w:eastAsia="宋体" w:hAnsi="宋体"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ind w:firstLine="420" w:firstLineChars="200"/>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（2） </w:t>
            </w:r>
            <w:r>
              <w:rPr>
                <w:rFonts w:ascii="宋体" w:eastAsia="宋体" w:hAnsi="宋体" w:cs="宋体" w:hint="eastAsia"/>
                <w:iCs/>
                <w:szCs w:val="21"/>
              </w:rPr>
              <w:t>种方式解决：</w:t>
            </w:r>
          </w:p>
          <w:p>
            <w:pPr>
              <w:autoSpaceDE w:val="0"/>
              <w:autoSpaceDN w:val="0"/>
              <w:adjustRightInd w:val="0"/>
              <w:snapToGrid w:val="0"/>
              <w:ind w:firstLine="420" w:firstLineChars="200"/>
              <w:jc w:val="lef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iCs/>
                <w:szCs w:val="21"/>
                <w:u w:val="single"/>
              </w:rPr>
              <w:t xml:space="preserve">         </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iCs/>
                <w:szCs w:val="21"/>
                <w:u w:val="single"/>
              </w:rPr>
              <w:t xml:space="preserve">           </w:t>
            </w:r>
            <w:r>
              <w:rPr>
                <w:rFonts w:ascii="宋体" w:eastAsia="宋体" w:hAnsi="宋体" w:cs="宋体" w:hint="eastAsia"/>
                <w:iCs/>
                <w:szCs w:val="21"/>
                <w:u w:val="single"/>
              </w:rPr>
              <w:t xml:space="preserve">   </w:t>
            </w:r>
            <w:r>
              <w:rPr>
                <w:rFonts w:ascii="宋体" w:eastAsia="宋体" w:hAnsi="宋体" w:cs="宋体" w:hint="eastAsia"/>
                <w:iCs/>
                <w:szCs w:val="21"/>
              </w:rPr>
              <w:t>；</w:t>
            </w:r>
          </w:p>
          <w:p>
            <w:pPr>
              <w:adjustRightInd w:val="0"/>
              <w:snapToGrid w:val="0"/>
              <w:ind w:firstLine="420" w:firstLineChars="200"/>
              <w:jc w:val="left"/>
              <w:rPr>
                <w:rFonts w:ascii="宋体" w:eastAsia="宋体" w:hAnsi="宋体"/>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甲方所在地      </w:t>
            </w:r>
            <w:r>
              <w:rPr>
                <w:rFonts w:ascii="宋体" w:eastAsia="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pPr>
              <w:adjustRightInd w:val="0"/>
              <w:snapToGrid w:val="0"/>
              <w:jc w:val="center"/>
              <w:rPr>
                <w:rFonts w:ascii="宋体" w:eastAsia="宋体" w:hAnsi="宋体"/>
                <w:szCs w:val="21"/>
              </w:rPr>
            </w:pPr>
            <w:r>
              <w:rPr>
                <w:rFonts w:ascii="宋体" w:eastAsia="宋体" w:hAnsi="宋体" w:hint="eastAsia"/>
                <w:szCs w:val="21"/>
              </w:rPr>
              <w:t>第二节</w:t>
            </w:r>
          </w:p>
          <w:p>
            <w:pPr>
              <w:adjustRightInd w:val="0"/>
              <w:snapToGrid w:val="0"/>
              <w:jc w:val="center"/>
              <w:rPr>
                <w:rFonts w:ascii="宋体" w:eastAsia="宋体" w:hAnsi="宋体"/>
                <w:szCs w:val="21"/>
              </w:rPr>
            </w:pPr>
            <w:r>
              <w:rPr>
                <w:rFonts w:ascii="宋体" w:eastAsia="宋体" w:hAnsi="宋体" w:hint="eastAsia"/>
                <w:szCs w:val="21"/>
              </w:rPr>
              <w:t>第23.1款</w:t>
            </w:r>
          </w:p>
        </w:tc>
        <w:tc>
          <w:tcPr>
            <w:tcW w:w="1742" w:type="dxa"/>
            <w:vAlign w:val="center"/>
          </w:tcPr>
          <w:p>
            <w:pPr>
              <w:adjustRightInd w:val="0"/>
              <w:snapToGrid w:val="0"/>
              <w:jc w:val="left"/>
              <w:rPr>
                <w:rFonts w:ascii="宋体" w:eastAsia="宋体" w:hAnsi="宋体"/>
                <w:szCs w:val="21"/>
              </w:rPr>
            </w:pPr>
            <w:r>
              <w:rPr>
                <w:rFonts w:ascii="宋体" w:eastAsia="宋体" w:hAnsi="宋体" w:hint="eastAsia"/>
                <w:bCs/>
                <w:szCs w:val="21"/>
              </w:rPr>
              <w:t>其他专用条款</w:t>
            </w:r>
          </w:p>
        </w:tc>
        <w:tc>
          <w:tcPr>
            <w:tcW w:w="5170" w:type="dxa"/>
            <w:vAlign w:val="center"/>
          </w:tcPr>
          <w:p>
            <w:pPr>
              <w:adjustRightInd w:val="0"/>
              <w:snapToGrid w:val="0"/>
              <w:ind w:firstLine="420" w:firstLineChars="200"/>
              <w:jc w:val="left"/>
              <w:rPr>
                <w:rFonts w:ascii="宋体" w:eastAsia="宋体" w:hAnsi="宋体"/>
                <w:szCs w:val="21"/>
              </w:rPr>
            </w:pPr>
            <w:r>
              <w:rPr>
                <w:rFonts w:ascii="宋体" w:eastAsia="宋体" w:hAnsi="宋体" w:hint="eastAsia"/>
                <w:szCs w:val="21"/>
              </w:rPr>
              <w:t>所有支付款项由丙方通过其银行账户向乙方账户支付。付款过程中，如果乙方银行账户户名、账号、开户银行发生变化，乙方应及时向采购人做出书面说明，若因乙方未及时做出说明，导致支付延期或支付错误，丙方不承担责任。</w:t>
            </w:r>
          </w:p>
        </w:tc>
      </w:tr>
    </w:tbl>
    <w:p/>
    <w:p>
      <w:pPr>
        <w:rPr>
          <w:b/>
          <w:bCs/>
          <w:sz w:val="44"/>
          <w:szCs w:val="44"/>
        </w:rPr>
      </w:pPr>
    </w:p>
    <w:p/>
    <w:p w:rsidR="00A77B3E"/>
    <w:p>
      <w:pPr>
        <w:spacing w:line="360" w:lineRule="auto"/>
        <w:ind w:firstLine="3066" w:firstLineChars="1460"/>
        <w:jc w:val="left"/>
        <w:rPr>
          <w:b/>
          <w:bCs/>
          <w:szCs w:val="21"/>
          <w:highlight w:val="none"/>
        </w:rPr>
      </w:pPr>
      <w:bookmarkEnd w:id="93"/>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mbria Math">
    <w:panose1 w:val="02040503050406030204"/>
    <w:charset w:val="01"/>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default"/>
    <w:sig w:usb0="00000000" w:usb1="00000000" w:usb2="00000010" w:usb3="00000000" w:csb0="0004009F" w:csb1="0000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BodyTextFirstIndent2">
    <w:name w:val="Body Text First Indent 2"/>
    <w:basedOn w:val="BodyTextIndent"/>
    <w:link w:val="2Char"/>
    <w:unhideWhenUsed/>
    <w:qFormat/>
    <w:pPr>
      <w:ind w:firstLine="420" w:firstLineChars="200"/>
    </w:pPr>
    <w:rPr>
      <w:szCs w:val="20"/>
    </w:rPr>
  </w:style>
  <w:style w:type="character" w:customStyle="1" w:styleId="2Char">
    <w:name w:val="正文首行缩进 2 Char"/>
    <w:basedOn w:val="Char2"/>
    <w:link w:val="BodyTextFirstIndent2"/>
    <w:qFormat/>
    <w:rPr>
      <w:szCs w:val="22"/>
      <w:lang w:eastAsia="zh-CN"/>
    </w:rPr>
  </w:style>
  <w:style w:type="paragraph" w:customStyle="1" w:styleId="a2">
    <w:name w:val="正文格式"/>
    <w:basedOn w:val="Normal"/>
    <w:link w:val="Char11"/>
    <w:qFormat/>
    <w:pPr>
      <w:widowControl/>
      <w:spacing w:line="360" w:lineRule="auto"/>
      <w:ind w:firstLine="480" w:firstLineChars="200"/>
    </w:pPr>
    <w:rPr>
      <w:color w:val="000000"/>
      <w:kern w:val="0"/>
      <w:sz w:val="24"/>
    </w:rPr>
  </w:style>
  <w:style w:type="character" w:customStyle="1" w:styleId="Char11">
    <w:name w:val="正文格式 Char"/>
    <w:link w:val="a2"/>
    <w:autoRedefine/>
    <w:qFormat/>
    <w:rPr>
      <w:color w:val="000000"/>
      <w:sz w:val="24"/>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