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扬中市地基多通道微波辐射计建设项目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扬中市气象局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扬中市地基多通道微波辐射计建设项目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扬中市气象局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2025年11月13日 00:00:00</w:t>
      </w:r>
      <w:bookmarkEnd w:id="26"/>
      <w:r>
        <w:rPr>
          <w:rFonts w:ascii="宋体" w:hint="eastAsia"/>
          <w:szCs w:val="21"/>
          <w:highlight w:val="none"/>
        </w:rPr>
        <w:t>至</w:t>
      </w:r>
      <w:bookmarkStart w:id="27" w:name="项目公告_signUpLastTime"/>
      <w:r>
        <w:rPr>
          <w:rFonts w:ascii="宋体" w:hint="eastAsia"/>
          <w:szCs w:val="21"/>
          <w:highlight w:val="none"/>
        </w:rPr>
        <w:t>2025年11月20日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扬中市气象局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谢添</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0511-88323011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江苏省镇江市扬中市三茅街道丰裕永和村东1组</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扬中市气象局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不允许（仅针对以下产品：地基多通道微波辐射计不允许代理商投标）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（1）标的：地基多通道微波辐射计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销售合同必须包括地基多通道微波辐射计，每提供1份合同得1分，最多得5分。否则不得分。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针对本项目采购的地基多通道微波辐射计，承诺每提前5天交货的得0.5分，最多得1分。否则不得分。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针对地基多通道微波辐射计设备，每提供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针对地基多通道微波辐射计设备，测试报告应涵盖耐腐蚀、高低温、噪音等内容，每包含一项得1分，最多得3分。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b/>
          <w:bCs/>
          <w:sz w:val="30"/>
          <w:szCs w:val="30"/>
        </w:rPr>
      </w:pPr>
      <w:r>
        <w:rPr>
          <w:bCs/>
          <w:szCs w:val="21"/>
          <w:highlight w:val="none"/>
        </w:rPr>
        <w:br w:type="page"/>
      </w:r>
      <w:bookmarkStart w:id="59" w:name="插入_采购需求书"/>
      <w:bookmarkStart w:id="60" w:name="插入_采购需求标题"/>
      <w:r>
        <w:rPr>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30"/>
        <w:gridCol w:w="993"/>
        <w:gridCol w:w="1784"/>
        <w:gridCol w:w="2967"/>
        <w:gridCol w:w="252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90"/>
          <w:jc w:val="center"/>
        </w:trPr>
        <w:tc>
          <w:tcPr>
            <w:tcW w:w="406" w:type="pct"/>
            <w:vAlign w:val="center"/>
          </w:tcPr>
          <w:p>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PrEx>
        <w:trPr>
          <w:cantSplit/>
          <w:trHeight w:val="1226"/>
          <w:jc w:val="center"/>
        </w:trPr>
        <w:tc>
          <w:tcPr>
            <w:tcW w:w="406"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1）标准数据产品：大气辐射亮温，大气温度廓线，边界层温度廓线，水汽密度廓线，相对湿度廓线，液态水廓线，积分水汽，积分液态水，降雨标志，云底温度和云底高度。</w:t>
            </w:r>
          </w:p>
          <w:p>
            <w:pPr>
              <w:widowControl/>
              <w:jc w:val="left"/>
              <w:rPr>
                <w:rFonts w:ascii="仿宋" w:eastAsia="仿宋" w:hAnsi="仿宋" w:cs="仿宋"/>
                <w:bCs/>
                <w:kern w:val="0"/>
              </w:rPr>
            </w:pPr>
            <w:r>
              <w:rPr>
                <w:rFonts w:ascii="仿宋" w:eastAsia="仿宋" w:hAnsi="仿宋" w:cs="仿宋" w:hint="eastAsia"/>
                <w:bCs/>
                <w:kern w:val="0"/>
                <w:sz w:val="24"/>
              </w:rPr>
              <w:t>2）大气环境数据产品：大气稳定度指数，边界层高度、艾玛图、逆温监测产品（包含逆温厚度、逆温高度、逆温强度等）。</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3</w:t>
            </w:r>
          </w:p>
        </w:tc>
        <w:tc>
          <w:tcPr>
            <w:tcW w:w="1542" w:type="pct"/>
            <w:gridSpan w:val="2"/>
            <w:vAlign w:val="center"/>
          </w:tcPr>
          <w:p>
            <w:pPr>
              <w:widowControl/>
              <w:jc w:val="center"/>
              <w:rPr>
                <w:rFonts w:ascii="仿宋" w:eastAsia="仿宋" w:hAnsi="仿宋" w:cs="仿宋"/>
                <w:bCs/>
                <w:kern w:val="0"/>
              </w:rPr>
            </w:pPr>
            <w:r>
              <w:rPr>
                <w:rFonts w:ascii="仿宋" w:eastAsia="仿宋" w:hAnsi="仿宋" w:cs="仿宋" w:hint="eastAsia"/>
                <w:bCs/>
                <w:kern w:val="0"/>
                <w:sz w:val="24"/>
              </w:rPr>
              <w:t>观测体制</w:t>
            </w:r>
          </w:p>
        </w:tc>
        <w:tc>
          <w:tcPr>
            <w:tcW w:w="3052" w:type="pct"/>
            <w:gridSpan w:val="2"/>
          </w:tcPr>
          <w:p>
            <w:pPr>
              <w:widowControl/>
              <w:jc w:val="left"/>
              <w:rPr>
                <w:rFonts w:ascii="仿宋" w:eastAsia="仿宋" w:hAnsi="仿宋" w:cs="仿宋"/>
                <w:bCs/>
                <w:kern w:val="0"/>
              </w:rPr>
            </w:pPr>
            <w:r>
              <w:rPr>
                <w:rFonts w:ascii="仿宋" w:eastAsia="仿宋" w:hAnsi="仿宋" w:cs="仿宋" w:hint="eastAsia"/>
                <w:bCs/>
                <w:kern w:val="0"/>
                <w:sz w:val="24"/>
              </w:rPr>
              <w:t>微波辐射计主机采用并行测量技术体制：主机系统组成中必须通过采用固定本振实现并行测量；</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4</w:t>
            </w:r>
          </w:p>
        </w:tc>
        <w:tc>
          <w:tcPr>
            <w:tcW w:w="1542" w:type="pct"/>
            <w:gridSpan w:val="2"/>
            <w:vAlign w:val="center"/>
          </w:tcPr>
          <w:p>
            <w:pPr>
              <w:widowControl/>
              <w:jc w:val="center"/>
              <w:rPr>
                <w:rFonts w:ascii="仿宋" w:eastAsia="仿宋" w:hAnsi="仿宋" w:cs="仿宋"/>
                <w:bCs/>
                <w:kern w:val="0"/>
              </w:rPr>
            </w:pPr>
            <w:r>
              <w:rPr>
                <w:rFonts w:ascii="仿宋" w:eastAsia="仿宋" w:hAnsi="仿宋" w:cs="仿宋" w:hint="eastAsia"/>
                <w:bCs/>
                <w:color w:val="auto"/>
                <w:kern w:val="0"/>
                <w:sz w:val="24"/>
                <w:szCs w:val="21"/>
              </w:rPr>
              <w:t>观测通道数目</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color w:val="auto"/>
                <w:kern w:val="0"/>
                <w:sz w:val="24"/>
                <w:szCs w:val="24"/>
              </w:rPr>
              <w:t>≥16</w:t>
            </w:r>
            <w:r>
              <w:rPr>
                <w:rFonts w:ascii="仿宋" w:eastAsia="仿宋" w:hAnsi="仿宋" w:cs="仿宋"/>
                <w:bCs/>
                <w:color w:val="auto"/>
                <w:kern w:val="0"/>
                <w:sz w:val="24"/>
                <w:szCs w:val="24"/>
              </w:rPr>
              <w:t xml:space="preserve"> </w:t>
            </w:r>
            <w:r>
              <w:rPr>
                <w:rFonts w:ascii="仿宋" w:eastAsia="仿宋" w:hAnsi="仿宋" w:cs="仿宋" w:hint="eastAsia"/>
                <w:bCs/>
                <w:color w:val="auto"/>
                <w:kern w:val="0"/>
                <w:sz w:val="24"/>
                <w:szCs w:val="24"/>
              </w:rPr>
              <w:t>个（其中水汽通道≥8</w:t>
            </w:r>
            <w:r>
              <w:rPr>
                <w:rFonts w:ascii="仿宋" w:eastAsia="仿宋" w:hAnsi="仿宋" w:cs="仿宋"/>
                <w:bCs/>
                <w:color w:val="auto"/>
                <w:kern w:val="0"/>
                <w:sz w:val="24"/>
                <w:szCs w:val="24"/>
              </w:rPr>
              <w:t xml:space="preserve"> </w:t>
            </w:r>
            <w:r>
              <w:rPr>
                <w:rFonts w:ascii="仿宋" w:eastAsia="仿宋" w:hAnsi="仿宋" w:cs="仿宋" w:hint="eastAsia"/>
                <w:bCs/>
                <w:color w:val="auto"/>
                <w:kern w:val="0"/>
                <w:sz w:val="24"/>
                <w:szCs w:val="24"/>
              </w:rPr>
              <w:t>个，温度通道≥8</w:t>
            </w:r>
            <w:r>
              <w:rPr>
                <w:rFonts w:ascii="仿宋" w:eastAsia="仿宋" w:hAnsi="仿宋" w:cs="仿宋"/>
                <w:bCs/>
                <w:color w:val="auto"/>
                <w:kern w:val="0"/>
                <w:sz w:val="24"/>
                <w:szCs w:val="24"/>
              </w:rPr>
              <w:t xml:space="preserve"> </w:t>
            </w:r>
            <w:r>
              <w:rPr>
                <w:rFonts w:ascii="仿宋" w:eastAsia="仿宋" w:hAnsi="仿宋" w:cs="仿宋" w:hint="eastAsia"/>
                <w:bCs/>
                <w:color w:val="auto"/>
                <w:kern w:val="0"/>
                <w:sz w:val="24"/>
                <w:szCs w:val="24"/>
              </w:rPr>
              <w:t>个），红外：≥1</w:t>
            </w:r>
            <w:r>
              <w:rPr>
                <w:rFonts w:ascii="仿宋" w:eastAsia="仿宋" w:hAnsi="仿宋" w:cs="仿宋"/>
                <w:bCs/>
                <w:color w:val="auto"/>
                <w:kern w:val="0"/>
                <w:sz w:val="24"/>
                <w:szCs w:val="24"/>
              </w:rPr>
              <w:t xml:space="preserve"> </w:t>
            </w:r>
            <w:r>
              <w:rPr>
                <w:rFonts w:ascii="仿宋" w:eastAsia="仿宋" w:hAnsi="仿宋" w:cs="仿宋" w:hint="eastAsia"/>
                <w:bCs/>
                <w:color w:val="auto"/>
                <w:kern w:val="0"/>
                <w:sz w:val="24"/>
                <w:szCs w:val="24"/>
              </w:rPr>
              <w:t>个。</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5</w:t>
            </w:r>
          </w:p>
        </w:tc>
        <w:tc>
          <w:tcPr>
            <w:tcW w:w="1542" w:type="pct"/>
            <w:gridSpan w:val="2"/>
            <w:vAlign w:val="center"/>
          </w:tcPr>
          <w:p>
            <w:pPr>
              <w:widowControl/>
              <w:jc w:val="center"/>
              <w:rPr>
                <w:rFonts w:ascii="仿宋" w:eastAsia="仿宋" w:hAnsi="仿宋" w:cs="仿宋"/>
                <w:bCs/>
                <w:kern w:val="0"/>
              </w:rPr>
            </w:pPr>
            <w:r>
              <w:rPr>
                <w:rFonts w:ascii="仿宋" w:eastAsia="仿宋" w:hAnsi="仿宋" w:cs="仿宋" w:hint="eastAsia"/>
                <w:bCs/>
                <w:color w:val="auto"/>
                <w:kern w:val="0"/>
                <w:sz w:val="24"/>
                <w:szCs w:val="21"/>
              </w:rPr>
              <w:t>观测能力</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color w:val="auto"/>
                <w:kern w:val="0"/>
                <w:sz w:val="24"/>
                <w:szCs w:val="24"/>
              </w:rPr>
              <w:t>微波辐射计主机具备独立观测及数据存储能力，具备无外接电脑情况下的数据采集、观测产品反演能力、以及数据上传通信能力。</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1542" w:type="pct"/>
            <w:gridSpan w:val="2"/>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1542" w:type="pct"/>
            <w:gridSpan w:val="2"/>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bCs/>
                <w:kern w:val="0"/>
                <w:sz w:val="24"/>
                <w:szCs w:val="24"/>
              </w:rPr>
            </w:pP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1542" w:type="pct"/>
            <w:gridSpan w:val="2"/>
            <w:vAlign w:val="center"/>
          </w:tcPr>
          <w:p>
            <w:pPr>
              <w:widowControl/>
              <w:jc w:val="center"/>
              <w:rPr>
                <w:rFonts w:ascii="仿宋" w:eastAsia="仿宋" w:hAnsi="仿宋" w:cs="仿宋"/>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PrEx>
        <w:trPr>
          <w:cantSplit/>
          <w:trHeight w:val="308"/>
          <w:jc w:val="center"/>
        </w:trPr>
        <w:tc>
          <w:tcPr>
            <w:tcW w:w="406"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天线系统</w:t>
            </w: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水汽通道≤5°，温度通道≤3°</w:t>
            </w:r>
          </w:p>
        </w:tc>
      </w:tr>
      <w:tr>
        <w:tblPrEx>
          <w:tblW w:w="5000" w:type="pct"/>
          <w:jc w:val="center"/>
          <w:tblCellMar>
            <w:top w:w="0" w:type="dxa"/>
            <w:left w:w="108" w:type="dxa"/>
            <w:bottom w:w="0" w:type="dxa"/>
            <w:right w:w="108" w:type="dxa"/>
          </w:tblCellMar>
        </w:tblPrEx>
        <w:trPr>
          <w:cantSplit/>
          <w:trHeight w:val="308"/>
          <w:jc w:val="center"/>
        </w:trPr>
        <w:tc>
          <w:tcPr>
            <w:tcW w:w="406"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PrEx>
        <w:trPr>
          <w:cantSplit/>
          <w:trHeight w:val="308"/>
          <w:jc w:val="center"/>
        </w:trPr>
        <w:tc>
          <w:tcPr>
            <w:tcW w:w="406"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PrEx>
        <w:trPr>
          <w:cantSplit/>
          <w:trHeight w:val="68"/>
          <w:jc w:val="center"/>
        </w:trPr>
        <w:tc>
          <w:tcPr>
            <w:tcW w:w="406"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Merge w:val="restart"/>
            <w:vAlign w:val="center"/>
          </w:tcPr>
          <w:p>
            <w:pPr>
              <w:widowControl/>
              <w:jc w:val="center"/>
              <w:rPr>
                <w:rFonts w:ascii="仿宋" w:eastAsia="仿宋" w:hAnsi="仿宋" w:cs="仿宋"/>
                <w:bCs/>
                <w:kern w:val="0"/>
              </w:rPr>
            </w:pPr>
            <w:r>
              <w:rPr>
                <w:rFonts w:ascii="仿宋" w:eastAsia="仿宋" w:hAnsi="仿宋" w:cs="仿宋" w:hint="eastAsia"/>
                <w:bCs/>
                <w:kern w:val="0"/>
                <w:sz w:val="24"/>
              </w:rPr>
              <w:t>接收系统</w:t>
            </w: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color w:val="auto"/>
                <w:kern w:val="0"/>
                <w:sz w:val="24"/>
                <w:szCs w:val="24"/>
              </w:rPr>
              <w:t>固定本振并行测量</w:t>
            </w:r>
          </w:p>
        </w:tc>
      </w:tr>
      <w:tr>
        <w:tblPrEx>
          <w:tblW w:w="5000" w:type="pct"/>
          <w:jc w:val="center"/>
          <w:tblCellMar>
            <w:top w:w="0" w:type="dxa"/>
            <w:left w:w="108" w:type="dxa"/>
            <w:bottom w:w="0" w:type="dxa"/>
            <w:right w:w="108" w:type="dxa"/>
          </w:tblCellMar>
        </w:tblPrEx>
        <w:trPr>
          <w:cantSplit/>
          <w:trHeight w:val="68"/>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PrEx>
        <w:trPr>
          <w:cantSplit/>
          <w:trHeight w:val="307"/>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Merge w:val="restart"/>
            <w:vAlign w:val="center"/>
          </w:tcPr>
          <w:p>
            <w:pPr>
              <w:widowControl/>
              <w:jc w:val="center"/>
              <w:rPr>
                <w:rFonts w:ascii="仿宋" w:eastAsia="仿宋" w:hAnsi="仿宋" w:cs="仿宋"/>
                <w:bCs/>
                <w:kern w:val="0"/>
              </w:rPr>
            </w:pPr>
            <w:r>
              <w:rPr>
                <w:rFonts w:ascii="仿宋" w:eastAsia="仿宋" w:hAnsi="仿宋" w:cs="仿宋" w:hint="eastAsia"/>
                <w:bCs/>
                <w:kern w:val="0"/>
                <w:sz w:val="24"/>
              </w:rPr>
              <w:t>通道数量</w:t>
            </w:r>
          </w:p>
        </w:tc>
        <w:tc>
          <w:tcPr>
            <w:tcW w:w="3052" w:type="pct"/>
            <w:gridSpan w:val="2"/>
            <w:vAlign w:val="center"/>
          </w:tcPr>
          <w:p>
            <w:pPr>
              <w:widowControl/>
              <w:jc w:val="left"/>
            </w:pPr>
            <w:r>
              <w:rPr>
                <w:rFonts w:ascii="仿宋" w:eastAsia="仿宋" w:hAnsi="仿宋" w:cs="仿宋" w:hint="eastAsia"/>
                <w:bCs/>
                <w:kern w:val="0"/>
                <w:sz w:val="24"/>
              </w:rPr>
              <w:t>温度通道≥8个</w:t>
            </w:r>
          </w:p>
        </w:tc>
      </w:tr>
      <w:tr>
        <w:tblPrEx>
          <w:tblW w:w="5000" w:type="pct"/>
          <w:jc w:val="center"/>
          <w:tblCellMar>
            <w:top w:w="0" w:type="dxa"/>
            <w:left w:w="108" w:type="dxa"/>
            <w:bottom w:w="0" w:type="dxa"/>
            <w:right w:w="108" w:type="dxa"/>
          </w:tblCellMar>
        </w:tblPrEx>
        <w:trPr>
          <w:cantSplit/>
          <w:trHeight w:val="307"/>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Merge/>
            <w:vAlign w:val="center"/>
          </w:tcPr>
          <w:p>
            <w:pPr>
              <w:widowControl/>
              <w:jc w:val="center"/>
              <w:rPr>
                <w:rFonts w:ascii="仿宋" w:eastAsia="仿宋" w:hAnsi="仿宋" w:cs="仿宋"/>
                <w:bCs/>
                <w:kern w:val="0"/>
              </w:rPr>
            </w:pP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水汽通道≥8个</w:t>
            </w:r>
          </w:p>
        </w:tc>
      </w:tr>
      <w:tr>
        <w:tblPrEx>
          <w:tblW w:w="5000" w:type="pct"/>
          <w:jc w:val="center"/>
          <w:tblCellMar>
            <w:top w:w="0" w:type="dxa"/>
            <w:left w:w="108" w:type="dxa"/>
            <w:bottom w:w="0" w:type="dxa"/>
            <w:right w:w="108" w:type="dxa"/>
          </w:tblCellMar>
        </w:tblPrEx>
        <w:trPr>
          <w:cantSplit/>
          <w:trHeight w:val="68"/>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水汽通道≤4dB，温度通道≤6dB</w:t>
            </w:r>
          </w:p>
        </w:tc>
      </w:tr>
      <w:tr>
        <w:tblPrEx>
          <w:tblW w:w="5000" w:type="pct"/>
          <w:jc w:val="center"/>
          <w:tblCellMar>
            <w:top w:w="0" w:type="dxa"/>
            <w:left w:w="108" w:type="dxa"/>
            <w:bottom w:w="0" w:type="dxa"/>
            <w:right w:w="108" w:type="dxa"/>
          </w:tblCellMar>
        </w:tblPrEx>
        <w:trPr>
          <w:cantSplit/>
          <w:trHeight w:val="68"/>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PrEx>
        <w:trPr>
          <w:cantSplit/>
          <w:trHeight w:val="68"/>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水汽通道≤0.2K（1s 积分时间）</w:t>
            </w:r>
          </w:p>
          <w:p>
            <w:pPr>
              <w:widowControl/>
              <w:jc w:val="left"/>
              <w:rPr>
                <w:rFonts w:ascii="仿宋" w:eastAsia="仿宋" w:hAnsi="仿宋" w:cs="仿宋"/>
                <w:bCs/>
                <w:kern w:val="0"/>
              </w:rPr>
            </w:pPr>
            <w:r>
              <w:rPr>
                <w:rFonts w:ascii="仿宋" w:eastAsia="仿宋" w:hAnsi="仿宋" w:cs="仿宋" w:hint="eastAsia"/>
                <w:bCs/>
                <w:kern w:val="0"/>
                <w:sz w:val="24"/>
              </w:rPr>
              <w:t>氧气通道≤0.3K（1s 积分时间）</w:t>
            </w:r>
          </w:p>
        </w:tc>
      </w:tr>
      <w:tr>
        <w:tblPrEx>
          <w:tblW w:w="5000" w:type="pct"/>
          <w:jc w:val="center"/>
          <w:tblCellMar>
            <w:top w:w="0" w:type="dxa"/>
            <w:left w:w="108" w:type="dxa"/>
            <w:bottom w:w="0" w:type="dxa"/>
            <w:right w:w="108" w:type="dxa"/>
          </w:tblCellMar>
        </w:tblPrEx>
        <w:trPr>
          <w:cantSplit/>
          <w:trHeight w:val="68"/>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PrEx>
        <w:trPr>
          <w:cantSplit/>
          <w:trHeight w:val="68"/>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PrEx>
        <w:trPr>
          <w:cantSplit/>
          <w:trHeight w:val="307"/>
          <w:jc w:val="center"/>
        </w:trPr>
        <w:tc>
          <w:tcPr>
            <w:tcW w:w="406"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bCs/>
                <w:kern w:val="0"/>
              </w:rPr>
            </w:pPr>
            <w:r>
              <w:rPr>
                <w:rFonts w:ascii="仿宋" w:eastAsia="仿宋" w:hAnsi="仿宋" w:cs="仿宋" w:hint="eastAsia"/>
                <w:bCs/>
                <w:kern w:val="0"/>
                <w:sz w:val="24"/>
              </w:rPr>
              <w:t>定标系统</w:t>
            </w:r>
          </w:p>
        </w:tc>
        <w:tc>
          <w:tcPr>
            <w:tcW w:w="991" w:type="pct"/>
            <w:vAlign w:val="center"/>
          </w:tcPr>
          <w:p>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PrEx>
        <w:trPr>
          <w:cantSplit/>
          <w:trHeight w:val="307"/>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黑体内置温度传感器误差</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PrEx>
        <w:trPr>
          <w:cantSplit/>
          <w:trHeight w:val="122"/>
          <w:jc w:val="center"/>
        </w:trPr>
        <w:tc>
          <w:tcPr>
            <w:tcW w:w="406"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1542" w:type="pct"/>
            <w:gridSpan w:val="2"/>
            <w:vAlign w:val="center"/>
          </w:tcPr>
          <w:p>
            <w:pPr>
              <w:widowControl/>
              <w:jc w:val="center"/>
              <w:rPr>
                <w:rFonts w:ascii="仿宋" w:eastAsia="仿宋" w:hAnsi="仿宋" w:cs="仿宋"/>
                <w:bCs/>
                <w:kern w:val="0"/>
              </w:rPr>
            </w:pPr>
            <w:r>
              <w:rPr>
                <w:rFonts w:ascii="仿宋" w:eastAsia="仿宋" w:hAnsi="仿宋" w:cs="仿宋" w:hint="eastAsia"/>
                <w:bCs/>
                <w:kern w:val="0"/>
                <w:sz w:val="24"/>
              </w:rPr>
              <w:t>标准输出控制系统</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r>
        <w:tblPrEx>
          <w:tblW w:w="5000" w:type="pct"/>
          <w:jc w:val="center"/>
          <w:tblCellMar>
            <w:top w:w="0" w:type="dxa"/>
            <w:left w:w="108" w:type="dxa"/>
            <w:bottom w:w="0" w:type="dxa"/>
            <w:right w:w="108" w:type="dxa"/>
          </w:tblCellMar>
        </w:tblPrEx>
        <w:trPr>
          <w:cantSplit/>
          <w:trHeight w:val="75"/>
          <w:jc w:val="center"/>
        </w:trPr>
        <w:tc>
          <w:tcPr>
            <w:tcW w:w="406"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bCs/>
                <w:kern w:val="0"/>
              </w:rPr>
            </w:pPr>
            <w:r>
              <w:rPr>
                <w:rFonts w:ascii="仿宋" w:eastAsia="仿宋" w:hAnsi="仿宋" w:cs="仿宋" w:hint="eastAsia"/>
                <w:bCs/>
                <w:kern w:val="0"/>
                <w:sz w:val="24"/>
              </w:rPr>
              <w:t>测试性能</w:t>
            </w:r>
          </w:p>
        </w:tc>
        <w:tc>
          <w:tcPr>
            <w:tcW w:w="991" w:type="pct"/>
            <w:vAlign w:val="center"/>
          </w:tcPr>
          <w:p>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bCs/>
                <w:color w:val="auto"/>
                <w:kern w:val="0"/>
              </w:rPr>
            </w:pPr>
            <w:r>
              <w:rPr>
                <w:rFonts w:ascii="仿宋" w:eastAsia="仿宋" w:hAnsi="仿宋" w:cs="仿宋" w:hint="eastAsia"/>
                <w:bCs/>
                <w:color w:val="auto"/>
                <w:kern w:val="0"/>
                <w:sz w:val="24"/>
                <w:szCs w:val="24"/>
              </w:rPr>
              <w:t>垂直分辨率：</w:t>
            </w:r>
          </w:p>
          <w:p>
            <w:pPr>
              <w:widowControl/>
              <w:jc w:val="left"/>
              <w:rPr>
                <w:rFonts w:ascii="仿宋" w:eastAsia="仿宋" w:hAnsi="仿宋" w:cs="仿宋"/>
                <w:bCs/>
                <w:color w:val="auto"/>
                <w:kern w:val="0"/>
              </w:rPr>
            </w:pPr>
            <w:r>
              <w:rPr>
                <w:rFonts w:ascii="仿宋" w:eastAsia="仿宋" w:hAnsi="仿宋" w:cs="仿宋" w:hint="eastAsia"/>
                <w:bCs/>
                <w:color w:val="auto"/>
                <w:kern w:val="0"/>
                <w:sz w:val="24"/>
                <w:szCs w:val="24"/>
              </w:rPr>
              <w:t>≤25m（0m～500m）；</w:t>
            </w:r>
          </w:p>
          <w:p>
            <w:pPr>
              <w:widowControl/>
              <w:jc w:val="left"/>
              <w:rPr>
                <w:rFonts w:ascii="仿宋" w:eastAsia="仿宋" w:hAnsi="仿宋" w:cs="仿宋"/>
                <w:bCs/>
                <w:color w:val="auto"/>
                <w:kern w:val="0"/>
              </w:rPr>
            </w:pPr>
            <w:r>
              <w:rPr>
                <w:rFonts w:ascii="仿宋" w:eastAsia="仿宋" w:hAnsi="仿宋" w:cs="仿宋" w:hint="eastAsia"/>
                <w:bCs/>
                <w:color w:val="auto"/>
                <w:kern w:val="0"/>
                <w:sz w:val="24"/>
                <w:szCs w:val="24"/>
              </w:rPr>
              <w:t>≤50m（500m～2000m）；</w:t>
            </w:r>
          </w:p>
          <w:p>
            <w:pPr>
              <w:widowControl/>
              <w:jc w:val="left"/>
              <w:rPr>
                <w:rFonts w:ascii="仿宋" w:eastAsia="仿宋" w:hAnsi="仿宋" w:cs="仿宋"/>
                <w:bCs/>
                <w:kern w:val="0"/>
              </w:rPr>
            </w:pPr>
            <w:r>
              <w:rPr>
                <w:rFonts w:ascii="仿宋" w:eastAsia="仿宋" w:hAnsi="仿宋" w:cs="仿宋" w:hint="eastAsia"/>
                <w:bCs/>
                <w:color w:val="auto"/>
                <w:kern w:val="0"/>
                <w:sz w:val="24"/>
                <w:szCs w:val="24"/>
              </w:rPr>
              <w:t>≤250m（2km～10km）</w:t>
            </w:r>
          </w:p>
        </w:tc>
        <w:tc>
          <w:tcPr>
            <w:tcW w:w="1405" w:type="pct"/>
            <w:vAlign w:val="center"/>
          </w:tcPr>
          <w:p>
            <w:pPr>
              <w:widowControl/>
              <w:jc w:val="left"/>
              <w:rPr>
                <w:rFonts w:ascii="仿宋" w:eastAsia="仿宋" w:hAnsi="仿宋" w:cs="仿宋"/>
                <w:bCs/>
                <w:kern w:val="0"/>
              </w:rPr>
            </w:pPr>
            <w:r>
              <w:rPr>
                <w:rFonts w:ascii="仿宋" w:eastAsia="仿宋" w:hAnsi="仿宋" w:cs="仿宋" w:hint="eastAsia"/>
                <w:bCs/>
                <w:kern w:val="0"/>
                <w:sz w:val="24"/>
              </w:rPr>
              <w:t>均方根误差：≤15%RH</w:t>
            </w:r>
          </w:p>
        </w:tc>
      </w:tr>
      <w:tr>
        <w:tblPrEx>
          <w:tblW w:w="5000" w:type="pct"/>
          <w:jc w:val="center"/>
          <w:tblCellMar>
            <w:top w:w="0" w:type="dxa"/>
            <w:left w:w="108" w:type="dxa"/>
            <w:bottom w:w="0" w:type="dxa"/>
            <w:right w:w="108" w:type="dxa"/>
          </w:tblCellMar>
        </w:tblPrEx>
        <w:trPr>
          <w:cantSplit/>
          <w:trHeight w:val="75"/>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bCs/>
                <w:kern w:val="0"/>
              </w:rPr>
            </w:pPr>
            <w:r>
              <w:rPr>
                <w:rFonts w:ascii="仿宋" w:eastAsia="仿宋" w:hAnsi="仿宋" w:cs="仿宋" w:hint="eastAsia"/>
                <w:bCs/>
                <w:kern w:val="0"/>
                <w:sz w:val="24"/>
              </w:rPr>
              <w:t>垂直分辨率：</w:t>
            </w:r>
          </w:p>
          <w:p>
            <w:pPr>
              <w:widowControl/>
              <w:jc w:val="left"/>
              <w:rPr>
                <w:rFonts w:ascii="仿宋" w:eastAsia="仿宋" w:hAnsi="仿宋" w:cs="仿宋"/>
                <w:bCs/>
                <w:kern w:val="0"/>
              </w:rPr>
            </w:pPr>
            <w:r>
              <w:rPr>
                <w:rFonts w:ascii="仿宋" w:eastAsia="仿宋" w:hAnsi="仿宋" w:cs="仿宋" w:hint="eastAsia"/>
                <w:bCs/>
                <w:kern w:val="0"/>
                <w:sz w:val="24"/>
              </w:rPr>
              <w:t>≤25m（0m～500m）；</w:t>
            </w:r>
          </w:p>
          <w:p>
            <w:pPr>
              <w:widowControl/>
              <w:jc w:val="left"/>
              <w:rPr>
                <w:rFonts w:ascii="仿宋" w:eastAsia="仿宋" w:hAnsi="仿宋" w:cs="仿宋"/>
                <w:bCs/>
                <w:kern w:val="0"/>
              </w:rPr>
            </w:pPr>
            <w:r>
              <w:rPr>
                <w:rFonts w:ascii="仿宋" w:eastAsia="仿宋" w:hAnsi="仿宋" w:cs="仿宋" w:hint="eastAsia"/>
                <w:bCs/>
                <w:kern w:val="0"/>
                <w:sz w:val="24"/>
              </w:rPr>
              <w:t>≤50m（500m～2000m）；</w:t>
            </w:r>
          </w:p>
          <w:p>
            <w:pPr>
              <w:widowControl/>
              <w:jc w:val="left"/>
              <w:rPr>
                <w:rFonts w:ascii="仿宋" w:eastAsia="仿宋" w:hAnsi="仿宋" w:cs="仿宋"/>
                <w:bCs/>
                <w:kern w:val="0"/>
              </w:rPr>
            </w:pPr>
            <w:r>
              <w:rPr>
                <w:rFonts w:ascii="仿宋" w:eastAsia="仿宋" w:hAnsi="仿宋" w:cs="仿宋" w:hint="eastAsia"/>
                <w:bCs/>
                <w:kern w:val="0"/>
                <w:sz w:val="24"/>
              </w:rPr>
              <w:t>≤250m（2km～10km）</w:t>
            </w:r>
          </w:p>
        </w:tc>
        <w:tc>
          <w:tcPr>
            <w:tcW w:w="1405" w:type="pct"/>
            <w:vAlign w:val="center"/>
          </w:tcPr>
          <w:p>
            <w:pPr>
              <w:widowControl/>
              <w:jc w:val="left"/>
              <w:rPr>
                <w:rFonts w:ascii="仿宋" w:eastAsia="仿宋" w:hAnsi="仿宋" w:cs="仿宋"/>
                <w:bCs/>
                <w:kern w:val="0"/>
              </w:rPr>
            </w:pPr>
            <w:r>
              <w:rPr>
                <w:rFonts w:ascii="仿宋" w:eastAsia="仿宋" w:hAnsi="仿宋" w:cs="仿宋" w:hint="eastAsia"/>
                <w:bCs/>
                <w:kern w:val="0"/>
                <w:sz w:val="24"/>
              </w:rPr>
              <w:t>当高度＞2000m时，均方根误差：≤1.8K；</w:t>
            </w:r>
          </w:p>
          <w:p>
            <w:pPr>
              <w:widowControl/>
              <w:jc w:val="left"/>
              <w:rPr>
                <w:rFonts w:ascii="仿宋" w:eastAsia="仿宋" w:hAnsi="仿宋" w:cs="仿宋"/>
                <w:bCs/>
                <w:kern w:val="0"/>
              </w:rPr>
            </w:pPr>
            <w:r>
              <w:rPr>
                <w:rFonts w:ascii="仿宋" w:eastAsia="仿宋" w:hAnsi="仿宋" w:cs="仿宋" w:hint="eastAsia"/>
                <w:bCs/>
                <w:kern w:val="0"/>
                <w:sz w:val="24"/>
              </w:rPr>
              <w:t>当高度≤2000m时，均方根误差：≤1K</w:t>
            </w:r>
          </w:p>
        </w:tc>
      </w:tr>
      <w:tr>
        <w:tblPrEx>
          <w:tblW w:w="5000" w:type="pct"/>
          <w:jc w:val="center"/>
          <w:tblCellMar>
            <w:top w:w="0" w:type="dxa"/>
            <w:left w:w="108" w:type="dxa"/>
            <w:bottom w:w="0" w:type="dxa"/>
            <w:right w:w="108" w:type="dxa"/>
          </w:tblCellMar>
        </w:tblPrEx>
        <w:trPr>
          <w:cantSplit/>
          <w:trHeight w:val="75"/>
          <w:jc w:val="center"/>
        </w:trPr>
        <w:tc>
          <w:tcPr>
            <w:tcW w:w="406" w:type="pct"/>
            <w:vMerge/>
            <w:vAlign w:val="center"/>
          </w:tcPr>
          <w:p>
            <w:pPr>
              <w:widowControl/>
              <w:jc w:val="center"/>
              <w:rPr>
                <w:rFonts w:ascii="仿宋" w:eastAsia="仿宋" w:hAnsi="仿宋" w:cs="仿宋"/>
                <w:bCs/>
                <w:kern w:val="0"/>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均方根误差≤4mm</w:t>
            </w:r>
          </w:p>
        </w:tc>
      </w:tr>
      <w:tr>
        <w:tblPrEx>
          <w:tblW w:w="5000" w:type="pct"/>
          <w:jc w:val="center"/>
          <w:tblCellMar>
            <w:top w:w="0" w:type="dxa"/>
            <w:left w:w="108" w:type="dxa"/>
            <w:bottom w:w="0" w:type="dxa"/>
            <w:right w:w="108" w:type="dxa"/>
          </w:tblCellMar>
        </w:tblPrEx>
        <w:trPr>
          <w:cantSplit/>
          <w:trHeight w:val="307"/>
          <w:jc w:val="center"/>
        </w:trPr>
        <w:tc>
          <w:tcPr>
            <w:tcW w:w="406"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Merge w:val="restart"/>
            <w:vAlign w:val="center"/>
          </w:tcPr>
          <w:p>
            <w:pPr>
              <w:widowControl/>
              <w:jc w:val="center"/>
              <w:rPr>
                <w:rFonts w:ascii="仿宋" w:eastAsia="仿宋" w:hAnsi="仿宋" w:cs="仿宋"/>
                <w:bCs/>
                <w:kern w:val="0"/>
              </w:rPr>
            </w:pPr>
            <w:r>
              <w:rPr>
                <w:rFonts w:ascii="仿宋" w:eastAsia="仿宋" w:hAnsi="仿宋" w:cs="仿宋" w:hint="eastAsia"/>
                <w:bCs/>
                <w:kern w:val="0"/>
                <w:sz w:val="24"/>
              </w:rPr>
              <w:t>供电源</w:t>
            </w: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220V、50Hz，电压变化－15％～10％，频率变化±3％时，系统能正常工作</w:t>
            </w:r>
          </w:p>
        </w:tc>
      </w:tr>
      <w:tr>
        <w:tblPrEx>
          <w:tblW w:w="5000" w:type="pct"/>
          <w:jc w:val="center"/>
          <w:tblCellMar>
            <w:top w:w="0" w:type="dxa"/>
            <w:left w:w="108" w:type="dxa"/>
            <w:bottom w:w="0" w:type="dxa"/>
            <w:right w:w="108" w:type="dxa"/>
          </w:tblCellMar>
        </w:tblPrEx>
        <w:trPr>
          <w:cantSplit/>
          <w:trHeight w:val="307"/>
          <w:jc w:val="center"/>
        </w:trPr>
        <w:tc>
          <w:tcPr>
            <w:tcW w:w="406"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color w:val="auto"/>
                <w:kern w:val="0"/>
                <w:sz w:val="24"/>
                <w:szCs w:val="24"/>
              </w:rPr>
              <w:t>未开启防雾干燥系统加热模块时，整机功耗≤300W；最大功耗≤1100W</w:t>
            </w:r>
          </w:p>
        </w:tc>
      </w:tr>
      <w:tr>
        <w:tblPrEx>
          <w:tblW w:w="5000" w:type="pct"/>
          <w:jc w:val="center"/>
          <w:tblCellMar>
            <w:top w:w="0" w:type="dxa"/>
            <w:left w:w="108" w:type="dxa"/>
            <w:bottom w:w="0" w:type="dxa"/>
            <w:right w:w="108" w:type="dxa"/>
          </w:tblCellMar>
        </w:tblPrEx>
        <w:trPr>
          <w:cantSplit/>
          <w:trHeight w:val="122"/>
          <w:jc w:val="center"/>
        </w:trPr>
        <w:tc>
          <w:tcPr>
            <w:tcW w:w="406"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Merge w:val="restart"/>
            <w:vAlign w:val="center"/>
          </w:tcPr>
          <w:p>
            <w:pPr>
              <w:widowControl/>
              <w:jc w:val="center"/>
              <w:rPr>
                <w:rFonts w:ascii="仿宋" w:eastAsia="仿宋" w:hAnsi="仿宋" w:cs="仿宋"/>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工作温度：−40℃～50℃（室外设备），0℃～40℃（室内设备）；</w:t>
            </w:r>
          </w:p>
          <w:p>
            <w:pPr>
              <w:widowControl/>
              <w:jc w:val="left"/>
              <w:rPr>
                <w:rFonts w:ascii="仿宋" w:eastAsia="仿宋" w:hAnsi="仿宋" w:cs="仿宋"/>
                <w:bCs/>
                <w:kern w:val="0"/>
              </w:rPr>
            </w:pPr>
            <w:r>
              <w:rPr>
                <w:rFonts w:ascii="仿宋" w:eastAsia="仿宋" w:hAnsi="仿宋" w:cs="仿宋" w:hint="eastAsia"/>
                <w:bCs/>
                <w:kern w:val="0"/>
                <w:sz w:val="24"/>
              </w:rPr>
              <w:t>贮存温度：−50℃～55℃。</w:t>
            </w:r>
          </w:p>
        </w:tc>
      </w:tr>
      <w:tr>
        <w:tblPrEx>
          <w:tblW w:w="5000" w:type="pct"/>
          <w:jc w:val="center"/>
          <w:tblCellMar>
            <w:top w:w="0" w:type="dxa"/>
            <w:left w:w="108" w:type="dxa"/>
            <w:bottom w:w="0" w:type="dxa"/>
            <w:right w:w="108" w:type="dxa"/>
          </w:tblCellMar>
        </w:tblPrEx>
        <w:trPr>
          <w:cantSplit/>
          <w:trHeight w:val="122"/>
          <w:jc w:val="center"/>
        </w:trPr>
        <w:tc>
          <w:tcPr>
            <w:tcW w:w="406"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PrEx>
        <w:trPr>
          <w:cantSplit/>
          <w:trHeight w:val="122"/>
          <w:jc w:val="center"/>
        </w:trPr>
        <w:tc>
          <w:tcPr>
            <w:tcW w:w="406"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PrEx>
        <w:trPr>
          <w:cantSplit/>
          <w:trHeight w:val="122"/>
          <w:jc w:val="center"/>
        </w:trPr>
        <w:tc>
          <w:tcPr>
            <w:tcW w:w="406" w:type="pct"/>
            <w:vMerge/>
            <w:vAlign w:val="center"/>
          </w:tcPr>
          <w:p>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pPr>
              <w:widowControl/>
              <w:jc w:val="center"/>
              <w:rPr>
                <w:rFonts w:ascii="仿宋" w:eastAsia="仿宋" w:hAnsi="仿宋" w:cs="仿宋"/>
                <w:bCs/>
                <w:kern w:val="0"/>
              </w:rPr>
            </w:pPr>
          </w:p>
        </w:tc>
        <w:tc>
          <w:tcPr>
            <w:tcW w:w="991" w:type="pct"/>
            <w:vAlign w:val="center"/>
          </w:tcPr>
          <w:p>
            <w:pPr>
              <w:widowControl/>
              <w:jc w:val="center"/>
              <w:rPr>
                <w:rFonts w:ascii="仿宋" w:eastAsia="仿宋" w:hAnsi="仿宋" w:cs="仿宋"/>
                <w:bCs/>
                <w:kern w:val="0"/>
              </w:rPr>
            </w:pPr>
            <w:r>
              <w:rPr>
                <w:rFonts w:ascii="仿宋" w:eastAsia="仿宋" w:hAnsi="仿宋" w:cs="仿宋" w:hint="eastAsia"/>
                <w:bCs/>
                <w:kern w:val="0"/>
                <w:sz w:val="24"/>
              </w:rPr>
              <w:t>抗盐雾腐</w:t>
            </w:r>
          </w:p>
          <w:p>
            <w:pPr>
              <w:widowControl/>
              <w:jc w:val="center"/>
              <w:rPr>
                <w:rFonts w:ascii="仿宋" w:eastAsia="仿宋" w:hAnsi="仿宋" w:cs="仿宋"/>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PrEx>
        <w:trPr>
          <w:cantSplit/>
          <w:jc w:val="center"/>
        </w:trPr>
        <w:tc>
          <w:tcPr>
            <w:tcW w:w="406" w:type="pct"/>
            <w:vAlign w:val="center"/>
          </w:tcPr>
          <w:p>
            <w:pPr>
              <w:widowControl/>
              <w:jc w:val="left"/>
              <w:rPr>
                <w:rFonts w:ascii="仿宋" w:eastAsia="仿宋" w:hAnsi="仿宋" w:cs="仿宋"/>
                <w:bCs/>
                <w:kern w:val="0"/>
              </w:rPr>
            </w:pPr>
            <w:r>
              <w:rPr>
                <w:rFonts w:ascii="仿宋" w:eastAsia="仿宋" w:hAnsi="仿宋" w:cs="仿宋"/>
                <w:bCs/>
                <w:color w:val="auto"/>
                <w:kern w:val="0"/>
                <w:sz w:val="24"/>
                <w:szCs w:val="21"/>
              </w:rPr>
              <w:t>16</w:t>
            </w:r>
          </w:p>
        </w:tc>
        <w:tc>
          <w:tcPr>
            <w:tcW w:w="4594" w:type="pct"/>
            <w:gridSpan w:val="4"/>
            <w:vAlign w:val="center"/>
          </w:tcPr>
          <w:p>
            <w:pPr>
              <w:widowControl/>
              <w:jc w:val="left"/>
              <w:rPr>
                <w:rFonts w:ascii="仿宋" w:eastAsia="仿宋" w:hAnsi="仿宋" w:cs="仿宋"/>
                <w:bCs/>
                <w:kern w:val="0"/>
              </w:rPr>
            </w:pPr>
            <w:r>
              <w:rPr>
                <w:rFonts w:ascii="仿宋" w:eastAsia="仿宋" w:hAnsi="仿宋" w:cs="仿宋" w:hint="eastAsia"/>
                <w:bCs/>
                <w:color w:val="auto"/>
                <w:kern w:val="0"/>
                <w:sz w:val="24"/>
                <w:szCs w:val="24"/>
              </w:rPr>
              <w:t>设备操作软件、采集软件、传输软件等应支持国产系统。</w:t>
            </w:r>
          </w:p>
        </w:tc>
      </w:tr>
    </w:tbl>
    <w:p>
      <w:pPr>
        <w:spacing w:line="560" w:lineRule="exact"/>
        <w:jc w:val="center"/>
        <w:rPr>
          <w:rFonts w:ascii="仿宋_GB2312" w:eastAsia="仿宋_GB2312" w:hAnsi="仿宋_GB2312" w:cs="仿宋_GB2312"/>
          <w:b/>
          <w:bCs/>
          <w:szCs w:val="21"/>
        </w:rPr>
      </w:pPr>
      <w:r>
        <w:rPr>
          <w:rFonts w:ascii="仿宋_GB2312" w:eastAsia="仿宋_GB2312" w:hAnsi="仿宋_GB2312" w:cs="仿宋_GB2312"/>
          <w:b/>
          <w:bCs/>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2in" o:oleicon="f" o:ole="" coordsize="21600,21600" o:preferrelative="t" filled="f" stroked="f">
            <v:stroke joinstyle="miter"/>
            <v:imagedata r:id="rId6" o:title=""/>
            <o:lock v:ext="edit" aspectratio="t"/>
            <w10:anchorlock/>
          </v:shape>
          <o:OLEObject Type="Embed" ProgID="MSGraph.Chart.8" ShapeID="_x0000_i1026" DrawAspect="Content" ObjectID="_1468075725" r:id="rId7"/>
        </w:object>
      </w:r>
    </w:p>
    <w:p>
      <w:pPr>
        <w:spacing w:line="560" w:lineRule="exact"/>
        <w:jc w:val="center"/>
        <w:rPr>
          <w:rFonts w:ascii="仿宋_GB2312" w:eastAsia="仿宋_GB2312" w:hAnsi="仿宋_GB2312" w:cs="仿宋_GB2312"/>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Ex>
        <w:trPr>
          <w:trHeight w:val="503"/>
          <w:jc w:val="center"/>
        </w:trPr>
        <w:tc>
          <w:tcPr>
            <w:tcW w:w="558" w:type="dxa"/>
            <w:vAlign w:val="center"/>
          </w:tcPr>
          <w:p>
            <w:pPr>
              <w:widowControl/>
              <w:jc w:val="center"/>
              <w:rPr>
                <w:rFonts w:ascii="仿宋" w:eastAsia="仿宋" w:hAnsi="仿宋" w:cs="仿宋"/>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PrEx>
        <w:trPr>
          <w:trHeight w:val="1260"/>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bCs/>
                <w:kern w:val="0"/>
              </w:rPr>
            </w:pPr>
          </w:p>
        </w:tc>
      </w:tr>
      <w:tr>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bCs/>
                <w:kern w:val="0"/>
              </w:rPr>
            </w:pPr>
          </w:p>
        </w:tc>
      </w:tr>
      <w:tr>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bCs/>
                <w:kern w:val="0"/>
              </w:rPr>
            </w:pPr>
          </w:p>
        </w:tc>
      </w:tr>
      <w:tr>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bCs/>
                <w:kern w:val="0"/>
              </w:rPr>
            </w:pPr>
          </w:p>
        </w:tc>
      </w:tr>
      <w:tr>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bCs/>
                <w:kern w:val="0"/>
              </w:rPr>
            </w:pPr>
          </w:p>
        </w:tc>
      </w:tr>
      <w:tr>
        <w:tblPrEx>
          <w:tblW w:w="9097" w:type="dxa"/>
          <w:jc w:val="center"/>
          <w:tblLayout w:type="fixed"/>
          <w:tblCellMar>
            <w:top w:w="0" w:type="dxa"/>
            <w:left w:w="10" w:type="dxa"/>
            <w:bottom w:w="0" w:type="dxa"/>
            <w:right w:w="10" w:type="dxa"/>
          </w:tblCellMar>
        </w:tblPrEx>
        <w:trPr>
          <w:trHeight w:val="342"/>
          <w:jc w:val="center"/>
        </w:trPr>
        <w:tc>
          <w:tcPr>
            <w:tcW w:w="558"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（2）在质保期内，设备供应商服务时间应为 7×24小时，当投标产品或软件遭到损坏或出现故障时，要在用户报修之时起4小时内做出响应，并在48小时内到达现场，开展维修维护工作，视情况双方协商设备恢复正常运行时限。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560" w:lineRule="exact"/>
        <w:ind w:left="420" w:leftChars="200"/>
        <w:rPr>
          <w:rFonts w:ascii="仿宋" w:eastAsia="仿宋" w:hAnsi="仿宋" w:cs="仿宋"/>
          <w:sz w:val="28"/>
          <w:szCs w:val="20"/>
        </w:rPr>
      </w:pPr>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地基多通道微波辐射计对大气温度、相对湿度、水汽、总水汽、总液态水含量的垂直廓线等进行监测分析。微波辐射计全天候连续、自动监测，性能稳定，准确性高。微波辐射计建成后，按业务流程和规范，投入业务运行，实时探测数据传送至省局信息中心，参与全省数据共享，实现微波辐射计的联网运行。为扬中气象灾害监测预警和环境气象服务提供科技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6个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6人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中标供应商将所有设备运送至扬中市气象局地点（运输相关费用由供应商负责），并负责安装调试。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合同签订后120天内完成供货，18</w:t>
      </w:r>
      <w:r>
        <w:rPr>
          <w:rFonts w:ascii="仿宋" w:eastAsia="仿宋" w:hAnsi="仿宋" w:cs="仿宋"/>
          <w:sz w:val="28"/>
          <w:szCs w:val="20"/>
        </w:rPr>
        <w:t>0</w:t>
      </w:r>
      <w:r>
        <w:rPr>
          <w:rFonts w:ascii="仿宋" w:eastAsia="仿宋" w:hAnsi="仿宋" w:cs="仿宋" w:hint="eastAsia"/>
          <w:sz w:val="28"/>
          <w:szCs w:val="20"/>
        </w:rPr>
        <w:t>天安装调试并具备验收条件。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spacing w:line="240" w:lineRule="auto"/>
        <w:ind w:left="0" w:firstLine="560" w:leftChars="0" w:firstLineChars="200"/>
        <w:rPr>
          <w:rFonts w:ascii="仿宋" w:eastAsia="仿宋" w:hAnsi="仿宋" w:cs="仿宋"/>
          <w:sz w:val="28"/>
          <w:szCs w:val="20"/>
        </w:rPr>
      </w:pPr>
      <w:r>
        <w:rPr>
          <w:rFonts w:ascii="仿宋" w:eastAsia="仿宋" w:hAnsi="仿宋" w:cs="仿宋" w:hint="eastAsia"/>
          <w:sz w:val="28"/>
          <w:szCs w:val="20"/>
        </w:rPr>
        <w:t>设备可无缝接入省局网络系统，实现与江苏预报业务一体化平台无缝接入，完全符合甲方相关要求和规范，保证其系统的兼容性和功能的完整性。</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7"/>
        <w:gridCol w:w="797"/>
        <w:gridCol w:w="667"/>
        <w:gridCol w:w="927"/>
        <w:gridCol w:w="1057"/>
        <w:gridCol w:w="3791"/>
        <w:gridCol w:w="91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1,300,000.00</w:t>
            </w:r>
          </w:p>
        </w:tc>
        <w:tc>
          <w:tcPr/>
          <w:p>
            <w:pPr>
              <w:autoSpaceDE w:val="0"/>
              <w:jc w:val="center"/>
              <w:rPr>
                <w:rFonts w:asciiTheme="minorEastAsia" w:hAnsiTheme="minorEastAsia" w:cstheme="minorEastAsia" w:hint="eastAsia"/>
                <w:kern w:val="0"/>
                <w:szCs w:val="21"/>
              </w:rPr>
            </w:pPr>
            <w:r>
              <w:t>合同签订后120天内交货，180天内完成安装调试并具备验收条件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扬中市气象局 谢添 15195906108</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1994"/>
        <w:gridCol w:w="1007"/>
        <w:gridCol w:w="514"/>
        <w:gridCol w:w="1172"/>
        <w:gridCol w:w="977"/>
        <w:gridCol w:w="1172"/>
        <w:gridCol w:w="117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扬中市局(001040031011)</w:t>
            </w:r>
          </w:p>
        </w:tc>
        <w:tc>
          <w:tcPr/>
          <w:p>
            <w:r>
              <w:t>微波辐射计</w:t>
            </w:r>
          </w:p>
        </w:tc>
        <w:tc>
          <w:tcPr/>
          <w:p>
            <w:r>
              <w:t>1</w:t>
            </w:r>
          </w:p>
        </w:tc>
        <w:tc>
          <w:tcPr/>
          <w:p>
            <w:r>
              <w:t>1300000.00</w:t>
            </w:r>
          </w:p>
        </w:tc>
        <w:tc>
          <w:tcPr/>
          <w:p>
            <w:r>
              <w:t xml:space="preserve">1300000.00  </w:t>
            </w:r>
          </w:p>
        </w:tc>
        <w:tc>
          <w:tcPr/>
          <w:p>
            <w:r>
              <w:t>扬中市气象局</w:t>
            </w:r>
          </w:p>
        </w:tc>
        <w:tc>
          <w:tcPr/>
          <w:p>
            <w:r>
              <w:t>扬中市气象局 谢添 15195906108</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6F3A23">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F3A2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16048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F3A23">
            <w:pPr>
              <w:rPr>
                <w:sz w:val="18"/>
                <w:szCs w:val="18"/>
              </w:rPr>
            </w:pPr>
            <w:r>
              <w:rPr>
                <w:rFonts w:hint="eastAsia"/>
                <w:sz w:val="18"/>
                <w:szCs w:val="18"/>
              </w:rPr>
              <w:t>序号</w:t>
            </w:r>
          </w:p>
        </w:tc>
        <w:tc>
          <w:tcPr>
            <w:tcW w:w="898" w:type="dxa"/>
            <w:vAlign w:val="center"/>
          </w:tcPr>
          <w:p w:rsidR="006F3A23">
            <w:pPr>
              <w:jc w:val="center"/>
              <w:rPr>
                <w:sz w:val="18"/>
                <w:szCs w:val="18"/>
              </w:rPr>
            </w:pPr>
            <w:r>
              <w:rPr>
                <w:rFonts w:hint="eastAsia"/>
                <w:sz w:val="18"/>
                <w:szCs w:val="18"/>
              </w:rPr>
              <w:t>对应</w:t>
            </w:r>
          </w:p>
          <w:p w:rsidR="006F3A23">
            <w:pPr>
              <w:jc w:val="center"/>
              <w:rPr>
                <w:sz w:val="18"/>
                <w:szCs w:val="18"/>
              </w:rPr>
            </w:pPr>
            <w:r>
              <w:rPr>
                <w:rFonts w:hint="eastAsia"/>
                <w:sz w:val="18"/>
                <w:szCs w:val="18"/>
              </w:rPr>
              <w:t>条款号</w:t>
            </w:r>
          </w:p>
        </w:tc>
        <w:tc>
          <w:tcPr>
            <w:tcW w:w="7347" w:type="dxa"/>
            <w:vAlign w:val="center"/>
          </w:tcPr>
          <w:p w:rsidR="006F3A2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160483">
        <w:tblPrEx>
          <w:tblW w:w="8789" w:type="dxa"/>
          <w:tblLayout w:type="fixed"/>
          <w:tblLook w:val="04A0"/>
        </w:tblPrEx>
        <w:trPr>
          <w:cantSplit/>
        </w:trPr>
        <w:tc>
          <w:tcPr>
            <w:tcW w:w="8789" w:type="dxa"/>
            <w:gridSpan w:val="3"/>
            <w:vAlign w:val="center"/>
          </w:tcPr>
          <w:p w:rsidR="006F3A2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160483">
        <w:tblPrEx>
          <w:tblW w:w="8789" w:type="dxa"/>
          <w:tblLayout w:type="fixed"/>
          <w:tblLook w:val="04A0"/>
        </w:tblPrEx>
        <w:trPr>
          <w:cantSplit/>
        </w:trPr>
        <w:tc>
          <w:tcPr>
            <w:tcW w:w="544" w:type="dxa"/>
            <w:vAlign w:val="center"/>
          </w:tcPr>
          <w:p w:rsidR="006F3A23">
            <w:pPr>
              <w:numPr>
                <w:ilvl w:val="0"/>
                <w:numId w:val="13"/>
              </w:numPr>
              <w:rPr>
                <w:rFonts w:ascii="宋体" w:hAnsi="宋体"/>
                <w:sz w:val="18"/>
                <w:szCs w:val="18"/>
              </w:rPr>
            </w:pPr>
          </w:p>
        </w:tc>
        <w:tc>
          <w:tcPr>
            <w:tcW w:w="898" w:type="dxa"/>
            <w:vAlign w:val="center"/>
          </w:tcPr>
          <w:p w:rsidR="006F3A23" w:rsidP="00383ADA">
            <w:pPr>
              <w:jc w:val="center"/>
              <w:rPr>
                <w:rFonts w:ascii="宋体" w:hAnsi="宋体"/>
                <w:sz w:val="18"/>
                <w:szCs w:val="18"/>
              </w:rPr>
            </w:pPr>
            <w:r>
              <w:rPr>
                <w:rFonts w:ascii="宋体" w:hAnsi="宋体" w:hint="eastAsia"/>
                <w:sz w:val="18"/>
                <w:szCs w:val="18"/>
              </w:rPr>
              <w:t>5</w:t>
            </w:r>
            <w:r>
              <w:rPr>
                <w:rFonts w:ascii="宋体" w:hAnsi="宋体"/>
                <w:sz w:val="18"/>
                <w:szCs w:val="18"/>
              </w:rPr>
              <w:t>.</w:t>
            </w:r>
            <w:r w:rsidR="00383ADA">
              <w:rPr>
                <w:rFonts w:ascii="宋体" w:hAnsi="宋体"/>
                <w:sz w:val="18"/>
                <w:szCs w:val="18"/>
              </w:rPr>
              <w:t>7</w:t>
            </w:r>
          </w:p>
        </w:tc>
        <w:tc>
          <w:tcPr>
            <w:tcW w:w="7347" w:type="dxa"/>
          </w:tcPr>
          <w:p w:rsidR="006F3A23" w:rsidP="00B91904">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w:t>
            </w:r>
            <w:r w:rsidR="00B91904">
              <w:rPr>
                <w:rFonts w:ascii="宋体" w:hAnsi="宋体" w:cs="微软雅黑" w:hint="eastAsia"/>
                <w:b/>
                <w:color w:val="0000FF"/>
                <w:kern w:val="0"/>
                <w:sz w:val="18"/>
                <w:szCs w:val="18"/>
              </w:rPr>
              <w:t>产品</w:t>
            </w:r>
            <w:r>
              <w:rPr>
                <w:rFonts w:ascii="宋体" w:hAnsi="宋体" w:cs="微软雅黑" w:hint="eastAsia"/>
                <w:b/>
                <w:color w:val="0000FF"/>
                <w:kern w:val="0"/>
                <w:sz w:val="18"/>
                <w:szCs w:val="18"/>
              </w:rPr>
              <w:t>应具有以下到投标截止日仍在有效期内的资质：《</w:t>
            </w:r>
            <w:r w:rsidRPr="003B5D20" w:rsidR="003B5D20">
              <w:rPr>
                <w:rFonts w:ascii="宋体" w:hAnsi="宋体" w:cs="微软雅黑" w:hint="eastAsia"/>
                <w:b/>
                <w:color w:val="0000FF"/>
                <w:kern w:val="0"/>
                <w:sz w:val="18"/>
                <w:szCs w:val="18"/>
              </w:rPr>
              <w:t>地基微波辐射计气象专用技术装备许可证</w:t>
            </w:r>
            <w:r>
              <w:rPr>
                <w:rFonts w:ascii="宋体" w:hAnsi="宋体" w:cs="微软雅黑" w:hint="eastAsia"/>
                <w:b/>
                <w:color w:val="0000FF"/>
                <w:kern w:val="0"/>
                <w:sz w:val="18"/>
                <w:szCs w:val="18"/>
              </w:rPr>
              <w:t>》</w:t>
            </w:r>
          </w:p>
        </w:tc>
      </w:tr>
      <w:tr w:rsidTr="00160483">
        <w:tblPrEx>
          <w:tblW w:w="8789" w:type="dxa"/>
          <w:tblLayout w:type="fixed"/>
          <w:tblLook w:val="04A0"/>
        </w:tblPrEx>
        <w:trPr>
          <w:cantSplit/>
        </w:trPr>
        <w:tc>
          <w:tcPr>
            <w:tcW w:w="8789" w:type="dxa"/>
            <w:gridSpan w:val="3"/>
            <w:vAlign w:val="center"/>
          </w:tcPr>
          <w:p w:rsidR="006F3A2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160483">
        <w:tblPrEx>
          <w:tblW w:w="8789" w:type="dxa"/>
          <w:tblLayout w:type="fixed"/>
          <w:tblLook w:val="04A0"/>
        </w:tblPrEx>
        <w:trPr>
          <w:cantSplit/>
        </w:trPr>
        <w:tc>
          <w:tcPr>
            <w:tcW w:w="544" w:type="dxa"/>
            <w:vAlign w:val="center"/>
          </w:tcPr>
          <w:p w:rsidR="006F3A23">
            <w:pPr>
              <w:numPr>
                <w:ilvl w:val="0"/>
                <w:numId w:val="13"/>
              </w:numPr>
              <w:rPr>
                <w:rFonts w:ascii="宋体" w:hAnsi="宋体"/>
                <w:sz w:val="18"/>
                <w:szCs w:val="18"/>
              </w:rPr>
            </w:pPr>
          </w:p>
        </w:tc>
        <w:tc>
          <w:tcPr>
            <w:tcW w:w="898" w:type="dxa"/>
            <w:vAlign w:val="center"/>
          </w:tcPr>
          <w:p w:rsidR="006F3A23">
            <w:pPr>
              <w:jc w:val="center"/>
              <w:rPr>
                <w:rFonts w:ascii="宋体" w:hAnsi="宋体"/>
                <w:sz w:val="18"/>
                <w:szCs w:val="18"/>
              </w:rPr>
            </w:pPr>
            <w:r>
              <w:rPr>
                <w:rFonts w:ascii="宋体" w:hAnsi="宋体" w:hint="eastAsia"/>
                <w:sz w:val="18"/>
                <w:szCs w:val="18"/>
              </w:rPr>
              <w:t>四</w:t>
            </w:r>
            <w:r>
              <w:rPr>
                <w:rFonts w:ascii="宋体" w:hAnsi="宋体"/>
                <w:sz w:val="18"/>
                <w:szCs w:val="18"/>
              </w:rPr>
              <w:t>、质保服务要求</w:t>
            </w:r>
          </w:p>
        </w:tc>
        <w:tc>
          <w:tcPr>
            <w:tcW w:w="7347" w:type="dxa"/>
            <w:vAlign w:val="center"/>
          </w:tcPr>
          <w:p w:rsidR="006F3A23">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质保期：地基多通道微波辐射计观测系统8年，从双方签署现场安装测试报告之日开始计算保质期。</w:t>
            </w:r>
          </w:p>
        </w:tc>
      </w:tr>
    </w:tbl>
    <w:p w:rsidR="006F3A23">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750E97" w:rsidP="0021095D">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750E97">
      <w:pPr>
        <w:spacing w:line="360" w:lineRule="auto"/>
        <w:ind w:left="1680" w:firstLine="420"/>
        <w:jc w:val="left"/>
        <w:rPr>
          <w:b/>
          <w:bCs/>
          <w:szCs w:val="21"/>
        </w:rPr>
      </w:pPr>
      <w:r>
        <w:rPr>
          <w:rFonts w:hint="eastAsia"/>
          <w:b/>
          <w:bCs/>
          <w:szCs w:val="21"/>
        </w:rPr>
        <w:t>必须明确合同金额支付条件及支付比例</w:t>
      </w:r>
    </w:p>
    <w:p w:rsidR="00750E97">
      <w:pPr>
        <w:pStyle w:val="BodyText"/>
        <w:spacing w:after="0"/>
        <w:jc w:val="center"/>
        <w:rPr>
          <w:rFonts w:ascii="宋体" w:hAnsi="宋体" w:cs="宋体"/>
          <w:b/>
          <w:bCs/>
          <w:spacing w:val="-20"/>
          <w:kern w:val="44"/>
          <w:sz w:val="48"/>
          <w:szCs w:val="48"/>
        </w:rPr>
      </w:pPr>
      <w:r>
        <w:rPr>
          <w:b/>
          <w:bCs/>
          <w:szCs w:val="21"/>
        </w:rPr>
        <w:br w:type="page"/>
      </w:r>
      <w:bookmarkStart w:id="71" w:name="_Toc3995"/>
    </w:p>
    <w:p w:rsidR="00750E97">
      <w:pPr>
        <w:pStyle w:val="BodyText"/>
        <w:spacing w:after="0"/>
        <w:jc w:val="center"/>
        <w:rPr>
          <w:rFonts w:ascii="宋体" w:hAnsi="宋体" w:cs="宋体"/>
          <w:b/>
          <w:bCs/>
          <w:spacing w:val="-20"/>
          <w:kern w:val="44"/>
          <w:sz w:val="48"/>
          <w:szCs w:val="48"/>
        </w:rPr>
      </w:pPr>
    </w:p>
    <w:p w:rsidR="00750E97">
      <w:pPr>
        <w:pStyle w:val="BodyText"/>
        <w:spacing w:after="0"/>
        <w:jc w:val="center"/>
        <w:rPr>
          <w:rFonts w:ascii="宋体" w:hAnsi="宋体" w:cs="宋体"/>
          <w:b/>
          <w:bCs/>
          <w:spacing w:val="-20"/>
          <w:kern w:val="44"/>
          <w:sz w:val="48"/>
          <w:szCs w:val="48"/>
        </w:rPr>
      </w:pPr>
    </w:p>
    <w:p w:rsidR="00750E97">
      <w:pPr>
        <w:pStyle w:val="BodyText"/>
        <w:spacing w:after="0"/>
        <w:jc w:val="center"/>
        <w:rPr>
          <w:rFonts w:ascii="宋体" w:hAnsi="宋体" w:cs="宋体"/>
          <w:b/>
          <w:bCs/>
          <w:spacing w:val="-20"/>
          <w:kern w:val="44"/>
          <w:sz w:val="48"/>
          <w:szCs w:val="48"/>
        </w:rPr>
      </w:pPr>
    </w:p>
    <w:p w:rsidR="00750E97">
      <w:pPr>
        <w:pStyle w:val="BodyText"/>
        <w:spacing w:after="0"/>
        <w:jc w:val="center"/>
        <w:rPr>
          <w:rFonts w:ascii="宋体" w:hAnsi="宋体" w:cs="宋体"/>
          <w:b/>
          <w:bCs/>
          <w:spacing w:val="-20"/>
          <w:kern w:val="44"/>
          <w:sz w:val="48"/>
          <w:szCs w:val="48"/>
        </w:rPr>
      </w:pPr>
    </w:p>
    <w:p w:rsidR="00750E9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750E9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750E97">
      <w:pPr>
        <w:rPr>
          <w:rFonts w:ascii="宋体" w:hAnsi="宋体" w:cs="宋体"/>
          <w:b/>
          <w:bCs/>
          <w:spacing w:val="-20"/>
          <w:kern w:val="44"/>
          <w:sz w:val="40"/>
          <w:szCs w:val="40"/>
        </w:rPr>
      </w:pPr>
    </w:p>
    <w:p w:rsidR="00750E97">
      <w:pPr>
        <w:rPr>
          <w:rFonts w:ascii="宋体" w:hAnsi="宋体" w:cs="宋体"/>
          <w:b/>
          <w:bCs/>
          <w:spacing w:val="-20"/>
          <w:kern w:val="44"/>
          <w:sz w:val="40"/>
          <w:szCs w:val="40"/>
        </w:rPr>
      </w:pPr>
    </w:p>
    <w:p w:rsidR="00750E97">
      <w:pPr>
        <w:rPr>
          <w:rFonts w:ascii="宋体" w:hAnsi="宋体" w:cs="宋体"/>
          <w:b/>
          <w:bCs/>
          <w:spacing w:val="-20"/>
          <w:kern w:val="44"/>
          <w:sz w:val="40"/>
          <w:szCs w:val="40"/>
        </w:rPr>
      </w:pPr>
    </w:p>
    <w:p w:rsidR="00750E9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750E9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750E9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750E9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750E9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750E97"/>
    <w:p w:rsidR="00750E97">
      <w:pPr>
        <w:rPr>
          <w:rFonts w:eastAsia="黑体"/>
          <w:sz w:val="44"/>
          <w:szCs w:val="44"/>
        </w:rPr>
      </w:pPr>
      <w:r>
        <w:rPr>
          <w:rFonts w:eastAsia="黑体"/>
          <w:sz w:val="44"/>
          <w:szCs w:val="44"/>
        </w:rPr>
        <w:br w:type="page"/>
      </w:r>
    </w:p>
    <w:p w:rsidR="00750E97">
      <w:pPr>
        <w:rPr>
          <w:rFonts w:eastAsia="黑体"/>
          <w:sz w:val="44"/>
          <w:szCs w:val="44"/>
        </w:rPr>
      </w:pPr>
    </w:p>
    <w:p w:rsidR="00750E97">
      <w:pPr>
        <w:rPr>
          <w:rFonts w:eastAsia="黑体"/>
          <w:sz w:val="44"/>
          <w:szCs w:val="44"/>
        </w:rPr>
      </w:pPr>
    </w:p>
    <w:p w:rsidR="00750E9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750E97">
      <w:pPr>
        <w:ind w:firstLine="640" w:firstLineChars="200"/>
        <w:rPr>
          <w:rFonts w:ascii="仿宋_GB2312" w:eastAsia="仿宋_GB2312" w:hAnsi="仿宋_GB2312" w:cs="仿宋_GB2312"/>
          <w:sz w:val="32"/>
          <w:szCs w:val="32"/>
        </w:rPr>
      </w:pPr>
    </w:p>
    <w:p w:rsidR="00750E9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750E9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750E9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750E97">
      <w:pPr>
        <w:rPr>
          <w:rFonts w:eastAsia="黑体"/>
          <w:sz w:val="44"/>
          <w:szCs w:val="44"/>
        </w:rPr>
        <w:sectPr>
          <w:pgSz w:w="11906" w:h="16838"/>
          <w:pgMar w:top="1440" w:right="1800" w:bottom="1440" w:left="1800" w:header="851" w:footer="992" w:gutter="0"/>
          <w:cols w:space="425"/>
          <w:docGrid w:type="lines" w:linePitch="312"/>
        </w:sectPr>
      </w:pPr>
    </w:p>
    <w:p w:rsidR="00750E97">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750E97">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750E97">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750E97">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750E97">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750E97">
      <w:pPr>
        <w:spacing w:line="400" w:lineRule="exact"/>
      </w:pPr>
    </w:p>
    <w:p w:rsidR="00750E9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750E97" w:rsidP="0021095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750E97">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750E97">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750E9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750E9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750E97">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750E97">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750E9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750E97">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750E9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750E97">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750E9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750E9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750E9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750E9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750E9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750E97">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750E97">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750E9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750E97">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750E97">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750E97">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750E97">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750E9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750E9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750E9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750E9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750E9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750E97">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750E9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750E97">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750E97">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750E9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750E97">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750E97">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750E9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750E97">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750E97">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750E9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750E9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750E97">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750E9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750E9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750E9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750E97">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750E97">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750E9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750E9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750E97">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750E97">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750E97" w:rsidP="0021095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750E9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750E97">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750E9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750E97">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750E97">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rsidR="00750E97">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750E97">
      <w:pPr>
        <w:pStyle w:val="12"/>
        <w:spacing w:line="400" w:lineRule="exact"/>
      </w:pPr>
      <w:r>
        <w:rPr>
          <w:rFonts w:ascii="宋体" w:hAnsi="宋体" w:hint="eastAsia"/>
        </w:rPr>
        <w:t>（3）付款方式（按项目实际勾选填写）：</w:t>
      </w:r>
    </w:p>
    <w:p w:rsidR="00750E97">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750E97">
      <w:pPr>
        <w:snapToGrid w:val="0"/>
        <w:spacing w:line="400" w:lineRule="exact"/>
        <w:ind w:firstLine="630" w:firstLineChars="300"/>
      </w:pPr>
      <w:r>
        <w:rPr>
          <w:rFonts w:ascii="Wingdings" w:hAnsi="Wingdings"/>
          <w:szCs w:val="21"/>
        </w:rPr>
        <w:sym w:font="Wingdings" w:char="F0FC"/>
      </w:r>
      <w:r w:rsidR="00E52E76">
        <w:rPr>
          <w:rFonts w:ascii="宋体" w:hAnsi="宋体" w:hint="eastAsia"/>
          <w:szCs w:val="21"/>
        </w:rPr>
        <w:t>分期付款：</w:t>
      </w:r>
      <w:r w:rsidR="00E52E76">
        <w:rPr>
          <w:rFonts w:ascii="宋体" w:hAnsi="宋体" w:hint="eastAsia"/>
          <w:szCs w:val="21"/>
          <w:u w:val="single"/>
        </w:rPr>
        <w:t xml:space="preserve">  </w:t>
      </w:r>
      <w:r w:rsidR="0021095D">
        <w:rPr>
          <w:rFonts w:ascii="宋体" w:hAnsi="宋体" w:hint="eastAsia"/>
          <w:szCs w:val="21"/>
          <w:u w:val="single"/>
        </w:rPr>
        <w:t>合同生效后</w:t>
      </w:r>
      <w:r w:rsidR="00EB208E">
        <w:rPr>
          <w:rFonts w:ascii="宋体" w:hAnsi="宋体" w:hint="eastAsia"/>
          <w:szCs w:val="21"/>
          <w:u w:val="single"/>
        </w:rPr>
        <w:t>20个工作日内</w:t>
      </w:r>
      <w:r w:rsidR="0021095D">
        <w:rPr>
          <w:rFonts w:ascii="宋体" w:hAnsi="宋体" w:hint="eastAsia"/>
          <w:szCs w:val="21"/>
          <w:u w:val="single"/>
        </w:rPr>
        <w:t>付款50%，</w:t>
      </w:r>
      <w:r w:rsidR="00EB208E">
        <w:rPr>
          <w:rFonts w:ascii="宋体" w:hAnsi="宋体" w:hint="eastAsia"/>
          <w:szCs w:val="21"/>
          <w:u w:val="single"/>
        </w:rPr>
        <w:t>设备</w:t>
      </w:r>
      <w:r w:rsidR="0021095D">
        <w:rPr>
          <w:rFonts w:ascii="宋体" w:hAnsi="宋体" w:hint="eastAsia"/>
          <w:szCs w:val="21"/>
          <w:u w:val="single"/>
        </w:rPr>
        <w:t>到货</w:t>
      </w:r>
      <w:r w:rsidR="00EB208E">
        <w:rPr>
          <w:rFonts w:ascii="宋体" w:hAnsi="宋体" w:hint="eastAsia"/>
          <w:szCs w:val="21"/>
          <w:u w:val="single"/>
        </w:rPr>
        <w:t>、签收</w:t>
      </w:r>
      <w:r w:rsidR="0021095D">
        <w:rPr>
          <w:rFonts w:ascii="宋体" w:hAnsi="宋体" w:hint="eastAsia"/>
          <w:szCs w:val="21"/>
          <w:u w:val="single"/>
        </w:rPr>
        <w:t>后</w:t>
      </w:r>
      <w:r w:rsidR="00F96782">
        <w:rPr>
          <w:rFonts w:ascii="宋体" w:hAnsi="宋体" w:hint="eastAsia"/>
          <w:szCs w:val="21"/>
          <w:u w:val="single"/>
        </w:rPr>
        <w:t>2</w:t>
      </w:r>
      <w:r w:rsidR="00EB208E">
        <w:rPr>
          <w:rFonts w:ascii="宋体" w:hAnsi="宋体" w:hint="eastAsia"/>
          <w:szCs w:val="21"/>
          <w:u w:val="single"/>
        </w:rPr>
        <w:t>0个工作日内</w:t>
      </w:r>
      <w:r w:rsidR="0021095D">
        <w:rPr>
          <w:rFonts w:ascii="宋体" w:hAnsi="宋体" w:hint="eastAsia"/>
          <w:szCs w:val="21"/>
          <w:u w:val="single"/>
        </w:rPr>
        <w:t>付款30%，</w:t>
      </w:r>
      <w:r w:rsidR="00EB208E">
        <w:rPr>
          <w:rFonts w:ascii="宋体" w:hAnsi="宋体" w:hint="eastAsia"/>
          <w:szCs w:val="21"/>
          <w:u w:val="single"/>
        </w:rPr>
        <w:t>项目</w:t>
      </w:r>
      <w:r w:rsidR="0021095D">
        <w:rPr>
          <w:rFonts w:ascii="宋体" w:hAnsi="宋体" w:hint="eastAsia"/>
          <w:szCs w:val="21"/>
          <w:u w:val="single"/>
        </w:rPr>
        <w:t>验收合格后</w:t>
      </w:r>
      <w:r w:rsidR="00EB208E">
        <w:rPr>
          <w:rFonts w:ascii="宋体" w:hAnsi="宋体" w:hint="eastAsia"/>
          <w:szCs w:val="21"/>
          <w:u w:val="single"/>
        </w:rPr>
        <w:t>20个工作日内</w:t>
      </w:r>
      <w:r w:rsidR="0021095D">
        <w:rPr>
          <w:rFonts w:ascii="宋体" w:hAnsi="宋体" w:hint="eastAsia"/>
          <w:szCs w:val="21"/>
          <w:u w:val="single"/>
        </w:rPr>
        <w:t>付款20%</w:t>
      </w:r>
      <w:r w:rsidR="00E52E76">
        <w:rPr>
          <w:rFonts w:ascii="宋体" w:hAnsi="宋体" w:hint="eastAsia"/>
          <w:szCs w:val="21"/>
          <w:u w:val="single"/>
        </w:rPr>
        <w:t xml:space="preserve"> </w:t>
      </w:r>
    </w:p>
    <w:p w:rsidR="00750E97">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750E97">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750E97" w:rsidP="0021095D">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750E97">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50E97">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750E97">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750E97">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750E97">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750E97">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750E97">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750E9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750E97" w:rsidP="0021095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750E97">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750E97">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750E97">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750E9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750E97">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750E9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750E97">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750E9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750E97">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750E9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750E9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750E97">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750E97">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750E97">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750E9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750E9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750E97">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750E9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750E97" w:rsidP="0021095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750E97">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750E97" w:rsidP="0021095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750E97" w:rsidP="0021095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750E97">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750E9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750E97">
      <w:r>
        <w:rPr>
          <w:rFonts w:hint="eastAsia"/>
        </w:rPr>
        <w:br w:type="page"/>
      </w:r>
    </w:p>
    <w:p w:rsidR="00750E9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750E9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750E97">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法定代表人</w:t>
            </w:r>
          </w:p>
          <w:p w:rsidR="00750E9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法定代表人</w:t>
            </w:r>
          </w:p>
          <w:p w:rsidR="00750E9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50E9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750E97">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750E9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750E97">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750E97">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750E9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750E9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750E9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750E9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750E9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750E9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750E9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750E97">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750E9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750E97">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750E9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750E9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750E9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750E9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750E9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750E97">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750E9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750E97">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750E9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750E9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750E97">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750E9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750E97">
      <w:pPr>
        <w:pStyle w:val="PlainText"/>
        <w:adjustRightInd w:val="0"/>
        <w:snapToGrid w:val="0"/>
        <w:spacing w:line="400" w:lineRule="exact"/>
        <w:ind w:firstLine="420" w:firstLineChars="200"/>
        <w:jc w:val="left"/>
        <w:rPr>
          <w:rFonts w:hAnsi="宋体"/>
          <w:b/>
        </w:rPr>
      </w:pPr>
      <w:r>
        <w:rPr>
          <w:rFonts w:hAnsi="宋体" w:hint="eastAsia"/>
        </w:rPr>
        <w:t>8.1 质量标准</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750E97">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750E9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750E9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750E9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750E9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750E97">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750E97">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750E97">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750E97">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750E9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750E97">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750E9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750E97">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750E97">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750E97">
      <w:pPr>
        <w:adjustRightInd w:val="0"/>
        <w:snapToGrid w:val="0"/>
        <w:spacing w:line="400" w:lineRule="exact"/>
        <w:jc w:val="left"/>
        <w:rPr>
          <w:rFonts w:ascii="宋体" w:hAnsi="宋体"/>
          <w:b/>
          <w:bCs/>
        </w:rPr>
      </w:pPr>
      <w:r>
        <w:rPr>
          <w:rFonts w:ascii="宋体" w:hAnsi="宋体" w:hint="eastAsia"/>
          <w:b/>
          <w:bCs/>
          <w:sz w:val="24"/>
        </w:rPr>
        <w:t>15. 违约责任</w:t>
      </w:r>
    </w:p>
    <w:p w:rsidR="00750E97">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750E97">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750E97">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750E97">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750E97">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750E97">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750E9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750E97">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750E9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750E97">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750E97">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750E97">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750E97">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750E97">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750E97">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750E97">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750E97">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750E97">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750E9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750E97">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750E97">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750E97">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750E97">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750E97">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750E97">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750E97">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750E97">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750E97">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750E97">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rsidR="00750E97">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750E97">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snapToGrid w:val="0"/>
              <w:jc w:val="center"/>
            </w:pPr>
            <w:r>
              <w:rPr>
                <w:rFonts w:ascii="宋体" w:hAnsi="宋体" w:hint="eastAsia"/>
                <w:szCs w:val="21"/>
              </w:rPr>
              <w:t>第5.4款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snapToGrid w:val="0"/>
              <w:jc w:val="center"/>
              <w:rPr>
                <w:rFonts w:ascii="宋体" w:hAnsi="宋体"/>
                <w:szCs w:val="21"/>
              </w:rPr>
            </w:pPr>
            <w:r>
              <w:rPr>
                <w:rFonts w:ascii="宋体" w:hAnsi="宋体" w:hint="eastAsia"/>
                <w:szCs w:val="21"/>
              </w:rPr>
              <w:t>第6.1款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750E97"/>
        </w:tc>
      </w:tr>
      <w:tr>
        <w:tblPrEx>
          <w:tblW w:w="8519" w:type="dxa"/>
          <w:tblInd w:w="108" w:type="dxa"/>
          <w:tblLayout w:type="fixed"/>
          <w:tblLook w:val="04A0"/>
        </w:tblPrEx>
        <w:trPr>
          <w:trHeight w:val="667"/>
        </w:trPr>
        <w:tc>
          <w:tcPr>
            <w:tcW w:w="1607" w:type="dxa"/>
            <w:vMerge/>
            <w:vAlign w:val="center"/>
          </w:tcPr>
          <w:p w:rsidR="00750E97">
            <w:pPr>
              <w:adjustRightInd w:val="0"/>
              <w:snapToGrid w:val="0"/>
              <w:jc w:val="center"/>
              <w:rPr>
                <w:rFonts w:ascii="宋体" w:hAnsi="宋体"/>
                <w:szCs w:val="21"/>
              </w:rPr>
            </w:pPr>
          </w:p>
        </w:tc>
        <w:tc>
          <w:tcPr>
            <w:tcW w:w="1742" w:type="dxa"/>
            <w:vAlign w:val="center"/>
          </w:tcPr>
          <w:p w:rsidR="00750E97">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750E97"/>
        </w:tc>
      </w:tr>
      <w:tr>
        <w:tblPrEx>
          <w:tblW w:w="8519" w:type="dxa"/>
          <w:tblInd w:w="108" w:type="dxa"/>
          <w:tblLayout w:type="fixed"/>
          <w:tblLook w:val="04A0"/>
        </w:tblPrEx>
        <w:trPr>
          <w:trHeight w:val="772"/>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750E97"/>
        </w:tc>
      </w:tr>
      <w:tr>
        <w:tblPrEx>
          <w:tblW w:w="8519" w:type="dxa"/>
          <w:tblInd w:w="108" w:type="dxa"/>
          <w:tblLayout w:type="fixed"/>
          <w:tblLook w:val="04A0"/>
        </w:tblPrEx>
        <w:trPr>
          <w:trHeight w:val="667"/>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750E97"/>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750E97">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货物质量缺陷</w:t>
            </w:r>
          </w:p>
          <w:p w:rsidR="00750E9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snapToGrid w:val="0"/>
              <w:jc w:val="center"/>
              <w:rPr>
                <w:rFonts w:ascii="宋体" w:hAnsi="宋体" w:cs="宋体"/>
                <w:szCs w:val="21"/>
              </w:rPr>
            </w:pPr>
            <w:r>
              <w:rPr>
                <w:rFonts w:ascii="宋体" w:hAnsi="宋体" w:cs="宋体" w:hint="eastAsia"/>
                <w:szCs w:val="21"/>
              </w:rPr>
              <w:t>第二节</w:t>
            </w:r>
          </w:p>
          <w:p w:rsidR="00750E97">
            <w:pPr>
              <w:pStyle w:val="AONormal"/>
              <w:ind w:firstLine="0" w:firstLineChars="0"/>
              <w:jc w:val="center"/>
            </w:pPr>
            <w:r>
              <w:rPr>
                <w:rFonts w:ascii="宋体" w:eastAsia="宋体" w:hAnsi="宋体" w:cs="宋体" w:hint="eastAsia"/>
              </w:rPr>
              <w:t>第11.1款</w:t>
            </w:r>
          </w:p>
        </w:tc>
        <w:tc>
          <w:tcPr>
            <w:tcW w:w="1742" w:type="dxa"/>
            <w:vAlign w:val="center"/>
          </w:tcPr>
          <w:p w:rsidR="00750E97">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750E9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750E97">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750E97">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750E97">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750E9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750E97">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750E97">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750E9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750E9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750E97">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750E97">
            <w:pPr>
              <w:adjustRightInd w:val="0"/>
              <w:snapToGrid w:val="0"/>
              <w:jc w:val="center"/>
              <w:rPr>
                <w:rFonts w:ascii="宋体" w:hAnsi="宋体"/>
                <w:szCs w:val="21"/>
              </w:rPr>
            </w:pPr>
            <w:r>
              <w:rPr>
                <w:rFonts w:ascii="宋体" w:hAnsi="宋体" w:hint="eastAsia"/>
                <w:szCs w:val="21"/>
              </w:rPr>
              <w:t>第二节</w:t>
            </w:r>
          </w:p>
          <w:p w:rsidR="00750E97">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750E97">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750E97">
            <w:pPr>
              <w:adjustRightInd w:val="0"/>
              <w:snapToGrid w:val="0"/>
              <w:jc w:val="left"/>
              <w:rPr>
                <w:rFonts w:ascii="宋体" w:hAnsi="宋体"/>
                <w:szCs w:val="21"/>
              </w:rPr>
            </w:pPr>
          </w:p>
        </w:tc>
      </w:tr>
    </w:tbl>
    <w:p w:rsidR="00750E97"/>
    <w:p w:rsidR="00750E97">
      <w:pPr>
        <w:rPr>
          <w:b/>
          <w:bCs/>
          <w:sz w:val="44"/>
          <w:szCs w:val="44"/>
        </w:rPr>
      </w:pPr>
    </w:p>
    <w:p w:rsidR="00750E97"/>
    <w:p w:rsidR="00A77B3E"/>
    <w:p>
      <w:pPr>
        <w:spacing w:line="360" w:lineRule="auto"/>
        <w:ind w:firstLine="3066" w:firstLineChars="1460"/>
        <w:jc w:val="left"/>
        <w:rPr>
          <w:b/>
          <w:bCs/>
          <w:szCs w:val="21"/>
          <w:highlight w:val="none"/>
        </w:rPr>
      </w:pPr>
      <w:bookmarkEnd w:id="70"/>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WPSEMBED1">
    <w:panose1 w:val="02010609030101010101"/>
    <w:charset w:val="86"/>
    <w:family w:val="auto"/>
    <w:pitch w:val="default"/>
    <w:sig w:usb0="00000001"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00000000000000000"/>
    <w:charset w:val="86"/>
    <w:family w:val="auto"/>
    <w:pitch w:val="default"/>
    <w:sig w:usb0="00000001"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095D"/>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3ADA"/>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5D20"/>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A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0E97"/>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904"/>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2E76"/>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08E"/>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6782"/>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qFormat/>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