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国家气象信息中心信息安全设备维保服务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w:t>
      </w:r>
      <w:r>
        <w:rPr>
          <w:rFonts w:ascii="宋体" w:eastAsia="宋体" w:hAnsi="宋体" w:cs="Times New Roman" w:hint="eastAsia"/>
          <w:szCs w:val="21"/>
        </w:rPr>
        <w:t>货物报价及品牌、型号、产地、装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588" w:firstLineChars="196"/>
        <w:jc w:val="center"/>
        <w:outlineLvl w:val="2"/>
        <w:rPr>
          <w:b/>
          <w:bCs/>
          <w:sz w:val="30"/>
          <w:szCs w:val="30"/>
          <w:highlight w:val="none"/>
        </w:rPr>
      </w:pPr>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第五章投标人须知专用部分5.6条</w:t>
            </w:r>
            <w:r>
              <w:rPr>
                <w:rFonts w:hint="eastAsia"/>
                <w:sz w:val="18"/>
                <w:szCs w:val="18"/>
                <w:highlight w:val="none"/>
              </w:rPr>
              <w:t>有关代理商投标要求，以及进口产品代理商未按</w:t>
            </w:r>
            <w:r>
              <w:rPr>
                <w:rFonts w:hint="eastAsia"/>
                <w:b/>
                <w:sz w:val="18"/>
                <w:szCs w:val="18"/>
                <w:highlight w:val="none"/>
              </w:rPr>
              <w:t>第五章投标人须知专用部分5.7条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bCs/>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（如本次采购内容不包括货物，或者投标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hint="eastAsia"/>
                <w:bCs/>
                <w:sz w:val="18"/>
                <w:szCs w:val="18"/>
                <w:highlight w:val="none"/>
              </w:rPr>
              <w:t>中小</w:t>
            </w:r>
            <w:r>
              <w:rPr>
                <w:bCs/>
                <w:sz w:val="18"/>
                <w:szCs w:val="18"/>
                <w:highlight w:val="none"/>
              </w:rPr>
              <w:t>企业声明函</w:t>
            </w:r>
            <w:r>
              <w:rPr>
                <w:rFonts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hint="eastAsia"/>
                <w:bCs/>
                <w:sz w:val="18"/>
                <w:szCs w:val="18"/>
                <w:highlight w:val="none"/>
              </w:rPr>
              <w:t>；</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第五章投标人须知专用部分5.12条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rPr>
                <w:sz w:val="18"/>
                <w:szCs w:val="18"/>
                <w:highlight w:val="none"/>
              </w:rPr>
            </w:pPr>
            <w:r>
              <w:rPr>
                <w:rFonts w:hint="eastAsia"/>
                <w:sz w:val="18"/>
                <w:szCs w:val="18"/>
                <w:highlight w:val="none"/>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center"/>
        <w:rPr>
          <w:b/>
          <w:sz w:val="48"/>
          <w:szCs w:val="36"/>
          <w:highlight w:val="none"/>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国家气象信息中心信息安全设备维保服务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合同签订后自2026年1月1日至2026年12月31日完成项目，其余事项详见合同文本</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北京市海淀区中关村南大街46号国家气象信息中心</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2025年11月12日 00:00:00</w:t>
      </w:r>
      <w:bookmarkEnd w:id="26"/>
      <w:r>
        <w:rPr>
          <w:rFonts w:ascii="宋体" w:hint="eastAsia"/>
          <w:szCs w:val="21"/>
          <w:highlight w:val="none"/>
        </w:rPr>
        <w:t>至</w:t>
      </w:r>
      <w:bookmarkStart w:id="27" w:name="项目公告_signUpLastTime"/>
      <w:r>
        <w:rPr>
          <w:rFonts w:ascii="宋体" w:hint="eastAsia"/>
          <w:szCs w:val="21"/>
          <w:highlight w:val="none"/>
        </w:rPr>
        <w:t>2025年11月19日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李楠</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010-68408545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北京市海淀区中关村南大街46号国家气象信息中心</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3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标的：信息安全设备维保服务，属于软件和信息技术服务业行业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120.000000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120.000000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8"/>
        <w:gridCol w:w="260"/>
        <w:gridCol w:w="817"/>
        <w:gridCol w:w="260"/>
        <w:gridCol w:w="75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区间打分</w:t>
            </w:r>
            <w:r>
              <w:t>(9)</w:t>
            </w:r>
          </w:p>
        </w:tc>
        <w:tc>
          <w:tcPr/>
          <w:p>
            <w:r>
              <w:t>评审标准：</w:t>
            </w:r>
          </w:p>
          <w:p>
            <w:r>
              <w:t>1、投标人具有中国质量认证中心颁发的商品售后服务评价体系（五星级）资质证书得2分，否则不得分。</w:t>
              <w:cr/>
              <w:t>2、投标人具有ISO20000信息技术服务管理体系认证资质证书得2分，否则不得分。</w:t>
              <w:cr/>
              <w:t>3、投标人具有ISO27001信息安全管理体系认证资质证书得2分，否则不得分。</w:t>
              <w:cr/>
              <w:t>4、投标人具有 ITSS 运行维护符合性证书：二级及以上得3分，否则不得分。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每提供一份合同得1分，最高得5分。否则不得分。</w:t>
            </w:r>
          </w:p>
          <w:p>
            <w:r>
              <w:t>评审标准说明：</w:t>
            </w:r>
          </w:p>
          <w:p>
            <w:r>
              <w:t>1、需提供投标人的与本项目类似项目的服务合同（必须包括合同首页、金额页、标的页、签字盖章页）复印件并加盖投标人公章。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服务团队（客观分）</w:t>
            </w:r>
          </w:p>
        </w:tc>
        <w:tc>
          <w:tcPr/>
          <w:p>
            <w:r>
              <w:t>区间打分</w:t>
            </w:r>
            <w:r>
              <w:t>(14)</w:t>
            </w:r>
          </w:p>
        </w:tc>
        <w:tc>
          <w:tcPr/>
          <w:p>
            <w:r>
              <w:t>评审标准：</w:t>
            </w:r>
          </w:p>
          <w:p>
            <w:r>
              <w:t>1、投标人提供1名项目经理，项目经理应具有5年及以上网络安全项目工作经验，同时持有注册信息安全专业人员证书（CISP）和人力资源和社会保障部门颁发的信息系统项目管理师（高级）证书，完全满足得6分，否则不得分。</w:t>
              <w:cr/>
              <w:t>2、投标人提供不少于2名原厂驻场工程师，包括终端安全管理软件驻场（厂商：奇安信）和CA证书系统（厂商：格尔）驻场各1名，驻场工程师均应具有 3 年以上安全运维工作经验以及安全服务经验。完全满足的得4分，否则不得分。</w:t>
              <w:cr/>
              <w:t>3、终端安全管理软件驻场工程师同时具备CISP-CISE资质和信息安全保障人员-安全运维（专业级）资质证书，得4分，否则不得分。</w:t>
            </w:r>
          </w:p>
          <w:p>
            <w:r>
              <w:t>评审标准说明：</w:t>
            </w:r>
          </w:p>
          <w:p>
            <w:r>
              <w:t>须提供团队人员名单及背景材料（证书复印件、技术能力、从业及相关项目经验等。对于项目经理，还需提供网络安全项目工作经验证明文件），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服务承诺（客观分）</w:t>
            </w:r>
          </w:p>
        </w:tc>
        <w:tc>
          <w:tcPr/>
          <w:p>
            <w:r>
              <w:t>区间打分</w:t>
            </w:r>
            <w:r>
              <w:t>(42)</w:t>
            </w:r>
          </w:p>
        </w:tc>
        <w:tc>
          <w:tcPr/>
          <w:p>
            <w:r>
              <w:t>评审标准：</w:t>
            </w:r>
          </w:p>
          <w:p>
            <w:r>
              <w:t>投标人需提供如下产品的原厂售后服务承诺函，每提供一个产品的原厂售后服务承诺函得3.5分，最高得42分。</w:t>
              <w:cr/>
              <w:t>（1）奇安信网神安全分析与管理系统，共11台设备，提供1年软硬件维保、原厂特征库升级。</w:t>
              <w:cr/>
              <w:t>（2）奇安信威胁感知系统，共3台设备，提供1年软硬件维保、原厂特征库升级。</w:t>
              <w:cr/>
              <w:t>（3）奇安信网神运维审计系统，共4台设备，提供1年软硬件维保。</w:t>
              <w:cr/>
              <w:t>（4）奇安信网神网络审计系统，共1台设备，提供1年软硬件维保。</w:t>
              <w:cr/>
              <w:t>（5）奇安信网神防火墙系统，共7台设备，提供1年软硬件维保。</w:t>
              <w:cr/>
              <w:t>（6）奇安信网神漏洞扫描系统，共1台设备，提供1年软硬件维保、原厂特征库升级。</w:t>
              <w:cr/>
              <w:t>（7）奇安信上网行为管理系统，共1台设备，提供1年软硬件维保、原厂特征库升级。</w:t>
              <w:cr/>
              <w:t>（8）深信服防火墙系统，共6台设备，提供1年软硬件维保。</w:t>
              <w:cr/>
              <w:t>（9）深信服应用交付网关系统，共4台设备，提供1年软硬件维保。</w:t>
              <w:cr/>
              <w:t>（10）CA证书系统（含数字证书系统及配套软硬件、安全认证网关），提供1年软硬件维保服务。</w:t>
              <w:cr/>
              <w:t>（11）气象统一身份认证系统（国家级）一套，提供1年软硬件维保服务。</w:t>
              <w:cr/>
              <w:t>（12）奇安信网神数据防泄漏系统，共2台设备，提供1年软硬件维保。</w:t>
            </w:r>
          </w:p>
          <w:p>
            <w:r>
              <w:t>评审标准说明：</w:t>
            </w:r>
          </w:p>
          <w:p>
            <w:r>
              <w:t>投标人需按上述要求提供售后服务承诺函，加盖原厂及投标人公章。</w:t>
            </w:r>
          </w:p>
          <w:p/>
        </w:tc>
      </w:tr>
      <w:tr>
        <w:tblPrEx>
          <w:tblW w:w="5000" w:type="pct"/>
          <w:tblCellMar>
            <w:left w:w="108" w:type="dxa"/>
            <w:right w:w="108" w:type="dxa"/>
          </w:tblCellMar>
        </w:tblPrEx>
        <w:tc>
          <w:tcPr/>
          <w:p>
            <w:r>
              <w:t>6</w:t>
            </w:r>
          </w:p>
        </w:tc>
        <w:tc>
          <w:tcPr>
            <w:vMerge/>
          </w:tcPr>
          <w:p>
            <w:r>
              <w:t>服务部分</w:t>
            </w:r>
          </w:p>
        </w:tc>
        <w:tc>
          <w:tcPr/>
          <w:p>
            <w:r>
              <w:t>售后服务方案（主观分）</w:t>
            </w:r>
          </w:p>
        </w:tc>
        <w:tc>
          <w:tcPr/>
          <w:p>
            <w:r>
              <w:t>勾选打分</w:t>
            </w:r>
            <w:r>
              <w:t>(5)</w:t>
            </w:r>
          </w:p>
        </w:tc>
        <w:tc>
          <w:tcPr/>
          <w:p>
            <w:r>
              <w:t>评审标准：</w:t>
            </w:r>
          </w:p>
          <w:p>
            <w:r>
              <w:t>一档0分</w:t>
              <w:cr/>
              <w:t>二档2分</w:t>
              <w:cr/>
              <w:t>三档5分</w:t>
            </w:r>
          </w:p>
          <w:p>
            <w:r>
              <w:t>评审标准说明：</w:t>
            </w:r>
          </w:p>
          <w:p>
            <w:r>
              <w:t>投标人提供针对于本项目的售后服务方案：</w:t>
              <w:cr/>
              <w:t>一档：未提供售后服务方案。</w:t>
              <w:cr/>
              <w:t>二档：售后服务方案简单，合理性、针对性一般，基本满足招标文件的要求。</w:t>
              <w:cr/>
              <w:t>三档：售后服务方案能按照招标文件的要求进行响应，详细具体，包含期限、人员和措施等内容，针对性强，与项目实际情况相契合，内容合理、可行性强，完全满足招标文件的要求。</w:t>
            </w:r>
          </w:p>
          <w:p/>
        </w:tc>
      </w:tr>
      <w:tr>
        <w:tblPrEx>
          <w:tblW w:w="5000" w:type="pct"/>
          <w:tblCellMar>
            <w:left w:w="108" w:type="dxa"/>
            <w:right w:w="108" w:type="dxa"/>
          </w:tblCellMar>
        </w:tblPrEx>
        <w:tc>
          <w:tcPr/>
          <w:p>
            <w:r>
              <w:t>7</w:t>
            </w:r>
          </w:p>
        </w:tc>
        <w:tc>
          <w:tcPr>
            <w:vMerge/>
          </w:tcPr>
          <w:p>
            <w:r>
              <w:t>服务部分</w:t>
            </w:r>
          </w:p>
        </w:tc>
        <w:tc>
          <w:tcPr/>
          <w:p>
            <w:r>
              <w:t>项目质量管理方案（客观分）</w:t>
            </w:r>
          </w:p>
        </w:tc>
        <w:tc>
          <w:tcPr/>
          <w:p>
            <w:r>
              <w:t>勾选打分</w:t>
            </w:r>
            <w:r>
              <w:t>(5)</w:t>
            </w:r>
          </w:p>
        </w:tc>
        <w:tc>
          <w:tcPr/>
          <w:p>
            <w:r>
              <w:t>评审标准：</w:t>
            </w:r>
          </w:p>
          <w:p>
            <w:r>
              <w:t>一档0分</w:t>
              <w:cr/>
              <w:t>二档2分</w:t>
              <w:cr/>
              <w:t>三档5分</w:t>
            </w:r>
          </w:p>
          <w:p>
            <w:r>
              <w:t>评审标准说明：</w:t>
            </w:r>
          </w:p>
          <w:p>
            <w:r>
              <w:t>投标人提供针对于本项目的项目质量管理方案：</w:t>
              <w:cr/>
              <w:t>一档：未提供质量管理方案。</w:t>
              <w:cr/>
              <w:t>二档：质量管理方案简单，内容不全面，基本满足招标文件的要求。</w:t>
              <w:cr/>
              <w:t>三挡：质量管理方案合理规划项目组织架构、沟通方式和工作职责，制定有效的管理制度、流程。有完善的质量控制体系，质量控制点明确有效，措施得力，完全满足招标文件的要求。</w:t>
            </w:r>
          </w:p>
          <w:p/>
        </w:tc>
      </w:tr>
      <w:tr>
        <w:tblPrEx>
          <w:tblW w:w="5000" w:type="pct"/>
          <w:tblCellMar>
            <w:left w:w="108" w:type="dxa"/>
            <w:right w:w="108" w:type="dxa"/>
          </w:tblCellMar>
        </w:tblPrEx>
        <w:tc>
          <w:tcPr/>
          <w:p>
            <w:r>
              <w:t>8</w:t>
            </w:r>
          </w:p>
        </w:tc>
        <w:tc>
          <w:tcPr>
            <w:vMerge/>
          </w:tcPr>
          <w:p>
            <w:r>
              <w:t>服务部分</w:t>
            </w:r>
          </w:p>
        </w:tc>
        <w:tc>
          <w:tcPr/>
          <w:p>
            <w:r>
              <w:t>维保服务方案 （主观分）</w:t>
            </w:r>
          </w:p>
        </w:tc>
        <w:tc>
          <w:tcPr/>
          <w:p>
            <w:r>
              <w:t>勾选打分</w:t>
            </w:r>
            <w:r>
              <w:t>(5)</w:t>
            </w:r>
          </w:p>
        </w:tc>
        <w:tc>
          <w:tcPr/>
          <w:p>
            <w:r>
              <w:t>评审标准：</w:t>
            </w:r>
          </w:p>
          <w:p>
            <w:r>
              <w:t>一档0分</w:t>
              <w:cr/>
              <w:t>二档2分</w:t>
              <w:cr/>
              <w:t>三档5分</w:t>
            </w:r>
          </w:p>
          <w:p>
            <w:r>
              <w:t>评审标准说明：</w:t>
            </w:r>
          </w:p>
          <w:p>
            <w:r>
              <w:t>投标人提供针对于本项目的维保服务方案：</w:t>
              <w:cr/>
              <w:t>一档：未提供维保服务方案。</w:t>
              <w:cr/>
              <w:t>二档：维保服务方案简单，合理性、针对性一般，基本满足招标文件的要求。</w:t>
              <w:cr/>
              <w:t>三档：维保服务方案内容包括维保清单、维保服务工作内容和工作形式，内容合理、可行性强，完全满足招标文件的要求。</w:t>
            </w:r>
          </w:p>
          <w:p/>
        </w:tc>
      </w:tr>
      <w:tr>
        <w:tblPrEx>
          <w:tblW w:w="5000" w:type="pct"/>
          <w:tblCellMar>
            <w:left w:w="108" w:type="dxa"/>
            <w:right w:w="108" w:type="dxa"/>
          </w:tblCellMar>
        </w:tblPrEx>
        <w:tc>
          <w:tcPr/>
          <w:p>
            <w:r>
              <w:t>9</w:t>
            </w:r>
          </w:p>
        </w:tc>
        <w:tc>
          <w:tcPr>
            <w:vMerge/>
          </w:tcPr>
          <w:p>
            <w:r>
              <w:t>服务部分</w:t>
            </w:r>
          </w:p>
        </w:tc>
        <w:tc>
          <w:tcPr/>
          <w:p>
            <w:r>
              <w:t>项目需求理解与合理化建议 （主观分）</w:t>
            </w:r>
          </w:p>
        </w:tc>
        <w:tc>
          <w:tcPr/>
          <w:p>
            <w:r>
              <w:t>勾选打分</w:t>
            </w:r>
            <w:r>
              <w:t>(5)</w:t>
            </w:r>
          </w:p>
        </w:tc>
        <w:tc>
          <w:tcPr/>
          <w:p>
            <w:r>
              <w:t>评审标准：</w:t>
            </w:r>
          </w:p>
          <w:p>
            <w:r>
              <w:t>一档0分</w:t>
              <w:cr/>
              <w:t>二档2分</w:t>
              <w:cr/>
              <w:t>三档5分</w:t>
            </w:r>
          </w:p>
          <w:p>
            <w:r>
              <w:t>评审标准说明：</w:t>
            </w:r>
          </w:p>
          <w:p>
            <w:r>
              <w:t>投标人针对于本项目需求的理解，提供合理化建议：</w:t>
              <w:cr/>
              <w:t>一档：未提供不得分。</w:t>
              <w:cr/>
              <w:t>二档：提供1-2条合理化建议，且内容合理、可行性强。</w:t>
              <w:cr/>
              <w:t>三档：提供3条及以上合理化建议，且内容合理、可行性强。</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eastAsia="宋体" w:hAnsi="宋体" w:cs="Times New Roman" w:hint="eastAsia"/>
          <w:b/>
          <w:sz w:val="30"/>
          <w:szCs w:val="30"/>
        </w:rPr>
        <w:t>第七章  采购需求</w:t>
      </w:r>
    </w:p>
    <w:p>
      <w:pPr>
        <w:jc w:val="left"/>
        <w:rPr>
          <w:rFonts w:ascii="Times New Roman" w:eastAsia="宋体" w:hAnsi="Times New Roman" w:cs="Times New Roman"/>
          <w:b/>
          <w:szCs w:val="21"/>
        </w:rPr>
      </w:pPr>
    </w:p>
    <w:p>
      <w:pPr>
        <w:pStyle w:val="BodyText"/>
        <w:spacing w:line="360" w:lineRule="auto"/>
        <w:ind w:right="85" w:firstLine="420" w:firstLineChars="200"/>
      </w:pPr>
      <w:r>
        <w:rPr>
          <w:rFonts w:hint="eastAsia"/>
        </w:rPr>
        <w:t>在合同期内针对维修设备清单，投标人提供软硬件维保和特征库升级更新服务。</w:t>
      </w:r>
    </w:p>
    <w:p>
      <w:pPr>
        <w:pStyle w:val="Heading3"/>
        <w:numPr>
          <w:ilvl w:val="0"/>
          <w:numId w:val="4"/>
        </w:numPr>
        <w:autoSpaceDE w:val="0"/>
        <w:autoSpaceDN w:val="0"/>
        <w:spacing w:line="360" w:lineRule="auto"/>
        <w:jc w:val="left"/>
        <w:rPr>
          <w:spacing w:val="-1"/>
          <w:sz w:val="21"/>
          <w:szCs w:val="21"/>
        </w:rPr>
      </w:pPr>
      <w:r>
        <w:rPr>
          <w:rFonts w:hint="eastAsia"/>
          <w:spacing w:val="-1"/>
          <w:sz w:val="21"/>
          <w:szCs w:val="21"/>
        </w:rPr>
        <w:t>维修设备清单</w:t>
      </w:r>
    </w:p>
    <w:p>
      <w:pPr>
        <w:ind w:firstLine="420" w:firstLineChars="200"/>
        <w:rPr>
          <w:szCs w:val="20"/>
        </w:rPr>
      </w:pPr>
      <w:r>
        <w:rPr>
          <w:rFonts w:hint="eastAsia"/>
        </w:rPr>
        <w:t>投标人负责以下维保清单产品的软硬件维保和特征库升级更新采购。</w:t>
      </w: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4"/>
        <w:gridCol w:w="1567"/>
        <w:gridCol w:w="1933"/>
        <w:gridCol w:w="2358"/>
        <w:gridCol w:w="832"/>
        <w:gridCol w:w="858"/>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572" w:type="pct"/>
            <w:vAlign w:val="center"/>
          </w:tcPr>
          <w:p>
            <w:pPr>
              <w:pStyle w:val="TableParagraph"/>
              <w:jc w:val="center"/>
            </w:pPr>
            <w:r>
              <w:rPr>
                <w:sz w:val="21"/>
                <w:szCs w:val="21"/>
              </w:rPr>
              <w:t>序号</w:t>
            </w:r>
          </w:p>
        </w:tc>
        <w:tc>
          <w:tcPr>
            <w:tcW w:w="919" w:type="pct"/>
            <w:vAlign w:val="center"/>
          </w:tcPr>
          <w:p>
            <w:pPr>
              <w:pStyle w:val="TableParagraph"/>
              <w:jc w:val="center"/>
            </w:pPr>
            <w:r>
              <w:rPr>
                <w:sz w:val="21"/>
                <w:szCs w:val="21"/>
              </w:rPr>
              <w:t>厂商</w:t>
            </w:r>
          </w:p>
        </w:tc>
        <w:tc>
          <w:tcPr>
            <w:tcW w:w="1134" w:type="pct"/>
            <w:vAlign w:val="center"/>
          </w:tcPr>
          <w:p>
            <w:pPr>
              <w:pStyle w:val="TableParagraph"/>
              <w:jc w:val="center"/>
            </w:pPr>
            <w:r>
              <w:rPr>
                <w:sz w:val="21"/>
                <w:szCs w:val="21"/>
              </w:rPr>
              <w:t>品类</w:t>
            </w:r>
          </w:p>
        </w:tc>
        <w:tc>
          <w:tcPr>
            <w:tcW w:w="1383" w:type="pct"/>
            <w:vAlign w:val="center"/>
          </w:tcPr>
          <w:p>
            <w:pPr>
              <w:pStyle w:val="TableParagraph"/>
              <w:jc w:val="center"/>
            </w:pPr>
            <w:r>
              <w:rPr>
                <w:sz w:val="21"/>
                <w:szCs w:val="21"/>
              </w:rPr>
              <w:t>设备型号</w:t>
            </w:r>
          </w:p>
        </w:tc>
        <w:tc>
          <w:tcPr>
            <w:tcW w:w="488" w:type="pct"/>
            <w:vAlign w:val="center"/>
          </w:tcPr>
          <w:p>
            <w:pPr>
              <w:pStyle w:val="TableParagraph"/>
              <w:jc w:val="center"/>
            </w:pPr>
            <w:r>
              <w:rPr>
                <w:sz w:val="21"/>
                <w:szCs w:val="21"/>
              </w:rPr>
              <w:t>数量</w:t>
            </w:r>
          </w:p>
        </w:tc>
        <w:tc>
          <w:tcPr>
            <w:tcW w:w="503" w:type="pct"/>
            <w:vAlign w:val="center"/>
          </w:tcPr>
          <w:p>
            <w:pPr>
              <w:pStyle w:val="TableParagraph"/>
              <w:jc w:val="center"/>
            </w:pPr>
            <w:r>
              <w:rPr>
                <w:rFonts w:hint="eastAsia"/>
                <w:sz w:val="21"/>
                <w:szCs w:val="21"/>
              </w:rPr>
              <w:t>单位</w:t>
            </w:r>
          </w:p>
        </w:tc>
      </w:tr>
      <w:tr>
        <w:tblPrEx>
          <w:tblW w:w="5000" w:type="pct"/>
          <w:tblInd w:w="0" w:type="dxa"/>
          <w:tblCellMar>
            <w:top w:w="0" w:type="dxa"/>
            <w:left w:w="108" w:type="dxa"/>
            <w:bottom w:w="0" w:type="dxa"/>
            <w:right w:w="108" w:type="dxa"/>
          </w:tblCellMar>
        </w:tblPrEx>
        <w:trPr>
          <w:trHeight w:val="638"/>
        </w:trPr>
        <w:tc>
          <w:tcPr>
            <w:tcW w:w="572" w:type="pct"/>
            <w:vAlign w:val="center"/>
          </w:tcPr>
          <w:p>
            <w:pPr>
              <w:pStyle w:val="TableParagraph"/>
              <w:jc w:val="center"/>
            </w:pPr>
            <w:r>
              <w:rPr>
                <w:sz w:val="21"/>
                <w:szCs w:val="21"/>
              </w:rPr>
              <w:t>1.</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网神安全分析与管理系统</w:t>
            </w:r>
          </w:p>
        </w:tc>
        <w:tc>
          <w:tcPr>
            <w:tcW w:w="1383" w:type="pct"/>
            <w:vAlign w:val="center"/>
          </w:tcPr>
          <w:p>
            <w:pPr>
              <w:pStyle w:val="TableParagraph"/>
              <w:jc w:val="center"/>
            </w:pPr>
            <w:r>
              <w:rPr>
                <w:spacing w:val="-2"/>
                <w:sz w:val="21"/>
                <w:szCs w:val="21"/>
              </w:rPr>
              <w:t>S-NGSOC-</w:t>
            </w:r>
            <w:r>
              <w:rPr>
                <w:spacing w:val="-5"/>
                <w:sz w:val="21"/>
                <w:szCs w:val="21"/>
              </w:rPr>
              <w:t>BD</w:t>
            </w:r>
          </w:p>
        </w:tc>
        <w:tc>
          <w:tcPr>
            <w:tcW w:w="488" w:type="pct"/>
            <w:vAlign w:val="center"/>
          </w:tcPr>
          <w:p>
            <w:pPr>
              <w:pStyle w:val="TableParagraph"/>
              <w:jc w:val="center"/>
            </w:pPr>
            <w:r>
              <w:rPr>
                <w:sz w:val="21"/>
                <w:szCs w:val="21"/>
              </w:rPr>
              <w:t>5</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2.</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网神安全分析与管理系统</w:t>
            </w:r>
          </w:p>
        </w:tc>
        <w:tc>
          <w:tcPr>
            <w:tcW w:w="1383" w:type="pct"/>
            <w:vAlign w:val="center"/>
          </w:tcPr>
          <w:p>
            <w:pPr>
              <w:pStyle w:val="TableParagraph"/>
              <w:jc w:val="center"/>
            </w:pPr>
            <w:r>
              <w:rPr>
                <w:spacing w:val="-2"/>
                <w:sz w:val="21"/>
                <w:szCs w:val="21"/>
              </w:rPr>
              <w:t>NGSOC-NDS7000-</w:t>
            </w:r>
            <w:r>
              <w:rPr>
                <w:spacing w:val="-4"/>
                <w:sz w:val="21"/>
                <w:szCs w:val="21"/>
              </w:rPr>
              <w:t>TX25</w:t>
            </w:r>
          </w:p>
        </w:tc>
        <w:tc>
          <w:tcPr>
            <w:tcW w:w="488" w:type="pct"/>
            <w:vAlign w:val="center"/>
          </w:tcPr>
          <w:p>
            <w:pPr>
              <w:pStyle w:val="TableParagraph"/>
              <w:jc w:val="center"/>
            </w:pPr>
            <w:r>
              <w:rPr>
                <w:sz w:val="21"/>
                <w:szCs w:val="21"/>
              </w:rPr>
              <w:t>6</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3.</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奇安信威胁感知系</w:t>
            </w:r>
            <w:r>
              <w:rPr>
                <w:sz w:val="21"/>
                <w:szCs w:val="21"/>
              </w:rPr>
              <w:t>统</w:t>
            </w:r>
          </w:p>
        </w:tc>
        <w:tc>
          <w:tcPr>
            <w:tcW w:w="1383" w:type="pct"/>
            <w:vAlign w:val="center"/>
          </w:tcPr>
          <w:p>
            <w:pPr>
              <w:pStyle w:val="TableParagraph"/>
              <w:jc w:val="center"/>
            </w:pPr>
            <w:r>
              <w:rPr>
                <w:spacing w:val="-2"/>
                <w:sz w:val="21"/>
                <w:szCs w:val="21"/>
              </w:rPr>
              <w:t>TSS10000-</w:t>
            </w:r>
            <w:r>
              <w:rPr>
                <w:spacing w:val="-5"/>
                <w:sz w:val="21"/>
                <w:szCs w:val="21"/>
              </w:rPr>
              <w:t>A58</w:t>
            </w:r>
          </w:p>
        </w:tc>
        <w:tc>
          <w:tcPr>
            <w:tcW w:w="488" w:type="pct"/>
            <w:vAlign w:val="center"/>
          </w:tcPr>
          <w:p>
            <w:pPr>
              <w:pStyle w:val="TableParagraph"/>
              <w:jc w:val="center"/>
            </w:pPr>
            <w:r>
              <w:rPr>
                <w:rFonts w:hint="eastAsia"/>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4.</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奇安信威胁感知系</w:t>
            </w:r>
            <w:r>
              <w:rPr>
                <w:sz w:val="21"/>
                <w:szCs w:val="21"/>
              </w:rPr>
              <w:t>统</w:t>
            </w:r>
          </w:p>
        </w:tc>
        <w:tc>
          <w:tcPr>
            <w:tcW w:w="1383" w:type="pct"/>
            <w:vAlign w:val="center"/>
          </w:tcPr>
          <w:p>
            <w:pPr>
              <w:pStyle w:val="TableParagraph"/>
              <w:jc w:val="center"/>
            </w:pPr>
            <w:r>
              <w:rPr>
                <w:spacing w:val="-2"/>
                <w:sz w:val="21"/>
                <w:szCs w:val="21"/>
              </w:rPr>
              <w:t>TSS10000-</w:t>
            </w:r>
            <w:r>
              <w:rPr>
                <w:spacing w:val="-5"/>
                <w:sz w:val="21"/>
                <w:szCs w:val="21"/>
              </w:rPr>
              <w:t>S56</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5.</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奇安信威胁感知系</w:t>
            </w:r>
            <w:r>
              <w:rPr>
                <w:sz w:val="21"/>
                <w:szCs w:val="21"/>
              </w:rPr>
              <w:t>统</w:t>
            </w:r>
          </w:p>
        </w:tc>
        <w:tc>
          <w:tcPr>
            <w:tcW w:w="1383" w:type="pct"/>
            <w:vAlign w:val="center"/>
          </w:tcPr>
          <w:p>
            <w:pPr>
              <w:pStyle w:val="TableParagraph"/>
              <w:jc w:val="center"/>
            </w:pPr>
            <w:r>
              <w:rPr>
                <w:spacing w:val="-2"/>
                <w:sz w:val="21"/>
                <w:szCs w:val="21"/>
              </w:rPr>
              <w:t>TSS10000-A58-</w:t>
            </w:r>
            <w:r>
              <w:rPr>
                <w:spacing w:val="-5"/>
                <w:sz w:val="21"/>
                <w:szCs w:val="21"/>
              </w:rPr>
              <w:t>WS</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6.</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网神运维审计系统</w:t>
            </w:r>
          </w:p>
        </w:tc>
        <w:tc>
          <w:tcPr>
            <w:tcW w:w="1383" w:type="pct"/>
            <w:vAlign w:val="center"/>
          </w:tcPr>
          <w:p>
            <w:pPr>
              <w:pStyle w:val="TableParagraph"/>
              <w:jc w:val="center"/>
            </w:pPr>
            <w:r>
              <w:rPr>
                <w:spacing w:val="-2"/>
                <w:sz w:val="21"/>
                <w:szCs w:val="21"/>
              </w:rPr>
              <w:t>C6100-H-</w:t>
            </w:r>
            <w:r>
              <w:rPr>
                <w:spacing w:val="-4"/>
                <w:sz w:val="21"/>
                <w:szCs w:val="21"/>
              </w:rPr>
              <w:t>TF40</w:t>
            </w:r>
          </w:p>
        </w:tc>
        <w:tc>
          <w:tcPr>
            <w:tcW w:w="488" w:type="pct"/>
            <w:vAlign w:val="center"/>
          </w:tcPr>
          <w:p>
            <w:pPr>
              <w:pStyle w:val="TableParagraph"/>
              <w:jc w:val="center"/>
            </w:pPr>
            <w:r>
              <w:rPr>
                <w:sz w:val="21"/>
                <w:szCs w:val="21"/>
              </w:rPr>
              <w:t>2</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7.</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网神运维审计系统</w:t>
            </w:r>
          </w:p>
        </w:tc>
        <w:tc>
          <w:tcPr>
            <w:tcW w:w="1383" w:type="pct"/>
            <w:vAlign w:val="center"/>
          </w:tcPr>
          <w:p>
            <w:pPr>
              <w:pStyle w:val="TableParagraph"/>
              <w:jc w:val="center"/>
            </w:pPr>
            <w:r>
              <w:rPr>
                <w:spacing w:val="-2"/>
                <w:sz w:val="21"/>
                <w:szCs w:val="21"/>
              </w:rPr>
              <w:t>BH3300-G-</w:t>
            </w:r>
            <w:r>
              <w:rPr>
                <w:spacing w:val="-4"/>
                <w:sz w:val="21"/>
                <w:szCs w:val="21"/>
              </w:rPr>
              <w:t>2000Z</w:t>
            </w:r>
          </w:p>
        </w:tc>
        <w:tc>
          <w:tcPr>
            <w:tcW w:w="488" w:type="pct"/>
            <w:vAlign w:val="center"/>
          </w:tcPr>
          <w:p>
            <w:pPr>
              <w:pStyle w:val="TableParagraph"/>
              <w:jc w:val="center"/>
            </w:pPr>
            <w:r>
              <w:rPr>
                <w:sz w:val="21"/>
                <w:szCs w:val="21"/>
              </w:rPr>
              <w:t>2</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8.</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网神网络审计系统</w:t>
            </w:r>
          </w:p>
        </w:tc>
        <w:tc>
          <w:tcPr>
            <w:tcW w:w="1383" w:type="pct"/>
            <w:vAlign w:val="center"/>
          </w:tcPr>
          <w:p>
            <w:pPr>
              <w:pStyle w:val="TableParagraph"/>
              <w:jc w:val="center"/>
            </w:pPr>
            <w:r>
              <w:rPr>
                <w:spacing w:val="-2"/>
                <w:sz w:val="21"/>
                <w:szCs w:val="21"/>
              </w:rPr>
              <w:t>K6000-H-</w:t>
            </w:r>
            <w:r>
              <w:rPr>
                <w:spacing w:val="-4"/>
                <w:sz w:val="21"/>
                <w:szCs w:val="21"/>
              </w:rPr>
              <w:t>TF50</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9.</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网神防火墙</w:t>
            </w:r>
          </w:p>
        </w:tc>
        <w:tc>
          <w:tcPr>
            <w:tcW w:w="1383" w:type="pct"/>
            <w:vAlign w:val="center"/>
          </w:tcPr>
          <w:p>
            <w:pPr>
              <w:pStyle w:val="TableParagraph"/>
              <w:jc w:val="center"/>
            </w:pPr>
            <w:r>
              <w:rPr>
                <w:spacing w:val="-2"/>
                <w:sz w:val="21"/>
                <w:szCs w:val="21"/>
              </w:rPr>
              <w:t>NSG7000-</w:t>
            </w:r>
            <w:r>
              <w:rPr>
                <w:spacing w:val="-4"/>
                <w:sz w:val="21"/>
                <w:szCs w:val="21"/>
              </w:rPr>
              <w:t>TX55</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10.</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网神防火墙</w:t>
            </w:r>
          </w:p>
        </w:tc>
        <w:tc>
          <w:tcPr>
            <w:tcW w:w="1383" w:type="pct"/>
            <w:vAlign w:val="center"/>
          </w:tcPr>
          <w:p>
            <w:pPr>
              <w:pStyle w:val="TableParagraph"/>
              <w:jc w:val="center"/>
            </w:pPr>
            <w:r>
              <w:rPr>
                <w:spacing w:val="-2"/>
                <w:sz w:val="21"/>
                <w:szCs w:val="21"/>
              </w:rPr>
              <w:t>NSG-SRV-3Y-C</w:t>
            </w:r>
          </w:p>
        </w:tc>
        <w:tc>
          <w:tcPr>
            <w:tcW w:w="488" w:type="pct"/>
            <w:vAlign w:val="center"/>
          </w:tcPr>
          <w:p>
            <w:pPr>
              <w:pStyle w:val="TableParagraph"/>
              <w:jc w:val="center"/>
            </w:pPr>
            <w:r>
              <w:rPr>
                <w:sz w:val="21"/>
                <w:szCs w:val="21"/>
              </w:rPr>
              <w:t>6</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11.</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网神漏洞扫描系统</w:t>
            </w:r>
          </w:p>
        </w:tc>
        <w:tc>
          <w:tcPr>
            <w:tcW w:w="1383" w:type="pct"/>
            <w:vAlign w:val="center"/>
          </w:tcPr>
          <w:p>
            <w:pPr>
              <w:pStyle w:val="TableParagraph"/>
              <w:jc w:val="center"/>
            </w:pPr>
            <w:r>
              <w:rPr>
                <w:spacing w:val="-2"/>
                <w:sz w:val="21"/>
                <w:szCs w:val="21"/>
              </w:rPr>
              <w:t>S9000-</w:t>
            </w:r>
            <w:r>
              <w:rPr>
                <w:spacing w:val="-4"/>
                <w:sz w:val="21"/>
                <w:szCs w:val="21"/>
              </w:rPr>
              <w:t>W030</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12.</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网神防火墙</w:t>
            </w:r>
          </w:p>
        </w:tc>
        <w:tc>
          <w:tcPr>
            <w:tcW w:w="1383" w:type="pct"/>
            <w:vAlign w:val="center"/>
          </w:tcPr>
          <w:p>
            <w:pPr>
              <w:pStyle w:val="TableParagraph"/>
              <w:jc w:val="center"/>
            </w:pPr>
            <w:r>
              <w:rPr>
                <w:spacing w:val="-2"/>
                <w:sz w:val="21"/>
                <w:szCs w:val="21"/>
              </w:rPr>
              <w:t>A6150-C011</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13.</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奇安信上网行为管理系统</w:t>
            </w:r>
          </w:p>
        </w:tc>
        <w:tc>
          <w:tcPr>
            <w:tcW w:w="1383" w:type="pct"/>
            <w:vAlign w:val="center"/>
          </w:tcPr>
          <w:p>
            <w:pPr>
              <w:pStyle w:val="TableParagraph"/>
              <w:jc w:val="center"/>
            </w:pPr>
            <w:r>
              <w:rPr>
                <w:spacing w:val="-2"/>
                <w:sz w:val="21"/>
                <w:szCs w:val="21"/>
              </w:rPr>
              <w:t>NBM7295</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14.</w:t>
            </w:r>
          </w:p>
        </w:tc>
        <w:tc>
          <w:tcPr>
            <w:tcW w:w="919" w:type="pct"/>
            <w:vAlign w:val="center"/>
          </w:tcPr>
          <w:p>
            <w:pPr>
              <w:pStyle w:val="TableParagraph"/>
              <w:jc w:val="center"/>
            </w:pPr>
            <w:r>
              <w:rPr>
                <w:spacing w:val="-4"/>
                <w:sz w:val="21"/>
                <w:szCs w:val="21"/>
              </w:rPr>
              <w:t>深信服</w:t>
            </w:r>
          </w:p>
        </w:tc>
        <w:tc>
          <w:tcPr>
            <w:tcW w:w="1134" w:type="pct"/>
            <w:vAlign w:val="center"/>
          </w:tcPr>
          <w:p>
            <w:pPr>
              <w:pStyle w:val="TableParagraph"/>
              <w:jc w:val="center"/>
            </w:pPr>
            <w:r>
              <w:rPr>
                <w:spacing w:val="-4"/>
                <w:sz w:val="21"/>
                <w:szCs w:val="21"/>
              </w:rPr>
              <w:t>深信服防火墙</w:t>
            </w:r>
          </w:p>
        </w:tc>
        <w:tc>
          <w:tcPr>
            <w:tcW w:w="1383" w:type="pct"/>
            <w:vAlign w:val="center"/>
          </w:tcPr>
          <w:p>
            <w:pPr>
              <w:pStyle w:val="TableParagraph"/>
              <w:jc w:val="center"/>
            </w:pPr>
            <w:r>
              <w:rPr>
                <w:spacing w:val="-2"/>
                <w:sz w:val="21"/>
                <w:szCs w:val="21"/>
              </w:rPr>
              <w:t>AF-2000-J444-WY</w:t>
            </w:r>
          </w:p>
        </w:tc>
        <w:tc>
          <w:tcPr>
            <w:tcW w:w="488" w:type="pct"/>
            <w:vAlign w:val="center"/>
          </w:tcPr>
          <w:p>
            <w:pPr>
              <w:pStyle w:val="TableParagraph"/>
              <w:jc w:val="center"/>
            </w:pPr>
            <w:r>
              <w:rPr>
                <w:sz w:val="21"/>
                <w:szCs w:val="21"/>
              </w:rPr>
              <w:t>2</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sz w:val="21"/>
                <w:szCs w:val="21"/>
              </w:rPr>
              <w:t>15.</w:t>
            </w:r>
          </w:p>
        </w:tc>
        <w:tc>
          <w:tcPr>
            <w:tcW w:w="919" w:type="pct"/>
            <w:vAlign w:val="center"/>
          </w:tcPr>
          <w:p>
            <w:pPr>
              <w:pStyle w:val="TableParagraph"/>
              <w:jc w:val="center"/>
            </w:pPr>
            <w:r>
              <w:rPr>
                <w:spacing w:val="-4"/>
                <w:sz w:val="21"/>
                <w:szCs w:val="21"/>
              </w:rPr>
              <w:t>深信服</w:t>
            </w:r>
          </w:p>
        </w:tc>
        <w:tc>
          <w:tcPr>
            <w:tcW w:w="1134" w:type="pct"/>
            <w:vAlign w:val="center"/>
          </w:tcPr>
          <w:p>
            <w:pPr>
              <w:pStyle w:val="TableParagraph"/>
              <w:jc w:val="center"/>
            </w:pPr>
            <w:r>
              <w:rPr>
                <w:spacing w:val="-4"/>
                <w:sz w:val="21"/>
                <w:szCs w:val="21"/>
              </w:rPr>
              <w:t>深信服防火墙</w:t>
            </w:r>
          </w:p>
        </w:tc>
        <w:tc>
          <w:tcPr>
            <w:tcW w:w="1383" w:type="pct"/>
            <w:vAlign w:val="center"/>
          </w:tcPr>
          <w:p>
            <w:pPr>
              <w:pStyle w:val="TableParagraph"/>
              <w:jc w:val="center"/>
            </w:pPr>
            <w:r>
              <w:rPr>
                <w:spacing w:val="-2"/>
                <w:sz w:val="21"/>
                <w:szCs w:val="21"/>
              </w:rPr>
              <w:t>AF-1000-FA40-</w:t>
            </w:r>
            <w:r>
              <w:rPr>
                <w:spacing w:val="-5"/>
                <w:sz w:val="21"/>
                <w:szCs w:val="21"/>
              </w:rPr>
              <w:t>WY</w:t>
            </w:r>
          </w:p>
        </w:tc>
        <w:tc>
          <w:tcPr>
            <w:tcW w:w="488" w:type="pct"/>
            <w:vAlign w:val="center"/>
          </w:tcPr>
          <w:p>
            <w:pPr>
              <w:pStyle w:val="TableParagraph"/>
              <w:jc w:val="center"/>
            </w:pPr>
            <w:r>
              <w:rPr>
                <w:sz w:val="21"/>
                <w:szCs w:val="21"/>
              </w:rPr>
              <w:t>4</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rFonts w:hint="eastAsia"/>
                <w:sz w:val="21"/>
                <w:szCs w:val="21"/>
              </w:rPr>
              <w:t>1</w:t>
            </w:r>
            <w:r>
              <w:rPr>
                <w:sz w:val="21"/>
                <w:szCs w:val="21"/>
              </w:rPr>
              <w:t>6.</w:t>
            </w:r>
          </w:p>
        </w:tc>
        <w:tc>
          <w:tcPr>
            <w:tcW w:w="919" w:type="pct"/>
            <w:vAlign w:val="center"/>
          </w:tcPr>
          <w:p>
            <w:pPr>
              <w:pStyle w:val="TableParagraph"/>
              <w:jc w:val="center"/>
            </w:pPr>
            <w:r>
              <w:rPr>
                <w:spacing w:val="-4"/>
                <w:sz w:val="21"/>
                <w:szCs w:val="21"/>
              </w:rPr>
              <w:t>深信服</w:t>
            </w:r>
          </w:p>
        </w:tc>
        <w:tc>
          <w:tcPr>
            <w:tcW w:w="1134" w:type="pct"/>
            <w:vAlign w:val="center"/>
          </w:tcPr>
          <w:p>
            <w:pPr>
              <w:pStyle w:val="TableParagraph"/>
              <w:jc w:val="center"/>
            </w:pPr>
            <w:r>
              <w:rPr>
                <w:spacing w:val="-4"/>
                <w:sz w:val="21"/>
                <w:szCs w:val="21"/>
              </w:rPr>
              <w:t>深信服应用交付网</w:t>
            </w:r>
            <w:r>
              <w:rPr>
                <w:sz w:val="21"/>
                <w:szCs w:val="21"/>
              </w:rPr>
              <w:t>关</w:t>
            </w:r>
          </w:p>
        </w:tc>
        <w:tc>
          <w:tcPr>
            <w:tcW w:w="1383" w:type="pct"/>
            <w:vAlign w:val="center"/>
          </w:tcPr>
          <w:p>
            <w:pPr>
              <w:pStyle w:val="TableParagraph"/>
              <w:jc w:val="center"/>
            </w:pPr>
            <w:r>
              <w:rPr>
                <w:spacing w:val="-2"/>
                <w:sz w:val="21"/>
                <w:szCs w:val="21"/>
              </w:rPr>
              <w:t>AD-1000-G642-</w:t>
            </w:r>
            <w:r>
              <w:rPr>
                <w:spacing w:val="-5"/>
                <w:sz w:val="21"/>
                <w:szCs w:val="21"/>
              </w:rPr>
              <w:t>WY</w:t>
            </w:r>
          </w:p>
        </w:tc>
        <w:tc>
          <w:tcPr>
            <w:tcW w:w="488" w:type="pct"/>
            <w:vAlign w:val="center"/>
          </w:tcPr>
          <w:p>
            <w:pPr>
              <w:pStyle w:val="TableParagraph"/>
              <w:jc w:val="center"/>
            </w:pPr>
            <w:r>
              <w:rPr>
                <w:sz w:val="21"/>
                <w:szCs w:val="21"/>
              </w:rPr>
              <w:t>4</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rFonts w:hint="eastAsia"/>
                <w:sz w:val="21"/>
                <w:szCs w:val="21"/>
              </w:rPr>
              <w:t>1</w:t>
            </w:r>
            <w:r>
              <w:rPr>
                <w:sz w:val="21"/>
                <w:szCs w:val="21"/>
              </w:rPr>
              <w:t>7.</w:t>
            </w:r>
          </w:p>
        </w:tc>
        <w:tc>
          <w:tcPr>
            <w:tcW w:w="919" w:type="pct"/>
            <w:vAlign w:val="center"/>
          </w:tcPr>
          <w:p>
            <w:pPr>
              <w:pStyle w:val="TableParagraph"/>
              <w:jc w:val="center"/>
            </w:pPr>
            <w:r>
              <w:rPr>
                <w:spacing w:val="-5"/>
                <w:sz w:val="21"/>
                <w:szCs w:val="21"/>
              </w:rPr>
              <w:t>格尔</w:t>
            </w:r>
          </w:p>
        </w:tc>
        <w:tc>
          <w:tcPr>
            <w:tcW w:w="1134" w:type="pct"/>
            <w:vAlign w:val="center"/>
          </w:tcPr>
          <w:p>
            <w:pPr>
              <w:pStyle w:val="TableParagraph"/>
              <w:jc w:val="center"/>
            </w:pPr>
            <w:r>
              <w:rPr>
                <w:spacing w:val="-4"/>
                <w:sz w:val="21"/>
                <w:szCs w:val="21"/>
              </w:rPr>
              <w:t>数字证书系统及配</w:t>
            </w:r>
            <w:r>
              <w:rPr>
                <w:spacing w:val="-3"/>
                <w:sz w:val="21"/>
                <w:szCs w:val="21"/>
              </w:rPr>
              <w:t>套软硬件</w:t>
            </w:r>
          </w:p>
        </w:tc>
        <w:tc>
          <w:tcPr>
            <w:tcW w:w="1383" w:type="pct"/>
            <w:vAlign w:val="center"/>
          </w:tcPr>
          <w:p>
            <w:pPr>
              <w:pStyle w:val="TableParagraph"/>
              <w:jc w:val="center"/>
            </w:pPr>
            <w:r>
              <w:rPr>
                <w:spacing w:val="-2"/>
                <w:sz w:val="21"/>
                <w:szCs w:val="21"/>
              </w:rPr>
              <w:t>SZT0901</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套</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rFonts w:hint="eastAsia"/>
                <w:sz w:val="21"/>
                <w:szCs w:val="21"/>
              </w:rPr>
              <w:t>1</w:t>
            </w:r>
            <w:r>
              <w:rPr>
                <w:sz w:val="21"/>
                <w:szCs w:val="21"/>
              </w:rPr>
              <w:t>8.</w:t>
            </w:r>
          </w:p>
        </w:tc>
        <w:tc>
          <w:tcPr>
            <w:tcW w:w="919" w:type="pct"/>
            <w:vAlign w:val="center"/>
          </w:tcPr>
          <w:p>
            <w:pPr>
              <w:pStyle w:val="TableParagraph"/>
              <w:jc w:val="center"/>
            </w:pPr>
            <w:r>
              <w:rPr>
                <w:spacing w:val="-5"/>
                <w:sz w:val="21"/>
                <w:szCs w:val="21"/>
              </w:rPr>
              <w:t>格尔</w:t>
            </w:r>
          </w:p>
        </w:tc>
        <w:tc>
          <w:tcPr>
            <w:tcW w:w="1134" w:type="pct"/>
            <w:vAlign w:val="center"/>
          </w:tcPr>
          <w:p>
            <w:pPr>
              <w:pStyle w:val="TableParagraph"/>
              <w:jc w:val="center"/>
            </w:pPr>
            <w:r>
              <w:rPr>
                <w:spacing w:val="-4"/>
                <w:sz w:val="21"/>
                <w:szCs w:val="21"/>
              </w:rPr>
              <w:t>安全认证网关</w:t>
            </w:r>
          </w:p>
        </w:tc>
        <w:tc>
          <w:tcPr>
            <w:tcW w:w="1383" w:type="pct"/>
            <w:vAlign w:val="center"/>
          </w:tcPr>
          <w:p>
            <w:pPr>
              <w:pStyle w:val="TableParagraph"/>
              <w:jc w:val="center"/>
            </w:pPr>
            <w:r>
              <w:rPr>
                <w:sz w:val="21"/>
                <w:szCs w:val="21"/>
              </w:rPr>
              <w:t>SAG</w:t>
            </w:r>
            <w:r>
              <w:rPr>
                <w:spacing w:val="-2"/>
                <w:sz w:val="21"/>
                <w:szCs w:val="21"/>
              </w:rPr>
              <w:t xml:space="preserve"> </w:t>
            </w:r>
            <w:r>
              <w:rPr>
                <w:spacing w:val="-4"/>
                <w:sz w:val="21"/>
                <w:szCs w:val="21"/>
              </w:rPr>
              <w:t>6400</w:t>
            </w:r>
          </w:p>
        </w:tc>
        <w:tc>
          <w:tcPr>
            <w:tcW w:w="488" w:type="pct"/>
            <w:vAlign w:val="center"/>
          </w:tcPr>
          <w:p>
            <w:pPr>
              <w:pStyle w:val="TableParagraph"/>
              <w:jc w:val="center"/>
            </w:pPr>
            <w:r>
              <w:rPr>
                <w:sz w:val="21"/>
                <w:szCs w:val="21"/>
              </w:rPr>
              <w:t>4</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rFonts w:hint="eastAsia"/>
                <w:sz w:val="21"/>
                <w:szCs w:val="21"/>
              </w:rPr>
              <w:t>1</w:t>
            </w:r>
            <w:r>
              <w:rPr>
                <w:sz w:val="21"/>
                <w:szCs w:val="21"/>
              </w:rPr>
              <w:t>9.</w:t>
            </w:r>
          </w:p>
        </w:tc>
        <w:tc>
          <w:tcPr>
            <w:tcW w:w="919" w:type="pct"/>
            <w:vAlign w:val="center"/>
          </w:tcPr>
          <w:p>
            <w:pPr>
              <w:pStyle w:val="TableParagraph"/>
              <w:jc w:val="center"/>
            </w:pPr>
            <w:r>
              <w:rPr>
                <w:spacing w:val="-5"/>
                <w:sz w:val="21"/>
                <w:szCs w:val="21"/>
              </w:rPr>
              <w:t>格尔</w:t>
            </w:r>
          </w:p>
        </w:tc>
        <w:tc>
          <w:tcPr>
            <w:tcW w:w="1134" w:type="pct"/>
            <w:vAlign w:val="center"/>
          </w:tcPr>
          <w:p>
            <w:pPr>
              <w:pStyle w:val="TableParagraph"/>
              <w:jc w:val="center"/>
            </w:pPr>
            <w:r>
              <w:rPr>
                <w:spacing w:val="-4"/>
                <w:sz w:val="21"/>
                <w:szCs w:val="21"/>
              </w:rPr>
              <w:t>安全认证网关</w:t>
            </w:r>
          </w:p>
        </w:tc>
        <w:tc>
          <w:tcPr>
            <w:tcW w:w="1383" w:type="pct"/>
            <w:vAlign w:val="center"/>
          </w:tcPr>
          <w:p>
            <w:pPr>
              <w:pStyle w:val="TableParagraph"/>
              <w:jc w:val="center"/>
            </w:pPr>
            <w:r>
              <w:rPr>
                <w:spacing w:val="-2"/>
                <w:sz w:val="21"/>
                <w:szCs w:val="21"/>
              </w:rPr>
              <w:t>G4040</w:t>
            </w:r>
          </w:p>
        </w:tc>
        <w:tc>
          <w:tcPr>
            <w:tcW w:w="488" w:type="pct"/>
            <w:vAlign w:val="center"/>
          </w:tcPr>
          <w:p>
            <w:pPr>
              <w:pStyle w:val="TableParagraph"/>
              <w:jc w:val="center"/>
            </w:pPr>
            <w:r>
              <w:rPr>
                <w:sz w:val="21"/>
                <w:szCs w:val="21"/>
              </w:rPr>
              <w:t>2</w:t>
            </w:r>
          </w:p>
        </w:tc>
        <w:tc>
          <w:tcPr>
            <w:tcW w:w="503" w:type="pct"/>
            <w:vAlign w:val="center"/>
          </w:tcPr>
          <w:p>
            <w:pPr>
              <w:pStyle w:val="TableParagraph"/>
              <w:jc w:val="center"/>
            </w:pPr>
            <w:r>
              <w:rPr>
                <w:sz w:val="21"/>
                <w:szCs w:val="21"/>
              </w:rPr>
              <w:t>台</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rFonts w:hint="eastAsia"/>
                <w:sz w:val="21"/>
                <w:szCs w:val="21"/>
              </w:rPr>
              <w:t>2</w:t>
            </w:r>
            <w:r>
              <w:rPr>
                <w:sz w:val="21"/>
                <w:szCs w:val="21"/>
              </w:rPr>
              <w:t>0.</w:t>
            </w:r>
          </w:p>
        </w:tc>
        <w:tc>
          <w:tcPr>
            <w:tcW w:w="919" w:type="pct"/>
            <w:vAlign w:val="center"/>
          </w:tcPr>
          <w:p>
            <w:pPr>
              <w:pStyle w:val="TableParagraph"/>
              <w:jc w:val="center"/>
            </w:pPr>
            <w:r>
              <w:rPr>
                <w:spacing w:val="-5"/>
                <w:sz w:val="21"/>
                <w:szCs w:val="21"/>
              </w:rPr>
              <w:t>竹云</w:t>
            </w:r>
          </w:p>
        </w:tc>
        <w:tc>
          <w:tcPr>
            <w:tcW w:w="1134" w:type="pct"/>
            <w:vAlign w:val="center"/>
          </w:tcPr>
          <w:p>
            <w:pPr>
              <w:pStyle w:val="TableParagraph"/>
              <w:jc w:val="center"/>
            </w:pPr>
            <w:r>
              <w:rPr>
                <w:spacing w:val="-4"/>
                <w:sz w:val="21"/>
                <w:szCs w:val="21"/>
              </w:rPr>
              <w:t>气象统一身份认证</w:t>
            </w:r>
            <w:r>
              <w:rPr>
                <w:spacing w:val="-2"/>
                <w:sz w:val="21"/>
                <w:szCs w:val="21"/>
              </w:rPr>
              <w:t>系统（国家级</w:t>
            </w:r>
            <w:r>
              <w:rPr>
                <w:spacing w:val="-10"/>
                <w:sz w:val="21"/>
                <w:szCs w:val="21"/>
              </w:rPr>
              <w:t>）</w:t>
            </w:r>
          </w:p>
        </w:tc>
        <w:tc>
          <w:tcPr>
            <w:tcW w:w="1383" w:type="pct"/>
            <w:vAlign w:val="center"/>
          </w:tcPr>
          <w:p>
            <w:pPr>
              <w:pStyle w:val="TableParagraph"/>
              <w:jc w:val="center"/>
            </w:pPr>
            <w:r>
              <w:rPr>
                <w:spacing w:val="3"/>
                <w:sz w:val="21"/>
                <w:szCs w:val="21"/>
              </w:rPr>
              <w:t xml:space="preserve">竹云身份管理平台软件 </w:t>
            </w:r>
            <w:r>
              <w:rPr>
                <w:sz w:val="21"/>
                <w:szCs w:val="21"/>
              </w:rPr>
              <w:t>V6.0</w:t>
            </w:r>
            <w:r>
              <w:rPr>
                <w:spacing w:val="-5"/>
                <w:sz w:val="21"/>
                <w:szCs w:val="21"/>
              </w:rPr>
              <w:t>/竹</w:t>
            </w:r>
            <w:r>
              <w:rPr>
                <w:spacing w:val="-2"/>
                <w:sz w:val="21"/>
                <w:szCs w:val="21"/>
              </w:rPr>
              <w:t xml:space="preserve">云访问控制管理平台软件 </w:t>
            </w:r>
            <w:r>
              <w:rPr>
                <w:spacing w:val="-4"/>
                <w:sz w:val="21"/>
                <w:szCs w:val="21"/>
              </w:rPr>
              <w:t>V6.0</w:t>
            </w:r>
          </w:p>
        </w:tc>
        <w:tc>
          <w:tcPr>
            <w:tcW w:w="488" w:type="pct"/>
            <w:vAlign w:val="center"/>
          </w:tcPr>
          <w:p>
            <w:pPr>
              <w:pStyle w:val="TableParagraph"/>
              <w:jc w:val="center"/>
            </w:pPr>
            <w:r>
              <w:rPr>
                <w:sz w:val="21"/>
                <w:szCs w:val="21"/>
              </w:rPr>
              <w:t>1</w:t>
            </w:r>
          </w:p>
        </w:tc>
        <w:tc>
          <w:tcPr>
            <w:tcW w:w="503" w:type="pct"/>
            <w:vAlign w:val="center"/>
          </w:tcPr>
          <w:p>
            <w:pPr>
              <w:pStyle w:val="TableParagraph"/>
              <w:jc w:val="center"/>
            </w:pPr>
            <w:r>
              <w:rPr>
                <w:sz w:val="21"/>
                <w:szCs w:val="21"/>
              </w:rPr>
              <w:t>套</w:t>
            </w:r>
          </w:p>
        </w:tc>
      </w:tr>
      <w:tr>
        <w:tblPrEx>
          <w:tblW w:w="5000" w:type="pct"/>
          <w:tblInd w:w="0" w:type="dxa"/>
          <w:tblCellMar>
            <w:top w:w="0" w:type="dxa"/>
            <w:left w:w="108" w:type="dxa"/>
            <w:bottom w:w="0" w:type="dxa"/>
            <w:right w:w="108" w:type="dxa"/>
          </w:tblCellMar>
        </w:tblPrEx>
        <w:tc>
          <w:tcPr>
            <w:tcW w:w="572" w:type="pct"/>
            <w:vAlign w:val="center"/>
          </w:tcPr>
          <w:p>
            <w:pPr>
              <w:pStyle w:val="TableParagraph"/>
              <w:jc w:val="center"/>
            </w:pPr>
            <w:r>
              <w:rPr>
                <w:rFonts w:hint="eastAsia"/>
                <w:sz w:val="21"/>
                <w:szCs w:val="21"/>
              </w:rPr>
              <w:t>2</w:t>
            </w:r>
            <w:r>
              <w:rPr>
                <w:sz w:val="21"/>
                <w:szCs w:val="21"/>
              </w:rPr>
              <w:t>1.</w:t>
            </w:r>
          </w:p>
        </w:tc>
        <w:tc>
          <w:tcPr>
            <w:tcW w:w="919" w:type="pct"/>
            <w:vAlign w:val="center"/>
          </w:tcPr>
          <w:p>
            <w:pPr>
              <w:pStyle w:val="TableParagraph"/>
              <w:jc w:val="center"/>
            </w:pPr>
            <w:r>
              <w:rPr>
                <w:spacing w:val="-4"/>
                <w:sz w:val="21"/>
                <w:szCs w:val="21"/>
              </w:rPr>
              <w:t>奇安信网神</w:t>
            </w:r>
          </w:p>
        </w:tc>
        <w:tc>
          <w:tcPr>
            <w:tcW w:w="1134" w:type="pct"/>
            <w:vAlign w:val="center"/>
          </w:tcPr>
          <w:p>
            <w:pPr>
              <w:pStyle w:val="TableParagraph"/>
              <w:jc w:val="center"/>
            </w:pPr>
            <w:r>
              <w:rPr>
                <w:spacing w:val="-4"/>
                <w:sz w:val="21"/>
                <w:szCs w:val="21"/>
              </w:rPr>
              <w:t>网神数据防泄漏系</w:t>
            </w:r>
            <w:r>
              <w:rPr>
                <w:spacing w:val="24"/>
                <w:sz w:val="21"/>
                <w:szCs w:val="21"/>
              </w:rPr>
              <w:t xml:space="preserve">统 </w:t>
            </w:r>
            <w:r>
              <w:rPr>
                <w:spacing w:val="-4"/>
                <w:sz w:val="21"/>
                <w:szCs w:val="21"/>
              </w:rPr>
              <w:t>V4.0</w:t>
            </w:r>
          </w:p>
        </w:tc>
        <w:tc>
          <w:tcPr>
            <w:tcW w:w="1383" w:type="pct"/>
            <w:vAlign w:val="center"/>
          </w:tcPr>
          <w:p>
            <w:pPr>
              <w:pStyle w:val="TableParagraph"/>
              <w:jc w:val="center"/>
            </w:pPr>
            <w:r>
              <w:rPr>
                <w:spacing w:val="-2"/>
                <w:sz w:val="21"/>
                <w:szCs w:val="21"/>
              </w:rPr>
              <w:t>DS-NDLP-7271-</w:t>
            </w:r>
            <w:r>
              <w:rPr>
                <w:spacing w:val="-5"/>
                <w:sz w:val="21"/>
                <w:szCs w:val="21"/>
              </w:rPr>
              <w:t>DZ</w:t>
            </w:r>
          </w:p>
        </w:tc>
        <w:tc>
          <w:tcPr>
            <w:tcW w:w="488" w:type="pct"/>
            <w:vAlign w:val="center"/>
          </w:tcPr>
          <w:p>
            <w:pPr>
              <w:pStyle w:val="TableParagraph"/>
              <w:jc w:val="center"/>
            </w:pPr>
            <w:r>
              <w:rPr>
                <w:sz w:val="21"/>
                <w:szCs w:val="21"/>
              </w:rPr>
              <w:t>2</w:t>
            </w:r>
          </w:p>
        </w:tc>
        <w:tc>
          <w:tcPr>
            <w:tcW w:w="503" w:type="pct"/>
            <w:vAlign w:val="center"/>
          </w:tcPr>
          <w:p>
            <w:pPr>
              <w:pStyle w:val="TableParagraph"/>
              <w:jc w:val="center"/>
            </w:pPr>
            <w:r>
              <w:rPr>
                <w:sz w:val="21"/>
                <w:szCs w:val="21"/>
              </w:rPr>
              <w:t>台</w:t>
            </w:r>
          </w:p>
        </w:tc>
      </w:tr>
    </w:tbl>
    <w:p>
      <w:pPr>
        <w:rPr>
          <w:color w:val="000000"/>
          <w:szCs w:val="21"/>
        </w:rPr>
      </w:pPr>
    </w:p>
    <w:p>
      <w:r>
        <w:rPr>
          <w:rFonts w:hint="eastAsia"/>
          <w:color w:val="000000"/>
          <w:szCs w:val="21"/>
        </w:rPr>
        <w:t>备注: 维保设备种类及数量的变化，不超过总数量的30%。</w:t>
      </w:r>
    </w:p>
    <w:p>
      <w:pPr>
        <w:pStyle w:val="Heading3"/>
        <w:numPr>
          <w:ilvl w:val="0"/>
          <w:numId w:val="4"/>
        </w:numPr>
        <w:autoSpaceDE w:val="0"/>
        <w:autoSpaceDN w:val="0"/>
        <w:spacing w:line="360" w:lineRule="auto"/>
        <w:jc w:val="left"/>
        <w:rPr>
          <w:spacing w:val="-1"/>
          <w:sz w:val="21"/>
          <w:szCs w:val="21"/>
        </w:rPr>
      </w:pPr>
      <w:r>
        <w:rPr>
          <w:spacing w:val="-1"/>
          <w:sz w:val="21"/>
          <w:szCs w:val="21"/>
        </w:rPr>
        <w:t>服务时间</w:t>
      </w:r>
    </w:p>
    <w:p>
      <w:pPr>
        <w:pStyle w:val="BodyText"/>
        <w:spacing w:before="65" w:line="360" w:lineRule="auto"/>
        <w:ind w:left="642"/>
      </w:pPr>
      <w:r>
        <w:rPr>
          <w:spacing w:val="-1"/>
        </w:rPr>
        <w:t>合同签订后</w:t>
      </w:r>
      <w:r>
        <w:t>2026</w:t>
      </w:r>
      <w:r>
        <w:rPr>
          <w:spacing w:val="-1"/>
        </w:rPr>
        <w:t>年</w:t>
      </w:r>
      <w:r>
        <w:t>1月1</w:t>
      </w:r>
      <w:r>
        <w:rPr>
          <w:spacing w:val="-2"/>
        </w:rPr>
        <w:t>日至</w:t>
      </w:r>
      <w:r>
        <w:t>2026</w:t>
      </w:r>
      <w:r>
        <w:rPr>
          <w:spacing w:val="1"/>
        </w:rPr>
        <w:t>年</w:t>
      </w:r>
      <w:r>
        <w:t>12</w:t>
      </w:r>
      <w:r>
        <w:rPr>
          <w:spacing w:val="-1"/>
        </w:rPr>
        <w:t>月</w:t>
      </w:r>
      <w:r>
        <w:t>31日。</w:t>
      </w:r>
    </w:p>
    <w:p>
      <w:pPr>
        <w:pStyle w:val="Heading3"/>
        <w:numPr>
          <w:ilvl w:val="0"/>
          <w:numId w:val="4"/>
        </w:numPr>
        <w:autoSpaceDE w:val="0"/>
        <w:autoSpaceDN w:val="0"/>
        <w:spacing w:line="360" w:lineRule="auto"/>
        <w:jc w:val="left"/>
        <w:rPr>
          <w:spacing w:val="-1"/>
          <w:sz w:val="21"/>
          <w:szCs w:val="21"/>
        </w:rPr>
      </w:pPr>
      <w:r>
        <w:rPr>
          <w:spacing w:val="-1"/>
          <w:sz w:val="21"/>
          <w:szCs w:val="21"/>
        </w:rPr>
        <w:t>服务内容基本要求</w:t>
      </w:r>
    </w:p>
    <w:p>
      <w:pPr>
        <w:pStyle w:val="Heading4"/>
        <w:keepNext w:val="0"/>
        <w:keepLines w:val="0"/>
        <w:numPr>
          <w:ilvl w:val="1"/>
          <w:numId w:val="5"/>
        </w:numPr>
        <w:autoSpaceDE w:val="0"/>
        <w:autoSpaceDN w:val="0"/>
        <w:spacing w:before="0" w:after="0" w:line="360" w:lineRule="auto"/>
        <w:ind w:firstLine="0"/>
        <w:jc w:val="left"/>
        <w:rPr>
          <w:rFonts w:ascii="黑体" w:hAnsi="黑体"/>
          <w:sz w:val="21"/>
        </w:rPr>
      </w:pPr>
      <w:r>
        <w:rPr>
          <w:rFonts w:ascii="黑体" w:hAnsi="黑体" w:hint="eastAsia"/>
          <w:sz w:val="21"/>
        </w:rPr>
        <w:t>安全产品运行维护服务</w:t>
      </w:r>
    </w:p>
    <w:p>
      <w:pPr>
        <w:pStyle w:val="BodyText"/>
        <w:spacing w:line="360" w:lineRule="auto"/>
        <w:ind w:firstLine="420" w:firstLineChars="200"/>
      </w:pPr>
      <w:r>
        <w:rPr>
          <w:rFonts w:hint="eastAsia"/>
        </w:rPr>
        <w:t>网络安全产品运行维护服务主要包括对奇安信、深信服、启明星辰、安恒信息、天融信、绿盟等品牌的网络安全及数据安全设备（含“维修设备清单”章节中的产品）提供运行维护服务，安全设备总数量不少于200台，提供不少于</w:t>
      </w:r>
      <w:r>
        <w:t>1</w:t>
      </w:r>
      <w:r>
        <w:rPr>
          <w:rFonts w:hint="eastAsia"/>
        </w:rPr>
        <w:t>名全年驻场（国家级）支持本项工作的技术工程师。</w:t>
      </w:r>
    </w:p>
    <w:p>
      <w:pPr>
        <w:pStyle w:val="Heading5"/>
        <w:keepNext w:val="0"/>
        <w:keepLines w:val="0"/>
        <w:numPr>
          <w:ilvl w:val="2"/>
          <w:numId w:val="5"/>
        </w:numPr>
        <w:autoSpaceDE w:val="0"/>
        <w:autoSpaceDN w:val="0"/>
        <w:spacing w:before="0" w:after="0" w:line="360" w:lineRule="auto"/>
        <w:ind w:hanging="79"/>
        <w:jc w:val="left"/>
        <w:rPr>
          <w:sz w:val="21"/>
          <w:szCs w:val="21"/>
        </w:rPr>
      </w:pPr>
      <w:r>
        <w:rPr>
          <w:rFonts w:hint="eastAsia"/>
          <w:sz w:val="21"/>
          <w:szCs w:val="21"/>
        </w:rPr>
        <w:t>安全产品</w:t>
      </w:r>
      <w:r>
        <w:rPr>
          <w:sz w:val="21"/>
          <w:szCs w:val="21"/>
        </w:rPr>
        <w:t>运行维护</w:t>
      </w:r>
      <w:r>
        <w:rPr>
          <w:rFonts w:hint="eastAsia"/>
          <w:sz w:val="21"/>
          <w:szCs w:val="21"/>
        </w:rPr>
        <w:t>服务</w:t>
      </w:r>
    </w:p>
    <w:p>
      <w:pPr>
        <w:pStyle w:val="BodyText"/>
        <w:spacing w:before="152" w:line="360" w:lineRule="auto"/>
        <w:ind w:firstLine="420" w:firstLineChars="200"/>
      </w:pPr>
      <w:r>
        <w:t>对</w:t>
      </w:r>
      <w:r>
        <w:rPr>
          <w:rFonts w:hint="eastAsia"/>
        </w:rPr>
        <w:t>所负责的产品</w:t>
      </w:r>
      <w:r>
        <w:t>设备进行日常维护和保修，具体工作包括：</w:t>
      </w:r>
    </w:p>
    <w:p>
      <w:pPr>
        <w:pStyle w:val="BodyText"/>
        <w:spacing w:line="360" w:lineRule="auto"/>
        <w:ind w:firstLine="420" w:firstLineChars="200"/>
      </w:pPr>
      <w:r>
        <w:rPr>
          <w:rFonts w:hint="eastAsia"/>
        </w:rPr>
        <w:t>1、</w:t>
      </w:r>
      <w:r>
        <w:t>日常巡检。</w:t>
      </w:r>
      <w:r>
        <w:rPr>
          <w:rFonts w:hint="eastAsia"/>
        </w:rPr>
        <w:t>每日巡检一次，巡检内容包括但不限于查看设备运行日志、分析设备运行状况，巡检设备包含国家级主中心、备份中心和超算中心部署的采购人负责的所有安全设备。</w:t>
      </w:r>
    </w:p>
    <w:p>
      <w:pPr>
        <w:pStyle w:val="BodyText"/>
        <w:spacing w:line="360" w:lineRule="auto"/>
        <w:ind w:firstLine="420" w:firstLineChars="200"/>
      </w:pPr>
      <w:r>
        <w:t>2、梳理策略。</w:t>
      </w:r>
      <w:r>
        <w:rPr>
          <w:rFonts w:hint="eastAsia"/>
        </w:rPr>
        <w:t>根据需求变更、</w:t>
      </w:r>
      <w:r>
        <w:t>开通安全策略</w:t>
      </w:r>
      <w:r>
        <w:rPr>
          <w:rFonts w:hint="eastAsia"/>
        </w:rPr>
        <w:t>，</w:t>
      </w:r>
      <w:r>
        <w:t>对安全策略进行梳理，明确每一条策略的用途、意义；</w:t>
      </w:r>
    </w:p>
    <w:p>
      <w:pPr>
        <w:pStyle w:val="BodyText"/>
        <w:spacing w:line="360" w:lineRule="auto"/>
        <w:ind w:firstLine="420" w:firstLineChars="200"/>
      </w:pPr>
      <w:r>
        <w:t>3、配置备份。每周对安全设备配置进行备份，每次配置调整后应进行备份</w:t>
      </w:r>
      <w:r>
        <w:rPr>
          <w:rFonts w:hint="eastAsia"/>
        </w:rPr>
        <w:t>，备份配置应在所属设备以外进行存储，保留时间不少于3</w:t>
      </w:r>
      <w:r>
        <w:t>0</w:t>
      </w:r>
      <w:r>
        <w:rPr>
          <w:rFonts w:hint="eastAsia"/>
        </w:rPr>
        <w:t>天</w:t>
      </w:r>
      <w:r>
        <w:t>；</w:t>
      </w:r>
    </w:p>
    <w:p>
      <w:pPr>
        <w:pStyle w:val="BodyText"/>
        <w:spacing w:before="1" w:line="360" w:lineRule="auto"/>
        <w:ind w:firstLine="420" w:firstLineChars="200"/>
      </w:pPr>
      <w:r>
        <w:t>4、设备配置及优化。根据业务及安全需求，调整安全设备配置（包括安全策略修改），并对策略进行归并及优化；</w:t>
      </w:r>
    </w:p>
    <w:p>
      <w:pPr>
        <w:pStyle w:val="BodyText"/>
        <w:spacing w:line="360" w:lineRule="auto"/>
        <w:ind w:firstLine="420" w:firstLineChars="200"/>
      </w:pPr>
      <w:r>
        <w:t>5、设备升级。在设备系统软件或特征库新版本发布后，及时完成设备软件升级；</w:t>
      </w:r>
    </w:p>
    <w:p>
      <w:pPr>
        <w:pStyle w:val="BodyText"/>
        <w:spacing w:line="360" w:lineRule="auto"/>
        <w:ind w:firstLine="420" w:firstLineChars="200"/>
      </w:pPr>
      <w:r>
        <w:t>6、故障处理。对安全产品发生的故障进行处置；</w:t>
      </w:r>
    </w:p>
    <w:p>
      <w:pPr>
        <w:pStyle w:val="BodyText"/>
        <w:spacing w:line="360" w:lineRule="auto"/>
        <w:ind w:firstLine="420" w:firstLineChars="200"/>
      </w:pPr>
      <w:r>
        <w:t>7</w:t>
      </w:r>
      <w:r>
        <w:rPr>
          <w:spacing w:val="1"/>
        </w:rPr>
        <w:t>、新增设备维护。配合完成新增安全设备的安装调试，完成上述</w:t>
      </w:r>
      <w:r>
        <w:t>1、2、3、4、5、6</w:t>
      </w:r>
      <w:r>
        <w:rPr>
          <w:spacing w:val="19"/>
        </w:rPr>
        <w:t>项</w:t>
      </w:r>
      <w:r>
        <w:t>的工作内容。</w:t>
      </w:r>
    </w:p>
    <w:p>
      <w:pPr>
        <w:pStyle w:val="BodyText"/>
        <w:spacing w:line="360" w:lineRule="auto"/>
        <w:ind w:left="642" w:right="3480"/>
        <w:rPr>
          <w:rFonts w:cs="Times New Roman"/>
          <w:b/>
          <w:bCs/>
          <w:w w:val="95"/>
        </w:rPr>
      </w:pPr>
      <w:r>
        <w:rPr>
          <w:rFonts w:cs="Times New Roman"/>
          <w:b/>
          <w:bCs/>
          <w:w w:val="95"/>
        </w:rPr>
        <w:t>交付成果：</w:t>
      </w:r>
    </w:p>
    <w:p>
      <w:pPr>
        <w:pStyle w:val="12"/>
        <w:numPr>
          <w:ilvl w:val="0"/>
          <w:numId w:val="6"/>
        </w:numPr>
        <w:tabs>
          <w:tab w:val="left" w:pos="1060"/>
          <w:tab w:val="left" w:pos="1061"/>
        </w:tabs>
        <w:spacing w:line="360" w:lineRule="auto"/>
        <w:ind w:left="652" w:firstLine="408" w:firstLineChars="0"/>
        <w:rPr>
          <w:sz w:val="21"/>
          <w:szCs w:val="21"/>
        </w:rPr>
      </w:pPr>
      <w:r>
        <w:rPr>
          <w:spacing w:val="-1"/>
          <w:sz w:val="21"/>
          <w:szCs w:val="21"/>
        </w:rPr>
        <w:t>《国家气象信息中心安全设备巡检记录表》</w:t>
      </w:r>
    </w:p>
    <w:p>
      <w:pPr>
        <w:pStyle w:val="13"/>
        <w:numPr>
          <w:ilvl w:val="0"/>
          <w:numId w:val="6"/>
        </w:numPr>
        <w:tabs>
          <w:tab w:val="left" w:pos="1060"/>
          <w:tab w:val="left" w:pos="1061"/>
        </w:tabs>
        <w:spacing w:line="360" w:lineRule="auto"/>
        <w:ind w:left="652" w:firstLine="408" w:firstLineChars="0"/>
        <w:rPr>
          <w:spacing w:val="-1"/>
          <w:sz w:val="21"/>
          <w:szCs w:val="21"/>
        </w:rPr>
      </w:pPr>
      <w:r>
        <w:rPr>
          <w:spacing w:val="-1"/>
          <w:sz w:val="21"/>
          <w:szCs w:val="21"/>
        </w:rPr>
        <w:t>《国家气象信息中心安全设备配置变更记录表》</w:t>
      </w:r>
    </w:p>
    <w:p>
      <w:pPr>
        <w:pStyle w:val="13"/>
        <w:numPr>
          <w:ilvl w:val="0"/>
          <w:numId w:val="6"/>
        </w:numPr>
        <w:tabs>
          <w:tab w:val="left" w:pos="1060"/>
          <w:tab w:val="left" w:pos="1061"/>
        </w:tabs>
        <w:spacing w:line="360" w:lineRule="auto"/>
        <w:ind w:left="652" w:firstLine="408" w:firstLineChars="0"/>
        <w:rPr>
          <w:spacing w:val="-1"/>
          <w:sz w:val="21"/>
          <w:szCs w:val="21"/>
        </w:rPr>
      </w:pPr>
      <w:r>
        <w:rPr>
          <w:spacing w:val="-1"/>
          <w:sz w:val="21"/>
          <w:szCs w:val="21"/>
        </w:rPr>
        <w:t>《国家气象信息中心安全设备配置备份记录表》</w:t>
      </w:r>
    </w:p>
    <w:p>
      <w:pPr>
        <w:pStyle w:val="13"/>
        <w:numPr>
          <w:ilvl w:val="0"/>
          <w:numId w:val="6"/>
        </w:numPr>
        <w:tabs>
          <w:tab w:val="left" w:pos="1060"/>
          <w:tab w:val="left" w:pos="1061"/>
        </w:tabs>
        <w:spacing w:line="360" w:lineRule="auto"/>
        <w:ind w:left="652" w:firstLine="408" w:firstLineChars="0"/>
        <w:rPr>
          <w:spacing w:val="-1"/>
          <w:sz w:val="21"/>
          <w:szCs w:val="21"/>
        </w:rPr>
      </w:pPr>
      <w:r>
        <w:rPr>
          <w:spacing w:val="-1"/>
          <w:sz w:val="21"/>
          <w:szCs w:val="21"/>
        </w:rPr>
        <w:t>《国家气象信息中心安全设备故障维修记录表》</w:t>
      </w:r>
    </w:p>
    <w:p>
      <w:pPr>
        <w:pStyle w:val="13"/>
        <w:numPr>
          <w:ilvl w:val="0"/>
          <w:numId w:val="6"/>
        </w:numPr>
        <w:tabs>
          <w:tab w:val="left" w:pos="1060"/>
          <w:tab w:val="left" w:pos="1061"/>
        </w:tabs>
        <w:spacing w:line="360" w:lineRule="auto"/>
        <w:ind w:left="652" w:firstLine="408" w:firstLineChars="0"/>
        <w:rPr>
          <w:spacing w:val="-1"/>
          <w:sz w:val="21"/>
          <w:szCs w:val="21"/>
        </w:rPr>
      </w:pPr>
      <w:r>
        <w:rPr>
          <w:spacing w:val="-1"/>
          <w:sz w:val="21"/>
          <w:szCs w:val="21"/>
        </w:rPr>
        <w:t>《国家气象信息中心安全设备升级记录表》</w:t>
      </w:r>
    </w:p>
    <w:p>
      <w:pPr>
        <w:pStyle w:val="13"/>
        <w:numPr>
          <w:ilvl w:val="0"/>
          <w:numId w:val="6"/>
        </w:numPr>
        <w:tabs>
          <w:tab w:val="left" w:pos="1060"/>
          <w:tab w:val="left" w:pos="1061"/>
        </w:tabs>
        <w:spacing w:line="360" w:lineRule="auto"/>
        <w:ind w:left="652" w:firstLine="408" w:firstLineChars="0"/>
        <w:rPr>
          <w:spacing w:val="-1"/>
          <w:sz w:val="21"/>
          <w:szCs w:val="21"/>
        </w:rPr>
      </w:pPr>
      <w:r>
        <w:rPr>
          <w:spacing w:val="-1"/>
          <w:sz w:val="21"/>
          <w:szCs w:val="21"/>
        </w:rPr>
        <w:t>《国家气象信息中心安全设备配置梳理记录表》</w:t>
      </w:r>
    </w:p>
    <w:p>
      <w:pPr>
        <w:pStyle w:val="Heading5"/>
        <w:keepNext w:val="0"/>
        <w:keepLines w:val="0"/>
        <w:numPr>
          <w:ilvl w:val="2"/>
          <w:numId w:val="5"/>
        </w:numPr>
        <w:autoSpaceDE w:val="0"/>
        <w:autoSpaceDN w:val="0"/>
        <w:spacing w:before="0" w:after="0" w:line="360" w:lineRule="auto"/>
        <w:ind w:hanging="79"/>
        <w:jc w:val="left"/>
        <w:rPr>
          <w:sz w:val="21"/>
          <w:szCs w:val="21"/>
        </w:rPr>
      </w:pPr>
      <w:r>
        <w:rPr>
          <w:sz w:val="21"/>
          <w:szCs w:val="21"/>
        </w:rPr>
        <w:t>安全</w:t>
      </w:r>
      <w:r>
        <w:rPr>
          <w:rFonts w:hint="eastAsia"/>
          <w:sz w:val="21"/>
          <w:szCs w:val="21"/>
        </w:rPr>
        <w:t>产品</w:t>
      </w:r>
      <w:r>
        <w:rPr>
          <w:sz w:val="21"/>
          <w:szCs w:val="21"/>
        </w:rPr>
        <w:t>授权许可</w:t>
      </w:r>
      <w:r>
        <w:rPr>
          <w:rFonts w:hint="eastAsia"/>
          <w:sz w:val="21"/>
          <w:szCs w:val="21"/>
        </w:rPr>
        <w:t>续购</w:t>
      </w:r>
    </w:p>
    <w:p>
      <w:pPr>
        <w:tabs>
          <w:tab w:val="left" w:pos="1060"/>
          <w:tab w:val="left" w:pos="1061"/>
        </w:tabs>
        <w:spacing w:line="360" w:lineRule="auto"/>
        <w:ind w:left="142" w:firstLine="420" w:firstLineChars="200"/>
      </w:pPr>
      <w:r>
        <w:t>购置本项目服务期内国家气象信息中心</w:t>
      </w:r>
      <w:r>
        <w:rPr>
          <w:rFonts w:hint="eastAsia"/>
        </w:rPr>
        <w:t>维保设备清单中</w:t>
      </w:r>
      <w:r>
        <w:t>设备系统软件及特征库升级许可；须承诺在合同生效2个月内购置完成。</w:t>
      </w:r>
      <w:r>
        <w:rPr>
          <w:rFonts w:hint="eastAsia"/>
        </w:rPr>
        <w:t>在</w:t>
      </w:r>
      <w:r>
        <w:t>合同生效2个月内</w:t>
      </w:r>
      <w:r>
        <w:rPr>
          <w:rFonts w:hint="eastAsia"/>
        </w:rPr>
        <w:t>提供</w:t>
      </w:r>
      <w:r>
        <w:t>完成购置承诺书。</w:t>
      </w:r>
    </w:p>
    <w:p>
      <w:pPr>
        <w:pStyle w:val="Heading4"/>
        <w:keepNext w:val="0"/>
        <w:keepLines w:val="0"/>
        <w:numPr>
          <w:ilvl w:val="1"/>
          <w:numId w:val="5"/>
        </w:numPr>
        <w:autoSpaceDE w:val="0"/>
        <w:autoSpaceDN w:val="0"/>
        <w:spacing w:before="0" w:after="0" w:line="360" w:lineRule="auto"/>
        <w:ind w:firstLine="0"/>
        <w:jc w:val="left"/>
        <w:rPr>
          <w:sz w:val="21"/>
        </w:rPr>
      </w:pPr>
      <w:r>
        <w:rPr>
          <w:rFonts w:hint="eastAsia"/>
          <w:sz w:val="21"/>
        </w:rPr>
        <w:t>CA系统运行维护服务</w:t>
      </w:r>
    </w:p>
    <w:p>
      <w:pPr>
        <w:tabs>
          <w:tab w:val="left" w:pos="1060"/>
          <w:tab w:val="left" w:pos="1061"/>
        </w:tabs>
        <w:spacing w:line="360" w:lineRule="auto"/>
        <w:ind w:left="142" w:firstLine="420" w:firstLineChars="200"/>
      </w:pPr>
      <w:r>
        <w:rPr>
          <w:rFonts w:hint="eastAsia"/>
        </w:rPr>
        <w:t>提供数字证书技术支持服务，包括现场技术、接听电话等，现场、电话或远程支持解决用户在下载数字证书、使用证书登录应用系统过程中的各种问题。提供不少于1名全年驻场（国家级）支持本项工作的技术工程师。</w:t>
      </w:r>
    </w:p>
    <w:p>
      <w:pPr>
        <w:pStyle w:val="Heading4"/>
        <w:keepNext w:val="0"/>
        <w:keepLines w:val="0"/>
        <w:numPr>
          <w:ilvl w:val="1"/>
          <w:numId w:val="5"/>
        </w:numPr>
        <w:autoSpaceDE w:val="0"/>
        <w:autoSpaceDN w:val="0"/>
        <w:spacing w:before="0" w:after="0" w:line="360" w:lineRule="auto"/>
        <w:ind w:firstLine="0"/>
        <w:jc w:val="left"/>
        <w:rPr>
          <w:sz w:val="21"/>
        </w:rPr>
      </w:pPr>
      <w:r>
        <w:rPr>
          <w:rFonts w:hint="eastAsia"/>
          <w:sz w:val="21"/>
        </w:rPr>
        <w:t>产品维修及备品备件</w:t>
      </w:r>
      <w:r>
        <w:rPr>
          <w:sz w:val="21"/>
        </w:rPr>
        <w:t>服务</w:t>
      </w:r>
    </w:p>
    <w:p>
      <w:pPr>
        <w:tabs>
          <w:tab w:val="left" w:pos="1060"/>
          <w:tab w:val="left" w:pos="1061"/>
        </w:tabs>
        <w:spacing w:line="360" w:lineRule="auto"/>
        <w:ind w:left="142" w:firstLine="420" w:firstLineChars="200"/>
      </w:pPr>
      <w:r>
        <w:rPr>
          <w:spacing w:val="-1"/>
        </w:rPr>
        <w:t>承担本项目服务期内国家气象信息中心</w:t>
      </w:r>
      <w:r>
        <w:rPr>
          <w:rFonts w:hint="eastAsia"/>
          <w:spacing w:val="-1"/>
        </w:rPr>
        <w:t>维保设备清单中</w:t>
      </w:r>
      <w:r>
        <w:rPr>
          <w:spacing w:val="-1"/>
        </w:rPr>
        <w:t>设备</w:t>
      </w:r>
      <w:r>
        <w:rPr>
          <w:rFonts w:hint="eastAsia"/>
          <w:spacing w:val="-1"/>
        </w:rPr>
        <w:t>的</w:t>
      </w:r>
      <w:r>
        <w:rPr>
          <w:spacing w:val="-1"/>
        </w:rPr>
        <w:t>保修服务，在设备发生故障时及时对设备进行维修</w:t>
      </w:r>
      <w:r>
        <w:t>（包括硬件故障、软件故障、系统性故障、性能不足等对业务运行产生影响或有</w:t>
      </w:r>
      <w:r>
        <w:rPr>
          <w:spacing w:val="-1"/>
        </w:rPr>
        <w:t>可能带来隐患的情况</w:t>
      </w:r>
      <w:r>
        <w:t>），</w:t>
      </w:r>
      <w:r>
        <w:rPr>
          <w:spacing w:val="-1"/>
          <w:szCs w:val="21"/>
        </w:rPr>
        <w:t>必要</w:t>
      </w:r>
      <w:r>
        <w:t>时需要提供临时备机。在上述故障情况出现时，若设备无法完全</w:t>
      </w:r>
      <w:r>
        <w:rPr>
          <w:spacing w:val="-1"/>
        </w:rPr>
        <w:t>修复或恢复正常使用，需无偿向国家气象信息中心提供能够解决问题的至少同档同级别设备进行更换，以保障业务运行不受任何影响或存在隐患，所提供的设备产权归国家气象信息中心所</w:t>
      </w:r>
      <w:r>
        <w:t>有。</w:t>
      </w:r>
    </w:p>
    <w:p>
      <w:pPr>
        <w:pStyle w:val="Heading4"/>
        <w:keepNext w:val="0"/>
        <w:keepLines w:val="0"/>
        <w:numPr>
          <w:ilvl w:val="1"/>
          <w:numId w:val="5"/>
        </w:numPr>
        <w:autoSpaceDE w:val="0"/>
        <w:autoSpaceDN w:val="0"/>
        <w:spacing w:before="0" w:after="0" w:line="360" w:lineRule="auto"/>
        <w:ind w:firstLine="0"/>
        <w:jc w:val="left"/>
        <w:rPr>
          <w:sz w:val="21"/>
        </w:rPr>
      </w:pPr>
      <w:r>
        <w:rPr>
          <w:rFonts w:hint="eastAsia"/>
          <w:sz w:val="21"/>
        </w:rPr>
        <w:t>其他安全服务工作</w:t>
      </w:r>
    </w:p>
    <w:p>
      <w:pPr>
        <w:tabs>
          <w:tab w:val="left" w:pos="1060"/>
          <w:tab w:val="left" w:pos="1061"/>
        </w:tabs>
        <w:spacing w:line="360" w:lineRule="auto"/>
        <w:ind w:left="142" w:firstLine="420" w:firstLineChars="200"/>
        <w:rPr>
          <w:spacing w:val="-1"/>
          <w:szCs w:val="21"/>
        </w:rPr>
      </w:pPr>
      <w:r>
        <w:rPr>
          <w:spacing w:val="-1"/>
          <w:szCs w:val="21"/>
        </w:rPr>
        <w:t>网络异常排查</w:t>
      </w:r>
      <w:r>
        <w:rPr>
          <w:rFonts w:hint="eastAsia"/>
          <w:spacing w:val="-1"/>
          <w:szCs w:val="21"/>
        </w:rPr>
        <w:t>：</w:t>
      </w:r>
      <w:r>
        <w:rPr>
          <w:spacing w:val="-1"/>
          <w:szCs w:val="21"/>
        </w:rPr>
        <w:t>在国家气象信息中心</w:t>
      </w:r>
      <w:r>
        <w:rPr>
          <w:rFonts w:hint="eastAsia"/>
          <w:spacing w:val="-1"/>
          <w:szCs w:val="21"/>
        </w:rPr>
        <w:t>负责的</w:t>
      </w:r>
      <w:r>
        <w:rPr>
          <w:spacing w:val="-1"/>
          <w:szCs w:val="21"/>
        </w:rPr>
        <w:t>网络</w:t>
      </w:r>
      <w:r>
        <w:rPr>
          <w:rFonts w:hint="eastAsia"/>
          <w:spacing w:val="-1"/>
          <w:szCs w:val="21"/>
        </w:rPr>
        <w:t>系统</w:t>
      </w:r>
      <w:r>
        <w:rPr>
          <w:spacing w:val="-1"/>
          <w:szCs w:val="21"/>
        </w:rPr>
        <w:t>、应用系统等出现异常时，配合进行相关安全排查工作，迅速分析异常原因，在最短时间内恢复正常。</w:t>
      </w:r>
    </w:p>
    <w:p>
      <w:pPr>
        <w:tabs>
          <w:tab w:val="left" w:pos="1060"/>
          <w:tab w:val="left" w:pos="1061"/>
        </w:tabs>
        <w:spacing w:line="360" w:lineRule="auto"/>
        <w:ind w:left="142" w:firstLine="420" w:firstLineChars="200"/>
        <w:rPr>
          <w:spacing w:val="-1"/>
          <w:szCs w:val="21"/>
        </w:rPr>
      </w:pPr>
      <w:r>
        <w:rPr>
          <w:rFonts w:hint="eastAsia"/>
          <w:spacing w:val="-1"/>
          <w:szCs w:val="21"/>
        </w:rPr>
        <w:t>安全工作资料与文档整理：</w:t>
      </w:r>
      <w:r>
        <w:rPr>
          <w:spacing w:val="-1"/>
          <w:szCs w:val="21"/>
        </w:rPr>
        <w:t>对国家气象信息中心相关网络安全相关资料（包括：安全资产清单、安全拓扑图、安全设备技术资料、安全策略）进行梳理并实时更新，整理本项目验收文档资料。</w:t>
      </w:r>
    </w:p>
    <w:p>
      <w:pPr>
        <w:tabs>
          <w:tab w:val="left" w:pos="1060"/>
          <w:tab w:val="left" w:pos="1061"/>
        </w:tabs>
        <w:spacing w:line="360" w:lineRule="auto"/>
        <w:ind w:left="142" w:firstLine="420" w:firstLineChars="200"/>
      </w:pPr>
      <w:r>
        <w:t>配合国家气象信息中心完成日常管理过程中的所有业务调整工作：包括方案编写、配置编制、线缆铺设、现场实施、系统测试、报告编制等。针对日常管理过程中的业务认识，提出具有可行性的安全优化调整建议，并提供优化方案。</w:t>
      </w:r>
    </w:p>
    <w:p>
      <w:pPr>
        <w:tabs>
          <w:tab w:val="left" w:pos="1060"/>
          <w:tab w:val="left" w:pos="1061"/>
        </w:tabs>
        <w:spacing w:line="360" w:lineRule="auto"/>
        <w:ind w:left="142" w:firstLine="420" w:firstLineChars="200"/>
        <w:rPr>
          <w:spacing w:val="-1"/>
          <w:szCs w:val="21"/>
        </w:rPr>
      </w:pPr>
      <w:r>
        <w:t>完成</w:t>
      </w:r>
      <w:r>
        <w:rPr>
          <w:rFonts w:hint="eastAsia"/>
        </w:rPr>
        <w:t>国家气象信息中心</w:t>
      </w:r>
      <w:r>
        <w:t>要求的</w:t>
      </w:r>
      <w:r>
        <w:rPr>
          <w:spacing w:val="-1"/>
          <w:szCs w:val="21"/>
        </w:rPr>
        <w:t>其他网络安全技术相关工作。</w:t>
      </w:r>
    </w:p>
    <w:p>
      <w:pPr>
        <w:pStyle w:val="Heading4"/>
        <w:keepNext w:val="0"/>
        <w:keepLines w:val="0"/>
        <w:numPr>
          <w:ilvl w:val="1"/>
          <w:numId w:val="5"/>
        </w:numPr>
        <w:autoSpaceDE w:val="0"/>
        <w:autoSpaceDN w:val="0"/>
        <w:spacing w:before="0" w:after="0" w:line="360" w:lineRule="auto"/>
        <w:ind w:firstLine="0"/>
        <w:jc w:val="left"/>
        <w:rPr>
          <w:sz w:val="21"/>
        </w:rPr>
      </w:pPr>
      <w:r>
        <w:rPr>
          <w:rFonts w:hint="eastAsia"/>
          <w:sz w:val="21"/>
        </w:rPr>
        <w:t>人力资源要求</w:t>
      </w:r>
    </w:p>
    <w:p>
      <w:pPr>
        <w:tabs>
          <w:tab w:val="left" w:pos="1060"/>
          <w:tab w:val="left" w:pos="1061"/>
        </w:tabs>
        <w:spacing w:line="360" w:lineRule="auto"/>
        <w:ind w:left="142" w:firstLine="420" w:firstLineChars="200"/>
        <w:rPr>
          <w:spacing w:val="-1"/>
          <w:szCs w:val="21"/>
        </w:rPr>
      </w:pPr>
      <w:r>
        <w:rPr>
          <w:spacing w:val="-1"/>
          <w:szCs w:val="21"/>
        </w:rPr>
        <w:t>须提供项目管理机构和详细人员配置计划，并明确各岗位的职责和任务分工。中标人服务团队</w:t>
      </w:r>
      <w:r>
        <w:rPr>
          <w:rFonts w:hint="eastAsia"/>
          <w:spacing w:val="-1"/>
          <w:szCs w:val="21"/>
          <w:lang w:val="en-US" w:eastAsia="zh-CN"/>
        </w:rPr>
        <w:t>人数不少于3人，</w:t>
      </w:r>
      <w:r>
        <w:rPr>
          <w:spacing w:val="-1"/>
          <w:szCs w:val="21"/>
        </w:rPr>
        <w:t>由项目经理、</w:t>
      </w:r>
      <w:r>
        <w:rPr>
          <w:rFonts w:hint="eastAsia"/>
          <w:spacing w:val="-1"/>
          <w:szCs w:val="21"/>
        </w:rPr>
        <w:t>不少于2名</w:t>
      </w:r>
      <w:r>
        <w:rPr>
          <w:rFonts w:hint="eastAsia"/>
          <w:spacing w:val="-1"/>
          <w:szCs w:val="21"/>
          <w:lang w:val="en-US" w:eastAsia="zh-CN"/>
        </w:rPr>
        <w:t>的</w:t>
      </w:r>
      <w:r>
        <w:rPr>
          <w:spacing w:val="-1"/>
          <w:szCs w:val="21"/>
        </w:rPr>
        <w:t>驻场人员构成，团队成员要求全部人员具有部委安全服务经验，需要提供简历。</w:t>
      </w:r>
    </w:p>
    <w:p>
      <w:pPr>
        <w:tabs>
          <w:tab w:val="left" w:pos="1060"/>
          <w:tab w:val="left" w:pos="1061"/>
        </w:tabs>
        <w:spacing w:line="360" w:lineRule="auto"/>
        <w:ind w:left="142" w:firstLine="420" w:firstLineChars="200"/>
        <w:rPr>
          <w:spacing w:val="-1"/>
          <w:szCs w:val="21"/>
        </w:rPr>
      </w:pPr>
      <w:r>
        <w:rPr>
          <w:spacing w:val="-1"/>
          <w:szCs w:val="21"/>
        </w:rPr>
        <w:t>项目经理要求具有项目管理经验及相应资质证书、至少担任过 3 个类似规模安全运维项目（其中至少一个部委单位的类似项目）；驻场人员要求具有 3 年以上安全运维工作经验及相应资质证书，有较强的沟通能力及文字表达能力。</w:t>
      </w:r>
    </w:p>
    <w:p>
      <w:pPr>
        <w:tabs>
          <w:tab w:val="left" w:pos="1060"/>
          <w:tab w:val="left" w:pos="1061"/>
        </w:tabs>
        <w:spacing w:line="360" w:lineRule="auto"/>
        <w:ind w:left="142" w:firstLine="420" w:firstLineChars="200"/>
        <w:rPr>
          <w:spacing w:val="-1"/>
          <w:szCs w:val="21"/>
        </w:rPr>
      </w:pPr>
      <w:r>
        <w:rPr>
          <w:spacing w:val="-1"/>
          <w:szCs w:val="21"/>
        </w:rPr>
        <w:t>除国家气象信息中心提出更换要求和驻场人员个人离职两种情况外，不可随意更换驻场人员。项目组人员一经国家气象信息中心认可后，在整个项目实施过程中未经国家气象信息中心同意不得更换。指定的专职项目经理如有变化，必须提前 15 天通知国家气象信息中心，并且所更换人员要具备原替换人员的相同能力和资质，得到国家气象信息中心的同意并进行备案，同时扣除合同金额的 3%（每次），若未经国家气象信息中心同意更换人员，则扣除合同金额的 5%（每次。）</w:t>
      </w:r>
    </w:p>
    <w:p>
      <w:pPr>
        <w:tabs>
          <w:tab w:val="left" w:pos="1060"/>
          <w:tab w:val="left" w:pos="1061"/>
        </w:tabs>
        <w:spacing w:line="360" w:lineRule="auto"/>
        <w:ind w:left="142" w:firstLine="420" w:firstLineChars="200"/>
        <w:rPr>
          <w:spacing w:val="-1"/>
          <w:szCs w:val="21"/>
        </w:rPr>
      </w:pPr>
      <w:r>
        <w:rPr>
          <w:spacing w:val="-1"/>
          <w:szCs w:val="21"/>
        </w:rPr>
        <w:t>安全驻场人员分为常驻人员及二线人员</w:t>
      </w:r>
      <w:r>
        <w:rPr>
          <w:rFonts w:hint="eastAsia"/>
          <w:spacing w:val="-1"/>
          <w:szCs w:val="21"/>
        </w:rPr>
        <w:t>。</w:t>
      </w:r>
      <w:r>
        <w:rPr>
          <w:spacing w:val="-1"/>
          <w:szCs w:val="21"/>
        </w:rPr>
        <w:t>常驻人员执行 5×8 小时安全值守服务，当常驻人员因故不能解决问题时，二线人员应 1 小时内抵达现场， 并按要求完成各项工作。</w:t>
      </w:r>
    </w:p>
    <w:p>
      <w:pPr>
        <w:pStyle w:val="Heading4"/>
        <w:keepNext w:val="0"/>
        <w:keepLines w:val="0"/>
        <w:numPr>
          <w:ilvl w:val="1"/>
          <w:numId w:val="5"/>
        </w:numPr>
        <w:autoSpaceDE w:val="0"/>
        <w:autoSpaceDN w:val="0"/>
        <w:spacing w:before="0" w:after="0" w:line="360" w:lineRule="auto"/>
        <w:ind w:firstLine="0"/>
        <w:jc w:val="left"/>
        <w:rPr>
          <w:sz w:val="21"/>
        </w:rPr>
      </w:pPr>
      <w:r>
        <w:rPr>
          <w:rFonts w:hint="eastAsia"/>
          <w:sz w:val="21"/>
        </w:rPr>
        <w:t>违约责任</w:t>
      </w:r>
    </w:p>
    <w:p>
      <w:pPr>
        <w:tabs>
          <w:tab w:val="left" w:pos="1060"/>
          <w:tab w:val="left" w:pos="1061"/>
        </w:tabs>
        <w:spacing w:line="360" w:lineRule="auto"/>
        <w:ind w:left="142" w:firstLine="420" w:firstLineChars="200"/>
        <w:rPr>
          <w:spacing w:val="-1"/>
          <w:szCs w:val="21"/>
        </w:rPr>
      </w:pPr>
      <w:r>
        <w:rPr>
          <w:rFonts w:hint="eastAsia"/>
          <w:spacing w:val="-1"/>
          <w:szCs w:val="21"/>
        </w:rPr>
        <w:t>（</w:t>
      </w:r>
      <w:r>
        <w:rPr>
          <w:spacing w:val="-1"/>
          <w:szCs w:val="21"/>
        </w:rPr>
        <w:t>1</w:t>
      </w:r>
      <w:r>
        <w:rPr>
          <w:rFonts w:hint="eastAsia"/>
          <w:spacing w:val="-1"/>
          <w:szCs w:val="21"/>
        </w:rPr>
        <w:t xml:space="preserve">）服务期间，不可出现由于中标人未及时发现国家气象信息中心安全设备运行异常，而导致业务故障，对国家气象信息中心造成不良影响的事件； </w:t>
      </w:r>
    </w:p>
    <w:p>
      <w:pPr>
        <w:tabs>
          <w:tab w:val="left" w:pos="1060"/>
          <w:tab w:val="left" w:pos="1061"/>
        </w:tabs>
        <w:spacing w:line="360" w:lineRule="auto"/>
        <w:ind w:left="142" w:firstLine="420" w:firstLineChars="200"/>
        <w:rPr>
          <w:spacing w:val="-1"/>
          <w:szCs w:val="21"/>
        </w:rPr>
      </w:pPr>
      <w:r>
        <w:rPr>
          <w:rFonts w:hint="eastAsia"/>
          <w:spacing w:val="-1"/>
          <w:szCs w:val="21"/>
        </w:rPr>
        <w:t>（</w:t>
      </w:r>
      <w:r>
        <w:rPr>
          <w:spacing w:val="-1"/>
          <w:szCs w:val="21"/>
        </w:rPr>
        <w:t>2</w:t>
      </w:r>
      <w:r>
        <w:rPr>
          <w:rFonts w:hint="eastAsia"/>
          <w:spacing w:val="-1"/>
          <w:szCs w:val="21"/>
        </w:rPr>
        <w:t>）服务期间，不可出现由于中标人未及时发现国家气象信息中心安全设备漏洞隐患，而导致漏洞被第三方机构或个人利用，对国家气象信息中心造成不良影响的事件；</w:t>
      </w:r>
    </w:p>
    <w:p>
      <w:pPr>
        <w:tabs>
          <w:tab w:val="left" w:pos="1060"/>
          <w:tab w:val="left" w:pos="1061"/>
        </w:tabs>
        <w:spacing w:line="360" w:lineRule="auto"/>
        <w:ind w:left="142" w:firstLine="420" w:firstLineChars="200"/>
        <w:rPr>
          <w:spacing w:val="-1"/>
          <w:szCs w:val="21"/>
        </w:rPr>
      </w:pPr>
      <w:r>
        <w:rPr>
          <w:rFonts w:hint="eastAsia"/>
          <w:spacing w:val="-1"/>
          <w:szCs w:val="21"/>
        </w:rPr>
        <w:t>（</w:t>
      </w:r>
      <w:r>
        <w:rPr>
          <w:spacing w:val="-1"/>
          <w:szCs w:val="21"/>
        </w:rPr>
        <w:t>3</w:t>
      </w:r>
      <w:r>
        <w:rPr>
          <w:rFonts w:hint="eastAsia"/>
          <w:spacing w:val="-1"/>
          <w:szCs w:val="21"/>
        </w:rPr>
        <w:t xml:space="preserve">）不可出现应急安全事件不可解决的情况。 </w:t>
      </w:r>
    </w:p>
    <w:p>
      <w:pPr>
        <w:tabs>
          <w:tab w:val="left" w:pos="1060"/>
          <w:tab w:val="left" w:pos="1061"/>
        </w:tabs>
        <w:spacing w:line="360" w:lineRule="auto"/>
        <w:ind w:left="142" w:firstLine="420" w:firstLineChars="200"/>
        <w:rPr>
          <w:szCs w:val="21"/>
        </w:rPr>
      </w:pPr>
      <w:r>
        <w:rPr>
          <w:rFonts w:hint="eastAsia"/>
          <w:spacing w:val="-1"/>
          <w:szCs w:val="21"/>
        </w:rPr>
        <w:t xml:space="preserve">如上述要求出现违约，每出现一次扣除不少于合同金额 10%的违约金，对国家气象信息中心造成的不良影响及损失，中标人需承担相应法律责任。 </w:t>
      </w:r>
      <w:r>
        <w:t xml:space="preserve"> </w:t>
      </w:r>
    </w:p>
    <w:p>
      <w:pPr>
        <w:tabs>
          <w:tab w:val="left" w:pos="1060"/>
          <w:tab w:val="left" w:pos="1061"/>
        </w:tabs>
        <w:spacing w:line="360" w:lineRule="auto"/>
        <w:ind w:left="142" w:firstLine="420" w:firstLineChars="200"/>
        <w:rPr>
          <w:szCs w:val="21"/>
        </w:rPr>
      </w:pPr>
    </w:p>
    <w:p>
      <w:pPr>
        <w:pStyle w:val="Heading3"/>
        <w:numPr>
          <w:ilvl w:val="0"/>
          <w:numId w:val="4"/>
        </w:numPr>
        <w:autoSpaceDE w:val="0"/>
        <w:autoSpaceDN w:val="0"/>
        <w:spacing w:line="360" w:lineRule="auto"/>
        <w:jc w:val="left"/>
        <w:rPr>
          <w:spacing w:val="-1"/>
          <w:sz w:val="21"/>
          <w:szCs w:val="21"/>
        </w:rPr>
      </w:pPr>
      <w:r>
        <w:rPr>
          <w:rFonts w:hint="eastAsia"/>
          <w:spacing w:val="-1"/>
          <w:sz w:val="21"/>
          <w:szCs w:val="21"/>
        </w:rPr>
        <w:t>服务工作基本要求</w:t>
      </w:r>
    </w:p>
    <w:p>
      <w:pPr>
        <w:tabs>
          <w:tab w:val="left" w:pos="1060"/>
          <w:tab w:val="left" w:pos="1061"/>
        </w:tabs>
        <w:spacing w:line="360" w:lineRule="auto"/>
        <w:ind w:left="142" w:firstLine="420" w:firstLineChars="200"/>
        <w:rPr>
          <w:spacing w:val="-1"/>
          <w:szCs w:val="21"/>
        </w:rPr>
      </w:pPr>
      <w:r>
        <w:rPr>
          <w:spacing w:val="-1"/>
          <w:szCs w:val="21"/>
        </w:rPr>
        <w:t>工作内容为对国家气象信息中心所辖的信息系统安全提供维护服务。配合国家气象信息中心技术人员顺利完成如下工作：定期巡检与预防性维护、现场故障响应解决、技术支持、其他支持、服务质量管理等。</w:t>
      </w:r>
    </w:p>
    <w:p>
      <w:pPr>
        <w:tabs>
          <w:tab w:val="left" w:pos="1060"/>
          <w:tab w:val="left" w:pos="1061"/>
        </w:tabs>
        <w:spacing w:line="360" w:lineRule="auto"/>
        <w:ind w:left="142" w:firstLine="420" w:firstLineChars="200"/>
        <w:rPr>
          <w:spacing w:val="-1"/>
          <w:szCs w:val="21"/>
        </w:rPr>
      </w:pPr>
      <w:r>
        <w:rPr>
          <w:spacing w:val="-1"/>
          <w:szCs w:val="21"/>
        </w:rPr>
        <w:t>驻场工程师工作内容包括但不限于：</w:t>
      </w:r>
      <w:r>
        <w:rPr>
          <w:rFonts w:hint="eastAsia"/>
          <w:spacing w:val="-1"/>
          <w:szCs w:val="21"/>
        </w:rPr>
        <w:t>日常巡检、配置备份、设备配置及优化、设备升级、故障处理、新增设备维护</w:t>
      </w:r>
      <w:r>
        <w:rPr>
          <w:spacing w:val="-1"/>
          <w:szCs w:val="21"/>
        </w:rPr>
        <w:t>、重大活动的7×24小时安全保障、终端安全</w:t>
      </w:r>
      <w:r>
        <w:rPr>
          <w:rFonts w:hint="eastAsia"/>
          <w:spacing w:val="-1"/>
          <w:szCs w:val="21"/>
        </w:rPr>
        <w:t>管理软件及CA证书系统的</w:t>
      </w:r>
      <w:r>
        <w:rPr>
          <w:spacing w:val="-1"/>
          <w:szCs w:val="21"/>
        </w:rPr>
        <w:t>现场应急处理、安全故障处理及技术支持等具体工作。</w:t>
      </w:r>
    </w:p>
    <w:p>
      <w:pPr>
        <w:tabs>
          <w:tab w:val="left" w:pos="1060"/>
          <w:tab w:val="left" w:pos="1061"/>
        </w:tabs>
        <w:spacing w:line="360" w:lineRule="auto"/>
        <w:ind w:left="142" w:firstLine="420" w:firstLineChars="200"/>
        <w:rPr>
          <w:spacing w:val="-1"/>
          <w:szCs w:val="21"/>
        </w:rPr>
      </w:pPr>
      <w:r>
        <w:rPr>
          <w:rFonts w:hint="eastAsia"/>
          <w:spacing w:val="-1"/>
          <w:szCs w:val="21"/>
        </w:rPr>
        <w:t>根据服务工作，总结可量化的指标数据（包括但不限于巡检设备数等），每日统计，并按周、月、季、年进行汇总上报。</w:t>
      </w:r>
    </w:p>
    <w:p>
      <w:pPr>
        <w:pStyle w:val="Heading4"/>
        <w:keepNext w:val="0"/>
        <w:keepLines w:val="0"/>
        <w:numPr>
          <w:ilvl w:val="1"/>
          <w:numId w:val="7"/>
        </w:numPr>
        <w:autoSpaceDE w:val="0"/>
        <w:autoSpaceDN w:val="0"/>
        <w:spacing w:before="0" w:after="0" w:line="360" w:lineRule="auto"/>
        <w:jc w:val="left"/>
        <w:rPr>
          <w:sz w:val="21"/>
        </w:rPr>
      </w:pPr>
      <w:r>
        <w:rPr>
          <w:rFonts w:hint="eastAsia"/>
          <w:sz w:val="21"/>
        </w:rPr>
        <w:t>定期巡检与预防性维护</w:t>
      </w:r>
    </w:p>
    <w:p>
      <w:pPr>
        <w:tabs>
          <w:tab w:val="left" w:pos="1060"/>
          <w:tab w:val="left" w:pos="1061"/>
        </w:tabs>
        <w:spacing w:line="360" w:lineRule="auto"/>
        <w:ind w:left="142" w:firstLine="420" w:firstLineChars="200"/>
        <w:rPr>
          <w:spacing w:val="-1"/>
          <w:szCs w:val="21"/>
        </w:rPr>
      </w:pPr>
      <w:r>
        <w:rPr>
          <w:spacing w:val="-1"/>
          <w:szCs w:val="21"/>
        </w:rPr>
        <w:t>驻场工程师对国家气象信息中心安全设备进行日常维护，具体工作包括：</w:t>
      </w:r>
    </w:p>
    <w:p>
      <w:pPr>
        <w:tabs>
          <w:tab w:val="left" w:pos="1060"/>
          <w:tab w:val="left" w:pos="1061"/>
        </w:tabs>
        <w:spacing w:line="360" w:lineRule="auto"/>
        <w:ind w:left="142" w:firstLine="420" w:firstLineChars="200"/>
        <w:rPr>
          <w:spacing w:val="-1"/>
          <w:szCs w:val="21"/>
        </w:rPr>
      </w:pPr>
      <w:r>
        <w:rPr>
          <w:spacing w:val="-1"/>
          <w:szCs w:val="21"/>
        </w:rPr>
        <w:t>1）日常巡检。每日查看设备运行日志、分析设备运行状况；</w:t>
      </w:r>
    </w:p>
    <w:p>
      <w:pPr>
        <w:tabs>
          <w:tab w:val="left" w:pos="1060"/>
          <w:tab w:val="left" w:pos="1061"/>
        </w:tabs>
        <w:spacing w:line="360" w:lineRule="auto"/>
        <w:ind w:left="142" w:firstLine="420" w:firstLineChars="200"/>
        <w:rPr>
          <w:spacing w:val="-1"/>
          <w:szCs w:val="21"/>
        </w:rPr>
      </w:pPr>
      <w:r>
        <w:rPr>
          <w:spacing w:val="-1"/>
          <w:szCs w:val="21"/>
        </w:rPr>
        <w:t>2</w:t>
      </w:r>
      <w:r>
        <w:rPr>
          <w:rFonts w:hint="eastAsia"/>
          <w:spacing w:val="-1"/>
          <w:szCs w:val="21"/>
        </w:rPr>
        <w:t>）设备配置及</w:t>
      </w:r>
      <w:r>
        <w:rPr>
          <w:spacing w:val="-1"/>
          <w:szCs w:val="21"/>
        </w:rPr>
        <w:t>策略</w:t>
      </w:r>
      <w:r>
        <w:rPr>
          <w:rFonts w:hint="eastAsia"/>
          <w:spacing w:val="-1"/>
          <w:szCs w:val="21"/>
        </w:rPr>
        <w:t>梳理</w:t>
      </w:r>
      <w:r>
        <w:rPr>
          <w:spacing w:val="-1"/>
          <w:szCs w:val="21"/>
        </w:rPr>
        <w:t>。调整安全设备配置</w:t>
      </w:r>
      <w:r>
        <w:rPr>
          <w:rFonts w:hint="eastAsia"/>
          <w:spacing w:val="-1"/>
          <w:szCs w:val="21"/>
        </w:rPr>
        <w:t>，</w:t>
      </w:r>
      <w:r>
        <w:rPr>
          <w:spacing w:val="-1"/>
          <w:szCs w:val="21"/>
        </w:rPr>
        <w:t>每年对安全策略进行梳理，明确每一条策略的用途、意义；</w:t>
      </w:r>
    </w:p>
    <w:p>
      <w:pPr>
        <w:tabs>
          <w:tab w:val="left" w:pos="1060"/>
          <w:tab w:val="left" w:pos="1061"/>
        </w:tabs>
        <w:spacing w:line="360" w:lineRule="auto"/>
        <w:ind w:left="142" w:firstLine="420" w:firstLineChars="200"/>
        <w:rPr>
          <w:spacing w:val="-1"/>
          <w:szCs w:val="21"/>
        </w:rPr>
      </w:pPr>
      <w:r>
        <w:rPr>
          <w:spacing w:val="-1"/>
          <w:szCs w:val="21"/>
        </w:rPr>
        <w:t>3</w:t>
      </w:r>
      <w:r>
        <w:rPr>
          <w:rFonts w:hint="eastAsia"/>
          <w:spacing w:val="-1"/>
          <w:szCs w:val="21"/>
        </w:rPr>
        <w:t>）</w:t>
      </w:r>
      <w:r>
        <w:rPr>
          <w:spacing w:val="-1"/>
          <w:szCs w:val="21"/>
        </w:rPr>
        <w:t>配置备份。每周对安全设备配置进行备份，每次配置调整后应进行备份；</w:t>
      </w:r>
    </w:p>
    <w:p>
      <w:pPr>
        <w:tabs>
          <w:tab w:val="left" w:pos="1060"/>
          <w:tab w:val="left" w:pos="1061"/>
        </w:tabs>
        <w:spacing w:line="360" w:lineRule="auto"/>
        <w:ind w:left="142" w:firstLine="420" w:firstLineChars="200"/>
        <w:rPr>
          <w:spacing w:val="-1"/>
          <w:szCs w:val="21"/>
        </w:rPr>
      </w:pPr>
      <w:r>
        <w:rPr>
          <w:spacing w:val="-1"/>
          <w:szCs w:val="21"/>
        </w:rPr>
        <w:t>4</w:t>
      </w:r>
      <w:r>
        <w:rPr>
          <w:rFonts w:hint="eastAsia"/>
          <w:spacing w:val="-1"/>
          <w:szCs w:val="21"/>
        </w:rPr>
        <w:t>）</w:t>
      </w:r>
      <w:r>
        <w:rPr>
          <w:spacing w:val="-1"/>
          <w:szCs w:val="21"/>
        </w:rPr>
        <w:t>设备升级。在设备系统软件或特征库新版本发布后，及时完成设备软件升级；</w:t>
      </w:r>
    </w:p>
    <w:p>
      <w:pPr>
        <w:tabs>
          <w:tab w:val="left" w:pos="1060"/>
          <w:tab w:val="left" w:pos="1061"/>
        </w:tabs>
        <w:spacing w:line="360" w:lineRule="auto"/>
        <w:ind w:left="142" w:firstLine="420" w:firstLineChars="200"/>
        <w:rPr>
          <w:spacing w:val="-1"/>
          <w:szCs w:val="21"/>
        </w:rPr>
      </w:pPr>
      <w:r>
        <w:rPr>
          <w:spacing w:val="-1"/>
          <w:szCs w:val="21"/>
        </w:rPr>
        <w:t>5</w:t>
      </w:r>
      <w:r>
        <w:rPr>
          <w:rFonts w:hint="eastAsia"/>
          <w:spacing w:val="-1"/>
          <w:szCs w:val="21"/>
        </w:rPr>
        <w:t>）</w:t>
      </w:r>
      <w:r>
        <w:rPr>
          <w:spacing w:val="-1"/>
          <w:szCs w:val="21"/>
        </w:rPr>
        <w:t>故障处置。对信息安全产品发生的故障进行处置。</w:t>
      </w:r>
    </w:p>
    <w:p>
      <w:pPr>
        <w:pStyle w:val="Heading4"/>
        <w:keepNext w:val="0"/>
        <w:keepLines w:val="0"/>
        <w:numPr>
          <w:ilvl w:val="1"/>
          <w:numId w:val="7"/>
        </w:numPr>
        <w:autoSpaceDE w:val="0"/>
        <w:autoSpaceDN w:val="0"/>
        <w:spacing w:before="0" w:after="0" w:line="360" w:lineRule="auto"/>
        <w:jc w:val="left"/>
        <w:rPr>
          <w:sz w:val="21"/>
        </w:rPr>
      </w:pPr>
      <w:r>
        <w:rPr>
          <w:rFonts w:hint="eastAsia"/>
          <w:sz w:val="21"/>
        </w:rPr>
        <w:t>现场故障响应解决</w:t>
      </w:r>
    </w:p>
    <w:p>
      <w:pPr>
        <w:tabs>
          <w:tab w:val="left" w:pos="1060"/>
          <w:tab w:val="left" w:pos="1061"/>
        </w:tabs>
        <w:spacing w:line="360" w:lineRule="auto"/>
        <w:ind w:left="142" w:firstLine="420" w:firstLineChars="200"/>
        <w:rPr>
          <w:spacing w:val="-1"/>
          <w:szCs w:val="21"/>
        </w:rPr>
      </w:pPr>
      <w:r>
        <w:rPr>
          <w:spacing w:val="-1"/>
          <w:szCs w:val="21"/>
        </w:rPr>
        <w:t>通过对服务范围内的安全设备和系统进行需求分析，保证在复杂的环境下对出现故障和问题的快速定位与排除，并形成典型故障原因分析及处理手册，建立并免费提供知识库访问权限供查阅学习。</w:t>
      </w:r>
    </w:p>
    <w:p>
      <w:pPr>
        <w:pStyle w:val="Heading4"/>
        <w:keepNext w:val="0"/>
        <w:keepLines w:val="0"/>
        <w:numPr>
          <w:ilvl w:val="1"/>
          <w:numId w:val="7"/>
        </w:numPr>
        <w:autoSpaceDE w:val="0"/>
        <w:autoSpaceDN w:val="0"/>
        <w:spacing w:before="0" w:after="0" w:line="360" w:lineRule="auto"/>
        <w:jc w:val="left"/>
        <w:rPr>
          <w:sz w:val="21"/>
        </w:rPr>
      </w:pPr>
      <w:r>
        <w:rPr>
          <w:rFonts w:hint="eastAsia"/>
          <w:sz w:val="21"/>
        </w:rPr>
        <w:t>技术支持</w:t>
      </w:r>
    </w:p>
    <w:p>
      <w:pPr>
        <w:tabs>
          <w:tab w:val="left" w:pos="1060"/>
          <w:tab w:val="left" w:pos="1061"/>
        </w:tabs>
        <w:spacing w:line="360" w:lineRule="auto"/>
        <w:ind w:left="142" w:firstLine="420" w:firstLineChars="200"/>
        <w:rPr>
          <w:spacing w:val="-1"/>
          <w:szCs w:val="21"/>
        </w:rPr>
      </w:pPr>
      <w:r>
        <w:rPr>
          <w:spacing w:val="-1"/>
          <w:szCs w:val="21"/>
        </w:rPr>
        <w:t>根据突发安全事件要求，进行现场快速支持服务，根据事件解决需求可实行现场服务可与远程服务并行开展。</w:t>
      </w:r>
    </w:p>
    <w:p>
      <w:pPr>
        <w:tabs>
          <w:tab w:val="left" w:pos="1060"/>
          <w:tab w:val="left" w:pos="1061"/>
        </w:tabs>
        <w:spacing w:line="360" w:lineRule="auto"/>
        <w:ind w:left="142" w:firstLine="420" w:firstLineChars="200"/>
        <w:rPr>
          <w:spacing w:val="-1"/>
          <w:szCs w:val="21"/>
        </w:rPr>
      </w:pPr>
      <w:r>
        <w:rPr>
          <w:spacing w:val="-1"/>
          <w:szCs w:val="21"/>
        </w:rPr>
        <w:t>在春节、劳动节、重要会议、重大活动、黄金周长假、汛期、重要项目测试及年终决算、结息等对安全运行要求较高的特殊时段，提供驻场服务人员，并将值班工程师的时间表以及联系电话表以传真或Email的方式传送给</w:t>
      </w:r>
      <w:r>
        <w:rPr>
          <w:rFonts w:hint="eastAsia"/>
          <w:spacing w:val="-1"/>
          <w:szCs w:val="21"/>
        </w:rPr>
        <w:t>国家气象信息中心本项目</w:t>
      </w:r>
      <w:r>
        <w:rPr>
          <w:spacing w:val="-1"/>
          <w:szCs w:val="21"/>
        </w:rPr>
        <w:t>负责人，7×24小时重点技术支持服务。</w:t>
      </w:r>
    </w:p>
    <w:p>
      <w:pPr>
        <w:tabs>
          <w:tab w:val="left" w:pos="1060"/>
          <w:tab w:val="left" w:pos="1061"/>
        </w:tabs>
        <w:spacing w:line="360" w:lineRule="auto"/>
        <w:ind w:left="142" w:firstLine="420" w:firstLineChars="200"/>
        <w:rPr>
          <w:spacing w:val="-1"/>
          <w:szCs w:val="21"/>
        </w:rPr>
      </w:pPr>
      <w:r>
        <w:rPr>
          <w:rFonts w:hint="eastAsia"/>
          <w:spacing w:val="-1"/>
          <w:szCs w:val="21"/>
        </w:rPr>
        <w:t>项目人员</w:t>
      </w:r>
      <w:r>
        <w:rPr>
          <w:spacing w:val="-1"/>
          <w:szCs w:val="21"/>
        </w:rPr>
        <w:t>手机全天候开通，提供7×24小时电话、电子邮件和传真的免费技术支持。支持范围包括</w:t>
      </w:r>
      <w:r>
        <w:rPr>
          <w:rFonts w:hint="eastAsia"/>
          <w:spacing w:val="-1"/>
          <w:szCs w:val="21"/>
        </w:rPr>
        <w:t>维修</w:t>
      </w:r>
      <w:r>
        <w:rPr>
          <w:spacing w:val="-1"/>
          <w:szCs w:val="21"/>
        </w:rPr>
        <w:t>产品的功能、配置、安装、调试、优化以及使用中遇到的各种技术问题的一般性咨询，并随时准备处理各种突发事件；同时在得到国家气象信息中心允许后，可通过远程访问系统，为国家气象信息中心提供远程的诊断服务。</w:t>
      </w:r>
    </w:p>
    <w:p>
      <w:pPr>
        <w:tabs>
          <w:tab w:val="left" w:pos="1060"/>
          <w:tab w:val="left" w:pos="1061"/>
        </w:tabs>
        <w:spacing w:line="360" w:lineRule="auto"/>
        <w:ind w:left="142" w:firstLine="420" w:firstLineChars="200"/>
        <w:rPr>
          <w:spacing w:val="-1"/>
          <w:szCs w:val="21"/>
        </w:rPr>
      </w:pPr>
      <w:r>
        <w:rPr>
          <w:spacing w:val="-1"/>
          <w:szCs w:val="21"/>
        </w:rPr>
        <w:t>本次服务质量要求如下：</w:t>
      </w:r>
    </w:p>
    <w:tbl>
      <w:tblPr>
        <w:tblStyle w:val="TableNormal"/>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82"/>
        <w:gridCol w:w="1890"/>
        <w:gridCol w:w="5182"/>
      </w:tblGrid>
      <w:tr>
        <w:tblPrEx>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082" w:type="dxa"/>
          </w:tcPr>
          <w:p>
            <w:pPr>
              <w:pStyle w:val="TableParagraph"/>
              <w:spacing w:before="149" w:line="360" w:lineRule="auto"/>
              <w:ind w:right="163"/>
              <w:rPr>
                <w:b/>
                <w:sz w:val="21"/>
              </w:rPr>
            </w:pPr>
            <w:r>
              <w:rPr>
                <w:rFonts w:hint="eastAsia"/>
                <w:b/>
                <w:sz w:val="21"/>
              </w:rPr>
              <w:t>序号</w:t>
            </w:r>
          </w:p>
        </w:tc>
        <w:tc>
          <w:tcPr>
            <w:tcW w:w="1890" w:type="dxa"/>
          </w:tcPr>
          <w:p>
            <w:pPr>
              <w:pStyle w:val="TableParagraph"/>
              <w:spacing w:before="149" w:line="360" w:lineRule="auto"/>
              <w:ind w:left="460"/>
              <w:rPr>
                <w:b/>
                <w:sz w:val="21"/>
              </w:rPr>
            </w:pPr>
            <w:r>
              <w:rPr>
                <w:rFonts w:hint="eastAsia"/>
                <w:b/>
                <w:sz w:val="21"/>
              </w:rPr>
              <w:t>指标名称</w:t>
            </w:r>
          </w:p>
        </w:tc>
        <w:tc>
          <w:tcPr>
            <w:tcW w:w="5182" w:type="dxa"/>
          </w:tcPr>
          <w:p>
            <w:pPr>
              <w:pStyle w:val="TableParagraph"/>
              <w:spacing w:before="121" w:line="360" w:lineRule="auto"/>
              <w:ind w:right="2717"/>
              <w:jc w:val="center"/>
              <w:rPr>
                <w:b/>
                <w:sz w:val="21"/>
              </w:rPr>
            </w:pPr>
            <w:r>
              <w:rPr>
                <w:rFonts w:hint="eastAsia"/>
                <w:b/>
                <w:sz w:val="21"/>
              </w:rPr>
              <w:t>指标内容</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line="360" w:lineRule="auto"/>
              <w:ind w:right="163"/>
              <w:jc w:val="center"/>
              <w:rPr>
                <w:sz w:val="21"/>
              </w:rPr>
            </w:pPr>
            <w:r>
              <w:rPr>
                <w:sz w:val="21"/>
              </w:rPr>
              <w:t>1</w:t>
            </w:r>
          </w:p>
        </w:tc>
        <w:tc>
          <w:tcPr>
            <w:tcW w:w="1890" w:type="dxa"/>
            <w:vAlign w:val="center"/>
          </w:tcPr>
          <w:p>
            <w:pPr>
              <w:tabs>
                <w:tab w:val="left" w:pos="1060"/>
                <w:tab w:val="left" w:pos="1061"/>
              </w:tabs>
              <w:spacing w:line="360" w:lineRule="auto"/>
              <w:jc w:val="center"/>
              <w:rPr>
                <w:rFonts w:ascii="宋体" w:hAnsi="宋体"/>
              </w:rPr>
            </w:pPr>
            <w:r>
              <w:rPr>
                <w:rFonts w:ascii="宋体" w:hAnsi="宋体"/>
                <w:spacing w:val="-1"/>
                <w:szCs w:val="21"/>
              </w:rPr>
              <w:t>安全设备正常运行时间</w:t>
            </w:r>
          </w:p>
        </w:tc>
        <w:tc>
          <w:tcPr>
            <w:tcW w:w="5182" w:type="dxa"/>
            <w:vAlign w:val="center"/>
          </w:tcPr>
          <w:p>
            <w:pPr>
              <w:pStyle w:val="TableParagraph"/>
              <w:spacing w:line="360" w:lineRule="auto"/>
              <w:jc w:val="both"/>
              <w:rPr>
                <w:sz w:val="21"/>
              </w:rPr>
            </w:pPr>
            <w:r>
              <w:rPr>
                <w:spacing w:val="-1"/>
                <w:sz w:val="21"/>
              </w:rPr>
              <w:t>服务期内，安全产品正常运行时间</w:t>
            </w:r>
            <w:r>
              <w:rPr>
                <w:sz w:val="21"/>
              </w:rPr>
              <w:t>≥99.9%</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before="150" w:line="360" w:lineRule="auto"/>
              <w:ind w:right="286"/>
              <w:jc w:val="center"/>
              <w:rPr>
                <w:sz w:val="21"/>
              </w:rPr>
            </w:pPr>
            <w:r>
              <w:rPr>
                <w:sz w:val="21"/>
              </w:rPr>
              <w:t>2</w:t>
            </w:r>
          </w:p>
        </w:tc>
        <w:tc>
          <w:tcPr>
            <w:tcW w:w="1890" w:type="dxa"/>
            <w:vAlign w:val="center"/>
          </w:tcPr>
          <w:p>
            <w:pPr>
              <w:pStyle w:val="TableParagraph"/>
              <w:spacing w:before="150" w:line="360" w:lineRule="auto"/>
              <w:ind w:left="288" w:right="155"/>
              <w:jc w:val="center"/>
              <w:rPr>
                <w:sz w:val="21"/>
              </w:rPr>
            </w:pPr>
            <w:r>
              <w:rPr>
                <w:sz w:val="21"/>
              </w:rPr>
              <w:t>故障解决率</w:t>
            </w:r>
          </w:p>
        </w:tc>
        <w:tc>
          <w:tcPr>
            <w:tcW w:w="5182" w:type="dxa"/>
            <w:vAlign w:val="center"/>
          </w:tcPr>
          <w:p>
            <w:pPr>
              <w:pStyle w:val="TableParagraph"/>
              <w:spacing w:before="150" w:line="360" w:lineRule="auto"/>
              <w:ind w:left="13"/>
              <w:jc w:val="both"/>
              <w:rPr>
                <w:sz w:val="21"/>
              </w:rPr>
            </w:pPr>
            <w:r>
              <w:rPr>
                <w:sz w:val="21"/>
              </w:rPr>
              <w:t>安全设备故障解决率≥99.9%</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before="150" w:line="360" w:lineRule="auto"/>
              <w:ind w:right="286"/>
              <w:jc w:val="center"/>
              <w:rPr>
                <w:sz w:val="21"/>
              </w:rPr>
            </w:pPr>
            <w:r>
              <w:rPr>
                <w:sz w:val="21"/>
              </w:rPr>
              <w:t>3</w:t>
            </w:r>
          </w:p>
        </w:tc>
        <w:tc>
          <w:tcPr>
            <w:tcW w:w="1890" w:type="dxa"/>
            <w:vAlign w:val="center"/>
          </w:tcPr>
          <w:p>
            <w:pPr>
              <w:pStyle w:val="TableParagraph"/>
              <w:spacing w:before="150" w:line="360" w:lineRule="auto"/>
              <w:ind w:right="160"/>
              <w:jc w:val="center"/>
              <w:rPr>
                <w:sz w:val="21"/>
              </w:rPr>
            </w:pPr>
            <w:r>
              <w:rPr>
                <w:spacing w:val="-1"/>
                <w:sz w:val="21"/>
              </w:rPr>
              <w:t>故障响应时间</w:t>
            </w:r>
          </w:p>
        </w:tc>
        <w:tc>
          <w:tcPr>
            <w:tcW w:w="5182" w:type="dxa"/>
            <w:vAlign w:val="center"/>
          </w:tcPr>
          <w:p>
            <w:pPr>
              <w:pStyle w:val="TableParagraph"/>
              <w:spacing w:before="150" w:line="360" w:lineRule="auto"/>
              <w:ind w:left="18"/>
              <w:jc w:val="both"/>
              <w:rPr>
                <w:sz w:val="21"/>
              </w:rPr>
            </w:pPr>
            <w:r>
              <w:rPr>
                <w:spacing w:val="-1"/>
                <w:sz w:val="21"/>
              </w:rPr>
              <w:t>二线专业人员接到通知后</w:t>
            </w:r>
            <w:r>
              <w:rPr>
                <w:sz w:val="21"/>
              </w:rPr>
              <w:t>1小时内到达现场</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line="360" w:lineRule="auto"/>
              <w:ind w:right="286"/>
              <w:jc w:val="center"/>
              <w:rPr>
                <w:sz w:val="21"/>
              </w:rPr>
            </w:pPr>
            <w:r>
              <w:rPr>
                <w:sz w:val="21"/>
              </w:rPr>
              <w:t>4</w:t>
            </w:r>
          </w:p>
        </w:tc>
        <w:tc>
          <w:tcPr>
            <w:tcW w:w="1890" w:type="dxa"/>
            <w:vAlign w:val="center"/>
          </w:tcPr>
          <w:p>
            <w:pPr>
              <w:pStyle w:val="TableParagraph"/>
              <w:spacing w:line="360" w:lineRule="auto"/>
              <w:ind w:right="160"/>
              <w:jc w:val="center"/>
              <w:rPr>
                <w:sz w:val="21"/>
              </w:rPr>
            </w:pPr>
            <w:r>
              <w:rPr>
                <w:spacing w:val="-1"/>
                <w:sz w:val="21"/>
              </w:rPr>
              <w:t>故障解决时间</w:t>
            </w:r>
          </w:p>
        </w:tc>
        <w:tc>
          <w:tcPr>
            <w:tcW w:w="5182" w:type="dxa"/>
            <w:vAlign w:val="center"/>
          </w:tcPr>
          <w:p>
            <w:pPr>
              <w:pStyle w:val="TableParagraph"/>
              <w:spacing w:before="90" w:line="360" w:lineRule="auto"/>
              <w:ind w:left="18" w:right="19"/>
              <w:jc w:val="both"/>
              <w:rPr>
                <w:sz w:val="21"/>
              </w:rPr>
            </w:pPr>
            <w:r>
              <w:rPr>
                <w:sz w:val="21"/>
              </w:rPr>
              <w:t>85%以上故障解决时间≤1</w:t>
            </w:r>
            <w:r>
              <w:rPr>
                <w:spacing w:val="-3"/>
                <w:sz w:val="21"/>
              </w:rPr>
              <w:t>小时,</w:t>
            </w:r>
            <w:r>
              <w:rPr>
                <w:sz w:val="21"/>
              </w:rPr>
              <w:t>95%以上故障解决时间≤2</w:t>
            </w:r>
            <w:r>
              <w:rPr>
                <w:spacing w:val="-2"/>
                <w:sz w:val="21"/>
              </w:rPr>
              <w:t>小时,其余</w:t>
            </w:r>
            <w:r>
              <w:rPr>
                <w:sz w:val="21"/>
              </w:rPr>
              <w:t>情况需提供具体应急响应方案</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before="150" w:line="360" w:lineRule="auto"/>
              <w:ind w:right="286"/>
              <w:jc w:val="center"/>
              <w:rPr>
                <w:sz w:val="21"/>
              </w:rPr>
            </w:pPr>
            <w:r>
              <w:rPr>
                <w:sz w:val="21"/>
              </w:rPr>
              <w:t>5</w:t>
            </w:r>
          </w:p>
        </w:tc>
        <w:tc>
          <w:tcPr>
            <w:tcW w:w="1890" w:type="dxa"/>
            <w:vAlign w:val="center"/>
          </w:tcPr>
          <w:p>
            <w:pPr>
              <w:pStyle w:val="TableParagraph"/>
              <w:spacing w:before="150" w:line="360" w:lineRule="auto"/>
              <w:ind w:right="155"/>
              <w:jc w:val="center"/>
              <w:rPr>
                <w:sz w:val="21"/>
              </w:rPr>
            </w:pPr>
            <w:r>
              <w:rPr>
                <w:spacing w:val="-1"/>
                <w:sz w:val="21"/>
              </w:rPr>
              <w:t>投诉次数</w:t>
            </w:r>
          </w:p>
        </w:tc>
        <w:tc>
          <w:tcPr>
            <w:tcW w:w="5182" w:type="dxa"/>
            <w:vAlign w:val="center"/>
          </w:tcPr>
          <w:p>
            <w:pPr>
              <w:pStyle w:val="TableParagraph"/>
              <w:spacing w:before="150" w:line="360" w:lineRule="auto"/>
              <w:ind w:left="18"/>
              <w:jc w:val="both"/>
              <w:rPr>
                <w:sz w:val="21"/>
              </w:rPr>
            </w:pPr>
            <w:r>
              <w:rPr>
                <w:sz w:val="21"/>
              </w:rPr>
              <w:t>服务期内少于2次</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line="360" w:lineRule="auto"/>
              <w:ind w:right="163"/>
              <w:jc w:val="center"/>
              <w:rPr>
                <w:sz w:val="21"/>
              </w:rPr>
            </w:pPr>
            <w:r>
              <w:rPr>
                <w:sz w:val="21"/>
              </w:rPr>
              <w:t>6</w:t>
            </w:r>
          </w:p>
        </w:tc>
        <w:tc>
          <w:tcPr>
            <w:tcW w:w="1890" w:type="dxa"/>
            <w:vAlign w:val="center"/>
          </w:tcPr>
          <w:p>
            <w:pPr>
              <w:pStyle w:val="TableParagraph"/>
              <w:spacing w:line="360" w:lineRule="auto"/>
              <w:ind w:right="155"/>
              <w:jc w:val="center"/>
              <w:rPr>
                <w:sz w:val="21"/>
              </w:rPr>
            </w:pPr>
            <w:r>
              <w:rPr>
                <w:spacing w:val="-1"/>
                <w:sz w:val="21"/>
              </w:rPr>
              <w:t>加班承诺</w:t>
            </w:r>
          </w:p>
        </w:tc>
        <w:tc>
          <w:tcPr>
            <w:tcW w:w="5182" w:type="dxa"/>
            <w:vAlign w:val="center"/>
          </w:tcPr>
          <w:p>
            <w:pPr>
              <w:pStyle w:val="TableParagraph"/>
              <w:spacing w:line="360" w:lineRule="auto"/>
              <w:ind w:left="18" w:right="21"/>
              <w:jc w:val="both"/>
              <w:rPr>
                <w:sz w:val="21"/>
              </w:rPr>
            </w:pPr>
            <w:r>
              <w:rPr>
                <w:sz w:val="21"/>
              </w:rPr>
              <w:t>本项目服务人员在正常工作时间之外，须能够根据国家气象信息中心的工作需要和工作安排随时加班，加班相关费用由投标人自行承担。</w:t>
            </w:r>
          </w:p>
        </w:tc>
      </w:tr>
      <w:tr>
        <w:tblPrEx>
          <w:tblW w:w="0" w:type="auto"/>
          <w:tblInd w:w="142" w:type="dxa"/>
          <w:tblLayout w:type="fixed"/>
          <w:tblCellMar>
            <w:top w:w="0" w:type="dxa"/>
            <w:left w:w="108" w:type="dxa"/>
            <w:bottom w:w="0" w:type="dxa"/>
            <w:right w:w="108" w:type="dxa"/>
          </w:tblCellMar>
        </w:tblPrEx>
        <w:tc>
          <w:tcPr>
            <w:tcW w:w="1082" w:type="dxa"/>
            <w:vAlign w:val="center"/>
          </w:tcPr>
          <w:p>
            <w:pPr>
              <w:pStyle w:val="TableParagraph"/>
              <w:spacing w:line="360" w:lineRule="auto"/>
              <w:ind w:right="163"/>
              <w:jc w:val="center"/>
              <w:rPr>
                <w:sz w:val="21"/>
              </w:rPr>
            </w:pPr>
            <w:r>
              <w:rPr>
                <w:sz w:val="21"/>
              </w:rPr>
              <w:t>7</w:t>
            </w:r>
          </w:p>
        </w:tc>
        <w:tc>
          <w:tcPr>
            <w:tcW w:w="1890" w:type="dxa"/>
            <w:vAlign w:val="center"/>
          </w:tcPr>
          <w:p>
            <w:pPr>
              <w:pStyle w:val="TableParagraph"/>
              <w:spacing w:line="360" w:lineRule="auto"/>
              <w:ind w:right="160"/>
              <w:jc w:val="center"/>
              <w:rPr>
                <w:sz w:val="21"/>
              </w:rPr>
            </w:pPr>
            <w:r>
              <w:rPr>
                <w:spacing w:val="-1"/>
                <w:sz w:val="21"/>
              </w:rPr>
              <w:t>服从管理承诺</w:t>
            </w:r>
          </w:p>
        </w:tc>
        <w:tc>
          <w:tcPr>
            <w:tcW w:w="5182" w:type="dxa"/>
            <w:vAlign w:val="center"/>
          </w:tcPr>
          <w:p>
            <w:pPr>
              <w:pStyle w:val="TableParagraph"/>
              <w:spacing w:before="90" w:line="360" w:lineRule="auto"/>
              <w:ind w:left="18" w:right="21"/>
              <w:jc w:val="both"/>
              <w:rPr>
                <w:sz w:val="21"/>
              </w:rPr>
            </w:pPr>
            <w:r>
              <w:rPr>
                <w:sz w:val="21"/>
              </w:rPr>
              <w:t>驻场人员须服从国家气象信息中心管理，遵守国家气象信息中心各项日常管理规定，工作上服从国家气象信息中心的安排。</w:t>
            </w:r>
          </w:p>
        </w:tc>
      </w:tr>
    </w:tbl>
    <w:p>
      <w:pPr>
        <w:spacing w:line="360" w:lineRule="auto"/>
        <w:ind w:left="17"/>
        <w:rPr>
          <w:spacing w:val="-1"/>
          <w:szCs w:val="21"/>
        </w:rPr>
      </w:pPr>
      <w:r>
        <w:t>对不能达到服务承诺和标准的情况，每出现</w:t>
      </w:r>
      <w:r>
        <w:rPr>
          <w:rFonts w:eastAsia="Times New Roman"/>
        </w:rPr>
        <w:t>1</w:t>
      </w:r>
      <w:r>
        <w:t>次扣除不少于合同金额</w:t>
      </w:r>
      <w:r>
        <w:rPr>
          <w:rFonts w:eastAsia="Times New Roman"/>
        </w:rPr>
        <w:t>10%</w:t>
      </w:r>
      <w:r>
        <w:t>的违约金。</w:t>
      </w:r>
    </w:p>
    <w:p>
      <w:pPr>
        <w:pStyle w:val="Heading3"/>
        <w:numPr>
          <w:ilvl w:val="0"/>
          <w:numId w:val="4"/>
        </w:numPr>
        <w:autoSpaceDE w:val="0"/>
        <w:autoSpaceDN w:val="0"/>
        <w:spacing w:line="360" w:lineRule="auto"/>
        <w:jc w:val="left"/>
        <w:rPr>
          <w:spacing w:val="-1"/>
          <w:sz w:val="21"/>
          <w:szCs w:val="21"/>
        </w:rPr>
      </w:pPr>
      <w:r>
        <w:rPr>
          <w:rFonts w:hint="eastAsia"/>
          <w:spacing w:val="-1"/>
          <w:sz w:val="21"/>
          <w:szCs w:val="21"/>
        </w:rPr>
        <w:t>保密要求</w:t>
      </w:r>
    </w:p>
    <w:p>
      <w:pPr>
        <w:pStyle w:val="Heading4"/>
        <w:keepNext w:val="0"/>
        <w:keepLines w:val="0"/>
        <w:numPr>
          <w:ilvl w:val="1"/>
          <w:numId w:val="8"/>
        </w:numPr>
        <w:autoSpaceDE w:val="0"/>
        <w:autoSpaceDN w:val="0"/>
        <w:spacing w:before="0" w:after="0" w:line="360" w:lineRule="auto"/>
        <w:jc w:val="left"/>
        <w:rPr>
          <w:sz w:val="21"/>
        </w:rPr>
      </w:pPr>
      <w:r>
        <w:rPr>
          <w:sz w:val="21"/>
        </w:rPr>
        <w:t>组织保密要求</w:t>
      </w:r>
    </w:p>
    <w:p>
      <w:pPr>
        <w:tabs>
          <w:tab w:val="left" w:pos="1060"/>
          <w:tab w:val="left" w:pos="1061"/>
        </w:tabs>
        <w:spacing w:line="360" w:lineRule="auto"/>
        <w:ind w:left="142" w:firstLine="420" w:firstLineChars="200"/>
        <w:rPr>
          <w:spacing w:val="-1"/>
          <w:szCs w:val="21"/>
        </w:rPr>
      </w:pPr>
      <w:r>
        <w:rPr>
          <w:spacing w:val="-1"/>
          <w:szCs w:val="21"/>
        </w:rPr>
        <w:t>1、对国家气象信息中心提供的各种技术文件（软件、咨询报告、服务内容）与工作业务信息进行保密，未经国家气象信息中心书面批准不得提供给第三方。如有违反，须承担相应的法律责任。此保密义务不因合同的终止而免除。</w:t>
      </w:r>
    </w:p>
    <w:p>
      <w:pPr>
        <w:tabs>
          <w:tab w:val="left" w:pos="1060"/>
          <w:tab w:val="left" w:pos="1061"/>
        </w:tabs>
        <w:spacing w:line="360" w:lineRule="auto"/>
        <w:ind w:left="142" w:firstLine="420" w:firstLineChars="200"/>
        <w:rPr>
          <w:spacing w:val="-1"/>
          <w:szCs w:val="21"/>
        </w:rPr>
      </w:pPr>
      <w:r>
        <w:rPr>
          <w:spacing w:val="-1"/>
          <w:szCs w:val="21"/>
        </w:rPr>
        <w:t>2、必须与国家气象信息中心签订《安全保密协议》。如有违反，须承担全部责任并赔偿国家气象信息中心的一切损失，国家气象信息中心有权追究中标人的法律责任并终止合同。</w:t>
      </w:r>
    </w:p>
    <w:p>
      <w:pPr>
        <w:tabs>
          <w:tab w:val="left" w:pos="1060"/>
          <w:tab w:val="left" w:pos="1061"/>
        </w:tabs>
        <w:spacing w:line="360" w:lineRule="auto"/>
        <w:ind w:left="142" w:firstLine="420" w:firstLineChars="200"/>
        <w:rPr>
          <w:spacing w:val="-1"/>
          <w:szCs w:val="21"/>
        </w:rPr>
      </w:pPr>
      <w:r>
        <w:rPr>
          <w:spacing w:val="-1"/>
          <w:szCs w:val="21"/>
        </w:rPr>
        <w:t>3、必须遵守国家气象信息中心的各项规章制度，严格按照工作规范组织进行运维工作，制定切实可行的措施保障人员安全，设备安全，生产安全。</w:t>
      </w:r>
    </w:p>
    <w:p>
      <w:pPr>
        <w:tabs>
          <w:tab w:val="left" w:pos="1060"/>
          <w:tab w:val="left" w:pos="1061"/>
        </w:tabs>
        <w:spacing w:line="360" w:lineRule="auto"/>
        <w:ind w:left="142" w:firstLine="420" w:firstLineChars="200"/>
        <w:rPr>
          <w:spacing w:val="-1"/>
          <w:szCs w:val="21"/>
        </w:rPr>
      </w:pPr>
      <w:r>
        <w:rPr>
          <w:spacing w:val="-1"/>
          <w:szCs w:val="21"/>
        </w:rPr>
        <w:t>4、必须制定合理的措施对运维人员进行管理和思想教育，加强保密意识，安全生产意识。</w:t>
      </w:r>
    </w:p>
    <w:p>
      <w:pPr>
        <w:pStyle w:val="Heading4"/>
        <w:keepNext w:val="0"/>
        <w:keepLines w:val="0"/>
        <w:numPr>
          <w:ilvl w:val="1"/>
          <w:numId w:val="8"/>
        </w:numPr>
        <w:autoSpaceDE w:val="0"/>
        <w:autoSpaceDN w:val="0"/>
        <w:spacing w:before="0" w:after="0" w:line="360" w:lineRule="auto"/>
        <w:jc w:val="left"/>
        <w:rPr>
          <w:sz w:val="21"/>
        </w:rPr>
      </w:pPr>
      <w:r>
        <w:rPr>
          <w:rFonts w:hint="eastAsia"/>
          <w:sz w:val="21"/>
        </w:rPr>
        <w:t>人员保密要求</w:t>
      </w:r>
    </w:p>
    <w:p>
      <w:pPr>
        <w:tabs>
          <w:tab w:val="left" w:pos="1060"/>
          <w:tab w:val="left" w:pos="1061"/>
        </w:tabs>
        <w:spacing w:line="360" w:lineRule="auto"/>
        <w:ind w:left="142" w:firstLine="420" w:firstLineChars="200"/>
      </w:pPr>
      <w:r>
        <w:rPr>
          <w:spacing w:val="-1"/>
          <w:szCs w:val="21"/>
        </w:rPr>
        <w:t>参与本次项目运维的员工须与中标人、国家气象信息中心签订三方保密协议，如有违反，中标人必须承担全部责任并赔偿国家气象信息中心的一切损失，国家气象信息中心有权追究中标人的法律责任并终止合同。</w:t>
      </w:r>
    </w:p>
    <w:p>
      <w:pPr>
        <w:pStyle w:val="Heading3"/>
        <w:numPr>
          <w:ilvl w:val="0"/>
          <w:numId w:val="4"/>
        </w:numPr>
        <w:autoSpaceDE w:val="0"/>
        <w:autoSpaceDN w:val="0"/>
        <w:spacing w:line="360" w:lineRule="auto"/>
        <w:jc w:val="left"/>
        <w:rPr>
          <w:spacing w:val="-1"/>
          <w:sz w:val="21"/>
          <w:szCs w:val="21"/>
        </w:rPr>
      </w:pPr>
      <w:r>
        <w:rPr>
          <w:rFonts w:hint="eastAsia"/>
          <w:spacing w:val="-1"/>
          <w:sz w:val="21"/>
          <w:szCs w:val="21"/>
        </w:rPr>
        <w:t>验收交付要求</w:t>
      </w:r>
    </w:p>
    <w:p>
      <w:pPr>
        <w:tabs>
          <w:tab w:val="left" w:pos="1060"/>
          <w:tab w:val="left" w:pos="1061"/>
        </w:tabs>
        <w:spacing w:line="360" w:lineRule="auto"/>
        <w:ind w:left="142" w:firstLine="420" w:firstLineChars="200"/>
        <w:rPr>
          <w:spacing w:val="-1"/>
          <w:szCs w:val="21"/>
        </w:rPr>
      </w:pPr>
      <w:r>
        <w:rPr>
          <w:spacing w:val="-1"/>
          <w:szCs w:val="21"/>
        </w:rPr>
        <w:t>项目执行规范化管理，制定以本项目需求为基础的规范化流程且各类工作记录单样例齐全。</w:t>
      </w:r>
      <w:r>
        <w:rPr>
          <w:rFonts w:hint="eastAsia"/>
          <w:spacing w:val="-1"/>
          <w:szCs w:val="21"/>
        </w:rPr>
        <w:t>项目建设各阶段评审发生的评审费、文档印刷费等费用由乙方承担。</w:t>
      </w:r>
    </w:p>
    <w:p>
      <w:pPr>
        <w:snapToGrid w:val="0"/>
        <w:spacing w:line="360" w:lineRule="auto"/>
        <w:jc w:val="left"/>
        <w:rPr>
          <w:rFonts w:ascii="宋体" w:eastAsia="宋体" w:hAnsi="宋体" w:cs="Times New Roman"/>
          <w:szCs w:val="21"/>
        </w:rPr>
      </w:pPr>
    </w:p>
    <w:p>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highlight w:val="none"/>
        </w:rPr>
      </w:pPr>
      <w:bookmarkStart w:id="59"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top"/>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lang w:val="en-US" w:eastAsia="zh-CN"/>
              </w:rPr>
              <w:t>无</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注：根据项目具体情况，对投标人有具体要求，且投标人必须遵守的，逐条列出。</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7A0425">
      <w:pPr>
        <w:numPr>
          <w:ilvl w:val="0"/>
          <w:numId w:val="9"/>
        </w:num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7A0425">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7A0425">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7A0425">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7A0425">
      <w:pPr>
        <w:rPr>
          <w:rFonts w:ascii="宋体" w:eastAsia="宋体" w:hAnsi="宋体" w:cs="宋体"/>
          <w:b/>
          <w:bCs/>
          <w:spacing w:val="-20"/>
          <w:kern w:val="44"/>
          <w:sz w:val="40"/>
          <w:szCs w:val="40"/>
        </w:rPr>
      </w:pPr>
    </w:p>
    <w:p w:rsidR="007A0425">
      <w:pPr>
        <w:rPr>
          <w:rFonts w:ascii="宋体" w:eastAsia="宋体" w:hAnsi="宋体" w:cs="宋体"/>
          <w:b/>
          <w:bCs/>
          <w:spacing w:val="-20"/>
          <w:kern w:val="44"/>
          <w:sz w:val="40"/>
          <w:szCs w:val="40"/>
        </w:rPr>
      </w:pPr>
    </w:p>
    <w:p w:rsidR="007A0425">
      <w:pPr>
        <w:rPr>
          <w:rFonts w:ascii="宋体" w:eastAsia="宋体" w:hAnsi="宋体" w:cs="宋体"/>
          <w:b/>
          <w:bCs/>
          <w:spacing w:val="-20"/>
          <w:kern w:val="44"/>
          <w:sz w:val="40"/>
          <w:szCs w:val="40"/>
        </w:rPr>
      </w:pPr>
    </w:p>
    <w:p w:rsidR="007A0425">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7A0425">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7A0425">
      <w:pPr>
        <w:rPr>
          <w:rFonts w:ascii="Times New Roman" w:eastAsia="宋体" w:hAnsi="Times New Roman" w:cs="Times New Roman"/>
          <w:szCs w:val="20"/>
        </w:rPr>
      </w:pPr>
    </w:p>
    <w:p w:rsidR="007A0425">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7A0425">
      <w:pPr>
        <w:rPr>
          <w:rFonts w:ascii="Times New Roman" w:eastAsia="黑体" w:hAnsi="Times New Roman" w:cs="Times New Roman"/>
          <w:sz w:val="44"/>
          <w:szCs w:val="44"/>
        </w:rPr>
      </w:pPr>
    </w:p>
    <w:p w:rsidR="007A0425">
      <w:pPr>
        <w:rPr>
          <w:rFonts w:ascii="Times New Roman" w:eastAsia="黑体" w:hAnsi="Times New Roman" w:cs="Times New Roman"/>
          <w:sz w:val="44"/>
          <w:szCs w:val="44"/>
        </w:rPr>
      </w:pPr>
    </w:p>
    <w:p w:rsidR="007A0425">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7A0425">
      <w:pPr>
        <w:ind w:firstLine="640" w:firstLineChars="200"/>
        <w:rPr>
          <w:rFonts w:ascii="仿宋_GB2312" w:eastAsia="仿宋_GB2312" w:hAnsi="仿宋_GB2312" w:cs="仿宋_GB2312"/>
          <w:sz w:val="32"/>
          <w:szCs w:val="32"/>
        </w:rPr>
      </w:pPr>
    </w:p>
    <w:p w:rsidR="007A0425">
      <w:pPr>
        <w:numPr>
          <w:ilvl w:val="0"/>
          <w:numId w:val="10"/>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本合同标准文本适用于气象部门服务类（非定制开发软件）采购项目。</w:t>
      </w:r>
    </w:p>
    <w:p w:rsidR="007A0425">
      <w:pPr>
        <w:numPr>
          <w:ilvl w:val="0"/>
          <w:numId w:val="10"/>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可以结合采购项目具体情况，对文本作必要的调整修订后使用。</w:t>
      </w:r>
    </w:p>
    <w:p w:rsidR="007A0425">
      <w:pPr>
        <w:numPr>
          <w:ilvl w:val="0"/>
          <w:numId w:val="10"/>
        </w:numPr>
        <w:tabs>
          <w:tab w:val="left" w:pos="312"/>
        </w:tabs>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7A0425">
      <w:pPr>
        <w:widowControl/>
        <w:jc w:val="left"/>
        <w:rPr>
          <w:rFonts w:ascii="宋体" w:eastAsia="宋体" w:hAnsi="宋体" w:cs="Times New Roman"/>
          <w:szCs w:val="21"/>
        </w:rPr>
      </w:pPr>
      <w:r>
        <w:rPr>
          <w:rFonts w:ascii="宋体" w:eastAsia="宋体" w:hAnsi="宋体" w:cs="Times New Roman"/>
          <w:szCs w:val="21"/>
        </w:rPr>
        <w:br w:type="page"/>
      </w:r>
    </w:p>
    <w:p w:rsidR="007A0425">
      <w:pPr>
        <w:snapToGrid w:val="0"/>
        <w:spacing w:line="360" w:lineRule="auto"/>
        <w:ind w:firstLine="420"/>
        <w:rPr>
          <w:rFonts w:ascii="宋体" w:eastAsia="宋体" w:hAnsi="宋体" w:cs="Times New Roman"/>
          <w:szCs w:val="21"/>
        </w:rPr>
      </w:pPr>
    </w:p>
    <w:p w:rsidR="007A0425">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第一部分  合同专用部分</w:t>
      </w:r>
    </w:p>
    <w:p w:rsidR="007A0425">
      <w:pPr>
        <w:snapToGrid w:val="0"/>
        <w:spacing w:line="360" w:lineRule="auto"/>
        <w:ind w:firstLine="420"/>
        <w:jc w:val="center"/>
        <w:rPr>
          <w:rFonts w:ascii="宋体" w:eastAsia="宋体" w:hAnsi="宋体" w:cs="Times New Roman"/>
          <w:szCs w:val="21"/>
        </w:rPr>
      </w:pPr>
    </w:p>
    <w:p w:rsidR="007A0425">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7A0425">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7A0425">
      <w:pPr>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7A0425">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7A0425">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7A0425">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7A0425">
      <w:pPr>
        <w:adjustRightInd w:val="0"/>
        <w:snapToGrid w:val="0"/>
        <w:spacing w:line="360" w:lineRule="auto"/>
        <w:ind w:firstLine="420" w:firstLineChars="200"/>
        <w:rPr>
          <w:rFonts w:ascii="宋体" w:eastAsia="宋体" w:hAnsi="宋体" w:cs="Times New Roman"/>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7A0425">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7A0425">
            <w:pPr>
              <w:tabs>
                <w:tab w:val="left" w:pos="1573"/>
              </w:tabs>
              <w:autoSpaceDE w:val="0"/>
              <w:autoSpaceDN w:val="0"/>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r>
      <w:tr>
        <w:tblPrEx>
          <w:tblW w:w="0" w:type="auto"/>
          <w:jc w:val="center"/>
          <w:tblLayout w:type="fixed"/>
          <w:tblLook w:val="04A0"/>
        </w:tblPrEx>
        <w:trPr>
          <w:jc w:val="center"/>
        </w:trPr>
        <w:tc>
          <w:tcPr>
            <w:tcW w:w="76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29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3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318"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750"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c>
          <w:tcPr>
            <w:tcW w:w="1275" w:type="dxa"/>
            <w:vAlign w:val="center"/>
          </w:tcPr>
          <w:p w:rsidR="007A0425">
            <w:pPr>
              <w:tabs>
                <w:tab w:val="left" w:pos="1573"/>
              </w:tabs>
              <w:autoSpaceDE w:val="0"/>
              <w:autoSpaceDN w:val="0"/>
              <w:adjustRightInd w:val="0"/>
              <w:snapToGrid w:val="0"/>
              <w:spacing w:line="360" w:lineRule="auto"/>
              <w:rPr>
                <w:rFonts w:ascii="宋体" w:eastAsia="宋体" w:hAnsi="宋体" w:cs="Times New Roman"/>
                <w:szCs w:val="21"/>
              </w:rPr>
            </w:pPr>
          </w:p>
        </w:tc>
      </w:tr>
    </w:tbl>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2、合同生效后付款：双方签署合同后7个工作日内，甲方向乙方支付合同总金额的</w:t>
      </w:r>
      <w:r w:rsidR="00C36D51">
        <w:rPr>
          <w:rFonts w:ascii="宋体" w:eastAsia="宋体" w:hAnsi="宋体" w:cs="微软雅黑"/>
          <w:b/>
          <w:color w:val="0000FF"/>
          <w:kern w:val="0"/>
          <w:szCs w:val="21"/>
        </w:rPr>
        <w:t>100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7A0425">
      <w:pPr>
        <w:tabs>
          <w:tab w:val="left" w:pos="1573"/>
        </w:tabs>
        <w:adjustRightInd w:val="0"/>
        <w:snapToGrid w:val="0"/>
        <w:spacing w:line="360" w:lineRule="auto"/>
        <w:ind w:firstLine="420" w:firstLineChars="200"/>
        <w:jc w:val="left"/>
        <w:rPr>
          <w:rFonts w:ascii="Times New Roman" w:eastAsia="宋体" w:hAnsi="宋体" w:cs="Times New Roman"/>
          <w:kern w:val="0"/>
          <w:szCs w:val="20"/>
        </w:rPr>
      </w:pPr>
      <w:r>
        <w:rPr>
          <w:spacing w:val="-6"/>
        </w:rPr>
        <w:t>乙方于收到甲方付款后的</w:t>
      </w:r>
      <w:r>
        <w:rPr>
          <w:spacing w:val="-6"/>
        </w:rPr>
        <w:t xml:space="preserve"> </w:t>
      </w:r>
      <w:r>
        <w:rPr>
          <w:rFonts w:ascii="Times New Roman" w:eastAsia="Times New Roman"/>
        </w:rPr>
        <w:t xml:space="preserve">15 </w:t>
      </w:r>
      <w:r>
        <w:rPr>
          <w:spacing w:val="-8"/>
        </w:rPr>
        <w:t>日内，向甲方提供合同总金额</w:t>
      </w:r>
      <w:r>
        <w:rPr>
          <w:u w:val="single"/>
        </w:rPr>
        <w:t xml:space="preserve"> </w:t>
      </w:r>
      <w:r>
        <w:rPr>
          <w:rFonts w:ascii="Times New Roman" w:eastAsia="Times New Roman"/>
          <w:u w:val="single"/>
        </w:rPr>
        <w:t>40%</w:t>
      </w:r>
      <w:r>
        <w:rPr>
          <w:rFonts w:ascii="Times New Roman" w:eastAsia="Times New Roman"/>
          <w:spacing w:val="50"/>
          <w:u w:val="single"/>
        </w:rPr>
        <w:t xml:space="preserve"> </w:t>
      </w:r>
      <w:r>
        <w:rPr>
          <w:spacing w:val="-7"/>
        </w:rPr>
        <w:t>的预付款</w:t>
      </w:r>
      <w:r w:rsidRPr="00C36D51">
        <w:rPr>
          <w:rFonts w:hint="eastAsia"/>
          <w:spacing w:val="-7"/>
        </w:rPr>
        <w:t>保函</w:t>
      </w:r>
      <w:r>
        <w:rPr>
          <w:spacing w:val="-7"/>
        </w:rPr>
        <w:t>，</w:t>
      </w:r>
      <w:r>
        <w:rPr>
          <w:rFonts w:hint="eastAsia"/>
          <w:spacing w:val="-7"/>
        </w:rPr>
        <w:t>服务期开始后</w:t>
      </w:r>
      <w:r>
        <w:rPr>
          <w:rFonts w:hint="eastAsia"/>
          <w:spacing w:val="-7"/>
        </w:rPr>
        <w:t>3</w:t>
      </w:r>
      <w:r>
        <w:rPr>
          <w:spacing w:val="-7"/>
        </w:rPr>
        <w:t>0</w:t>
      </w:r>
      <w:r>
        <w:rPr>
          <w:rFonts w:hint="eastAsia"/>
          <w:spacing w:val="-7"/>
        </w:rPr>
        <w:t>日内甲方退还预付款保函，同时乙方开具合同总金额的</w:t>
      </w:r>
      <w:r>
        <w:rPr>
          <w:rFonts w:hint="eastAsia"/>
          <w:spacing w:val="-7"/>
        </w:rPr>
        <w:t xml:space="preserve"> </w:t>
      </w:r>
      <w:r w:rsidRPr="00B6556A">
        <w:rPr>
          <w:spacing w:val="-7"/>
          <w:u w:val="single"/>
        </w:rPr>
        <w:t>10%</w:t>
      </w:r>
      <w:r>
        <w:rPr>
          <w:spacing w:val="-7"/>
          <w:u w:val="single"/>
        </w:rPr>
        <w:t xml:space="preserve"> </w:t>
      </w:r>
      <w:r>
        <w:rPr>
          <w:rFonts w:hint="eastAsia"/>
          <w:spacing w:val="-7"/>
        </w:rPr>
        <w:t>的履约保函，服务期满后</w:t>
      </w:r>
      <w:r>
        <w:rPr>
          <w:rFonts w:hint="eastAsia"/>
          <w:spacing w:val="-7"/>
        </w:rPr>
        <w:t>3</w:t>
      </w:r>
      <w:r>
        <w:rPr>
          <w:spacing w:val="-7"/>
        </w:rPr>
        <w:t>0</w:t>
      </w:r>
      <w:r>
        <w:rPr>
          <w:rFonts w:hint="eastAsia"/>
          <w:spacing w:val="-7"/>
        </w:rPr>
        <w:t>日内甲方</w:t>
      </w:r>
      <w:r>
        <w:t>按照本项目要求扣除违约金后，甲方无息退还乙方。</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四、甲方应向乙方提供的资料</w:t>
      </w:r>
    </w:p>
    <w:p w:rsidR="007A0425">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甲方提供乙方履行合同所需的资料清单如下：</w:t>
      </w:r>
    </w:p>
    <w:p w:rsidR="007A0425">
      <w:pPr>
        <w:tabs>
          <w:tab w:val="left" w:pos="1573"/>
        </w:tabs>
        <w:adjustRightInd w:val="0"/>
        <w:snapToGrid w:val="0"/>
        <w:spacing w:line="360" w:lineRule="auto"/>
        <w:ind w:firstLine="412" w:firstLineChars="196"/>
        <w:jc w:val="left"/>
        <w:rPr>
          <w:rFonts w:ascii="宋体" w:eastAsia="宋体" w:hAnsi="宋体" w:cs="Times New Roman"/>
          <w:szCs w:val="28"/>
        </w:rPr>
      </w:pP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五、进度要求及交付</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7A0425">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个月。</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七、履约验收</w:t>
      </w:r>
    </w:p>
    <w:p w:rsidR="007A0425">
      <w:pPr>
        <w:tabs>
          <w:tab w:val="left" w:pos="1573"/>
        </w:tabs>
        <w:adjustRightInd w:val="0"/>
        <w:snapToGrid w:val="0"/>
        <w:spacing w:line="360" w:lineRule="auto"/>
        <w:ind w:firstLine="412" w:firstLineChars="196"/>
        <w:jc w:val="left"/>
        <w:rPr>
          <w:rFonts w:ascii="宋体" w:eastAsia="宋体" w:hAnsi="宋体" w:cs="Times New Roman"/>
          <w:szCs w:val="28"/>
        </w:rPr>
      </w:pPr>
      <w:r>
        <w:rPr>
          <w:rFonts w:ascii="宋体" w:eastAsia="宋体" w:hAnsi="宋体" w:cs="Times New Roman" w:hint="eastAsia"/>
          <w:szCs w:val="28"/>
        </w:rPr>
        <w:t>（略）</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八、风险管理</w:t>
      </w:r>
    </w:p>
    <w:p w:rsidR="007A0425">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（略）</w:t>
      </w:r>
    </w:p>
    <w:p w:rsidR="007A0425">
      <w:pPr>
        <w:tabs>
          <w:tab w:val="left" w:pos="1573"/>
        </w:tabs>
        <w:adjustRightInd w:val="0"/>
        <w:snapToGrid w:val="0"/>
        <w:spacing w:line="360" w:lineRule="auto"/>
        <w:ind w:firstLine="412" w:firstLineChars="196"/>
        <w:jc w:val="left"/>
        <w:rPr>
          <w:rFonts w:ascii="宋体" w:eastAsia="宋体" w:hAnsi="宋体" w:cs="Times New Roman"/>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的可能性、影响程度进行研判，明确管控责任，提出有针对性的处置措施和替代方案。如本项目不属于上述项目，“八、风险管理”可省略）</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r>
        <w:rPr>
          <w:rFonts w:ascii="宋体" w:eastAsia="宋体" w:hAnsi="宋体" w:cs="Times New Roman" w:hint="eastAsia"/>
          <w:b/>
          <w:szCs w:val="28"/>
        </w:rPr>
        <w:t>九、违约责任</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2、其它违约责任</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十、联系方式</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7A0425">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7A0425">
      <w:pPr>
        <w:tabs>
          <w:tab w:val="left" w:pos="1573"/>
        </w:tabs>
        <w:adjustRightInd w:val="0"/>
        <w:snapToGrid w:val="0"/>
        <w:ind w:firstLine="315" w:firstLineChars="150"/>
        <w:jc w:val="left"/>
        <w:rPr>
          <w:rFonts w:ascii="宋体" w:eastAsia="宋体" w:hAnsi="宋体" w:cs="Times New Roman"/>
          <w:szCs w:val="21"/>
          <w:u w:val="single"/>
        </w:rPr>
      </w:pP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7A0425">
      <w:pPr>
        <w:snapToGrid w:val="0"/>
        <w:ind w:firstLine="309" w:firstLineChars="147"/>
        <w:rPr>
          <w:rFonts w:ascii="宋体" w:eastAsia="宋体" w:hAnsi="宋体" w:cs="Times New Roman"/>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7A0425">
      <w:pPr>
        <w:tabs>
          <w:tab w:val="left" w:pos="1573"/>
        </w:tabs>
        <w:adjustRightInd w:val="0"/>
        <w:snapToGrid w:val="0"/>
        <w:ind w:firstLine="315" w:firstLineChars="150"/>
        <w:jc w:val="left"/>
        <w:rPr>
          <w:rFonts w:ascii="宋体" w:eastAsia="宋体" w:hAnsi="宋体" w:cs="Times New Roman"/>
          <w:szCs w:val="21"/>
          <w:u w:val="single"/>
        </w:rPr>
      </w:pPr>
      <w:r>
        <w:rPr>
          <w:rFonts w:ascii="宋体" w:eastAsia="宋体" w:hAnsi="宋体" w:cs="Times New Roman" w:hint="eastAsia"/>
          <w:szCs w:val="21"/>
        </w:rPr>
        <w:t>开户银行及帐号：</w:t>
      </w:r>
      <w:r>
        <w:rPr>
          <w:rFonts w:ascii="宋体" w:eastAsia="宋体" w:hAnsi="宋体" w:cs="Times New Roman" w:hint="eastAsia"/>
          <w:szCs w:val="21"/>
          <w:u w:val="single"/>
        </w:rPr>
        <w:t xml:space="preserve">                                              </w:t>
      </w:r>
    </w:p>
    <w:p w:rsidR="007A0425">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7A0425">
      <w:pPr>
        <w:tabs>
          <w:tab w:val="left" w:pos="1573"/>
        </w:tabs>
        <w:adjustRightInd w:val="0"/>
        <w:snapToGrid w:val="0"/>
        <w:spacing w:line="360" w:lineRule="auto"/>
        <w:ind w:firstLine="420" w:firstLineChars="200"/>
        <w:jc w:val="left"/>
        <w:rPr>
          <w:rFonts w:ascii="宋体" w:eastAsia="宋体" w:hAnsi="宋体" w:cs="Times New Roman"/>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p>
    <w:p w:rsidR="007A0425">
      <w:pPr>
        <w:tabs>
          <w:tab w:val="left" w:pos="1573"/>
        </w:tabs>
        <w:adjustRightInd w:val="0"/>
        <w:snapToGrid w:val="0"/>
        <w:spacing w:line="360" w:lineRule="auto"/>
        <w:ind w:firstLine="420" w:firstLineChars="200"/>
        <w:jc w:val="left"/>
        <w:rPr>
          <w:rFonts w:ascii="宋体" w:eastAsia="宋体" w:hAnsi="宋体" w:cs="Times New Roman"/>
          <w:b/>
          <w:szCs w:val="28"/>
        </w:rPr>
      </w:pPr>
      <w:r>
        <w:rPr>
          <w:rFonts w:ascii="宋体" w:eastAsia="宋体" w:hAnsi="宋体" w:cs="Times New Roman" w:hint="eastAsia"/>
          <w:b/>
          <w:szCs w:val="28"/>
        </w:rPr>
        <w:t>十二、履约保证金</w:t>
      </w:r>
    </w:p>
    <w:p w:rsidR="007A0425">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7A0425">
      <w:pPr>
        <w:tabs>
          <w:tab w:val="left" w:pos="1573"/>
        </w:tabs>
        <w:adjustRightInd w:val="0"/>
        <w:snapToGrid w:val="0"/>
        <w:spacing w:line="360" w:lineRule="auto"/>
        <w:ind w:firstLine="412" w:firstLineChars="196"/>
        <w:jc w:val="left"/>
        <w:rPr>
          <w:rFonts w:ascii="宋体" w:eastAsia="宋体" w:hAnsi="宋体" w:cs="Times New Roman"/>
          <w:b/>
          <w:szCs w:val="28"/>
        </w:rPr>
      </w:pP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甲方：                                   乙方：</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单位名称：（公章）                        单位名称：（公章）</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法定代表人：                             法定代表人：</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授权代表：                               授权代表：</w:t>
      </w:r>
    </w:p>
    <w:p w:rsidR="007A0425">
      <w:pPr>
        <w:snapToGrid w:val="0"/>
        <w:ind w:firstLine="309" w:firstLineChars="147"/>
        <w:rPr>
          <w:rFonts w:ascii="宋体" w:eastAsia="宋体" w:hAnsi="宋体" w:cs="Times New Roman"/>
          <w:b/>
          <w:szCs w:val="21"/>
        </w:rPr>
      </w:pPr>
      <w:r>
        <w:rPr>
          <w:rFonts w:ascii="宋体" w:eastAsia="宋体" w:hAnsi="宋体" w:cs="Times New Roman" w:hint="eastAsia"/>
          <w:b/>
          <w:szCs w:val="21"/>
        </w:rPr>
        <w:t>签约日期：                               签约日期：</w:t>
      </w:r>
    </w:p>
    <w:p w:rsidR="007A0425">
      <w:pPr>
        <w:widowControl/>
        <w:jc w:val="left"/>
        <w:rPr>
          <w:rFonts w:ascii="宋体" w:eastAsia="宋体" w:hAnsi="宋体" w:cs="Times New Roman"/>
          <w:b/>
          <w:szCs w:val="21"/>
        </w:rPr>
      </w:pPr>
      <w:r>
        <w:rPr>
          <w:rFonts w:ascii="宋体" w:eastAsia="宋体" w:hAnsi="宋体" w:cs="Times New Roman"/>
          <w:b/>
          <w:szCs w:val="21"/>
        </w:rPr>
        <w:br w:type="page"/>
      </w:r>
    </w:p>
    <w:p w:rsidR="007A0425">
      <w:pPr>
        <w:spacing w:line="360" w:lineRule="auto"/>
        <w:jc w:val="left"/>
        <w:rPr>
          <w:rFonts w:ascii="Times New Roman" w:eastAsia="宋体" w:hAnsi="Times New Roman" w:cs="Times New Roman"/>
          <w:b/>
          <w:bCs/>
          <w:sz w:val="44"/>
          <w:szCs w:val="44"/>
        </w:rPr>
      </w:pPr>
    </w:p>
    <w:p w:rsidR="007A0425">
      <w:pPr>
        <w:tabs>
          <w:tab w:val="left" w:pos="1573"/>
        </w:tabs>
        <w:adjustRightInd w:val="0"/>
        <w:snapToGrid w:val="0"/>
        <w:spacing w:line="360" w:lineRule="auto"/>
        <w:ind w:left="708" w:hanging="708"/>
        <w:jc w:val="center"/>
        <w:outlineLvl w:val="1"/>
        <w:rPr>
          <w:rFonts w:ascii="宋体" w:eastAsia="宋体" w:hAnsi="宋体" w:cs="Times New Roman"/>
          <w:b/>
          <w:sz w:val="30"/>
          <w:szCs w:val="30"/>
        </w:rPr>
      </w:pPr>
      <w:r>
        <w:rPr>
          <w:rFonts w:ascii="宋体" w:eastAsia="宋体" w:hAnsi="宋体" w:cs="Times New Roman" w:hint="eastAsia"/>
          <w:b/>
          <w:sz w:val="30"/>
          <w:szCs w:val="30"/>
        </w:rPr>
        <w:t>第二部分  合同通用部分</w:t>
      </w:r>
    </w:p>
    <w:p w:rsidR="007A0425">
      <w:pPr>
        <w:tabs>
          <w:tab w:val="left" w:pos="1573"/>
        </w:tabs>
        <w:snapToGrid w:val="0"/>
        <w:spacing w:line="360" w:lineRule="auto"/>
        <w:jc w:val="center"/>
        <w:rPr>
          <w:rFonts w:ascii="宋体" w:eastAsia="宋体" w:hAnsi="宋体" w:cs="Times New Roman"/>
          <w:szCs w:val="21"/>
        </w:rPr>
      </w:pPr>
    </w:p>
    <w:p w:rsidR="007A0425">
      <w:pPr>
        <w:tabs>
          <w:tab w:val="left" w:pos="1573"/>
        </w:tabs>
        <w:adjustRightInd w:val="0"/>
        <w:snapToGrid w:val="0"/>
        <w:spacing w:line="360" w:lineRule="auto"/>
        <w:ind w:firstLine="420"/>
        <w:rPr>
          <w:rFonts w:ascii="宋体" w:eastAsia="宋体" w:hAnsi="宋体" w:cs="Times New Roman"/>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7A0425">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中标通知书</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开标一览表及投标分项报价表</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商务和技术偏离表</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合同条款专用部分</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合同条款通用部分</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采购需求</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双方有关服务的洽商、变更等书面协议或文件</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投标文件、招标文件除以上的其他部分</w:t>
      </w:r>
    </w:p>
    <w:p w:rsidR="007A0425">
      <w:pPr>
        <w:numPr>
          <w:ilvl w:val="0"/>
          <w:numId w:val="11"/>
        </w:numPr>
        <w:snapToGrid w:val="0"/>
        <w:spacing w:line="360" w:lineRule="auto"/>
        <w:rPr>
          <w:rFonts w:ascii="宋体" w:eastAsia="宋体" w:hAnsi="宋体" w:cs="Times New Roman"/>
          <w:szCs w:val="21"/>
        </w:rPr>
      </w:pPr>
      <w:r>
        <w:rPr>
          <w:rFonts w:ascii="宋体" w:eastAsia="宋体" w:hAnsi="宋体" w:cs="Times New Roman" w:hint="eastAsia"/>
          <w:szCs w:val="21"/>
        </w:rPr>
        <w:t>其他合同文本</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一、定义</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除非另有特别解释或说明，在本合同及与本合同相关的，双方另行签署的其他文件（包括但不限于本合同的附件）中，下述词语均依如下定义进行解释：</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5、“验收证书”指验收完成后由合同双方签署的最终验收确认书。</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6、“保修期”指自验收证书甲方签署之日起，乙方免费对所提供给甲方服务内容进行技术支持、现场服务、升级服务等，并自担费用方式保证合同服务正常运行的时期。</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7、“第三人”是指本合同双方以外的任何中国境内、外的自然人、法人或其他经济组织。</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9、“招标文件”指采购中心发布的本项目招标文件。</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二、合同标的</w:t>
      </w:r>
    </w:p>
    <w:p w:rsidR="007A0425">
      <w:pPr>
        <w:numPr>
          <w:ilvl w:val="6"/>
          <w:numId w:val="0"/>
        </w:num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三、合同价格</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3、合同服务产品详细目录及价格见</w:t>
      </w:r>
      <w:r>
        <w:rPr>
          <w:rFonts w:ascii="黑体" w:eastAsia="黑体" w:hAnsi="黑体" w:cs="Times New Roman" w:hint="eastAsia"/>
          <w:b/>
          <w:bCs/>
          <w:szCs w:val="21"/>
        </w:rPr>
        <w:t>合同服务产品清单（同投标文件中服务产品清单）</w:t>
      </w:r>
      <w:r>
        <w:rPr>
          <w:rFonts w:ascii="宋体" w:eastAsia="宋体" w:hAnsi="宋体" w:cs="Times New Roman" w:hint="eastAsia"/>
          <w:szCs w:val="21"/>
        </w:rPr>
        <w:t>。</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四、支付和结算方式</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1、双方因本合同发生的一切费用均以人民币结算及支付。</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2、双方的</w:t>
      </w:r>
      <w:r w:rsidR="008B47FC">
        <w:rPr>
          <w:rFonts w:ascii="宋体" w:eastAsia="宋体" w:hAnsi="宋体" w:cs="Times New Roman" w:hint="eastAsia"/>
          <w:szCs w:val="21"/>
        </w:rPr>
        <w:t>账户</w:t>
      </w:r>
      <w:r>
        <w:rPr>
          <w:rFonts w:ascii="宋体" w:eastAsia="宋体" w:hAnsi="宋体" w:cs="Times New Roman" w:hint="eastAsia"/>
          <w:szCs w:val="21"/>
        </w:rPr>
        <w:t>名称、开户银行及</w:t>
      </w:r>
      <w:r w:rsidR="008B47FC">
        <w:rPr>
          <w:rFonts w:ascii="宋体" w:eastAsia="宋体" w:hAnsi="宋体" w:cs="Times New Roman" w:hint="eastAsia"/>
          <w:szCs w:val="21"/>
        </w:rPr>
        <w:t>账号</w:t>
      </w:r>
      <w:r>
        <w:rPr>
          <w:rFonts w:ascii="宋体" w:eastAsia="宋体" w:hAnsi="宋体" w:cs="Times New Roman" w:hint="eastAsia"/>
          <w:szCs w:val="21"/>
        </w:rPr>
        <w:t>以本合同提供的为准。</w:t>
      </w:r>
    </w:p>
    <w:p w:rsidR="007A0425">
      <w:pPr>
        <w:tabs>
          <w:tab w:val="left" w:pos="1573"/>
        </w:tabs>
        <w:adjustRightInd w:val="0"/>
        <w:snapToGrid w:val="0"/>
        <w:spacing w:line="360" w:lineRule="auto"/>
        <w:ind w:firstLine="420" w:firstLineChars="200"/>
        <w:rPr>
          <w:rFonts w:ascii="Times New Roman" w:eastAsia="宋体" w:hAnsi="宋体" w:cs="Times New Roman"/>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7A0425">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p>
    <w:p w:rsidR="007A0425">
      <w:pPr>
        <w:tabs>
          <w:tab w:val="left" w:pos="1573"/>
        </w:tabs>
        <w:adjustRightInd w:val="0"/>
        <w:snapToGrid w:val="0"/>
        <w:spacing w:line="360" w:lineRule="auto"/>
        <w:ind w:firstLine="420" w:firstLineChars="200"/>
        <w:rPr>
          <w:rFonts w:ascii="Times New Roman" w:eastAsia="宋体" w:hAnsi="宋体" w:cs="Times New Roman"/>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w:t>
      </w:r>
      <w:r w:rsidR="008B47FC">
        <w:rPr>
          <w:rFonts w:ascii="Times New Roman" w:eastAsia="宋体" w:hAnsi="宋体" w:cs="Times New Roman" w:hint="eastAsia"/>
          <w:kern w:val="0"/>
          <w:szCs w:val="20"/>
        </w:rPr>
        <w:t>报告</w:t>
      </w:r>
      <w:r>
        <w:rPr>
          <w:rFonts w:ascii="Times New Roman" w:eastAsia="宋体" w:hAnsi="宋体" w:cs="Times New Roman" w:hint="eastAsia"/>
          <w:kern w:val="0"/>
          <w:szCs w:val="20"/>
        </w:rPr>
        <w:t>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7A0425">
      <w:pPr>
        <w:tabs>
          <w:tab w:val="left" w:pos="1573"/>
        </w:tabs>
        <w:adjustRightInd w:val="0"/>
        <w:snapToGrid w:val="0"/>
        <w:spacing w:line="360" w:lineRule="auto"/>
        <w:ind w:firstLine="420" w:firstLineChars="200"/>
        <w:rPr>
          <w:rFonts w:ascii="宋体" w:eastAsia="宋体" w:hAnsi="宋体" w:cs="Times New Roman"/>
          <w:kern w:val="0"/>
          <w:szCs w:val="20"/>
        </w:rPr>
      </w:pPr>
      <w:r>
        <w:rPr>
          <w:rFonts w:ascii="宋体" w:eastAsia="宋体" w:hAnsi="宋体" w:cs="Times New Roman" w:hint="eastAsia"/>
          <w:kern w:val="0"/>
          <w:szCs w:val="20"/>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kern w:val="0"/>
          <w:szCs w:val="20"/>
        </w:rPr>
        <w:t>，作为本合同最终结款。</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4、乙方在收到甲方每一笔付款的同时，应向甲方开具相应金额的商业发票。</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五、资料的使用</w:t>
      </w:r>
    </w:p>
    <w:p w:rsidR="007A0425">
      <w:pPr>
        <w:adjustRightInd w:val="0"/>
        <w:snapToGrid w:val="0"/>
        <w:spacing w:line="360" w:lineRule="auto"/>
        <w:ind w:left="105" w:firstLine="315" w:leftChars="50" w:firstLineChars="150"/>
        <w:rPr>
          <w:rFonts w:ascii="宋体" w:eastAsia="宋体" w:hAnsi="宋体" w:cs="Times New Roman"/>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w:t>
      </w:r>
      <w:r w:rsidR="008B47FC">
        <w:rPr>
          <w:rFonts w:ascii="宋体" w:eastAsia="宋体" w:hAnsi="宋体" w:cs="Times New Roman" w:hint="eastAsia"/>
          <w:szCs w:val="21"/>
        </w:rPr>
        <w:t>必需的</w:t>
      </w:r>
      <w:r>
        <w:rPr>
          <w:rFonts w:ascii="宋体" w:eastAsia="宋体" w:hAnsi="宋体" w:cs="Times New Roman" w:hint="eastAsia"/>
          <w:szCs w:val="21"/>
        </w:rPr>
        <w:t>范围。</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2、没有甲方事先书面同意，除了履行本合同之外，乙方不应使用甲方提供的任何文件和资料。</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3、没有甲方事先书面同意，乙方不得泄露与本项目有关的任何资料、数据及其它信息。</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甲方提供乙方履行合同所需的资料清单见</w:t>
      </w:r>
      <w:r>
        <w:rPr>
          <w:rFonts w:ascii="黑体" w:eastAsia="黑体" w:hAnsi="黑体" w:cs="Times New Roman" w:hint="eastAsia"/>
          <w:b/>
          <w:bCs/>
          <w:szCs w:val="21"/>
        </w:rPr>
        <w:t>合同条款专用部分。</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六、知识产权</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1、在本协议生效日前业已存在的版权及其他知识产权应属于本协议生效前既拥有该等权利的一方。</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3、符合法律规定及当事人约定的原则：任何相关事项均应当符合法律规定，及应当符合当事人约定。</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七、进度要求</w:t>
      </w:r>
    </w:p>
    <w:p w:rsidR="007A0425">
      <w:pPr>
        <w:numPr>
          <w:ilvl w:val="6"/>
          <w:numId w:val="0"/>
        </w:numPr>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见</w:t>
      </w:r>
      <w:r>
        <w:rPr>
          <w:rFonts w:ascii="黑体" w:eastAsia="黑体" w:hAnsi="黑体" w:cs="Times New Roman" w:hint="eastAsia"/>
          <w:b/>
          <w:bCs/>
          <w:szCs w:val="20"/>
        </w:rPr>
        <w:t>合同条款专用部分</w:t>
      </w:r>
      <w:r>
        <w:rPr>
          <w:rFonts w:ascii="宋体" w:eastAsia="宋体" w:hAnsi="宋体" w:cs="Times New Roman" w:hint="eastAsia"/>
          <w:b/>
          <w:szCs w:val="21"/>
        </w:rPr>
        <w:t>。</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八、技术服务和保修责任</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关于本条的特别说明：本条中的服务时间，即相关的服务到达现场或完成维修工作所需的时间：小时、天数等，招标文件或有关保修服务的其它文件中有规定的，遵从其规定；若无相关文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1、乙方对合同服务的质量保修期见</w:t>
      </w:r>
      <w:r>
        <w:rPr>
          <w:rFonts w:ascii="黑体" w:eastAsia="黑体" w:hAnsi="黑体" w:cs="Times New Roman" w:hint="eastAsia"/>
          <w:b/>
          <w:bCs/>
          <w:szCs w:val="21"/>
        </w:rPr>
        <w:t>合同条款专用部分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九、履约保证金</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）内，以信汇、电汇或履约保函形式向甲方提供履约保证金，保证金金额：见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2、如果中标人没有按照上述规定执行，甲方将有充分理由取消该中标决定，并不予退还其投标保证金。在此情况下甲方可将合同授予排名第二的中标候选人，或重新招标。</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3、如果中标人在与甲方签定合同以后，将中标项目转包给第三方或者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本项目不允许分包的情况下将中标项目分包给第三方，甲方将有充分理由终止合同，并不予退还其履约保证金。</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4、中标人的履约保证金将在合同服务试经甲方终验合格，履行完必要的审批手续后30日内退还中标人。</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5、如乙方未能完全履行合同规定的义务，甲方有权从履约保证金中得到补偿。</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十、审计及检查</w:t>
      </w:r>
    </w:p>
    <w:p w:rsidR="007A0425">
      <w:pPr>
        <w:tabs>
          <w:tab w:val="left" w:pos="360"/>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如果采购人要求，中标人应允许采购人检查中标人与实施本合同有关的资金、帐户和记录，并由采购人指定的审计人员对其进行审计。</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十一、违约责任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（3）上述情形下甲方为采取必要的补救措施或因防止损失扩大而支出的合理费用应由乙方承担。</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 xml:space="preserve">5、其它违约责任 </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1）擅自向第三方提供或者转让项目资料的；</w:t>
      </w:r>
    </w:p>
    <w:p w:rsidR="007A0425">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2）未经甲方许可使用项目资料的；</w:t>
      </w:r>
    </w:p>
    <w:p w:rsidR="007A0425">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3）项目完成后，乙方未经甲方许可保留项目资料的；</w:t>
      </w:r>
    </w:p>
    <w:p w:rsidR="007A0425">
      <w:pPr>
        <w:adjustRightInd w:val="0"/>
        <w:snapToGrid w:val="0"/>
        <w:spacing w:line="360" w:lineRule="auto"/>
        <w:ind w:left="200" w:firstLine="200" w:leftChars="95" w:firstLineChars="95"/>
        <w:rPr>
          <w:rFonts w:ascii="宋体" w:eastAsia="宋体" w:hAnsi="宋体" w:cs="Times New Roman"/>
          <w:szCs w:val="21"/>
        </w:rPr>
      </w:pPr>
      <w:r>
        <w:rPr>
          <w:rFonts w:ascii="宋体" w:eastAsia="宋体" w:hAnsi="宋体" w:cs="Times New Roman" w:hint="eastAsia"/>
          <w:szCs w:val="21"/>
        </w:rPr>
        <w:t>4）对项目资料保管不当，造成数据全部或者部分丢失、被窃的。</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7、乙方在进行项目时违反有关保密规定的，依照《中华人民共和国保密法》等有关法律法规的规定处理。</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9、以上各项交付的违约金并不影响违约方履行合同的各项义务。</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rsidR="007A0425">
      <w:pPr>
        <w:adjustRightInd w:val="0"/>
        <w:snapToGrid w:val="0"/>
        <w:spacing w:line="360" w:lineRule="auto"/>
        <w:ind w:firstLine="315" w:firstLineChars="150"/>
        <w:rPr>
          <w:rFonts w:ascii="宋体" w:eastAsia="宋体" w:hAnsi="宋体" w:cs="Times New Roman"/>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十二、不可抗力</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十三、联系方式</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2、合同双方发出的与本合同有关的通知或</w:t>
      </w:r>
      <w:r>
        <w:rPr>
          <w:rFonts w:ascii="宋体" w:eastAsia="宋体" w:hAnsi="宋体" w:cs="Times New Roman" w:hint="eastAsia"/>
          <w:szCs w:val="21"/>
        </w:rPr>
        <w:t>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sidR="008B47FC">
        <w:rPr>
          <w:rFonts w:ascii="宋体" w:eastAsia="宋体" w:hAnsi="宋体" w:cs="Times New Roman" w:hint="eastAsia"/>
          <w:szCs w:val="21"/>
        </w:rPr>
        <w:t>账号</w:t>
      </w:r>
      <w:r>
        <w:rPr>
          <w:rFonts w:ascii="宋体" w:eastAsia="宋体" w:hAnsi="宋体" w:cs="Times New Roman" w:hint="eastAsia"/>
          <w:szCs w:val="21"/>
        </w:rPr>
        <w:t>，一方变更通讯地址或</w:t>
      </w:r>
      <w:r w:rsidR="008B47FC">
        <w:rPr>
          <w:rFonts w:ascii="宋体" w:eastAsia="宋体" w:hAnsi="宋体" w:cs="Times New Roman" w:hint="eastAsia"/>
          <w:szCs w:val="21"/>
        </w:rPr>
        <w:t>账号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3、上述发出通知、回复的费用由发出一方承担。</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十四、保密条款</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十五、合同的解释和法律适用</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2、本合同标题仅供查阅方便，并非对本合同的诠释或解释；本合同中以日表述的时间期限均指自然日。</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3、对本合同的任何解释均应以书面作出。</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十六、合同的终止</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1、本合同因下列原因而终止：</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（1）本合同正常履行完毕；</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（2）合同双方协议终止本合同的履行；</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（3）不可抗力事件导致本合同无法履行或履行不必要；</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（4）任何一方行使解除权，解除本合同。</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十七、法律适用</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十八、权利的保留</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十九、争议的解决</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1、合同双方应通过友好协商解决因解释﹑执行本合同所发生的和本合同有关的一切争议。如果经协商不能达成协议，则双方同意：</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（1）在甲方所在地有管辖权的人民法院提起诉讼。</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本项目选择的具体解决方式见</w:t>
      </w:r>
      <w:r>
        <w:rPr>
          <w:rFonts w:ascii="黑体" w:eastAsia="黑体" w:hAnsi="黑体" w:cs="Times New Roman" w:hint="eastAsia"/>
          <w:b/>
          <w:bCs/>
          <w:szCs w:val="20"/>
        </w:rPr>
        <w:t>合同条款专用部分。</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3、在争议解决期间，除了诉讼进行过程中正在解决的部分问题外，合同其余部分应继续履行。</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二十、合同的补充、修改和变更</w:t>
      </w:r>
    </w:p>
    <w:p w:rsidR="007A0425">
      <w:pPr>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在不背离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7A0425">
      <w:pPr>
        <w:adjustRightInd w:val="0"/>
        <w:snapToGrid w:val="0"/>
        <w:spacing w:line="360" w:lineRule="auto"/>
        <w:ind w:left="420"/>
        <w:rPr>
          <w:rFonts w:ascii="宋体" w:eastAsia="宋体" w:hAnsi="宋体" w:cs="Times New Roman"/>
          <w:szCs w:val="21"/>
        </w:rPr>
      </w:pPr>
      <w:r>
        <w:rPr>
          <w:rFonts w:ascii="宋体" w:eastAsia="宋体" w:hAnsi="宋体" w:cs="Times New Roman" w:hint="eastAsia"/>
          <w:szCs w:val="21"/>
        </w:rPr>
        <w:t>7、任何对合同条件的变更或修改均须双方签订书面的修改书。</w:t>
      </w:r>
    </w:p>
    <w:p w:rsidR="007A0425">
      <w:pPr>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二十一、合同的生效</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本合同经双方法定代表人（负责人）或授权代表签字并加盖单位公章后生效。</w:t>
      </w:r>
    </w:p>
    <w:p w:rsidR="007A0425">
      <w:pPr>
        <w:adjustRightInd w:val="0"/>
        <w:snapToGrid w:val="0"/>
        <w:spacing w:line="360" w:lineRule="auto"/>
        <w:ind w:left="210" w:firstLine="206" w:leftChars="100" w:firstLineChars="98"/>
        <w:outlineLvl w:val="2"/>
        <w:rPr>
          <w:rFonts w:ascii="宋体" w:eastAsia="宋体" w:hAnsi="宋体" w:cs="Times New Roman"/>
          <w:b/>
          <w:szCs w:val="21"/>
        </w:rPr>
      </w:pPr>
      <w:r>
        <w:rPr>
          <w:rFonts w:ascii="宋体" w:eastAsia="宋体" w:hAnsi="宋体" w:cs="Times New Roman" w:hint="eastAsia"/>
          <w:b/>
          <w:szCs w:val="21"/>
        </w:rPr>
        <w:t>二十二、其它约定事项</w:t>
      </w:r>
    </w:p>
    <w:p w:rsidR="007A0425">
      <w:pPr>
        <w:tabs>
          <w:tab w:val="left" w:pos="1573"/>
        </w:tabs>
        <w:adjustRightInd w:val="0"/>
        <w:snapToGrid w:val="0"/>
        <w:spacing w:line="360" w:lineRule="auto"/>
        <w:ind w:left="420" w:leftChars="200"/>
        <w:rPr>
          <w:rFonts w:ascii="宋体" w:eastAsia="宋体" w:hAnsi="宋体" w:cs="Times New Roman"/>
          <w:szCs w:val="21"/>
        </w:rPr>
      </w:pPr>
      <w:r>
        <w:rPr>
          <w:rFonts w:ascii="宋体" w:eastAsia="宋体" w:hAnsi="宋体" w:cs="Times New Roman" w:hint="eastAsia"/>
          <w:szCs w:val="21"/>
        </w:rPr>
        <w:t>1、本合同中的附件均为本合同不可分割的部分，与本合同具有相同的法律效力。</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3、本合同正本一式两份，甲、乙双方各执一份，每份正本具有同等法律效力，副本报财政部备案。</w:t>
      </w:r>
    </w:p>
    <w:p w:rsidR="007A0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4、本合同涉及的招标文件和投标文件，正本由中国气象局政府采购中心保存。</w:t>
      </w:r>
    </w:p>
    <w:p w:rsidR="007A0425">
      <w:pPr>
        <w:tabs>
          <w:tab w:val="left" w:pos="1573"/>
        </w:tabs>
        <w:adjustRightInd w:val="0"/>
        <w:snapToGrid w:val="0"/>
        <w:spacing w:line="360" w:lineRule="auto"/>
        <w:ind w:firstLine="412" w:firstLineChars="196"/>
        <w:jc w:val="left"/>
        <w:rPr>
          <w:rFonts w:ascii="宋体" w:eastAsia="宋体" w:hAnsi="宋体" w:cs="Times New Roman"/>
          <w:szCs w:val="21"/>
        </w:rPr>
      </w:pPr>
    </w:p>
    <w:p w:rsidR="007A0425"/>
    <w:p w:rsidR="00A77B3E"/>
    <w:p>
      <w:pPr>
        <w:spacing w:line="360" w:lineRule="auto"/>
        <w:ind w:firstLine="3066" w:firstLineChars="1460"/>
        <w:jc w:val="left"/>
        <w:rPr>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2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D98243E"/>
    <w:multiLevelType w:val="multilevel"/>
    <w:tmpl w:val="0D98243E"/>
    <w:lvl w:ilvl="0">
      <w:start w:val="3"/>
      <w:numFmt w:val="decimal"/>
      <w:lvlText w:val="%1"/>
      <w:lvlJc w:val="left"/>
      <w:pPr>
        <w:ind w:left="642" w:hanging="423"/>
      </w:pPr>
      <w:rPr>
        <w:rFonts w:hint="default"/>
        <w:lang w:val="en-US" w:eastAsia="zh-CN" w:bidi="ar-SA"/>
      </w:rPr>
    </w:lvl>
    <w:lvl w:ilvl="1">
      <w:start w:val="1"/>
      <w:numFmt w:val="decimal"/>
      <w:lvlText w:val="%1.%2"/>
      <w:lvlJc w:val="left"/>
      <w:pPr>
        <w:ind w:left="642" w:hanging="423"/>
      </w:pPr>
      <w:rPr>
        <w:rFonts w:ascii="宋体" w:eastAsia="宋体" w:hAnsi="宋体" w:cs="宋体" w:hint="default"/>
        <w:b/>
        <w:bCs/>
        <w:spacing w:val="0"/>
        <w:w w:val="95"/>
        <w:sz w:val="21"/>
        <w:szCs w:val="21"/>
        <w:lang w:val="en-US" w:eastAsia="zh-CN" w:bidi="ar-SA"/>
      </w:rPr>
    </w:lvl>
    <w:lvl w:ilvl="2">
      <w:start w:val="1"/>
      <w:numFmt w:val="decimal"/>
      <w:lvlText w:val="%1.%2.%3"/>
      <w:lvlJc w:val="left"/>
      <w:pPr>
        <w:ind w:left="930" w:hanging="711"/>
      </w:pPr>
      <w:rPr>
        <w:rFonts w:ascii="宋体" w:eastAsia="宋体" w:hAnsi="宋体" w:cs="宋体" w:hint="default"/>
        <w:b/>
        <w:bCs/>
        <w:spacing w:val="0"/>
        <w:w w:val="95"/>
        <w:sz w:val="21"/>
        <w:szCs w:val="21"/>
        <w:lang w:val="en-US" w:eastAsia="zh-CN" w:bidi="ar-SA"/>
      </w:rPr>
    </w:lvl>
    <w:lvl w:ilvl="3">
      <w:start w:val="0"/>
      <w:numFmt w:val="bullet"/>
      <w:lvlText w:val=""/>
      <w:lvlJc w:val="left"/>
      <w:pPr>
        <w:ind w:left="1060" w:hanging="408"/>
      </w:pPr>
      <w:rPr>
        <w:rFonts w:ascii="Wingdings" w:eastAsia="Wingdings" w:hAnsi="Wingdings" w:cs="Wingdings" w:hint="default"/>
        <w:w w:val="100"/>
        <w:sz w:val="21"/>
        <w:szCs w:val="21"/>
        <w:lang w:val="en-US" w:eastAsia="zh-CN" w:bidi="ar-SA"/>
      </w:rPr>
    </w:lvl>
    <w:lvl w:ilvl="4">
      <w:start w:val="0"/>
      <w:numFmt w:val="bullet"/>
      <w:lvlText w:val="•"/>
      <w:lvlJc w:val="left"/>
      <w:pPr>
        <w:ind w:left="3191" w:hanging="408"/>
      </w:pPr>
      <w:rPr>
        <w:rFonts w:hint="default"/>
        <w:lang w:val="en-US" w:eastAsia="zh-CN" w:bidi="ar-SA"/>
      </w:rPr>
    </w:lvl>
    <w:lvl w:ilvl="5">
      <w:start w:val="0"/>
      <w:numFmt w:val="bullet"/>
      <w:lvlText w:val="•"/>
      <w:lvlJc w:val="left"/>
      <w:pPr>
        <w:ind w:left="4256" w:hanging="408"/>
      </w:pPr>
      <w:rPr>
        <w:rFonts w:hint="default"/>
        <w:lang w:val="en-US" w:eastAsia="zh-CN" w:bidi="ar-SA"/>
      </w:rPr>
    </w:lvl>
    <w:lvl w:ilvl="6">
      <w:start w:val="0"/>
      <w:numFmt w:val="bullet"/>
      <w:lvlText w:val="•"/>
      <w:lvlJc w:val="left"/>
      <w:pPr>
        <w:ind w:left="5322" w:hanging="408"/>
      </w:pPr>
      <w:rPr>
        <w:rFonts w:hint="default"/>
        <w:lang w:val="en-US" w:eastAsia="zh-CN" w:bidi="ar-SA"/>
      </w:rPr>
    </w:lvl>
    <w:lvl w:ilvl="7">
      <w:start w:val="0"/>
      <w:numFmt w:val="bullet"/>
      <w:lvlText w:val="•"/>
      <w:lvlJc w:val="left"/>
      <w:pPr>
        <w:ind w:left="6387" w:hanging="408"/>
      </w:pPr>
      <w:rPr>
        <w:rFonts w:hint="default"/>
        <w:lang w:val="en-US" w:eastAsia="zh-CN" w:bidi="ar-SA"/>
      </w:rPr>
    </w:lvl>
    <w:lvl w:ilvl="8">
      <w:start w:val="0"/>
      <w:numFmt w:val="bullet"/>
      <w:lvlText w:val="•"/>
      <w:lvlJc w:val="left"/>
      <w:pPr>
        <w:ind w:left="7453" w:hanging="408"/>
      </w:pPr>
      <w:rPr>
        <w:rFonts w:hint="default"/>
        <w:lang w:val="en-US" w:eastAsia="zh-CN" w:bidi="ar-SA"/>
      </w:rPr>
    </w:lvl>
  </w:abstractNum>
  <w:abstractNum w:abstractNumId="6">
    <w:nsid w:val="1F397EB3"/>
    <w:multiLevelType w:val="multilevel"/>
    <w:tmpl w:val="1F397EB3"/>
    <w:lvl w:ilvl="0">
      <w:start w:val="1"/>
      <w:numFmt w:val="decimal"/>
      <w:lvlText w:val="%1."/>
      <w:lvlJc w:val="left"/>
      <w:pPr>
        <w:ind w:left="838" w:hanging="420"/>
      </w:pPr>
    </w:lvl>
    <w:lvl w:ilvl="1">
      <w:start w:val="1"/>
      <w:numFmt w:val="decimal"/>
      <w:isLgl/>
      <w:lvlText w:val="%1.%2"/>
      <w:lvlJc w:val="left"/>
      <w:pPr>
        <w:ind w:left="1158" w:hanging="740"/>
      </w:pPr>
      <w:rPr>
        <w:rFonts w:hint="default"/>
      </w:rPr>
    </w:lvl>
    <w:lvl w:ilvl="2">
      <w:start w:val="2"/>
      <w:numFmt w:val="decimal"/>
      <w:isLgl/>
      <w:lvlText w:val="%1.%2.%3"/>
      <w:lvlJc w:val="left"/>
      <w:pPr>
        <w:ind w:left="1158" w:hanging="740"/>
      </w:pPr>
      <w:rPr>
        <w:rFonts w:hint="default"/>
      </w:rPr>
    </w:lvl>
    <w:lvl w:ilvl="3">
      <w:start w:val="1"/>
      <w:numFmt w:val="decimal"/>
      <w:isLgl/>
      <w:lvlText w:val="%1.%2.%3.%4"/>
      <w:lvlJc w:val="left"/>
      <w:pPr>
        <w:ind w:left="1158" w:hanging="740"/>
      </w:pPr>
      <w:rPr>
        <w:rFonts w:hint="default"/>
      </w:rPr>
    </w:lvl>
    <w:lvl w:ilvl="4">
      <w:start w:val="1"/>
      <w:numFmt w:val="decimal"/>
      <w:isLgl/>
      <w:lvlText w:val="%1.%2.%3.%4.%5"/>
      <w:lvlJc w:val="left"/>
      <w:pPr>
        <w:ind w:left="1498" w:hanging="1080"/>
      </w:pPr>
      <w:rPr>
        <w:rFonts w:hint="default"/>
      </w:rPr>
    </w:lvl>
    <w:lvl w:ilvl="5">
      <w:start w:val="1"/>
      <w:numFmt w:val="decimal"/>
      <w:isLgl/>
      <w:lvlText w:val="%1.%2.%3.%4.%5.%6"/>
      <w:lvlJc w:val="left"/>
      <w:pPr>
        <w:ind w:left="1858" w:hanging="1440"/>
      </w:pPr>
      <w:rPr>
        <w:rFonts w:hint="default"/>
      </w:rPr>
    </w:lvl>
    <w:lvl w:ilvl="6">
      <w:start w:val="1"/>
      <w:numFmt w:val="decimal"/>
      <w:isLgl/>
      <w:lvlText w:val="%1.%2.%3.%4.%5.%6.%7"/>
      <w:lvlJc w:val="left"/>
      <w:pPr>
        <w:ind w:left="1858" w:hanging="1440"/>
      </w:pPr>
      <w:rPr>
        <w:rFonts w:hint="default"/>
      </w:rPr>
    </w:lvl>
    <w:lvl w:ilvl="7">
      <w:start w:val="1"/>
      <w:numFmt w:val="decimal"/>
      <w:isLgl/>
      <w:lvlText w:val="%1.%2.%3.%4.%5.%6.%7.%8"/>
      <w:lvlJc w:val="left"/>
      <w:pPr>
        <w:ind w:left="2218" w:hanging="1800"/>
      </w:pPr>
      <w:rPr>
        <w:rFonts w:hint="default"/>
      </w:rPr>
    </w:lvl>
    <w:lvl w:ilvl="8">
      <w:start w:val="1"/>
      <w:numFmt w:val="decimal"/>
      <w:isLgl/>
      <w:lvlText w:val="%1.%2.%3.%4.%5.%6.%7.%8.%9"/>
      <w:lvlJc w:val="left"/>
      <w:pPr>
        <w:ind w:left="2218" w:hanging="1800"/>
      </w:pPr>
      <w:rPr>
        <w:rFonts w:hint="default"/>
      </w:rPr>
    </w:lvl>
  </w:abstractNum>
  <w:abstractNum w:abstractNumId="7">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7171A6A"/>
    <w:multiLevelType w:val="multilevel"/>
    <w:tmpl w:val="37171A6A"/>
    <w:lvl w:ilvl="0">
      <w:start w:val="5"/>
      <w:numFmt w:val="decimal"/>
      <w:lvlText w:val="%1"/>
      <w:lvlJc w:val="left"/>
      <w:pPr>
        <w:ind w:left="360" w:hanging="360"/>
      </w:pPr>
      <w:rPr>
        <w:rFonts w:hint="default"/>
      </w:rPr>
    </w:lvl>
    <w:lvl w:ilvl="1">
      <w:start w:val="1"/>
      <w:numFmt w:val="decimal"/>
      <w:lvlText w:val="%1.%2"/>
      <w:lvlJc w:val="left"/>
      <w:pPr>
        <w:ind w:left="1362" w:hanging="360"/>
      </w:pPr>
      <w:rPr>
        <w:rFonts w:hint="default"/>
      </w:rPr>
    </w:lvl>
    <w:lvl w:ilvl="2">
      <w:start w:val="1"/>
      <w:numFmt w:val="decimal"/>
      <w:lvlText w:val="%1.%2.%3"/>
      <w:lvlJc w:val="left"/>
      <w:pPr>
        <w:ind w:left="2724" w:hanging="720"/>
      </w:pPr>
      <w:rPr>
        <w:rFonts w:hint="default"/>
      </w:rPr>
    </w:lvl>
    <w:lvl w:ilvl="3">
      <w:start w:val="1"/>
      <w:numFmt w:val="decimal"/>
      <w:lvlText w:val="%1.%2.%3.%4"/>
      <w:lvlJc w:val="left"/>
      <w:pPr>
        <w:ind w:left="4086" w:hanging="1080"/>
      </w:pPr>
      <w:rPr>
        <w:rFonts w:hint="default"/>
      </w:rPr>
    </w:lvl>
    <w:lvl w:ilvl="4">
      <w:start w:val="1"/>
      <w:numFmt w:val="decimal"/>
      <w:lvlText w:val="%1.%2.%3.%4.%5"/>
      <w:lvlJc w:val="left"/>
      <w:pPr>
        <w:ind w:left="5088" w:hanging="1080"/>
      </w:pPr>
      <w:rPr>
        <w:rFonts w:hint="default"/>
      </w:rPr>
    </w:lvl>
    <w:lvl w:ilvl="5">
      <w:start w:val="1"/>
      <w:numFmt w:val="decimal"/>
      <w:lvlText w:val="%1.%2.%3.%4.%5.%6"/>
      <w:lvlJc w:val="left"/>
      <w:pPr>
        <w:ind w:left="6450" w:hanging="1440"/>
      </w:pPr>
      <w:rPr>
        <w:rFonts w:hint="default"/>
      </w:rPr>
    </w:lvl>
    <w:lvl w:ilvl="6">
      <w:start w:val="1"/>
      <w:numFmt w:val="decimal"/>
      <w:lvlText w:val="%1.%2.%3.%4.%5.%6.%7"/>
      <w:lvlJc w:val="left"/>
      <w:pPr>
        <w:ind w:left="7452" w:hanging="1440"/>
      </w:pPr>
      <w:rPr>
        <w:rFonts w:hint="default"/>
      </w:rPr>
    </w:lvl>
    <w:lvl w:ilvl="7">
      <w:start w:val="1"/>
      <w:numFmt w:val="decimal"/>
      <w:lvlText w:val="%1.%2.%3.%4.%5.%6.%7.%8"/>
      <w:lvlJc w:val="left"/>
      <w:pPr>
        <w:ind w:left="8814" w:hanging="1800"/>
      </w:pPr>
      <w:rPr>
        <w:rFonts w:hint="default"/>
      </w:rPr>
    </w:lvl>
    <w:lvl w:ilvl="8">
      <w:start w:val="1"/>
      <w:numFmt w:val="decimal"/>
      <w:lvlText w:val="%1.%2.%3.%4.%5.%6.%7.%8.%9"/>
      <w:lvlJc w:val="left"/>
      <w:pPr>
        <w:ind w:left="9816" w:hanging="1800"/>
      </w:pPr>
      <w:rPr>
        <w:rFonts w:hint="default"/>
      </w:rPr>
    </w:lvl>
  </w:abstractNum>
  <w:abstractNum w:abstractNumId="10">
    <w:nsid w:val="4F7B6027"/>
    <w:multiLevelType w:val="multilevel"/>
    <w:tmpl w:val="4F7B6027"/>
    <w:lvl w:ilvl="0">
      <w:start w:val="4"/>
      <w:numFmt w:val="decimal"/>
      <w:lvlText w:val="%1"/>
      <w:lvlJc w:val="left"/>
      <w:pPr>
        <w:ind w:left="360" w:hanging="360"/>
      </w:pPr>
      <w:rPr>
        <w:rFonts w:hint="default"/>
      </w:rPr>
    </w:lvl>
    <w:lvl w:ilvl="1">
      <w:start w:val="1"/>
      <w:numFmt w:val="decimal"/>
      <w:lvlText w:val="%1.%2"/>
      <w:lvlJc w:val="left"/>
      <w:pPr>
        <w:ind w:left="1002" w:hanging="36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3006" w:hanging="108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650" w:hanging="144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6294" w:hanging="1800"/>
      </w:pPr>
      <w:rPr>
        <w:rFonts w:hint="default"/>
      </w:rPr>
    </w:lvl>
    <w:lvl w:ilvl="8">
      <w:start w:val="1"/>
      <w:numFmt w:val="decimal"/>
      <w:lvlText w:val="%1.%2.%3.%4.%5.%6.%7.%8.%9"/>
      <w:lvlJc w:val="left"/>
      <w:pPr>
        <w:ind w:left="6936" w:hanging="1800"/>
      </w:pPr>
      <w:rPr>
        <w:rFonts w:hint="default"/>
      </w:rPr>
    </w:lvl>
  </w:abstractNum>
  <w:abstractNum w:abstractNumId="11">
    <w:nsid w:val="68460D14"/>
    <w:multiLevelType w:val="multilevel"/>
    <w:tmpl w:val="68460D14"/>
    <w:lvl w:ilvl="0">
      <w:start w:val="0"/>
      <w:numFmt w:val="bullet"/>
      <w:lvlText w:val=""/>
      <w:lvlJc w:val="left"/>
      <w:pPr>
        <w:ind w:left="1060" w:hanging="408"/>
      </w:pPr>
      <w:rPr>
        <w:rFonts w:ascii="Wingdings" w:eastAsia="Wingdings" w:hAnsi="Wingdings" w:cs="Wingdings" w:hint="default"/>
        <w:w w:val="100"/>
        <w:sz w:val="21"/>
        <w:szCs w:val="21"/>
        <w:lang w:val="en-US" w:eastAsia="zh-CN" w:bidi="ar-SA"/>
      </w:rPr>
    </w:lvl>
    <w:lvl w:ilvl="1">
      <w:start w:val="0"/>
      <w:numFmt w:val="bullet"/>
      <w:lvlText w:val="•"/>
      <w:lvlJc w:val="left"/>
      <w:pPr>
        <w:ind w:left="1912" w:hanging="408"/>
      </w:pPr>
      <w:rPr>
        <w:rFonts w:hint="default"/>
        <w:lang w:val="en-US" w:eastAsia="zh-CN" w:bidi="ar-SA"/>
      </w:rPr>
    </w:lvl>
    <w:lvl w:ilvl="2">
      <w:start w:val="0"/>
      <w:numFmt w:val="bullet"/>
      <w:lvlText w:val="•"/>
      <w:lvlJc w:val="left"/>
      <w:pPr>
        <w:ind w:left="2764" w:hanging="408"/>
      </w:pPr>
      <w:rPr>
        <w:rFonts w:hint="default"/>
        <w:lang w:val="en-US" w:eastAsia="zh-CN" w:bidi="ar-SA"/>
      </w:rPr>
    </w:lvl>
    <w:lvl w:ilvl="3">
      <w:start w:val="0"/>
      <w:numFmt w:val="bullet"/>
      <w:lvlText w:val="•"/>
      <w:lvlJc w:val="left"/>
      <w:pPr>
        <w:ind w:left="3617" w:hanging="408"/>
      </w:pPr>
      <w:rPr>
        <w:rFonts w:hint="default"/>
        <w:lang w:val="en-US" w:eastAsia="zh-CN" w:bidi="ar-SA"/>
      </w:rPr>
    </w:lvl>
    <w:lvl w:ilvl="4">
      <w:start w:val="0"/>
      <w:numFmt w:val="bullet"/>
      <w:lvlText w:val="•"/>
      <w:lvlJc w:val="left"/>
      <w:pPr>
        <w:ind w:left="4469" w:hanging="408"/>
      </w:pPr>
      <w:rPr>
        <w:rFonts w:hint="default"/>
        <w:lang w:val="en-US" w:eastAsia="zh-CN" w:bidi="ar-SA"/>
      </w:rPr>
    </w:lvl>
    <w:lvl w:ilvl="5">
      <w:start w:val="0"/>
      <w:numFmt w:val="bullet"/>
      <w:lvlText w:val="•"/>
      <w:lvlJc w:val="left"/>
      <w:pPr>
        <w:ind w:left="5322" w:hanging="408"/>
      </w:pPr>
      <w:rPr>
        <w:rFonts w:hint="default"/>
        <w:lang w:val="en-US" w:eastAsia="zh-CN" w:bidi="ar-SA"/>
      </w:rPr>
    </w:lvl>
    <w:lvl w:ilvl="6">
      <w:start w:val="0"/>
      <w:numFmt w:val="bullet"/>
      <w:lvlText w:val="•"/>
      <w:lvlJc w:val="left"/>
      <w:pPr>
        <w:ind w:left="6174" w:hanging="408"/>
      </w:pPr>
      <w:rPr>
        <w:rFonts w:hint="default"/>
        <w:lang w:val="en-US" w:eastAsia="zh-CN" w:bidi="ar-SA"/>
      </w:rPr>
    </w:lvl>
    <w:lvl w:ilvl="7">
      <w:start w:val="0"/>
      <w:numFmt w:val="bullet"/>
      <w:lvlText w:val="•"/>
      <w:lvlJc w:val="left"/>
      <w:pPr>
        <w:ind w:left="7026" w:hanging="408"/>
      </w:pPr>
      <w:rPr>
        <w:rFonts w:hint="default"/>
        <w:lang w:val="en-US" w:eastAsia="zh-CN" w:bidi="ar-SA"/>
      </w:rPr>
    </w:lvl>
    <w:lvl w:ilvl="8">
      <w:start w:val="0"/>
      <w:numFmt w:val="bullet"/>
      <w:lvlText w:val="•"/>
      <w:lvlJc w:val="left"/>
      <w:pPr>
        <w:ind w:left="7879" w:hanging="408"/>
      </w:pPr>
      <w:rPr>
        <w:rFonts w:hint="default"/>
        <w:lang w:val="en-US" w:eastAsia="zh-CN" w:bidi="ar-SA"/>
      </w:rPr>
    </w:lvl>
  </w:abstractNum>
  <w:num w:numId="1">
    <w:abstractNumId w:val="3"/>
  </w:num>
  <w:num w:numId="2">
    <w:abstractNumId w:val="2"/>
  </w:num>
  <w:num w:numId="3">
    <w:abstractNumId w:val="4"/>
  </w:num>
  <w:num w:numId="4">
    <w:abstractNumId w:val="6"/>
  </w:num>
  <w:num w:numId="5">
    <w:abstractNumId w:val="5"/>
  </w:num>
  <w:num w:numId="6">
    <w:abstractNumId w:val="11"/>
  </w:num>
  <w:num w:numId="7">
    <w:abstractNumId w:val="10"/>
  </w:num>
  <w:num w:numId="8">
    <w:abstractNumId w:val="9"/>
  </w:num>
  <w:num w:numId="9">
    <w:abstractNumId w:val="1"/>
  </w:num>
  <w:num w:numId="10">
    <w:abstractNumId w:val="0"/>
  </w:num>
  <w:num w:numId="11">
    <w:abstractNumId w:val="7"/>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5"/>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7FC"/>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556A"/>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6D51"/>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78451F1"/>
    <w:rsid w:val="08C230B8"/>
    <w:rsid w:val="0E576F53"/>
    <w:rsid w:val="125B2CFC"/>
    <w:rsid w:val="13405E2E"/>
    <w:rsid w:val="2F605368"/>
    <w:rsid w:val="31FD4B93"/>
    <w:rsid w:val="3FCA68B7"/>
    <w:rsid w:val="45196B36"/>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1"/>
    <w:uiPriority w:val="9"/>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autoSpaceDE w:val="0"/>
      <w:autoSpaceDN w:val="0"/>
      <w:ind w:firstLine="420" w:firstLineChars="200"/>
      <w:jc w:val="left"/>
    </w:pPr>
    <w:rPr>
      <w:rFonts w:ascii="宋体" w:hAnsi="宋体" w:cs="宋体"/>
      <w:sz w:val="22"/>
      <w:szCs w:val="22"/>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TableParagraph">
    <w:name w:val="Table Paragraph"/>
    <w:basedOn w:val="Normal"/>
    <w:uiPriority w:val="1"/>
    <w:qFormat/>
    <w:pPr>
      <w:autoSpaceDE w:val="0"/>
      <w:autoSpaceDN w:val="0"/>
      <w:jc w:val="left"/>
    </w:pPr>
    <w:rPr>
      <w:rFonts w:ascii="宋体" w:hAnsi="宋体" w:cs="宋体"/>
      <w:kern w:val="0"/>
      <w:sz w:val="22"/>
      <w:szCs w:val="22"/>
    </w:rPr>
  </w:style>
  <w:style w:type="table" w:styleId="TableGrid">
    <w:name w:val="Table Grid"/>
    <w:basedOn w:val="TableNormal"/>
    <w:qFormat/>
    <w:rPr>
      <w:rFonts w:ascii="Calibri" w:hAnsi="Calibri" w:eastAsiaTheme="minorEastAsia"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
    <w:name w:val="标题 5 字符1"/>
    <w:link w:val="Heading5"/>
    <w:uiPriority w:val="9"/>
    <w:rPr>
      <w:b/>
      <w:bCs/>
      <w:kern w:val="2"/>
      <w:sz w:val="28"/>
      <w:szCs w:val="28"/>
      <w:lang w:eastAsia="zh-CN"/>
    </w:rPr>
  </w:style>
  <w:style w:type="paragraph" w:customStyle="1" w:styleId="13">
    <w:name w:val="1小标"/>
    <w:basedOn w:val="Normal"/>
    <w:next w:val="ListParagraph"/>
    <w:link w:val="Date"/>
    <w:uiPriority w:val="34"/>
    <w:qFormat/>
    <w:pPr>
      <w:widowControl w:val="0"/>
      <w:autoSpaceDE w:val="0"/>
      <w:autoSpaceDN w:val="0"/>
      <w:ind w:firstLine="420" w:firstLineChars="200"/>
    </w:pPr>
    <w:rPr>
      <w:rFonts w:ascii="宋体" w:eastAsia="宋体" w:hAnsi="宋体" w:cs="宋体"/>
      <w:kern w:val="2"/>
      <w:sz w:val="22"/>
      <w:szCs w:val="2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157263360</TotalTime>
  <Pages>38</Pages>
  <Words>26681</Words>
  <Characters>28214</Characters>
  <Application>Microsoft Office Word</Application>
  <DocSecurity>0</DocSecurity>
  <Lines>216</Lines>
  <Paragraphs>61</Paragraphs>
  <ScaleCrop>false</ScaleCrop>
  <Company>中国气象局</Company>
  <LinksUpToDate>false</LinksUpToDate>
  <CharactersWithSpaces>28397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2025-08-12T01:56:21Z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