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支撑短临业务的数据服务软件及组件化开发环境建设项目- 支撑短临业务的数据服务能力建设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ZQCD-26105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left="210" w:firstLine="210" w:leftChars="100" w:firstLineChars="1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left"/>
        <w:outlineLvl w:val="1"/>
        <w:rPr>
          <w:rFonts w:ascii="宋体" w:hAnsi="宋体" w:hint="eastAsia"/>
        </w:rPr>
      </w:pP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1.3.10</w:t>
            </w:r>
          </w:p>
        </w:tc>
        <w:tc>
          <w:tcPr>
            <w:tcW w:w="7723" w:type="dxa"/>
            <w:vAlign w:val="center"/>
          </w:tcPr>
          <w:p>
            <w:pPr>
              <w:pStyle w:val="10"/>
              <w:numPr>
                <w:ilvl w:val="0"/>
                <w:numId w:val="0"/>
              </w:numPr>
              <w:tabs>
                <w:tab w:val="left" w:pos="34"/>
                <w:tab w:val="clear" w:pos="709"/>
                <w:tab w:val="left" w:pos="1573"/>
              </w:tabs>
              <w:adjustRightInd w:val="0"/>
              <w:snapToGrid w:val="0"/>
              <w:spacing w:line="360" w:lineRule="auto"/>
              <w:ind w:left="34" w:leftChars="16"/>
              <w:rPr>
                <w:rFonts w:hint="eastAsia"/>
                <w:bCs/>
                <w:sz w:val="18"/>
                <w:szCs w:val="18"/>
              </w:rPr>
            </w:pPr>
            <w:r>
              <w:rPr>
                <w:rFonts w:hint="eastAsia"/>
                <w:sz w:val="18"/>
                <w:szCs w:val="18"/>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rPr>
              <w:t>拒绝</w:t>
            </w:r>
            <w:r>
              <w:rPr>
                <w:rFonts w:hint="eastAsia"/>
                <w:bCs/>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rPr>
              <w:t>仅接受该</w:t>
            </w:r>
            <w:r>
              <w:rPr>
                <w:rFonts w:ascii="宋体" w:hAnsi="宋体" w:hint="eastAsia"/>
                <w:sz w:val="18"/>
                <w:szCs w:val="18"/>
              </w:rPr>
              <w:t>投标人</w:t>
            </w:r>
            <w:r>
              <w:rPr>
                <w:rFonts w:ascii="宋体" w:hAnsi="宋体"/>
                <w:sz w:val="18"/>
                <w:szCs w:val="18"/>
              </w:rPr>
              <w:t>的投标，</w:t>
            </w:r>
            <w:r>
              <w:rPr>
                <w:rFonts w:ascii="宋体" w:hAnsi="宋体" w:hint="eastAsia"/>
                <w:sz w:val="18"/>
                <w:szCs w:val="18"/>
              </w:rPr>
              <w:t>被</w:t>
            </w:r>
            <w:r>
              <w:rPr>
                <w:rFonts w:ascii="宋体" w:hAnsi="宋体"/>
                <w:sz w:val="18"/>
                <w:szCs w:val="18"/>
              </w:rPr>
              <w:t>授权</w:t>
            </w:r>
            <w:r>
              <w:rPr>
                <w:rFonts w:ascii="宋体" w:hAnsi="宋体" w:hint="eastAsia"/>
                <w:sz w:val="18"/>
                <w:szCs w:val="18"/>
              </w:rPr>
              <w:t>人的</w:t>
            </w:r>
            <w:r>
              <w:rPr>
                <w:rFonts w:ascii="宋体" w:hAnsi="宋体"/>
                <w:sz w:val="18"/>
                <w:szCs w:val="18"/>
              </w:rPr>
              <w:t>投标将被</w:t>
            </w:r>
            <w:r>
              <w:rPr>
                <w:rFonts w:ascii="宋体" w:hAnsi="宋体"/>
                <w:b/>
                <w:sz w:val="18"/>
                <w:szCs w:val="18"/>
              </w:rPr>
              <w:t>拒绝</w:t>
            </w:r>
            <w:r>
              <w:rPr>
                <w:rFonts w:ascii="宋体" w:hAnsi="宋体" w:hint="eastAsia"/>
                <w:sz w:val="18"/>
                <w:szCs w:val="18"/>
              </w:rPr>
              <w:t>。（2）除</w:t>
            </w:r>
            <w:r>
              <w:rPr>
                <w:rFonts w:ascii="宋体" w:hAnsi="宋体" w:hint="eastAsia"/>
                <w:b/>
                <w:bCs/>
                <w:sz w:val="18"/>
                <w:szCs w:val="18"/>
              </w:rPr>
              <w:t>第五章投标人须知专用部分</w:t>
            </w:r>
            <w:r>
              <w:rPr>
                <w:rFonts w:ascii="宋体" w:hAnsi="宋体" w:hint="eastAsia"/>
                <w:bCs/>
                <w:sz w:val="18"/>
                <w:szCs w:val="18"/>
              </w:rPr>
              <w:t>另有约定外，拥有第三方软件著作权的所有</w:t>
            </w:r>
            <w:r>
              <w:rPr>
                <w:rFonts w:ascii="宋体" w:hAnsi="宋体" w:hint="eastAsia"/>
                <w:sz w:val="18"/>
                <w:szCs w:val="18"/>
              </w:rPr>
              <w:t>第三方，只能授权同一个投标人在开发本项目招标的软件时，对该第三方软件进行移植、修改、再开发，否则被授权的所有投标人的投标将全部被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1.3.12</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1.3.13</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本项目如不需要驻场服务，则投标人应符合以下条件，否则投标将被</w:t>
            </w:r>
            <w:r>
              <w:rPr>
                <w:rFonts w:ascii="宋体" w:hAnsi="宋体" w:hint="eastAsia"/>
                <w:b/>
                <w:sz w:val="18"/>
                <w:szCs w:val="18"/>
              </w:rPr>
              <w:t>拒绝</w:t>
            </w:r>
            <w:r>
              <w:rPr>
                <w:rFonts w:ascii="宋体" w:hAnsi="宋体" w:hint="eastAsia"/>
                <w:sz w:val="18"/>
                <w:szCs w:val="18"/>
              </w:rPr>
              <w:t>：</w:t>
            </w:r>
            <w:r>
              <w:rPr>
                <w:rFonts w:ascii="宋体" w:hAnsi="宋体" w:hint="eastAsia"/>
                <w:sz w:val="18"/>
                <w:szCs w:val="18"/>
              </w:rPr>
              <w:t>①</w:t>
            </w:r>
            <w:r>
              <w:rPr>
                <w:rFonts w:ascii="宋体" w:hAnsi="宋体" w:hint="eastAsia"/>
                <w:sz w:val="18"/>
                <w:szCs w:val="18"/>
              </w:rPr>
              <w:t>用于本项目的设施、系统和数据与其他项目有明确、清晰的边界；</w:t>
            </w:r>
            <w:r>
              <w:rPr>
                <w:rFonts w:ascii="宋体" w:hAnsi="宋体" w:hint="eastAsia"/>
                <w:sz w:val="18"/>
                <w:szCs w:val="18"/>
              </w:rPr>
              <w:t>②</w:t>
            </w:r>
            <w:r>
              <w:rPr>
                <w:rFonts w:ascii="宋体" w:hAnsi="宋体" w:hint="eastAsia"/>
                <w:sz w:val="18"/>
                <w:szCs w:val="18"/>
              </w:rPr>
              <w:t>用于本项目的服务器</w:t>
            </w:r>
            <w:r>
              <w:rPr>
                <w:rFonts w:ascii="宋体" w:hAnsi="宋体" w:hint="eastAsia"/>
                <w:spacing w:val="-34"/>
                <w:sz w:val="18"/>
                <w:szCs w:val="18"/>
              </w:rPr>
              <w:t>、</w:t>
            </w:r>
            <w:r>
              <w:rPr>
                <w:rFonts w:ascii="宋体" w:hAnsi="宋体" w:hint="eastAsia"/>
                <w:sz w:val="18"/>
                <w:szCs w:val="18"/>
              </w:rPr>
              <w:t>存储</w:t>
            </w:r>
            <w:r>
              <w:rPr>
                <w:rFonts w:ascii="宋体" w:hAnsi="宋体" w:hint="eastAsia"/>
                <w:spacing w:val="-34"/>
                <w:sz w:val="18"/>
                <w:szCs w:val="18"/>
              </w:rPr>
              <w:t>、</w:t>
            </w:r>
            <w:r>
              <w:rPr>
                <w:rFonts w:ascii="宋体" w:hAnsi="宋体" w:hint="eastAsia"/>
                <w:sz w:val="18"/>
                <w:szCs w:val="18"/>
              </w:rPr>
              <w:t>网络设备、操作系统</w:t>
            </w:r>
            <w:r>
              <w:rPr>
                <w:rFonts w:ascii="宋体" w:hAnsi="宋体" w:hint="eastAsia"/>
                <w:spacing w:val="-20"/>
                <w:sz w:val="18"/>
                <w:szCs w:val="18"/>
              </w:rPr>
              <w:t>、</w:t>
            </w:r>
            <w:r>
              <w:rPr>
                <w:rFonts w:ascii="宋体" w:hAnsi="宋体" w:hint="eastAsia"/>
                <w:sz w:val="18"/>
                <w:szCs w:val="18"/>
              </w:rPr>
              <w:t>数据库</w:t>
            </w:r>
            <w:r>
              <w:rPr>
                <w:rFonts w:ascii="宋体" w:hAnsi="宋体" w:hint="eastAsia"/>
                <w:spacing w:val="-20"/>
                <w:sz w:val="18"/>
                <w:szCs w:val="18"/>
              </w:rPr>
              <w:t>、</w:t>
            </w:r>
            <w:r>
              <w:rPr>
                <w:rFonts w:ascii="宋体" w:hAnsi="宋体" w:hint="eastAsia"/>
                <w:sz w:val="18"/>
                <w:szCs w:val="18"/>
              </w:rPr>
              <w:t>中间件等软</w:t>
            </w:r>
            <w:r>
              <w:rPr>
                <w:rFonts w:ascii="宋体" w:hAnsi="宋体" w:hint="eastAsia"/>
                <w:spacing w:val="-20"/>
                <w:sz w:val="18"/>
                <w:szCs w:val="18"/>
              </w:rPr>
              <w:t>、</w:t>
            </w:r>
            <w:r>
              <w:rPr>
                <w:rFonts w:ascii="宋体" w:hAnsi="宋体" w:hint="eastAsia"/>
                <w:sz w:val="18"/>
                <w:szCs w:val="18"/>
              </w:rPr>
              <w:t>硬件设施具有最高管理权限；</w:t>
            </w:r>
            <w:r>
              <w:rPr>
                <w:rFonts w:ascii="宋体" w:hAnsi="宋体" w:hint="eastAsia"/>
                <w:sz w:val="18"/>
                <w:szCs w:val="18"/>
              </w:rPr>
              <w:t>③</w:t>
            </w:r>
            <w:r>
              <w:rPr>
                <w:rFonts w:ascii="宋体" w:hAnsi="宋体" w:hint="eastAsia"/>
                <w:sz w:val="18"/>
                <w:szCs w:val="18"/>
              </w:rPr>
              <w:t>具有防止数据泄露的管理和技术措施；</w:t>
            </w:r>
            <w:r>
              <w:rPr>
                <w:rFonts w:ascii="宋体" w:hAnsi="宋体" w:hint="eastAsia"/>
                <w:sz w:val="18"/>
                <w:szCs w:val="18"/>
              </w:rPr>
              <w:t>④</w:t>
            </w:r>
            <w:r>
              <w:rPr>
                <w:rFonts w:ascii="宋体" w:hAnsi="宋体" w:hint="eastAsia"/>
                <w:sz w:val="18"/>
                <w:szCs w:val="18"/>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第五章投标人须知专用部分5.7条</w:t>
            </w:r>
            <w:r>
              <w:rPr>
                <w:rFonts w:hint="eastAsia"/>
                <w:sz w:val="18"/>
                <w:szCs w:val="18"/>
              </w:rPr>
              <w:t>有关代理商投标要求，以及进口产品代理商未按</w:t>
            </w:r>
            <w:r>
              <w:rPr>
                <w:rFonts w:hint="eastAsia"/>
                <w:b/>
                <w:sz w:val="18"/>
                <w:szCs w:val="18"/>
              </w:rPr>
              <w:t>第五章投标人须知专用部分5.8条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rPr>
            </w:pPr>
            <w:r>
              <w:rPr>
                <w:rFonts w:ascii="宋体" w:hAnsi="宋体" w:hint="eastAsia"/>
                <w:sz w:val="18"/>
                <w:szCs w:val="18"/>
              </w:rPr>
              <w:t>投标人未提交全以下商务文件（特别说明除外）：（1）法定代表人身份证明或授权委托书；（2）投标函；（3）资格、资信证明文件：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ascii="宋体" w:hAnsi="宋体"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ascii="宋体" w:hAnsi="宋体" w:hint="eastAsia"/>
                <w:sz w:val="18"/>
                <w:szCs w:val="18"/>
              </w:rPr>
              <w:t>④</w:t>
            </w:r>
            <w:r>
              <w:rPr>
                <w:rFonts w:ascii="宋体" w:hAnsi="宋体" w:hint="eastAsia"/>
                <w:sz w:val="18"/>
                <w:szCs w:val="18"/>
              </w:rPr>
              <w:t>财务状况证明；</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ascii="宋体" w:hAnsi="宋体" w:hint="eastAsia"/>
                <w:sz w:val="18"/>
                <w:szCs w:val="18"/>
              </w:rPr>
              <w:t>⑥</w:t>
            </w:r>
            <w:r>
              <w:rPr>
                <w:rFonts w:ascii="宋体" w:hAnsi="宋体" w:hint="eastAsia"/>
                <w:sz w:val="18"/>
                <w:szCs w:val="18"/>
              </w:rPr>
              <w:t>不使用第三方软件移植承诺书或</w:t>
            </w:r>
            <w:r>
              <w:rPr>
                <w:rFonts w:ascii="宋体" w:hAnsi="宋体" w:hint="eastAsia"/>
                <w:bCs/>
                <w:sz w:val="18"/>
                <w:szCs w:val="18"/>
              </w:rPr>
              <w:t>软件移植授权书（开发本项目招标的软件，如不使用第三方软件进行移植、修改和再开发的，应提供《</w:t>
            </w:r>
            <w:r>
              <w:rPr>
                <w:rFonts w:ascii="宋体" w:hAnsi="宋体" w:hint="eastAsia"/>
                <w:sz w:val="18"/>
                <w:szCs w:val="18"/>
              </w:rPr>
              <w:t>不使用第三方软件移植承诺书》，</w:t>
            </w:r>
            <w:r>
              <w:rPr>
                <w:rFonts w:ascii="宋体" w:hAnsi="宋体" w:hint="eastAsia"/>
                <w:bCs/>
                <w:sz w:val="18"/>
                <w:szCs w:val="18"/>
              </w:rPr>
              <w:t>如使用则应提供《软件移植授权书</w:t>
            </w:r>
            <w:r>
              <w:rPr>
                <w:rFonts w:ascii="宋体" w:hAnsi="宋体" w:hint="eastAsia"/>
                <w:sz w:val="18"/>
                <w:szCs w:val="18"/>
              </w:rPr>
              <w:t>》</w:t>
            </w:r>
            <w:r>
              <w:rPr>
                <w:rFonts w:ascii="宋体" w:hAnsi="宋体" w:hint="eastAsia"/>
                <w:bCs/>
                <w:sz w:val="18"/>
                <w:szCs w:val="18"/>
              </w:rPr>
              <w:t>）；</w:t>
            </w:r>
            <w:r>
              <w:rPr>
                <w:rFonts w:ascii="宋体" w:hAnsi="宋体" w:hint="eastAsia"/>
                <w:sz w:val="18"/>
                <w:szCs w:val="18"/>
              </w:rPr>
              <w:t>⑦</w:t>
            </w:r>
            <w:r>
              <w:rPr>
                <w:rFonts w:ascii="宋体" w:hAnsi="宋体" w:hint="eastAsia"/>
                <w:bCs/>
                <w:sz w:val="18"/>
                <w:szCs w:val="18"/>
              </w:rPr>
              <w:t>投标货物的《</w:t>
            </w:r>
            <w:r>
              <w:rPr>
                <w:rFonts w:ascii="宋体" w:hAnsi="宋体" w:hint="eastAsia"/>
                <w:sz w:val="18"/>
                <w:szCs w:val="18"/>
              </w:rPr>
              <w:t>气象专用技术装备使用许可证》（如本次采购内容不包括货物，或者投标货物不必须取得《气象专用技术装备使用许可证》的，可以不提供）；</w:t>
            </w:r>
            <w:r>
              <w:rPr>
                <w:rFonts w:ascii="宋体" w:hAnsi="宋体" w:hint="eastAsia"/>
                <w:bCs/>
                <w:sz w:val="18"/>
                <w:szCs w:val="18"/>
              </w:rPr>
              <w:t>⑧</w:t>
            </w:r>
            <w:r>
              <w:rPr>
                <w:rFonts w:ascii="宋体" w:hAnsi="宋体" w:hint="eastAsia"/>
                <w:bCs/>
                <w:sz w:val="18"/>
                <w:szCs w:val="18"/>
              </w:rPr>
              <w:t>进口产品制造商授权书（投标货物不是进口产品的，不提供）；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⑩</w:t>
            </w:r>
            <w:r>
              <w:rPr>
                <w:rFonts w:ascii="宋体" w:hAnsi="宋体" w:hint="eastAsia"/>
                <w:sz w:val="18"/>
                <w:szCs w:val="18"/>
              </w:rPr>
              <w:t>联合体协议（如有）</w:t>
            </w:r>
            <w:r>
              <w:rPr>
                <w:rFonts w:ascii="宋体" w:hAnsi="宋体" w:hint="eastAsia"/>
                <w:bCs/>
                <w:sz w:val="18"/>
                <w:szCs w:val="18"/>
              </w:rPr>
              <w:t>；</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11</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分包意向协议（如有）；</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12</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按照</w:t>
            </w:r>
            <w:r>
              <w:rPr>
                <w:rFonts w:ascii="宋体" w:hAnsi="宋体" w:hint="eastAsia"/>
                <w:b/>
                <w:sz w:val="18"/>
                <w:szCs w:val="18"/>
              </w:rPr>
              <w:t>第五章投标人须知专用部分5.2条</w:t>
            </w:r>
            <w:r>
              <w:rPr>
                <w:rFonts w:ascii="宋体" w:hAnsi="宋体" w:hint="eastAsia"/>
                <w:sz w:val="18"/>
                <w:szCs w:val="18"/>
              </w:rPr>
              <w:t>规定应提交的特殊资质条件证明文件。（4）银行保函或投标保证金说明函（本项目不要求提交投标保证金的不提供）。（5）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tabs>
                <w:tab w:val="left" w:pos="900"/>
                <w:tab w:val="left" w:pos="5580"/>
              </w:tabs>
              <w:adjustRightInd w:val="0"/>
              <w:snapToGrid w:val="0"/>
              <w:spacing w:line="360" w:lineRule="auto"/>
              <w:jc w:val="left"/>
              <w:rPr>
                <w:rFonts w:ascii="宋体" w:hAnsi="宋体"/>
                <w:sz w:val="18"/>
                <w:szCs w:val="18"/>
              </w:rPr>
            </w:pPr>
            <w:r>
              <w:rPr>
                <w:rFonts w:ascii="宋体" w:hAnsi="宋体" w:hint="eastAsia"/>
                <w:sz w:val="18"/>
                <w:szCs w:val="18"/>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投标文件的盖章、签字等签署要求见1.2.9条。其中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rPr>
            </w:pPr>
            <w:r>
              <w:rPr>
                <w:rFonts w:ascii="宋体" w:hAnsi="宋体" w:hint="eastAsia"/>
                <w:b/>
                <w:sz w:val="18"/>
                <w:szCs w:val="18"/>
              </w:rPr>
              <w:t>不使用第三方软件移植承诺书。</w:t>
            </w:r>
            <w:r>
              <w:rPr>
                <w:rFonts w:ascii="宋体" w:hAnsi="宋体" w:hint="eastAsia"/>
                <w:sz w:val="18"/>
                <w:szCs w:val="18"/>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rPr>
            </w:pPr>
            <w:r>
              <w:rPr>
                <w:rFonts w:ascii="宋体" w:hAnsi="宋体" w:hint="eastAsia"/>
                <w:b/>
                <w:sz w:val="18"/>
                <w:szCs w:val="18"/>
              </w:rPr>
              <w:t>软件移植</w:t>
            </w:r>
            <w:r>
              <w:rPr>
                <w:rFonts w:ascii="宋体" w:hAnsi="宋体" w:hint="eastAsia"/>
                <w:b/>
                <w:bCs/>
                <w:sz w:val="18"/>
                <w:szCs w:val="18"/>
              </w:rPr>
              <w:t>授权书。</w:t>
            </w:r>
            <w:r>
              <w:rPr>
                <w:rFonts w:ascii="宋体" w:hAnsi="宋体" w:hint="eastAsia"/>
                <w:sz w:val="18"/>
                <w:szCs w:val="18"/>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国家气象信息中心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支撑短临业务的数据服务软件及组件化开发环境建设项目- 支撑短临业务的数据服务能力建设</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ZQCD-26105</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合同签订后12个月内完成开发、部署、试运行并具备验收条件</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国家气象信息中心</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2026年06月22日 00:00:00</w:t>
      </w:r>
      <w:bookmarkEnd w:id="27"/>
      <w:r>
        <w:rPr>
          <w:rFonts w:ascii="宋体" w:hint="eastAsia"/>
          <w:szCs w:val="21"/>
          <w:highlight w:val="none"/>
        </w:rPr>
        <w:t>至</w:t>
      </w:r>
      <w:bookmarkStart w:id="28" w:name="项目公告_signUpLastTime"/>
      <w:r>
        <w:rPr>
          <w:rFonts w:ascii="宋体" w:hint="eastAsia"/>
          <w:szCs w:val="21"/>
          <w:highlight w:val="none"/>
        </w:rPr>
        <w:t>2026年06月29日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2026年07月20日 14:30:00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杜建君</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01058995155</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国家气象信息中心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王舒</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010-58994538</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北京市海淀区中关村南大街46号中国气象局北区十五号楼国家气象信息中心</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国家气象信息中心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2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2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（1）标的：支撑短临业务的数据服务软件及组件化开发环境建设项目-支撑短临业务的数据服务能力建设，属于软件和信息技术服务业行业；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是，代理服务费：6.4万元。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878.470000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878.470000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根据本项目实际情况，招标文件1.27.3第1项至第3项启动异常低价投标审查的数值标准为65%。</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(13)</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(3)</w:t>
            </w:r>
          </w:p>
        </w:tc>
        <w:tc>
          <w:tcPr/>
          <w:p>
            <w:r>
              <w:t>评审标准：</w:t>
            </w:r>
          </w:p>
          <w:p>
            <w:r>
              <w:t>1、投标人具有 ISO9000系列或GJB9001B质量管理体系认证；</w:t>
              <w:cr/>
              <w:t>2、投标人具有ISO20000信息技术服务管理体系认证；</w:t>
              <w:cr/>
              <w:t>3、投标人具有ISO27001信息安全管理体系认证；</w:t>
              <w:cr/>
              <w:t>以上每有一个证书得1分，满分3分。否则不得分。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(10)</w:t>
            </w:r>
          </w:p>
        </w:tc>
        <w:tc>
          <w:tcPr/>
          <w:p>
            <w:r>
              <w:t>评审标准：</w:t>
            </w:r>
          </w:p>
          <w:p>
            <w:r>
              <w:t>每提供1份合同得2分，最多得10分。否则不得分。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投标人实力（客观分）</w:t>
            </w:r>
          </w:p>
        </w:tc>
        <w:tc>
          <w:tcPr/>
          <w:p>
            <w:r>
              <w:t>勾选打分</w:t>
            </w:r>
            <w:r>
              <w:t>(10)</w:t>
            </w:r>
          </w:p>
        </w:tc>
        <w:tc>
          <w:tcPr/>
          <w:p>
            <w:r>
              <w:t>评审标准：</w:t>
            </w:r>
          </w:p>
          <w:p>
            <w:r>
              <w:t>每提供1份软件著作权证书得2分，最多得 10分。</w:t>
            </w:r>
          </w:p>
          <w:p>
            <w:r>
              <w:t>评审标准说明：</w:t>
            </w:r>
          </w:p>
          <w:p>
            <w:r>
              <w:t>投标人提供原始取得的软件著作权证书，并加盖投标人公章。</w:t>
            </w:r>
          </w:p>
          <w:p/>
        </w:tc>
      </w:tr>
      <w:tr>
        <w:tblPrEx>
          <w:tblW w:w="5000" w:type="pct"/>
          <w:tblCellMar>
            <w:left w:w="108" w:type="dxa"/>
            <w:right w:w="108" w:type="dxa"/>
          </w:tblCellMar>
        </w:tblPrEx>
        <w:tc>
          <w:tcPr/>
          <w:p>
            <w:r>
              <w:t>5</w:t>
            </w:r>
          </w:p>
        </w:tc>
        <w:tc>
          <w:tcPr>
            <w:vMerge w:val="restart"/>
          </w:tcPr>
          <w:p>
            <w:r>
              <w:t>服务部分</w:t>
            </w:r>
          </w:p>
        </w:tc>
        <w:tc>
          <w:tcPr/>
          <w:p>
            <w:r>
              <w:t>服务团队（客观分）</w:t>
            </w:r>
          </w:p>
        </w:tc>
        <w:tc>
          <w:tcPr/>
          <w:p>
            <w:r>
              <w:t>区间打分</w:t>
            </w:r>
            <w:r>
              <w:t>(15)</w:t>
            </w:r>
          </w:p>
        </w:tc>
        <w:tc>
          <w:tcPr/>
          <w:p>
            <w:r>
              <w:t>评审标准：</w:t>
            </w:r>
          </w:p>
          <w:p>
            <w:r>
              <w:t>投标人应组成本项目开发服务团队，团队组织结构清晰，应设服务团队负责人（项目经理）、技术负责人、系统架构师、数据工程师、可视化设计工程师、应用开发工程师等岗位，人员专业背景齐全。具体如下：</w:t>
              <w:cr/>
              <w:t>1、项目经理具备气象或计算机或地理信息等相关专业高级或以上职称，并且具有3年及以上同类项目开发经验的，得3分。</w:t>
              <w:cr/>
              <w:t>2、除项目经理外，项目团队成员中每有1人有计算机或地理信息系统等相关专业高级或以上技术职称的，得1分；每有1人有计算机或地理信息系统等相关专业中级技术职称的，得0.5分。本项最高得6分。</w:t>
              <w:cr/>
              <w:t>3、承诺组成项目组成员数量达到6人得1分，在此基础上，每增加1人加1分，本项满分3分。</w:t>
              <w:cr/>
              <w:t>4、承诺驻场人员在6人以上得3分，否则不得分。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质保期内需求变更（客观分）</w:t>
            </w:r>
          </w:p>
        </w:tc>
        <w:tc>
          <w:tcPr/>
          <w:p>
            <w:r>
              <w:t>区间打分</w:t>
            </w:r>
            <w:r>
              <w:t>(6)</w:t>
            </w:r>
          </w:p>
        </w:tc>
        <w:tc>
          <w:tcPr/>
          <w:p>
            <w:r>
              <w:t>评审标准：</w:t>
            </w:r>
          </w:p>
          <w:p>
            <w:r>
              <w:t>提供书面承诺得6分。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7</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 xml:space="preserve"> 二档：同时提供承诺和培训方案，但培训方案不完整（指缺失培训计划、培训材料（讲义）、培训课表、主要授课教师介绍任意一项）；</w:t>
              <w:cr/>
              <w:t xml:space="preserve"> 三档：同时提供承诺和培训方案，培训方案完整，但课程设计重点不突出或针对性不强，基本满足采购文件需求；</w:t>
              <w:cr/>
              <w:t xml:space="preserve"> 四档：同时提供承诺和培训方案，培训方案完整，课程设计重点突出、针对性强，完全满足采购文件需求。</w:t>
            </w:r>
          </w:p>
          <w:p/>
        </w:tc>
      </w:tr>
      <w:tr>
        <w:tblPrEx>
          <w:tblW w:w="5000" w:type="pct"/>
          <w:tblCellMar>
            <w:left w:w="108" w:type="dxa"/>
            <w:right w:w="108" w:type="dxa"/>
          </w:tblCellMar>
        </w:tblPrEx>
        <w:tc>
          <w:tcPr/>
          <w:p>
            <w:r>
              <w:t>8</w:t>
            </w:r>
          </w:p>
        </w:tc>
        <w:tc>
          <w:tcPr>
            <w:vMerge/>
          </w:tcPr>
          <w:p>
            <w:r>
              <w:t>服务部分</w:t>
            </w:r>
          </w:p>
        </w:tc>
        <w:tc>
          <w:tcPr/>
          <w:p>
            <w:r>
              <w:t>售后服务方案（主观分）</w:t>
            </w:r>
          </w:p>
        </w:tc>
        <w:tc>
          <w:tcPr/>
          <w:p>
            <w:r>
              <w:t>勾选打分</w:t>
            </w:r>
            <w:r>
              <w:t>(1)</w:t>
            </w:r>
          </w:p>
        </w:tc>
        <w:tc>
          <w:tcPr/>
          <w:p>
            <w:r>
              <w:t>评审标准：</w:t>
            </w:r>
          </w:p>
          <w:p>
            <w:r>
              <w:t>一档0分</w:t>
              <w:cr/>
              <w:t>二档0.25分</w:t>
              <w:cr/>
              <w:t>三档0.5分</w:t>
              <w:cr/>
              <w:t>四档1分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9</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10</w:t>
            </w:r>
          </w:p>
        </w:tc>
        <w:tc>
          <w:tcPr>
            <w:vMerge w:val="restart"/>
          </w:tcPr>
          <w:p>
            <w:r>
              <w:t>技术部分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提供软件开发计划。具体评分标准如下：</w:t>
              <w:cr/>
              <w:t>一档：未提供软件开发计划；</w:t>
              <w:cr/>
              <w:t xml:space="preserve"> 二档：软件开发计划不完整，无针对性，软件开发工作分解与人员安排合理性一般，里程碑设计不合理；</w:t>
              <w:cr/>
              <w:t xml:space="preserve"> 三档：软件开发计划较完整，有一定针对性，软件开发工作分解与人员安排合理，里程碑设计一般；</w:t>
              <w:cr/>
              <w:t xml:space="preserve"> 四档：软件开发计划完整可行，针对性强，软件开发工作分解与人员安排合理，里程碑设计合理。</w:t>
            </w:r>
          </w:p>
          <w:p/>
        </w:tc>
      </w:tr>
      <w:tr>
        <w:tblPrEx>
          <w:tblW w:w="5000" w:type="pct"/>
          <w:tblCellMar>
            <w:left w:w="108" w:type="dxa"/>
            <w:right w:w="108" w:type="dxa"/>
          </w:tblCellMar>
        </w:tblPrEx>
        <w:tc>
          <w:tcPr/>
          <w:p>
            <w:r>
              <w:t>11</w:t>
            </w:r>
          </w:p>
        </w:tc>
        <w:tc>
          <w:tcPr>
            <w:vMerge/>
          </w:tcPr>
          <w:p>
            <w:r>
              <w:t>技术部分</w:t>
            </w:r>
          </w:p>
        </w:tc>
        <w:tc>
          <w:tcPr/>
          <w:p>
            <w:r>
              <w:t>软件功能开发需求分析（主观分）</w:t>
            </w:r>
          </w:p>
        </w:tc>
        <w:tc>
          <w:tcPr/>
          <w:p>
            <w:r>
              <w:t>勾选打分</w:t>
            </w:r>
            <w:r>
              <w:t>(2)</w:t>
            </w:r>
          </w:p>
        </w:tc>
        <w:tc>
          <w:tcPr/>
          <w:p>
            <w:r>
              <w:t>评审标准：</w:t>
            </w:r>
          </w:p>
          <w:p>
            <w:r>
              <w:t>一档0分</w:t>
              <w:cr/>
              <w:t>二档0.5分</w:t>
              <w:cr/>
              <w:t>三档1分</w:t>
              <w:cr/>
              <w:t>四档2分</w:t>
            </w:r>
          </w:p>
          <w:p>
            <w:r>
              <w:t>评审标准说明：</w:t>
            </w:r>
          </w:p>
          <w:p>
            <w:r>
              <w:t>提供软件系统各模块功能需求分析。具体评分标准如下：</w:t>
              <w:cr/>
              <w:t>一档：无软件功能开发需求分析；</w:t>
              <w:cr/>
              <w:t xml:space="preserve"> 二档：软件功能开发需求分析不完整，未对软件系统各模块进行功能需求拆分，分析不具体、不充分、不详细；</w:t>
              <w:cr/>
              <w:t xml:space="preserve"> 三档：软件功能开发需求分析较完整，对软件系统各模块进行功能需求拆分，分析具体，但不充分、不详细； </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12</w:t>
            </w:r>
          </w:p>
        </w:tc>
        <w:tc>
          <w:tcPr>
            <w:vMerge/>
          </w:tcPr>
          <w:p>
            <w:r>
              <w:t>技术部分</w:t>
            </w:r>
          </w:p>
        </w:tc>
        <w:tc>
          <w:tcPr/>
          <w:p>
            <w:r>
              <w:t>软件非功能需求分析（主观分）</w:t>
            </w:r>
          </w:p>
        </w:tc>
        <w:tc>
          <w:tcPr/>
          <w:p>
            <w:r>
              <w:t>勾选打分</w:t>
            </w:r>
            <w:r>
              <w:t>(2)</w:t>
            </w:r>
          </w:p>
        </w:tc>
        <w:tc>
          <w:tcPr/>
          <w:p>
            <w:r>
              <w:t>评审标准：</w:t>
            </w:r>
          </w:p>
          <w:p>
            <w:r>
              <w:t>一档0分</w:t>
              <w:cr/>
              <w:t>二档0.5分</w:t>
              <w:cr/>
              <w:t>三档1分</w:t>
              <w:cr/>
              <w:t>四档2分</w:t>
            </w:r>
          </w:p>
          <w:p>
            <w:r>
              <w:t>评审标准说明：</w:t>
            </w:r>
          </w:p>
          <w:p>
            <w:r>
              <w:t>提供软件系统非功能及性能需求分析，具体评分标准如下：</w:t>
              <w:cr/>
              <w:t>一档：无软件非功能及性能开发需求分析；</w:t>
              <w:cr/>
              <w:t xml:space="preserve"> 二档：软件非功能及性能分析不完整、不具体，合理性一般；</w:t>
              <w:cr/>
              <w:t xml:space="preserve"> 三档：软件非功能及性能开发需求分析较完整、具体、合理，但分析简单不充分详细；</w:t>
              <w:cr/>
              <w:t xml:space="preserve"> 四档：软件非功能及性能开发需求分析完整、具体、合理，分析充分详细，完全覆盖招标文件要求。</w:t>
            </w:r>
          </w:p>
          <w:p/>
        </w:tc>
      </w:tr>
      <w:tr>
        <w:tblPrEx>
          <w:tblW w:w="5000" w:type="pct"/>
          <w:tblCellMar>
            <w:left w:w="108" w:type="dxa"/>
            <w:right w:w="108" w:type="dxa"/>
          </w:tblCellMar>
        </w:tblPrEx>
        <w:tc>
          <w:tcPr/>
          <w:p>
            <w:r>
              <w:t>13</w:t>
            </w:r>
          </w:p>
        </w:tc>
        <w:tc>
          <w:tcPr>
            <w:vMerge/>
          </w:tcPr>
          <w:p>
            <w:r>
              <w:t>技术部分</w:t>
            </w:r>
          </w:p>
        </w:tc>
        <w:tc>
          <w:tcPr/>
          <w:p>
            <w:r>
              <w:t>软件数据需求分析（主观分）</w:t>
            </w:r>
          </w:p>
        </w:tc>
        <w:tc>
          <w:tcPr/>
          <w:p>
            <w:r>
              <w:t>勾选打分</w:t>
            </w:r>
            <w:r>
              <w:t>(2)</w:t>
            </w:r>
          </w:p>
        </w:tc>
        <w:tc>
          <w:tcPr/>
          <w:p>
            <w:r>
              <w:t>评审标准：</w:t>
            </w:r>
          </w:p>
          <w:p>
            <w:r>
              <w:t>一档0分</w:t>
              <w:cr/>
              <w:t>二档0.5分</w:t>
              <w:cr/>
              <w:t>三档1分</w:t>
              <w:cr/>
              <w:t>四档2分</w:t>
            </w:r>
          </w:p>
          <w:p>
            <w:r>
              <w:t>评审标准说明：</w:t>
            </w:r>
          </w:p>
          <w:p>
            <w:r>
              <w:t>提供数据需求分析内容，具体评分标准如下：</w:t>
              <w:cr/>
              <w:t>一档：无数据需求分析；</w:t>
              <w:cr/>
              <w:t xml:space="preserve"> 二档：数据需求分析覆盖不全面或分析欠合理；</w:t>
              <w:cr/>
              <w:t xml:space="preserve"> 三档：数据需求分析覆盖较全面、合理，但分析简单、不充分；</w:t>
              <w:cr/>
              <w:t xml:space="preserve"> 四档：数据需求分析涵盖全面、合理、详细、充分，完全覆盖招标文件要求。</w:t>
            </w:r>
          </w:p>
          <w:p/>
        </w:tc>
      </w:tr>
      <w:tr>
        <w:tblPrEx>
          <w:tblW w:w="5000" w:type="pct"/>
          <w:tblCellMar>
            <w:left w:w="108" w:type="dxa"/>
            <w:right w:w="108" w:type="dxa"/>
          </w:tblCellMar>
        </w:tblPrEx>
        <w:tc>
          <w:tcPr/>
          <w:p>
            <w:r>
              <w:t>14</w:t>
            </w:r>
          </w:p>
        </w:tc>
        <w:tc>
          <w:tcPr>
            <w:vMerge/>
          </w:tcPr>
          <w:p>
            <w:r>
              <w:t>技术部分</w:t>
            </w:r>
          </w:p>
        </w:tc>
        <w:tc>
          <w:tcPr/>
          <w:p>
            <w:r>
              <w:t>软件接口需求分析（主观分）</w:t>
            </w:r>
          </w:p>
        </w:tc>
        <w:tc>
          <w:tcPr/>
          <w:p>
            <w:r>
              <w:t>勾选打分</w:t>
            </w:r>
            <w:r>
              <w:t>(2)</w:t>
            </w:r>
          </w:p>
        </w:tc>
        <w:tc>
          <w:tcPr/>
          <w:p>
            <w:r>
              <w:t>评审标准：</w:t>
            </w:r>
          </w:p>
          <w:p>
            <w:r>
              <w:t>一档0分</w:t>
              <w:cr/>
              <w:t>二档0.5分</w:t>
              <w:cr/>
              <w:t>三档1分</w:t>
              <w:cr/>
              <w:t>四档2分</w:t>
            </w:r>
          </w:p>
          <w:p>
            <w:r>
              <w:t>评审标准说明：</w:t>
            </w:r>
          </w:p>
          <w:p>
            <w:r>
              <w:t>提供软件系统接口需求分析。具体评分标准如下：</w:t>
              <w:cr/>
              <w:t>一档：无接口需求分析；</w:t>
              <w:cr/>
              <w:t xml:space="preserve"> 二档：接口需求分析不完整、简单；</w:t>
              <w:cr/>
              <w:t xml:space="preserve"> 三档：接口需求分析较完整、详细，但针对性、合理性一般；</w:t>
              <w:cr/>
              <w:t xml:space="preserve"> 四档：接口需求分析完整、详细，针对性、合理性强，完全覆盖招标文件要求。</w:t>
            </w:r>
          </w:p>
          <w:p/>
        </w:tc>
      </w:tr>
      <w:tr>
        <w:tblPrEx>
          <w:tblW w:w="5000" w:type="pct"/>
          <w:tblCellMar>
            <w:left w:w="108" w:type="dxa"/>
            <w:right w:w="108" w:type="dxa"/>
          </w:tblCellMar>
        </w:tblPrEx>
        <w:tc>
          <w:tcPr/>
          <w:p>
            <w:r>
              <w:t>15</w:t>
            </w:r>
          </w:p>
        </w:tc>
        <w:tc>
          <w:tcPr>
            <w:vMerge/>
          </w:tcPr>
          <w:p>
            <w:r>
              <w:t>技术部分</w:t>
            </w:r>
          </w:p>
        </w:tc>
        <w:tc>
          <w:tcPr/>
          <w:p>
            <w:r>
              <w:t>软件关键技术识别（主观分）</w:t>
            </w:r>
          </w:p>
        </w:tc>
        <w:tc>
          <w:tcPr/>
          <w:p>
            <w:r>
              <w:t>勾选打分</w:t>
            </w:r>
            <w:r>
              <w:t>(2)</w:t>
            </w:r>
          </w:p>
        </w:tc>
        <w:tc>
          <w:tcPr/>
          <w:p>
            <w:r>
              <w:t>评审标准：</w:t>
            </w:r>
          </w:p>
          <w:p>
            <w:r>
              <w:t>一档0分</w:t>
              <w:cr/>
              <w:t>二档0.5分</w:t>
              <w:cr/>
              <w:t>三档1分</w:t>
              <w:cr/>
              <w:t>四档2分</w:t>
            </w:r>
          </w:p>
          <w:p>
            <w:r>
              <w:t>评审标准说明：</w:t>
            </w:r>
          </w:p>
          <w:p>
            <w:r>
              <w:t>对项目的技术特点认识深入，准确识别软件系统关键技术问题，并提出详细合理的解决方案。具体评分标准如下：</w:t>
              <w:cr/>
              <w:t>一档：未进行软件关键技术识别分析；</w:t>
              <w:cr/>
              <w:t>二档：提供了软件关键技术识别分析，但不能准确识别软件系统关键技术问题；</w:t>
              <w:cr/>
              <w:t>三档：能准确识别软件系统关键技术问题，但未提供详细合理解决方案；</w:t>
              <w:cr/>
              <w:t>四档：对项目的技术特点认识深入，准确识别软件系统关键技术问题，并提出详细合理的解决方案。</w:t>
            </w:r>
          </w:p>
          <w:p/>
        </w:tc>
      </w:tr>
      <w:tr>
        <w:tblPrEx>
          <w:tblW w:w="5000" w:type="pct"/>
          <w:tblCellMar>
            <w:left w:w="108" w:type="dxa"/>
            <w:right w:w="108" w:type="dxa"/>
          </w:tblCellMar>
        </w:tblPrEx>
        <w:tc>
          <w:tcPr/>
          <w:p>
            <w:r>
              <w:t>16</w:t>
            </w:r>
          </w:p>
        </w:tc>
        <w:tc>
          <w:tcPr>
            <w:vMerge/>
          </w:tcPr>
          <w:p>
            <w:r>
              <w:t>技术部分</w:t>
            </w:r>
          </w:p>
        </w:tc>
        <w:tc>
          <w:tcPr/>
          <w:p>
            <w:r>
              <w:t>系统整体架构技术方案（主观分）</w:t>
            </w:r>
          </w:p>
        </w:tc>
        <w:tc>
          <w:tcPr/>
          <w:p>
            <w:r>
              <w:t>勾选打分</w:t>
            </w:r>
            <w:r>
              <w:t>(2)</w:t>
            </w:r>
          </w:p>
        </w:tc>
        <w:tc>
          <w:tcPr/>
          <w:p>
            <w:r>
              <w:t>评审标准：</w:t>
            </w:r>
          </w:p>
          <w:p>
            <w:r>
              <w:t>一档0分</w:t>
              <w:cr/>
              <w:t>二档0.5分</w:t>
              <w:cr/>
              <w:t>三档1分</w:t>
              <w:cr/>
              <w:t>四档2分</w:t>
            </w:r>
          </w:p>
          <w:p>
            <w:r>
              <w:t>评审标准说明：</w:t>
            </w:r>
          </w:p>
          <w:p>
            <w:r>
              <w:t>根据提交的系统整体架构设计技术方案评分：</w:t>
              <w:cr/>
              <w:t>一档：未提供；</w:t>
              <w:cr/>
              <w:t>二档：系统整体架构设计有一定合理性，但无针对性，功能不完整；</w:t>
              <w:cr/>
              <w:t>三档：系统整体架构设计基本合理可行，有一定针对性，功能完整；</w:t>
              <w:cr/>
              <w:t>四档：系统整体架构设计合理可行，技术先进，功能完整，针对性强。</w:t>
            </w:r>
          </w:p>
          <w:p/>
        </w:tc>
      </w:tr>
      <w:tr>
        <w:tblPrEx>
          <w:tblW w:w="5000" w:type="pct"/>
          <w:tblCellMar>
            <w:left w:w="108" w:type="dxa"/>
            <w:right w:w="108" w:type="dxa"/>
          </w:tblCellMar>
        </w:tblPrEx>
        <w:tc>
          <w:tcPr/>
          <w:p>
            <w:r>
              <w:t>17</w:t>
            </w:r>
          </w:p>
        </w:tc>
        <w:tc>
          <w:tcPr>
            <w:vMerge/>
          </w:tcPr>
          <w:p>
            <w:r>
              <w:t>技术部分</w:t>
            </w:r>
          </w:p>
        </w:tc>
        <w:tc>
          <w:tcPr/>
          <w:p>
            <w:r>
              <w:t>系统接口设计技术方案（主观分）</w:t>
            </w:r>
          </w:p>
        </w:tc>
        <w:tc>
          <w:tcPr/>
          <w:p>
            <w:r>
              <w:t>勾选打分</w:t>
            </w:r>
            <w:r>
              <w:t>(2)</w:t>
            </w:r>
          </w:p>
        </w:tc>
        <w:tc>
          <w:tcPr/>
          <w:p>
            <w:r>
              <w:t>评审标准：</w:t>
            </w:r>
          </w:p>
          <w:p>
            <w:r>
              <w:t>一档0分</w:t>
              <w:cr/>
              <w:t>二档0.5分</w:t>
              <w:cr/>
              <w:t>三档1分</w:t>
              <w:cr/>
              <w:t>四档2分</w:t>
            </w:r>
          </w:p>
          <w:p>
            <w:r>
              <w:t>评审标准说明：</w:t>
            </w:r>
          </w:p>
          <w:p>
            <w:r>
              <w:t>根据提交的系统接口设计技术方案评分：</w:t>
              <w:cr/>
              <w:t>一档：未提供。</w:t>
              <w:cr/>
              <w:t>二档：系统接口设计有一定合理性，但无针对性，功能不完整；</w:t>
              <w:cr/>
              <w:t>三档：系统接口设计基本合理可行，有一定针对性，功能完整；</w:t>
              <w:cr/>
              <w:t>四档：系统接口设计合理可行，技术先进，功能完整，针对性强。</w:t>
            </w:r>
          </w:p>
          <w:p/>
        </w:tc>
      </w:tr>
      <w:tr>
        <w:tblPrEx>
          <w:tblW w:w="5000" w:type="pct"/>
          <w:tblCellMar>
            <w:left w:w="108" w:type="dxa"/>
            <w:right w:w="108" w:type="dxa"/>
          </w:tblCellMar>
        </w:tblPrEx>
        <w:tc>
          <w:tcPr/>
          <w:p>
            <w:r>
              <w:t>18</w:t>
            </w:r>
          </w:p>
        </w:tc>
        <w:tc>
          <w:tcPr>
            <w:vMerge/>
          </w:tcPr>
          <w:p>
            <w:r>
              <w:t>技术部分</w:t>
            </w:r>
          </w:p>
        </w:tc>
        <w:tc>
          <w:tcPr/>
          <w:p>
            <w:r>
              <w:t>模块设计技术方案（主观分）</w:t>
            </w:r>
          </w:p>
        </w:tc>
        <w:tc>
          <w:tcPr/>
          <w:p>
            <w:r>
              <w:t>区间打分</w:t>
            </w:r>
            <w:r>
              <w:t>(18)</w:t>
            </w:r>
          </w:p>
        </w:tc>
        <w:tc>
          <w:tcPr/>
          <w:p>
            <w:r>
              <w:t>评审标准：</w:t>
            </w:r>
          </w:p>
          <w:p>
            <w:r>
              <w:t>提交如下模块技术方案：1、气象数据归档子系统 ；2、气象元数据管理子系统；3、气象数据可视化服务子系统。每个模块满分6分，共计18分。</w:t>
              <w:cr/>
              <w:t xml:space="preserve"> 一档0分</w:t>
              <w:cr/>
              <w:t xml:space="preserve"> 二档1分</w:t>
              <w:cr/>
              <w:t xml:space="preserve"> 三档3分</w:t>
              <w:cr/>
              <w:t xml:space="preserve"> 四档6分</w:t>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19</w:t>
            </w:r>
          </w:p>
        </w:tc>
        <w:tc>
          <w:tcPr>
            <w:vMerge/>
          </w:tcPr>
          <w:p>
            <w:r>
              <w:t>技术部分</w:t>
            </w:r>
          </w:p>
        </w:tc>
        <w:tc>
          <w:tcPr/>
          <w:p>
            <w:r>
              <w:t>项目需求理解（主观分）</w:t>
            </w:r>
          </w:p>
        </w:tc>
        <w:tc>
          <w:tcPr/>
          <w:p>
            <w:r>
              <w:t>勾选打分</w:t>
            </w:r>
            <w:r>
              <w:t>(1)</w:t>
            </w:r>
          </w:p>
        </w:tc>
        <w:tc>
          <w:tcPr/>
          <w:p>
            <w:r>
              <w:t>评审标准：</w:t>
            </w:r>
          </w:p>
          <w:p>
            <w:r>
              <w:t>一档0分</w:t>
              <w:cr/>
              <w:t>二档0.25分</w:t>
              <w:cr/>
              <w:t>三档0.5分</w:t>
              <w:cr/>
              <w:t>四档1分</w:t>
            </w:r>
          </w:p>
          <w:p>
            <w:r>
              <w:t>评审标准说明：</w:t>
            </w:r>
          </w:p>
          <w:p>
            <w:r>
              <w:t>结合项目需求、背景、现状情况等对项目进行需求分析理解。</w:t>
              <w:cr/>
              <w:t>一档：未提供。</w:t>
              <w:cr/>
              <w:t>二档：对项目范围和内容及用户总体需求分析有一定偏差，未抓住重点、难点。</w:t>
              <w:cr/>
              <w:t>三档：对项目范围和内容及用户总体需求分析无偏差，能抓住重点、难点不突出，但未提出合理的解决方案。</w:t>
              <w:cr/>
              <w:t>四档：对项目范围和内容理解清晰，对用户总体需求分析正确，重点、难点分析到位，问题描述清楚；能准确识别软件系统关键技术问题，并提出详细合理的解决方案。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20</w:t>
            </w:r>
          </w:p>
        </w:tc>
        <w:tc>
          <w:tcPr>
            <w:vMerge/>
          </w:tcPr>
          <w:p>
            <w:r>
              <w:t>技术部分</w:t>
            </w:r>
          </w:p>
        </w:tc>
        <w:tc>
          <w:tcPr/>
          <w:p>
            <w:r>
              <w:t>针对本项目的合理化建议（主观分）</w:t>
            </w:r>
          </w:p>
        </w:tc>
        <w:tc>
          <w:tcPr/>
          <w:p>
            <w:r>
              <w:t>勾选打分</w:t>
            </w:r>
            <w:r>
              <w:t>(2)</w:t>
            </w:r>
          </w:p>
        </w:tc>
        <w:tc>
          <w:tcPr/>
          <w:p>
            <w:r>
              <w:t>评审标准：</w:t>
            </w:r>
          </w:p>
          <w:p>
            <w:r>
              <w:t>每提供一条合理化建议得1分，满分2分。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21</w:t>
            </w:r>
          </w:p>
        </w:tc>
        <w:tc>
          <w:tcPr>
            <w:vMerge/>
          </w:tcPr>
          <w:p>
            <w:r>
              <w:t>技术部分</w:t>
            </w:r>
          </w:p>
        </w:tc>
        <w:tc>
          <w:tcPr/>
          <w:p>
            <w:r>
              <w:t>风险管理方案（主观分）</w:t>
            </w:r>
          </w:p>
        </w:tc>
        <w:tc>
          <w:tcPr/>
          <w:p>
            <w:r>
              <w:t>勾选打分</w:t>
            </w:r>
            <w:r>
              <w:t>(1)</w:t>
            </w:r>
          </w:p>
        </w:tc>
        <w:tc>
          <w:tcPr/>
          <w:p>
            <w:r>
              <w:t>评审标准：</w:t>
            </w:r>
          </w:p>
          <w:p>
            <w:r>
              <w:t>一档0分</w:t>
              <w:cr/>
              <w:t>二档0.25分</w:t>
              <w:cr/>
              <w:t>三档0.5分</w:t>
              <w:cr/>
              <w:t>四档1分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9"/>
    </w:p>
    <w:p w:rsidR="00AC1AEE">
      <w:pPr>
        <w:spacing w:before="156" w:beforeLines="50" w:line="360" w:lineRule="auto"/>
        <w:jc w:val="center"/>
        <w:outlineLvl w:val="1"/>
        <w:rPr>
          <w:rFonts w:ascii="宋体" w:hAnsi="宋体"/>
          <w:b/>
          <w:sz w:val="30"/>
          <w:szCs w:val="30"/>
        </w:rPr>
      </w:pPr>
      <w:r>
        <w:rPr>
          <w:bCs/>
          <w:szCs w:val="21"/>
          <w:highlight w:val="none"/>
        </w:rPr>
        <w:br w:type="page"/>
      </w:r>
      <w:bookmarkStart w:id="60"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AC1AEE">
      <w:pPr>
        <w:jc w:val="left"/>
        <w:rPr>
          <w:b/>
          <w:szCs w:val="21"/>
        </w:rPr>
      </w:pPr>
    </w:p>
    <w:p w:rsidR="005B6786">
      <w:pPr>
        <w:widowControl/>
        <w:jc w:val="left"/>
        <w:rPr>
          <w:rFonts w:ascii="宋体" w:hAnsi="宋体"/>
          <w:szCs w:val="21"/>
        </w:rPr>
      </w:pPr>
      <w:r>
        <w:rPr>
          <w:rFonts w:ascii="宋体" w:hAnsi="宋体"/>
          <w:szCs w:val="21"/>
        </w:rPr>
        <w:br w:type="page"/>
      </w:r>
    </w:p>
    <w:p w:rsidR="00AC1AEE">
      <w:pPr>
        <w:snapToGrid w:val="0"/>
        <w:spacing w:line="360" w:lineRule="auto"/>
        <w:jc w:val="left"/>
        <w:rPr>
          <w:rFonts w:ascii="宋体" w:hAnsi="宋体"/>
          <w:szCs w:val="21"/>
        </w:rPr>
      </w:pPr>
    </w:p>
    <w:p w:rsidR="005B6786" w:rsidP="005B6786">
      <w:pPr>
        <w:pStyle w:val="Heading1"/>
        <w:keepNext/>
        <w:keepLines/>
        <w:widowControl w:val="0"/>
        <w:numPr>
          <w:numId w:val="4"/>
        </w:numPr>
        <w:spacing w:line="560" w:lineRule="exact"/>
        <w:ind w:left="432" w:hanging="432"/>
        <w:jc w:val="both"/>
      </w:pPr>
      <w:bookmarkStart w:id="61" w:name="_Toc176762275"/>
      <w:bookmarkStart w:id="62" w:name="_Toc176762790"/>
      <w:bookmarkStart w:id="63" w:name="_Toc161475252"/>
      <w:bookmarkStart w:id="64" w:name="_Toc176757428"/>
      <w:bookmarkStart w:id="65" w:name="_Toc176757456"/>
      <w:bookmarkStart w:id="66" w:name="_Toc176762818"/>
      <w:bookmarkStart w:id="67" w:name="_Toc138148080"/>
      <w:bookmarkStart w:id="68" w:name="_Toc161475280"/>
      <w:bookmarkStart w:id="69" w:name="_Toc176762303"/>
      <w:bookmarkStart w:id="70" w:name="_Toc1728720482"/>
      <w:bookmarkStart w:id="71" w:name="_Toc14149"/>
      <w:bookmarkStart w:id="72" w:name="_Toc231542562"/>
      <w:r>
        <w:rPr>
          <w:rFonts w:hint="eastAsia"/>
        </w:rPr>
        <w:t>项目背景</w:t>
      </w:r>
      <w:bookmarkEnd w:id="70"/>
      <w:bookmarkEnd w:id="71"/>
      <w:bookmarkEnd w:id="72"/>
    </w:p>
    <w:p w:rsidR="005B6786" w:rsidP="005B6786">
      <w:pPr>
        <w:adjustRightInd w:val="0"/>
        <w:snapToGrid w:val="0"/>
        <w:spacing w:line="560" w:lineRule="exact"/>
        <w:ind w:firstLine="420" w:firstLineChars="200"/>
        <w:contextualSpacing/>
        <w:rPr>
          <w:rFonts w:ascii="仿宋_GB2312" w:hAnsi="仿宋_GB2312" w:cs="仿宋_GB2312" w:hint="eastAsia"/>
          <w:color w:val="000000"/>
          <w:szCs w:val="32"/>
        </w:rPr>
      </w:pPr>
      <w:bookmarkStart w:id="73" w:name="_Toc19363"/>
      <w:bookmarkStart w:id="74" w:name="_Toc1298880711"/>
      <w:r>
        <w:rPr>
          <w:rFonts w:ascii="仿宋_GB2312" w:hAnsi="仿宋_GB2312" w:cs="仿宋_GB2312" w:hint="eastAsia"/>
          <w:color w:val="000000"/>
          <w:szCs w:val="32"/>
        </w:rPr>
        <w:t>随着全球气候变化的影响日益显著，气象部门作为防灾减灾第一道防线的主要责任单位，提升短时临近气象预报能力，及时准确地预测和预警强对流天气、暴雨等灾害性天气，已成为气象服务的重要任务。近年来，随着高分辨率数值预报技术和多源观测数据的应用，短时临近预报业务取得了显著进展。然而，仍存在预报精度、时效性、服务的针对性和个性化等仍有待提高的空间。</w:t>
      </w:r>
    </w:p>
    <w:p w:rsidR="005B6786" w:rsidP="005B6786">
      <w:pPr>
        <w:adjustRightInd w:val="0"/>
        <w:snapToGrid w:val="0"/>
        <w:spacing w:line="560" w:lineRule="exact"/>
        <w:ind w:firstLine="420" w:firstLineChars="200"/>
        <w:contextualSpacing/>
        <w:rPr>
          <w:rFonts w:ascii="仿宋_GB2312" w:hAnsi="仿宋_GB2312" w:cs="仿宋_GB2312" w:hint="eastAsia"/>
          <w:color w:val="000000"/>
          <w:szCs w:val="32"/>
        </w:rPr>
      </w:pPr>
      <w:r>
        <w:rPr>
          <w:rFonts w:ascii="仿宋_GB2312" w:hAnsi="仿宋_GB2312" w:cs="仿宋_GB2312" w:hint="eastAsia"/>
          <w:color w:val="000000"/>
          <w:szCs w:val="32"/>
        </w:rPr>
        <w:t>“十二五”到“十四五”期间，通过国家重大工程建设项目，中国气象局建设了气象大数据云平台（天擎）</w:t>
      </w:r>
      <w:r>
        <w:rPr>
          <w:rFonts w:hint="eastAsia"/>
        </w:rPr>
        <w:t>，全面采用大数据、云计算、人工智能等信息技术技术，通过引进吸收、集成创新、气象定制，构建的全新一代气象行业数据平台，为气象监测、预报、服务、科研等提供数据、算力、算法三统一的平台化服务。</w:t>
      </w:r>
    </w:p>
    <w:p w:rsidR="005B6786" w:rsidRPr="006A5148" w:rsidP="005B6786">
      <w:pPr>
        <w:adjustRightInd w:val="0"/>
        <w:snapToGrid w:val="0"/>
        <w:spacing w:line="560" w:lineRule="exact"/>
        <w:ind w:firstLine="420" w:firstLineChars="200"/>
        <w:contextualSpacing/>
        <w:rPr>
          <w:rFonts w:hint="eastAsia"/>
        </w:rPr>
      </w:pPr>
      <w:r w:rsidRPr="006A5148">
        <w:rPr>
          <w:rFonts w:hint="eastAsia"/>
        </w:rPr>
        <w:t>当前短临预报业务对高时效、高质量数据服务的需求日益增长，但现有体系在气象数据存储（高并发场景下数据兼顾高效分发和低延迟访问）、数据服务（功能单一、难互通）、二三维一体化可视化和数字孪生推演能力（缺乏交互式引擎、多尺度底板及动态重现手段）以及应用支撑与业务协同（架构封闭、并发响应不足）等方面存在明显短板，难以满足分钟级响应和智能化研判的业务要求。因此，开展支撑短临业务的数据服务能力建设，系统弥补上述能力缺口，具有迫切且不可替代的必要性。</w:t>
      </w:r>
    </w:p>
    <w:p w:rsidR="005B6786" w:rsidP="005B6786">
      <w:pPr>
        <w:pStyle w:val="Heading1"/>
        <w:keepNext/>
        <w:keepLines/>
        <w:widowControl w:val="0"/>
        <w:numPr>
          <w:numId w:val="4"/>
        </w:numPr>
        <w:spacing w:line="560" w:lineRule="exact"/>
        <w:ind w:left="432" w:hanging="432"/>
        <w:jc w:val="both"/>
        <w:rPr>
          <w:rFonts w:hint="eastAsia"/>
        </w:rPr>
      </w:pPr>
      <w:bookmarkStart w:id="75" w:name="_Toc231542563"/>
      <w:r>
        <w:rPr>
          <w:rFonts w:hint="eastAsia"/>
        </w:rPr>
        <w:t>建设目标与内容</w:t>
      </w:r>
      <w:bookmarkEnd w:id="73"/>
      <w:bookmarkEnd w:id="74"/>
      <w:bookmarkEnd w:id="75"/>
    </w:p>
    <w:p w:rsidR="005B6786" w:rsidP="005B6786">
      <w:pPr>
        <w:adjustRightInd w:val="0"/>
        <w:snapToGrid w:val="0"/>
        <w:spacing w:line="560" w:lineRule="exact"/>
        <w:ind w:firstLine="420" w:firstLineChars="200"/>
        <w:contextualSpacing/>
        <w:rPr>
          <w:rFonts w:hint="eastAsia"/>
          <w:szCs w:val="28"/>
        </w:rPr>
      </w:pPr>
      <w:r w:rsidRPr="006A5148">
        <w:rPr>
          <w:rFonts w:ascii="仿宋_GB2312" w:hAnsi="仿宋_GB2312" w:cs="仿宋_GB2312" w:hint="eastAsia"/>
          <w:color w:val="000000"/>
          <w:szCs w:val="32"/>
        </w:rPr>
        <w:t>建设数据库存储自管理功能，提升短临业务数据管理能力，支持短临业务快速检索、动态更新和高效分析；升级数据存储管理系统，针对高分辨率雷达、卫星及数值模式数据，采用分布式存储架构和高性能计算技术，确保数据的安全存储、动态流动和高效服务；升级数据归档能力及管理功能，引入智能分析技术加速资料归档流程；升级气象元数据管理系统，实现观测数据和产品元数据的规范</w:t>
      </w:r>
      <w:r>
        <w:rPr>
          <w:rFonts w:ascii="仿宋_GB2312" w:hAnsi="仿宋_GB2312" w:cs="仿宋_GB2312" w:hint="eastAsia"/>
          <w:color w:val="000000"/>
          <w:szCs w:val="32"/>
        </w:rPr>
        <w:t>化管理、全网同步和高效运维。</w:t>
      </w:r>
    </w:p>
    <w:p w:rsidR="005B6786" w:rsidP="005B6786">
      <w:pPr>
        <w:adjustRightInd w:val="0"/>
        <w:snapToGrid w:val="0"/>
        <w:spacing w:line="560" w:lineRule="exact"/>
        <w:ind w:firstLine="420" w:firstLineChars="200"/>
        <w:contextualSpacing/>
        <w:rPr>
          <w:rFonts w:ascii="仿宋_GB2312" w:hAnsi="仿宋_GB2312" w:cs="仿宋_GB2312" w:hint="eastAsia"/>
          <w:color w:val="000000"/>
          <w:szCs w:val="32"/>
        </w:rPr>
      </w:pPr>
      <w:r>
        <w:rPr>
          <w:rFonts w:hint="eastAsia"/>
          <w:szCs w:val="28"/>
        </w:rPr>
        <w:t>升级气象数据服务能力，</w:t>
      </w:r>
      <w:r>
        <w:rPr>
          <w:szCs w:val="28"/>
        </w:rPr>
        <w:t>在气象数据服务接口原有基础上，</w:t>
      </w:r>
      <w:r>
        <w:rPr>
          <w:rFonts w:hint="eastAsia"/>
          <w:szCs w:val="28"/>
        </w:rPr>
        <w:t>建设短临业务所需</w:t>
      </w:r>
      <w:r>
        <w:rPr>
          <w:szCs w:val="28"/>
        </w:rPr>
        <w:t>功能、</w:t>
      </w:r>
      <w:r>
        <w:rPr>
          <w:rFonts w:hint="eastAsia"/>
          <w:szCs w:val="28"/>
        </w:rPr>
        <w:t>丰富</w:t>
      </w:r>
      <w:r>
        <w:rPr>
          <w:szCs w:val="28"/>
        </w:rPr>
        <w:t>服务方式、</w:t>
      </w:r>
      <w:r>
        <w:rPr>
          <w:rFonts w:hint="eastAsia"/>
          <w:szCs w:val="28"/>
        </w:rPr>
        <w:t>形成</w:t>
      </w:r>
      <w:r>
        <w:rPr>
          <w:szCs w:val="28"/>
        </w:rPr>
        <w:t>高可用、低延时、易使用、全过程安全的数据服务体系</w:t>
      </w:r>
      <w:r>
        <w:rPr>
          <w:rFonts w:hint="eastAsia"/>
          <w:szCs w:val="28"/>
        </w:rPr>
        <w:t>。实现全网数据统一的跨域分布式服务，支持在国省间、内外网任意位置一致的数据访问和互操作服务。</w:t>
      </w:r>
    </w:p>
    <w:p w:rsidR="005B6786" w:rsidP="005B6786">
      <w:pPr>
        <w:adjustRightInd w:val="0"/>
        <w:snapToGrid w:val="0"/>
        <w:spacing w:line="560" w:lineRule="exact"/>
        <w:ind w:firstLine="420" w:firstLineChars="200"/>
        <w:contextualSpacing/>
        <w:rPr>
          <w:rFonts w:ascii="仿宋_GB2312" w:hAnsi="仿宋_GB2312" w:cs="仿宋_GB2312" w:hint="eastAsia"/>
          <w:color w:val="000000"/>
          <w:szCs w:val="32"/>
        </w:rPr>
      </w:pPr>
      <w:bookmarkStart w:id="76" w:name="OLE_LINK1"/>
      <w:r>
        <w:rPr>
          <w:rFonts w:ascii="仿宋_GB2312" w:hAnsi="仿宋_GB2312" w:cs="仿宋_GB2312" w:hint="eastAsia"/>
          <w:color w:val="000000"/>
          <w:szCs w:val="32"/>
        </w:rPr>
        <w:t>制作多尺度、标准化的数字底板，提升短临预报底图的规范性，为气象服务的智能化和精细化奠定基础；搭建可视化场景与渲染能力，可将气象数据转化为直观、易懂的图形和动态效果，帮助预报员和决策者快速理解天气系统的演变趋势和潜在影响。搭建气象数据可视化框架，通过统一的标准化处理和可视化技术，实现多源气象数据整合。建设个性化、综合性、集约化、一站式的应用支撑服务系统，实现气象数据服务和应用支持，帮助用户发现、定位、获取、分析和应用气象数据，以及实现数据共享和交流。</w:t>
      </w:r>
      <w:bookmarkEnd w:id="76"/>
    </w:p>
    <w:p w:rsidR="005B6786" w:rsidP="005B6786">
      <w:pPr>
        <w:pStyle w:val="Heading1"/>
        <w:keepNext/>
        <w:keepLines/>
        <w:widowControl w:val="0"/>
        <w:numPr>
          <w:numId w:val="4"/>
        </w:numPr>
        <w:spacing w:line="560" w:lineRule="exact"/>
        <w:ind w:left="432" w:hanging="432"/>
        <w:jc w:val="both"/>
      </w:pPr>
      <w:bookmarkStart w:id="77" w:name="_Toc1116838022"/>
      <w:bookmarkStart w:id="78" w:name="_Toc6121"/>
      <w:bookmarkStart w:id="79" w:name="_Toc231542564"/>
      <w:bookmarkEnd w:id="61"/>
      <w:bookmarkEnd w:id="62"/>
      <w:bookmarkEnd w:id="63"/>
      <w:bookmarkEnd w:id="64"/>
      <w:r>
        <w:rPr>
          <w:rFonts w:hint="eastAsia"/>
        </w:rPr>
        <w:t>建设任务要求</w:t>
      </w:r>
      <w:bookmarkEnd w:id="77"/>
      <w:bookmarkEnd w:id="78"/>
      <w:bookmarkEnd w:id="79"/>
    </w:p>
    <w:p w:rsidR="005B6786" w:rsidP="005B6786">
      <w:pPr>
        <w:pStyle w:val="Heading2"/>
        <w:keepNext/>
        <w:keepLines/>
        <w:widowControl w:val="0"/>
        <w:numPr>
          <w:ilvl w:val="1"/>
          <w:numId w:val="4"/>
        </w:numPr>
        <w:spacing w:line="560" w:lineRule="exact"/>
        <w:ind w:left="575" w:hanging="575"/>
        <w:jc w:val="both"/>
      </w:pPr>
      <w:bookmarkStart w:id="80" w:name="_Toc1689560974"/>
      <w:bookmarkStart w:id="81" w:name="_Toc16555"/>
      <w:bookmarkStart w:id="82" w:name="_Toc231542565"/>
      <w:r>
        <w:t>建设</w:t>
      </w:r>
      <w:r>
        <w:rPr>
          <w:rFonts w:hint="eastAsia"/>
        </w:rPr>
        <w:t>功能</w:t>
      </w:r>
      <w:r>
        <w:t>要求</w:t>
      </w:r>
      <w:bookmarkEnd w:id="80"/>
      <w:bookmarkEnd w:id="81"/>
      <w:bookmarkEnd w:id="82"/>
    </w:p>
    <w:p w:rsidR="005B6786" w:rsidP="005B6786">
      <w:pPr>
        <w:pStyle w:val="Heading3"/>
        <w:keepNext/>
        <w:keepLines/>
        <w:widowControl w:val="0"/>
        <w:numPr>
          <w:ilvl w:val="2"/>
          <w:numId w:val="4"/>
        </w:numPr>
        <w:spacing w:line="560" w:lineRule="atLeast"/>
        <w:ind w:left="720" w:hanging="720"/>
        <w:jc w:val="both"/>
        <w:rPr>
          <w:rFonts w:hint="eastAsia"/>
        </w:rPr>
      </w:pPr>
      <w:bookmarkStart w:id="83" w:name="_Toc2032284288"/>
      <w:bookmarkStart w:id="84" w:name="_Toc231542566"/>
      <w:r>
        <w:rPr>
          <w:rFonts w:hint="eastAsia"/>
        </w:rPr>
        <w:t>气象服务加速支撑子系统</w:t>
      </w:r>
      <w:bookmarkEnd w:id="83"/>
      <w:bookmarkEnd w:id="84"/>
    </w:p>
    <w:p w:rsidR="005B6786" w:rsidP="005B6786">
      <w:pPr>
        <w:pStyle w:val="Heading4"/>
        <w:keepNext/>
        <w:keepLines/>
        <w:widowControl w:val="0"/>
        <w:numPr>
          <w:ilvl w:val="3"/>
          <w:numId w:val="4"/>
        </w:numPr>
        <w:spacing w:line="560" w:lineRule="exact"/>
        <w:ind w:left="864" w:hanging="864"/>
        <w:jc w:val="both"/>
        <w:rPr>
          <w:rFonts w:hint="eastAsia"/>
        </w:rPr>
      </w:pPr>
      <w:r>
        <w:rPr>
          <w:rFonts w:hint="eastAsia"/>
        </w:rPr>
        <w:t xml:space="preserve"> </w:t>
      </w:r>
      <w:r>
        <w:rPr>
          <w:rFonts w:hint="eastAsia"/>
        </w:rPr>
        <w:t>数据库存储能力开放建设</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实时应用库存储能力开放建设</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针对短临预报预警对雷达及数值预报数据时空穿透查询秒级响应需求，使用分布式时序数据库存储技术，搭建专门存储雷达与数值预报数据的数据库，对数据进行预处理和在组织，利用数据库高并发、低延时的特点，支持交互式业务系统的数据访问。</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空间分析库存储能力开放建设</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面向短临预报预警业务对数据融合分析、可视化服务的需求，利用空间分析库存储技术，搭建短临业务存储空间数据的数据库，存储短临预报预警业务所需的多尺度的</w:t>
      </w:r>
      <w:r>
        <w:rPr>
          <w:rFonts w:ascii="仿宋_GB2312" w:hAnsi="仿宋_GB2312" w:cs="仿宋_GB2312" w:hint="eastAsia"/>
          <w:color w:val="000000"/>
          <w:szCs w:val="32"/>
        </w:rPr>
        <w:t>GIS</w:t>
      </w:r>
      <w:r>
        <w:rPr>
          <w:rFonts w:ascii="仿宋_GB2312" w:hAnsi="仿宋_GB2312" w:cs="仿宋_GB2312" w:hint="eastAsia"/>
          <w:color w:val="000000"/>
          <w:szCs w:val="32"/>
        </w:rPr>
        <w:t>数字底板数据和渲染预处理的金字塔数据（</w:t>
      </w:r>
      <w:r>
        <w:rPr>
          <w:rFonts w:ascii="仿宋_GB2312" w:hAnsi="仿宋_GB2312" w:cs="仿宋_GB2312" w:hint="eastAsia"/>
          <w:color w:val="000000"/>
          <w:szCs w:val="32"/>
        </w:rPr>
        <w:t>CogTIFF</w:t>
      </w:r>
      <w:r>
        <w:rPr>
          <w:rFonts w:ascii="仿宋_GB2312" w:hAnsi="仿宋_GB2312" w:cs="仿宋_GB2312" w:hint="eastAsia"/>
          <w:color w:val="000000"/>
          <w:szCs w:val="32"/>
        </w:rPr>
        <w:t>格式），支持</w:t>
      </w:r>
      <w:r>
        <w:rPr>
          <w:rFonts w:ascii="仿宋_GB2312" w:hAnsi="仿宋_GB2312" w:cs="仿宋_GB2312" w:hint="eastAsia"/>
          <w:color w:val="000000"/>
          <w:szCs w:val="32"/>
        </w:rPr>
        <w:t>GIS</w:t>
      </w:r>
      <w:r>
        <w:rPr>
          <w:rFonts w:ascii="仿宋_GB2312" w:hAnsi="仿宋_GB2312" w:cs="仿宋_GB2312" w:hint="eastAsia"/>
          <w:color w:val="000000"/>
          <w:szCs w:val="32"/>
        </w:rPr>
        <w:t>底板数据与气象数据的融合分析及可视化服务等。</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气象语料库存储能力开放建设</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针对短临预报预警业务快速生成决策服务报告的需求，支撑基于语言大模型智能应用的构建，建设向量数据库存储语言大模型所需的语料数据，支持语料知识的向量化存储、分析查询和语料召回，保障短临业务向智能化的转型。</w:t>
      </w:r>
    </w:p>
    <w:p w:rsidR="005B6786" w:rsidP="005B6786">
      <w:pPr>
        <w:pStyle w:val="Heading4"/>
        <w:keepNext/>
        <w:keepLines/>
        <w:widowControl w:val="0"/>
        <w:numPr>
          <w:ilvl w:val="3"/>
          <w:numId w:val="4"/>
        </w:numPr>
        <w:spacing w:line="560" w:lineRule="exact"/>
        <w:ind w:left="864" w:hanging="864"/>
        <w:jc w:val="both"/>
        <w:rPr>
          <w:rFonts w:hint="eastAsia"/>
        </w:rPr>
      </w:pPr>
      <w:r>
        <w:rPr>
          <w:rFonts w:hint="eastAsia"/>
        </w:rPr>
        <w:t>数据存储策略管理建设</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数据清除</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实时应用库数据清除</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根据实时应用库数据的实时性和存储要求，提供数据清除管理功能。能够及时清除过期或无用的实时数据，保证数据存储的高效性和实时应用的流畅性。</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空间分析库数据清除</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针对空间分析库数据，按照数据管理规则和存储需求，提供数据清除管理功能。可根据设定的条件，如数据的使用频率、存储时间等，对无用数据进行安全清除，释放存储空间，优化数据管理效率。</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气象语料库数据清除</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根据气象语料库数据的特点和存储需求，提供数据清除管理功能。可按照气象数据的时效性和更新频率，对过时的气象语料数据进行清除，保证数据存储的有效性。</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数据备份与恢复</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实时应用库数据备份与恢复</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根据实时应用库数据的实时性要求和应用场景，提供实时应用库数据的备份与恢复管理功能。可实现实时数据的快速备份，保证数据不丢失，同时在需要时能够迅速恢复数据，满足实时应用的连续性需求。数据备份同时记录数据存储结构、数据记录数、数据资料元数据等核心数据信息，便于数据恢复校验与处理使用。</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空间分析库数据备份与恢复</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针对空间分析库数据，依据其特性和使用场景，提供空间分析库数据备份与恢复的管理功能。数据备份策略涵盖全量备份、增量备份、定时备份等，以确保数据的完整性和安全性；恢复功能则可在数据丢失或损坏时，快速准确地将数据恢复至指定状态。</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气象语料库数据备份与恢复</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根据气象语料库数据的专业性和应用场景，提供数据备份与恢复管理功能。备份策略可考虑气象数据的时效性和变化规律，恢复时能够准确还原气象语料数据，为气象相关研究和应用提供数据支持。数据备份同时记录数据存储结构、数据记录数、数据资料元数据等核心数据信息，便于数据恢复校验与处理使用。</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数据同步</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数据同步管理升级</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针对短临预报预警业务需求，升级数据同步流程和管理功能，构建不同资料、不同存储位置（数据备份中心同步流程和公共云数据同步流程等）和不同策略的数据同步流程，提供数据同步流程配置管理查询功能，实现直观便捷的设计和管理界面。实现不同存储技术之间多副本数据的同步，包括结构化数据、非结构化数据、各节点间的同步</w:t>
      </w:r>
      <w:r>
        <w:rPr>
          <w:rFonts w:ascii="仿宋_GB2312" w:hAnsi="仿宋_GB2312" w:cs="仿宋_GB2312" w:hint="eastAsia"/>
          <w:color w:val="000000"/>
          <w:szCs w:val="32"/>
        </w:rPr>
        <w:t>,</w:t>
      </w:r>
      <w:r>
        <w:rPr>
          <w:rFonts w:ascii="仿宋_GB2312" w:hAnsi="仿宋_GB2312" w:cs="仿宋_GB2312" w:hint="eastAsia"/>
          <w:color w:val="000000"/>
          <w:szCs w:val="32"/>
        </w:rPr>
        <w:t>以保障数据应用的一致性，支持实时同步、准实时同步和历史批量更新等同步方式。支持物理隔离场景下的同类型数据集群间的同步，支持对同步服务节点的统筹管理与监控。支持同步任务细化运行状态（同步记录数、同步数据量、同步异常耗时等）监控，只是同步异常日志采集与细化展示。</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ETL</w:t>
      </w:r>
      <w:r>
        <w:rPr>
          <w:rFonts w:hint="eastAsia"/>
        </w:rPr>
        <w:t>同步功能优化</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增加</w:t>
      </w:r>
      <w:r>
        <w:rPr>
          <w:rFonts w:ascii="仿宋_GB2312" w:hAnsi="仿宋_GB2312" w:cs="仿宋_GB2312" w:hint="eastAsia"/>
          <w:color w:val="000000"/>
          <w:szCs w:val="32"/>
          <w:lang w:val="zh-CN"/>
        </w:rPr>
        <w:t>ETL</w:t>
      </w:r>
      <w:r>
        <w:rPr>
          <w:rFonts w:ascii="仿宋_GB2312" w:hAnsi="仿宋_GB2312" w:cs="仿宋_GB2312" w:hint="eastAsia"/>
          <w:color w:val="000000"/>
          <w:szCs w:val="32"/>
          <w:lang w:val="zh-CN"/>
        </w:rPr>
        <w:t>同步方式的支持类型，扩充分析型数据库到关系型数据库的同步</w:t>
      </w:r>
      <w:r>
        <w:rPr>
          <w:rFonts w:ascii="仿宋_GB2312" w:hAnsi="仿宋_GB2312" w:cs="仿宋_GB2312" w:hint="eastAsia"/>
          <w:color w:val="000000"/>
          <w:szCs w:val="32"/>
          <w:lang w:val="zh-CN"/>
        </w:rPr>
        <w:t>u</w:t>
      </w:r>
      <w:r>
        <w:rPr>
          <w:rFonts w:ascii="仿宋_GB2312" w:hAnsi="仿宋_GB2312" w:cs="仿宋_GB2312" w:hint="eastAsia"/>
          <w:color w:val="000000"/>
          <w:szCs w:val="32"/>
          <w:lang w:val="zh-CN"/>
        </w:rPr>
        <w:t>方式，支撑短临长时间序列数据向关系型数据库的同步方式。</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分析库数据同步优化</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优化短临数据分析库数据同步功能，解决由于单条的</w:t>
      </w:r>
      <w:r>
        <w:rPr>
          <w:rFonts w:ascii="仿宋_GB2312" w:hAnsi="仿宋_GB2312" w:cs="仿宋_GB2312" w:hint="eastAsia"/>
          <w:color w:val="000000"/>
          <w:szCs w:val="32"/>
          <w:lang w:val="zh-CN"/>
        </w:rPr>
        <w:t>dml</w:t>
      </w:r>
      <w:r>
        <w:rPr>
          <w:rFonts w:ascii="仿宋_GB2312" w:hAnsi="仿宋_GB2312" w:cs="仿宋_GB2312" w:hint="eastAsia"/>
          <w:color w:val="000000"/>
          <w:szCs w:val="32"/>
          <w:lang w:val="zh-CN"/>
        </w:rPr>
        <w:t>操作同步性能问题。基于非全列更新方式进行数据处理，提供完整列值信息，在</w:t>
      </w:r>
      <w:r>
        <w:rPr>
          <w:rFonts w:ascii="仿宋_GB2312" w:hAnsi="仿宋_GB2312" w:cs="仿宋_GB2312" w:hint="eastAsia"/>
          <w:color w:val="000000"/>
          <w:szCs w:val="32"/>
          <w:lang w:val="zh-CN"/>
        </w:rPr>
        <w:t>delete</w:t>
      </w:r>
      <w:r>
        <w:rPr>
          <w:rFonts w:ascii="仿宋_GB2312" w:hAnsi="仿宋_GB2312" w:cs="仿宋_GB2312" w:hint="eastAsia"/>
          <w:color w:val="000000"/>
          <w:szCs w:val="32"/>
          <w:lang w:val="zh-CN"/>
        </w:rPr>
        <w:t>操作之前先把整条数据信息查出并固化到持久层，然后再进行</w:t>
      </w:r>
      <w:r>
        <w:rPr>
          <w:rFonts w:ascii="仿宋_GB2312" w:hAnsi="仿宋_GB2312" w:cs="仿宋_GB2312" w:hint="eastAsia"/>
          <w:color w:val="000000"/>
          <w:szCs w:val="32"/>
          <w:lang w:val="zh-CN"/>
        </w:rPr>
        <w:t>delete+insert</w:t>
      </w:r>
      <w:r>
        <w:rPr>
          <w:rFonts w:ascii="仿宋_GB2312" w:hAnsi="仿宋_GB2312" w:cs="仿宋_GB2312" w:hint="eastAsia"/>
          <w:color w:val="000000"/>
          <w:szCs w:val="32"/>
          <w:lang w:val="zh-CN"/>
        </w:rPr>
        <w:t>操作，对分全列更新的操作进行合并攒批处理，保障数据的完整性和时效性。在同步过程中遇到数据类型为字符时，但同步的字符大于存储设计的长度时，实现自动截位同步。</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存储策略架构及管理</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存储策略服务架构升级</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升级现有存储策略服务整体技术架构，实现存储策略任务执行的负载均衡（任务管理服务端</w:t>
      </w:r>
      <w:r>
        <w:rPr>
          <w:rFonts w:ascii="仿宋_GB2312" w:hAnsi="仿宋_GB2312" w:cs="仿宋_GB2312" w:hint="eastAsia"/>
          <w:color w:val="000000"/>
          <w:szCs w:val="32"/>
          <w:lang w:val="zh-CN"/>
        </w:rPr>
        <w:t>+N</w:t>
      </w:r>
      <w:r>
        <w:rPr>
          <w:rFonts w:ascii="仿宋_GB2312" w:hAnsi="仿宋_GB2312" w:cs="仿宋_GB2312" w:hint="eastAsia"/>
          <w:color w:val="000000"/>
          <w:szCs w:val="32"/>
          <w:lang w:val="zh-CN"/>
        </w:rPr>
        <w:t>个任务执行终端），支持任务执行终端分布式部署，存储策略任务并行执行，提升大数据场景下的数据增量</w:t>
      </w:r>
      <w:r>
        <w:rPr>
          <w:rFonts w:ascii="仿宋_GB2312" w:hAnsi="仿宋_GB2312" w:cs="仿宋_GB2312" w:hint="eastAsia"/>
          <w:color w:val="000000"/>
          <w:szCs w:val="32"/>
          <w:lang w:val="zh-CN"/>
        </w:rPr>
        <w:t>/</w:t>
      </w:r>
      <w:r>
        <w:rPr>
          <w:rFonts w:ascii="仿宋_GB2312" w:hAnsi="仿宋_GB2312" w:cs="仿宋_GB2312" w:hint="eastAsia"/>
          <w:color w:val="000000"/>
          <w:szCs w:val="32"/>
          <w:lang w:val="zh-CN"/>
        </w:rPr>
        <w:t>全量备份、数据清除、迁移的稳定性及时效性。</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专题数据存储策略管理</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扩展支持对短临等专题数据的存储策略管理，包括专题库数据同步、备份、清除、迁移、恢复等。相关存储策略由用户基于“天擎”</w:t>
      </w:r>
      <w:r>
        <w:rPr>
          <w:rFonts w:ascii="仿宋_GB2312" w:hAnsi="仿宋_GB2312" w:cs="仿宋_GB2312" w:hint="eastAsia"/>
          <w:color w:val="000000"/>
          <w:szCs w:val="32"/>
          <w:lang w:val="zh-CN"/>
        </w:rPr>
        <w:t>Portal</w:t>
      </w:r>
      <w:r>
        <w:rPr>
          <w:rFonts w:ascii="仿宋_GB2312" w:hAnsi="仿宋_GB2312" w:cs="仿宋_GB2312" w:hint="eastAsia"/>
          <w:color w:val="000000"/>
          <w:szCs w:val="32"/>
          <w:lang w:val="zh-CN"/>
        </w:rPr>
        <w:t>网站自行进行设置，再由存储管理系统管理员进行审核和策略的发布执行。</w:t>
      </w:r>
    </w:p>
    <w:p w:rsidR="005B6786" w:rsidP="005B6786">
      <w:pPr>
        <w:pStyle w:val="Heading4"/>
        <w:keepNext/>
        <w:keepLines/>
        <w:widowControl w:val="0"/>
        <w:numPr>
          <w:ilvl w:val="3"/>
          <w:numId w:val="4"/>
        </w:numPr>
        <w:spacing w:line="560" w:lineRule="exact"/>
        <w:ind w:left="864" w:hanging="864"/>
        <w:jc w:val="both"/>
        <w:rPr>
          <w:rFonts w:hint="eastAsia"/>
          <w:lang w:val="zh-CN"/>
        </w:rPr>
      </w:pPr>
      <w:r>
        <w:rPr>
          <w:rFonts w:hint="eastAsia"/>
        </w:rPr>
        <w:t>气象数据归档能力升级</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数据库归档与回取管理</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空间分析库开放存储数据归档与回取管理</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针对空间分析库开放存储的数据，按照数据管理和长期保存需求，提供数据归档与回取管理功能。将历史数据进行归档存储，在需要时可快速回取，满足数据的长期管理和查询需求。</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实时应用库开放存储数据归档与回取管理</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根据实时应用库开放存储的数据的应用特点和长期存储需求，提供数据归档与回取管理功能。可将历史实时数据进行归档，在需要回顾历史数据时，能够方便快捷地进行回取。</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数据服务库开放存储数据归档与回取管理</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结合数据服务库开放存储的数据的服务特性和长期存储需求，提供数据归档与回取管理功能。对历史数据进行有序归档，确保数据服务在需要历史数据支撑时，能够迅速回取相应数据。支持原始文件归档与回取。</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历史分析库开放存储数据归档与回取管理</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依据历史分析库开放存储的数据的分析需求和长期存储需求，提供数据归档与回取管理功能。可将历史分析数据进行归档，在后续分析需要参考历史数据时，能够方便地进行回取。</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气象语料库开放存储数据归档与回取管理</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根据气象语料库开放存储的数据的特点和长期存储需求，提供数据归档与回取管理功能。将历史气象语料数据进行归档，在气象研究或应用需要历史数据时，能够快速准确地回取数据。</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气象数据归档能力</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归档数据管理能力升级</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针对数据全流程管理、追溯对归档环节数据管理能力提升的要求，为了方便快捷地从归档数据中提取元数据信息，实现与在线存储数据的关系追溯，满足全流程数据治理对历史归档数据的查询和使用需求，构建基于归档元数据的归档数据管理能力。基于已有的资料类别编码的数据关系信息和数据处理、存储管理信息，构建气象资料数据文件粒度的数据追溯能力。形成对业务管理、在线存储管理的数据支撑。</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归档智能化改造升级</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针对归档资料需要人工判别，手动形成归档策略的现状，为解决配置归档任务效率低，人工判读资料速度慢的问题，引入智能分析技术加速资料识别、处理效率，优化新增归档任务的自动化程度，实现归档效率的提升，增强数据归档能力及管理能力，满足短临新增数据对资料归档效率的要求。</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历史数据补档</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针对实际业务流程中的各种不确定因素导致的归档数据的缺失或者异常情况，构建定期对归档数据完整性的统计功能，分析资料的时空完整性，针对缺失数据，从预先配置的其他数据源发现、获取归档的缺失数据，完成缺失数据的补充归档，保障归档资料的完整性。</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实时数据归档升级</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针对短临新增气象观测数据、产品带来的归档数据量的增加（包含通过交换系统收集的所有数据，以及应用加工的产品），需要调整归档系统的架构设计、功能设计，通过系统功能挖潜，如存储系统软件的更新，优化归档流程环节，减少数据</w:t>
      </w:r>
      <w:r>
        <w:rPr>
          <w:rFonts w:ascii="仿宋_GB2312" w:hAnsi="仿宋_GB2312" w:cs="仿宋_GB2312" w:hint="eastAsia"/>
          <w:color w:val="000000"/>
          <w:szCs w:val="32"/>
          <w:lang w:val="zh-CN"/>
        </w:rPr>
        <w:t>I/O</w:t>
      </w:r>
      <w:r>
        <w:rPr>
          <w:rFonts w:ascii="仿宋_GB2312" w:hAnsi="仿宋_GB2312" w:cs="仿宋_GB2312" w:hint="eastAsia"/>
          <w:color w:val="000000"/>
          <w:szCs w:val="32"/>
          <w:lang w:val="zh-CN"/>
        </w:rPr>
        <w:t>读写，以此提升数据归档的性能，满足短临数据增长带来的处理压力。</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数据库存储数据归档</w:t>
      </w:r>
    </w:p>
    <w:p w:rsidR="005B6786" w:rsidP="005B6786">
      <w:pPr>
        <w:pStyle w:val="Heading7"/>
        <w:keepNext/>
        <w:keepLines/>
        <w:widowControl w:val="0"/>
        <w:numPr>
          <w:ilvl w:val="6"/>
          <w:numId w:val="4"/>
        </w:numPr>
        <w:tabs>
          <w:tab w:val="left" w:pos="1440"/>
        </w:tabs>
        <w:spacing w:before="240" w:after="64" w:line="320" w:lineRule="auto"/>
        <w:ind w:left="1296" w:hanging="1296"/>
        <w:jc w:val="left"/>
        <w:textAlignment w:val="center"/>
        <w:rPr>
          <w:rFonts w:hint="eastAsia"/>
        </w:rPr>
      </w:pPr>
      <w:r>
        <w:rPr>
          <w:rFonts w:hint="eastAsia"/>
        </w:rPr>
        <w:t>实时库存储数据归档</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针对实时应用库存储数据的实时性和连续性要求，以及长期存储和历史数据追溯的需求，提供针对性的数据归档与回取功能。归档时，按照时间顺序，以固定时间间隔对实时数据进行切片存储，同时记录数据产生的时间戳和相关业务标识，确保数据完整性和可追溯性。</w:t>
      </w:r>
    </w:p>
    <w:p w:rsidR="005B6786" w:rsidP="005B6786">
      <w:pPr>
        <w:pStyle w:val="Heading7"/>
        <w:keepNext/>
        <w:keepLines/>
        <w:widowControl w:val="0"/>
        <w:numPr>
          <w:ilvl w:val="6"/>
          <w:numId w:val="4"/>
        </w:numPr>
        <w:tabs>
          <w:tab w:val="left" w:pos="1440"/>
        </w:tabs>
        <w:spacing w:before="240" w:after="64" w:line="320" w:lineRule="auto"/>
        <w:ind w:left="1296" w:hanging="1296"/>
        <w:jc w:val="left"/>
        <w:textAlignment w:val="center"/>
        <w:rPr>
          <w:rFonts w:hint="eastAsia"/>
        </w:rPr>
      </w:pPr>
      <w:r>
        <w:rPr>
          <w:rFonts w:hint="eastAsia"/>
        </w:rPr>
        <w:t>空间分析库存储数据归档</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针对空间分析库存储数据具有空间维度和时间序列特征，以及对长期保存和精准查询的需求，提供专业的数据归档与回取管理功能。归档时，依据空间数据的时间、区域、空间分辨率等维度进行分层分类存储，构建空间索引以优化存储结构，保障数据的高效管理。</w:t>
      </w:r>
    </w:p>
    <w:p w:rsidR="005B6786" w:rsidP="005B6786">
      <w:pPr>
        <w:pStyle w:val="Heading7"/>
        <w:keepNext/>
        <w:keepLines/>
        <w:widowControl w:val="0"/>
        <w:numPr>
          <w:ilvl w:val="6"/>
          <w:numId w:val="4"/>
        </w:numPr>
        <w:tabs>
          <w:tab w:val="left" w:pos="1440"/>
        </w:tabs>
        <w:spacing w:before="240" w:after="64" w:line="320" w:lineRule="auto"/>
        <w:ind w:left="1296" w:hanging="1296"/>
        <w:jc w:val="left"/>
        <w:textAlignment w:val="center"/>
        <w:rPr>
          <w:rFonts w:hint="eastAsia"/>
        </w:rPr>
      </w:pPr>
      <w:r>
        <w:rPr>
          <w:rFonts w:hint="eastAsia"/>
        </w:rPr>
        <w:t>历史分析库存储数据归档</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基于历史分析库存储数据的分析复杂性、数据来源多样性以及长期存储和分析连贯性需求，提供高效的数据归档与回取功能。归档时，进行分类存储，建立分析任务与数据来源关联索引，提高数据存储和管理效率。</w:t>
      </w:r>
    </w:p>
    <w:p w:rsidR="005B6786" w:rsidP="005B6786">
      <w:pPr>
        <w:pStyle w:val="Heading7"/>
        <w:keepNext/>
        <w:keepLines/>
        <w:widowControl w:val="0"/>
        <w:numPr>
          <w:ilvl w:val="6"/>
          <w:numId w:val="4"/>
        </w:numPr>
        <w:tabs>
          <w:tab w:val="left" w:pos="1440"/>
        </w:tabs>
        <w:spacing w:before="240" w:after="64" w:line="320" w:lineRule="auto"/>
        <w:ind w:left="1296" w:hanging="1296"/>
        <w:jc w:val="left"/>
        <w:textAlignment w:val="center"/>
        <w:rPr>
          <w:rFonts w:hint="eastAsia"/>
        </w:rPr>
      </w:pPr>
      <w:r>
        <w:rPr>
          <w:rFonts w:hint="eastAsia"/>
        </w:rPr>
        <w:t>数据服务库存储数据归档</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针对数据服务库存储数据的服务多样性、版本迭代性以及长期保存和业务支撑需求，提供定制化的数据归档与回取管理功能。归档时，根据数据服务的业务类别（如用户信息服务、订单处理服务等）、数据版本号、数据更新频率等进行分类存储，建立业务与版本关联索引，方便数据管理和维护。</w:t>
      </w:r>
    </w:p>
    <w:p w:rsidR="005B6786" w:rsidP="005B6786">
      <w:pPr>
        <w:pStyle w:val="Heading7"/>
        <w:keepNext/>
        <w:keepLines/>
        <w:widowControl w:val="0"/>
        <w:numPr>
          <w:ilvl w:val="6"/>
          <w:numId w:val="4"/>
        </w:numPr>
        <w:tabs>
          <w:tab w:val="left" w:pos="1440"/>
        </w:tabs>
        <w:spacing w:before="240" w:after="64" w:line="320" w:lineRule="auto"/>
        <w:ind w:left="1296" w:hanging="1296"/>
        <w:jc w:val="left"/>
        <w:textAlignment w:val="center"/>
        <w:rPr>
          <w:rFonts w:hint="eastAsia"/>
        </w:rPr>
      </w:pPr>
      <w:r>
        <w:rPr>
          <w:rFonts w:hint="eastAsia"/>
        </w:rPr>
        <w:t>气象语料库存储数据归档</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依据气象语料库存储数据的气象专业性、时间序列性以及长期存储和气象研究应用需求，提供专业的数据归档与回取管理功能。利用关联索引快速定位并回取所需历史气象语料数据。</w:t>
      </w:r>
    </w:p>
    <w:p w:rsidR="005B6786" w:rsidP="005B6786">
      <w:pPr>
        <w:pStyle w:val="Heading7"/>
        <w:keepNext/>
        <w:keepLines/>
        <w:widowControl w:val="0"/>
        <w:numPr>
          <w:ilvl w:val="6"/>
          <w:numId w:val="4"/>
        </w:numPr>
        <w:tabs>
          <w:tab w:val="left" w:pos="1440"/>
        </w:tabs>
        <w:spacing w:before="240" w:after="64" w:line="320" w:lineRule="auto"/>
        <w:ind w:left="1296" w:hanging="1296"/>
        <w:jc w:val="left"/>
        <w:textAlignment w:val="center"/>
        <w:rPr>
          <w:rFonts w:hint="eastAsia"/>
        </w:rPr>
      </w:pPr>
      <w:r>
        <w:rPr>
          <w:rFonts w:hint="eastAsia"/>
        </w:rPr>
        <w:t>基于角色的权限管理升级</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优化权限管理，增加运维用户、服务管理员、归档管理员、磁带库管理员和数据用户等</w:t>
      </w:r>
      <w:r>
        <w:rPr>
          <w:rFonts w:ascii="仿宋_GB2312" w:hAnsi="仿宋_GB2312" w:cs="仿宋_GB2312" w:hint="eastAsia"/>
          <w:color w:val="000000"/>
          <w:szCs w:val="32"/>
          <w:lang w:val="zh-CN"/>
        </w:rPr>
        <w:t>5</w:t>
      </w:r>
      <w:r>
        <w:rPr>
          <w:rFonts w:ascii="仿宋_GB2312" w:hAnsi="仿宋_GB2312" w:cs="仿宋_GB2312" w:hint="eastAsia"/>
          <w:color w:val="000000"/>
          <w:szCs w:val="32"/>
          <w:lang w:val="zh-CN"/>
        </w:rPr>
        <w:t>类角色，并对访问数据资源、权限授权范围实现精准控制。由管理员创建角色权限，设置权限名称、权限描述，以及分配权限树功能，并且给用户绑定角色权限。分配权限后，给不同用户绑定角色权限，绑定角色权限后，用户重新登陆系统，后台系统校验用户角色权限，并呈现不同导航栏菜单功能。</w:t>
      </w:r>
    </w:p>
    <w:p w:rsidR="005B6786" w:rsidP="005B6786">
      <w:pPr>
        <w:pStyle w:val="Heading7"/>
        <w:keepNext/>
        <w:keepLines/>
        <w:widowControl w:val="0"/>
        <w:numPr>
          <w:ilvl w:val="6"/>
          <w:numId w:val="4"/>
        </w:numPr>
        <w:tabs>
          <w:tab w:val="left" w:pos="1440"/>
        </w:tabs>
        <w:spacing w:before="240" w:after="64" w:line="320" w:lineRule="auto"/>
        <w:ind w:left="1296" w:hanging="1296"/>
        <w:jc w:val="left"/>
        <w:textAlignment w:val="center"/>
        <w:rPr>
          <w:rFonts w:hint="eastAsia"/>
        </w:rPr>
      </w:pPr>
      <w:r>
        <w:rPr>
          <w:rFonts w:hint="eastAsia"/>
        </w:rPr>
        <w:t>气象归档资料并行调度回取</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针对资料调度回取时，单一任务单一流程串行操作带来的效率低、回取慢的问题。通过改进</w:t>
      </w:r>
      <w:r>
        <w:rPr>
          <w:rFonts w:ascii="仿宋_GB2312" w:hAnsi="仿宋_GB2312" w:cs="仿宋_GB2312" w:hint="eastAsia"/>
          <w:color w:val="000000"/>
          <w:szCs w:val="32"/>
          <w:lang w:val="zh-CN"/>
        </w:rPr>
        <w:t>MSP</w:t>
      </w:r>
      <w:r>
        <w:rPr>
          <w:rFonts w:ascii="仿宋_GB2312" w:hAnsi="仿宋_GB2312" w:cs="仿宋_GB2312" w:hint="eastAsia"/>
          <w:color w:val="000000"/>
          <w:szCs w:val="32"/>
          <w:lang w:val="zh-CN"/>
        </w:rPr>
        <w:t>系统任务调配功能，改进应用流程的多任务分配能力，实现多种资料且非同一盘磁带的回取任务，自动进行数据定位，结合当前数据归档、数据回取任务的运行负载情况，分析任务合理并行度，进行任务拆分，同时装载、读取多盘不同类型资料的磁带数据，提高并发执行能力；智能排序优化，系统自动快速定位、排序，优先回取同一盘磁带中的多组数据，对于同一盘磁带中的数据，按数据在磁带中的存储先后顺序，读取数据，减少倒带时间，提高数据回取的速度。该任务涉及硬件调试</w:t>
      </w:r>
      <w:r>
        <w:rPr>
          <w:rFonts w:ascii="仿宋_GB2312" w:hAnsi="仿宋_GB2312" w:cs="仿宋_GB2312" w:hint="eastAsia"/>
          <w:color w:val="000000"/>
          <w:szCs w:val="32"/>
          <w:lang w:val="zh-CN"/>
        </w:rPr>
        <w:t xml:space="preserve">,MSP </w:t>
      </w:r>
      <w:r>
        <w:rPr>
          <w:rFonts w:ascii="仿宋_GB2312" w:hAnsi="仿宋_GB2312" w:cs="仿宋_GB2312" w:hint="eastAsia"/>
          <w:color w:val="000000"/>
          <w:szCs w:val="32"/>
          <w:lang w:val="zh-CN"/>
        </w:rPr>
        <w:t>系统软件改造</w:t>
      </w:r>
      <w:r>
        <w:rPr>
          <w:rFonts w:ascii="仿宋_GB2312" w:hAnsi="仿宋_GB2312" w:cs="仿宋_GB2312" w:hint="eastAsia"/>
          <w:color w:val="000000"/>
          <w:szCs w:val="32"/>
          <w:lang w:val="zh-CN"/>
        </w:rPr>
        <w:t>,</w:t>
      </w:r>
      <w:r>
        <w:rPr>
          <w:rFonts w:ascii="仿宋_GB2312" w:hAnsi="仿宋_GB2312" w:cs="仿宋_GB2312" w:hint="eastAsia"/>
          <w:color w:val="000000"/>
          <w:szCs w:val="32"/>
          <w:lang w:val="zh-CN"/>
        </w:rPr>
        <w:t>策略算法改造多方面人员参与</w:t>
      </w:r>
      <w:r>
        <w:rPr>
          <w:rFonts w:ascii="仿宋_GB2312" w:hAnsi="仿宋_GB2312" w:cs="仿宋_GB2312" w:hint="eastAsia"/>
          <w:color w:val="000000"/>
          <w:szCs w:val="32"/>
          <w:lang w:val="zh-CN"/>
        </w:rPr>
        <w:t>.</w:t>
      </w:r>
    </w:p>
    <w:p w:rsidR="005B6786" w:rsidP="005B6786">
      <w:pPr>
        <w:pStyle w:val="Heading7"/>
        <w:keepNext/>
        <w:keepLines/>
        <w:widowControl w:val="0"/>
        <w:numPr>
          <w:ilvl w:val="6"/>
          <w:numId w:val="4"/>
        </w:numPr>
        <w:tabs>
          <w:tab w:val="left" w:pos="1440"/>
        </w:tabs>
        <w:spacing w:before="240" w:after="64" w:line="320" w:lineRule="auto"/>
        <w:ind w:left="1296" w:hanging="1296"/>
        <w:jc w:val="left"/>
        <w:textAlignment w:val="center"/>
        <w:rPr>
          <w:rFonts w:hint="eastAsia"/>
        </w:rPr>
      </w:pPr>
      <w:r>
        <w:rPr>
          <w:rFonts w:hint="eastAsia"/>
        </w:rPr>
        <w:t>磁带离库、在库一体化管理</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与离线磁带管理系统对接。为了实现离线磁带的智能化管理，天擎归档系统进行软件功能升级，结合归档存储的管理功能及磁带信息，实现智能存储管理系统与现有的气象大数据云平台天擎数据归档系统的对接，实现离线磁带信息的智能化管理，保证磁带存放位置信息准确、存</w:t>
      </w:r>
      <w:r>
        <w:rPr>
          <w:rFonts w:ascii="仿宋_GB2312" w:hAnsi="仿宋_GB2312" w:cs="仿宋_GB2312" w:hint="eastAsia"/>
          <w:color w:val="000000"/>
          <w:szCs w:val="32"/>
          <w:lang w:val="zh-CN"/>
        </w:rPr>
        <w:t>/</w:t>
      </w:r>
      <w:r>
        <w:rPr>
          <w:rFonts w:ascii="仿宋_GB2312" w:hAnsi="仿宋_GB2312" w:cs="仿宋_GB2312" w:hint="eastAsia"/>
          <w:color w:val="000000"/>
          <w:szCs w:val="32"/>
          <w:lang w:val="zh-CN"/>
        </w:rPr>
        <w:t>取管理方便、容易查找不丢失，完成离线磁带的一体化、智能化管理。</w:t>
      </w:r>
      <w:r w:rsidRPr="00683D7D">
        <w:rPr>
          <w:rFonts w:ascii="仿宋_GB2312" w:hAnsi="仿宋_GB2312" w:cs="仿宋_GB2312" w:hint="eastAsia"/>
          <w:color w:val="000000"/>
          <w:szCs w:val="32"/>
          <w:lang w:val="zh-CN"/>
        </w:rPr>
        <w:t>完善归档存储介质、数据保障机制，为用户提供了解归档数据和存储质量状态的可视化手段，保障归档数据“可靠性”</w:t>
      </w:r>
      <w:r>
        <w:rPr>
          <w:rFonts w:ascii="仿宋_GB2312" w:hAnsi="仿宋_GB2312" w:cs="仿宋_GB2312" w:hint="eastAsia"/>
          <w:color w:val="000000"/>
          <w:szCs w:val="32"/>
          <w:lang w:val="zh-CN"/>
        </w:rPr>
        <w:t>。</w:t>
      </w:r>
    </w:p>
    <w:p w:rsidR="005B6786" w:rsidP="005B6786">
      <w:pPr>
        <w:pStyle w:val="Heading7"/>
        <w:keepNext/>
        <w:keepLines/>
        <w:widowControl w:val="0"/>
        <w:numPr>
          <w:ilvl w:val="6"/>
          <w:numId w:val="4"/>
        </w:numPr>
        <w:tabs>
          <w:tab w:val="left" w:pos="1440"/>
        </w:tabs>
        <w:spacing w:before="240" w:after="64" w:line="320" w:lineRule="auto"/>
        <w:ind w:left="1296" w:hanging="1296"/>
        <w:jc w:val="left"/>
        <w:textAlignment w:val="center"/>
        <w:rPr>
          <w:rFonts w:hint="eastAsia"/>
        </w:rPr>
      </w:pPr>
      <w:r>
        <w:rPr>
          <w:rFonts w:hint="eastAsia"/>
        </w:rPr>
        <w:t>归档业务监视自动同步天镜</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实现归档业务内容与天镜监视策略的自动对接。用户在归档系统内完成策略配置后，系统将根据天镜系统监视策略内容要求，自动分析新增归档业务内容和所需监视的系统环境信息，生成天镜需要的信息，自动将配置信息同步至天镜监控平台</w:t>
      </w:r>
      <w:r>
        <w:rPr>
          <w:rFonts w:ascii="仿宋_GB2312" w:hAnsi="仿宋_GB2312" w:cs="仿宋_GB2312" w:hint="eastAsia"/>
          <w:color w:val="000000"/>
          <w:szCs w:val="32"/>
          <w:lang w:val="zh-CN"/>
        </w:rPr>
        <w:t>,</w:t>
      </w:r>
      <w:r>
        <w:rPr>
          <w:rFonts w:ascii="仿宋_GB2312" w:hAnsi="仿宋_GB2312" w:cs="仿宋_GB2312" w:hint="eastAsia"/>
          <w:color w:val="000000"/>
          <w:szCs w:val="32"/>
          <w:lang w:val="zh-CN"/>
        </w:rPr>
        <w:t>生成相应的监控策略信息，实现从归档业务到监控功能生成的高效流程，节省不同系统人工对接，手动配置配置的工作。</w:t>
      </w:r>
    </w:p>
    <w:p w:rsidR="005B6786" w:rsidP="005B6786">
      <w:pPr>
        <w:pStyle w:val="Heading7"/>
        <w:keepNext/>
        <w:keepLines/>
        <w:widowControl w:val="0"/>
        <w:numPr>
          <w:ilvl w:val="6"/>
          <w:numId w:val="4"/>
        </w:numPr>
        <w:tabs>
          <w:tab w:val="left" w:pos="1440"/>
        </w:tabs>
        <w:spacing w:before="240" w:after="64" w:line="320" w:lineRule="auto"/>
        <w:ind w:left="1296" w:hanging="1296"/>
        <w:jc w:val="left"/>
        <w:textAlignment w:val="center"/>
        <w:rPr>
          <w:rFonts w:hint="eastAsia"/>
        </w:rPr>
      </w:pPr>
      <w:r>
        <w:rPr>
          <w:rFonts w:hint="eastAsia"/>
        </w:rPr>
        <w:t>归档系统磁带资源分析</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lang w:val="zh-CN"/>
        </w:rPr>
        <w:t>为用户提供全面、准确的磁带资源使用信息。用户可通过接口获取归档系统磁带的总数、存储数据量、使用空间等关键信息，进而对磁带资源进行合理规划和高效管理。为了更高效地管理和监控归档系统的磁带使用情况，提供了统计接口，包括磁带总数、存储数据量、总存储空间、已使用空间和已使用磁带数在内的关键信息。借助该统计接口管理员或用户能够轻松地获取归档系统磁带的整体使用情况，从而做出更有效的资源分配和管理决策。</w:t>
      </w:r>
    </w:p>
    <w:p w:rsidR="005B6786" w:rsidP="005B6786">
      <w:pPr>
        <w:pStyle w:val="Heading4"/>
        <w:keepNext/>
        <w:keepLines/>
        <w:widowControl w:val="0"/>
        <w:numPr>
          <w:ilvl w:val="3"/>
          <w:numId w:val="4"/>
        </w:numPr>
        <w:spacing w:line="560" w:lineRule="exact"/>
        <w:ind w:left="864" w:hanging="864"/>
        <w:jc w:val="both"/>
      </w:pPr>
      <w:r>
        <w:rPr>
          <w:rFonts w:hint="eastAsia"/>
        </w:rPr>
        <w:t>气象元数据管理</w:t>
      </w:r>
      <w:r>
        <w:t>升级</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元数据规范化</w:t>
      </w:r>
      <w:r>
        <w:t>注册和管理</w:t>
      </w:r>
    </w:p>
    <w:p w:rsidR="005B6786" w:rsidP="005B6786">
      <w:pPr>
        <w:pStyle w:val="Heading6"/>
        <w:keepNext/>
        <w:keepLines/>
        <w:widowControl w:val="0"/>
        <w:numPr>
          <w:ilvl w:val="5"/>
          <w:numId w:val="4"/>
        </w:numPr>
        <w:tabs>
          <w:tab w:val="left" w:pos="1152"/>
        </w:tabs>
        <w:spacing w:line="560" w:lineRule="exact"/>
        <w:ind w:left="1151" w:hanging="1151"/>
        <w:jc w:val="both"/>
      </w:pPr>
      <w:r>
        <w:rPr>
          <w:rFonts w:hint="eastAsia"/>
        </w:rPr>
        <w:t>元数据</w:t>
      </w:r>
      <w:r>
        <w:t>和资料编码整合和组件化</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优化并整合元数据填报功能，并进行组件化改造，实现资料元数据、资料编码和血缘关系整合后统一管理，简化元数据注册、维护和审批流程，实现必填项、选填项和扩展项分类填报和质量验证。调整文件名规则、数据量等元数据信息填报功能。根据资料元数据来源、创建或更新时间、负责单位和负责人、发布状态等信息，实现多维度查询和交互式展示，全量及关键信息按需导出存储。新增数据集代码、资料编码规范化填报和验证功能。</w:t>
      </w:r>
    </w:p>
    <w:p w:rsidR="005B6786" w:rsidP="005B6786">
      <w:pPr>
        <w:pStyle w:val="Heading6"/>
        <w:keepNext/>
        <w:keepLines/>
        <w:widowControl w:val="0"/>
        <w:numPr>
          <w:ilvl w:val="5"/>
          <w:numId w:val="4"/>
        </w:numPr>
        <w:tabs>
          <w:tab w:val="left" w:pos="1152"/>
        </w:tabs>
        <w:spacing w:line="560" w:lineRule="exact"/>
        <w:ind w:left="1151" w:hanging="1151"/>
        <w:jc w:val="both"/>
      </w:pPr>
      <w:r>
        <w:rPr>
          <w:rFonts w:hint="eastAsia"/>
        </w:rPr>
        <w:t>数据分类分级信息审批流程建立</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完善分类分级信息的审批流程，将分类分级的待审核数据以接口方式提供数盾系统应用，数盾系统审批结果回写至元数据系统并提供审批状态展示。优化元数据管理系统、天擎门户、仿真平台等元数据注册功能，数据发布状态与元数据审批状态、分类分级审批状态关联，实现数据发布自动控制。优化仿真平台与业务平台资料元数据迁移模块功能，提升元数据迁移效率。</w:t>
      </w:r>
    </w:p>
    <w:p w:rsidR="005B6786" w:rsidP="005B6786">
      <w:pPr>
        <w:pStyle w:val="Heading6"/>
        <w:keepNext/>
        <w:keepLines/>
        <w:widowControl w:val="0"/>
        <w:numPr>
          <w:ilvl w:val="5"/>
          <w:numId w:val="4"/>
        </w:numPr>
        <w:tabs>
          <w:tab w:val="left" w:pos="1152"/>
        </w:tabs>
        <w:spacing w:line="560" w:lineRule="exact"/>
        <w:ind w:left="1151" w:hanging="1151"/>
        <w:jc w:val="both"/>
      </w:pPr>
      <w:r>
        <w:rPr>
          <w:rFonts w:hint="eastAsia"/>
        </w:rPr>
        <w:t>元数据</w:t>
      </w:r>
      <w:r>
        <w:t>关键</w:t>
      </w:r>
      <w:r>
        <w:rPr>
          <w:rFonts w:hint="eastAsia"/>
        </w:rPr>
        <w:t>词</w:t>
      </w:r>
      <w:r>
        <w:t>规范化管理</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针对短临预警预报数据业务需求，对接高价值产品管理平台，专题类关键词中增加高价值产品关键词，新增高价值产品元数据对比验证和同步功能，基于元数据系统，实现高价值产品标签统一管理和服务。优化关键词填报功能，实现关键词按照学科、时间、地理范围、层次等分类精细化填报。新增关键词统一管理和维护功能。</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短临预警气象数据元存储模型建立</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根据气象数据元相关标准，建立短临预警气象数据元存储模型，增加气象数据元属性，优化气象数据元注册、管理和审批功能，增加数据元应用情况查询功能和代码表管理功能，对气象数据元查询浏览功能进行组件化改造。新增</w:t>
      </w:r>
      <w:r>
        <w:rPr>
          <w:rFonts w:ascii="仿宋_GB2312" w:hAnsi="仿宋_GB2312" w:cs="仿宋_GB2312" w:hint="eastAsia"/>
          <w:color w:val="000000"/>
          <w:szCs w:val="32"/>
          <w:lang w:val="zh-CN"/>
        </w:rPr>
        <w:t>BUFR</w:t>
      </w:r>
      <w:r>
        <w:rPr>
          <w:rFonts w:ascii="仿宋_GB2312" w:hAnsi="仿宋_GB2312" w:cs="仿宋_GB2312" w:hint="eastAsia"/>
          <w:color w:val="000000"/>
          <w:szCs w:val="32"/>
          <w:lang w:val="zh-CN"/>
        </w:rPr>
        <w:t>要素描述符、</w:t>
      </w:r>
      <w:r>
        <w:rPr>
          <w:rFonts w:ascii="仿宋_GB2312" w:hAnsi="仿宋_GB2312" w:cs="仿宋_GB2312" w:hint="eastAsia"/>
          <w:color w:val="000000"/>
          <w:szCs w:val="32"/>
          <w:lang w:val="zh-CN"/>
        </w:rPr>
        <w:t>GRIB</w:t>
      </w:r>
      <w:r>
        <w:rPr>
          <w:rFonts w:ascii="仿宋_GB2312" w:hAnsi="仿宋_GB2312" w:cs="仿宋_GB2312" w:hint="eastAsia"/>
          <w:color w:val="000000"/>
          <w:szCs w:val="32"/>
          <w:lang w:val="zh-CN"/>
        </w:rPr>
        <w:t>要素编码管理功能，并与气象数据元建立关联。</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资料元数据版本和质量管理</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记录资料元数据创建和更新的版本信息，实现资料元数据历史沿革的可追溯，包括创建和变更时间、变更人、变更内容等。新增元数据质量检查方法管理和关联配置功能。</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短临预警垂直观测台站分类查询和服务</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对风廓线雷达、</w:t>
      </w:r>
      <w:r>
        <w:rPr>
          <w:rFonts w:ascii="仿宋_GB2312" w:hAnsi="仿宋_GB2312" w:cs="仿宋_GB2312" w:hint="eastAsia"/>
          <w:color w:val="000000"/>
          <w:szCs w:val="32"/>
          <w:lang w:val="zh-CN"/>
        </w:rPr>
        <w:t>GNSS/MET</w:t>
      </w:r>
      <w:r>
        <w:rPr>
          <w:rFonts w:ascii="仿宋_GB2312" w:hAnsi="仿宋_GB2312" w:cs="仿宋_GB2312" w:hint="eastAsia"/>
          <w:color w:val="000000"/>
          <w:szCs w:val="32"/>
          <w:lang w:val="zh-CN"/>
        </w:rPr>
        <w:t>水汽、微波辐射计、气溶胶激光雷达、测风雷达等垂直观测台站按观测设备分类管理，实现不同观测设备元数据信息分类查询展示，提供应用服务。</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短临预警大气成分站分类查询和服务</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对于大气成分站，按气溶胶观测、温室气体观测、反应性气体观测等不同观测任务进行分类，按分类划分站网，建立站网与台站对应关联关系，实现分类查询和应用服务。</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短临预警天气雷达站元数据信息查询和服务</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面向短临预警天气雷达数据应用需求，实现</w:t>
      </w:r>
      <w:r>
        <w:rPr>
          <w:rFonts w:ascii="仿宋_GB2312" w:hAnsi="仿宋_GB2312" w:cs="仿宋_GB2312" w:hint="eastAsia"/>
          <w:color w:val="000000"/>
          <w:szCs w:val="32"/>
          <w:lang w:val="zh-CN"/>
        </w:rPr>
        <w:t>S</w:t>
      </w:r>
      <w:r>
        <w:rPr>
          <w:rFonts w:ascii="仿宋_GB2312" w:hAnsi="仿宋_GB2312" w:cs="仿宋_GB2312" w:hint="eastAsia"/>
          <w:color w:val="000000"/>
          <w:szCs w:val="32"/>
          <w:lang w:val="zh-CN"/>
        </w:rPr>
        <w:t>波段、</w:t>
      </w:r>
      <w:r>
        <w:rPr>
          <w:rFonts w:ascii="仿宋_GB2312" w:hAnsi="仿宋_GB2312" w:cs="仿宋_GB2312" w:hint="eastAsia"/>
          <w:color w:val="000000"/>
          <w:szCs w:val="32"/>
          <w:lang w:val="zh-CN"/>
        </w:rPr>
        <w:t>C</w:t>
      </w:r>
      <w:r>
        <w:rPr>
          <w:rFonts w:ascii="仿宋_GB2312" w:hAnsi="仿宋_GB2312" w:cs="仿宋_GB2312" w:hint="eastAsia"/>
          <w:color w:val="000000"/>
          <w:szCs w:val="32"/>
          <w:lang w:val="zh-CN"/>
        </w:rPr>
        <w:t>波段、</w:t>
      </w:r>
      <w:r>
        <w:rPr>
          <w:rFonts w:ascii="仿宋_GB2312" w:hAnsi="仿宋_GB2312" w:cs="仿宋_GB2312" w:hint="eastAsia"/>
          <w:color w:val="000000"/>
          <w:szCs w:val="32"/>
          <w:lang w:val="zh-CN"/>
        </w:rPr>
        <w:t>X</w:t>
      </w:r>
      <w:r>
        <w:rPr>
          <w:rFonts w:ascii="仿宋_GB2312" w:hAnsi="仿宋_GB2312" w:cs="仿宋_GB2312" w:hint="eastAsia"/>
          <w:color w:val="000000"/>
          <w:szCs w:val="32"/>
          <w:lang w:val="zh-CN"/>
        </w:rPr>
        <w:t>波段多普勒天气雷达基础信息、设备参数、业务运行信息查询和应用服务。</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历史台站元数据管理和服务应用</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面向短临预警业务对历史台站元数据查询应用需求，实现气象台站经纬度、测站高度、观测要素等历史元数据信息存储管理，提供应用服务。</w:t>
      </w:r>
    </w:p>
    <w:p w:rsidR="005B6786" w:rsidP="005B6786">
      <w:pPr>
        <w:pStyle w:val="Heading6"/>
        <w:keepNext/>
        <w:keepLines/>
        <w:widowControl w:val="0"/>
        <w:numPr>
          <w:ilvl w:val="5"/>
          <w:numId w:val="4"/>
        </w:numPr>
        <w:tabs>
          <w:tab w:val="left" w:pos="1152"/>
        </w:tabs>
        <w:spacing w:line="560" w:lineRule="exact"/>
        <w:ind w:left="1151" w:hanging="1151"/>
        <w:jc w:val="both"/>
      </w:pPr>
      <w:r>
        <w:rPr>
          <w:rFonts w:hint="eastAsia"/>
        </w:rPr>
        <w:t>台站业务运行考核信息管理和服务</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面向短临预警业务中对气象台站业务运行和考核信息应用的需求，实现台站业务运行信息（包括业务运行、业务试运行、待业务运行、暂停业务运行等）、考核信息（包括国家级考核、省级考核等）管理，提供应用服务。</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建立台站元数据分类服务接口</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面向短临预警业务中对台站元数据的多维度应用需求，按中国和全球，国家站和区域站，地面站和高空站等分类，建立台站元数据服务接口，提供应用服务。</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文件名规则、数据量等元数据信息管理和服务</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面向短临预警业务数据和产品集约统一管理的需要，实现数据和产品的文件名规则、数据量、空间范围等元数据信息在线填报、管理和应用服务。</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短临预警数据和产品的数据编码规范化填报</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按照短临预警数据和产品分类与编码规则，实现数据编码按数据大类、内容属性、时间属性、制作单位等信息分段配置和代码统一管理。</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元数据</w:t>
      </w:r>
      <w:r>
        <w:t>分析工具</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短临预警预报元数据全网在线查询</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优化国省全网短临预警预报元数据的数据量统计和展示功能，包括按照国家级和</w:t>
      </w:r>
      <w:r>
        <w:rPr>
          <w:rFonts w:ascii="仿宋_GB2312" w:hAnsi="仿宋_GB2312" w:cs="仿宋_GB2312" w:hint="eastAsia"/>
          <w:color w:val="000000"/>
          <w:szCs w:val="32"/>
          <w:lang w:val="zh-CN"/>
        </w:rPr>
        <w:t>31</w:t>
      </w:r>
      <w:r>
        <w:rPr>
          <w:rFonts w:ascii="仿宋_GB2312" w:hAnsi="仿宋_GB2312" w:cs="仿宋_GB2312" w:hint="eastAsia"/>
          <w:color w:val="000000"/>
          <w:szCs w:val="32"/>
          <w:lang w:val="zh-CN"/>
        </w:rPr>
        <w:t>个省、数据制作单位、分类、时序等维度展示和在线查询等。新增资料元数据、台站元数据和气象数据元注册、更新和服务情况统计和展示功能。</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短临预警观测数据台站分布可视化查询</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短临预警观测数据台站分布展示，通过</w:t>
      </w:r>
      <w:r>
        <w:rPr>
          <w:rFonts w:ascii="仿宋_GB2312" w:hAnsi="仿宋_GB2312" w:cs="仿宋_GB2312" w:hint="eastAsia"/>
          <w:color w:val="000000"/>
          <w:szCs w:val="32"/>
          <w:lang w:val="zh-CN"/>
        </w:rPr>
        <w:t>GIS</w:t>
      </w:r>
      <w:r>
        <w:rPr>
          <w:rFonts w:ascii="仿宋_GB2312" w:hAnsi="仿宋_GB2312" w:cs="仿宋_GB2312" w:hint="eastAsia"/>
          <w:color w:val="000000"/>
          <w:szCs w:val="32"/>
          <w:lang w:val="zh-CN"/>
        </w:rPr>
        <w:t>叠加展示各类台站分布情况，提供多角度交互式查询功能，支持通过国家、省份、站网类型、区站号、站名、业务状态等进行检索。优化台站元数据管理功能，实现按国内台站、港澳台台站、国外台站、行业台站和短临预警应急台站的分类管理。</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国省元数据同步任务升级和监视</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优化国省元数据同步功能，完善同步的配置方法，增加一键启停等。新增国省同步任务监视功能，支持元数据同步任务状态可视化展示和交互式执行。增加元数据国省同步任务，包括分类分级码表、资料分类分级信息、关键词码表、应急台站、省级特色站网等。</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省级短临预警产品元数据全网同步</w:t>
      </w:r>
    </w:p>
    <w:p w:rsidR="005B6786" w:rsidP="005B6786">
      <w:pPr>
        <w:spacing w:line="560" w:lineRule="exact"/>
        <w:ind w:firstLine="420" w:firstLineChars="200"/>
        <w:rPr>
          <w:rFonts w:ascii="仿宋_GB2312" w:hAnsi="仿宋_GB2312" w:cs="仿宋_GB2312" w:hint="eastAsia"/>
          <w:color w:val="000000"/>
          <w:szCs w:val="32"/>
          <w:lang w:val="zh-CN"/>
        </w:rPr>
      </w:pPr>
      <w:r>
        <w:rPr>
          <w:rFonts w:ascii="仿宋_GB2312" w:hAnsi="仿宋_GB2312" w:cs="仿宋_GB2312" w:hint="eastAsia"/>
          <w:color w:val="000000"/>
          <w:szCs w:val="32"/>
          <w:lang w:val="zh-CN"/>
        </w:rPr>
        <w:t>对接气象软件应用仓库系统，建立省级短临预警预报产品特色资料元数据按需获取流程，调整省级特色资料元数据收集接口，优化元数据收集效率，实现元数据交互式同步和实时更新。</w:t>
      </w:r>
    </w:p>
    <w:p w:rsidR="005B6786" w:rsidRPr="00683D7D" w:rsidP="005B6786">
      <w:pPr>
        <w:pStyle w:val="NormalIndent"/>
        <w:ind w:firstLine="480"/>
        <w:rPr>
          <w:rFonts w:hint="eastAsia"/>
        </w:rPr>
      </w:pPr>
    </w:p>
    <w:p w:rsidR="005B6786" w:rsidP="005B6786">
      <w:pPr>
        <w:pStyle w:val="Heading3"/>
        <w:keepNext/>
        <w:keepLines/>
        <w:widowControl w:val="0"/>
        <w:numPr>
          <w:ilvl w:val="2"/>
          <w:numId w:val="4"/>
        </w:numPr>
        <w:spacing w:line="560" w:lineRule="atLeast"/>
        <w:ind w:left="720" w:hanging="720"/>
        <w:jc w:val="both"/>
        <w:rPr>
          <w:rFonts w:hint="eastAsia"/>
        </w:rPr>
      </w:pPr>
      <w:bookmarkStart w:id="85" w:name="_Toc395794200"/>
      <w:bookmarkStart w:id="86" w:name="_Toc391375334"/>
      <w:bookmarkStart w:id="87" w:name="_Toc119829555"/>
      <w:bookmarkStart w:id="88" w:name="_Toc1155035715"/>
      <w:bookmarkStart w:id="89" w:name="_Toc173723837"/>
      <w:bookmarkStart w:id="90" w:name="_Toc15800"/>
      <w:bookmarkStart w:id="91" w:name="_Toc173724504"/>
      <w:bookmarkStart w:id="92" w:name="_Toc171218560"/>
      <w:bookmarkStart w:id="93" w:name="_Toc173723971"/>
      <w:bookmarkStart w:id="94" w:name="_Toc173723790"/>
      <w:bookmarkStart w:id="95" w:name="_Toc222145453"/>
      <w:bookmarkStart w:id="96" w:name="_Toc231542567"/>
      <w:bookmarkEnd w:id="65"/>
      <w:bookmarkEnd w:id="66"/>
      <w:bookmarkEnd w:id="67"/>
      <w:bookmarkEnd w:id="68"/>
      <w:bookmarkEnd w:id="69"/>
      <w:r>
        <w:rPr>
          <w:rFonts w:hint="eastAsia"/>
        </w:rPr>
        <w:t>气象数据服务升级子系统</w:t>
      </w:r>
      <w:bookmarkEnd w:id="96"/>
    </w:p>
    <w:p w:rsidR="005B6786" w:rsidP="005B6786">
      <w:pPr>
        <w:pStyle w:val="Heading4"/>
        <w:keepNext/>
        <w:keepLines/>
        <w:widowControl w:val="0"/>
        <w:numPr>
          <w:ilvl w:val="3"/>
          <w:numId w:val="4"/>
        </w:numPr>
        <w:spacing w:line="560" w:lineRule="exact"/>
        <w:ind w:left="864" w:hanging="864"/>
        <w:jc w:val="both"/>
      </w:pPr>
      <w:r>
        <w:rPr>
          <w:rFonts w:hint="eastAsia"/>
        </w:rPr>
        <w:t>接口服务框架升级</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时序数据库适配</w:t>
      </w:r>
    </w:p>
    <w:p w:rsidR="005B6786" w:rsidP="005B6786">
      <w:pPr>
        <w:ind w:firstLine="632"/>
        <w:rPr>
          <w:rFonts w:hint="eastAsia"/>
        </w:rPr>
      </w:pPr>
      <w:r>
        <w:rPr>
          <w:rFonts w:hint="eastAsia"/>
        </w:rPr>
        <w:t>面向短临业务在时序穿透、高度层穿透等网格资料多功能查询接口方面的能力需要，在已有的数据库适配功能基础上，进一步拓展对时序数据库的兼容以构建对应的接口能力。时序数据库以其独特的数据结构和存储方式，通过时间戳作为索引，在网格数据的存储建模方面展现出显著优势。通过兼容时序数据库，能够充分利用其对时间序列数据的高效处理能力，借助其内置的优化算法和索引机制，有效提高检索效率，提升接口服务在面向短临业务提供网格类数据的接口服务时的时效性以满足对网格资料进行多功能查询的需求，预报员可通过简单的操作查询特定位置和时间的气象数据。</w:t>
      </w:r>
    </w:p>
    <w:p w:rsidR="005B6786" w:rsidP="005B6786">
      <w:pPr>
        <w:pStyle w:val="Heading5"/>
        <w:keepNext/>
        <w:keepLines/>
        <w:widowControl w:val="0"/>
        <w:numPr>
          <w:ilvl w:val="4"/>
          <w:numId w:val="4"/>
        </w:numPr>
        <w:spacing w:line="560" w:lineRule="exact"/>
        <w:ind w:left="0" w:firstLine="0"/>
        <w:jc w:val="both"/>
      </w:pPr>
      <w:r>
        <w:rPr>
          <w:rFonts w:hint="eastAsia"/>
        </w:rPr>
        <w:t>空间数据库适配</w:t>
      </w:r>
    </w:p>
    <w:p w:rsidR="005B6786" w:rsidP="005B6786">
      <w:pPr>
        <w:ind w:firstLine="632"/>
      </w:pPr>
      <w:r>
        <w:rPr>
          <w:rFonts w:hint="eastAsia"/>
        </w:rPr>
        <w:t>面向短临业务在地理信息、气象数据等在前端快速渲染方面的需要，</w:t>
      </w:r>
      <w:r>
        <w:t>在已有的数据库适配功能基础上，进一步拓展对空间数据库的兼容性。空间数据库通过优化的存储结构与存储方式，将气象数据从原有的格式转换为空间化存储，从而使气象数据能够实现支持复杂的地理信息查询和分析，并通过空间索引技术显著提升空间查询的性能，提升接口服务在面向用户提供空间类气象数据检索的接口服务时的时效性。可以更好地提升短临预警等业务在气象数据的空间分析和可视化方面的支撑能力</w:t>
      </w:r>
      <w:r>
        <w:rPr>
          <w:rFonts w:hint="eastAsia"/>
        </w:rPr>
        <w:t>，帮助预报员更好地理解天气系统的动态变化。</w:t>
      </w:r>
    </w:p>
    <w:p w:rsidR="005B6786" w:rsidP="005B6786">
      <w:pPr>
        <w:pStyle w:val="Heading5"/>
        <w:keepNext/>
        <w:keepLines/>
        <w:widowControl w:val="0"/>
        <w:numPr>
          <w:ilvl w:val="4"/>
          <w:numId w:val="4"/>
        </w:numPr>
        <w:spacing w:line="560" w:lineRule="exact"/>
        <w:ind w:left="0" w:firstLine="0"/>
        <w:jc w:val="both"/>
      </w:pPr>
      <w:r>
        <w:rPr>
          <w:rFonts w:hint="eastAsia"/>
        </w:rPr>
        <w:t>时序数据库数据获取拓展</w:t>
      </w:r>
    </w:p>
    <w:p w:rsidR="005B6786" w:rsidP="005B6786">
      <w:pPr>
        <w:ind w:firstLine="632"/>
        <w:rPr>
          <w:rFonts w:hint="eastAsia"/>
        </w:rPr>
      </w:pPr>
      <w:r>
        <w:rPr>
          <w:rFonts w:hint="eastAsia"/>
        </w:rPr>
        <w:t>面向短临业务在时序穿透、高度层穿透等网格资料多功能查询接口方面的能力需要，在已有的数据库数据获取功能基础上，进一步拓展对时序数据库数据获取的兼容以构建对应的接口能力。通过兼容时序数据库数据获取，支撑预报员可通过简单的操作查询特定位置和时间的气象数据。</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空间数据库数据获取拓展</w:t>
      </w:r>
    </w:p>
    <w:p w:rsidR="005B6786" w:rsidP="005B6786">
      <w:pPr>
        <w:ind w:firstLine="632"/>
        <w:rPr>
          <w:rFonts w:hint="eastAsia"/>
        </w:rPr>
      </w:pPr>
      <w:r>
        <w:rPr>
          <w:rFonts w:hint="eastAsia"/>
        </w:rPr>
        <w:t>面向短临业务在地理信息、气象数据等在前端快速渲染方面的需要，</w:t>
      </w:r>
      <w:r>
        <w:t>在已有的数据库</w:t>
      </w:r>
      <w:r>
        <w:rPr>
          <w:rFonts w:hint="eastAsia"/>
        </w:rPr>
        <w:t>数据获取</w:t>
      </w:r>
      <w:r>
        <w:t>功能基础上，进一步拓展对空间数据库的</w:t>
      </w:r>
      <w:r>
        <w:rPr>
          <w:rFonts w:hint="eastAsia"/>
        </w:rPr>
        <w:t>数据获取</w:t>
      </w:r>
      <w:r>
        <w:t>兼容性。更好</w:t>
      </w:r>
      <w:r>
        <w:rPr>
          <w:rFonts w:hint="eastAsia"/>
        </w:rPr>
        <w:t>的支撑</w:t>
      </w:r>
      <w:r>
        <w:t>短临预警等业务在气象数据的空间分析和可视化方面的能力</w:t>
      </w:r>
      <w:r>
        <w:rPr>
          <w:rFonts w:hint="eastAsia"/>
        </w:rPr>
        <w:t>，帮助预报员更好地理解天气系统的动态变化。</w:t>
      </w:r>
    </w:p>
    <w:p w:rsidR="005B6786" w:rsidP="005B6786">
      <w:pPr>
        <w:pStyle w:val="Heading5"/>
        <w:keepNext/>
        <w:keepLines/>
        <w:widowControl w:val="0"/>
        <w:numPr>
          <w:ilvl w:val="4"/>
          <w:numId w:val="4"/>
        </w:numPr>
        <w:spacing w:line="560" w:lineRule="exact"/>
        <w:ind w:left="0" w:firstLine="0"/>
        <w:jc w:val="both"/>
      </w:pPr>
      <w:r>
        <w:rPr>
          <w:rFonts w:hint="eastAsia"/>
        </w:rPr>
        <w:t>跨域数据共享</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跨域数据共享权限审核</w:t>
      </w:r>
    </w:p>
    <w:p w:rsidR="005B6786" w:rsidP="005B6786">
      <w:pPr>
        <w:ind w:firstLine="632"/>
      </w:pPr>
      <w:r>
        <w:t>数据共享权限审核是数据管理中的关键环节，旨在确保数据审批流程中的安全性、合规性和有效性。主要为审核流程在数据共享需求的评估、数据使用场景的分析以及数据安全措施的检查后的通过提供相关接口，有助于在审批通过后为相关用户授予数据权限。数据共享权限审核通过管理者对数据共享申请进行严格审查，核实申请者的身份资质、数据使用目的及范围等信息，防止</w:t>
      </w:r>
      <w:r>
        <w:rPr>
          <w:rFonts w:hint="eastAsia"/>
        </w:rPr>
        <w:t>气象</w:t>
      </w:r>
      <w:r>
        <w:t>数据被滥用或泄露。通过建立完善的审核流程和机制，能够有效管理数据共享权限，促进数据的合理利用和安全流通。</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跨域数据共享清单管理</w:t>
      </w:r>
    </w:p>
    <w:p w:rsidR="005B6786" w:rsidP="005B6786">
      <w:pPr>
        <w:ind w:firstLine="420"/>
        <w:rPr>
          <w:rFonts w:hint="eastAsia"/>
        </w:rPr>
      </w:pPr>
      <w:r>
        <w:rPr>
          <w:rFonts w:hint="eastAsia"/>
        </w:rPr>
        <w:t>在短临业务开展跨域协作过程中，为保障数据安全与稳定服务，需从气象数据维度控制可对外服务的气象数据清单。</w:t>
      </w:r>
      <w:r>
        <w:t>通过数据权限共享清单管理，可实现国家级对省级、省级对国家级、省级对其他省级所开放的数据清单进行管理。基于列表形式呈现，能够清晰地展示国家级对省级、省级对国家级和其他省级共享数据的清单。可依据数据共享清单管理，根据本地现有的数据情况，实现国家级对省级、省级对国家级、省级对其他省级所开放的数据清单的增加、删除等等管理功能。确保</w:t>
      </w:r>
      <w:r>
        <w:rPr>
          <w:rFonts w:hint="eastAsia"/>
        </w:rPr>
        <w:t>气象</w:t>
      </w:r>
      <w:r>
        <w:t>数据充分</w:t>
      </w:r>
      <w:r>
        <w:rPr>
          <w:rFonts w:hint="eastAsia"/>
        </w:rPr>
        <w:t>支撑短临业务跨域协作</w:t>
      </w:r>
      <w:r>
        <w:t>价值，推动</w:t>
      </w:r>
      <w:r>
        <w:rPr>
          <w:rFonts w:hint="eastAsia"/>
        </w:rPr>
        <w:t>不同区域</w:t>
      </w:r>
      <w:r>
        <w:t>气象业务的协同发展。</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跨域用户信息同步</w:t>
      </w:r>
    </w:p>
    <w:p w:rsidR="005B6786" w:rsidP="005B6786">
      <w:pPr>
        <w:ind w:firstLine="632"/>
      </w:pPr>
      <w:r>
        <w:rPr>
          <w:rFonts w:hint="eastAsia"/>
        </w:rPr>
        <w:t>跨域数据共享需同步用户信息为后续安全认证提供保障。</w:t>
      </w:r>
      <w:r>
        <w:t>用户信息同步用于在国家级对省级、省级对国家级、省级对其他省级的数据访问申请审批通过后，将数据申请者的信息，如账户、密码、单位等等信息，从本地系统高效、准确地传输至目标地系统。这一过程通常涉及多个步骤，首先需要在本地系统中收集和整理用户的基本信息通过安全的网络连接传输至外地的目标系统。同步机制还需具备错误检测和恢复功能，以应对可能出现的网络故障或数据传输错误，确保用户信息能够准确无误地在不同系统间同步。</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跨域数据共享用户管理</w:t>
      </w:r>
    </w:p>
    <w:p w:rsidR="005B6786" w:rsidP="005B6786">
      <w:pPr>
        <w:ind w:firstLine="632"/>
        <w:rPr>
          <w:rFonts w:hint="eastAsia"/>
        </w:rPr>
      </w:pPr>
      <w:r>
        <w:rPr>
          <w:rFonts w:hint="eastAsia"/>
        </w:rPr>
        <w:t>跨域数据共享用户管理将已非本地用户展示，便于快捷查看。</w:t>
      </w:r>
      <w:r>
        <w:t>通过数据共享用户管理，可实现国家级对省级、省级对国家级、省级对其他省级的数据访问申请审批通过后同步到目标地系统的数据共享用户进行管理。数据共享用户管理基于列表形式呈现，能够清晰地展示国家级对省级、省级对国家级和其他省级共享数据的用户清单及相关用户所共享的数据，以可视化的方式快速为管理员呈现数据共享。</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跨域数据共享权限管理</w:t>
      </w:r>
    </w:p>
    <w:p w:rsidR="005B6786" w:rsidP="005B6786">
      <w:pPr>
        <w:ind w:firstLine="632"/>
      </w:pPr>
      <w:r>
        <w:t>通过数据权限共享权限管理，可实现国家级对省级、省级对国家级、省级对其他省级的气象数据的数据访问权限申请是否开放进行管理。通过勾选列表呈现的数据共享清单，可在选择制定的省级或国家级后，对需要进行数据共享的气象数据进行勾选保存，实现数据共享管理，减轻管理员数据共享操作负担，提升数据共享效率，推动全国数据资源的高效流通与利用。</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跨域数据共享元数据同步</w:t>
      </w:r>
    </w:p>
    <w:p w:rsidR="005B6786" w:rsidP="005B6786">
      <w:pPr>
        <w:ind w:firstLine="632"/>
      </w:pPr>
      <w:r>
        <w:rPr>
          <w:rFonts w:hint="eastAsia"/>
        </w:rPr>
        <w:t>通过数据共享元数据同步，可实现国家级对省级、省级对国家级、省级对其他省级的气象数据的元数据信息进行同步。通过配置数据共享清单后，可同步共享清单的元数据信息同步到数据使用省份，实现元数据信息的自动同步，减轻管理员手动同步的操作负担，提升数据共享的效率，并解决用户申请数据共享权限后因缺少元数据信息导致接口服务异常的问题。同步的元数据信息包括公共元数据、存管元数据和接口元数据信息，当目标省份没有相关元数据信息的，自动同步元数据信息；当目标省份已有相关元数据信息时，不同步元数据信息。</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接口服务跨域互通</w:t>
      </w:r>
    </w:p>
    <w:p w:rsidR="005B6786" w:rsidP="005B6786">
      <w:pPr>
        <w:ind w:firstLine="632"/>
        <w:rPr>
          <w:rFonts w:hint="eastAsia"/>
        </w:rPr>
      </w:pPr>
      <w:r>
        <w:rPr>
          <w:rFonts w:hint="eastAsia"/>
        </w:rPr>
        <w:t>为了提升国省、省省之间的联动性，保障跨域短临业务开展，加强气象数据在国省之间、省省之间的充分涌流，促进气象数据的价值共享，降低数据中断带来的风险与挑战，实现接口服务国省互通。该功能支持国家级与省级、省与省之间的特色数据、基础数据等数据的数据共享，在用户使用方式不改变的情况下实现数据跨域共享。并支持按需访问与权限控制，支持在应急场景下省级业务快速切换至国家级环境，保障业务连续性，该功能旨在打破数据孤岛，强化国省协同，为应急响应等场景提供高效数据支撑。</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接口文件下载服务跨域互通</w:t>
      </w:r>
    </w:p>
    <w:p w:rsidR="005B6786" w:rsidP="005B6786">
      <w:pPr>
        <w:ind w:firstLine="632"/>
        <w:rPr>
          <w:rFonts w:hint="eastAsia"/>
        </w:rPr>
      </w:pPr>
      <w:r>
        <w:rPr>
          <w:rFonts w:hint="eastAsia"/>
        </w:rPr>
        <w:t>为了提升国省、省省之间的联动性，保障跨域短临业务开展，坚强气象文件产品数据在国省之间、省省之间的充分涌流，促进气象数据的价值共享，降低数据中断带来的风险与挑战，实现接口文件下载服务的国省互通。该功能支持国家级与省级、省与省之间的特色文件产品数据、基础文件产品数据的共享，在用户使用方法不改变的情况下实现文件产品数据跨域共享。并支持按需访问与权限控制，支持应急场景下省级业务快速切换至国家级环境，保障业务连续性，该功能旨在打破数据孤岛，强化国省协同，为应急响应场景提供高效数据支撑。</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文件目录服务跨域互通</w:t>
      </w:r>
    </w:p>
    <w:p w:rsidR="005B6786" w:rsidP="005B6786">
      <w:pPr>
        <w:ind w:firstLine="632"/>
      </w:pPr>
      <w:r>
        <w:rPr>
          <w:rFonts w:hint="eastAsia"/>
        </w:rPr>
        <w:t>为了提升国省之间的联动性，加强气象数据在国省之间，省省之间的充分涌流，促进气象数据的价值共享，降低数据中断带来的风险与挑战，实现文件目录服务国省互通。该功能支持国家级与省级、省与省之间通过文件目录服务的非结构化数据的数据共享，支持按需访问与权限控制，支持在应急场景下省级业务快速切换至国家级环境，保障业务连续性，该功能旨在打破数据孤岛，强化国省协同，为应急响应等场景提供高效数据支撑。</w:t>
      </w:r>
    </w:p>
    <w:p w:rsidR="005B6786" w:rsidP="005B6786">
      <w:pPr>
        <w:pStyle w:val="Heading5"/>
        <w:keepNext/>
        <w:keepLines/>
        <w:widowControl w:val="0"/>
        <w:numPr>
          <w:ilvl w:val="4"/>
          <w:numId w:val="4"/>
        </w:numPr>
        <w:spacing w:line="560" w:lineRule="exact"/>
        <w:ind w:left="0" w:firstLine="0"/>
        <w:jc w:val="both"/>
      </w:pPr>
      <w:r>
        <w:rPr>
          <w:rFonts w:hint="eastAsia"/>
        </w:rPr>
        <w:t>建立数据主动缓存</w:t>
      </w:r>
    </w:p>
    <w:p w:rsidR="005B6786" w:rsidP="005B6786">
      <w:pPr>
        <w:ind w:firstLine="632"/>
        <w:rPr>
          <w:rFonts w:hint="eastAsia"/>
        </w:rPr>
      </w:pPr>
      <w:r>
        <w:rPr>
          <w:rFonts w:hint="eastAsia"/>
        </w:rPr>
        <w:t>短临业务中大量使用台站观测等结构化数据，为保障短临预报预警业务中观测等结构化数据的快速访问，针对交互式网站的短临预报预警等业务，根据使用场景的需求构建热点数据自动化主动缓存流程。将网站用户调用场景所使用的数据加载到内存中</w:t>
      </w:r>
      <w:r>
        <w:rPr>
          <w:rFonts w:hint="eastAsia"/>
        </w:rPr>
        <w:t>,</w:t>
      </w:r>
      <w:r>
        <w:rPr>
          <w:rFonts w:hint="eastAsia"/>
        </w:rPr>
        <w:t>提升数据访问时效。根据用户行为记录对交互式网站的接口服务使用情况进行分析，分析出缓存场景后，为交互式网站调用接口服务的气象数据构建缓存策略，基于缓存策略智能拆解、生成缓存任务，通过拆解后缓存任务的调度策略，模拟用户调用更新缓存中保存的数据，提高缓存命中率提高数据服务时效。</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主动缓存场景分析</w:t>
      </w:r>
    </w:p>
    <w:p w:rsidR="005B6786" w:rsidP="005B6786">
      <w:pPr>
        <w:ind w:firstLine="632"/>
        <w:rPr>
          <w:rFonts w:hint="eastAsia"/>
        </w:rPr>
      </w:pPr>
      <w:r>
        <w:rPr>
          <w:rFonts w:hint="eastAsia"/>
        </w:rPr>
        <w:t>基于短临业务相关用户的接口调用日志，分析接口调用的资料、接口和接口调用参数，以及接口调用时间频次和资料时间，智能分析出重要的缓存场景，为缓存策略配置提供支撑。场景分析是主动缓存的基础，只有明确短临业务的主要场景有哪些，才能更好的为交互式网站调用接口服务的气象数据构建缓存策略，模拟用户调用更新缓存中保存的数据，提高缓存命中率提高数据服务时效。</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主动缓存策略管理</w:t>
      </w:r>
    </w:p>
    <w:p w:rsidR="005B6786" w:rsidP="005B6786">
      <w:pPr>
        <w:ind w:firstLine="632"/>
        <w:rPr>
          <w:rFonts w:hint="eastAsia"/>
        </w:rPr>
      </w:pPr>
      <w:r>
        <w:rPr>
          <w:rFonts w:hint="eastAsia"/>
        </w:rPr>
        <w:t>根据短临业务相关用户需求和重点场景分析配置和管理缓存策略，包括数据编码、数据缓存的时间、根据资料时间的范围配置数据缓存更新的时间和数据缓存的时间，为创建缓存任务提供依据，更好的简化缓存任务的配置流程。</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主动缓存任务管理</w:t>
      </w:r>
    </w:p>
    <w:p w:rsidR="005B6786" w:rsidP="005B6786">
      <w:pPr>
        <w:ind w:firstLine="632"/>
        <w:rPr>
          <w:rFonts w:hint="eastAsia"/>
        </w:rPr>
      </w:pPr>
      <w:r>
        <w:rPr>
          <w:rFonts w:hint="eastAsia"/>
        </w:rPr>
        <w:t>根据短临业务用户的调用场景和主动缓存的策略，为短临业务创建主动缓存任务，自动生成缓存任务调度的策略，根据缓存任务的调度策略，定时执行调度任务。同时可以对缓存任务进行管理，包括任务信息的编辑修改，以及任务的启动和停止等任务调度的相关操作。</w:t>
      </w:r>
    </w:p>
    <w:p w:rsidR="005B6786" w:rsidP="005B6786">
      <w:pPr>
        <w:pStyle w:val="Heading5"/>
        <w:keepNext/>
        <w:keepLines/>
        <w:widowControl w:val="0"/>
        <w:numPr>
          <w:ilvl w:val="4"/>
          <w:numId w:val="4"/>
        </w:numPr>
        <w:spacing w:line="560" w:lineRule="exact"/>
        <w:ind w:left="0" w:firstLine="0"/>
        <w:jc w:val="both"/>
      </w:pPr>
      <w:r>
        <w:rPr>
          <w:rFonts w:hint="eastAsia"/>
        </w:rPr>
        <w:t>雷达网格数据服务接口</w:t>
      </w:r>
    </w:p>
    <w:p w:rsidR="005B6786" w:rsidP="005B6786">
      <w:pPr>
        <w:ind w:firstLine="632"/>
      </w:pPr>
      <w:r>
        <w:rPr>
          <w:rFonts w:hint="eastAsia"/>
        </w:rPr>
        <w:t>雷达格点数据为短临业务中常用的数据，增加雷达格点类检索通用接口，实现雷达格点数据的检索功能。优化数值格点类检索通用接口和文件类资料检索通用接口，兼容时序数据库和空间数据库的数据获取功能。格点类检索通用接口和文件类资料检索通用接口，兼容时序数据库和空间数据库的数据获取功能。</w:t>
      </w:r>
    </w:p>
    <w:p w:rsidR="005B6786" w:rsidP="005B6786">
      <w:pPr>
        <w:pStyle w:val="Heading5"/>
        <w:keepNext/>
        <w:keepLines/>
        <w:widowControl w:val="0"/>
        <w:numPr>
          <w:ilvl w:val="4"/>
          <w:numId w:val="4"/>
        </w:numPr>
        <w:spacing w:line="560" w:lineRule="exact"/>
        <w:ind w:left="0" w:firstLine="0"/>
        <w:jc w:val="both"/>
      </w:pPr>
      <w:r>
        <w:rPr>
          <w:rFonts w:hint="eastAsia"/>
        </w:rPr>
        <w:t>短临业务数据可视化渲染服务接口</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按资料编码获取</w:t>
      </w:r>
      <w:r>
        <w:rPr>
          <w:rFonts w:hint="eastAsia"/>
        </w:rPr>
        <w:t>TIFF</w:t>
      </w:r>
      <w:r>
        <w:rPr>
          <w:rFonts w:hint="eastAsia"/>
        </w:rPr>
        <w:t>预报要素接口</w:t>
      </w:r>
    </w:p>
    <w:p w:rsidR="005B6786" w:rsidP="005B6786">
      <w:pPr>
        <w:ind w:firstLine="632"/>
        <w:rPr>
          <w:rFonts w:hint="eastAsia"/>
        </w:rPr>
      </w:pPr>
      <w:r>
        <w:rPr>
          <w:rFonts w:hint="eastAsia"/>
        </w:rPr>
        <w:t>短临可视化业务使用</w:t>
      </w:r>
      <w:r>
        <w:rPr>
          <w:rFonts w:hint="eastAsia"/>
        </w:rPr>
        <w:t>TIFF</w:t>
      </w:r>
      <w:r>
        <w:rPr>
          <w:rFonts w:hint="eastAsia"/>
        </w:rPr>
        <w:t>预报数据时，预报要素获取没有提供接口获取的方式，随着预报数据的精细化程度提升，用户不能实时通过接口获取预报要素信息。按资料编码获取</w:t>
      </w:r>
      <w:r>
        <w:rPr>
          <w:rFonts w:hint="eastAsia"/>
        </w:rPr>
        <w:t>TIFF</w:t>
      </w:r>
      <w:r>
        <w:rPr>
          <w:rFonts w:hint="eastAsia"/>
        </w:rPr>
        <w:t>预报要素接口面向气象数据中的</w:t>
      </w:r>
      <w:r>
        <w:rPr>
          <w:rFonts w:hint="eastAsia"/>
        </w:rPr>
        <w:t>TIFF</w:t>
      </w:r>
      <w:r>
        <w:rPr>
          <w:rFonts w:hint="eastAsia"/>
        </w:rPr>
        <w:t>数据，为用户提供按资料编码检索</w:t>
      </w:r>
      <w:r>
        <w:rPr>
          <w:rFonts w:hint="eastAsia"/>
        </w:rPr>
        <w:t>TIFF</w:t>
      </w:r>
      <w:r>
        <w:rPr>
          <w:rFonts w:hint="eastAsia"/>
        </w:rPr>
        <w:t>预报要素接口，返回预报要素列表。便于用户在前端渲染时快速获取可用的预报要素信息。</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资料编码获取模式预报要素接口</w:t>
      </w:r>
    </w:p>
    <w:p w:rsidR="005B6786" w:rsidP="005B6786">
      <w:pPr>
        <w:ind w:firstLine="632"/>
        <w:rPr>
          <w:rFonts w:hint="eastAsia"/>
        </w:rPr>
      </w:pPr>
      <w:r>
        <w:rPr>
          <w:rFonts w:hint="eastAsia"/>
        </w:rPr>
        <w:t>短临可视化业务使用模式预报数据时，预报要素获取没有提供接口获取的方式，随着预报数据的精细化程度提升，用户不能实时通过接口获取模式预报要素信息。按资料编码获取模式预报要素接口口面向气象数据中的网格数据，为用户提供按资料编码检索模式预报要素接口，返回预报要素列表。便于用户在前端渲染时快速获取可用的预报要素信息。</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按资料编码的集合预报成员信息接口</w:t>
      </w:r>
    </w:p>
    <w:p w:rsidR="005B6786" w:rsidP="005B6786">
      <w:pPr>
        <w:ind w:firstLine="632"/>
      </w:pPr>
      <w:r>
        <w:rPr>
          <w:rFonts w:hint="eastAsia"/>
        </w:rPr>
        <w:t>短临可视化业务使用集合预报数据时，需读取具体文件后才能得知预报成员，随着预报数据的精细化程度提升，用户自行读取存在时效慢的问题。按资料编码的集合预报成员信息接口面向气象数据中的集合预报，为用户提供按资料编码检索集合预报成员信息的接口，返回集合预报成员列表。便于用户在前端渲染时快速获取可用的集合预报成员信息。</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按资料编码和要素的层次类型信息接口</w:t>
      </w:r>
    </w:p>
    <w:p w:rsidR="005B6786" w:rsidP="005B6786">
      <w:pPr>
        <w:ind w:firstLine="632"/>
      </w:pPr>
      <w:r>
        <w:rPr>
          <w:rFonts w:hint="eastAsia"/>
        </w:rPr>
        <w:t>短临可视化业务使用预报数据时，需读取具体文件后才能得知层次类型信息，随着预报数据的精细化程度提升，用户自行读取存在时效慢的问题。按资料编码和要素的层次类型信息接口面向网格数据，为用户提供按资料编码和要素检索资料中所需要素的层次类型信息的接口，返回网格数据中具体要素所含的层次类型列表。便于用户在前端渲染时快速获取层次类型信息。</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按资料编码、要素和层次类型的高度层信息接口</w:t>
      </w:r>
    </w:p>
    <w:p w:rsidR="005B6786" w:rsidP="005B6786">
      <w:pPr>
        <w:ind w:firstLine="632"/>
        <w:rPr>
          <w:rFonts w:hint="eastAsia"/>
        </w:rPr>
      </w:pPr>
      <w:r>
        <w:rPr>
          <w:rFonts w:hint="eastAsia"/>
        </w:rPr>
        <w:t>短临可视化业务使用预报数据时，需读取具体文件后才能得知层次类型信息，随着预报数据的精细化程度提升，用户自行读取存在时效慢的问题。按资料编码、要素和层次类型的高度层信息接口面向网格数据，为用户提供按资料编码、要素和层次类型检索资料中所需要素、层次类型的高度层信息的接口，返回网格数据中具体要素对应层次类型所含的高度层列表。便于用户在前端渲染时快速获取高度层信息。</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按资料编码的起报时间信息接口</w:t>
      </w:r>
    </w:p>
    <w:p w:rsidR="005B6786" w:rsidP="005B6786">
      <w:pPr>
        <w:ind w:firstLine="632"/>
        <w:rPr>
          <w:rFonts w:hint="eastAsia"/>
        </w:rPr>
      </w:pPr>
      <w:r>
        <w:rPr>
          <w:rFonts w:hint="eastAsia"/>
        </w:rPr>
        <w:t>短临可视化业务使用预报数据时，需读取具体文件后才能得知起报时间信息，随着预报数据的精细化程度提升，用户自行读取存在时效慢的问题。按资料编码的起报时间信息接口面向网格数据，为用户提供按资料编码、时间范围、要素、层次类型、高度层、集合预报成员等信息获取资料的起报时间列表，便于用户在前端渲染时快速获取资料的起报时间。</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按资料编码、起报时间的预报时间信息接口</w:t>
      </w:r>
    </w:p>
    <w:p w:rsidR="005B6786" w:rsidP="005B6786">
      <w:pPr>
        <w:ind w:firstLine="632"/>
      </w:pPr>
      <w:r>
        <w:rPr>
          <w:rFonts w:hint="eastAsia"/>
        </w:rPr>
        <w:t>短临可视化业务使用预报数据时，需读取具体文件后才能得知</w:t>
      </w:r>
      <w:r>
        <w:rPr>
          <w:rFonts w:hint="eastAsia"/>
          <w:bCs/>
        </w:rPr>
        <w:t>预报时间</w:t>
      </w:r>
      <w:r>
        <w:rPr>
          <w:rFonts w:hint="eastAsia"/>
        </w:rPr>
        <w:t>，随着预报数据的精细化程度提升，用户自行读取存在时效慢的问题。按资料编码、起报时间的预报时间信息接口面向网格数据，为用户提供按资料编码、时间、要素、层次类型、高度层、集合预报成员等信息获取资料的预报时效列表，便于用户在前端渲染时快速获取资料的预报时效。</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短临业务数据分块加速数据服务</w:t>
      </w:r>
      <w:r>
        <w:t>接口</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获取模式数据起报时间列表接口</w:t>
      </w:r>
    </w:p>
    <w:p w:rsidR="005B6786" w:rsidP="005B6786">
      <w:pPr>
        <w:ind w:firstLine="632"/>
        <w:rPr>
          <w:rFonts w:hint="eastAsia"/>
        </w:rPr>
      </w:pPr>
      <w:r>
        <w:rPr>
          <w:rFonts w:hint="eastAsia"/>
        </w:rPr>
        <w:t>短临分析场景在使用预报数据时，需读取具体文件后才能得知起报时间，随着预报数据的精细化程度提升，用户自行读取存在时效慢的问题。获取模式数据起报时间列表接口面向网格数据，为用户提供按资料编码、时间范围、要素、层次类型、高度层、集合预报成员等信息获取资料的起报时间列表，返回序列化字符串。</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根据时间获取模式数据预报时效列表接口</w:t>
      </w:r>
    </w:p>
    <w:p w:rsidR="005B6786" w:rsidP="005B6786">
      <w:pPr>
        <w:ind w:firstLine="632"/>
        <w:rPr>
          <w:rFonts w:hint="eastAsia"/>
        </w:rPr>
      </w:pPr>
      <w:r>
        <w:rPr>
          <w:rFonts w:hint="eastAsia"/>
        </w:rPr>
        <w:t>短临分析场景在使用预报数据时，需读取具体文件后才能得知</w:t>
      </w:r>
      <w:r>
        <w:rPr>
          <w:rFonts w:hint="eastAsia"/>
          <w:bCs/>
        </w:rPr>
        <w:t>预报时效</w:t>
      </w:r>
      <w:r>
        <w:rPr>
          <w:rFonts w:hint="eastAsia"/>
        </w:rPr>
        <w:t>，随着预报数据的精细化程度提升，用户自行读取存在时效慢的问题。根据时间获取模式数据预报时效列表接口面向网格数据，为用户提供按资料编码、时间、要素、层次类型、高度层、集合预报成员等信息获取资料的预报时效列表，返回序列化字符串。</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按起报时间、预报层次、预报时效列表、经纬度检索预报要素插值接口</w:t>
      </w:r>
    </w:p>
    <w:p w:rsidR="005B6786" w:rsidP="005B6786">
      <w:pPr>
        <w:ind w:firstLine="632"/>
        <w:rPr>
          <w:rFonts w:hint="eastAsia"/>
        </w:rPr>
      </w:pPr>
      <w:r>
        <w:rPr>
          <w:rFonts w:hint="eastAsia"/>
        </w:rPr>
        <w:t>短临分析场景在使用预报数据时，需读取具体文件后，解析每个场对应经纬度的数据，整合后获得对应经纬度点不同高度层的数据，随着预报数据的精细化程度提升，用户自行读取存在时效慢的问题。按起报时间、预报层次、预报时效列表、经纬度检索预报要素插值接口面向网格数据，为用户提供按资料编码、时间、要素、层次类型、高度层、预报时效列表、经纬度点集合等信息从整场中抽取对应经纬度点的时效穿透数据，返回序列化字符串。</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空间剖面数据查询接口</w:t>
      </w:r>
    </w:p>
    <w:p w:rsidR="005B6786" w:rsidP="005B6786">
      <w:pPr>
        <w:ind w:firstLine="632"/>
      </w:pPr>
      <w:r>
        <w:rPr>
          <w:rFonts w:hint="eastAsia"/>
        </w:rPr>
        <w:t>短临分析场景在使用预报数据时，需读取具体文件后，获取空间剖面的数据，随着预报数据的精细化程度提升，用户自行读取存在时效慢的问题。空间剖面数据查询接口面向网格数据，为用户提供按资料编码、时间、要素、层次类型、高度层集合、预报时效、经纬度点、集合预报成员等信息从整场中抽取对应经纬度点的层次穿透数据，返回序列化字符串。</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垂直廓线数据查询接口</w:t>
      </w:r>
    </w:p>
    <w:p w:rsidR="005B6786" w:rsidP="005B6786">
      <w:pPr>
        <w:ind w:firstLine="632"/>
        <w:rPr>
          <w:rFonts w:hint="eastAsia"/>
        </w:rPr>
      </w:pPr>
      <w:r>
        <w:rPr>
          <w:rFonts w:hint="eastAsia"/>
        </w:rPr>
        <w:t>短临分析场景在使用预报数据时，需读取具体文件后，获取</w:t>
      </w:r>
      <w:r>
        <w:rPr>
          <w:rFonts w:hint="eastAsia"/>
          <w:bCs/>
        </w:rPr>
        <w:t>垂直廓线</w:t>
      </w:r>
      <w:r>
        <w:rPr>
          <w:rFonts w:hint="eastAsia"/>
        </w:rPr>
        <w:t>的数据，随着预报数据的精细化程度提升，用户自行读取存在时效慢的问题。垂直廓线数据查询接口面向网格数据，为用户提供按资料编码、时间、要素、层次类型、高度层集合、预报时效、集合预报成员等信息查询多场数据，返回序列化字符串。</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三维反射率因子体查询接口</w:t>
      </w:r>
    </w:p>
    <w:p w:rsidR="005B6786" w:rsidP="005B6786">
      <w:pPr>
        <w:ind w:firstLine="632"/>
        <w:rPr>
          <w:rFonts w:hint="eastAsia"/>
        </w:rPr>
      </w:pPr>
      <w:r>
        <w:rPr>
          <w:rFonts w:hint="eastAsia"/>
        </w:rPr>
        <w:t>短临分析场景在使用预报数据时，需读取具体文件后，获取</w:t>
      </w:r>
      <w:r>
        <w:rPr>
          <w:rFonts w:hint="eastAsia"/>
          <w:bCs/>
        </w:rPr>
        <w:t>三维反射率因子体</w:t>
      </w:r>
      <w:r>
        <w:rPr>
          <w:rFonts w:hint="eastAsia"/>
        </w:rPr>
        <w:t>的数据，随着预报数据的精细化程度提升，用户自行读取存在时效慢的问题。三维反射率因子体查询接口面向网格数据，为用户提供按资料编码、时间、要素、区域、高度层集合、预报时效、经纬度范围等信息查询多个预报场的雷达数据，返回序列化字符串。</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国家指导报和省级订正报的查询接口</w:t>
      </w:r>
    </w:p>
    <w:p w:rsidR="005B6786" w:rsidP="005B6786">
      <w:pPr>
        <w:ind w:firstLine="632"/>
        <w:rPr>
          <w:rFonts w:hint="eastAsia"/>
        </w:rPr>
      </w:pPr>
      <w:r>
        <w:rPr>
          <w:rFonts w:hint="eastAsia"/>
        </w:rPr>
        <w:t>短临分析场景在使用预报数据时，需获取对应</w:t>
      </w:r>
      <w:r>
        <w:rPr>
          <w:rFonts w:hint="eastAsia"/>
        </w:rPr>
        <w:t>tiff</w:t>
      </w:r>
      <w:r>
        <w:rPr>
          <w:rFonts w:hint="eastAsia"/>
        </w:rPr>
        <w:t>文件中包含的信息，用户自行读取的耗时相对较长。国家指导报和省级订正报的查询接口面向网格数据，为用户提供按资料编码、时间、要素、层次类型、高度层集合、预报时效等信息获取</w:t>
      </w:r>
      <w:r>
        <w:rPr>
          <w:rFonts w:hint="eastAsia"/>
        </w:rPr>
        <w:t>tiff</w:t>
      </w:r>
      <w:r>
        <w:rPr>
          <w:rFonts w:hint="eastAsia"/>
        </w:rPr>
        <w:t>文件信息，返回序列化字符串。</w:t>
      </w:r>
    </w:p>
    <w:p w:rsidR="005B6786" w:rsidP="005B6786">
      <w:pPr>
        <w:pStyle w:val="Heading5"/>
        <w:keepNext/>
        <w:keepLines/>
        <w:widowControl w:val="0"/>
        <w:numPr>
          <w:ilvl w:val="4"/>
          <w:numId w:val="4"/>
        </w:numPr>
        <w:spacing w:line="560" w:lineRule="exact"/>
        <w:ind w:left="0" w:firstLine="0"/>
        <w:jc w:val="both"/>
      </w:pPr>
      <w:r>
        <w:rPr>
          <w:rFonts w:hint="eastAsia"/>
        </w:rPr>
        <w:t>初步建立用户自定义</w:t>
      </w:r>
      <w:r>
        <w:rPr>
          <w:rFonts w:hint="eastAsia"/>
        </w:rPr>
        <w:t>SQL</w:t>
      </w:r>
      <w:r>
        <w:rPr>
          <w:rFonts w:hint="eastAsia"/>
        </w:rPr>
        <w:t>统计分析接口</w:t>
      </w:r>
    </w:p>
    <w:p w:rsidR="005B6786" w:rsidP="005B6786">
      <w:pPr>
        <w:ind w:firstLine="632"/>
      </w:pPr>
      <w:r>
        <w:rPr>
          <w:rFonts w:hint="eastAsia"/>
        </w:rPr>
        <w:t>目前接口服务的通用统计接口提供求和、均值等基本统计能力，但短临业务中涉及对不同条件下的复杂统计需求。</w:t>
      </w:r>
      <w:r>
        <w:t>随着业务的发展，用户定制化统计需求与日俱增，</w:t>
      </w:r>
      <w:r>
        <w:rPr>
          <w:rFonts w:hint="eastAsia"/>
        </w:rPr>
        <w:t>接口服务所提供的通用统计接口难以满足短临预报预警等业务的</w:t>
      </w:r>
      <w:r>
        <w:t>统计需求，对于定制化</w:t>
      </w:r>
      <w:r>
        <w:rPr>
          <w:rFonts w:hint="eastAsia"/>
        </w:rPr>
        <w:t>的统计</w:t>
      </w:r>
      <w:r>
        <w:t>需求</w:t>
      </w:r>
      <w:r>
        <w:rPr>
          <w:rFonts w:hint="eastAsia"/>
        </w:rPr>
        <w:t>，</w:t>
      </w:r>
      <w:r>
        <w:t>接口无法做到快速响应。</w:t>
      </w:r>
      <w:r>
        <w:rPr>
          <w:rFonts w:hint="eastAsia"/>
        </w:rPr>
        <w:t>基于以上，</w:t>
      </w:r>
      <w:r>
        <w:t>提供零代码开发</w:t>
      </w:r>
      <w:r>
        <w:rPr>
          <w:rFonts w:hint="eastAsia"/>
        </w:rPr>
        <w:t>的用户自定义</w:t>
      </w:r>
      <w:r>
        <w:rPr>
          <w:rFonts w:hint="eastAsia"/>
        </w:rPr>
        <w:t>SQL</w:t>
      </w:r>
      <w:r>
        <w:rPr>
          <w:rFonts w:hint="eastAsia"/>
        </w:rPr>
        <w:t>统计分析接口</w:t>
      </w:r>
      <w:r>
        <w:t>，用户可根据</w:t>
      </w:r>
      <w:r>
        <w:rPr>
          <w:rFonts w:hint="eastAsia"/>
        </w:rPr>
        <w:t>自身</w:t>
      </w:r>
      <w:r>
        <w:t>业务</w:t>
      </w:r>
      <w:r>
        <w:rPr>
          <w:rFonts w:hint="eastAsia"/>
        </w:rPr>
        <w:t>，</w:t>
      </w:r>
      <w:r>
        <w:t>通过配置</w:t>
      </w:r>
      <w:r>
        <w:t>SQL</w:t>
      </w:r>
      <w:r>
        <w:t>实现满足自己需要的自定义统计接口，</w:t>
      </w:r>
      <w:r>
        <w:rPr>
          <w:rFonts w:hint="eastAsia"/>
        </w:rPr>
        <w:t>同时</w:t>
      </w:r>
      <w:r>
        <w:t>建立接口注册、接口审核、接口测试、接口使用</w:t>
      </w:r>
      <w:r>
        <w:rPr>
          <w:rFonts w:hint="eastAsia"/>
        </w:rPr>
        <w:t>等用户自定义</w:t>
      </w:r>
      <w:r>
        <w:rPr>
          <w:rFonts w:hint="eastAsia"/>
        </w:rPr>
        <w:t>SQL</w:t>
      </w:r>
      <w:r>
        <w:rPr>
          <w:rFonts w:hint="eastAsia"/>
        </w:rPr>
        <w:t>统计分析接口使用</w:t>
      </w:r>
      <w:r>
        <w:t>的标准流程，解决直连库带来的安全风险，原始数据不出域，降低数据泄露风险。</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用户自定义</w:t>
      </w:r>
      <w:r>
        <w:rPr>
          <w:rFonts w:hint="eastAsia"/>
        </w:rPr>
        <w:t>SQL</w:t>
      </w:r>
      <w:r>
        <w:rPr>
          <w:rFonts w:hint="eastAsia"/>
        </w:rPr>
        <w:t>统计分析接口注册</w:t>
      </w:r>
    </w:p>
    <w:p w:rsidR="005B6786" w:rsidP="005B6786">
      <w:pPr>
        <w:ind w:firstLine="632"/>
        <w:rPr>
          <w:rFonts w:hint="eastAsia"/>
        </w:rPr>
      </w:pPr>
      <w:r>
        <w:rPr>
          <w:rFonts w:hint="eastAsia"/>
        </w:rPr>
        <w:t>提供用户自定义</w:t>
      </w:r>
      <w:r>
        <w:rPr>
          <w:rFonts w:hint="eastAsia"/>
        </w:rPr>
        <w:t>SQL</w:t>
      </w:r>
      <w:r>
        <w:rPr>
          <w:rFonts w:hint="eastAsia"/>
        </w:rPr>
        <w:t>统计分析接口的注册能力。用户通过定义</w:t>
      </w:r>
      <w:r>
        <w:rPr>
          <w:rFonts w:hint="eastAsia"/>
        </w:rPr>
        <w:t xml:space="preserve"> SQL </w:t>
      </w:r>
      <w:r>
        <w:rPr>
          <w:rFonts w:hint="eastAsia"/>
        </w:rPr>
        <w:t>基本信息</w:t>
      </w:r>
      <w:r>
        <w:rPr>
          <w:rFonts w:hint="eastAsia"/>
        </w:rPr>
        <w:t xml:space="preserve"> </w:t>
      </w:r>
      <w:r>
        <w:rPr>
          <w:rFonts w:hint="eastAsia"/>
        </w:rPr>
        <w:t>来构建核心分析逻辑：必须指定一个全局唯一的接口</w:t>
      </w:r>
      <w:r>
        <w:rPr>
          <w:rFonts w:hint="eastAsia"/>
        </w:rPr>
        <w:t>ID</w:t>
      </w:r>
      <w:r>
        <w:rPr>
          <w:rFonts w:hint="eastAsia"/>
        </w:rPr>
        <w:t>（需符合系统命名规范），定义清晰准确的接口名称，并编写专用于数据统计分析的</w:t>
      </w:r>
      <w:r>
        <w:rPr>
          <w:rFonts w:hint="eastAsia"/>
        </w:rPr>
        <w:t xml:space="preserve"> SQL </w:t>
      </w:r>
      <w:r>
        <w:rPr>
          <w:rFonts w:hint="eastAsia"/>
        </w:rPr>
        <w:t>语句。在</w:t>
      </w:r>
      <w:r>
        <w:rPr>
          <w:rFonts w:hint="eastAsia"/>
        </w:rPr>
        <w:t xml:space="preserve"> SQL </w:t>
      </w:r>
      <w:r>
        <w:rPr>
          <w:rFonts w:hint="eastAsia"/>
        </w:rPr>
        <w:t>语句中，用户需明确声明所有条件参数（</w:t>
      </w:r>
      <w:r>
        <w:rPr>
          <w:rFonts w:hint="eastAsia"/>
        </w:rPr>
        <w:t>Key</w:t>
      </w:r>
      <w:r>
        <w:rPr>
          <w:rFonts w:hint="eastAsia"/>
        </w:rPr>
        <w:t>），并为每个参数详细定义其</w:t>
      </w:r>
      <w:r>
        <w:rPr>
          <w:rFonts w:hint="eastAsia"/>
        </w:rPr>
        <w:t xml:space="preserve"> Key </w:t>
      </w:r>
      <w:r>
        <w:rPr>
          <w:rFonts w:hint="eastAsia"/>
        </w:rPr>
        <w:t>名称、数据类型（如字符串、数值、日期等）、默认值（确保合理有效）以及输入提示信息（指导调用方正确输入）。同时，用户需从</w:t>
      </w:r>
      <w:r>
        <w:rPr>
          <w:rFonts w:hint="eastAsia"/>
        </w:rPr>
        <w:t xml:space="preserve"> SQL </w:t>
      </w:r>
      <w:r>
        <w:rPr>
          <w:rFonts w:hint="eastAsia"/>
        </w:rPr>
        <w:t>查询结果集中明确选定需要作为接口返回参数的具体字段及其结构。随后，用户需在接口基本信息配置环节完成：提供规范且可用的接口调用</w:t>
      </w:r>
      <w:r>
        <w:rPr>
          <w:rFonts w:hint="eastAsia"/>
        </w:rPr>
        <w:t xml:space="preserve"> URL </w:t>
      </w:r>
      <w:r>
        <w:rPr>
          <w:rFonts w:hint="eastAsia"/>
        </w:rPr>
        <w:t>示例，构造真实反映预期输出结构的接口返回数据示例，并准确勾选该接口执行查询操作所必需的资料编码（即所需访问的数据源权限标识）。</w:t>
      </w:r>
    </w:p>
    <w:p w:rsidR="005B6786" w:rsidP="005B6786">
      <w:pPr>
        <w:ind w:firstLine="632"/>
        <w:rPr>
          <w:rFonts w:hint="eastAsia"/>
        </w:rPr>
      </w:pPr>
      <w:r>
        <w:rPr>
          <w:rFonts w:hint="eastAsia"/>
        </w:rPr>
        <w:t>完成上述</w:t>
      </w:r>
      <w:r>
        <w:rPr>
          <w:rFonts w:hint="eastAsia"/>
        </w:rPr>
        <w:t xml:space="preserve"> SQL </w:t>
      </w:r>
      <w:r>
        <w:rPr>
          <w:rFonts w:hint="eastAsia"/>
        </w:rPr>
        <w:t>逻辑定义与接口信息配置后，系统将正式注册该自定义</w:t>
      </w:r>
      <w:r>
        <w:rPr>
          <w:rFonts w:hint="eastAsia"/>
        </w:rPr>
        <w:t xml:space="preserve"> SQL </w:t>
      </w:r>
      <w:r>
        <w:rPr>
          <w:rFonts w:hint="eastAsia"/>
        </w:rPr>
        <w:t>统计分析接口。成功注册的接口将生成唯一的访问端点，可供授权用户或系统通过</w:t>
      </w:r>
      <w:r>
        <w:rPr>
          <w:rFonts w:hint="eastAsia"/>
        </w:rPr>
        <w:t xml:space="preserve"> API </w:t>
      </w:r>
      <w:r>
        <w:rPr>
          <w:rFonts w:hint="eastAsia"/>
        </w:rPr>
        <w:t>调用，按需执行预定义的统计分析任务并返回结果。</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用户自定义</w:t>
      </w:r>
      <w:r>
        <w:rPr>
          <w:rFonts w:hint="eastAsia"/>
        </w:rPr>
        <w:t>SQL</w:t>
      </w:r>
      <w:r>
        <w:rPr>
          <w:rFonts w:hint="eastAsia"/>
        </w:rPr>
        <w:t>统计分析接口审核</w:t>
      </w:r>
    </w:p>
    <w:p w:rsidR="005B6786" w:rsidP="005B6786">
      <w:pPr>
        <w:ind w:firstLine="632"/>
        <w:rPr>
          <w:rFonts w:hint="eastAsia"/>
        </w:rPr>
      </w:pPr>
      <w:r>
        <w:rPr>
          <w:rFonts w:hint="eastAsia"/>
        </w:rPr>
        <w:t>对用户提交的自定义</w:t>
      </w:r>
      <w:r>
        <w:rPr>
          <w:rFonts w:hint="eastAsia"/>
        </w:rPr>
        <w:t>SQL</w:t>
      </w:r>
      <w:r>
        <w:rPr>
          <w:rFonts w:hint="eastAsia"/>
        </w:rPr>
        <w:t>统计分析接口注册申请进行严格的技术与业务审核，旨在确保接口的合规性、安全性、主题契合度及执行效率。审核工作涵盖以下关键维度：</w:t>
      </w:r>
    </w:p>
    <w:p w:rsidR="005B6786" w:rsidP="005B6786">
      <w:pPr>
        <w:ind w:firstLine="632"/>
        <w:rPr>
          <w:rFonts w:hint="eastAsia"/>
        </w:rPr>
      </w:pPr>
      <w:r>
        <w:rPr>
          <w:rFonts w:hint="eastAsia"/>
        </w:rPr>
        <w:t>首先，严格校验接口</w:t>
      </w:r>
      <w:r>
        <w:rPr>
          <w:rFonts w:hint="eastAsia"/>
        </w:rPr>
        <w:t>ID</w:t>
      </w:r>
      <w:r>
        <w:rPr>
          <w:rFonts w:hint="eastAsia"/>
        </w:rPr>
        <w:t>的唯一性及其是否符合系统预设的命名规范（如格式、长度、前缀要求等）。其次，审查接口名称是否具备清晰性、准确性，能够直观反映接口的统计目标和业务含义。第三，详细检查</w:t>
      </w:r>
      <w:r>
        <w:rPr>
          <w:rFonts w:hint="eastAsia"/>
        </w:rPr>
        <w:t>SQL</w:t>
      </w:r>
      <w:r>
        <w:rPr>
          <w:rFonts w:hint="eastAsia"/>
        </w:rPr>
        <w:t>语句中定义的条件参数（</w:t>
      </w:r>
      <w:r>
        <w:rPr>
          <w:rFonts w:hint="eastAsia"/>
        </w:rPr>
        <w:t>Key</w:t>
      </w:r>
      <w:r>
        <w:rPr>
          <w:rFonts w:hint="eastAsia"/>
        </w:rPr>
        <w:t>），包括其数据类型是否合理、默认值设置是否恰当、以及输入提示信息是否规范且对用户友好。审核的核心与重点在于用户编写的</w:t>
      </w:r>
      <w:r>
        <w:rPr>
          <w:rFonts w:hint="eastAsia"/>
        </w:rPr>
        <w:t>SQL</w:t>
      </w:r>
      <w:r>
        <w:rPr>
          <w:rFonts w:hint="eastAsia"/>
        </w:rPr>
        <w:t>语句本身：必须严格评估其是否服务于纯粹的统计分析目的（例如聚合计算、分组统计、趋势分析），明确排除可能导致海量数据检索的非分析型操作（如全表数据导出）或事务处理逻辑；同时，需深入分析</w:t>
      </w:r>
      <w:r>
        <w:rPr>
          <w:rFonts w:hint="eastAsia"/>
        </w:rPr>
        <w:t>SQL</w:t>
      </w:r>
      <w:r>
        <w:rPr>
          <w:rFonts w:hint="eastAsia"/>
        </w:rPr>
        <w:t>的潜在性能风险，识别是否存在未优化的表连接、缺乏有效索引支持的大表扫描、复杂嵌套查询或笛卡尔积等可能引发系统瓶颈的设计。此外，审核内容还包括：确认接口调用</w:t>
      </w:r>
      <w:r>
        <w:rPr>
          <w:rFonts w:hint="eastAsia"/>
        </w:rPr>
        <w:t>URL</w:t>
      </w:r>
      <w:r>
        <w:rPr>
          <w:rFonts w:hint="eastAsia"/>
        </w:rPr>
        <w:t>示例的格式正确性与实用性；验证接口返回数据示例是否真实、完整地反映了</w:t>
      </w:r>
      <w:r>
        <w:rPr>
          <w:rFonts w:hint="eastAsia"/>
        </w:rPr>
        <w:t>SQL</w:t>
      </w:r>
      <w:r>
        <w:rPr>
          <w:rFonts w:hint="eastAsia"/>
        </w:rPr>
        <w:t>查询结果的结构与内容；以及核实是否已准确、完整地勾选了该接口执行查询所必需的资料编码（数据源权限标识）。</w:t>
      </w:r>
    </w:p>
    <w:p w:rsidR="005B6786" w:rsidP="005B6786">
      <w:pPr>
        <w:ind w:firstLine="632"/>
        <w:rPr>
          <w:rFonts w:hint="eastAsia"/>
        </w:rPr>
      </w:pPr>
      <w:r>
        <w:rPr>
          <w:rFonts w:hint="eastAsia"/>
        </w:rPr>
        <w:t>审核员基于上述全面的评估标准，做出通过、需修改或驳回的最终审核决定，完成整个审核流程，以保障注册接口的质量和系统整体稳定性。</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用户自定义</w:t>
      </w:r>
      <w:r>
        <w:rPr>
          <w:rFonts w:hint="eastAsia"/>
        </w:rPr>
        <w:t>SQL</w:t>
      </w:r>
      <w:r>
        <w:rPr>
          <w:rFonts w:hint="eastAsia"/>
        </w:rPr>
        <w:t>统计分析接口使用</w:t>
      </w:r>
    </w:p>
    <w:p w:rsidR="005B6786" w:rsidP="005B6786">
      <w:pPr>
        <w:ind w:firstLine="632"/>
        <w:rPr>
          <w:rFonts w:hint="eastAsia"/>
        </w:rPr>
      </w:pPr>
      <w:r>
        <w:rPr>
          <w:rFonts w:hint="eastAsia"/>
        </w:rPr>
        <w:t>提供已审核通过的用户自定义</w:t>
      </w:r>
      <w:r>
        <w:rPr>
          <w:rFonts w:hint="eastAsia"/>
        </w:rPr>
        <w:t>SQL</w:t>
      </w:r>
      <w:r>
        <w:rPr>
          <w:rFonts w:hint="eastAsia"/>
        </w:rPr>
        <w:t>统计分析接口的调用能力。接口成功通过审核后，将自动注册并部署于众创接口服务节点下的专属目录中。用户可通过以下两种方式使用：</w:t>
      </w:r>
    </w:p>
    <w:p w:rsidR="005B6786" w:rsidP="005B6786">
      <w:pPr>
        <w:ind w:firstLine="632"/>
        <w:rPr>
          <w:rFonts w:hint="eastAsia"/>
        </w:rPr>
      </w:pPr>
      <w:r>
        <w:rPr>
          <w:rFonts w:hint="eastAsia"/>
        </w:rPr>
        <w:t>众创接口测试工具调用：在测试工具中导航至</w:t>
      </w:r>
      <w:r>
        <w:rPr>
          <w:rFonts w:hint="eastAsia"/>
        </w:rPr>
        <w:t xml:space="preserve"> </w:t>
      </w:r>
      <w:r>
        <w:t>“</w:t>
      </w:r>
      <w:r>
        <w:rPr>
          <w:rFonts w:hint="eastAsia"/>
        </w:rPr>
        <w:t>自定义</w:t>
      </w:r>
      <w:r>
        <w:rPr>
          <w:rFonts w:hint="eastAsia"/>
        </w:rPr>
        <w:t>SQL</w:t>
      </w:r>
      <w:r>
        <w:rPr>
          <w:rFonts w:hint="eastAsia"/>
        </w:rPr>
        <w:t>统计分析</w:t>
      </w:r>
      <w:r>
        <w:t>”</w:t>
      </w:r>
      <w:r>
        <w:rPr>
          <w:rFonts w:hint="eastAsia"/>
        </w:rPr>
        <w:t>节点，查找目标接口；根据接口注册时定义的参数规范（包括</w:t>
      </w:r>
      <w:r>
        <w:rPr>
          <w:rFonts w:hint="eastAsia"/>
        </w:rPr>
        <w:t>Key</w:t>
      </w:r>
      <w:r>
        <w:rPr>
          <w:rFonts w:hint="eastAsia"/>
        </w:rPr>
        <w:t>名称、数据类型、默认值及输入提示信息），在测试界面输入或修改参数值；工具将动态生成符合要求的接口调用</w:t>
      </w:r>
      <w:r>
        <w:rPr>
          <w:rFonts w:hint="eastAsia"/>
        </w:rPr>
        <w:t>URL</w:t>
      </w:r>
      <w:r>
        <w:rPr>
          <w:rFonts w:hint="eastAsia"/>
        </w:rPr>
        <w:t>；执行调用，实时获取并展示接口返回的统计分析结果。</w:t>
      </w:r>
    </w:p>
    <w:p w:rsidR="005B6786" w:rsidP="005B6786">
      <w:pPr>
        <w:ind w:firstLine="632"/>
        <w:rPr>
          <w:rFonts w:hint="eastAsia"/>
        </w:rPr>
      </w:pPr>
      <w:r>
        <w:rPr>
          <w:rFonts w:hint="eastAsia"/>
        </w:rPr>
        <w:t>实际应用系统集成调用：参照测试工具生成的</w:t>
      </w:r>
      <w:r>
        <w:rPr>
          <w:rFonts w:hint="eastAsia"/>
        </w:rPr>
        <w:t>URL</w:t>
      </w:r>
      <w:r>
        <w:rPr>
          <w:rFonts w:hint="eastAsia"/>
        </w:rPr>
        <w:t>格式与参数传递逻辑；在实际业务系统或代码中，通过标准的</w:t>
      </w:r>
      <w:r>
        <w:rPr>
          <w:rFonts w:hint="eastAsia"/>
        </w:rPr>
        <w:t xml:space="preserve"> HTTP </w:t>
      </w:r>
      <w:r>
        <w:rPr>
          <w:rFonts w:hint="eastAsia"/>
        </w:rPr>
        <w:t>协议</w:t>
      </w:r>
      <w:r>
        <w:rPr>
          <w:rFonts w:hint="eastAsia"/>
        </w:rPr>
        <w:t xml:space="preserve"> </w:t>
      </w:r>
      <w:r>
        <w:rPr>
          <w:rFonts w:hint="eastAsia"/>
        </w:rPr>
        <w:t>发起请求；采用</w:t>
      </w:r>
      <w:r>
        <w:rPr>
          <w:rFonts w:hint="eastAsia"/>
        </w:rPr>
        <w:t xml:space="preserve"> AK</w:t>
      </w:r>
      <w:r>
        <w:rPr>
          <w:rFonts w:hint="eastAsia"/>
        </w:rPr>
        <w:t>（</w:t>
      </w:r>
      <w:r>
        <w:rPr>
          <w:rFonts w:hint="eastAsia"/>
        </w:rPr>
        <w:t>Access Key</w:t>
      </w:r>
      <w:r>
        <w:rPr>
          <w:rFonts w:hint="eastAsia"/>
        </w:rPr>
        <w:t>）认证机制</w:t>
      </w:r>
      <w:r>
        <w:rPr>
          <w:rFonts w:hint="eastAsia"/>
        </w:rPr>
        <w:t xml:space="preserve"> </w:t>
      </w:r>
      <w:r>
        <w:rPr>
          <w:rFonts w:hint="eastAsia"/>
        </w:rPr>
        <w:t>进行安全鉴权；灵活构建请求</w:t>
      </w:r>
      <w:r>
        <w:rPr>
          <w:rFonts w:hint="eastAsia"/>
        </w:rPr>
        <w:t>URL</w:t>
      </w:r>
      <w:r>
        <w:rPr>
          <w:rFonts w:hint="eastAsia"/>
        </w:rPr>
        <w:t>并传入所需参数，即可获取接口返回的</w:t>
      </w:r>
      <w:r>
        <w:rPr>
          <w:rFonts w:hint="eastAsia"/>
        </w:rPr>
        <w:t>JSON</w:t>
      </w:r>
      <w:r>
        <w:rPr>
          <w:rFonts w:hint="eastAsia"/>
        </w:rPr>
        <w:t>格式数据，用于进一步处理或展示。</w:t>
      </w:r>
    </w:p>
    <w:p w:rsidR="005B6786" w:rsidP="005B6786">
      <w:pPr>
        <w:ind w:firstLine="632"/>
      </w:pPr>
      <w:r>
        <w:rPr>
          <w:rFonts w:hint="eastAsia"/>
        </w:rPr>
        <w:t>通过以上方式，用户能够便捷地测试、验证并集成其自定义的</w:t>
      </w:r>
      <w:r>
        <w:rPr>
          <w:rFonts w:hint="eastAsia"/>
        </w:rPr>
        <w:t>SQL</w:t>
      </w:r>
      <w:r>
        <w:rPr>
          <w:rFonts w:hint="eastAsia"/>
        </w:rPr>
        <w:t>统计分析接口，实现按需的数据分析能力。</w:t>
      </w:r>
    </w:p>
    <w:p w:rsidR="005B6786" w:rsidP="005B6786">
      <w:pPr>
        <w:pStyle w:val="Heading4"/>
        <w:keepNext/>
        <w:keepLines/>
        <w:widowControl w:val="0"/>
        <w:numPr>
          <w:ilvl w:val="3"/>
          <w:numId w:val="4"/>
        </w:numPr>
        <w:spacing w:line="560" w:lineRule="exact"/>
        <w:ind w:left="864" w:hanging="864"/>
        <w:jc w:val="both"/>
        <w:rPr>
          <w:rFonts w:hint="eastAsia"/>
        </w:rPr>
      </w:pPr>
      <w:r>
        <w:rPr>
          <w:rFonts w:hint="eastAsia"/>
        </w:rPr>
        <w:t>接口管理功能升级</w:t>
      </w:r>
    </w:p>
    <w:p w:rsidR="005B6786" w:rsidP="005B6786">
      <w:pPr>
        <w:pStyle w:val="Heading5"/>
        <w:keepNext/>
        <w:keepLines/>
        <w:widowControl w:val="0"/>
        <w:numPr>
          <w:ilvl w:val="4"/>
          <w:numId w:val="4"/>
        </w:numPr>
        <w:spacing w:line="560" w:lineRule="exact"/>
        <w:ind w:left="0" w:firstLine="0"/>
        <w:jc w:val="both"/>
      </w:pPr>
      <w:r>
        <w:rPr>
          <w:rFonts w:hint="eastAsia"/>
        </w:rPr>
        <w:t>接口服务热点数据统计</w:t>
      </w:r>
    </w:p>
    <w:p w:rsidR="005B6786" w:rsidP="005B6786">
      <w:pPr>
        <w:ind w:firstLine="632"/>
      </w:pPr>
      <w:r>
        <w:rPr>
          <w:rFonts w:hint="eastAsia"/>
        </w:rPr>
        <w:t>当前数据在线策略主要基于人工经验制定，短临业务在开展时存在因数据不在线、再回取等低时效的问题。通过接口服务热点数据可统计短临业务数据使用热度，为存储管理动态调整提供依据，保障短临业务所需的数据在线，稳定提供访问。随着数据量的持续增长，为分析短临预报预警业务所需气象数据的使用热度，急需一种高效方法来统计资料通过接口服务在特定时间段的热度值。该需求旨在追踪并确认某时间段内各资料的访问频次，以便精准调整不同热点资料。该功能将基于用户检索资料时间与资料发布时间的时间差，自动统计各资料在每个预设区间（如</w:t>
      </w:r>
      <w:r>
        <w:rPr>
          <w:rFonts w:hint="eastAsia"/>
        </w:rPr>
        <w:t>1</w:t>
      </w:r>
      <w:r>
        <w:rPr>
          <w:rFonts w:hint="eastAsia"/>
        </w:rPr>
        <w:t>天内、</w:t>
      </w:r>
      <w:r>
        <w:rPr>
          <w:rFonts w:hint="eastAsia"/>
        </w:rPr>
        <w:t>1~7</w:t>
      </w:r>
      <w:r>
        <w:rPr>
          <w:rFonts w:hint="eastAsia"/>
        </w:rPr>
        <w:t>天内、</w:t>
      </w:r>
      <w:r>
        <w:rPr>
          <w:rFonts w:hint="eastAsia"/>
        </w:rPr>
        <w:t>7~30</w:t>
      </w:r>
      <w:r>
        <w:rPr>
          <w:rFonts w:hint="eastAsia"/>
        </w:rPr>
        <w:t>天内、</w:t>
      </w:r>
      <w:r>
        <w:rPr>
          <w:rFonts w:hint="eastAsia"/>
        </w:rPr>
        <w:t>30~90</w:t>
      </w:r>
      <w:r>
        <w:rPr>
          <w:rFonts w:hint="eastAsia"/>
        </w:rPr>
        <w:t>天内等）内的被检索次数，以此作为该资料在该独立时间段的热度值。通过这一功能，管理员可以直观地查看各资料在不同时间段内的访问情况，清晰把握资料的热度曲线，从而及时、准确地调整和优化热点数据，提升数据管理的效率与效果。</w:t>
      </w:r>
    </w:p>
    <w:p w:rsidR="005B6786" w:rsidP="005B6786">
      <w:pPr>
        <w:pStyle w:val="Heading5"/>
        <w:keepNext/>
        <w:keepLines/>
        <w:widowControl w:val="0"/>
        <w:numPr>
          <w:ilvl w:val="4"/>
          <w:numId w:val="4"/>
        </w:numPr>
        <w:spacing w:line="560" w:lineRule="exact"/>
        <w:ind w:left="0" w:firstLine="0"/>
        <w:jc w:val="both"/>
      </w:pPr>
      <w:r>
        <w:rPr>
          <w:rFonts w:hint="eastAsia"/>
        </w:rPr>
        <w:t>文件目录服务热点数据统计</w:t>
      </w:r>
    </w:p>
    <w:p w:rsidR="005B6786" w:rsidP="005B6786">
      <w:pPr>
        <w:ind w:firstLine="632"/>
      </w:pPr>
      <w:r>
        <w:rPr>
          <w:rFonts w:hint="eastAsia"/>
        </w:rPr>
        <w:t>随着数据量的持续增长，为分析短临预报预警业务所需气象数据的使用热度，急需一种高效方法来统计资料通过文件目录服务在特定时间段的热度值。该需求旨在追踪并确认某时间段内各资料的访问频次，以便精准调整不同热点资料。该功能将基于用户检索资料时间与资料发布时间的时间差，自动统计各资料在每个预设区间（如</w:t>
      </w:r>
      <w:r>
        <w:rPr>
          <w:rFonts w:hint="eastAsia"/>
        </w:rPr>
        <w:t>1</w:t>
      </w:r>
      <w:r>
        <w:rPr>
          <w:rFonts w:hint="eastAsia"/>
        </w:rPr>
        <w:t>天内、</w:t>
      </w:r>
      <w:r>
        <w:rPr>
          <w:rFonts w:hint="eastAsia"/>
        </w:rPr>
        <w:t>1~7</w:t>
      </w:r>
      <w:r>
        <w:rPr>
          <w:rFonts w:hint="eastAsia"/>
        </w:rPr>
        <w:t>天内、</w:t>
      </w:r>
      <w:r>
        <w:rPr>
          <w:rFonts w:hint="eastAsia"/>
        </w:rPr>
        <w:t>7~30</w:t>
      </w:r>
      <w:r>
        <w:rPr>
          <w:rFonts w:hint="eastAsia"/>
        </w:rPr>
        <w:t>天内、</w:t>
      </w:r>
      <w:r>
        <w:rPr>
          <w:rFonts w:hint="eastAsia"/>
        </w:rPr>
        <w:t>30~90</w:t>
      </w:r>
      <w:r>
        <w:rPr>
          <w:rFonts w:hint="eastAsia"/>
        </w:rPr>
        <w:t>天内等）内的被检索次数，以此作为该资料在该独立时间段的热度值。通过这一功能，管理员可以直观地查看各资料在不同时间段内的访问情况，清晰把握资料的热度曲线，从而及时、准确地调整和优化热点数据，提升数据管理的效率与效果。</w:t>
      </w:r>
    </w:p>
    <w:p w:rsidR="005B6786" w:rsidP="005B6786">
      <w:pPr>
        <w:pStyle w:val="Heading5"/>
        <w:keepNext/>
        <w:keepLines/>
        <w:widowControl w:val="0"/>
        <w:numPr>
          <w:ilvl w:val="4"/>
          <w:numId w:val="4"/>
        </w:numPr>
        <w:spacing w:line="560" w:lineRule="exact"/>
        <w:ind w:left="0" w:firstLine="0"/>
        <w:jc w:val="both"/>
      </w:pPr>
      <w:r>
        <w:rPr>
          <w:rFonts w:hint="eastAsia"/>
        </w:rPr>
        <w:t>接口服务访问日志清洗、热点数据计算</w:t>
      </w:r>
    </w:p>
    <w:p w:rsidR="005B6786" w:rsidP="005B6786">
      <w:pPr>
        <w:pStyle w:val="Style851"/>
        <w:ind w:left="0" w:firstLine="632" w:leftChars="0"/>
        <w:rPr>
          <w:rFonts w:ascii="仿宋_GB2312" w:eastAsia="仿宋_GB2312" w:hAnsi="Times New Roman" w:hint="eastAsia"/>
          <w:kern w:val="2"/>
          <w:sz w:val="32"/>
          <w:szCs w:val="22"/>
        </w:rPr>
      </w:pPr>
      <w:r>
        <w:rPr>
          <w:rFonts w:ascii="仿宋_GB2312" w:eastAsia="仿宋_GB2312" w:hAnsi="Times New Roman" w:hint="eastAsia"/>
          <w:kern w:val="2"/>
          <w:sz w:val="32"/>
          <w:szCs w:val="22"/>
        </w:rPr>
        <w:t>随着数据量的持续增长，为分析短临预报预警业务所需气象数据的使用热度，急需一种高效统计方法来统计资料通过服务在特定时间段的热度值。该需求旨在追踪并确认某时间段内各资料的访问频次，以便精准调整不同热点资料。定时对服务接口访问日志进行处理，首先需要对服务接口访问日志进行清洗，筛选掉错误日志等信息，然后基于用户检索资料时间与资料发布时间的时间差，按照热点数据统计算法，输出用户检索资料最早时间，统计输出各资料在每个预设区间（如1天内、1~7天内、7~30天内、30~90天内等）内的热度值，统计结果入库，支撑热点数据业务应用。</w:t>
      </w:r>
    </w:p>
    <w:p w:rsidR="005B6786" w:rsidP="005B6786">
      <w:pPr>
        <w:pStyle w:val="Heading5"/>
        <w:keepNext/>
        <w:keepLines/>
        <w:widowControl w:val="0"/>
        <w:numPr>
          <w:ilvl w:val="4"/>
          <w:numId w:val="4"/>
        </w:numPr>
        <w:spacing w:line="560" w:lineRule="exact"/>
        <w:ind w:left="0" w:firstLine="0"/>
        <w:jc w:val="both"/>
      </w:pPr>
      <w:r>
        <w:rPr>
          <w:rFonts w:hint="eastAsia"/>
        </w:rPr>
        <w:t>角色权限管理</w:t>
      </w:r>
    </w:p>
    <w:p w:rsidR="005B6786" w:rsidP="005B6786">
      <w:pPr>
        <w:ind w:firstLine="632"/>
      </w:pPr>
      <w:r>
        <w:rPr>
          <w:rFonts w:hint="eastAsia"/>
        </w:rPr>
        <w:t>接口管理目前仅有一类超级用户角色，实际面向不同用户，如系统管理员、数据注册等角色，所需、所该访问功能存在差异，授权同一角色权限存在安全风险，误操作会影响短临业务正常开展。为接口管理功能增加角色权限管理，提升接口管理的安全性，可配置角色类型以及角色类型对应功能模块的访问权限，包括用户角色分配和角色权限管理等等，不同的角色拥有不同功能模块的管理权限，管理用户分配某个角色后，拥有对应功能模块的管理权限，不能访问其他功能模块，提高后台管理系统的安全性，避免非管理人员使用不该用的权限进行操作影响短临预报预警等业务的开展。</w:t>
      </w:r>
    </w:p>
    <w:p w:rsidR="005B6786" w:rsidP="005B6786">
      <w:pPr>
        <w:pStyle w:val="Heading5"/>
        <w:keepNext/>
        <w:keepLines/>
        <w:widowControl w:val="0"/>
        <w:numPr>
          <w:ilvl w:val="4"/>
          <w:numId w:val="4"/>
        </w:numPr>
        <w:spacing w:line="560" w:lineRule="exact"/>
        <w:ind w:left="0" w:firstLine="0"/>
        <w:jc w:val="both"/>
      </w:pPr>
      <w:r>
        <w:rPr>
          <w:rFonts w:hint="eastAsia"/>
        </w:rPr>
        <w:t>功能模块组件化</w:t>
      </w:r>
    </w:p>
    <w:p w:rsidR="005B6786" w:rsidP="005B6786">
      <w:pPr>
        <w:ind w:firstLine="632"/>
      </w:pPr>
      <w:r>
        <w:rPr>
          <w:rFonts w:hint="eastAsia"/>
        </w:rPr>
        <w:t>接口管理后台功能模块组件化改造，实现功能模块的可配置管理，支持功能的快速发布和下线，国省不同版本通过功能模块配置实现不同功能的发布，简化不同版本间的改造成本。更好的支持角色权限的管理，根据用户拥有的不同权限，只提供对应功能模块的功能，提高后台管理系统的安全性，避免非管理人员使用不该用的权限进行操作影响短临预报预警等业务的开展。</w:t>
      </w:r>
    </w:p>
    <w:p w:rsidR="005B6786" w:rsidP="005B6786">
      <w:pPr>
        <w:pStyle w:val="Heading5"/>
        <w:keepNext/>
        <w:keepLines/>
        <w:widowControl w:val="0"/>
        <w:numPr>
          <w:ilvl w:val="4"/>
          <w:numId w:val="4"/>
        </w:numPr>
        <w:spacing w:line="560" w:lineRule="exact"/>
        <w:ind w:left="0" w:firstLine="0"/>
        <w:jc w:val="both"/>
      </w:pPr>
      <w:r>
        <w:rPr>
          <w:rFonts w:hint="eastAsia"/>
        </w:rPr>
        <w:t>角色权限体系管理</w:t>
      </w:r>
    </w:p>
    <w:p w:rsidR="005B6786" w:rsidP="005B6786">
      <w:pPr>
        <w:ind w:firstLine="632"/>
        <w:rPr>
          <w:rFonts w:hint="eastAsia"/>
        </w:rPr>
      </w:pPr>
      <w:r>
        <w:rPr>
          <w:rFonts w:hint="eastAsia"/>
        </w:rPr>
        <w:t>接口管理后台增加角色类型分组，提供灵活的分组拓展能力，角色权限管理中可以对角色分配不同的角色类型分组。角色类型分组可以配置多个功能模块，配置好角色类型后，管理员在配置角色权限时，不用在勾选对应的功能模块，只需选择角色的分组类型，可以简化管理员的操作负担。</w:t>
      </w:r>
    </w:p>
    <w:p w:rsidR="005B6786" w:rsidP="005B6786">
      <w:pPr>
        <w:pStyle w:val="Heading4"/>
        <w:keepNext/>
        <w:keepLines/>
        <w:widowControl w:val="0"/>
        <w:numPr>
          <w:ilvl w:val="3"/>
          <w:numId w:val="4"/>
        </w:numPr>
        <w:spacing w:line="560" w:lineRule="exact"/>
        <w:ind w:left="864" w:hanging="864"/>
        <w:jc w:val="both"/>
        <w:rPr>
          <w:rFonts w:hint="eastAsia"/>
        </w:rPr>
      </w:pPr>
      <w:r>
        <w:rPr>
          <w:rFonts w:hint="eastAsia"/>
        </w:rPr>
        <w:t>用户行为分析功能升级</w:t>
      </w:r>
    </w:p>
    <w:p w:rsidR="005B6786" w:rsidP="005B6786">
      <w:pPr>
        <w:pStyle w:val="Heading5"/>
        <w:keepNext/>
        <w:keepLines/>
        <w:widowControl w:val="0"/>
        <w:numPr>
          <w:ilvl w:val="4"/>
          <w:numId w:val="4"/>
        </w:numPr>
        <w:spacing w:line="560" w:lineRule="exact"/>
        <w:ind w:left="0" w:firstLine="0"/>
        <w:jc w:val="both"/>
      </w:pPr>
      <w:r>
        <w:rPr>
          <w:rFonts w:hint="eastAsia"/>
        </w:rPr>
        <w:t>用户行为数据采集</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接口服务用户行为采集</w:t>
      </w:r>
    </w:p>
    <w:p w:rsidR="005B6786" w:rsidP="005B6786">
      <w:pPr>
        <w:ind w:firstLine="632"/>
      </w:pPr>
      <w:r>
        <w:rPr>
          <w:rFonts w:hint="eastAsia"/>
        </w:rPr>
        <w:t>短临预报预警业务在开展跨域协作、使用他域数据，一方面需采集共享给外部单位的数据服务情况，明确支撑效益，另一方面，短临业务在数据使用的数据类型、获取频次、数据量波动较于其他天气业务有其特殊性，尤其在接口服务过程中，用户行为的采集和处理是分析短临应用场景特点、提供更优服务的数据来源。用户行为采集模块负责从各种各类服务方式、各服务域的数据源收集用户行为数据，为后续清洗与处理提供数据。</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基于消息中间件的用户行为埋点与收集</w:t>
      </w:r>
    </w:p>
    <w:p w:rsidR="005B6786" w:rsidP="005B6786">
      <w:pPr>
        <w:ind w:firstLine="632"/>
        <w:rPr>
          <w:rFonts w:hint="eastAsia"/>
        </w:rPr>
      </w:pPr>
      <w:r>
        <w:rPr>
          <w:rFonts w:hint="eastAsia"/>
        </w:rPr>
        <w:t>基于数据应用场景，通过消息中间件，以异步方式高效收集用户通过接口访问数据时基于埋点产生的行为数据。消息中间件凭借其高吞吐量和可靠性，确保数据在传输过程中不会丢失，系统实时解析这些数据并入库保存，有力保证了访问行为数据的实时性、准确性与完整性；结合资料、用户、部门、存储信息等丰富的基础元数据信息，依托</w:t>
      </w:r>
      <w:r>
        <w:t>分析</w:t>
      </w:r>
      <w:r>
        <w:rPr>
          <w:rFonts w:hint="eastAsia"/>
        </w:rPr>
        <w:t>库强大的存储和分析能力。</w:t>
      </w:r>
      <w:r>
        <w:t>分析</w:t>
      </w:r>
      <w:r>
        <w:rPr>
          <w:rFonts w:hint="eastAsia"/>
        </w:rPr>
        <w:t>库能处理海量数据，并快速进行复杂计算。我们定时处理这些数据，建立用户访问数据全流程场景行为明细宽表。这张宽表将用户访问的各个环节清晰呈现，让用户访问数据行为一目了然。线上生产问题能够快速被发现并溯源，也为基于数据应用场景的各类统计指标提供了坚实的数据支撑</w:t>
      </w:r>
      <w:r>
        <w:t>。</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文件目录服务用户行为采集</w:t>
      </w:r>
    </w:p>
    <w:p w:rsidR="005B6786" w:rsidP="005B6786">
      <w:pPr>
        <w:ind w:firstLine="632"/>
      </w:pPr>
      <w:r>
        <w:rPr>
          <w:rFonts w:hint="eastAsia"/>
        </w:rPr>
        <w:t>短临预报预警业务常用文件目录服务获取非结构化数据，通过采集用户访问数据的情况，包括用户所在</w:t>
      </w:r>
      <w:r>
        <w:rPr>
          <w:rFonts w:hint="eastAsia"/>
        </w:rPr>
        <w:t>IP</w:t>
      </w:r>
      <w:r>
        <w:rPr>
          <w:rFonts w:hint="eastAsia"/>
        </w:rPr>
        <w:t>，用户操作的类型，如打开文件、读取文件、关闭文件，用户读取的文件名称、文件路径，用户读取的数据大小，所读文件的大小，用户访问时间，用户访问的资料编码，用户读取数据的耗时，用户的账号信息，用户读取的状态等等数据。</w:t>
      </w:r>
    </w:p>
    <w:p w:rsidR="005B6786" w:rsidP="005B6786">
      <w:pPr>
        <w:pStyle w:val="Heading5"/>
        <w:keepNext/>
        <w:keepLines/>
        <w:widowControl w:val="0"/>
        <w:numPr>
          <w:ilvl w:val="4"/>
          <w:numId w:val="4"/>
        </w:numPr>
        <w:spacing w:line="560" w:lineRule="exact"/>
        <w:ind w:left="0" w:firstLine="0"/>
        <w:jc w:val="both"/>
      </w:pPr>
      <w:r>
        <w:rPr>
          <w:rFonts w:hint="eastAsia"/>
        </w:rPr>
        <w:t>用户行为数据清洗与处理</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接口服务用户行为数据清洗与处理</w:t>
      </w:r>
    </w:p>
    <w:p w:rsidR="005B6786" w:rsidP="005B6786">
      <w:pPr>
        <w:ind w:firstLine="632"/>
      </w:pPr>
      <w:r>
        <w:rPr>
          <w:rFonts w:hint="eastAsia"/>
        </w:rPr>
        <w:t>跨域的接口服务的用户行为采集后需做进一步清洗、处理才能用于分析。提供了数据清洗和去重功能，确保采集到数据的准确性和完整性。用户行为数据清洗与处理模块对采集到的用户行为数据进行处理，包括数据清洗、去重、常规统计计算等功能，并实现国省用户行为统计数据汇聚。它支持自定义数据处理流程，允许用户根据需求进行数据处理。</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接口服务用户行为数据多维汇聚</w:t>
      </w:r>
    </w:p>
    <w:p w:rsidR="005B6786" w:rsidP="005B6786">
      <w:pPr>
        <w:ind w:firstLine="632"/>
        <w:rPr>
          <w:rFonts w:hint="eastAsia"/>
        </w:rPr>
      </w:pPr>
      <w:r>
        <w:rPr>
          <w:rFonts w:hint="eastAsia"/>
        </w:rPr>
        <w:t>基于用户访问数据全流程场景行为明细宽表，结合数据业务场景，定时统计生成基于时间、业务、用户、资料维度的各项基础统计指标，按照小时、日、月统计粒度，生成不同的统计结果，并存储入库，例如用户资料下载量、用户资料下载次数、平均耗时、最大耗时、最小耗时、总耗时等基础指标；用户可以基于基础指标做统计结果展示，并且可以基于基础指标做进一步统计计算，做高纬度的统计结果产生出；提供支持自定义数据统计功能，支持数据筛选过滤、分组指标自定义选择等自定义统计功能，用户可以根据自身业务需求选择配置生成自定义统计结果。</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文件目录服务用户行为数据清洗与处理</w:t>
      </w:r>
    </w:p>
    <w:p w:rsidR="005B6786" w:rsidP="005B6786">
      <w:pPr>
        <w:ind w:firstLine="632"/>
        <w:rPr>
          <w:rFonts w:hint="eastAsia"/>
        </w:rPr>
      </w:pPr>
      <w:r>
        <w:rPr>
          <w:rFonts w:hint="eastAsia"/>
        </w:rPr>
        <w:t>采集到数据还需要对数据做进一步的处理，对数据进行去重、统计，提供统计用户在某一段时间内的读写次数与读写量，统计文件的访问热度值，统计用户下载量的</w:t>
      </w:r>
      <w:r>
        <w:rPr>
          <w:rFonts w:hint="eastAsia"/>
        </w:rPr>
        <w:t>top10</w:t>
      </w:r>
      <w:r>
        <w:rPr>
          <w:rFonts w:hint="eastAsia"/>
        </w:rPr>
        <w:t>，统计某段时间内整体读写量的</w:t>
      </w:r>
      <w:r>
        <w:rPr>
          <w:rFonts w:hint="eastAsia"/>
        </w:rPr>
        <w:t>top10</w:t>
      </w:r>
      <w:r>
        <w:rPr>
          <w:rFonts w:hint="eastAsia"/>
        </w:rPr>
        <w:t>，可以分析哪些时间段文件下载量高，哪些用户读取量大。支持自定义数据处理，可以根据用户的需求来进行定制化分析处理，极大的提升管理员对用户行为的掌握程度，能够及时的做出对应的调整。</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用户行为数据推送</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接口用户行为数据推送</w:t>
      </w:r>
    </w:p>
    <w:p w:rsidR="005B6786" w:rsidP="005B6786">
      <w:pPr>
        <w:ind w:firstLine="632"/>
      </w:pPr>
      <w:r>
        <w:rPr>
          <w:rFonts w:hint="eastAsia"/>
        </w:rPr>
        <w:t>短临业务生成产品有了解产品对外服务情况、通过接口对外推送需求。接口服务的用户行为数据推送可根据短临预报预警等业务所需指标需求，按指标需求对用户统计数据处理后进行推送。通过构建可配置的服务，实现对用户行为数据处理后数据的推送，避免原始用户行为数据的外泄，提供安全线，做到非必要数据不出域，原始信息不出域。</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指标评估采集</w:t>
      </w:r>
    </w:p>
    <w:p w:rsidR="005B6786" w:rsidP="005B6786">
      <w:pPr>
        <w:ind w:firstLine="632"/>
        <w:rPr>
          <w:rFonts w:hint="eastAsia"/>
        </w:rPr>
      </w:pPr>
      <w:r>
        <w:rPr>
          <w:rFonts w:hint="eastAsia"/>
        </w:rPr>
        <w:t>接口服务支撑根据业务需求，对用户行为数据进行高效定时推送，如基于用户行为分析基础指标、用户行为访问明细定时生成推送数据服务并发数、关键数据访问平均耗时、各类气象数据日下载次数、各类气象数据日下载量、数据访问平均耗时、</w:t>
      </w:r>
      <w:r>
        <w:rPr>
          <w:rFonts w:hint="eastAsia"/>
        </w:rPr>
        <w:t>1</w:t>
      </w:r>
      <w:r>
        <w:rPr>
          <w:rFonts w:hint="eastAsia"/>
        </w:rPr>
        <w:t>秒内访问占比等指标信息；接口服务还充分考虑到不同业务的个性化需求，支持定制化推送，提供通用推送模板程序，用户无需从零开始，只需基于模板程序，结合自身业务特点，就能快速开发出符合需求的推送程序。这种灵活且高效的服务</w:t>
      </w:r>
      <w:r>
        <w:t>模式，能</w:t>
      </w:r>
      <w:r>
        <w:rPr>
          <w:rFonts w:hint="eastAsia"/>
        </w:rPr>
        <w:t>够更好地服务业务</w:t>
      </w:r>
      <w:r>
        <w:t>。</w:t>
      </w:r>
    </w:p>
    <w:p w:rsidR="005B6786" w:rsidP="005B6786">
      <w:pPr>
        <w:ind w:firstLine="632"/>
        <w:rPr>
          <w:rFonts w:hint="eastAsia"/>
        </w:rPr>
      </w:pPr>
      <w:r>
        <w:t>在数</w:t>
      </w:r>
      <w:r>
        <w:rPr>
          <w:rFonts w:hint="eastAsia"/>
        </w:rPr>
        <w:t>字化业务快速发展的当下，接口服务扮演着至关重要的角色，它能够精准支撑业务需求，对用户行为数据进行高效定时推送。具体而言，接口服务基于用户行为分析基础指标、用户行为访问明细，定时生成并推送一系列关键数据指标信息，如推送数据服务并发数，这能直观反映系统在特定时间内的处理能力；关键数据访问平均耗时，帮助评估系统响应速度；各类气象数据日下载次数与日下载量，清晰呈现气象数据的受欢迎程度；数据访问平均耗时以及</w:t>
      </w:r>
      <w:r>
        <w:t>1</w:t>
      </w:r>
      <w:r>
        <w:rPr>
          <w:rFonts w:hint="eastAsia"/>
        </w:rPr>
        <w:t>秒内访问占比等。</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文件目录服务用户行为数据推送</w:t>
      </w:r>
    </w:p>
    <w:p w:rsidR="005B6786" w:rsidP="005B6786">
      <w:pPr>
        <w:ind w:firstLine="632"/>
      </w:pPr>
      <w:r>
        <w:rPr>
          <w:rFonts w:hint="eastAsia"/>
        </w:rPr>
        <w:t>文件目录服务支持根据业务需求，对用户行为数据进行定时推送，如定时推送用户每月的访问情况，某个时间点访问超过阈值后将预警信息进行推送，支持定制化推送需求，更好的服务业务。</w:t>
      </w:r>
    </w:p>
    <w:p w:rsidR="005B6786" w:rsidP="005B6786">
      <w:pPr>
        <w:pStyle w:val="Heading5"/>
        <w:keepNext/>
        <w:keepLines/>
        <w:widowControl w:val="0"/>
        <w:numPr>
          <w:ilvl w:val="4"/>
          <w:numId w:val="4"/>
        </w:numPr>
        <w:spacing w:line="560" w:lineRule="exact"/>
        <w:ind w:left="0" w:firstLine="0"/>
        <w:jc w:val="both"/>
      </w:pPr>
      <w:r>
        <w:rPr>
          <w:rFonts w:hint="eastAsia"/>
        </w:rPr>
        <w:t>用户行为数据接口</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接口用户行为接口</w:t>
      </w:r>
    </w:p>
    <w:p w:rsidR="005B6786" w:rsidP="005B6786">
      <w:pPr>
        <w:ind w:firstLine="632"/>
      </w:pPr>
      <w:r>
        <w:rPr>
          <w:rFonts w:hint="eastAsia"/>
        </w:rPr>
        <w:t>短临业务生成产品有了解产品对外服务情况、通过接口获取需求。用户行为数据接口模块从底层构建通用、可配置的参数替换，可实现根据配置的</w:t>
      </w:r>
      <w:r>
        <w:rPr>
          <w:rFonts w:hint="eastAsia"/>
        </w:rPr>
        <w:t>SQL</w:t>
      </w:r>
      <w:r>
        <w:rPr>
          <w:rFonts w:hint="eastAsia"/>
        </w:rPr>
        <w:t>、统计参数、数据源、返回结构等信息快速发布用户行为数据接口功能。</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拓展支持自定义多数据源</w:t>
      </w:r>
    </w:p>
    <w:p w:rsidR="005B6786" w:rsidP="005B6786">
      <w:pPr>
        <w:ind w:firstLine="632"/>
        <w:rPr>
          <w:rFonts w:hint="eastAsia"/>
        </w:rPr>
      </w:pPr>
      <w:r>
        <w:rPr>
          <w:rFonts w:hint="eastAsia"/>
        </w:rPr>
        <w:t>随着短临业务生成的产品越来越多，两地三中心同时对外提供数据服务，业务需要同时收集统计不同业务环境下数据访问情况，为了满足业务多样性统计需求，</w:t>
      </w:r>
      <w:r>
        <w:t>接口需支持自定义数据源配置，</w:t>
      </w:r>
      <w:r>
        <w:rPr>
          <w:rFonts w:hint="eastAsia"/>
        </w:rPr>
        <w:t>管理员</w:t>
      </w:r>
      <w:r>
        <w:t>能够根据实际业务场景，灵活自定义数据库连接信息，还可同时配置多数据源，像虚谷、</w:t>
      </w:r>
      <w:r>
        <w:t xml:space="preserve">GBASE </w:t>
      </w:r>
      <w:r>
        <w:t>等数据源都能轻松接入</w:t>
      </w:r>
      <w:r>
        <w:rPr>
          <w:rFonts w:hint="eastAsia"/>
        </w:rPr>
        <w:t>，</w:t>
      </w:r>
      <w:r>
        <w:t>极大</w:t>
      </w:r>
      <w:r>
        <w:rPr>
          <w:rFonts w:hint="eastAsia"/>
        </w:rPr>
        <w:t>的</w:t>
      </w:r>
      <w:r>
        <w:t>增强接口的适应性和扩展性</w:t>
      </w:r>
      <w:r>
        <w:rPr>
          <w:rFonts w:hint="eastAsia"/>
        </w:rPr>
        <w:t>。</w:t>
      </w:r>
      <w:r>
        <w:t>为保障数据安全，系统特别设置了数据源白名单。只有处于白名单内的数据源配置，在服务启动时才会动态创建数据库连接。这种严格的安全机制，有效防止了非法数据源的接入，确保了数据在统计过程中的安全性，从而有力支撑起业务多样性的数据统计需求。</w:t>
      </w:r>
    </w:p>
    <w:p w:rsidR="005B6786" w:rsidP="005B6786">
      <w:pPr>
        <w:pStyle w:val="Heading6"/>
        <w:keepNext/>
        <w:keepLines/>
        <w:widowControl w:val="0"/>
        <w:numPr>
          <w:ilvl w:val="5"/>
          <w:numId w:val="4"/>
        </w:numPr>
        <w:tabs>
          <w:tab w:val="left" w:pos="1152"/>
        </w:tabs>
        <w:spacing w:line="560" w:lineRule="exact"/>
        <w:ind w:left="1151" w:hanging="1151"/>
        <w:jc w:val="both"/>
        <w:rPr>
          <w:rFonts w:hint="eastAsia"/>
        </w:rPr>
      </w:pPr>
      <w:r>
        <w:rPr>
          <w:rFonts w:hint="eastAsia"/>
        </w:rPr>
        <w:t>文件目录服务用户行为接口</w:t>
      </w:r>
    </w:p>
    <w:p w:rsidR="005B6786" w:rsidP="005B6786">
      <w:pPr>
        <w:ind w:firstLine="420"/>
      </w:pPr>
      <w:r>
        <w:rPr>
          <w:rFonts w:hint="eastAsia"/>
        </w:rPr>
        <w:t>文件目录服务可以根据业务需求，通过可配置的方式，实现根据配置的</w:t>
      </w:r>
      <w:r>
        <w:rPr>
          <w:rFonts w:hint="eastAsia"/>
        </w:rPr>
        <w:t>SQL</w:t>
      </w:r>
      <w:r>
        <w:rPr>
          <w:rFonts w:hint="eastAsia"/>
        </w:rPr>
        <w:t>、统计参数、数据源、返回结构等，对用户行为数据进行处理，并对外提供接口服务，以便后续模块进行读取。</w:t>
      </w:r>
    </w:p>
    <w:p w:rsidR="005B6786" w:rsidP="005B6786">
      <w:pPr>
        <w:pStyle w:val="Heading4"/>
        <w:keepNext/>
        <w:keepLines/>
        <w:widowControl w:val="0"/>
        <w:numPr>
          <w:ilvl w:val="3"/>
          <w:numId w:val="4"/>
        </w:numPr>
        <w:spacing w:line="560" w:lineRule="exact"/>
        <w:ind w:left="864" w:hanging="864"/>
        <w:jc w:val="both"/>
      </w:pPr>
      <w:r>
        <w:t>智能辅助编程工具建设</w:t>
      </w:r>
    </w:p>
    <w:p w:rsidR="005B6786" w:rsidP="005B6786">
      <w:pPr>
        <w:pStyle w:val="Heading7"/>
        <w:keepNext/>
        <w:keepLines/>
        <w:widowControl w:val="0"/>
        <w:numPr>
          <w:ilvl w:val="6"/>
          <w:numId w:val="4"/>
        </w:numPr>
        <w:tabs>
          <w:tab w:val="left" w:pos="1440"/>
        </w:tabs>
        <w:spacing w:before="240" w:after="64" w:line="320" w:lineRule="auto"/>
        <w:ind w:left="1296" w:hanging="1296"/>
        <w:jc w:val="left"/>
        <w:textAlignment w:val="center"/>
      </w:pPr>
      <w:r>
        <w:rPr>
          <w:rFonts w:hint="eastAsia"/>
        </w:rPr>
        <w:t>用户对话接口</w:t>
      </w:r>
    </w:p>
    <w:p w:rsidR="005B6786" w:rsidP="005B6786">
      <w:pPr>
        <w:ind w:firstLine="632"/>
      </w:pPr>
      <w:r>
        <w:rPr>
          <w:rFonts w:hint="eastAsia"/>
        </w:rPr>
        <w:t>面向短临业务开发，在使用智能辅助变成工具时，用户查询接口作为智能辅助编程工具与用户直接交互的重要模块，负责接收短临检测预报预警相关业务的用户输入的文本输入方式查询。它提供了查询解析和预处理功能，在接受到用户输入的文本后，根据文本进行查询解析和预处理操作，如分词、词性标注等，以便于后续模块进行有效的处理。</w:t>
      </w:r>
    </w:p>
    <w:p w:rsidR="005B6786" w:rsidP="005B6786">
      <w:pPr>
        <w:pStyle w:val="Heading7"/>
        <w:keepNext/>
        <w:keepLines/>
        <w:widowControl w:val="0"/>
        <w:numPr>
          <w:ilvl w:val="6"/>
          <w:numId w:val="4"/>
        </w:numPr>
        <w:tabs>
          <w:tab w:val="left" w:pos="1440"/>
        </w:tabs>
        <w:spacing w:before="240" w:after="64" w:line="320" w:lineRule="auto"/>
        <w:ind w:left="1296" w:hanging="1296"/>
        <w:jc w:val="left"/>
        <w:textAlignment w:val="center"/>
        <w:rPr>
          <w:szCs w:val="22"/>
        </w:rPr>
      </w:pPr>
      <w:r>
        <w:rPr>
          <w:rFonts w:hint="eastAsia"/>
          <w:szCs w:val="22"/>
        </w:rPr>
        <w:t>用户对话元数据支撑接口</w:t>
      </w:r>
    </w:p>
    <w:p w:rsidR="005B6786" w:rsidP="005B6786">
      <w:pPr>
        <w:ind w:firstLine="632"/>
        <w:rPr>
          <w:rFonts w:hint="eastAsia"/>
        </w:rPr>
      </w:pPr>
      <w:r>
        <w:rPr>
          <w:rFonts w:hint="eastAsia"/>
        </w:rPr>
        <w:t>面向短临业务开发，在使用智能辅助变成工具时，用户查询接口作为智能辅助编程工具与用户直接交互的重要模块，为了准确的支持用户对话接口，需要大量的元数据作为支撑。通过资料信息、接口信息等通过元数据接口获取大量语料信息进行分析，能够更准确的支持用户对话交互。</w:t>
      </w:r>
    </w:p>
    <w:p w:rsidR="005B6786" w:rsidP="005B6786">
      <w:pPr>
        <w:pStyle w:val="Heading7"/>
        <w:keepNext/>
        <w:keepLines/>
        <w:widowControl w:val="0"/>
        <w:numPr>
          <w:ilvl w:val="6"/>
          <w:numId w:val="4"/>
        </w:numPr>
        <w:tabs>
          <w:tab w:val="left" w:pos="1440"/>
        </w:tabs>
        <w:spacing w:before="240" w:after="64" w:line="320" w:lineRule="auto"/>
        <w:ind w:left="1296" w:hanging="1296"/>
        <w:jc w:val="left"/>
        <w:textAlignment w:val="center"/>
        <w:rPr>
          <w:rFonts w:hint="eastAsia"/>
        </w:rPr>
      </w:pPr>
      <w:r>
        <w:rPr>
          <w:rFonts w:hint="eastAsia"/>
        </w:rPr>
        <w:t>意图识别</w:t>
      </w:r>
    </w:p>
    <w:p w:rsidR="005B6786" w:rsidP="005B6786">
      <w:pPr>
        <w:ind w:firstLine="632"/>
        <w:rPr>
          <w:rFonts w:hint="eastAsia"/>
        </w:rPr>
      </w:pPr>
      <w:r>
        <w:rPr>
          <w:rFonts w:hint="eastAsia"/>
        </w:rPr>
        <w:t>短临业务中需要理解意图识别负责解析用户输入的查询，理解用户的意图。它支持自然语言理解技术，如语义分析、实体识别等，以准确识别用户的需求。意图识别还提供了意图解析和意图分类功能，以便于后续模块进行相应的处理。</w:t>
      </w:r>
    </w:p>
    <w:p w:rsidR="005B6786" w:rsidP="005B6786">
      <w:pPr>
        <w:pStyle w:val="Heading7"/>
        <w:keepNext/>
        <w:keepLines/>
        <w:widowControl w:val="0"/>
        <w:numPr>
          <w:ilvl w:val="6"/>
          <w:numId w:val="4"/>
        </w:numPr>
        <w:tabs>
          <w:tab w:val="left" w:pos="1440"/>
        </w:tabs>
        <w:spacing w:before="240" w:after="64" w:line="320" w:lineRule="auto"/>
        <w:ind w:left="1296" w:hanging="1296"/>
        <w:jc w:val="left"/>
        <w:textAlignment w:val="center"/>
      </w:pPr>
      <w:r>
        <w:rPr>
          <w:rFonts w:hint="eastAsia"/>
        </w:rPr>
        <w:t>知识检索</w:t>
      </w:r>
    </w:p>
    <w:p w:rsidR="005B6786" w:rsidP="005B6786">
      <w:pPr>
        <w:ind w:firstLine="632"/>
      </w:pPr>
      <w:r>
        <w:rPr>
          <w:rFonts w:hint="eastAsia"/>
        </w:rPr>
        <w:t>短临业务的知识检索通过调用知识库的方式，为智能辅助编程工具提供外挂知识库的能力，基于知识检索能够有效降低语言大模型回答时的幻觉问题，使对话有事实依据，并且可以通过知识检索检索接口服务代码生成相关的示例作为少样本，组合为大模型提示词的一部分，为准备的代码生成提供帮助。知识检索支持关键词检索、语义检索等多种检索方式，并支持多种数据库和检索算法，如向量数据库、倒排索引等，提供了检索结果排序和过滤功能，确保检索结果的准确性和相关性。</w:t>
      </w:r>
    </w:p>
    <w:p w:rsidR="005B6786" w:rsidP="005B6786">
      <w:pPr>
        <w:pStyle w:val="Heading7"/>
        <w:keepNext/>
        <w:keepLines/>
        <w:widowControl w:val="0"/>
        <w:numPr>
          <w:ilvl w:val="6"/>
          <w:numId w:val="4"/>
        </w:numPr>
        <w:tabs>
          <w:tab w:val="left" w:pos="1440"/>
        </w:tabs>
        <w:spacing w:before="240" w:after="64" w:line="320" w:lineRule="auto"/>
        <w:ind w:left="1296" w:hanging="1296"/>
        <w:jc w:val="left"/>
        <w:textAlignment w:val="center"/>
      </w:pPr>
      <w:r>
        <w:rPr>
          <w:rFonts w:hint="eastAsia"/>
        </w:rPr>
        <w:t>检索增强式应用框架</w:t>
      </w:r>
    </w:p>
    <w:p w:rsidR="005B6786" w:rsidP="005B6786">
      <w:pPr>
        <w:ind w:firstLine="632"/>
        <w:rPr>
          <w:rFonts w:hint="eastAsia"/>
        </w:rPr>
      </w:pPr>
      <w:r>
        <w:rPr>
          <w:rFonts w:hint="eastAsia"/>
        </w:rPr>
        <w:t>检索增强式应用框架基于检索增强生成（</w:t>
      </w:r>
      <w:r>
        <w:rPr>
          <w:rFonts w:hint="eastAsia"/>
        </w:rPr>
        <w:t>Retrieval-Augmented Generation, RAG</w:t>
      </w:r>
      <w:r>
        <w:rPr>
          <w:rFonts w:hint="eastAsia"/>
        </w:rPr>
        <w:t>），结合信息检索技术与语言生成模型，支持用户输入查询，通过用户查询接口及意图识别模块解析查询意图，通过知识检索模块从外部数据库中检索相关信息，返回所检索信息后经由处理并结合用户问题，通过语言模型生成模块结合检索结果生成回答。</w:t>
      </w:r>
    </w:p>
    <w:p w:rsidR="005B6786" w:rsidP="005B6786">
      <w:pPr>
        <w:pStyle w:val="Heading7"/>
        <w:keepNext/>
        <w:keepLines/>
        <w:widowControl w:val="0"/>
        <w:numPr>
          <w:ilvl w:val="6"/>
          <w:numId w:val="4"/>
        </w:numPr>
        <w:tabs>
          <w:tab w:val="left" w:pos="1440"/>
        </w:tabs>
        <w:spacing w:before="240" w:after="64" w:line="320" w:lineRule="auto"/>
        <w:ind w:left="1296" w:hanging="1296"/>
        <w:jc w:val="left"/>
        <w:textAlignment w:val="center"/>
        <w:rPr>
          <w:rFonts w:hint="eastAsia"/>
        </w:rPr>
      </w:pPr>
      <w:r>
        <w:rPr>
          <w:rFonts w:hint="eastAsia"/>
        </w:rPr>
        <w:t>会话管理</w:t>
      </w:r>
    </w:p>
    <w:p w:rsidR="005B6786" w:rsidP="005B6786">
      <w:pPr>
        <w:ind w:firstLine="632"/>
        <w:rPr>
          <w:rFonts w:hint="eastAsia"/>
        </w:rPr>
      </w:pPr>
      <w:r>
        <w:rPr>
          <w:rFonts w:hint="eastAsia"/>
        </w:rPr>
        <w:t>基于</w:t>
      </w:r>
      <w:r>
        <w:t>智能辅助编程工具</w:t>
      </w:r>
      <w:r>
        <w:rPr>
          <w:rFonts w:hint="eastAsia"/>
        </w:rPr>
        <w:t>进行短临业务开发时，会话管理通过在后台建立用户会话清单存储表，并提供相应的读取、写入接口与前端进行交互，支撑用户在使用过程中的交互。主要功能为记录用户对话信息，方便用户在使用过程中根据需要查询历史对话记录。会话管理功能包括用户对话和对话返回答案记录管理，并提供收藏会话功能，方便用户对常用会话的再次使用。</w:t>
      </w:r>
    </w:p>
    <w:p w:rsidR="005B6786" w:rsidP="005B6786">
      <w:pPr>
        <w:pStyle w:val="Heading7"/>
        <w:keepNext/>
        <w:keepLines/>
        <w:widowControl w:val="0"/>
        <w:numPr>
          <w:ilvl w:val="6"/>
          <w:numId w:val="4"/>
        </w:numPr>
        <w:tabs>
          <w:tab w:val="left" w:pos="1440"/>
        </w:tabs>
        <w:spacing w:before="240" w:after="64" w:line="320" w:lineRule="auto"/>
        <w:ind w:left="1296" w:hanging="1296"/>
        <w:jc w:val="left"/>
        <w:textAlignment w:val="center"/>
      </w:pPr>
      <w:r>
        <w:rPr>
          <w:rFonts w:hint="eastAsia"/>
        </w:rPr>
        <w:t>问题清单</w:t>
      </w:r>
    </w:p>
    <w:p w:rsidR="005B6786" w:rsidP="005B6786">
      <w:pPr>
        <w:ind w:firstLine="632"/>
        <w:rPr>
          <w:rFonts w:hint="eastAsia"/>
        </w:rPr>
      </w:pPr>
      <w:r>
        <w:rPr>
          <w:rFonts w:hint="eastAsia"/>
        </w:rPr>
        <w:t>为持续提升</w:t>
      </w:r>
      <w:r>
        <w:t>智能辅助编程工具</w:t>
      </w:r>
      <w:r>
        <w:rPr>
          <w:rFonts w:hint="eastAsia"/>
        </w:rPr>
        <w:t>服务质量，保障对短临业务开发的良好适配，通过问题清单记录用户问题，持续收集反馈，进行优化。问题清单通过在后台建立问题清单存储表，并提供相应的读取、写入接口与前端进行交互，用户在交互过程中可通过前端功能反馈问题。主要功能为记录、存储在用户使用智能辅助编程工具过程中，用户发现、关注等反馈的问题，使用户能够在使用过程中对发现的问题或疑问进行反馈，为收集用户问题提供了一个渠道，便于更加针对性的解决问题，用户反馈后问题后会将问题存储至问题清单中，再由管理员根据问题清单中的问题进行针对性的排查、优化，以解决反馈的问题。</w:t>
      </w:r>
    </w:p>
    <w:p w:rsidR="005B6786" w:rsidP="005B6786">
      <w:pPr>
        <w:pStyle w:val="Heading7"/>
        <w:keepNext/>
        <w:keepLines/>
        <w:widowControl w:val="0"/>
        <w:numPr>
          <w:ilvl w:val="6"/>
          <w:numId w:val="4"/>
        </w:numPr>
        <w:tabs>
          <w:tab w:val="left" w:pos="1440"/>
        </w:tabs>
        <w:spacing w:before="240" w:after="64" w:line="320" w:lineRule="auto"/>
        <w:ind w:left="1296" w:hanging="1296"/>
        <w:jc w:val="left"/>
        <w:textAlignment w:val="center"/>
        <w:rPr>
          <w:szCs w:val="22"/>
        </w:rPr>
      </w:pPr>
      <w:r>
        <w:rPr>
          <w:rFonts w:hint="eastAsia"/>
          <w:szCs w:val="22"/>
        </w:rPr>
        <w:t>会话和问题清单管理接口</w:t>
      </w:r>
    </w:p>
    <w:p w:rsidR="005B6786" w:rsidP="005B6786">
      <w:pPr>
        <w:ind w:firstLine="632"/>
        <w:rPr>
          <w:rFonts w:hint="eastAsia"/>
        </w:rPr>
      </w:pPr>
      <w:r>
        <w:rPr>
          <w:rFonts w:hint="eastAsia"/>
        </w:rPr>
        <w:t>基于</w:t>
      </w:r>
      <w:r>
        <w:t>智能辅助编程工具</w:t>
      </w:r>
      <w:r>
        <w:rPr>
          <w:rFonts w:hint="eastAsia"/>
        </w:rPr>
        <w:t>进行短临业务开发时，会话管理通过在后台建立用户会话清单存储表，并提供相应的读取、写入接口与前端进行交互，支撑用户在使用过程中的交互。问题清单通过在后台建立问题清单存储表，并提供相应的读取、写入接口与前端进行交互，用户在交互过程中可通过前端功能反馈问题。</w:t>
      </w:r>
    </w:p>
    <w:p w:rsidR="005B6786" w:rsidP="005B6786">
      <w:pPr>
        <w:pStyle w:val="Heading7"/>
        <w:keepNext/>
        <w:keepLines/>
        <w:widowControl w:val="0"/>
        <w:numPr>
          <w:ilvl w:val="6"/>
          <w:numId w:val="4"/>
        </w:numPr>
        <w:tabs>
          <w:tab w:val="left" w:pos="1440"/>
        </w:tabs>
        <w:spacing w:before="240" w:after="64" w:line="320" w:lineRule="auto"/>
        <w:ind w:left="1296" w:hanging="1296"/>
        <w:jc w:val="left"/>
        <w:textAlignment w:val="center"/>
      </w:pPr>
      <w:r>
        <w:rPr>
          <w:rFonts w:hint="eastAsia"/>
        </w:rPr>
        <w:t>接口服务代码生成工具</w:t>
      </w:r>
    </w:p>
    <w:p w:rsidR="005B6786" w:rsidP="005B6786">
      <w:pPr>
        <w:ind w:firstLine="632"/>
        <w:rPr>
          <w:rFonts w:hint="eastAsia"/>
        </w:rPr>
      </w:pPr>
      <w:r>
        <w:rPr>
          <w:rFonts w:hint="eastAsia"/>
        </w:rPr>
        <w:t>接口服务代码生成工具被</w:t>
      </w:r>
      <w:r>
        <w:t>智能辅助编程工具</w:t>
      </w:r>
      <w:r>
        <w:rPr>
          <w:rFonts w:hint="eastAsia"/>
        </w:rPr>
        <w:t>调用，将代码生成工具所需参数从用户对话中抽取，接口服务代码生成工具实现对服务接口所提供的如</w:t>
      </w:r>
      <w:r>
        <w:rPr>
          <w:rFonts w:hint="eastAsia"/>
        </w:rPr>
        <w:t>Java</w:t>
      </w:r>
      <w:r>
        <w:rPr>
          <w:rFonts w:hint="eastAsia"/>
        </w:rPr>
        <w:t>、</w:t>
      </w:r>
      <w:r>
        <w:rPr>
          <w:rFonts w:hint="eastAsia"/>
        </w:rPr>
        <w:t>Python</w:t>
      </w:r>
      <w:r>
        <w:rPr>
          <w:rFonts w:hint="eastAsia"/>
        </w:rPr>
        <w:t>、</w:t>
      </w:r>
      <w:r>
        <w:rPr>
          <w:rFonts w:hint="eastAsia"/>
        </w:rPr>
        <w:t>C++</w:t>
      </w:r>
      <w:r>
        <w:rPr>
          <w:rFonts w:hint="eastAsia"/>
        </w:rPr>
        <w:t>等</w:t>
      </w:r>
      <w:r>
        <w:rPr>
          <w:rFonts w:hint="eastAsia"/>
        </w:rPr>
        <w:t>SDK</w:t>
      </w:r>
      <w:r>
        <w:rPr>
          <w:rFonts w:hint="eastAsia"/>
        </w:rPr>
        <w:t>代码的生成方式，通过构建代码生成服务，以</w:t>
      </w:r>
      <w:r>
        <w:rPr>
          <w:rFonts w:hint="eastAsia"/>
        </w:rPr>
        <w:t>RESTFul</w:t>
      </w:r>
      <w:r>
        <w:rPr>
          <w:rFonts w:hint="eastAsia"/>
        </w:rPr>
        <w:t>风格提供服务，配置相关参数发送请求后即可返回可执行的接口服务代码。通过对传入参数的解析，初始化代码生成类，根据参数传入的代码语言，如</w:t>
      </w:r>
      <w:r>
        <w:rPr>
          <w:rFonts w:hint="eastAsia"/>
        </w:rPr>
        <w:t>Python</w:t>
      </w:r>
      <w:r>
        <w:rPr>
          <w:rFonts w:hint="eastAsia"/>
        </w:rPr>
        <w:t>、</w:t>
      </w:r>
      <w:r>
        <w:rPr>
          <w:rFonts w:hint="eastAsia"/>
        </w:rPr>
        <w:t>Java</w:t>
      </w:r>
      <w:r>
        <w:rPr>
          <w:rFonts w:hint="eastAsia"/>
        </w:rPr>
        <w:t>、</w:t>
      </w:r>
      <w:r>
        <w:rPr>
          <w:rFonts w:hint="eastAsia"/>
        </w:rPr>
        <w:t>C++</w:t>
      </w:r>
      <w:r>
        <w:rPr>
          <w:rFonts w:hint="eastAsia"/>
        </w:rPr>
        <w:t>等等，选择对应的处理类，执行代码生成方法后，根据接口</w:t>
      </w:r>
      <w:r>
        <w:rPr>
          <w:rFonts w:hint="eastAsia"/>
        </w:rPr>
        <w:t>ID</w:t>
      </w:r>
      <w:r>
        <w:rPr>
          <w:rFonts w:hint="eastAsia"/>
        </w:rPr>
        <w:t>、调用方式、返回格式等参数，获取对应模版，替换参数信息后生成最终可执行的接口服务代码。</w:t>
      </w:r>
    </w:p>
    <w:p w:rsidR="005B6786" w:rsidP="005B6786">
      <w:pPr>
        <w:pStyle w:val="Heading7"/>
        <w:keepNext/>
        <w:keepLines/>
        <w:widowControl w:val="0"/>
        <w:numPr>
          <w:ilvl w:val="6"/>
          <w:numId w:val="4"/>
        </w:numPr>
        <w:tabs>
          <w:tab w:val="left" w:pos="1440"/>
        </w:tabs>
        <w:spacing w:before="240" w:after="64" w:line="320" w:lineRule="auto"/>
        <w:ind w:left="1296" w:hanging="1296"/>
        <w:jc w:val="left"/>
        <w:textAlignment w:val="center"/>
        <w:rPr>
          <w:szCs w:val="22"/>
        </w:rPr>
      </w:pPr>
      <w:r>
        <w:rPr>
          <w:rFonts w:hint="eastAsia"/>
          <w:szCs w:val="22"/>
        </w:rPr>
        <w:t>省级业务用户信息同步</w:t>
      </w:r>
    </w:p>
    <w:p w:rsidR="005B6786" w:rsidP="005B6786">
      <w:pPr>
        <w:ind w:firstLine="632"/>
        <w:rPr>
          <w:rFonts w:hint="eastAsia"/>
        </w:rPr>
      </w:pPr>
      <w:r>
        <w:rPr>
          <w:rFonts w:hint="eastAsia"/>
        </w:rPr>
        <w:t>智能服务编程工具采用国家级一级部署方式，要满足省级用户使用的需求，需要同步省级用户信息到国家级。采用定时同步方式，对新增和变更的用户信息进行同步。同时需要打通国省管理接口的网络，以便智能服务编程工具可以调用省级的管理接口，更好的支撑用户。接口服务代码生成工具通过省级用户信息获取接口获取用户信息，更新代码中的用户相关信息，并可以根据用户的省份，获取对应省份的服务接口地址，更好的支持省级用户。</w:t>
      </w:r>
    </w:p>
    <w:p w:rsidR="005B6786" w:rsidP="005B6786">
      <w:pPr>
        <w:pStyle w:val="NormalIndent"/>
        <w:ind w:firstLine="480"/>
        <w:rPr>
          <w:rFonts w:hint="eastAsia"/>
        </w:rPr>
      </w:pPr>
    </w:p>
    <w:p w:rsidR="005B6786" w:rsidP="005B6786">
      <w:pPr>
        <w:pStyle w:val="Heading3"/>
        <w:keepNext/>
        <w:keepLines/>
        <w:widowControl w:val="0"/>
        <w:numPr>
          <w:ilvl w:val="2"/>
          <w:numId w:val="4"/>
        </w:numPr>
        <w:spacing w:line="560" w:lineRule="atLeast"/>
        <w:ind w:left="720" w:hanging="720"/>
        <w:jc w:val="both"/>
        <w:rPr>
          <w:rFonts w:hint="eastAsia"/>
        </w:rPr>
      </w:pPr>
      <w:bookmarkStart w:id="97" w:name="_Toc231542568"/>
      <w:r>
        <w:rPr>
          <w:rFonts w:hint="eastAsia"/>
        </w:rPr>
        <w:t>气象数据可视化服务子系统</w:t>
      </w:r>
      <w:bookmarkEnd w:id="95"/>
      <w:bookmarkEnd w:id="97"/>
    </w:p>
    <w:p w:rsidR="005B6786" w:rsidP="005B6786">
      <w:pPr>
        <w:pStyle w:val="Heading4"/>
        <w:keepNext/>
        <w:keepLines/>
        <w:widowControl w:val="0"/>
        <w:numPr>
          <w:ilvl w:val="3"/>
          <w:numId w:val="4"/>
        </w:numPr>
        <w:spacing w:line="560" w:lineRule="exact"/>
        <w:ind w:left="864" w:hanging="864"/>
        <w:jc w:val="both"/>
        <w:rPr>
          <w:rFonts w:hint="eastAsia"/>
        </w:rPr>
      </w:pPr>
      <w:r>
        <w:t>多尺度数字底板制作</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构建覆盖全球、全国、分省、气象分区、七大流域的二维</w:t>
      </w:r>
      <w:r>
        <w:rPr>
          <w:rFonts w:ascii="仿宋_GB2312" w:hAnsi="仿宋_GB2312" w:cs="仿宋_GB2312" w:hint="eastAsia"/>
          <w:color w:val="000000"/>
          <w:szCs w:val="32"/>
        </w:rPr>
        <w:t>/</w:t>
      </w:r>
      <w:r>
        <w:rPr>
          <w:rFonts w:ascii="仿宋_GB2312" w:hAnsi="仿宋_GB2312" w:cs="仿宋_GB2312" w:hint="eastAsia"/>
          <w:color w:val="000000"/>
          <w:szCs w:val="32"/>
        </w:rPr>
        <w:t>三维标准化气象基础底图体系，实现底图的智能审图、跨区域协同调用与标准化服务发布，为短临业务可视化提供统一、规范的地理信息底座。</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二维气象基础底图制作</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整合卫星影像、地形图、矢量数据等多源地图数据，运用</w:t>
      </w:r>
      <w:r>
        <w:rPr>
          <w:rFonts w:ascii="仿宋_GB2312" w:hAnsi="仿宋_GB2312" w:cs="仿宋_GB2312" w:hint="eastAsia"/>
          <w:color w:val="000000"/>
          <w:szCs w:val="32"/>
        </w:rPr>
        <w:t>GIS</w:t>
      </w:r>
      <w:r>
        <w:rPr>
          <w:rFonts w:ascii="仿宋_GB2312" w:hAnsi="仿宋_GB2312" w:cs="仿宋_GB2312" w:hint="eastAsia"/>
          <w:color w:val="000000"/>
          <w:szCs w:val="32"/>
        </w:rPr>
        <w:t>技术构建包含地形地貌、水系分布、道路网络、行政区划的详尽二维地理信息底板，提供自定义编辑、图层属性设置等工具，支持底图的个性化调整。</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多范围标准化底图制作</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完成全球、全国、</w:t>
      </w:r>
      <w:r>
        <w:rPr>
          <w:rFonts w:ascii="仿宋_GB2312" w:hAnsi="仿宋_GB2312" w:cs="仿宋_GB2312" w:hint="eastAsia"/>
          <w:color w:val="000000"/>
          <w:szCs w:val="32"/>
        </w:rPr>
        <w:t>31</w:t>
      </w:r>
      <w:r>
        <w:rPr>
          <w:rFonts w:ascii="仿宋_GB2312" w:hAnsi="仿宋_GB2312" w:cs="仿宋_GB2312" w:hint="eastAsia"/>
          <w:color w:val="000000"/>
          <w:szCs w:val="32"/>
        </w:rPr>
        <w:t>个省、</w:t>
      </w:r>
      <w:r>
        <w:rPr>
          <w:rFonts w:ascii="仿宋_GB2312" w:hAnsi="仿宋_GB2312" w:cs="仿宋_GB2312" w:hint="eastAsia"/>
          <w:color w:val="000000"/>
          <w:szCs w:val="32"/>
        </w:rPr>
        <w:t>7</w:t>
      </w:r>
      <w:r>
        <w:rPr>
          <w:rFonts w:ascii="仿宋_GB2312" w:hAnsi="仿宋_GB2312" w:cs="仿宋_GB2312" w:hint="eastAsia"/>
          <w:color w:val="000000"/>
          <w:szCs w:val="32"/>
        </w:rPr>
        <w:t>个气象分区、</w:t>
      </w:r>
      <w:r>
        <w:rPr>
          <w:rFonts w:ascii="仿宋_GB2312" w:hAnsi="仿宋_GB2312" w:cs="仿宋_GB2312" w:hint="eastAsia"/>
          <w:color w:val="000000"/>
          <w:szCs w:val="32"/>
        </w:rPr>
        <w:t>7</w:t>
      </w:r>
      <w:r>
        <w:rPr>
          <w:rFonts w:ascii="仿宋_GB2312" w:hAnsi="仿宋_GB2312" w:cs="仿宋_GB2312" w:hint="eastAsia"/>
          <w:color w:val="000000"/>
          <w:szCs w:val="32"/>
        </w:rPr>
        <w:t>大流域的二维</w:t>
      </w:r>
      <w:r>
        <w:rPr>
          <w:rFonts w:ascii="仿宋_GB2312" w:hAnsi="仿宋_GB2312" w:cs="仿宋_GB2312" w:hint="eastAsia"/>
          <w:color w:val="000000"/>
          <w:szCs w:val="32"/>
        </w:rPr>
        <w:t>/</w:t>
      </w:r>
      <w:r>
        <w:rPr>
          <w:rFonts w:ascii="仿宋_GB2312" w:hAnsi="仿宋_GB2312" w:cs="仿宋_GB2312" w:hint="eastAsia"/>
          <w:color w:val="000000"/>
          <w:szCs w:val="32"/>
        </w:rPr>
        <w:t>三维底图制作，支持地理坐标系和投影坐标系，所有底图均需获取审图号；全国底图需实现气象中心、气候中心、公共服务中心、信息中心等多样式适配。</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智能审图工具开发</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依据自然资源部《公开地图内容表示若干规定》，构建“问题地图”认知规则和多尺度特征金字塔数据集，开发智能审图模型，实现全球、全国、分省等各级底图的自动化智能审图。</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三维气象基础底图制作</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融合高分辨率影像、激光雷达扫描等数据，采用三维建模技术构建包含建筑物、植被、地形起伏的精细三维地理环境模型，通过光影效果、材质贴图实现高逼真度视觉展示，支持模型动态更新与维护。</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气象基础底图集成</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建立统一的数据标准与规范，整合地形地貌、水系分布、气候特征、人文信息等多源地理数据，实现不同来源、不同类型数据的无缝对接与融合，构建统一的气象基础底图。</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数据空间化服务发布</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基于时空维度对离散气象要素进行网格插值或矢量渲染，生成</w:t>
      </w:r>
      <w:r>
        <w:rPr>
          <w:rFonts w:ascii="仿宋_GB2312" w:hAnsi="仿宋_GB2312" w:cs="仿宋_GB2312" w:hint="eastAsia"/>
          <w:color w:val="000000"/>
          <w:szCs w:val="32"/>
        </w:rPr>
        <w:t>GeoTIFF</w:t>
      </w:r>
      <w:r>
        <w:rPr>
          <w:rFonts w:ascii="仿宋_GB2312" w:hAnsi="仿宋_GB2312" w:cs="仿宋_GB2312" w:hint="eastAsia"/>
          <w:color w:val="000000"/>
          <w:szCs w:val="32"/>
        </w:rPr>
        <w:t>、</w:t>
      </w:r>
      <w:r>
        <w:rPr>
          <w:rFonts w:ascii="仿宋_GB2312" w:hAnsi="仿宋_GB2312" w:cs="仿宋_GB2312" w:hint="eastAsia"/>
          <w:color w:val="000000"/>
          <w:szCs w:val="32"/>
        </w:rPr>
        <w:t>GeoJSON</w:t>
      </w:r>
      <w:r>
        <w:rPr>
          <w:rFonts w:ascii="仿宋_GB2312" w:hAnsi="仿宋_GB2312" w:cs="仿宋_GB2312" w:hint="eastAsia"/>
          <w:color w:val="000000"/>
          <w:szCs w:val="32"/>
        </w:rPr>
        <w:t>等标准化栅格</w:t>
      </w:r>
      <w:r>
        <w:rPr>
          <w:rFonts w:ascii="仿宋_GB2312" w:hAnsi="仿宋_GB2312" w:cs="仿宋_GB2312" w:hint="eastAsia"/>
          <w:color w:val="000000"/>
          <w:szCs w:val="32"/>
        </w:rPr>
        <w:t>/</w:t>
      </w:r>
      <w:r>
        <w:rPr>
          <w:rFonts w:ascii="仿宋_GB2312" w:hAnsi="仿宋_GB2312" w:cs="仿宋_GB2312" w:hint="eastAsia"/>
          <w:color w:val="000000"/>
          <w:szCs w:val="32"/>
        </w:rPr>
        <w:t>矢量产品，通过</w:t>
      </w:r>
      <w:r>
        <w:rPr>
          <w:rFonts w:ascii="仿宋_GB2312" w:hAnsi="仿宋_GB2312" w:cs="仿宋_GB2312" w:hint="eastAsia"/>
          <w:color w:val="000000"/>
          <w:szCs w:val="32"/>
        </w:rPr>
        <w:t>OGC</w:t>
      </w:r>
      <w:r>
        <w:rPr>
          <w:rFonts w:ascii="仿宋_GB2312" w:hAnsi="仿宋_GB2312" w:cs="仿宋_GB2312" w:hint="eastAsia"/>
          <w:color w:val="000000"/>
          <w:szCs w:val="32"/>
        </w:rPr>
        <w:t>服务（</w:t>
      </w:r>
      <w:r>
        <w:rPr>
          <w:rFonts w:ascii="仿宋_GB2312" w:hAnsi="仿宋_GB2312" w:cs="仿宋_GB2312" w:hint="eastAsia"/>
          <w:color w:val="000000"/>
          <w:szCs w:val="32"/>
        </w:rPr>
        <w:t>WMS/WFS/WCS</w:t>
      </w:r>
      <w:r>
        <w:rPr>
          <w:rFonts w:ascii="仿宋_GB2312" w:hAnsi="仿宋_GB2312" w:cs="仿宋_GB2312" w:hint="eastAsia"/>
          <w:color w:val="000000"/>
          <w:szCs w:val="32"/>
        </w:rPr>
        <w:t>）或</w:t>
      </w:r>
      <w:r>
        <w:rPr>
          <w:rFonts w:ascii="仿宋_GB2312" w:hAnsi="仿宋_GB2312" w:cs="仿宋_GB2312" w:hint="eastAsia"/>
          <w:color w:val="000000"/>
          <w:szCs w:val="32"/>
        </w:rPr>
        <w:t>RESTful API</w:t>
      </w:r>
      <w:r>
        <w:rPr>
          <w:rFonts w:ascii="仿宋_GB2312" w:hAnsi="仿宋_GB2312" w:cs="仿宋_GB2312" w:hint="eastAsia"/>
          <w:color w:val="000000"/>
          <w:szCs w:val="32"/>
        </w:rPr>
        <w:t>实现底图与气象数据图层的在线发布和多终端调用。支持在线制图功能在国产浏览器中调用。</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分辨率适配与切图生产</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开发分辨率适配模块，支持全球</w:t>
      </w:r>
      <w:r>
        <w:rPr>
          <w:rFonts w:ascii="仿宋_GB2312" w:hAnsi="仿宋_GB2312" w:cs="仿宋_GB2312" w:hint="eastAsia"/>
          <w:color w:val="000000"/>
          <w:szCs w:val="32"/>
        </w:rPr>
        <w:t>/</w:t>
      </w:r>
      <w:r>
        <w:rPr>
          <w:rFonts w:ascii="仿宋_GB2312" w:hAnsi="仿宋_GB2312" w:cs="仿宋_GB2312" w:hint="eastAsia"/>
          <w:color w:val="000000"/>
          <w:szCs w:val="32"/>
        </w:rPr>
        <w:t>区域</w:t>
      </w:r>
      <w:r>
        <w:rPr>
          <w:rFonts w:ascii="仿宋_GB2312" w:hAnsi="仿宋_GB2312" w:cs="仿宋_GB2312" w:hint="eastAsia"/>
          <w:color w:val="000000"/>
          <w:szCs w:val="32"/>
        </w:rPr>
        <w:t>/</w:t>
      </w:r>
      <w:r>
        <w:rPr>
          <w:rFonts w:ascii="仿宋_GB2312" w:hAnsi="仿宋_GB2312" w:cs="仿宋_GB2312" w:hint="eastAsia"/>
          <w:color w:val="000000"/>
          <w:szCs w:val="32"/>
        </w:rPr>
        <w:t>局地尺度底图精度动态调整，确保不同比例尺下底图的正确性；实现多尺度瓦片金字塔构建，支持矢量</w:t>
      </w:r>
      <w:r>
        <w:rPr>
          <w:rFonts w:ascii="仿宋_GB2312" w:hAnsi="仿宋_GB2312" w:cs="仿宋_GB2312" w:hint="eastAsia"/>
          <w:color w:val="000000"/>
          <w:szCs w:val="32"/>
        </w:rPr>
        <w:t>/</w:t>
      </w:r>
      <w:r>
        <w:rPr>
          <w:rFonts w:ascii="仿宋_GB2312" w:hAnsi="仿宋_GB2312" w:cs="仿宋_GB2312" w:hint="eastAsia"/>
          <w:color w:val="000000"/>
          <w:szCs w:val="32"/>
        </w:rPr>
        <w:t>栅格数据一体化切片，生成标准</w:t>
      </w:r>
      <w:r>
        <w:rPr>
          <w:rFonts w:ascii="仿宋_GB2312" w:hAnsi="仿宋_GB2312" w:cs="仿宋_GB2312" w:hint="eastAsia"/>
          <w:color w:val="000000"/>
          <w:szCs w:val="32"/>
        </w:rPr>
        <w:t>XYZ</w:t>
      </w:r>
      <w:r>
        <w:rPr>
          <w:rFonts w:ascii="仿宋_GB2312" w:hAnsi="仿宋_GB2312" w:cs="仿宋_GB2312" w:hint="eastAsia"/>
          <w:color w:val="000000"/>
          <w:szCs w:val="32"/>
        </w:rPr>
        <w:t>瓦片和</w:t>
      </w:r>
      <w:r>
        <w:rPr>
          <w:rFonts w:ascii="仿宋_GB2312" w:hAnsi="仿宋_GB2312" w:cs="仿宋_GB2312" w:hint="eastAsia"/>
          <w:color w:val="000000"/>
          <w:szCs w:val="32"/>
        </w:rPr>
        <w:t>Mapbox Vector Tiles</w:t>
      </w:r>
      <w:r>
        <w:rPr>
          <w:rFonts w:ascii="仿宋_GB2312" w:hAnsi="仿宋_GB2312" w:cs="仿宋_GB2312" w:hint="eastAsia"/>
          <w:color w:val="000000"/>
          <w:szCs w:val="32"/>
        </w:rPr>
        <w:t>（</w:t>
      </w:r>
      <w:r>
        <w:rPr>
          <w:rFonts w:ascii="仿宋_GB2312" w:hAnsi="仿宋_GB2312" w:cs="仿宋_GB2312" w:hint="eastAsia"/>
          <w:color w:val="000000"/>
          <w:szCs w:val="32"/>
        </w:rPr>
        <w:t>MVT</w:t>
      </w:r>
      <w:r>
        <w:rPr>
          <w:rFonts w:ascii="仿宋_GB2312" w:hAnsi="仿宋_GB2312" w:cs="仿宋_GB2312" w:hint="eastAsia"/>
          <w:color w:val="000000"/>
          <w:szCs w:val="32"/>
        </w:rPr>
        <w:t>），定制台风路径等气象业务专题切片策略，形成分钟级瓦片生产流水线。</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跨区域协同底图调用与交互式操作</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建立跨区域地理信息共享机制，实现不同地区、部门间的底图协同调用与共享展示；支持底图的缩放、平移、旋转等交互式操作，提供点击查询功能，实现高分辨率数据下的流畅操作体验，点击任意位置可获取对应区域详细气象数据。</w:t>
      </w:r>
    </w:p>
    <w:p w:rsidR="005B6786" w:rsidP="005B6786">
      <w:pPr>
        <w:pStyle w:val="Heading4"/>
        <w:keepNext/>
        <w:keepLines/>
        <w:widowControl w:val="0"/>
        <w:numPr>
          <w:ilvl w:val="3"/>
          <w:numId w:val="4"/>
        </w:numPr>
        <w:spacing w:line="560" w:lineRule="exact"/>
        <w:ind w:left="864" w:hanging="864"/>
        <w:jc w:val="both"/>
        <w:rPr>
          <w:rFonts w:hint="eastAsia"/>
        </w:rPr>
      </w:pPr>
      <w:r>
        <w:t>可视化场景搭建与渲染</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实现多源空间数据的融合加载，快速搭建短临预报专业场景和重点区域精细化场景，开发高真实感天气效果渲染能力，为短临业务提供沉浸式、精细化的可视化场景支撑。</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多源空间数据加载</w:t>
      </w:r>
    </w:p>
    <w:p w:rsidR="005B6786" w:rsidP="005B6786">
      <w:pPr>
        <w:spacing w:line="560" w:lineRule="exact"/>
        <w:ind w:firstLine="420" w:firstLineChars="200"/>
        <w:rPr>
          <w:rFonts w:hint="eastAsia"/>
          <w:szCs w:val="28"/>
        </w:rPr>
      </w:pPr>
      <w:bookmarkStart w:id="98" w:name="OLE_LINK38"/>
      <w:r>
        <w:rPr>
          <w:rFonts w:ascii="仿宋_GB2312" w:hAnsi="仿宋_GB2312" w:cs="仿宋_GB2312" w:hint="eastAsia"/>
          <w:color w:val="000000"/>
          <w:szCs w:val="32"/>
        </w:rPr>
        <w:t>该模块实现多源空间数据加载：包括建筑白模数据、城市精细模型、倾斜摄影三维模型、</w:t>
      </w:r>
      <w:r>
        <w:rPr>
          <w:rFonts w:ascii="仿宋_GB2312" w:hAnsi="仿宋_GB2312" w:cs="仿宋_GB2312" w:hint="eastAsia"/>
          <w:color w:val="000000"/>
          <w:szCs w:val="32"/>
        </w:rPr>
        <w:t>BIM</w:t>
      </w:r>
      <w:r>
        <w:rPr>
          <w:rFonts w:ascii="仿宋_GB2312" w:hAnsi="仿宋_GB2312" w:cs="仿宋_GB2312" w:hint="eastAsia"/>
          <w:color w:val="000000"/>
          <w:szCs w:val="32"/>
        </w:rPr>
        <w:t>、点云、地形和影像等，这为气象数据的多样化展示提供了强大的支持。</w:t>
      </w:r>
      <w:bookmarkEnd w:id="98"/>
      <w:r>
        <w:rPr>
          <w:rFonts w:ascii="仿宋_GB2312" w:hAnsi="仿宋_GB2312" w:cs="仿宋_GB2312" w:hint="eastAsia"/>
          <w:color w:val="000000"/>
          <w:szCs w:val="32"/>
        </w:rPr>
        <w:t>基于三维空间可以进行分析，如通视分析、可视域分析、天际线分析等，用于气象场景中的空间数据加载和分析。</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短临预报场景快速搭建</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针对短时临近天气预报的迫切需求，该模块实现了快速构建并更新气象数据可视化场景的功能。它能够实时接入气象观测数据，如雷达回波、卫星云图、自动站观测资料等，通过先进的算法处理与可视化技术，将这些数据转化为直观的图形界面。用户可以在此基础上进行快速分析，判断降水趋势、云系移动方向等关键信息，为防灾减灾、交通调度等提供及时有效的决策支持。</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实现多源异构数据融合：整合来自不同传感器和数据源的信息，如卫星图像、地面观测站数据等，以获得更全面的气象信息；实时流数据集成：将实时收集的气象数据，如温度、湿度、风速、气压等，集成到可视化模型中，以实现动态更新和实时监控；历史数据对比：展示历史气象数据，与当前数据进行对比，帮助分析气候变化和趋势。</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重点区域精细化场景构建</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针对特定区域的高精度需求，该模块专注于采集高分辨率、高精度的地理空间数据。它利用无人机航拍、地面测绘、卫星遥感、三维建模等多种技术手段，对重点区域进行全方位、多角度的数据采集。通过优化采集策略与数据处理流程，模块能够确保数据的准确性、完整性与时效性。</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区域精细化场景渲染</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在获取高精度地理空间数据后，该模块负责将这些数据转化为逼真的三维可视化场景。它运用先进的图形实时渲染技术，如光线追踪、全局光照等，对场景中的建筑物、植被、地形等元素进行精细处理。通过调整材质、光影等参数，模块能够呈现出高度真实感的视觉效果，使用户能够身临其境地感受重点区域的地理环境。此外，该模块还支持交互式渲染与动态模拟功能，允许用户自由探索场景、观察细节变化。</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天气效果渲染模块</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基于孪生引擎实现毫米级精度的降水、雾霾、沙尘、降雪等不低于</w:t>
      </w:r>
      <w:r>
        <w:rPr>
          <w:rFonts w:ascii="仿宋_GB2312" w:hAnsi="仿宋_GB2312" w:cs="仿宋_GB2312" w:hint="eastAsia"/>
          <w:color w:val="000000"/>
          <w:szCs w:val="32"/>
        </w:rPr>
        <w:t>8</w:t>
      </w:r>
      <w:r>
        <w:rPr>
          <w:rFonts w:ascii="仿宋_GB2312" w:hAnsi="仿宋_GB2312" w:cs="仿宋_GB2312" w:hint="eastAsia"/>
          <w:color w:val="000000"/>
          <w:szCs w:val="32"/>
        </w:rPr>
        <w:t>个天气渲染效果，通过气象要素驱动渲染参数（如风速控制粒子密度、湿度影响能见度），生成超真实感特效（如雷暴云砧的次表面散射效果）；支持从宏观天气系统（台风螺旋云带）到微观降水粒子（雨滴形态差异）的全频谱可视化，渲染模块集成</w:t>
      </w:r>
      <w:r>
        <w:rPr>
          <w:rFonts w:ascii="仿宋_GB2312" w:hAnsi="仿宋_GB2312" w:cs="仿宋_GB2312" w:hint="eastAsia"/>
          <w:color w:val="000000"/>
          <w:szCs w:val="32"/>
        </w:rPr>
        <w:t>CesiumJS</w:t>
      </w:r>
      <w:r>
        <w:rPr>
          <w:rFonts w:ascii="仿宋_GB2312" w:hAnsi="仿宋_GB2312" w:cs="仿宋_GB2312" w:hint="eastAsia"/>
          <w:color w:val="000000"/>
          <w:szCs w:val="32"/>
        </w:rPr>
        <w:t>（二维</w:t>
      </w:r>
      <w:r>
        <w:rPr>
          <w:rFonts w:ascii="仿宋_GB2312" w:hAnsi="仿宋_GB2312" w:cs="仿宋_GB2312" w:hint="eastAsia"/>
          <w:color w:val="000000"/>
          <w:szCs w:val="32"/>
        </w:rPr>
        <w:t>/2.5</w:t>
      </w:r>
      <w:r>
        <w:rPr>
          <w:rFonts w:ascii="仿宋_GB2312" w:hAnsi="仿宋_GB2312" w:cs="仿宋_GB2312" w:hint="eastAsia"/>
          <w:color w:val="000000"/>
          <w:szCs w:val="32"/>
        </w:rPr>
        <w:t>维）与基于物理的实时渲染（三维）双渲染管线，支持全球尺度无级缩放与局部高保真特效（如云体体积渲染、降水粒子动画、高精度几何模型）的无缝衔接，实现</w:t>
      </w:r>
      <w:r>
        <w:rPr>
          <w:rFonts w:ascii="仿宋_GB2312" w:hAnsi="仿宋_GB2312" w:cs="仿宋_GB2312" w:hint="eastAsia"/>
          <w:color w:val="000000"/>
          <w:szCs w:val="32"/>
        </w:rPr>
        <w:t>60FPS</w:t>
      </w:r>
      <w:r>
        <w:rPr>
          <w:rFonts w:ascii="仿宋_GB2312" w:hAnsi="仿宋_GB2312" w:cs="仿宋_GB2312" w:hint="eastAsia"/>
          <w:color w:val="000000"/>
          <w:szCs w:val="32"/>
        </w:rPr>
        <w:t>的跨平台实时渲染，为气象预警与科普提供影院级视觉体验，并且封装成</w:t>
      </w:r>
      <w:r>
        <w:rPr>
          <w:rFonts w:ascii="仿宋_GB2312" w:hAnsi="仿宋_GB2312" w:cs="仿宋_GB2312" w:hint="eastAsia"/>
          <w:color w:val="000000"/>
          <w:szCs w:val="32"/>
        </w:rPr>
        <w:t>SDK</w:t>
      </w:r>
      <w:r>
        <w:rPr>
          <w:rFonts w:ascii="仿宋_GB2312" w:hAnsi="仿宋_GB2312" w:cs="仿宋_GB2312" w:hint="eastAsia"/>
          <w:color w:val="000000"/>
          <w:szCs w:val="32"/>
        </w:rPr>
        <w:t>提供服务。</w:t>
      </w:r>
    </w:p>
    <w:p w:rsidR="005B6786" w:rsidP="005B6786">
      <w:pPr>
        <w:pStyle w:val="Heading4"/>
        <w:keepNext/>
        <w:keepLines/>
        <w:widowControl w:val="0"/>
        <w:numPr>
          <w:ilvl w:val="3"/>
          <w:numId w:val="4"/>
        </w:numPr>
        <w:spacing w:line="560" w:lineRule="exact"/>
        <w:ind w:left="864" w:hanging="864"/>
        <w:jc w:val="both"/>
        <w:rPr>
          <w:rFonts w:hint="eastAsia"/>
        </w:rPr>
      </w:pPr>
      <w:r>
        <w:rPr>
          <w:rFonts w:hint="eastAsia"/>
        </w:rPr>
        <w:t>数字可视化框架建设</w:t>
      </w:r>
      <w:r>
        <w:rPr>
          <w:rFonts w:hint="eastAsia"/>
        </w:rPr>
        <w:t xml:space="preserve">  </w:t>
      </w:r>
    </w:p>
    <w:p w:rsidR="005B6786" w:rsidP="005B6786">
      <w:pPr>
        <w:spacing w:line="560" w:lineRule="exact"/>
        <w:ind w:firstLine="420" w:firstLineChars="200"/>
        <w:rPr>
          <w:rFonts w:hint="eastAsia"/>
        </w:rPr>
      </w:pPr>
      <w:r>
        <w:rPr>
          <w:rFonts w:ascii="仿宋_GB2312" w:hAnsi="仿宋_GB2312" w:cs="仿宋_GB2312" w:hint="eastAsia"/>
          <w:color w:val="000000"/>
          <w:szCs w:val="32"/>
        </w:rPr>
        <w:t>构建无插件、跨平台的二维</w:t>
      </w:r>
      <w:r>
        <w:rPr>
          <w:rFonts w:ascii="仿宋_GB2312" w:hAnsi="仿宋_GB2312" w:cs="仿宋_GB2312" w:hint="eastAsia"/>
          <w:color w:val="000000"/>
          <w:szCs w:val="32"/>
        </w:rPr>
        <w:t>/</w:t>
      </w:r>
      <w:r>
        <w:rPr>
          <w:rFonts w:ascii="仿宋_GB2312" w:hAnsi="仿宋_GB2312" w:cs="仿宋_GB2312" w:hint="eastAsia"/>
          <w:color w:val="000000"/>
          <w:szCs w:val="32"/>
        </w:rPr>
        <w:t>三维可视化交互框架，封装标准化可视化引擎接口，实现实时气象数据的动态可视化与</w:t>
      </w:r>
      <w:r>
        <w:rPr>
          <w:rFonts w:ascii="仿宋_GB2312" w:hAnsi="仿宋_GB2312" w:cs="仿宋_GB2312" w:hint="eastAsia"/>
          <w:color w:val="000000"/>
          <w:szCs w:val="32"/>
        </w:rPr>
        <w:t>3D</w:t>
      </w:r>
      <w:r>
        <w:rPr>
          <w:rFonts w:ascii="仿宋_GB2312" w:hAnsi="仿宋_GB2312" w:cs="仿宋_GB2312" w:hint="eastAsia"/>
          <w:color w:val="000000"/>
          <w:szCs w:val="32"/>
        </w:rPr>
        <w:t>展示，提供自定义模板制作能力，打造灵活、可扩展的气象数据可视化基础框架。</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可视化交互框架搭建</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采用</w:t>
      </w:r>
      <w:r>
        <w:rPr>
          <w:rFonts w:ascii="仿宋_GB2312" w:hAnsi="仿宋_GB2312" w:cs="仿宋_GB2312" w:hint="eastAsia"/>
          <w:color w:val="000000"/>
          <w:szCs w:val="32"/>
        </w:rPr>
        <w:t>HTML5</w:t>
      </w:r>
      <w:r>
        <w:rPr>
          <w:rFonts w:ascii="仿宋_GB2312" w:hAnsi="仿宋_GB2312" w:cs="仿宋_GB2312" w:hint="eastAsia"/>
          <w:color w:val="000000"/>
          <w:szCs w:val="32"/>
        </w:rPr>
        <w:t>、</w:t>
      </w:r>
      <w:r>
        <w:rPr>
          <w:rFonts w:ascii="仿宋_GB2312" w:hAnsi="仿宋_GB2312" w:cs="仿宋_GB2312" w:hint="eastAsia"/>
          <w:color w:val="000000"/>
          <w:szCs w:val="32"/>
        </w:rPr>
        <w:t>WebGL</w:t>
      </w:r>
      <w:r>
        <w:rPr>
          <w:rFonts w:ascii="仿宋_GB2312" w:hAnsi="仿宋_GB2312" w:cs="仿宋_GB2312" w:hint="eastAsia"/>
          <w:color w:val="000000"/>
          <w:szCs w:val="32"/>
        </w:rPr>
        <w:t>和云渲染技术，构建无插件、跨操作系统、跨浏览器的三维可视化交互程序，提升气象业务在</w:t>
      </w:r>
      <w:r>
        <w:rPr>
          <w:rFonts w:ascii="仿宋_GB2312" w:hAnsi="仿宋_GB2312" w:cs="仿宋_GB2312" w:hint="eastAsia"/>
          <w:color w:val="000000"/>
          <w:szCs w:val="32"/>
        </w:rPr>
        <w:t>Web</w:t>
      </w:r>
      <w:r>
        <w:rPr>
          <w:rFonts w:ascii="仿宋_GB2312" w:hAnsi="仿宋_GB2312" w:cs="仿宋_GB2312" w:hint="eastAsia"/>
          <w:color w:val="000000"/>
          <w:szCs w:val="32"/>
        </w:rPr>
        <w:t>终端的访问体验，支持多终端适配。</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可视化引擎接口封装</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将可视化引擎的渲染、交互、数据处理等核心技术与算法封装为标准化、易调用的接口，提供丰富的扩展性与定制化选项，降低可视化应用的开发难度与门槛。</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实时气象数据动态可视化</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实现温度、湿度、风速、降水等多源气象数据的实时接入与高频率更新，通过粒子特效、渐变颜色、动态箭头、色阶图等形式直观展示气象数据的空间分布与动态变化，支持基于二</w:t>
      </w:r>
      <w:r>
        <w:rPr>
          <w:rFonts w:ascii="仿宋_GB2312" w:hAnsi="仿宋_GB2312" w:cs="仿宋_GB2312" w:hint="eastAsia"/>
          <w:color w:val="000000"/>
          <w:szCs w:val="32"/>
        </w:rPr>
        <w:t>/</w:t>
      </w:r>
      <w:r>
        <w:rPr>
          <w:rFonts w:ascii="仿宋_GB2312" w:hAnsi="仿宋_GB2312" w:cs="仿宋_GB2312" w:hint="eastAsia"/>
          <w:color w:val="000000"/>
          <w:szCs w:val="32"/>
        </w:rPr>
        <w:t>三维场景的实时数据可视化展示。</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气象数据</w:t>
      </w:r>
      <w:r>
        <w:rPr>
          <w:rFonts w:hint="eastAsia"/>
        </w:rPr>
        <w:t>3D</w:t>
      </w:r>
      <w:r>
        <w:rPr>
          <w:rFonts w:hint="eastAsia"/>
        </w:rPr>
        <w:t>可视化</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支持气象数据的三维可视化，提供更立体的展示效果。系统可提供</w:t>
      </w:r>
      <w:r>
        <w:rPr>
          <w:rFonts w:ascii="仿宋_GB2312" w:hAnsi="仿宋_GB2312" w:cs="仿宋_GB2312" w:hint="eastAsia"/>
          <w:color w:val="000000"/>
          <w:szCs w:val="32"/>
        </w:rPr>
        <w:t>3D</w:t>
      </w:r>
      <w:r>
        <w:rPr>
          <w:rFonts w:ascii="仿宋_GB2312" w:hAnsi="仿宋_GB2312" w:cs="仿宋_GB2312" w:hint="eastAsia"/>
          <w:color w:val="000000"/>
          <w:szCs w:val="32"/>
        </w:rPr>
        <w:t>渲染引擎，确保复杂场景下的流畅显示。</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用户可从不同角度查看气象数据，例如云层高度、地形对淹没的影响。这种立体展示方式提升了分析的直观性和深度，帮助用户更好地理解气象数据的空间分布。</w:t>
      </w:r>
    </w:p>
    <w:p w:rsidR="005B6786" w:rsidP="005B6786">
      <w:pPr>
        <w:pStyle w:val="Heading5"/>
        <w:keepNext/>
        <w:keepLines/>
        <w:widowControl w:val="0"/>
        <w:numPr>
          <w:ilvl w:val="4"/>
          <w:numId w:val="4"/>
        </w:numPr>
        <w:spacing w:line="560" w:lineRule="exact"/>
        <w:ind w:left="0" w:firstLine="0"/>
        <w:jc w:val="both"/>
        <w:rPr>
          <w:rFonts w:hint="eastAsia"/>
        </w:rPr>
      </w:pPr>
      <w:bookmarkStart w:id="99" w:name="OLE_LINK44"/>
      <w:r>
        <w:rPr>
          <w:rFonts w:hint="eastAsia"/>
        </w:rPr>
        <w:t>自定义模板制作</w:t>
      </w:r>
    </w:p>
    <w:p w:rsidR="005B6786" w:rsidP="005B6786">
      <w:pPr>
        <w:spacing w:line="560" w:lineRule="exact"/>
        <w:ind w:firstLine="420" w:firstLineChars="200"/>
        <w:rPr>
          <w:rFonts w:ascii="仿宋_GB2312" w:hAnsi="仿宋_GB2312" w:cs="仿宋_GB2312" w:hint="eastAsia"/>
          <w:color w:val="000000"/>
          <w:szCs w:val="32"/>
        </w:rPr>
      </w:pPr>
      <w:bookmarkStart w:id="100" w:name="OLE_LINK45"/>
      <w:bookmarkEnd w:id="99"/>
      <w:r>
        <w:rPr>
          <w:rFonts w:ascii="仿宋_GB2312" w:hAnsi="仿宋_GB2312" w:cs="仿宋_GB2312" w:hint="eastAsia"/>
          <w:color w:val="000000"/>
          <w:szCs w:val="32"/>
        </w:rPr>
        <w:t>用户可以利用自定义模板模块创建适合的可视化样式，应用于不同场合的报告、演示和分析。</w:t>
      </w:r>
      <w:bookmarkEnd w:id="100"/>
      <w:r>
        <w:rPr>
          <w:rFonts w:ascii="仿宋_GB2312" w:hAnsi="仿宋_GB2312" w:cs="仿宋_GB2312" w:hint="eastAsia"/>
          <w:color w:val="000000"/>
          <w:szCs w:val="32"/>
        </w:rPr>
        <w:t>用户可以选择不同的图表、颜色和布局风格，从而形成符合自身需求的可视化模板。这种灵活性提高了信息传达的针对性和有效性，使得多样化的展示形式满足不同用户需求。</w:t>
      </w:r>
    </w:p>
    <w:p w:rsidR="005B6786" w:rsidP="005B6786">
      <w:pPr>
        <w:pStyle w:val="NormalIndent"/>
        <w:ind w:firstLine="480"/>
        <w:rPr>
          <w:rFonts w:hint="eastAsia"/>
        </w:rPr>
      </w:pPr>
    </w:p>
    <w:p w:rsidR="005B6786" w:rsidP="005B6786">
      <w:pPr>
        <w:pStyle w:val="Heading4"/>
        <w:keepNext/>
        <w:keepLines/>
        <w:widowControl w:val="0"/>
        <w:numPr>
          <w:ilvl w:val="3"/>
          <w:numId w:val="4"/>
        </w:numPr>
        <w:spacing w:line="560" w:lineRule="exact"/>
        <w:ind w:left="864" w:hanging="864"/>
        <w:jc w:val="both"/>
        <w:rPr>
          <w:rFonts w:hint="eastAsia"/>
        </w:rPr>
      </w:pPr>
      <w:r>
        <w:rPr>
          <w:rFonts w:hint="eastAsia"/>
        </w:rPr>
        <w:t>短临业务交互式引擎建设</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开发支持多源数据叠加、多维度分析、预警信息分层展示的短临业务交互式引擎，实现预警阈值自定义、数据标注与记录等功能，为短临预报预警的实时分析与决策提供交互式支撑。</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短临业务数据叠加与切换</w:t>
      </w:r>
    </w:p>
    <w:p w:rsidR="005B6786" w:rsidP="005B6786">
      <w:pPr>
        <w:spacing w:line="560" w:lineRule="exact"/>
        <w:ind w:firstLine="420" w:firstLineChars="200"/>
        <w:rPr>
          <w:rFonts w:ascii="仿宋_GB2312" w:hAnsi="仿宋_GB2312" w:cs="仿宋_GB2312" w:hint="eastAsia"/>
          <w:color w:val="000000"/>
          <w:szCs w:val="32"/>
        </w:rPr>
      </w:pPr>
      <w:r>
        <w:t>支持云图、降水图、风场图等多种气象图层的叠加、切换与管理，优化图层渲染性能，确保多图层叠加时的流畅显示，满足不同短临业务场景的数据分析需求。</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多维度短临业务数据分析</w:t>
      </w:r>
    </w:p>
    <w:p w:rsidR="005B6786" w:rsidP="005B6786">
      <w:pPr>
        <w:spacing w:line="560" w:lineRule="exact"/>
        <w:ind w:firstLine="420" w:firstLineChars="200"/>
        <w:rPr>
          <w:rFonts w:ascii="仿宋_GB2312" w:hAnsi="仿宋_GB2312" w:cs="仿宋_GB2312" w:hint="eastAsia"/>
          <w:color w:val="000000"/>
          <w:szCs w:val="32"/>
        </w:rPr>
      </w:pPr>
      <w:r>
        <w:t>提供时间、空间、气象要素等多维度的数据分析功能，集成专业数据分析算法，确保分析结果的准确性和实时性；支持通过图表、热力图等形式展示分析结果，实现对气象数据特征的全面挖掘</w:t>
      </w:r>
      <w:r>
        <w:rPr>
          <w:rFonts w:ascii="仿宋_GB2312" w:hAnsi="仿宋_GB2312" w:cs="仿宋_GB2312" w:hint="eastAsia"/>
          <w:color w:val="000000"/>
          <w:szCs w:val="32"/>
        </w:rPr>
        <w:t>。</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短临业务可视化图表</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可视化模块将处理后的气象数据以直观的图表、地图和动态图像形式展示。该模块采用先进的可视化技术，将复杂的气象数据转化为易于理解的信息，为气象专家和决策者提供丰富的可视化分析工具，帮助他们快速识别气象模式和异常现象。</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短临信息分层展示</w:t>
      </w:r>
    </w:p>
    <w:p w:rsidR="005B6786" w:rsidP="005B6786">
      <w:pPr>
        <w:spacing w:line="560" w:lineRule="exact"/>
        <w:ind w:firstLine="420" w:firstLineChars="200"/>
        <w:rPr>
          <w:rFonts w:ascii="仿宋_GB2312" w:hAnsi="仿宋_GB2312" w:cs="仿宋_GB2312" w:hint="eastAsia"/>
          <w:color w:val="000000"/>
          <w:szCs w:val="32"/>
        </w:rPr>
      </w:pPr>
      <w:r>
        <w:t>将暴雨、大风、雷电等短临预警信息按等级分层展示，根据预警级别自动调整显示样式（红色最高级、黄色中等、蓝色一般），突出高风险区域，减少信息过载，提升预警信息传达效率</w:t>
      </w:r>
      <w:r>
        <w:rPr>
          <w:rFonts w:ascii="仿宋_GB2312" w:hAnsi="仿宋_GB2312" w:cs="仿宋_GB2312" w:hint="eastAsia"/>
          <w:color w:val="000000"/>
          <w:szCs w:val="32"/>
        </w:rPr>
        <w:t>。</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短临业务预警阈值设置</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开发可视化的预警阈值自定义界面，支持用户根据业务需求设置温度、降水、风速等气象要素的预警条件，系统实现对预警阈值的实时监测并自动触发预警提示，操作便捷、配置灵活。</w:t>
      </w:r>
    </w:p>
    <w:p w:rsidR="005B6786" w:rsidP="005B6786">
      <w:pPr>
        <w:pStyle w:val="Heading5"/>
        <w:keepNext/>
        <w:keepLines/>
        <w:widowControl w:val="0"/>
        <w:numPr>
          <w:ilvl w:val="4"/>
          <w:numId w:val="4"/>
        </w:numPr>
        <w:spacing w:line="560" w:lineRule="exact"/>
        <w:ind w:left="0" w:firstLine="0"/>
        <w:jc w:val="both"/>
        <w:rPr>
          <w:rFonts w:hint="eastAsia"/>
        </w:rPr>
      </w:pPr>
      <w:bookmarkStart w:id="101" w:name="OLE_LINK41"/>
      <w:r>
        <w:rPr>
          <w:rFonts w:hint="eastAsia"/>
        </w:rPr>
        <w:t>短临业务数据标注与记录</w:t>
      </w:r>
    </w:p>
    <w:bookmarkEnd w:id="101"/>
    <w:p w:rsidR="005B6786" w:rsidP="005B6786">
      <w:pPr>
        <w:spacing w:line="560" w:lineRule="exact"/>
        <w:ind w:firstLine="420" w:firstLineChars="200"/>
        <w:rPr>
          <w:rFonts w:eastAsia="等线" w:hint="eastAsia"/>
          <w:szCs w:val="28"/>
        </w:rPr>
      </w:pPr>
      <w:r>
        <w:rPr>
          <w:rFonts w:ascii="仿宋_GB2312" w:hAnsi="仿宋_GB2312" w:cs="仿宋_GB2312" w:hint="eastAsia"/>
          <w:color w:val="000000"/>
          <w:szCs w:val="32"/>
        </w:rPr>
        <w:t>支持用户在地图上添加自定义标注，记录暴雨、强对流等关键气象事件的位置、时间和相关信息，标注功能操作简单，支持标注信息的管理与查询，为后续气象分析提供数据支撑。</w:t>
      </w:r>
    </w:p>
    <w:p w:rsidR="005B6786" w:rsidP="005B6786">
      <w:pPr>
        <w:pStyle w:val="Heading4"/>
        <w:keepNext/>
        <w:keepLines/>
        <w:widowControl w:val="0"/>
        <w:numPr>
          <w:ilvl w:val="3"/>
          <w:numId w:val="4"/>
        </w:numPr>
        <w:spacing w:line="560" w:lineRule="exact"/>
        <w:ind w:left="864" w:hanging="864"/>
        <w:jc w:val="both"/>
        <w:rPr>
          <w:rFonts w:hint="eastAsia"/>
        </w:rPr>
      </w:pPr>
      <w:r>
        <w:t>短临业务数据可视化时空重现与推演</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实现短临气象数据的动态模拟仿真、历史时空回溯与未来趋势推演，为短临预报预警的复盘分析、趋势预测提供可视化支撑，提升对气象事件演变的预判能力。</w:t>
      </w:r>
    </w:p>
    <w:p w:rsidR="005B6786" w:rsidP="005B6786">
      <w:pPr>
        <w:pStyle w:val="Heading5"/>
        <w:keepNext/>
        <w:keepLines/>
        <w:widowControl w:val="0"/>
        <w:numPr>
          <w:ilvl w:val="4"/>
          <w:numId w:val="4"/>
        </w:numPr>
        <w:spacing w:line="560" w:lineRule="exact"/>
        <w:ind w:left="0" w:firstLine="0"/>
        <w:jc w:val="both"/>
        <w:rPr>
          <w:rFonts w:hint="eastAsia"/>
        </w:rPr>
      </w:pPr>
      <w:bookmarkStart w:id="102" w:name="OLE_LINK36"/>
      <w:r>
        <w:rPr>
          <w:rFonts w:hint="eastAsia"/>
        </w:rPr>
        <w:t>动态模拟仿真建设</w:t>
      </w:r>
    </w:p>
    <w:p w:rsidR="005B6786" w:rsidP="005B6786">
      <w:pPr>
        <w:spacing w:line="560" w:lineRule="exact"/>
        <w:ind w:firstLine="420" w:firstLineChars="200"/>
        <w:rPr>
          <w:rFonts w:ascii="仿宋_GB2312" w:hAnsi="仿宋_GB2312" w:cs="仿宋_GB2312" w:hint="eastAsia"/>
          <w:color w:val="000000"/>
          <w:szCs w:val="32"/>
        </w:rPr>
      </w:pPr>
      <w:bookmarkStart w:id="103" w:name="OLE_LINK37"/>
      <w:bookmarkEnd w:id="102"/>
      <w:r>
        <w:rPr>
          <w:rFonts w:ascii="仿宋_GB2312" w:hAnsi="仿宋_GB2312" w:cs="仿宋_GB2312" w:hint="eastAsia"/>
          <w:color w:val="000000"/>
          <w:szCs w:val="32"/>
        </w:rPr>
        <w:t>将气象数据生成动态动画，展示其变化过程。</w:t>
      </w:r>
      <w:bookmarkEnd w:id="103"/>
      <w:r>
        <w:rPr>
          <w:rFonts w:ascii="仿宋_GB2312" w:hAnsi="仿宋_GB2312" w:cs="仿宋_GB2312" w:hint="eastAsia"/>
          <w:color w:val="000000"/>
          <w:szCs w:val="32"/>
        </w:rPr>
        <w:t>系统可提供动画生成算法，确保动画的流畅性和准确性。用户可通过动画直观了解气象事件的演变，例如温度的变化。这种动态展示方式提升了分析和预测的准确性，帮助用户更好地理解气象数据的变化趋势。</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时空回溯与动态播放</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提供历史气象数据的回溯功能，支持时间轴的动态播放。系统可提供数据存储和检索性能，确保大规模历史数据的高效访问。</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用户可通过时间轴查看气象数据的变化过程，动态播放功能直观展示气象事件的演变。例如，播放过去</w:t>
      </w:r>
      <w:r>
        <w:rPr>
          <w:rFonts w:ascii="仿宋_GB2312" w:hAnsi="仿宋_GB2312" w:cs="仿宋_GB2312" w:hint="eastAsia"/>
          <w:color w:val="000000"/>
          <w:szCs w:val="32"/>
        </w:rPr>
        <w:t>24</w:t>
      </w:r>
      <w:r>
        <w:rPr>
          <w:rFonts w:ascii="仿宋_GB2312" w:hAnsi="仿宋_GB2312" w:cs="仿宋_GB2312" w:hint="eastAsia"/>
          <w:color w:val="000000"/>
          <w:szCs w:val="32"/>
        </w:rPr>
        <w:t>小时的降水变化，帮助用户分析降雨趋势。</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时空推演预测</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用户可查看未来一段时间的气象变化趋势，为防灾减灾提供依据。例如，预测未来</w:t>
      </w:r>
      <w:r>
        <w:rPr>
          <w:rFonts w:ascii="仿宋_GB2312" w:hAnsi="仿宋_GB2312" w:cs="仿宋_GB2312" w:hint="eastAsia"/>
          <w:color w:val="000000"/>
          <w:szCs w:val="32"/>
        </w:rPr>
        <w:t>24</w:t>
      </w:r>
      <w:r>
        <w:rPr>
          <w:rFonts w:ascii="仿宋_GB2312" w:hAnsi="仿宋_GB2312" w:cs="仿宋_GB2312" w:hint="eastAsia"/>
          <w:color w:val="000000"/>
          <w:szCs w:val="32"/>
        </w:rPr>
        <w:t>小时的降水趋势，帮助用户提前做好应对准备。这种趋势预测功能提升了预警的前瞻性，为决策提供了重要支持。</w:t>
      </w:r>
    </w:p>
    <w:p w:rsidR="005B6786" w:rsidP="005B6786">
      <w:pPr>
        <w:pStyle w:val="Heading4"/>
        <w:keepNext/>
        <w:keepLines/>
        <w:widowControl w:val="0"/>
        <w:numPr>
          <w:ilvl w:val="3"/>
          <w:numId w:val="4"/>
        </w:numPr>
        <w:spacing w:line="560" w:lineRule="exact"/>
        <w:ind w:left="864" w:hanging="864"/>
        <w:jc w:val="both"/>
        <w:rPr>
          <w:rFonts w:hint="eastAsia"/>
        </w:rPr>
      </w:pPr>
      <w:r>
        <w:t>可视化框架拓展与管理升级</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构建可扩展、高可用的可视化框架体系，开发算力调度、实验管理、权限管理等功能，实现框架的灵活拓展与规范化管理，支撑多业务系统对接与多用户分级使用。</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可扩展性设计</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采用模块化架构和灵活的接口设计，支持新数据源、新分析功能、新业务场景的快速接入与扩展；建立技术与需求定期评估机制，确保框架适配气象业务的发展变化。</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孪生推演系统算力调度模块</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开发智能动态调度引擎、弹性伸缩控制、实时监控反馈功能，实现跨架构算力的高效协同与任务优化分配，满足毫秒级实时任务到天级宏观推演的全频谱算力调度需求，保障“计算</w:t>
      </w:r>
      <w:r>
        <w:rPr>
          <w:rFonts w:ascii="仿宋_GB2312" w:hAnsi="仿宋_GB2312" w:cs="仿宋_GB2312" w:hint="eastAsia"/>
          <w:color w:val="000000"/>
          <w:szCs w:val="32"/>
        </w:rPr>
        <w:t>-</w:t>
      </w:r>
      <w:r>
        <w:rPr>
          <w:rFonts w:ascii="仿宋_GB2312" w:hAnsi="仿宋_GB2312" w:cs="仿宋_GB2312" w:hint="eastAsia"/>
          <w:color w:val="000000"/>
          <w:szCs w:val="32"/>
        </w:rPr>
        <w:t>数据</w:t>
      </w:r>
      <w:r>
        <w:rPr>
          <w:rFonts w:ascii="仿宋_GB2312" w:hAnsi="仿宋_GB2312" w:cs="仿宋_GB2312" w:hint="eastAsia"/>
          <w:color w:val="000000"/>
          <w:szCs w:val="32"/>
        </w:rPr>
        <w:t>-</w:t>
      </w:r>
      <w:r>
        <w:rPr>
          <w:rFonts w:ascii="仿宋_GB2312" w:hAnsi="仿宋_GB2312" w:cs="仿宋_GB2312" w:hint="eastAsia"/>
          <w:color w:val="000000"/>
          <w:szCs w:val="32"/>
        </w:rPr>
        <w:t>物理实体”的同步。</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实验管理</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开发实验版本、状态、性能指标等关键信息的管理功能，构建高清下垫面、精细化城市人工地物、气象业务三大场景模型；支持数字孪生仿真可视化的实体场景渲染、虚拟现实设备立体展示，实现仿真结果的保存、验证与分析，为气象模型改进提供理论支持。</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权限管理</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搭建精细化的用户权限管理体系，开发可视化的权限设置界面，根据用户级别、业务类型分配不同的数据访问、操作、管理权限（如普通用户仅查看公开数据、管理员可访问所有数据），确保气象数据的使用安全与可控。</w:t>
      </w:r>
    </w:p>
    <w:p w:rsidR="005B6786" w:rsidP="005B6786">
      <w:pPr>
        <w:pStyle w:val="Heading4"/>
        <w:keepNext/>
        <w:keepLines/>
        <w:widowControl w:val="0"/>
        <w:numPr>
          <w:ilvl w:val="3"/>
          <w:numId w:val="4"/>
        </w:numPr>
        <w:spacing w:line="560" w:lineRule="exact"/>
        <w:ind w:left="864" w:hanging="864"/>
        <w:jc w:val="both"/>
      </w:pPr>
      <w:r>
        <w:rPr>
          <w:rFonts w:hint="eastAsia"/>
        </w:rPr>
        <w:t>应用支撑服务架构及业务管理集成能力升级</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打造一站式气象数据服务支撑门户，升级业务应用自管理、业务集成能力，实现数据的多维度组织、开放式标记、在线可视化分析，提供智能化入口与个性化推荐，降低用户使用门槛。</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应用支撑服务架构升级</w:t>
      </w:r>
    </w:p>
    <w:p w:rsidR="005B6786" w:rsidP="005B6786">
      <w:pPr>
        <w:spacing w:line="560" w:lineRule="exact"/>
        <w:ind w:firstLine="420" w:firstLineChars="200"/>
        <w:rPr>
          <w:rFonts w:hint="eastAsia"/>
        </w:rPr>
      </w:pPr>
      <w:r>
        <w:rPr>
          <w:rFonts w:hint="eastAsia"/>
        </w:rPr>
        <w:t>一站式数据服务可降低用户对短临业务相关数据的使用门槛，实现数据快速发现定位与融入分析。</w:t>
      </w:r>
    </w:p>
    <w:p w:rsidR="005B6786" w:rsidP="005B6786">
      <w:pPr>
        <w:spacing w:line="560" w:lineRule="exact"/>
        <w:ind w:firstLine="420" w:firstLineChars="200"/>
        <w:rPr>
          <w:rFonts w:hint="eastAsia"/>
        </w:rPr>
      </w:pPr>
      <w:r>
        <w:rPr>
          <w:rFonts w:hint="eastAsia"/>
        </w:rPr>
        <w:t>a.</w:t>
      </w:r>
      <w:r>
        <w:rPr>
          <w:rFonts w:hint="eastAsia"/>
        </w:rPr>
        <w:t>多维度数据组织：多维度组织数据可以将复杂的数据信息以更清晰、直观的方式呈现出来，为数据分析提供了更多的视角和切入点，有助于用户进行更深入的数据挖掘和分析。建立气象数据标签分类体系（数据种类、来源、要素、空间尺度、安全分类分级），通过建设标签创建与管理、数据标签制定、数据检索与分析等功能实现气象数据多维度组织，支持基于标签的多维度数据检索与分析，优化数据结构与索引提升检索效率。</w:t>
      </w:r>
    </w:p>
    <w:p w:rsidR="005B6786" w:rsidP="005B6786">
      <w:pPr>
        <w:spacing w:line="560" w:lineRule="exact"/>
        <w:ind w:firstLine="420" w:firstLineChars="200"/>
        <w:rPr>
          <w:rFonts w:hint="eastAsia"/>
        </w:rPr>
      </w:pPr>
      <w:r>
        <w:rPr>
          <w:rFonts w:hint="eastAsia"/>
        </w:rPr>
        <w:t>b.</w:t>
      </w:r>
      <w:r>
        <w:rPr>
          <w:rFonts w:hint="eastAsia"/>
        </w:rPr>
        <w:t>数据开放式标记：允许用户自由地为数据添加标签、注释等信息，从而方便用户理解和使用这些数据。建设标签添加功能，支持用户为数据添加标签、注释；打造标记数据社区，促进数据共享与交流。</w:t>
      </w:r>
    </w:p>
    <w:p w:rsidR="005B6786" w:rsidP="005B6786">
      <w:pPr>
        <w:spacing w:line="560" w:lineRule="exact"/>
        <w:ind w:firstLine="420" w:firstLineChars="200"/>
        <w:rPr>
          <w:rFonts w:hint="eastAsia"/>
        </w:rPr>
      </w:pPr>
      <w:r>
        <w:rPr>
          <w:rFonts w:hint="eastAsia"/>
        </w:rPr>
        <w:t>c.</w:t>
      </w:r>
      <w:r>
        <w:rPr>
          <w:rFonts w:hint="eastAsia"/>
        </w:rPr>
        <w:t>气象业务组件在线分析：实现气象组件自适应可视化展示及在线试用；开发可视化交互分析界面，实现前端与后端数据的实时交互功能。</w:t>
      </w:r>
    </w:p>
    <w:p w:rsidR="005B6786" w:rsidP="005B6786">
      <w:pPr>
        <w:spacing w:line="560" w:lineRule="exact"/>
        <w:ind w:firstLine="420" w:firstLineChars="200"/>
        <w:rPr>
          <w:rFonts w:hint="eastAsia"/>
        </w:rPr>
      </w:pPr>
      <w:r>
        <w:rPr>
          <w:rFonts w:hint="eastAsia"/>
        </w:rPr>
        <w:t>d.</w:t>
      </w:r>
      <w:r>
        <w:rPr>
          <w:rFonts w:hint="eastAsia"/>
        </w:rPr>
        <w:t>智能化入口：开发基于自然语言处理的智能搜索功能，实现关键词、自然语言问题的精准查询与资源定位；构建基于用户行为的智能导航，提供便捷的资源查找路径；搭建智能客服知识库，基于大模型实现智能客服问答，并持续优化模型准确率；收集用户的反馈和建议，不断优化和改进设计和功能。</w:t>
      </w:r>
    </w:p>
    <w:p w:rsidR="005B6786" w:rsidP="005B6786">
      <w:pPr>
        <w:spacing w:line="560" w:lineRule="exact"/>
        <w:ind w:firstLine="420" w:firstLineChars="200"/>
        <w:rPr>
          <w:rFonts w:ascii="仿宋_GB2312" w:hAnsi="仿宋_GB2312" w:cs="仿宋_GB2312" w:hint="eastAsia"/>
          <w:color w:val="000000"/>
          <w:szCs w:val="32"/>
        </w:rPr>
      </w:pPr>
      <w:r>
        <w:rPr>
          <w:rFonts w:hint="eastAsia"/>
        </w:rPr>
        <w:t>e.</w:t>
      </w:r>
      <w:r>
        <w:rPr>
          <w:rFonts w:hint="eastAsia"/>
        </w:rPr>
        <w:t>个性化推荐：收集并整合用户行为数据（浏览、点击、搜索）和属性数据（地域、单位、部门）；集成深度学习等混合推荐算法，实现首页、搜索页、数据详情页的个性化数据服务推荐；支持用户行为信息的实时更新记录、功能菜单灵活配置，根据用户反馈和点击行为不断优化推荐算法和展示方式，以提高推荐的准确性和有效性。</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业务应用自管理能力升级</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a.</w:t>
      </w:r>
      <w:r>
        <w:rPr>
          <w:rFonts w:ascii="仿宋_GB2312" w:hAnsi="仿宋_GB2312" w:cs="仿宋_GB2312" w:hint="eastAsia"/>
          <w:color w:val="000000"/>
          <w:szCs w:val="32"/>
        </w:rPr>
        <w:t>融入效益分析功能建设：建设各业务系统资源使用与效益分析能力，促进平台资源的高效使用与共享流通，助力气象业务系统云化质量提升。实时采集各业务系统算力、存储、中间件等资源使用情况，统计产品下载量、服务用户数及规范性等指标，构建效益评估算法，定期生成效益分析报告，为管理层提供资源使用趋势预测、潜在风险预警等决策支持。</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b.</w:t>
      </w:r>
      <w:r>
        <w:rPr>
          <w:rFonts w:ascii="仿宋_GB2312" w:hAnsi="仿宋_GB2312" w:cs="仿宋_GB2312" w:hint="eastAsia"/>
          <w:color w:val="000000"/>
          <w:szCs w:val="32"/>
        </w:rPr>
        <w:t>用户空间业务管理能力升级：面向业务开发用户，优化数据产品注册、服务发布及自管理能力，用户可快速完成各类数据产品注册，并了解所有融入产品情况，可对该用户注册的产品、分配的存储空间及产品的存储策略进行集中管理。优化数据产品信息自管理功能，实现数据表、资料、基础信息等多维度信息的集成管理与自定义筛选；提供数据表、文件存储的空间使用状况可视化展示，呈现数据在线时长、日新增量等关键指标；开发数据产品备份、清除任务配置功能，支持任务日志查询，搭建精细的权限管控与分配体系。</w:t>
      </w:r>
    </w:p>
    <w:p w:rsidR="005B6786" w:rsidP="005B6786">
      <w:pPr>
        <w:pStyle w:val="Heading5"/>
        <w:keepNext/>
        <w:keepLines/>
        <w:widowControl w:val="0"/>
        <w:numPr>
          <w:ilvl w:val="4"/>
          <w:numId w:val="4"/>
        </w:numPr>
        <w:spacing w:line="560" w:lineRule="exact"/>
        <w:ind w:left="0" w:firstLine="0"/>
        <w:jc w:val="both"/>
        <w:rPr>
          <w:rFonts w:hint="eastAsia"/>
        </w:rPr>
      </w:pPr>
      <w:r>
        <w:rPr>
          <w:rFonts w:hint="eastAsia"/>
        </w:rPr>
        <w:t>业务集成能力升级</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a.</w:t>
      </w:r>
      <w:r>
        <w:rPr>
          <w:rFonts w:ascii="仿宋_GB2312" w:hAnsi="仿宋_GB2312" w:cs="仿宋_GB2312" w:hint="eastAsia"/>
          <w:color w:val="000000"/>
          <w:szCs w:val="32"/>
        </w:rPr>
        <w:t>管理接口灵活发布能力构建：开发管理接口的权限控制、版本控制功能，实现平台相关功能以管理接口形式对外部系统提供服务；支持管理接口的灵活发布与外部系统对接，促进气象业务共享与生态构建。</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b.</w:t>
      </w:r>
      <w:r>
        <w:rPr>
          <w:rFonts w:ascii="仿宋_GB2312" w:hAnsi="仿宋_GB2312" w:cs="仿宋_GB2312" w:hint="eastAsia"/>
          <w:color w:val="000000"/>
          <w:szCs w:val="32"/>
        </w:rPr>
        <w:t>前后端架构升级：前端采用微前端架构，拆分为独立的功能模块，采用组件化开发模式，通过</w:t>
      </w:r>
      <w:r>
        <w:rPr>
          <w:rFonts w:ascii="仿宋_GB2312" w:hAnsi="仿宋_GB2312" w:cs="仿宋_GB2312" w:hint="eastAsia"/>
          <w:color w:val="000000"/>
          <w:szCs w:val="32"/>
        </w:rPr>
        <w:t>API</w:t>
      </w:r>
      <w:r>
        <w:rPr>
          <w:rFonts w:ascii="仿宋_GB2312" w:hAnsi="仿宋_GB2312" w:cs="仿宋_GB2312" w:hint="eastAsia"/>
          <w:color w:val="000000"/>
          <w:szCs w:val="32"/>
        </w:rPr>
        <w:t>网关与后端通信；后端采用微服务架构，按业务领域拆分服务，实现服务注册发现，前后端代码改造升级。</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c.</w:t>
      </w:r>
      <w:r>
        <w:rPr>
          <w:rFonts w:ascii="仿宋_GB2312" w:hAnsi="仿宋_GB2312" w:cs="仿宋_GB2312" w:hint="eastAsia"/>
          <w:color w:val="000000"/>
          <w:szCs w:val="32"/>
        </w:rPr>
        <w:t>配置项灵活及开放集成能力升级：采用可扩展的系统架构，支持新子系统</w:t>
      </w:r>
      <w:r>
        <w:rPr>
          <w:rFonts w:ascii="仿宋_GB2312" w:hAnsi="仿宋_GB2312" w:cs="仿宋_GB2312" w:hint="eastAsia"/>
          <w:color w:val="000000"/>
          <w:szCs w:val="32"/>
        </w:rPr>
        <w:t>/</w:t>
      </w:r>
      <w:r>
        <w:rPr>
          <w:rFonts w:ascii="仿宋_GB2312" w:hAnsi="仿宋_GB2312" w:cs="仿宋_GB2312" w:hint="eastAsia"/>
          <w:color w:val="000000"/>
          <w:szCs w:val="32"/>
        </w:rPr>
        <w:t>服务模块的快速接入；实现主题样式、功能菜单的灵活配置，支持按角色分配菜单，满足新增功能的快速上线与迭代。</w:t>
      </w:r>
    </w:p>
    <w:p w:rsidR="005B6786" w:rsidP="005B6786">
      <w:pPr>
        <w:pStyle w:val="Heading2"/>
        <w:keepNext/>
        <w:keepLines/>
        <w:widowControl w:val="0"/>
        <w:numPr>
          <w:ilvl w:val="1"/>
          <w:numId w:val="4"/>
        </w:numPr>
        <w:spacing w:line="560" w:lineRule="exact"/>
        <w:ind w:left="575" w:hanging="575"/>
        <w:jc w:val="both"/>
        <w:rPr>
          <w:rFonts w:hint="eastAsia"/>
        </w:rPr>
      </w:pPr>
      <w:bookmarkStart w:id="104" w:name="_Toc116994355"/>
      <w:bookmarkStart w:id="105" w:name="_Toc116994447"/>
      <w:bookmarkStart w:id="106" w:name="_Toc116994326"/>
      <w:bookmarkStart w:id="107" w:name="_Toc116994472"/>
      <w:bookmarkStart w:id="108" w:name="_Toc116994463"/>
      <w:bookmarkStart w:id="109" w:name="_Toc116994420"/>
      <w:bookmarkStart w:id="110" w:name="_Toc116994512"/>
      <w:bookmarkStart w:id="111" w:name="_Toc116994458"/>
      <w:bookmarkStart w:id="112" w:name="_Toc116994256"/>
      <w:bookmarkStart w:id="113" w:name="_Toc116994443"/>
      <w:bookmarkStart w:id="114" w:name="_Toc116994432"/>
      <w:bookmarkStart w:id="115" w:name="_Toc116994441"/>
      <w:bookmarkStart w:id="116" w:name="_Toc116994259"/>
      <w:bookmarkStart w:id="117" w:name="_Toc116994477"/>
      <w:bookmarkStart w:id="118" w:name="_Toc116994268"/>
      <w:bookmarkStart w:id="119" w:name="_Toc116994373"/>
      <w:bookmarkStart w:id="120" w:name="_Toc116994398"/>
      <w:bookmarkStart w:id="121" w:name="_Toc116994490"/>
      <w:bookmarkStart w:id="122" w:name="_Toc116994333"/>
      <w:bookmarkStart w:id="123" w:name="_Toc116994397"/>
      <w:bookmarkStart w:id="124" w:name="_Toc116994354"/>
      <w:bookmarkStart w:id="125" w:name="_Toc116994462"/>
      <w:bookmarkStart w:id="126" w:name="_Toc116994343"/>
      <w:bookmarkStart w:id="127" w:name="_Toc116994344"/>
      <w:bookmarkStart w:id="128" w:name="_Toc116994440"/>
      <w:bookmarkStart w:id="129" w:name="_Toc116994350"/>
      <w:bookmarkStart w:id="130" w:name="_Toc116994519"/>
      <w:bookmarkStart w:id="131" w:name="_Toc116994460"/>
      <w:bookmarkStart w:id="132" w:name="_Toc116994360"/>
      <w:bookmarkStart w:id="133" w:name="_Toc116994469"/>
      <w:bookmarkStart w:id="134" w:name="_Toc116994507"/>
      <w:bookmarkStart w:id="135" w:name="_Toc116994450"/>
      <w:bookmarkStart w:id="136" w:name="_Toc116994346"/>
      <w:bookmarkStart w:id="137" w:name="_Toc116994392"/>
      <w:bookmarkStart w:id="138" w:name="_Toc116994351"/>
      <w:bookmarkStart w:id="139" w:name="_Toc116994383"/>
      <w:bookmarkStart w:id="140" w:name="_Toc116994356"/>
      <w:bookmarkStart w:id="141" w:name="_Toc116994475"/>
      <w:bookmarkStart w:id="142" w:name="_Toc116994473"/>
      <w:bookmarkStart w:id="143" w:name="_Toc116994269"/>
      <w:bookmarkStart w:id="144" w:name="_Toc116994415"/>
      <w:bookmarkStart w:id="145" w:name="_Toc116994394"/>
      <w:bookmarkStart w:id="146" w:name="_Toc116994402"/>
      <w:bookmarkStart w:id="147" w:name="_Toc116994435"/>
      <w:bookmarkStart w:id="148" w:name="_Toc116994421"/>
      <w:bookmarkStart w:id="149" w:name="_Toc116994418"/>
      <w:bookmarkStart w:id="150" w:name="_Toc116994499"/>
      <w:bookmarkStart w:id="151" w:name="_Toc116994400"/>
      <w:bookmarkStart w:id="152" w:name="_Toc116994353"/>
      <w:bookmarkStart w:id="153" w:name="_Toc116994386"/>
      <w:bookmarkStart w:id="154" w:name="_Toc116994437"/>
      <w:bookmarkStart w:id="155" w:name="_Toc116994389"/>
      <w:bookmarkStart w:id="156" w:name="_Toc116994332"/>
      <w:bookmarkStart w:id="157" w:name="_Toc116994425"/>
      <w:bookmarkStart w:id="158" w:name="_Toc116994327"/>
      <w:bookmarkStart w:id="159" w:name="_Toc116994377"/>
      <w:bookmarkStart w:id="160" w:name="_Toc116994495"/>
      <w:bookmarkStart w:id="161" w:name="_Toc116994489"/>
      <w:bookmarkStart w:id="162" w:name="_Toc116994466"/>
      <w:bookmarkStart w:id="163" w:name="_Toc116994381"/>
      <w:bookmarkStart w:id="164" w:name="_Toc116994424"/>
      <w:bookmarkStart w:id="165" w:name="_Toc116994409"/>
      <w:bookmarkStart w:id="166" w:name="_Toc116994515"/>
      <w:bookmarkStart w:id="167" w:name="_Toc116994431"/>
      <w:bookmarkStart w:id="168" w:name="_Toc116994485"/>
      <w:bookmarkStart w:id="169" w:name="_Toc116994427"/>
      <w:bookmarkStart w:id="170" w:name="_Toc116994510"/>
      <w:bookmarkStart w:id="171" w:name="_Toc116994335"/>
      <w:bookmarkStart w:id="172" w:name="_Toc116994331"/>
      <w:bookmarkStart w:id="173" w:name="_Toc116994501"/>
      <w:bookmarkStart w:id="174" w:name="_Toc116994484"/>
      <w:bookmarkStart w:id="175" w:name="_Toc116994390"/>
      <w:bookmarkStart w:id="176" w:name="_Toc116994429"/>
      <w:bookmarkStart w:id="177" w:name="_Toc116994430"/>
      <w:bookmarkStart w:id="178" w:name="_Toc116994270"/>
      <w:bookmarkStart w:id="179" w:name="_Toc116994265"/>
      <w:bookmarkStart w:id="180" w:name="_Toc116994321"/>
      <w:bookmarkStart w:id="181" w:name="_Toc116994470"/>
      <w:bookmarkStart w:id="182" w:name="_Toc116994393"/>
      <w:bookmarkStart w:id="183" w:name="_Toc116994404"/>
      <w:bookmarkStart w:id="184" w:name="_Toc116994263"/>
      <w:bookmarkStart w:id="185" w:name="_Toc116994352"/>
      <w:bookmarkStart w:id="186" w:name="_Toc116994494"/>
      <w:bookmarkStart w:id="187" w:name="_Toc116994359"/>
      <w:bookmarkStart w:id="188" w:name="_Toc116994414"/>
      <w:bookmarkStart w:id="189" w:name="_Toc116994258"/>
      <w:bookmarkStart w:id="190" w:name="_Toc116994516"/>
      <w:bookmarkStart w:id="191" w:name="_Toc116994380"/>
      <w:bookmarkStart w:id="192" w:name="_Toc116994408"/>
      <w:bookmarkStart w:id="193" w:name="_Toc116994448"/>
      <w:bookmarkStart w:id="194" w:name="_Toc116994384"/>
      <w:bookmarkStart w:id="195" w:name="_Toc116994262"/>
      <w:bookmarkStart w:id="196" w:name="_Toc116994328"/>
      <w:bookmarkStart w:id="197" w:name="_Toc116994416"/>
      <w:bookmarkStart w:id="198" w:name="_Toc116994391"/>
      <w:bookmarkStart w:id="199" w:name="_Toc116994423"/>
      <w:bookmarkStart w:id="200" w:name="_Toc116994339"/>
      <w:bookmarkStart w:id="201" w:name="_Toc116994348"/>
      <w:bookmarkStart w:id="202" w:name="_Toc116994365"/>
      <w:bookmarkStart w:id="203" w:name="_Toc116994406"/>
      <w:bookmarkStart w:id="204" w:name="_Toc116994363"/>
      <w:bookmarkStart w:id="205" w:name="_Toc116994518"/>
      <w:bookmarkStart w:id="206" w:name="_Toc116994508"/>
      <w:bookmarkStart w:id="207" w:name="_Toc116994399"/>
      <w:bookmarkStart w:id="208" w:name="_Toc116994491"/>
      <w:bookmarkStart w:id="209" w:name="_Toc116994325"/>
      <w:bookmarkStart w:id="210" w:name="_Toc116994487"/>
      <w:bookmarkStart w:id="211" w:name="_Toc116994405"/>
      <w:bookmarkStart w:id="212" w:name="_Toc116994442"/>
      <w:bookmarkStart w:id="213" w:name="_Toc116994504"/>
      <w:bookmarkStart w:id="214" w:name="_Toc116994336"/>
      <w:bookmarkStart w:id="215" w:name="_Toc116994407"/>
      <w:bookmarkStart w:id="216" w:name="_Toc116994503"/>
      <w:bookmarkStart w:id="217" w:name="_Toc116994488"/>
      <w:bookmarkStart w:id="218" w:name="_Toc116994412"/>
      <w:bookmarkStart w:id="219" w:name="_Toc116994347"/>
      <w:bookmarkStart w:id="220" w:name="_Toc116994338"/>
      <w:bookmarkStart w:id="221" w:name="_Toc116994439"/>
      <w:bookmarkStart w:id="222" w:name="_Toc116994378"/>
      <w:bookmarkStart w:id="223" w:name="_Toc519239690"/>
      <w:bookmarkStart w:id="224" w:name="_Toc116994486"/>
      <w:bookmarkStart w:id="225" w:name="_Toc116994366"/>
      <w:bookmarkStart w:id="226" w:name="_Toc116994401"/>
      <w:bookmarkStart w:id="227" w:name="_Toc116994496"/>
      <w:bookmarkStart w:id="228" w:name="_Toc116994481"/>
      <w:bookmarkStart w:id="229" w:name="_Toc116994349"/>
      <w:bookmarkStart w:id="230" w:name="_Toc116994261"/>
      <w:bookmarkStart w:id="231" w:name="_Toc116994492"/>
      <w:bookmarkStart w:id="232" w:name="_Toc116994370"/>
      <w:bookmarkStart w:id="233" w:name="_Toc116994444"/>
      <w:bookmarkStart w:id="234" w:name="_Toc116994480"/>
      <w:bookmarkStart w:id="235" w:name="_Toc116994446"/>
      <w:bookmarkStart w:id="236" w:name="_Toc116994330"/>
      <w:bookmarkStart w:id="237" w:name="_Toc116994497"/>
      <w:bookmarkStart w:id="238" w:name="_Toc116994445"/>
      <w:bookmarkStart w:id="239" w:name="_Toc116994322"/>
      <w:bookmarkStart w:id="240" w:name="_Toc116994375"/>
      <w:bookmarkStart w:id="241" w:name="_Toc116994387"/>
      <w:bookmarkStart w:id="242" w:name="_Toc116994364"/>
      <w:bookmarkStart w:id="243" w:name="_Toc116994367"/>
      <w:bookmarkStart w:id="244" w:name="_Toc116994329"/>
      <w:bookmarkStart w:id="245" w:name="_Toc116994426"/>
      <w:bookmarkStart w:id="246" w:name="_Toc116994257"/>
      <w:bookmarkStart w:id="247" w:name="_Toc116994506"/>
      <w:bookmarkStart w:id="248" w:name="_Toc116994345"/>
      <w:bookmarkStart w:id="249" w:name="_Toc116994419"/>
      <w:bookmarkStart w:id="250" w:name="_Toc116994456"/>
      <w:bookmarkStart w:id="251" w:name="_Toc116994396"/>
      <w:bookmarkStart w:id="252" w:name="_Toc116994371"/>
      <w:bookmarkStart w:id="253" w:name="_Toc116994505"/>
      <w:bookmarkStart w:id="254" w:name="_Toc116994362"/>
      <w:bookmarkStart w:id="255" w:name="_Toc116994267"/>
      <w:bookmarkStart w:id="256" w:name="_Toc116994438"/>
      <w:bookmarkStart w:id="257" w:name="_Toc116994482"/>
      <w:bookmarkStart w:id="258" w:name="_Toc116994514"/>
      <w:bookmarkStart w:id="259" w:name="_Toc116994340"/>
      <w:bookmarkStart w:id="260" w:name="_Toc116994271"/>
      <w:bookmarkStart w:id="261" w:name="_Toc116994433"/>
      <w:bookmarkStart w:id="262" w:name="_Toc116994260"/>
      <w:bookmarkStart w:id="263" w:name="_Toc116994436"/>
      <w:bookmarkStart w:id="264" w:name="_Toc116994493"/>
      <w:bookmarkStart w:id="265" w:name="_Toc116994511"/>
      <w:bookmarkStart w:id="266" w:name="_Toc116994361"/>
      <w:bookmarkStart w:id="267" w:name="_Toc116994341"/>
      <w:bookmarkStart w:id="268" w:name="_Toc116994342"/>
      <w:bookmarkStart w:id="269" w:name="_Toc116994357"/>
      <w:bookmarkStart w:id="270" w:name="_Toc116994451"/>
      <w:bookmarkStart w:id="271" w:name="_Toc116994454"/>
      <w:bookmarkStart w:id="272" w:name="_Toc116994264"/>
      <w:bookmarkStart w:id="273" w:name="_Toc116994374"/>
      <w:bookmarkStart w:id="274" w:name="_Toc116994455"/>
      <w:bookmarkStart w:id="275" w:name="_Toc116994449"/>
      <w:bookmarkStart w:id="276" w:name="_Toc116994379"/>
      <w:bookmarkStart w:id="277" w:name="_Toc116994395"/>
      <w:bookmarkStart w:id="278" w:name="_Toc116994358"/>
      <w:bookmarkStart w:id="279" w:name="_Toc116994467"/>
      <w:bookmarkStart w:id="280" w:name="_Toc116994509"/>
      <w:bookmarkStart w:id="281" w:name="_Toc116994453"/>
      <w:bookmarkStart w:id="282" w:name="_Toc116994334"/>
      <w:bookmarkStart w:id="283" w:name="_Toc116994483"/>
      <w:bookmarkStart w:id="284" w:name="_Toc116994471"/>
      <w:bookmarkStart w:id="285" w:name="_Toc116994465"/>
      <w:bookmarkStart w:id="286" w:name="_Toc116994411"/>
      <w:bookmarkStart w:id="287" w:name="_Toc116994500"/>
      <w:bookmarkStart w:id="288" w:name="_Toc116994464"/>
      <w:bookmarkStart w:id="289" w:name="_Toc116994517"/>
      <w:bookmarkStart w:id="290" w:name="_Toc116994422"/>
      <w:bookmarkStart w:id="291" w:name="_Toc116994388"/>
      <w:bookmarkStart w:id="292" w:name="_Toc116994266"/>
      <w:bookmarkStart w:id="293" w:name="_Toc116994337"/>
      <w:bookmarkStart w:id="294" w:name="_Toc116994474"/>
      <w:bookmarkStart w:id="295" w:name="_Toc116994372"/>
      <w:bookmarkStart w:id="296" w:name="_Toc116994323"/>
      <w:bookmarkStart w:id="297" w:name="_Toc116994413"/>
      <w:bookmarkStart w:id="298" w:name="_Toc116994410"/>
      <w:bookmarkStart w:id="299" w:name="_Toc116994468"/>
      <w:bookmarkStart w:id="300" w:name="_Toc116994369"/>
      <w:bookmarkStart w:id="301" w:name="_Toc116994459"/>
      <w:bookmarkStart w:id="302" w:name="_Toc116994478"/>
      <w:bookmarkStart w:id="303" w:name="_Toc116994376"/>
      <w:bookmarkStart w:id="304" w:name="_Toc116994461"/>
      <w:bookmarkStart w:id="305" w:name="_Toc116994403"/>
      <w:bookmarkStart w:id="306" w:name="_Toc116994417"/>
      <w:bookmarkStart w:id="307" w:name="_Toc116994368"/>
      <w:bookmarkStart w:id="308" w:name="_Toc116994385"/>
      <w:bookmarkStart w:id="309" w:name="_Toc116994428"/>
      <w:bookmarkStart w:id="310" w:name="_Toc119829548"/>
      <w:bookmarkStart w:id="311" w:name="_Toc254983216"/>
      <w:bookmarkStart w:id="312" w:name="_Toc15289"/>
      <w:bookmarkStart w:id="313" w:name="_Toc222145454"/>
      <w:bookmarkStart w:id="314" w:name="_Toc116994476"/>
      <w:bookmarkStart w:id="315" w:name="_Toc116994382"/>
      <w:bookmarkStart w:id="316" w:name="_Toc116994513"/>
      <w:bookmarkStart w:id="317" w:name="_Toc116994502"/>
      <w:bookmarkStart w:id="318" w:name="_Toc116994479"/>
      <w:bookmarkStart w:id="319" w:name="_Toc116994498"/>
      <w:bookmarkStart w:id="320" w:name="_Toc116994457"/>
      <w:bookmarkStart w:id="321" w:name="_Toc116994452"/>
      <w:bookmarkStart w:id="322" w:name="_Toc116994434"/>
      <w:bookmarkStart w:id="323" w:name="_Toc116994324"/>
      <w:bookmarkStart w:id="324" w:name="_Toc231542569"/>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4"/>
      <w:bookmarkEnd w:id="315"/>
      <w:bookmarkEnd w:id="316"/>
      <w:bookmarkEnd w:id="317"/>
      <w:bookmarkEnd w:id="318"/>
      <w:bookmarkEnd w:id="319"/>
      <w:bookmarkEnd w:id="320"/>
      <w:bookmarkEnd w:id="321"/>
      <w:bookmarkEnd w:id="322"/>
      <w:bookmarkEnd w:id="323"/>
      <w:r>
        <w:rPr>
          <w:rFonts w:hint="eastAsia"/>
        </w:rPr>
        <w:t>非功能性要求</w:t>
      </w:r>
      <w:bookmarkEnd w:id="310"/>
      <w:bookmarkEnd w:id="311"/>
      <w:bookmarkEnd w:id="312"/>
      <w:bookmarkEnd w:id="313"/>
      <w:bookmarkEnd w:id="324"/>
    </w:p>
    <w:p w:rsidR="005B6786" w:rsidP="005B6786">
      <w:pPr>
        <w:pStyle w:val="Heading3"/>
        <w:keepNext/>
        <w:keepLines/>
        <w:widowControl w:val="0"/>
        <w:numPr>
          <w:ilvl w:val="2"/>
          <w:numId w:val="4"/>
        </w:numPr>
        <w:spacing w:line="560" w:lineRule="atLeast"/>
        <w:ind w:left="720" w:hanging="720"/>
        <w:jc w:val="both"/>
        <w:rPr>
          <w:rFonts w:hint="eastAsia"/>
        </w:rPr>
      </w:pPr>
      <w:bookmarkStart w:id="325" w:name="_Toc231542570"/>
      <w:r>
        <w:rPr>
          <w:rFonts w:hint="eastAsia"/>
        </w:rPr>
        <w:t>气象服务加速支撑子系统</w:t>
      </w:r>
      <w:bookmarkEnd w:id="325"/>
    </w:p>
    <w:p w:rsidR="005B6786" w:rsidP="005B6786">
      <w:pPr>
        <w:pStyle w:val="Heading4"/>
        <w:keepNext/>
        <w:keepLines/>
        <w:widowControl w:val="0"/>
        <w:numPr>
          <w:ilvl w:val="3"/>
          <w:numId w:val="4"/>
        </w:numPr>
        <w:spacing w:line="560" w:lineRule="exact"/>
        <w:ind w:left="864" w:hanging="864"/>
        <w:jc w:val="both"/>
      </w:pPr>
      <w:r>
        <w:rPr>
          <w:rFonts w:hint="eastAsia"/>
        </w:rPr>
        <w:t>时效性</w:t>
      </w:r>
    </w:p>
    <w:p w:rsidR="005B6786" w:rsidP="005B6786">
      <w:pPr>
        <w:pStyle w:val="NormalIndent"/>
        <w:ind w:firstLine="480"/>
        <w:rPr>
          <w:rFonts w:hint="eastAsia"/>
        </w:rPr>
      </w:pPr>
      <w:r>
        <w:rPr>
          <w:rFonts w:hint="eastAsia"/>
        </w:rPr>
        <w:t>系统需满足短临业务高时效需求，具体性能指标要求如下：</w:t>
      </w:r>
    </w:p>
    <w:p w:rsidR="005B6786" w:rsidP="005B6786">
      <w:pPr>
        <w:pStyle w:val="NormalIndent"/>
        <w:ind w:firstLine="480"/>
        <w:rPr>
          <w:rFonts w:hint="eastAsia"/>
        </w:rPr>
      </w:pPr>
      <w:r>
        <w:rPr>
          <w:rFonts w:hint="eastAsia"/>
        </w:rPr>
        <w:t>（</w:t>
      </w:r>
      <w:r>
        <w:rPr>
          <w:rFonts w:hint="eastAsia"/>
        </w:rPr>
        <w:t>1</w:t>
      </w:r>
      <w:r>
        <w:rPr>
          <w:rFonts w:hint="eastAsia"/>
        </w:rPr>
        <w:t>）高分辨率雷达、卫星及数值模式数据整场查询时效到达秒级。</w:t>
      </w:r>
    </w:p>
    <w:p w:rsidR="005B6786" w:rsidP="005B6786">
      <w:pPr>
        <w:pStyle w:val="NormalIndent"/>
        <w:ind w:firstLine="480"/>
        <w:rPr>
          <w:rFonts w:hint="eastAsia"/>
        </w:rPr>
      </w:pPr>
      <w:r>
        <w:rPr>
          <w:rFonts w:hint="eastAsia"/>
        </w:rPr>
        <w:t>（</w:t>
      </w:r>
      <w:r>
        <w:rPr>
          <w:rFonts w:hint="eastAsia"/>
        </w:rPr>
        <w:t>2</w:t>
      </w:r>
      <w:r>
        <w:rPr>
          <w:rFonts w:hint="eastAsia"/>
        </w:rPr>
        <w:t>）高分辨率网格数据时空穿透时效小于</w:t>
      </w:r>
      <w:r>
        <w:rPr>
          <w:rFonts w:hint="eastAsia"/>
        </w:rPr>
        <w:t>1</w:t>
      </w:r>
      <w:r>
        <w:rPr>
          <w:rFonts w:hint="eastAsia"/>
        </w:rPr>
        <w:t>秒。</w:t>
      </w:r>
    </w:p>
    <w:p w:rsidR="005B6786" w:rsidP="005B6786">
      <w:pPr>
        <w:pStyle w:val="NormalIndent"/>
        <w:ind w:firstLine="480"/>
        <w:rPr>
          <w:rFonts w:hint="eastAsia"/>
        </w:rPr>
      </w:pPr>
      <w:r>
        <w:rPr>
          <w:rFonts w:hint="eastAsia"/>
        </w:rPr>
        <w:t>（</w:t>
      </w:r>
      <w:r>
        <w:rPr>
          <w:rFonts w:hint="eastAsia"/>
        </w:rPr>
        <w:t>3</w:t>
      </w:r>
      <w:r>
        <w:rPr>
          <w:rFonts w:hint="eastAsia"/>
        </w:rPr>
        <w:t>）节点内部不同存储技术的数据同步性能达到秒级。</w:t>
      </w:r>
    </w:p>
    <w:p w:rsidR="005B6786" w:rsidP="005B6786">
      <w:pPr>
        <w:pStyle w:val="Heading4"/>
        <w:keepNext/>
        <w:keepLines/>
        <w:widowControl w:val="0"/>
        <w:numPr>
          <w:ilvl w:val="3"/>
          <w:numId w:val="4"/>
        </w:numPr>
        <w:spacing w:line="560" w:lineRule="exact"/>
        <w:ind w:left="864" w:hanging="864"/>
        <w:jc w:val="both"/>
        <w:rPr>
          <w:rFonts w:hint="eastAsia"/>
        </w:rPr>
      </w:pPr>
      <w:r>
        <w:rPr>
          <w:rFonts w:hint="eastAsia"/>
        </w:rPr>
        <w:t>系统稳定性</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本项目设计实现上要考虑系统长期运行的稳定性和可靠性。软件在运行期间，针对任何一个重要操作，都必须具有判断错误的能力，必要时可以进行完整的回退或恢复性操作来避免宕机，否则要发出报警消息，以便于人工干预。</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本系统需要提供</w:t>
      </w:r>
      <w:r>
        <w:rPr>
          <w:rFonts w:ascii="仿宋_GB2312" w:hAnsi="仿宋_GB2312" w:cs="仿宋_GB2312" w:hint="eastAsia"/>
          <w:color w:val="000000"/>
          <w:szCs w:val="32"/>
        </w:rPr>
        <w:t>7*24</w:t>
      </w:r>
      <w:r>
        <w:rPr>
          <w:rFonts w:ascii="仿宋_GB2312" w:hAnsi="仿宋_GB2312" w:cs="仿宋_GB2312" w:hint="eastAsia"/>
          <w:color w:val="000000"/>
          <w:szCs w:val="32"/>
        </w:rPr>
        <w:t>小时不间断服务，因此，无论是计算机软件和硬件系统都必须具有较高的可靠性，及发生故障后快速恢复的能力。具体要求如下：</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1</w:t>
      </w:r>
      <w:r>
        <w:rPr>
          <w:rFonts w:ascii="仿宋_GB2312" w:hAnsi="仿宋_GB2312" w:cs="仿宋_GB2312" w:hint="eastAsia"/>
          <w:color w:val="000000"/>
          <w:szCs w:val="32"/>
        </w:rPr>
        <w:t>）在支撑平台可靠性的保证下，关键高可用业务系统在</w:t>
      </w:r>
      <w:r>
        <w:rPr>
          <w:rFonts w:ascii="仿宋_GB2312" w:hAnsi="仿宋_GB2312" w:cs="仿宋_GB2312" w:hint="eastAsia"/>
          <w:color w:val="000000"/>
          <w:szCs w:val="32"/>
        </w:rPr>
        <w:t>3</w:t>
      </w:r>
      <w:r>
        <w:rPr>
          <w:rFonts w:ascii="仿宋_GB2312" w:hAnsi="仿宋_GB2312" w:cs="仿宋_GB2312" w:hint="eastAsia"/>
          <w:color w:val="000000"/>
          <w:szCs w:val="32"/>
        </w:rPr>
        <w:t>分钟内快速恢复运行状态。</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2</w:t>
      </w:r>
      <w:r>
        <w:rPr>
          <w:rFonts w:ascii="仿宋_GB2312" w:hAnsi="仿宋_GB2312" w:cs="仿宋_GB2312" w:hint="eastAsia"/>
          <w:color w:val="000000"/>
          <w:szCs w:val="32"/>
        </w:rPr>
        <w:t>）年故障总时间小于</w:t>
      </w:r>
      <w:r>
        <w:rPr>
          <w:rFonts w:ascii="仿宋_GB2312" w:hAnsi="仿宋_GB2312" w:cs="仿宋_GB2312" w:hint="eastAsia"/>
          <w:color w:val="000000"/>
          <w:szCs w:val="32"/>
        </w:rPr>
        <w:t>12</w:t>
      </w:r>
      <w:r>
        <w:rPr>
          <w:rFonts w:ascii="仿宋_GB2312" w:hAnsi="仿宋_GB2312" w:cs="仿宋_GB2312" w:hint="eastAsia"/>
          <w:color w:val="000000"/>
          <w:szCs w:val="32"/>
        </w:rPr>
        <w:t>小时，故障恢复时间小于</w:t>
      </w:r>
      <w:r>
        <w:rPr>
          <w:rFonts w:ascii="仿宋_GB2312" w:hAnsi="仿宋_GB2312" w:cs="仿宋_GB2312" w:hint="eastAsia"/>
          <w:color w:val="000000"/>
          <w:szCs w:val="32"/>
        </w:rPr>
        <w:t>1</w:t>
      </w:r>
      <w:r>
        <w:rPr>
          <w:rFonts w:ascii="仿宋_GB2312" w:hAnsi="仿宋_GB2312" w:cs="仿宋_GB2312" w:hint="eastAsia"/>
          <w:color w:val="000000"/>
          <w:szCs w:val="32"/>
        </w:rPr>
        <w:t>小时。</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3</w:t>
      </w:r>
      <w:r>
        <w:rPr>
          <w:rFonts w:ascii="仿宋_GB2312" w:hAnsi="仿宋_GB2312" w:cs="仿宋_GB2312" w:hint="eastAsia"/>
          <w:color w:val="000000"/>
          <w:szCs w:val="32"/>
        </w:rPr>
        <w:t>）成熟性标准：</w:t>
      </w:r>
    </w:p>
    <w:p w:rsidR="005B6786" w:rsidP="005B6786">
      <w:pPr>
        <w:spacing w:line="560" w:lineRule="exact"/>
        <w:ind w:firstLine="785" w:firstLineChars="374"/>
        <w:rPr>
          <w:rFonts w:ascii="仿宋_GB2312" w:hAnsi="仿宋_GB2312" w:cs="仿宋_GB2312" w:hint="eastAsia"/>
          <w:color w:val="000000"/>
          <w:szCs w:val="32"/>
        </w:rPr>
      </w:pPr>
      <w:r>
        <w:rPr>
          <w:rFonts w:ascii="仿宋_GB2312" w:hAnsi="仿宋_GB2312" w:cs="仿宋_GB2312" w:hint="eastAsia"/>
          <w:color w:val="000000"/>
          <w:szCs w:val="32"/>
        </w:rPr>
        <w:t>7*24</w:t>
      </w:r>
      <w:r>
        <w:rPr>
          <w:rFonts w:ascii="仿宋_GB2312" w:hAnsi="仿宋_GB2312" w:cs="仿宋_GB2312" w:hint="eastAsia"/>
          <w:color w:val="000000"/>
          <w:szCs w:val="32"/>
        </w:rPr>
        <w:t>小时业务运行期间，平均故障间隔时间（</w:t>
      </w:r>
      <w:r>
        <w:rPr>
          <w:rFonts w:ascii="仿宋_GB2312" w:hAnsi="仿宋_GB2312" w:cs="仿宋_GB2312" w:hint="eastAsia"/>
          <w:color w:val="000000"/>
          <w:szCs w:val="32"/>
        </w:rPr>
        <w:t>MTBF</w:t>
      </w:r>
      <w:r>
        <w:rPr>
          <w:rFonts w:ascii="仿宋_GB2312" w:hAnsi="仿宋_GB2312" w:cs="仿宋_GB2312" w:hint="eastAsia"/>
          <w:color w:val="000000"/>
          <w:szCs w:val="32"/>
        </w:rPr>
        <w:t>：</w:t>
      </w:r>
      <w:r>
        <w:rPr>
          <w:rFonts w:ascii="仿宋_GB2312" w:hAnsi="仿宋_GB2312" w:cs="仿宋_GB2312" w:hint="eastAsia"/>
          <w:color w:val="000000"/>
          <w:szCs w:val="32"/>
        </w:rPr>
        <w:t>Mean Time Between Failure</w:t>
      </w:r>
      <w:r>
        <w:rPr>
          <w:rFonts w:ascii="仿宋_GB2312" w:hAnsi="仿宋_GB2312" w:cs="仿宋_GB2312" w:hint="eastAsia"/>
          <w:color w:val="000000"/>
          <w:szCs w:val="32"/>
        </w:rPr>
        <w:t>）不小于</w:t>
      </w:r>
      <w:r>
        <w:rPr>
          <w:rFonts w:ascii="仿宋_GB2312" w:hAnsi="仿宋_GB2312" w:cs="仿宋_GB2312" w:hint="eastAsia"/>
          <w:color w:val="000000"/>
          <w:szCs w:val="32"/>
        </w:rPr>
        <w:t>1</w:t>
      </w:r>
      <w:r>
        <w:rPr>
          <w:rFonts w:ascii="仿宋_GB2312" w:hAnsi="仿宋_GB2312" w:cs="仿宋_GB2312" w:hint="eastAsia"/>
          <w:color w:val="000000"/>
          <w:szCs w:val="32"/>
        </w:rPr>
        <w:t>个月。</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4</w:t>
      </w:r>
      <w:r>
        <w:rPr>
          <w:rFonts w:ascii="仿宋_GB2312" w:hAnsi="仿宋_GB2312" w:cs="仿宋_GB2312" w:hint="eastAsia"/>
          <w:color w:val="000000"/>
          <w:szCs w:val="32"/>
        </w:rPr>
        <w:t>）容错性标准：</w:t>
      </w:r>
    </w:p>
    <w:p w:rsidR="005B6786" w:rsidP="005B6786">
      <w:pPr>
        <w:spacing w:line="560" w:lineRule="exact"/>
        <w:ind w:firstLine="785" w:firstLineChars="374"/>
        <w:rPr>
          <w:rFonts w:ascii="仿宋_GB2312" w:hAnsi="仿宋_GB2312" w:cs="仿宋_GB2312" w:hint="eastAsia"/>
          <w:color w:val="000000"/>
          <w:szCs w:val="32"/>
        </w:rPr>
      </w:pPr>
      <w:r>
        <w:rPr>
          <w:rFonts w:ascii="仿宋_GB2312" w:hAnsi="仿宋_GB2312" w:cs="仿宋_GB2312" w:hint="eastAsia"/>
          <w:color w:val="000000"/>
          <w:szCs w:val="32"/>
        </w:rPr>
        <w:t>关键进程偶发故障恢复率</w:t>
      </w:r>
      <w:r>
        <w:rPr>
          <w:rFonts w:ascii="仿宋_GB2312" w:hAnsi="仿宋_GB2312" w:cs="仿宋_GB2312" w:hint="eastAsia"/>
          <w:color w:val="000000"/>
          <w:szCs w:val="32"/>
        </w:rPr>
        <w:t>100</w:t>
      </w:r>
      <w:r>
        <w:rPr>
          <w:rFonts w:ascii="仿宋_GB2312" w:hAnsi="仿宋_GB2312" w:cs="仿宋_GB2312" w:hint="eastAsia"/>
          <w:color w:val="000000"/>
          <w:szCs w:val="32"/>
        </w:rPr>
        <w:t>％；</w:t>
      </w:r>
    </w:p>
    <w:p w:rsidR="005B6786" w:rsidP="005B6786">
      <w:pPr>
        <w:spacing w:line="560" w:lineRule="exact"/>
        <w:ind w:firstLine="785" w:firstLineChars="374"/>
        <w:rPr>
          <w:rFonts w:ascii="仿宋_GB2312" w:hAnsi="仿宋_GB2312" w:cs="仿宋_GB2312" w:hint="eastAsia"/>
          <w:color w:val="000000"/>
          <w:szCs w:val="32"/>
        </w:rPr>
      </w:pPr>
      <w:r>
        <w:rPr>
          <w:rFonts w:ascii="仿宋_GB2312" w:hAnsi="仿宋_GB2312" w:cs="仿宋_GB2312" w:hint="eastAsia"/>
          <w:color w:val="000000"/>
          <w:szCs w:val="32"/>
        </w:rPr>
        <w:t>主机单点故障恢复率</w:t>
      </w:r>
      <w:r>
        <w:rPr>
          <w:rFonts w:ascii="仿宋_GB2312" w:hAnsi="仿宋_GB2312" w:cs="仿宋_GB2312" w:hint="eastAsia"/>
          <w:color w:val="000000"/>
          <w:szCs w:val="32"/>
        </w:rPr>
        <w:t>100</w:t>
      </w:r>
      <w:r>
        <w:rPr>
          <w:rFonts w:ascii="仿宋_GB2312" w:hAnsi="仿宋_GB2312" w:cs="仿宋_GB2312" w:hint="eastAsia"/>
          <w:color w:val="000000"/>
          <w:szCs w:val="32"/>
        </w:rPr>
        <w:t>％；</w:t>
      </w:r>
    </w:p>
    <w:p w:rsidR="005B6786" w:rsidP="005B6786">
      <w:pPr>
        <w:spacing w:line="560" w:lineRule="exact"/>
        <w:ind w:firstLine="785" w:firstLineChars="374"/>
        <w:rPr>
          <w:rFonts w:ascii="仿宋_GB2312" w:hAnsi="仿宋_GB2312" w:cs="仿宋_GB2312" w:hint="eastAsia"/>
          <w:color w:val="000000"/>
          <w:szCs w:val="32"/>
        </w:rPr>
      </w:pPr>
      <w:r>
        <w:rPr>
          <w:rFonts w:ascii="仿宋_GB2312" w:hAnsi="仿宋_GB2312" w:cs="仿宋_GB2312" w:hint="eastAsia"/>
          <w:color w:val="000000"/>
          <w:szCs w:val="32"/>
        </w:rPr>
        <w:t>任一节点故障后，其它节点可接替该节点的业务进行服务。</w:t>
      </w:r>
    </w:p>
    <w:p w:rsidR="005B6786" w:rsidP="005B6786">
      <w:pPr>
        <w:pStyle w:val="Heading4"/>
        <w:keepNext/>
        <w:keepLines/>
        <w:widowControl w:val="0"/>
        <w:numPr>
          <w:ilvl w:val="3"/>
          <w:numId w:val="4"/>
        </w:numPr>
        <w:spacing w:line="560" w:lineRule="exact"/>
        <w:ind w:left="864" w:hanging="864"/>
        <w:jc w:val="both"/>
        <w:rPr>
          <w:rFonts w:hint="eastAsia"/>
        </w:rPr>
      </w:pPr>
      <w:r>
        <w:rPr>
          <w:rFonts w:hint="eastAsia"/>
        </w:rPr>
        <w:t>易操作性</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为便于操作人员的人工干预，系统中有关运行参数的修改，应提供直观、方便的修改界面；系统出现中断时，重新启动方便快捷，自动检查和运行未完成作业。</w:t>
      </w:r>
    </w:p>
    <w:p w:rsidR="005B6786" w:rsidP="005B6786">
      <w:pPr>
        <w:pStyle w:val="Heading4"/>
        <w:keepNext/>
        <w:keepLines/>
        <w:widowControl w:val="0"/>
        <w:numPr>
          <w:ilvl w:val="3"/>
          <w:numId w:val="4"/>
        </w:numPr>
        <w:spacing w:line="560" w:lineRule="exact"/>
        <w:ind w:left="864" w:hanging="864"/>
        <w:jc w:val="both"/>
        <w:rPr>
          <w:rFonts w:hint="eastAsia"/>
        </w:rPr>
      </w:pPr>
      <w:r>
        <w:rPr>
          <w:rFonts w:hint="eastAsia"/>
        </w:rPr>
        <w:t>可维护性</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应具有较好的可扩展性，为进一步的扩充和改造提供方便。除了要求软件本身具有良好的维护性外，还应当拥有离线的维护环境，以便在不影响正常业务的情况下进行软件的维护工作。对软件设计的要求应包括软件的易分析性、易改变性、稳定性和易测试性。</w:t>
      </w:r>
    </w:p>
    <w:p w:rsidR="005B6786" w:rsidP="005B6786">
      <w:pPr>
        <w:numPr>
          <w:ilvl w:val="0"/>
          <w:numId w:val="5"/>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易分析性标准：</w:t>
      </w:r>
    </w:p>
    <w:p w:rsidR="005B6786" w:rsidP="005B6786">
      <w:pPr>
        <w:numPr>
          <w:ilvl w:val="0"/>
          <w:numId w:val="6"/>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所有应用软件能够捕获到的计算机系统故障或应用软件错误都应在尽可能低的级别上探查和捕获并以适当的形式记录或向操作员发送错误状态与报告；</w:t>
      </w:r>
    </w:p>
    <w:p w:rsidR="005B6786" w:rsidP="005B6786">
      <w:pPr>
        <w:numPr>
          <w:ilvl w:val="0"/>
          <w:numId w:val="6"/>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错误状态和报告（或消息）应是统一编码、结构化和自描述的。即从错误状态码和错误消息正文串即可判断软件捕获到的错误的位置、类型和可能的原因；</w:t>
      </w:r>
    </w:p>
    <w:p w:rsidR="005B6786" w:rsidP="005B6786">
      <w:pPr>
        <w:numPr>
          <w:ilvl w:val="0"/>
          <w:numId w:val="6"/>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错误报告（或消息）对于可预知（即可与程序的控制流程同步捕获到）的错误应能定位到独立的处理步骤或函数，不可预知（即不可与程序的控制流程同步捕获到）的错误应能定位到模块或进程。</w:t>
      </w:r>
    </w:p>
    <w:p w:rsidR="005B6786" w:rsidP="005B6786">
      <w:pPr>
        <w:numPr>
          <w:ilvl w:val="0"/>
          <w:numId w:val="5"/>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易改变性标准：</w:t>
      </w:r>
    </w:p>
    <w:p w:rsidR="005B6786" w:rsidP="005B6786">
      <w:pPr>
        <w:numPr>
          <w:ilvl w:val="0"/>
          <w:numId w:val="6"/>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处理软件的任务及其任务环境参数可从外部配置和修改，并可从数据库中自动生成；</w:t>
      </w:r>
    </w:p>
    <w:p w:rsidR="005B6786" w:rsidP="005B6786">
      <w:pPr>
        <w:numPr>
          <w:ilvl w:val="0"/>
          <w:numId w:val="6"/>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公用接口（包括错误状态码、常数等）结构应统一说明，所有对这些接口说明的引用都应当指向同一个说明实体。</w:t>
      </w:r>
    </w:p>
    <w:p w:rsidR="005B6786" w:rsidP="005B6786">
      <w:pPr>
        <w:numPr>
          <w:ilvl w:val="0"/>
          <w:numId w:val="5"/>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稳定性标准：</w:t>
      </w:r>
    </w:p>
    <w:p w:rsidR="005B6786" w:rsidP="005B6786">
      <w:pPr>
        <w:numPr>
          <w:ilvl w:val="0"/>
          <w:numId w:val="6"/>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软件模块整体上应是结构化、层次化和功能单一的；</w:t>
      </w:r>
    </w:p>
    <w:p w:rsidR="005B6786" w:rsidP="005B6786">
      <w:pPr>
        <w:numPr>
          <w:ilvl w:val="0"/>
          <w:numId w:val="6"/>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软件模块的处理和接口应是封装的。即处理的改变仅影响其所在的模块，接口的改变仅影响使用该接口的模块。</w:t>
      </w:r>
    </w:p>
    <w:p w:rsidR="005B6786" w:rsidP="005B6786">
      <w:pPr>
        <w:numPr>
          <w:ilvl w:val="0"/>
          <w:numId w:val="5"/>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易测试性标准：</w:t>
      </w:r>
    </w:p>
    <w:p w:rsidR="005B6786" w:rsidP="005B6786">
      <w:pPr>
        <w:numPr>
          <w:ilvl w:val="0"/>
          <w:numId w:val="6"/>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软件接口是标准化的；</w:t>
      </w:r>
    </w:p>
    <w:p w:rsidR="005B6786" w:rsidP="005B6786">
      <w:pPr>
        <w:numPr>
          <w:ilvl w:val="0"/>
          <w:numId w:val="6"/>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测试程序有测试模拟和工具软件支持，可自动或半自动执行；</w:t>
      </w:r>
    </w:p>
    <w:p w:rsidR="005B6786" w:rsidP="005B6786">
      <w:pPr>
        <w:numPr>
          <w:ilvl w:val="0"/>
          <w:numId w:val="6"/>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测试程序是可固化和可重复的。</w:t>
      </w:r>
    </w:p>
    <w:p w:rsidR="005B6786" w:rsidP="005B6786">
      <w:pPr>
        <w:pStyle w:val="Heading4"/>
        <w:keepNext/>
        <w:keepLines/>
        <w:widowControl w:val="0"/>
        <w:numPr>
          <w:ilvl w:val="3"/>
          <w:numId w:val="4"/>
        </w:numPr>
        <w:spacing w:line="560" w:lineRule="exact"/>
        <w:ind w:left="864" w:hanging="864"/>
        <w:jc w:val="both"/>
        <w:rPr>
          <w:rFonts w:hint="eastAsia"/>
        </w:rPr>
      </w:pPr>
      <w:r>
        <w:rPr>
          <w:rFonts w:hint="eastAsia"/>
        </w:rPr>
        <w:t>规范性</w:t>
      </w:r>
    </w:p>
    <w:p w:rsidR="005B6786" w:rsidP="005B6786">
      <w:pPr>
        <w:spacing w:line="560" w:lineRule="exact"/>
        <w:ind w:firstLine="420" w:firstLineChars="200"/>
        <w:rPr>
          <w:rFonts w:ascii="仿宋_GB2312" w:hAnsi="仿宋_GB2312" w:cs="仿宋_GB2312"/>
          <w:color w:val="000000"/>
          <w:szCs w:val="32"/>
        </w:rPr>
      </w:pPr>
      <w:r>
        <w:rPr>
          <w:rFonts w:ascii="仿宋_GB2312" w:hAnsi="仿宋_GB2312" w:cs="仿宋_GB2312" w:hint="eastAsia"/>
          <w:color w:val="000000"/>
          <w:szCs w:val="32"/>
        </w:rPr>
        <w:t>本系统的设计须采用相关技术标准规范，严格遵循软件工程规范化的设计原则，不同的设计阶段进行严格的设计评审及完成相应的设计文档等，对整个设计过程进行规范化的管理和控制。</w:t>
      </w:r>
    </w:p>
    <w:p w:rsidR="005B6786" w:rsidP="005B6786">
      <w:pPr>
        <w:pStyle w:val="NormalIndent"/>
        <w:ind w:firstLine="480"/>
        <w:rPr>
          <w:rFonts w:hint="eastAsia"/>
        </w:rPr>
      </w:pPr>
    </w:p>
    <w:p w:rsidR="005B6786" w:rsidP="005B6786">
      <w:pPr>
        <w:pStyle w:val="Heading3"/>
        <w:keepNext/>
        <w:keepLines/>
        <w:widowControl w:val="0"/>
        <w:numPr>
          <w:ilvl w:val="2"/>
          <w:numId w:val="4"/>
        </w:numPr>
        <w:spacing w:line="560" w:lineRule="atLeast"/>
        <w:ind w:left="720" w:hanging="720"/>
        <w:jc w:val="both"/>
      </w:pPr>
      <w:bookmarkStart w:id="326" w:name="_Toc231542571"/>
      <w:r>
        <w:rPr>
          <w:rFonts w:hint="eastAsia"/>
        </w:rPr>
        <w:t>气象数据服务升级子系统</w:t>
      </w:r>
      <w:bookmarkEnd w:id="326"/>
    </w:p>
    <w:p w:rsidR="005B6786" w:rsidP="005B6786">
      <w:pPr>
        <w:pStyle w:val="Heading4"/>
        <w:keepNext/>
        <w:keepLines/>
        <w:widowControl w:val="0"/>
        <w:numPr>
          <w:ilvl w:val="3"/>
          <w:numId w:val="4"/>
        </w:numPr>
        <w:spacing w:line="560" w:lineRule="exact"/>
        <w:ind w:left="864" w:hanging="864"/>
        <w:jc w:val="both"/>
      </w:pPr>
      <w:r>
        <w:rPr>
          <w:rFonts w:hint="eastAsia"/>
        </w:rPr>
        <w:t>时效性</w:t>
      </w:r>
    </w:p>
    <w:p w:rsidR="005B6786" w:rsidP="005B6786">
      <w:pPr>
        <w:pStyle w:val="NormalIndent"/>
        <w:ind w:firstLine="480"/>
        <w:rPr>
          <w:rFonts w:hint="eastAsia"/>
        </w:rPr>
      </w:pPr>
      <w:r>
        <w:rPr>
          <w:rFonts w:hint="eastAsia"/>
        </w:rPr>
        <w:t>系统需满足短临业务高时效需求，具体性能指标要求如下：</w:t>
      </w:r>
    </w:p>
    <w:p w:rsidR="005B6786" w:rsidP="005B6786">
      <w:pPr>
        <w:ind w:firstLine="632"/>
        <w:rPr>
          <w:rFonts w:hAnsi="仿宋_GB2312" w:cs="仿宋_GB2312"/>
        </w:rPr>
      </w:pPr>
      <w:r>
        <w:rPr>
          <w:rFonts w:hAnsi="仿宋_GB2312" w:cs="仿宋_GB2312" w:hint="eastAsia"/>
        </w:rPr>
        <w:t>（</w:t>
      </w:r>
      <w:r>
        <w:rPr>
          <w:rFonts w:hAnsi="仿宋_GB2312" w:cs="仿宋_GB2312" w:hint="eastAsia"/>
        </w:rPr>
        <w:t>1</w:t>
      </w:r>
      <w:r>
        <w:rPr>
          <w:rFonts w:hAnsi="仿宋_GB2312" w:cs="仿宋_GB2312" w:hint="eastAsia"/>
        </w:rPr>
        <w:t>）当前数据服务平均访问时效为</w:t>
      </w:r>
      <w:r>
        <w:rPr>
          <w:rFonts w:hAnsi="仿宋_GB2312" w:cs="仿宋_GB2312" w:hint="eastAsia"/>
        </w:rPr>
        <w:t>0.38</w:t>
      </w:r>
      <w:r>
        <w:rPr>
          <w:rFonts w:hAnsi="仿宋_GB2312" w:cs="仿宋_GB2312" w:hint="eastAsia"/>
        </w:rPr>
        <w:t>秒，提升至</w:t>
      </w:r>
      <w:r>
        <w:rPr>
          <w:rFonts w:hAnsi="仿宋_GB2312" w:cs="仿宋_GB2312" w:hint="eastAsia"/>
        </w:rPr>
        <w:t>0.28</w:t>
      </w:r>
      <w:r>
        <w:rPr>
          <w:rFonts w:hAnsi="仿宋_GB2312" w:cs="仿宋_GB2312" w:hint="eastAsia"/>
        </w:rPr>
        <w:t>秒。</w:t>
      </w:r>
    </w:p>
    <w:p w:rsidR="005B6786" w:rsidP="005B6786">
      <w:pPr>
        <w:ind w:firstLine="632"/>
        <w:rPr>
          <w:rFonts w:hAnsi="仿宋_GB2312" w:cs="仿宋_GB2312" w:hint="eastAsia"/>
        </w:rPr>
      </w:pPr>
      <w:r>
        <w:rPr>
          <w:rFonts w:hAnsi="仿宋_GB2312" w:cs="仿宋_GB2312" w:hint="eastAsia"/>
        </w:rPr>
        <w:t>（</w:t>
      </w:r>
      <w:r>
        <w:rPr>
          <w:rFonts w:hAnsi="仿宋_GB2312" w:cs="仿宋_GB2312" w:hint="eastAsia"/>
        </w:rPr>
        <w:t>2</w:t>
      </w:r>
      <w:r>
        <w:rPr>
          <w:rFonts w:hAnsi="仿宋_GB2312" w:cs="仿宋_GB2312" w:hint="eastAsia"/>
        </w:rPr>
        <w:t>）短临业务数据可视化渲染服务接口时效达到秒级。</w:t>
      </w:r>
    </w:p>
    <w:p w:rsidR="005B6786" w:rsidP="005B6786">
      <w:pPr>
        <w:ind w:firstLine="632"/>
        <w:rPr>
          <w:rFonts w:hAnsi="仿宋_GB2312" w:cs="仿宋_GB2312" w:hint="eastAsia"/>
        </w:rPr>
      </w:pPr>
      <w:r>
        <w:rPr>
          <w:rFonts w:hAnsi="仿宋_GB2312" w:cs="仿宋_GB2312" w:hint="eastAsia"/>
        </w:rPr>
        <w:t>（</w:t>
      </w:r>
      <w:r>
        <w:rPr>
          <w:rFonts w:hAnsi="仿宋_GB2312" w:cs="仿宋_GB2312" w:hint="eastAsia"/>
        </w:rPr>
        <w:t>3</w:t>
      </w:r>
      <w:r>
        <w:rPr>
          <w:rFonts w:hAnsi="仿宋_GB2312" w:cs="仿宋_GB2312" w:hint="eastAsia"/>
        </w:rPr>
        <w:t>）短临业务数据分块加速数据服务接口时效达到秒级。</w:t>
      </w:r>
    </w:p>
    <w:p w:rsidR="005B6786" w:rsidP="005B6786">
      <w:pPr>
        <w:pStyle w:val="Heading4"/>
        <w:keepNext/>
        <w:keepLines/>
        <w:widowControl w:val="0"/>
        <w:numPr>
          <w:ilvl w:val="3"/>
          <w:numId w:val="4"/>
        </w:numPr>
        <w:spacing w:line="560" w:lineRule="exact"/>
        <w:ind w:left="864" w:hanging="864"/>
        <w:jc w:val="both"/>
        <w:rPr>
          <w:rFonts w:hint="eastAsia"/>
        </w:rPr>
      </w:pPr>
      <w:r>
        <w:rPr>
          <w:rFonts w:hint="eastAsia"/>
        </w:rPr>
        <w:t>系统稳定性</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本项目设计实现上要考虑系统长期运行的稳定性和可靠性。软件在运行期间，针对任何一个重要操作，都必须具有判断错误的能力，必要时可以进行完整的回退或恢复性操作来避免宕机，否则要发出报警消息，以便于人工干预。</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本系统需要提供</w:t>
      </w:r>
      <w:r>
        <w:rPr>
          <w:rFonts w:ascii="仿宋_GB2312" w:hAnsi="仿宋_GB2312" w:cs="仿宋_GB2312" w:hint="eastAsia"/>
          <w:color w:val="000000"/>
          <w:szCs w:val="32"/>
        </w:rPr>
        <w:t>7*24</w:t>
      </w:r>
      <w:r>
        <w:rPr>
          <w:rFonts w:ascii="仿宋_GB2312" w:hAnsi="仿宋_GB2312" w:cs="仿宋_GB2312" w:hint="eastAsia"/>
          <w:color w:val="000000"/>
          <w:szCs w:val="32"/>
        </w:rPr>
        <w:t>小时不间断服务，因此，无论是计算机软件和硬件系统都必须具有较高的可靠性，及发生故障后快速恢复的能力。具体要求如下：</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1</w:t>
      </w:r>
      <w:r>
        <w:rPr>
          <w:rFonts w:ascii="仿宋_GB2312" w:hAnsi="仿宋_GB2312" w:cs="仿宋_GB2312" w:hint="eastAsia"/>
          <w:color w:val="000000"/>
          <w:szCs w:val="32"/>
        </w:rPr>
        <w:t>）在支撑平台可靠性的保证下，关键高可用业务系统在</w:t>
      </w:r>
      <w:r>
        <w:rPr>
          <w:rFonts w:ascii="仿宋_GB2312" w:hAnsi="仿宋_GB2312" w:cs="仿宋_GB2312" w:hint="eastAsia"/>
          <w:color w:val="000000"/>
          <w:szCs w:val="32"/>
        </w:rPr>
        <w:t>3</w:t>
      </w:r>
      <w:r>
        <w:rPr>
          <w:rFonts w:ascii="仿宋_GB2312" w:hAnsi="仿宋_GB2312" w:cs="仿宋_GB2312" w:hint="eastAsia"/>
          <w:color w:val="000000"/>
          <w:szCs w:val="32"/>
        </w:rPr>
        <w:t>分钟内快速恢复运行状态。</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2</w:t>
      </w:r>
      <w:r>
        <w:rPr>
          <w:rFonts w:ascii="仿宋_GB2312" w:hAnsi="仿宋_GB2312" w:cs="仿宋_GB2312" w:hint="eastAsia"/>
          <w:color w:val="000000"/>
          <w:szCs w:val="32"/>
        </w:rPr>
        <w:t>）年故障总时间小于</w:t>
      </w:r>
      <w:r>
        <w:rPr>
          <w:rFonts w:ascii="仿宋_GB2312" w:hAnsi="仿宋_GB2312" w:cs="仿宋_GB2312" w:hint="eastAsia"/>
          <w:color w:val="000000"/>
          <w:szCs w:val="32"/>
        </w:rPr>
        <w:t>12</w:t>
      </w:r>
      <w:r>
        <w:rPr>
          <w:rFonts w:ascii="仿宋_GB2312" w:hAnsi="仿宋_GB2312" w:cs="仿宋_GB2312" w:hint="eastAsia"/>
          <w:color w:val="000000"/>
          <w:szCs w:val="32"/>
        </w:rPr>
        <w:t>小时，故障恢复时间小于</w:t>
      </w:r>
      <w:r>
        <w:rPr>
          <w:rFonts w:ascii="仿宋_GB2312" w:hAnsi="仿宋_GB2312" w:cs="仿宋_GB2312" w:hint="eastAsia"/>
          <w:color w:val="000000"/>
          <w:szCs w:val="32"/>
        </w:rPr>
        <w:t>1</w:t>
      </w:r>
      <w:r>
        <w:rPr>
          <w:rFonts w:ascii="仿宋_GB2312" w:hAnsi="仿宋_GB2312" w:cs="仿宋_GB2312" w:hint="eastAsia"/>
          <w:color w:val="000000"/>
          <w:szCs w:val="32"/>
        </w:rPr>
        <w:t>小时。</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3</w:t>
      </w:r>
      <w:r>
        <w:rPr>
          <w:rFonts w:ascii="仿宋_GB2312" w:hAnsi="仿宋_GB2312" w:cs="仿宋_GB2312" w:hint="eastAsia"/>
          <w:color w:val="000000"/>
          <w:szCs w:val="32"/>
        </w:rPr>
        <w:t>）成熟性标准：</w:t>
      </w:r>
    </w:p>
    <w:p w:rsidR="005B6786" w:rsidP="005B6786">
      <w:pPr>
        <w:spacing w:line="560" w:lineRule="exact"/>
        <w:ind w:firstLine="785" w:firstLineChars="374"/>
        <w:rPr>
          <w:rFonts w:ascii="仿宋_GB2312" w:hAnsi="仿宋_GB2312" w:cs="仿宋_GB2312" w:hint="eastAsia"/>
          <w:color w:val="000000"/>
          <w:szCs w:val="32"/>
        </w:rPr>
      </w:pPr>
      <w:r>
        <w:rPr>
          <w:rFonts w:ascii="仿宋_GB2312" w:hAnsi="仿宋_GB2312" w:cs="仿宋_GB2312" w:hint="eastAsia"/>
          <w:color w:val="000000"/>
          <w:szCs w:val="32"/>
        </w:rPr>
        <w:t>7*24</w:t>
      </w:r>
      <w:r>
        <w:rPr>
          <w:rFonts w:ascii="仿宋_GB2312" w:hAnsi="仿宋_GB2312" w:cs="仿宋_GB2312" w:hint="eastAsia"/>
          <w:color w:val="000000"/>
          <w:szCs w:val="32"/>
        </w:rPr>
        <w:t>小时业务运行期间，平均故障间隔时间（</w:t>
      </w:r>
      <w:r>
        <w:rPr>
          <w:rFonts w:ascii="仿宋_GB2312" w:hAnsi="仿宋_GB2312" w:cs="仿宋_GB2312" w:hint="eastAsia"/>
          <w:color w:val="000000"/>
          <w:szCs w:val="32"/>
        </w:rPr>
        <w:t>MTBF</w:t>
      </w:r>
      <w:r>
        <w:rPr>
          <w:rFonts w:ascii="仿宋_GB2312" w:hAnsi="仿宋_GB2312" w:cs="仿宋_GB2312" w:hint="eastAsia"/>
          <w:color w:val="000000"/>
          <w:szCs w:val="32"/>
        </w:rPr>
        <w:t>：</w:t>
      </w:r>
      <w:r>
        <w:rPr>
          <w:rFonts w:ascii="仿宋_GB2312" w:hAnsi="仿宋_GB2312" w:cs="仿宋_GB2312" w:hint="eastAsia"/>
          <w:color w:val="000000"/>
          <w:szCs w:val="32"/>
        </w:rPr>
        <w:t>Mean Time Between Failure</w:t>
      </w:r>
      <w:r>
        <w:rPr>
          <w:rFonts w:ascii="仿宋_GB2312" w:hAnsi="仿宋_GB2312" w:cs="仿宋_GB2312" w:hint="eastAsia"/>
          <w:color w:val="000000"/>
          <w:szCs w:val="32"/>
        </w:rPr>
        <w:t>）不小于</w:t>
      </w:r>
      <w:r>
        <w:rPr>
          <w:rFonts w:ascii="仿宋_GB2312" w:hAnsi="仿宋_GB2312" w:cs="仿宋_GB2312" w:hint="eastAsia"/>
          <w:color w:val="000000"/>
          <w:szCs w:val="32"/>
        </w:rPr>
        <w:t>1</w:t>
      </w:r>
      <w:r>
        <w:rPr>
          <w:rFonts w:ascii="仿宋_GB2312" w:hAnsi="仿宋_GB2312" w:cs="仿宋_GB2312" w:hint="eastAsia"/>
          <w:color w:val="000000"/>
          <w:szCs w:val="32"/>
        </w:rPr>
        <w:t>个月。</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4</w:t>
      </w:r>
      <w:r>
        <w:rPr>
          <w:rFonts w:ascii="仿宋_GB2312" w:hAnsi="仿宋_GB2312" w:cs="仿宋_GB2312" w:hint="eastAsia"/>
          <w:color w:val="000000"/>
          <w:szCs w:val="32"/>
        </w:rPr>
        <w:t>）容错性标准：</w:t>
      </w:r>
    </w:p>
    <w:p w:rsidR="005B6786" w:rsidP="005B6786">
      <w:pPr>
        <w:spacing w:line="560" w:lineRule="exact"/>
        <w:ind w:firstLine="785" w:firstLineChars="374"/>
        <w:rPr>
          <w:rFonts w:ascii="仿宋_GB2312" w:hAnsi="仿宋_GB2312" w:cs="仿宋_GB2312" w:hint="eastAsia"/>
          <w:color w:val="000000"/>
          <w:szCs w:val="32"/>
        </w:rPr>
      </w:pPr>
      <w:r>
        <w:rPr>
          <w:rFonts w:ascii="仿宋_GB2312" w:hAnsi="仿宋_GB2312" w:cs="仿宋_GB2312" w:hint="eastAsia"/>
          <w:color w:val="000000"/>
          <w:szCs w:val="32"/>
        </w:rPr>
        <w:t>关键进程偶发故障恢复率</w:t>
      </w:r>
      <w:r>
        <w:rPr>
          <w:rFonts w:ascii="仿宋_GB2312" w:hAnsi="仿宋_GB2312" w:cs="仿宋_GB2312" w:hint="eastAsia"/>
          <w:color w:val="000000"/>
          <w:szCs w:val="32"/>
        </w:rPr>
        <w:t>100</w:t>
      </w:r>
      <w:r>
        <w:rPr>
          <w:rFonts w:ascii="仿宋_GB2312" w:hAnsi="仿宋_GB2312" w:cs="仿宋_GB2312" w:hint="eastAsia"/>
          <w:color w:val="000000"/>
          <w:szCs w:val="32"/>
        </w:rPr>
        <w:t>％；</w:t>
      </w:r>
    </w:p>
    <w:p w:rsidR="005B6786" w:rsidP="005B6786">
      <w:pPr>
        <w:spacing w:line="560" w:lineRule="exact"/>
        <w:ind w:firstLine="785" w:firstLineChars="374"/>
        <w:rPr>
          <w:rFonts w:ascii="仿宋_GB2312" w:hAnsi="仿宋_GB2312" w:cs="仿宋_GB2312" w:hint="eastAsia"/>
          <w:color w:val="000000"/>
          <w:szCs w:val="32"/>
        </w:rPr>
      </w:pPr>
      <w:r>
        <w:rPr>
          <w:rFonts w:ascii="仿宋_GB2312" w:hAnsi="仿宋_GB2312" w:cs="仿宋_GB2312" w:hint="eastAsia"/>
          <w:color w:val="000000"/>
          <w:szCs w:val="32"/>
        </w:rPr>
        <w:t>主机单点故障恢复率</w:t>
      </w:r>
      <w:r>
        <w:rPr>
          <w:rFonts w:ascii="仿宋_GB2312" w:hAnsi="仿宋_GB2312" w:cs="仿宋_GB2312" w:hint="eastAsia"/>
          <w:color w:val="000000"/>
          <w:szCs w:val="32"/>
        </w:rPr>
        <w:t>100</w:t>
      </w:r>
      <w:r>
        <w:rPr>
          <w:rFonts w:ascii="仿宋_GB2312" w:hAnsi="仿宋_GB2312" w:cs="仿宋_GB2312" w:hint="eastAsia"/>
          <w:color w:val="000000"/>
          <w:szCs w:val="32"/>
        </w:rPr>
        <w:t>％；</w:t>
      </w:r>
    </w:p>
    <w:p w:rsidR="005B6786" w:rsidP="005B6786">
      <w:pPr>
        <w:spacing w:line="560" w:lineRule="exact"/>
        <w:ind w:firstLine="785" w:firstLineChars="374"/>
        <w:rPr>
          <w:rFonts w:ascii="仿宋_GB2312" w:hAnsi="仿宋_GB2312" w:cs="仿宋_GB2312" w:hint="eastAsia"/>
          <w:color w:val="000000"/>
          <w:szCs w:val="32"/>
        </w:rPr>
      </w:pPr>
      <w:r>
        <w:rPr>
          <w:rFonts w:ascii="仿宋_GB2312" w:hAnsi="仿宋_GB2312" w:cs="仿宋_GB2312" w:hint="eastAsia"/>
          <w:color w:val="000000"/>
          <w:szCs w:val="32"/>
        </w:rPr>
        <w:t>任一节点故障后，其它节点可接替该节点的业务进行服务。</w:t>
      </w:r>
    </w:p>
    <w:p w:rsidR="005B6786" w:rsidP="005B6786">
      <w:pPr>
        <w:pStyle w:val="Heading4"/>
        <w:keepNext/>
        <w:keepLines/>
        <w:widowControl w:val="0"/>
        <w:numPr>
          <w:ilvl w:val="3"/>
          <w:numId w:val="4"/>
        </w:numPr>
        <w:spacing w:line="560" w:lineRule="exact"/>
        <w:ind w:left="864" w:hanging="864"/>
        <w:jc w:val="both"/>
        <w:rPr>
          <w:rFonts w:hint="eastAsia"/>
        </w:rPr>
      </w:pPr>
      <w:r>
        <w:rPr>
          <w:rFonts w:hint="eastAsia"/>
        </w:rPr>
        <w:t>易操作性</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为便于操作人员的人工干预，系统中有关运行参数的修改，应提供直观、方便的修改界面；系统出现中断时，重新启动方便快捷，自动检查和运行未完成作业。</w:t>
      </w:r>
    </w:p>
    <w:p w:rsidR="005B6786" w:rsidP="005B6786">
      <w:pPr>
        <w:pStyle w:val="Heading4"/>
        <w:keepNext/>
        <w:keepLines/>
        <w:widowControl w:val="0"/>
        <w:numPr>
          <w:ilvl w:val="3"/>
          <w:numId w:val="4"/>
        </w:numPr>
        <w:spacing w:line="560" w:lineRule="exact"/>
        <w:ind w:left="864" w:hanging="864"/>
        <w:jc w:val="both"/>
        <w:rPr>
          <w:rFonts w:hint="eastAsia"/>
        </w:rPr>
      </w:pPr>
      <w:r>
        <w:rPr>
          <w:rFonts w:hint="eastAsia"/>
        </w:rPr>
        <w:t>可维护性</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应具有较好的可扩展性，为进一步的扩充和改造提供方便。除了要求软件本身具有良好的维护性外，还应当拥有离线的维护环境，以便在不影响正常业务的情况下进行软件的维护工作。对软件设计的要求应包括软件的易分析性、易改变性、稳定性和易测试性。</w:t>
      </w:r>
    </w:p>
    <w:p w:rsidR="005B6786" w:rsidP="005B6786">
      <w:pPr>
        <w:numPr>
          <w:ilvl w:val="0"/>
          <w:numId w:val="5"/>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易分析性标准：</w:t>
      </w:r>
    </w:p>
    <w:p w:rsidR="005B6786" w:rsidP="005B6786">
      <w:pPr>
        <w:numPr>
          <w:ilvl w:val="0"/>
          <w:numId w:val="6"/>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所有应用软件能够捕获到的计算机系统故障或应用软件错误都应在尽可能低的级别上探查和捕获并以适当的形式记录或向操作员发送错误状态与报告；</w:t>
      </w:r>
    </w:p>
    <w:p w:rsidR="005B6786" w:rsidP="005B6786">
      <w:pPr>
        <w:numPr>
          <w:ilvl w:val="0"/>
          <w:numId w:val="6"/>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错误状态和报告（或消息）应是统一编码、结构化和自描述的。即从错误状态码和错误消息正文串即可判断软件捕获到的错误的位置、类型和可能的原因；</w:t>
      </w:r>
    </w:p>
    <w:p w:rsidR="005B6786" w:rsidP="005B6786">
      <w:pPr>
        <w:numPr>
          <w:ilvl w:val="0"/>
          <w:numId w:val="6"/>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错误报告（或消息）对于可预知（即可与程序的控制流程同步捕获到）的错误应能定位到独立的处理步骤或函数，不可预知（即不可与程序的控制流程同步捕获到）的错误应能定位到模块或进程。</w:t>
      </w:r>
    </w:p>
    <w:p w:rsidR="005B6786" w:rsidP="005B6786">
      <w:pPr>
        <w:numPr>
          <w:ilvl w:val="0"/>
          <w:numId w:val="5"/>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易改变性标准：</w:t>
      </w:r>
    </w:p>
    <w:p w:rsidR="005B6786" w:rsidP="005B6786">
      <w:pPr>
        <w:numPr>
          <w:ilvl w:val="0"/>
          <w:numId w:val="6"/>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处理软件的任务及其任务环境参数可从外部配置和修改，并可从数据库中自动生成；</w:t>
      </w:r>
    </w:p>
    <w:p w:rsidR="005B6786" w:rsidP="005B6786">
      <w:pPr>
        <w:numPr>
          <w:ilvl w:val="0"/>
          <w:numId w:val="6"/>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公用接口（包括错误状态码、常数等）结构应统一说明，所有对这些接口说明的引用都应当指向同一个说明实体。</w:t>
      </w:r>
    </w:p>
    <w:p w:rsidR="005B6786" w:rsidP="005B6786">
      <w:pPr>
        <w:numPr>
          <w:ilvl w:val="0"/>
          <w:numId w:val="5"/>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稳定性标准：</w:t>
      </w:r>
    </w:p>
    <w:p w:rsidR="005B6786" w:rsidP="005B6786">
      <w:pPr>
        <w:numPr>
          <w:ilvl w:val="0"/>
          <w:numId w:val="6"/>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软件模块整体上应是结构化、层次化和功能单一的；</w:t>
      </w:r>
    </w:p>
    <w:p w:rsidR="005B6786" w:rsidP="005B6786">
      <w:pPr>
        <w:numPr>
          <w:ilvl w:val="0"/>
          <w:numId w:val="6"/>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软件模块的处理和接口应是封装的。即处理的改变仅影响其所在的模块，接口的改变仅影响使用该接口的模块。</w:t>
      </w:r>
    </w:p>
    <w:p w:rsidR="005B6786" w:rsidP="005B6786">
      <w:pPr>
        <w:numPr>
          <w:ilvl w:val="0"/>
          <w:numId w:val="5"/>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易测试性标准：</w:t>
      </w:r>
    </w:p>
    <w:p w:rsidR="005B6786" w:rsidP="005B6786">
      <w:pPr>
        <w:numPr>
          <w:ilvl w:val="0"/>
          <w:numId w:val="6"/>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软件接口是标准化的；</w:t>
      </w:r>
    </w:p>
    <w:p w:rsidR="005B6786" w:rsidP="005B6786">
      <w:pPr>
        <w:numPr>
          <w:ilvl w:val="0"/>
          <w:numId w:val="6"/>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测试程序有测试模拟和工具软件支持，可自动或半自动执行；</w:t>
      </w:r>
    </w:p>
    <w:p w:rsidR="005B6786" w:rsidP="005B6786">
      <w:pPr>
        <w:numPr>
          <w:ilvl w:val="0"/>
          <w:numId w:val="6"/>
        </w:numPr>
        <w:tabs>
          <w:tab w:val="left" w:pos="84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测试程序是可固化和可重复的。</w:t>
      </w:r>
    </w:p>
    <w:p w:rsidR="005B6786" w:rsidP="005B6786">
      <w:pPr>
        <w:pStyle w:val="Heading4"/>
        <w:keepNext/>
        <w:keepLines/>
        <w:widowControl w:val="0"/>
        <w:numPr>
          <w:ilvl w:val="3"/>
          <w:numId w:val="4"/>
        </w:numPr>
        <w:spacing w:line="560" w:lineRule="exact"/>
        <w:ind w:left="864" w:hanging="864"/>
        <w:jc w:val="both"/>
        <w:rPr>
          <w:rFonts w:hint="eastAsia"/>
        </w:rPr>
      </w:pPr>
      <w:r>
        <w:rPr>
          <w:rFonts w:hint="eastAsia"/>
        </w:rPr>
        <w:t>规范性</w:t>
      </w:r>
    </w:p>
    <w:p w:rsidR="005B6786" w:rsidP="005B6786">
      <w:pPr>
        <w:spacing w:line="560" w:lineRule="exact"/>
        <w:ind w:firstLine="420" w:firstLineChars="200"/>
        <w:rPr>
          <w:rFonts w:ascii="仿宋_GB2312" w:hAnsi="仿宋_GB2312" w:cs="仿宋_GB2312"/>
          <w:color w:val="000000"/>
          <w:szCs w:val="32"/>
        </w:rPr>
      </w:pPr>
      <w:r>
        <w:rPr>
          <w:rFonts w:ascii="仿宋_GB2312" w:hAnsi="仿宋_GB2312" w:cs="仿宋_GB2312" w:hint="eastAsia"/>
          <w:color w:val="000000"/>
          <w:szCs w:val="32"/>
        </w:rPr>
        <w:t>本系统的设计须采用相关技术标准规范，严格遵循软件工程规范化的设计原则，不同的设计阶段进行严格的设计评审及完成相应的设计文档等，对整个设计过程进行规范化的管理和控制。</w:t>
      </w:r>
    </w:p>
    <w:p w:rsidR="005B6786" w:rsidP="005B6786">
      <w:pPr>
        <w:pStyle w:val="NormalIndent"/>
        <w:ind w:firstLine="480"/>
      </w:pPr>
    </w:p>
    <w:p w:rsidR="005B6786" w:rsidP="005B6786">
      <w:pPr>
        <w:pStyle w:val="Heading3"/>
        <w:keepNext/>
        <w:keepLines/>
        <w:widowControl w:val="0"/>
        <w:numPr>
          <w:ilvl w:val="2"/>
          <w:numId w:val="4"/>
        </w:numPr>
        <w:spacing w:line="560" w:lineRule="atLeast"/>
        <w:ind w:left="720" w:hanging="720"/>
        <w:jc w:val="both"/>
        <w:rPr>
          <w:rFonts w:hint="eastAsia"/>
        </w:rPr>
      </w:pPr>
      <w:bookmarkStart w:id="327" w:name="_Toc222145457"/>
      <w:bookmarkStart w:id="328" w:name="_Toc231542572"/>
      <w:r>
        <w:rPr>
          <w:rFonts w:hint="eastAsia"/>
        </w:rPr>
        <w:t>气象数据可视化服务子系统</w:t>
      </w:r>
      <w:bookmarkEnd w:id="327"/>
      <w:bookmarkEnd w:id="328"/>
    </w:p>
    <w:p w:rsidR="005B6786" w:rsidP="005B6786">
      <w:pPr>
        <w:pStyle w:val="Heading4"/>
        <w:keepNext/>
        <w:keepLines/>
        <w:widowControl w:val="0"/>
        <w:numPr>
          <w:ilvl w:val="3"/>
          <w:numId w:val="4"/>
        </w:numPr>
        <w:spacing w:line="560" w:lineRule="exact"/>
        <w:ind w:left="864" w:hanging="864"/>
        <w:jc w:val="both"/>
        <w:rPr>
          <w:rFonts w:hint="eastAsia"/>
        </w:rPr>
      </w:pPr>
      <w:r>
        <w:rPr>
          <w:rFonts w:hint="eastAsia"/>
        </w:rPr>
        <w:t>时效性</w:t>
      </w:r>
    </w:p>
    <w:p w:rsidR="005B6786" w:rsidP="005B6786">
      <w:pPr>
        <w:spacing w:line="560" w:lineRule="exact"/>
        <w:ind w:firstLine="420" w:firstLineChars="200"/>
        <w:rPr>
          <w:rFonts w:ascii="仿宋_GB2312" w:hAnsi="仿宋_GB2312" w:cs="仿宋_GB2312" w:hint="eastAsia"/>
          <w:color w:val="000000"/>
          <w:szCs w:val="32"/>
        </w:rPr>
      </w:pPr>
      <w:r>
        <w:rPr>
          <w:rFonts w:ascii="仿宋_GB2312" w:hAnsi="仿宋_GB2312" w:cs="仿宋_GB2312" w:hint="eastAsia"/>
          <w:color w:val="000000"/>
          <w:szCs w:val="32"/>
        </w:rPr>
        <w:t>系统需满足短临业务高时效需求，保证海量数据交互下的快速响应，具体性能指标要求如下：</w:t>
      </w:r>
    </w:p>
    <w:p w:rsidR="005B6786" w:rsidP="005B6786">
      <w:pPr>
        <w:numPr>
          <w:ilvl w:val="0"/>
          <w:numId w:val="7"/>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支持</w:t>
      </w:r>
      <w:r>
        <w:rPr>
          <w:rFonts w:ascii="仿宋_GB2312" w:hAnsi="仿宋_GB2312" w:cs="仿宋_GB2312" w:hint="eastAsia"/>
          <w:color w:val="000000"/>
          <w:szCs w:val="32"/>
        </w:rPr>
        <w:t>500</w:t>
      </w:r>
      <w:r>
        <w:rPr>
          <w:rFonts w:ascii="仿宋_GB2312" w:hAnsi="仿宋_GB2312" w:cs="仿宋_GB2312" w:hint="eastAsia"/>
          <w:color w:val="000000"/>
          <w:szCs w:val="32"/>
        </w:rPr>
        <w:t>用户并发访问，实现二维三维底图毫秒级切换、跨区域底图调用毫秒级响应、二维三维可视化框架切换秒级响应；</w:t>
      </w:r>
    </w:p>
    <w:p w:rsidR="005B6786" w:rsidP="005B6786">
      <w:pPr>
        <w:numPr>
          <w:ilvl w:val="0"/>
          <w:numId w:val="7"/>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系统吞吐量≥</w:t>
      </w:r>
      <w:r>
        <w:rPr>
          <w:rFonts w:ascii="仿宋_GB2312" w:hAnsi="仿宋_GB2312" w:cs="仿宋_GB2312" w:hint="eastAsia"/>
          <w:color w:val="000000"/>
          <w:szCs w:val="32"/>
        </w:rPr>
        <w:t>1000 RPS</w:t>
      </w:r>
      <w:r>
        <w:rPr>
          <w:rFonts w:ascii="仿宋_GB2312" w:hAnsi="仿宋_GB2312" w:cs="仿宋_GB2312" w:hint="eastAsia"/>
          <w:color w:val="000000"/>
          <w:szCs w:val="32"/>
        </w:rPr>
        <w:t>（每秒请求数），缓存命中率≥</w:t>
      </w:r>
      <w:r>
        <w:rPr>
          <w:rFonts w:ascii="仿宋_GB2312" w:hAnsi="仿宋_GB2312" w:cs="仿宋_GB2312" w:hint="eastAsia"/>
          <w:color w:val="000000"/>
          <w:szCs w:val="32"/>
        </w:rPr>
        <w:t>90%</w:t>
      </w:r>
      <w:r>
        <w:rPr>
          <w:rFonts w:ascii="仿宋_GB2312" w:hAnsi="仿宋_GB2312" w:cs="仿宋_GB2312" w:hint="eastAsia"/>
          <w:color w:val="000000"/>
          <w:szCs w:val="32"/>
        </w:rPr>
        <w:t>；</w:t>
      </w:r>
    </w:p>
    <w:p w:rsidR="005B6786" w:rsidP="005B6786">
      <w:pPr>
        <w:numPr>
          <w:ilvl w:val="0"/>
          <w:numId w:val="7"/>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页面加载：首屏加载时间≤</w:t>
      </w:r>
      <w:r>
        <w:rPr>
          <w:rFonts w:ascii="仿宋_GB2312" w:hAnsi="仿宋_GB2312" w:cs="仿宋_GB2312" w:hint="eastAsia"/>
          <w:color w:val="000000"/>
          <w:szCs w:val="32"/>
        </w:rPr>
        <w:t>3</w:t>
      </w:r>
      <w:r>
        <w:rPr>
          <w:rFonts w:ascii="仿宋_GB2312" w:hAnsi="仿宋_GB2312" w:cs="仿宋_GB2312" w:hint="eastAsia"/>
          <w:color w:val="000000"/>
          <w:szCs w:val="32"/>
        </w:rPr>
        <w:t>秒，完整页面加载时间≤</w:t>
      </w:r>
      <w:r>
        <w:rPr>
          <w:rFonts w:ascii="仿宋_GB2312" w:hAnsi="仿宋_GB2312" w:cs="仿宋_GB2312" w:hint="eastAsia"/>
          <w:color w:val="000000"/>
          <w:szCs w:val="32"/>
        </w:rPr>
        <w:t>5</w:t>
      </w:r>
      <w:r>
        <w:rPr>
          <w:rFonts w:ascii="仿宋_GB2312" w:hAnsi="仿宋_GB2312" w:cs="仿宋_GB2312" w:hint="eastAsia"/>
          <w:color w:val="000000"/>
          <w:szCs w:val="32"/>
        </w:rPr>
        <w:t>秒，普通页面加载≤</w:t>
      </w:r>
      <w:r>
        <w:rPr>
          <w:rFonts w:ascii="仿宋_GB2312" w:hAnsi="仿宋_GB2312" w:cs="仿宋_GB2312" w:hint="eastAsia"/>
          <w:color w:val="000000"/>
          <w:szCs w:val="32"/>
        </w:rPr>
        <w:t>2</w:t>
      </w:r>
      <w:r>
        <w:rPr>
          <w:rFonts w:ascii="仿宋_GB2312" w:hAnsi="仿宋_GB2312" w:cs="仿宋_GB2312" w:hint="eastAsia"/>
          <w:color w:val="000000"/>
          <w:szCs w:val="32"/>
        </w:rPr>
        <w:t>秒；</w:t>
      </w:r>
    </w:p>
    <w:p w:rsidR="005B6786" w:rsidP="005B6786">
      <w:pPr>
        <w:numPr>
          <w:ilvl w:val="0"/>
          <w:numId w:val="7"/>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交互响应：复杂操作（全局搜索、提交表单）≤</w:t>
      </w:r>
      <w:r>
        <w:rPr>
          <w:rFonts w:ascii="仿宋_GB2312" w:hAnsi="仿宋_GB2312" w:cs="仿宋_GB2312" w:hint="eastAsia"/>
          <w:color w:val="000000"/>
          <w:szCs w:val="32"/>
        </w:rPr>
        <w:t>5</w:t>
      </w:r>
      <w:r>
        <w:rPr>
          <w:rFonts w:ascii="仿宋_GB2312" w:hAnsi="仿宋_GB2312" w:cs="仿宋_GB2312" w:hint="eastAsia"/>
          <w:color w:val="000000"/>
          <w:szCs w:val="32"/>
        </w:rPr>
        <w:t>秒，实时交互（数据查询）≤</w:t>
      </w:r>
      <w:r>
        <w:rPr>
          <w:rFonts w:ascii="仿宋_GB2312" w:hAnsi="仿宋_GB2312" w:cs="仿宋_GB2312" w:hint="eastAsia"/>
          <w:color w:val="000000"/>
          <w:szCs w:val="32"/>
        </w:rPr>
        <w:t>1</w:t>
      </w:r>
      <w:r>
        <w:rPr>
          <w:rFonts w:ascii="仿宋_GB2312" w:hAnsi="仿宋_GB2312" w:cs="仿宋_GB2312" w:hint="eastAsia"/>
          <w:color w:val="000000"/>
          <w:szCs w:val="32"/>
        </w:rPr>
        <w:t>秒；</w:t>
      </w:r>
    </w:p>
    <w:p w:rsidR="005B6786" w:rsidP="005B6786">
      <w:pPr>
        <w:numPr>
          <w:ilvl w:val="0"/>
          <w:numId w:val="7"/>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完成全球、全国、分省等范围静态底图不少于</w:t>
      </w:r>
      <w:r>
        <w:rPr>
          <w:rFonts w:ascii="仿宋_GB2312" w:hAnsi="仿宋_GB2312" w:cs="仿宋_GB2312" w:hint="eastAsia"/>
          <w:color w:val="000000"/>
          <w:szCs w:val="32"/>
        </w:rPr>
        <w:t>36</w:t>
      </w:r>
      <w:r>
        <w:rPr>
          <w:rFonts w:ascii="仿宋_GB2312" w:hAnsi="仿宋_GB2312" w:cs="仿宋_GB2312" w:hint="eastAsia"/>
          <w:color w:val="000000"/>
          <w:szCs w:val="32"/>
        </w:rPr>
        <w:t>幅，搭建不少于</w:t>
      </w:r>
      <w:r>
        <w:rPr>
          <w:rFonts w:ascii="仿宋_GB2312" w:hAnsi="仿宋_GB2312" w:cs="仿宋_GB2312" w:hint="eastAsia"/>
          <w:color w:val="000000"/>
          <w:szCs w:val="32"/>
        </w:rPr>
        <w:t>1</w:t>
      </w:r>
      <w:r>
        <w:rPr>
          <w:rFonts w:ascii="仿宋_GB2312" w:hAnsi="仿宋_GB2312" w:cs="仿宋_GB2312" w:hint="eastAsia"/>
          <w:color w:val="000000"/>
          <w:szCs w:val="32"/>
        </w:rPr>
        <w:t>个气象预报短临预报场景；</w:t>
      </w:r>
    </w:p>
    <w:p w:rsidR="005B6786" w:rsidP="005B6786">
      <w:pPr>
        <w:pStyle w:val="Heading4"/>
        <w:keepNext/>
        <w:keepLines/>
        <w:widowControl w:val="0"/>
        <w:numPr>
          <w:ilvl w:val="3"/>
          <w:numId w:val="4"/>
        </w:numPr>
        <w:spacing w:line="560" w:lineRule="exact"/>
        <w:ind w:left="864" w:hanging="864"/>
        <w:jc w:val="both"/>
        <w:rPr>
          <w:rFonts w:hint="eastAsia"/>
        </w:rPr>
      </w:pPr>
      <w:bookmarkStart w:id="329" w:name="_Toc119829550"/>
      <w:bookmarkStart w:id="330" w:name="_Toc528863368"/>
      <w:bookmarkStart w:id="331" w:name="_Toc24220"/>
      <w:r>
        <w:rPr>
          <w:rFonts w:hint="eastAsia"/>
        </w:rPr>
        <w:t>系统稳定性</w:t>
      </w:r>
      <w:bookmarkEnd w:id="329"/>
      <w:bookmarkEnd w:id="330"/>
      <w:bookmarkEnd w:id="331"/>
    </w:p>
    <w:p w:rsidR="005B6786" w:rsidP="005B6786">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系统需满足</w:t>
      </w:r>
      <w:r>
        <w:rPr>
          <w:rFonts w:ascii="仿宋_GB2312" w:hAnsi="仿宋_GB2312" w:cs="仿宋_GB2312" w:hint="eastAsia"/>
          <w:color w:val="000000"/>
          <w:szCs w:val="32"/>
        </w:rPr>
        <w:t>7*24</w:t>
      </w:r>
      <w:r>
        <w:rPr>
          <w:rFonts w:ascii="仿宋_GB2312" w:hAnsi="仿宋_GB2312" w:cs="仿宋_GB2312" w:hint="eastAsia"/>
          <w:color w:val="000000"/>
          <w:szCs w:val="32"/>
        </w:rPr>
        <w:t>小时不间断服务要求，具备高可靠性和故障快速恢复能力，支撑短临业务连续运行，具体要求如下：</w:t>
      </w:r>
    </w:p>
    <w:p w:rsidR="005B6786" w:rsidP="005B6786">
      <w:pPr>
        <w:numPr>
          <w:ilvl w:val="0"/>
          <w:numId w:val="8"/>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关键高可用业务系统在</w:t>
      </w:r>
      <w:r>
        <w:rPr>
          <w:rFonts w:ascii="仿宋_GB2312" w:hAnsi="仿宋_GB2312" w:cs="仿宋_GB2312" w:hint="eastAsia"/>
          <w:color w:val="000000"/>
          <w:szCs w:val="32"/>
        </w:rPr>
        <w:t>3</w:t>
      </w:r>
      <w:r>
        <w:rPr>
          <w:rFonts w:ascii="仿宋_GB2312" w:hAnsi="仿宋_GB2312" w:cs="仿宋_GB2312" w:hint="eastAsia"/>
          <w:color w:val="000000"/>
          <w:szCs w:val="32"/>
        </w:rPr>
        <w:t>分钟内快速恢复运行状态，年故障总时间小于</w:t>
      </w:r>
      <w:r>
        <w:rPr>
          <w:rFonts w:ascii="仿宋_GB2312" w:hAnsi="仿宋_GB2312" w:cs="仿宋_GB2312" w:hint="eastAsia"/>
          <w:color w:val="000000"/>
          <w:szCs w:val="32"/>
        </w:rPr>
        <w:t>12</w:t>
      </w:r>
      <w:r>
        <w:rPr>
          <w:rFonts w:ascii="仿宋_GB2312" w:hAnsi="仿宋_GB2312" w:cs="仿宋_GB2312" w:hint="eastAsia"/>
          <w:color w:val="000000"/>
          <w:szCs w:val="32"/>
        </w:rPr>
        <w:t>小时，单故障恢复时间小于</w:t>
      </w:r>
      <w:r>
        <w:rPr>
          <w:rFonts w:ascii="仿宋_GB2312" w:hAnsi="仿宋_GB2312" w:cs="仿宋_GB2312" w:hint="eastAsia"/>
          <w:color w:val="000000"/>
          <w:szCs w:val="32"/>
        </w:rPr>
        <w:t>1</w:t>
      </w:r>
      <w:r>
        <w:rPr>
          <w:rFonts w:ascii="仿宋_GB2312" w:hAnsi="仿宋_GB2312" w:cs="仿宋_GB2312" w:hint="eastAsia"/>
          <w:color w:val="000000"/>
          <w:szCs w:val="32"/>
        </w:rPr>
        <w:t>小时；</w:t>
      </w:r>
    </w:p>
    <w:p w:rsidR="005B6786" w:rsidP="005B6786">
      <w:pPr>
        <w:numPr>
          <w:ilvl w:val="0"/>
          <w:numId w:val="8"/>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平均故障间隔时间（</w:t>
      </w:r>
      <w:r>
        <w:rPr>
          <w:rFonts w:ascii="仿宋_GB2312" w:hAnsi="仿宋_GB2312" w:cs="仿宋_GB2312" w:hint="eastAsia"/>
          <w:color w:val="000000"/>
          <w:szCs w:val="32"/>
        </w:rPr>
        <w:t>MTBF</w:t>
      </w:r>
      <w:r>
        <w:rPr>
          <w:rFonts w:ascii="仿宋_GB2312" w:hAnsi="仿宋_GB2312" w:cs="仿宋_GB2312" w:hint="eastAsia"/>
          <w:color w:val="000000"/>
          <w:szCs w:val="32"/>
        </w:rPr>
        <w:t>）不小于</w:t>
      </w:r>
      <w:r>
        <w:rPr>
          <w:rFonts w:ascii="仿宋_GB2312" w:hAnsi="仿宋_GB2312" w:cs="仿宋_GB2312" w:hint="eastAsia"/>
          <w:color w:val="000000"/>
          <w:szCs w:val="32"/>
        </w:rPr>
        <w:t>1</w:t>
      </w:r>
      <w:r>
        <w:rPr>
          <w:rFonts w:ascii="仿宋_GB2312" w:hAnsi="仿宋_GB2312" w:cs="仿宋_GB2312" w:hint="eastAsia"/>
          <w:color w:val="000000"/>
          <w:szCs w:val="32"/>
        </w:rPr>
        <w:t>个月，关键进程偶发故障恢复率</w:t>
      </w:r>
      <w:r>
        <w:rPr>
          <w:rFonts w:ascii="仿宋_GB2312" w:hAnsi="仿宋_GB2312" w:cs="仿宋_GB2312" w:hint="eastAsia"/>
          <w:color w:val="000000"/>
          <w:szCs w:val="32"/>
        </w:rPr>
        <w:t>100</w:t>
      </w:r>
      <w:r>
        <w:rPr>
          <w:rFonts w:ascii="仿宋_GB2312" w:hAnsi="仿宋_GB2312" w:cs="仿宋_GB2312" w:hint="eastAsia"/>
          <w:color w:val="000000"/>
          <w:szCs w:val="32"/>
        </w:rPr>
        <w:t>％，主机单点故障恢复率</w:t>
      </w:r>
      <w:r>
        <w:rPr>
          <w:rFonts w:ascii="仿宋_GB2312" w:hAnsi="仿宋_GB2312" w:cs="仿宋_GB2312" w:hint="eastAsia"/>
          <w:color w:val="000000"/>
          <w:szCs w:val="32"/>
        </w:rPr>
        <w:t>100</w:t>
      </w:r>
      <w:r>
        <w:rPr>
          <w:rFonts w:ascii="仿宋_GB2312" w:hAnsi="仿宋_GB2312" w:cs="仿宋_GB2312" w:hint="eastAsia"/>
          <w:color w:val="000000"/>
          <w:szCs w:val="32"/>
        </w:rPr>
        <w:t>％；</w:t>
      </w:r>
    </w:p>
    <w:p w:rsidR="005B6786" w:rsidP="005B6786">
      <w:pPr>
        <w:numPr>
          <w:ilvl w:val="0"/>
          <w:numId w:val="8"/>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任一节点故障后，其他节点可无缝接替该节点的业务服务，无业务中断、数据丢失；</w:t>
      </w:r>
    </w:p>
    <w:p w:rsidR="005B6786" w:rsidP="005B6786">
      <w:pPr>
        <w:numPr>
          <w:ilvl w:val="0"/>
          <w:numId w:val="8"/>
        </w:numPr>
        <w:tabs>
          <w:tab w:val="left" w:pos="420"/>
        </w:tabs>
        <w:spacing w:line="560" w:lineRule="exact"/>
        <w:rPr>
          <w:rFonts w:ascii="宋体" w:hAnsi="宋体" w:hint="eastAsia"/>
          <w:szCs w:val="21"/>
        </w:rPr>
      </w:pPr>
      <w:r>
        <w:rPr>
          <w:rFonts w:ascii="仿宋_GB2312" w:hAnsi="仿宋_GB2312" w:cs="仿宋_GB2312" w:hint="eastAsia"/>
          <w:color w:val="000000"/>
          <w:szCs w:val="32"/>
        </w:rPr>
        <w:t>多源数据加载、大规模</w:t>
      </w:r>
      <w:r>
        <w:rPr>
          <w:rFonts w:ascii="仿宋_GB2312" w:hAnsi="仿宋_GB2312" w:cs="仿宋_GB2312" w:hint="eastAsia"/>
          <w:color w:val="000000"/>
          <w:szCs w:val="32"/>
        </w:rPr>
        <w:t>3D</w:t>
      </w:r>
      <w:r>
        <w:rPr>
          <w:rFonts w:ascii="仿宋_GB2312" w:hAnsi="仿宋_GB2312" w:cs="仿宋_GB2312" w:hint="eastAsia"/>
          <w:color w:val="000000"/>
          <w:szCs w:val="32"/>
        </w:rPr>
        <w:t>场景渲染、高并发用户访问下，系统无卡顿、崩溃现象，帧率稳定≥</w:t>
      </w:r>
      <w:r>
        <w:rPr>
          <w:rFonts w:ascii="仿宋_GB2312" w:hAnsi="仿宋_GB2312" w:cs="仿宋_GB2312" w:hint="eastAsia"/>
          <w:color w:val="000000"/>
          <w:szCs w:val="32"/>
        </w:rPr>
        <w:t>30FPS</w:t>
      </w:r>
      <w:r>
        <w:rPr>
          <w:rFonts w:ascii="仿宋_GB2312" w:hAnsi="仿宋_GB2312" w:cs="仿宋_GB2312" w:hint="eastAsia"/>
          <w:color w:val="000000"/>
          <w:szCs w:val="32"/>
        </w:rPr>
        <w:t>。</w:t>
      </w:r>
    </w:p>
    <w:p w:rsidR="005B6786" w:rsidP="005B6786">
      <w:pPr>
        <w:pStyle w:val="Heading4"/>
        <w:keepNext/>
        <w:keepLines/>
        <w:widowControl w:val="0"/>
        <w:numPr>
          <w:ilvl w:val="3"/>
          <w:numId w:val="4"/>
        </w:numPr>
        <w:spacing w:line="560" w:lineRule="exact"/>
        <w:ind w:left="864" w:hanging="864"/>
        <w:jc w:val="both"/>
        <w:rPr>
          <w:rFonts w:hint="eastAsia"/>
        </w:rPr>
      </w:pPr>
      <w:bookmarkStart w:id="332" w:name="_Toc171811043"/>
      <w:bookmarkStart w:id="333" w:name="_Toc119829551"/>
      <w:bookmarkStart w:id="334" w:name="_Toc29133"/>
      <w:r>
        <w:rPr>
          <w:rFonts w:hint="eastAsia"/>
        </w:rPr>
        <w:t>易操作性</w:t>
      </w:r>
      <w:bookmarkEnd w:id="332"/>
      <w:bookmarkEnd w:id="333"/>
      <w:bookmarkEnd w:id="334"/>
    </w:p>
    <w:p w:rsidR="005B6786" w:rsidP="005B6786">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系统界面设计遵循人性化原则，降低操作门槛，方便业务人员快速上手，具体要求如下：</w:t>
      </w:r>
    </w:p>
    <w:p w:rsidR="005B6786" w:rsidP="005B6786">
      <w:pPr>
        <w:numPr>
          <w:ilvl w:val="0"/>
          <w:numId w:val="9"/>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所有功能模块提供直观、简洁的操作界面，运行参数修改支持可视化配置；</w:t>
      </w:r>
    </w:p>
    <w:p w:rsidR="005B6786" w:rsidP="005B6786">
      <w:pPr>
        <w:numPr>
          <w:ilvl w:val="0"/>
          <w:numId w:val="9"/>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系统支持一键重启，中断后可自动检查未完成作业并继续执行，无需人工重复操作；</w:t>
      </w:r>
    </w:p>
    <w:p w:rsidR="005B6786" w:rsidP="005B6786">
      <w:pPr>
        <w:numPr>
          <w:ilvl w:val="0"/>
          <w:numId w:val="9"/>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提供完善的操作指引、帮助文档和功能提示，关键操作步骤提供弹窗提醒，减少误操作；</w:t>
      </w:r>
    </w:p>
    <w:p w:rsidR="005B6786" w:rsidP="005B6786">
      <w:pPr>
        <w:numPr>
          <w:ilvl w:val="0"/>
          <w:numId w:val="9"/>
        </w:numPr>
        <w:tabs>
          <w:tab w:val="left" w:pos="420"/>
        </w:tabs>
        <w:spacing w:line="560" w:lineRule="exact"/>
        <w:rPr>
          <w:rFonts w:ascii="宋体" w:hAnsi="宋体" w:hint="eastAsia"/>
          <w:color w:val="000000"/>
        </w:rPr>
      </w:pPr>
      <w:r>
        <w:rPr>
          <w:rFonts w:ascii="仿宋_GB2312" w:hAnsi="仿宋_GB2312" w:cs="仿宋_GB2312" w:hint="eastAsia"/>
          <w:color w:val="000000"/>
          <w:szCs w:val="32"/>
        </w:rPr>
        <w:t>交互式操作（底图缩放、图层切换、数据标注）符合行业通用操作习惯，响应流畅、操作便捷。</w:t>
      </w:r>
    </w:p>
    <w:p w:rsidR="005B6786" w:rsidP="005B6786">
      <w:pPr>
        <w:pStyle w:val="Heading4"/>
        <w:keepNext/>
        <w:keepLines/>
        <w:widowControl w:val="0"/>
        <w:numPr>
          <w:ilvl w:val="3"/>
          <w:numId w:val="4"/>
        </w:numPr>
        <w:spacing w:line="560" w:lineRule="exact"/>
        <w:ind w:left="864" w:hanging="864"/>
        <w:jc w:val="both"/>
        <w:rPr>
          <w:rFonts w:hint="eastAsia"/>
        </w:rPr>
      </w:pPr>
      <w:bookmarkStart w:id="335" w:name="_Toc119829553"/>
      <w:bookmarkStart w:id="336" w:name="_Toc6790"/>
      <w:bookmarkStart w:id="337" w:name="_Toc1234353039"/>
      <w:r>
        <w:rPr>
          <w:rFonts w:hint="eastAsia"/>
        </w:rPr>
        <w:t>可维护性</w:t>
      </w:r>
      <w:bookmarkEnd w:id="335"/>
      <w:bookmarkEnd w:id="336"/>
      <w:bookmarkEnd w:id="337"/>
    </w:p>
    <w:p w:rsidR="005B6786" w:rsidP="005B6786">
      <w:pPr>
        <w:spacing w:line="560" w:lineRule="exact"/>
        <w:ind w:firstLine="420"/>
        <w:rPr>
          <w:rFonts w:ascii="仿宋_GB2312" w:hAnsi="仿宋_GB2312" w:cs="仿宋_GB2312" w:hint="eastAsia"/>
          <w:color w:val="000000"/>
          <w:szCs w:val="32"/>
        </w:rPr>
      </w:pPr>
      <w:bookmarkStart w:id="338" w:name="_Toc17583"/>
      <w:bookmarkStart w:id="339" w:name="_Toc119829554"/>
      <w:bookmarkStart w:id="340" w:name="_Toc1079496453"/>
      <w:r>
        <w:rPr>
          <w:rFonts w:ascii="仿宋_GB2312" w:hAnsi="仿宋_GB2312" w:cs="仿宋_GB2312" w:hint="eastAsia"/>
          <w:color w:val="000000"/>
          <w:szCs w:val="32"/>
        </w:rPr>
        <w:t>系统采用模块化、标准化设计，具备良好的可扩展性、易分析性、易改变性和易测试性，方便后续维护与升级，具体要求如下：</w:t>
      </w:r>
    </w:p>
    <w:p w:rsidR="005B6786" w:rsidP="005B6786">
      <w:pPr>
        <w:numPr>
          <w:ilvl w:val="0"/>
          <w:numId w:val="10"/>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易分析性：所有系统故障和软件错误均能在底层探查捕获，以统一编码、结构化的形式记录并发送错误报告，报告可定位错误位置、类型和原因；可预知错误定位到处理步骤</w:t>
      </w:r>
      <w:r>
        <w:rPr>
          <w:rFonts w:ascii="仿宋_GB2312" w:hAnsi="仿宋_GB2312" w:cs="仿宋_GB2312" w:hint="eastAsia"/>
          <w:color w:val="000000"/>
          <w:szCs w:val="32"/>
        </w:rPr>
        <w:t>/</w:t>
      </w:r>
      <w:r>
        <w:rPr>
          <w:rFonts w:ascii="仿宋_GB2312" w:hAnsi="仿宋_GB2312" w:cs="仿宋_GB2312" w:hint="eastAsia"/>
          <w:color w:val="000000"/>
          <w:szCs w:val="32"/>
        </w:rPr>
        <w:t>函数，不可预知错误定位到模块</w:t>
      </w:r>
      <w:r>
        <w:rPr>
          <w:rFonts w:ascii="仿宋_GB2312" w:hAnsi="仿宋_GB2312" w:cs="仿宋_GB2312" w:hint="eastAsia"/>
          <w:color w:val="000000"/>
          <w:szCs w:val="32"/>
        </w:rPr>
        <w:t>/</w:t>
      </w:r>
      <w:r>
        <w:rPr>
          <w:rFonts w:ascii="仿宋_GB2312" w:hAnsi="仿宋_GB2312" w:cs="仿宋_GB2312" w:hint="eastAsia"/>
          <w:color w:val="000000"/>
          <w:szCs w:val="32"/>
        </w:rPr>
        <w:t>进程。</w:t>
      </w:r>
    </w:p>
    <w:p w:rsidR="005B6786" w:rsidP="005B6786">
      <w:pPr>
        <w:numPr>
          <w:ilvl w:val="0"/>
          <w:numId w:val="10"/>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易改变性：系统任务及环境参数支持外部配置修改，可从数据库自动生成；公用接口（错误状态码、常数）统一说明，所有引用指向同一实体，修改接口仅影响相关调用模块。</w:t>
      </w:r>
    </w:p>
    <w:p w:rsidR="005B6786" w:rsidP="005B6786">
      <w:pPr>
        <w:numPr>
          <w:ilvl w:val="0"/>
          <w:numId w:val="10"/>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稳定性：软件模块采用结构化、层次化设计，功能单一、封装性强；模块处理逻辑的修改仅影响自身，接口修改仅影响使用该接口的模块，无跨模块连锁影响。</w:t>
      </w:r>
    </w:p>
    <w:p w:rsidR="005B6786" w:rsidP="005B6786">
      <w:pPr>
        <w:numPr>
          <w:ilvl w:val="0"/>
          <w:numId w:val="10"/>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易测试性：所有软件接口遵循国家标准和气象行业规范，标准化设计；提供配套测试模拟工具，支持测试程序的自动化</w:t>
      </w:r>
      <w:r>
        <w:rPr>
          <w:rFonts w:ascii="仿宋_GB2312" w:hAnsi="仿宋_GB2312" w:cs="仿宋_GB2312" w:hint="eastAsia"/>
          <w:color w:val="000000"/>
          <w:szCs w:val="32"/>
        </w:rPr>
        <w:t>/</w:t>
      </w:r>
      <w:r>
        <w:rPr>
          <w:rFonts w:ascii="仿宋_GB2312" w:hAnsi="仿宋_GB2312" w:cs="仿宋_GB2312" w:hint="eastAsia"/>
          <w:color w:val="000000"/>
          <w:szCs w:val="32"/>
        </w:rPr>
        <w:t>半自动执行，测试程序可固化、可重复运行。</w:t>
      </w:r>
    </w:p>
    <w:p w:rsidR="005B6786" w:rsidP="005B6786">
      <w:pPr>
        <w:numPr>
          <w:ilvl w:val="0"/>
          <w:numId w:val="10"/>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可扩展性：预留标准化接口，支持新数据源、新功能、新业务场景的快速接入，无需对现有系统进行大规模改造；支持硬件资源的横向扩展，满足业务规模增长需求。</w:t>
      </w:r>
    </w:p>
    <w:p w:rsidR="005B6786" w:rsidP="005B6786">
      <w:pPr>
        <w:pStyle w:val="Heading4"/>
        <w:keepNext/>
        <w:keepLines/>
        <w:widowControl w:val="0"/>
        <w:numPr>
          <w:ilvl w:val="3"/>
          <w:numId w:val="4"/>
        </w:numPr>
        <w:spacing w:line="560" w:lineRule="exact"/>
        <w:ind w:left="864" w:hanging="864"/>
        <w:jc w:val="both"/>
        <w:rPr>
          <w:rFonts w:hint="eastAsia"/>
        </w:rPr>
      </w:pPr>
      <w:r>
        <w:rPr>
          <w:rFonts w:hint="eastAsia"/>
        </w:rPr>
        <w:t>规范性</w:t>
      </w:r>
      <w:bookmarkEnd w:id="338"/>
      <w:bookmarkEnd w:id="339"/>
      <w:bookmarkEnd w:id="340"/>
    </w:p>
    <w:p w:rsidR="005B6786" w:rsidP="005B6786">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系统设计、开发、部署全流程遵循相关技术标准和规范，确保系统的标准化、规范化，具体要求如下：</w:t>
      </w:r>
    </w:p>
    <w:p w:rsidR="005B6786" w:rsidP="005B6786">
      <w:pPr>
        <w:numPr>
          <w:ilvl w:val="0"/>
          <w:numId w:val="11"/>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遵循软件工程规范化设计原则，完成需求分析、概要设计、详细设计等各阶段文档编制，并通过专家评审；</w:t>
      </w:r>
    </w:p>
    <w:p w:rsidR="005B6786" w:rsidP="005B6786">
      <w:pPr>
        <w:numPr>
          <w:ilvl w:val="0"/>
          <w:numId w:val="11"/>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符合《气象信息化标准》，包括气象数据分类与编码、元数据、文件命名、传输、存储、服务接口等规范；</w:t>
      </w:r>
    </w:p>
    <w:p w:rsidR="005B6786" w:rsidP="005B6786">
      <w:pPr>
        <w:numPr>
          <w:ilvl w:val="0"/>
          <w:numId w:val="11"/>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遵循</w:t>
      </w:r>
      <w:r>
        <w:rPr>
          <w:rFonts w:ascii="仿宋_GB2312" w:hAnsi="仿宋_GB2312" w:cs="仿宋_GB2312" w:hint="eastAsia"/>
          <w:color w:val="000000"/>
          <w:szCs w:val="32"/>
        </w:rPr>
        <w:t>GIS</w:t>
      </w:r>
      <w:r>
        <w:rPr>
          <w:rFonts w:ascii="仿宋_GB2312" w:hAnsi="仿宋_GB2312" w:cs="仿宋_GB2312" w:hint="eastAsia"/>
          <w:color w:val="000000"/>
          <w:szCs w:val="32"/>
        </w:rPr>
        <w:t>、实时渲染、微服务、微前端等技术领域的通用标准，接口设计符合</w:t>
      </w:r>
      <w:r>
        <w:rPr>
          <w:rFonts w:ascii="仿宋_GB2312" w:hAnsi="仿宋_GB2312" w:cs="仿宋_GB2312" w:hint="eastAsia"/>
          <w:color w:val="000000"/>
          <w:szCs w:val="32"/>
        </w:rPr>
        <w:t>RESTful</w:t>
      </w:r>
      <w:r>
        <w:rPr>
          <w:rFonts w:ascii="仿宋_GB2312" w:hAnsi="仿宋_GB2312" w:cs="仿宋_GB2312" w:hint="eastAsia"/>
          <w:color w:val="000000"/>
          <w:szCs w:val="32"/>
        </w:rPr>
        <w:t>规范，数据格式采用行业通用标准；</w:t>
      </w:r>
    </w:p>
    <w:p w:rsidR="005B6786" w:rsidP="005B6786">
      <w:pPr>
        <w:numPr>
          <w:ilvl w:val="0"/>
          <w:numId w:val="11"/>
        </w:numPr>
        <w:tabs>
          <w:tab w:val="left" w:pos="420"/>
        </w:tabs>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代码开发遵循统一的编码规范，具备完善的注释、版本管理，便于后续维护与迭代；</w:t>
      </w:r>
    </w:p>
    <w:p w:rsidR="005B6786" w:rsidP="005B6786">
      <w:pPr>
        <w:numPr>
          <w:ilvl w:val="0"/>
          <w:numId w:val="11"/>
        </w:numPr>
        <w:tabs>
          <w:tab w:val="left" w:pos="420"/>
        </w:tabs>
        <w:spacing w:line="560" w:lineRule="exact"/>
        <w:rPr>
          <w:rFonts w:hint="eastAsia"/>
        </w:rPr>
      </w:pPr>
      <w:r>
        <w:rPr>
          <w:rFonts w:ascii="仿宋_GB2312" w:hAnsi="仿宋_GB2312" w:cs="仿宋_GB2312" w:hint="eastAsia"/>
          <w:color w:val="000000"/>
          <w:szCs w:val="32"/>
        </w:rPr>
        <w:t>底图制作遵循自然资源部地图编制相关规范，所有底图均获取合法审图号，无“问题地图”。</w:t>
      </w:r>
    </w:p>
    <w:p w:rsidR="005B6786" w:rsidP="005B6786">
      <w:pPr>
        <w:pStyle w:val="Heading2"/>
        <w:keepNext/>
        <w:keepLines/>
        <w:widowControl w:val="0"/>
        <w:numPr>
          <w:ilvl w:val="1"/>
          <w:numId w:val="4"/>
        </w:numPr>
        <w:spacing w:line="560" w:lineRule="exact"/>
        <w:ind w:left="575" w:hanging="575"/>
        <w:jc w:val="both"/>
      </w:pPr>
      <w:bookmarkStart w:id="341" w:name="_Toc231542573"/>
      <w:r>
        <w:rPr>
          <w:rFonts w:hint="eastAsia"/>
        </w:rPr>
        <w:t>故障处理要求</w:t>
      </w:r>
      <w:bookmarkEnd w:id="85"/>
      <w:bookmarkEnd w:id="86"/>
      <w:bookmarkEnd w:id="87"/>
      <w:bookmarkEnd w:id="88"/>
      <w:bookmarkEnd w:id="89"/>
      <w:bookmarkEnd w:id="90"/>
      <w:bookmarkEnd w:id="91"/>
      <w:bookmarkEnd w:id="92"/>
      <w:bookmarkEnd w:id="93"/>
      <w:bookmarkEnd w:id="94"/>
      <w:bookmarkEnd w:id="341"/>
    </w:p>
    <w:p w:rsidR="005B6786" w:rsidP="005B6786">
      <w:pPr>
        <w:pStyle w:val="Heading3"/>
        <w:keepNext/>
        <w:keepLines/>
        <w:widowControl w:val="0"/>
        <w:numPr>
          <w:ilvl w:val="2"/>
          <w:numId w:val="4"/>
        </w:numPr>
        <w:spacing w:line="560" w:lineRule="atLeast"/>
        <w:ind w:left="720" w:hanging="720"/>
        <w:jc w:val="both"/>
      </w:pPr>
      <w:bookmarkStart w:id="342" w:name="_Toc391375335"/>
      <w:bookmarkStart w:id="343" w:name="_Toc119829556"/>
      <w:bookmarkStart w:id="344" w:name="_Toc12354"/>
      <w:bookmarkStart w:id="345" w:name="_Toc395794201"/>
      <w:bookmarkStart w:id="346" w:name="_Toc1580576772"/>
      <w:bookmarkStart w:id="347" w:name="_Toc231542574"/>
      <w:r>
        <w:rPr>
          <w:rFonts w:hint="eastAsia"/>
        </w:rPr>
        <w:t>软件系统出错处理</w:t>
      </w:r>
      <w:bookmarkEnd w:id="342"/>
      <w:bookmarkEnd w:id="343"/>
      <w:bookmarkEnd w:id="344"/>
      <w:bookmarkEnd w:id="345"/>
      <w:bookmarkEnd w:id="346"/>
      <w:bookmarkEnd w:id="347"/>
    </w:p>
    <w:p w:rsidR="005B6786" w:rsidP="005B6786">
      <w:pPr>
        <w:spacing w:line="560" w:lineRule="exact"/>
        <w:ind w:firstLine="420"/>
        <w:rPr>
          <w:rFonts w:ascii="仿宋_GB2312" w:hAnsi="仿宋_GB2312" w:cs="仿宋_GB2312"/>
          <w:color w:val="000000"/>
          <w:szCs w:val="32"/>
        </w:rPr>
      </w:pPr>
      <w:r>
        <w:rPr>
          <w:rFonts w:ascii="仿宋_GB2312" w:hAnsi="仿宋_GB2312" w:cs="仿宋_GB2312" w:hint="eastAsia"/>
          <w:color w:val="000000"/>
          <w:szCs w:val="32"/>
        </w:rPr>
        <w:t>当各类业务处理服务出错后，提供处理状态回滚，记录错误日志，为故障处理提供依据。可采用人工干预的方式重新启动服务，继续执行尚未完成的作业。</w:t>
      </w:r>
    </w:p>
    <w:p w:rsidR="005B6786" w:rsidP="005B6786">
      <w:pPr>
        <w:pStyle w:val="Heading3"/>
        <w:keepNext/>
        <w:keepLines/>
        <w:widowControl w:val="0"/>
        <w:numPr>
          <w:ilvl w:val="2"/>
          <w:numId w:val="4"/>
        </w:numPr>
        <w:spacing w:line="560" w:lineRule="atLeast"/>
        <w:ind w:left="720" w:hanging="720"/>
        <w:jc w:val="both"/>
      </w:pPr>
      <w:bookmarkStart w:id="348" w:name="_Toc395794202"/>
      <w:bookmarkStart w:id="349" w:name="_Toc119829557"/>
      <w:bookmarkStart w:id="350" w:name="_Toc391375336"/>
      <w:bookmarkStart w:id="351" w:name="_Toc13091"/>
      <w:bookmarkStart w:id="352" w:name="_Toc381093614"/>
      <w:bookmarkStart w:id="353" w:name="_Toc231542575"/>
      <w:r>
        <w:rPr>
          <w:rFonts w:hint="eastAsia"/>
        </w:rPr>
        <w:t>系统容错与数据备份</w:t>
      </w:r>
      <w:bookmarkEnd w:id="348"/>
      <w:bookmarkEnd w:id="349"/>
      <w:bookmarkEnd w:id="350"/>
      <w:bookmarkEnd w:id="351"/>
      <w:bookmarkEnd w:id="352"/>
      <w:bookmarkEnd w:id="353"/>
    </w:p>
    <w:p w:rsidR="005B6786" w:rsidP="005B6786">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包括服务器和存储设备在内的主要设备和易损件都要有备份和容错机制；有备份设备或备件的，应当做到热备份并可以自动切换，当无法做到的，要做好切换准备，可以手动切换和恢复；系统软件备份运行版本，应用程序要备份当前运行版本，应用数据要定期进行备份。</w:t>
      </w:r>
    </w:p>
    <w:p w:rsidR="005B6786" w:rsidP="005B6786">
      <w:pPr>
        <w:pStyle w:val="Heading2"/>
        <w:keepNext/>
        <w:keepLines/>
        <w:widowControl w:val="0"/>
        <w:numPr>
          <w:ilvl w:val="1"/>
          <w:numId w:val="4"/>
        </w:numPr>
        <w:spacing w:line="560" w:lineRule="exact"/>
        <w:ind w:left="575" w:hanging="575"/>
        <w:jc w:val="both"/>
      </w:pPr>
      <w:bookmarkStart w:id="354" w:name="_Toc1244135144"/>
      <w:bookmarkStart w:id="355" w:name="_Toc171218561"/>
      <w:bookmarkStart w:id="356" w:name="_Toc395794203"/>
      <w:bookmarkStart w:id="357" w:name="_Toc173723838"/>
      <w:bookmarkStart w:id="358" w:name="_Toc173724505"/>
      <w:bookmarkStart w:id="359" w:name="_Toc173723791"/>
      <w:bookmarkStart w:id="360" w:name="_Toc391375340"/>
      <w:bookmarkStart w:id="361" w:name="_Toc173723972"/>
      <w:bookmarkStart w:id="362" w:name="_Toc119829558"/>
      <w:bookmarkStart w:id="363" w:name="_Toc181"/>
      <w:bookmarkStart w:id="364" w:name="_Toc231542576"/>
      <w:r>
        <w:rPr>
          <w:rFonts w:hint="eastAsia"/>
        </w:rPr>
        <w:t>其他专门要求</w:t>
      </w:r>
      <w:bookmarkEnd w:id="354"/>
      <w:bookmarkEnd w:id="355"/>
      <w:bookmarkEnd w:id="356"/>
      <w:bookmarkEnd w:id="357"/>
      <w:bookmarkEnd w:id="358"/>
      <w:bookmarkEnd w:id="359"/>
      <w:bookmarkEnd w:id="360"/>
      <w:bookmarkEnd w:id="361"/>
      <w:bookmarkEnd w:id="362"/>
      <w:bookmarkEnd w:id="363"/>
      <w:bookmarkEnd w:id="364"/>
    </w:p>
    <w:p w:rsidR="005B6786" w:rsidP="005B6786">
      <w:pPr>
        <w:pStyle w:val="Heading3"/>
        <w:keepNext/>
        <w:keepLines/>
        <w:widowControl w:val="0"/>
        <w:numPr>
          <w:ilvl w:val="2"/>
          <w:numId w:val="4"/>
        </w:numPr>
        <w:spacing w:line="560" w:lineRule="atLeast"/>
        <w:ind w:left="720" w:hanging="720"/>
        <w:jc w:val="both"/>
      </w:pPr>
      <w:bookmarkStart w:id="365" w:name="_Toc426703489"/>
      <w:bookmarkStart w:id="366" w:name="_Toc426703486"/>
      <w:bookmarkStart w:id="367" w:name="_Toc426703490"/>
      <w:bookmarkStart w:id="368" w:name="_Toc426703488"/>
      <w:bookmarkStart w:id="369" w:name="_Toc426703487"/>
      <w:bookmarkStart w:id="370" w:name="_Toc9291"/>
      <w:bookmarkStart w:id="371" w:name="_Toc395794205"/>
      <w:bookmarkStart w:id="372" w:name="_Toc391375342"/>
      <w:bookmarkStart w:id="373" w:name="_Toc119829559"/>
      <w:bookmarkStart w:id="374" w:name="_Toc131094369"/>
      <w:bookmarkStart w:id="375" w:name="_Toc391375343"/>
      <w:bookmarkStart w:id="376" w:name="_Toc395794207"/>
      <w:bookmarkStart w:id="377" w:name="_Toc90990259"/>
      <w:bookmarkStart w:id="378" w:name="_Toc86812814"/>
      <w:bookmarkStart w:id="379" w:name="_Toc119829562"/>
      <w:bookmarkStart w:id="380" w:name="_Toc176757447"/>
      <w:bookmarkStart w:id="381" w:name="_Toc161475271"/>
      <w:bookmarkStart w:id="382" w:name="_Toc16448"/>
      <w:bookmarkStart w:id="383" w:name="_Toc176762294"/>
      <w:bookmarkStart w:id="384" w:name="_Toc138148071"/>
      <w:bookmarkStart w:id="385" w:name="_Toc176762809"/>
      <w:bookmarkStart w:id="386" w:name="_Toc1988998443"/>
      <w:bookmarkStart w:id="387" w:name="_Toc231542577"/>
      <w:bookmarkEnd w:id="365"/>
      <w:bookmarkEnd w:id="366"/>
      <w:bookmarkEnd w:id="367"/>
      <w:bookmarkEnd w:id="368"/>
      <w:bookmarkEnd w:id="369"/>
      <w:r>
        <w:rPr>
          <w:rFonts w:hint="eastAsia"/>
        </w:rPr>
        <w:t>安全性要求</w:t>
      </w:r>
      <w:bookmarkEnd w:id="370"/>
      <w:bookmarkEnd w:id="371"/>
      <w:bookmarkEnd w:id="372"/>
      <w:bookmarkEnd w:id="373"/>
      <w:bookmarkEnd w:id="374"/>
      <w:bookmarkEnd w:id="387"/>
    </w:p>
    <w:p w:rsidR="005B6786" w:rsidP="005B6786">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本项目将确保在信息安全和数据保护方面具备充分的保障措施，所有软件应符合二级等保安全标准，通过安全评估。具体要求如下：</w:t>
      </w:r>
    </w:p>
    <w:p w:rsidR="005B6786" w:rsidP="005B6786">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1</w:t>
      </w:r>
      <w:r>
        <w:rPr>
          <w:rFonts w:ascii="仿宋_GB2312" w:hAnsi="仿宋_GB2312" w:cs="仿宋_GB2312" w:hint="eastAsia"/>
          <w:color w:val="000000"/>
          <w:szCs w:val="32"/>
        </w:rPr>
        <w:t>）网络</w:t>
      </w:r>
      <w:r>
        <w:rPr>
          <w:rFonts w:ascii="仿宋_GB2312" w:hAnsi="仿宋_GB2312" w:cs="仿宋_GB2312" w:hint="eastAsia"/>
          <w:color w:val="000000"/>
          <w:szCs w:val="32"/>
        </w:rPr>
        <w:t>/</w:t>
      </w:r>
      <w:r>
        <w:rPr>
          <w:rFonts w:ascii="仿宋_GB2312" w:hAnsi="仿宋_GB2312" w:cs="仿宋_GB2312" w:hint="eastAsia"/>
          <w:color w:val="000000"/>
          <w:szCs w:val="32"/>
        </w:rPr>
        <w:t>系统安全监测</w:t>
      </w:r>
    </w:p>
    <w:p w:rsidR="005B6786" w:rsidP="005B6786">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确保网络上的信息和资源不被非授权的用户通过物理连接进入系统所使用，修改或破坏。</w:t>
      </w:r>
    </w:p>
    <w:p w:rsidR="005B6786" w:rsidP="005B6786">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在应用服务器以及数据库服务器上定制适当的用户口令策略，开通系统的审计和日志功能，对关键行为进行记录，并能够删除不必要的用户组。</w:t>
      </w:r>
    </w:p>
    <w:p w:rsidR="005B6786" w:rsidP="005B6786">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2</w:t>
      </w:r>
      <w:r>
        <w:rPr>
          <w:rFonts w:ascii="仿宋_GB2312" w:hAnsi="仿宋_GB2312" w:cs="仿宋_GB2312" w:hint="eastAsia"/>
          <w:color w:val="000000"/>
          <w:szCs w:val="32"/>
        </w:rPr>
        <w:t>）网络</w:t>
      </w:r>
      <w:r>
        <w:rPr>
          <w:rFonts w:ascii="仿宋_GB2312" w:hAnsi="仿宋_GB2312" w:cs="仿宋_GB2312" w:hint="eastAsia"/>
          <w:color w:val="000000"/>
          <w:szCs w:val="32"/>
        </w:rPr>
        <w:t>/</w:t>
      </w:r>
      <w:r>
        <w:rPr>
          <w:rFonts w:ascii="仿宋_GB2312" w:hAnsi="仿宋_GB2312" w:cs="仿宋_GB2312" w:hint="eastAsia"/>
          <w:color w:val="000000"/>
          <w:szCs w:val="32"/>
        </w:rPr>
        <w:t>系统安全检查</w:t>
      </w:r>
    </w:p>
    <w:p w:rsidR="005B6786" w:rsidP="005B6786">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能够检测重要服务器上只开通必要的服务，而且服务的配置是合法的。</w:t>
      </w:r>
    </w:p>
    <w:p w:rsidR="005B6786" w:rsidP="005B6786">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能够检测网络设备的配置合法。</w:t>
      </w:r>
    </w:p>
    <w:p w:rsidR="005B6786" w:rsidP="005B6786">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3</w:t>
      </w:r>
      <w:r>
        <w:rPr>
          <w:rFonts w:ascii="仿宋_GB2312" w:hAnsi="仿宋_GB2312" w:cs="仿宋_GB2312" w:hint="eastAsia"/>
          <w:color w:val="000000"/>
          <w:szCs w:val="32"/>
        </w:rPr>
        <w:t>）身份认证和授权</w:t>
      </w:r>
    </w:p>
    <w:p w:rsidR="005B6786" w:rsidP="005B6786">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保证身份认证和授权的有效性，支持用户名</w:t>
      </w:r>
      <w:r>
        <w:rPr>
          <w:rFonts w:ascii="仿宋_GB2312" w:hAnsi="仿宋_GB2312" w:cs="仿宋_GB2312" w:hint="eastAsia"/>
          <w:color w:val="000000"/>
          <w:szCs w:val="32"/>
        </w:rPr>
        <w:t>/</w:t>
      </w:r>
      <w:r>
        <w:rPr>
          <w:rFonts w:ascii="仿宋_GB2312" w:hAnsi="仿宋_GB2312" w:cs="仿宋_GB2312" w:hint="eastAsia"/>
          <w:color w:val="000000"/>
          <w:szCs w:val="32"/>
        </w:rPr>
        <w:t>密码方式的认证，用户可以查看重置密码历史。</w:t>
      </w:r>
    </w:p>
    <w:p w:rsidR="005B6786" w:rsidP="005B6786">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4</w:t>
      </w:r>
      <w:r>
        <w:rPr>
          <w:rFonts w:ascii="仿宋_GB2312" w:hAnsi="仿宋_GB2312" w:cs="仿宋_GB2312" w:hint="eastAsia"/>
          <w:color w:val="000000"/>
          <w:szCs w:val="32"/>
        </w:rPr>
        <w:t>）数据安全性</w:t>
      </w:r>
    </w:p>
    <w:p w:rsidR="005B6786" w:rsidP="005B6786">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能够保证接收和发送的数据完全一致，并保证不同系统之间数据交换的及时性和准确性。</w:t>
      </w:r>
    </w:p>
    <w:p w:rsidR="005B6786" w:rsidP="005B6786">
      <w:pPr>
        <w:spacing w:line="560" w:lineRule="exact"/>
        <w:ind w:firstLine="420"/>
        <w:rPr>
          <w:rFonts w:ascii="仿宋_GB2312" w:hAnsi="仿宋_GB2312" w:cs="仿宋_GB2312"/>
          <w:color w:val="000000"/>
          <w:szCs w:val="32"/>
        </w:rPr>
      </w:pPr>
      <w:r>
        <w:rPr>
          <w:rFonts w:ascii="仿宋_GB2312" w:hAnsi="仿宋_GB2312" w:cs="仿宋_GB2312" w:hint="eastAsia"/>
          <w:color w:val="000000"/>
          <w:szCs w:val="32"/>
        </w:rPr>
        <w:t>能够合理利用数据库权限控制机制以及数据冗余方式保证应用数据的安全性。</w:t>
      </w:r>
    </w:p>
    <w:p w:rsidR="005B6786" w:rsidP="005B6786">
      <w:pPr>
        <w:spacing w:line="560" w:lineRule="exact"/>
        <w:ind w:firstLine="420"/>
        <w:rPr>
          <w:rFonts w:ascii="仿宋_GB2312" w:hAnsi="仿宋_GB2312" w:cs="仿宋_GB2312"/>
          <w:color w:val="000000"/>
          <w:szCs w:val="32"/>
        </w:rPr>
      </w:pPr>
      <w:r>
        <w:rPr>
          <w:rFonts w:ascii="仿宋_GB2312" w:hAnsi="仿宋_GB2312" w:cs="仿宋_GB2312" w:hint="eastAsia"/>
          <w:color w:val="000000"/>
          <w:szCs w:val="32"/>
        </w:rPr>
        <w:t>（</w:t>
      </w:r>
      <w:r>
        <w:rPr>
          <w:rFonts w:ascii="仿宋_GB2312" w:hAnsi="仿宋_GB2312" w:cs="仿宋_GB2312" w:hint="eastAsia"/>
          <w:color w:val="000000"/>
          <w:szCs w:val="32"/>
        </w:rPr>
        <w:t>5</w:t>
      </w:r>
      <w:r>
        <w:rPr>
          <w:rFonts w:ascii="仿宋_GB2312" w:hAnsi="仿宋_GB2312" w:cs="仿宋_GB2312" w:hint="eastAsia"/>
          <w:color w:val="000000"/>
          <w:szCs w:val="32"/>
        </w:rPr>
        <w:t>）运维安全性</w:t>
      </w:r>
    </w:p>
    <w:p w:rsidR="005B6786" w:rsidP="005B6786">
      <w:pPr>
        <w:spacing w:line="560" w:lineRule="exact"/>
        <w:ind w:firstLine="420"/>
        <w:rPr>
          <w:rFonts w:ascii="仿宋_GB2312" w:hAnsi="仿宋_GB2312" w:cs="仿宋_GB2312" w:hint="eastAsia"/>
          <w:color w:val="000000"/>
          <w:szCs w:val="32"/>
        </w:rPr>
      </w:pPr>
      <w:r>
        <w:rPr>
          <w:rFonts w:ascii="仿宋_GB2312" w:hAnsi="仿宋_GB2312" w:cs="仿宋_GB2312" w:hint="eastAsia"/>
          <w:color w:val="000000"/>
          <w:szCs w:val="32"/>
        </w:rPr>
        <w:t>所有系统远程运维必须要通过堡垒机登录，内部通信及网页使用</w:t>
      </w:r>
      <w:r>
        <w:rPr>
          <w:rFonts w:ascii="仿宋_GB2312" w:hAnsi="仿宋_GB2312" w:cs="仿宋_GB2312" w:hint="eastAsia"/>
          <w:color w:val="000000"/>
          <w:szCs w:val="32"/>
        </w:rPr>
        <w:t>https</w:t>
      </w:r>
      <w:r>
        <w:rPr>
          <w:rFonts w:ascii="仿宋_GB2312" w:hAnsi="仿宋_GB2312" w:cs="仿宋_GB2312" w:hint="eastAsia"/>
          <w:color w:val="000000"/>
          <w:szCs w:val="32"/>
        </w:rPr>
        <w:t>协议。满足相关密评要求。</w:t>
      </w:r>
    </w:p>
    <w:p w:rsidR="005B6786" w:rsidP="005B6786">
      <w:pPr>
        <w:pStyle w:val="Heading3"/>
        <w:keepNext/>
        <w:keepLines/>
        <w:widowControl w:val="0"/>
        <w:numPr>
          <w:ilvl w:val="2"/>
          <w:numId w:val="4"/>
        </w:numPr>
        <w:spacing w:line="560" w:lineRule="atLeast"/>
        <w:ind w:left="720" w:hanging="720"/>
        <w:jc w:val="both"/>
        <w:rPr>
          <w:rFonts w:hint="eastAsia"/>
        </w:rPr>
      </w:pPr>
      <w:bookmarkStart w:id="388" w:name="_Toc231542578"/>
      <w:bookmarkEnd w:id="375"/>
      <w:bookmarkEnd w:id="376"/>
      <w:bookmarkEnd w:id="377"/>
      <w:bookmarkEnd w:id="378"/>
      <w:r>
        <w:rPr>
          <w:rFonts w:hint="eastAsia"/>
        </w:rPr>
        <w:t>设计约束与要求</w:t>
      </w:r>
      <w:bookmarkEnd w:id="379"/>
      <w:bookmarkEnd w:id="380"/>
      <w:bookmarkEnd w:id="381"/>
      <w:bookmarkEnd w:id="382"/>
      <w:bookmarkEnd w:id="383"/>
      <w:bookmarkEnd w:id="384"/>
      <w:bookmarkEnd w:id="385"/>
      <w:bookmarkEnd w:id="386"/>
      <w:bookmarkEnd w:id="388"/>
    </w:p>
    <w:p w:rsidR="005B6786" w:rsidP="005B6786">
      <w:pPr>
        <w:numPr>
          <w:ilvl w:val="0"/>
          <w:numId w:val="12"/>
        </w:numPr>
        <w:spacing w:line="560" w:lineRule="exact"/>
        <w:rPr>
          <w:rFonts w:ascii="仿宋_GB2312" w:hAnsi="仿宋_GB2312" w:cs="仿宋_GB2312"/>
          <w:color w:val="000000"/>
          <w:szCs w:val="32"/>
        </w:rPr>
      </w:pPr>
      <w:r>
        <w:rPr>
          <w:rFonts w:ascii="仿宋_GB2312" w:hAnsi="仿宋_GB2312" w:cs="仿宋_GB2312" w:hint="eastAsia"/>
          <w:color w:val="000000"/>
          <w:szCs w:val="32"/>
        </w:rPr>
        <w:t>遵循现有天擎系统建设标准规范，并依托现有版本进行迭代建设。</w:t>
      </w:r>
    </w:p>
    <w:p w:rsidR="005B6786" w:rsidP="005B6786">
      <w:pPr>
        <w:numPr>
          <w:ilvl w:val="0"/>
          <w:numId w:val="12"/>
        </w:numPr>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部署资源应支持现有的硬件环境，及未来的国产化底层环境。</w:t>
      </w:r>
    </w:p>
    <w:p w:rsidR="005B6786" w:rsidP="005B6786">
      <w:pPr>
        <w:numPr>
          <w:ilvl w:val="0"/>
          <w:numId w:val="12"/>
        </w:numPr>
        <w:spacing w:line="560" w:lineRule="exact"/>
        <w:rPr>
          <w:rFonts w:ascii="仿宋_GB2312" w:hAnsi="仿宋_GB2312" w:cs="仿宋_GB2312" w:hint="eastAsia"/>
          <w:color w:val="000000"/>
          <w:szCs w:val="32"/>
        </w:rPr>
      </w:pPr>
      <w:r>
        <w:rPr>
          <w:rFonts w:ascii="仿宋_GB2312" w:hAnsi="仿宋_GB2312" w:cs="仿宋_GB2312" w:hint="eastAsia"/>
          <w:color w:val="000000"/>
          <w:szCs w:val="32"/>
        </w:rPr>
        <w:t>采用成熟可靠的技术、遵循通用开放的标准，构建安全、可靠、实时、易用的服务平台。</w:t>
      </w:r>
    </w:p>
    <w:p w:rsidR="005B6786" w:rsidP="005B6786">
      <w:pPr>
        <w:numPr>
          <w:ilvl w:val="0"/>
          <w:numId w:val="12"/>
        </w:numPr>
        <w:spacing w:line="560" w:lineRule="exact"/>
        <w:rPr>
          <w:rFonts w:ascii="仿宋_GB2312" w:hAnsi="仿宋_GB2312" w:cs="仿宋_GB2312"/>
          <w:color w:val="000000"/>
          <w:szCs w:val="32"/>
        </w:rPr>
      </w:pPr>
      <w:r>
        <w:rPr>
          <w:rFonts w:ascii="仿宋_GB2312" w:hAnsi="仿宋_GB2312" w:cs="仿宋_GB2312" w:hint="eastAsia"/>
          <w:color w:val="000000"/>
          <w:szCs w:val="32"/>
        </w:rPr>
        <w:t>在技术实现上要满足系统后台运行环境支持</w:t>
      </w:r>
      <w:r>
        <w:rPr>
          <w:rFonts w:ascii="仿宋_GB2312" w:hAnsi="仿宋_GB2312" w:cs="仿宋_GB2312"/>
          <w:color w:val="000000"/>
          <w:szCs w:val="32"/>
        </w:rPr>
        <w:t>Linux</w:t>
      </w:r>
      <w:r>
        <w:rPr>
          <w:rFonts w:ascii="仿宋_GB2312" w:hAnsi="仿宋_GB2312" w:cs="仿宋_GB2312" w:hint="eastAsia"/>
          <w:color w:val="000000"/>
          <w:szCs w:val="32"/>
        </w:rPr>
        <w:t>等主流操作系统，部署环境支持云平台；服务器、存储和虚拟化软件技术产品与现有云平台软硬件环境完全兼容、无缝整合、协同工作，不影响原有业务运行。</w:t>
      </w:r>
    </w:p>
    <w:p w:rsidR="005B6786" w:rsidP="005B6786">
      <w:pPr>
        <w:numPr>
          <w:ilvl w:val="0"/>
          <w:numId w:val="12"/>
        </w:numPr>
        <w:spacing w:line="560" w:lineRule="exact"/>
        <w:rPr>
          <w:rFonts w:ascii="仿宋_GB2312" w:hAnsi="仿宋_GB2312" w:cs="仿宋_GB2312"/>
          <w:color w:val="000000"/>
          <w:szCs w:val="32"/>
        </w:rPr>
      </w:pPr>
      <w:r>
        <w:rPr>
          <w:rFonts w:ascii="仿宋_GB2312" w:hAnsi="仿宋_GB2312" w:cs="仿宋_GB2312" w:hint="eastAsia"/>
          <w:color w:val="000000"/>
          <w:szCs w:val="32"/>
        </w:rPr>
        <w:t>网站开发语言推荐采用</w:t>
      </w:r>
      <w:r>
        <w:rPr>
          <w:rFonts w:ascii="仿宋_GB2312" w:hAnsi="仿宋_GB2312" w:cs="仿宋_GB2312" w:hint="eastAsia"/>
          <w:color w:val="000000"/>
          <w:szCs w:val="32"/>
        </w:rPr>
        <w:t>Java</w:t>
      </w:r>
      <w:r>
        <w:rPr>
          <w:rFonts w:ascii="仿宋_GB2312" w:hAnsi="仿宋_GB2312" w:cs="仿宋_GB2312" w:hint="eastAsia"/>
          <w:color w:val="000000"/>
          <w:szCs w:val="32"/>
        </w:rPr>
        <w:t>，数据存储管理功能开发总体不超过</w:t>
      </w:r>
      <w:r>
        <w:rPr>
          <w:rFonts w:ascii="仿宋_GB2312" w:hAnsi="仿宋_GB2312" w:cs="仿宋_GB2312" w:hint="eastAsia"/>
          <w:color w:val="000000"/>
          <w:szCs w:val="32"/>
        </w:rPr>
        <w:t>2</w:t>
      </w:r>
      <w:r>
        <w:rPr>
          <w:rFonts w:ascii="仿宋_GB2312" w:hAnsi="仿宋_GB2312" w:cs="仿宋_GB2312" w:hint="eastAsia"/>
          <w:color w:val="000000"/>
          <w:szCs w:val="32"/>
        </w:rPr>
        <w:t>种开发语言，推荐使用</w:t>
      </w:r>
      <w:r>
        <w:rPr>
          <w:rFonts w:ascii="仿宋_GB2312" w:hAnsi="仿宋_GB2312" w:cs="仿宋_GB2312" w:hint="eastAsia"/>
          <w:color w:val="000000"/>
          <w:szCs w:val="32"/>
        </w:rPr>
        <w:t>JAVA</w:t>
      </w:r>
      <w:r>
        <w:rPr>
          <w:rFonts w:ascii="仿宋_GB2312" w:hAnsi="仿宋_GB2312" w:cs="仿宋_GB2312" w:hint="eastAsia"/>
          <w:color w:val="000000"/>
          <w:szCs w:val="32"/>
        </w:rPr>
        <w:t>或</w:t>
      </w:r>
      <w:r>
        <w:rPr>
          <w:rFonts w:ascii="仿宋_GB2312" w:hAnsi="仿宋_GB2312" w:cs="仿宋_GB2312" w:hint="eastAsia"/>
          <w:color w:val="000000"/>
          <w:szCs w:val="32"/>
        </w:rPr>
        <w:t>C/C++</w:t>
      </w:r>
      <w:r>
        <w:rPr>
          <w:rFonts w:ascii="仿宋_GB2312" w:hAnsi="仿宋_GB2312" w:cs="仿宋_GB2312" w:hint="eastAsia"/>
          <w:color w:val="000000"/>
          <w:szCs w:val="32"/>
        </w:rPr>
        <w:t>。</w:t>
      </w:r>
    </w:p>
    <w:p w:rsidR="005B6786" w:rsidP="005B6786">
      <w:pPr>
        <w:numPr>
          <w:ilvl w:val="0"/>
          <w:numId w:val="12"/>
        </w:numPr>
        <w:spacing w:line="560" w:lineRule="exact"/>
        <w:rPr>
          <w:rFonts w:ascii="仿宋_GB2312" w:hAnsi="仿宋_GB2312" w:cs="仿宋_GB2312"/>
          <w:color w:val="000000"/>
          <w:szCs w:val="32"/>
        </w:rPr>
      </w:pPr>
      <w:r w:rsidRPr="00EB6762">
        <w:rPr>
          <w:rFonts w:ascii="仿宋_GB2312" w:hAnsi="仿宋_GB2312" w:cs="仿宋_GB2312" w:hint="eastAsia"/>
          <w:color w:val="000000"/>
          <w:szCs w:val="32"/>
        </w:rPr>
        <w:t>相关</w:t>
      </w:r>
      <w:r w:rsidRPr="00EB6762">
        <w:rPr>
          <w:rFonts w:ascii="仿宋_GB2312" w:hAnsi="仿宋_GB2312" w:cs="仿宋_GB2312"/>
          <w:color w:val="000000"/>
          <w:szCs w:val="32"/>
        </w:rPr>
        <w:t>web</w:t>
      </w:r>
      <w:r w:rsidRPr="00EB6762">
        <w:rPr>
          <w:rFonts w:ascii="仿宋_GB2312" w:hAnsi="仿宋_GB2312" w:cs="仿宋_GB2312" w:hint="eastAsia"/>
          <w:color w:val="000000"/>
          <w:szCs w:val="32"/>
        </w:rPr>
        <w:t>系统支持并兼容微软</w:t>
      </w:r>
      <w:r w:rsidRPr="00FF2E1D">
        <w:rPr>
          <w:rFonts w:ascii="仿宋_GB2312" w:hAnsi="仿宋_GB2312" w:cs="仿宋_GB2312"/>
          <w:color w:val="000000"/>
          <w:szCs w:val="32"/>
        </w:rPr>
        <w:t>360</w:t>
      </w:r>
      <w:r w:rsidRPr="00EB6762">
        <w:rPr>
          <w:rFonts w:ascii="仿宋_GB2312" w:hAnsi="仿宋_GB2312" w:cs="仿宋_GB2312" w:hint="eastAsia"/>
          <w:color w:val="000000"/>
          <w:szCs w:val="32"/>
        </w:rPr>
        <w:t>、</w:t>
      </w:r>
      <w:r w:rsidRPr="00FF2E1D">
        <w:rPr>
          <w:rFonts w:ascii="仿宋_GB2312" w:hAnsi="仿宋_GB2312" w:cs="仿宋_GB2312"/>
          <w:color w:val="000000"/>
          <w:szCs w:val="32"/>
        </w:rPr>
        <w:t>QQ</w:t>
      </w:r>
      <w:r w:rsidRPr="00EB6762">
        <w:rPr>
          <w:rFonts w:ascii="仿宋_GB2312" w:hAnsi="仿宋_GB2312" w:cs="仿宋_GB2312" w:hint="eastAsia"/>
          <w:color w:val="000000"/>
          <w:szCs w:val="32"/>
        </w:rPr>
        <w:t>和</w:t>
      </w:r>
      <w:r w:rsidRPr="00FF2E1D">
        <w:rPr>
          <w:rFonts w:ascii="仿宋_GB2312" w:hAnsi="仿宋_GB2312" w:cs="仿宋_GB2312" w:hint="eastAsia"/>
          <w:color w:val="000000"/>
          <w:szCs w:val="32"/>
        </w:rPr>
        <w:t>搜狗</w:t>
      </w:r>
      <w:r w:rsidRPr="00EB6762">
        <w:rPr>
          <w:rFonts w:ascii="仿宋_GB2312" w:hAnsi="仿宋_GB2312" w:cs="仿宋_GB2312" w:hint="eastAsia"/>
          <w:color w:val="000000"/>
          <w:szCs w:val="32"/>
        </w:rPr>
        <w:t>等主流</w:t>
      </w:r>
      <w:r>
        <w:rPr>
          <w:rFonts w:ascii="仿宋_GB2312" w:hAnsi="仿宋_GB2312" w:cs="仿宋_GB2312" w:hint="eastAsia"/>
          <w:color w:val="000000"/>
          <w:szCs w:val="32"/>
        </w:rPr>
        <w:t>国产浏览器的最新版本。</w:t>
      </w:r>
    </w:p>
    <w:p w:rsidR="005B6786" w:rsidP="005B6786">
      <w:pPr>
        <w:numPr>
          <w:ilvl w:val="0"/>
          <w:numId w:val="12"/>
        </w:numPr>
        <w:spacing w:line="560" w:lineRule="exact"/>
        <w:rPr>
          <w:rFonts w:ascii="仿宋_GB2312" w:hAnsi="仿宋_GB2312" w:cs="仿宋_GB2312"/>
          <w:color w:val="000000"/>
          <w:szCs w:val="32"/>
        </w:rPr>
      </w:pPr>
      <w:r>
        <w:rPr>
          <w:rFonts w:ascii="仿宋_GB2312" w:hAnsi="仿宋_GB2312" w:cs="仿宋_GB2312" w:hint="eastAsia"/>
          <w:color w:val="000000"/>
          <w:szCs w:val="32"/>
        </w:rPr>
        <w:t>符合《气象信息化标准》，包括气象数据分类与编码、气象数据元、气象核心元数据、气象数据文件命名规范、气象数据传输规范、气象元数据同步规范、气象数据存储结构规范、气象数据服务接口标准、气象应用系统开发规范、公共云数据管理规范等。</w:t>
      </w:r>
    </w:p>
    <w:p w:rsidR="005B6786" w:rsidP="005B6786">
      <w:pPr>
        <w:numPr>
          <w:ilvl w:val="0"/>
          <w:numId w:val="12"/>
        </w:numPr>
        <w:spacing w:line="560" w:lineRule="exact"/>
        <w:rPr>
          <w:rFonts w:ascii="仿宋_GB2312" w:hAnsi="仿宋_GB2312" w:cs="仿宋_GB2312"/>
          <w:color w:val="000000"/>
          <w:szCs w:val="32"/>
        </w:rPr>
      </w:pPr>
      <w:r>
        <w:rPr>
          <w:rFonts w:ascii="仿宋_GB2312" w:hAnsi="仿宋_GB2312" w:cs="仿宋_GB2312" w:hint="eastAsia"/>
          <w:color w:val="000000"/>
          <w:szCs w:val="32"/>
        </w:rPr>
        <w:t>所有系统远程运维必须要通过堡垒机登录，内部通信及网页使用</w:t>
      </w:r>
      <w:r w:rsidRPr="000E477C">
        <w:rPr>
          <w:rFonts w:ascii="仿宋_GB2312" w:hAnsi="仿宋_GB2312" w:cs="仿宋_GB2312" w:hint="eastAsia"/>
          <w:color w:val="000000"/>
          <w:szCs w:val="32"/>
        </w:rPr>
        <w:t>https</w:t>
      </w:r>
      <w:r w:rsidRPr="000E477C">
        <w:rPr>
          <w:rFonts w:ascii="仿宋_GB2312" w:hAnsi="仿宋_GB2312" w:cs="仿宋_GB2312" w:hint="eastAsia"/>
          <w:color w:val="000000"/>
          <w:szCs w:val="32"/>
        </w:rPr>
        <w:t>协议</w:t>
      </w:r>
      <w:r>
        <w:rPr>
          <w:rFonts w:ascii="仿宋_GB2312" w:hAnsi="仿宋_GB2312" w:cs="仿宋_GB2312" w:hint="eastAsia"/>
          <w:color w:val="000000"/>
          <w:szCs w:val="32"/>
        </w:rPr>
        <w:t>。满足相关密评要求。</w:t>
      </w:r>
    </w:p>
    <w:p w:rsidR="005B6786" w:rsidP="005B6786">
      <w:pPr>
        <w:pStyle w:val="Heading1"/>
        <w:keepNext/>
        <w:keepLines/>
        <w:widowControl w:val="0"/>
        <w:numPr>
          <w:numId w:val="4"/>
        </w:numPr>
        <w:spacing w:line="560" w:lineRule="exact"/>
        <w:ind w:left="432" w:hanging="432"/>
        <w:jc w:val="both"/>
        <w:rPr>
          <w:rFonts w:hint="eastAsia"/>
        </w:rPr>
      </w:pPr>
      <w:bookmarkStart w:id="389" w:name="_Toc525198871"/>
      <w:bookmarkStart w:id="390" w:name="_Toc166187013"/>
      <w:bookmarkStart w:id="391" w:name="_Toc89681580"/>
      <w:bookmarkStart w:id="392" w:name="_Toc28455"/>
      <w:bookmarkStart w:id="393" w:name="_Toc525292944"/>
      <w:bookmarkStart w:id="394" w:name="_Toc89681331"/>
      <w:bookmarkStart w:id="395" w:name="_Toc231542579"/>
      <w:r>
        <w:rPr>
          <w:rFonts w:hint="eastAsia"/>
        </w:rPr>
        <w:t>技术服务要求</w:t>
      </w:r>
      <w:bookmarkEnd w:id="389"/>
      <w:bookmarkEnd w:id="390"/>
      <w:bookmarkEnd w:id="391"/>
      <w:bookmarkEnd w:id="392"/>
      <w:bookmarkEnd w:id="393"/>
      <w:bookmarkEnd w:id="394"/>
      <w:bookmarkEnd w:id="395"/>
    </w:p>
    <w:p w:rsidR="005B6786" w:rsidP="005B6786">
      <w:pPr>
        <w:pStyle w:val="Heading2"/>
        <w:keepNext/>
        <w:keepLines/>
        <w:widowControl w:val="0"/>
        <w:numPr>
          <w:ilvl w:val="1"/>
          <w:numId w:val="4"/>
        </w:numPr>
        <w:spacing w:line="560" w:lineRule="exact"/>
        <w:ind w:left="575" w:hanging="575"/>
        <w:jc w:val="both"/>
        <w:rPr>
          <w:rFonts w:hint="eastAsia"/>
        </w:rPr>
      </w:pPr>
      <w:bookmarkStart w:id="396" w:name="_Toc1366382299"/>
      <w:bookmarkStart w:id="397" w:name="_Toc119829563"/>
      <w:bookmarkStart w:id="398" w:name="_Toc21792"/>
      <w:bookmarkStart w:id="399" w:name="_Toc231542580"/>
      <w:r>
        <w:rPr>
          <w:rFonts w:hint="eastAsia"/>
        </w:rPr>
        <w:t>进度要求</w:t>
      </w:r>
      <w:bookmarkEnd w:id="396"/>
      <w:bookmarkEnd w:id="397"/>
      <w:bookmarkEnd w:id="398"/>
      <w:bookmarkEnd w:id="399"/>
    </w:p>
    <w:p w:rsidR="005B6786" w:rsidP="005B6786">
      <w:pPr>
        <w:spacing w:line="560" w:lineRule="exact"/>
        <w:ind w:firstLine="420"/>
        <w:rPr>
          <w:rFonts w:ascii="仿宋_GB2312" w:hAnsi="仿宋_GB2312" w:cs="仿宋_GB2312"/>
          <w:color w:val="000000"/>
          <w:szCs w:val="32"/>
        </w:rPr>
      </w:pPr>
      <w:bookmarkStart w:id="400" w:name="_Toc119829564"/>
      <w:bookmarkStart w:id="401" w:name="_Toc1744661922"/>
      <w:bookmarkStart w:id="402" w:name="_Toc17972"/>
      <w:r>
        <w:rPr>
          <w:rFonts w:ascii="仿宋_GB2312" w:hAnsi="仿宋_GB2312" w:cs="仿宋_GB2312" w:hint="eastAsia"/>
          <w:color w:val="000000"/>
          <w:szCs w:val="32"/>
        </w:rPr>
        <w:t>建设项目的研制要求完全按软件工程的方法和过程实施，其研制过程主要包括需求分析、概要设计、详细设计与编码调试、系统集成与测试、系统部署与初验、试运行、系统验收七</w:t>
      </w:r>
      <w:r>
        <w:rPr>
          <w:rFonts w:ascii="仿宋_GB2312" w:hAnsi="仿宋_GB2312" w:cs="仿宋_GB2312"/>
          <w:color w:val="000000"/>
          <w:szCs w:val="32"/>
        </w:rPr>
        <w:t>个阶段</w:t>
      </w:r>
      <w:r>
        <w:rPr>
          <w:rFonts w:ascii="仿宋_GB2312" w:hAnsi="仿宋_GB2312" w:cs="仿宋_GB2312" w:hint="eastAsia"/>
          <w:color w:val="000000"/>
          <w:szCs w:val="32"/>
        </w:rPr>
        <w:t>，研制周期</w:t>
      </w:r>
      <w:r>
        <w:rPr>
          <w:rFonts w:ascii="仿宋_GB2312" w:hAnsi="仿宋_GB2312" w:cs="仿宋_GB2312" w:hint="eastAsia"/>
          <w:color w:val="000000"/>
          <w:szCs w:val="32"/>
        </w:rPr>
        <w:t>12</w:t>
      </w:r>
      <w:r>
        <w:rPr>
          <w:rFonts w:ascii="仿宋_GB2312" w:hAnsi="仿宋_GB2312" w:cs="仿宋_GB2312" w:hint="eastAsia"/>
          <w:color w:val="000000"/>
          <w:szCs w:val="32"/>
        </w:rPr>
        <w:t>个月内。下表给出了任务各阶段的进度要求：</w:t>
      </w:r>
    </w:p>
    <w:p w:rsidR="005B6786" w:rsidP="005B6786">
      <w:pPr>
        <w:spacing w:before="156" w:beforeLines="50"/>
        <w:ind w:firstLine="425"/>
        <w:jc w:val="center"/>
        <w:rPr>
          <w:rFonts w:ascii="宋体" w:hAnsi="宋体"/>
        </w:rPr>
      </w:pPr>
      <w:r>
        <w:rPr>
          <w:rFonts w:ascii="宋体" w:hAnsi="宋体"/>
        </w:rPr>
        <w:t>表</w:t>
      </w:r>
      <w:r>
        <w:rPr>
          <w:rFonts w:ascii="宋体" w:hAnsi="宋体" w:hint="eastAsia"/>
        </w:rPr>
        <w:t>5-1项目开发进度表</w:t>
      </w:r>
    </w:p>
    <w:tbl>
      <w:tblPr>
        <w:tblStyle w:val="TableNormal"/>
        <w:tblW w:w="8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46"/>
        <w:gridCol w:w="1276"/>
        <w:gridCol w:w="5103"/>
      </w:tblGrid>
      <w:tr w:rsidTr="00B0769D">
        <w:tblPrEx>
          <w:tblW w:w="8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2146" w:type="dxa"/>
            <w:vAlign w:val="center"/>
          </w:tcPr>
          <w:p w:rsidR="005B6786" w:rsidP="00B0769D">
            <w:pPr>
              <w:snapToGrid w:val="0"/>
              <w:spacing w:before="156" w:beforeLines="50"/>
              <w:jc w:val="center"/>
              <w:rPr>
                <w:rFonts w:ascii="宋体" w:eastAsia="宋体" w:hAnsi="宋体"/>
                <w:szCs w:val="21"/>
              </w:rPr>
            </w:pPr>
            <w:r>
              <w:rPr>
                <w:rFonts w:ascii="宋体" w:eastAsia="宋体" w:hAnsi="宋体"/>
                <w:szCs w:val="21"/>
              </w:rPr>
              <w:t>软件研发过程</w:t>
            </w:r>
          </w:p>
        </w:tc>
        <w:tc>
          <w:tcPr>
            <w:tcW w:w="1276" w:type="dxa"/>
            <w:vAlign w:val="center"/>
          </w:tcPr>
          <w:p w:rsidR="005B6786" w:rsidP="00B0769D">
            <w:pPr>
              <w:snapToGrid w:val="0"/>
              <w:jc w:val="center"/>
              <w:rPr>
                <w:rFonts w:ascii="宋体" w:eastAsia="宋体" w:hAnsi="宋体"/>
                <w:szCs w:val="21"/>
              </w:rPr>
            </w:pPr>
            <w:r>
              <w:rPr>
                <w:rFonts w:ascii="宋体" w:eastAsia="宋体" w:hAnsi="宋体"/>
                <w:szCs w:val="21"/>
              </w:rPr>
              <w:t>进度要求</w:t>
            </w:r>
          </w:p>
          <w:p w:rsidR="005B6786" w:rsidP="00B0769D">
            <w:pPr>
              <w:snapToGrid w:val="0"/>
              <w:jc w:val="center"/>
              <w:rPr>
                <w:rFonts w:ascii="宋体" w:eastAsia="宋体" w:hAnsi="宋体"/>
                <w:szCs w:val="21"/>
              </w:rPr>
            </w:pPr>
            <w:r>
              <w:rPr>
                <w:rFonts w:ascii="宋体" w:eastAsia="宋体" w:hAnsi="宋体"/>
                <w:szCs w:val="21"/>
              </w:rPr>
              <w:t>（月数）</w:t>
            </w:r>
          </w:p>
        </w:tc>
        <w:tc>
          <w:tcPr>
            <w:tcW w:w="5103" w:type="dxa"/>
            <w:vAlign w:val="center"/>
          </w:tcPr>
          <w:p w:rsidR="005B6786" w:rsidP="00B0769D">
            <w:pPr>
              <w:snapToGrid w:val="0"/>
              <w:spacing w:before="156" w:beforeLines="50"/>
              <w:jc w:val="center"/>
              <w:rPr>
                <w:rFonts w:ascii="宋体" w:eastAsia="宋体" w:hAnsi="宋体"/>
                <w:szCs w:val="21"/>
              </w:rPr>
            </w:pPr>
            <w:r>
              <w:rPr>
                <w:rFonts w:ascii="宋体" w:eastAsia="宋体" w:hAnsi="宋体"/>
                <w:szCs w:val="21"/>
              </w:rPr>
              <w:t>基本要求</w:t>
            </w:r>
          </w:p>
        </w:tc>
      </w:tr>
      <w:tr w:rsidTr="00B0769D">
        <w:tblPrEx>
          <w:tblW w:w="8525" w:type="dxa"/>
          <w:jc w:val="center"/>
          <w:tblLayout w:type="fixed"/>
          <w:tblLook w:val="0000"/>
        </w:tblPrEx>
        <w:trPr>
          <w:jc w:val="center"/>
        </w:trPr>
        <w:tc>
          <w:tcPr>
            <w:tcW w:w="2146" w:type="dxa"/>
            <w:vAlign w:val="center"/>
          </w:tcPr>
          <w:p w:rsidR="005B6786" w:rsidP="00B0769D">
            <w:pPr>
              <w:snapToGrid w:val="0"/>
              <w:spacing w:before="156" w:beforeLines="50"/>
              <w:rPr>
                <w:rFonts w:ascii="宋体" w:eastAsia="宋体" w:hAnsi="宋体"/>
                <w:szCs w:val="21"/>
              </w:rPr>
            </w:pPr>
            <w:r>
              <w:rPr>
                <w:rFonts w:ascii="宋体" w:eastAsia="宋体" w:hAnsi="宋体"/>
                <w:szCs w:val="21"/>
              </w:rPr>
              <w:t>需求分析</w:t>
            </w:r>
          </w:p>
        </w:tc>
        <w:tc>
          <w:tcPr>
            <w:tcW w:w="1276" w:type="dxa"/>
            <w:vAlign w:val="center"/>
          </w:tcPr>
          <w:p w:rsidR="005B6786" w:rsidP="00B0769D">
            <w:pPr>
              <w:snapToGrid w:val="0"/>
              <w:spacing w:before="156" w:beforeLines="50"/>
              <w:jc w:val="center"/>
              <w:rPr>
                <w:rFonts w:ascii="宋体" w:eastAsia="宋体" w:hAnsi="宋体"/>
                <w:szCs w:val="21"/>
              </w:rPr>
            </w:pPr>
            <w:r>
              <w:rPr>
                <w:rFonts w:ascii="宋体" w:eastAsia="宋体" w:hAnsi="宋体"/>
                <w:szCs w:val="21"/>
              </w:rPr>
              <w:t>2</w:t>
            </w:r>
          </w:p>
        </w:tc>
        <w:tc>
          <w:tcPr>
            <w:tcW w:w="5103" w:type="dxa"/>
            <w:vAlign w:val="center"/>
          </w:tcPr>
          <w:p w:rsidR="005B6786" w:rsidP="00B0769D">
            <w:pPr>
              <w:snapToGrid w:val="0"/>
              <w:spacing w:before="156" w:beforeLines="50"/>
              <w:rPr>
                <w:rFonts w:ascii="宋体" w:eastAsia="宋体" w:hAnsi="宋体"/>
                <w:szCs w:val="21"/>
              </w:rPr>
            </w:pPr>
            <w:r>
              <w:rPr>
                <w:rFonts w:ascii="宋体" w:eastAsia="宋体" w:hAnsi="宋体"/>
                <w:szCs w:val="21"/>
              </w:rPr>
              <w:t>完成任务书中所有软件功能的分析，提交软件需求阶段应提交的各类文档，通过评审</w:t>
            </w:r>
          </w:p>
        </w:tc>
      </w:tr>
      <w:tr w:rsidTr="00B0769D">
        <w:tblPrEx>
          <w:tblW w:w="8525" w:type="dxa"/>
          <w:jc w:val="center"/>
          <w:tblLayout w:type="fixed"/>
          <w:tblLook w:val="0000"/>
        </w:tblPrEx>
        <w:trPr>
          <w:jc w:val="center"/>
        </w:trPr>
        <w:tc>
          <w:tcPr>
            <w:tcW w:w="2146" w:type="dxa"/>
            <w:vAlign w:val="center"/>
          </w:tcPr>
          <w:p w:rsidR="005B6786" w:rsidP="00B0769D">
            <w:pPr>
              <w:snapToGrid w:val="0"/>
              <w:spacing w:before="156" w:beforeLines="50"/>
              <w:rPr>
                <w:rFonts w:ascii="宋体" w:eastAsia="宋体" w:hAnsi="宋体"/>
                <w:szCs w:val="21"/>
              </w:rPr>
            </w:pPr>
            <w:r>
              <w:rPr>
                <w:rFonts w:ascii="宋体" w:eastAsia="宋体" w:hAnsi="宋体"/>
                <w:szCs w:val="21"/>
              </w:rPr>
              <w:t>概要设计</w:t>
            </w:r>
          </w:p>
        </w:tc>
        <w:tc>
          <w:tcPr>
            <w:tcW w:w="1276" w:type="dxa"/>
            <w:vAlign w:val="center"/>
          </w:tcPr>
          <w:p w:rsidR="005B6786" w:rsidP="00B0769D">
            <w:pPr>
              <w:snapToGrid w:val="0"/>
              <w:spacing w:before="156" w:beforeLines="50"/>
              <w:jc w:val="center"/>
              <w:rPr>
                <w:rFonts w:ascii="宋体" w:eastAsia="宋体" w:hAnsi="宋体"/>
                <w:szCs w:val="21"/>
              </w:rPr>
            </w:pPr>
            <w:r>
              <w:rPr>
                <w:rFonts w:ascii="宋体" w:eastAsia="宋体" w:hAnsi="宋体"/>
                <w:szCs w:val="21"/>
              </w:rPr>
              <w:t>1</w:t>
            </w:r>
          </w:p>
        </w:tc>
        <w:tc>
          <w:tcPr>
            <w:tcW w:w="5103" w:type="dxa"/>
            <w:vAlign w:val="center"/>
          </w:tcPr>
          <w:p w:rsidR="005B6786" w:rsidP="00B0769D">
            <w:pPr>
              <w:snapToGrid w:val="0"/>
              <w:spacing w:before="156" w:beforeLines="50"/>
              <w:rPr>
                <w:rFonts w:ascii="宋体" w:eastAsia="宋体" w:hAnsi="宋体"/>
                <w:szCs w:val="21"/>
              </w:rPr>
            </w:pPr>
            <w:r>
              <w:rPr>
                <w:rFonts w:ascii="宋体" w:eastAsia="宋体" w:hAnsi="宋体"/>
                <w:szCs w:val="21"/>
              </w:rPr>
              <w:t>完成任务书中所有软件功能的设计，提交概要设计阶段应提交的各类文档，提供客户端原型设计，通过评审</w:t>
            </w:r>
          </w:p>
        </w:tc>
      </w:tr>
      <w:tr w:rsidTr="00B0769D">
        <w:tblPrEx>
          <w:tblW w:w="8525" w:type="dxa"/>
          <w:jc w:val="center"/>
          <w:tblLayout w:type="fixed"/>
          <w:tblLook w:val="0000"/>
        </w:tblPrEx>
        <w:trPr>
          <w:jc w:val="center"/>
        </w:trPr>
        <w:tc>
          <w:tcPr>
            <w:tcW w:w="2146" w:type="dxa"/>
            <w:vAlign w:val="center"/>
          </w:tcPr>
          <w:p w:rsidR="005B6786" w:rsidP="00B0769D">
            <w:pPr>
              <w:snapToGrid w:val="0"/>
              <w:spacing w:before="156" w:beforeLines="50"/>
              <w:rPr>
                <w:rFonts w:ascii="宋体" w:eastAsia="宋体" w:hAnsi="宋体"/>
                <w:szCs w:val="21"/>
              </w:rPr>
            </w:pPr>
            <w:r>
              <w:rPr>
                <w:rFonts w:ascii="宋体" w:eastAsia="宋体" w:hAnsi="宋体"/>
                <w:szCs w:val="21"/>
              </w:rPr>
              <w:t>详细设计与编码调试</w:t>
            </w:r>
          </w:p>
        </w:tc>
        <w:tc>
          <w:tcPr>
            <w:tcW w:w="1276" w:type="dxa"/>
            <w:vAlign w:val="center"/>
          </w:tcPr>
          <w:p w:rsidR="005B6786" w:rsidP="00B0769D">
            <w:pPr>
              <w:snapToGrid w:val="0"/>
              <w:spacing w:before="156" w:beforeLines="50"/>
              <w:jc w:val="center"/>
              <w:rPr>
                <w:rFonts w:ascii="宋体" w:eastAsia="宋体" w:hAnsi="宋体"/>
                <w:szCs w:val="21"/>
              </w:rPr>
            </w:pPr>
            <w:r>
              <w:rPr>
                <w:rFonts w:ascii="宋体" w:eastAsia="宋体" w:hAnsi="宋体"/>
                <w:szCs w:val="21"/>
              </w:rPr>
              <w:t>5</w:t>
            </w:r>
          </w:p>
        </w:tc>
        <w:tc>
          <w:tcPr>
            <w:tcW w:w="5103" w:type="dxa"/>
            <w:vAlign w:val="center"/>
          </w:tcPr>
          <w:p w:rsidR="005B6786" w:rsidP="00B0769D">
            <w:pPr>
              <w:snapToGrid w:val="0"/>
              <w:spacing w:before="156" w:beforeLines="50"/>
              <w:rPr>
                <w:rFonts w:ascii="宋体" w:eastAsia="宋体" w:hAnsi="宋体"/>
                <w:szCs w:val="21"/>
              </w:rPr>
            </w:pPr>
            <w:r>
              <w:rPr>
                <w:rFonts w:ascii="宋体" w:eastAsia="宋体" w:hAnsi="宋体"/>
                <w:szCs w:val="21"/>
              </w:rPr>
              <w:t>完成详细设计、程序编码、调试和单元测试，要求签订合同后8个月实现建设主体功能的开发上线</w:t>
            </w:r>
          </w:p>
        </w:tc>
      </w:tr>
      <w:tr w:rsidTr="00B0769D">
        <w:tblPrEx>
          <w:tblW w:w="8525" w:type="dxa"/>
          <w:jc w:val="center"/>
          <w:tblLayout w:type="fixed"/>
          <w:tblLook w:val="0000"/>
        </w:tblPrEx>
        <w:trPr>
          <w:jc w:val="center"/>
        </w:trPr>
        <w:tc>
          <w:tcPr>
            <w:tcW w:w="2146" w:type="dxa"/>
            <w:vAlign w:val="center"/>
          </w:tcPr>
          <w:p w:rsidR="005B6786" w:rsidP="00B0769D">
            <w:pPr>
              <w:snapToGrid w:val="0"/>
              <w:spacing w:before="156" w:beforeLines="50"/>
              <w:rPr>
                <w:rFonts w:ascii="宋体" w:eastAsia="宋体" w:hAnsi="宋体"/>
                <w:szCs w:val="21"/>
              </w:rPr>
            </w:pPr>
            <w:r>
              <w:rPr>
                <w:rFonts w:ascii="宋体" w:eastAsia="宋体" w:hAnsi="宋体"/>
                <w:szCs w:val="21"/>
              </w:rPr>
              <w:t>测试方案</w:t>
            </w:r>
          </w:p>
        </w:tc>
        <w:tc>
          <w:tcPr>
            <w:tcW w:w="1276" w:type="dxa"/>
            <w:vAlign w:val="center"/>
          </w:tcPr>
          <w:p w:rsidR="005B6786" w:rsidP="00B0769D">
            <w:pPr>
              <w:snapToGrid w:val="0"/>
              <w:spacing w:before="156" w:beforeLines="50"/>
              <w:jc w:val="center"/>
              <w:rPr>
                <w:rFonts w:ascii="宋体" w:eastAsia="宋体" w:hAnsi="宋体"/>
                <w:szCs w:val="21"/>
              </w:rPr>
            </w:pPr>
            <w:r>
              <w:rPr>
                <w:rFonts w:ascii="宋体" w:eastAsia="宋体" w:hAnsi="宋体"/>
                <w:szCs w:val="21"/>
              </w:rPr>
              <w:t>1</w:t>
            </w:r>
          </w:p>
        </w:tc>
        <w:tc>
          <w:tcPr>
            <w:tcW w:w="5103" w:type="dxa"/>
            <w:vAlign w:val="center"/>
          </w:tcPr>
          <w:p w:rsidR="005B6786" w:rsidP="00B0769D">
            <w:pPr>
              <w:snapToGrid w:val="0"/>
              <w:spacing w:before="156" w:beforeLines="50"/>
              <w:rPr>
                <w:rFonts w:ascii="宋体" w:eastAsia="宋体" w:hAnsi="宋体"/>
                <w:szCs w:val="21"/>
              </w:rPr>
            </w:pPr>
            <w:r>
              <w:rPr>
                <w:rFonts w:ascii="宋体" w:eastAsia="宋体" w:hAnsi="宋体"/>
                <w:szCs w:val="21"/>
              </w:rPr>
              <w:t>完成测试方案编制，按照气象信息化系统工程及短临项目安全等保测评标准，通过安全评估，并通过评审</w:t>
            </w:r>
          </w:p>
        </w:tc>
      </w:tr>
      <w:tr w:rsidTr="00B0769D">
        <w:tblPrEx>
          <w:tblW w:w="8525" w:type="dxa"/>
          <w:jc w:val="center"/>
          <w:tblLayout w:type="fixed"/>
          <w:tblLook w:val="0000"/>
        </w:tblPrEx>
        <w:trPr>
          <w:jc w:val="center"/>
        </w:trPr>
        <w:tc>
          <w:tcPr>
            <w:tcW w:w="2146" w:type="dxa"/>
            <w:vAlign w:val="center"/>
          </w:tcPr>
          <w:p w:rsidR="005B6786" w:rsidP="00B0769D">
            <w:pPr>
              <w:snapToGrid w:val="0"/>
              <w:spacing w:before="156" w:beforeLines="50"/>
              <w:rPr>
                <w:rFonts w:ascii="宋体" w:eastAsia="宋体" w:hAnsi="宋体"/>
                <w:szCs w:val="21"/>
              </w:rPr>
            </w:pPr>
            <w:r>
              <w:rPr>
                <w:rFonts w:ascii="宋体" w:eastAsia="宋体" w:hAnsi="宋体"/>
                <w:szCs w:val="21"/>
              </w:rPr>
              <w:t>系统部署与初验</w:t>
            </w:r>
          </w:p>
        </w:tc>
        <w:tc>
          <w:tcPr>
            <w:tcW w:w="1276" w:type="dxa"/>
            <w:vAlign w:val="center"/>
          </w:tcPr>
          <w:p w:rsidR="005B6786" w:rsidP="00B0769D">
            <w:pPr>
              <w:snapToGrid w:val="0"/>
              <w:spacing w:before="156" w:beforeLines="50"/>
              <w:jc w:val="center"/>
              <w:rPr>
                <w:rFonts w:ascii="宋体" w:eastAsia="宋体" w:hAnsi="宋体"/>
                <w:szCs w:val="21"/>
              </w:rPr>
            </w:pPr>
            <w:r>
              <w:rPr>
                <w:rFonts w:ascii="宋体" w:eastAsia="宋体" w:hAnsi="宋体"/>
                <w:szCs w:val="21"/>
              </w:rPr>
              <w:t>2</w:t>
            </w:r>
          </w:p>
        </w:tc>
        <w:tc>
          <w:tcPr>
            <w:tcW w:w="5103" w:type="dxa"/>
            <w:vAlign w:val="center"/>
          </w:tcPr>
          <w:p w:rsidR="005B6786" w:rsidP="00B0769D">
            <w:pPr>
              <w:snapToGrid w:val="0"/>
              <w:spacing w:before="156" w:beforeLines="50"/>
              <w:rPr>
                <w:rFonts w:ascii="宋体" w:eastAsia="宋体" w:hAnsi="宋体"/>
                <w:szCs w:val="21"/>
              </w:rPr>
            </w:pPr>
            <w:r>
              <w:rPr>
                <w:rFonts w:ascii="宋体" w:eastAsia="宋体" w:hAnsi="宋体"/>
                <w:szCs w:val="21"/>
              </w:rPr>
              <w:t>完成系统功能确认测试、运行环境配置、系统应用集成与部署和系统初验</w:t>
            </w:r>
          </w:p>
        </w:tc>
      </w:tr>
      <w:tr w:rsidTr="00B0769D">
        <w:tblPrEx>
          <w:tblW w:w="8525" w:type="dxa"/>
          <w:jc w:val="center"/>
          <w:tblLayout w:type="fixed"/>
          <w:tblLook w:val="0000"/>
        </w:tblPrEx>
        <w:trPr>
          <w:jc w:val="center"/>
        </w:trPr>
        <w:tc>
          <w:tcPr>
            <w:tcW w:w="2146" w:type="dxa"/>
            <w:vAlign w:val="center"/>
          </w:tcPr>
          <w:p w:rsidR="005B6786" w:rsidP="00B0769D">
            <w:pPr>
              <w:snapToGrid w:val="0"/>
              <w:spacing w:before="156" w:beforeLines="50"/>
              <w:rPr>
                <w:rFonts w:ascii="宋体" w:eastAsia="宋体" w:hAnsi="宋体"/>
                <w:szCs w:val="21"/>
              </w:rPr>
            </w:pPr>
            <w:r>
              <w:rPr>
                <w:rFonts w:ascii="宋体" w:eastAsia="宋体" w:hAnsi="宋体"/>
                <w:szCs w:val="21"/>
              </w:rPr>
              <w:t>试运行</w:t>
            </w:r>
          </w:p>
        </w:tc>
        <w:tc>
          <w:tcPr>
            <w:tcW w:w="1276" w:type="dxa"/>
            <w:vAlign w:val="center"/>
          </w:tcPr>
          <w:p w:rsidR="005B6786" w:rsidP="00B0769D">
            <w:pPr>
              <w:snapToGrid w:val="0"/>
              <w:spacing w:before="156" w:beforeLines="50"/>
              <w:jc w:val="center"/>
              <w:rPr>
                <w:rFonts w:ascii="宋体" w:eastAsia="宋体" w:hAnsi="宋体"/>
                <w:szCs w:val="21"/>
              </w:rPr>
            </w:pPr>
            <w:r>
              <w:rPr>
                <w:rFonts w:ascii="宋体" w:eastAsia="宋体" w:hAnsi="宋体"/>
                <w:szCs w:val="21"/>
              </w:rPr>
              <w:t>1</w:t>
            </w:r>
          </w:p>
        </w:tc>
        <w:tc>
          <w:tcPr>
            <w:tcW w:w="5103" w:type="dxa"/>
            <w:vAlign w:val="center"/>
          </w:tcPr>
          <w:p w:rsidR="005B6786" w:rsidP="00B0769D">
            <w:pPr>
              <w:snapToGrid w:val="0"/>
              <w:spacing w:before="156" w:beforeLines="50"/>
              <w:rPr>
                <w:rFonts w:ascii="宋体" w:eastAsia="宋体" w:hAnsi="宋体"/>
                <w:szCs w:val="21"/>
              </w:rPr>
            </w:pPr>
            <w:r>
              <w:rPr>
                <w:rFonts w:ascii="宋体" w:eastAsia="宋体" w:hAnsi="宋体" w:cs="宋体"/>
                <w:kern w:val="0"/>
              </w:rPr>
              <w:t>完成不少于1个月的连续无重大故障试运行。</w:t>
            </w:r>
          </w:p>
        </w:tc>
      </w:tr>
      <w:tr w:rsidTr="00B0769D">
        <w:tblPrEx>
          <w:tblW w:w="8525" w:type="dxa"/>
          <w:jc w:val="center"/>
          <w:tblLayout w:type="fixed"/>
          <w:tblLook w:val="0000"/>
        </w:tblPrEx>
        <w:trPr>
          <w:jc w:val="center"/>
        </w:trPr>
        <w:tc>
          <w:tcPr>
            <w:tcW w:w="2146" w:type="dxa"/>
            <w:vAlign w:val="center"/>
          </w:tcPr>
          <w:p w:rsidR="005B6786" w:rsidP="00B0769D">
            <w:pPr>
              <w:snapToGrid w:val="0"/>
              <w:spacing w:before="156" w:beforeLines="50"/>
              <w:rPr>
                <w:rFonts w:ascii="宋体" w:eastAsia="宋体" w:hAnsi="宋体"/>
                <w:szCs w:val="21"/>
              </w:rPr>
            </w:pPr>
            <w:r>
              <w:rPr>
                <w:rFonts w:ascii="宋体" w:eastAsia="宋体" w:hAnsi="宋体"/>
                <w:szCs w:val="21"/>
              </w:rPr>
              <w:t>系统终验</w:t>
            </w:r>
          </w:p>
        </w:tc>
        <w:tc>
          <w:tcPr>
            <w:tcW w:w="1276" w:type="dxa"/>
            <w:vAlign w:val="center"/>
          </w:tcPr>
          <w:p w:rsidR="005B6786" w:rsidP="00B0769D">
            <w:pPr>
              <w:snapToGrid w:val="0"/>
              <w:spacing w:before="156" w:beforeLines="50"/>
              <w:jc w:val="center"/>
              <w:rPr>
                <w:rFonts w:ascii="宋体" w:eastAsia="宋体" w:hAnsi="宋体"/>
                <w:szCs w:val="21"/>
              </w:rPr>
            </w:pPr>
          </w:p>
        </w:tc>
        <w:tc>
          <w:tcPr>
            <w:tcW w:w="5103" w:type="dxa"/>
            <w:vAlign w:val="center"/>
          </w:tcPr>
          <w:p w:rsidR="005B6786" w:rsidP="00B0769D">
            <w:pPr>
              <w:snapToGrid w:val="0"/>
              <w:spacing w:before="156" w:beforeLines="50"/>
              <w:rPr>
                <w:rFonts w:ascii="宋体" w:eastAsia="宋体" w:hAnsi="宋体"/>
                <w:szCs w:val="21"/>
              </w:rPr>
            </w:pPr>
            <w:r>
              <w:rPr>
                <w:rFonts w:ascii="宋体" w:eastAsia="宋体" w:hAnsi="宋体"/>
                <w:szCs w:val="21"/>
              </w:rPr>
              <w:t>完成系统最终验收、培训并移交。</w:t>
            </w:r>
          </w:p>
        </w:tc>
      </w:tr>
    </w:tbl>
    <w:p w:rsidR="005B6786" w:rsidP="005B6786">
      <w:pPr>
        <w:pStyle w:val="Heading2"/>
        <w:keepNext/>
        <w:keepLines/>
        <w:widowControl w:val="0"/>
        <w:numPr>
          <w:ilvl w:val="1"/>
          <w:numId w:val="4"/>
        </w:numPr>
        <w:spacing w:line="560" w:lineRule="exact"/>
        <w:ind w:left="575" w:hanging="575"/>
        <w:jc w:val="both"/>
      </w:pPr>
      <w:bookmarkStart w:id="403" w:name="_Toc231542581"/>
      <w:r>
        <w:rPr>
          <w:rFonts w:hint="eastAsia"/>
        </w:rPr>
        <w:t>软件交付物要求</w:t>
      </w:r>
      <w:bookmarkEnd w:id="400"/>
      <w:bookmarkEnd w:id="401"/>
      <w:bookmarkEnd w:id="402"/>
      <w:bookmarkEnd w:id="403"/>
    </w:p>
    <w:p w:rsidR="005B6786" w:rsidP="005B6786">
      <w:pPr>
        <w:snapToGrid w:val="0"/>
        <w:spacing w:before="156" w:beforeLines="50"/>
        <w:ind w:firstLine="420"/>
        <w:rPr>
          <w:rFonts w:ascii="宋体" w:hAnsi="宋体" w:cs="等线" w:hint="eastAsia"/>
          <w:szCs w:val="21"/>
        </w:rPr>
      </w:pPr>
      <w:r>
        <w:rPr>
          <w:rFonts w:ascii="宋体" w:hAnsi="宋体" w:cs="等线" w:hint="eastAsia"/>
          <w:szCs w:val="21"/>
        </w:rPr>
        <w:t>软件交付物</w:t>
      </w:r>
      <w:r>
        <w:rPr>
          <w:rFonts w:ascii="宋体" w:hAnsi="宋体" w:cs="等线"/>
          <w:szCs w:val="21"/>
        </w:rPr>
        <w:t>提供电子版</w:t>
      </w:r>
      <w:r>
        <w:rPr>
          <w:rFonts w:ascii="宋体" w:hAnsi="宋体" w:cs="等线" w:hint="eastAsia"/>
          <w:szCs w:val="21"/>
        </w:rPr>
        <w:t>1</w:t>
      </w:r>
      <w:r>
        <w:rPr>
          <w:rFonts w:ascii="宋体" w:hAnsi="宋体" w:cs="等线"/>
          <w:szCs w:val="21"/>
        </w:rPr>
        <w:t>套，硬拷贝</w:t>
      </w:r>
      <w:r>
        <w:rPr>
          <w:rFonts w:ascii="宋体" w:hAnsi="宋体" w:cs="等线" w:hint="eastAsia"/>
          <w:szCs w:val="21"/>
        </w:rPr>
        <w:t>1</w:t>
      </w:r>
      <w:r>
        <w:rPr>
          <w:rFonts w:ascii="宋体" w:hAnsi="宋体" w:cs="等线"/>
          <w:szCs w:val="21"/>
        </w:rPr>
        <w:t>套，文档交付物中重要的技术文档应按工程管理办法要求通过专家评审。</w:t>
      </w:r>
    </w:p>
    <w:p w:rsidR="005B6786" w:rsidP="005B6786">
      <w:pPr>
        <w:pStyle w:val="NormalIndent"/>
        <w:ind w:firstLineChars="0"/>
        <w:rPr>
          <w:rFonts w:ascii="宋体" w:hAnsi="宋体" w:hint="eastAsia"/>
        </w:rPr>
      </w:pPr>
      <w:r>
        <w:rPr>
          <w:rFonts w:ascii="宋体" w:hAnsi="宋体" w:hint="eastAsia"/>
        </w:rPr>
        <w:t>（1）产品交付物</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985"/>
        <w:gridCol w:w="6626"/>
      </w:tblGrid>
      <w:tr w:rsidTr="00B0769D">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Ex>
        <w:trPr>
          <w:jc w:val="center"/>
        </w:trPr>
        <w:tc>
          <w:tcPr>
            <w:tcW w:w="1985" w:type="dxa"/>
            <w:shd w:val="pct10" w:color="auto" w:fill="auto"/>
          </w:tcPr>
          <w:p w:rsidR="005B6786" w:rsidP="00B0769D">
            <w:pPr>
              <w:pStyle w:val="B"/>
              <w:spacing w:before="156" w:beforeLines="50" w:line="360" w:lineRule="auto"/>
              <w:rPr>
                <w:rFonts w:ascii="宋体" w:eastAsia="宋体" w:hAnsi="宋体"/>
              </w:rPr>
            </w:pPr>
            <w:r>
              <w:rPr>
                <w:rFonts w:ascii="宋体" w:eastAsia="宋体" w:hAnsi="宋体"/>
              </w:rPr>
              <w:t>序号</w:t>
            </w:r>
          </w:p>
        </w:tc>
        <w:tc>
          <w:tcPr>
            <w:tcW w:w="6626" w:type="dxa"/>
            <w:shd w:val="pct10" w:color="auto" w:fill="auto"/>
          </w:tcPr>
          <w:p w:rsidR="005B6786" w:rsidP="00B0769D">
            <w:pPr>
              <w:pStyle w:val="B"/>
              <w:spacing w:before="156" w:beforeLines="50" w:line="360" w:lineRule="auto"/>
              <w:rPr>
                <w:rFonts w:ascii="宋体" w:eastAsia="宋体" w:hAnsi="宋体"/>
              </w:rPr>
            </w:pPr>
            <w:r>
              <w:rPr>
                <w:rFonts w:ascii="宋体" w:eastAsia="宋体" w:hAnsi="宋体"/>
              </w:rPr>
              <w:t>产品名称</w:t>
            </w:r>
          </w:p>
        </w:tc>
      </w:tr>
      <w:tr w:rsidTr="00B0769D">
        <w:tblPrEx>
          <w:tblW w:w="0" w:type="auto"/>
          <w:jc w:val="center"/>
          <w:tblLayout w:type="fixed"/>
          <w:tblLook w:val="0000"/>
        </w:tblPrEx>
        <w:trPr>
          <w:jc w:val="center"/>
        </w:trPr>
        <w:tc>
          <w:tcPr>
            <w:tcW w:w="1985" w:type="dxa"/>
          </w:tcPr>
          <w:p w:rsidR="005B6786" w:rsidP="00B0769D">
            <w:pPr>
              <w:snapToGrid w:val="0"/>
              <w:spacing w:before="156" w:beforeLines="50"/>
              <w:rPr>
                <w:rFonts w:ascii="宋体" w:eastAsia="宋体" w:hAnsi="宋体"/>
                <w:szCs w:val="21"/>
              </w:rPr>
            </w:pPr>
            <w:r>
              <w:rPr>
                <w:rFonts w:ascii="宋体" w:eastAsia="宋体" w:hAnsi="宋体"/>
                <w:szCs w:val="21"/>
              </w:rPr>
              <w:t>1</w:t>
            </w:r>
          </w:p>
        </w:tc>
        <w:tc>
          <w:tcPr>
            <w:tcW w:w="6626" w:type="dxa"/>
          </w:tcPr>
          <w:p w:rsidR="005B6786" w:rsidP="00B0769D">
            <w:pPr>
              <w:snapToGrid w:val="0"/>
              <w:spacing w:before="156" w:beforeLines="50"/>
              <w:rPr>
                <w:rFonts w:ascii="宋体" w:eastAsia="宋体" w:hAnsi="宋体"/>
                <w:szCs w:val="21"/>
              </w:rPr>
            </w:pPr>
            <w:r>
              <w:rPr>
                <w:rFonts w:ascii="宋体" w:eastAsia="宋体" w:hAnsi="宋体"/>
                <w:szCs w:val="21"/>
              </w:rPr>
              <w:t>应用软件安装包</w:t>
            </w:r>
          </w:p>
        </w:tc>
      </w:tr>
      <w:tr w:rsidTr="00B0769D">
        <w:tblPrEx>
          <w:tblW w:w="0" w:type="auto"/>
          <w:jc w:val="center"/>
          <w:tblLayout w:type="fixed"/>
          <w:tblLook w:val="0000"/>
        </w:tblPrEx>
        <w:trPr>
          <w:jc w:val="center"/>
        </w:trPr>
        <w:tc>
          <w:tcPr>
            <w:tcW w:w="1985" w:type="dxa"/>
          </w:tcPr>
          <w:p w:rsidR="005B6786" w:rsidP="00B0769D">
            <w:pPr>
              <w:snapToGrid w:val="0"/>
              <w:spacing w:before="156" w:beforeLines="50"/>
              <w:rPr>
                <w:rFonts w:ascii="宋体" w:eastAsia="宋体" w:hAnsi="宋体"/>
                <w:szCs w:val="21"/>
              </w:rPr>
            </w:pPr>
            <w:r>
              <w:rPr>
                <w:rFonts w:ascii="宋体" w:eastAsia="宋体" w:hAnsi="宋体"/>
                <w:szCs w:val="21"/>
              </w:rPr>
              <w:t>2</w:t>
            </w:r>
          </w:p>
        </w:tc>
        <w:tc>
          <w:tcPr>
            <w:tcW w:w="6626" w:type="dxa"/>
          </w:tcPr>
          <w:p w:rsidR="005B6786" w:rsidP="00B0769D">
            <w:pPr>
              <w:snapToGrid w:val="0"/>
              <w:spacing w:before="156" w:beforeLines="50"/>
              <w:rPr>
                <w:rFonts w:ascii="宋体" w:eastAsia="宋体" w:hAnsi="宋体"/>
                <w:szCs w:val="21"/>
              </w:rPr>
            </w:pPr>
            <w:r>
              <w:rPr>
                <w:rFonts w:ascii="宋体" w:eastAsia="宋体" w:hAnsi="宋体"/>
                <w:szCs w:val="21"/>
              </w:rPr>
              <w:t>源代码、工程文件及程序说明</w:t>
            </w:r>
          </w:p>
        </w:tc>
      </w:tr>
    </w:tbl>
    <w:p w:rsidR="005B6786" w:rsidP="005B6786">
      <w:pPr>
        <w:pStyle w:val="NormalIndent"/>
        <w:ind w:firstLineChars="0"/>
        <w:rPr>
          <w:rFonts w:ascii="宋体" w:hAnsi="宋体" w:hint="eastAsia"/>
        </w:rPr>
      </w:pPr>
      <w:r>
        <w:rPr>
          <w:rFonts w:ascii="宋体" w:hAnsi="宋体" w:hint="eastAsia"/>
        </w:rPr>
        <w:t>（2）文档交付物</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951"/>
        <w:gridCol w:w="3786"/>
        <w:gridCol w:w="2870"/>
      </w:tblGrid>
      <w:tr w:rsidTr="00B0769D">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Ex>
        <w:trPr>
          <w:jc w:val="center"/>
        </w:trPr>
        <w:tc>
          <w:tcPr>
            <w:tcW w:w="1951" w:type="dxa"/>
            <w:shd w:val="pct10" w:color="auto" w:fill="auto"/>
          </w:tcPr>
          <w:p w:rsidR="005B6786" w:rsidP="00B0769D">
            <w:pPr>
              <w:pStyle w:val="B"/>
              <w:spacing w:before="156" w:beforeLines="50" w:line="360" w:lineRule="auto"/>
              <w:rPr>
                <w:rFonts w:ascii="宋体" w:eastAsia="宋体" w:hAnsi="宋体"/>
              </w:rPr>
            </w:pPr>
            <w:r>
              <w:rPr>
                <w:rFonts w:ascii="宋体" w:eastAsia="宋体" w:hAnsi="宋体"/>
              </w:rPr>
              <w:t>工作内容</w:t>
            </w:r>
          </w:p>
        </w:tc>
        <w:tc>
          <w:tcPr>
            <w:tcW w:w="3786" w:type="dxa"/>
            <w:shd w:val="pct10" w:color="auto" w:fill="auto"/>
          </w:tcPr>
          <w:p w:rsidR="005B6786" w:rsidP="00B0769D">
            <w:pPr>
              <w:pStyle w:val="B"/>
              <w:spacing w:before="156" w:beforeLines="50" w:line="360" w:lineRule="auto"/>
              <w:rPr>
                <w:rFonts w:ascii="宋体" w:eastAsia="宋体" w:hAnsi="宋体"/>
              </w:rPr>
            </w:pPr>
            <w:r>
              <w:rPr>
                <w:rFonts w:ascii="宋体" w:eastAsia="宋体" w:hAnsi="宋体"/>
              </w:rPr>
              <w:t>技术文档</w:t>
            </w:r>
          </w:p>
        </w:tc>
        <w:tc>
          <w:tcPr>
            <w:tcW w:w="2870" w:type="dxa"/>
            <w:shd w:val="pct10" w:color="auto" w:fill="auto"/>
          </w:tcPr>
          <w:p w:rsidR="005B6786" w:rsidP="00B0769D">
            <w:pPr>
              <w:pStyle w:val="B"/>
              <w:spacing w:before="156" w:beforeLines="50" w:line="360" w:lineRule="auto"/>
              <w:rPr>
                <w:rFonts w:ascii="宋体" w:eastAsia="宋体" w:hAnsi="宋体"/>
              </w:rPr>
            </w:pPr>
            <w:r>
              <w:rPr>
                <w:rFonts w:ascii="宋体" w:eastAsia="宋体" w:hAnsi="宋体"/>
              </w:rPr>
              <w:t>管理文档</w:t>
            </w:r>
          </w:p>
        </w:tc>
      </w:tr>
      <w:tr w:rsidTr="00B0769D">
        <w:tblPrEx>
          <w:tblW w:w="0" w:type="auto"/>
          <w:jc w:val="center"/>
          <w:tblLayout w:type="fixed"/>
          <w:tblLook w:val="0000"/>
        </w:tblPrEx>
        <w:trPr>
          <w:jc w:val="center"/>
        </w:trPr>
        <w:tc>
          <w:tcPr>
            <w:tcW w:w="1951" w:type="dxa"/>
          </w:tcPr>
          <w:p w:rsidR="005B6786" w:rsidP="00B0769D">
            <w:pPr>
              <w:snapToGrid w:val="0"/>
              <w:spacing w:before="156" w:beforeLines="50"/>
              <w:rPr>
                <w:rFonts w:ascii="宋体" w:eastAsia="宋体" w:hAnsi="宋体"/>
                <w:szCs w:val="21"/>
              </w:rPr>
            </w:pPr>
            <w:r>
              <w:rPr>
                <w:rFonts w:ascii="宋体" w:eastAsia="宋体" w:hAnsi="宋体"/>
                <w:szCs w:val="21"/>
              </w:rPr>
              <w:t>需求分析</w:t>
            </w:r>
          </w:p>
        </w:tc>
        <w:tc>
          <w:tcPr>
            <w:tcW w:w="3786" w:type="dxa"/>
          </w:tcPr>
          <w:p w:rsidR="005B6786" w:rsidP="00B0769D">
            <w:pPr>
              <w:snapToGrid w:val="0"/>
              <w:spacing w:before="156" w:beforeLines="50"/>
              <w:rPr>
                <w:rFonts w:ascii="宋体" w:eastAsia="宋体" w:hAnsi="宋体"/>
                <w:szCs w:val="21"/>
              </w:rPr>
            </w:pPr>
            <w:r>
              <w:rPr>
                <w:rFonts w:ascii="宋体" w:eastAsia="宋体" w:hAnsi="宋体"/>
                <w:szCs w:val="21"/>
              </w:rPr>
              <w:t>软件需求规格说明书</w:t>
            </w:r>
          </w:p>
        </w:tc>
        <w:tc>
          <w:tcPr>
            <w:tcW w:w="2870" w:type="dxa"/>
          </w:tcPr>
          <w:p w:rsidR="005B6786" w:rsidP="00B0769D">
            <w:pPr>
              <w:snapToGrid w:val="0"/>
              <w:spacing w:before="156" w:beforeLines="50"/>
              <w:rPr>
                <w:rFonts w:ascii="宋体" w:eastAsia="宋体" w:hAnsi="宋体"/>
                <w:szCs w:val="21"/>
              </w:rPr>
            </w:pPr>
            <w:r>
              <w:rPr>
                <w:rFonts w:ascii="宋体" w:eastAsia="宋体" w:hAnsi="宋体"/>
                <w:szCs w:val="21"/>
              </w:rPr>
              <w:t>软件开发计划</w:t>
            </w:r>
          </w:p>
        </w:tc>
      </w:tr>
      <w:tr w:rsidTr="00B0769D">
        <w:tblPrEx>
          <w:tblW w:w="0" w:type="auto"/>
          <w:jc w:val="center"/>
          <w:tblLayout w:type="fixed"/>
          <w:tblLook w:val="0000"/>
        </w:tblPrEx>
        <w:trPr>
          <w:jc w:val="center"/>
        </w:trPr>
        <w:tc>
          <w:tcPr>
            <w:tcW w:w="1951" w:type="dxa"/>
          </w:tcPr>
          <w:p w:rsidR="005B6786" w:rsidP="00B0769D">
            <w:pPr>
              <w:snapToGrid w:val="0"/>
              <w:spacing w:before="156" w:beforeLines="50"/>
              <w:rPr>
                <w:rFonts w:ascii="宋体" w:eastAsia="宋体" w:hAnsi="宋体"/>
                <w:szCs w:val="21"/>
              </w:rPr>
            </w:pPr>
            <w:r>
              <w:rPr>
                <w:rFonts w:ascii="宋体" w:eastAsia="宋体" w:hAnsi="宋体"/>
                <w:szCs w:val="21"/>
              </w:rPr>
              <w:t>设计和开发</w:t>
            </w:r>
          </w:p>
        </w:tc>
        <w:tc>
          <w:tcPr>
            <w:tcW w:w="3786" w:type="dxa"/>
          </w:tcPr>
          <w:p w:rsidR="005B6786" w:rsidP="00B0769D">
            <w:pPr>
              <w:snapToGrid w:val="0"/>
              <w:spacing w:before="156" w:beforeLines="50"/>
              <w:rPr>
                <w:rFonts w:ascii="宋体" w:eastAsia="宋体" w:hAnsi="宋体"/>
                <w:szCs w:val="21"/>
              </w:rPr>
            </w:pPr>
            <w:r>
              <w:rPr>
                <w:rFonts w:ascii="宋体" w:eastAsia="宋体" w:hAnsi="宋体"/>
                <w:szCs w:val="21"/>
              </w:rPr>
              <w:t>概要设计说明书</w:t>
            </w:r>
          </w:p>
        </w:tc>
        <w:tc>
          <w:tcPr>
            <w:tcW w:w="2870" w:type="dxa"/>
          </w:tcPr>
          <w:p w:rsidR="005B6786" w:rsidP="00B0769D">
            <w:pPr>
              <w:snapToGrid w:val="0"/>
              <w:spacing w:before="156" w:beforeLines="50"/>
              <w:rPr>
                <w:rFonts w:ascii="宋体" w:eastAsia="宋体" w:hAnsi="宋体"/>
                <w:szCs w:val="21"/>
              </w:rPr>
            </w:pPr>
          </w:p>
        </w:tc>
      </w:tr>
      <w:tr w:rsidTr="00B0769D">
        <w:tblPrEx>
          <w:tblW w:w="0" w:type="auto"/>
          <w:jc w:val="center"/>
          <w:tblLayout w:type="fixed"/>
          <w:tblLook w:val="0000"/>
        </w:tblPrEx>
        <w:trPr>
          <w:jc w:val="center"/>
        </w:trPr>
        <w:tc>
          <w:tcPr>
            <w:tcW w:w="1951" w:type="dxa"/>
            <w:vMerge w:val="restart"/>
          </w:tcPr>
          <w:p w:rsidR="005B6786" w:rsidP="00B0769D">
            <w:pPr>
              <w:snapToGrid w:val="0"/>
              <w:spacing w:before="156" w:beforeLines="50"/>
              <w:rPr>
                <w:rFonts w:ascii="宋体" w:eastAsia="宋体" w:hAnsi="宋体"/>
                <w:szCs w:val="21"/>
              </w:rPr>
            </w:pPr>
            <w:r>
              <w:rPr>
                <w:rFonts w:ascii="宋体" w:eastAsia="宋体" w:hAnsi="宋体"/>
                <w:szCs w:val="21"/>
              </w:rPr>
              <w:t>测试</w:t>
            </w:r>
          </w:p>
        </w:tc>
        <w:tc>
          <w:tcPr>
            <w:tcW w:w="3786" w:type="dxa"/>
          </w:tcPr>
          <w:p w:rsidR="005B6786" w:rsidP="00B0769D">
            <w:pPr>
              <w:snapToGrid w:val="0"/>
              <w:spacing w:before="156" w:beforeLines="50"/>
              <w:rPr>
                <w:rFonts w:ascii="宋体" w:eastAsia="宋体" w:hAnsi="宋体"/>
                <w:szCs w:val="21"/>
              </w:rPr>
            </w:pPr>
            <w:r>
              <w:rPr>
                <w:rFonts w:ascii="宋体" w:eastAsia="宋体" w:hAnsi="宋体"/>
                <w:szCs w:val="21"/>
              </w:rPr>
              <w:t>软件测试方案</w:t>
            </w:r>
          </w:p>
        </w:tc>
        <w:tc>
          <w:tcPr>
            <w:tcW w:w="2870" w:type="dxa"/>
            <w:vMerge w:val="restart"/>
          </w:tcPr>
          <w:p w:rsidR="005B6786" w:rsidP="00B0769D">
            <w:pPr>
              <w:snapToGrid w:val="0"/>
              <w:spacing w:before="156" w:beforeLines="50"/>
              <w:rPr>
                <w:rFonts w:ascii="宋体" w:eastAsia="宋体" w:hAnsi="宋体"/>
                <w:szCs w:val="21"/>
              </w:rPr>
            </w:pPr>
          </w:p>
        </w:tc>
      </w:tr>
      <w:tr w:rsidTr="00B0769D">
        <w:tblPrEx>
          <w:tblW w:w="0" w:type="auto"/>
          <w:jc w:val="center"/>
          <w:tblLayout w:type="fixed"/>
          <w:tblLook w:val="0000"/>
        </w:tblPrEx>
        <w:trPr>
          <w:jc w:val="center"/>
        </w:trPr>
        <w:tc>
          <w:tcPr>
            <w:tcW w:w="1951" w:type="dxa"/>
            <w:vMerge/>
          </w:tcPr>
          <w:p w:rsidR="005B6786" w:rsidP="00B0769D">
            <w:pPr>
              <w:snapToGrid w:val="0"/>
              <w:spacing w:before="156" w:beforeLines="50"/>
              <w:rPr>
                <w:rFonts w:ascii="宋体" w:eastAsia="宋体" w:hAnsi="宋体"/>
                <w:szCs w:val="21"/>
              </w:rPr>
            </w:pPr>
          </w:p>
        </w:tc>
        <w:tc>
          <w:tcPr>
            <w:tcW w:w="3786" w:type="dxa"/>
          </w:tcPr>
          <w:p w:rsidR="005B6786" w:rsidP="00B0769D">
            <w:pPr>
              <w:snapToGrid w:val="0"/>
              <w:spacing w:before="156" w:beforeLines="50"/>
              <w:rPr>
                <w:rFonts w:ascii="宋体" w:eastAsia="宋体" w:hAnsi="宋体"/>
                <w:szCs w:val="21"/>
              </w:rPr>
            </w:pPr>
            <w:r>
              <w:rPr>
                <w:rFonts w:ascii="宋体" w:eastAsia="宋体" w:hAnsi="宋体"/>
                <w:szCs w:val="21"/>
              </w:rPr>
              <w:t>软件测试报告</w:t>
            </w:r>
          </w:p>
        </w:tc>
        <w:tc>
          <w:tcPr>
            <w:tcW w:w="2870" w:type="dxa"/>
            <w:vMerge/>
          </w:tcPr>
          <w:p w:rsidR="005B6786" w:rsidP="00B0769D">
            <w:pPr>
              <w:snapToGrid w:val="0"/>
              <w:spacing w:before="156" w:beforeLines="50"/>
              <w:rPr>
                <w:rFonts w:ascii="宋体" w:eastAsia="宋体" w:hAnsi="宋体"/>
                <w:szCs w:val="21"/>
              </w:rPr>
            </w:pPr>
          </w:p>
        </w:tc>
      </w:tr>
      <w:tr w:rsidTr="00B0769D">
        <w:tblPrEx>
          <w:tblW w:w="0" w:type="auto"/>
          <w:jc w:val="center"/>
          <w:tblLayout w:type="fixed"/>
          <w:tblLook w:val="0000"/>
        </w:tblPrEx>
        <w:trPr>
          <w:jc w:val="center"/>
        </w:trPr>
        <w:tc>
          <w:tcPr>
            <w:tcW w:w="1951" w:type="dxa"/>
            <w:vMerge w:val="restart"/>
          </w:tcPr>
          <w:p w:rsidR="005B6786" w:rsidP="00B0769D">
            <w:pPr>
              <w:snapToGrid w:val="0"/>
              <w:spacing w:before="156" w:beforeLines="50"/>
              <w:rPr>
                <w:rFonts w:ascii="宋体" w:eastAsia="宋体" w:hAnsi="宋体"/>
                <w:szCs w:val="21"/>
              </w:rPr>
            </w:pPr>
            <w:r>
              <w:rPr>
                <w:rFonts w:ascii="宋体" w:eastAsia="宋体" w:hAnsi="宋体"/>
                <w:szCs w:val="21"/>
              </w:rPr>
              <w:t>初验</w:t>
            </w:r>
          </w:p>
        </w:tc>
        <w:tc>
          <w:tcPr>
            <w:tcW w:w="3786" w:type="dxa"/>
          </w:tcPr>
          <w:p w:rsidR="005B6786" w:rsidP="00B0769D">
            <w:pPr>
              <w:snapToGrid w:val="0"/>
              <w:spacing w:before="156" w:beforeLines="50"/>
              <w:rPr>
                <w:rFonts w:ascii="宋体" w:eastAsia="宋体" w:hAnsi="宋体"/>
                <w:szCs w:val="21"/>
              </w:rPr>
            </w:pPr>
            <w:r>
              <w:rPr>
                <w:rFonts w:ascii="宋体" w:eastAsia="宋体" w:hAnsi="宋体"/>
                <w:szCs w:val="21"/>
              </w:rPr>
              <w:t>用户手册</w:t>
            </w:r>
          </w:p>
        </w:tc>
        <w:tc>
          <w:tcPr>
            <w:tcW w:w="2870" w:type="dxa"/>
            <w:vMerge w:val="restart"/>
          </w:tcPr>
          <w:p w:rsidR="005B6786" w:rsidP="00B0769D">
            <w:pPr>
              <w:snapToGrid w:val="0"/>
              <w:spacing w:before="156" w:beforeLines="50"/>
              <w:rPr>
                <w:rFonts w:ascii="宋体" w:eastAsia="宋体" w:hAnsi="宋体"/>
                <w:szCs w:val="21"/>
              </w:rPr>
            </w:pPr>
            <w:r>
              <w:rPr>
                <w:rFonts w:ascii="宋体" w:eastAsia="宋体" w:hAnsi="宋体"/>
                <w:szCs w:val="21"/>
              </w:rPr>
              <w:t>初验申请</w:t>
            </w:r>
          </w:p>
        </w:tc>
      </w:tr>
      <w:tr w:rsidTr="00B0769D">
        <w:tblPrEx>
          <w:tblW w:w="0" w:type="auto"/>
          <w:jc w:val="center"/>
          <w:tblLayout w:type="fixed"/>
          <w:tblLook w:val="0000"/>
        </w:tblPrEx>
        <w:trPr>
          <w:jc w:val="center"/>
        </w:trPr>
        <w:tc>
          <w:tcPr>
            <w:tcW w:w="1951" w:type="dxa"/>
            <w:vMerge/>
          </w:tcPr>
          <w:p w:rsidR="005B6786" w:rsidP="00B0769D">
            <w:pPr>
              <w:snapToGrid w:val="0"/>
              <w:spacing w:before="156" w:beforeLines="50"/>
              <w:rPr>
                <w:rFonts w:ascii="宋体" w:eastAsia="宋体" w:hAnsi="宋体"/>
                <w:szCs w:val="21"/>
              </w:rPr>
            </w:pPr>
          </w:p>
        </w:tc>
        <w:tc>
          <w:tcPr>
            <w:tcW w:w="3786" w:type="dxa"/>
          </w:tcPr>
          <w:p w:rsidR="005B6786" w:rsidP="00B0769D">
            <w:pPr>
              <w:snapToGrid w:val="0"/>
              <w:spacing w:before="156" w:beforeLines="50"/>
              <w:rPr>
                <w:rFonts w:ascii="宋体" w:eastAsia="宋体" w:hAnsi="宋体"/>
                <w:szCs w:val="21"/>
              </w:rPr>
            </w:pPr>
            <w:r>
              <w:rPr>
                <w:rFonts w:ascii="宋体" w:eastAsia="宋体" w:hAnsi="宋体"/>
                <w:szCs w:val="21"/>
              </w:rPr>
              <w:t>运行维护手册</w:t>
            </w:r>
          </w:p>
        </w:tc>
        <w:tc>
          <w:tcPr>
            <w:tcW w:w="2870" w:type="dxa"/>
            <w:vMerge/>
          </w:tcPr>
          <w:p w:rsidR="005B6786" w:rsidP="00B0769D">
            <w:pPr>
              <w:snapToGrid w:val="0"/>
              <w:spacing w:before="156" w:beforeLines="50"/>
              <w:rPr>
                <w:rFonts w:ascii="宋体" w:eastAsia="宋体" w:hAnsi="宋体"/>
                <w:szCs w:val="21"/>
              </w:rPr>
            </w:pPr>
          </w:p>
        </w:tc>
      </w:tr>
      <w:tr w:rsidTr="00B0769D">
        <w:tblPrEx>
          <w:tblW w:w="0" w:type="auto"/>
          <w:jc w:val="center"/>
          <w:tblLayout w:type="fixed"/>
          <w:tblLook w:val="0000"/>
        </w:tblPrEx>
        <w:trPr>
          <w:jc w:val="center"/>
        </w:trPr>
        <w:tc>
          <w:tcPr>
            <w:tcW w:w="1951" w:type="dxa"/>
            <w:vMerge/>
          </w:tcPr>
          <w:p w:rsidR="005B6786" w:rsidP="00B0769D">
            <w:pPr>
              <w:snapToGrid w:val="0"/>
              <w:spacing w:before="156" w:beforeLines="50"/>
              <w:rPr>
                <w:rFonts w:ascii="宋体" w:eastAsia="宋体" w:hAnsi="宋体"/>
                <w:szCs w:val="21"/>
              </w:rPr>
            </w:pPr>
          </w:p>
        </w:tc>
        <w:tc>
          <w:tcPr>
            <w:tcW w:w="3786" w:type="dxa"/>
          </w:tcPr>
          <w:p w:rsidR="005B6786" w:rsidP="00B0769D">
            <w:pPr>
              <w:snapToGrid w:val="0"/>
              <w:spacing w:before="156" w:beforeLines="50"/>
              <w:rPr>
                <w:rFonts w:ascii="宋体" w:eastAsia="宋体" w:hAnsi="宋体"/>
                <w:szCs w:val="21"/>
              </w:rPr>
            </w:pPr>
            <w:r>
              <w:rPr>
                <w:rFonts w:ascii="宋体" w:eastAsia="宋体" w:hAnsi="宋体"/>
                <w:szCs w:val="21"/>
              </w:rPr>
              <w:t>系统部署及配置说明书</w:t>
            </w:r>
          </w:p>
        </w:tc>
        <w:tc>
          <w:tcPr>
            <w:tcW w:w="2870" w:type="dxa"/>
            <w:vMerge/>
          </w:tcPr>
          <w:p w:rsidR="005B6786" w:rsidP="00B0769D">
            <w:pPr>
              <w:snapToGrid w:val="0"/>
              <w:spacing w:before="156" w:beforeLines="50"/>
              <w:rPr>
                <w:rFonts w:ascii="宋体" w:eastAsia="宋体" w:hAnsi="宋体"/>
                <w:szCs w:val="21"/>
              </w:rPr>
            </w:pPr>
          </w:p>
        </w:tc>
      </w:tr>
      <w:tr w:rsidTr="00B0769D">
        <w:tblPrEx>
          <w:tblW w:w="0" w:type="auto"/>
          <w:jc w:val="center"/>
          <w:tblLayout w:type="fixed"/>
          <w:tblLook w:val="0000"/>
        </w:tblPrEx>
        <w:trPr>
          <w:jc w:val="center"/>
        </w:trPr>
        <w:tc>
          <w:tcPr>
            <w:tcW w:w="1951" w:type="dxa"/>
          </w:tcPr>
          <w:p w:rsidR="005B6786" w:rsidP="00B0769D">
            <w:pPr>
              <w:snapToGrid w:val="0"/>
              <w:spacing w:before="156" w:beforeLines="50"/>
              <w:rPr>
                <w:rFonts w:ascii="宋体" w:eastAsia="宋体" w:hAnsi="宋体"/>
                <w:szCs w:val="21"/>
              </w:rPr>
            </w:pPr>
            <w:r>
              <w:rPr>
                <w:rFonts w:ascii="宋体" w:eastAsia="宋体" w:hAnsi="宋体"/>
                <w:szCs w:val="21"/>
              </w:rPr>
              <w:t>试运行</w:t>
            </w:r>
          </w:p>
        </w:tc>
        <w:tc>
          <w:tcPr>
            <w:tcW w:w="3786" w:type="dxa"/>
          </w:tcPr>
          <w:p w:rsidR="005B6786" w:rsidP="00B0769D">
            <w:pPr>
              <w:snapToGrid w:val="0"/>
              <w:spacing w:before="156" w:beforeLines="50"/>
              <w:rPr>
                <w:rFonts w:ascii="宋体" w:eastAsia="宋体" w:hAnsi="宋体"/>
                <w:szCs w:val="21"/>
              </w:rPr>
            </w:pPr>
            <w:r>
              <w:rPr>
                <w:rFonts w:ascii="宋体" w:eastAsia="宋体" w:hAnsi="宋体"/>
              </w:rPr>
              <w:t>试运行评估报告</w:t>
            </w:r>
          </w:p>
        </w:tc>
        <w:tc>
          <w:tcPr>
            <w:tcW w:w="2870" w:type="dxa"/>
          </w:tcPr>
          <w:p w:rsidR="005B6786" w:rsidP="00B0769D">
            <w:pPr>
              <w:snapToGrid w:val="0"/>
              <w:spacing w:before="156" w:beforeLines="50"/>
              <w:rPr>
                <w:rFonts w:ascii="宋体" w:eastAsia="宋体" w:hAnsi="宋体"/>
                <w:szCs w:val="21"/>
              </w:rPr>
            </w:pPr>
          </w:p>
        </w:tc>
      </w:tr>
      <w:tr w:rsidTr="00B0769D">
        <w:tblPrEx>
          <w:tblW w:w="0" w:type="auto"/>
          <w:jc w:val="center"/>
          <w:tblLayout w:type="fixed"/>
          <w:tblLook w:val="0000"/>
        </w:tblPrEx>
        <w:trPr>
          <w:jc w:val="center"/>
        </w:trPr>
        <w:tc>
          <w:tcPr>
            <w:tcW w:w="1951" w:type="dxa"/>
          </w:tcPr>
          <w:p w:rsidR="005B6786" w:rsidP="00B0769D">
            <w:pPr>
              <w:snapToGrid w:val="0"/>
              <w:spacing w:before="156" w:beforeLines="50"/>
              <w:rPr>
                <w:rFonts w:ascii="宋体" w:eastAsia="宋体" w:hAnsi="宋体"/>
                <w:szCs w:val="21"/>
              </w:rPr>
            </w:pPr>
            <w:r>
              <w:rPr>
                <w:rFonts w:ascii="宋体" w:eastAsia="宋体" w:hAnsi="宋体"/>
                <w:szCs w:val="21"/>
              </w:rPr>
              <w:t>培训</w:t>
            </w:r>
          </w:p>
        </w:tc>
        <w:tc>
          <w:tcPr>
            <w:tcW w:w="3786" w:type="dxa"/>
          </w:tcPr>
          <w:p w:rsidR="005B6786" w:rsidP="00B0769D">
            <w:pPr>
              <w:snapToGrid w:val="0"/>
              <w:spacing w:before="156" w:beforeLines="50"/>
              <w:rPr>
                <w:rFonts w:ascii="宋体" w:eastAsia="宋体" w:hAnsi="宋体"/>
                <w:szCs w:val="21"/>
              </w:rPr>
            </w:pPr>
            <w:r>
              <w:rPr>
                <w:rFonts w:ascii="宋体" w:eastAsia="宋体" w:hAnsi="宋体"/>
                <w:szCs w:val="21"/>
              </w:rPr>
              <w:t>培训教程</w:t>
            </w:r>
          </w:p>
        </w:tc>
        <w:tc>
          <w:tcPr>
            <w:tcW w:w="2870" w:type="dxa"/>
          </w:tcPr>
          <w:p w:rsidR="005B6786" w:rsidP="00B0769D">
            <w:pPr>
              <w:snapToGrid w:val="0"/>
              <w:spacing w:before="156" w:beforeLines="50"/>
              <w:rPr>
                <w:rFonts w:ascii="宋体" w:eastAsia="宋体" w:hAnsi="宋体"/>
                <w:szCs w:val="21"/>
              </w:rPr>
            </w:pPr>
          </w:p>
        </w:tc>
      </w:tr>
      <w:tr w:rsidTr="00B0769D">
        <w:tblPrEx>
          <w:tblW w:w="0" w:type="auto"/>
          <w:jc w:val="center"/>
          <w:tblLayout w:type="fixed"/>
          <w:tblLook w:val="0000"/>
        </w:tblPrEx>
        <w:trPr>
          <w:jc w:val="center"/>
        </w:trPr>
        <w:tc>
          <w:tcPr>
            <w:tcW w:w="1951" w:type="dxa"/>
            <w:vMerge w:val="restart"/>
          </w:tcPr>
          <w:p w:rsidR="005B6786" w:rsidP="00B0769D">
            <w:pPr>
              <w:snapToGrid w:val="0"/>
              <w:spacing w:before="156" w:beforeLines="50"/>
              <w:rPr>
                <w:rFonts w:ascii="宋体" w:eastAsia="宋体" w:hAnsi="宋体"/>
                <w:szCs w:val="21"/>
              </w:rPr>
            </w:pPr>
            <w:r>
              <w:rPr>
                <w:rFonts w:ascii="宋体" w:eastAsia="宋体" w:hAnsi="宋体"/>
                <w:szCs w:val="21"/>
              </w:rPr>
              <w:t>终验</w:t>
            </w:r>
          </w:p>
        </w:tc>
        <w:tc>
          <w:tcPr>
            <w:tcW w:w="3786" w:type="dxa"/>
          </w:tcPr>
          <w:p w:rsidR="005B6786" w:rsidP="00B0769D">
            <w:pPr>
              <w:snapToGrid w:val="0"/>
              <w:spacing w:before="156" w:beforeLines="50"/>
              <w:rPr>
                <w:rFonts w:ascii="宋体" w:eastAsia="宋体" w:hAnsi="宋体"/>
                <w:szCs w:val="21"/>
              </w:rPr>
            </w:pPr>
            <w:r>
              <w:rPr>
                <w:rFonts w:ascii="宋体" w:eastAsia="宋体" w:hAnsi="宋体"/>
                <w:szCs w:val="21"/>
              </w:rPr>
              <w:t>验收报告</w:t>
            </w:r>
          </w:p>
        </w:tc>
        <w:tc>
          <w:tcPr>
            <w:tcW w:w="2870" w:type="dxa"/>
            <w:vMerge w:val="restart"/>
          </w:tcPr>
          <w:p w:rsidR="005B6786" w:rsidP="00B0769D">
            <w:pPr>
              <w:snapToGrid w:val="0"/>
              <w:spacing w:before="156" w:beforeLines="50"/>
              <w:rPr>
                <w:rFonts w:ascii="宋体" w:eastAsia="宋体" w:hAnsi="宋体"/>
                <w:szCs w:val="21"/>
              </w:rPr>
            </w:pPr>
            <w:r>
              <w:rPr>
                <w:rFonts w:ascii="宋体" w:eastAsia="宋体" w:hAnsi="宋体"/>
                <w:szCs w:val="21"/>
              </w:rPr>
              <w:t>终验申请</w:t>
            </w:r>
          </w:p>
        </w:tc>
      </w:tr>
      <w:tr w:rsidTr="00B0769D">
        <w:tblPrEx>
          <w:tblW w:w="0" w:type="auto"/>
          <w:jc w:val="center"/>
          <w:tblLayout w:type="fixed"/>
          <w:tblLook w:val="0000"/>
        </w:tblPrEx>
        <w:trPr>
          <w:jc w:val="center"/>
        </w:trPr>
        <w:tc>
          <w:tcPr>
            <w:tcW w:w="1951" w:type="dxa"/>
            <w:vMerge/>
          </w:tcPr>
          <w:p w:rsidR="005B6786" w:rsidP="00B0769D">
            <w:pPr>
              <w:snapToGrid w:val="0"/>
              <w:spacing w:before="156" w:beforeLines="50"/>
              <w:rPr>
                <w:rFonts w:ascii="宋体" w:eastAsia="宋体" w:hAnsi="宋体"/>
                <w:szCs w:val="21"/>
              </w:rPr>
            </w:pPr>
          </w:p>
        </w:tc>
        <w:tc>
          <w:tcPr>
            <w:tcW w:w="3786" w:type="dxa"/>
          </w:tcPr>
          <w:p w:rsidR="005B6786" w:rsidP="00B0769D">
            <w:pPr>
              <w:snapToGrid w:val="0"/>
              <w:spacing w:before="156" w:beforeLines="50"/>
              <w:rPr>
                <w:rFonts w:ascii="宋体" w:eastAsia="宋体" w:hAnsi="宋体"/>
                <w:szCs w:val="21"/>
              </w:rPr>
            </w:pPr>
            <w:r>
              <w:rPr>
                <w:rFonts w:ascii="宋体" w:eastAsia="宋体" w:hAnsi="宋体"/>
                <w:szCs w:val="21"/>
              </w:rPr>
              <w:t>技术总结报告</w:t>
            </w:r>
          </w:p>
        </w:tc>
        <w:tc>
          <w:tcPr>
            <w:tcW w:w="2870" w:type="dxa"/>
            <w:vMerge/>
          </w:tcPr>
          <w:p w:rsidR="005B6786" w:rsidP="00B0769D">
            <w:pPr>
              <w:snapToGrid w:val="0"/>
              <w:spacing w:before="156" w:beforeLines="50"/>
              <w:rPr>
                <w:rFonts w:ascii="宋体" w:eastAsia="宋体" w:hAnsi="宋体"/>
                <w:szCs w:val="21"/>
              </w:rPr>
            </w:pPr>
          </w:p>
        </w:tc>
      </w:tr>
      <w:tr w:rsidTr="00B0769D">
        <w:tblPrEx>
          <w:tblW w:w="0" w:type="auto"/>
          <w:jc w:val="center"/>
          <w:tblLayout w:type="fixed"/>
          <w:tblLook w:val="0000"/>
        </w:tblPrEx>
        <w:trPr>
          <w:jc w:val="center"/>
        </w:trPr>
        <w:tc>
          <w:tcPr>
            <w:tcW w:w="1951" w:type="dxa"/>
            <w:vMerge w:val="restart"/>
          </w:tcPr>
          <w:p w:rsidR="005B6786" w:rsidP="00B0769D">
            <w:pPr>
              <w:snapToGrid w:val="0"/>
              <w:spacing w:before="156" w:beforeLines="50"/>
              <w:rPr>
                <w:rFonts w:ascii="宋体" w:eastAsia="宋体" w:hAnsi="宋体"/>
                <w:szCs w:val="21"/>
              </w:rPr>
            </w:pPr>
            <w:r>
              <w:rPr>
                <w:rFonts w:ascii="宋体" w:eastAsia="宋体" w:hAnsi="宋体"/>
                <w:szCs w:val="21"/>
              </w:rPr>
              <w:t>其他</w:t>
            </w:r>
          </w:p>
        </w:tc>
        <w:tc>
          <w:tcPr>
            <w:tcW w:w="3786" w:type="dxa"/>
            <w:vMerge w:val="restart"/>
          </w:tcPr>
          <w:p w:rsidR="005B6786" w:rsidP="00B0769D">
            <w:pPr>
              <w:snapToGrid w:val="0"/>
              <w:spacing w:before="156" w:beforeLines="50"/>
              <w:rPr>
                <w:rFonts w:ascii="宋体" w:eastAsia="宋体" w:hAnsi="宋体"/>
                <w:szCs w:val="21"/>
              </w:rPr>
            </w:pPr>
          </w:p>
        </w:tc>
        <w:tc>
          <w:tcPr>
            <w:tcW w:w="2870" w:type="dxa"/>
          </w:tcPr>
          <w:p w:rsidR="005B6786" w:rsidP="00B0769D">
            <w:pPr>
              <w:snapToGrid w:val="0"/>
              <w:spacing w:before="156" w:beforeLines="50"/>
              <w:rPr>
                <w:rFonts w:ascii="宋体" w:eastAsia="宋体" w:hAnsi="宋体"/>
                <w:szCs w:val="21"/>
              </w:rPr>
            </w:pPr>
            <w:r>
              <w:rPr>
                <w:rFonts w:ascii="宋体" w:eastAsia="宋体" w:hAnsi="宋体"/>
                <w:szCs w:val="21"/>
              </w:rPr>
              <w:t>项目周报</w:t>
            </w:r>
          </w:p>
        </w:tc>
      </w:tr>
      <w:tr w:rsidTr="00B0769D">
        <w:tblPrEx>
          <w:tblW w:w="0" w:type="auto"/>
          <w:jc w:val="center"/>
          <w:tblLayout w:type="fixed"/>
          <w:tblLook w:val="0000"/>
        </w:tblPrEx>
        <w:trPr>
          <w:jc w:val="center"/>
        </w:trPr>
        <w:tc>
          <w:tcPr>
            <w:tcW w:w="1951" w:type="dxa"/>
            <w:vMerge/>
          </w:tcPr>
          <w:p w:rsidR="005B6786" w:rsidP="00B0769D">
            <w:pPr>
              <w:snapToGrid w:val="0"/>
              <w:spacing w:before="156" w:beforeLines="50"/>
              <w:rPr>
                <w:rFonts w:ascii="宋体" w:eastAsia="宋体" w:hAnsi="宋体"/>
                <w:szCs w:val="21"/>
              </w:rPr>
            </w:pPr>
          </w:p>
        </w:tc>
        <w:tc>
          <w:tcPr>
            <w:tcW w:w="3786" w:type="dxa"/>
            <w:vMerge/>
          </w:tcPr>
          <w:p w:rsidR="005B6786" w:rsidP="00B0769D">
            <w:pPr>
              <w:snapToGrid w:val="0"/>
              <w:spacing w:before="156" w:beforeLines="50"/>
              <w:rPr>
                <w:rFonts w:ascii="宋体" w:eastAsia="宋体" w:hAnsi="宋体"/>
                <w:szCs w:val="21"/>
              </w:rPr>
            </w:pPr>
          </w:p>
        </w:tc>
        <w:tc>
          <w:tcPr>
            <w:tcW w:w="2870" w:type="dxa"/>
          </w:tcPr>
          <w:p w:rsidR="005B6786" w:rsidP="00B0769D">
            <w:pPr>
              <w:snapToGrid w:val="0"/>
              <w:spacing w:before="156" w:beforeLines="50"/>
              <w:rPr>
                <w:rFonts w:ascii="宋体" w:eastAsia="宋体" w:hAnsi="宋体"/>
                <w:szCs w:val="21"/>
              </w:rPr>
            </w:pPr>
            <w:r>
              <w:rPr>
                <w:rFonts w:ascii="宋体" w:eastAsia="宋体" w:hAnsi="宋体"/>
                <w:szCs w:val="21"/>
              </w:rPr>
              <w:t>会议纪要</w:t>
            </w:r>
          </w:p>
        </w:tc>
      </w:tr>
    </w:tbl>
    <w:p w:rsidR="005B6786" w:rsidP="005B6786">
      <w:pPr>
        <w:pStyle w:val="Heading2"/>
        <w:keepNext/>
        <w:keepLines/>
        <w:widowControl w:val="0"/>
        <w:numPr>
          <w:ilvl w:val="1"/>
          <w:numId w:val="4"/>
        </w:numPr>
        <w:spacing w:line="560" w:lineRule="exact"/>
        <w:ind w:left="575" w:hanging="575"/>
        <w:jc w:val="both"/>
        <w:rPr>
          <w:rFonts w:hint="eastAsia"/>
        </w:rPr>
      </w:pPr>
      <w:bookmarkStart w:id="404" w:name="_Toc119829565"/>
      <w:bookmarkStart w:id="405" w:name="_Toc791206916"/>
      <w:bookmarkStart w:id="406" w:name="_Toc27981"/>
      <w:bookmarkStart w:id="407" w:name="_Toc231542582"/>
      <w:r>
        <w:rPr>
          <w:rFonts w:hint="eastAsia"/>
        </w:rPr>
        <w:t>项目组织与管理要求</w:t>
      </w:r>
      <w:bookmarkEnd w:id="404"/>
      <w:bookmarkEnd w:id="405"/>
      <w:bookmarkEnd w:id="406"/>
      <w:bookmarkEnd w:id="407"/>
    </w:p>
    <w:p w:rsidR="005B6786" w:rsidP="005B6786">
      <w:pPr>
        <w:pStyle w:val="Heading3"/>
        <w:keepNext/>
        <w:keepLines/>
        <w:widowControl w:val="0"/>
        <w:numPr>
          <w:ilvl w:val="2"/>
          <w:numId w:val="4"/>
        </w:numPr>
        <w:spacing w:line="560" w:lineRule="atLeast"/>
        <w:ind w:left="720" w:hanging="720"/>
        <w:jc w:val="both"/>
        <w:rPr>
          <w:rFonts w:hint="eastAsia"/>
        </w:rPr>
      </w:pPr>
      <w:bookmarkStart w:id="408" w:name="_Toc11445"/>
      <w:bookmarkStart w:id="409" w:name="_Toc595894988"/>
      <w:bookmarkStart w:id="410" w:name="_Toc119829566"/>
      <w:bookmarkStart w:id="411" w:name="_Toc231542583"/>
      <w:r>
        <w:rPr>
          <w:rFonts w:hint="eastAsia"/>
        </w:rPr>
        <w:t>编制软件开发实施进度计划并组织实施</w:t>
      </w:r>
      <w:bookmarkEnd w:id="408"/>
      <w:bookmarkEnd w:id="409"/>
      <w:bookmarkEnd w:id="410"/>
      <w:bookmarkEnd w:id="411"/>
    </w:p>
    <w:p w:rsidR="005B6786" w:rsidP="005B6786">
      <w:pPr>
        <w:pStyle w:val="NormalIndent"/>
        <w:numPr>
          <w:ilvl w:val="0"/>
          <w:numId w:val="13"/>
        </w:numPr>
        <w:ind w:firstLineChars="0"/>
        <w:rPr>
          <w:rFonts w:ascii="宋体" w:hAnsi="宋体" w:hint="eastAsia"/>
        </w:rPr>
      </w:pPr>
      <w:r>
        <w:rPr>
          <w:rFonts w:ascii="宋体" w:hAnsi="宋体" w:hint="eastAsia"/>
        </w:rPr>
        <w:t>提供软件开发实施详细计划。</w:t>
      </w:r>
    </w:p>
    <w:p w:rsidR="005B6786" w:rsidP="005B6786">
      <w:pPr>
        <w:pStyle w:val="NormalIndent"/>
        <w:numPr>
          <w:ilvl w:val="0"/>
          <w:numId w:val="13"/>
        </w:numPr>
        <w:ind w:firstLineChars="0"/>
        <w:rPr>
          <w:rFonts w:ascii="宋体" w:hAnsi="宋体" w:hint="eastAsia"/>
        </w:rPr>
      </w:pPr>
      <w:r>
        <w:rPr>
          <w:rFonts w:ascii="宋体" w:hAnsi="宋体" w:hint="eastAsia"/>
        </w:rPr>
        <w:t>每周向甲方提供工作实施进展情况，并提出相关建议。</w:t>
      </w:r>
    </w:p>
    <w:p w:rsidR="005B6786" w:rsidP="005B6786">
      <w:pPr>
        <w:pStyle w:val="NormalIndent"/>
        <w:numPr>
          <w:ilvl w:val="0"/>
          <w:numId w:val="13"/>
        </w:numPr>
        <w:ind w:firstLineChars="0"/>
        <w:rPr>
          <w:rFonts w:ascii="宋体" w:hAnsi="宋体" w:hint="eastAsia"/>
        </w:rPr>
      </w:pPr>
      <w:r>
        <w:rPr>
          <w:rFonts w:ascii="宋体" w:hAnsi="宋体" w:hint="eastAsia"/>
        </w:rPr>
        <w:t>解决软件开发实施过程中出现的各种技术问题。</w:t>
      </w:r>
    </w:p>
    <w:p w:rsidR="005B6786" w:rsidP="005B6786">
      <w:pPr>
        <w:pStyle w:val="NormalIndent"/>
        <w:numPr>
          <w:ilvl w:val="0"/>
          <w:numId w:val="13"/>
        </w:numPr>
        <w:ind w:firstLineChars="0"/>
        <w:rPr>
          <w:rFonts w:ascii="宋体" w:hAnsi="宋体" w:hint="eastAsia"/>
        </w:rPr>
      </w:pPr>
      <w:r>
        <w:rPr>
          <w:rFonts w:ascii="宋体" w:hAnsi="宋体" w:hint="eastAsia"/>
        </w:rPr>
        <w:t>协助甲方处理实施过程中出现的质量事故。</w:t>
      </w:r>
    </w:p>
    <w:p w:rsidR="005B6786" w:rsidP="005B6786">
      <w:pPr>
        <w:pStyle w:val="NormalIndent"/>
        <w:numPr>
          <w:ilvl w:val="0"/>
          <w:numId w:val="13"/>
        </w:numPr>
        <w:ind w:firstLineChars="0"/>
        <w:rPr>
          <w:rFonts w:ascii="宋体" w:hAnsi="宋体" w:hint="eastAsia"/>
        </w:rPr>
      </w:pPr>
      <w:r>
        <w:rPr>
          <w:rFonts w:ascii="宋体" w:hAnsi="宋体" w:hint="eastAsia"/>
        </w:rPr>
        <w:t>计划周密，当项目建设过程中出现变化时，要能及时做出调整。</w:t>
      </w:r>
    </w:p>
    <w:p w:rsidR="005B6786" w:rsidP="005B6786">
      <w:pPr>
        <w:pStyle w:val="NormalIndent"/>
        <w:numPr>
          <w:ilvl w:val="0"/>
          <w:numId w:val="13"/>
        </w:numPr>
        <w:ind w:firstLineChars="0"/>
        <w:rPr>
          <w:rFonts w:ascii="宋体" w:hAnsi="宋体" w:hint="eastAsia"/>
        </w:rPr>
      </w:pPr>
      <w:r>
        <w:rPr>
          <w:rFonts w:ascii="宋体" w:hAnsi="宋体" w:hint="eastAsia"/>
        </w:rPr>
        <w:t>要有规范的整体项目管理、项目质量管理和进度管理机制。</w:t>
      </w:r>
    </w:p>
    <w:p w:rsidR="005B6786" w:rsidP="005B6786">
      <w:pPr>
        <w:pStyle w:val="Heading3"/>
        <w:keepNext/>
        <w:keepLines/>
        <w:widowControl w:val="0"/>
        <w:numPr>
          <w:ilvl w:val="2"/>
          <w:numId w:val="4"/>
        </w:numPr>
        <w:spacing w:line="560" w:lineRule="atLeast"/>
        <w:ind w:left="720" w:hanging="720"/>
        <w:jc w:val="both"/>
        <w:rPr>
          <w:rFonts w:hint="eastAsia"/>
        </w:rPr>
      </w:pPr>
      <w:bookmarkStart w:id="412" w:name="_Toc119829567"/>
      <w:bookmarkStart w:id="413" w:name="_Toc1490817355"/>
      <w:bookmarkStart w:id="414" w:name="_Toc9563"/>
      <w:bookmarkStart w:id="415" w:name="_Toc231542584"/>
      <w:r>
        <w:rPr>
          <w:rFonts w:hint="eastAsia"/>
        </w:rPr>
        <w:t>进行项目开发的日常组织、管理、协调</w:t>
      </w:r>
      <w:bookmarkEnd w:id="412"/>
      <w:bookmarkEnd w:id="413"/>
      <w:bookmarkEnd w:id="414"/>
      <w:bookmarkEnd w:id="415"/>
    </w:p>
    <w:p w:rsidR="005B6786" w:rsidP="005B6786">
      <w:pPr>
        <w:pStyle w:val="NormalIndent"/>
        <w:numPr>
          <w:ilvl w:val="0"/>
          <w:numId w:val="14"/>
        </w:numPr>
        <w:ind w:firstLineChars="0"/>
        <w:rPr>
          <w:rFonts w:ascii="宋体" w:hAnsi="宋体" w:hint="eastAsia"/>
        </w:rPr>
      </w:pPr>
      <w:r>
        <w:rPr>
          <w:rFonts w:ascii="宋体" w:hAnsi="宋体" w:hint="eastAsia"/>
        </w:rPr>
        <w:t>参加甲方组织的与项目建设有关的各类会议。</w:t>
      </w:r>
    </w:p>
    <w:p w:rsidR="005B6786" w:rsidP="005B6786">
      <w:pPr>
        <w:pStyle w:val="NormalIndent"/>
        <w:numPr>
          <w:ilvl w:val="0"/>
          <w:numId w:val="14"/>
        </w:numPr>
        <w:ind w:firstLineChars="0"/>
        <w:rPr>
          <w:rFonts w:ascii="宋体" w:hAnsi="宋体" w:hint="eastAsia"/>
        </w:rPr>
      </w:pPr>
      <w:r>
        <w:rPr>
          <w:rFonts w:ascii="宋体" w:hAnsi="宋体" w:hint="eastAsia"/>
        </w:rPr>
        <w:t>要遵循相应的项目管理规范，并有相应的项目管理文档。</w:t>
      </w:r>
    </w:p>
    <w:p w:rsidR="005B6786" w:rsidP="005B6786">
      <w:pPr>
        <w:pStyle w:val="NormalIndent"/>
        <w:numPr>
          <w:ilvl w:val="0"/>
          <w:numId w:val="14"/>
        </w:numPr>
        <w:ind w:firstLineChars="0"/>
        <w:rPr>
          <w:rFonts w:ascii="宋体" w:hAnsi="宋体" w:hint="eastAsia"/>
        </w:rPr>
      </w:pPr>
      <w:r>
        <w:rPr>
          <w:rFonts w:ascii="宋体" w:hAnsi="宋体" w:hint="eastAsia"/>
        </w:rPr>
        <w:t>对项目建设任务中出现的调整，要及时做出安排，并尊重甲方的安排。</w:t>
      </w:r>
    </w:p>
    <w:p w:rsidR="005B6786" w:rsidP="005B6786">
      <w:pPr>
        <w:pStyle w:val="Heading2"/>
        <w:keepNext/>
        <w:keepLines/>
        <w:widowControl w:val="0"/>
        <w:numPr>
          <w:ilvl w:val="1"/>
          <w:numId w:val="4"/>
        </w:numPr>
        <w:spacing w:line="560" w:lineRule="exact"/>
        <w:ind w:left="575" w:hanging="575"/>
        <w:jc w:val="both"/>
        <w:rPr>
          <w:rFonts w:hint="eastAsia"/>
        </w:rPr>
      </w:pPr>
      <w:bookmarkStart w:id="416" w:name="_Toc22525"/>
      <w:bookmarkStart w:id="417" w:name="_Toc1475575936"/>
      <w:bookmarkStart w:id="418" w:name="_Toc119829568"/>
      <w:bookmarkStart w:id="419" w:name="_Toc231542585"/>
      <w:r>
        <w:rPr>
          <w:rFonts w:hint="eastAsia"/>
        </w:rPr>
        <w:t>项目的人员及组织机构要求</w:t>
      </w:r>
      <w:bookmarkEnd w:id="416"/>
      <w:bookmarkEnd w:id="417"/>
      <w:bookmarkEnd w:id="418"/>
      <w:bookmarkEnd w:id="419"/>
    </w:p>
    <w:p w:rsidR="005B6786" w:rsidP="005B6786">
      <w:pPr>
        <w:pStyle w:val="NormalIndent"/>
        <w:ind w:firstLine="480"/>
        <w:rPr>
          <w:rFonts w:ascii="宋体" w:hAnsi="宋体" w:hint="eastAsia"/>
        </w:rPr>
      </w:pPr>
      <w:r>
        <w:rPr>
          <w:rFonts w:ascii="宋体" w:hAnsi="宋体" w:hint="eastAsia"/>
        </w:rPr>
        <w:t>乙方必须成立合理的组织机构，建立健全保障设计、开发工作顺利实施的各项管理制度和质量保证体系，安排好足够的高素质人才参加本项目工作。</w:t>
      </w:r>
    </w:p>
    <w:p w:rsidR="005B6786" w:rsidP="005B6786">
      <w:pPr>
        <w:pStyle w:val="NormalIndent"/>
        <w:ind w:firstLine="480"/>
        <w:rPr>
          <w:rFonts w:ascii="宋体" w:hAnsi="宋体" w:hint="eastAsia"/>
        </w:rPr>
      </w:pPr>
      <w:r>
        <w:rPr>
          <w:rFonts w:ascii="宋体" w:hAnsi="宋体" w:hint="eastAsia"/>
        </w:rPr>
        <w:t>在组织机构中应明确各岗位的职责、任职资格及成果，确保项目顺利实施，应分别配备有项目经理、技术负责人承担本项目工作，项目经理和技术负责人都应具有3年以上软件管理或开发的经验，负责并完成过至少3个服务类软件设计的经验。技术人员必须具有两年以上相关项目软件设计、开发和集成经验，能够与用户进行良好的沟通。</w:t>
      </w:r>
    </w:p>
    <w:p w:rsidR="005B6786" w:rsidP="005B6786">
      <w:pPr>
        <w:pStyle w:val="NormalIndent"/>
        <w:ind w:firstLine="480"/>
        <w:rPr>
          <w:rFonts w:ascii="宋体" w:hAnsi="宋体"/>
        </w:rPr>
      </w:pPr>
      <w:r>
        <w:rPr>
          <w:rFonts w:ascii="宋体" w:hAnsi="宋体" w:hint="eastAsia"/>
        </w:rPr>
        <w:t>乙方应组成</w:t>
      </w:r>
      <w:r>
        <w:rPr>
          <w:rFonts w:ascii="宋体" w:hAnsi="宋体"/>
        </w:rPr>
        <w:t>2</w:t>
      </w:r>
      <w:r>
        <w:rPr>
          <w:rFonts w:ascii="宋体" w:hAnsi="宋体" w:hint="eastAsia"/>
        </w:rPr>
        <w:t>人的服务团队，并确保服务于本项目的核心技术人员及主要开发人员稳定</w:t>
      </w:r>
      <w:r>
        <w:rPr>
          <w:rFonts w:ascii="宋体" w:hAnsi="宋体" w:hint="eastAsia"/>
        </w:rPr>
        <w:t>，</w:t>
      </w:r>
      <w:r>
        <w:rPr>
          <w:rFonts w:ascii="宋体" w:hAnsi="宋体" w:hint="eastAsia"/>
        </w:rPr>
        <w:t>并全部在中国气象局驻场开发，未经甲方允许不得调整核心团队成员，甲方有权要求更换乙方项目团队成员。此外，乙方应确保在开发建设中能适应甲方的需求变更，如需要开发的工作任务可能有20%以内的增加和变更。</w:t>
      </w:r>
    </w:p>
    <w:p w:rsidR="005B6786" w:rsidP="005B6786">
      <w:pPr>
        <w:pStyle w:val="Heading2"/>
        <w:keepNext/>
        <w:keepLines/>
        <w:widowControl w:val="0"/>
        <w:numPr>
          <w:ilvl w:val="1"/>
          <w:numId w:val="4"/>
        </w:numPr>
        <w:spacing w:line="560" w:lineRule="exact"/>
        <w:ind w:left="575" w:hanging="575"/>
        <w:jc w:val="both"/>
      </w:pPr>
      <w:bookmarkStart w:id="420" w:name="_Toc166187020"/>
      <w:bookmarkStart w:id="421" w:name="_Toc2843"/>
      <w:bookmarkStart w:id="422" w:name="_Toc89681338"/>
      <w:bookmarkStart w:id="423" w:name="_Toc89681587"/>
      <w:bookmarkStart w:id="424" w:name="_Toc231542586"/>
      <w:r>
        <w:rPr>
          <w:rFonts w:hint="eastAsia"/>
        </w:rPr>
        <w:t>培训要求</w:t>
      </w:r>
      <w:bookmarkEnd w:id="420"/>
      <w:bookmarkEnd w:id="421"/>
      <w:bookmarkEnd w:id="424"/>
    </w:p>
    <w:p w:rsidR="005B6786" w:rsidP="005B6786">
      <w:pPr>
        <w:pStyle w:val="NormalIndent"/>
        <w:snapToGrid w:val="0"/>
        <w:ind w:firstLineChars="0"/>
        <w:rPr>
          <w:rFonts w:ascii="宋体" w:hAnsi="宋体" w:hint="eastAsia"/>
          <w:szCs w:val="21"/>
        </w:rPr>
      </w:pPr>
      <w:r>
        <w:rPr>
          <w:rFonts w:ascii="宋体" w:hAnsi="宋体" w:hint="eastAsia"/>
          <w:szCs w:val="21"/>
        </w:rPr>
        <w:t>1）培训方式应包括现场培训和集中培训，并应在进行培训之前向招标人提交一份详细的培训计划。</w:t>
      </w:r>
    </w:p>
    <w:p w:rsidR="005B6786" w:rsidP="005B6786">
      <w:pPr>
        <w:pStyle w:val="NormalIndent"/>
        <w:snapToGrid w:val="0"/>
        <w:ind w:firstLineChars="0"/>
        <w:rPr>
          <w:rFonts w:ascii="宋体" w:hAnsi="宋体" w:hint="eastAsia"/>
          <w:szCs w:val="21"/>
        </w:rPr>
      </w:pPr>
      <w:r>
        <w:rPr>
          <w:rFonts w:ascii="宋体" w:hAnsi="宋体" w:hint="eastAsia"/>
          <w:szCs w:val="21"/>
        </w:rPr>
        <w:t>2）中标人应以培训目标的实现为目的组织培训，确保每一位系统使用人员能够掌握本软件知识、独立、熟练地完成操作，保证系统用户能够独立处理软件系统故障、开展软件调优。培养系统技术人员掌握本任务书涉及的中间件服务，达到自主可控目标。</w:t>
      </w:r>
    </w:p>
    <w:p w:rsidR="005B6786" w:rsidP="005B6786">
      <w:pPr>
        <w:pStyle w:val="NormalIndent"/>
        <w:snapToGrid w:val="0"/>
        <w:ind w:firstLineChars="0"/>
        <w:rPr>
          <w:rFonts w:ascii="宋体" w:hAnsi="宋体" w:hint="eastAsia"/>
          <w:szCs w:val="21"/>
        </w:rPr>
      </w:pPr>
      <w:r>
        <w:rPr>
          <w:rFonts w:ascii="宋体" w:hAnsi="宋体" w:hint="eastAsia"/>
          <w:szCs w:val="21"/>
        </w:rPr>
        <w:t>3）集中培训地点由招标人根据本项目实际情况确定，培训形式包括但不限于现场与集中培训及远程培训。确保培训次数不少于3次，每次培训时间不少于1天，培训人次不少于</w:t>
      </w:r>
      <w:r>
        <w:rPr>
          <w:rFonts w:ascii="宋体" w:hAnsi="宋体"/>
          <w:szCs w:val="21"/>
        </w:rPr>
        <w:t>1</w:t>
      </w:r>
      <w:r>
        <w:rPr>
          <w:rFonts w:ascii="宋体" w:hAnsi="宋体" w:hint="eastAsia"/>
          <w:szCs w:val="21"/>
        </w:rPr>
        <w:t>0人次，具体培训时间由招标人与中标人根据项目进展情况协商确定。</w:t>
      </w:r>
    </w:p>
    <w:p w:rsidR="005B6786" w:rsidP="005B6786">
      <w:pPr>
        <w:pStyle w:val="NormalIndent"/>
        <w:snapToGrid w:val="0"/>
        <w:ind w:firstLineChars="0"/>
        <w:rPr>
          <w:rFonts w:ascii="宋体" w:hAnsi="宋体" w:hint="eastAsia"/>
          <w:szCs w:val="21"/>
        </w:rPr>
      </w:pPr>
      <w:r>
        <w:rPr>
          <w:rFonts w:ascii="宋体" w:hAnsi="宋体" w:hint="eastAsia"/>
          <w:szCs w:val="21"/>
        </w:rPr>
        <w:t>4）中标人负责为培训搭建所需的环境，并提供培训教材等相关用品。</w:t>
      </w:r>
    </w:p>
    <w:p w:rsidR="005B6786" w:rsidP="005B6786">
      <w:pPr>
        <w:pStyle w:val="Heading2"/>
        <w:keepNext/>
        <w:keepLines/>
        <w:widowControl w:val="0"/>
        <w:numPr>
          <w:ilvl w:val="1"/>
          <w:numId w:val="4"/>
        </w:numPr>
        <w:spacing w:line="560" w:lineRule="exact"/>
        <w:ind w:left="575" w:hanging="575"/>
        <w:jc w:val="both"/>
      </w:pPr>
      <w:bookmarkStart w:id="425" w:name="_Toc166187021"/>
      <w:bookmarkStart w:id="426" w:name="_Toc16637"/>
      <w:bookmarkStart w:id="427" w:name="_Toc231542587"/>
      <w:r>
        <w:rPr>
          <w:rFonts w:hint="eastAsia"/>
        </w:rPr>
        <w:t>安全保密要求</w:t>
      </w:r>
      <w:bookmarkEnd w:id="425"/>
      <w:bookmarkEnd w:id="426"/>
      <w:bookmarkEnd w:id="427"/>
    </w:p>
    <w:p w:rsidR="005B6786" w:rsidP="005B6786">
      <w:pPr>
        <w:pStyle w:val="NormalIndent"/>
        <w:snapToGrid w:val="0"/>
        <w:ind w:firstLineChars="0"/>
        <w:rPr>
          <w:rFonts w:ascii="宋体" w:hAnsi="宋体" w:hint="eastAsia"/>
          <w:szCs w:val="21"/>
        </w:rPr>
      </w:pPr>
      <w:r>
        <w:rPr>
          <w:rFonts w:ascii="宋体" w:hAnsi="宋体" w:hint="eastAsia"/>
          <w:szCs w:val="21"/>
        </w:rPr>
        <w:t>投标人必须对项目技术文件以及由招标人提供的所有内部材料、技术文档和信息予以保密。投标人必须遵守与招标人签订的保密协议，未经招标人书面许可，投标人不得以任何形式向第三方透露本项目标书以及本项目的任何内容。</w:t>
      </w:r>
    </w:p>
    <w:p w:rsidR="005B6786" w:rsidP="005B6786">
      <w:pPr>
        <w:pStyle w:val="Heading2"/>
        <w:keepNext/>
        <w:keepLines/>
        <w:widowControl w:val="0"/>
        <w:numPr>
          <w:ilvl w:val="1"/>
          <w:numId w:val="4"/>
        </w:numPr>
        <w:spacing w:line="560" w:lineRule="exact"/>
        <w:ind w:left="575" w:hanging="575"/>
        <w:jc w:val="both"/>
      </w:pPr>
      <w:bookmarkStart w:id="428" w:name="_Toc8467"/>
      <w:bookmarkStart w:id="429" w:name="_Toc166187022"/>
      <w:bookmarkStart w:id="430" w:name="_Toc231542588"/>
      <w:r>
        <w:rPr>
          <w:rFonts w:hint="eastAsia"/>
        </w:rPr>
        <w:t>售后服务要求</w:t>
      </w:r>
      <w:bookmarkEnd w:id="428"/>
      <w:bookmarkEnd w:id="429"/>
      <w:bookmarkEnd w:id="430"/>
    </w:p>
    <w:p w:rsidR="005B6786" w:rsidP="005B6786">
      <w:pPr>
        <w:pStyle w:val="NormalIndent"/>
        <w:snapToGrid w:val="0"/>
        <w:ind w:firstLineChars="0"/>
        <w:rPr>
          <w:rFonts w:ascii="宋体" w:hAnsi="宋体" w:hint="eastAsia"/>
          <w:szCs w:val="21"/>
        </w:rPr>
      </w:pPr>
      <w:r>
        <w:rPr>
          <w:rFonts w:ascii="宋体" w:hAnsi="宋体" w:hint="eastAsia"/>
          <w:szCs w:val="21"/>
        </w:rPr>
        <w:t>应用系统软件通过全部测试并终验后，进入1年质保期。质保期期间中标人需提供免费驻场技术支持（主要技术人员至少2人）。质保期满后提供3年免费技术支持服务，期间产生的费用由中标人承担。</w:t>
      </w:r>
    </w:p>
    <w:p w:rsidR="005B6786" w:rsidP="005B6786">
      <w:pPr>
        <w:pStyle w:val="NormalIndent"/>
        <w:snapToGrid w:val="0"/>
        <w:ind w:firstLineChars="0"/>
        <w:rPr>
          <w:rFonts w:ascii="宋体" w:hAnsi="宋体" w:hint="eastAsia"/>
          <w:szCs w:val="21"/>
        </w:rPr>
      </w:pPr>
      <w:r>
        <w:rPr>
          <w:rFonts w:ascii="宋体" w:hAnsi="宋体" w:hint="eastAsia"/>
          <w:szCs w:val="21"/>
        </w:rPr>
        <w:t>质保期期间，中标人对部署的系统提供售后保障服务。系统发生异常情况，在接到招标人的通知后，中标人技术人员应提供7*24小时的服务响应，随时进行电话应答；30分钟内完成远程登录诊断。需要现场解决的问题，中标人技术人员须在1小时内到达现场故障排查。</w:t>
      </w:r>
    </w:p>
    <w:p w:rsidR="005B6786" w:rsidP="005B6786">
      <w:pPr>
        <w:pStyle w:val="NormalIndent"/>
        <w:snapToGrid w:val="0"/>
        <w:ind w:firstLineChars="0"/>
        <w:rPr>
          <w:rFonts w:ascii="宋体" w:hAnsi="宋体" w:hint="eastAsia"/>
          <w:szCs w:val="21"/>
        </w:rPr>
      </w:pPr>
      <w:r>
        <w:rPr>
          <w:rFonts w:ascii="宋体" w:hAnsi="宋体" w:hint="eastAsia"/>
          <w:szCs w:val="21"/>
        </w:rPr>
        <w:t>质保期后，中标人提供每周5天*8小时的远程或现场运维支持，并以合理价格提供软件功能改进技术服务。</w:t>
      </w:r>
    </w:p>
    <w:p w:rsidR="005B6786" w:rsidP="005B6786">
      <w:pPr>
        <w:pStyle w:val="Heading2"/>
        <w:keepNext/>
        <w:keepLines/>
        <w:widowControl w:val="0"/>
        <w:numPr>
          <w:ilvl w:val="1"/>
          <w:numId w:val="4"/>
        </w:numPr>
        <w:spacing w:line="560" w:lineRule="exact"/>
        <w:ind w:left="575" w:hanging="575"/>
        <w:jc w:val="both"/>
      </w:pPr>
      <w:bookmarkStart w:id="431" w:name="_Toc30223"/>
      <w:bookmarkStart w:id="432" w:name="_Toc166187023"/>
      <w:bookmarkStart w:id="433" w:name="_Toc231542589"/>
      <w:r>
        <w:rPr>
          <w:rFonts w:hint="eastAsia"/>
        </w:rPr>
        <w:t>知识产权要求</w:t>
      </w:r>
      <w:bookmarkEnd w:id="431"/>
      <w:bookmarkEnd w:id="432"/>
      <w:bookmarkEnd w:id="433"/>
    </w:p>
    <w:p w:rsidR="005B6786" w:rsidP="005B6786">
      <w:pPr>
        <w:pStyle w:val="NormalIndent"/>
        <w:snapToGrid w:val="0"/>
        <w:ind w:firstLineChars="0"/>
        <w:rPr>
          <w:rFonts w:ascii="宋体" w:hAnsi="宋体" w:hint="eastAsia"/>
          <w:szCs w:val="21"/>
        </w:rPr>
      </w:pPr>
      <w:r>
        <w:rPr>
          <w:rFonts w:ascii="宋体" w:hAnsi="宋体" w:hint="eastAsia"/>
          <w:szCs w:val="21"/>
        </w:rPr>
        <w:t>全部及/或任何部分的相关知识产权，包括相关权益，归招标人所有。中标人有不可争议的义务确保招标人依据本次采购所获得的知识产权不存在任何瑕疵并且可以不受限制地行使相关权利，包括各项延伸权利。若因此发生任何争议均由中标人独自承担全部及/或任何责任，包括但不限于应当承担其自身及招标人为排除任何争议或瑕疵所应当或所需支付的一切相关/或由此引起的费用。</w:t>
      </w:r>
    </w:p>
    <w:p w:rsidR="005B6786" w:rsidP="005B6786">
      <w:pPr>
        <w:pStyle w:val="NormalIndent"/>
        <w:snapToGrid w:val="0"/>
        <w:ind w:firstLineChars="0"/>
        <w:rPr>
          <w:rFonts w:ascii="宋体" w:hAnsi="宋体" w:hint="eastAsia"/>
          <w:szCs w:val="21"/>
        </w:rPr>
      </w:pPr>
      <w:r>
        <w:rPr>
          <w:rFonts w:ascii="宋体" w:hAnsi="宋体" w:hint="eastAsia"/>
          <w:szCs w:val="21"/>
        </w:rPr>
        <w:t>中标人应当保证其有关参与本次采购相关的活动包括履行本次采购的任何行为，以及本次采购活动结束之后的任何涉及到本次采购的行为，均不会侵犯任何第三方的知识产权。若因此发生任何争议、侵权、均应当由中标人独自承担全部及/或任何责任，包括但不限于应当承担其自身及招标人为排除任何争议及/或赔偿侵权所应当或所需支付的一切相关及/或由此引起的费用。</w:t>
      </w:r>
    </w:p>
    <w:p w:rsidR="005B6786" w:rsidP="005B6786">
      <w:pPr>
        <w:pStyle w:val="Heading2"/>
        <w:keepNext/>
        <w:keepLines/>
        <w:widowControl w:val="0"/>
        <w:numPr>
          <w:ilvl w:val="1"/>
          <w:numId w:val="4"/>
        </w:numPr>
        <w:spacing w:line="560" w:lineRule="exact"/>
        <w:ind w:left="575" w:hanging="575"/>
        <w:jc w:val="both"/>
        <w:rPr>
          <w:rFonts w:hint="eastAsia"/>
        </w:rPr>
      </w:pPr>
      <w:bookmarkStart w:id="434" w:name="_Toc166187024"/>
      <w:bookmarkStart w:id="435" w:name="_Toc26645"/>
      <w:bookmarkStart w:id="436" w:name="_Toc231542590"/>
      <w:r>
        <w:rPr>
          <w:rFonts w:hint="eastAsia"/>
        </w:rPr>
        <w:t>技术支持要求</w:t>
      </w:r>
      <w:bookmarkEnd w:id="434"/>
      <w:bookmarkEnd w:id="435"/>
      <w:bookmarkEnd w:id="436"/>
    </w:p>
    <w:p w:rsidR="005B6786" w:rsidP="005B6786">
      <w:pPr>
        <w:pStyle w:val="NormalIndent"/>
        <w:snapToGrid w:val="0"/>
        <w:ind w:firstLineChars="0"/>
        <w:rPr>
          <w:rFonts w:ascii="宋体" w:hAnsi="宋体"/>
          <w:szCs w:val="21"/>
        </w:rPr>
      </w:pPr>
      <w:r>
        <w:rPr>
          <w:rFonts w:ascii="宋体" w:hAnsi="宋体" w:hint="eastAsia"/>
          <w:szCs w:val="21"/>
        </w:rPr>
        <w:t>中标人需要为招标人提供与本项目设计、开发和集成有关的各类技术咨询服务，协助招标人预见本项目设计、开发和系统集成工作中和项目其他建设工作中可能发生的问题和困难，并向招标人提出解决的办法或建议。</w:t>
      </w:r>
    </w:p>
    <w:p w:rsidR="005B6786" w:rsidP="005B6786">
      <w:pPr>
        <w:pStyle w:val="NormalIndent"/>
        <w:snapToGrid w:val="0"/>
        <w:ind w:firstLineChars="0"/>
        <w:rPr>
          <w:rFonts w:ascii="宋体" w:hAnsi="宋体" w:hint="eastAsia"/>
          <w:szCs w:val="21"/>
        </w:rPr>
      </w:pPr>
      <w:r>
        <w:rPr>
          <w:rFonts w:ascii="宋体" w:hAnsi="宋体" w:hint="eastAsia"/>
          <w:szCs w:val="21"/>
        </w:rPr>
        <w:t>在系统的运行维护阶段提供技术支持。对运行过程中出现的新问题提供建议和解决方案。维护工期范围内由运维工作产生的一切费用，包括运维项目验收、评审过程产生的费用均由中标人一方承担。</w:t>
      </w:r>
    </w:p>
    <w:p w:rsidR="005B6786" w:rsidP="005B6786">
      <w:pPr>
        <w:pStyle w:val="NormalIndent"/>
        <w:snapToGrid w:val="0"/>
        <w:ind w:firstLineChars="0"/>
        <w:rPr>
          <w:rFonts w:ascii="宋体" w:hAnsi="宋体"/>
          <w:szCs w:val="21"/>
        </w:rPr>
      </w:pPr>
      <w:r>
        <w:rPr>
          <w:rFonts w:ascii="宋体" w:hAnsi="宋体" w:hint="eastAsia"/>
          <w:szCs w:val="21"/>
        </w:rPr>
        <w:t>提供其他与项目相关的技术服务，积极协助配合招标人开展与项目有关的工作。</w:t>
      </w:r>
    </w:p>
    <w:p w:rsidR="005B6786" w:rsidP="005B6786">
      <w:pPr>
        <w:pStyle w:val="NormalIndent"/>
        <w:snapToGrid w:val="0"/>
        <w:ind w:firstLineChars="0"/>
        <w:rPr>
          <w:rFonts w:ascii="宋体" w:hAnsi="宋体"/>
          <w:szCs w:val="21"/>
        </w:rPr>
      </w:pPr>
      <w:r>
        <w:rPr>
          <w:rFonts w:ascii="宋体" w:hAnsi="宋体" w:hint="eastAsia"/>
          <w:szCs w:val="21"/>
        </w:rPr>
        <w:t>技术支持工作需要及时、有效，充分满足项目建设的需求。</w:t>
      </w:r>
    </w:p>
    <w:bookmarkEnd w:id="422"/>
    <w:bookmarkEnd w:id="423"/>
    <w:p w:rsidR="005B6786" w:rsidP="005B6786">
      <w:pPr>
        <w:pStyle w:val="NormalIndent"/>
        <w:ind w:firstLine="480"/>
        <w:rPr>
          <w:rFonts w:ascii="宋体" w:hAnsi="宋体" w:hint="eastAsia"/>
        </w:rPr>
      </w:pPr>
    </w:p>
    <w:p w:rsidR="00AC1AEE" w:rsidRPr="005B6786">
      <w:pPr>
        <w:spacing w:line="360" w:lineRule="auto"/>
        <w:ind w:firstLine="420" w:firstLineChars="200"/>
        <w:rPr>
          <w:rFonts w:ascii="宋体" w:eastAsia="宋体" w:hAnsi="宋体" w:cs="Times New Roman"/>
          <w:szCs w:val="21"/>
        </w:rPr>
      </w:pPr>
    </w:p>
    <w:p w:rsidR="00A77B3E"/>
    <w:p>
      <w:pPr>
        <w:adjustRightInd w:val="0"/>
        <w:snapToGrid w:val="0"/>
        <w:spacing w:line="360" w:lineRule="auto"/>
        <w:jc w:val="center"/>
        <w:rPr>
          <w:rFonts w:ascii="宋体" w:hAnsi="宋体" w:hint="eastAsia"/>
          <w:b/>
          <w:sz w:val="30"/>
          <w:szCs w:val="30"/>
          <w:highlight w:val="none"/>
        </w:rPr>
        <w:sectPr>
          <w:footerReference w:type="default" r:id="rId6"/>
          <w:pgSz w:w="11906" w:h="16838"/>
          <w:pgMar w:top="1418" w:right="1418" w:bottom="1418" w:left="1701" w:header="851" w:footer="851" w:gutter="0"/>
          <w:cols w:space="708"/>
          <w:docGrid w:type="linesAndChars" w:linePitch="312"/>
        </w:sectPr>
      </w:pPr>
      <w:bookmarkEnd w:id="60"/>
    </w:p>
    <w:p>
      <w:pPr>
        <w:spacing w:before="156" w:beforeLines="50" w:line="360" w:lineRule="auto"/>
        <w:jc w:val="center"/>
        <w:outlineLvl w:val="1"/>
        <w:rPr>
          <w:rFonts w:ascii="宋体" w:hAnsi="宋体"/>
          <w:b/>
          <w:sz w:val="30"/>
          <w:szCs w:val="30"/>
          <w:highlight w:val="none"/>
        </w:rPr>
      </w:pPr>
      <w:bookmarkStart w:id="437"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9"/>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9"/>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9"/>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w:t>
      </w:r>
      <w:r>
        <w:rPr>
          <w:rFonts w:ascii="宋体" w:hAnsi="宋体" w:cs="Times New Roman" w:hint="eastAsia"/>
          <w:szCs w:val="21"/>
          <w:highlight w:val="none"/>
        </w:rPr>
        <w:t>投标人必须遵守的，逐条列出</w:t>
      </w:r>
      <w:r>
        <w:rPr>
          <w:rFonts w:ascii="宋体" w:hAnsi="宋体" w:cs="Times New Roman" w:hint="eastAsia"/>
          <w:szCs w:val="21"/>
          <w:highlight w:val="none"/>
        </w:rPr>
        <w:t>。</w:t>
      </w:r>
    </w:p>
    <w:p>
      <w:pPr>
        <w:spacing w:before="156" w:beforeLines="50" w:line="360" w:lineRule="auto"/>
        <w:ind w:firstLine="420"/>
        <w:rPr>
          <w:highlight w:val="none"/>
        </w:rPr>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437"/>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6C268A">
      <w:pPr>
        <w:numPr>
          <w:ilvl w:val="0"/>
          <w:numId w:val="15"/>
        </w:numPr>
        <w:spacing w:line="360" w:lineRule="auto"/>
        <w:ind w:firstLine="3066" w:firstLineChars="1460"/>
        <w:jc w:val="left"/>
        <w:rPr>
          <w:rFonts w:ascii="Times New Roman" w:eastAsia="宋体" w:hAnsi="Times New Roman" w:cs="Times New Roman"/>
          <w:b/>
          <w:bCs/>
          <w:szCs w:val="21"/>
        </w:rPr>
      </w:pPr>
      <w:bookmarkStart w:id="438"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6C268A">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6C268A">
      <w:pPr>
        <w:spacing w:line="360" w:lineRule="auto"/>
        <w:ind w:right="-210" w:rightChars="-100"/>
        <w:jc w:val="center"/>
        <w:rPr>
          <w:rFonts w:ascii="方正小标宋简体" w:eastAsia="方正小标宋简体" w:hAnsi="方正小标宋简体" w:cs="方正小标宋简体"/>
          <w:bCs/>
          <w:sz w:val="44"/>
          <w:szCs w:val="44"/>
        </w:rPr>
      </w:pPr>
      <w:r>
        <w:rPr>
          <w:rFonts w:ascii="宋体" w:eastAsia="宋体" w:hAnsi="宋体" w:cs="Times New Roman"/>
          <w:szCs w:val="21"/>
        </w:rPr>
        <w:br w:type="page"/>
      </w: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rsidR="006C268A">
      <w:pPr>
        <w:spacing w:line="360" w:lineRule="auto"/>
        <w:ind w:right="-210" w:rightChars="-100"/>
        <w:rPr>
          <w:rFonts w:ascii="宋体" w:eastAsia="宋体" w:hAnsi="宋体" w:cs="宋体"/>
          <w:szCs w:val="21"/>
        </w:rPr>
      </w:pPr>
    </w:p>
    <w:p w:rsidR="006C268A">
      <w:pPr>
        <w:spacing w:line="360" w:lineRule="auto"/>
        <w:ind w:right="-210" w:rightChars="-100"/>
        <w:rPr>
          <w:rFonts w:ascii="宋体" w:eastAsia="宋体" w:hAnsi="宋体" w:cs="宋体"/>
          <w:szCs w:val="21"/>
        </w:rPr>
      </w:pPr>
    </w:p>
    <w:p w:rsidR="006C268A">
      <w:pPr>
        <w:spacing w:line="360" w:lineRule="auto"/>
        <w:ind w:right="-210" w:rightChars="-100"/>
        <w:rPr>
          <w:rFonts w:ascii="宋体" w:eastAsia="宋体" w:hAnsi="宋体" w:cs="宋体"/>
          <w:szCs w:val="21"/>
        </w:rPr>
      </w:pPr>
      <w:r>
        <w:rPr>
          <w:rFonts w:ascii="宋体" w:eastAsia="宋体" w:hAnsi="宋体" w:cs="宋体" w:hint="eastAsia"/>
          <w:szCs w:val="21"/>
        </w:rPr>
        <w:t>合同编号：</w:t>
      </w:r>
    </w:p>
    <w:p w:rsidR="006C268A">
      <w:pPr>
        <w:spacing w:line="360" w:lineRule="auto"/>
        <w:jc w:val="center"/>
        <w:rPr>
          <w:rFonts w:ascii="宋体" w:eastAsia="宋体" w:hAnsi="宋体" w:cs="宋体"/>
          <w:szCs w:val="21"/>
        </w:rPr>
      </w:pPr>
    </w:p>
    <w:p w:rsidR="006C268A">
      <w:pPr>
        <w:spacing w:line="360" w:lineRule="auto"/>
        <w:jc w:val="center"/>
        <w:rPr>
          <w:rFonts w:ascii="宋体" w:eastAsia="宋体" w:hAnsi="宋体" w:cs="宋体"/>
          <w:b/>
          <w:sz w:val="28"/>
          <w:szCs w:val="28"/>
        </w:rPr>
      </w:pPr>
      <w:r>
        <w:rPr>
          <w:rFonts w:ascii="宋体" w:eastAsia="宋体" w:hAnsi="宋体" w:cs="宋体" w:hint="eastAsia"/>
          <w:b/>
          <w:sz w:val="28"/>
          <w:szCs w:val="28"/>
        </w:rPr>
        <w:t>技术开发（委托）合同</w:t>
      </w:r>
    </w:p>
    <w:p w:rsidR="006C268A">
      <w:pPr>
        <w:spacing w:line="360" w:lineRule="auto"/>
        <w:jc w:val="center"/>
        <w:rPr>
          <w:rFonts w:ascii="宋体" w:eastAsia="宋体" w:hAnsi="宋体" w:cs="宋体"/>
          <w:szCs w:val="21"/>
        </w:rPr>
      </w:pPr>
    </w:p>
    <w:p w:rsidR="006C268A">
      <w:pPr>
        <w:spacing w:line="360" w:lineRule="auto"/>
        <w:jc w:val="center"/>
        <w:rPr>
          <w:rFonts w:ascii="宋体" w:eastAsia="宋体" w:hAnsi="宋体" w:cs="宋体"/>
          <w:szCs w:val="21"/>
        </w:rPr>
      </w:pPr>
    </w:p>
    <w:p w:rsidR="006C268A">
      <w:pPr>
        <w:spacing w:line="600" w:lineRule="auto"/>
        <w:ind w:right="-32" w:firstLine="420" w:rightChars="-15" w:firstLineChars="200"/>
        <w:rPr>
          <w:rFonts w:ascii="宋体" w:eastAsia="宋体" w:hAnsi="宋体" w:cs="宋体"/>
          <w:szCs w:val="21"/>
        </w:rPr>
      </w:pPr>
      <w:r>
        <w:rPr>
          <w:rFonts w:ascii="宋体" w:eastAsia="宋体" w:hAnsi="宋体" w:cs="宋体" w:hint="eastAsia"/>
          <w:b/>
          <w:bCs/>
          <w:szCs w:val="21"/>
        </w:rPr>
        <w:t>项目名称：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C268A">
      <w:pPr>
        <w:spacing w:line="600" w:lineRule="auto"/>
        <w:ind w:right="-15" w:firstLine="420" w:firstLineChars="200"/>
        <w:rPr>
          <w:rFonts w:ascii="宋体" w:eastAsia="宋体" w:hAnsi="宋体" w:cs="宋体"/>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C268A">
      <w:pPr>
        <w:spacing w:line="600" w:lineRule="auto"/>
        <w:ind w:right="-15" w:firstLine="420" w:firstLineChars="200"/>
        <w:rPr>
          <w:rFonts w:ascii="宋体" w:eastAsia="宋体" w:hAnsi="宋体" w:cs="宋体"/>
          <w:b/>
          <w:bCs/>
          <w:szCs w:val="21"/>
          <w:u w:val="single"/>
        </w:rPr>
      </w:pPr>
    </w:p>
    <w:p w:rsidR="006C268A">
      <w:pPr>
        <w:spacing w:line="600" w:lineRule="auto"/>
        <w:ind w:right="-15" w:firstLine="420" w:firstLineChars="200"/>
        <w:rPr>
          <w:rFonts w:ascii="宋体" w:eastAsia="宋体" w:hAnsi="宋体" w:cs="宋体"/>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C268A">
      <w:pPr>
        <w:spacing w:line="600" w:lineRule="auto"/>
        <w:ind w:left="-540" w:right="-15" w:firstLine="420" w:firstLineChars="200"/>
        <w:rPr>
          <w:rFonts w:ascii="宋体" w:eastAsia="宋体" w:hAnsi="宋体" w:cs="宋体"/>
          <w:szCs w:val="21"/>
          <w:u w:val="single"/>
        </w:rPr>
      </w:pPr>
      <w:r>
        <w:rPr>
          <w:rFonts w:ascii="宋体" w:eastAsia="宋体" w:hAnsi="宋体" w:cs="宋体" w:hint="eastAsia"/>
          <w:szCs w:val="21"/>
        </w:rPr>
        <w:t xml:space="preserve">                   </w:t>
      </w:r>
    </w:p>
    <w:p w:rsidR="006C268A">
      <w:pPr>
        <w:spacing w:line="600" w:lineRule="auto"/>
        <w:ind w:left="-180" w:right="-15" w:firstLine="630" w:firstLineChars="300"/>
        <w:rPr>
          <w:rFonts w:ascii="宋体" w:eastAsia="宋体" w:hAnsi="宋体" w:cs="宋体"/>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C268A">
      <w:pPr>
        <w:spacing w:line="600" w:lineRule="auto"/>
        <w:ind w:right="-15" w:firstLine="420" w:firstLineChars="200"/>
        <w:rPr>
          <w:rFonts w:ascii="宋体" w:eastAsia="宋体" w:hAnsi="宋体" w:cs="宋体"/>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C268A">
      <w:pPr>
        <w:spacing w:line="600" w:lineRule="auto"/>
        <w:ind w:right="-15" w:firstLine="420" w:firstLineChars="200"/>
        <w:rPr>
          <w:rFonts w:ascii="宋体" w:eastAsia="宋体" w:hAnsi="宋体" w:cs="宋体"/>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C268A">
      <w:pPr>
        <w:spacing w:line="360" w:lineRule="auto"/>
        <w:jc w:val="center"/>
        <w:rPr>
          <w:rFonts w:ascii="宋体" w:eastAsia="宋体" w:hAnsi="宋体" w:cs="宋体"/>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rsidR="006C268A">
      <w:pPr>
        <w:spacing w:line="360" w:lineRule="auto"/>
        <w:ind w:firstLine="1680" w:firstLineChars="800"/>
        <w:rPr>
          <w:rFonts w:ascii="宋体" w:eastAsia="宋体" w:hAnsi="宋体" w:cs="宋体"/>
          <w:szCs w:val="21"/>
        </w:rPr>
      </w:pPr>
    </w:p>
    <w:p w:rsidR="006C268A">
      <w:pPr>
        <w:spacing w:line="480" w:lineRule="auto"/>
        <w:rPr>
          <w:rFonts w:ascii="宋体" w:eastAsia="宋体" w:hAnsi="宋体" w:cs="宋体"/>
          <w:szCs w:val="21"/>
        </w:rPr>
      </w:pPr>
      <w:r>
        <w:rPr>
          <w:rFonts w:ascii="宋体" w:eastAsia="宋体" w:hAnsi="宋体" w:cs="宋体" w:hint="eastAsia"/>
          <w:szCs w:val="21"/>
        </w:rPr>
        <w:t>委托方（甲方）：</w:t>
      </w:r>
      <w:r>
        <w:rPr>
          <w:rFonts w:ascii="宋体" w:eastAsia="宋体" w:hAnsi="宋体" w:cs="宋体" w:hint="eastAsia"/>
          <w:szCs w:val="21"/>
        </w:rPr>
        <w:t xml:space="preserve"> </w:t>
      </w:r>
      <w:r>
        <w:rPr>
          <w:rFonts w:ascii="宋体" w:eastAsia="宋体" w:hAnsi="宋体" w:cs="宋体" w:hint="eastAsia"/>
          <w:szCs w:val="21"/>
          <w:u w:val="single"/>
        </w:rPr>
        <w:t xml:space="preserve">                                                    </w:t>
      </w:r>
    </w:p>
    <w:p w:rsidR="006C268A">
      <w:pPr>
        <w:spacing w:line="480" w:lineRule="auto"/>
        <w:ind w:firstLine="210" w:firstLineChars="100"/>
        <w:rPr>
          <w:rFonts w:ascii="宋体" w:eastAsia="宋体" w:hAnsi="宋体" w:cs="宋体"/>
          <w:szCs w:val="21"/>
        </w:rPr>
      </w:pPr>
      <w:r>
        <w:rPr>
          <w:rFonts w:ascii="宋体" w:eastAsia="宋体" w:hAnsi="宋体" w:cs="宋体" w:hint="eastAsia"/>
          <w:szCs w:val="21"/>
        </w:rPr>
        <w:t>住</w:t>
      </w:r>
      <w:r>
        <w:rPr>
          <w:rFonts w:ascii="宋体" w:eastAsia="宋体" w:hAnsi="宋体" w:cs="宋体" w:hint="eastAsia"/>
          <w:szCs w:val="21"/>
        </w:rPr>
        <w:t xml:space="preserve">  </w:t>
      </w:r>
      <w:r>
        <w:rPr>
          <w:rFonts w:ascii="宋体" w:eastAsia="宋体" w:hAnsi="宋体" w:cs="宋体" w:hint="eastAsia"/>
          <w:szCs w:val="21"/>
        </w:rPr>
        <w:t>所</w:t>
      </w:r>
      <w:r>
        <w:rPr>
          <w:rFonts w:ascii="宋体" w:eastAsia="宋体" w:hAnsi="宋体" w:cs="宋体" w:hint="eastAsia"/>
          <w:szCs w:val="21"/>
        </w:rPr>
        <w:t xml:space="preserve">  </w:t>
      </w:r>
      <w:r>
        <w:rPr>
          <w:rFonts w:ascii="宋体" w:eastAsia="宋体" w:hAnsi="宋体" w:cs="宋体" w:hint="eastAsia"/>
          <w:szCs w:val="21"/>
        </w:rPr>
        <w:t>地：</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C268A">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p>
    <w:p w:rsidR="006C268A">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p>
    <w:p w:rsidR="006C268A">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C268A">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C268A">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6C268A">
      <w:pPr>
        <w:spacing w:line="480" w:lineRule="auto"/>
        <w:ind w:firstLine="210" w:firstLineChars="100"/>
        <w:rPr>
          <w:rFonts w:ascii="宋体" w:eastAsia="宋体" w:hAnsi="宋体" w:cs="宋体"/>
          <w:szCs w:val="21"/>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C268A">
      <w:pPr>
        <w:spacing w:line="480" w:lineRule="auto"/>
        <w:rPr>
          <w:rFonts w:ascii="宋体" w:eastAsia="宋体" w:hAnsi="宋体" w:cs="宋体"/>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C268A">
      <w:pPr>
        <w:spacing w:line="480" w:lineRule="auto"/>
        <w:ind w:firstLine="210" w:firstLineChars="100"/>
        <w:rPr>
          <w:rFonts w:ascii="宋体" w:eastAsia="宋体" w:hAnsi="宋体" w:cs="宋体"/>
          <w:szCs w:val="21"/>
        </w:rPr>
      </w:pPr>
      <w:r>
        <w:rPr>
          <w:rFonts w:ascii="宋体" w:eastAsia="宋体" w:hAnsi="宋体" w:cs="宋体" w:hint="eastAsia"/>
          <w:szCs w:val="21"/>
        </w:rPr>
        <w:t>住</w:t>
      </w:r>
      <w:r>
        <w:rPr>
          <w:rFonts w:ascii="宋体" w:eastAsia="宋体" w:hAnsi="宋体" w:cs="宋体" w:hint="eastAsia"/>
          <w:szCs w:val="21"/>
        </w:rPr>
        <w:t xml:space="preserve">  </w:t>
      </w:r>
      <w:r>
        <w:rPr>
          <w:rFonts w:ascii="宋体" w:eastAsia="宋体" w:hAnsi="宋体" w:cs="宋体" w:hint="eastAsia"/>
          <w:szCs w:val="21"/>
        </w:rPr>
        <w:t>所</w:t>
      </w:r>
      <w:r>
        <w:rPr>
          <w:rFonts w:ascii="宋体" w:eastAsia="宋体" w:hAnsi="宋体" w:cs="宋体" w:hint="eastAsia"/>
          <w:szCs w:val="21"/>
        </w:rPr>
        <w:t xml:space="preserve">  </w:t>
      </w:r>
      <w:r>
        <w:rPr>
          <w:rFonts w:ascii="宋体" w:eastAsia="宋体" w:hAnsi="宋体" w:cs="宋体" w:hint="eastAsia"/>
          <w:szCs w:val="21"/>
        </w:rPr>
        <w:t>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rsidR="006C268A">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C268A">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C268A">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rPr>
        <w:t xml:space="preserve"> </w:t>
      </w:r>
      <w:r>
        <w:rPr>
          <w:rFonts w:ascii="宋体" w:eastAsia="宋体" w:hAnsi="宋体" w:cs="宋体" w:hint="eastAsia"/>
          <w:szCs w:val="21"/>
          <w:u w:val="single"/>
        </w:rPr>
        <w:t xml:space="preserve">                                                       </w:t>
      </w:r>
    </w:p>
    <w:p w:rsidR="006C268A">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C268A">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6C268A">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6C268A">
      <w:pPr>
        <w:ind w:firstLine="420" w:firstLineChars="200"/>
        <w:jc w:val="left"/>
        <w:rPr>
          <w:rFonts w:ascii="宋体" w:hAnsi="宋体" w:cs="宋体"/>
          <w:szCs w:val="21"/>
        </w:rPr>
        <w:sectPr>
          <w:footerReference w:type="even" r:id="rId9"/>
          <w:footerReference w:type="default" r:id="rId10"/>
          <w:pgSz w:w="11906" w:h="16838"/>
          <w:pgMar w:top="1440" w:right="1800" w:bottom="1440" w:left="1800" w:header="851" w:footer="992" w:gutter="0"/>
          <w:cols w:space="720"/>
          <w:docGrid w:type="lines" w:linePitch="312"/>
        </w:sectPr>
      </w:pPr>
    </w:p>
    <w:p w:rsidR="006C268A">
      <w:pPr>
        <w:jc w:val="center"/>
        <w:rPr>
          <w:rFonts w:ascii="黑体" w:eastAsia="黑体" w:hAnsi="黑体" w:cs="黑体"/>
          <w:sz w:val="32"/>
          <w:szCs w:val="32"/>
        </w:rPr>
      </w:pPr>
    </w:p>
    <w:p w:rsidR="006C268A">
      <w:pPr>
        <w:jc w:val="center"/>
        <w:rPr>
          <w:rFonts w:ascii="黑体" w:eastAsia="黑体" w:hAnsi="黑体" w:cs="黑体"/>
          <w:sz w:val="32"/>
          <w:szCs w:val="32"/>
        </w:rPr>
      </w:pPr>
    </w:p>
    <w:p w:rsidR="006C268A">
      <w:pPr>
        <w:jc w:val="center"/>
        <w:rPr>
          <w:rFonts w:ascii="黑体" w:eastAsia="黑体" w:hAnsi="黑体" w:cs="黑体"/>
          <w:sz w:val="32"/>
          <w:szCs w:val="32"/>
        </w:rPr>
      </w:pPr>
    </w:p>
    <w:p w:rsidR="006C268A">
      <w:pPr>
        <w:jc w:val="center"/>
        <w:rPr>
          <w:rFonts w:ascii="黑体" w:eastAsia="黑体" w:hAnsi="黑体" w:cs="黑体"/>
          <w:sz w:val="32"/>
          <w:szCs w:val="32"/>
        </w:rPr>
      </w:pPr>
      <w:r>
        <w:rPr>
          <w:rFonts w:ascii="黑体" w:eastAsia="黑体" w:hAnsi="黑体" w:cs="黑体" w:hint="eastAsia"/>
          <w:sz w:val="32"/>
          <w:szCs w:val="32"/>
        </w:rPr>
        <w:t>使</w:t>
      </w:r>
      <w:r>
        <w:rPr>
          <w:rFonts w:ascii="黑体" w:eastAsia="黑体" w:hAnsi="黑体" w:cs="黑体" w:hint="eastAsia"/>
          <w:sz w:val="32"/>
          <w:szCs w:val="32"/>
        </w:rPr>
        <w:t xml:space="preserve"> </w:t>
      </w:r>
      <w:r>
        <w:rPr>
          <w:rFonts w:ascii="黑体" w:eastAsia="黑体" w:hAnsi="黑体" w:cs="黑体" w:hint="eastAsia"/>
          <w:sz w:val="32"/>
          <w:szCs w:val="32"/>
        </w:rPr>
        <w:t>用</w:t>
      </w:r>
      <w:r>
        <w:rPr>
          <w:rFonts w:ascii="黑体" w:eastAsia="黑体" w:hAnsi="黑体" w:cs="黑体" w:hint="eastAsia"/>
          <w:sz w:val="32"/>
          <w:szCs w:val="32"/>
        </w:rPr>
        <w:t xml:space="preserve"> </w:t>
      </w:r>
      <w:r>
        <w:rPr>
          <w:rFonts w:ascii="黑体" w:eastAsia="黑体" w:hAnsi="黑体" w:cs="黑体" w:hint="eastAsia"/>
          <w:sz w:val="32"/>
          <w:szCs w:val="32"/>
        </w:rPr>
        <w:t>说</w:t>
      </w:r>
      <w:r>
        <w:rPr>
          <w:rFonts w:ascii="黑体" w:eastAsia="黑体" w:hAnsi="黑体" w:cs="黑体" w:hint="eastAsia"/>
          <w:sz w:val="32"/>
          <w:szCs w:val="32"/>
        </w:rPr>
        <w:t xml:space="preserve"> </w:t>
      </w:r>
      <w:r>
        <w:rPr>
          <w:rFonts w:ascii="黑体" w:eastAsia="黑体" w:hAnsi="黑体" w:cs="黑体" w:hint="eastAsia"/>
          <w:sz w:val="32"/>
          <w:szCs w:val="32"/>
        </w:rPr>
        <w:t>明</w:t>
      </w:r>
    </w:p>
    <w:p w:rsidR="006C268A">
      <w:pPr>
        <w:jc w:val="center"/>
        <w:rPr>
          <w:rFonts w:ascii="黑体" w:eastAsia="黑体" w:hAnsi="黑体" w:cs="黑体"/>
          <w:sz w:val="32"/>
          <w:szCs w:val="32"/>
        </w:rPr>
      </w:pPr>
    </w:p>
    <w:p w:rsidR="006C268A">
      <w:pPr>
        <w:numPr>
          <w:ilvl w:val="0"/>
          <w:numId w:val="16"/>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本合同标准文本适用于气象部门需要供应商定制开发的气象业务软件采购项目。</w:t>
      </w:r>
    </w:p>
    <w:p w:rsidR="006C268A">
      <w:pPr>
        <w:numPr>
          <w:ilvl w:val="0"/>
          <w:numId w:val="16"/>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rsidR="006C268A">
      <w:pPr>
        <w:numPr>
          <w:ilvl w:val="0"/>
          <w:numId w:val="16"/>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700A3D" w:rsidP="00700A3D">
      <w:pPr>
        <w:spacing w:before="156" w:beforeLines="50" w:line="360" w:lineRule="auto"/>
        <w:jc w:val="center"/>
        <w:outlineLvl w:val="1"/>
        <w:rPr>
          <w:rFonts w:ascii="宋体" w:eastAsia="宋体" w:hAnsi="宋体" w:cs="Times New Roman"/>
          <w:b/>
          <w:sz w:val="30"/>
          <w:szCs w:val="30"/>
        </w:rPr>
      </w:pPr>
      <w:r>
        <w:rPr>
          <w:rFonts w:ascii="宋体" w:eastAsia="宋体" w:hAnsi="宋体" w:cs="宋体"/>
          <w:szCs w:val="21"/>
        </w:rPr>
        <w:br w:type="page"/>
      </w:r>
    </w:p>
    <w:p w:rsidR="00700A3D" w:rsidP="00700A3D">
      <w:pPr>
        <w:tabs>
          <w:tab w:val="left" w:pos="1573"/>
        </w:tabs>
        <w:adjustRightInd w:val="0"/>
        <w:snapToGrid w:val="0"/>
        <w:spacing w:line="360" w:lineRule="auto"/>
        <w:rPr>
          <w:rFonts w:ascii="仿宋_GB2312" w:eastAsia="仿宋_GB2312"/>
          <w:b/>
          <w:sz w:val="28"/>
        </w:rPr>
      </w:pPr>
      <w:r>
        <w:rPr>
          <w:rFonts w:ascii="仿宋_GB2312" w:eastAsia="仿宋_GB2312"/>
          <w:b/>
          <w:sz w:val="28"/>
        </w:rPr>
        <w:t xml:space="preserve"> </w:t>
      </w:r>
      <w:r>
        <w:rPr>
          <w:rFonts w:ascii="宋体" w:hAnsi="宋体" w:hint="eastAsia"/>
          <w:szCs w:val="21"/>
        </w:rPr>
        <w:t xml:space="preserve">    </w:t>
      </w:r>
      <w:r>
        <w:rPr>
          <w:rFonts w:ascii="仿宋_GB2312" w:eastAsia="仿宋_GB2312" w:hint="eastAsia"/>
        </w:rPr>
        <w:t xml:space="preserve"> </w:t>
      </w:r>
      <w:r>
        <w:rPr>
          <w:rFonts w:ascii="宋体" w:hAnsi="宋体" w:hint="eastAsia"/>
          <w:szCs w:val="21"/>
        </w:rPr>
        <w:t>_____</w:t>
      </w:r>
      <w:r>
        <w:rPr>
          <w:rFonts w:ascii="宋体" w:hAnsi="宋体" w:hint="eastAsia"/>
          <w:szCs w:val="21"/>
          <w:u w:val="single"/>
        </w:rPr>
        <w:t>国家</w:t>
      </w:r>
      <w:r>
        <w:rPr>
          <w:rFonts w:ascii="宋体" w:hAnsi="宋体"/>
          <w:szCs w:val="21"/>
          <w:u w:val="single"/>
        </w:rPr>
        <w:t>气象信息中心</w:t>
      </w:r>
      <w:r>
        <w:rPr>
          <w:rFonts w:ascii="宋体" w:hAnsi="宋体" w:hint="eastAsia"/>
          <w:szCs w:val="21"/>
        </w:rPr>
        <w:t>______(以下简</w:t>
      </w:r>
      <w:r>
        <w:rPr>
          <w:rFonts w:hint="eastAsia"/>
          <w:szCs w:val="21"/>
        </w:rPr>
        <w:t>称“甲方”</w:t>
      </w:r>
      <w:r>
        <w:rPr>
          <w:rFonts w:hint="eastAsia"/>
          <w:szCs w:val="21"/>
        </w:rPr>
        <w:t>)</w:t>
      </w:r>
      <w:r>
        <w:rPr>
          <w:rFonts w:hint="eastAsia"/>
          <w:szCs w:val="21"/>
        </w:rPr>
        <w:t>在本项目中所需货物和服务由</w:t>
      </w:r>
      <w:r>
        <w:rPr>
          <w:rFonts w:hint="eastAsia"/>
          <w:szCs w:val="21"/>
          <w:u w:val="single"/>
        </w:rPr>
        <w:t>中国气象局政府采购中心</w:t>
      </w:r>
      <w:r>
        <w:rPr>
          <w:rFonts w:hint="eastAsia"/>
          <w:szCs w:val="21"/>
        </w:rPr>
        <w:t>在境内进行公开招标，经评审委员会评定，确定</w:t>
      </w:r>
      <w:r>
        <w:rPr>
          <w:rFonts w:hint="eastAsia"/>
          <w:szCs w:val="21"/>
        </w:rPr>
        <w:t>________________________(</w:t>
      </w:r>
      <w:r>
        <w:rPr>
          <w:rFonts w:hint="eastAsia"/>
          <w:szCs w:val="21"/>
        </w:rPr>
        <w:t>以下简称“乙方”</w:t>
      </w:r>
      <w:r>
        <w:rPr>
          <w:rFonts w:hint="eastAsia"/>
          <w:szCs w:val="21"/>
        </w:rPr>
        <w:t>)</w:t>
      </w:r>
      <w:r>
        <w:rPr>
          <w:rFonts w:hint="eastAsia"/>
          <w:szCs w:val="21"/>
        </w:rPr>
        <w:t>为中标人。</w:t>
      </w:r>
    </w:p>
    <w:p w:rsidR="00700A3D" w:rsidP="00700A3D">
      <w:pPr>
        <w:snapToGrid w:val="0"/>
        <w:spacing w:line="360" w:lineRule="auto"/>
        <w:ind w:firstLine="420"/>
        <w:rPr>
          <w:rFonts w:ascii="宋体" w:hAnsi="宋体"/>
          <w:szCs w:val="21"/>
        </w:rPr>
      </w:pPr>
      <w:r>
        <w:rPr>
          <w:rFonts w:ascii="仿宋_GB2312" w:eastAsia="仿宋_GB2312" w:hint="eastAsia"/>
        </w:rPr>
        <w:t xml:space="preserve">    </w:t>
      </w:r>
      <w:r>
        <w:rPr>
          <w:rFonts w:ascii="宋体" w:hAnsi="宋体" w:hint="eastAsia"/>
          <w:szCs w:val="21"/>
        </w:rPr>
        <w:t>甲乙双方</w:t>
      </w:r>
      <w:r>
        <w:rPr>
          <w:rFonts w:hint="eastAsia"/>
          <w:szCs w:val="21"/>
        </w:rPr>
        <w:t>根据《中华人民共和国民法典》、《中华人民共和国政府采购法》、《中华人民共和国招标投标法》等相关法律法规以及本项目招标文件的规定，经平等协商，</w:t>
      </w:r>
      <w:r>
        <w:rPr>
          <w:rFonts w:ascii="宋体" w:hAnsi="宋体" w:hint="eastAsia"/>
          <w:szCs w:val="21"/>
        </w:rPr>
        <w:t>同意按下述条款和条件签署________________________ 采购合同(以下简称“合同”)。</w:t>
      </w:r>
    </w:p>
    <w:p w:rsidR="00700A3D" w:rsidP="00700A3D">
      <w:pPr>
        <w:adjustRightInd w:val="0"/>
        <w:spacing w:line="360" w:lineRule="auto"/>
        <w:ind w:firstLine="420" w:firstLineChars="200"/>
        <w:outlineLvl w:val="1"/>
        <w:rPr>
          <w:rFonts w:ascii="宋体" w:hAnsi="宋体"/>
          <w:b/>
          <w:szCs w:val="21"/>
        </w:rPr>
      </w:pPr>
      <w:r>
        <w:rPr>
          <w:rFonts w:ascii="宋体" w:hAnsi="宋体" w:hint="eastAsia"/>
          <w:b/>
          <w:szCs w:val="21"/>
        </w:rPr>
        <w:t>一、定义</w:t>
      </w:r>
    </w:p>
    <w:p w:rsidR="00700A3D" w:rsidP="00700A3D">
      <w:pPr>
        <w:snapToGrid w:val="0"/>
        <w:spacing w:line="360" w:lineRule="auto"/>
        <w:ind w:firstLine="420" w:firstLineChars="200"/>
        <w:rPr>
          <w:rFonts w:ascii="宋体" w:hAnsi="宋体"/>
          <w:szCs w:val="21"/>
        </w:rPr>
      </w:pPr>
      <w:r>
        <w:rPr>
          <w:rFonts w:ascii="宋体" w:hAnsi="宋体" w:hint="eastAsia"/>
          <w:szCs w:val="21"/>
        </w:rPr>
        <w:t>本合同下列术语应解释为：</w:t>
      </w:r>
    </w:p>
    <w:p w:rsidR="00700A3D" w:rsidP="00700A3D">
      <w:pPr>
        <w:snapToGrid w:val="0"/>
        <w:spacing w:line="360" w:lineRule="auto"/>
        <w:ind w:firstLine="420" w:firstLineChars="200"/>
        <w:rPr>
          <w:rFonts w:ascii="宋体" w:hAnsi="宋体"/>
          <w:szCs w:val="21"/>
        </w:rPr>
      </w:pPr>
      <w:r>
        <w:rPr>
          <w:rFonts w:ascii="宋体" w:hAnsi="宋体"/>
          <w:szCs w:val="21"/>
        </w:rPr>
        <w:t>1.1</w:t>
      </w:r>
      <w:r>
        <w:rPr>
          <w:rFonts w:ascii="宋体" w:hAnsi="宋体" w:hint="eastAsia"/>
          <w:szCs w:val="21"/>
        </w:rPr>
        <w:t>合同要素</w:t>
      </w:r>
    </w:p>
    <w:p w:rsidR="00700A3D" w:rsidP="00700A3D">
      <w:pPr>
        <w:snapToGrid w:val="0"/>
        <w:spacing w:line="360" w:lineRule="auto"/>
        <w:ind w:firstLine="420" w:firstLineChars="200"/>
        <w:rPr>
          <w:rFonts w:ascii="宋体" w:hAnsi="宋体"/>
          <w:szCs w:val="21"/>
        </w:rPr>
      </w:pPr>
      <w:r>
        <w:rPr>
          <w:rFonts w:ascii="宋体" w:hAnsi="宋体"/>
          <w:szCs w:val="21"/>
        </w:rPr>
        <w:t>(a)</w:t>
      </w:r>
      <w:r>
        <w:rPr>
          <w:rFonts w:ascii="宋体" w:hAnsi="宋体" w:hint="eastAsia"/>
          <w:szCs w:val="21"/>
        </w:rPr>
        <w:t>“合同”系指甲乙双方签署的、合同格式中载明的甲乙双方所达成的协议，包括所有的附件、附录和上述文件所提到的构成合同的所有文件。</w:t>
      </w:r>
    </w:p>
    <w:p w:rsidR="00700A3D" w:rsidP="00700A3D">
      <w:pPr>
        <w:tabs>
          <w:tab w:val="left" w:pos="1260"/>
        </w:tabs>
        <w:snapToGrid w:val="0"/>
        <w:spacing w:line="360" w:lineRule="auto"/>
        <w:ind w:firstLine="420" w:firstLineChars="200"/>
        <w:rPr>
          <w:rFonts w:ascii="宋体" w:hAnsi="宋体"/>
          <w:szCs w:val="21"/>
        </w:rPr>
      </w:pPr>
      <w:r>
        <w:rPr>
          <w:rFonts w:ascii="宋体" w:hAnsi="宋体"/>
          <w:szCs w:val="21"/>
        </w:rPr>
        <w:t>(b)</w:t>
      </w:r>
      <w:r>
        <w:rPr>
          <w:rFonts w:ascii="宋体" w:hAnsi="宋体" w:hint="eastAsia"/>
          <w:szCs w:val="21"/>
        </w:rPr>
        <w:t>“合同价”系指根据合同规定乙方在正确地完全履行合同义务后甲方</w:t>
      </w:r>
    </w:p>
    <w:p w:rsidR="00700A3D" w:rsidP="00700A3D">
      <w:pPr>
        <w:tabs>
          <w:tab w:val="left" w:pos="1260"/>
        </w:tabs>
        <w:snapToGrid w:val="0"/>
        <w:spacing w:line="360" w:lineRule="auto"/>
        <w:rPr>
          <w:rFonts w:ascii="宋体" w:hAnsi="宋体"/>
          <w:szCs w:val="21"/>
        </w:rPr>
      </w:pPr>
      <w:r>
        <w:rPr>
          <w:rFonts w:ascii="宋体" w:hAnsi="宋体" w:hint="eastAsia"/>
          <w:szCs w:val="21"/>
        </w:rPr>
        <w:t>应支付给乙方的价格。</w:t>
      </w:r>
    </w:p>
    <w:p w:rsidR="00700A3D" w:rsidP="00700A3D">
      <w:pPr>
        <w:snapToGrid w:val="0"/>
        <w:spacing w:line="360" w:lineRule="auto"/>
        <w:ind w:firstLine="420" w:firstLineChars="200"/>
        <w:rPr>
          <w:rFonts w:ascii="宋体" w:hAnsi="宋体"/>
          <w:szCs w:val="21"/>
        </w:rPr>
      </w:pPr>
      <w:r>
        <w:rPr>
          <w:rFonts w:ascii="宋体" w:hAnsi="宋体"/>
          <w:szCs w:val="21"/>
        </w:rPr>
        <w:t xml:space="preserve">(c) </w:t>
      </w:r>
      <w:r>
        <w:rPr>
          <w:rFonts w:ascii="宋体" w:hAnsi="宋体" w:hint="eastAsia"/>
          <w:szCs w:val="21"/>
        </w:rPr>
        <w:t>“合同条款”系指本合同条款。</w:t>
      </w:r>
    </w:p>
    <w:p w:rsidR="00700A3D" w:rsidP="00700A3D">
      <w:pPr>
        <w:snapToGrid w:val="0"/>
        <w:spacing w:line="360" w:lineRule="auto"/>
        <w:ind w:firstLine="420" w:firstLineChars="200"/>
        <w:rPr>
          <w:rFonts w:ascii="宋体" w:hAnsi="宋体"/>
          <w:szCs w:val="21"/>
        </w:rPr>
      </w:pPr>
      <w:r>
        <w:rPr>
          <w:rFonts w:ascii="宋体" w:hAnsi="宋体"/>
          <w:szCs w:val="21"/>
        </w:rPr>
        <w:t xml:space="preserve">(d) </w:t>
      </w:r>
      <w:r>
        <w:rPr>
          <w:rFonts w:ascii="宋体" w:hAnsi="宋体" w:hint="eastAsia"/>
          <w:szCs w:val="21"/>
        </w:rPr>
        <w:t>“技术要求”指的是招标文件中的技术要求。</w:t>
      </w:r>
    </w:p>
    <w:p w:rsidR="00700A3D" w:rsidP="00700A3D">
      <w:pPr>
        <w:snapToGrid w:val="0"/>
        <w:spacing w:line="360" w:lineRule="auto"/>
        <w:ind w:left="531" w:hanging="52" w:leftChars="228" w:hangingChars="25"/>
        <w:rPr>
          <w:rFonts w:ascii="宋体" w:hAnsi="宋体"/>
          <w:szCs w:val="21"/>
        </w:rPr>
      </w:pPr>
      <w:r>
        <w:rPr>
          <w:rFonts w:ascii="宋体" w:hAnsi="宋体"/>
          <w:szCs w:val="21"/>
        </w:rPr>
        <w:t xml:space="preserve">1.2 </w:t>
      </w:r>
      <w:r>
        <w:rPr>
          <w:rFonts w:ascii="宋体" w:hAnsi="宋体" w:hint="eastAsia"/>
          <w:szCs w:val="21"/>
        </w:rPr>
        <w:t>实体</w:t>
      </w:r>
    </w:p>
    <w:p w:rsidR="00700A3D" w:rsidP="00700A3D">
      <w:pPr>
        <w:snapToGrid w:val="0"/>
        <w:spacing w:line="360" w:lineRule="auto"/>
        <w:ind w:firstLine="420" w:firstLineChars="200"/>
        <w:rPr>
          <w:rFonts w:ascii="宋体" w:hAnsi="宋体"/>
          <w:szCs w:val="21"/>
        </w:rPr>
      </w:pPr>
      <w:r>
        <w:rPr>
          <w:rFonts w:ascii="宋体" w:hAnsi="宋体"/>
          <w:szCs w:val="21"/>
        </w:rPr>
        <w:t>(a)</w:t>
      </w:r>
      <w:r>
        <w:rPr>
          <w:rFonts w:ascii="宋体" w:hAnsi="宋体" w:hint="eastAsia"/>
          <w:szCs w:val="21"/>
        </w:rPr>
        <w:t>“甲方”系指购买货物和服务的单位或其指定的采购代理。</w:t>
      </w:r>
    </w:p>
    <w:p w:rsidR="00700A3D" w:rsidP="00700A3D">
      <w:pPr>
        <w:snapToGrid w:val="0"/>
        <w:spacing w:line="360" w:lineRule="auto"/>
        <w:ind w:firstLine="420" w:firstLineChars="200"/>
        <w:rPr>
          <w:rFonts w:ascii="宋体" w:hAnsi="宋体"/>
          <w:szCs w:val="21"/>
        </w:rPr>
      </w:pPr>
      <w:r>
        <w:rPr>
          <w:rFonts w:ascii="宋体" w:hAnsi="宋体"/>
          <w:szCs w:val="21"/>
        </w:rPr>
        <w:t>(b)</w:t>
      </w:r>
      <w:r>
        <w:rPr>
          <w:rFonts w:ascii="宋体" w:hAnsi="宋体" w:hint="eastAsia"/>
          <w:szCs w:val="21"/>
        </w:rPr>
        <w:t>“乙方”系指提供本合同项下货物/服务的公司或实体。</w:t>
      </w:r>
    </w:p>
    <w:p w:rsidR="00700A3D" w:rsidP="00700A3D">
      <w:pPr>
        <w:tabs>
          <w:tab w:val="left" w:pos="1155"/>
        </w:tabs>
        <w:snapToGrid w:val="0"/>
        <w:spacing w:line="360" w:lineRule="auto"/>
        <w:ind w:firstLine="420" w:firstLineChars="200"/>
        <w:rPr>
          <w:rFonts w:ascii="宋体" w:hAnsi="宋体"/>
          <w:szCs w:val="21"/>
        </w:rPr>
      </w:pPr>
      <w:r>
        <w:rPr>
          <w:rFonts w:ascii="宋体" w:hAnsi="宋体"/>
          <w:szCs w:val="21"/>
        </w:rPr>
        <w:t xml:space="preserve">(c) </w:t>
      </w:r>
      <w:r>
        <w:rPr>
          <w:rFonts w:ascii="宋体" w:hAnsi="宋体" w:hint="eastAsia"/>
          <w:szCs w:val="21"/>
        </w:rPr>
        <w:t>“最终用户”系指授权甲方采购合同项下货物和服务的使用单位。</w:t>
      </w:r>
    </w:p>
    <w:p w:rsidR="00700A3D" w:rsidP="00700A3D">
      <w:pPr>
        <w:snapToGrid w:val="0"/>
        <w:spacing w:line="360" w:lineRule="auto"/>
        <w:ind w:firstLine="420" w:firstLineChars="200"/>
        <w:rPr>
          <w:rFonts w:ascii="宋体" w:hAnsi="宋体"/>
          <w:szCs w:val="21"/>
        </w:rPr>
      </w:pPr>
      <w:r>
        <w:rPr>
          <w:rFonts w:ascii="宋体" w:hAnsi="宋体"/>
          <w:szCs w:val="21"/>
        </w:rPr>
        <w:t>(d)</w:t>
      </w:r>
      <w:r>
        <w:rPr>
          <w:rFonts w:ascii="宋体" w:hAnsi="宋体" w:hint="eastAsia"/>
          <w:szCs w:val="21"/>
        </w:rPr>
        <w:t>“项目现场代表”由甲方任命的代表，负责执行甲方在项目现场的合</w:t>
      </w:r>
    </w:p>
    <w:p w:rsidR="00700A3D" w:rsidP="00700A3D">
      <w:pPr>
        <w:snapToGrid w:val="0"/>
        <w:spacing w:line="360" w:lineRule="auto"/>
        <w:rPr>
          <w:rFonts w:ascii="宋体" w:hAnsi="宋体"/>
          <w:szCs w:val="21"/>
        </w:rPr>
      </w:pPr>
      <w:r>
        <w:rPr>
          <w:rFonts w:ascii="宋体" w:hAnsi="宋体" w:hint="eastAsia"/>
          <w:szCs w:val="21"/>
        </w:rPr>
        <w:t>同义务。</w:t>
      </w:r>
    </w:p>
    <w:p w:rsidR="00700A3D" w:rsidP="00700A3D">
      <w:pPr>
        <w:snapToGrid w:val="0"/>
        <w:spacing w:line="360" w:lineRule="auto"/>
        <w:ind w:firstLine="420" w:firstLineChars="200"/>
        <w:rPr>
          <w:rFonts w:ascii="宋体" w:hAnsi="宋体"/>
          <w:szCs w:val="21"/>
        </w:rPr>
      </w:pPr>
      <w:r>
        <w:rPr>
          <w:rFonts w:ascii="宋体" w:hAnsi="宋体"/>
          <w:szCs w:val="21"/>
        </w:rPr>
        <w:t xml:space="preserve">1.3  </w:t>
      </w:r>
      <w:r>
        <w:rPr>
          <w:rFonts w:ascii="宋体" w:hAnsi="宋体" w:hint="eastAsia"/>
          <w:szCs w:val="21"/>
        </w:rPr>
        <w:t>事项</w:t>
      </w:r>
    </w:p>
    <w:p w:rsidR="00700A3D" w:rsidP="00700A3D">
      <w:pPr>
        <w:snapToGrid w:val="0"/>
        <w:spacing w:line="360" w:lineRule="auto"/>
        <w:ind w:firstLine="420" w:firstLineChars="200"/>
        <w:rPr>
          <w:rFonts w:ascii="宋体" w:hAnsi="宋体"/>
          <w:szCs w:val="21"/>
        </w:rPr>
      </w:pPr>
      <w:r>
        <w:rPr>
          <w:rFonts w:ascii="宋体" w:hAnsi="宋体"/>
          <w:szCs w:val="21"/>
        </w:rPr>
        <w:t>(a)</w:t>
      </w:r>
      <w:r>
        <w:rPr>
          <w:rFonts w:ascii="宋体" w:hAnsi="宋体" w:hint="eastAsia"/>
          <w:szCs w:val="21"/>
        </w:rPr>
        <w:t xml:space="preserve"> “软件”指的是使得系统可以按照特定的方式进行运行或执行特定的操作的指令。详见合同附件</w:t>
      </w:r>
    </w:p>
    <w:p w:rsidR="00700A3D" w:rsidP="00700A3D">
      <w:pPr>
        <w:snapToGrid w:val="0"/>
        <w:spacing w:line="360" w:lineRule="auto"/>
        <w:ind w:firstLine="420" w:firstLineChars="200"/>
        <w:rPr>
          <w:rFonts w:ascii="宋体" w:hAnsi="宋体"/>
          <w:szCs w:val="21"/>
        </w:rPr>
      </w:pPr>
      <w:r>
        <w:rPr>
          <w:rFonts w:ascii="宋体" w:hAnsi="宋体"/>
          <w:szCs w:val="21"/>
        </w:rPr>
        <w:t xml:space="preserve">(b) </w:t>
      </w:r>
      <w:r>
        <w:rPr>
          <w:rFonts w:ascii="宋体" w:hAnsi="宋体" w:hint="eastAsia"/>
          <w:szCs w:val="21"/>
        </w:rPr>
        <w:t>“服务”系指根据合同规定，乙方应提供的技术、管理和其它服务，包括但不限于：管理和质量保证、运输、保险、检验、现场准备、安装、集成、调试、培训、维修、技术支持等。详见合同附件。</w:t>
      </w:r>
    </w:p>
    <w:p w:rsidR="00700A3D" w:rsidP="00700A3D">
      <w:pPr>
        <w:snapToGrid w:val="0"/>
        <w:spacing w:line="360" w:lineRule="auto"/>
        <w:ind w:firstLine="420" w:firstLineChars="200"/>
        <w:rPr>
          <w:rFonts w:ascii="宋体" w:hAnsi="宋体"/>
          <w:szCs w:val="21"/>
        </w:rPr>
      </w:pPr>
      <w:r>
        <w:rPr>
          <w:rFonts w:ascii="宋体" w:hAnsi="宋体"/>
          <w:szCs w:val="21"/>
        </w:rPr>
        <w:t xml:space="preserve">(c) </w:t>
      </w:r>
      <w:r>
        <w:rPr>
          <w:rFonts w:ascii="宋体" w:hAnsi="宋体" w:hint="eastAsia"/>
          <w:szCs w:val="21"/>
        </w:rPr>
        <w:t>“资料”指乙方在合同项下，向甲方提供的所有印刷或打印的文件，通过任何方式（包括声像或文本）和任何媒介向甲方提供的各种指令性和信息性的帮助，但不包括口头指导</w:t>
      </w:r>
    </w:p>
    <w:p w:rsidR="00700A3D" w:rsidP="00700A3D">
      <w:pPr>
        <w:tabs>
          <w:tab w:val="left" w:pos="1800"/>
        </w:tabs>
        <w:snapToGrid w:val="0"/>
        <w:spacing w:line="360" w:lineRule="auto"/>
        <w:ind w:firstLine="420" w:firstLineChars="200"/>
        <w:rPr>
          <w:rFonts w:ascii="宋体" w:hAnsi="宋体"/>
          <w:szCs w:val="21"/>
        </w:rPr>
      </w:pPr>
      <w:r>
        <w:rPr>
          <w:rFonts w:ascii="宋体" w:hAnsi="宋体"/>
          <w:szCs w:val="21"/>
        </w:rPr>
        <w:t>(d)</w:t>
      </w:r>
      <w:r>
        <w:rPr>
          <w:rFonts w:ascii="宋体" w:hAnsi="宋体" w:hint="eastAsia"/>
          <w:szCs w:val="21"/>
        </w:rPr>
        <w:t>“知识产权”指本合同涉及的任何及所有的著作权、商标权、专利权和其它智力成果的和专有的权利和利益。</w:t>
      </w:r>
    </w:p>
    <w:p w:rsidR="00700A3D" w:rsidP="00700A3D">
      <w:pPr>
        <w:tabs>
          <w:tab w:val="left" w:pos="1800"/>
        </w:tabs>
        <w:snapToGrid w:val="0"/>
        <w:spacing w:line="360" w:lineRule="auto"/>
        <w:ind w:firstLine="420" w:firstLineChars="200"/>
        <w:rPr>
          <w:rFonts w:ascii="宋体" w:hAnsi="宋体"/>
          <w:szCs w:val="21"/>
        </w:rPr>
      </w:pPr>
      <w:bookmarkStart w:id="439" w:name="OLE_LINK43"/>
      <w:bookmarkStart w:id="440" w:name="OLE_LINK44_0"/>
      <w:r>
        <w:rPr>
          <w:rFonts w:ascii="宋体" w:hAnsi="宋体" w:hint="eastAsia"/>
          <w:szCs w:val="21"/>
        </w:rPr>
        <w:t>(e</w:t>
      </w:r>
      <w:r>
        <w:rPr>
          <w:rFonts w:ascii="宋体" w:hAnsi="宋体"/>
          <w:szCs w:val="21"/>
        </w:rPr>
        <w:t>）</w:t>
      </w:r>
      <w:bookmarkEnd w:id="439"/>
      <w:bookmarkEnd w:id="440"/>
      <w:r>
        <w:rPr>
          <w:rFonts w:ascii="宋体" w:hAnsi="宋体" w:hint="eastAsia"/>
          <w:szCs w:val="21"/>
        </w:rPr>
        <w:t>“预付款保函”指由银行向甲方开具的预付款保函，有效期截至时间不得早于合同最终验收时间。</w:t>
      </w:r>
    </w:p>
    <w:p w:rsidR="00700A3D" w:rsidP="00700A3D">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(f）“履约保函”指由银行向甲方开具的履约保函，有效期截止时间不得早于合同最终验收时间。</w:t>
      </w:r>
    </w:p>
    <w:p w:rsidR="00700A3D" w:rsidP="00700A3D">
      <w:pPr>
        <w:snapToGrid w:val="0"/>
        <w:spacing w:line="360" w:lineRule="auto"/>
        <w:ind w:firstLine="420" w:firstLineChars="200"/>
        <w:rPr>
          <w:rFonts w:ascii="宋体" w:hAnsi="宋体"/>
          <w:szCs w:val="21"/>
        </w:rPr>
      </w:pPr>
      <w:r>
        <w:rPr>
          <w:rFonts w:ascii="宋体" w:hAnsi="宋体"/>
          <w:szCs w:val="21"/>
        </w:rPr>
        <w:t>1.4</w:t>
      </w:r>
      <w:r>
        <w:rPr>
          <w:rFonts w:ascii="宋体" w:hAnsi="宋体" w:hint="eastAsia"/>
          <w:szCs w:val="21"/>
        </w:rPr>
        <w:t>活动</w:t>
      </w:r>
    </w:p>
    <w:p w:rsidR="00700A3D" w:rsidP="00700A3D">
      <w:pPr>
        <w:snapToGrid w:val="0"/>
        <w:spacing w:line="360" w:lineRule="auto"/>
        <w:ind w:firstLine="420" w:firstLineChars="200"/>
        <w:rPr>
          <w:rFonts w:ascii="宋体" w:hAnsi="宋体"/>
          <w:szCs w:val="21"/>
        </w:rPr>
      </w:pPr>
      <w:r>
        <w:rPr>
          <w:rFonts w:ascii="宋体" w:hAnsi="宋体"/>
          <w:szCs w:val="21"/>
        </w:rPr>
        <w:t xml:space="preserve">(a) </w:t>
      </w:r>
      <w:r>
        <w:rPr>
          <w:rFonts w:ascii="宋体" w:hAnsi="宋体" w:hint="eastAsia"/>
          <w:szCs w:val="21"/>
        </w:rPr>
        <w:t>“交付”是指乙方按照合同规定，向甲方提供货物/服务。</w:t>
      </w:r>
    </w:p>
    <w:p w:rsidR="00700A3D" w:rsidP="00700A3D">
      <w:pPr>
        <w:snapToGrid w:val="0"/>
        <w:spacing w:line="360" w:lineRule="auto"/>
        <w:ind w:firstLine="420" w:firstLineChars="200"/>
        <w:rPr>
          <w:rFonts w:ascii="宋体" w:hAnsi="宋体"/>
          <w:szCs w:val="21"/>
        </w:rPr>
      </w:pPr>
      <w:r>
        <w:rPr>
          <w:rFonts w:ascii="宋体" w:hAnsi="宋体"/>
          <w:szCs w:val="21"/>
        </w:rPr>
        <w:t xml:space="preserve">(b) </w:t>
      </w:r>
      <w:r>
        <w:rPr>
          <w:rFonts w:ascii="宋体" w:hAnsi="宋体" w:hint="eastAsia"/>
          <w:szCs w:val="21"/>
        </w:rPr>
        <w:t>“调试”指乙方在完成了安装之后，为准备验收而进行的运转测试，详见合同附件的技术要求</w:t>
      </w:r>
    </w:p>
    <w:p w:rsidR="00700A3D" w:rsidP="00700A3D">
      <w:pPr>
        <w:snapToGrid w:val="0"/>
        <w:spacing w:line="360" w:lineRule="auto"/>
        <w:ind w:firstLine="420" w:firstLineChars="200"/>
        <w:rPr>
          <w:rFonts w:ascii="宋体" w:hAnsi="宋体"/>
          <w:szCs w:val="21"/>
        </w:rPr>
      </w:pPr>
      <w:r>
        <w:rPr>
          <w:rFonts w:ascii="宋体" w:hAnsi="宋体"/>
          <w:szCs w:val="21"/>
        </w:rPr>
        <w:t xml:space="preserve">(c) </w:t>
      </w:r>
      <w:r>
        <w:rPr>
          <w:rFonts w:ascii="宋体" w:hAnsi="宋体" w:hint="eastAsia"/>
          <w:szCs w:val="21"/>
        </w:rPr>
        <w:t>“验收”是指所有合同项下所供货物/服务在测试中达到合同附件规定的技术性能指标后，甲方予以接受。</w:t>
      </w:r>
    </w:p>
    <w:p w:rsidR="00700A3D" w:rsidP="00700A3D">
      <w:pPr>
        <w:snapToGrid w:val="0"/>
        <w:spacing w:line="360" w:lineRule="auto"/>
        <w:ind w:firstLine="420" w:firstLineChars="200"/>
        <w:rPr>
          <w:rFonts w:ascii="宋体" w:hAnsi="宋体"/>
          <w:szCs w:val="21"/>
        </w:rPr>
      </w:pPr>
      <w:r>
        <w:rPr>
          <w:rFonts w:ascii="宋体" w:hAnsi="宋体"/>
          <w:szCs w:val="21"/>
        </w:rPr>
        <w:t xml:space="preserve">1.5  </w:t>
      </w:r>
      <w:r>
        <w:rPr>
          <w:rFonts w:ascii="宋体" w:hAnsi="宋体" w:hint="eastAsia"/>
          <w:szCs w:val="21"/>
        </w:rPr>
        <w:t>地点和时间</w:t>
      </w:r>
    </w:p>
    <w:p w:rsidR="00700A3D" w:rsidP="00700A3D">
      <w:pPr>
        <w:snapToGrid w:val="0"/>
        <w:spacing w:line="360" w:lineRule="auto"/>
        <w:ind w:firstLine="420" w:firstLineChars="200"/>
        <w:rPr>
          <w:rFonts w:ascii="宋体" w:hAnsi="宋体"/>
          <w:szCs w:val="21"/>
        </w:rPr>
      </w:pPr>
      <w:r>
        <w:rPr>
          <w:rFonts w:ascii="宋体" w:hAnsi="宋体"/>
          <w:szCs w:val="21"/>
        </w:rPr>
        <w:t xml:space="preserve">(a) </w:t>
      </w:r>
      <w:r>
        <w:rPr>
          <w:rFonts w:ascii="宋体" w:hAnsi="宋体" w:hint="eastAsia"/>
          <w:szCs w:val="21"/>
        </w:rPr>
        <w:t>“项目现场”指的是货物/服务交付和安装的场所。</w:t>
      </w:r>
    </w:p>
    <w:p w:rsidR="00700A3D" w:rsidP="00700A3D">
      <w:pPr>
        <w:snapToGrid w:val="0"/>
        <w:spacing w:line="360" w:lineRule="auto"/>
        <w:ind w:firstLine="420" w:firstLineChars="200"/>
        <w:rPr>
          <w:rFonts w:ascii="宋体" w:hAnsi="宋体"/>
          <w:szCs w:val="21"/>
        </w:rPr>
      </w:pPr>
      <w:r>
        <w:rPr>
          <w:rFonts w:ascii="宋体" w:hAnsi="宋体"/>
          <w:szCs w:val="21"/>
        </w:rPr>
        <w:t xml:space="preserve">(b) </w:t>
      </w:r>
      <w:r>
        <w:rPr>
          <w:rFonts w:ascii="宋体" w:hAnsi="宋体" w:hint="eastAsia"/>
          <w:szCs w:val="21"/>
        </w:rPr>
        <w:t>“天”指日历天数。</w:t>
      </w:r>
    </w:p>
    <w:p w:rsidR="00700A3D" w:rsidP="00700A3D">
      <w:pPr>
        <w:snapToGrid w:val="0"/>
        <w:spacing w:line="360" w:lineRule="auto"/>
        <w:ind w:firstLine="420" w:firstLineChars="200"/>
        <w:rPr>
          <w:rFonts w:ascii="宋体" w:hAnsi="宋体"/>
          <w:szCs w:val="21"/>
        </w:rPr>
      </w:pPr>
      <w:r>
        <w:rPr>
          <w:rFonts w:ascii="宋体" w:hAnsi="宋体"/>
          <w:szCs w:val="21"/>
        </w:rPr>
        <w:t xml:space="preserve">(c) </w:t>
      </w:r>
      <w:r>
        <w:rPr>
          <w:rFonts w:ascii="宋体" w:hAnsi="宋体" w:hint="eastAsia"/>
          <w:szCs w:val="21"/>
        </w:rPr>
        <w:t>“周”指按中国习惯开始的连续七天</w:t>
      </w:r>
    </w:p>
    <w:p w:rsidR="00700A3D" w:rsidP="00700A3D">
      <w:pPr>
        <w:snapToGrid w:val="0"/>
        <w:spacing w:line="360" w:lineRule="auto"/>
        <w:ind w:firstLine="420" w:firstLineChars="200"/>
        <w:rPr>
          <w:rFonts w:ascii="宋体" w:hAnsi="宋体"/>
          <w:szCs w:val="21"/>
        </w:rPr>
      </w:pPr>
      <w:r>
        <w:rPr>
          <w:rFonts w:ascii="宋体" w:hAnsi="宋体"/>
          <w:szCs w:val="21"/>
        </w:rPr>
        <w:t xml:space="preserve">(d) </w:t>
      </w:r>
      <w:r>
        <w:rPr>
          <w:rFonts w:ascii="宋体" w:hAnsi="宋体" w:hint="eastAsia"/>
          <w:szCs w:val="21"/>
        </w:rPr>
        <w:t>“年”指连续的</w:t>
      </w:r>
      <w:r>
        <w:rPr>
          <w:rFonts w:ascii="宋体" w:hAnsi="宋体"/>
          <w:szCs w:val="21"/>
        </w:rPr>
        <w:t>12</w:t>
      </w:r>
      <w:r>
        <w:rPr>
          <w:rFonts w:ascii="宋体" w:hAnsi="宋体" w:hint="eastAsia"/>
          <w:szCs w:val="21"/>
        </w:rPr>
        <w:t>个月。</w:t>
      </w:r>
    </w:p>
    <w:p w:rsidR="00700A3D" w:rsidP="00700A3D">
      <w:pPr>
        <w:snapToGrid w:val="0"/>
        <w:spacing w:line="360" w:lineRule="auto"/>
        <w:ind w:firstLine="432"/>
        <w:rPr>
          <w:rFonts w:ascii="宋体" w:hAnsi="宋体"/>
          <w:szCs w:val="21"/>
        </w:rPr>
      </w:pPr>
      <w:r>
        <w:rPr>
          <w:rFonts w:ascii="宋体" w:hAnsi="宋体"/>
          <w:szCs w:val="21"/>
        </w:rPr>
        <w:t xml:space="preserve">(e) </w:t>
      </w:r>
      <w:r>
        <w:rPr>
          <w:rFonts w:ascii="宋体" w:hAnsi="宋体" w:hint="eastAsia"/>
          <w:szCs w:val="21"/>
        </w:rPr>
        <w:t>“保证期”是指自合同验收合格之日起一定时间内，乙方保证所供产品的适当和稳定运行，并负责消除存在的任何缺陷。</w:t>
      </w:r>
    </w:p>
    <w:p w:rsidR="00700A3D" w:rsidP="00700A3D">
      <w:pPr>
        <w:snapToGrid w:val="0"/>
        <w:spacing w:line="360" w:lineRule="auto"/>
        <w:ind w:firstLine="412" w:firstLineChars="196"/>
        <w:rPr>
          <w:rFonts w:ascii="宋体" w:hAnsi="宋体"/>
          <w:szCs w:val="21"/>
        </w:rPr>
      </w:pPr>
      <w:r>
        <w:rPr>
          <w:rFonts w:ascii="宋体" w:hAnsi="宋体" w:hint="eastAsia"/>
          <w:szCs w:val="21"/>
        </w:rPr>
        <w:t>双方确定：本合同及相关附件中所涉及的有关名词和技术术语，其定义和解释如下：</w:t>
      </w:r>
    </w:p>
    <w:p w:rsidR="00700A3D" w:rsidP="00700A3D">
      <w:pPr>
        <w:snapToGrid w:val="0"/>
        <w:spacing w:line="360" w:lineRule="auto"/>
        <w:rPr>
          <w:rFonts w:ascii="宋体" w:hAnsi="宋体"/>
          <w:szCs w:val="21"/>
        </w:rPr>
      </w:pPr>
      <w:r>
        <w:rPr>
          <w:rFonts w:ascii="宋体" w:hAnsi="宋体" w:hint="eastAsia"/>
          <w:szCs w:val="21"/>
        </w:rPr>
        <w:t xml:space="preserve">     1．</w:t>
      </w:r>
      <w:r>
        <w:rPr>
          <w:rFonts w:ascii="宋体" w:hAnsi="宋体" w:hint="eastAsia"/>
          <w:szCs w:val="21"/>
          <w:u w:val="single"/>
        </w:rPr>
        <w:t xml:space="preserve">              </w:t>
      </w:r>
      <w:r>
        <w:rPr>
          <w:rFonts w:ascii="宋体" w:hAnsi="宋体" w:hint="eastAsia"/>
          <w:color w:val="000000"/>
          <w:szCs w:val="21"/>
          <w:u w:val="single"/>
        </w:rPr>
        <w:t xml:space="preserve">   </w:t>
      </w:r>
      <w:r>
        <w:rPr>
          <w:rFonts w:ascii="宋体" w:hAnsi="宋体" w:hint="eastAsia"/>
          <w:szCs w:val="21"/>
          <w:u w:val="single"/>
        </w:rPr>
        <w:t xml:space="preserve">                       </w:t>
      </w:r>
    </w:p>
    <w:p w:rsidR="00700A3D" w:rsidP="00700A3D">
      <w:pPr>
        <w:snapToGrid w:val="0"/>
        <w:spacing w:line="360" w:lineRule="auto"/>
        <w:rPr>
          <w:rFonts w:ascii="宋体" w:hAnsi="宋体"/>
          <w:szCs w:val="21"/>
          <w:u w:val="single"/>
        </w:rPr>
      </w:pPr>
      <w:r>
        <w:rPr>
          <w:rFonts w:ascii="宋体" w:hAnsi="宋体" w:hint="eastAsia"/>
          <w:szCs w:val="21"/>
        </w:rPr>
        <w:t xml:space="preserve">     2．</w:t>
      </w:r>
      <w:r>
        <w:rPr>
          <w:rFonts w:ascii="宋体" w:hAnsi="宋体" w:hint="eastAsia"/>
          <w:szCs w:val="21"/>
          <w:u w:val="single"/>
        </w:rPr>
        <w:t xml:space="preserve">                                      </w:t>
      </w:r>
    </w:p>
    <w:p w:rsidR="00700A3D" w:rsidP="00700A3D">
      <w:pPr>
        <w:snapToGrid w:val="0"/>
        <w:spacing w:line="360" w:lineRule="auto"/>
        <w:ind w:firstLine="432"/>
        <w:rPr>
          <w:rFonts w:ascii="宋体" w:hAnsi="宋体"/>
          <w:b/>
          <w:szCs w:val="21"/>
        </w:rPr>
      </w:pPr>
    </w:p>
    <w:p w:rsidR="00700A3D" w:rsidP="00700A3D">
      <w:pPr>
        <w:adjustRightInd w:val="0"/>
        <w:spacing w:line="360" w:lineRule="auto"/>
        <w:ind w:firstLine="420" w:firstLineChars="200"/>
        <w:outlineLvl w:val="1"/>
        <w:rPr>
          <w:rFonts w:ascii="宋体" w:hAnsi="宋体"/>
          <w:b/>
          <w:szCs w:val="21"/>
        </w:rPr>
      </w:pPr>
      <w:r>
        <w:rPr>
          <w:rFonts w:ascii="宋体" w:hAnsi="宋体" w:hint="eastAsia"/>
          <w:b/>
          <w:szCs w:val="21"/>
        </w:rPr>
        <w:t>二</w:t>
      </w:r>
      <w:r>
        <w:rPr>
          <w:rFonts w:ascii="宋体" w:hAnsi="宋体"/>
          <w:b/>
          <w:szCs w:val="21"/>
        </w:rPr>
        <w:t>、</w:t>
      </w:r>
      <w:r>
        <w:rPr>
          <w:rFonts w:ascii="宋体" w:hAnsi="宋体" w:hint="eastAsia"/>
          <w:b/>
          <w:szCs w:val="21"/>
        </w:rPr>
        <w:t>合同文件</w:t>
      </w:r>
    </w:p>
    <w:p w:rsidR="00700A3D" w:rsidP="00700A3D">
      <w:pPr>
        <w:snapToGrid w:val="0"/>
        <w:spacing w:line="360" w:lineRule="auto"/>
        <w:ind w:firstLine="420" w:firstLineChars="200"/>
        <w:rPr>
          <w:rFonts w:ascii="宋体" w:hAnsi="宋体"/>
          <w:szCs w:val="21"/>
        </w:rPr>
      </w:pPr>
      <w:r>
        <w:rPr>
          <w:rFonts w:ascii="宋体" w:hAnsi="宋体" w:hint="eastAsia"/>
          <w:szCs w:val="21"/>
        </w:rPr>
        <w:t>本合同所附下列文件是构成本合同不可分割的部分：</w:t>
      </w:r>
    </w:p>
    <w:p w:rsidR="00700A3D" w:rsidP="00700A3D">
      <w:pPr>
        <w:snapToGrid w:val="0"/>
        <w:spacing w:line="360" w:lineRule="auto"/>
        <w:ind w:firstLine="315" w:firstLineChars="150"/>
        <w:rPr>
          <w:rFonts w:ascii="宋体" w:hAnsi="宋体"/>
          <w:szCs w:val="21"/>
        </w:rPr>
      </w:pPr>
      <w:r>
        <w:rPr>
          <w:rFonts w:ascii="宋体" w:hAnsi="宋体" w:hint="eastAsia"/>
          <w:szCs w:val="21"/>
        </w:rPr>
        <w:t>（一）本项目招标文件、中标人的投标文件；</w:t>
      </w:r>
    </w:p>
    <w:p w:rsidR="00700A3D" w:rsidP="00700A3D">
      <w:pPr>
        <w:snapToGrid w:val="0"/>
        <w:spacing w:line="360" w:lineRule="auto"/>
        <w:ind w:firstLine="315" w:firstLineChars="150"/>
        <w:rPr>
          <w:rFonts w:ascii="宋体" w:hAnsi="宋体"/>
          <w:szCs w:val="21"/>
        </w:rPr>
      </w:pPr>
      <w:r>
        <w:rPr>
          <w:rFonts w:ascii="宋体" w:hAnsi="宋体" w:hint="eastAsia"/>
          <w:szCs w:val="21"/>
        </w:rPr>
        <w:t>（二）投标人提交的投标函格式</w:t>
      </w:r>
    </w:p>
    <w:p w:rsidR="00700A3D" w:rsidP="00700A3D">
      <w:pPr>
        <w:snapToGrid w:val="0"/>
        <w:spacing w:line="360" w:lineRule="auto"/>
        <w:ind w:firstLine="315" w:firstLineChars="150"/>
        <w:rPr>
          <w:rFonts w:ascii="宋体" w:hAnsi="宋体"/>
          <w:szCs w:val="21"/>
        </w:rPr>
      </w:pPr>
      <w:r>
        <w:rPr>
          <w:rFonts w:ascii="宋体" w:hAnsi="宋体" w:hint="eastAsia"/>
          <w:szCs w:val="21"/>
        </w:rPr>
        <w:t>（三）软件开发及设备、系统软件购置响应及报价表</w:t>
      </w:r>
    </w:p>
    <w:p w:rsidR="00700A3D" w:rsidP="00700A3D">
      <w:pPr>
        <w:snapToGrid w:val="0"/>
        <w:spacing w:line="360" w:lineRule="auto"/>
        <w:ind w:firstLine="315" w:firstLineChars="150"/>
        <w:rPr>
          <w:rFonts w:ascii="宋体" w:hAnsi="宋体"/>
          <w:szCs w:val="21"/>
        </w:rPr>
      </w:pPr>
      <w:r>
        <w:rPr>
          <w:rFonts w:ascii="宋体" w:hAnsi="宋体" w:hint="eastAsia"/>
          <w:szCs w:val="21"/>
        </w:rPr>
        <w:t>（四）项目实施方案</w:t>
      </w:r>
    </w:p>
    <w:p w:rsidR="00700A3D" w:rsidP="00700A3D">
      <w:pPr>
        <w:snapToGrid w:val="0"/>
        <w:spacing w:line="360" w:lineRule="auto"/>
        <w:ind w:firstLine="315" w:firstLineChars="150"/>
        <w:rPr>
          <w:rFonts w:ascii="宋体" w:hAnsi="宋体"/>
          <w:szCs w:val="21"/>
        </w:rPr>
      </w:pPr>
      <w:r>
        <w:rPr>
          <w:rFonts w:ascii="宋体" w:hAnsi="宋体" w:hint="eastAsia"/>
          <w:szCs w:val="21"/>
        </w:rPr>
        <w:t>（五）培训方案</w:t>
      </w:r>
    </w:p>
    <w:p w:rsidR="00700A3D" w:rsidP="00700A3D">
      <w:pPr>
        <w:snapToGrid w:val="0"/>
        <w:spacing w:line="360" w:lineRule="auto"/>
        <w:ind w:firstLine="315" w:firstLineChars="150"/>
        <w:rPr>
          <w:rFonts w:ascii="宋体" w:hAnsi="宋体"/>
          <w:szCs w:val="21"/>
        </w:rPr>
      </w:pPr>
      <w:r>
        <w:rPr>
          <w:rFonts w:ascii="宋体" w:hAnsi="宋体" w:hint="eastAsia"/>
          <w:szCs w:val="21"/>
        </w:rPr>
        <w:t>（六）验收办法</w:t>
      </w:r>
    </w:p>
    <w:p w:rsidR="00700A3D" w:rsidP="00700A3D">
      <w:pPr>
        <w:snapToGrid w:val="0"/>
        <w:spacing w:line="360" w:lineRule="auto"/>
        <w:ind w:firstLine="315" w:firstLineChars="150"/>
        <w:rPr>
          <w:rFonts w:ascii="宋体" w:hAnsi="宋体"/>
          <w:szCs w:val="21"/>
        </w:rPr>
      </w:pPr>
      <w:r>
        <w:rPr>
          <w:rFonts w:ascii="宋体" w:hAnsi="宋体" w:hint="eastAsia"/>
          <w:szCs w:val="21"/>
        </w:rPr>
        <w:t>（七）中标通知书</w:t>
      </w:r>
    </w:p>
    <w:p w:rsidR="00700A3D" w:rsidP="00700A3D">
      <w:pPr>
        <w:snapToGrid w:val="0"/>
        <w:spacing w:line="360" w:lineRule="auto"/>
        <w:ind w:firstLine="315" w:firstLineChars="150"/>
        <w:rPr>
          <w:rFonts w:ascii="宋体" w:hAnsi="宋体"/>
          <w:szCs w:val="21"/>
        </w:rPr>
      </w:pPr>
      <w:r>
        <w:rPr>
          <w:rFonts w:ascii="宋体" w:hAnsi="宋体" w:hint="eastAsia"/>
          <w:szCs w:val="21"/>
        </w:rPr>
        <w:t>（八）调试、安装、交付（货）时间地点一览表</w:t>
      </w:r>
    </w:p>
    <w:p w:rsidR="00700A3D" w:rsidP="00700A3D">
      <w:pPr>
        <w:adjustRightInd w:val="0"/>
        <w:spacing w:line="360" w:lineRule="auto"/>
        <w:ind w:firstLine="420" w:firstLineChars="200"/>
        <w:outlineLvl w:val="1"/>
        <w:rPr>
          <w:rFonts w:ascii="宋体" w:hAnsi="宋体"/>
          <w:b/>
          <w:szCs w:val="21"/>
        </w:rPr>
      </w:pPr>
      <w:r>
        <w:rPr>
          <w:rFonts w:ascii="宋体" w:hAnsi="宋体" w:hint="eastAsia"/>
          <w:b/>
          <w:szCs w:val="21"/>
        </w:rPr>
        <w:t>三、合同范围和条件</w:t>
      </w:r>
    </w:p>
    <w:p w:rsidR="00700A3D" w:rsidP="00700A3D">
      <w:pPr>
        <w:snapToGrid w:val="0"/>
        <w:spacing w:line="360" w:lineRule="auto"/>
        <w:ind w:firstLine="420" w:firstLineChars="200"/>
        <w:rPr>
          <w:rFonts w:ascii="宋体" w:hAnsi="宋体"/>
          <w:szCs w:val="21"/>
        </w:rPr>
      </w:pPr>
      <w:r>
        <w:rPr>
          <w:rFonts w:ascii="宋体" w:hAnsi="宋体" w:hint="eastAsia"/>
          <w:szCs w:val="21"/>
        </w:rPr>
        <w:t>本合同的范围和条件应与上述合同文件的规定相一致。</w:t>
      </w:r>
    </w:p>
    <w:p w:rsidR="00700A3D" w:rsidP="00700A3D">
      <w:pPr>
        <w:adjustRightInd w:val="0"/>
        <w:spacing w:line="360" w:lineRule="auto"/>
        <w:ind w:firstLine="420" w:firstLineChars="200"/>
        <w:outlineLvl w:val="1"/>
        <w:rPr>
          <w:rFonts w:ascii="宋体" w:hAnsi="宋体"/>
          <w:b/>
          <w:szCs w:val="21"/>
        </w:rPr>
      </w:pPr>
      <w:r>
        <w:rPr>
          <w:rFonts w:ascii="宋体" w:hAnsi="宋体" w:hint="eastAsia"/>
          <w:b/>
          <w:szCs w:val="21"/>
        </w:rPr>
        <w:t>四、合同标的</w:t>
      </w:r>
    </w:p>
    <w:p w:rsidR="00700A3D" w:rsidP="00700A3D">
      <w:pPr>
        <w:snapToGrid w:val="0"/>
        <w:spacing w:line="360" w:lineRule="auto"/>
        <w:ind w:firstLine="420" w:firstLineChars="200"/>
        <w:rPr>
          <w:rFonts w:ascii="宋体" w:hAnsi="宋体"/>
          <w:szCs w:val="21"/>
        </w:rPr>
      </w:pPr>
      <w:r>
        <w:rPr>
          <w:rFonts w:ascii="宋体" w:hAnsi="宋体" w:hint="eastAsia"/>
          <w:szCs w:val="21"/>
        </w:rPr>
        <w:t>本合同所提供的软件及数量详见合同标的清单（同投标文件中投标软件数量、价格表，下同）。</w:t>
      </w:r>
    </w:p>
    <w:p w:rsidR="00700A3D" w:rsidP="00700A3D">
      <w:pPr>
        <w:snapToGrid w:val="0"/>
        <w:spacing w:line="360" w:lineRule="auto"/>
        <w:ind w:firstLine="420" w:firstLineChars="200"/>
        <w:rPr>
          <w:rFonts w:ascii="宋体" w:hAnsi="宋体"/>
          <w:szCs w:val="21"/>
        </w:rPr>
      </w:pPr>
      <w:r>
        <w:rPr>
          <w:rFonts w:ascii="宋体" w:hAnsi="宋体" w:hint="eastAsia"/>
          <w:szCs w:val="21"/>
        </w:rPr>
        <w:t>合同标的清单</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131"/>
        <w:gridCol w:w="993"/>
        <w:gridCol w:w="1864"/>
        <w:gridCol w:w="750"/>
        <w:gridCol w:w="1275"/>
      </w:tblGrid>
      <w:tr w:rsidTr="00B0769D">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700A3D" w:rsidP="00B0769D">
            <w:pPr>
              <w:tabs>
                <w:tab w:val="left" w:pos="1573"/>
              </w:tabs>
              <w:autoSpaceDE w:val="0"/>
              <w:autoSpaceDN w:val="0"/>
              <w:snapToGrid w:val="0"/>
              <w:spacing w:line="360" w:lineRule="auto"/>
              <w:jc w:val="center"/>
              <w:rPr>
                <w:szCs w:val="21"/>
              </w:rPr>
            </w:pPr>
            <w:r>
              <w:rPr>
                <w:rFonts w:ascii="宋体" w:hAnsi="宋体"/>
                <w:szCs w:val="21"/>
              </w:rPr>
              <w:t>No.</w:t>
            </w:r>
          </w:p>
        </w:tc>
        <w:tc>
          <w:tcPr>
            <w:tcW w:w="2131" w:type="dxa"/>
            <w:vAlign w:val="center"/>
          </w:tcPr>
          <w:p w:rsidR="00700A3D" w:rsidP="00B0769D">
            <w:pPr>
              <w:tabs>
                <w:tab w:val="left" w:pos="1573"/>
              </w:tabs>
              <w:autoSpaceDE w:val="0"/>
              <w:autoSpaceDN w:val="0"/>
              <w:snapToGrid w:val="0"/>
              <w:spacing w:line="360" w:lineRule="auto"/>
              <w:jc w:val="center"/>
              <w:rPr>
                <w:szCs w:val="21"/>
              </w:rPr>
            </w:pPr>
            <w:r>
              <w:rPr>
                <w:rFonts w:ascii="宋体" w:hAnsi="宋体" w:hint="eastAsia"/>
                <w:szCs w:val="21"/>
              </w:rPr>
              <w:t>开发的软件名称及规格</w:t>
            </w:r>
          </w:p>
        </w:tc>
        <w:tc>
          <w:tcPr>
            <w:tcW w:w="993" w:type="dxa"/>
            <w:vAlign w:val="center"/>
          </w:tcPr>
          <w:p w:rsidR="00700A3D" w:rsidP="00B0769D">
            <w:pPr>
              <w:tabs>
                <w:tab w:val="left" w:pos="1573"/>
              </w:tabs>
              <w:autoSpaceDE w:val="0"/>
              <w:autoSpaceDN w:val="0"/>
              <w:snapToGrid w:val="0"/>
              <w:spacing w:line="360" w:lineRule="auto"/>
              <w:jc w:val="center"/>
              <w:rPr>
                <w:szCs w:val="21"/>
              </w:rPr>
            </w:pPr>
            <w:r>
              <w:rPr>
                <w:rFonts w:ascii="宋体" w:hAnsi="宋体" w:hint="eastAsia"/>
                <w:szCs w:val="21"/>
              </w:rPr>
              <w:t>数量</w:t>
            </w:r>
          </w:p>
        </w:tc>
        <w:tc>
          <w:tcPr>
            <w:tcW w:w="1864" w:type="dxa"/>
            <w:vAlign w:val="center"/>
          </w:tcPr>
          <w:p w:rsidR="00700A3D" w:rsidP="00B0769D">
            <w:pPr>
              <w:tabs>
                <w:tab w:val="left" w:pos="1573"/>
              </w:tabs>
              <w:autoSpaceDE w:val="0"/>
              <w:autoSpaceDN w:val="0"/>
              <w:snapToGrid w:val="0"/>
              <w:spacing w:line="360" w:lineRule="auto"/>
              <w:jc w:val="center"/>
              <w:rPr>
                <w:szCs w:val="21"/>
              </w:rPr>
            </w:pPr>
            <w:r>
              <w:rPr>
                <w:rFonts w:ascii="宋体" w:hAnsi="宋体" w:hint="eastAsia"/>
                <w:szCs w:val="21"/>
              </w:rPr>
              <w:t>品牌</w:t>
            </w:r>
          </w:p>
        </w:tc>
        <w:tc>
          <w:tcPr>
            <w:tcW w:w="750" w:type="dxa"/>
            <w:vAlign w:val="center"/>
          </w:tcPr>
          <w:p w:rsidR="00700A3D" w:rsidP="00B0769D">
            <w:pPr>
              <w:tabs>
                <w:tab w:val="left" w:pos="1573"/>
              </w:tabs>
              <w:autoSpaceDE w:val="0"/>
              <w:autoSpaceDN w:val="0"/>
              <w:snapToGrid w:val="0"/>
              <w:spacing w:line="360" w:lineRule="auto"/>
              <w:jc w:val="center"/>
              <w:rPr>
                <w:szCs w:val="21"/>
              </w:rPr>
            </w:pPr>
            <w:r>
              <w:rPr>
                <w:rFonts w:ascii="宋体" w:hAnsi="宋体" w:hint="eastAsia"/>
                <w:szCs w:val="21"/>
              </w:rPr>
              <w:t>单价（元）</w:t>
            </w:r>
          </w:p>
        </w:tc>
        <w:tc>
          <w:tcPr>
            <w:tcW w:w="1275" w:type="dxa"/>
            <w:vAlign w:val="center"/>
          </w:tcPr>
          <w:p w:rsidR="00700A3D" w:rsidP="00B0769D">
            <w:pPr>
              <w:tabs>
                <w:tab w:val="left" w:pos="1573"/>
              </w:tabs>
              <w:autoSpaceDE w:val="0"/>
              <w:autoSpaceDN w:val="0"/>
              <w:snapToGrid w:val="0"/>
              <w:spacing w:line="360" w:lineRule="auto"/>
              <w:jc w:val="center"/>
              <w:rPr>
                <w:rFonts w:ascii="宋体" w:hAnsi="宋体"/>
                <w:szCs w:val="21"/>
              </w:rPr>
            </w:pPr>
            <w:r>
              <w:rPr>
                <w:rFonts w:ascii="宋体" w:hAnsi="宋体" w:hint="eastAsia"/>
                <w:szCs w:val="21"/>
              </w:rPr>
              <w:t>合同最终验收时间</w:t>
            </w:r>
          </w:p>
        </w:tc>
      </w:tr>
      <w:tr w:rsidTr="00B0769D">
        <w:tblPrEx>
          <w:tblW w:w="0" w:type="auto"/>
          <w:jc w:val="center"/>
          <w:tblLayout w:type="fixed"/>
          <w:tblLook w:val="04A0"/>
        </w:tblPrEx>
        <w:trPr>
          <w:jc w:val="center"/>
        </w:trPr>
        <w:tc>
          <w:tcPr>
            <w:tcW w:w="768" w:type="dxa"/>
            <w:vAlign w:val="center"/>
          </w:tcPr>
          <w:p w:rsidR="00700A3D" w:rsidP="00B0769D">
            <w:pPr>
              <w:tabs>
                <w:tab w:val="left" w:pos="1573"/>
              </w:tabs>
              <w:autoSpaceDE w:val="0"/>
              <w:autoSpaceDN w:val="0"/>
              <w:snapToGrid w:val="0"/>
              <w:spacing w:line="360" w:lineRule="auto"/>
              <w:rPr>
                <w:rFonts w:ascii="宋体" w:hAnsi="宋体"/>
                <w:szCs w:val="21"/>
              </w:rPr>
            </w:pPr>
          </w:p>
        </w:tc>
        <w:tc>
          <w:tcPr>
            <w:tcW w:w="2131" w:type="dxa"/>
            <w:vAlign w:val="center"/>
          </w:tcPr>
          <w:p w:rsidR="00700A3D" w:rsidP="00B0769D">
            <w:pPr>
              <w:tabs>
                <w:tab w:val="left" w:pos="1573"/>
              </w:tabs>
              <w:autoSpaceDE w:val="0"/>
              <w:autoSpaceDN w:val="0"/>
              <w:snapToGrid w:val="0"/>
              <w:spacing w:line="360" w:lineRule="auto"/>
              <w:rPr>
                <w:rFonts w:ascii="宋体" w:hAnsi="宋体"/>
                <w:szCs w:val="21"/>
              </w:rPr>
            </w:pPr>
          </w:p>
        </w:tc>
        <w:tc>
          <w:tcPr>
            <w:tcW w:w="993" w:type="dxa"/>
            <w:vAlign w:val="center"/>
          </w:tcPr>
          <w:p w:rsidR="00700A3D" w:rsidP="00B0769D">
            <w:pPr>
              <w:tabs>
                <w:tab w:val="left" w:pos="1573"/>
              </w:tabs>
              <w:autoSpaceDE w:val="0"/>
              <w:autoSpaceDN w:val="0"/>
              <w:snapToGrid w:val="0"/>
              <w:spacing w:line="360" w:lineRule="auto"/>
              <w:rPr>
                <w:rFonts w:ascii="宋体" w:hAnsi="宋体"/>
                <w:szCs w:val="21"/>
              </w:rPr>
            </w:pPr>
          </w:p>
        </w:tc>
        <w:tc>
          <w:tcPr>
            <w:tcW w:w="1864" w:type="dxa"/>
            <w:vAlign w:val="center"/>
          </w:tcPr>
          <w:p w:rsidR="00700A3D" w:rsidP="00B0769D">
            <w:pPr>
              <w:tabs>
                <w:tab w:val="left" w:pos="1573"/>
              </w:tabs>
              <w:autoSpaceDE w:val="0"/>
              <w:autoSpaceDN w:val="0"/>
              <w:snapToGrid w:val="0"/>
              <w:spacing w:line="360" w:lineRule="auto"/>
              <w:rPr>
                <w:rFonts w:ascii="宋体" w:hAnsi="宋体"/>
                <w:szCs w:val="21"/>
              </w:rPr>
            </w:pPr>
          </w:p>
        </w:tc>
        <w:tc>
          <w:tcPr>
            <w:tcW w:w="750" w:type="dxa"/>
            <w:vAlign w:val="center"/>
          </w:tcPr>
          <w:p w:rsidR="00700A3D" w:rsidP="00B0769D">
            <w:pPr>
              <w:tabs>
                <w:tab w:val="left" w:pos="1573"/>
              </w:tabs>
              <w:autoSpaceDE w:val="0"/>
              <w:autoSpaceDN w:val="0"/>
              <w:snapToGrid w:val="0"/>
              <w:spacing w:line="360" w:lineRule="auto"/>
              <w:rPr>
                <w:rFonts w:ascii="宋体" w:hAnsi="宋体"/>
                <w:szCs w:val="21"/>
              </w:rPr>
            </w:pPr>
          </w:p>
        </w:tc>
        <w:tc>
          <w:tcPr>
            <w:tcW w:w="1275" w:type="dxa"/>
            <w:vAlign w:val="center"/>
          </w:tcPr>
          <w:p w:rsidR="00700A3D" w:rsidP="00B0769D">
            <w:pPr>
              <w:tabs>
                <w:tab w:val="left" w:pos="1573"/>
              </w:tabs>
              <w:autoSpaceDE w:val="0"/>
              <w:autoSpaceDN w:val="0"/>
              <w:snapToGrid w:val="0"/>
              <w:spacing w:line="360" w:lineRule="auto"/>
              <w:rPr>
                <w:rFonts w:ascii="宋体" w:hAnsi="宋体"/>
                <w:szCs w:val="21"/>
              </w:rPr>
            </w:pPr>
          </w:p>
        </w:tc>
      </w:tr>
      <w:tr w:rsidTr="00B0769D">
        <w:tblPrEx>
          <w:tblW w:w="0" w:type="auto"/>
          <w:jc w:val="center"/>
          <w:tblLayout w:type="fixed"/>
          <w:tblLook w:val="04A0"/>
        </w:tblPrEx>
        <w:trPr>
          <w:jc w:val="center"/>
        </w:trPr>
        <w:tc>
          <w:tcPr>
            <w:tcW w:w="768" w:type="dxa"/>
            <w:vAlign w:val="center"/>
          </w:tcPr>
          <w:p w:rsidR="00700A3D" w:rsidP="00B0769D">
            <w:pPr>
              <w:tabs>
                <w:tab w:val="left" w:pos="1573"/>
              </w:tabs>
              <w:autoSpaceDE w:val="0"/>
              <w:autoSpaceDN w:val="0"/>
              <w:snapToGrid w:val="0"/>
              <w:spacing w:line="360" w:lineRule="auto"/>
              <w:rPr>
                <w:rFonts w:ascii="宋体" w:hAnsi="宋体"/>
                <w:szCs w:val="21"/>
              </w:rPr>
            </w:pPr>
          </w:p>
        </w:tc>
        <w:tc>
          <w:tcPr>
            <w:tcW w:w="2131" w:type="dxa"/>
            <w:vAlign w:val="center"/>
          </w:tcPr>
          <w:p w:rsidR="00700A3D" w:rsidP="00B0769D">
            <w:pPr>
              <w:tabs>
                <w:tab w:val="left" w:pos="1573"/>
              </w:tabs>
              <w:autoSpaceDE w:val="0"/>
              <w:autoSpaceDN w:val="0"/>
              <w:snapToGrid w:val="0"/>
              <w:spacing w:line="360" w:lineRule="auto"/>
              <w:rPr>
                <w:rFonts w:ascii="宋体" w:hAnsi="宋体"/>
                <w:szCs w:val="21"/>
              </w:rPr>
            </w:pPr>
          </w:p>
        </w:tc>
        <w:tc>
          <w:tcPr>
            <w:tcW w:w="993" w:type="dxa"/>
            <w:vAlign w:val="center"/>
          </w:tcPr>
          <w:p w:rsidR="00700A3D" w:rsidP="00B0769D">
            <w:pPr>
              <w:tabs>
                <w:tab w:val="left" w:pos="1573"/>
              </w:tabs>
              <w:autoSpaceDE w:val="0"/>
              <w:autoSpaceDN w:val="0"/>
              <w:snapToGrid w:val="0"/>
              <w:spacing w:line="360" w:lineRule="auto"/>
              <w:rPr>
                <w:rFonts w:ascii="宋体" w:hAnsi="宋体"/>
                <w:szCs w:val="21"/>
              </w:rPr>
            </w:pPr>
          </w:p>
        </w:tc>
        <w:tc>
          <w:tcPr>
            <w:tcW w:w="1864" w:type="dxa"/>
            <w:vAlign w:val="center"/>
          </w:tcPr>
          <w:p w:rsidR="00700A3D" w:rsidP="00B0769D">
            <w:pPr>
              <w:tabs>
                <w:tab w:val="left" w:pos="1573"/>
              </w:tabs>
              <w:autoSpaceDE w:val="0"/>
              <w:autoSpaceDN w:val="0"/>
              <w:snapToGrid w:val="0"/>
              <w:spacing w:line="360" w:lineRule="auto"/>
              <w:rPr>
                <w:rFonts w:ascii="宋体" w:hAnsi="宋体"/>
                <w:szCs w:val="21"/>
              </w:rPr>
            </w:pPr>
          </w:p>
        </w:tc>
        <w:tc>
          <w:tcPr>
            <w:tcW w:w="750" w:type="dxa"/>
            <w:vAlign w:val="center"/>
          </w:tcPr>
          <w:p w:rsidR="00700A3D" w:rsidP="00B0769D">
            <w:pPr>
              <w:tabs>
                <w:tab w:val="left" w:pos="1573"/>
              </w:tabs>
              <w:autoSpaceDE w:val="0"/>
              <w:autoSpaceDN w:val="0"/>
              <w:snapToGrid w:val="0"/>
              <w:spacing w:line="360" w:lineRule="auto"/>
              <w:rPr>
                <w:rFonts w:ascii="宋体" w:hAnsi="宋体"/>
                <w:szCs w:val="21"/>
              </w:rPr>
            </w:pPr>
          </w:p>
        </w:tc>
        <w:tc>
          <w:tcPr>
            <w:tcW w:w="1275" w:type="dxa"/>
            <w:vAlign w:val="center"/>
          </w:tcPr>
          <w:p w:rsidR="00700A3D" w:rsidP="00B0769D">
            <w:pPr>
              <w:tabs>
                <w:tab w:val="left" w:pos="1573"/>
              </w:tabs>
              <w:autoSpaceDE w:val="0"/>
              <w:autoSpaceDN w:val="0"/>
              <w:snapToGrid w:val="0"/>
              <w:spacing w:line="360" w:lineRule="auto"/>
              <w:rPr>
                <w:rFonts w:ascii="宋体" w:hAnsi="宋体"/>
                <w:szCs w:val="21"/>
              </w:rPr>
            </w:pPr>
          </w:p>
        </w:tc>
      </w:tr>
    </w:tbl>
    <w:p w:rsidR="00700A3D" w:rsidP="00700A3D">
      <w:pPr>
        <w:adjustRightInd w:val="0"/>
        <w:spacing w:line="360" w:lineRule="auto"/>
        <w:ind w:firstLine="420" w:firstLineChars="200"/>
        <w:outlineLvl w:val="1"/>
        <w:rPr>
          <w:rFonts w:ascii="宋体" w:hAnsi="宋体"/>
          <w:b/>
          <w:szCs w:val="21"/>
        </w:rPr>
      </w:pPr>
      <w:r>
        <w:rPr>
          <w:rFonts w:ascii="宋体" w:hAnsi="宋体" w:hint="eastAsia"/>
          <w:b/>
          <w:szCs w:val="21"/>
        </w:rPr>
        <w:t>五、合同金额</w:t>
      </w:r>
    </w:p>
    <w:p w:rsidR="00700A3D" w:rsidP="00700A3D">
      <w:pPr>
        <w:snapToGrid w:val="0"/>
        <w:spacing w:line="360" w:lineRule="auto"/>
        <w:ind w:firstLine="420" w:firstLineChars="200"/>
        <w:rPr>
          <w:rFonts w:ascii="宋体" w:hAnsi="宋体"/>
          <w:szCs w:val="21"/>
        </w:rPr>
      </w:pPr>
      <w:r>
        <w:rPr>
          <w:rFonts w:ascii="宋体" w:hAnsi="宋体" w:hint="eastAsia"/>
          <w:szCs w:val="21"/>
        </w:rPr>
        <w:t>根据上述合同文件要求，合同的总金额为人民币：___________元 (大写)，___________元（小写），分项价格详见合同货物清单（附件一）。</w:t>
      </w:r>
    </w:p>
    <w:p w:rsidR="00700A3D" w:rsidP="00700A3D">
      <w:pPr>
        <w:adjustRightInd w:val="0"/>
        <w:spacing w:line="360" w:lineRule="auto"/>
        <w:ind w:firstLine="420" w:firstLineChars="200"/>
        <w:outlineLvl w:val="1"/>
        <w:rPr>
          <w:rFonts w:ascii="宋体" w:hAnsi="宋体"/>
          <w:b/>
          <w:szCs w:val="21"/>
        </w:rPr>
      </w:pPr>
      <w:r>
        <w:rPr>
          <w:rFonts w:ascii="宋体" w:hAnsi="宋体" w:hint="eastAsia"/>
          <w:b/>
          <w:szCs w:val="21"/>
        </w:rPr>
        <w:t>六、付款方式</w:t>
      </w:r>
    </w:p>
    <w:p w:rsidR="00700A3D" w:rsidP="00700A3D">
      <w:pPr>
        <w:snapToGrid w:val="0"/>
        <w:spacing w:line="360" w:lineRule="auto"/>
        <w:ind w:firstLine="420" w:firstLineChars="200"/>
        <w:rPr>
          <w:rFonts w:ascii="宋体" w:hAnsi="宋体"/>
          <w:szCs w:val="21"/>
        </w:rPr>
      </w:pPr>
      <w:bookmarkStart w:id="441" w:name="OLE_LINK47"/>
      <w:r>
        <w:rPr>
          <w:rFonts w:ascii="宋体" w:hAnsi="宋体"/>
          <w:szCs w:val="21"/>
        </w:rPr>
        <w:t>1、</w:t>
      </w:r>
      <w:r>
        <w:rPr>
          <w:rFonts w:ascii="宋体" w:hAnsi="宋体" w:hint="eastAsia"/>
          <w:szCs w:val="21"/>
        </w:rPr>
        <w:t>签订本</w:t>
      </w:r>
      <w:r>
        <w:rPr>
          <w:rFonts w:ascii="宋体" w:hAnsi="宋体"/>
          <w:szCs w:val="21"/>
        </w:rPr>
        <w:t>合同后</w:t>
      </w:r>
      <w:r>
        <w:rPr>
          <w:rFonts w:ascii="宋体" w:hAnsi="宋体"/>
          <w:szCs w:val="21"/>
          <w:u w:val="single"/>
        </w:rPr>
        <w:t>10</w:t>
      </w:r>
      <w:r>
        <w:rPr>
          <w:rFonts w:ascii="宋体" w:hAnsi="宋体" w:hint="eastAsia"/>
          <w:szCs w:val="21"/>
        </w:rPr>
        <w:t>个工作日内，乙方向甲方提供</w:t>
      </w:r>
      <w:bookmarkStart w:id="442" w:name="OLE_LINK29"/>
      <w:bookmarkStart w:id="443" w:name="OLE_LINK30"/>
      <w:r>
        <w:rPr>
          <w:rFonts w:ascii="宋体" w:hAnsi="宋体" w:hint="eastAsia"/>
          <w:szCs w:val="21"/>
        </w:rPr>
        <w:t>合同总金额</w:t>
      </w:r>
      <w:r>
        <w:rPr>
          <w:rFonts w:ascii="宋体" w:hAnsi="宋体"/>
          <w:szCs w:val="21"/>
          <w:u w:val="single"/>
        </w:rPr>
        <w:t>50%</w:t>
      </w:r>
      <w:r>
        <w:rPr>
          <w:rFonts w:ascii="宋体" w:hAnsi="宋体" w:hint="eastAsia"/>
          <w:szCs w:val="21"/>
        </w:rPr>
        <w:t>的预付款保函</w:t>
      </w:r>
      <w:bookmarkEnd w:id="442"/>
      <w:bookmarkEnd w:id="443"/>
      <w:r>
        <w:rPr>
          <w:rFonts w:ascii="宋体" w:hAnsi="宋体" w:hint="eastAsia"/>
          <w:szCs w:val="21"/>
        </w:rPr>
        <w:t>，即人民币</w:t>
      </w:r>
      <w:r>
        <w:rPr>
          <w:rFonts w:ascii="宋体" w:hAnsi="宋体"/>
          <w:szCs w:val="21"/>
          <w:u w:val="single"/>
        </w:rPr>
        <w:t xml:space="preserve">        </w:t>
      </w:r>
      <w:r>
        <w:rPr>
          <w:rFonts w:ascii="宋体" w:hAnsi="宋体"/>
          <w:szCs w:val="21"/>
        </w:rPr>
        <w:t>(大写)，</w:t>
      </w:r>
      <w:r>
        <w:rPr>
          <w:rFonts w:ascii="宋体" w:hAnsi="宋体"/>
          <w:szCs w:val="21"/>
          <w:u w:val="single"/>
        </w:rPr>
        <w:t xml:space="preserve">        </w:t>
      </w:r>
      <w:r>
        <w:rPr>
          <w:rFonts w:ascii="宋体" w:hAnsi="宋体" w:hint="eastAsia"/>
          <w:szCs w:val="21"/>
        </w:rPr>
        <w:t>元</w:t>
      </w:r>
      <w:r>
        <w:rPr>
          <w:rFonts w:ascii="宋体" w:hAnsi="宋体"/>
          <w:szCs w:val="21"/>
        </w:rPr>
        <w:t>(小写)，</w:t>
      </w:r>
      <w:r>
        <w:rPr>
          <w:rFonts w:ascii="宋体" w:hAnsi="宋体" w:hint="eastAsia"/>
          <w:szCs w:val="21"/>
        </w:rPr>
        <w:t>有效期截止</w:t>
      </w:r>
      <w:r>
        <w:rPr>
          <w:rFonts w:ascii="宋体" w:hAnsi="宋体"/>
          <w:szCs w:val="21"/>
          <w:u w:val="single"/>
        </w:rPr>
        <w:t xml:space="preserve">_  </w:t>
      </w:r>
      <w:r>
        <w:rPr>
          <w:rFonts w:ascii="宋体" w:hAnsi="宋体"/>
          <w:szCs w:val="21"/>
        </w:rPr>
        <w:t>_年_</w:t>
      </w:r>
      <w:r>
        <w:rPr>
          <w:rFonts w:ascii="宋体" w:hAnsi="宋体"/>
          <w:szCs w:val="21"/>
          <w:u w:val="single"/>
        </w:rPr>
        <w:t xml:space="preserve">  </w:t>
      </w:r>
      <w:r>
        <w:rPr>
          <w:rFonts w:ascii="宋体" w:hAnsi="宋体"/>
          <w:szCs w:val="21"/>
        </w:rPr>
        <w:t>_月_</w:t>
      </w:r>
      <w:r>
        <w:rPr>
          <w:rFonts w:ascii="宋体" w:hAnsi="宋体"/>
          <w:szCs w:val="21"/>
          <w:u w:val="single"/>
        </w:rPr>
        <w:t xml:space="preserve">   </w:t>
      </w:r>
      <w:r>
        <w:rPr>
          <w:rFonts w:ascii="宋体" w:hAnsi="宋体" w:hint="eastAsia"/>
          <w:szCs w:val="21"/>
        </w:rPr>
        <w:t>日。甲方收到上述预付款保函后</w:t>
      </w:r>
      <w:r>
        <w:rPr>
          <w:rFonts w:ascii="宋体" w:hAnsi="宋体"/>
          <w:szCs w:val="21"/>
          <w:u w:val="single"/>
        </w:rPr>
        <w:t>10</w:t>
      </w:r>
      <w:r>
        <w:rPr>
          <w:rFonts w:ascii="宋体" w:hAnsi="宋体" w:hint="eastAsia"/>
          <w:szCs w:val="21"/>
        </w:rPr>
        <w:t>个工作日内向乙方支付合同总金额的</w:t>
      </w:r>
      <w:r>
        <w:rPr>
          <w:rFonts w:ascii="宋体" w:hAnsi="宋体"/>
          <w:szCs w:val="21"/>
          <w:u w:val="single"/>
        </w:rPr>
        <w:t>90%</w:t>
      </w:r>
      <w:r>
        <w:rPr>
          <w:rFonts w:ascii="宋体" w:hAnsi="宋体" w:hint="eastAsia"/>
          <w:szCs w:val="21"/>
        </w:rPr>
        <w:t>，即人民币</w:t>
      </w:r>
      <w:r>
        <w:rPr>
          <w:rFonts w:ascii="宋体" w:hAnsi="宋体"/>
          <w:szCs w:val="21"/>
          <w:u w:val="single"/>
        </w:rPr>
        <w:t xml:space="preserve"> </w:t>
      </w:r>
      <w:r>
        <w:rPr>
          <w:rFonts w:ascii="宋体" w:hAnsi="宋体" w:hint="eastAsia"/>
          <w:szCs w:val="21"/>
          <w:u w:val="single"/>
        </w:rPr>
        <w:t xml:space="preserve">    </w:t>
      </w:r>
      <w:r>
        <w:rPr>
          <w:rFonts w:ascii="宋体" w:hAnsi="宋体"/>
          <w:szCs w:val="21"/>
        </w:rPr>
        <w:t>(大写),</w:t>
      </w:r>
      <w:r>
        <w:rPr>
          <w:rFonts w:ascii="宋体" w:hAnsi="宋体"/>
          <w:szCs w:val="21"/>
          <w:u w:val="single"/>
        </w:rPr>
        <w:t xml:space="preserve">          </w:t>
      </w:r>
      <w:r>
        <w:rPr>
          <w:rFonts w:ascii="宋体" w:hAnsi="宋体" w:hint="eastAsia"/>
          <w:szCs w:val="21"/>
        </w:rPr>
        <w:t>元</w:t>
      </w:r>
      <w:r>
        <w:rPr>
          <w:rFonts w:ascii="宋体" w:hAnsi="宋体"/>
          <w:szCs w:val="21"/>
        </w:rPr>
        <w:t>(小写)。</w:t>
      </w:r>
    </w:p>
    <w:p w:rsidR="00700A3D" w:rsidP="00700A3D">
      <w:pPr>
        <w:spacing w:line="360" w:lineRule="auto"/>
        <w:ind w:firstLine="420" w:firstLineChars="200"/>
        <w:jc w:val="left"/>
        <w:rPr>
          <w:szCs w:val="21"/>
        </w:rPr>
      </w:pPr>
      <w:r>
        <w:rPr>
          <w:rFonts w:ascii="宋体" w:hAnsi="宋体" w:hint="eastAsia"/>
          <w:szCs w:val="21"/>
        </w:rPr>
        <w:t>2</w:t>
      </w:r>
      <w:r>
        <w:rPr>
          <w:rFonts w:ascii="宋体" w:hAnsi="宋体"/>
          <w:szCs w:val="21"/>
        </w:rPr>
        <w:t>、</w:t>
      </w:r>
      <w:r>
        <w:rPr>
          <w:rFonts w:ascii="宋体" w:hAnsi="宋体" w:hint="eastAsia"/>
          <w:szCs w:val="21"/>
        </w:rPr>
        <w:t>项目初验合格且收到初验合格证明后</w:t>
      </w:r>
      <w:r>
        <w:rPr>
          <w:rFonts w:ascii="宋体" w:hAnsi="宋体"/>
          <w:szCs w:val="21"/>
          <w:u w:val="single"/>
        </w:rPr>
        <w:t>10</w:t>
      </w:r>
      <w:r>
        <w:rPr>
          <w:rFonts w:ascii="宋体" w:hAnsi="宋体" w:hint="eastAsia"/>
          <w:szCs w:val="21"/>
        </w:rPr>
        <w:t>个工作日内，</w:t>
      </w:r>
      <w:bookmarkStart w:id="444" w:name="OLE_LINK25"/>
      <w:bookmarkStart w:id="445" w:name="OLE_LINK26"/>
      <w:r>
        <w:rPr>
          <w:rFonts w:hint="eastAsia"/>
          <w:szCs w:val="21"/>
        </w:rPr>
        <w:t>甲方退还乙方该预付款保函。</w:t>
      </w:r>
      <w:bookmarkEnd w:id="444"/>
      <w:bookmarkEnd w:id="445"/>
      <w:r>
        <w:rPr>
          <w:rFonts w:hint="eastAsia"/>
          <w:szCs w:val="21"/>
        </w:rPr>
        <w:t>同时，乙方向甲方提供合同总金额</w:t>
      </w:r>
      <w:r>
        <w:rPr>
          <w:rFonts w:hint="eastAsia"/>
          <w:szCs w:val="21"/>
          <w:u w:val="single"/>
        </w:rPr>
        <w:t>10%</w:t>
      </w:r>
      <w:r>
        <w:rPr>
          <w:rFonts w:hint="eastAsia"/>
          <w:szCs w:val="21"/>
        </w:rPr>
        <w:t>的履约保函，即人民币</w:t>
      </w:r>
      <w:r>
        <w:rPr>
          <w:rFonts w:hint="eastAsia"/>
          <w:szCs w:val="21"/>
          <w:u w:val="single"/>
        </w:rPr>
        <w:t xml:space="preserve">         </w:t>
      </w:r>
      <w:r>
        <w:rPr>
          <w:rFonts w:hint="eastAsia"/>
          <w:szCs w:val="21"/>
        </w:rPr>
        <w:t>元（大写）：</w:t>
      </w:r>
      <w:r>
        <w:rPr>
          <w:rFonts w:hint="eastAsia"/>
          <w:szCs w:val="21"/>
          <w:u w:val="single"/>
        </w:rPr>
        <w:t xml:space="preserve">          </w:t>
      </w:r>
      <w:r>
        <w:rPr>
          <w:rFonts w:hint="eastAsia"/>
          <w:szCs w:val="21"/>
        </w:rPr>
        <w:t>元（小写），</w:t>
      </w:r>
      <w:r>
        <w:rPr>
          <w:rFonts w:ascii="宋体" w:hAnsi="宋体" w:hint="eastAsia"/>
          <w:szCs w:val="21"/>
        </w:rPr>
        <w:t>有效期截止</w:t>
      </w:r>
      <w:r>
        <w:rPr>
          <w:rFonts w:ascii="宋体" w:hAnsi="宋体" w:hint="eastAsia"/>
          <w:szCs w:val="21"/>
          <w:u w:val="single"/>
        </w:rPr>
        <w:t xml:space="preserve">_  </w:t>
      </w:r>
      <w:r>
        <w:rPr>
          <w:rFonts w:ascii="宋体" w:hAnsi="宋体" w:hint="eastAsia"/>
          <w:szCs w:val="21"/>
        </w:rPr>
        <w:t>_年_</w:t>
      </w:r>
      <w:r>
        <w:rPr>
          <w:rFonts w:ascii="宋体" w:hAnsi="宋体" w:hint="eastAsia"/>
          <w:szCs w:val="21"/>
          <w:u w:val="single"/>
        </w:rPr>
        <w:t xml:space="preserve">  </w:t>
      </w:r>
      <w:r>
        <w:rPr>
          <w:rFonts w:ascii="宋体" w:hAnsi="宋体" w:hint="eastAsia"/>
          <w:szCs w:val="21"/>
        </w:rPr>
        <w:t>_月_</w:t>
      </w:r>
      <w:r>
        <w:rPr>
          <w:rFonts w:ascii="宋体" w:hAnsi="宋体" w:hint="eastAsia"/>
          <w:szCs w:val="21"/>
          <w:u w:val="single"/>
        </w:rPr>
        <w:t xml:space="preserve">   </w:t>
      </w:r>
      <w:r>
        <w:rPr>
          <w:rFonts w:ascii="宋体" w:hAnsi="宋体" w:hint="eastAsia"/>
          <w:szCs w:val="21"/>
        </w:rPr>
        <w:t>日</w:t>
      </w:r>
      <w:r>
        <w:rPr>
          <w:rFonts w:hint="eastAsia"/>
          <w:szCs w:val="21"/>
        </w:rPr>
        <w:t>。甲方收到上述履约保函后</w:t>
      </w:r>
      <w:r>
        <w:rPr>
          <w:rFonts w:hint="eastAsia"/>
          <w:szCs w:val="21"/>
          <w:u w:val="single"/>
        </w:rPr>
        <w:t>10</w:t>
      </w:r>
      <w:r>
        <w:rPr>
          <w:rFonts w:hint="eastAsia"/>
          <w:szCs w:val="21"/>
        </w:rPr>
        <w:t>个工作日内向乙方支付合同总金额的</w:t>
      </w:r>
      <w:r>
        <w:rPr>
          <w:rFonts w:hint="eastAsia"/>
          <w:szCs w:val="21"/>
          <w:u w:val="single"/>
        </w:rPr>
        <w:t>10 %</w:t>
      </w:r>
      <w:r>
        <w:rPr>
          <w:rFonts w:hint="eastAsia"/>
          <w:szCs w:val="21"/>
        </w:rPr>
        <w:t>，即人民币：</w:t>
      </w:r>
      <w:r>
        <w:rPr>
          <w:rFonts w:hint="eastAsia"/>
          <w:szCs w:val="21"/>
          <w:u w:val="single"/>
        </w:rPr>
        <w:t xml:space="preserve">         </w:t>
      </w:r>
      <w:r>
        <w:rPr>
          <w:rFonts w:hint="eastAsia"/>
          <w:szCs w:val="21"/>
        </w:rPr>
        <w:t>元（大写）：</w:t>
      </w:r>
      <w:r>
        <w:rPr>
          <w:rFonts w:hint="eastAsia"/>
          <w:szCs w:val="21"/>
          <w:u w:val="single"/>
        </w:rPr>
        <w:t xml:space="preserve">           </w:t>
      </w:r>
      <w:r>
        <w:rPr>
          <w:rFonts w:hint="eastAsia"/>
          <w:szCs w:val="21"/>
        </w:rPr>
        <w:t>元（小写）；</w:t>
      </w:r>
    </w:p>
    <w:p w:rsidR="00700A3D" w:rsidP="00700A3D">
      <w:pPr>
        <w:snapToGrid w:val="0"/>
        <w:spacing w:line="360" w:lineRule="auto"/>
        <w:ind w:firstLine="420" w:firstLineChars="200"/>
        <w:rPr>
          <w:rFonts w:ascii="宋体" w:hAnsi="宋体"/>
          <w:szCs w:val="21"/>
        </w:rPr>
      </w:pPr>
      <w:r>
        <w:rPr>
          <w:rFonts w:ascii="宋体" w:hAnsi="宋体" w:hint="eastAsia"/>
          <w:szCs w:val="21"/>
        </w:rPr>
        <w:t>3</w:t>
      </w:r>
      <w:r>
        <w:rPr>
          <w:rFonts w:ascii="宋体" w:hAnsi="宋体"/>
          <w:szCs w:val="21"/>
        </w:rPr>
        <w:t>、项目</w:t>
      </w:r>
      <w:bookmarkStart w:id="446" w:name="OLE_LINK7"/>
      <w:bookmarkStart w:id="447" w:name="OLE_LINK8"/>
      <w:r>
        <w:rPr>
          <w:rFonts w:ascii="宋体" w:hAnsi="宋体" w:hint="eastAsia"/>
          <w:szCs w:val="21"/>
        </w:rPr>
        <w:t>终验</w:t>
      </w:r>
      <w:bookmarkEnd w:id="446"/>
      <w:bookmarkEnd w:id="447"/>
      <w:r>
        <w:rPr>
          <w:rFonts w:ascii="宋体" w:hAnsi="宋体"/>
          <w:szCs w:val="21"/>
        </w:rPr>
        <w:t>合格且收到</w:t>
      </w:r>
      <w:r>
        <w:rPr>
          <w:rFonts w:ascii="宋体" w:hAnsi="宋体" w:hint="eastAsia"/>
          <w:szCs w:val="21"/>
        </w:rPr>
        <w:t>终验</w:t>
      </w:r>
      <w:r>
        <w:rPr>
          <w:rFonts w:ascii="宋体" w:hAnsi="宋体"/>
          <w:szCs w:val="21"/>
        </w:rPr>
        <w:t>合格证明</w:t>
      </w:r>
      <w:r>
        <w:rPr>
          <w:rFonts w:ascii="宋体" w:hAnsi="宋体"/>
          <w:szCs w:val="21"/>
          <w:u w:val="single"/>
        </w:rPr>
        <w:t>10</w:t>
      </w:r>
      <w:r>
        <w:rPr>
          <w:rFonts w:ascii="宋体" w:hAnsi="宋体" w:hint="eastAsia"/>
          <w:szCs w:val="21"/>
        </w:rPr>
        <w:t>个工作日内，</w:t>
      </w:r>
      <w:bookmarkStart w:id="448" w:name="OLE_LINK37_0"/>
      <w:bookmarkStart w:id="449" w:name="OLE_LINK38_0"/>
      <w:r>
        <w:rPr>
          <w:rFonts w:ascii="宋体" w:hAnsi="宋体" w:hint="eastAsia"/>
          <w:szCs w:val="21"/>
        </w:rPr>
        <w:t>甲方向乙方退还该履约保函。</w:t>
      </w:r>
      <w:bookmarkEnd w:id="448"/>
      <w:bookmarkEnd w:id="449"/>
    </w:p>
    <w:p w:rsidR="00700A3D" w:rsidP="00700A3D">
      <w:pPr>
        <w:snapToGrid w:val="0"/>
        <w:spacing w:line="360" w:lineRule="auto"/>
        <w:ind w:firstLine="420" w:firstLineChars="200"/>
        <w:rPr>
          <w:rFonts w:ascii="宋体" w:hAnsi="宋体"/>
          <w:szCs w:val="21"/>
        </w:rPr>
      </w:pPr>
      <w:r>
        <w:rPr>
          <w:rFonts w:ascii="宋体" w:hAnsi="宋体" w:hint="eastAsia"/>
          <w:szCs w:val="21"/>
        </w:rPr>
        <w:t>4</w:t>
      </w:r>
      <w:r>
        <w:rPr>
          <w:rFonts w:ascii="宋体" w:hAnsi="宋体"/>
          <w:szCs w:val="21"/>
        </w:rPr>
        <w:t>、上述付款条件满足，但项目资金未完全下达，则付款时间延后为资金下达后</w:t>
      </w:r>
      <w:r>
        <w:rPr>
          <w:rFonts w:ascii="宋体" w:hAnsi="宋体"/>
          <w:szCs w:val="21"/>
          <w:u w:val="single"/>
        </w:rPr>
        <w:t>15</w:t>
      </w:r>
      <w:r>
        <w:rPr>
          <w:rFonts w:ascii="宋体" w:hAnsi="宋体" w:hint="eastAsia"/>
          <w:szCs w:val="21"/>
        </w:rPr>
        <w:t>个工作日内。</w:t>
      </w:r>
    </w:p>
    <w:bookmarkEnd w:id="441"/>
    <w:p w:rsidR="00700A3D" w:rsidP="00700A3D">
      <w:pPr>
        <w:adjustRightInd w:val="0"/>
        <w:spacing w:line="360" w:lineRule="auto"/>
        <w:ind w:firstLine="420" w:firstLineChars="200"/>
        <w:outlineLvl w:val="1"/>
        <w:rPr>
          <w:rFonts w:ascii="宋体" w:hAnsi="宋体"/>
          <w:b/>
          <w:szCs w:val="21"/>
        </w:rPr>
      </w:pPr>
      <w:r>
        <w:rPr>
          <w:rFonts w:ascii="宋体" w:hAnsi="宋体" w:hint="eastAsia"/>
          <w:b/>
          <w:szCs w:val="21"/>
        </w:rPr>
        <w:t>七、交货时间和交货地点</w:t>
      </w:r>
    </w:p>
    <w:p w:rsidR="00700A3D" w:rsidP="00700A3D">
      <w:pPr>
        <w:snapToGrid w:val="0"/>
        <w:spacing w:line="360" w:lineRule="auto"/>
        <w:ind w:firstLine="407" w:firstLineChars="194"/>
        <w:rPr>
          <w:rFonts w:ascii="宋体" w:hAnsi="宋体"/>
          <w:szCs w:val="21"/>
        </w:rPr>
      </w:pPr>
      <w:r>
        <w:rPr>
          <w:rFonts w:ascii="宋体" w:hAnsi="宋体" w:hint="eastAsia"/>
          <w:szCs w:val="21"/>
        </w:rPr>
        <w:t>乙方应当按以下方式向甲方交付合同标的物：</w:t>
      </w:r>
    </w:p>
    <w:p w:rsidR="00700A3D" w:rsidP="00700A3D">
      <w:pPr>
        <w:tabs>
          <w:tab w:val="left" w:pos="540"/>
        </w:tabs>
        <w:snapToGrid w:val="0"/>
        <w:spacing w:line="360" w:lineRule="auto"/>
        <w:rPr>
          <w:rFonts w:ascii="宋体" w:hAnsi="宋体"/>
          <w:szCs w:val="21"/>
        </w:rPr>
      </w:pPr>
      <w:r>
        <w:rPr>
          <w:rFonts w:ascii="宋体" w:hAnsi="宋体"/>
          <w:szCs w:val="21"/>
        </w:rPr>
        <w:t xml:space="preserve">     1．乙方交付内容：</w:t>
      </w:r>
      <w:r>
        <w:rPr>
          <w:rFonts w:ascii="宋体" w:hAnsi="宋体"/>
          <w:szCs w:val="21"/>
          <w:u w:val="single"/>
        </w:rPr>
        <w:t xml:space="preserve">   需求分析报</w:t>
      </w:r>
      <w:r>
        <w:rPr>
          <w:rFonts w:ascii="宋体" w:hAnsi="宋体" w:hint="eastAsia"/>
          <w:szCs w:val="21"/>
          <w:u w:val="single"/>
        </w:rPr>
        <w:t xml:space="preserve">告，概要设计报告，详细设计报告，技术规格说明书，技术开发文档（含源代码），测试报告，验收文档，使用操作说明手册，安装维护手册 （根据具体项目罗列） </w:t>
      </w:r>
      <w:r>
        <w:rPr>
          <w:rFonts w:ascii="宋体" w:hAnsi="宋体" w:hint="eastAsia"/>
          <w:szCs w:val="21"/>
        </w:rPr>
        <w:t>。</w:t>
      </w:r>
    </w:p>
    <w:p w:rsidR="00700A3D" w:rsidP="00700A3D">
      <w:pPr>
        <w:snapToGrid w:val="0"/>
        <w:spacing w:line="360" w:lineRule="auto"/>
        <w:rPr>
          <w:rFonts w:ascii="宋体" w:hAnsi="宋体"/>
          <w:szCs w:val="21"/>
        </w:rPr>
      </w:pPr>
      <w:r>
        <w:rPr>
          <w:rFonts w:ascii="宋体" w:hAnsi="宋体" w:hint="eastAsia"/>
          <w:szCs w:val="21"/>
        </w:rPr>
        <w:t xml:space="preserve">     2．交付的时间及地点：</w:t>
      </w:r>
      <w:r>
        <w:rPr>
          <w:rFonts w:ascii="宋体" w:hAnsi="宋体" w:hint="eastAsia"/>
          <w:szCs w:val="21"/>
          <w:u w:val="single"/>
        </w:rPr>
        <w:t xml:space="preserve">    </w:t>
      </w:r>
    </w:p>
    <w:p w:rsidR="00700A3D" w:rsidP="00700A3D">
      <w:pPr>
        <w:snapToGrid w:val="0"/>
        <w:spacing w:line="360" w:lineRule="auto"/>
        <w:ind w:firstLine="412" w:firstLineChars="196"/>
        <w:rPr>
          <w:rFonts w:ascii="宋体" w:hAnsi="宋体"/>
          <w:szCs w:val="21"/>
        </w:rPr>
      </w:pPr>
      <w:r>
        <w:rPr>
          <w:rFonts w:ascii="宋体" w:hAnsi="宋体" w:hint="eastAsia"/>
          <w:szCs w:val="21"/>
        </w:rPr>
        <w:t>乙方应在本合同生效后</w:t>
      </w:r>
      <w:r>
        <w:rPr>
          <w:rFonts w:ascii="宋体" w:hAnsi="宋体" w:hint="eastAsia"/>
          <w:kern w:val="0"/>
          <w:szCs w:val="21"/>
        </w:rPr>
        <w:t xml:space="preserve">   </w:t>
      </w:r>
      <w:r>
        <w:rPr>
          <w:rFonts w:ascii="宋体" w:hAnsi="宋体" w:hint="eastAsia"/>
          <w:szCs w:val="21"/>
        </w:rPr>
        <w:t>日内在甲方所在地向甲方提交研究开发计划。研究开发计划应包括以下主要内容：</w:t>
      </w:r>
    </w:p>
    <w:p w:rsidR="00700A3D" w:rsidP="00700A3D">
      <w:pPr>
        <w:snapToGrid w:val="0"/>
        <w:spacing w:line="360" w:lineRule="auto"/>
        <w:ind w:left="785" w:hanging="785" w:hangingChars="374"/>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1.                      </w:t>
      </w:r>
    </w:p>
    <w:p w:rsidR="00700A3D" w:rsidP="00700A3D">
      <w:pPr>
        <w:snapToGrid w:val="0"/>
        <w:spacing w:line="360" w:lineRule="auto"/>
        <w:ind w:left="735" w:leftChars="350"/>
        <w:rPr>
          <w:rFonts w:ascii="宋体" w:hAnsi="宋体"/>
          <w:szCs w:val="21"/>
          <w:u w:val="single"/>
        </w:rPr>
      </w:pPr>
      <w:r>
        <w:rPr>
          <w:rFonts w:ascii="宋体" w:hAnsi="宋体" w:hint="eastAsia"/>
          <w:szCs w:val="21"/>
          <w:u w:val="single"/>
        </w:rPr>
        <w:t xml:space="preserve">  2.                      </w:t>
      </w:r>
    </w:p>
    <w:p w:rsidR="00700A3D" w:rsidP="00700A3D">
      <w:pPr>
        <w:snapToGrid w:val="0"/>
        <w:spacing w:line="360" w:lineRule="auto"/>
        <w:ind w:left="735" w:leftChars="350"/>
        <w:rPr>
          <w:rFonts w:ascii="宋体" w:hAnsi="宋体"/>
          <w:szCs w:val="21"/>
          <w:u w:val="single"/>
        </w:rPr>
      </w:pPr>
      <w:r>
        <w:rPr>
          <w:rFonts w:ascii="宋体" w:hAnsi="宋体" w:hint="eastAsia"/>
          <w:szCs w:val="21"/>
          <w:u w:val="single"/>
        </w:rPr>
        <w:t xml:space="preserve">        </w:t>
      </w:r>
      <w:r>
        <w:rPr>
          <w:rFonts w:ascii="宋体" w:hAnsi="宋体"/>
          <w:szCs w:val="21"/>
          <w:u w:val="single"/>
        </w:rPr>
        <w:t>………</w:t>
      </w:r>
      <w:r>
        <w:rPr>
          <w:rFonts w:ascii="宋体" w:hAnsi="宋体" w:hint="eastAsia"/>
          <w:szCs w:val="21"/>
          <w:u w:val="single"/>
        </w:rPr>
        <w:t xml:space="preserve">            </w:t>
      </w:r>
    </w:p>
    <w:p w:rsidR="00700A3D" w:rsidP="00700A3D">
      <w:pPr>
        <w:snapToGrid w:val="0"/>
        <w:spacing w:line="360" w:lineRule="auto"/>
        <w:ind w:firstLine="420" w:firstLineChars="200"/>
        <w:rPr>
          <w:rFonts w:ascii="宋体" w:hAnsi="宋体"/>
          <w:b/>
          <w:szCs w:val="21"/>
        </w:rPr>
      </w:pPr>
    </w:p>
    <w:p w:rsidR="00700A3D" w:rsidP="00700A3D">
      <w:pPr>
        <w:adjustRightInd w:val="0"/>
        <w:spacing w:line="360" w:lineRule="auto"/>
        <w:ind w:firstLine="420" w:firstLineChars="200"/>
        <w:outlineLvl w:val="1"/>
        <w:rPr>
          <w:rFonts w:ascii="宋体" w:hAnsi="宋体"/>
          <w:b/>
          <w:szCs w:val="21"/>
        </w:rPr>
      </w:pPr>
      <w:r>
        <w:rPr>
          <w:rFonts w:ascii="宋体" w:hAnsi="宋体" w:hint="eastAsia"/>
          <w:b/>
          <w:szCs w:val="21"/>
        </w:rPr>
        <w:t>八、原产地</w:t>
      </w:r>
    </w:p>
    <w:p w:rsidR="00700A3D" w:rsidP="00700A3D">
      <w:pPr>
        <w:snapToGrid w:val="0"/>
        <w:spacing w:line="360" w:lineRule="auto"/>
        <w:ind w:firstLine="420" w:firstLineChars="200"/>
        <w:rPr>
          <w:rFonts w:ascii="宋体" w:hAnsi="宋体"/>
          <w:szCs w:val="21"/>
        </w:rPr>
      </w:pPr>
      <w:r>
        <w:rPr>
          <w:rFonts w:ascii="宋体" w:hAnsi="宋体" w:hint="eastAsia"/>
          <w:szCs w:val="21"/>
        </w:rPr>
        <w:t>本合同项下所提供的服务应来自于中华人民共和国或是与中华人民共和国有正常贸易往来的国家（以下简称“合格来源国”）和地区。</w:t>
      </w:r>
    </w:p>
    <w:p w:rsidR="00700A3D" w:rsidP="00700A3D">
      <w:pPr>
        <w:adjustRightInd w:val="0"/>
        <w:spacing w:line="360" w:lineRule="auto"/>
        <w:ind w:firstLine="420" w:firstLineChars="200"/>
        <w:outlineLvl w:val="1"/>
        <w:rPr>
          <w:rFonts w:ascii="宋体" w:hAnsi="宋体"/>
          <w:b/>
          <w:szCs w:val="21"/>
        </w:rPr>
      </w:pPr>
      <w:r>
        <w:rPr>
          <w:rFonts w:ascii="宋体" w:hAnsi="宋体" w:hint="eastAsia"/>
          <w:b/>
          <w:szCs w:val="21"/>
        </w:rPr>
        <w:t>九、标准</w:t>
      </w:r>
    </w:p>
    <w:p w:rsidR="00700A3D" w:rsidP="00700A3D">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、本合同交付物应符合合同附件技术要求所述的标准。如果没有提及适用标准，则应符合货物</w:t>
      </w:r>
      <w:r>
        <w:rPr>
          <w:rFonts w:ascii="宋体" w:hAnsi="宋体"/>
          <w:szCs w:val="21"/>
        </w:rPr>
        <w:t>/</w:t>
      </w:r>
      <w:r>
        <w:rPr>
          <w:rFonts w:ascii="宋体" w:hAnsi="宋体" w:hint="eastAsia"/>
          <w:szCs w:val="21"/>
        </w:rPr>
        <w:t>服务来源国适用的官方标准。这些标准必须是有关机构发布的最新版本的标准。</w:t>
      </w:r>
    </w:p>
    <w:p w:rsidR="00700A3D" w:rsidP="00700A3D">
      <w:pPr>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、除非技术规格中另有规定，计量单位均采用中华人民共和国法定计量单位。</w:t>
      </w:r>
    </w:p>
    <w:p w:rsidR="00700A3D" w:rsidP="00700A3D">
      <w:pPr>
        <w:tabs>
          <w:tab w:val="left" w:pos="1573"/>
        </w:tabs>
        <w:adjustRightInd w:val="0"/>
        <w:snapToGrid w:val="0"/>
        <w:spacing w:line="360" w:lineRule="auto"/>
        <w:ind w:firstLine="420" w:firstLineChars="200"/>
        <w:outlineLvl w:val="1"/>
        <w:rPr>
          <w:rFonts w:ascii="宋体" w:hAnsi="宋体"/>
          <w:b/>
          <w:szCs w:val="21"/>
        </w:rPr>
      </w:pPr>
      <w:r>
        <w:rPr>
          <w:rFonts w:ascii="宋体" w:hAnsi="宋体" w:hint="eastAsia"/>
          <w:b/>
          <w:szCs w:val="21"/>
        </w:rPr>
        <w:t>十、甲方的权利和义务</w:t>
      </w:r>
    </w:p>
    <w:p w:rsidR="00700A3D" w:rsidP="00700A3D">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1、甲方积极参与处理项目的管理、需求、沟通、验收等过程，推动项目按计划进行。</w:t>
      </w:r>
    </w:p>
    <w:p w:rsidR="00700A3D" w:rsidP="00700A3D">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2、甲方安排项目负责人或项目小组全面配合乙方的工作，与乙方共同推进项目、解决问题、保障进度。</w:t>
      </w:r>
    </w:p>
    <w:p w:rsidR="00700A3D" w:rsidP="00700A3D">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3、参与整个项目全过程，协助配合乙方做好需求调研、方案设计及现场等工作，对各项业务的需求报告及时确认，组织相关部门参加各阶段验收工作。</w:t>
      </w:r>
    </w:p>
    <w:p w:rsidR="00700A3D" w:rsidP="00700A3D">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 xml:space="preserve">4、协调各业务部门配合乙方开展工作，保证乙方及时得到业务相关的技术资料、数据资料， </w:t>
      </w:r>
      <w:r>
        <w:rPr>
          <w:rFonts w:ascii="宋体" w:hAnsi="宋体" w:hint="eastAsia"/>
          <w:szCs w:val="21"/>
        </w:rPr>
        <w:t>提供业务咨询，并提供现场安装的条件与支持。</w:t>
      </w:r>
    </w:p>
    <w:p w:rsidR="00700A3D" w:rsidP="00700A3D">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、按照工作计划进度，及时接受乙方的验收申请，组织并完成验收工作。</w:t>
      </w:r>
    </w:p>
    <w:p w:rsidR="00700A3D" w:rsidP="00700A3D">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6</w:t>
      </w:r>
      <w:r>
        <w:rPr>
          <w:rFonts w:ascii="宋体" w:hAnsi="宋体" w:hint="eastAsia"/>
          <w:szCs w:val="21"/>
        </w:rPr>
        <w:t>、甲方应按合同规定的付款条件内，按时支付合同款项。</w:t>
      </w:r>
    </w:p>
    <w:p w:rsidR="00700A3D" w:rsidP="00700A3D">
      <w:pPr>
        <w:tabs>
          <w:tab w:val="left" w:pos="1573"/>
        </w:tabs>
        <w:adjustRightInd w:val="0"/>
        <w:snapToGrid w:val="0"/>
        <w:spacing w:line="360" w:lineRule="auto"/>
        <w:ind w:firstLine="420" w:firstLineChars="200"/>
        <w:outlineLvl w:val="1"/>
        <w:rPr>
          <w:rFonts w:ascii="宋体" w:hAnsi="宋体"/>
          <w:b/>
          <w:szCs w:val="21"/>
        </w:rPr>
      </w:pPr>
      <w:r>
        <w:rPr>
          <w:rFonts w:ascii="宋体" w:hAnsi="宋体" w:hint="eastAsia"/>
          <w:b/>
          <w:szCs w:val="21"/>
        </w:rPr>
        <w:t>十一、乙方的权利和义务</w:t>
      </w:r>
    </w:p>
    <w:p w:rsidR="00700A3D" w:rsidP="00700A3D">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l、合同正式生效后指定专门人员成立项目组，该项目组全面负责整个项目过程，指定现场实施具体负责人，与甲方项目负责人一起全权负责项目管理和协调项目中出现的问题，管理项目进度、需求变更、协调本方资源等多方面的工作。</w:t>
      </w:r>
    </w:p>
    <w:p w:rsidR="00700A3D" w:rsidP="00700A3D">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2、确定项目组下设的软件开发及实施人员。项目组的人员变化及时通知甲方，对于不能胜任人员根据甲方要求及时调换。</w:t>
      </w:r>
    </w:p>
    <w:p w:rsidR="00700A3D" w:rsidP="00700A3D">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3、在甲方配合下根据本合同及附件各项要求完成软件的需求分析、设计、开发、测试和实施工作，及时发现并解决软件问题，不断完善达到软件需求和验收标准的规定。项目建设各阶段评审发生的评审费、文档印刷费等费用由乙方承担。</w:t>
      </w:r>
    </w:p>
    <w:p w:rsidR="00700A3D" w:rsidP="00700A3D">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4、乙方需安排合理的项目组织机构和人员，确保项目规范性和沟通通畅。开展进度管理机制，每周向甲方提供工作开发进展情况，并提出相关建议。</w:t>
      </w:r>
    </w:p>
    <w:p w:rsidR="00700A3D" w:rsidP="00700A3D">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5、乙方负责对甲方业务人员进行系统操作培训，对甲方技术人员进行系统安装培训和系统维护培训。</w:t>
      </w:r>
    </w:p>
    <w:p w:rsidR="00700A3D" w:rsidP="00700A3D">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6、在整个项目的建设过程中，乙方按照合同和验收要求，提交相应的文档。对项目过程中的变更事项，由双方单位协商调整并以书面确认，最终以相应的正式变更协议为准。</w:t>
      </w:r>
    </w:p>
    <w:p w:rsidR="00700A3D" w:rsidP="00700A3D">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7、系统正式运行后，定期回访用户，当软件出现重大缺陷问题井影响到甲方实际应用时需及时响应并派人到现场解决。</w:t>
      </w:r>
    </w:p>
    <w:p w:rsidR="00700A3D" w:rsidP="00700A3D">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8、工作现场严格遵守甲方的规定。</w:t>
      </w:r>
    </w:p>
    <w:p w:rsidR="00700A3D" w:rsidP="00700A3D">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 xml:space="preserve">9、当遇到“ </w:t>
      </w:r>
      <w:r>
        <w:rPr>
          <w:rFonts w:ascii="宋体" w:hAnsi="宋体" w:hint="eastAsia"/>
          <w:szCs w:val="21"/>
        </w:rPr>
        <w:t>不可抗力”</w:t>
      </w:r>
      <w:r>
        <w:rPr>
          <w:rFonts w:ascii="宋体" w:hAnsi="宋体"/>
          <w:szCs w:val="21"/>
        </w:rPr>
        <w:t xml:space="preserve"> </w:t>
      </w:r>
      <w:r>
        <w:rPr>
          <w:rFonts w:ascii="宋体" w:hAnsi="宋体" w:hint="eastAsia"/>
          <w:szCs w:val="21"/>
        </w:rPr>
        <w:t>的影响不能按计划实施，有权提出</w:t>
      </w:r>
      <w:r>
        <w:rPr>
          <w:rFonts w:ascii="宋体" w:hAnsi="宋体"/>
          <w:szCs w:val="21"/>
        </w:rPr>
        <w:t>工程</w:t>
      </w:r>
      <w:r>
        <w:rPr>
          <w:rFonts w:ascii="宋体" w:hAnsi="宋体" w:hint="eastAsia"/>
          <w:szCs w:val="21"/>
        </w:rPr>
        <w:t>延期申请。</w:t>
      </w:r>
    </w:p>
    <w:p w:rsidR="00700A3D" w:rsidP="00700A3D">
      <w:pPr>
        <w:tabs>
          <w:tab w:val="left" w:pos="480"/>
          <w:tab w:val="left" w:pos="1573"/>
        </w:tabs>
        <w:adjustRightInd w:val="0"/>
        <w:snapToGrid w:val="0"/>
        <w:spacing w:line="360" w:lineRule="auto"/>
        <w:ind w:firstLine="420" w:firstLineChars="200"/>
        <w:rPr>
          <w:rFonts w:ascii="宋体" w:hAnsi="宋体"/>
          <w:szCs w:val="21"/>
        </w:rPr>
      </w:pPr>
      <w:r>
        <w:rPr>
          <w:rFonts w:ascii="宋体" w:hAnsi="宋体" w:hint="eastAsia"/>
          <w:szCs w:val="21"/>
        </w:rPr>
        <w:t>10、乙方保证不在产品及相关服务中设置任何形式的后门程序、未公开接口或特权访问通道，不通过技术手段远程控制甲方系统或设备，未经甲方同意不修改系统配置、删除数据或中断服务。一旦发现设置后门或非法获取数据，甲方有权立即终止合同。若因上述行为导致数据泄露、系统故障，乙方需赔偿全部直接损失（包括数据恢复费用、业务中断损失、监管罚款等），并承担因此产生的法律责任。</w:t>
      </w:r>
    </w:p>
    <w:p w:rsidR="00700A3D" w:rsidP="00700A3D">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11未经甲方书面同意，乙方不得单方面要求升级、更换产品或服务，不得因甲方拒绝升级而降低服务质量或中断服务。</w:t>
      </w:r>
      <w:bookmarkStart w:id="450" w:name="OLE_LINK20"/>
      <w:r>
        <w:rPr>
          <w:rFonts w:ascii="宋体" w:hAnsi="宋体" w:hint="eastAsia"/>
          <w:szCs w:val="21"/>
        </w:rPr>
        <w:t>如涉及增加或改进安全性的软件升级问题，乙方应当在其刚开始应用该等软件时的第一时间内告知甲方，经甲方同意后应立即主动地、无条件地给与免费更新并调试完好。</w:t>
      </w:r>
    </w:p>
    <w:bookmarkEnd w:id="450"/>
    <w:p w:rsidR="00700A3D" w:rsidP="00700A3D">
      <w:pPr>
        <w:tabs>
          <w:tab w:val="left" w:pos="480"/>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w:t>
      </w:r>
      <w:r>
        <w:rPr>
          <w:rFonts w:ascii="宋体" w:hAnsi="宋体" w:hint="eastAsia"/>
          <w:szCs w:val="21"/>
          <w:lang w:bidi="ar"/>
        </w:rPr>
        <w:t>除基于法院判决、行政命令或经甲方书面授权外，乙方不得以任何形式（包括但不限于复制、发布、公开、共享、转让、许可、展示等）向任何第三方披露源代码、算法、软件程序、开发文档、实施方案、拓扑图、技术架构、接口规范等信息。如乙方违反约定，应立即停止披露行为，采取有效措施消除影响。</w:t>
      </w:r>
    </w:p>
    <w:p w:rsidR="00700A3D" w:rsidP="00700A3D">
      <w:pPr>
        <w:adjustRightInd w:val="0"/>
        <w:spacing w:line="360" w:lineRule="auto"/>
        <w:ind w:firstLine="420" w:firstLineChars="200"/>
        <w:outlineLvl w:val="1"/>
        <w:rPr>
          <w:rFonts w:ascii="宋体" w:hAnsi="宋体"/>
          <w:b/>
          <w:szCs w:val="21"/>
        </w:rPr>
      </w:pPr>
      <w:r>
        <w:rPr>
          <w:rFonts w:ascii="宋体" w:hAnsi="宋体" w:hint="eastAsia"/>
          <w:b/>
          <w:szCs w:val="21"/>
        </w:rPr>
        <w:t>十二、使用合同文件和资料</w:t>
      </w:r>
    </w:p>
    <w:p w:rsidR="00700A3D" w:rsidP="00700A3D">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没有甲方事先书面同意，乙方不得将由甲方或代表甲方提供的有关合同或任何合同条文、规格、计划、图纸或资料提供给与履行本合同无关的任何其他人。即使向与履行本合同有关的人员提供，也应注意保密并限于履行合同必须的范围。</w:t>
      </w:r>
    </w:p>
    <w:p w:rsidR="00700A3D" w:rsidP="00700A3D">
      <w:pPr>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、没有甲方事先书面同意，除了履行本合同之外，乙方不应使用合同所列举的任何文件和资料。</w:t>
      </w:r>
    </w:p>
    <w:p w:rsidR="00700A3D" w:rsidP="00700A3D">
      <w:pPr>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、除了合同本身以外，合同所列举的任何文件是甲方的财产。如果甲方有要求，乙方在完成合同后应将这些文件及全部复制件还给甲方。</w:t>
      </w:r>
    </w:p>
    <w:p w:rsidR="00700A3D" w:rsidP="00700A3D">
      <w:pPr>
        <w:snapToGrid w:val="0"/>
        <w:spacing w:line="360" w:lineRule="auto"/>
        <w:ind w:firstLine="420" w:firstLineChars="200"/>
        <w:rPr>
          <w:rFonts w:ascii="宋体" w:hAnsi="宋体"/>
          <w:szCs w:val="21"/>
        </w:rPr>
      </w:pPr>
      <w:r>
        <w:rPr>
          <w:rFonts w:ascii="宋体" w:hAnsi="宋体" w:hint="eastAsia"/>
          <w:szCs w:val="21"/>
          <w:lang w:bidi="ar"/>
        </w:rPr>
        <w:t>4、除基于法院判决、行政命令或经甲方书面授权外，乙方不得以任何形式（包括但不限于复制、发布、公开、共享、转让、许可、展示等）向任何第三方披露源代码、算法、软件程序、开发文档、实施方案、拓扑图、技术架构、接口规范等资料。如乙方违反约定，应立即停止披露行为，采取有效措施消除影响。</w:t>
      </w:r>
    </w:p>
    <w:p w:rsidR="00700A3D" w:rsidP="00700A3D">
      <w:pPr>
        <w:snapToGrid w:val="0"/>
        <w:spacing w:line="360" w:lineRule="auto"/>
        <w:ind w:firstLine="420" w:firstLineChars="200"/>
        <w:rPr>
          <w:rFonts w:ascii="宋体" w:hAnsi="宋体"/>
          <w:szCs w:val="21"/>
        </w:rPr>
      </w:pPr>
      <w:r>
        <w:rPr>
          <w:rFonts w:ascii="宋体" w:hAnsi="宋体" w:hint="eastAsia"/>
          <w:szCs w:val="21"/>
        </w:rPr>
        <w:t>5、对于在合同履行过程中所获得或了解的商业秘密，任何一方应承担保密义务。未经对方事先的书面许可，任何一方不得利用或披露这些信息。</w:t>
      </w:r>
    </w:p>
    <w:p w:rsidR="00700A3D" w:rsidP="00700A3D">
      <w:pPr>
        <w:snapToGrid w:val="0"/>
        <w:spacing w:line="360" w:lineRule="auto"/>
        <w:ind w:firstLine="420" w:firstLineChars="200"/>
        <w:rPr>
          <w:rFonts w:ascii="宋体" w:hAnsi="宋体"/>
          <w:szCs w:val="21"/>
        </w:rPr>
      </w:pPr>
      <w:r>
        <w:rPr>
          <w:rFonts w:ascii="宋体" w:hAnsi="宋体" w:hint="eastAsia"/>
          <w:szCs w:val="21"/>
        </w:rPr>
        <w:t>6、保密义务不适用于下列信息：</w:t>
      </w:r>
    </w:p>
    <w:p w:rsidR="00700A3D" w:rsidP="00700A3D">
      <w:pPr>
        <w:snapToGrid w:val="0"/>
        <w:spacing w:line="360" w:lineRule="auto"/>
        <w:ind w:firstLine="420" w:firstLineChars="200"/>
        <w:rPr>
          <w:rFonts w:ascii="宋体" w:hAnsi="宋体"/>
          <w:szCs w:val="21"/>
        </w:rPr>
      </w:pPr>
      <w:r>
        <w:rPr>
          <w:rFonts w:ascii="宋体" w:hAnsi="宋体" w:hint="eastAsia"/>
          <w:szCs w:val="21"/>
        </w:rPr>
        <w:t>（1）现在或以后进入公共领域的信息；</w:t>
      </w:r>
    </w:p>
    <w:p w:rsidR="00700A3D" w:rsidP="00700A3D">
      <w:pPr>
        <w:snapToGrid w:val="0"/>
        <w:spacing w:line="360" w:lineRule="auto"/>
        <w:ind w:firstLine="420" w:firstLineChars="200"/>
        <w:rPr>
          <w:rFonts w:ascii="宋体" w:hAnsi="宋体"/>
          <w:szCs w:val="21"/>
        </w:rPr>
      </w:pPr>
      <w:r>
        <w:rPr>
          <w:rFonts w:ascii="宋体" w:hAnsi="宋体" w:hint="eastAsia"/>
          <w:szCs w:val="21"/>
        </w:rPr>
        <w:t>（2）能够证明在泄露时已被一方当事人持有</w:t>
      </w:r>
      <w:r>
        <w:rPr>
          <w:rFonts w:ascii="宋体" w:hAnsi="宋体"/>
          <w:szCs w:val="21"/>
        </w:rPr>
        <w:t>,</w:t>
      </w:r>
      <w:r>
        <w:rPr>
          <w:rFonts w:ascii="宋体" w:hAnsi="宋体" w:hint="eastAsia"/>
          <w:szCs w:val="21"/>
        </w:rPr>
        <w:t>而且并非是以前直接或间接地从另一方获得的信息；</w:t>
      </w:r>
    </w:p>
    <w:p w:rsidR="00700A3D" w:rsidP="00700A3D">
      <w:pPr>
        <w:snapToGrid w:val="0"/>
        <w:spacing w:line="360" w:lineRule="auto"/>
        <w:ind w:firstLine="420" w:firstLineChars="200"/>
        <w:rPr>
          <w:rFonts w:ascii="宋体" w:hAnsi="宋体"/>
          <w:szCs w:val="21"/>
        </w:rPr>
      </w:pPr>
      <w:r>
        <w:rPr>
          <w:rFonts w:ascii="宋体" w:hAnsi="宋体" w:hint="eastAsia"/>
          <w:szCs w:val="21"/>
        </w:rPr>
        <w:t>（3）一方当事人合法地从第三方获得并且也不对此承担保密义务的信息。</w:t>
      </w:r>
    </w:p>
    <w:p w:rsidR="00700A3D" w:rsidP="00700A3D">
      <w:pPr>
        <w:adjustRightInd w:val="0"/>
        <w:spacing w:line="360" w:lineRule="auto"/>
        <w:ind w:firstLine="420" w:firstLineChars="200"/>
        <w:outlineLvl w:val="1"/>
        <w:rPr>
          <w:rFonts w:ascii="宋体" w:hAnsi="宋体"/>
          <w:b/>
          <w:szCs w:val="21"/>
        </w:rPr>
      </w:pPr>
      <w:r>
        <w:rPr>
          <w:rFonts w:ascii="宋体" w:hAnsi="宋体" w:hint="eastAsia"/>
          <w:b/>
          <w:szCs w:val="21"/>
        </w:rPr>
        <w:t>十三、知识产权</w:t>
      </w:r>
    </w:p>
    <w:p w:rsidR="00700A3D" w:rsidP="00700A3D">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乙方应保证，甲方在中华人民共和国使用该系统或系统的任何一部分时，免受第三方提出的侵犯其知识产权的索赔或诉讼。如发生第三人指控甲方实施的技术侵权的，乙方应当提供有利证据进行解释，确保交付甲方的研究开发成果不存在技术侵权情况。</w:t>
      </w:r>
    </w:p>
    <w:p w:rsidR="00700A3D" w:rsidP="00700A3D">
      <w:pPr>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如果甲方在使用该系统或系统的任何一部分时被任何第三方诉称侵犯了该第三方知识产权或任何其它权利，甲方应立即通知乙方。乙方应负责处理这一指控并应以乙方的名义自负费用向起诉方提出抗辩。由此可能产生的一切法律责任和经济责任均由乙方承担。甲方将尽可能地对乙方抗辩给予协助，由此发生的费用由乙方承担。甲方因此承担连带赔偿责任的，甲方可向乙方追偿。</w:t>
      </w:r>
    </w:p>
    <w:p w:rsidR="00700A3D" w:rsidP="00700A3D">
      <w:pPr>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、如果甲方发现任何第三方在甲方被许可的范围内非法使用甲方获得的知识产权，甲方应毫不延迟地通知乙方。乙方应在收到甲方通知后</w:t>
      </w:r>
      <w:r>
        <w:rPr>
          <w:rFonts w:ascii="宋体" w:hAnsi="宋体"/>
          <w:szCs w:val="21"/>
        </w:rPr>
        <w:t>14</w:t>
      </w:r>
      <w:r>
        <w:rPr>
          <w:rFonts w:ascii="宋体" w:hAnsi="宋体" w:hint="eastAsia"/>
          <w:szCs w:val="21"/>
        </w:rPr>
        <w:t>日内采取适当行动以制止非法使用行为；否则，如果甲方要求，乙方应授权甲方根据中国法律规定对该第三方提起诉讼，并给甲方尽可能的协助。甲方应负担诉讼中发生的全部费用，并有权获得判决给付的全部赔偿。</w:t>
      </w:r>
    </w:p>
    <w:p w:rsidR="00700A3D" w:rsidP="00700A3D">
      <w:pPr>
        <w:snapToGrid w:val="0"/>
        <w:spacing w:line="360" w:lineRule="auto"/>
        <w:ind w:firstLine="412" w:firstLineChars="196"/>
        <w:rPr>
          <w:rFonts w:ascii="宋体" w:hAnsi="宋体"/>
          <w:szCs w:val="21"/>
        </w:rPr>
      </w:pPr>
      <w:r>
        <w:rPr>
          <w:rFonts w:ascii="宋体" w:hAnsi="宋体"/>
          <w:szCs w:val="21"/>
        </w:rPr>
        <w:t>4</w:t>
      </w:r>
      <w:r>
        <w:rPr>
          <w:rFonts w:ascii="宋体" w:hAnsi="宋体" w:hint="eastAsia"/>
          <w:szCs w:val="21"/>
        </w:rPr>
        <w:t>、双方确定，因履行本合同所产生的研究开发成果及其相关知识产权权利归属，按下列第</w:t>
      </w:r>
      <w:r>
        <w:rPr>
          <w:rFonts w:ascii="宋体" w:hAnsi="宋体" w:hint="eastAsia"/>
          <w:szCs w:val="21"/>
          <w:u w:val="single"/>
        </w:rPr>
        <w:t xml:space="preserve">     </w:t>
      </w:r>
      <w:r>
        <w:rPr>
          <w:rFonts w:ascii="宋体" w:hAnsi="宋体" w:hint="eastAsia"/>
          <w:szCs w:val="21"/>
        </w:rPr>
        <w:t>种方式处理：</w:t>
      </w:r>
    </w:p>
    <w:p w:rsidR="00700A3D" w:rsidP="00700A3D">
      <w:pPr>
        <w:snapToGrid w:val="0"/>
        <w:spacing w:line="360" w:lineRule="auto"/>
        <w:rPr>
          <w:rFonts w:ascii="宋体" w:hAnsi="宋体"/>
          <w:szCs w:val="21"/>
        </w:rPr>
      </w:pPr>
      <w:r>
        <w:rPr>
          <w:rFonts w:ascii="宋体" w:hAnsi="宋体" w:hint="eastAsia"/>
          <w:szCs w:val="21"/>
        </w:rPr>
        <w:t xml:space="preserve">    （1）</w:t>
      </w:r>
      <w:r>
        <w:rPr>
          <w:rFonts w:ascii="宋体" w:hAnsi="宋体" w:hint="eastAsia"/>
          <w:szCs w:val="21"/>
          <w:u w:val="single"/>
        </w:rPr>
        <w:t xml:space="preserve">  </w:t>
      </w:r>
      <w:r>
        <w:rPr>
          <w:rFonts w:ascii="宋体" w:hAnsi="宋体" w:cs="宋体" w:hint="eastAsia"/>
          <w:szCs w:val="21"/>
          <w:u w:val="single"/>
        </w:rPr>
        <w:t xml:space="preserve">      </w:t>
      </w:r>
      <w:r>
        <w:rPr>
          <w:rFonts w:ascii="宋体" w:hAnsi="宋体" w:hint="eastAsia"/>
          <w:szCs w:val="21"/>
          <w:u w:val="single"/>
        </w:rPr>
        <w:t xml:space="preserve">    </w:t>
      </w:r>
      <w:r>
        <w:rPr>
          <w:rFonts w:ascii="宋体" w:hAnsi="宋体" w:hint="eastAsia"/>
          <w:szCs w:val="21"/>
        </w:rPr>
        <w:t>（甲、乙、双）方享有申请专利的权利。</w:t>
      </w:r>
    </w:p>
    <w:p w:rsidR="00700A3D" w:rsidP="00700A3D">
      <w:pPr>
        <w:snapToGrid w:val="0"/>
        <w:spacing w:line="360" w:lineRule="auto"/>
        <w:rPr>
          <w:rFonts w:ascii="宋体" w:hAnsi="宋体"/>
          <w:szCs w:val="21"/>
          <w:u w:val="single"/>
        </w:rPr>
      </w:pPr>
      <w:r>
        <w:rPr>
          <w:rFonts w:ascii="宋体" w:hAnsi="宋体" w:hint="eastAsia"/>
          <w:szCs w:val="21"/>
        </w:rPr>
        <w:t xml:space="preserve">    专利权取得后的使用和有关利益分配方式如下：</w:t>
      </w:r>
      <w:r>
        <w:rPr>
          <w:rFonts w:ascii="宋体" w:hAnsi="宋体" w:hint="eastAsia"/>
          <w:szCs w:val="21"/>
          <w:u w:val="single"/>
        </w:rPr>
        <w:t xml:space="preserve">                  </w:t>
      </w:r>
    </w:p>
    <w:p w:rsidR="00700A3D" w:rsidP="00700A3D">
      <w:pPr>
        <w:snapToGrid w:val="0"/>
        <w:spacing w:line="360" w:lineRule="auto"/>
        <w:ind w:firstLine="420" w:firstLineChars="200"/>
        <w:rPr>
          <w:rFonts w:ascii="宋体" w:hAnsi="宋体"/>
          <w:szCs w:val="21"/>
        </w:rPr>
      </w:pPr>
      <w:r>
        <w:rPr>
          <w:rFonts w:ascii="宋体" w:hAnsi="宋体" w:hint="eastAsia"/>
          <w:szCs w:val="21"/>
        </w:rPr>
        <w:t>（2）按技术秘密方式处理。有关使用和转让的权利归属及由此产生的利益按以下约定处理：</w:t>
      </w:r>
    </w:p>
    <w:p w:rsidR="00700A3D" w:rsidP="00700A3D">
      <w:pPr>
        <w:snapToGrid w:val="0"/>
        <w:spacing w:line="360" w:lineRule="auto"/>
        <w:rPr>
          <w:rFonts w:ascii="宋体" w:hAnsi="宋体"/>
          <w:szCs w:val="21"/>
          <w:u w:val="single"/>
        </w:rPr>
      </w:pPr>
      <w:r>
        <w:rPr>
          <w:rFonts w:ascii="宋体" w:hAnsi="宋体" w:hint="eastAsia"/>
          <w:szCs w:val="21"/>
        </w:rPr>
        <w:t xml:space="preserve">   技术秘密的使用权：</w:t>
      </w:r>
      <w:r>
        <w:rPr>
          <w:rFonts w:ascii="宋体" w:hAnsi="宋体" w:hint="eastAsia"/>
          <w:szCs w:val="21"/>
          <w:u w:val="single"/>
        </w:rPr>
        <w:t xml:space="preserve">                                      </w:t>
      </w:r>
    </w:p>
    <w:p w:rsidR="00700A3D" w:rsidP="00700A3D">
      <w:pPr>
        <w:snapToGrid w:val="0"/>
        <w:spacing w:line="360" w:lineRule="auto"/>
        <w:rPr>
          <w:rFonts w:ascii="宋体" w:hAnsi="宋体"/>
          <w:szCs w:val="21"/>
          <w:u w:val="single"/>
        </w:rPr>
      </w:pPr>
      <w:r>
        <w:rPr>
          <w:rFonts w:ascii="宋体" w:hAnsi="宋体" w:hint="eastAsia"/>
          <w:szCs w:val="21"/>
        </w:rPr>
        <w:t xml:space="preserve">   技术秘密的转让权：</w:t>
      </w:r>
      <w:r>
        <w:rPr>
          <w:rFonts w:ascii="宋体" w:hAnsi="宋体" w:hint="eastAsia"/>
          <w:szCs w:val="21"/>
          <w:u w:val="single"/>
        </w:rPr>
        <w:t xml:space="preserve">                                      </w:t>
      </w:r>
    </w:p>
    <w:p w:rsidR="00700A3D" w:rsidP="00700A3D">
      <w:pPr>
        <w:snapToGrid w:val="0"/>
        <w:spacing w:line="360" w:lineRule="auto"/>
        <w:rPr>
          <w:rFonts w:ascii="宋体" w:hAnsi="宋体"/>
          <w:szCs w:val="21"/>
          <w:u w:val="single"/>
        </w:rPr>
      </w:pPr>
      <w:r>
        <w:rPr>
          <w:rFonts w:ascii="宋体" w:hAnsi="宋体" w:hint="eastAsia"/>
          <w:szCs w:val="21"/>
        </w:rPr>
        <w:t xml:space="preserve">   相关利益的分配办法：</w:t>
      </w:r>
      <w:r>
        <w:rPr>
          <w:rFonts w:ascii="宋体" w:hAnsi="宋体" w:hint="eastAsia"/>
          <w:szCs w:val="21"/>
          <w:u w:val="single"/>
        </w:rPr>
        <w:t xml:space="preserve">                                    </w:t>
      </w:r>
    </w:p>
    <w:p w:rsidR="00700A3D" w:rsidP="00700A3D">
      <w:pPr>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、双方对本合同有关的知识产权权利归属特别约定如下：</w:t>
      </w:r>
      <w:r>
        <w:rPr>
          <w:rFonts w:ascii="宋体" w:hAnsi="宋体" w:hint="eastAsia"/>
          <w:szCs w:val="21"/>
          <w:u w:val="single"/>
        </w:rPr>
        <w:t xml:space="preserve">  本项目建设成果的知识产权归甲方所有（根据项目情况填写）  </w:t>
      </w:r>
      <w:r>
        <w:rPr>
          <w:rFonts w:ascii="宋体" w:hAnsi="宋体" w:hint="eastAsia"/>
          <w:szCs w:val="21"/>
        </w:rPr>
        <w:t>。</w:t>
      </w:r>
    </w:p>
    <w:p w:rsidR="00700A3D" w:rsidP="00700A3D">
      <w:pPr>
        <w:adjustRightInd w:val="0"/>
        <w:spacing w:line="360" w:lineRule="auto"/>
        <w:ind w:firstLine="420" w:firstLineChars="200"/>
        <w:outlineLvl w:val="1"/>
        <w:rPr>
          <w:rFonts w:ascii="宋体" w:hAnsi="宋体"/>
          <w:b/>
          <w:szCs w:val="21"/>
        </w:rPr>
      </w:pPr>
      <w:r>
        <w:rPr>
          <w:rFonts w:ascii="宋体" w:hAnsi="宋体" w:hint="eastAsia"/>
          <w:b/>
          <w:szCs w:val="21"/>
        </w:rPr>
        <w:t>十四、验收和交付</w:t>
      </w:r>
    </w:p>
    <w:p w:rsidR="00700A3D" w:rsidP="00700A3D">
      <w:pPr>
        <w:snapToGrid w:val="0"/>
        <w:spacing w:line="360" w:lineRule="auto"/>
        <w:ind w:firstLine="420" w:firstLineChars="200"/>
        <w:rPr>
          <w:rFonts w:ascii="宋体" w:hAnsi="宋体"/>
          <w:szCs w:val="21"/>
          <w:u w:val="single"/>
        </w:rPr>
      </w:pPr>
      <w:r>
        <w:rPr>
          <w:rFonts w:ascii="宋体" w:hAnsi="宋体" w:hint="eastAsia"/>
          <w:szCs w:val="21"/>
        </w:rPr>
        <w:t>1、双方确定，按以下标准及方法对乙方完成的成果进行验收：</w:t>
      </w:r>
      <w:r>
        <w:rPr>
          <w:rFonts w:ascii="宋体" w:hAnsi="宋体" w:hint="eastAsia"/>
          <w:szCs w:val="21"/>
          <w:u w:val="single"/>
        </w:rPr>
        <w:t xml:space="preserve">  按照本合同附件的技术规格和要求及项目需求分析说明书和概要设计报告对乙方研究开发成果进行验收 （根据具体项目确定）。</w:t>
      </w:r>
    </w:p>
    <w:p w:rsidR="00700A3D" w:rsidP="00700A3D">
      <w:pPr>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、现场初步验收移交</w:t>
      </w:r>
    </w:p>
    <w:p w:rsidR="00700A3D" w:rsidP="00700A3D">
      <w:pPr>
        <w:snapToGrid w:val="0"/>
        <w:spacing w:line="360" w:lineRule="auto"/>
        <w:ind w:firstLine="420" w:firstLineChars="200"/>
        <w:rPr>
          <w:rFonts w:ascii="宋体" w:hAnsi="宋体"/>
          <w:szCs w:val="21"/>
        </w:rPr>
      </w:pPr>
      <w:r>
        <w:rPr>
          <w:rFonts w:ascii="宋体" w:hAnsi="宋体" w:hint="eastAsia"/>
          <w:szCs w:val="21"/>
        </w:rPr>
        <w:t>本项目验收按照国标的软件工程相关规定执行。乙方完成软件安装测试(包括各软件分系统的功能和性能测试、软件集成)后，由乙方委托具备相关资质的第三方进行测试，出具测试大纲、测试方案、测试数据及测试报告。测试结果经甲方审定满足要求后，进行现场初步验收移交。届时，乙方将向甲方提交全部技术文档，甲方组成资料审查小组对技术文档的完整性与正确性进行审查。</w:t>
      </w:r>
    </w:p>
    <w:p w:rsidR="00700A3D" w:rsidP="00700A3D">
      <w:pPr>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、正式验收交付</w:t>
      </w:r>
    </w:p>
    <w:p w:rsidR="00700A3D" w:rsidP="00700A3D">
      <w:pPr>
        <w:snapToGrid w:val="0"/>
        <w:spacing w:line="360" w:lineRule="auto"/>
        <w:ind w:firstLine="420" w:firstLineChars="200"/>
        <w:rPr>
          <w:rFonts w:ascii="宋体" w:hAnsi="宋体"/>
          <w:szCs w:val="21"/>
        </w:rPr>
      </w:pPr>
      <w:r>
        <w:rPr>
          <w:rFonts w:ascii="宋体" w:hAnsi="宋体" w:hint="eastAsia"/>
          <w:szCs w:val="21"/>
        </w:rPr>
        <w:t>软件初步验收移交后进行为期一个月以上的试运行考核，考核期满并满足软件开发任务书要求后，乙方提出验收申请，经甲方认定具备验收条件，由甲方组织正式验收交付。</w:t>
      </w:r>
    </w:p>
    <w:p w:rsidR="00700A3D" w:rsidP="00700A3D">
      <w:pPr>
        <w:adjustRightInd w:val="0"/>
        <w:spacing w:line="360" w:lineRule="auto"/>
        <w:ind w:firstLine="420" w:firstLineChars="200"/>
        <w:outlineLvl w:val="1"/>
        <w:rPr>
          <w:rFonts w:ascii="宋体" w:hAnsi="宋体"/>
          <w:b/>
          <w:szCs w:val="21"/>
        </w:rPr>
      </w:pPr>
      <w:r>
        <w:rPr>
          <w:rFonts w:ascii="宋体" w:hAnsi="宋体" w:hint="eastAsia"/>
          <w:b/>
          <w:szCs w:val="21"/>
        </w:rPr>
        <w:t>十五、质量保证</w:t>
      </w:r>
    </w:p>
    <w:p w:rsidR="00700A3D" w:rsidP="00700A3D">
      <w:pPr>
        <w:snapToGrid w:val="0"/>
        <w:spacing w:line="360" w:lineRule="auto"/>
        <w:ind w:firstLine="420" w:firstLineChars="200"/>
        <w:rPr>
          <w:rFonts w:ascii="宋体" w:hAnsi="宋体"/>
          <w:szCs w:val="21"/>
        </w:rPr>
      </w:pPr>
      <w:r>
        <w:rPr>
          <w:rFonts w:ascii="宋体" w:hAnsi="宋体" w:hint="eastAsia"/>
          <w:szCs w:val="21"/>
        </w:rPr>
        <w:t>按照国标的软件工程化和质量保证要求执行。</w:t>
      </w:r>
    </w:p>
    <w:p w:rsidR="00700A3D" w:rsidP="00700A3D">
      <w:pPr>
        <w:adjustRightInd w:val="0"/>
        <w:spacing w:line="360" w:lineRule="auto"/>
        <w:ind w:firstLine="420" w:firstLineChars="200"/>
        <w:outlineLvl w:val="1"/>
        <w:rPr>
          <w:rFonts w:ascii="宋体" w:hAnsi="宋体"/>
          <w:b/>
          <w:szCs w:val="21"/>
        </w:rPr>
      </w:pPr>
      <w:bookmarkStart w:id="451" w:name="_Toc147224299"/>
      <w:bookmarkStart w:id="452" w:name="_Toc171226498"/>
      <w:bookmarkStart w:id="453" w:name="_Toc200437498"/>
      <w:r>
        <w:rPr>
          <w:rFonts w:ascii="宋体" w:hAnsi="宋体" w:hint="eastAsia"/>
          <w:b/>
          <w:szCs w:val="21"/>
        </w:rPr>
        <w:t>十六、</w:t>
      </w:r>
      <w:r>
        <w:rPr>
          <w:rFonts w:ascii="宋体" w:hAnsi="宋体"/>
          <w:b/>
          <w:szCs w:val="21"/>
        </w:rPr>
        <w:t>技术服务</w:t>
      </w:r>
      <w:bookmarkEnd w:id="451"/>
      <w:bookmarkEnd w:id="452"/>
      <w:bookmarkEnd w:id="453"/>
    </w:p>
    <w:p w:rsidR="00700A3D" w:rsidP="00700A3D">
      <w:pPr>
        <w:snapToGrid w:val="0"/>
        <w:spacing w:line="360" w:lineRule="auto"/>
        <w:ind w:left="317" w:firstLine="101" w:leftChars="151" w:firstLineChars="48"/>
        <w:rPr>
          <w:rFonts w:ascii="宋体" w:hAnsi="宋体"/>
          <w:szCs w:val="21"/>
        </w:rPr>
      </w:pPr>
      <w:r>
        <w:rPr>
          <w:rFonts w:ascii="宋体" w:hAnsi="宋体"/>
          <w:szCs w:val="21"/>
        </w:rPr>
        <w:t>1</w:t>
      </w:r>
      <w:r>
        <w:rPr>
          <w:rFonts w:ascii="宋体" w:hAnsi="宋体" w:hint="eastAsia"/>
          <w:szCs w:val="21"/>
        </w:rPr>
        <w:t>、</w:t>
      </w:r>
      <w:r>
        <w:rPr>
          <w:rFonts w:ascii="宋体" w:hAnsi="宋体"/>
          <w:szCs w:val="21"/>
        </w:rPr>
        <w:t>技术培训</w:t>
      </w:r>
    </w:p>
    <w:p w:rsidR="00700A3D" w:rsidP="00700A3D">
      <w:pPr>
        <w:snapToGrid w:val="0"/>
        <w:spacing w:line="360" w:lineRule="auto"/>
        <w:ind w:firstLine="420" w:firstLineChars="200"/>
        <w:rPr>
          <w:rFonts w:ascii="宋体" w:hAnsi="宋体"/>
          <w:szCs w:val="21"/>
        </w:rPr>
      </w:pPr>
      <w:r>
        <w:rPr>
          <w:rFonts w:ascii="宋体" w:hAnsi="宋体" w:hint="eastAsia"/>
          <w:szCs w:val="21"/>
        </w:rPr>
        <w:t>（1）</w:t>
      </w:r>
      <w:r>
        <w:rPr>
          <w:rFonts w:ascii="宋体" w:hAnsi="宋体"/>
          <w:szCs w:val="21"/>
        </w:rPr>
        <w:t>乙方免费对甲方的操作人员进行技术培训（操作、维护）。甲、乙双方共同商定培训计划，乙方负责组织实施，并要对培训人员进行考核。</w:t>
      </w:r>
    </w:p>
    <w:p w:rsidR="00700A3D" w:rsidP="00700A3D">
      <w:pPr>
        <w:snapToGrid w:val="0"/>
        <w:spacing w:line="360" w:lineRule="auto"/>
        <w:ind w:firstLine="420" w:firstLineChars="200"/>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w:t>
      </w:r>
      <w:r>
        <w:rPr>
          <w:rFonts w:ascii="宋体" w:hAnsi="宋体"/>
          <w:szCs w:val="21"/>
        </w:rPr>
        <w:t>技术培训要有专人负责、编写专门的教材。所需设备和资料均由乙方无偿提供。</w:t>
      </w:r>
    </w:p>
    <w:p w:rsidR="00700A3D" w:rsidP="00700A3D">
      <w:pPr>
        <w:snapToGrid w:val="0"/>
        <w:spacing w:line="360" w:lineRule="auto"/>
        <w:ind w:firstLine="414" w:firstLineChars="197"/>
        <w:rPr>
          <w:rFonts w:ascii="宋体" w:hAnsi="宋体"/>
          <w:szCs w:val="21"/>
        </w:rPr>
      </w:pPr>
      <w:r>
        <w:rPr>
          <w:rFonts w:ascii="宋体" w:hAnsi="宋体" w:hint="eastAsia"/>
          <w:szCs w:val="21"/>
        </w:rPr>
        <w:t>（</w:t>
      </w:r>
      <w:r>
        <w:rPr>
          <w:rFonts w:ascii="宋体" w:hAnsi="宋体"/>
          <w:szCs w:val="21"/>
        </w:rPr>
        <w:t>3</w:t>
      </w:r>
      <w:r>
        <w:rPr>
          <w:rFonts w:ascii="宋体" w:hAnsi="宋体" w:hint="eastAsia"/>
          <w:szCs w:val="21"/>
        </w:rPr>
        <w:t>）</w:t>
      </w:r>
      <w:r>
        <w:rPr>
          <w:rFonts w:ascii="宋体" w:hAnsi="宋体"/>
          <w:szCs w:val="21"/>
        </w:rPr>
        <w:t>培训具体事宜可根据研制进展情况由甲、乙双方另行商定。</w:t>
      </w:r>
    </w:p>
    <w:p w:rsidR="00700A3D" w:rsidP="00700A3D">
      <w:pPr>
        <w:snapToGrid w:val="0"/>
        <w:spacing w:line="360" w:lineRule="auto"/>
        <w:ind w:left="317" w:firstLine="101" w:leftChars="151" w:firstLineChars="48"/>
        <w:rPr>
          <w:rFonts w:ascii="宋体" w:hAnsi="宋体"/>
          <w:szCs w:val="21"/>
        </w:rPr>
      </w:pPr>
      <w:r>
        <w:rPr>
          <w:rFonts w:ascii="宋体" w:hAnsi="宋体"/>
          <w:szCs w:val="21"/>
        </w:rPr>
        <w:t>2</w:t>
      </w:r>
      <w:r>
        <w:rPr>
          <w:rFonts w:ascii="宋体" w:hAnsi="宋体" w:hint="eastAsia"/>
          <w:szCs w:val="21"/>
        </w:rPr>
        <w:t>、</w:t>
      </w:r>
      <w:r>
        <w:rPr>
          <w:rFonts w:ascii="宋体" w:hAnsi="宋体"/>
          <w:szCs w:val="21"/>
        </w:rPr>
        <w:t>技术服务</w:t>
      </w:r>
    </w:p>
    <w:p w:rsidR="00700A3D" w:rsidP="00700A3D">
      <w:pPr>
        <w:snapToGrid w:val="0"/>
        <w:spacing w:line="360" w:lineRule="auto"/>
        <w:ind w:firstLine="420" w:firstLineChars="200"/>
        <w:rPr>
          <w:rFonts w:ascii="宋体" w:hAnsi="宋体"/>
          <w:szCs w:val="21"/>
        </w:rPr>
      </w:pPr>
      <w:r>
        <w:rPr>
          <w:rFonts w:ascii="宋体" w:hAnsi="宋体" w:hint="eastAsia"/>
          <w:szCs w:val="21"/>
        </w:rPr>
        <w:t>（1）</w:t>
      </w:r>
      <w:r>
        <w:rPr>
          <w:rFonts w:ascii="宋体" w:hAnsi="宋体"/>
          <w:szCs w:val="21"/>
        </w:rPr>
        <w:t>从系统通过验收之日起开始计算，</w:t>
      </w:r>
      <w:r>
        <w:rPr>
          <w:rFonts w:ascii="宋体" w:hAnsi="宋体" w:hint="eastAsia"/>
          <w:szCs w:val="21"/>
        </w:rPr>
        <w:t>乙</w:t>
      </w:r>
      <w:r>
        <w:rPr>
          <w:rFonts w:ascii="宋体" w:hAnsi="宋体"/>
          <w:szCs w:val="21"/>
        </w:rPr>
        <w:t>方应对提交的软件产品提供为期</w:t>
      </w:r>
      <w:r>
        <w:rPr>
          <w:rFonts w:ascii="宋体" w:hAnsi="宋体" w:hint="eastAsia"/>
          <w:szCs w:val="21"/>
        </w:rPr>
        <w:t>五</w:t>
      </w:r>
      <w:r>
        <w:rPr>
          <w:rFonts w:ascii="宋体" w:hAnsi="宋体"/>
          <w:szCs w:val="21"/>
        </w:rPr>
        <w:t>年的</w:t>
      </w:r>
      <w:r>
        <w:rPr>
          <w:rFonts w:ascii="宋体" w:hAnsi="宋体" w:hint="eastAsia"/>
          <w:szCs w:val="21"/>
        </w:rPr>
        <w:t>免费</w:t>
      </w:r>
      <w:r>
        <w:rPr>
          <w:rFonts w:ascii="宋体" w:hAnsi="宋体"/>
          <w:szCs w:val="21"/>
        </w:rPr>
        <w:t>系统维护期（其中</w:t>
      </w:r>
      <w:r>
        <w:rPr>
          <w:rFonts w:ascii="宋体" w:hAnsi="宋体" w:hint="eastAsia"/>
          <w:szCs w:val="21"/>
        </w:rPr>
        <w:t>前两年</w:t>
      </w:r>
      <w:r>
        <w:rPr>
          <w:rFonts w:ascii="宋体" w:hAnsi="宋体"/>
          <w:szCs w:val="21"/>
        </w:rPr>
        <w:t>为质量保证期）。在质量保证期内，</w:t>
      </w:r>
      <w:r>
        <w:rPr>
          <w:rFonts w:ascii="宋体" w:hAnsi="宋体" w:hint="eastAsia"/>
          <w:szCs w:val="21"/>
        </w:rPr>
        <w:t>乙</w:t>
      </w:r>
      <w:r>
        <w:rPr>
          <w:rFonts w:ascii="宋体" w:hAnsi="宋体"/>
          <w:szCs w:val="21"/>
        </w:rPr>
        <w:t>方应向</w:t>
      </w:r>
      <w:r>
        <w:rPr>
          <w:rFonts w:ascii="宋体" w:hAnsi="宋体" w:hint="eastAsia"/>
          <w:szCs w:val="21"/>
        </w:rPr>
        <w:t>甲方</w:t>
      </w:r>
      <w:r>
        <w:rPr>
          <w:rFonts w:ascii="宋体" w:hAnsi="宋体"/>
          <w:szCs w:val="21"/>
        </w:rPr>
        <w:t>提供7*24小时的服务响应，保证</w:t>
      </w:r>
      <w:r>
        <w:rPr>
          <w:rFonts w:ascii="宋体" w:hAnsi="宋体" w:hint="eastAsia"/>
          <w:szCs w:val="21"/>
        </w:rPr>
        <w:t>甲</w:t>
      </w:r>
      <w:r>
        <w:rPr>
          <w:rFonts w:ascii="宋体" w:hAnsi="宋体"/>
          <w:szCs w:val="21"/>
        </w:rPr>
        <w:t>方可以随时找到相应的技术人员，如有必要，要在1小时之内赶到现场予以技术支持；在本期内</w:t>
      </w:r>
      <w:r>
        <w:rPr>
          <w:rFonts w:ascii="宋体" w:hAnsi="宋体" w:hint="eastAsia"/>
          <w:szCs w:val="21"/>
        </w:rPr>
        <w:t>乙</w:t>
      </w:r>
      <w:r>
        <w:rPr>
          <w:rFonts w:ascii="宋体" w:hAnsi="宋体"/>
          <w:szCs w:val="21"/>
        </w:rPr>
        <w:t>方应对系统提供必要的升级和缺陷修改。在系统维护期内，若发生实质性需求变更，</w:t>
      </w:r>
      <w:r>
        <w:rPr>
          <w:rFonts w:ascii="宋体" w:hAnsi="宋体" w:hint="eastAsia"/>
          <w:szCs w:val="21"/>
        </w:rPr>
        <w:t>乙</w:t>
      </w:r>
      <w:r>
        <w:rPr>
          <w:rFonts w:ascii="宋体" w:hAnsi="宋体"/>
          <w:szCs w:val="21"/>
        </w:rPr>
        <w:t>方应以优惠的价格对系统进行修改。在质量保证期结束后，</w:t>
      </w:r>
      <w:r>
        <w:rPr>
          <w:rFonts w:ascii="宋体" w:hAnsi="宋体" w:hint="eastAsia"/>
          <w:szCs w:val="21"/>
        </w:rPr>
        <w:t>乙</w:t>
      </w:r>
      <w:r>
        <w:rPr>
          <w:rFonts w:ascii="宋体" w:hAnsi="宋体"/>
          <w:szCs w:val="21"/>
        </w:rPr>
        <w:t>方应向</w:t>
      </w:r>
      <w:r>
        <w:rPr>
          <w:rFonts w:ascii="宋体" w:hAnsi="宋体" w:hint="eastAsia"/>
          <w:szCs w:val="21"/>
        </w:rPr>
        <w:t>甲</w:t>
      </w:r>
      <w:r>
        <w:rPr>
          <w:rFonts w:ascii="宋体" w:hAnsi="宋体"/>
          <w:szCs w:val="21"/>
        </w:rPr>
        <w:t>方提供7*8小时的服务响应，保证</w:t>
      </w:r>
      <w:r>
        <w:rPr>
          <w:rFonts w:ascii="宋体" w:hAnsi="宋体" w:hint="eastAsia"/>
          <w:szCs w:val="21"/>
        </w:rPr>
        <w:t>甲</w:t>
      </w:r>
      <w:r>
        <w:rPr>
          <w:rFonts w:ascii="宋体" w:hAnsi="宋体"/>
          <w:szCs w:val="21"/>
        </w:rPr>
        <w:t>方可以随时找到相应的技术人员，如有必要，要在12小时之内赶到现场予以技术支持。</w:t>
      </w:r>
    </w:p>
    <w:p w:rsidR="00700A3D" w:rsidP="00700A3D">
      <w:pPr>
        <w:snapToGrid w:val="0"/>
        <w:spacing w:line="360" w:lineRule="auto"/>
        <w:ind w:firstLine="412" w:firstLineChars="196"/>
        <w:rPr>
          <w:rFonts w:ascii="宋体" w:hAnsi="宋体"/>
          <w:szCs w:val="21"/>
        </w:rPr>
      </w:pPr>
      <w:r>
        <w:rPr>
          <w:rFonts w:ascii="宋体" w:hAnsi="宋体" w:hint="eastAsia"/>
          <w:szCs w:val="21"/>
        </w:rPr>
        <w:t>（2）</w:t>
      </w:r>
      <w:r>
        <w:rPr>
          <w:rFonts w:ascii="宋体" w:hAnsi="宋体"/>
          <w:szCs w:val="21"/>
        </w:rPr>
        <w:t>乙方应建立技术服务制度，与甲方协商维护约定，定期走访用户，进行巡检服务。</w:t>
      </w:r>
    </w:p>
    <w:p w:rsidR="00700A3D" w:rsidP="00700A3D">
      <w:pPr>
        <w:snapToGrid w:val="0"/>
        <w:spacing w:line="360" w:lineRule="auto"/>
        <w:ind w:firstLine="412" w:firstLineChars="196"/>
        <w:rPr>
          <w:rFonts w:ascii="宋体" w:hAnsi="宋体"/>
          <w:szCs w:val="21"/>
        </w:rPr>
      </w:pPr>
      <w:r>
        <w:rPr>
          <w:rFonts w:ascii="宋体" w:hAnsi="宋体" w:hint="eastAsia"/>
          <w:szCs w:val="21"/>
        </w:rPr>
        <w:t>（3）双方确定，乙方应在向甲方交付合同标的</w:t>
      </w:r>
      <w:r>
        <w:rPr>
          <w:rFonts w:ascii="宋体" w:hAnsi="宋体"/>
          <w:szCs w:val="21"/>
        </w:rPr>
        <w:t>物</w:t>
      </w:r>
      <w:r>
        <w:rPr>
          <w:rFonts w:ascii="宋体" w:hAnsi="宋体" w:hint="eastAsia"/>
          <w:szCs w:val="21"/>
        </w:rPr>
        <w:t>后，根据甲方的请求，为甲方指定的人员提供技术指导和培训，或提供与使用该研究开发成果相关的技术服务。</w:t>
      </w:r>
    </w:p>
    <w:p w:rsidR="00700A3D" w:rsidP="00700A3D">
      <w:pPr>
        <w:snapToGrid w:val="0"/>
        <w:spacing w:line="360" w:lineRule="auto"/>
        <w:rPr>
          <w:rFonts w:ascii="宋体" w:hAnsi="宋体"/>
          <w:szCs w:val="21"/>
          <w:u w:val="single"/>
        </w:rPr>
      </w:pPr>
      <w:r>
        <w:rPr>
          <w:rFonts w:ascii="宋体" w:hAnsi="宋体" w:hint="eastAsia"/>
          <w:szCs w:val="21"/>
        </w:rPr>
        <w:t xml:space="preserve">    技术服务和指导内容：</w:t>
      </w:r>
      <w:r>
        <w:rPr>
          <w:rFonts w:ascii="宋体" w:hAnsi="宋体" w:hint="eastAsia"/>
          <w:szCs w:val="21"/>
          <w:u w:val="single"/>
        </w:rPr>
        <w:t xml:space="preserve">                              </w:t>
      </w:r>
    </w:p>
    <w:p w:rsidR="00700A3D" w:rsidP="00700A3D">
      <w:pPr>
        <w:snapToGrid w:val="0"/>
        <w:spacing w:line="360" w:lineRule="auto"/>
        <w:rPr>
          <w:rFonts w:ascii="宋体" w:hAnsi="宋体"/>
          <w:szCs w:val="21"/>
          <w:u w:val="single"/>
        </w:rPr>
      </w:pPr>
      <w:r>
        <w:rPr>
          <w:rFonts w:ascii="宋体" w:hAnsi="宋体" w:hint="eastAsia"/>
          <w:szCs w:val="21"/>
        </w:rPr>
        <w:t xml:space="preserve">    地点和方式：</w:t>
      </w:r>
      <w:r>
        <w:rPr>
          <w:rFonts w:ascii="宋体" w:hAnsi="宋体" w:hint="eastAsia"/>
          <w:szCs w:val="21"/>
          <w:u w:val="single"/>
        </w:rPr>
        <w:t xml:space="preserve">                                      </w:t>
      </w:r>
    </w:p>
    <w:p w:rsidR="00700A3D" w:rsidP="00700A3D">
      <w:pPr>
        <w:snapToGrid w:val="0"/>
        <w:spacing w:line="360" w:lineRule="auto"/>
        <w:ind w:firstLine="420" w:firstLineChars="200"/>
        <w:rPr>
          <w:rFonts w:ascii="宋体" w:hAnsi="宋体"/>
          <w:szCs w:val="21"/>
        </w:rPr>
      </w:pPr>
      <w:r>
        <w:rPr>
          <w:rFonts w:ascii="宋体" w:hAnsi="宋体" w:hint="eastAsia"/>
          <w:szCs w:val="21"/>
        </w:rPr>
        <w:t>费用及支付方式：</w:t>
      </w:r>
      <w:r>
        <w:rPr>
          <w:rFonts w:ascii="宋体" w:hAnsi="宋体" w:hint="eastAsia"/>
          <w:szCs w:val="21"/>
          <w:u w:val="single"/>
        </w:rPr>
        <w:t xml:space="preserve">                                  </w:t>
      </w:r>
    </w:p>
    <w:p w:rsidR="00700A3D" w:rsidP="00700A3D">
      <w:pPr>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w:t>
      </w:r>
      <w:r>
        <w:rPr>
          <w:rFonts w:ascii="宋体" w:hAnsi="宋体"/>
          <w:szCs w:val="21"/>
        </w:rPr>
        <w:t>服务项目</w:t>
      </w:r>
    </w:p>
    <w:p w:rsidR="00700A3D" w:rsidP="00700A3D">
      <w:pPr>
        <w:snapToGrid w:val="0"/>
        <w:spacing w:line="360" w:lineRule="auto"/>
        <w:ind w:firstLine="420" w:firstLineChars="200"/>
        <w:rPr>
          <w:rFonts w:ascii="宋体" w:hAnsi="宋体"/>
          <w:szCs w:val="21"/>
        </w:rPr>
      </w:pPr>
      <w:r>
        <w:rPr>
          <w:rFonts w:ascii="宋体" w:hAnsi="宋体" w:hint="eastAsia"/>
          <w:szCs w:val="21"/>
        </w:rPr>
        <w:t>（1）</w:t>
      </w:r>
      <w:r>
        <w:rPr>
          <w:rFonts w:ascii="宋体" w:hAnsi="宋体"/>
          <w:szCs w:val="21"/>
        </w:rPr>
        <w:t>协助甲方完成竣工图设计。</w:t>
      </w:r>
    </w:p>
    <w:p w:rsidR="00700A3D" w:rsidP="00700A3D">
      <w:pPr>
        <w:snapToGrid w:val="0"/>
        <w:spacing w:line="360" w:lineRule="auto"/>
        <w:ind w:firstLine="420" w:firstLineChars="200"/>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w:t>
      </w:r>
      <w:r>
        <w:rPr>
          <w:rFonts w:ascii="宋体" w:hAnsi="宋体"/>
          <w:szCs w:val="21"/>
        </w:rPr>
        <w:t>免费</w:t>
      </w:r>
      <w:bookmarkStart w:id="454" w:name="OLE_LINK1_0"/>
      <w:r>
        <w:rPr>
          <w:rFonts w:ascii="宋体" w:hAnsi="宋体" w:hint="eastAsia"/>
          <w:szCs w:val="21"/>
        </w:rPr>
        <w:t>维护</w:t>
      </w:r>
      <w:bookmarkEnd w:id="454"/>
      <w:r>
        <w:rPr>
          <w:rFonts w:ascii="宋体" w:hAnsi="宋体" w:hint="eastAsia"/>
          <w:szCs w:val="21"/>
        </w:rPr>
        <w:t>五</w:t>
      </w:r>
      <w:r>
        <w:rPr>
          <w:rFonts w:ascii="宋体" w:hAnsi="宋体"/>
          <w:szCs w:val="21"/>
        </w:rPr>
        <w:t>年。</w:t>
      </w:r>
      <w:r>
        <w:rPr>
          <w:rFonts w:ascii="宋体" w:hAnsi="宋体" w:hint="eastAsia"/>
          <w:szCs w:val="21"/>
        </w:rPr>
        <w:t>维护</w:t>
      </w:r>
      <w:r>
        <w:rPr>
          <w:rFonts w:ascii="宋体" w:hAnsi="宋体"/>
          <w:szCs w:val="21"/>
        </w:rPr>
        <w:t>期结束后，提供有偿优惠服务，只收取工本费。</w:t>
      </w:r>
    </w:p>
    <w:p w:rsidR="00700A3D" w:rsidP="00700A3D">
      <w:pPr>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w:t>
      </w:r>
      <w:r>
        <w:rPr>
          <w:rFonts w:ascii="宋体" w:hAnsi="宋体"/>
          <w:szCs w:val="21"/>
        </w:rPr>
        <w:t>资料项目</w:t>
      </w:r>
    </w:p>
    <w:p w:rsidR="00700A3D" w:rsidP="00700A3D">
      <w:pPr>
        <w:snapToGrid w:val="0"/>
        <w:spacing w:line="360" w:lineRule="auto"/>
        <w:ind w:firstLine="420" w:firstLineChars="200"/>
        <w:rPr>
          <w:rFonts w:ascii="宋体" w:hAnsi="宋体"/>
          <w:szCs w:val="21"/>
        </w:rPr>
      </w:pPr>
      <w:r>
        <w:rPr>
          <w:rFonts w:ascii="宋体" w:hAnsi="宋体" w:hint="eastAsia"/>
          <w:szCs w:val="21"/>
        </w:rPr>
        <w:t>（1）</w:t>
      </w:r>
      <w:r>
        <w:rPr>
          <w:rFonts w:ascii="宋体" w:hAnsi="宋体"/>
          <w:szCs w:val="21"/>
        </w:rPr>
        <w:t>提供软件设计方案；</w:t>
      </w:r>
    </w:p>
    <w:p w:rsidR="00700A3D" w:rsidP="00700A3D">
      <w:pPr>
        <w:snapToGrid w:val="0"/>
        <w:spacing w:line="360" w:lineRule="auto"/>
        <w:ind w:firstLine="420" w:firstLineChars="200"/>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w:t>
      </w:r>
      <w:r>
        <w:rPr>
          <w:rFonts w:ascii="宋体" w:hAnsi="宋体"/>
          <w:szCs w:val="21"/>
        </w:rPr>
        <w:t>软件设计文档（含需求分析、概要设计、详细设计、编码）、数据库设计说明、软件测试计划、软件测试方案；</w:t>
      </w:r>
    </w:p>
    <w:p w:rsidR="00700A3D" w:rsidP="00700A3D">
      <w:pPr>
        <w:snapToGrid w:val="0"/>
        <w:spacing w:line="360" w:lineRule="auto"/>
        <w:ind w:firstLine="420" w:firstLineChars="200"/>
        <w:rPr>
          <w:rFonts w:ascii="宋体" w:hAnsi="宋体"/>
          <w:szCs w:val="21"/>
        </w:rPr>
      </w:pPr>
      <w:r>
        <w:rPr>
          <w:rFonts w:ascii="宋体" w:hAnsi="宋体" w:hint="eastAsia"/>
          <w:szCs w:val="21"/>
        </w:rPr>
        <w:t>（</w:t>
      </w:r>
      <w:r>
        <w:rPr>
          <w:rFonts w:ascii="宋体" w:hAnsi="宋体"/>
          <w:szCs w:val="21"/>
        </w:rPr>
        <w:t>3</w:t>
      </w:r>
      <w:r>
        <w:rPr>
          <w:rFonts w:ascii="宋体" w:hAnsi="宋体" w:hint="eastAsia"/>
          <w:szCs w:val="21"/>
        </w:rPr>
        <w:t>）</w:t>
      </w:r>
      <w:r>
        <w:rPr>
          <w:rFonts w:ascii="宋体" w:hAnsi="宋体"/>
          <w:szCs w:val="21"/>
        </w:rPr>
        <w:t>软件用户手册</w:t>
      </w:r>
      <w:r>
        <w:rPr>
          <w:rFonts w:ascii="宋体" w:hAnsi="宋体" w:hint="eastAsia"/>
          <w:szCs w:val="21"/>
        </w:rPr>
        <w:t>（包含二次开发内容）</w:t>
      </w:r>
      <w:r>
        <w:rPr>
          <w:rFonts w:ascii="宋体" w:hAnsi="宋体"/>
          <w:szCs w:val="21"/>
        </w:rPr>
        <w:t>、系统维护手册（包括故障查找和排除指南）；</w:t>
      </w:r>
    </w:p>
    <w:p w:rsidR="00700A3D" w:rsidP="00700A3D">
      <w:pPr>
        <w:snapToGrid w:val="0"/>
        <w:spacing w:line="360" w:lineRule="auto"/>
        <w:ind w:firstLine="420" w:firstLineChars="200"/>
        <w:rPr>
          <w:rFonts w:ascii="宋体" w:hAnsi="宋体"/>
          <w:szCs w:val="21"/>
        </w:rPr>
      </w:pPr>
      <w:r>
        <w:rPr>
          <w:rFonts w:ascii="宋体" w:hAnsi="宋体" w:hint="eastAsia"/>
          <w:szCs w:val="21"/>
        </w:rPr>
        <w:t>（</w:t>
      </w:r>
      <w:r>
        <w:rPr>
          <w:rFonts w:ascii="宋体" w:hAnsi="宋体"/>
          <w:szCs w:val="21"/>
        </w:rPr>
        <w:t>4</w:t>
      </w:r>
      <w:r>
        <w:rPr>
          <w:rFonts w:ascii="宋体" w:hAnsi="宋体" w:hint="eastAsia"/>
          <w:szCs w:val="21"/>
        </w:rPr>
        <w:t>）</w:t>
      </w:r>
      <w:r>
        <w:rPr>
          <w:rFonts w:ascii="宋体" w:hAnsi="宋体"/>
          <w:szCs w:val="21"/>
        </w:rPr>
        <w:t>全部软件源代码、可执行代码等（以上文档提供电子版</w:t>
      </w:r>
      <w:r>
        <w:rPr>
          <w:rFonts w:ascii="宋体" w:hAnsi="宋体" w:hint="eastAsia"/>
          <w:szCs w:val="21"/>
        </w:rPr>
        <w:t>x</w:t>
      </w:r>
      <w:r>
        <w:rPr>
          <w:rFonts w:ascii="宋体" w:hAnsi="宋体"/>
          <w:szCs w:val="21"/>
        </w:rPr>
        <w:t>套，硬拷贝</w:t>
      </w:r>
      <w:r>
        <w:rPr>
          <w:rFonts w:ascii="宋体" w:hAnsi="宋体" w:hint="eastAsia"/>
          <w:szCs w:val="21"/>
        </w:rPr>
        <w:t>x</w:t>
      </w:r>
      <w:r>
        <w:rPr>
          <w:rFonts w:ascii="宋体" w:hAnsi="宋体"/>
          <w:szCs w:val="21"/>
        </w:rPr>
        <w:t>套）</w:t>
      </w:r>
      <w:r>
        <w:rPr>
          <w:rFonts w:ascii="宋体" w:hAnsi="宋体" w:hint="eastAsia"/>
          <w:szCs w:val="21"/>
        </w:rPr>
        <w:t>。</w:t>
      </w:r>
    </w:p>
    <w:p w:rsidR="00700A3D" w:rsidP="00700A3D">
      <w:pPr>
        <w:snapToGrid w:val="0"/>
        <w:spacing w:line="360" w:lineRule="auto"/>
        <w:ind w:firstLine="420" w:firstLineChars="200"/>
        <w:rPr>
          <w:rFonts w:ascii="宋体" w:hAnsi="宋体"/>
          <w:iCs/>
          <w:szCs w:val="21"/>
        </w:rPr>
      </w:pPr>
      <w:r>
        <w:rPr>
          <w:rFonts w:ascii="宋体" w:hAnsi="宋体" w:hint="eastAsia"/>
          <w:iCs/>
          <w:szCs w:val="21"/>
        </w:rPr>
        <w:t>（</w:t>
      </w:r>
      <w:r>
        <w:rPr>
          <w:rFonts w:ascii="宋体" w:hAnsi="宋体"/>
          <w:iCs/>
          <w:szCs w:val="21"/>
        </w:rPr>
        <w:t>5</w:t>
      </w:r>
      <w:r>
        <w:rPr>
          <w:rFonts w:ascii="宋体" w:hAnsi="宋体" w:hint="eastAsia"/>
          <w:iCs/>
          <w:szCs w:val="21"/>
        </w:rPr>
        <w:t>）所有资料均需提供中文版</w:t>
      </w:r>
    </w:p>
    <w:p w:rsidR="00700A3D" w:rsidP="00700A3D">
      <w:pPr>
        <w:adjustRightInd w:val="0"/>
        <w:spacing w:line="360" w:lineRule="auto"/>
        <w:ind w:firstLine="420" w:firstLineChars="200"/>
        <w:outlineLvl w:val="1"/>
        <w:rPr>
          <w:rFonts w:ascii="宋体" w:hAnsi="宋体"/>
          <w:b/>
          <w:szCs w:val="21"/>
        </w:rPr>
      </w:pPr>
      <w:bookmarkStart w:id="455" w:name="_Toc171226499"/>
      <w:bookmarkStart w:id="456" w:name="_Toc147224300"/>
      <w:bookmarkStart w:id="457" w:name="_Toc200437499"/>
      <w:r>
        <w:rPr>
          <w:rFonts w:ascii="宋体" w:hAnsi="宋体" w:hint="eastAsia"/>
          <w:b/>
          <w:szCs w:val="21"/>
        </w:rPr>
        <w:t>十七、</w:t>
      </w:r>
      <w:r>
        <w:rPr>
          <w:rFonts w:ascii="宋体" w:hAnsi="宋体"/>
          <w:b/>
          <w:szCs w:val="21"/>
        </w:rPr>
        <w:t>成果约定</w:t>
      </w:r>
      <w:bookmarkEnd w:id="455"/>
      <w:bookmarkEnd w:id="456"/>
      <w:bookmarkEnd w:id="457"/>
    </w:p>
    <w:p w:rsidR="00700A3D" w:rsidP="00700A3D">
      <w:pPr>
        <w:snapToGrid w:val="0"/>
        <w:spacing w:line="360" w:lineRule="auto"/>
        <w:ind w:firstLine="514" w:firstLineChars="245"/>
        <w:rPr>
          <w:rFonts w:ascii="宋体" w:hAnsi="宋体"/>
          <w:szCs w:val="21"/>
        </w:rPr>
      </w:pPr>
      <w:r>
        <w:rPr>
          <w:rFonts w:ascii="宋体" w:hAnsi="宋体" w:hint="eastAsia"/>
          <w:szCs w:val="21"/>
        </w:rPr>
        <w:t>1、乙</w:t>
      </w:r>
      <w:r>
        <w:rPr>
          <w:rFonts w:ascii="宋体" w:hAnsi="宋体"/>
          <w:szCs w:val="21"/>
        </w:rPr>
        <w:t>方提供的软件产品中，不得引用或复制未经第三方授权的代码和数据，并承担由此而导致的全部法律责任。</w:t>
      </w:r>
    </w:p>
    <w:p w:rsidR="00700A3D" w:rsidP="00700A3D">
      <w:pPr>
        <w:snapToGrid w:val="0"/>
        <w:spacing w:line="360" w:lineRule="auto"/>
        <w:ind w:firstLine="514" w:firstLineChars="245"/>
        <w:rPr>
          <w:rFonts w:ascii="宋体" w:hAnsi="宋体"/>
          <w:szCs w:val="21"/>
        </w:rPr>
      </w:pPr>
      <w:r>
        <w:rPr>
          <w:rFonts w:ascii="宋体" w:hAnsi="宋体"/>
          <w:szCs w:val="21"/>
        </w:rPr>
        <w:t>2</w:t>
      </w:r>
      <w:r>
        <w:rPr>
          <w:rFonts w:ascii="宋体" w:hAnsi="宋体" w:hint="eastAsia"/>
          <w:szCs w:val="21"/>
        </w:rPr>
        <w:t>、</w:t>
      </w:r>
      <w:r>
        <w:rPr>
          <w:rFonts w:ascii="宋体" w:hAnsi="宋体"/>
          <w:szCs w:val="21"/>
        </w:rPr>
        <w:t>项目中软件成果和产权归甲方所有，未经甲方同意</w:t>
      </w:r>
      <w:r>
        <w:rPr>
          <w:rFonts w:ascii="宋体" w:hAnsi="宋体" w:hint="eastAsia"/>
          <w:szCs w:val="21"/>
        </w:rPr>
        <w:t>乙</w:t>
      </w:r>
      <w:r>
        <w:rPr>
          <w:rFonts w:ascii="宋体" w:hAnsi="宋体"/>
          <w:szCs w:val="21"/>
        </w:rPr>
        <w:t>方不得转移或使用。系统通过验收后，所有文档、软件和资料由甲方统一归档。</w:t>
      </w:r>
    </w:p>
    <w:p w:rsidR="00700A3D" w:rsidP="00700A3D">
      <w:pPr>
        <w:snapToGrid w:val="0"/>
        <w:spacing w:line="360" w:lineRule="auto"/>
        <w:ind w:firstLine="514" w:firstLineChars="245"/>
        <w:rPr>
          <w:rFonts w:ascii="宋体" w:hAnsi="宋体"/>
          <w:szCs w:val="21"/>
        </w:rPr>
      </w:pPr>
      <w:r>
        <w:rPr>
          <w:rFonts w:ascii="宋体" w:hAnsi="宋体" w:hint="eastAsia"/>
          <w:szCs w:val="21"/>
        </w:rPr>
        <w:t>3、</w:t>
      </w:r>
      <w:r>
        <w:rPr>
          <w:rFonts w:ascii="宋体" w:hAnsi="宋体"/>
          <w:szCs w:val="21"/>
        </w:rPr>
        <w:t>项目中由甲方提供的算法和方法所对应的软件成果和产权归甲方所有，乙方不得未经甲方同意转移或使用。</w:t>
      </w:r>
    </w:p>
    <w:p w:rsidR="00700A3D" w:rsidP="00700A3D">
      <w:pPr>
        <w:snapToGrid w:val="0"/>
        <w:spacing w:line="360" w:lineRule="auto"/>
        <w:ind w:firstLine="514" w:firstLineChars="245"/>
        <w:rPr>
          <w:rFonts w:ascii="宋体" w:hAnsi="宋体"/>
          <w:szCs w:val="21"/>
        </w:rPr>
      </w:pPr>
      <w:r>
        <w:rPr>
          <w:rFonts w:ascii="宋体" w:hAnsi="宋体"/>
          <w:szCs w:val="21"/>
        </w:rPr>
        <w:t>4</w:t>
      </w:r>
      <w:r>
        <w:rPr>
          <w:rFonts w:ascii="宋体" w:hAnsi="宋体" w:hint="eastAsia"/>
          <w:szCs w:val="21"/>
        </w:rPr>
        <w:t>、乙方完成本合同项目的研究开发人员享有在有关技术成果文件上写明技术成果完成者的权利和取得有关荣誉证书、奖励的权利。</w:t>
      </w:r>
    </w:p>
    <w:p w:rsidR="00700A3D" w:rsidP="00700A3D">
      <w:pPr>
        <w:snapToGrid w:val="0"/>
        <w:spacing w:line="360" w:lineRule="auto"/>
        <w:ind w:firstLine="514" w:firstLineChars="245"/>
        <w:rPr>
          <w:rFonts w:ascii="宋体" w:hAnsi="宋体"/>
          <w:szCs w:val="21"/>
        </w:rPr>
      </w:pPr>
      <w:r>
        <w:rPr>
          <w:rFonts w:ascii="宋体" w:hAnsi="宋体"/>
          <w:szCs w:val="21"/>
        </w:rPr>
        <w:t>5</w:t>
      </w:r>
      <w:r>
        <w:rPr>
          <w:rFonts w:ascii="宋体" w:hAnsi="宋体" w:hint="eastAsia"/>
          <w:szCs w:val="21"/>
        </w:rPr>
        <w:t>、乙方利用合同经</w:t>
      </w:r>
      <w:r>
        <w:rPr>
          <w:rFonts w:ascii="宋体" w:hAnsi="宋体"/>
          <w:szCs w:val="21"/>
        </w:rPr>
        <w:t>费</w:t>
      </w:r>
      <w:r>
        <w:rPr>
          <w:rFonts w:ascii="宋体" w:hAnsi="宋体" w:hint="eastAsia"/>
          <w:szCs w:val="21"/>
        </w:rPr>
        <w:t>所购置与研究开发工作有关的设备、器材、资料等财产，归</w:t>
      </w:r>
      <w:r>
        <w:rPr>
          <w:rFonts w:ascii="宋体" w:hAnsi="宋体"/>
          <w:szCs w:val="21"/>
        </w:rPr>
        <w:t xml:space="preserve">                （甲、乙、双）方所有。</w:t>
      </w:r>
    </w:p>
    <w:p w:rsidR="00700A3D" w:rsidP="00700A3D">
      <w:pPr>
        <w:adjustRightInd w:val="0"/>
        <w:spacing w:line="360" w:lineRule="auto"/>
        <w:ind w:firstLine="420" w:firstLineChars="200"/>
        <w:outlineLvl w:val="1"/>
        <w:rPr>
          <w:rFonts w:ascii="宋体" w:hAnsi="宋体"/>
          <w:b/>
          <w:szCs w:val="21"/>
        </w:rPr>
      </w:pPr>
      <w:r>
        <w:rPr>
          <w:rFonts w:ascii="宋体" w:hAnsi="宋体" w:hint="eastAsia"/>
          <w:b/>
          <w:szCs w:val="21"/>
        </w:rPr>
        <w:t>十八、预付款保函及履约保函</w:t>
      </w:r>
    </w:p>
    <w:p w:rsidR="00700A3D" w:rsidP="00700A3D">
      <w:pPr>
        <w:snapToGrid w:val="0"/>
        <w:spacing w:line="360" w:lineRule="auto"/>
        <w:ind w:firstLine="420" w:firstLineChars="200"/>
        <w:rPr>
          <w:rFonts w:ascii="宋体" w:hAnsi="宋体"/>
          <w:bCs/>
          <w:szCs w:val="21"/>
        </w:rPr>
      </w:pPr>
      <w:r>
        <w:rPr>
          <w:rFonts w:ascii="宋体" w:hAnsi="宋体" w:hint="eastAsia"/>
          <w:bCs/>
          <w:szCs w:val="21"/>
        </w:rPr>
        <w:t>详见</w:t>
      </w:r>
      <w:r>
        <w:rPr>
          <w:rFonts w:ascii="宋体" w:hAnsi="宋体" w:hint="eastAsia"/>
          <w:szCs w:val="21"/>
        </w:rPr>
        <w:t>“一、定义”及</w:t>
      </w:r>
      <w:r>
        <w:rPr>
          <w:rFonts w:ascii="宋体" w:hAnsi="宋体" w:hint="eastAsia"/>
          <w:bCs/>
          <w:szCs w:val="21"/>
        </w:rPr>
        <w:t>“六、付款方式”。</w:t>
      </w:r>
    </w:p>
    <w:p w:rsidR="00700A3D" w:rsidP="00700A3D">
      <w:pPr>
        <w:pStyle w:val="NormalIndent"/>
        <w:adjustRightInd w:val="0"/>
        <w:snapToGrid w:val="0"/>
        <w:spacing w:line="360" w:lineRule="auto"/>
        <w:outlineLvl w:val="1"/>
        <w:rPr>
          <w:rFonts w:ascii="宋体" w:hAnsi="宋体"/>
          <w:b/>
          <w:szCs w:val="21"/>
        </w:rPr>
      </w:pPr>
      <w:r>
        <w:rPr>
          <w:rFonts w:ascii="宋体" w:hAnsi="宋体" w:hint="eastAsia"/>
          <w:b/>
          <w:szCs w:val="21"/>
        </w:rPr>
        <w:t>十九、审计及检查</w:t>
      </w:r>
    </w:p>
    <w:p w:rsidR="00700A3D" w:rsidP="00700A3D">
      <w:pPr>
        <w:tabs>
          <w:tab w:val="left" w:pos="360"/>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如果甲方</w:t>
      </w:r>
      <w:r>
        <w:rPr>
          <w:rFonts w:ascii="宋体" w:hAnsi="宋体"/>
          <w:bCs/>
          <w:szCs w:val="21"/>
        </w:rPr>
        <w:t>或</w:t>
      </w:r>
      <w:r>
        <w:rPr>
          <w:rFonts w:ascii="宋体" w:hAnsi="宋体" w:hint="eastAsia"/>
          <w:bCs/>
          <w:szCs w:val="21"/>
        </w:rPr>
        <w:t>采购人要求，乙方</w:t>
      </w:r>
      <w:r>
        <w:rPr>
          <w:rFonts w:ascii="宋体" w:hAnsi="宋体"/>
          <w:bCs/>
          <w:szCs w:val="21"/>
        </w:rPr>
        <w:t>或</w:t>
      </w:r>
      <w:r>
        <w:rPr>
          <w:rFonts w:ascii="宋体" w:hAnsi="宋体" w:hint="eastAsia"/>
          <w:bCs/>
          <w:szCs w:val="21"/>
        </w:rPr>
        <w:t>中标人应允许甲方</w:t>
      </w:r>
      <w:r>
        <w:rPr>
          <w:rFonts w:ascii="宋体" w:hAnsi="宋体"/>
          <w:bCs/>
          <w:szCs w:val="21"/>
        </w:rPr>
        <w:t>或</w:t>
      </w:r>
      <w:r>
        <w:rPr>
          <w:rFonts w:ascii="宋体" w:hAnsi="宋体" w:hint="eastAsia"/>
          <w:bCs/>
          <w:szCs w:val="21"/>
        </w:rPr>
        <w:t>采购人检查乙方</w:t>
      </w:r>
      <w:r>
        <w:rPr>
          <w:rFonts w:ascii="宋体" w:hAnsi="宋体"/>
          <w:bCs/>
          <w:szCs w:val="21"/>
        </w:rPr>
        <w:t>或</w:t>
      </w:r>
      <w:r>
        <w:rPr>
          <w:rFonts w:ascii="宋体" w:hAnsi="宋体" w:hint="eastAsia"/>
          <w:bCs/>
          <w:szCs w:val="21"/>
        </w:rPr>
        <w:t>中标人与实施本合同有关的资金、账户和记录，并由甲方</w:t>
      </w:r>
      <w:r>
        <w:rPr>
          <w:rFonts w:ascii="宋体" w:hAnsi="宋体"/>
          <w:bCs/>
          <w:szCs w:val="21"/>
        </w:rPr>
        <w:t>或</w:t>
      </w:r>
      <w:r>
        <w:rPr>
          <w:rFonts w:ascii="宋体" w:hAnsi="宋体" w:hint="eastAsia"/>
          <w:bCs/>
          <w:szCs w:val="21"/>
        </w:rPr>
        <w:t>采购人指定的审计人员对其进行审计。</w:t>
      </w:r>
    </w:p>
    <w:p w:rsidR="00700A3D" w:rsidP="00700A3D">
      <w:pPr>
        <w:adjustRightInd w:val="0"/>
        <w:spacing w:line="360" w:lineRule="auto"/>
        <w:ind w:firstLine="420" w:firstLineChars="200"/>
        <w:outlineLvl w:val="1"/>
        <w:rPr>
          <w:rFonts w:ascii="宋体" w:hAnsi="宋体"/>
          <w:b/>
          <w:szCs w:val="21"/>
        </w:rPr>
      </w:pPr>
      <w:r>
        <w:rPr>
          <w:rFonts w:ascii="宋体" w:hAnsi="宋体" w:hint="eastAsia"/>
          <w:b/>
          <w:szCs w:val="21"/>
        </w:rPr>
        <w:t>二十、违约责任</w:t>
      </w:r>
    </w:p>
    <w:p w:rsidR="00700A3D" w:rsidP="00700A3D">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、乙方应按照合同附件中甲方规定的时间表交货和提供服务。</w:t>
      </w:r>
    </w:p>
    <w:p w:rsidR="00700A3D" w:rsidP="00700A3D">
      <w:pPr>
        <w:tabs>
          <w:tab w:val="left" w:pos="885"/>
        </w:tabs>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履行合同过程中，如果乙方及其分包人遇到妨碍按时交货和提供服务的情况时，应及时以书面形式将拖延的事实、可能拖延的时间和原因通知甲方。甲方在收到乙方通知后，应尽快对情况进行评价，并确定是否酌情延长交货时间和提供服务以及是否收取误期赔偿费。延期应通过修改合同的方式由双方认可。</w:t>
      </w:r>
    </w:p>
    <w:p w:rsidR="00700A3D" w:rsidP="00700A3D">
      <w:pPr>
        <w:snapToGrid w:val="0"/>
        <w:spacing w:line="360" w:lineRule="auto"/>
        <w:ind w:firstLine="420" w:firstLineChars="200"/>
        <w:rPr>
          <w:rFonts w:ascii="宋体" w:hAnsi="宋体"/>
          <w:szCs w:val="21"/>
        </w:rPr>
      </w:pPr>
      <w:r>
        <w:rPr>
          <w:rFonts w:ascii="宋体" w:hAnsi="宋体" w:hint="eastAsia"/>
          <w:szCs w:val="21"/>
        </w:rPr>
        <w:t>3、如果乙方没有按照合同规定的时间交货和提供服务，甲方应在不影响合同项下的其他补救措施的情况下，从合同价中扣除误期赔偿费。每延误七天迟交货物/服务，赔偿费按合同额的百分之一</w:t>
      </w:r>
      <w:r>
        <w:rPr>
          <w:rFonts w:ascii="宋体" w:hAnsi="宋体"/>
          <w:szCs w:val="21"/>
        </w:rPr>
        <w:t>(1</w:t>
      </w:r>
      <w:r>
        <w:rPr>
          <w:rFonts w:ascii="宋体" w:hAnsi="宋体" w:hint="eastAsia"/>
          <w:szCs w:val="21"/>
        </w:rPr>
        <w:t>％</w:t>
      </w:r>
      <w:r>
        <w:rPr>
          <w:rFonts w:ascii="宋体" w:hAnsi="宋体"/>
          <w:szCs w:val="21"/>
        </w:rPr>
        <w:t>)</w:t>
      </w:r>
      <w:r>
        <w:rPr>
          <w:rFonts w:ascii="宋体" w:hAnsi="宋体" w:hint="eastAsia"/>
          <w:szCs w:val="21"/>
        </w:rPr>
        <w:t>计收，不足七天按七天计算。直至交货或提供服务为止。</w:t>
      </w:r>
    </w:p>
    <w:p w:rsidR="00700A3D" w:rsidP="00700A3D">
      <w:pPr>
        <w:snapToGrid w:val="0"/>
        <w:spacing w:line="360" w:lineRule="auto"/>
        <w:ind w:firstLine="412" w:firstLineChars="196"/>
        <w:rPr>
          <w:rFonts w:ascii="宋体" w:hAnsi="宋体"/>
          <w:szCs w:val="21"/>
        </w:rPr>
      </w:pPr>
      <w:r>
        <w:rPr>
          <w:rFonts w:ascii="宋体" w:hAnsi="宋体"/>
          <w:szCs w:val="21"/>
        </w:rPr>
        <w:t>4</w:t>
      </w:r>
      <w:r>
        <w:rPr>
          <w:rFonts w:ascii="宋体" w:hAnsi="宋体" w:hint="eastAsia"/>
          <w:szCs w:val="21"/>
        </w:rPr>
        <w:t xml:space="preserve">、双方确定：任何一方违反本合同约定，造成项目实施停滞、延误或失败的，按以下约定承担违约责任：   </w:t>
      </w:r>
    </w:p>
    <w:p w:rsidR="00700A3D" w:rsidP="00700A3D">
      <w:pPr>
        <w:snapToGrid w:val="0"/>
        <w:spacing w:line="360" w:lineRule="auto"/>
        <w:ind w:firstLine="420" w:firstLineChars="200"/>
        <w:rPr>
          <w:rFonts w:ascii="宋体" w:hAnsi="宋体"/>
          <w:szCs w:val="21"/>
        </w:rPr>
      </w:pPr>
      <w:r>
        <w:rPr>
          <w:rFonts w:ascii="宋体" w:hAnsi="宋体" w:hint="eastAsia"/>
          <w:szCs w:val="21"/>
        </w:rPr>
        <w:t>（1）</w:t>
      </w:r>
      <w:r>
        <w:rPr>
          <w:rFonts w:ascii="宋体" w:hAnsi="宋体" w:hint="eastAsia"/>
          <w:kern w:val="0"/>
          <w:szCs w:val="21"/>
        </w:rPr>
        <w:t xml:space="preserve">   </w:t>
      </w:r>
      <w:r>
        <w:rPr>
          <w:rFonts w:ascii="宋体" w:hAnsi="宋体" w:hint="eastAsia"/>
          <w:szCs w:val="21"/>
        </w:rPr>
        <w:t>方违反本合同第</w:t>
      </w:r>
      <w:r>
        <w:rPr>
          <w:rFonts w:ascii="宋体" w:hAnsi="宋体" w:hint="eastAsia"/>
          <w:kern w:val="0"/>
          <w:szCs w:val="21"/>
        </w:rPr>
        <w:t xml:space="preserve">   </w:t>
      </w:r>
      <w:r>
        <w:rPr>
          <w:rFonts w:ascii="宋体" w:hAnsi="宋体" w:hint="eastAsia"/>
          <w:szCs w:val="21"/>
        </w:rPr>
        <w:t>条约定，应当</w:t>
      </w:r>
      <w:r>
        <w:rPr>
          <w:rFonts w:ascii="宋体" w:hAnsi="宋体" w:hint="eastAsia"/>
          <w:szCs w:val="21"/>
          <w:u w:val="single"/>
        </w:rPr>
        <w:t xml:space="preserve">  按照合同总额20%支付违约金，并承担由此导致的损失         </w:t>
      </w:r>
      <w:r>
        <w:rPr>
          <w:rFonts w:ascii="宋体" w:hAnsi="宋体" w:hint="eastAsia"/>
          <w:szCs w:val="21"/>
        </w:rPr>
        <w:t>（支付违约金或损失赔偿额的计算方法）。</w:t>
      </w:r>
    </w:p>
    <w:p w:rsidR="00700A3D" w:rsidP="00700A3D">
      <w:pPr>
        <w:snapToGrid w:val="0"/>
        <w:spacing w:line="360" w:lineRule="auto"/>
        <w:ind w:firstLine="420" w:firstLineChars="200"/>
        <w:rPr>
          <w:rFonts w:ascii="宋体" w:hAnsi="宋体"/>
          <w:color w:val="0D0D0D"/>
          <w:szCs w:val="21"/>
          <w:u w:val="single"/>
        </w:rPr>
      </w:pPr>
      <w:r>
        <w:rPr>
          <w:rFonts w:ascii="宋体" w:hAnsi="宋体" w:hint="eastAsia"/>
          <w:szCs w:val="21"/>
        </w:rPr>
        <w:t>（2）</w:t>
      </w:r>
      <w:r>
        <w:rPr>
          <w:rFonts w:ascii="宋体" w:hAnsi="宋体" w:hint="eastAsia"/>
          <w:kern w:val="0"/>
          <w:szCs w:val="21"/>
        </w:rPr>
        <w:t xml:space="preserve">   </w:t>
      </w:r>
      <w:r>
        <w:rPr>
          <w:rFonts w:ascii="宋体" w:hAnsi="宋体" w:hint="eastAsia"/>
          <w:szCs w:val="21"/>
        </w:rPr>
        <w:t>方违反本合同第条</w:t>
      </w:r>
      <w:r>
        <w:rPr>
          <w:rFonts w:ascii="宋体" w:hAnsi="宋体" w:hint="eastAsia"/>
          <w:kern w:val="0"/>
          <w:szCs w:val="21"/>
        </w:rPr>
        <w:t xml:space="preserve">   </w:t>
      </w:r>
      <w:r>
        <w:rPr>
          <w:rFonts w:ascii="宋体" w:hAnsi="宋体" w:hint="eastAsia"/>
          <w:szCs w:val="21"/>
        </w:rPr>
        <w:t>约定，应当</w:t>
      </w:r>
      <w:r>
        <w:rPr>
          <w:rFonts w:ascii="宋体" w:hAnsi="宋体" w:hint="eastAsia"/>
          <w:szCs w:val="21"/>
          <w:u w:val="single"/>
        </w:rPr>
        <w:t xml:space="preserve"> </w:t>
      </w:r>
      <w:r>
        <w:rPr>
          <w:rFonts w:ascii="宋体" w:hAnsi="宋体"/>
          <w:color w:val="0D0D0D"/>
          <w:szCs w:val="21"/>
          <w:u w:val="single"/>
        </w:rPr>
        <w:t>处相关费用的0.</w:t>
      </w:r>
      <w:r>
        <w:rPr>
          <w:rFonts w:ascii="宋体" w:hAnsi="宋体" w:hint="eastAsia"/>
          <w:color w:val="0D0D0D"/>
          <w:szCs w:val="21"/>
          <w:u w:val="single"/>
        </w:rPr>
        <w:t>1</w:t>
      </w:r>
      <w:r>
        <w:rPr>
          <w:rFonts w:ascii="宋体" w:hAnsi="宋体"/>
          <w:color w:val="0D0D0D"/>
          <w:szCs w:val="21"/>
          <w:u w:val="single"/>
        </w:rPr>
        <w:t>%罚金</w:t>
      </w:r>
      <w:r>
        <w:rPr>
          <w:rFonts w:ascii="宋体" w:hAnsi="宋体" w:hint="eastAsia"/>
          <w:color w:val="0D0D0D"/>
          <w:szCs w:val="21"/>
          <w:u w:val="single"/>
        </w:rPr>
        <w:t>/3日</w:t>
      </w:r>
      <w:r>
        <w:rPr>
          <w:rFonts w:ascii="宋体" w:hAnsi="宋体"/>
          <w:color w:val="0D0D0D"/>
          <w:szCs w:val="21"/>
          <w:u w:val="single"/>
        </w:rPr>
        <w:t>，最多不超过1%。</w:t>
      </w:r>
      <w:r>
        <w:rPr>
          <w:rFonts w:ascii="宋体" w:hAnsi="宋体" w:hint="eastAsia"/>
          <w:color w:val="0D0D0D"/>
          <w:szCs w:val="21"/>
          <w:u w:val="single"/>
        </w:rPr>
        <w:t>赔偿数额累计达到或超过1%，甲方有权要求解除合同。</w:t>
      </w:r>
    </w:p>
    <w:p w:rsidR="00700A3D" w:rsidP="00700A3D">
      <w:pPr>
        <w:snapToGrid w:val="0"/>
        <w:spacing w:line="360" w:lineRule="auto"/>
        <w:ind w:firstLine="420" w:firstLineChars="200"/>
        <w:rPr>
          <w:rFonts w:ascii="宋体" w:hAnsi="宋体"/>
          <w:szCs w:val="21"/>
        </w:rPr>
      </w:pPr>
      <w:r>
        <w:rPr>
          <w:rFonts w:ascii="宋体" w:hAnsi="宋体" w:hint="eastAsia"/>
          <w:szCs w:val="21"/>
        </w:rPr>
        <w:t>（3）</w:t>
      </w:r>
      <w:r>
        <w:rPr>
          <w:rFonts w:ascii="宋体" w:hAnsi="宋体" w:hint="eastAsia"/>
          <w:kern w:val="0"/>
          <w:szCs w:val="21"/>
        </w:rPr>
        <w:t xml:space="preserve">   </w:t>
      </w:r>
      <w:r>
        <w:rPr>
          <w:rFonts w:ascii="宋体" w:hAnsi="宋体" w:hint="eastAsia"/>
          <w:szCs w:val="21"/>
        </w:rPr>
        <w:t>方违反本合同第</w:t>
      </w:r>
      <w:r>
        <w:rPr>
          <w:rFonts w:ascii="宋体" w:hAnsi="宋体" w:hint="eastAsia"/>
          <w:kern w:val="0"/>
          <w:szCs w:val="21"/>
        </w:rPr>
        <w:t xml:space="preserve">   </w:t>
      </w:r>
      <w:r>
        <w:rPr>
          <w:rFonts w:ascii="宋体" w:hAnsi="宋体" w:hint="eastAsia"/>
          <w:szCs w:val="21"/>
        </w:rPr>
        <w:t>条约定，由于甲方合同需求变更导致合同交付延迟，</w:t>
      </w:r>
      <w:r>
        <w:rPr>
          <w:rFonts w:ascii="宋体" w:hAnsi="宋体"/>
          <w:color w:val="0D0D0D"/>
          <w:szCs w:val="21"/>
        </w:rPr>
        <w:t>支付合同总额</w:t>
      </w:r>
      <w:r>
        <w:rPr>
          <w:rFonts w:ascii="宋体" w:hAnsi="宋体" w:hint="eastAsia"/>
          <w:color w:val="0D0D0D"/>
          <w:szCs w:val="21"/>
        </w:rPr>
        <w:t>不超过</w:t>
      </w:r>
      <w:r>
        <w:rPr>
          <w:rFonts w:ascii="宋体" w:hAnsi="宋体"/>
          <w:color w:val="0D0D0D"/>
          <w:szCs w:val="21"/>
        </w:rPr>
        <w:t>1%</w:t>
      </w:r>
      <w:r>
        <w:rPr>
          <w:rFonts w:ascii="宋体" w:hAnsi="宋体" w:hint="eastAsia"/>
          <w:color w:val="0D0D0D"/>
          <w:szCs w:val="21"/>
        </w:rPr>
        <w:t>损失赔偿费，由双方协商解决</w:t>
      </w:r>
      <w:r>
        <w:rPr>
          <w:rFonts w:ascii="宋体" w:hAnsi="宋体"/>
          <w:color w:val="0D0D0D"/>
          <w:szCs w:val="21"/>
        </w:rPr>
        <w:t>。</w:t>
      </w:r>
    </w:p>
    <w:p w:rsidR="00700A3D" w:rsidP="00700A3D">
      <w:pPr>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hint="eastAsia"/>
          <w:kern w:val="0"/>
          <w:szCs w:val="21"/>
        </w:rPr>
        <w:t xml:space="preserve">   </w:t>
      </w:r>
      <w:r>
        <w:rPr>
          <w:rFonts w:ascii="宋体" w:hAnsi="宋体" w:hint="eastAsia"/>
          <w:szCs w:val="21"/>
        </w:rPr>
        <w:t>方违反本合同第</w:t>
      </w:r>
      <w:r>
        <w:rPr>
          <w:rFonts w:ascii="宋体" w:hAnsi="宋体" w:hint="eastAsia"/>
          <w:kern w:val="0"/>
          <w:szCs w:val="21"/>
        </w:rPr>
        <w:t xml:space="preserve">   </w:t>
      </w:r>
      <w:r>
        <w:rPr>
          <w:rFonts w:ascii="宋体" w:hAnsi="宋体" w:hint="eastAsia"/>
          <w:szCs w:val="21"/>
        </w:rPr>
        <w:t>条约定，应当</w:t>
      </w:r>
      <w:r>
        <w:rPr>
          <w:rFonts w:ascii="宋体" w:hAnsi="宋体" w:hint="eastAsia"/>
          <w:szCs w:val="21"/>
          <w:u w:val="single"/>
        </w:rPr>
        <w:t xml:space="preserve">             </w:t>
      </w:r>
      <w:r>
        <w:rPr>
          <w:rFonts w:ascii="宋体" w:hAnsi="宋体" w:hint="eastAsia"/>
          <w:szCs w:val="21"/>
        </w:rPr>
        <w:t>（支付违约金或损失赔偿额的计算方法）。</w:t>
      </w:r>
    </w:p>
    <w:p w:rsidR="00700A3D" w:rsidP="00700A3D">
      <w:pPr>
        <w:snapToGrid w:val="0"/>
        <w:spacing w:line="360" w:lineRule="auto"/>
        <w:ind w:firstLine="420" w:firstLineChars="200"/>
        <w:jc w:val="left"/>
        <w:rPr>
          <w:rFonts w:ascii="宋体" w:hAnsi="宋体"/>
          <w:szCs w:val="21"/>
        </w:rPr>
      </w:pPr>
      <w:r>
        <w:rPr>
          <w:rFonts w:ascii="宋体" w:hAnsi="宋体" w:hint="eastAsia"/>
          <w:szCs w:val="21"/>
        </w:rPr>
        <w:t>（5）</w:t>
      </w:r>
      <w:r>
        <w:rPr>
          <w:rFonts w:ascii="宋体" w:hAnsi="宋体" w:hint="eastAsia"/>
          <w:kern w:val="0"/>
          <w:szCs w:val="21"/>
        </w:rPr>
        <w:t xml:space="preserve">   </w:t>
      </w:r>
      <w:r>
        <w:rPr>
          <w:rFonts w:ascii="宋体" w:hAnsi="宋体" w:hint="eastAsia"/>
          <w:szCs w:val="21"/>
        </w:rPr>
        <w:t>方违反本合同第</w:t>
      </w:r>
      <w:r>
        <w:rPr>
          <w:rFonts w:ascii="宋体" w:hAnsi="宋体" w:hint="eastAsia"/>
          <w:kern w:val="0"/>
          <w:szCs w:val="21"/>
        </w:rPr>
        <w:t xml:space="preserve">   </w:t>
      </w:r>
      <w:r>
        <w:rPr>
          <w:rFonts w:ascii="宋体" w:hAnsi="宋体" w:hint="eastAsia"/>
          <w:szCs w:val="21"/>
        </w:rPr>
        <w:t>条约定，应当</w:t>
      </w:r>
      <w:r>
        <w:rPr>
          <w:rFonts w:ascii="宋体" w:hAnsi="宋体" w:hint="eastAsia"/>
          <w:szCs w:val="21"/>
          <w:u w:val="single"/>
        </w:rPr>
        <w:t xml:space="preserve">              </w:t>
      </w:r>
      <w:r>
        <w:rPr>
          <w:rFonts w:ascii="宋体" w:hAnsi="宋体" w:hint="eastAsia"/>
          <w:szCs w:val="21"/>
        </w:rPr>
        <w:t>（支付违约金或损失赔偿额的计算方法）。</w:t>
      </w:r>
    </w:p>
    <w:p w:rsidR="00700A3D" w:rsidP="00700A3D">
      <w:pPr>
        <w:snapToGrid w:val="0"/>
        <w:spacing w:line="360" w:lineRule="auto"/>
        <w:ind w:firstLine="420" w:firstLineChars="200"/>
        <w:jc w:val="left"/>
        <w:rPr>
          <w:rFonts w:ascii="宋体" w:hAnsi="宋体"/>
          <w:b/>
          <w:szCs w:val="21"/>
        </w:rPr>
      </w:pPr>
      <w:r>
        <w:rPr>
          <w:rFonts w:ascii="宋体" w:hAnsi="宋体" w:hint="eastAsia"/>
          <w:szCs w:val="21"/>
        </w:rPr>
        <w:t>（6）</w:t>
      </w:r>
      <w:r>
        <w:rPr>
          <w:rFonts w:ascii="宋体" w:hAnsi="宋体" w:hint="eastAsia"/>
          <w:kern w:val="0"/>
          <w:szCs w:val="21"/>
        </w:rPr>
        <w:t xml:space="preserve">   </w:t>
      </w:r>
      <w:r>
        <w:rPr>
          <w:rFonts w:ascii="宋体" w:hAnsi="宋体" w:hint="eastAsia"/>
          <w:szCs w:val="21"/>
        </w:rPr>
        <w:t>方违反本合同第</w:t>
      </w:r>
      <w:r>
        <w:rPr>
          <w:rFonts w:ascii="宋体" w:hAnsi="宋体" w:hint="eastAsia"/>
          <w:kern w:val="0"/>
          <w:szCs w:val="21"/>
        </w:rPr>
        <w:t xml:space="preserve">   </w:t>
      </w:r>
      <w:r>
        <w:rPr>
          <w:rFonts w:ascii="宋体" w:hAnsi="宋体" w:hint="eastAsia"/>
          <w:szCs w:val="21"/>
        </w:rPr>
        <w:t>条约定，应当</w:t>
      </w:r>
      <w:r>
        <w:rPr>
          <w:rFonts w:ascii="宋体" w:hAnsi="宋体" w:hint="eastAsia"/>
          <w:szCs w:val="21"/>
          <w:u w:val="single"/>
        </w:rPr>
        <w:t xml:space="preserve">                                                </w:t>
      </w:r>
      <w:r>
        <w:rPr>
          <w:rFonts w:ascii="宋体" w:hAnsi="宋体" w:hint="eastAsia"/>
          <w:color w:val="000000"/>
          <w:szCs w:val="21"/>
          <w:u w:val="single"/>
        </w:rPr>
        <w:t xml:space="preserve">    </w:t>
      </w:r>
      <w:r>
        <w:rPr>
          <w:rFonts w:ascii="宋体" w:hAnsi="宋体" w:hint="eastAsia"/>
          <w:szCs w:val="21"/>
          <w:u w:val="single"/>
        </w:rPr>
        <w:t xml:space="preserve">   </w:t>
      </w:r>
      <w:r>
        <w:rPr>
          <w:rFonts w:ascii="宋体" w:hAnsi="宋体" w:hint="eastAsia"/>
          <w:szCs w:val="21"/>
        </w:rPr>
        <w:t>（支付违约金或损失赔偿额的计算方法）。</w:t>
      </w:r>
    </w:p>
    <w:p w:rsidR="00700A3D" w:rsidP="00700A3D">
      <w:pPr>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、在甲方对乙方违约而采取的任何补救措施不受影响的情况下，甲方可向乙方发出书面违约通知书，提出终止部分或全部合同：</w:t>
      </w:r>
    </w:p>
    <w:p w:rsidR="00700A3D" w:rsidP="00700A3D">
      <w:pPr>
        <w:snapToGrid w:val="0"/>
        <w:spacing w:line="360" w:lineRule="auto"/>
        <w:ind w:firstLine="420" w:firstLineChars="200"/>
        <w:rPr>
          <w:rFonts w:ascii="宋体" w:hAnsi="宋体"/>
          <w:szCs w:val="21"/>
        </w:rPr>
      </w:pPr>
      <w:r>
        <w:rPr>
          <w:rFonts w:ascii="宋体" w:hAnsi="宋体"/>
          <w:szCs w:val="21"/>
        </w:rPr>
        <w:t xml:space="preserve">(l) </w:t>
      </w:r>
      <w:r>
        <w:rPr>
          <w:rFonts w:ascii="宋体" w:hAnsi="宋体" w:hint="eastAsia"/>
          <w:szCs w:val="21"/>
        </w:rPr>
        <w:t>如果乙方未能在合同规定的限期或甲方根据合同条款规定同意延长的限期内提供部分或全部货物和服务；</w:t>
      </w:r>
    </w:p>
    <w:p w:rsidR="00700A3D" w:rsidP="00700A3D">
      <w:pPr>
        <w:snapToGrid w:val="0"/>
        <w:spacing w:line="360" w:lineRule="auto"/>
        <w:ind w:left="1260" w:hanging="1260"/>
        <w:rPr>
          <w:rFonts w:ascii="宋体" w:hAnsi="宋体"/>
          <w:szCs w:val="21"/>
        </w:rPr>
      </w:pPr>
      <w:r>
        <w:rPr>
          <w:rFonts w:ascii="宋体" w:hAnsi="宋体"/>
          <w:szCs w:val="21"/>
        </w:rPr>
        <w:t xml:space="preserve">    (2) </w:t>
      </w:r>
      <w:r>
        <w:rPr>
          <w:rFonts w:ascii="宋体" w:hAnsi="宋体" w:hint="eastAsia"/>
          <w:szCs w:val="21"/>
        </w:rPr>
        <w:t>如果乙方未能履行合同规定的其它任何义务。</w:t>
      </w:r>
    </w:p>
    <w:p w:rsidR="00700A3D" w:rsidP="00700A3D">
      <w:pPr>
        <w:snapToGrid w:val="0"/>
        <w:spacing w:line="360" w:lineRule="auto"/>
        <w:ind w:firstLine="420" w:firstLineChars="200"/>
        <w:rPr>
          <w:rFonts w:ascii="宋体" w:hAnsi="宋体"/>
          <w:szCs w:val="21"/>
        </w:rPr>
      </w:pPr>
      <w:r>
        <w:rPr>
          <w:rFonts w:ascii="宋体" w:hAnsi="宋体"/>
          <w:szCs w:val="21"/>
        </w:rPr>
        <w:t xml:space="preserve">(3) </w:t>
      </w:r>
      <w:r>
        <w:rPr>
          <w:rFonts w:ascii="宋体" w:hAnsi="宋体" w:hint="eastAsia"/>
          <w:szCs w:val="21"/>
        </w:rPr>
        <w:t>如果甲方认为乙方在本合同的竞争和实施过程中有腐败和欺诈行为。为此目的，定义下述条件：</w:t>
      </w:r>
    </w:p>
    <w:p w:rsidR="00700A3D" w:rsidP="00700A3D">
      <w:pPr>
        <w:snapToGrid w:val="0"/>
        <w:spacing w:line="360" w:lineRule="auto"/>
        <w:ind w:firstLine="420" w:firstLineChars="200"/>
        <w:rPr>
          <w:rFonts w:ascii="宋体" w:hAnsi="宋体"/>
          <w:szCs w:val="21"/>
        </w:rPr>
      </w:pPr>
      <w:r>
        <w:rPr>
          <w:rFonts w:ascii="宋体" w:hAnsi="宋体"/>
          <w:szCs w:val="21"/>
        </w:rPr>
        <w:t>(i)</w:t>
      </w:r>
      <w:r>
        <w:rPr>
          <w:rFonts w:ascii="宋体" w:hAnsi="宋体" w:hint="eastAsia"/>
          <w:szCs w:val="21"/>
        </w:rPr>
        <w:t>“腐败行为”是指提供、给予、接受或索取任何有价值的物品来影响公共官员在采购过程或合同实施过程中的行为；</w:t>
      </w:r>
      <w:r>
        <w:rPr>
          <w:rFonts w:ascii="宋体" w:hAnsi="宋体"/>
          <w:szCs w:val="21"/>
        </w:rPr>
        <w:t xml:space="preserve"> </w:t>
      </w:r>
    </w:p>
    <w:p w:rsidR="00700A3D" w:rsidP="00700A3D">
      <w:pPr>
        <w:snapToGrid w:val="0"/>
        <w:spacing w:line="360" w:lineRule="auto"/>
        <w:ind w:firstLine="420" w:firstLineChars="200"/>
        <w:rPr>
          <w:rFonts w:ascii="宋体" w:hAnsi="宋体"/>
          <w:szCs w:val="21"/>
        </w:rPr>
      </w:pPr>
      <w:r>
        <w:rPr>
          <w:rFonts w:ascii="宋体" w:hAnsi="宋体"/>
          <w:szCs w:val="21"/>
        </w:rPr>
        <w:t>(ii)</w:t>
      </w:r>
      <w:r>
        <w:rPr>
          <w:rFonts w:ascii="宋体" w:hAnsi="宋体" w:hint="eastAsia"/>
          <w:szCs w:val="21"/>
        </w:rPr>
        <w:t>“欺诈行为”是指为了影响采购过程或合同实施过程而谎报事实，损害甲方的利益。</w:t>
      </w:r>
    </w:p>
    <w:p w:rsidR="00700A3D" w:rsidP="00700A3D">
      <w:pPr>
        <w:tabs>
          <w:tab w:val="left" w:pos="1573"/>
        </w:tabs>
        <w:snapToGrid w:val="0"/>
        <w:spacing w:line="360" w:lineRule="auto"/>
        <w:ind w:firstLine="420" w:firstLineChars="200"/>
        <w:rPr>
          <w:rFonts w:ascii="宋体" w:hAnsi="宋体"/>
          <w:szCs w:val="21"/>
        </w:rPr>
      </w:pPr>
      <w:r>
        <w:rPr>
          <w:rFonts w:ascii="宋体" w:hAnsi="宋体"/>
          <w:szCs w:val="21"/>
        </w:rPr>
        <w:t>6</w:t>
      </w:r>
      <w:r>
        <w:rPr>
          <w:rFonts w:ascii="宋体" w:hAnsi="宋体" w:hint="eastAsia"/>
          <w:szCs w:val="21"/>
        </w:rPr>
        <w:t>、如果甲方根据上述规定，终止了全部或部分合同，甲方可以依其认为适当的条件和方法购买与未交货物</w:t>
      </w:r>
      <w:r>
        <w:rPr>
          <w:rFonts w:ascii="宋体" w:hAnsi="宋体"/>
          <w:szCs w:val="21"/>
        </w:rPr>
        <w:t>/</w:t>
      </w:r>
      <w:r>
        <w:rPr>
          <w:rFonts w:ascii="宋体" w:hAnsi="宋体" w:hint="eastAsia"/>
          <w:szCs w:val="21"/>
        </w:rPr>
        <w:t>服务或类似的货物</w:t>
      </w:r>
      <w:r>
        <w:rPr>
          <w:rFonts w:ascii="宋体" w:hAnsi="宋体"/>
          <w:szCs w:val="21"/>
        </w:rPr>
        <w:t>/</w:t>
      </w:r>
      <w:r>
        <w:rPr>
          <w:rFonts w:ascii="宋体" w:hAnsi="宋体" w:hint="eastAsia"/>
          <w:szCs w:val="21"/>
        </w:rPr>
        <w:t>服务，乙方应对购买类似货物</w:t>
      </w:r>
      <w:r>
        <w:rPr>
          <w:rFonts w:ascii="宋体" w:hAnsi="宋体"/>
          <w:szCs w:val="21"/>
        </w:rPr>
        <w:t>/</w:t>
      </w:r>
      <w:r>
        <w:rPr>
          <w:rFonts w:ascii="宋体" w:hAnsi="宋体" w:hint="eastAsia"/>
          <w:szCs w:val="21"/>
        </w:rPr>
        <w:t>服务所超出的那部分费用负责。但是，乙方应继续执行合同中未终止的部分。</w:t>
      </w:r>
    </w:p>
    <w:p w:rsidR="00700A3D" w:rsidP="00700A3D">
      <w:pPr>
        <w:snapToGrid w:val="0"/>
        <w:spacing w:line="360" w:lineRule="auto"/>
        <w:ind w:firstLine="420" w:firstLineChars="200"/>
        <w:rPr>
          <w:rFonts w:ascii="宋体" w:hAnsi="宋体"/>
          <w:szCs w:val="21"/>
        </w:rPr>
      </w:pPr>
    </w:p>
    <w:p w:rsidR="00700A3D" w:rsidP="00700A3D">
      <w:pPr>
        <w:adjustRightInd w:val="0"/>
        <w:spacing w:line="360" w:lineRule="auto"/>
        <w:ind w:firstLine="420" w:firstLineChars="200"/>
        <w:outlineLvl w:val="1"/>
        <w:rPr>
          <w:rFonts w:ascii="宋体" w:hAnsi="宋体"/>
          <w:b/>
          <w:szCs w:val="21"/>
        </w:rPr>
      </w:pPr>
      <w:r>
        <w:rPr>
          <w:rFonts w:ascii="宋体" w:hAnsi="宋体" w:hint="eastAsia"/>
          <w:b/>
          <w:szCs w:val="21"/>
        </w:rPr>
        <w:t>二十一、联系方式</w:t>
      </w:r>
    </w:p>
    <w:p w:rsidR="00700A3D" w:rsidP="00700A3D">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甲方：</w:t>
      </w:r>
    </w:p>
    <w:p w:rsidR="00700A3D" w:rsidP="00700A3D">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联系人：</w:t>
      </w:r>
    </w:p>
    <w:p w:rsidR="00700A3D" w:rsidP="00700A3D">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地址：              </w:t>
      </w:r>
      <w:r>
        <w:rPr>
          <w:rFonts w:ascii="宋体" w:hAnsi="宋体" w:hint="eastAsia"/>
          <w:szCs w:val="21"/>
        </w:rPr>
        <w:tab/>
        <w:t>邮编：</w:t>
      </w:r>
    </w:p>
    <w:p w:rsidR="00700A3D" w:rsidP="00700A3D">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电话：              </w:t>
      </w:r>
      <w:r>
        <w:rPr>
          <w:rFonts w:ascii="宋体" w:hAnsi="宋体" w:hint="eastAsia"/>
          <w:szCs w:val="21"/>
        </w:rPr>
        <w:tab/>
        <w:t>传真：              电子</w:t>
      </w:r>
      <w:r>
        <w:rPr>
          <w:rFonts w:ascii="宋体" w:hAnsi="宋体"/>
          <w:szCs w:val="21"/>
        </w:rPr>
        <w:t>邮箱：</w:t>
      </w:r>
    </w:p>
    <w:p w:rsidR="00700A3D" w:rsidP="00700A3D">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开户银行及账号：</w:t>
      </w:r>
    </w:p>
    <w:p w:rsidR="00700A3D" w:rsidP="00700A3D">
      <w:pPr>
        <w:tabs>
          <w:tab w:val="left" w:pos="1573"/>
        </w:tabs>
        <w:adjustRightInd w:val="0"/>
        <w:snapToGrid w:val="0"/>
        <w:spacing w:line="360" w:lineRule="auto"/>
        <w:jc w:val="left"/>
        <w:rPr>
          <w:rFonts w:ascii="宋体" w:hAnsi="宋体"/>
          <w:szCs w:val="21"/>
        </w:rPr>
      </w:pPr>
    </w:p>
    <w:p w:rsidR="00700A3D" w:rsidP="00700A3D">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乙方：</w:t>
      </w:r>
    </w:p>
    <w:p w:rsidR="00700A3D" w:rsidP="00700A3D">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联系人：</w:t>
      </w:r>
    </w:p>
    <w:p w:rsidR="00700A3D" w:rsidP="00700A3D">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地址：              </w:t>
      </w:r>
      <w:r>
        <w:rPr>
          <w:rFonts w:ascii="宋体" w:hAnsi="宋体" w:hint="eastAsia"/>
          <w:szCs w:val="21"/>
        </w:rPr>
        <w:tab/>
        <w:t>邮编：</w:t>
      </w:r>
    </w:p>
    <w:p w:rsidR="00700A3D" w:rsidP="00700A3D">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电话：              </w:t>
      </w:r>
      <w:r>
        <w:rPr>
          <w:rFonts w:ascii="宋体" w:hAnsi="宋体" w:hint="eastAsia"/>
          <w:szCs w:val="21"/>
        </w:rPr>
        <w:tab/>
        <w:t>传真：              电子</w:t>
      </w:r>
      <w:r>
        <w:rPr>
          <w:rFonts w:ascii="宋体" w:hAnsi="宋体"/>
          <w:szCs w:val="21"/>
        </w:rPr>
        <w:t>邮箱：</w:t>
      </w:r>
    </w:p>
    <w:p w:rsidR="00700A3D" w:rsidP="00700A3D">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开户银行及账号：</w:t>
      </w:r>
    </w:p>
    <w:p w:rsidR="00700A3D" w:rsidP="00700A3D">
      <w:pPr>
        <w:tabs>
          <w:tab w:val="left" w:pos="540"/>
        </w:tabs>
        <w:snapToGrid w:val="0"/>
        <w:spacing w:line="360" w:lineRule="auto"/>
        <w:ind w:firstLine="412" w:firstLineChars="196"/>
        <w:rPr>
          <w:rFonts w:ascii="宋体" w:hAnsi="宋体"/>
          <w:szCs w:val="21"/>
        </w:rPr>
      </w:pPr>
    </w:p>
    <w:p w:rsidR="00700A3D" w:rsidP="00700A3D">
      <w:pPr>
        <w:tabs>
          <w:tab w:val="left" w:pos="540"/>
        </w:tabs>
        <w:snapToGrid w:val="0"/>
        <w:spacing w:line="360" w:lineRule="auto"/>
        <w:ind w:firstLine="412" w:firstLineChars="196"/>
        <w:rPr>
          <w:rFonts w:ascii="宋体" w:hAnsi="宋体"/>
          <w:szCs w:val="21"/>
        </w:rPr>
      </w:pPr>
      <w:r>
        <w:rPr>
          <w:rFonts w:ascii="宋体" w:hAnsi="宋体" w:hint="eastAsia"/>
          <w:szCs w:val="21"/>
        </w:rPr>
        <w:t xml:space="preserve">1、双方确定，在本合同有效期内，甲方指定  </w:t>
      </w:r>
      <w:r>
        <w:rPr>
          <w:rFonts w:ascii="宋体" w:hAnsi="宋体" w:hint="eastAsia"/>
          <w:kern w:val="0"/>
          <w:szCs w:val="21"/>
        </w:rPr>
        <w:t xml:space="preserve">   </w:t>
      </w:r>
      <w:r>
        <w:rPr>
          <w:rFonts w:ascii="宋体" w:hAnsi="宋体" w:hint="eastAsia"/>
          <w:szCs w:val="21"/>
        </w:rPr>
        <w:t>为甲方项目联系人，乙方指定</w:t>
      </w:r>
      <w:r>
        <w:rPr>
          <w:rFonts w:ascii="宋体" w:hAnsi="宋体" w:hint="eastAsia"/>
          <w:kern w:val="0"/>
          <w:szCs w:val="21"/>
        </w:rPr>
        <w:t xml:space="preserve">   </w:t>
      </w:r>
      <w:r>
        <w:rPr>
          <w:rFonts w:ascii="宋体" w:hAnsi="宋体" w:hint="eastAsia"/>
          <w:szCs w:val="21"/>
        </w:rPr>
        <w:t>为乙方项目联系人。项目联系人承担以下责任：</w:t>
      </w:r>
    </w:p>
    <w:p w:rsidR="00700A3D" w:rsidP="00700A3D">
      <w:pPr>
        <w:snapToGrid w:val="0"/>
        <w:spacing w:line="360" w:lineRule="auto"/>
        <w:rPr>
          <w:rFonts w:ascii="宋体" w:hAnsi="宋体"/>
          <w:szCs w:val="21"/>
          <w:u w:val="single"/>
        </w:rPr>
      </w:pPr>
      <w:r>
        <w:rPr>
          <w:rFonts w:ascii="宋体" w:hAnsi="宋体" w:hint="eastAsia"/>
          <w:szCs w:val="21"/>
        </w:rPr>
        <w:t xml:space="preserve">     （1）</w:t>
      </w:r>
      <w:r>
        <w:rPr>
          <w:rFonts w:ascii="宋体" w:hAnsi="宋体" w:hint="eastAsia"/>
          <w:szCs w:val="21"/>
          <w:u w:val="single"/>
        </w:rPr>
        <w:t xml:space="preserve">  监督项目整体进度情况                                </w:t>
      </w:r>
    </w:p>
    <w:p w:rsidR="00700A3D" w:rsidP="00700A3D">
      <w:pPr>
        <w:snapToGrid w:val="0"/>
        <w:spacing w:line="360" w:lineRule="auto"/>
        <w:rPr>
          <w:rFonts w:ascii="宋体" w:hAnsi="宋体"/>
          <w:szCs w:val="21"/>
          <w:u w:val="single"/>
        </w:rPr>
      </w:pPr>
      <w:r>
        <w:rPr>
          <w:rFonts w:ascii="宋体" w:hAnsi="宋体" w:hint="eastAsia"/>
          <w:szCs w:val="21"/>
        </w:rPr>
        <w:t xml:space="preserve">     （2）</w:t>
      </w:r>
      <w:r>
        <w:rPr>
          <w:rFonts w:ascii="宋体" w:hAnsi="宋体" w:hint="eastAsia"/>
          <w:szCs w:val="21"/>
          <w:u w:val="single"/>
        </w:rPr>
        <w:t xml:space="preserve">  协调各方人员的配合协作                              </w:t>
      </w:r>
    </w:p>
    <w:p w:rsidR="00700A3D" w:rsidP="00700A3D">
      <w:pPr>
        <w:snapToGrid w:val="0"/>
        <w:spacing w:line="360" w:lineRule="auto"/>
        <w:rPr>
          <w:rFonts w:ascii="宋体" w:hAnsi="宋体"/>
          <w:szCs w:val="21"/>
          <w:u w:val="single"/>
        </w:rPr>
      </w:pPr>
      <w:r>
        <w:rPr>
          <w:rFonts w:ascii="宋体" w:hAnsi="宋体" w:hint="eastAsia"/>
          <w:szCs w:val="21"/>
        </w:rPr>
        <w:t xml:space="preserve">     （3）</w:t>
      </w:r>
      <w:r>
        <w:rPr>
          <w:rFonts w:ascii="宋体" w:hAnsi="宋体" w:hint="eastAsia"/>
          <w:szCs w:val="21"/>
          <w:u w:val="single"/>
        </w:rPr>
        <w:t xml:space="preserve">  负责技术项目交付实施                                </w:t>
      </w:r>
    </w:p>
    <w:p w:rsidR="00700A3D" w:rsidP="00700A3D">
      <w:pPr>
        <w:snapToGrid w:val="0"/>
        <w:spacing w:line="360" w:lineRule="auto"/>
        <w:rPr>
          <w:rFonts w:ascii="宋体" w:hAnsi="宋体"/>
          <w:szCs w:val="21"/>
        </w:rPr>
      </w:pPr>
      <w:r>
        <w:rPr>
          <w:rFonts w:ascii="宋体" w:hAnsi="宋体" w:hint="eastAsia"/>
          <w:szCs w:val="21"/>
        </w:rPr>
        <w:t xml:space="preserve">    一方变更项目联系人的，应当及时以书面形式通知另一方。未及时通知并影响本合同履行或造成损失的，应承担相应的责任。</w:t>
      </w:r>
    </w:p>
    <w:p w:rsidR="00700A3D" w:rsidP="00700A3D">
      <w:pPr>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乙方在履行合同过程中，不得调整项目经理和软件开发人员。如出现相关人员离职、调动、生病等特殊情况，乙方应书面通知甲方，并与甲方协商一致后重新委派项目经理和软件开发人员。重新委派的人员能力、资质、软件开发经历等应与原人员相当，并向甲方提供相应资质证书。</w:t>
      </w:r>
    </w:p>
    <w:p w:rsidR="00700A3D" w:rsidP="00700A3D">
      <w:pPr>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、乙方在履行合同过程中，如甲方认为需要调整项目经理和软件开发人员的，应与乙方协商一致。</w:t>
      </w:r>
    </w:p>
    <w:p w:rsidR="00700A3D" w:rsidP="00700A3D">
      <w:pPr>
        <w:tabs>
          <w:tab w:val="left" w:pos="1573"/>
        </w:tabs>
        <w:adjustRightInd w:val="0"/>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、合同双方发出的与本合同有关的通知或回复均应发至上述通讯地址，付款或收款应使用上述账号，一方变更通讯地址或账号，应自变更之日起三个工作日内，将变更后的地址或</w:t>
      </w:r>
      <w:r>
        <w:rPr>
          <w:rFonts w:ascii="宋体" w:hAnsi="宋体"/>
          <w:szCs w:val="21"/>
        </w:rPr>
        <w:t>账号书面</w:t>
      </w:r>
      <w:r>
        <w:rPr>
          <w:rFonts w:ascii="宋体" w:hAnsi="宋体" w:hint="eastAsia"/>
          <w:szCs w:val="21"/>
        </w:rPr>
        <w:t>通知对方（书面通知</w:t>
      </w:r>
      <w:r>
        <w:rPr>
          <w:rFonts w:ascii="宋体" w:hAnsi="宋体"/>
          <w:szCs w:val="21"/>
        </w:rPr>
        <w:t>应说明变更理由，并</w:t>
      </w:r>
      <w:r>
        <w:rPr>
          <w:rFonts w:ascii="宋体" w:hAnsi="宋体" w:hint="eastAsia"/>
          <w:szCs w:val="21"/>
        </w:rPr>
        <w:t>有</w:t>
      </w:r>
      <w:r>
        <w:rPr>
          <w:rFonts w:ascii="宋体" w:hAnsi="宋体"/>
          <w:szCs w:val="21"/>
        </w:rPr>
        <w:t>法定代表人签字加盖单位公章和财务章）</w:t>
      </w:r>
      <w:r>
        <w:rPr>
          <w:rFonts w:ascii="宋体" w:hAnsi="宋体" w:hint="eastAsia"/>
          <w:szCs w:val="21"/>
        </w:rPr>
        <w:t>。变更方不履行通知义务的，应对此造成的一切后果承担法律责任。</w:t>
      </w:r>
    </w:p>
    <w:p w:rsidR="00700A3D" w:rsidP="00700A3D">
      <w:pPr>
        <w:tabs>
          <w:tab w:val="left" w:pos="1573"/>
        </w:tabs>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、上述发出通知、回复的费用由发出一方承担。</w:t>
      </w:r>
    </w:p>
    <w:p w:rsidR="00700A3D" w:rsidP="00700A3D">
      <w:pPr>
        <w:pStyle w:val="NormalIndent"/>
        <w:adjustRightInd w:val="0"/>
        <w:snapToGrid w:val="0"/>
        <w:spacing w:line="360" w:lineRule="auto"/>
        <w:outlineLvl w:val="1"/>
        <w:rPr>
          <w:rFonts w:ascii="宋体" w:hAnsi="宋体"/>
          <w:b/>
          <w:szCs w:val="21"/>
        </w:rPr>
      </w:pPr>
      <w:r>
        <w:rPr>
          <w:rFonts w:ascii="宋体" w:hAnsi="宋体" w:hint="eastAsia"/>
          <w:b/>
          <w:szCs w:val="21"/>
        </w:rPr>
        <w:t>二十二、保密条款</w:t>
      </w:r>
    </w:p>
    <w:p w:rsidR="00700A3D" w:rsidP="00700A3D">
      <w:pPr>
        <w:adjustRightInd w:val="0"/>
        <w:snapToGrid w:val="0"/>
        <w:spacing w:line="360" w:lineRule="auto"/>
        <w:ind w:firstLine="420" w:firstLineChars="200"/>
        <w:rPr>
          <w:rFonts w:ascii="宋体" w:hAnsi="宋体"/>
          <w:szCs w:val="21"/>
        </w:rPr>
      </w:pPr>
      <w:r>
        <w:rPr>
          <w:rFonts w:ascii="宋体" w:hAnsi="宋体" w:hint="eastAsia"/>
          <w:szCs w:val="21"/>
        </w:rPr>
        <w:t>1、任何一方对其获知的本合同及附件中其他各方的商业秘密和国家秘密负有保密义务。乙方必须对工程技术文件以及由甲方提供的所有内部资料、技术文档和信息予以保密。乙方必须遵守与甲方签订的保密协议，未经甲方书面许可，乙方不得以任何形式向第三方透露本工程标书以及本项目的任何内容。</w:t>
      </w:r>
    </w:p>
    <w:p w:rsidR="00700A3D" w:rsidP="00700A3D">
      <w:pPr>
        <w:adjustRightInd w:val="0"/>
        <w:snapToGrid w:val="0"/>
        <w:spacing w:line="360" w:lineRule="auto"/>
        <w:ind w:firstLine="420" w:firstLineChars="200"/>
        <w:rPr>
          <w:rFonts w:ascii="宋体" w:hAnsi="宋体"/>
          <w:szCs w:val="21"/>
        </w:rPr>
      </w:pPr>
      <w:r>
        <w:rPr>
          <w:rFonts w:ascii="宋体" w:hAnsi="宋体"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rsidR="00700A3D" w:rsidP="00700A3D">
      <w:pPr>
        <w:adjustRightInd w:val="0"/>
        <w:snapToGrid w:val="0"/>
        <w:spacing w:line="360" w:lineRule="auto"/>
        <w:ind w:firstLine="420" w:firstLineChars="200"/>
        <w:rPr>
          <w:rFonts w:ascii="宋体" w:hAnsi="宋体"/>
          <w:szCs w:val="21"/>
        </w:rPr>
      </w:pPr>
      <w:r>
        <w:rPr>
          <w:rFonts w:ascii="宋体" w:hAnsi="宋体"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rsidR="00700A3D" w:rsidP="00700A3D">
      <w:pPr>
        <w:adjustRightInd w:val="0"/>
        <w:snapToGrid w:val="0"/>
        <w:spacing w:line="360" w:lineRule="auto"/>
        <w:ind w:firstLine="420" w:firstLineChars="200"/>
        <w:rPr>
          <w:rFonts w:ascii="宋体" w:hAnsi="宋体"/>
          <w:szCs w:val="21"/>
        </w:rPr>
      </w:pPr>
      <w:r>
        <w:rPr>
          <w:rFonts w:ascii="宋体" w:hAnsi="宋体"/>
          <w:szCs w:val="21"/>
        </w:rPr>
        <w:t>4、乙方承诺在项目执行过程中严格遵守《中华人民共和国网络安全法》和《中华人民共和国数据安全法》，确保项目涉及的气象数据的安全；乙方承诺在甲方指定地点驻场期间按照《国家气象信息中心外协单位驻场管理办法（试行）》的要求开展相关工作，签订相关安全协议书。项目所涉气象数据（或气象资料）仅</w:t>
      </w:r>
      <w:r>
        <w:rPr>
          <w:rFonts w:ascii="宋体" w:hAnsi="宋体" w:hint="eastAsia"/>
          <w:szCs w:val="21"/>
        </w:rPr>
        <w:t>供项目建设使用，乙方在项目执行过程中如发生气象数据丢失、私自转让或交易等行为，甲方将根据合同和相关法规向乙方要求赔偿并追究法律责任。</w:t>
      </w:r>
    </w:p>
    <w:p w:rsidR="00700A3D" w:rsidP="00700A3D">
      <w:pPr>
        <w:tabs>
          <w:tab w:val="left" w:pos="1573"/>
        </w:tabs>
        <w:adjustRightInd w:val="0"/>
        <w:snapToGrid w:val="0"/>
        <w:spacing w:line="360" w:lineRule="auto"/>
        <w:ind w:firstLine="420" w:firstLineChars="200"/>
        <w:outlineLvl w:val="1"/>
        <w:rPr>
          <w:rFonts w:ascii="宋体" w:hAnsi="宋体"/>
          <w:b/>
          <w:szCs w:val="21"/>
        </w:rPr>
      </w:pPr>
      <w:r>
        <w:rPr>
          <w:rFonts w:ascii="宋体" w:hAnsi="宋体" w:hint="eastAsia"/>
          <w:b/>
          <w:szCs w:val="21"/>
        </w:rPr>
        <w:t>二十三、合同的解释和法律适用</w:t>
      </w:r>
    </w:p>
    <w:p w:rsidR="00700A3D" w:rsidP="00700A3D">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1、任何一方对本合同及其附件的解释均应遵循诚实信用原则，依照本合同签订时有效的中国法律、法规以及通常的理解进行。</w:t>
      </w:r>
    </w:p>
    <w:p w:rsidR="00700A3D" w:rsidP="00700A3D">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2、本合同标题仅供查阅方便，并非对本合同的诠释或解释；本合同中以日表述的时间期限均指自然日。</w:t>
      </w:r>
    </w:p>
    <w:p w:rsidR="00700A3D" w:rsidP="00700A3D">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3、对本合同的任何解释均应以书面做出。</w:t>
      </w:r>
    </w:p>
    <w:p w:rsidR="00700A3D" w:rsidP="00700A3D">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4、本合同及附件的订立、效力、解释、履行、争议的解决等适用本合同签订时有效的中华人民共和国法律、法规的有关规定。</w:t>
      </w:r>
    </w:p>
    <w:p w:rsidR="00700A3D" w:rsidP="00700A3D">
      <w:pPr>
        <w:tabs>
          <w:tab w:val="left" w:pos="1573"/>
        </w:tabs>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rsidR="00700A3D" w:rsidP="00700A3D">
      <w:pPr>
        <w:tabs>
          <w:tab w:val="left" w:pos="1573"/>
        </w:tabs>
        <w:adjustRightInd w:val="0"/>
        <w:snapToGrid w:val="0"/>
        <w:spacing w:line="360" w:lineRule="auto"/>
        <w:ind w:firstLine="420" w:firstLineChars="200"/>
        <w:outlineLvl w:val="1"/>
        <w:rPr>
          <w:rFonts w:ascii="宋体" w:hAnsi="宋体"/>
          <w:b/>
          <w:szCs w:val="21"/>
        </w:rPr>
      </w:pPr>
      <w:bookmarkStart w:id="458" w:name="_Toc86202608"/>
      <w:r>
        <w:rPr>
          <w:rFonts w:ascii="宋体" w:hAnsi="宋体" w:hint="eastAsia"/>
          <w:b/>
          <w:szCs w:val="21"/>
        </w:rPr>
        <w:t>二十四、权利的保留</w:t>
      </w:r>
      <w:bookmarkEnd w:id="458"/>
    </w:p>
    <w:p w:rsidR="00700A3D" w:rsidP="00700A3D">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700A3D" w:rsidP="00700A3D">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700A3D" w:rsidP="00700A3D">
      <w:pPr>
        <w:adjustRightInd w:val="0"/>
        <w:spacing w:line="360" w:lineRule="auto"/>
        <w:ind w:firstLine="420" w:firstLineChars="200"/>
        <w:outlineLvl w:val="1"/>
        <w:rPr>
          <w:rFonts w:ascii="宋体" w:hAnsi="宋体"/>
          <w:b/>
          <w:szCs w:val="21"/>
        </w:rPr>
      </w:pPr>
      <w:r>
        <w:rPr>
          <w:rFonts w:ascii="宋体" w:hAnsi="宋体" w:hint="eastAsia"/>
          <w:b/>
          <w:szCs w:val="21"/>
        </w:rPr>
        <w:t>二十五</w:t>
      </w:r>
      <w:r>
        <w:rPr>
          <w:rFonts w:ascii="宋体" w:hAnsi="宋体"/>
          <w:b/>
          <w:szCs w:val="21"/>
        </w:rPr>
        <w:t>、</w:t>
      </w:r>
      <w:r>
        <w:rPr>
          <w:rFonts w:ascii="宋体" w:hAnsi="宋体" w:hint="eastAsia"/>
          <w:b/>
          <w:szCs w:val="21"/>
        </w:rPr>
        <w:t>不可抗力</w:t>
      </w:r>
    </w:p>
    <w:p w:rsidR="00700A3D" w:rsidP="00700A3D">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签约双方任一方由于受不可抗力事件的影响而不能执行合同时，履行合同的期限应予以延长，其延长的期限应相当于事件所影响的时间。不可抗力事件系指甲乙双方在缔结合同时所不能预见的，并且它的发生及其后果是无法避免和无法克服的事件，诸如战争、严重火灾、洪水、台风、地震等，以及双方同意的其他不可抗力事件。</w:t>
      </w:r>
    </w:p>
    <w:p w:rsidR="00700A3D" w:rsidP="00700A3D">
      <w:pPr>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w:t>
      </w:r>
      <w:r>
        <w:rPr>
          <w:rFonts w:ascii="宋体" w:hAnsi="宋体"/>
          <w:szCs w:val="21"/>
        </w:rPr>
        <w:t xml:space="preserve"> </w:t>
      </w:r>
      <w:r>
        <w:rPr>
          <w:rFonts w:ascii="宋体" w:hAnsi="宋体" w:hint="eastAsia"/>
          <w:szCs w:val="21"/>
        </w:rPr>
        <w:t>受阻一方应在不可抗力事件发生后尽快用电报、传真或电传通知对方，并于事件发生后</w:t>
      </w:r>
      <w:r>
        <w:rPr>
          <w:rFonts w:ascii="宋体" w:hAnsi="宋体"/>
          <w:szCs w:val="21"/>
        </w:rPr>
        <w:t>14</w:t>
      </w:r>
      <w:r>
        <w:rPr>
          <w:rFonts w:ascii="宋体" w:hAnsi="宋体" w:hint="eastAsia"/>
          <w:szCs w:val="21"/>
        </w:rPr>
        <w:t>天内将有关当局出具的证明文件用特快专递或挂号信寄给对方审阅确认。一旦不可抗力事件的影响持续</w:t>
      </w:r>
      <w:r>
        <w:rPr>
          <w:rFonts w:ascii="宋体" w:hAnsi="宋体"/>
          <w:szCs w:val="21"/>
        </w:rPr>
        <w:t>120</w:t>
      </w:r>
      <w:r>
        <w:rPr>
          <w:rFonts w:ascii="宋体" w:hAnsi="宋体" w:hint="eastAsia"/>
          <w:szCs w:val="21"/>
        </w:rPr>
        <w:t>天以上，双方应通过友好协商在合理的时间内达成进一步履行合同的协议，甲方也可考虑解除合同。</w:t>
      </w:r>
    </w:p>
    <w:p w:rsidR="00700A3D" w:rsidP="00700A3D">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700A3D" w:rsidP="00700A3D">
      <w:pPr>
        <w:adjustRightInd w:val="0"/>
        <w:spacing w:line="360" w:lineRule="auto"/>
        <w:ind w:firstLine="420" w:firstLineChars="200"/>
        <w:outlineLvl w:val="1"/>
        <w:rPr>
          <w:rFonts w:ascii="宋体" w:hAnsi="宋体"/>
          <w:b/>
          <w:szCs w:val="21"/>
        </w:rPr>
      </w:pPr>
      <w:r>
        <w:rPr>
          <w:rFonts w:ascii="宋体" w:hAnsi="宋体" w:hint="eastAsia"/>
          <w:b/>
          <w:szCs w:val="21"/>
        </w:rPr>
        <w:t>二十六、</w:t>
      </w:r>
      <w:bookmarkStart w:id="459" w:name="_Toc86202609"/>
      <w:r>
        <w:rPr>
          <w:rFonts w:ascii="宋体" w:hAnsi="宋体" w:hint="eastAsia"/>
          <w:b/>
          <w:szCs w:val="21"/>
        </w:rPr>
        <w:t>争议的解决</w:t>
      </w:r>
      <w:bookmarkEnd w:id="459"/>
    </w:p>
    <w:p w:rsidR="00700A3D" w:rsidP="00700A3D">
      <w:pPr>
        <w:snapToGrid w:val="0"/>
        <w:spacing w:line="360" w:lineRule="auto"/>
        <w:ind w:firstLine="420" w:firstLineChars="200"/>
        <w:rPr>
          <w:rFonts w:ascii="宋体" w:hAnsi="宋体"/>
          <w:szCs w:val="21"/>
        </w:rPr>
      </w:pPr>
      <w:r>
        <w:rPr>
          <w:rFonts w:ascii="宋体" w:hAnsi="宋体" w:hint="eastAsia"/>
          <w:szCs w:val="21"/>
        </w:rPr>
        <w:t>1、合同双方可通过友好协商解决因解释﹑执行本合同所发生的和本合同有关的一切争议。如果经协商不能达成协议，则双方同意由</w:t>
      </w:r>
      <w:r>
        <w:rPr>
          <w:rFonts w:ascii="宋体" w:hAnsi="宋体" w:hint="eastAsia"/>
          <w:szCs w:val="21"/>
          <w:u w:val="single"/>
        </w:rPr>
        <w:t>北京仲裁委员会</w:t>
      </w:r>
      <w:r>
        <w:rPr>
          <w:rFonts w:ascii="宋体" w:hAnsi="宋体" w:hint="eastAsia"/>
          <w:szCs w:val="21"/>
        </w:rPr>
        <w:t>根据其现行有效的仲裁程序进行仲裁。仲裁裁决为最终裁决，对双方均具有约束力。仲裁费除仲裁机关另有裁决外的应由败诉方承担。</w:t>
      </w:r>
    </w:p>
    <w:p w:rsidR="00700A3D" w:rsidP="00700A3D">
      <w:pPr>
        <w:snapToGrid w:val="0"/>
        <w:spacing w:line="360" w:lineRule="auto"/>
        <w:ind w:firstLine="420" w:firstLineChars="200"/>
        <w:rPr>
          <w:rFonts w:ascii="宋体" w:hAnsi="宋体"/>
          <w:szCs w:val="21"/>
        </w:rPr>
      </w:pPr>
      <w:r>
        <w:rPr>
          <w:rFonts w:ascii="宋体" w:hAnsi="宋体" w:hint="eastAsia"/>
          <w:szCs w:val="21"/>
        </w:rPr>
        <w:t>2、本</w:t>
      </w:r>
      <w:r>
        <w:rPr>
          <w:rFonts w:ascii="宋体" w:hAnsi="宋体"/>
          <w:szCs w:val="21"/>
        </w:rPr>
        <w:t>合同</w:t>
      </w:r>
      <w:r>
        <w:rPr>
          <w:rFonts w:ascii="宋体" w:hAnsi="宋体" w:hint="eastAsia"/>
          <w:szCs w:val="21"/>
        </w:rPr>
        <w:t>甲、乙双方一致认为，本</w:t>
      </w:r>
      <w:r>
        <w:rPr>
          <w:rFonts w:ascii="宋体" w:hAnsi="宋体"/>
          <w:szCs w:val="21"/>
        </w:rPr>
        <w:t>合同</w:t>
      </w:r>
      <w:r>
        <w:rPr>
          <w:rFonts w:ascii="宋体" w:hAnsi="宋体" w:hint="eastAsia"/>
          <w:szCs w:val="21"/>
        </w:rPr>
        <w:t>仅</w:t>
      </w:r>
      <w:r>
        <w:rPr>
          <w:rFonts w:ascii="宋体" w:hAnsi="宋体"/>
          <w:szCs w:val="21"/>
        </w:rPr>
        <w:t>属于</w:t>
      </w:r>
      <w:r>
        <w:rPr>
          <w:rFonts w:ascii="宋体" w:hAnsi="宋体" w:hint="eastAsia"/>
          <w:szCs w:val="21"/>
        </w:rPr>
        <w:t>甲、乙双方</w:t>
      </w:r>
      <w:r>
        <w:rPr>
          <w:rFonts w:ascii="宋体" w:hAnsi="宋体"/>
          <w:szCs w:val="21"/>
        </w:rPr>
        <w:t>之间的</w:t>
      </w:r>
      <w:r>
        <w:rPr>
          <w:rFonts w:ascii="宋体" w:hAnsi="宋体" w:hint="eastAsia"/>
          <w:szCs w:val="21"/>
        </w:rPr>
        <w:t>协议，任何</w:t>
      </w:r>
      <w:r>
        <w:rPr>
          <w:rFonts w:ascii="宋体" w:hAnsi="宋体"/>
          <w:szCs w:val="21"/>
        </w:rPr>
        <w:t>争议</w:t>
      </w:r>
      <w:r>
        <w:rPr>
          <w:rFonts w:ascii="宋体" w:hAnsi="宋体" w:hint="eastAsia"/>
          <w:szCs w:val="21"/>
        </w:rPr>
        <w:t>均只</w:t>
      </w:r>
      <w:r>
        <w:rPr>
          <w:rFonts w:ascii="宋体" w:hAnsi="宋体"/>
          <w:szCs w:val="21"/>
        </w:rPr>
        <w:t>应当</w:t>
      </w:r>
      <w:r>
        <w:rPr>
          <w:rFonts w:ascii="宋体" w:hAnsi="宋体" w:hint="eastAsia"/>
          <w:szCs w:val="21"/>
        </w:rPr>
        <w:t>按照本合同</w:t>
      </w:r>
      <w:r>
        <w:rPr>
          <w:rFonts w:ascii="宋体" w:hAnsi="宋体"/>
          <w:szCs w:val="21"/>
        </w:rPr>
        <w:t>的约定方式处理，</w:t>
      </w:r>
      <w:r>
        <w:rPr>
          <w:rFonts w:ascii="宋体" w:hAnsi="宋体" w:hint="eastAsia"/>
          <w:szCs w:val="21"/>
        </w:rPr>
        <w:t>任何情形下采购中心均</w:t>
      </w:r>
      <w:r>
        <w:rPr>
          <w:rFonts w:ascii="宋体" w:hAnsi="宋体"/>
          <w:szCs w:val="21"/>
        </w:rPr>
        <w:t>不应当成为该等争议的当事人，无论该等仲裁或诉讼均不得</w:t>
      </w:r>
      <w:r>
        <w:rPr>
          <w:rFonts w:ascii="宋体" w:hAnsi="宋体" w:hint="eastAsia"/>
          <w:szCs w:val="21"/>
        </w:rPr>
        <w:t>针</w:t>
      </w:r>
      <w:r>
        <w:rPr>
          <w:rFonts w:ascii="宋体" w:hAnsi="宋体"/>
          <w:szCs w:val="21"/>
        </w:rPr>
        <w:t>对</w:t>
      </w:r>
      <w:r>
        <w:rPr>
          <w:rFonts w:ascii="宋体" w:hAnsi="宋体" w:hint="eastAsia"/>
          <w:szCs w:val="21"/>
        </w:rPr>
        <w:t>采购中心</w:t>
      </w:r>
      <w:r>
        <w:rPr>
          <w:rFonts w:ascii="宋体" w:hAnsi="宋体"/>
          <w:szCs w:val="21"/>
        </w:rPr>
        <w:t>提起。</w:t>
      </w:r>
    </w:p>
    <w:p w:rsidR="00700A3D" w:rsidP="00700A3D">
      <w:pPr>
        <w:snapToGrid w:val="0"/>
        <w:spacing w:line="360" w:lineRule="auto"/>
        <w:ind w:firstLine="420" w:firstLineChars="200"/>
        <w:rPr>
          <w:rFonts w:ascii="宋体" w:hAnsi="宋体"/>
          <w:szCs w:val="21"/>
        </w:rPr>
      </w:pPr>
      <w:r>
        <w:rPr>
          <w:rFonts w:ascii="宋体" w:hAnsi="宋体" w:hint="eastAsia"/>
          <w:szCs w:val="21"/>
        </w:rPr>
        <w:t>3、在争议解决期间，除了诉讼或仲裁进行过程中正在解决的那部分问题外，合同其余部分应继续履行。</w:t>
      </w:r>
    </w:p>
    <w:p w:rsidR="00700A3D" w:rsidP="00700A3D">
      <w:pPr>
        <w:tabs>
          <w:tab w:val="left" w:pos="1573"/>
        </w:tabs>
        <w:adjustRightInd w:val="0"/>
        <w:snapToGrid w:val="0"/>
        <w:spacing w:line="360" w:lineRule="auto"/>
        <w:ind w:firstLine="420" w:firstLineChars="200"/>
        <w:rPr>
          <w:rFonts w:ascii="宋体" w:hAnsi="宋体"/>
          <w:szCs w:val="21"/>
        </w:rPr>
      </w:pPr>
      <w:r>
        <w:rPr>
          <w:rFonts w:ascii="宋体" w:hAnsi="宋体"/>
          <w:szCs w:val="21"/>
        </w:rPr>
        <w:t>4、任何一方违约，守约方依据本合同第二十六条通过司法途径解决争端的，违约方应向守约方因此支付的仲裁费、鉴定费、评估费、保全费、公证费、复印费、差旅费、律师费等实现权利的所有费用。</w:t>
      </w:r>
    </w:p>
    <w:p w:rsidR="00700A3D" w:rsidP="00700A3D">
      <w:pPr>
        <w:adjustRightInd w:val="0"/>
        <w:spacing w:line="360" w:lineRule="auto"/>
        <w:ind w:firstLine="420" w:firstLineChars="200"/>
        <w:outlineLvl w:val="1"/>
        <w:rPr>
          <w:rFonts w:ascii="宋体" w:hAnsi="宋体"/>
          <w:b/>
          <w:szCs w:val="21"/>
        </w:rPr>
      </w:pPr>
      <w:r>
        <w:rPr>
          <w:rFonts w:ascii="宋体" w:hAnsi="宋体" w:hint="eastAsia"/>
          <w:b/>
          <w:szCs w:val="21"/>
        </w:rPr>
        <w:t>二十七</w:t>
      </w:r>
      <w:r>
        <w:rPr>
          <w:rFonts w:ascii="宋体" w:hAnsi="宋体"/>
          <w:b/>
          <w:szCs w:val="21"/>
        </w:rPr>
        <w:t>、</w:t>
      </w:r>
      <w:r>
        <w:rPr>
          <w:rFonts w:ascii="宋体" w:hAnsi="宋体" w:hint="eastAsia"/>
          <w:b/>
          <w:szCs w:val="21"/>
        </w:rPr>
        <w:t>合同的</w:t>
      </w:r>
      <w:r>
        <w:rPr>
          <w:rFonts w:ascii="宋体" w:hAnsi="宋体"/>
          <w:b/>
          <w:szCs w:val="21"/>
        </w:rPr>
        <w:t>补充、</w:t>
      </w:r>
      <w:r>
        <w:rPr>
          <w:rFonts w:ascii="宋体" w:hAnsi="宋体" w:hint="eastAsia"/>
          <w:b/>
          <w:szCs w:val="21"/>
        </w:rPr>
        <w:t>修改和</w:t>
      </w:r>
      <w:r>
        <w:rPr>
          <w:rFonts w:ascii="宋体" w:hAnsi="宋体"/>
          <w:b/>
          <w:szCs w:val="21"/>
        </w:rPr>
        <w:t>变更</w:t>
      </w:r>
    </w:p>
    <w:p w:rsidR="00700A3D" w:rsidP="00700A3D">
      <w:pPr>
        <w:snapToGrid w:val="0"/>
        <w:spacing w:line="360" w:lineRule="auto"/>
        <w:ind w:firstLine="514" w:firstLineChars="245"/>
        <w:rPr>
          <w:rFonts w:ascii="宋体" w:hAnsi="宋体"/>
          <w:szCs w:val="21"/>
        </w:rPr>
      </w:pPr>
      <w:r>
        <w:rPr>
          <w:rFonts w:ascii="宋体" w:hAnsi="宋体" w:hint="eastAsia"/>
          <w:szCs w:val="21"/>
        </w:rPr>
        <w:t>本合同的变更必须由双方协商一致，并以书面形式确定，并由乙方自签订补充合同之日起五日内报采购中心备案。但有下列情形之一的，一方可以向另一方提出变更合同权利与义务的请求，另一方应当在</w:t>
      </w:r>
      <w:r>
        <w:rPr>
          <w:rFonts w:ascii="宋体" w:hAnsi="宋体" w:hint="eastAsia"/>
          <w:kern w:val="0"/>
          <w:szCs w:val="21"/>
        </w:rPr>
        <w:t xml:space="preserve">   </w:t>
      </w:r>
      <w:r>
        <w:rPr>
          <w:rFonts w:ascii="宋体" w:hAnsi="宋体" w:hint="eastAsia"/>
          <w:szCs w:val="21"/>
        </w:rPr>
        <w:t>日内予以答复；逾期未予答复的，视为同意。</w:t>
      </w:r>
    </w:p>
    <w:p w:rsidR="00700A3D" w:rsidP="00700A3D">
      <w:pPr>
        <w:snapToGrid w:val="0"/>
        <w:spacing w:line="360" w:lineRule="auto"/>
        <w:rPr>
          <w:rFonts w:ascii="宋体" w:hAnsi="宋体"/>
          <w:szCs w:val="21"/>
        </w:rPr>
      </w:pPr>
      <w:r>
        <w:rPr>
          <w:rFonts w:ascii="宋体" w:hAnsi="宋体" w:hint="eastAsia"/>
          <w:szCs w:val="21"/>
        </w:rPr>
        <w:t xml:space="preserve">     </w:t>
      </w:r>
      <w:r>
        <w:rPr>
          <w:rFonts w:ascii="宋体" w:hAnsi="宋体"/>
          <w:szCs w:val="21"/>
        </w:rPr>
        <w:t>(</w:t>
      </w:r>
      <w:r>
        <w:rPr>
          <w:rFonts w:ascii="宋体" w:hAnsi="宋体" w:hint="eastAsia"/>
          <w:szCs w:val="21"/>
        </w:rPr>
        <w:t>1)一方对原有技术需求及方案进行变动；</w:t>
      </w:r>
    </w:p>
    <w:p w:rsidR="00700A3D" w:rsidP="00700A3D">
      <w:pPr>
        <w:snapToGrid w:val="0"/>
        <w:spacing w:line="360" w:lineRule="auto"/>
        <w:rPr>
          <w:rFonts w:ascii="宋体" w:hAnsi="宋体"/>
          <w:szCs w:val="21"/>
        </w:rPr>
      </w:pPr>
      <w:r>
        <w:rPr>
          <w:rFonts w:ascii="宋体" w:hAnsi="宋体" w:hint="eastAsia"/>
          <w:szCs w:val="21"/>
        </w:rPr>
        <w:t xml:space="preserve">     </w:t>
      </w:r>
      <w:r>
        <w:rPr>
          <w:rFonts w:ascii="宋体" w:hAnsi="宋体"/>
          <w:szCs w:val="21"/>
        </w:rPr>
        <w:t>(</w:t>
      </w:r>
      <w:r>
        <w:rPr>
          <w:rFonts w:ascii="宋体" w:hAnsi="宋体" w:hint="eastAsia"/>
          <w:szCs w:val="21"/>
        </w:rPr>
        <w:t>2)由于不可预见原因导致技术内容中部分内容无法实施或进程延迟；</w:t>
      </w:r>
    </w:p>
    <w:p w:rsidR="00700A3D" w:rsidP="00700A3D">
      <w:pPr>
        <w:snapToGrid w:val="0"/>
        <w:spacing w:line="360" w:lineRule="auto"/>
        <w:rPr>
          <w:rFonts w:ascii="宋体" w:hAnsi="宋体"/>
          <w:szCs w:val="21"/>
        </w:rPr>
      </w:pPr>
      <w:r>
        <w:rPr>
          <w:rFonts w:ascii="宋体" w:hAnsi="宋体" w:hint="eastAsia"/>
          <w:szCs w:val="21"/>
        </w:rPr>
        <w:t xml:space="preserve">       </w:t>
      </w:r>
      <w:r>
        <w:rPr>
          <w:rFonts w:ascii="宋体" w:hAnsi="宋体"/>
          <w:szCs w:val="21"/>
        </w:rPr>
        <w:t>……</w:t>
      </w:r>
      <w:r>
        <w:rPr>
          <w:rFonts w:ascii="宋体" w:hAnsi="宋体" w:hint="eastAsia"/>
          <w:szCs w:val="21"/>
        </w:rPr>
        <w:t xml:space="preserve">         </w:t>
      </w:r>
      <w:r>
        <w:rPr>
          <w:rFonts w:ascii="宋体" w:hAnsi="宋体"/>
          <w:szCs w:val="21"/>
        </w:rPr>
        <w:t>……</w:t>
      </w:r>
      <w:r>
        <w:rPr>
          <w:rFonts w:ascii="宋体" w:hAnsi="宋体" w:hint="eastAsia"/>
          <w:szCs w:val="21"/>
        </w:rPr>
        <w:t xml:space="preserve">         </w:t>
      </w:r>
      <w:r>
        <w:rPr>
          <w:rFonts w:ascii="宋体" w:hAnsi="宋体"/>
          <w:szCs w:val="21"/>
        </w:rPr>
        <w:t>……</w:t>
      </w:r>
    </w:p>
    <w:p w:rsidR="00700A3D" w:rsidP="00700A3D">
      <w:pPr>
        <w:adjustRightInd w:val="0"/>
        <w:spacing w:line="360" w:lineRule="auto"/>
        <w:ind w:firstLine="420" w:firstLineChars="200"/>
        <w:outlineLvl w:val="1"/>
        <w:rPr>
          <w:rFonts w:ascii="宋体" w:hAnsi="宋体"/>
          <w:b/>
          <w:szCs w:val="21"/>
        </w:rPr>
      </w:pPr>
      <w:r>
        <w:rPr>
          <w:rFonts w:ascii="宋体" w:hAnsi="宋体" w:hint="eastAsia"/>
          <w:b/>
          <w:szCs w:val="21"/>
        </w:rPr>
        <w:t>二十八、转让与</w:t>
      </w:r>
      <w:r>
        <w:rPr>
          <w:rFonts w:ascii="宋体" w:hAnsi="宋体"/>
          <w:b/>
          <w:szCs w:val="21"/>
        </w:rPr>
        <w:t>分包</w:t>
      </w:r>
    </w:p>
    <w:p w:rsidR="00700A3D" w:rsidP="00700A3D">
      <w:pPr>
        <w:snapToGrid w:val="0"/>
        <w:spacing w:line="360" w:lineRule="auto"/>
        <w:ind w:firstLine="420" w:firstLineChars="200"/>
        <w:rPr>
          <w:rFonts w:ascii="宋体" w:hAnsi="宋体"/>
          <w:szCs w:val="21"/>
        </w:rPr>
      </w:pPr>
      <w:r>
        <w:rPr>
          <w:rFonts w:ascii="宋体" w:hAnsi="宋体" w:hint="eastAsia"/>
          <w:szCs w:val="21"/>
        </w:rPr>
        <w:t>1、本合同不允许转让，</w:t>
      </w:r>
      <w:r>
        <w:rPr>
          <w:rFonts w:ascii="宋体" w:hAnsi="宋体"/>
          <w:szCs w:val="21"/>
        </w:rPr>
        <w:t>不允许分包</w:t>
      </w:r>
      <w:r>
        <w:rPr>
          <w:rFonts w:ascii="宋体" w:hAnsi="宋体" w:hint="eastAsia"/>
          <w:szCs w:val="21"/>
        </w:rPr>
        <w:t>。</w:t>
      </w:r>
    </w:p>
    <w:p w:rsidR="00700A3D" w:rsidP="00700A3D">
      <w:pPr>
        <w:snapToGrid w:val="0"/>
        <w:spacing w:line="360" w:lineRule="auto"/>
        <w:ind w:firstLine="420" w:firstLineChars="200"/>
        <w:rPr>
          <w:rFonts w:ascii="宋体" w:hAnsi="宋体"/>
          <w:szCs w:val="21"/>
        </w:rPr>
      </w:pPr>
      <w:r>
        <w:rPr>
          <w:rFonts w:ascii="宋体" w:hAnsi="宋体" w:hint="eastAsia"/>
          <w:szCs w:val="21"/>
        </w:rPr>
        <w:t>2、乙方不得在向甲方交付研究开发成果之前，自行将研究开发成果转让给第三人。</w:t>
      </w:r>
    </w:p>
    <w:p w:rsidR="00700A3D" w:rsidP="00700A3D">
      <w:pPr>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、乙方不得将本合同项目部分或全部研究开发工作转让第三人承担。</w:t>
      </w:r>
    </w:p>
    <w:p w:rsidR="00700A3D" w:rsidP="00700A3D">
      <w:pPr>
        <w:pStyle w:val="21"/>
        <w:adjustRightInd w:val="0"/>
        <w:snapToGrid w:val="0"/>
        <w:spacing w:before="0" w:after="0"/>
        <w:ind w:left="0" w:firstLine="420" w:leftChars="0"/>
        <w:rPr>
          <w:rFonts w:ascii="宋体" w:hAnsi="宋体"/>
          <w:sz w:val="21"/>
          <w:szCs w:val="21"/>
        </w:rPr>
      </w:pPr>
      <w:r>
        <w:rPr>
          <w:rFonts w:ascii="宋体" w:hAnsi="宋体" w:hint="eastAsia"/>
          <w:sz w:val="21"/>
          <w:szCs w:val="21"/>
        </w:rPr>
        <w:t>4、</w:t>
      </w:r>
      <w:r>
        <w:rPr>
          <w:rFonts w:ascii="宋体" w:hAnsi="宋体"/>
          <w:sz w:val="21"/>
          <w:szCs w:val="21"/>
        </w:rPr>
        <w:t>乙方</w:t>
      </w:r>
      <w:r>
        <w:rPr>
          <w:rFonts w:ascii="宋体" w:hAnsi="宋体" w:hint="eastAsia"/>
          <w:sz w:val="21"/>
          <w:szCs w:val="21"/>
        </w:rPr>
        <w:t>未经甲方</w:t>
      </w:r>
      <w:r>
        <w:rPr>
          <w:rFonts w:ascii="宋体" w:hAnsi="宋体" w:hint="eastAsia"/>
          <w:sz w:val="21"/>
          <w:szCs w:val="21"/>
          <w:lang w:val="en-US"/>
        </w:rPr>
        <w:t>书面</w:t>
      </w:r>
      <w:r>
        <w:rPr>
          <w:rFonts w:ascii="宋体" w:hAnsi="宋体" w:hint="eastAsia"/>
          <w:sz w:val="21"/>
          <w:szCs w:val="21"/>
        </w:rPr>
        <w:t>允许不得转包、分包，亦不得将合同全部及任何权利、义务向第三方转让，否则将被视为严重违约，甲方有权决定终止或解除合同。该等情形即便由于任何原因实际存在，乙方将不被免除任何责任，且任何相关第三方由于合同转让、转包、分包所得到的知识产权均属无效取得，均应当归甲方所有。</w:t>
      </w:r>
    </w:p>
    <w:p w:rsidR="00700A3D" w:rsidP="00700A3D">
      <w:pPr>
        <w:adjustRightInd w:val="0"/>
        <w:spacing w:line="360" w:lineRule="auto"/>
        <w:ind w:firstLine="420" w:firstLineChars="200"/>
        <w:outlineLvl w:val="1"/>
        <w:rPr>
          <w:rFonts w:ascii="宋体" w:hAnsi="宋体"/>
          <w:b/>
          <w:szCs w:val="21"/>
        </w:rPr>
      </w:pPr>
      <w:r>
        <w:rPr>
          <w:rFonts w:ascii="宋体" w:hAnsi="宋体" w:hint="eastAsia"/>
          <w:b/>
          <w:szCs w:val="21"/>
        </w:rPr>
        <w:t>二十九、合同的</w:t>
      </w:r>
      <w:r>
        <w:rPr>
          <w:rFonts w:ascii="宋体" w:hAnsi="宋体"/>
          <w:b/>
          <w:szCs w:val="21"/>
        </w:rPr>
        <w:t>终止</w:t>
      </w:r>
    </w:p>
    <w:p w:rsidR="00700A3D" w:rsidP="00700A3D">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1、本合同因下列原因而终止：</w:t>
      </w:r>
    </w:p>
    <w:p w:rsidR="00700A3D" w:rsidP="00700A3D">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（1）本合同正常履行完毕；</w:t>
      </w:r>
    </w:p>
    <w:p w:rsidR="00700A3D" w:rsidP="00700A3D">
      <w:pPr>
        <w:tabs>
          <w:tab w:val="left" w:pos="1573"/>
        </w:tabs>
        <w:adjustRightInd w:val="0"/>
        <w:snapToGrid w:val="0"/>
        <w:spacing w:line="360" w:lineRule="auto"/>
        <w:ind w:left="420" w:leftChars="200"/>
        <w:rPr>
          <w:rFonts w:ascii="宋体" w:hAnsi="宋体"/>
          <w:szCs w:val="21"/>
        </w:rPr>
      </w:pPr>
      <w:r>
        <w:rPr>
          <w:rFonts w:ascii="宋体" w:hAnsi="宋体" w:hint="eastAsia"/>
          <w:szCs w:val="21"/>
        </w:rPr>
        <w:t>（2）合同双方协议终止本合同的履行；</w:t>
      </w:r>
    </w:p>
    <w:p w:rsidR="00700A3D" w:rsidP="00700A3D">
      <w:pPr>
        <w:tabs>
          <w:tab w:val="left" w:pos="1573"/>
        </w:tabs>
        <w:adjustRightInd w:val="0"/>
        <w:snapToGrid w:val="0"/>
        <w:spacing w:line="360" w:lineRule="auto"/>
        <w:ind w:left="420" w:leftChars="200"/>
        <w:rPr>
          <w:rFonts w:ascii="宋体" w:hAnsi="宋体"/>
          <w:szCs w:val="21"/>
        </w:rPr>
      </w:pPr>
      <w:r>
        <w:rPr>
          <w:rFonts w:ascii="宋体" w:hAnsi="宋体" w:hint="eastAsia"/>
          <w:szCs w:val="21"/>
        </w:rPr>
        <w:t>（3）不可抗力事件导致本合同无法履行或履行不必要；</w:t>
      </w:r>
    </w:p>
    <w:p w:rsidR="00700A3D" w:rsidP="00700A3D">
      <w:pPr>
        <w:tabs>
          <w:tab w:val="left" w:pos="1573"/>
        </w:tabs>
        <w:adjustRightInd w:val="0"/>
        <w:snapToGrid w:val="0"/>
        <w:spacing w:line="360" w:lineRule="auto"/>
        <w:ind w:left="420" w:leftChars="200"/>
        <w:rPr>
          <w:rFonts w:ascii="宋体" w:hAnsi="宋体"/>
          <w:szCs w:val="21"/>
        </w:rPr>
      </w:pPr>
      <w:r>
        <w:rPr>
          <w:rFonts w:ascii="宋体" w:hAnsi="宋体" w:hint="eastAsia"/>
          <w:szCs w:val="21"/>
        </w:rPr>
        <w:t>（4）任何一方行使解除权，解除本合同。</w:t>
      </w:r>
    </w:p>
    <w:p w:rsidR="00700A3D" w:rsidP="00700A3D">
      <w:pPr>
        <w:tabs>
          <w:tab w:val="left" w:pos="1573"/>
        </w:tabs>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、乙方有关</w:t>
      </w:r>
      <w:r>
        <w:rPr>
          <w:rFonts w:ascii="宋体" w:hAnsi="宋体"/>
          <w:szCs w:val="21"/>
        </w:rPr>
        <w:t>资质在</w:t>
      </w:r>
      <w:r>
        <w:rPr>
          <w:rFonts w:ascii="宋体" w:hAnsi="宋体" w:hint="eastAsia"/>
          <w:szCs w:val="21"/>
        </w:rPr>
        <w:t>合同执行</w:t>
      </w:r>
      <w:r>
        <w:rPr>
          <w:rFonts w:ascii="宋体" w:hAnsi="宋体"/>
          <w:szCs w:val="21"/>
        </w:rPr>
        <w:t>完</w:t>
      </w:r>
      <w:r>
        <w:rPr>
          <w:rFonts w:ascii="宋体" w:hAnsi="宋体" w:hint="eastAsia"/>
          <w:szCs w:val="21"/>
        </w:rPr>
        <w:t>毕之前到期的，应确保该资质有效期得到延长至合同执行完毕之后，或者取得有效期至执行合同完毕之后的更高等级的该资质，否则甲</w:t>
      </w:r>
      <w:r>
        <w:rPr>
          <w:rFonts w:ascii="宋体" w:hAnsi="宋体"/>
          <w:szCs w:val="21"/>
        </w:rPr>
        <w:t>方有权</w:t>
      </w:r>
      <w:r>
        <w:rPr>
          <w:rFonts w:ascii="宋体" w:hAnsi="宋体" w:hint="eastAsia"/>
          <w:szCs w:val="21"/>
        </w:rPr>
        <w:t>中止合同，并</w:t>
      </w:r>
      <w:r>
        <w:rPr>
          <w:rFonts w:ascii="宋体" w:hAnsi="宋体"/>
          <w:szCs w:val="21"/>
        </w:rPr>
        <w:t>追究</w:t>
      </w:r>
      <w:r>
        <w:rPr>
          <w:rFonts w:ascii="宋体" w:hAnsi="宋体" w:hint="eastAsia"/>
          <w:szCs w:val="21"/>
        </w:rPr>
        <w:t>乙</w:t>
      </w:r>
      <w:r>
        <w:rPr>
          <w:rFonts w:ascii="宋体" w:hAnsi="宋体"/>
          <w:szCs w:val="21"/>
        </w:rPr>
        <w:t>方的责任</w:t>
      </w:r>
      <w:r>
        <w:rPr>
          <w:rFonts w:ascii="宋体" w:hAnsi="宋体" w:hint="eastAsia"/>
          <w:szCs w:val="21"/>
        </w:rPr>
        <w:t>。</w:t>
      </w:r>
    </w:p>
    <w:p w:rsidR="00700A3D" w:rsidP="00700A3D">
      <w:pPr>
        <w:tabs>
          <w:tab w:val="left" w:pos="1573"/>
        </w:tabs>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、若甲方在合同履行过程中发现乙方提供的货物和服务与投标文件中提供的技术指标不符，甲方有权终止合同，并有权反映至政府采购监管部门或财政部。</w:t>
      </w:r>
    </w:p>
    <w:p w:rsidR="00700A3D" w:rsidP="00700A3D">
      <w:pPr>
        <w:tabs>
          <w:tab w:val="left" w:pos="1573"/>
        </w:tabs>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、对本合同终止有过错的一方应赔偿另一方因合同终止而受到的损失。对合同终止双方均无过错的，则各自承担所受到的损失。</w:t>
      </w:r>
    </w:p>
    <w:p w:rsidR="00700A3D" w:rsidP="00700A3D">
      <w:pPr>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、如果乙方破产或无清偿能力，甲方可在任何时候以书面形式通知乙方，提出终止合同而不给乙方补偿。该终止合同将不损害或影响甲方已经采取或将要采取的任何行动或补救措施的权利。</w:t>
      </w:r>
    </w:p>
    <w:p w:rsidR="00700A3D" w:rsidP="00700A3D">
      <w:pPr>
        <w:adjustRightInd w:val="0"/>
        <w:spacing w:line="360" w:lineRule="auto"/>
        <w:ind w:firstLine="420" w:firstLineChars="200"/>
        <w:outlineLvl w:val="1"/>
        <w:rPr>
          <w:rFonts w:ascii="宋体" w:hAnsi="宋体"/>
          <w:b/>
          <w:szCs w:val="21"/>
        </w:rPr>
      </w:pPr>
      <w:r>
        <w:rPr>
          <w:rFonts w:ascii="宋体" w:hAnsi="宋体" w:hint="eastAsia"/>
          <w:b/>
          <w:szCs w:val="21"/>
        </w:rPr>
        <w:t>三十、合同生效</w:t>
      </w:r>
    </w:p>
    <w:p w:rsidR="00700A3D" w:rsidP="00700A3D">
      <w:pPr>
        <w:snapToGrid w:val="0"/>
        <w:spacing w:line="360" w:lineRule="auto"/>
        <w:ind w:firstLine="420" w:firstLineChars="200"/>
        <w:rPr>
          <w:rFonts w:ascii="宋体" w:hAnsi="宋体"/>
          <w:szCs w:val="21"/>
        </w:rPr>
      </w:pPr>
      <w:r>
        <w:rPr>
          <w:rFonts w:ascii="宋体" w:hAnsi="宋体" w:hint="eastAsia"/>
          <w:szCs w:val="21"/>
        </w:rPr>
        <w:t>本合同经双方法定代表人或授权代表签字盖章后生效。</w:t>
      </w:r>
    </w:p>
    <w:p w:rsidR="00700A3D" w:rsidP="00700A3D">
      <w:pPr>
        <w:adjustRightInd w:val="0"/>
        <w:spacing w:line="360" w:lineRule="auto"/>
        <w:ind w:firstLine="420" w:firstLineChars="200"/>
        <w:outlineLvl w:val="1"/>
        <w:rPr>
          <w:rFonts w:ascii="宋体" w:hAnsi="宋体"/>
          <w:b/>
          <w:szCs w:val="21"/>
        </w:rPr>
      </w:pPr>
      <w:r>
        <w:rPr>
          <w:rFonts w:ascii="宋体" w:hAnsi="宋体" w:hint="eastAsia"/>
          <w:b/>
          <w:szCs w:val="21"/>
        </w:rPr>
        <w:t>三十一、其他约定</w:t>
      </w:r>
      <w:r>
        <w:rPr>
          <w:rFonts w:ascii="宋体" w:hAnsi="宋体"/>
          <w:b/>
          <w:szCs w:val="21"/>
        </w:rPr>
        <w:t>事项</w:t>
      </w:r>
    </w:p>
    <w:p w:rsidR="00700A3D" w:rsidP="00700A3D">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、如果本合同的货物在进口时需要进口许可证的话，乙方负责办理进口许可证，费用自理。</w:t>
      </w:r>
    </w:p>
    <w:p w:rsidR="00700A3D" w:rsidP="00700A3D">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一方当事人未经另一方事先书面同意，不得将其在合同项下的权利或义务全部或部分转让给第三人，有关分包事项或服务委托等须事先取得采购中心书面同意并且须遵守相关法律、法规；有关联合投标须在本次招标允许的情况下并须符合本次招标的全部规定。</w:t>
      </w:r>
    </w:p>
    <w:p w:rsidR="00700A3D" w:rsidP="00700A3D">
      <w:pPr>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、本合同正本一式四份，甲、乙双方各执两份，每份正本具有同等法律效力，副本报财政部备案。</w:t>
      </w:r>
    </w:p>
    <w:p w:rsidR="00700A3D" w:rsidP="00700A3D">
      <w:pPr>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、下述合同附件为本合同不可分割的部分并与本合同具有同等效力：</w:t>
      </w:r>
    </w:p>
    <w:p w:rsidR="00700A3D" w:rsidP="00700A3D">
      <w:pPr>
        <w:snapToGrid w:val="0"/>
        <w:spacing w:line="360" w:lineRule="auto"/>
        <w:ind w:firstLine="420" w:firstLineChars="200"/>
        <w:rPr>
          <w:rFonts w:ascii="宋体" w:hAnsi="宋体"/>
          <w:szCs w:val="21"/>
        </w:rPr>
      </w:pPr>
      <w:r>
        <w:rPr>
          <w:rFonts w:ascii="宋体" w:hAnsi="宋体"/>
          <w:szCs w:val="21"/>
        </w:rPr>
        <w:t xml:space="preserve">(l) </w:t>
      </w:r>
      <w:r>
        <w:rPr>
          <w:rFonts w:ascii="宋体" w:hAnsi="宋体" w:hint="eastAsia"/>
          <w:szCs w:val="21"/>
        </w:rPr>
        <w:t>合同范围及分项价格一览表（服务，培训，维修和技术支持）</w:t>
      </w:r>
    </w:p>
    <w:p w:rsidR="00700A3D" w:rsidP="00700A3D">
      <w:pPr>
        <w:snapToGrid w:val="0"/>
        <w:spacing w:line="360" w:lineRule="auto"/>
        <w:ind w:firstLine="420" w:firstLineChars="200"/>
        <w:rPr>
          <w:rFonts w:ascii="宋体" w:hAnsi="宋体"/>
          <w:szCs w:val="21"/>
        </w:rPr>
      </w:pPr>
      <w:r>
        <w:rPr>
          <w:rFonts w:ascii="宋体" w:hAnsi="宋体"/>
          <w:szCs w:val="21"/>
        </w:rPr>
        <w:t xml:space="preserve">(2) </w:t>
      </w:r>
      <w:r>
        <w:rPr>
          <w:rFonts w:ascii="宋体" w:hAnsi="宋体" w:hint="eastAsia"/>
          <w:szCs w:val="21"/>
        </w:rPr>
        <w:t>技术规格和技术服务要求（含集成服务、售后服务、培训等）</w:t>
      </w:r>
    </w:p>
    <w:p w:rsidR="00700A3D" w:rsidP="00700A3D">
      <w:pPr>
        <w:snapToGrid w:val="0"/>
        <w:spacing w:line="360" w:lineRule="auto"/>
        <w:ind w:firstLine="420" w:firstLineChars="200"/>
        <w:rPr>
          <w:rFonts w:ascii="宋体" w:hAnsi="宋体"/>
          <w:szCs w:val="21"/>
        </w:rPr>
      </w:pPr>
      <w:r>
        <w:rPr>
          <w:rFonts w:ascii="宋体" w:hAnsi="宋体"/>
          <w:szCs w:val="21"/>
        </w:rPr>
        <w:t xml:space="preserve">(3) </w:t>
      </w:r>
      <w:r>
        <w:rPr>
          <w:rFonts w:ascii="宋体" w:hAnsi="宋体" w:hint="eastAsia"/>
          <w:szCs w:val="21"/>
        </w:rPr>
        <w:t>合同实施计划</w:t>
      </w:r>
    </w:p>
    <w:p w:rsidR="00700A3D" w:rsidP="00700A3D">
      <w:pPr>
        <w:snapToGrid w:val="0"/>
        <w:spacing w:line="360" w:lineRule="auto"/>
        <w:ind w:firstLine="420" w:firstLineChars="200"/>
        <w:rPr>
          <w:rFonts w:ascii="宋体" w:hAnsi="宋体"/>
          <w:szCs w:val="21"/>
        </w:rPr>
      </w:pPr>
      <w:r>
        <w:rPr>
          <w:rFonts w:ascii="宋体" w:hAnsi="宋体"/>
          <w:szCs w:val="21"/>
        </w:rPr>
        <w:t xml:space="preserve">(5) </w:t>
      </w:r>
      <w:r>
        <w:rPr>
          <w:rFonts w:ascii="宋体" w:hAnsi="宋体" w:hint="eastAsia"/>
          <w:szCs w:val="21"/>
        </w:rPr>
        <w:t>履约保函</w:t>
      </w:r>
    </w:p>
    <w:p w:rsidR="00700A3D" w:rsidP="00700A3D">
      <w:pPr>
        <w:tabs>
          <w:tab w:val="left" w:pos="735"/>
        </w:tabs>
        <w:snapToGrid w:val="0"/>
        <w:spacing w:line="360" w:lineRule="auto"/>
        <w:ind w:firstLine="420" w:firstLineChars="200"/>
        <w:jc w:val="left"/>
        <w:rPr>
          <w:rFonts w:ascii="宋体" w:hAnsi="宋体"/>
          <w:szCs w:val="21"/>
        </w:rPr>
      </w:pPr>
      <w:r>
        <w:rPr>
          <w:rFonts w:ascii="宋体" w:hAnsi="宋体"/>
          <w:szCs w:val="21"/>
        </w:rPr>
        <w:t xml:space="preserve">(6) </w:t>
      </w:r>
      <w:r>
        <w:rPr>
          <w:rFonts w:ascii="宋体" w:hAnsi="宋体" w:hint="eastAsia"/>
          <w:szCs w:val="21"/>
        </w:rPr>
        <w:t>付款</w:t>
      </w:r>
      <w:bookmarkStart w:id="460" w:name="_Toc89569904"/>
      <w:r>
        <w:rPr>
          <w:rFonts w:ascii="宋体" w:hAnsi="宋体" w:hint="eastAsia"/>
          <w:szCs w:val="21"/>
        </w:rPr>
        <w:t>计</w:t>
      </w:r>
      <w:bookmarkEnd w:id="460"/>
      <w:r>
        <w:rPr>
          <w:rFonts w:ascii="宋体" w:hAnsi="宋体" w:hint="eastAsia"/>
          <w:szCs w:val="21"/>
        </w:rPr>
        <w:t>划</w:t>
      </w:r>
    </w:p>
    <w:p w:rsidR="00700A3D" w:rsidP="00700A3D">
      <w:pPr>
        <w:snapToGrid w:val="0"/>
        <w:spacing w:line="360" w:lineRule="auto"/>
        <w:ind w:firstLine="420" w:firstLineChars="200"/>
        <w:rPr>
          <w:rFonts w:ascii="宋体" w:hAnsi="宋体"/>
          <w:szCs w:val="21"/>
        </w:rPr>
      </w:pPr>
      <w:r>
        <w:rPr>
          <w:rFonts w:ascii="宋体" w:hAnsi="宋体"/>
          <w:szCs w:val="21"/>
        </w:rPr>
        <w:t xml:space="preserve">(7) </w:t>
      </w:r>
      <w:r>
        <w:rPr>
          <w:rFonts w:ascii="宋体" w:hAnsi="宋体" w:hint="eastAsia"/>
          <w:szCs w:val="21"/>
        </w:rPr>
        <w:t>中标通知书、投标文件、招标文件</w:t>
      </w:r>
    </w:p>
    <w:p w:rsidR="00700A3D" w:rsidP="00700A3D">
      <w:pPr>
        <w:snapToGrid w:val="0"/>
        <w:spacing w:line="360" w:lineRule="auto"/>
        <w:ind w:firstLine="420" w:firstLineChars="200"/>
        <w:rPr>
          <w:rFonts w:ascii="宋体" w:hAnsi="宋体"/>
          <w:szCs w:val="21"/>
        </w:rPr>
      </w:pPr>
      <w:r>
        <w:rPr>
          <w:rFonts w:ascii="宋体" w:hAnsi="宋体" w:hint="eastAsia"/>
          <w:szCs w:val="21"/>
        </w:rPr>
        <w:t>(8) ……</w:t>
      </w:r>
    </w:p>
    <w:p w:rsidR="00700A3D" w:rsidP="00700A3D">
      <w:pPr>
        <w:tabs>
          <w:tab w:val="left" w:pos="1573"/>
        </w:tabs>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、本合同涉及的招标文件和投标文件，正本由中国气象局政府采购中心保存。</w:t>
      </w:r>
    </w:p>
    <w:p w:rsidR="00700A3D" w:rsidP="00700A3D">
      <w:pPr>
        <w:adjustRightInd w:val="0"/>
        <w:spacing w:line="360" w:lineRule="auto"/>
        <w:ind w:firstLine="420" w:firstLineChars="200"/>
        <w:rPr>
          <w:rFonts w:ascii="宋体" w:hAnsi="宋体"/>
          <w:szCs w:val="21"/>
        </w:rPr>
      </w:pPr>
      <w:r>
        <w:rPr>
          <w:rFonts w:ascii="宋体" w:hAnsi="宋体"/>
          <w:szCs w:val="21"/>
        </w:rPr>
        <w:t>6</w:t>
      </w:r>
      <w:r>
        <w:rPr>
          <w:rFonts w:ascii="宋体" w:hAnsi="宋体" w:hint="eastAsia"/>
          <w:szCs w:val="21"/>
        </w:rPr>
        <w:t xml:space="preserve">、双方约定本合同其他相关事项为：               </w:t>
      </w:r>
    </w:p>
    <w:p w:rsidR="00700A3D" w:rsidP="00700A3D">
      <w:pPr>
        <w:snapToGrid w:val="0"/>
        <w:spacing w:line="360" w:lineRule="auto"/>
        <w:ind w:firstLine="309" w:firstLineChars="147"/>
        <w:rPr>
          <w:rFonts w:ascii="宋体" w:hAnsi="宋体"/>
          <w:b/>
          <w:szCs w:val="21"/>
        </w:rPr>
      </w:pPr>
      <w:r>
        <w:rPr>
          <w:rFonts w:ascii="宋体" w:hAnsi="宋体" w:hint="eastAsia"/>
          <w:b/>
          <w:szCs w:val="21"/>
        </w:rPr>
        <w:t>甲方：                                   乙方：</w:t>
      </w:r>
    </w:p>
    <w:p w:rsidR="00700A3D" w:rsidP="00700A3D">
      <w:pPr>
        <w:snapToGrid w:val="0"/>
        <w:spacing w:line="360" w:lineRule="auto"/>
        <w:ind w:firstLine="309" w:firstLineChars="147"/>
        <w:rPr>
          <w:rFonts w:ascii="宋体" w:hAnsi="宋体"/>
          <w:b/>
          <w:szCs w:val="21"/>
        </w:rPr>
      </w:pPr>
      <w:r>
        <w:rPr>
          <w:rFonts w:ascii="宋体" w:hAnsi="宋体" w:hint="eastAsia"/>
          <w:b/>
          <w:szCs w:val="21"/>
        </w:rPr>
        <w:t>单位名称：（盖章）                        单位名称：（盖章）</w:t>
      </w:r>
    </w:p>
    <w:p w:rsidR="00700A3D" w:rsidP="00700A3D">
      <w:pPr>
        <w:snapToGrid w:val="0"/>
        <w:spacing w:line="360" w:lineRule="auto"/>
        <w:ind w:firstLine="309" w:firstLineChars="147"/>
        <w:rPr>
          <w:rFonts w:ascii="宋体" w:hAnsi="宋体"/>
          <w:b/>
          <w:szCs w:val="21"/>
        </w:rPr>
      </w:pPr>
      <w:r>
        <w:rPr>
          <w:rFonts w:ascii="宋体" w:hAnsi="宋体" w:hint="eastAsia"/>
          <w:b/>
          <w:szCs w:val="21"/>
        </w:rPr>
        <w:t>法定代表人</w:t>
      </w:r>
      <w:bookmarkStart w:id="461" w:name="OLE_LINK4"/>
      <w:r>
        <w:rPr>
          <w:rFonts w:ascii="宋体" w:hAnsi="宋体" w:hint="eastAsia"/>
          <w:b/>
          <w:szCs w:val="21"/>
        </w:rPr>
        <w:t>/授权代表</w:t>
      </w:r>
      <w:bookmarkEnd w:id="461"/>
      <w:r>
        <w:rPr>
          <w:rFonts w:ascii="宋体" w:hAnsi="宋体" w:hint="eastAsia"/>
          <w:b/>
          <w:szCs w:val="21"/>
        </w:rPr>
        <w:t>：                    法定代表人/授权代表：</w:t>
      </w:r>
    </w:p>
    <w:p w:rsidR="00700A3D" w:rsidP="00700A3D">
      <w:pPr>
        <w:snapToGrid w:val="0"/>
        <w:spacing w:line="360" w:lineRule="auto"/>
        <w:ind w:firstLine="309" w:firstLineChars="147"/>
        <w:rPr>
          <w:rFonts w:ascii="宋体" w:hAnsi="宋体"/>
          <w:b/>
          <w:szCs w:val="21"/>
        </w:rPr>
      </w:pPr>
      <w:r>
        <w:rPr>
          <w:rFonts w:ascii="宋体" w:hAnsi="宋体" w:hint="eastAsia"/>
          <w:b/>
          <w:szCs w:val="21"/>
        </w:rPr>
        <w:t>经办人：                                 经办人：</w:t>
      </w:r>
    </w:p>
    <w:p w:rsidR="00700A3D" w:rsidP="00700A3D">
      <w:pPr>
        <w:snapToGrid w:val="0"/>
        <w:spacing w:line="360" w:lineRule="auto"/>
        <w:ind w:firstLine="309" w:firstLineChars="147"/>
        <w:rPr>
          <w:rFonts w:ascii="宋体" w:hAnsi="宋体"/>
          <w:b/>
          <w:szCs w:val="21"/>
        </w:rPr>
      </w:pPr>
      <w:r>
        <w:rPr>
          <w:rFonts w:ascii="宋体" w:hAnsi="宋体" w:hint="eastAsia"/>
          <w:b/>
          <w:szCs w:val="21"/>
        </w:rPr>
        <w:t>签约日期：                               签约日期：</w:t>
      </w:r>
    </w:p>
    <w:p w:rsidR="00700A3D" w:rsidP="00700A3D">
      <w:pPr>
        <w:widowControl/>
        <w:jc w:val="left"/>
        <w:rPr>
          <w:rFonts w:ascii="宋体" w:hAnsi="宋体"/>
          <w:b/>
          <w:szCs w:val="21"/>
        </w:rPr>
      </w:pPr>
      <w:r>
        <w:rPr>
          <w:rFonts w:ascii="宋体" w:hAnsi="宋体"/>
          <w:b/>
          <w:szCs w:val="21"/>
        </w:rPr>
        <w:br w:type="page"/>
      </w:r>
    </w:p>
    <w:p w:rsidR="00700A3D" w:rsidP="00700A3D">
      <w:pPr>
        <w:pStyle w:val="10"/>
        <w:tabs>
          <w:tab w:val="left" w:pos="1573"/>
        </w:tabs>
        <w:adjustRightInd w:val="0"/>
        <w:snapToGrid w:val="0"/>
        <w:spacing w:line="560" w:lineRule="exact"/>
        <w:ind w:left="752" w:hanging="752" w:hangingChars="235"/>
        <w:rPr>
          <w:rFonts w:ascii="黑体" w:eastAsia="黑体" w:hAnsi="黑体" w:cs="黑体"/>
          <w:sz w:val="32"/>
          <w:szCs w:val="32"/>
        </w:rPr>
      </w:pPr>
      <w:r>
        <w:rPr>
          <w:rFonts w:ascii="黑体" w:eastAsia="黑体" w:hAnsi="黑体" w:cs="黑体" w:hint="eastAsia"/>
          <w:sz w:val="32"/>
          <w:szCs w:val="32"/>
        </w:rPr>
        <w:t>附件</w:t>
      </w:r>
    </w:p>
    <w:p w:rsidR="00700A3D" w:rsidP="00700A3D">
      <w:pPr>
        <w:snapToGrid w:val="0"/>
        <w:spacing w:line="560" w:lineRule="exact"/>
        <w:jc w:val="center"/>
        <w:rPr>
          <w:b/>
          <w:sz w:val="28"/>
          <w:szCs w:val="28"/>
        </w:rPr>
      </w:pPr>
    </w:p>
    <w:p w:rsidR="00700A3D" w:rsidP="00700A3D">
      <w:pPr>
        <w:snapToGrid w:val="0"/>
        <w:spacing w:line="560" w:lineRule="exact"/>
        <w:jc w:val="center"/>
        <w:rPr>
          <w:rFonts w:ascii="小标宋" w:eastAsia="小标宋" w:hAnsi="小标宋" w:cs="小标宋"/>
          <w:b/>
          <w:bCs/>
          <w:sz w:val="36"/>
          <w:szCs w:val="36"/>
        </w:rPr>
      </w:pPr>
      <w:r>
        <w:rPr>
          <w:rFonts w:ascii="小标宋" w:eastAsia="小标宋" w:hAnsi="小标宋" w:cs="小标宋" w:hint="eastAsia"/>
          <w:b/>
          <w:bCs/>
          <w:caps/>
          <w:sz w:val="48"/>
          <w:szCs w:val="48"/>
        </w:rPr>
        <w:t>廉</w:t>
      </w:r>
      <w:r>
        <w:rPr>
          <w:rFonts w:ascii="小标宋" w:eastAsia="小标宋" w:hAnsi="小标宋" w:cs="小标宋"/>
          <w:b/>
          <w:bCs/>
          <w:caps/>
          <w:sz w:val="48"/>
          <w:szCs w:val="48"/>
        </w:rPr>
        <w:t xml:space="preserve">  </w:t>
      </w:r>
      <w:r>
        <w:rPr>
          <w:rFonts w:ascii="小标宋" w:eastAsia="小标宋" w:hAnsi="小标宋" w:cs="小标宋" w:hint="eastAsia"/>
          <w:b/>
          <w:bCs/>
          <w:caps/>
          <w:sz w:val="48"/>
          <w:szCs w:val="48"/>
        </w:rPr>
        <w:t>洁</w:t>
      </w:r>
      <w:r>
        <w:rPr>
          <w:rFonts w:ascii="小标宋" w:eastAsia="小标宋" w:hAnsi="小标宋" w:cs="小标宋"/>
          <w:b/>
          <w:bCs/>
          <w:caps/>
          <w:sz w:val="48"/>
          <w:szCs w:val="48"/>
        </w:rPr>
        <w:t xml:space="preserve">  </w:t>
      </w:r>
      <w:r>
        <w:rPr>
          <w:rFonts w:ascii="小标宋" w:eastAsia="小标宋" w:hAnsi="小标宋" w:cs="小标宋" w:hint="eastAsia"/>
          <w:b/>
          <w:bCs/>
          <w:caps/>
          <w:sz w:val="48"/>
          <w:szCs w:val="48"/>
        </w:rPr>
        <w:t>协</w:t>
      </w:r>
      <w:r>
        <w:rPr>
          <w:rFonts w:ascii="小标宋" w:eastAsia="小标宋" w:hAnsi="小标宋" w:cs="小标宋"/>
          <w:b/>
          <w:bCs/>
          <w:caps/>
          <w:sz w:val="48"/>
          <w:szCs w:val="48"/>
        </w:rPr>
        <w:t xml:space="preserve">  </w:t>
      </w:r>
      <w:r>
        <w:rPr>
          <w:rFonts w:ascii="小标宋" w:eastAsia="小标宋" w:hAnsi="小标宋" w:cs="小标宋" w:hint="eastAsia"/>
          <w:b/>
          <w:bCs/>
          <w:caps/>
          <w:sz w:val="48"/>
          <w:szCs w:val="48"/>
        </w:rPr>
        <w:t>议</w:t>
      </w:r>
    </w:p>
    <w:p w:rsidR="00700A3D" w:rsidP="00700A3D">
      <w:pPr>
        <w:snapToGrid w:val="0"/>
        <w:spacing w:line="560" w:lineRule="exact"/>
        <w:rPr>
          <w:szCs w:val="21"/>
        </w:rPr>
      </w:pPr>
    </w:p>
    <w:p w:rsidR="00700A3D" w:rsidP="00700A3D">
      <w:pPr>
        <w:autoSpaceDE w:val="0"/>
        <w:autoSpaceDN w:val="0"/>
        <w:adjustRightInd w:val="0"/>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为加强合作中的廉政建设，规范合作中的各项活动，防止发生各种谋取不正当利益的违法违纪违规行为，保护国家、双方的合法权益，经双方协商一致，在签订合同的基础上，根据有关法律法规及双方关于廉政建设的有关规定，特订立本廉洁协议。</w:t>
      </w:r>
    </w:p>
    <w:p w:rsidR="00700A3D" w:rsidP="00700A3D">
      <w:pPr>
        <w:spacing w:line="560" w:lineRule="exact"/>
        <w:ind w:firstLine="640" w:firstLineChars="200"/>
        <w:rPr>
          <w:rFonts w:ascii="仿宋_GB2312" w:eastAsia="仿宋_GB2312" w:hAnsi="宋体"/>
          <w:sz w:val="32"/>
          <w:szCs w:val="32"/>
        </w:rPr>
      </w:pPr>
      <w:r>
        <w:rPr>
          <w:rFonts w:ascii="黑体" w:eastAsia="黑体" w:hAnsi="黑体" w:cs="黑体" w:hint="eastAsia"/>
          <w:kern w:val="32"/>
          <w:sz w:val="32"/>
          <w:szCs w:val="32"/>
        </w:rPr>
        <w:t>一、</w:t>
      </w:r>
      <w:r>
        <w:rPr>
          <w:rFonts w:ascii="黑体" w:eastAsia="黑体" w:hAnsi="黑体" w:cs="黑体" w:hint="eastAsia"/>
          <w:sz w:val="32"/>
          <w:szCs w:val="32"/>
        </w:rPr>
        <w:t>双方共同责任</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（一）双方应严格遵守国家关于经济活动的有关法律法规、政策规章及双方关于廉政建设的有关规定。</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（二）坚持公平、公正、公开、诚信、透明的原则，不得为获得不正当利益损害双方利益。</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（三）建立健全自我制约制度，开展廉洁教育，监督并认真查处违法违纪违规行为。</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（四）发现对方在合同履行过程中存在违反本协议的行为，应及时提醒和敦促对方纠正；情节严重的，应向双方有关部门检举、揭发。</w:t>
      </w:r>
    </w:p>
    <w:p w:rsidR="00700A3D" w:rsidP="00700A3D">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二、</w:t>
      </w:r>
      <w:r>
        <w:rPr>
          <w:rFonts w:ascii="黑体" w:eastAsia="黑体" w:hAnsi="黑体" w:cs="黑体" w:hint="eastAsia"/>
          <w:sz w:val="32"/>
          <w:szCs w:val="32"/>
        </w:rPr>
        <w:t>甲方权利与义务</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（一）甲方有权对乙方在合同履行过程中的廉洁自律情况进行监督。</w:t>
      </w:r>
    </w:p>
    <w:p w:rsidR="00700A3D" w:rsidP="00700A3D">
      <w:pPr>
        <w:spacing w:line="560" w:lineRule="exact"/>
        <w:ind w:firstLine="640" w:firstLineChars="200"/>
        <w:rPr>
          <w:rFonts w:ascii="仿宋_GB2312" w:eastAsia="仿宋_GB2312" w:hAnsi="宋体"/>
          <w:color w:val="FF0000"/>
          <w:sz w:val="32"/>
          <w:szCs w:val="32"/>
        </w:rPr>
      </w:pPr>
      <w:r>
        <w:rPr>
          <w:rFonts w:ascii="仿宋_GB2312" w:eastAsia="仿宋_GB2312" w:hAnsi="宋体" w:hint="eastAsia"/>
          <w:sz w:val="32"/>
          <w:szCs w:val="32"/>
        </w:rPr>
        <w:t>（二）甲方及其工作人员不得索要或接受乙方及其工作人员的钱物</w:t>
      </w:r>
      <w:r>
        <w:rPr>
          <w:rFonts w:ascii="仿宋_GB2312" w:eastAsia="仿宋_GB2312" w:hAnsi="宋体"/>
          <w:sz w:val="32"/>
          <w:szCs w:val="32"/>
        </w:rPr>
        <w:t>(</w:t>
      </w:r>
      <w:r>
        <w:rPr>
          <w:rFonts w:ascii="仿宋_GB2312" w:eastAsia="仿宋_GB2312" w:hAnsi="宋体" w:hint="eastAsia"/>
          <w:sz w:val="32"/>
          <w:szCs w:val="32"/>
        </w:rPr>
        <w:t>现金、有价证券、信用卡、礼金、奖金、补贴、物品等</w:t>
      </w:r>
      <w:r>
        <w:rPr>
          <w:rFonts w:ascii="仿宋_GB2312" w:eastAsia="仿宋_GB2312" w:hAnsi="宋体"/>
          <w:sz w:val="32"/>
          <w:szCs w:val="32"/>
        </w:rPr>
        <w:t>)</w:t>
      </w:r>
      <w:r>
        <w:rPr>
          <w:rFonts w:ascii="仿宋_GB2312" w:eastAsia="仿宋_GB2312" w:hAnsi="宋体" w:hint="eastAsia"/>
          <w:sz w:val="32"/>
          <w:szCs w:val="32"/>
        </w:rPr>
        <w:t>，不得在乙方报销任何应由甲方或个人支付的费用。</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（三）甲方及其工作人员不得接受乙方安排的可能影响公正工作的住宿、宴请和娱乐活动；不得接受乙方提供的合同规定外的通讯工具、交通工具和办公用品等。</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（四）甲方及其工作人员不得要求、暗示或者接受乙方为其住房装修、婚丧嫁娶活动、配偶子女的工作安排以及出国出境、旅游等提供便利。</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（五）甲方工作人员不得向乙方及相关单位介绍或推荐其关联亲属参加与合同有关的经济活动。</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（六）甲方工作人员不得违反规定向乙方推荐合作方。</w:t>
      </w:r>
    </w:p>
    <w:p w:rsidR="00700A3D" w:rsidP="00700A3D">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三、</w:t>
      </w:r>
      <w:r>
        <w:rPr>
          <w:rFonts w:ascii="黑体" w:eastAsia="黑体" w:hAnsi="黑体" w:cs="黑体" w:hint="eastAsia"/>
          <w:sz w:val="32"/>
          <w:szCs w:val="32"/>
        </w:rPr>
        <w:t>乙方权利与义务</w:t>
      </w:r>
    </w:p>
    <w:p w:rsidR="00700A3D" w:rsidP="00700A3D">
      <w:pPr>
        <w:numPr>
          <w:ilvl w:val="0"/>
          <w:numId w:val="17"/>
        </w:num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乙方对甲方及其工作人员提出的合同规定外的要求，有权予以拒绝。</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（二）乙方不得以任何理由向甲方、甲方工作人员及其关联亲属馈赠钱物</w:t>
      </w:r>
      <w:r>
        <w:rPr>
          <w:rFonts w:ascii="仿宋_GB2312" w:eastAsia="仿宋_GB2312" w:hAnsi="宋体"/>
          <w:sz w:val="32"/>
          <w:szCs w:val="32"/>
        </w:rPr>
        <w:t>(</w:t>
      </w:r>
      <w:r>
        <w:rPr>
          <w:rFonts w:ascii="仿宋_GB2312" w:eastAsia="仿宋_GB2312" w:hAnsi="宋体" w:hint="eastAsia"/>
          <w:sz w:val="32"/>
          <w:szCs w:val="32"/>
        </w:rPr>
        <w:t>现金、有价证券、信用卡、礼金、奖金、补贴、物品等</w:t>
      </w:r>
      <w:r>
        <w:rPr>
          <w:rFonts w:ascii="仿宋_GB2312" w:eastAsia="仿宋_GB2312" w:hAnsi="宋体"/>
          <w:sz w:val="32"/>
          <w:szCs w:val="32"/>
        </w:rPr>
        <w:t>)</w:t>
      </w:r>
      <w:r>
        <w:rPr>
          <w:rFonts w:ascii="仿宋_GB2312" w:eastAsia="仿宋_GB2312" w:hAnsi="宋体" w:hint="eastAsia"/>
          <w:sz w:val="32"/>
          <w:szCs w:val="32"/>
        </w:rPr>
        <w:t>。</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（三）乙方不得以任何名义为甲方、甲方工作人员及其关联亲属报销应由甲方单位或个人支付的任何费用。</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（四）乙方不得以任何理由安排甲方、甲方工作人员及其关联亲属参加宴请及娱乐活动。</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（五）乙方不得为甲方、甲方工作人员及其关联亲属购置或提供合同规定外的通讯工具、交通工具和高档办公用品等。</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（六）乙方不得为甲方工作人员及其关联亲属提供任何形式的生活便利。</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（七）乙方不得存在其他影响甲方工作人员公正从业的有关行为。</w:t>
      </w:r>
    </w:p>
    <w:p w:rsidR="00700A3D" w:rsidP="00700A3D">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四、</w:t>
      </w:r>
      <w:r>
        <w:rPr>
          <w:rFonts w:ascii="黑体" w:eastAsia="黑体" w:hAnsi="黑体" w:cs="黑体" w:hint="eastAsia"/>
          <w:sz w:val="32"/>
          <w:szCs w:val="32"/>
        </w:rPr>
        <w:t>违约责任</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（一）双方人员如有违反本协议行为的，按照管理权限，由各自单位按照有关法律法规和规章制度进行处理。涉嫌犯罪的，移交司法机关追究刑事责任。</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（二）由甲</w:t>
      </w:r>
      <w:r>
        <w:rPr>
          <w:rFonts w:ascii="仿宋_GB2312" w:eastAsia="仿宋_GB2312" w:hAnsi="宋体"/>
          <w:sz w:val="32"/>
          <w:szCs w:val="32"/>
        </w:rPr>
        <w:t>/</w:t>
      </w:r>
      <w:r>
        <w:rPr>
          <w:rFonts w:ascii="仿宋_GB2312" w:eastAsia="仿宋_GB2312" w:hAnsi="宋体" w:hint="eastAsia"/>
          <w:sz w:val="32"/>
          <w:szCs w:val="32"/>
        </w:rPr>
        <w:t>乙方及所属人员违规造成对方损失的，由双方依据实际情况协调赔偿方式。</w:t>
      </w:r>
    </w:p>
    <w:p w:rsidR="00700A3D" w:rsidP="00700A3D">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五、</w:t>
      </w:r>
      <w:r>
        <w:rPr>
          <w:rFonts w:ascii="黑体" w:eastAsia="黑体" w:hAnsi="黑体" w:cs="黑体" w:hint="eastAsia"/>
          <w:sz w:val="32"/>
          <w:szCs w:val="32"/>
        </w:rPr>
        <w:t>其他</w:t>
      </w:r>
    </w:p>
    <w:p w:rsidR="00700A3D" w:rsidP="00700A3D">
      <w:pPr>
        <w:widowControl/>
        <w:numPr>
          <w:ilvl w:val="0"/>
          <w:numId w:val="18"/>
        </w:numPr>
        <w:spacing w:line="560" w:lineRule="exact"/>
        <w:ind w:firstLine="640" w:firstLineChars="200"/>
        <w:jc w:val="left"/>
        <w:rPr>
          <w:rFonts w:ascii="仿宋_GB2312" w:eastAsia="仿宋_GB2312" w:hAnsi="宋体"/>
          <w:sz w:val="32"/>
          <w:szCs w:val="32"/>
        </w:rPr>
      </w:pPr>
      <w:r>
        <w:rPr>
          <w:rFonts w:ascii="仿宋_GB2312" w:eastAsia="仿宋_GB2312" w:hAnsi="宋体" w:hint="eastAsia"/>
          <w:sz w:val="32"/>
          <w:szCs w:val="32"/>
        </w:rPr>
        <w:t>为保证双方合法权益，双方特设立举报电话及举报邮箱：</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sz w:val="32"/>
          <w:szCs w:val="32"/>
        </w:rPr>
        <w:t>1.</w:t>
      </w:r>
      <w:r>
        <w:rPr>
          <w:rFonts w:ascii="仿宋_GB2312" w:eastAsia="仿宋_GB2312" w:hAnsi="宋体" w:hint="eastAsia"/>
          <w:sz w:val="32"/>
          <w:szCs w:val="32"/>
        </w:rPr>
        <w:t>甲方：</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监督部门：国家气象信息中心纪委</w:t>
      </w:r>
      <w:r>
        <w:rPr>
          <w:rFonts w:ascii="仿宋_GB2312" w:eastAsia="仿宋_GB2312" w:hAnsi="宋体"/>
          <w:sz w:val="32"/>
          <w:szCs w:val="32"/>
        </w:rPr>
        <w:t xml:space="preserve">  </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联</w:t>
      </w:r>
      <w:r>
        <w:rPr>
          <w:rFonts w:ascii="仿宋_GB2312" w:eastAsia="仿宋_GB2312" w:hAnsi="宋体"/>
          <w:sz w:val="32"/>
          <w:szCs w:val="32"/>
        </w:rPr>
        <w:t xml:space="preserve"> </w:t>
      </w:r>
      <w:r>
        <w:rPr>
          <w:rFonts w:ascii="仿宋_GB2312" w:eastAsia="仿宋_GB2312" w:hAnsi="宋体" w:hint="eastAsia"/>
          <w:sz w:val="32"/>
          <w:szCs w:val="32"/>
        </w:rPr>
        <w:t>系</w:t>
      </w:r>
      <w:r>
        <w:rPr>
          <w:rFonts w:ascii="仿宋_GB2312" w:eastAsia="仿宋_GB2312" w:hAnsi="宋体"/>
          <w:sz w:val="32"/>
          <w:szCs w:val="32"/>
        </w:rPr>
        <w:t xml:space="preserve"> </w:t>
      </w:r>
      <w:r>
        <w:rPr>
          <w:rFonts w:ascii="仿宋_GB2312" w:eastAsia="仿宋_GB2312" w:hAnsi="宋体" w:hint="eastAsia"/>
          <w:sz w:val="32"/>
          <w:szCs w:val="32"/>
        </w:rPr>
        <w:t>人：杨根录</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举报电话：</w:t>
      </w:r>
      <w:r>
        <w:rPr>
          <w:rFonts w:ascii="仿宋_GB2312" w:eastAsia="仿宋_GB2312" w:hAnsi="宋体"/>
          <w:sz w:val="32"/>
          <w:szCs w:val="32"/>
        </w:rPr>
        <w:t xml:space="preserve">010-68406214 </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举报邮箱：</w:t>
      </w:r>
      <w:r>
        <w:rPr>
          <w:rFonts w:ascii="仿宋_GB2312" w:eastAsia="仿宋_GB2312" w:hAnsi="宋体"/>
          <w:sz w:val="32"/>
          <w:szCs w:val="32"/>
        </w:rPr>
        <w:t>yanggl@cma.gov.cn</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sz w:val="32"/>
          <w:szCs w:val="32"/>
        </w:rPr>
        <w:t>2.</w:t>
      </w:r>
      <w:r>
        <w:rPr>
          <w:rFonts w:ascii="仿宋_GB2312" w:eastAsia="仿宋_GB2312" w:hAnsi="宋体" w:hint="eastAsia"/>
          <w:sz w:val="32"/>
          <w:szCs w:val="32"/>
        </w:rPr>
        <w:t>乙方：</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监督部门：</w:t>
      </w:r>
      <w:r>
        <w:rPr>
          <w:rFonts w:ascii="仿宋_GB2312" w:eastAsia="仿宋_GB2312" w:hAnsi="宋体"/>
          <w:sz w:val="32"/>
          <w:szCs w:val="32"/>
        </w:rPr>
        <w:t xml:space="preserve">                  </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联</w:t>
      </w:r>
      <w:r>
        <w:rPr>
          <w:rFonts w:ascii="仿宋_GB2312" w:eastAsia="仿宋_GB2312" w:hAnsi="宋体"/>
          <w:sz w:val="32"/>
          <w:szCs w:val="32"/>
        </w:rPr>
        <w:t xml:space="preserve"> </w:t>
      </w:r>
      <w:r>
        <w:rPr>
          <w:rFonts w:ascii="仿宋_GB2312" w:eastAsia="仿宋_GB2312" w:hAnsi="宋体" w:hint="eastAsia"/>
          <w:sz w:val="32"/>
          <w:szCs w:val="32"/>
        </w:rPr>
        <w:t>系</w:t>
      </w:r>
      <w:r>
        <w:rPr>
          <w:rFonts w:ascii="仿宋_GB2312" w:eastAsia="仿宋_GB2312" w:hAnsi="宋体"/>
          <w:sz w:val="32"/>
          <w:szCs w:val="32"/>
        </w:rPr>
        <w:t xml:space="preserve"> </w:t>
      </w:r>
      <w:r>
        <w:rPr>
          <w:rFonts w:ascii="仿宋_GB2312" w:eastAsia="仿宋_GB2312" w:hAnsi="宋体" w:hint="eastAsia"/>
          <w:sz w:val="32"/>
          <w:szCs w:val="32"/>
        </w:rPr>
        <w:t>人：</w:t>
      </w:r>
      <w:r>
        <w:rPr>
          <w:rFonts w:ascii="仿宋_GB2312" w:eastAsia="仿宋_GB2312" w:hAnsi="宋体"/>
          <w:sz w:val="32"/>
          <w:szCs w:val="32"/>
        </w:rPr>
        <w:t xml:space="preserve"> </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举报电话：</w:t>
      </w:r>
      <w:r>
        <w:rPr>
          <w:rFonts w:ascii="仿宋_GB2312" w:eastAsia="仿宋_GB2312" w:hAnsi="宋体"/>
          <w:sz w:val="32"/>
          <w:szCs w:val="32"/>
        </w:rPr>
        <w:t xml:space="preserve">     </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举报邮箱：</w:t>
      </w:r>
      <w:r>
        <w:rPr>
          <w:rFonts w:ascii="仿宋_GB2312" w:eastAsia="仿宋_GB2312" w:hAnsi="宋体"/>
          <w:sz w:val="32"/>
          <w:szCs w:val="32"/>
        </w:rPr>
        <w:t xml:space="preserve"> </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sz w:val="32"/>
          <w:szCs w:val="32"/>
        </w:rPr>
        <w:t>3.</w:t>
      </w:r>
      <w:r>
        <w:rPr>
          <w:rFonts w:ascii="仿宋_GB2312" w:eastAsia="仿宋_GB2312" w:hAnsi="宋体" w:hint="eastAsia"/>
          <w:sz w:val="32"/>
          <w:szCs w:val="32"/>
        </w:rPr>
        <w:t>对举报人的资料，双方应予以保密。</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（二）本协议作为合同补充内容，与合同具有同等法律效力。</w:t>
      </w:r>
    </w:p>
    <w:p w:rsidR="00700A3D" w:rsidP="00700A3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（三）本协议的有效期为合同双方签字盖章之日起至合同履行完成时止。但对隐蔽性强，后期发现属于该项目双方违法违纪违规行为的，应当按照本协议约定的相关规定执行。</w:t>
      </w:r>
    </w:p>
    <w:p w:rsidR="006C268A" w:rsidP="00700A3D">
      <w:pPr>
        <w:ind w:firstLine="420" w:firstLineChars="200"/>
        <w:rPr>
          <w:rFonts w:ascii="宋体" w:eastAsia="宋体" w:hAnsi="宋体" w:cs="宋体"/>
          <w:szCs w:val="21"/>
        </w:rPr>
      </w:pPr>
    </w:p>
    <w:p w:rsidR="006C268A"/>
    <w:p w:rsidR="00A77B3E"/>
    <w:p>
      <w:pPr>
        <w:spacing w:line="360" w:lineRule="auto"/>
        <w:ind w:firstLine="3066" w:firstLineChars="1460"/>
        <w:jc w:val="left"/>
        <w:rPr>
          <w:b/>
          <w:bCs/>
          <w:szCs w:val="21"/>
          <w:highlight w:val="none"/>
        </w:rPr>
      </w:pPr>
      <w:bookmarkEnd w:id="438"/>
    </w:p>
    <w:p>
      <w:pPr>
        <w:rPr>
          <w:rFonts w:ascii="Calibri" w:hAnsi="Calibri"/>
          <w:szCs w:val="22"/>
          <w:highlight w:val="none"/>
        </w:rPr>
      </w:pPr>
    </w:p>
    <w:p>
      <w:pPr>
        <w:spacing w:line="360" w:lineRule="auto"/>
        <w:jc w:val="left"/>
        <w:rPr>
          <w:b/>
          <w:bCs/>
          <w:sz w:val="44"/>
          <w:szCs w:val="44"/>
          <w:highlight w:val="none"/>
        </w:rPr>
      </w:pPr>
    </w:p>
    <w:sectPr>
      <w:headerReference w:type="even" r:id="rId11"/>
      <w:headerReference w:type="default" r:id="rId12"/>
      <w:footerReference w:type="default" r:id="rId13"/>
      <w:headerReference w:type="first" r:id="rId14"/>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小标宋">
    <w:altName w:val="宋体"/>
    <w:charset w:val="86"/>
    <w:family w:val="auto"/>
    <w:pitch w:val="default"/>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68A">
    <w:pPr>
      <w:framePr w:wrap="around" w:vAnchor="text" w:hAnchor="margin" w:xAlign="right" w:y="1"/>
      <w:snapToGrid w:val="0"/>
      <w:jc w:val="left"/>
      <w:rPr>
        <w:rStyle w:val="PageNumber"/>
        <w:rFonts w:ascii="Times New Roman" w:eastAsia="宋体" w:hAnsi="Times New Roman" w:cs="Times New Roman"/>
        <w:sz w:val="18"/>
      </w:rPr>
    </w:pPr>
    <w:r>
      <w:rPr>
        <w:rFonts w:ascii="Times New Roman" w:eastAsia="宋体" w:hAnsi="Times New Roman" w:cs="Times New Roman"/>
        <w:sz w:val="18"/>
      </w:rPr>
      <w:fldChar w:fldCharType="begin"/>
    </w:r>
    <w:r>
      <w:rPr>
        <w:rStyle w:val="PageNumber"/>
        <w:rFonts w:ascii="Times New Roman" w:eastAsia="宋体" w:hAnsi="Times New Roman" w:cs="Times New Roman"/>
      </w:rPr>
      <w:instrText xml:space="preserve">PAGE  </w:instrText>
    </w:r>
    <w:r>
      <w:rPr>
        <w:rFonts w:ascii="Times New Roman" w:eastAsia="宋体" w:hAnsi="Times New Roman" w:cs="Times New Roman"/>
        <w:sz w:val="18"/>
      </w:rPr>
      <w:fldChar w:fldCharType="separate"/>
    </w:r>
    <w:r>
      <w:rPr>
        <w:rFonts w:ascii="Times New Roman" w:eastAsia="宋体" w:hAnsi="Times New Roman" w:cs="Times New Roman"/>
        <w:sz w:val="18"/>
      </w:rPr>
      <w:fldChar w:fldCharType="end"/>
    </w:r>
  </w:p>
  <w:p w:rsidR="006C268A">
    <w:pPr>
      <w:snapToGrid w:val="0"/>
      <w:ind w:right="360"/>
      <w:jc w:val="left"/>
      <w:rPr>
        <w:rFonts w:ascii="Times New Roman" w:eastAsia="宋体" w:hAnsi="Times New Roman" w:cs="Times New Roman"/>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68A">
    <w:pPr>
      <w:snapToGrid w:val="0"/>
      <w:jc w:val="center"/>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PAGE   \* MERGEFORMAT</w:instrText>
    </w:r>
    <w:r>
      <w:rPr>
        <w:rFonts w:ascii="宋体" w:eastAsia="宋体" w:hAnsi="宋体" w:cs="Times New Roman"/>
        <w:szCs w:val="21"/>
      </w:rPr>
      <w:fldChar w:fldCharType="separate"/>
    </w:r>
    <w:r w:rsidRPr="001C31F2">
      <w:rPr>
        <w:rFonts w:ascii="宋体" w:eastAsia="宋体" w:hAnsi="宋体" w:cs="Times New Roman"/>
        <w:noProof/>
        <w:szCs w:val="21"/>
        <w:lang w:val="zh-CN"/>
      </w:rPr>
      <w:t>1</w:t>
    </w:r>
    <w:r>
      <w:rPr>
        <w:rFonts w:ascii="宋体" w:eastAsia="宋体" w:hAnsi="宋体" w:cs="Times New Roman"/>
        <w:szCs w:val="21"/>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73</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A68FC7A9"/>
    <w:multiLevelType w:val="singleLevel"/>
    <w:tmpl w:val="A68FC7A9"/>
    <w:lvl w:ilvl="0">
      <w:start w:val="1"/>
      <w:numFmt w:val="decimal"/>
      <w:lvlText w:val="(%1)"/>
      <w:lvlJc w:val="left"/>
      <w:pPr>
        <w:tabs>
          <w:tab w:val="num" w:pos="420"/>
        </w:tabs>
        <w:ind w:left="845" w:hanging="425"/>
      </w:pPr>
      <w:rPr>
        <w:rFonts w:hint="default"/>
      </w:rPr>
    </w:lvl>
  </w:abstractNum>
  <w:abstractNum w:abstractNumId="2">
    <w:nsid w:val="AA6CC327"/>
    <w:multiLevelType w:val="singleLevel"/>
    <w:tmpl w:val="AA6CC327"/>
    <w:lvl w:ilvl="0">
      <w:start w:val="1"/>
      <w:numFmt w:val="decimal"/>
      <w:lvlText w:val="(%1)"/>
      <w:lvlJc w:val="left"/>
      <w:pPr>
        <w:tabs>
          <w:tab w:val="num" w:pos="420"/>
        </w:tabs>
        <w:ind w:left="845" w:hanging="425"/>
      </w:pPr>
      <w:rPr>
        <w:rFonts w:hint="default"/>
      </w:rPr>
    </w:lvl>
  </w:abstractNum>
  <w:abstractNum w:abstractNumId="3">
    <w:nsid w:val="E36EB068"/>
    <w:multiLevelType w:val="singleLevel"/>
    <w:tmpl w:val="E36EB068"/>
    <w:lvl w:ilvl="0">
      <w:start w:val="1"/>
      <w:numFmt w:val="bullet"/>
      <w:lvlText w:val=""/>
      <w:lvlJc w:val="left"/>
      <w:pPr>
        <w:tabs>
          <w:tab w:val="num" w:pos="420"/>
        </w:tabs>
        <w:ind w:left="840" w:hanging="420"/>
      </w:pPr>
      <w:rPr>
        <w:rFonts w:ascii="Wingdings" w:hAnsi="Wingdings" w:hint="default"/>
      </w:rPr>
    </w:lvl>
  </w:abstractNum>
  <w:abstractNum w:abstractNumId="4">
    <w:nsid w:val="FF9E8FBD"/>
    <w:multiLevelType w:val="multilevel"/>
    <w:tmpl w:val="FF9E8FBD"/>
    <w:lvl w:ilvl="0">
      <w:start w:val="1"/>
      <w:numFmt w:val="decimal"/>
      <w:lvlText w:val="%1."/>
      <w:lvlJc w:val="left"/>
      <w:pPr>
        <w:ind w:left="432" w:hanging="432"/>
      </w:pPr>
      <w:rPr>
        <w:rFonts w:hint="default"/>
      </w:rPr>
    </w:lvl>
    <w:lvl w:ilvl="1">
      <w:start w:val="1"/>
      <w:numFmt w:val="decimal"/>
      <w:lvlText w:val="%1.%2."/>
      <w:lvlJc w:val="left"/>
      <w:pPr>
        <w:ind w:left="575" w:hanging="575"/>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1151" w:hanging="1151"/>
      </w:pPr>
      <w:rPr>
        <w:rFonts w:hint="default"/>
        <w:b/>
        <w:bCs/>
      </w:rPr>
    </w:lvl>
    <w:lvl w:ilvl="6">
      <w:start w:val="1"/>
      <w:numFmt w:val="decimal"/>
      <w:lvlText w:val="%1.%2.%3.%4.%5.%6.%7."/>
      <w:lvlJc w:val="left"/>
      <w:pPr>
        <w:ind w:left="1296" w:hanging="1296"/>
      </w:pPr>
      <w:rPr>
        <w:rFonts w:hint="default"/>
        <w:b/>
        <w:bCs/>
      </w:rPr>
    </w:lvl>
    <w:lvl w:ilvl="7">
      <w:start w:val="1"/>
      <w:numFmt w:val="decimal"/>
      <w:lvlText w:val="%1.%2.%3.%4.%5.%6.%7.%8."/>
      <w:lvlJc w:val="left"/>
      <w:pPr>
        <w:ind w:left="1440" w:hanging="1440"/>
      </w:pPr>
      <w:rPr>
        <w:rFonts w:hint="default"/>
      </w:rPr>
    </w:lvl>
    <w:lvl w:ilvl="8">
      <w:start w:val="1"/>
      <w:numFmt w:val="decimal"/>
      <w:lvlText w:val="%1.%2.%3.%4.%5.%6.%7.%8.%9."/>
      <w:lvlJc w:val="left"/>
      <w:pPr>
        <w:ind w:left="1583" w:hanging="1583"/>
      </w:pPr>
      <w:rPr>
        <w:rFonts w:hint="default"/>
      </w:rPr>
    </w:lvl>
  </w:abstractNum>
  <w:abstractNum w:abstractNumId="5">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E8E64D4"/>
    <w:multiLevelType w:val="singleLevel"/>
    <w:tmpl w:val="0E8E64D4"/>
    <w:lvl w:ilvl="0">
      <w:start w:val="1"/>
      <w:numFmt w:val="decimal"/>
      <w:lvlText w:val="(%1)"/>
      <w:lvlJc w:val="left"/>
      <w:pPr>
        <w:tabs>
          <w:tab w:val="num" w:pos="420"/>
        </w:tabs>
        <w:ind w:left="845" w:hanging="425"/>
      </w:pPr>
      <w:rPr>
        <w:rFonts w:hint="default"/>
      </w:rPr>
    </w:lvl>
  </w:abstractNum>
  <w:abstractNum w:abstractNumId="9">
    <w:nsid w:val="13DD946C"/>
    <w:multiLevelType w:val="singleLevel"/>
    <w:tmpl w:val="13DD946C"/>
    <w:lvl w:ilvl="0">
      <w:start w:val="9"/>
      <w:numFmt w:val="chineseCounting"/>
      <w:suff w:val="space"/>
      <w:lvlText w:val="第%1章"/>
      <w:lvlJc w:val="left"/>
      <w:rPr>
        <w:rFonts w:hint="eastAsia"/>
      </w:rPr>
    </w:lvl>
  </w:abstractNum>
  <w:abstractNum w:abstractNumId="10">
    <w:nsid w:val="2530CF12"/>
    <w:multiLevelType w:val="singleLevel"/>
    <w:tmpl w:val="2530CF12"/>
    <w:lvl w:ilvl="0">
      <w:start w:val="1"/>
      <w:numFmt w:val="decimal"/>
      <w:lvlText w:val="(%1)"/>
      <w:lvlJc w:val="left"/>
      <w:pPr>
        <w:tabs>
          <w:tab w:val="num" w:pos="420"/>
        </w:tabs>
        <w:ind w:left="845" w:hanging="425"/>
      </w:pPr>
      <w:rPr>
        <w:rFonts w:hint="default"/>
      </w:rPr>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AE35FF0"/>
    <w:multiLevelType w:val="multilevel"/>
    <w:tmpl w:val="3AE35FF0"/>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3">
    <w:nsid w:val="3E271DCF"/>
    <w:multiLevelType w:val="singleLevel"/>
    <w:tmpl w:val="3E271DCF"/>
    <w:lvl w:ilvl="0">
      <w:start w:val="1"/>
      <w:numFmt w:val="decimal"/>
      <w:lvlText w:val="(%1)"/>
      <w:lvlJc w:val="left"/>
      <w:pPr>
        <w:tabs>
          <w:tab w:val="num" w:pos="420"/>
        </w:tabs>
        <w:ind w:left="845" w:hanging="425"/>
      </w:pPr>
      <w:rPr>
        <w:rFonts w:hint="default"/>
      </w:rPr>
    </w:lvl>
  </w:abstractNum>
  <w:abstractNum w:abstractNumId="14">
    <w:nsid w:val="5AA4E4C1"/>
    <w:multiLevelType w:val="singleLevel"/>
    <w:tmpl w:val="5AA4E4C1"/>
    <w:lvl w:ilvl="0">
      <w:start w:val="1"/>
      <w:numFmt w:val="chineseCounting"/>
      <w:suff w:val="nothing"/>
      <w:lvlText w:val="（%1）"/>
      <w:lvlJc w:val="left"/>
      <w:rPr>
        <w:rFonts w:cs="Times New Roman"/>
      </w:rPr>
    </w:lvl>
  </w:abstractNum>
  <w:abstractNum w:abstractNumId="15">
    <w:nsid w:val="5DCE03AA"/>
    <w:multiLevelType w:val="multilevel"/>
    <w:tmpl w:val="5DCE03AA"/>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6">
    <w:nsid w:val="628C55F2"/>
    <w:multiLevelType w:val="multilevel"/>
    <w:tmpl w:val="628C55F2"/>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7">
    <w:nsid w:val="7DF7CD28"/>
    <w:multiLevelType w:val="singleLevel"/>
    <w:tmpl w:val="7DF7CD28"/>
    <w:lvl w:ilvl="0">
      <w:start w:val="1"/>
      <w:numFmt w:val="chineseCounting"/>
      <w:suff w:val="nothing"/>
      <w:lvlText w:val="（%1）"/>
      <w:lvlJc w:val="left"/>
      <w:rPr>
        <w:rFonts w:cs="Times New Roman" w:hint="eastAsia"/>
      </w:rPr>
    </w:lvl>
  </w:abstractNum>
  <w:abstractNum w:abstractNumId="18">
    <w:nsid w:val="7F9F329B"/>
    <w:multiLevelType w:val="singleLevel"/>
    <w:tmpl w:val="7F9F329B"/>
    <w:lvl w:ilvl="0">
      <w:start w:val="1"/>
      <w:numFmt w:val="bullet"/>
      <w:lvlText w:val=""/>
      <w:lvlJc w:val="left"/>
      <w:pPr>
        <w:tabs>
          <w:tab w:val="num" w:pos="840"/>
        </w:tabs>
        <w:ind w:left="1260" w:hanging="420"/>
      </w:pPr>
      <w:rPr>
        <w:rFonts w:ascii="Wingdings" w:hAnsi="Wingdings" w:hint="default"/>
      </w:rPr>
    </w:lvl>
  </w:abstractNum>
  <w:num w:numId="1">
    <w:abstractNumId w:val="6"/>
  </w:num>
  <w:num w:numId="2">
    <w:abstractNumId w:val="5"/>
  </w:num>
  <w:num w:numId="3">
    <w:abstractNumId w:val="7"/>
  </w:num>
  <w:num w:numId="4">
    <w:abstractNumId w:val="4"/>
  </w:num>
  <w:num w:numId="5">
    <w:abstractNumId w:val="3"/>
  </w:num>
  <w:num w:numId="6">
    <w:abstractNumId w:val="18"/>
  </w:num>
  <w:num w:numId="7">
    <w:abstractNumId w:val="1"/>
  </w:num>
  <w:num w:numId="8">
    <w:abstractNumId w:val="2"/>
  </w:num>
  <w:num w:numId="9">
    <w:abstractNumId w:val="8"/>
  </w:num>
  <w:num w:numId="10">
    <w:abstractNumId w:val="13"/>
  </w:num>
  <w:num w:numId="11">
    <w:abstractNumId w:val="10"/>
  </w:num>
  <w:num w:numId="12">
    <w:abstractNumId w:val="12"/>
  </w:num>
  <w:num w:numId="13">
    <w:abstractNumId w:val="15"/>
  </w:num>
  <w:num w:numId="14">
    <w:abstractNumId w:val="16"/>
  </w:num>
  <w:num w:numId="15">
    <w:abstractNumId w:val="9"/>
  </w:num>
  <w:num w:numId="16">
    <w:abstractNumId w:val="0"/>
  </w:num>
  <w:num w:numId="17">
    <w:abstractNumId w:val="17"/>
  </w:num>
  <w:num w:numId="18">
    <w:abstractNumId w:val="14"/>
  </w:num>
  <w:num w:numId="1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477C"/>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1F2"/>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B6786"/>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3D7D"/>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148"/>
    <w:rsid w:val="006A5528"/>
    <w:rsid w:val="006A72C6"/>
    <w:rsid w:val="006A7B1F"/>
    <w:rsid w:val="006A7D0B"/>
    <w:rsid w:val="006B058C"/>
    <w:rsid w:val="006B1B92"/>
    <w:rsid w:val="006B4961"/>
    <w:rsid w:val="006B6041"/>
    <w:rsid w:val="006B731A"/>
    <w:rsid w:val="006B7BF1"/>
    <w:rsid w:val="006C0C12"/>
    <w:rsid w:val="006C1C04"/>
    <w:rsid w:val="006C268A"/>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0A3D"/>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1AEE"/>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0769D"/>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762"/>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2E1D"/>
    <w:rsid w:val="00FF39F3"/>
    <w:rsid w:val="00FF3FD4"/>
    <w:rsid w:val="00FF41E9"/>
    <w:rsid w:val="00FF5342"/>
    <w:rsid w:val="00FF6C98"/>
    <w:rsid w:val="0980339D"/>
    <w:rsid w:val="1B1668AF"/>
    <w:rsid w:val="22736383"/>
    <w:rsid w:val="291772FD"/>
    <w:rsid w:val="2DD27016"/>
    <w:rsid w:val="3E5E12A1"/>
    <w:rsid w:val="42781119"/>
    <w:rsid w:val="436667A6"/>
    <w:rsid w:val="497A4294"/>
    <w:rsid w:val="4A936B87"/>
    <w:rsid w:val="4EBD5EAD"/>
    <w:rsid w:val="54A30F88"/>
    <w:rsid w:val="60BB7BEF"/>
    <w:rsid w:val="60C01CA8"/>
    <w:rsid w:val="66C40F62"/>
    <w:rsid w:val="73A06427"/>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5">
    <w:name w:val="heading 5"/>
    <w:basedOn w:val="Normal"/>
    <w:next w:val="NormalIndent"/>
    <w:link w:val="5"/>
    <w:qFormat/>
    <w:rsid w:val="005B6786"/>
    <w:pPr>
      <w:keepNext/>
      <w:keepLines/>
      <w:numPr>
        <w:ilvl w:val="4"/>
        <w:numId w:val="4"/>
      </w:numPr>
      <w:spacing w:line="560" w:lineRule="exact"/>
      <w:outlineLvl w:val="4"/>
    </w:pPr>
    <w:rPr>
      <w:b/>
      <w:bCs/>
      <w:sz w:val="24"/>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basedOn w:val="Normal"/>
    <w:next w:val="Normal"/>
    <w:link w:val="7"/>
    <w:qFormat/>
    <w:rsid w:val="005B6786"/>
    <w:pPr>
      <w:keepNext/>
      <w:keepLines/>
      <w:numPr>
        <w:ilvl w:val="6"/>
        <w:numId w:val="4"/>
      </w:numPr>
      <w:tabs>
        <w:tab w:val="left" w:pos="1440"/>
      </w:tabs>
      <w:spacing w:before="240" w:after="64" w:line="320" w:lineRule="auto"/>
      <w:jc w:val="left"/>
      <w:textAlignment w:val="center"/>
      <w:outlineLvl w:val="6"/>
    </w:pPr>
    <w:rPr>
      <w:b/>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styleId="NormalIndent">
    <w:name w:val="Normal Indent"/>
    <w:basedOn w:val="Normal"/>
    <w:link w:val="a2"/>
    <w:qFormat/>
    <w:rsid w:val="005B6786"/>
    <w:pPr>
      <w:spacing w:line="360" w:lineRule="auto"/>
      <w:ind w:firstLine="420" w:firstLineChars="200"/>
    </w:pPr>
    <w:rPr>
      <w:sz w:val="24"/>
      <w:szCs w:val="24"/>
    </w:rPr>
  </w:style>
  <w:style w:type="character" w:customStyle="1" w:styleId="a2">
    <w:name w:val="正文缩进 字符"/>
    <w:link w:val="NormalIndent"/>
    <w:qFormat/>
    <w:rsid w:val="005B6786"/>
    <w:rPr>
      <w:kern w:val="2"/>
      <w:sz w:val="24"/>
      <w:szCs w:val="24"/>
      <w:lang w:eastAsia="zh-CN"/>
    </w:rPr>
  </w:style>
  <w:style w:type="character" w:customStyle="1" w:styleId="5">
    <w:name w:val="标题 5 字符"/>
    <w:basedOn w:val="DefaultParagraphFont"/>
    <w:link w:val="Heading5"/>
    <w:qFormat/>
    <w:rsid w:val="005B6786"/>
    <w:rPr>
      <w:b/>
      <w:bCs/>
      <w:kern w:val="2"/>
      <w:sz w:val="24"/>
      <w:szCs w:val="28"/>
      <w:lang w:eastAsia="zh-CN"/>
    </w:rPr>
  </w:style>
  <w:style w:type="character" w:customStyle="1" w:styleId="7">
    <w:name w:val="标题 7 字符"/>
    <w:basedOn w:val="DefaultParagraphFont"/>
    <w:link w:val="Heading7"/>
    <w:qFormat/>
    <w:rsid w:val="005B6786"/>
    <w:rPr>
      <w:b/>
      <w:kern w:val="2"/>
      <w:sz w:val="24"/>
      <w:szCs w:val="24"/>
      <w:lang w:eastAsia="zh-CN"/>
    </w:rPr>
  </w:style>
  <w:style w:type="paragraph" w:styleId="BodyTextIndent">
    <w:name w:val="Body Text Indent"/>
    <w:basedOn w:val="Normal"/>
    <w:link w:val="a3"/>
    <w:rsid w:val="005B6786"/>
    <w:pPr>
      <w:spacing w:after="120"/>
      <w:ind w:left="420" w:leftChars="200"/>
    </w:pPr>
    <w:rPr>
      <w:rFonts w:asciiTheme="minorHAnsi" w:eastAsiaTheme="minorEastAsia" w:hAnsiTheme="minorHAnsi" w:cstheme="minorBidi"/>
      <w:szCs w:val="22"/>
    </w:rPr>
  </w:style>
  <w:style w:type="character" w:customStyle="1" w:styleId="a3">
    <w:name w:val="正文文本缩进 字符"/>
    <w:basedOn w:val="DefaultParagraphFont"/>
    <w:link w:val="BodyTextIndent"/>
    <w:rsid w:val="005B6786"/>
    <w:rPr>
      <w:rFonts w:asciiTheme="minorHAnsi" w:eastAsiaTheme="minorEastAsia" w:hAnsiTheme="minorHAnsi" w:cstheme="minorBidi"/>
      <w:kern w:val="2"/>
      <w:sz w:val="21"/>
      <w:szCs w:val="22"/>
      <w:lang w:eastAsia="zh-CN"/>
    </w:rPr>
  </w:style>
  <w:style w:type="paragraph" w:customStyle="1" w:styleId="Style851">
    <w:name w:val="_Style 851"/>
    <w:basedOn w:val="BodyTextIndent"/>
    <w:next w:val="BodyTextFirstIndent2"/>
    <w:unhideWhenUsed/>
    <w:qFormat/>
    <w:rsid w:val="005B6786"/>
    <w:pPr>
      <w:spacing w:line="360" w:lineRule="auto"/>
      <w:ind w:firstLine="420"/>
    </w:pPr>
    <w:rPr>
      <w:rFonts w:ascii="Calibri" w:eastAsia="宋体" w:hAnsi="Calibri" w:cs="Times New Roman"/>
      <w:kern w:val="0"/>
      <w:sz w:val="20"/>
      <w:szCs w:val="20"/>
    </w:rPr>
  </w:style>
  <w:style w:type="paragraph" w:styleId="BodyTextFirstIndent2">
    <w:name w:val="Body Text First Indent 2"/>
    <w:basedOn w:val="BodyTextIndent"/>
    <w:link w:val="20"/>
    <w:rsid w:val="005B6786"/>
    <w:pPr>
      <w:ind w:firstLine="420" w:firstLineChars="200"/>
    </w:pPr>
  </w:style>
  <w:style w:type="character" w:customStyle="1" w:styleId="20">
    <w:name w:val="正文首行缩进 2 字符"/>
    <w:basedOn w:val="a3"/>
    <w:link w:val="BodyTextFirstIndent2"/>
    <w:rsid w:val="005B6786"/>
  </w:style>
  <w:style w:type="paragraph" w:customStyle="1" w:styleId="B">
    <w:name w:val="B表头样式"/>
    <w:next w:val="Normal"/>
    <w:qFormat/>
    <w:rsid w:val="005B6786"/>
    <w:pPr>
      <w:jc w:val="center"/>
    </w:pPr>
    <w:rPr>
      <w:rFonts w:ascii="Calibri" w:eastAsia="黑体" w:hAnsi="Calibri"/>
      <w:b/>
      <w:kern w:val="2"/>
      <w:sz w:val="21"/>
      <w:szCs w:val="21"/>
      <w:lang w:eastAsia="zh-CN"/>
    </w:rPr>
  </w:style>
  <w:style w:type="paragraph" w:customStyle="1" w:styleId="21">
    <w:name w:val="正文字缩2字"/>
    <w:basedOn w:val="Normal"/>
    <w:link w:val="2Char"/>
    <w:qFormat/>
    <w:rsid w:val="00700A3D"/>
    <w:pPr>
      <w:spacing w:before="60" w:after="60" w:line="360" w:lineRule="auto"/>
      <w:ind w:left="200" w:firstLine="200" w:leftChars="200" w:firstLineChars="200"/>
    </w:pPr>
    <w:rPr>
      <w:sz w:val="24"/>
      <w:szCs w:val="24"/>
      <w:lang w:val="zh-CN"/>
    </w:rPr>
  </w:style>
  <w:style w:type="character" w:customStyle="1" w:styleId="2Char">
    <w:name w:val="正文字缩2字 Char"/>
    <w:link w:val="21"/>
    <w:qFormat/>
    <w:rsid w:val="00700A3D"/>
    <w:rPr>
      <w:kern w:val="2"/>
      <w:sz w:val="24"/>
      <w:szCs w:val="24"/>
      <w:lang w:val="zh-CN"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6.xml" /><Relationship Id="rId14" Type="http://schemas.openxmlformats.org/officeDocument/2006/relationships/header" Target="head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27294</Words>
  <Characters>28741</Characters>
  <Application>Microsoft Office Word</Application>
  <DocSecurity>0</DocSecurity>
  <Lines>231</Lines>
  <Paragraphs>65</Paragraphs>
  <ScaleCrop>false</ScaleCrop>
  <Company>中国气象局</Company>
  <LinksUpToDate>false</LinksUpToDate>
  <CharactersWithSpaces>28856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2026-03-17T07:28:27Z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