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2026年国家级大气成分实验室温室气体等样品分析及设备标准溯源服务</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ZQCD-26159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2026年国家级大气成分实验室温室气体等样品分析及设备标准溯源服务</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ZQCD-26159</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合同签订后365天内提供有效服务</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北京市海淀区中关村南大街46号</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2026年08月04日 00:00:00</w:t>
      </w:r>
      <w:bookmarkEnd w:id="26"/>
      <w:r>
        <w:rPr>
          <w:rFonts w:ascii="宋体" w:hint="eastAsia"/>
          <w:szCs w:val="21"/>
          <w:highlight w:val="none"/>
        </w:rPr>
        <w:t>至</w:t>
      </w:r>
      <w:bookmarkStart w:id="27" w:name="项目公告_signUpLastTime"/>
      <w:r>
        <w:rPr>
          <w:rFonts w:ascii="宋体" w:hint="eastAsia"/>
          <w:szCs w:val="21"/>
          <w:highlight w:val="none"/>
        </w:rPr>
        <w:t>2026年08月11日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2026年08月26日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迟文学</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010-58994250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中国气象局气象探测中心</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10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10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（1）标的：  2026年大气成分技术服务   ，属于  软件和信息技术服务业  行业；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是，代理服务费：2.3万元。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202.500000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202.500000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根据本项目实际情况，招标文件1.27.3第1项至第3项启动异常低价投标审查的数值标准为65%。</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(25)</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(6)</w:t>
            </w:r>
          </w:p>
        </w:tc>
        <w:tc>
          <w:tcPr/>
          <w:p>
            <w:r>
              <w:t>评审标准：</w:t>
            </w:r>
          </w:p>
          <w:p>
            <w:r>
              <w:t>1、投标人具有 ISO9000系列或GJB9001B质量管理体系认证；</w:t>
              <w:cr/>
              <w:t>2、投标人具有ISO14001环境管理体系认证；</w:t>
              <w:cr/>
              <w:t>3、投标人具有ISO45001职业健康管理体系认证；</w:t>
              <w:cr/>
              <w:t>每提供1个得2分，最高得6分。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投标人提供投标截止日前三年内用户出具的与本项目类似的服务项目评价良好的证明文件（包括用户单位联系人、联系方式），并加盖投标人公章。</w:t>
            </w:r>
          </w:p>
          <w:p/>
        </w:tc>
      </w:tr>
      <w:tr>
        <w:tblPrEx>
          <w:tblW w:w="5000" w:type="pct"/>
          <w:tblCellMar>
            <w:left w:w="108" w:type="dxa"/>
            <w:right w:w="108" w:type="dxa"/>
          </w:tblCellMar>
        </w:tblPrEx>
        <w:tc>
          <w:tcPr/>
          <w:p>
            <w:r>
              <w:t>5</w:t>
            </w:r>
          </w:p>
        </w:tc>
        <w:tc>
          <w:tcPr>
            <w:vMerge/>
          </w:tcPr>
          <w:p>
            <w:r>
              <w:t>服务部分</w:t>
            </w:r>
          </w:p>
        </w:tc>
        <w:tc>
          <w:tcPr/>
          <w:p>
            <w:r>
              <w:t>服务团队（客观分）</w:t>
            </w:r>
          </w:p>
        </w:tc>
        <w:tc>
          <w:tcPr/>
          <w:p>
            <w:r>
              <w:t>区间打分</w:t>
            </w:r>
            <w:r>
              <w:t>(20)</w:t>
            </w:r>
          </w:p>
        </w:tc>
        <w:tc>
          <w:tcPr/>
          <w:p>
            <w:r>
              <w:t>评审标准：</w:t>
            </w:r>
          </w:p>
          <w:p>
            <w:r>
              <w:t>投标人应组成本项目服务团队，团队组织结构清晰，应设服务团队负责人（项目经理），人员专业背景齐全。具体如下：</w:t>
              <w:cr/>
              <w:t>1、应组成服务团队，服务团队10人及以上的得4分，否则不得分；</w:t>
              <w:cr/>
              <w:t>2、项目经理有气象类（或环境类或电子类或化学类或生物类）高级专业技术职称，2年以上与本项目类似（样品分析或设备巡检或设备标校）项目的工作经历。同时满足得4分，否则不得分；</w:t>
              <w:cr/>
              <w:t>3、除项目经理外，服务团队中每有1人具有气象类（或环境类或电子类或化学类或生物类）高级专业技术职称 得 2分，每有1人具有气象类（或环境类或电子类或化学类或生物类）中级专业技术职称得1分，最多得8 分；</w:t>
              <w:cr/>
              <w:t>4、除项目经理外，服务团队中每有1人具有2年以上与本项目类似（样品分析或设备巡检或设备标校）项目的工作经历，得1分，最多得4分。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质量保障与实施方案（主观分）</w:t>
            </w:r>
          </w:p>
        </w:tc>
        <w:tc>
          <w:tcPr/>
          <w:p>
            <w:r>
              <w:t>勾选打分</w:t>
            </w:r>
            <w:r>
              <w:t>(3)</w:t>
            </w:r>
          </w:p>
        </w:tc>
        <w:tc>
          <w:tcPr/>
          <w:p>
            <w:r>
              <w:t>评审标准：</w:t>
            </w:r>
          </w:p>
          <w:p>
            <w:r>
              <w:t>一档0分</w:t>
              <w:cr/>
              <w:t>二档1分</w:t>
              <w:cr/>
              <w:t>三档2分</w:t>
              <w:cr/>
              <w:t>四档3分</w:t>
            </w:r>
          </w:p>
          <w:p>
            <w:r>
              <w:t>评审标准说明：</w:t>
            </w:r>
          </w:p>
          <w:p>
            <w:r>
              <w:t>提供质量保障与实施方案，提出合理的项目全过程质量保证措施，过程检查有明确依据，质量保证工作量化。</w:t>
              <w:cr/>
              <w:t>一档：未提供方案；</w:t>
              <w:cr/>
              <w:t>二档：方案不完整，无针对性，合理性、可行性差；</w:t>
              <w:cr/>
              <w:t>三档：方案内容较完整，但详细程度一般，进度控制保证措施针对性、合理性、可行性一般。</w:t>
              <w:cr/>
              <w:t>四档：方案内容完整详实，项目组织机构清晰，进度控制保证措施针对性强，切实可行。</w:t>
            </w:r>
          </w:p>
          <w:p/>
        </w:tc>
      </w:tr>
      <w:tr>
        <w:tblPrEx>
          <w:tblW w:w="5000" w:type="pct"/>
          <w:tblCellMar>
            <w:left w:w="108" w:type="dxa"/>
            <w:right w:w="108" w:type="dxa"/>
          </w:tblCellMar>
        </w:tblPrEx>
        <w:tc>
          <w:tcPr/>
          <w:p>
            <w:r>
              <w:t>7</w:t>
            </w:r>
          </w:p>
        </w:tc>
        <w:tc>
          <w:tcPr>
            <w:vMerge/>
          </w:tcPr>
          <w:p>
            <w:r>
              <w:t>服务部分</w:t>
            </w:r>
          </w:p>
        </w:tc>
        <w:tc>
          <w:tcPr/>
          <w:p>
            <w:r>
              <w:t>项目需求分析</w:t>
            </w:r>
          </w:p>
        </w:tc>
        <w:tc>
          <w:tcPr/>
          <w:p>
            <w:r>
              <w:t>勾选打分</w:t>
            </w:r>
            <w:r>
              <w:t>(3)</w:t>
            </w:r>
          </w:p>
        </w:tc>
        <w:tc>
          <w:tcPr/>
          <w:p>
            <w:r>
              <w:t>评审标准：</w:t>
            </w:r>
          </w:p>
          <w:p>
            <w:r>
              <w:t>一档0分</w:t>
              <w:cr/>
              <w:t>二档1分</w:t>
              <w:cr/>
              <w:t>三档2分</w:t>
              <w:cr/>
              <w:t>四档3分</w:t>
            </w:r>
          </w:p>
          <w:p>
            <w:r>
              <w:t>评审标准说明：</w:t>
            </w:r>
          </w:p>
          <w:p>
            <w:r>
              <w:t>根据投标人提供项目需求分析材料进行评分。具体评分标准如下：</w:t>
              <w:cr/>
              <w:t>一档：未提供分析报告。</w:t>
              <w:cr/>
              <w:t>二档：对项目范围和内容及用户总体需求理解有一定偏差，描述简单。</w:t>
              <w:cr/>
              <w:t>三档：对项目范围和内容及用户总体需求分析无偏差，但描述简单、不清晰。</w:t>
              <w:cr/>
              <w:t>四档：对项目范围和内容及用户总体需求分析无偏差，描述详实、清晰。</w:t>
            </w:r>
          </w:p>
          <w:p/>
        </w:tc>
      </w:tr>
      <w:tr>
        <w:tblPrEx>
          <w:tblW w:w="5000" w:type="pct"/>
          <w:tblCellMar>
            <w:left w:w="108" w:type="dxa"/>
            <w:right w:w="108" w:type="dxa"/>
          </w:tblCellMar>
        </w:tblPrEx>
        <w:tc>
          <w:tcPr/>
          <w:p>
            <w:r>
              <w:t>8</w:t>
            </w:r>
          </w:p>
        </w:tc>
        <w:tc>
          <w:tcPr>
            <w:vMerge/>
          </w:tcPr>
          <w:p>
            <w:r>
              <w:t>服务部分</w:t>
            </w:r>
          </w:p>
        </w:tc>
        <w:tc>
          <w:tcPr/>
          <w:p>
            <w:r>
              <w:t>总体服务方案</w:t>
            </w:r>
          </w:p>
        </w:tc>
        <w:tc>
          <w:tcPr/>
          <w:p>
            <w:r>
              <w:t>勾选打分</w:t>
            </w:r>
            <w:r>
              <w:t>(5)</w:t>
            </w:r>
          </w:p>
        </w:tc>
        <w:tc>
          <w:tcPr/>
          <w:p>
            <w:r>
              <w:t>评审标准：</w:t>
            </w:r>
          </w:p>
          <w:p>
            <w:r>
              <w:t>一档0分</w:t>
              <w:cr/>
              <w:t>二档1分</w:t>
              <w:cr/>
              <w:t>三档3分</w:t>
              <w:cr/>
              <w:t>四档5分</w:t>
            </w:r>
          </w:p>
          <w:p>
            <w:r>
              <w:t>评审标准说明：</w:t>
            </w:r>
          </w:p>
          <w:p>
            <w: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具体服务方案（主观分）</w:t>
            </w:r>
          </w:p>
        </w:tc>
        <w:tc>
          <w:tcPr/>
          <w:p>
            <w:r>
              <w:t>区间打分</w:t>
            </w:r>
            <w:r>
              <w:t>(20)</w:t>
            </w:r>
          </w:p>
        </w:tc>
        <w:tc>
          <w:tcPr/>
          <w:p>
            <w:r>
              <w:t>评审标准：</w:t>
            </w:r>
          </w:p>
          <w:p>
            <w:r>
              <w:t>针对以下每项服务内容提交具体服务技术方案：</w:t>
              <w:cr/>
              <w:t>1、样品分析；</w:t>
              <w:cr/>
              <w:t>2、设备标校、维护和比对测试；</w:t>
              <w:cr/>
              <w:t>3、运行维护；</w:t>
              <w:cr/>
              <w:t>4、设备的年度维护；</w:t>
              <w:cr/>
              <w:t>以上每项服务内容：</w:t>
              <w:cr/>
              <w:t>一档0分</w:t>
              <w:cr/>
              <w:t>二档1分</w:t>
              <w:cr/>
              <w:t>三档3分</w:t>
              <w:cr/>
              <w:t>四档5分</w:t>
              <w:cr/>
              <w:t>以上共计4项服务内容，满分20分。</w:t>
            </w:r>
          </w:p>
          <w:p>
            <w:r>
              <w:t>评审标准说明：</w:t>
            </w:r>
          </w:p>
          <w:p>
            <w:r>
              <w:t>根据投标人提供具体服务方案进行评分。具体评分标准如下：</w:t>
              <w:cr/>
              <w:t>一档：未提供方案。</w:t>
              <w:cr/>
              <w:t>二档：方案不完整，无针对性。</w:t>
              <w:cr/>
              <w:t>二档：方案简单，基本合理，针对性一般，基本满足招标文件要求。</w:t>
              <w:cr/>
              <w:t>四档：方案详细具体合理，针对性强，完全满足招标文件要求。</w:t>
            </w:r>
          </w:p>
          <w:p/>
        </w:tc>
      </w:tr>
      <w:tr>
        <w:tblPrEx>
          <w:tblW w:w="5000" w:type="pct"/>
          <w:tblCellMar>
            <w:left w:w="108" w:type="dxa"/>
            <w:right w:w="108" w:type="dxa"/>
          </w:tblCellMar>
        </w:tblPrEx>
        <w:tc>
          <w:tcPr/>
          <w:p>
            <w:r>
              <w:t>10</w:t>
            </w:r>
          </w:p>
        </w:tc>
        <w:tc>
          <w:tcPr>
            <w:vMerge/>
          </w:tcPr>
          <w:p>
            <w:r>
              <w:t>服务部分</w:t>
            </w:r>
          </w:p>
        </w:tc>
        <w:tc>
          <w:tcPr/>
          <w:p>
            <w:r>
              <w:t>针对本项目的合理化建议（主观分）</w:t>
            </w:r>
          </w:p>
        </w:tc>
        <w:tc>
          <w:tcPr/>
          <w:p>
            <w:r>
              <w:t>勾选打分</w:t>
            </w:r>
            <w:r>
              <w:t>(2)</w:t>
            </w:r>
          </w:p>
        </w:tc>
        <w:tc>
          <w:tcPr/>
          <w:p>
            <w:r>
              <w:t>评审标准：</w:t>
            </w:r>
          </w:p>
          <w:p>
            <w:r>
              <w:t>每提供一条合理化建议得1分，满分2分。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11</w:t>
            </w:r>
          </w:p>
        </w:tc>
        <w:tc>
          <w:tcPr>
            <w:vMerge/>
          </w:tcPr>
          <w:p>
            <w:r>
              <w:t>服务部分</w:t>
            </w:r>
          </w:p>
        </w:tc>
        <w:tc>
          <w:tcPr/>
          <w:p>
            <w:r>
              <w:t>风险管理方案（主观分）</w:t>
            </w:r>
          </w:p>
        </w:tc>
        <w:tc>
          <w:tcPr/>
          <w:p>
            <w:r>
              <w:t>勾选打分</w:t>
            </w:r>
            <w:r>
              <w:t>(2)</w:t>
            </w:r>
          </w:p>
        </w:tc>
        <w:tc>
          <w:tcPr/>
          <w:p>
            <w:r>
              <w:t>评审标准：</w:t>
            </w:r>
          </w:p>
          <w:p>
            <w:r>
              <w:t>一档0分</w:t>
              <w:cr/>
              <w:t>二档0.5分</w:t>
              <w:cr/>
              <w:t>三档1分</w:t>
              <w:cr/>
              <w:t>四档2分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rsidR="00A77B3E">
      <w:bookmarkEnd w:id="57"/>
    </w:p>
    <w:p>
      <w:pPr>
        <w:pStyle w:val="2"/>
        <w:keepNext w:val="0"/>
        <w:keepLines w:val="0"/>
        <w:numPr>
          <w:ilvl w:val="0"/>
          <w:numId w:val="0"/>
        </w:numPr>
        <w:spacing w:before="156" w:beforeLines="50" w:after="0" w:line="360" w:lineRule="auto"/>
        <w:jc w:val="center"/>
        <w:rPr>
          <w:b/>
          <w:color w:val="auto"/>
          <w:sz w:val="30"/>
          <w:szCs w:val="30"/>
        </w:rPr>
      </w:pPr>
      <w:r>
        <w:rPr>
          <w:rFonts w:ascii="Times New Roman" w:hAnsi="Times New Roman"/>
          <w:b w:val="0"/>
          <w:bCs/>
          <w:color w:val="auto"/>
          <w:szCs w:val="21"/>
          <w:highlight w:val="none"/>
        </w:rPr>
        <w:br w:type="page"/>
      </w:r>
      <w:bookmarkStart w:id="58" w:name="插入_采购需求书"/>
      <w:r>
        <w:rPr>
          <w:rFonts w:hint="eastAsia"/>
          <w:b/>
          <w:color w:val="auto"/>
          <w:sz w:val="30"/>
          <w:szCs w:val="30"/>
        </w:rPr>
        <w:t>第七章  采购需求</w:t>
      </w:r>
    </w:p>
    <w:p>
      <w:pPr>
        <w:spacing w:line="360" w:lineRule="auto"/>
        <w:rPr>
          <w:rFonts w:ascii="宋体" w:hAnsi="宋体"/>
          <w:szCs w:val="21"/>
        </w:rPr>
      </w:pPr>
      <w:r>
        <w:rPr>
          <w:rFonts w:ascii="宋体" w:hAnsi="宋体" w:hint="eastAsia"/>
          <w:szCs w:val="21"/>
        </w:rPr>
        <w:t>一、</w:t>
      </w:r>
      <w:r>
        <w:rPr>
          <w:rFonts w:ascii="宋体" w:hAnsi="宋体" w:hint="eastAsia"/>
          <w:b/>
          <w:bCs/>
          <w:szCs w:val="21"/>
        </w:rPr>
        <w:t>项目概况及总体要求</w:t>
      </w:r>
    </w:p>
    <w:p>
      <w:pPr>
        <w:spacing w:line="360" w:lineRule="auto"/>
        <w:ind w:firstLine="420" w:firstLineChars="200"/>
        <w:rPr>
          <w:rFonts w:ascii="宋体" w:hAnsi="宋体"/>
          <w:szCs w:val="21"/>
        </w:rPr>
      </w:pPr>
      <w:r>
        <w:rPr>
          <w:rFonts w:ascii="宋体" w:hAnsi="宋体" w:hint="eastAsia"/>
          <w:szCs w:val="21"/>
        </w:rPr>
        <w:t>采购人承担中国气象局大气成分观测业务样品分析、实验室分析设备维修和国家级台站的设备巡检及标校等任务。因业务需要，将部分常规性业务工作进行社会化服务外包，外包的业务工作将在采购人专家技术人员的监督指导下进行。</w:t>
      </w:r>
    </w:p>
    <w:p>
      <w:pPr>
        <w:spacing w:line="360" w:lineRule="auto"/>
        <w:ind w:firstLine="420" w:firstLineChars="200"/>
        <w:rPr>
          <w:rFonts w:ascii="宋体" w:hAnsi="宋体"/>
          <w:szCs w:val="21"/>
        </w:rPr>
      </w:pPr>
      <w:r>
        <w:rPr>
          <w:rFonts w:ascii="宋体" w:hAnsi="宋体" w:hint="eastAsia"/>
          <w:szCs w:val="21"/>
        </w:rPr>
        <w:t>供应商指派</w:t>
      </w:r>
      <w:r>
        <w:rPr>
          <w:rFonts w:ascii="宋体" w:hAnsi="宋体"/>
          <w:szCs w:val="21"/>
        </w:rPr>
        <w:t>符合</w:t>
      </w:r>
      <w:r>
        <w:rPr>
          <w:rFonts w:ascii="宋体" w:hAnsi="宋体" w:hint="eastAsia"/>
          <w:szCs w:val="21"/>
        </w:rPr>
        <w:t>条件</w:t>
      </w:r>
      <w:r>
        <w:rPr>
          <w:rFonts w:ascii="宋体" w:hAnsi="宋体"/>
          <w:szCs w:val="21"/>
        </w:rPr>
        <w:t>的技术人员</w:t>
      </w:r>
      <w:r>
        <w:rPr>
          <w:rFonts w:ascii="宋体" w:hAnsi="宋体" w:hint="eastAsia"/>
          <w:szCs w:val="21"/>
        </w:rPr>
        <w:t>利用采购人提供的实验室条件、仪器设备条件和备件耗材等</w:t>
      </w:r>
      <w:r>
        <w:rPr>
          <w:rFonts w:ascii="宋体" w:hAnsi="宋体"/>
          <w:szCs w:val="21"/>
        </w:rPr>
        <w:t>相关</w:t>
      </w:r>
      <w:r>
        <w:rPr>
          <w:rFonts w:ascii="宋体" w:hAnsi="宋体" w:hint="eastAsia"/>
          <w:szCs w:val="21"/>
        </w:rPr>
        <w:t>条件，按照《大气成分观测业务规范》、《大气成分观测业务技术手册》和《大气成分观测业务运行管理暂行规定》要求，完成大气成分观测业务样品分析、实验室数据整编、初级质量控制、设备标校等。</w:t>
      </w:r>
    </w:p>
    <w:p>
      <w:pPr>
        <w:spacing w:line="360" w:lineRule="auto"/>
        <w:ind w:firstLine="420" w:firstLineChars="200"/>
        <w:rPr>
          <w:rFonts w:ascii="宋体" w:hAnsi="宋体"/>
          <w:szCs w:val="21"/>
        </w:rPr>
      </w:pPr>
      <w:r>
        <w:rPr>
          <w:rFonts w:ascii="宋体" w:hAnsi="宋体" w:hint="eastAsia"/>
          <w:color w:val="000000"/>
          <w:szCs w:val="21"/>
        </w:rPr>
        <w:t>特别指出，</w:t>
      </w:r>
      <w:r>
        <w:rPr>
          <w:rFonts w:ascii="宋体" w:hAnsi="宋体" w:hint="eastAsia"/>
          <w:szCs w:val="21"/>
        </w:rPr>
        <w:t>供应商</w:t>
      </w:r>
      <w:r>
        <w:rPr>
          <w:rFonts w:ascii="宋体" w:hAnsi="宋体" w:hint="eastAsia"/>
          <w:color w:val="000000"/>
          <w:szCs w:val="21"/>
        </w:rPr>
        <w:t>不能以任何理由（除不可抗力外）导致业务中断。</w:t>
      </w:r>
    </w:p>
    <w:p>
      <w:pPr>
        <w:pStyle w:val="Z2"/>
        <w:numPr>
          <w:ilvl w:val="0"/>
          <w:numId w:val="0"/>
        </w:numPr>
        <w:rPr>
          <w:rFonts w:ascii="宋体" w:eastAsia="宋体" w:hAnsi="宋体"/>
          <w:sz w:val="21"/>
          <w:szCs w:val="21"/>
        </w:rPr>
      </w:pPr>
      <w:r>
        <w:rPr>
          <w:rFonts w:ascii="宋体" w:eastAsia="宋体" w:hAnsi="宋体" w:hint="eastAsia"/>
          <w:sz w:val="21"/>
          <w:szCs w:val="21"/>
        </w:rPr>
        <w:t>二、项目内容和要求</w:t>
      </w:r>
    </w:p>
    <w:p>
      <w:pPr>
        <w:pStyle w:val="Z3"/>
        <w:numPr>
          <w:ilvl w:val="0"/>
          <w:numId w:val="0"/>
        </w:numPr>
        <w:ind w:left="848" w:hanging="422" w:leftChars="203" w:hangingChars="201"/>
        <w:rPr>
          <w:rFonts w:ascii="宋体" w:hAnsi="宋体"/>
          <w:sz w:val="21"/>
          <w:szCs w:val="21"/>
        </w:rPr>
      </w:pPr>
      <w:r>
        <w:rPr>
          <w:rFonts w:ascii="宋体" w:hAnsi="宋体" w:hint="eastAsia"/>
          <w:sz w:val="21"/>
          <w:szCs w:val="21"/>
        </w:rPr>
        <w:t>1、样</w:t>
      </w:r>
      <w:r>
        <w:rPr>
          <w:rFonts w:ascii="宋体" w:hAnsi="宋体"/>
          <w:sz w:val="21"/>
          <w:szCs w:val="21"/>
        </w:rPr>
        <w:t>品分析</w:t>
      </w:r>
    </w:p>
    <w:p>
      <w:pPr>
        <w:spacing w:line="360" w:lineRule="auto"/>
        <w:ind w:firstLine="420" w:firstLineChars="200"/>
        <w:rPr>
          <w:rFonts w:ascii="宋体" w:hAnsi="宋体"/>
          <w:szCs w:val="21"/>
        </w:rPr>
      </w:pPr>
      <w:r>
        <w:rPr>
          <w:rFonts w:ascii="宋体" w:hAnsi="宋体" w:hint="eastAsia"/>
          <w:szCs w:val="21"/>
        </w:rPr>
        <w:t>观测业务样品主要包括气溶胶、温室气体、反应性气体、酸雨和降水化学等，种类和频次如下：</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38"/>
        <w:gridCol w:w="1522"/>
        <w:gridCol w:w="3848"/>
        <w:gridCol w:w="1156"/>
        <w:gridCol w:w="1439"/>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blHeader/>
        </w:trPr>
        <w:tc>
          <w:tcPr>
            <w:tcW w:w="577" w:type="pct"/>
            <w:vAlign w:val="center"/>
          </w:tcPr>
          <w:p>
            <w:pPr>
              <w:jc w:val="center"/>
              <w:rPr>
                <w:rFonts w:ascii="宋体" w:hAnsi="宋体"/>
                <w:szCs w:val="21"/>
              </w:rPr>
            </w:pPr>
            <w:r>
              <w:rPr>
                <w:rFonts w:ascii="宋体" w:hAnsi="宋体" w:cs="宋体" w:hint="eastAsia"/>
                <w:b/>
                <w:szCs w:val="21"/>
              </w:rPr>
              <w:t>类别</w:t>
            </w:r>
          </w:p>
        </w:tc>
        <w:tc>
          <w:tcPr>
            <w:tcW w:w="845" w:type="pct"/>
            <w:vAlign w:val="center"/>
          </w:tcPr>
          <w:p>
            <w:pPr>
              <w:jc w:val="center"/>
              <w:rPr>
                <w:rFonts w:ascii="宋体" w:hAnsi="宋体"/>
                <w:szCs w:val="21"/>
              </w:rPr>
            </w:pPr>
            <w:r>
              <w:rPr>
                <w:rFonts w:ascii="宋体" w:hAnsi="宋体" w:cs="宋体" w:hint="eastAsia"/>
                <w:b/>
                <w:szCs w:val="21"/>
              </w:rPr>
              <w:t>主要内容</w:t>
            </w:r>
          </w:p>
        </w:tc>
        <w:tc>
          <w:tcPr>
            <w:tcW w:w="2137" w:type="pct"/>
            <w:vAlign w:val="center"/>
          </w:tcPr>
          <w:p>
            <w:pPr>
              <w:jc w:val="center"/>
              <w:rPr>
                <w:rFonts w:ascii="宋体" w:hAnsi="宋体"/>
                <w:szCs w:val="21"/>
              </w:rPr>
            </w:pPr>
            <w:r>
              <w:rPr>
                <w:rFonts w:ascii="宋体" w:hAnsi="宋体" w:cs="宋体" w:hint="eastAsia"/>
                <w:b/>
                <w:szCs w:val="21"/>
              </w:rPr>
              <w:t>观测要素</w:t>
            </w:r>
          </w:p>
        </w:tc>
        <w:tc>
          <w:tcPr>
            <w:tcW w:w="642" w:type="pct"/>
            <w:vAlign w:val="center"/>
          </w:tcPr>
          <w:p>
            <w:pPr>
              <w:jc w:val="center"/>
              <w:rPr>
                <w:rFonts w:ascii="宋体" w:hAnsi="宋体"/>
                <w:szCs w:val="21"/>
              </w:rPr>
            </w:pPr>
            <w:r>
              <w:rPr>
                <w:rFonts w:ascii="宋体" w:hAnsi="宋体" w:cs="宋体" w:hint="eastAsia"/>
                <w:b/>
                <w:szCs w:val="21"/>
              </w:rPr>
              <w:t>频次</w:t>
            </w:r>
          </w:p>
        </w:tc>
        <w:tc>
          <w:tcPr>
            <w:tcW w:w="799" w:type="pct"/>
            <w:vAlign w:val="center"/>
          </w:tcPr>
          <w:p>
            <w:pPr>
              <w:jc w:val="center"/>
              <w:rPr>
                <w:rFonts w:ascii="宋体" w:hAnsi="宋体"/>
                <w:szCs w:val="21"/>
              </w:rPr>
            </w:pPr>
            <w:r>
              <w:rPr>
                <w:rFonts w:ascii="宋体" w:hAnsi="宋体" w:cs="宋体" w:hint="eastAsia"/>
                <w:b/>
                <w:szCs w:val="21"/>
              </w:rPr>
              <w:t>备注</w:t>
            </w:r>
          </w:p>
        </w:tc>
      </w:tr>
      <w:tr>
        <w:tblPrEx>
          <w:tblW w:w="5000" w:type="pct"/>
          <w:tblInd w:w="0" w:type="dxa"/>
          <w:tblLayout w:type="fixed"/>
          <w:tblCellMar>
            <w:top w:w="0" w:type="dxa"/>
            <w:left w:w="108" w:type="dxa"/>
            <w:bottom w:w="0" w:type="dxa"/>
            <w:right w:w="108" w:type="dxa"/>
          </w:tblCellMar>
        </w:tblPrEx>
        <w:tc>
          <w:tcPr>
            <w:tcW w:w="577" w:type="pct"/>
            <w:vAlign w:val="center"/>
          </w:tcPr>
          <w:p>
            <w:pPr>
              <w:rPr>
                <w:rFonts w:ascii="宋体" w:hAnsi="宋体"/>
                <w:szCs w:val="21"/>
              </w:rPr>
            </w:pPr>
            <w:r>
              <w:rPr>
                <w:rFonts w:ascii="宋体" w:hAnsi="宋体" w:hint="eastAsia"/>
                <w:szCs w:val="21"/>
              </w:rPr>
              <w:t>气溶胶</w:t>
            </w:r>
          </w:p>
        </w:tc>
        <w:tc>
          <w:tcPr>
            <w:tcW w:w="845" w:type="pct"/>
            <w:vAlign w:val="center"/>
          </w:tcPr>
          <w:p>
            <w:pPr>
              <w:rPr>
                <w:rFonts w:ascii="宋体" w:hAnsi="宋体"/>
                <w:szCs w:val="21"/>
              </w:rPr>
            </w:pPr>
            <w:r>
              <w:rPr>
                <w:rFonts w:ascii="宋体" w:hAnsi="宋体" w:cs="宋体" w:hint="eastAsia"/>
                <w:szCs w:val="21"/>
              </w:rPr>
              <w:t>滤膜准备与化学成分分析</w:t>
            </w:r>
          </w:p>
        </w:tc>
        <w:tc>
          <w:tcPr>
            <w:tcW w:w="2137" w:type="pct"/>
            <w:vAlign w:val="center"/>
          </w:tcPr>
          <w:p>
            <w:pPr>
              <w:rPr>
                <w:rFonts w:ascii="宋体" w:hAnsi="宋体"/>
                <w:szCs w:val="21"/>
              </w:rPr>
            </w:pPr>
            <w:r>
              <w:rPr>
                <w:rFonts w:ascii="宋体" w:hAnsi="宋体" w:cs="宋体" w:hint="eastAsia"/>
                <w:szCs w:val="21"/>
              </w:rPr>
              <w:t>有机碳（</w:t>
            </w:r>
            <w:r>
              <w:rPr>
                <w:rFonts w:ascii="宋体" w:hAnsi="宋体" w:cs="宋体"/>
                <w:szCs w:val="21"/>
              </w:rPr>
              <w:t>OC）、元素碳（EC）、钾离子（K</w:t>
            </w:r>
            <w:r>
              <w:rPr>
                <w:rFonts w:ascii="宋体" w:hAnsi="宋体" w:cs="宋体"/>
                <w:szCs w:val="21"/>
                <w:vertAlign w:val="superscript"/>
              </w:rPr>
              <w:t>+</w:t>
            </w:r>
            <w:r>
              <w:rPr>
                <w:rFonts w:ascii="宋体" w:hAnsi="宋体" w:cs="宋体" w:hint="eastAsia"/>
                <w:szCs w:val="21"/>
              </w:rPr>
              <w:t>）、钠离子（</w:t>
            </w:r>
            <w:r>
              <w:rPr>
                <w:rFonts w:ascii="宋体" w:hAnsi="宋体" w:cs="宋体"/>
                <w:szCs w:val="21"/>
              </w:rPr>
              <w:t>Na</w:t>
            </w:r>
            <w:r>
              <w:rPr>
                <w:rFonts w:ascii="宋体" w:hAnsi="宋体" w:cs="宋体"/>
                <w:szCs w:val="21"/>
                <w:vertAlign w:val="superscript"/>
              </w:rPr>
              <w:t>+</w:t>
            </w:r>
            <w:r>
              <w:rPr>
                <w:rFonts w:ascii="宋体" w:hAnsi="宋体" w:cs="宋体" w:hint="eastAsia"/>
                <w:szCs w:val="21"/>
              </w:rPr>
              <w:t>）、铵离子（</w:t>
            </w:r>
            <w:r>
              <w:rPr>
                <w:rFonts w:ascii="宋体" w:hAnsi="宋体" w:cs="宋体"/>
                <w:szCs w:val="21"/>
              </w:rPr>
              <w:t>NH</w:t>
            </w:r>
            <w:r>
              <w:rPr>
                <w:rFonts w:ascii="宋体" w:hAnsi="宋体" w:cs="宋体"/>
                <w:szCs w:val="21"/>
                <w:vertAlign w:val="subscript"/>
              </w:rPr>
              <w:t>4</w:t>
            </w:r>
            <w:r>
              <w:rPr>
                <w:rFonts w:ascii="宋体" w:hAnsi="宋体" w:cs="宋体"/>
                <w:szCs w:val="21"/>
                <w:vertAlign w:val="superscript"/>
              </w:rPr>
              <w:t>+</w:t>
            </w:r>
            <w:r>
              <w:rPr>
                <w:rFonts w:ascii="宋体" w:hAnsi="宋体" w:cs="宋体" w:hint="eastAsia"/>
                <w:szCs w:val="21"/>
              </w:rPr>
              <w:t>）、钙离子（</w:t>
            </w:r>
            <w:r>
              <w:rPr>
                <w:rFonts w:ascii="宋体" w:hAnsi="宋体" w:cs="宋体"/>
                <w:szCs w:val="21"/>
              </w:rPr>
              <w:t>Ca</w:t>
            </w:r>
            <w:r>
              <w:rPr>
                <w:rFonts w:ascii="宋体" w:hAnsi="宋体" w:cs="宋体"/>
                <w:szCs w:val="21"/>
                <w:vertAlign w:val="superscript"/>
              </w:rPr>
              <w:t>2+</w:t>
            </w:r>
            <w:r>
              <w:rPr>
                <w:rFonts w:ascii="宋体" w:hAnsi="宋体" w:cs="宋体" w:hint="eastAsia"/>
                <w:szCs w:val="21"/>
              </w:rPr>
              <w:t>）、镁离子（</w:t>
            </w:r>
            <w:r>
              <w:rPr>
                <w:rFonts w:ascii="宋体" w:hAnsi="宋体" w:cs="宋体"/>
                <w:szCs w:val="21"/>
              </w:rPr>
              <w:t>Mg</w:t>
            </w:r>
            <w:r>
              <w:rPr>
                <w:rFonts w:ascii="宋体" w:hAnsi="宋体" w:cs="宋体"/>
                <w:szCs w:val="21"/>
                <w:vertAlign w:val="superscript"/>
              </w:rPr>
              <w:t>2+</w:t>
            </w:r>
            <w:r>
              <w:rPr>
                <w:rFonts w:ascii="宋体" w:hAnsi="宋体" w:cs="宋体" w:hint="eastAsia"/>
                <w:szCs w:val="21"/>
              </w:rPr>
              <w:t>）、氯离子（</w:t>
            </w:r>
            <w:r>
              <w:rPr>
                <w:rFonts w:ascii="宋体" w:hAnsi="宋体" w:cs="宋体"/>
                <w:szCs w:val="21"/>
              </w:rPr>
              <w:t>Cl</w:t>
            </w:r>
            <w:r>
              <w:rPr>
                <w:rFonts w:ascii="宋体" w:hAnsi="宋体" w:cs="宋体"/>
                <w:szCs w:val="21"/>
                <w:vertAlign w:val="superscript"/>
              </w:rPr>
              <w:t>-</w:t>
            </w:r>
            <w:r>
              <w:rPr>
                <w:rFonts w:ascii="宋体" w:hAnsi="宋体" w:cs="宋体" w:hint="eastAsia"/>
                <w:szCs w:val="21"/>
              </w:rPr>
              <w:t>）、硫酸根离子（</w:t>
            </w:r>
            <w:r>
              <w:rPr>
                <w:rFonts w:ascii="宋体" w:hAnsi="宋体" w:cs="宋体"/>
                <w:szCs w:val="21"/>
              </w:rPr>
              <w:t>SO</w:t>
            </w:r>
            <w:r>
              <w:rPr>
                <w:rFonts w:ascii="宋体" w:hAnsi="宋体" w:cs="宋体"/>
                <w:szCs w:val="21"/>
                <w:vertAlign w:val="subscript"/>
              </w:rPr>
              <w:t>4</w:t>
            </w:r>
            <w:r>
              <w:rPr>
                <w:rFonts w:ascii="宋体" w:hAnsi="宋体" w:cs="宋体"/>
                <w:szCs w:val="21"/>
                <w:vertAlign w:val="superscript"/>
              </w:rPr>
              <w:t>2-</w:t>
            </w:r>
            <w:r>
              <w:rPr>
                <w:rFonts w:ascii="宋体" w:hAnsi="宋体" w:cs="宋体" w:hint="eastAsia"/>
                <w:szCs w:val="21"/>
              </w:rPr>
              <w:t>）、硝酸根离子（</w:t>
            </w:r>
            <w:r>
              <w:rPr>
                <w:rFonts w:ascii="宋体" w:hAnsi="宋体" w:cs="宋体"/>
                <w:szCs w:val="21"/>
              </w:rPr>
              <w:t>NO</w:t>
            </w:r>
            <w:r>
              <w:rPr>
                <w:rFonts w:ascii="宋体" w:hAnsi="宋体" w:cs="宋体"/>
                <w:szCs w:val="21"/>
                <w:vertAlign w:val="subscript"/>
              </w:rPr>
              <w:t>3</w:t>
            </w:r>
            <w:r>
              <w:rPr>
                <w:rFonts w:ascii="宋体" w:hAnsi="宋体" w:cs="宋体"/>
                <w:szCs w:val="21"/>
                <w:vertAlign w:val="superscript"/>
              </w:rPr>
              <w:t>-</w:t>
            </w:r>
            <w:r>
              <w:rPr>
                <w:rFonts w:ascii="宋体" w:hAnsi="宋体" w:cs="宋体" w:hint="eastAsia"/>
                <w:szCs w:val="21"/>
              </w:rPr>
              <w:t>）等；以及</w:t>
            </w:r>
            <w:r>
              <w:rPr>
                <w:rFonts w:ascii="宋体" w:hAnsi="宋体" w:cs="宋体"/>
                <w:szCs w:val="21"/>
              </w:rPr>
              <w:t>K、Ca、Na、Mg、Al、Fe、Zn、P、Cu等元素浓度。</w:t>
            </w:r>
          </w:p>
        </w:tc>
        <w:tc>
          <w:tcPr>
            <w:tcW w:w="642" w:type="pct"/>
            <w:vAlign w:val="center"/>
          </w:tcPr>
          <w:p>
            <w:pPr>
              <w:rPr>
                <w:rFonts w:ascii="宋体" w:hAnsi="宋体"/>
                <w:szCs w:val="21"/>
              </w:rPr>
            </w:pPr>
            <w:r>
              <w:rPr>
                <w:rFonts w:ascii="宋体" w:hAnsi="宋体" w:cs="宋体" w:hint="eastAsia"/>
                <w:szCs w:val="21"/>
              </w:rPr>
              <w:t>2</w:t>
            </w:r>
            <w:r>
              <w:rPr>
                <w:rFonts w:ascii="宋体" w:hAnsi="宋体" w:cs="宋体"/>
                <w:szCs w:val="21"/>
              </w:rPr>
              <w:t>个/</w:t>
            </w:r>
            <w:r>
              <w:rPr>
                <w:rFonts w:ascii="宋体" w:hAnsi="宋体" w:cs="宋体" w:hint="eastAsia"/>
                <w:szCs w:val="21"/>
              </w:rPr>
              <w:t>周</w:t>
            </w:r>
          </w:p>
        </w:tc>
        <w:tc>
          <w:tcPr>
            <w:tcW w:w="799" w:type="pct"/>
            <w:vAlign w:val="center"/>
          </w:tcPr>
          <w:p>
            <w:pPr>
              <w:rPr>
                <w:rFonts w:ascii="宋体" w:hAnsi="宋体"/>
                <w:szCs w:val="21"/>
              </w:rPr>
            </w:pPr>
            <w:r>
              <w:rPr>
                <w:rFonts w:ascii="宋体" w:hAnsi="宋体" w:cs="宋体" w:hint="eastAsia"/>
                <w:szCs w:val="21"/>
              </w:rPr>
              <w:t>4</w:t>
            </w:r>
            <w:r>
              <w:rPr>
                <w:rFonts w:ascii="宋体" w:hAnsi="宋体" w:cs="宋体"/>
                <w:szCs w:val="21"/>
              </w:rPr>
              <w:t>个站</w:t>
            </w:r>
          </w:p>
        </w:tc>
      </w:tr>
      <w:tr>
        <w:tblPrEx>
          <w:tblW w:w="5000" w:type="pct"/>
          <w:tblInd w:w="0" w:type="dxa"/>
          <w:tblLayout w:type="fixed"/>
          <w:tblCellMar>
            <w:top w:w="0" w:type="dxa"/>
            <w:left w:w="108" w:type="dxa"/>
            <w:bottom w:w="0" w:type="dxa"/>
            <w:right w:w="108" w:type="dxa"/>
          </w:tblCellMar>
        </w:tblPrEx>
        <w:tc>
          <w:tcPr>
            <w:tcW w:w="577" w:type="pct"/>
            <w:vAlign w:val="center"/>
          </w:tcPr>
          <w:p>
            <w:pPr>
              <w:rPr>
                <w:rFonts w:ascii="宋体" w:hAnsi="宋体"/>
                <w:szCs w:val="21"/>
              </w:rPr>
            </w:pPr>
            <w:r>
              <w:rPr>
                <w:rFonts w:ascii="宋体" w:hAnsi="宋体" w:cs="宋体" w:hint="eastAsia"/>
                <w:szCs w:val="21"/>
              </w:rPr>
              <w:t>干湿沉降</w:t>
            </w:r>
          </w:p>
        </w:tc>
        <w:tc>
          <w:tcPr>
            <w:tcW w:w="845" w:type="pct"/>
            <w:vAlign w:val="center"/>
          </w:tcPr>
          <w:p>
            <w:pPr>
              <w:rPr>
                <w:rFonts w:ascii="宋体" w:hAnsi="宋体"/>
                <w:szCs w:val="21"/>
              </w:rPr>
            </w:pPr>
            <w:r>
              <w:rPr>
                <w:rFonts w:ascii="宋体" w:hAnsi="宋体" w:cs="宋体" w:hint="eastAsia"/>
                <w:szCs w:val="21"/>
              </w:rPr>
              <w:t>可溶性离子成分采样与分析</w:t>
            </w:r>
          </w:p>
        </w:tc>
        <w:tc>
          <w:tcPr>
            <w:tcW w:w="2137" w:type="pct"/>
            <w:vAlign w:val="center"/>
          </w:tcPr>
          <w:p>
            <w:pPr>
              <w:pStyle w:val="Default"/>
              <w:jc w:val="both"/>
              <w:rPr>
                <w:color w:val="auto"/>
                <w:sz w:val="21"/>
                <w:szCs w:val="21"/>
              </w:rPr>
            </w:pPr>
            <w:r>
              <w:rPr>
                <w:color w:val="auto"/>
                <w:sz w:val="21"/>
                <w:szCs w:val="21"/>
              </w:rPr>
              <w:t>钾离子（K</w:t>
            </w:r>
            <w:r>
              <w:rPr>
                <w:color w:val="auto"/>
                <w:sz w:val="21"/>
                <w:szCs w:val="21"/>
                <w:vertAlign w:val="superscript"/>
              </w:rPr>
              <w:t>+</w:t>
            </w:r>
            <w:r>
              <w:rPr>
                <w:color w:val="auto"/>
                <w:sz w:val="21"/>
                <w:szCs w:val="21"/>
              </w:rPr>
              <w:t>）、钠离子（Na</w:t>
            </w:r>
            <w:r>
              <w:rPr>
                <w:color w:val="auto"/>
                <w:sz w:val="21"/>
                <w:szCs w:val="21"/>
                <w:vertAlign w:val="superscript"/>
              </w:rPr>
              <w:t>+</w:t>
            </w:r>
            <w:r>
              <w:rPr>
                <w:color w:val="auto"/>
                <w:sz w:val="21"/>
                <w:szCs w:val="21"/>
              </w:rPr>
              <w:t>）、铵离子（NH</w:t>
            </w:r>
            <w:r>
              <w:rPr>
                <w:color w:val="auto"/>
                <w:sz w:val="21"/>
                <w:szCs w:val="21"/>
                <w:vertAlign w:val="subscript"/>
              </w:rPr>
              <w:t>4</w:t>
            </w:r>
            <w:r>
              <w:rPr>
                <w:color w:val="auto"/>
                <w:sz w:val="21"/>
                <w:szCs w:val="21"/>
                <w:vertAlign w:val="superscript"/>
              </w:rPr>
              <w:t>+</w:t>
            </w:r>
            <w:r>
              <w:rPr>
                <w:color w:val="auto"/>
                <w:sz w:val="21"/>
                <w:szCs w:val="21"/>
              </w:rPr>
              <w:t>）、钙离子（Ca</w:t>
            </w:r>
            <w:r>
              <w:rPr>
                <w:color w:val="auto"/>
                <w:sz w:val="21"/>
                <w:szCs w:val="21"/>
                <w:vertAlign w:val="superscript"/>
              </w:rPr>
              <w:t>2+</w:t>
            </w:r>
            <w:r>
              <w:rPr>
                <w:color w:val="auto"/>
                <w:sz w:val="21"/>
                <w:szCs w:val="21"/>
              </w:rPr>
              <w:t>）、镁离子（Mg</w:t>
            </w:r>
            <w:r>
              <w:rPr>
                <w:color w:val="auto"/>
                <w:sz w:val="21"/>
                <w:szCs w:val="21"/>
                <w:vertAlign w:val="superscript"/>
              </w:rPr>
              <w:t>2+</w:t>
            </w:r>
            <w:r>
              <w:rPr>
                <w:color w:val="auto"/>
                <w:sz w:val="21"/>
                <w:szCs w:val="21"/>
              </w:rPr>
              <w:t>）、氟离子（F</w:t>
            </w:r>
            <w:r>
              <w:rPr>
                <w:color w:val="auto"/>
                <w:sz w:val="21"/>
                <w:szCs w:val="21"/>
                <w:vertAlign w:val="superscript"/>
              </w:rPr>
              <w:t>-</w:t>
            </w:r>
            <w:r>
              <w:rPr>
                <w:color w:val="auto"/>
                <w:sz w:val="21"/>
                <w:szCs w:val="21"/>
              </w:rPr>
              <w:t>）、氯离子（Cl</w:t>
            </w:r>
            <w:r>
              <w:rPr>
                <w:color w:val="auto"/>
                <w:sz w:val="21"/>
                <w:szCs w:val="21"/>
                <w:vertAlign w:val="superscript"/>
              </w:rPr>
              <w:t>-</w:t>
            </w:r>
            <w:r>
              <w:rPr>
                <w:color w:val="auto"/>
                <w:sz w:val="21"/>
                <w:szCs w:val="21"/>
              </w:rPr>
              <w:t>）、硫酸根离子（SO</w:t>
            </w:r>
            <w:r>
              <w:rPr>
                <w:color w:val="auto"/>
                <w:sz w:val="21"/>
                <w:szCs w:val="21"/>
                <w:vertAlign w:val="subscript"/>
              </w:rPr>
              <w:t>4</w:t>
            </w:r>
            <w:r>
              <w:rPr>
                <w:color w:val="auto"/>
                <w:sz w:val="21"/>
                <w:szCs w:val="21"/>
                <w:vertAlign w:val="superscript"/>
              </w:rPr>
              <w:t>2-</w:t>
            </w:r>
            <w:r>
              <w:rPr>
                <w:color w:val="auto"/>
                <w:sz w:val="21"/>
                <w:szCs w:val="21"/>
              </w:rPr>
              <w:t>）、硝酸根离子（NO</w:t>
            </w:r>
            <w:r>
              <w:rPr>
                <w:color w:val="auto"/>
                <w:sz w:val="21"/>
                <w:szCs w:val="21"/>
                <w:vertAlign w:val="subscript"/>
              </w:rPr>
              <w:t>3</w:t>
            </w:r>
            <w:r>
              <w:rPr>
                <w:color w:val="auto"/>
                <w:sz w:val="21"/>
                <w:szCs w:val="21"/>
                <w:vertAlign w:val="superscript"/>
              </w:rPr>
              <w:t>-</w:t>
            </w:r>
            <w:r>
              <w:rPr>
                <w:color w:val="auto"/>
                <w:sz w:val="21"/>
                <w:szCs w:val="21"/>
              </w:rPr>
              <w:t>）</w:t>
            </w:r>
          </w:p>
        </w:tc>
        <w:tc>
          <w:tcPr>
            <w:tcW w:w="642" w:type="pct"/>
            <w:vAlign w:val="center"/>
          </w:tcPr>
          <w:p>
            <w:pPr>
              <w:rPr>
                <w:rFonts w:ascii="宋体" w:hAnsi="宋体"/>
                <w:szCs w:val="21"/>
              </w:rPr>
            </w:pPr>
            <w:r>
              <w:rPr>
                <w:rFonts w:ascii="宋体" w:hAnsi="宋体" w:cs="宋体" w:hint="eastAsia"/>
                <w:szCs w:val="21"/>
              </w:rPr>
              <w:t>事件</w:t>
            </w:r>
          </w:p>
        </w:tc>
        <w:tc>
          <w:tcPr>
            <w:tcW w:w="799" w:type="pct"/>
            <w:vAlign w:val="center"/>
          </w:tcPr>
          <w:p>
            <w:pPr>
              <w:rPr>
                <w:rFonts w:ascii="宋体" w:hAnsi="宋体"/>
                <w:szCs w:val="21"/>
              </w:rPr>
            </w:pPr>
            <w:r>
              <w:rPr>
                <w:rFonts w:ascii="宋体" w:hAnsi="宋体" w:cs="宋体"/>
                <w:szCs w:val="21"/>
              </w:rPr>
              <w:t>6</w:t>
            </w:r>
            <w:r>
              <w:rPr>
                <w:rFonts w:ascii="宋体" w:hAnsi="宋体" w:cs="宋体" w:hint="eastAsia"/>
                <w:szCs w:val="21"/>
              </w:rPr>
              <w:t>个本底站</w:t>
            </w:r>
          </w:p>
        </w:tc>
      </w:tr>
      <w:tr>
        <w:tblPrEx>
          <w:tblW w:w="5000" w:type="pct"/>
          <w:tblInd w:w="0" w:type="dxa"/>
          <w:tblLayout w:type="fixed"/>
          <w:tblCellMar>
            <w:top w:w="0" w:type="dxa"/>
            <w:left w:w="108" w:type="dxa"/>
            <w:bottom w:w="0" w:type="dxa"/>
            <w:right w:w="108" w:type="dxa"/>
          </w:tblCellMar>
        </w:tblPrEx>
        <w:tc>
          <w:tcPr>
            <w:tcW w:w="577" w:type="pct"/>
            <w:vAlign w:val="center"/>
          </w:tcPr>
          <w:p>
            <w:pPr>
              <w:rPr>
                <w:rFonts w:ascii="宋体" w:hAnsi="宋体"/>
                <w:szCs w:val="21"/>
              </w:rPr>
            </w:pPr>
            <w:r>
              <w:rPr>
                <w:rFonts w:ascii="宋体" w:hAnsi="宋体" w:cs="宋体" w:hint="eastAsia"/>
                <w:szCs w:val="21"/>
              </w:rPr>
              <w:t>温室气体</w:t>
            </w:r>
          </w:p>
        </w:tc>
        <w:tc>
          <w:tcPr>
            <w:tcW w:w="845" w:type="pct"/>
            <w:vAlign w:val="center"/>
          </w:tcPr>
          <w:p>
            <w:pPr>
              <w:rPr>
                <w:rFonts w:ascii="宋体" w:hAnsi="宋体"/>
                <w:szCs w:val="21"/>
              </w:rPr>
            </w:pPr>
            <w:r>
              <w:rPr>
                <w:rFonts w:ascii="宋体" w:hAnsi="宋体" w:cs="宋体"/>
                <w:szCs w:val="21"/>
              </w:rPr>
              <w:t>Flask玻璃瓶、采样罐样品分析以及配套的前后处理</w:t>
            </w:r>
          </w:p>
        </w:tc>
        <w:tc>
          <w:tcPr>
            <w:tcW w:w="2137" w:type="pct"/>
            <w:vAlign w:val="center"/>
          </w:tcPr>
          <w:p>
            <w:pPr>
              <w:rPr>
                <w:rFonts w:ascii="宋体" w:hAnsi="宋体"/>
                <w:szCs w:val="21"/>
              </w:rPr>
            </w:pPr>
            <w:r>
              <w:rPr>
                <w:rFonts w:ascii="宋体" w:hAnsi="宋体" w:cs="宋体"/>
                <w:szCs w:val="21"/>
              </w:rPr>
              <w:t>CO</w:t>
            </w:r>
            <w:r>
              <w:rPr>
                <w:rFonts w:ascii="宋体" w:hAnsi="宋体" w:cs="宋体"/>
                <w:szCs w:val="21"/>
                <w:vertAlign w:val="subscript"/>
              </w:rPr>
              <w:t>2</w:t>
            </w:r>
            <w:r>
              <w:rPr>
                <w:rFonts w:ascii="宋体" w:hAnsi="宋体" w:cs="宋体" w:hint="eastAsia"/>
                <w:szCs w:val="21"/>
              </w:rPr>
              <w:t>、</w:t>
            </w:r>
            <w:r>
              <w:rPr>
                <w:rFonts w:ascii="宋体" w:hAnsi="宋体" w:cs="宋体"/>
                <w:szCs w:val="21"/>
              </w:rPr>
              <w:t>CH</w:t>
            </w:r>
            <w:r>
              <w:rPr>
                <w:rFonts w:ascii="宋体" w:hAnsi="宋体" w:cs="宋体"/>
                <w:szCs w:val="21"/>
                <w:vertAlign w:val="subscript"/>
              </w:rPr>
              <w:t>4</w:t>
            </w:r>
            <w:r>
              <w:rPr>
                <w:rFonts w:ascii="宋体" w:hAnsi="宋体" w:cs="宋体" w:hint="eastAsia"/>
                <w:szCs w:val="21"/>
              </w:rPr>
              <w:t>、</w:t>
            </w:r>
            <w:r>
              <w:rPr>
                <w:rFonts w:ascii="宋体" w:hAnsi="宋体" w:cs="宋体"/>
                <w:szCs w:val="21"/>
              </w:rPr>
              <w:t>CO、N</w:t>
            </w:r>
            <w:r>
              <w:rPr>
                <w:rFonts w:ascii="宋体" w:hAnsi="宋体" w:cs="宋体"/>
                <w:szCs w:val="21"/>
                <w:vertAlign w:val="subscript"/>
              </w:rPr>
              <w:t>2</w:t>
            </w:r>
            <w:r>
              <w:rPr>
                <w:rFonts w:ascii="宋体" w:hAnsi="宋体" w:cs="宋体"/>
                <w:szCs w:val="21"/>
              </w:rPr>
              <w:t>O、SF</w:t>
            </w:r>
            <w:r>
              <w:rPr>
                <w:rFonts w:ascii="宋体" w:hAnsi="宋体" w:cs="宋体"/>
                <w:szCs w:val="21"/>
                <w:vertAlign w:val="subscript"/>
              </w:rPr>
              <w:t>6</w:t>
            </w:r>
            <w:r>
              <w:rPr>
                <w:rFonts w:ascii="宋体" w:hAnsi="宋体" w:cs="宋体" w:hint="eastAsia"/>
                <w:szCs w:val="21"/>
              </w:rPr>
              <w:t>、</w:t>
            </w:r>
            <w:r>
              <w:rPr>
                <w:rFonts w:ascii="宋体" w:hAnsi="宋体" w:cs="宋体"/>
                <w:szCs w:val="21"/>
                <w:vertAlign w:val="superscript"/>
              </w:rPr>
              <w:t>13</w:t>
            </w:r>
            <w:r>
              <w:rPr>
                <w:rFonts w:ascii="宋体" w:hAnsi="宋体" w:cs="宋体"/>
                <w:szCs w:val="21"/>
              </w:rPr>
              <w:t>C、</w:t>
            </w:r>
            <w:r>
              <w:rPr>
                <w:rFonts w:ascii="宋体" w:hAnsi="宋体" w:cs="宋体"/>
                <w:szCs w:val="21"/>
                <w:vertAlign w:val="superscript"/>
              </w:rPr>
              <w:t>18</w:t>
            </w:r>
            <w:r>
              <w:rPr>
                <w:rFonts w:ascii="宋体" w:hAnsi="宋体" w:cs="宋体"/>
                <w:szCs w:val="21"/>
              </w:rPr>
              <w:t>O、卤代温室气体等</w:t>
            </w:r>
          </w:p>
        </w:tc>
        <w:tc>
          <w:tcPr>
            <w:tcW w:w="642" w:type="pct"/>
            <w:vAlign w:val="center"/>
          </w:tcPr>
          <w:p>
            <w:pPr>
              <w:rPr>
                <w:rFonts w:ascii="宋体" w:hAnsi="宋体"/>
                <w:szCs w:val="21"/>
              </w:rPr>
            </w:pPr>
            <w:r>
              <w:rPr>
                <w:rFonts w:ascii="宋体" w:hAnsi="宋体" w:cs="宋体" w:hint="eastAsia"/>
                <w:szCs w:val="21"/>
              </w:rPr>
              <w:t>事件</w:t>
            </w:r>
          </w:p>
        </w:tc>
        <w:tc>
          <w:tcPr>
            <w:tcW w:w="799" w:type="pct"/>
            <w:vAlign w:val="center"/>
          </w:tcPr>
          <w:p>
            <w:pPr>
              <w:rPr>
                <w:rFonts w:ascii="宋体" w:hAnsi="宋体"/>
                <w:szCs w:val="21"/>
              </w:rPr>
            </w:pPr>
            <w:r>
              <w:rPr>
                <w:rFonts w:ascii="宋体" w:hAnsi="宋体" w:cs="宋体"/>
                <w:szCs w:val="21"/>
              </w:rPr>
              <w:t>8</w:t>
            </w:r>
            <w:r>
              <w:rPr>
                <w:rFonts w:ascii="宋体" w:hAnsi="宋体" w:cs="宋体" w:hint="eastAsia"/>
                <w:szCs w:val="21"/>
              </w:rPr>
              <w:t>个本底站</w:t>
            </w:r>
          </w:p>
        </w:tc>
      </w:tr>
    </w:tbl>
    <w:p>
      <w:pPr>
        <w:spacing w:line="360" w:lineRule="auto"/>
        <w:ind w:firstLine="420" w:firstLineChars="200"/>
        <w:rPr>
          <w:rFonts w:ascii="宋体" w:hAnsi="宋体"/>
          <w:szCs w:val="21"/>
        </w:rPr>
      </w:pPr>
      <w:r>
        <w:rPr>
          <w:szCs w:val="21"/>
        </w:rPr>
        <w:t>承担上述样品的采样和运输管理、预处理和后处理，建立相关台账；承担样品分析，并按规定格式提交数据及相关日常检查表；积极协助和配合采购人完成样品分析的质量检查评估</w:t>
      </w:r>
      <w:r>
        <w:rPr>
          <w:rFonts w:hint="eastAsia"/>
          <w:szCs w:val="21"/>
        </w:rPr>
        <w:t>。温室气体分析数据应在收到样品后45个工作日之内提交采购人。</w:t>
      </w:r>
    </w:p>
    <w:p>
      <w:pPr>
        <w:pStyle w:val="Z3"/>
        <w:numPr>
          <w:ilvl w:val="0"/>
          <w:numId w:val="0"/>
        </w:numPr>
        <w:ind w:left="848" w:hanging="422" w:leftChars="203" w:hangingChars="201"/>
        <w:rPr>
          <w:rFonts w:ascii="宋体" w:hAnsi="宋体"/>
          <w:sz w:val="21"/>
          <w:szCs w:val="21"/>
        </w:rPr>
      </w:pPr>
      <w:r>
        <w:rPr>
          <w:rFonts w:ascii="宋体" w:hAnsi="宋体" w:hint="eastAsia"/>
          <w:sz w:val="21"/>
          <w:szCs w:val="21"/>
        </w:rPr>
        <w:t>2、设备标校、维护和比对测试</w:t>
      </w:r>
    </w:p>
    <w:p>
      <w:pPr>
        <w:spacing w:line="360" w:lineRule="auto"/>
        <w:ind w:firstLine="420" w:firstLineChars="200"/>
        <w:rPr>
          <w:rFonts w:ascii="宋体" w:hAnsi="宋体"/>
          <w:szCs w:val="21"/>
        </w:rPr>
      </w:pPr>
      <w:r>
        <w:rPr>
          <w:szCs w:val="21"/>
        </w:rPr>
        <w:t>承担《大气成分观测业务运行管理暂行规定》中要求的站网和实验室气溶胶（质量浓度、散射系数、吸收系数、光学厚度、化学成分等）、反应性气体（二氧化硫、氮氧化物、一氧化碳、地面臭氧等）、温室气体等业务观测设备及辅助设施的标校、运行、维护、比对测试。</w:t>
      </w:r>
      <w:r>
        <w:rPr>
          <w:rFonts w:hint="eastAsia"/>
          <w:szCs w:val="21"/>
        </w:rPr>
        <w:t>负责降水化学及气溶胶实验室的设备校准。</w:t>
      </w:r>
      <w:r>
        <w:rPr>
          <w:rFonts w:hint="eastAsia"/>
          <w:szCs w:val="21"/>
          <w:lang w:val="en-US" w:eastAsia="zh-CN"/>
        </w:rPr>
        <w:t>负责协助甲方开展黑碳气溶胶发生与混合系统的试验运行与维护，包括储气罐泄压阀检定等。</w:t>
      </w:r>
      <w:r>
        <w:rPr>
          <w:szCs w:val="21"/>
        </w:rPr>
        <w:t>负责标校结果的搜集、整理、归档和初级质量控制等。负责温室气体（</w:t>
      </w:r>
      <w:r>
        <w:rPr>
          <w:rFonts w:hint="eastAsia"/>
          <w:szCs w:val="21"/>
        </w:rPr>
        <w:t>CO</w:t>
      </w:r>
      <w:r>
        <w:rPr>
          <w:rFonts w:hint="eastAsia"/>
          <w:szCs w:val="21"/>
          <w:vertAlign w:val="subscript"/>
        </w:rPr>
        <w:t>2</w:t>
      </w:r>
      <w:r>
        <w:rPr>
          <w:rFonts w:hint="eastAsia"/>
          <w:szCs w:val="21"/>
        </w:rPr>
        <w:t>、CH</w:t>
      </w:r>
      <w:r>
        <w:rPr>
          <w:rFonts w:hint="eastAsia"/>
          <w:szCs w:val="21"/>
          <w:vertAlign w:val="subscript"/>
        </w:rPr>
        <w:t>4</w:t>
      </w:r>
      <w:r>
        <w:rPr>
          <w:szCs w:val="21"/>
        </w:rPr>
        <w:t>）国产和进口标气比对测试。并按规定格式每月提交标校数据（原始数据、预处理及初级质量控制数据</w:t>
      </w:r>
      <w:r>
        <w:rPr>
          <w:rFonts w:hint="eastAsia"/>
          <w:szCs w:val="21"/>
        </w:rPr>
        <w:t>）</w:t>
      </w:r>
      <w:r>
        <w:rPr>
          <w:szCs w:val="21"/>
        </w:rPr>
        <w:t>和标校报告</w:t>
      </w:r>
      <w:r>
        <w:rPr>
          <w:rFonts w:hint="eastAsia"/>
          <w:szCs w:val="21"/>
        </w:rPr>
        <w:t>，</w:t>
      </w:r>
      <w:r>
        <w:rPr>
          <w:szCs w:val="21"/>
        </w:rPr>
        <w:t>标气及设备标校如下表</w:t>
      </w:r>
      <w:r>
        <w:rPr>
          <w:rFonts w:ascii="宋体" w:hAnsi="宋体" w:hint="eastAsia"/>
          <w:szCs w:val="21"/>
        </w:rPr>
        <w:t>：</w:t>
      </w:r>
    </w:p>
    <w:tbl>
      <w:tblPr>
        <w:tblStyle w:val="TableNormal"/>
        <w:tblW w:w="5000" w:type="pct"/>
        <w:jc w:val="center"/>
        <w:tblLayout w:type="fixed"/>
        <w:tblCellMar>
          <w:top w:w="0" w:type="dxa"/>
          <w:left w:w="108" w:type="dxa"/>
          <w:bottom w:w="0" w:type="dxa"/>
          <w:right w:w="108" w:type="dxa"/>
        </w:tblCellMar>
      </w:tblPr>
      <w:tblGrid>
        <w:gridCol w:w="868"/>
        <w:gridCol w:w="1800"/>
        <w:gridCol w:w="5269"/>
        <w:gridCol w:w="1066"/>
      </w:tblGrid>
      <w:tr>
        <w:tblPrEx>
          <w:tblW w:w="5000" w:type="pct"/>
          <w:jc w:val="center"/>
          <w:tblLayout w:type="fixed"/>
          <w:tblCellMar>
            <w:top w:w="0" w:type="dxa"/>
            <w:left w:w="108" w:type="dxa"/>
            <w:bottom w:w="0" w:type="dxa"/>
            <w:right w:w="108" w:type="dxa"/>
          </w:tblCellMar>
        </w:tblPrEx>
        <w:trPr>
          <w:trHeight w:val="270"/>
          <w:tblHeader/>
          <w:jc w:val="center"/>
        </w:trPr>
        <w:tc>
          <w:tcPr>
            <w:tcW w:w="482" w:type="pct"/>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b/>
                <w:kern w:val="0"/>
                <w:szCs w:val="21"/>
              </w:rPr>
            </w:pPr>
            <w:r>
              <w:rPr>
                <w:rFonts w:ascii="宋体" w:hAnsi="宋体" w:cs="宋体" w:hint="eastAsia"/>
                <w:b/>
                <w:kern w:val="0"/>
                <w:szCs w:val="21"/>
              </w:rPr>
              <w:t>序号</w:t>
            </w:r>
          </w:p>
        </w:tc>
        <w:tc>
          <w:tcPr>
            <w:tcW w:w="999" w:type="pct"/>
            <w:tcBorders>
              <w:top w:val="single" w:sz="4" w:space="0" w:color="auto"/>
              <w:left w:val="single" w:sz="4" w:space="0" w:color="auto"/>
              <w:bottom w:val="single" w:sz="4" w:space="0" w:color="auto"/>
              <w:right w:val="single" w:sz="4" w:space="0" w:color="auto"/>
            </w:tcBorders>
            <w:vAlign w:val="center"/>
          </w:tcPr>
          <w:p>
            <w:pPr>
              <w:widowControl/>
              <w:jc w:val="center"/>
              <w:rPr>
                <w:rFonts w:ascii="宋体" w:hAnsi="宋体" w:cs="宋体"/>
                <w:b/>
                <w:kern w:val="0"/>
                <w:szCs w:val="21"/>
              </w:rPr>
            </w:pPr>
            <w:r>
              <w:rPr>
                <w:rFonts w:ascii="宋体" w:hAnsi="宋体" w:cs="宋体" w:hint="eastAsia"/>
                <w:b/>
                <w:kern w:val="0"/>
                <w:szCs w:val="21"/>
              </w:rPr>
              <w:t>设备</w:t>
            </w:r>
          </w:p>
        </w:tc>
        <w:tc>
          <w:tcPr>
            <w:tcW w:w="2925" w:type="pct"/>
            <w:tcBorders>
              <w:top w:val="single" w:sz="4" w:space="0" w:color="auto"/>
              <w:left w:val="nil"/>
              <w:bottom w:val="single" w:sz="4" w:space="0" w:color="auto"/>
              <w:right w:val="single" w:sz="4" w:space="0" w:color="auto"/>
            </w:tcBorders>
            <w:vAlign w:val="center"/>
          </w:tcPr>
          <w:p>
            <w:pPr>
              <w:widowControl/>
              <w:jc w:val="center"/>
              <w:rPr>
                <w:rFonts w:ascii="宋体" w:hAnsi="宋体" w:cs="宋体"/>
                <w:b/>
                <w:kern w:val="0"/>
                <w:szCs w:val="21"/>
              </w:rPr>
            </w:pPr>
            <w:r>
              <w:rPr>
                <w:rFonts w:ascii="宋体" w:hAnsi="宋体" w:cs="宋体" w:hint="eastAsia"/>
                <w:b/>
                <w:kern w:val="0"/>
                <w:szCs w:val="21"/>
              </w:rPr>
              <w:t>站点</w:t>
            </w:r>
          </w:p>
        </w:tc>
        <w:tc>
          <w:tcPr>
            <w:tcW w:w="592" w:type="pct"/>
            <w:tcBorders>
              <w:top w:val="single" w:sz="4" w:space="0" w:color="auto"/>
              <w:left w:val="nil"/>
              <w:bottom w:val="single" w:sz="4" w:space="0" w:color="auto"/>
              <w:right w:val="single" w:sz="4" w:space="0" w:color="auto"/>
            </w:tcBorders>
            <w:vAlign w:val="center"/>
          </w:tcPr>
          <w:p>
            <w:pPr>
              <w:widowControl/>
              <w:jc w:val="center"/>
              <w:rPr>
                <w:rFonts w:ascii="宋体" w:hAnsi="宋体" w:cs="宋体"/>
                <w:b/>
                <w:kern w:val="0"/>
                <w:szCs w:val="21"/>
              </w:rPr>
            </w:pPr>
            <w:r>
              <w:rPr>
                <w:rFonts w:ascii="宋体" w:hAnsi="宋体" w:cs="宋体" w:hint="eastAsia"/>
                <w:b/>
                <w:kern w:val="0"/>
                <w:szCs w:val="21"/>
              </w:rPr>
              <w:t>数量</w:t>
            </w:r>
          </w:p>
        </w:tc>
      </w:tr>
      <w:tr>
        <w:tblPrEx>
          <w:tblW w:w="5000" w:type="pct"/>
          <w:jc w:val="center"/>
          <w:tblLayout w:type="fixed"/>
          <w:tblCellMar>
            <w:top w:w="0" w:type="dxa"/>
            <w:left w:w="108" w:type="dxa"/>
            <w:bottom w:w="0" w:type="dxa"/>
            <w:right w:w="108" w:type="dxa"/>
          </w:tblCellMar>
        </w:tblPrEx>
        <w:trPr>
          <w:trHeight w:val="270"/>
          <w:jc w:val="center"/>
        </w:trPr>
        <w:tc>
          <w:tcPr>
            <w:tcW w:w="482" w:type="pct"/>
            <w:tcBorders>
              <w:top w:val="single" w:sz="4" w:space="0" w:color="auto"/>
              <w:left w:val="single" w:sz="4" w:space="0" w:color="auto"/>
              <w:bottom w:val="single" w:sz="4" w:space="0" w:color="auto"/>
              <w:right w:val="single" w:sz="4" w:space="0" w:color="auto"/>
            </w:tcBorders>
            <w:vAlign w:val="center"/>
          </w:tcPr>
          <w:p>
            <w:pPr>
              <w:widowControl/>
              <w:numPr>
                <w:ilvl w:val="0"/>
                <w:numId w:val="6"/>
              </w:numPr>
              <w:rPr>
                <w:rFonts w:ascii="宋体" w:hAnsi="宋体" w:cs="宋体"/>
                <w:kern w:val="0"/>
                <w:szCs w:val="21"/>
              </w:rPr>
            </w:pPr>
          </w:p>
        </w:tc>
        <w:tc>
          <w:tcPr>
            <w:tcW w:w="999" w:type="pct"/>
            <w:tcBorders>
              <w:top w:val="single" w:sz="4" w:space="0" w:color="auto"/>
              <w:left w:val="single" w:sz="4" w:space="0" w:color="auto"/>
              <w:bottom w:val="single" w:sz="4" w:space="0" w:color="auto"/>
              <w:right w:val="single" w:sz="4" w:space="0" w:color="auto"/>
            </w:tcBorders>
            <w:vAlign w:val="center"/>
          </w:tcPr>
          <w:p>
            <w:pPr>
              <w:widowControl/>
              <w:rPr>
                <w:rFonts w:ascii="宋体" w:hAnsi="宋体" w:cs="宋体"/>
                <w:kern w:val="0"/>
                <w:szCs w:val="21"/>
              </w:rPr>
            </w:pPr>
            <w:r>
              <w:rPr>
                <w:rFonts w:ascii="宋体" w:hAnsi="宋体" w:cs="宋体" w:hint="eastAsia"/>
                <w:kern w:val="0"/>
                <w:szCs w:val="21"/>
              </w:rPr>
              <w:t>EDM</w:t>
            </w:r>
            <w:r>
              <w:rPr>
                <w:rFonts w:ascii="宋体" w:hAnsi="宋体" w:cs="宋体"/>
                <w:kern w:val="0"/>
                <w:szCs w:val="21"/>
              </w:rPr>
              <w:t>180</w:t>
            </w:r>
            <w:r>
              <w:rPr>
                <w:rFonts w:ascii="宋体" w:hAnsi="宋体" w:cs="宋体" w:hint="eastAsia"/>
                <w:kern w:val="0"/>
                <w:szCs w:val="21"/>
              </w:rPr>
              <w:t>气溶胶粒径谱仪</w:t>
            </w:r>
          </w:p>
        </w:tc>
        <w:tc>
          <w:tcPr>
            <w:tcW w:w="2925" w:type="pct"/>
            <w:tcBorders>
              <w:top w:val="single" w:sz="4" w:space="0" w:color="auto"/>
              <w:left w:val="nil"/>
              <w:bottom w:val="single" w:sz="4" w:space="0" w:color="auto"/>
              <w:right w:val="single" w:sz="4" w:space="0" w:color="auto"/>
            </w:tcBorders>
            <w:vAlign w:val="center"/>
          </w:tcPr>
          <w:p>
            <w:pPr>
              <w:pStyle w:val="Default"/>
              <w:jc w:val="both"/>
              <w:rPr>
                <w:color w:val="auto"/>
                <w:szCs w:val="21"/>
              </w:rPr>
            </w:pPr>
            <w:r>
              <w:rPr>
                <w:rFonts w:hint="eastAsia"/>
                <w:color w:val="auto"/>
                <w:sz w:val="21"/>
                <w:szCs w:val="21"/>
              </w:rPr>
              <w:t>辽宁鞍山、辽宁抚顺、辽宁本溪、四川成都、广西桂林、西藏拉萨和贡噶、河北固城、云南香格里拉、广西南宁、河南郑州、广东新丰</w:t>
            </w:r>
          </w:p>
        </w:tc>
        <w:tc>
          <w:tcPr>
            <w:tcW w:w="592" w:type="pct"/>
            <w:tcBorders>
              <w:top w:val="single" w:sz="4" w:space="0" w:color="auto"/>
              <w:left w:val="nil"/>
              <w:bottom w:val="single" w:sz="4" w:space="0" w:color="auto"/>
              <w:right w:val="single" w:sz="4" w:space="0" w:color="auto"/>
            </w:tcBorders>
            <w:vAlign w:val="center"/>
          </w:tcPr>
          <w:p>
            <w:pPr>
              <w:rPr>
                <w:rFonts w:ascii="宋体" w:hAnsi="宋体"/>
                <w:szCs w:val="21"/>
              </w:rPr>
            </w:pPr>
            <w:r>
              <w:rPr>
                <w:rFonts w:ascii="宋体" w:hAnsi="宋体"/>
                <w:szCs w:val="21"/>
              </w:rPr>
              <w:t>11</w:t>
            </w:r>
            <w:r>
              <w:rPr>
                <w:rFonts w:ascii="宋体" w:hAnsi="宋体" w:hint="eastAsia"/>
                <w:szCs w:val="21"/>
              </w:rPr>
              <w:t>台</w:t>
            </w:r>
          </w:p>
        </w:tc>
      </w:tr>
      <w:tr>
        <w:tblPrEx>
          <w:tblW w:w="5000" w:type="pct"/>
          <w:jc w:val="center"/>
          <w:tblLayout w:type="fixed"/>
          <w:tblCellMar>
            <w:top w:w="0" w:type="dxa"/>
            <w:left w:w="108" w:type="dxa"/>
            <w:bottom w:w="0" w:type="dxa"/>
            <w:right w:w="108" w:type="dxa"/>
          </w:tblCellMar>
        </w:tblPrEx>
        <w:trPr>
          <w:trHeight w:val="270"/>
          <w:jc w:val="center"/>
        </w:trPr>
        <w:tc>
          <w:tcPr>
            <w:tcW w:w="482" w:type="pct"/>
            <w:tcBorders>
              <w:top w:val="nil"/>
              <w:left w:val="single" w:sz="4" w:space="0" w:color="auto"/>
              <w:bottom w:val="single" w:sz="4" w:space="0" w:color="auto"/>
              <w:right w:val="single" w:sz="4" w:space="0" w:color="auto"/>
            </w:tcBorders>
            <w:vAlign w:val="center"/>
          </w:tcPr>
          <w:p>
            <w:pPr>
              <w:widowControl/>
              <w:numPr>
                <w:ilvl w:val="0"/>
                <w:numId w:val="6"/>
              </w:numPr>
              <w:rPr>
                <w:rFonts w:ascii="宋体" w:hAnsi="宋体" w:cs="宋体"/>
                <w:kern w:val="0"/>
                <w:szCs w:val="21"/>
              </w:rPr>
            </w:pPr>
          </w:p>
        </w:tc>
        <w:tc>
          <w:tcPr>
            <w:tcW w:w="999" w:type="pct"/>
            <w:tcBorders>
              <w:top w:val="nil"/>
              <w:left w:val="single" w:sz="4" w:space="0" w:color="auto"/>
              <w:bottom w:val="single" w:sz="4" w:space="0" w:color="auto"/>
              <w:right w:val="single" w:sz="4" w:space="0" w:color="auto"/>
            </w:tcBorders>
            <w:vAlign w:val="center"/>
          </w:tcPr>
          <w:p>
            <w:pPr>
              <w:widowControl/>
              <w:rPr>
                <w:rFonts w:ascii="宋体" w:hAnsi="宋体" w:cs="宋体"/>
                <w:kern w:val="0"/>
                <w:szCs w:val="21"/>
              </w:rPr>
            </w:pPr>
            <w:r>
              <w:rPr>
                <w:rFonts w:ascii="宋体" w:hAnsi="宋体" w:cs="宋体"/>
                <w:kern w:val="0"/>
                <w:szCs w:val="21"/>
              </w:rPr>
              <w:t>TEOM系列</w:t>
            </w:r>
            <w:r>
              <w:rPr>
                <w:rFonts w:ascii="宋体" w:hAnsi="宋体" w:hint="eastAsia"/>
                <w:szCs w:val="21"/>
              </w:rPr>
              <w:t>颗粒物质量浓度监测仪</w:t>
            </w:r>
          </w:p>
        </w:tc>
        <w:tc>
          <w:tcPr>
            <w:tcW w:w="2925" w:type="pct"/>
            <w:tcBorders>
              <w:top w:val="nil"/>
              <w:left w:val="nil"/>
              <w:bottom w:val="single" w:sz="4" w:space="0" w:color="auto"/>
              <w:right w:val="single" w:sz="4" w:space="0" w:color="auto"/>
            </w:tcBorders>
            <w:vAlign w:val="center"/>
          </w:tcPr>
          <w:p>
            <w:pPr>
              <w:widowControl/>
              <w:rPr>
                <w:rFonts w:ascii="宋体" w:hAnsi="宋体" w:cs="宋体"/>
                <w:kern w:val="0"/>
                <w:szCs w:val="21"/>
              </w:rPr>
            </w:pPr>
            <w:r>
              <w:rPr>
                <w:rFonts w:ascii="宋体" w:hAnsi="宋体" w:cs="宋体" w:hint="eastAsia"/>
                <w:kern w:val="0"/>
                <w:szCs w:val="21"/>
              </w:rPr>
              <w:t>河北张北、北京南郊观象台、北京上甸子、陕西延安、浙江临安、黑龙江龙凤山、内蒙古锡林浩特、内蒙古东胜、内蒙古乌拉特中旗、内蒙古额济纳旗、甘肃酒泉、甘肃敦煌、新疆哈密、新疆塔中、新疆和田、青海瓦里关、云南香格里拉、湖北金沙、新疆阿克达拉</w:t>
            </w:r>
          </w:p>
        </w:tc>
        <w:tc>
          <w:tcPr>
            <w:tcW w:w="592" w:type="pct"/>
            <w:tcBorders>
              <w:top w:val="nil"/>
              <w:left w:val="nil"/>
              <w:bottom w:val="single" w:sz="4" w:space="0" w:color="auto"/>
              <w:right w:val="single" w:sz="4" w:space="0" w:color="auto"/>
            </w:tcBorders>
            <w:vAlign w:val="center"/>
          </w:tcPr>
          <w:p>
            <w:pPr>
              <w:rPr>
                <w:rFonts w:ascii="宋体" w:hAnsi="宋体"/>
                <w:szCs w:val="21"/>
              </w:rPr>
            </w:pPr>
            <w:r>
              <w:rPr>
                <w:rFonts w:ascii="宋体" w:hAnsi="宋体"/>
                <w:szCs w:val="21"/>
              </w:rPr>
              <w:t>19</w:t>
            </w:r>
            <w:r>
              <w:rPr>
                <w:rFonts w:ascii="宋体" w:hAnsi="宋体" w:hint="eastAsia"/>
                <w:szCs w:val="21"/>
              </w:rPr>
              <w:t>台</w:t>
            </w:r>
          </w:p>
        </w:tc>
      </w:tr>
      <w:tr>
        <w:tblPrEx>
          <w:tblW w:w="5000" w:type="pct"/>
          <w:jc w:val="center"/>
          <w:tblLayout w:type="fixed"/>
          <w:tblCellMar>
            <w:top w:w="0" w:type="dxa"/>
            <w:left w:w="108" w:type="dxa"/>
            <w:bottom w:w="0" w:type="dxa"/>
            <w:right w:w="108" w:type="dxa"/>
          </w:tblCellMar>
        </w:tblPrEx>
        <w:trPr>
          <w:trHeight w:val="270"/>
          <w:jc w:val="center"/>
        </w:trPr>
        <w:tc>
          <w:tcPr>
            <w:tcW w:w="482" w:type="pct"/>
            <w:tcBorders>
              <w:top w:val="nil"/>
              <w:left w:val="single" w:sz="4" w:space="0" w:color="auto"/>
              <w:bottom w:val="single" w:sz="4" w:space="0" w:color="auto"/>
              <w:right w:val="single" w:sz="4" w:space="0" w:color="auto"/>
            </w:tcBorders>
            <w:vAlign w:val="center"/>
          </w:tcPr>
          <w:p>
            <w:pPr>
              <w:widowControl/>
              <w:numPr>
                <w:ilvl w:val="0"/>
                <w:numId w:val="6"/>
              </w:numPr>
              <w:rPr>
                <w:rFonts w:ascii="宋体" w:hAnsi="宋体" w:cs="宋体"/>
                <w:kern w:val="0"/>
                <w:szCs w:val="21"/>
              </w:rPr>
            </w:pPr>
          </w:p>
        </w:tc>
        <w:tc>
          <w:tcPr>
            <w:tcW w:w="999" w:type="pct"/>
            <w:tcBorders>
              <w:top w:val="nil"/>
              <w:left w:val="single" w:sz="4" w:space="0" w:color="auto"/>
              <w:bottom w:val="single" w:sz="4" w:space="0" w:color="auto"/>
              <w:right w:val="single" w:sz="4" w:space="0" w:color="auto"/>
            </w:tcBorders>
            <w:vAlign w:val="center"/>
          </w:tcPr>
          <w:p>
            <w:pPr>
              <w:widowControl/>
              <w:rPr>
                <w:rFonts w:ascii="宋体" w:hAnsi="宋体" w:cs="宋体"/>
                <w:kern w:val="0"/>
                <w:szCs w:val="21"/>
              </w:rPr>
            </w:pPr>
            <w:r>
              <w:rPr>
                <w:rFonts w:ascii="宋体" w:hAnsi="宋体" w:cs="宋体"/>
                <w:kern w:val="0"/>
                <w:szCs w:val="21"/>
              </w:rPr>
              <w:t>CE318太阳光度计</w:t>
            </w:r>
          </w:p>
        </w:tc>
        <w:tc>
          <w:tcPr>
            <w:tcW w:w="2925" w:type="pct"/>
            <w:tcBorders>
              <w:top w:val="nil"/>
              <w:left w:val="nil"/>
              <w:bottom w:val="single" w:sz="4" w:space="0" w:color="auto"/>
              <w:right w:val="single" w:sz="4" w:space="0" w:color="auto"/>
            </w:tcBorders>
            <w:vAlign w:val="center"/>
          </w:tcPr>
          <w:p>
            <w:pPr>
              <w:pStyle w:val="Default"/>
              <w:jc w:val="both"/>
              <w:rPr>
                <w:color w:val="auto"/>
                <w:szCs w:val="21"/>
              </w:rPr>
            </w:pPr>
            <w:r>
              <w:rPr>
                <w:rFonts w:hint="eastAsia"/>
                <w:color w:val="auto"/>
                <w:sz w:val="21"/>
                <w:szCs w:val="21"/>
              </w:rPr>
              <w:t>北京南郊观象台、北京上甸子、天津铁塔、河北固城、山西大同、山西榆社、内蒙古锡林浩特、内蒙古额济纳旗、辽宁大连、山东惠民、陕西西安、陕西榆林、甘肃兰州、甘肃民勤、甘肃敦煌、新疆乌鲁木齐、新疆塔中、新疆阿克达拉、西藏拉萨、广西南宁、四川成都、湖南常德、青海瓦里关、黑龙江龙凤山、浙江临安、云南香格里拉、上海</w:t>
            </w:r>
            <w:r>
              <w:rPr>
                <w:rFonts w:hint="eastAsia"/>
                <w:color w:val="auto"/>
                <w:sz w:val="21"/>
                <w:szCs w:val="21"/>
                <w:lang w:val="en-US" w:eastAsia="zh-CN"/>
              </w:rPr>
              <w:t>长江口</w:t>
            </w:r>
            <w:r>
              <w:rPr>
                <w:rFonts w:hint="eastAsia"/>
                <w:color w:val="auto"/>
                <w:sz w:val="21"/>
                <w:szCs w:val="21"/>
              </w:rPr>
              <w:t>、湖北金沙、安徽寿县</w:t>
            </w:r>
            <w:r>
              <w:rPr>
                <w:rFonts w:hint="eastAsia"/>
                <w:color w:val="auto"/>
                <w:sz w:val="21"/>
                <w:szCs w:val="21"/>
                <w:lang w:eastAsia="zh-CN"/>
              </w:rPr>
              <w:t>、</w:t>
            </w:r>
            <w:r>
              <w:rPr>
                <w:rFonts w:hint="eastAsia"/>
                <w:color w:val="auto"/>
                <w:sz w:val="21"/>
                <w:szCs w:val="21"/>
                <w:lang w:val="en-US" w:eastAsia="zh-CN"/>
              </w:rPr>
              <w:t>河南嵩山（待定）</w:t>
            </w:r>
          </w:p>
        </w:tc>
        <w:tc>
          <w:tcPr>
            <w:tcW w:w="592" w:type="pct"/>
            <w:tcBorders>
              <w:top w:val="nil"/>
              <w:left w:val="nil"/>
              <w:bottom w:val="single" w:sz="4" w:space="0" w:color="auto"/>
              <w:right w:val="single" w:sz="4" w:space="0" w:color="auto"/>
            </w:tcBorders>
            <w:vAlign w:val="center"/>
          </w:tcPr>
          <w:p>
            <w:pPr>
              <w:rPr>
                <w:rFonts w:ascii="宋体" w:hAnsi="宋体"/>
                <w:szCs w:val="21"/>
              </w:rPr>
            </w:pPr>
            <w:r>
              <w:rPr>
                <w:rFonts w:ascii="宋体" w:hAnsi="宋体"/>
                <w:szCs w:val="21"/>
              </w:rPr>
              <w:t>3</w:t>
            </w:r>
            <w:r>
              <w:rPr>
                <w:rFonts w:ascii="宋体" w:hAnsi="宋体" w:hint="eastAsia"/>
                <w:szCs w:val="21"/>
                <w:lang w:val="en-US" w:eastAsia="zh-CN"/>
              </w:rPr>
              <w:t>0</w:t>
            </w:r>
            <w:r>
              <w:rPr>
                <w:rFonts w:ascii="宋体" w:hAnsi="宋体" w:hint="eastAsia"/>
                <w:szCs w:val="21"/>
              </w:rPr>
              <w:t>台</w:t>
            </w:r>
          </w:p>
        </w:tc>
      </w:tr>
      <w:tr>
        <w:tblPrEx>
          <w:tblW w:w="5000" w:type="pct"/>
          <w:jc w:val="center"/>
          <w:tblLayout w:type="fixed"/>
          <w:tblCellMar>
            <w:top w:w="0" w:type="dxa"/>
            <w:left w:w="108" w:type="dxa"/>
            <w:bottom w:w="0" w:type="dxa"/>
            <w:right w:w="108" w:type="dxa"/>
          </w:tblCellMar>
        </w:tblPrEx>
        <w:trPr>
          <w:trHeight w:val="285"/>
          <w:jc w:val="center"/>
        </w:trPr>
        <w:tc>
          <w:tcPr>
            <w:tcW w:w="482" w:type="pct"/>
            <w:tcBorders>
              <w:top w:val="single" w:sz="4" w:space="0" w:color="auto"/>
              <w:left w:val="single" w:sz="4" w:space="0" w:color="auto"/>
              <w:bottom w:val="single" w:sz="4" w:space="0" w:color="auto"/>
              <w:right w:val="single" w:sz="4" w:space="0" w:color="auto"/>
            </w:tcBorders>
            <w:vAlign w:val="center"/>
          </w:tcPr>
          <w:p>
            <w:pPr>
              <w:widowControl/>
              <w:numPr>
                <w:ilvl w:val="0"/>
                <w:numId w:val="6"/>
              </w:numPr>
              <w:rPr>
                <w:rFonts w:ascii="宋体" w:hAnsi="宋体" w:cs="宋体"/>
                <w:kern w:val="0"/>
                <w:szCs w:val="21"/>
              </w:rPr>
            </w:pPr>
          </w:p>
        </w:tc>
        <w:tc>
          <w:tcPr>
            <w:tcW w:w="999" w:type="pct"/>
            <w:tcBorders>
              <w:top w:val="single" w:sz="4" w:space="0" w:color="auto"/>
              <w:left w:val="single" w:sz="4" w:space="0" w:color="auto"/>
              <w:bottom w:val="single" w:sz="4" w:space="0" w:color="auto"/>
              <w:right w:val="single" w:sz="4" w:space="0" w:color="auto"/>
            </w:tcBorders>
            <w:vAlign w:val="center"/>
          </w:tcPr>
          <w:p>
            <w:pPr>
              <w:widowControl/>
              <w:rPr>
                <w:rFonts w:ascii="宋体" w:hAnsi="宋体" w:cs="宋体"/>
                <w:kern w:val="0"/>
                <w:szCs w:val="21"/>
              </w:rPr>
            </w:pPr>
            <w:r>
              <w:rPr>
                <w:rFonts w:ascii="宋体" w:hAnsi="宋体" w:cs="宋体" w:hint="eastAsia"/>
                <w:kern w:val="0"/>
                <w:szCs w:val="21"/>
              </w:rPr>
              <w:t>温室气体标气</w:t>
            </w:r>
          </w:p>
        </w:tc>
        <w:tc>
          <w:tcPr>
            <w:tcW w:w="2925" w:type="pct"/>
            <w:tcBorders>
              <w:top w:val="single" w:sz="4" w:space="0" w:color="auto"/>
              <w:left w:val="nil"/>
              <w:bottom w:val="single" w:sz="4" w:space="0" w:color="auto"/>
              <w:right w:val="single" w:sz="4" w:space="0" w:color="auto"/>
            </w:tcBorders>
            <w:vAlign w:val="center"/>
          </w:tcPr>
          <w:p>
            <w:pPr>
              <w:pStyle w:val="Default"/>
              <w:jc w:val="both"/>
              <w:rPr>
                <w:rFonts w:cs="宋体" w:hint="eastAsia"/>
                <w:color w:val="auto"/>
                <w:sz w:val="21"/>
                <w:szCs w:val="21"/>
              </w:rPr>
            </w:pPr>
            <w:r>
              <w:rPr>
                <w:rFonts w:cs="宋体" w:hint="eastAsia"/>
                <w:color w:val="auto"/>
                <w:sz w:val="21"/>
                <w:szCs w:val="21"/>
              </w:rPr>
              <w:t>探测中心实验室、上甸子、瓦里关、龙凤山、临安、香格里拉、金沙、阿克达拉、</w:t>
            </w:r>
            <w:r>
              <w:rPr>
                <w:rFonts w:cs="宋体"/>
                <w:color w:val="auto"/>
                <w:sz w:val="21"/>
                <w:szCs w:val="21"/>
              </w:rPr>
              <w:t>新丰</w:t>
            </w:r>
          </w:p>
        </w:tc>
        <w:tc>
          <w:tcPr>
            <w:tcW w:w="592" w:type="pct"/>
            <w:tcBorders>
              <w:top w:val="single" w:sz="4" w:space="0" w:color="auto"/>
              <w:left w:val="nil"/>
              <w:bottom w:val="single" w:sz="4" w:space="0" w:color="auto"/>
              <w:right w:val="single" w:sz="4" w:space="0" w:color="auto"/>
            </w:tcBorders>
            <w:vAlign w:val="center"/>
          </w:tcPr>
          <w:p>
            <w:pPr>
              <w:rPr>
                <w:rFonts w:ascii="宋体" w:hAnsi="宋体"/>
                <w:szCs w:val="21"/>
              </w:rPr>
            </w:pPr>
            <w:r>
              <w:rPr>
                <w:rFonts w:ascii="宋体" w:hAnsi="宋体"/>
                <w:szCs w:val="21"/>
              </w:rPr>
              <w:t>9</w:t>
            </w:r>
            <w:r>
              <w:rPr>
                <w:rFonts w:ascii="宋体" w:hAnsi="宋体" w:hint="eastAsia"/>
                <w:szCs w:val="21"/>
              </w:rPr>
              <w:t>个站/实验室</w:t>
            </w:r>
          </w:p>
        </w:tc>
      </w:tr>
      <w:tr>
        <w:tblPrEx>
          <w:tblW w:w="5000" w:type="pct"/>
          <w:jc w:val="center"/>
          <w:tblLayout w:type="fixed"/>
          <w:tblCellMar>
            <w:top w:w="0" w:type="dxa"/>
            <w:left w:w="108" w:type="dxa"/>
            <w:bottom w:w="0" w:type="dxa"/>
            <w:right w:w="108" w:type="dxa"/>
          </w:tblCellMar>
        </w:tblPrEx>
        <w:trPr>
          <w:trHeight w:val="285"/>
          <w:jc w:val="center"/>
        </w:trPr>
        <w:tc>
          <w:tcPr>
            <w:tcW w:w="482" w:type="pct"/>
            <w:tcBorders>
              <w:top w:val="single" w:sz="4" w:space="0" w:color="auto"/>
              <w:left w:val="single" w:sz="4" w:space="0" w:color="auto"/>
              <w:bottom w:val="single" w:sz="4" w:space="0" w:color="auto"/>
              <w:right w:val="single" w:sz="4" w:space="0" w:color="auto"/>
            </w:tcBorders>
            <w:vAlign w:val="center"/>
          </w:tcPr>
          <w:p>
            <w:pPr>
              <w:widowControl/>
              <w:numPr>
                <w:ilvl w:val="0"/>
                <w:numId w:val="6"/>
              </w:numPr>
              <w:rPr>
                <w:rFonts w:ascii="宋体" w:hAnsi="宋体" w:cs="宋体"/>
                <w:kern w:val="0"/>
                <w:szCs w:val="21"/>
              </w:rPr>
            </w:pPr>
          </w:p>
        </w:tc>
        <w:tc>
          <w:tcPr>
            <w:tcW w:w="999" w:type="pct"/>
            <w:tcBorders>
              <w:top w:val="single" w:sz="4" w:space="0" w:color="auto"/>
              <w:left w:val="single" w:sz="4" w:space="0" w:color="auto"/>
              <w:bottom w:val="single" w:sz="4" w:space="0" w:color="auto"/>
              <w:right w:val="single" w:sz="4" w:space="0" w:color="auto"/>
            </w:tcBorders>
            <w:vAlign w:val="center"/>
          </w:tcPr>
          <w:p>
            <w:pPr>
              <w:pStyle w:val="Default"/>
              <w:jc w:val="both"/>
              <w:rPr>
                <w:color w:val="auto"/>
                <w:sz w:val="18"/>
                <w:szCs w:val="18"/>
              </w:rPr>
            </w:pPr>
            <w:r>
              <w:rPr>
                <w:rFonts w:cs="宋体" w:hint="eastAsia"/>
                <w:color w:val="auto"/>
                <w:sz w:val="21"/>
                <w:szCs w:val="21"/>
              </w:rPr>
              <w:t>浊度仪标气</w:t>
            </w:r>
            <w:r>
              <w:rPr>
                <w:rFonts w:cs="宋体"/>
                <w:color w:val="auto"/>
                <w:sz w:val="21"/>
                <w:szCs w:val="21"/>
              </w:rPr>
              <w:t xml:space="preserve"> </w:t>
            </w:r>
          </w:p>
        </w:tc>
        <w:tc>
          <w:tcPr>
            <w:tcW w:w="2925" w:type="pct"/>
            <w:tcBorders>
              <w:top w:val="single" w:sz="4" w:space="0" w:color="auto"/>
              <w:left w:val="nil"/>
              <w:bottom w:val="single" w:sz="4" w:space="0" w:color="auto"/>
              <w:right w:val="single" w:sz="4" w:space="0" w:color="auto"/>
            </w:tcBorders>
            <w:vAlign w:val="center"/>
          </w:tcPr>
          <w:p>
            <w:pPr>
              <w:pStyle w:val="Default"/>
              <w:jc w:val="both"/>
              <w:rPr>
                <w:color w:val="auto"/>
                <w:szCs w:val="21"/>
              </w:rPr>
            </w:pPr>
            <w:r>
              <w:rPr>
                <w:rFonts w:hint="eastAsia"/>
                <w:color w:val="auto"/>
                <w:sz w:val="21"/>
                <w:szCs w:val="21"/>
              </w:rPr>
              <w:t>新疆塔中、新疆和田、新疆哈密、新疆阿克达拉、甘肃酒泉、内蒙古乌拉特中旗、山西大同、内蒙古额济纳旗、内蒙古锡林浩特、北京上甸子、怀柔、大兴、黑龙江龙凤山、浙江临安、新疆阿克达拉、湖北金沙、广东新丰仅提供标定服务</w:t>
            </w:r>
          </w:p>
        </w:tc>
        <w:tc>
          <w:tcPr>
            <w:tcW w:w="592" w:type="pct"/>
            <w:tcBorders>
              <w:top w:val="single" w:sz="4" w:space="0" w:color="auto"/>
              <w:left w:val="nil"/>
              <w:bottom w:val="single" w:sz="4" w:space="0" w:color="auto"/>
              <w:right w:val="single" w:sz="4" w:space="0" w:color="auto"/>
            </w:tcBorders>
            <w:vAlign w:val="center"/>
          </w:tcPr>
          <w:p>
            <w:pPr>
              <w:rPr>
                <w:rFonts w:ascii="宋体" w:hAnsi="宋体"/>
                <w:szCs w:val="21"/>
              </w:rPr>
            </w:pPr>
            <w:r>
              <w:rPr>
                <w:rFonts w:ascii="宋体" w:hAnsi="宋体" w:cs="宋体"/>
                <w:kern w:val="0"/>
                <w:szCs w:val="21"/>
              </w:rPr>
              <w:t>10</w:t>
            </w:r>
            <w:r>
              <w:rPr>
                <w:rFonts w:ascii="宋体" w:hAnsi="宋体" w:cs="宋体" w:hint="eastAsia"/>
                <w:kern w:val="0"/>
                <w:szCs w:val="21"/>
              </w:rPr>
              <w:t>个站标气和标定，</w:t>
            </w:r>
            <w:r>
              <w:rPr>
                <w:rFonts w:ascii="宋体" w:hAnsi="宋体" w:cs="宋体"/>
                <w:kern w:val="0"/>
                <w:szCs w:val="21"/>
              </w:rPr>
              <w:t>6</w:t>
            </w:r>
            <w:r>
              <w:rPr>
                <w:rFonts w:ascii="宋体" w:hAnsi="宋体" w:cs="宋体" w:hint="eastAsia"/>
                <w:kern w:val="0"/>
                <w:szCs w:val="21"/>
              </w:rPr>
              <w:t>个站仅提供标定</w:t>
            </w:r>
          </w:p>
        </w:tc>
      </w:tr>
      <w:tr>
        <w:tblPrEx>
          <w:tblW w:w="5000" w:type="pct"/>
          <w:jc w:val="center"/>
          <w:tblLayout w:type="fixed"/>
          <w:tblCellMar>
            <w:top w:w="0" w:type="dxa"/>
            <w:left w:w="108" w:type="dxa"/>
            <w:bottom w:w="0" w:type="dxa"/>
            <w:right w:w="108" w:type="dxa"/>
          </w:tblCellMar>
        </w:tblPrEx>
        <w:trPr>
          <w:trHeight w:val="285"/>
          <w:jc w:val="center"/>
        </w:trPr>
        <w:tc>
          <w:tcPr>
            <w:tcW w:w="482" w:type="pct"/>
            <w:tcBorders>
              <w:top w:val="single" w:sz="4" w:space="0" w:color="auto"/>
              <w:left w:val="single" w:sz="4" w:space="0" w:color="auto"/>
              <w:bottom w:val="single" w:sz="4" w:space="0" w:color="auto"/>
              <w:right w:val="single" w:sz="4" w:space="0" w:color="auto"/>
            </w:tcBorders>
            <w:vAlign w:val="center"/>
          </w:tcPr>
          <w:p>
            <w:pPr>
              <w:widowControl/>
              <w:numPr>
                <w:ilvl w:val="0"/>
                <w:numId w:val="6"/>
              </w:numPr>
              <w:rPr>
                <w:rFonts w:ascii="宋体" w:hAnsi="宋体" w:cs="宋体"/>
                <w:kern w:val="0"/>
                <w:szCs w:val="21"/>
              </w:rPr>
            </w:pPr>
          </w:p>
        </w:tc>
        <w:tc>
          <w:tcPr>
            <w:tcW w:w="999" w:type="pct"/>
            <w:tcBorders>
              <w:top w:val="single" w:sz="4" w:space="0" w:color="auto"/>
              <w:left w:val="single" w:sz="4" w:space="0" w:color="auto"/>
              <w:bottom w:val="single" w:sz="4" w:space="0" w:color="auto"/>
              <w:right w:val="single" w:sz="4" w:space="0" w:color="auto"/>
            </w:tcBorders>
            <w:vAlign w:val="center"/>
          </w:tcPr>
          <w:p>
            <w:pPr>
              <w:pStyle w:val="Default"/>
              <w:jc w:val="both"/>
              <w:rPr>
                <w:rFonts w:cs="宋体"/>
                <w:color w:val="auto"/>
                <w:sz w:val="21"/>
                <w:szCs w:val="21"/>
              </w:rPr>
            </w:pPr>
            <w:r>
              <w:rPr>
                <w:rFonts w:cs="宋体"/>
                <w:color w:val="auto"/>
                <w:sz w:val="21"/>
                <w:szCs w:val="21"/>
              </w:rPr>
              <w:t>反应性气体</w:t>
            </w:r>
            <w:r>
              <w:rPr>
                <w:rFonts w:cs="宋体" w:hint="eastAsia"/>
                <w:color w:val="auto"/>
                <w:sz w:val="21"/>
                <w:szCs w:val="21"/>
              </w:rPr>
              <w:t>标气</w:t>
            </w:r>
          </w:p>
        </w:tc>
        <w:tc>
          <w:tcPr>
            <w:tcW w:w="2925" w:type="pct"/>
            <w:tcBorders>
              <w:top w:val="single" w:sz="4" w:space="0" w:color="auto"/>
              <w:left w:val="nil"/>
              <w:bottom w:val="single" w:sz="4" w:space="0" w:color="auto"/>
              <w:right w:val="single" w:sz="4" w:space="0" w:color="auto"/>
            </w:tcBorders>
            <w:vAlign w:val="center"/>
          </w:tcPr>
          <w:p>
            <w:pPr>
              <w:pStyle w:val="Default"/>
              <w:jc w:val="both"/>
              <w:rPr>
                <w:rFonts w:cs="宋体"/>
                <w:color w:val="auto"/>
                <w:sz w:val="21"/>
                <w:szCs w:val="21"/>
              </w:rPr>
            </w:pPr>
            <w:r>
              <w:rPr>
                <w:rFonts w:hint="eastAsia"/>
                <w:color w:val="auto"/>
                <w:sz w:val="21"/>
                <w:szCs w:val="21"/>
              </w:rPr>
              <w:t>北京上甸子、湖北金沙、黑龙江龙凤山、浙江临安、云南香格里拉、青海瓦里关、新疆阿克达拉</w:t>
            </w:r>
            <w:r>
              <w:rPr>
                <w:rFonts w:hint="eastAsia"/>
                <w:color w:val="auto"/>
                <w:sz w:val="21"/>
                <w:szCs w:val="21"/>
                <w:lang w:eastAsia="zh-CN"/>
              </w:rPr>
              <w:t>、</w:t>
            </w:r>
            <w:r>
              <w:rPr>
                <w:rFonts w:hint="eastAsia"/>
                <w:color w:val="auto"/>
                <w:sz w:val="21"/>
                <w:szCs w:val="21"/>
                <w:lang w:val="en-US" w:eastAsia="zh-CN"/>
              </w:rPr>
              <w:t>广东新丰、内蒙古那仁宝力格、上海长江口、山东东营、河南嵩山、海南珊瑚岛、重庆金佛山、四川绵阳、西藏阿里、甘肃敦煌、陕西太白、湖北神农架（待定）、贵州雷公山（待定）</w:t>
            </w:r>
          </w:p>
        </w:tc>
        <w:tc>
          <w:tcPr>
            <w:tcW w:w="592" w:type="pct"/>
            <w:tcBorders>
              <w:top w:val="single" w:sz="4" w:space="0" w:color="auto"/>
              <w:left w:val="nil"/>
              <w:bottom w:val="single" w:sz="4" w:space="0" w:color="auto"/>
              <w:right w:val="single" w:sz="4" w:space="0" w:color="auto"/>
            </w:tcBorders>
            <w:vAlign w:val="center"/>
          </w:tcPr>
          <w:p>
            <w:pPr>
              <w:rPr>
                <w:rFonts w:ascii="宋体" w:hAnsi="宋体" w:cs="宋体"/>
                <w:kern w:val="0"/>
                <w:szCs w:val="21"/>
              </w:rPr>
            </w:pPr>
            <w:r>
              <w:rPr>
                <w:rFonts w:ascii="宋体" w:hAnsi="宋体" w:hint="eastAsia"/>
                <w:szCs w:val="21"/>
              </w:rPr>
              <w:t>7</w:t>
            </w:r>
            <w:r>
              <w:rPr>
                <w:rFonts w:ascii="宋体" w:hAnsi="宋体"/>
                <w:szCs w:val="21"/>
              </w:rPr>
              <w:t>个站</w:t>
            </w:r>
          </w:p>
        </w:tc>
      </w:tr>
    </w:tbl>
    <w:p>
      <w:pPr>
        <w:spacing w:line="360" w:lineRule="auto"/>
        <w:ind w:firstLine="420" w:firstLineChars="200"/>
        <w:rPr>
          <w:rFonts w:ascii="宋体" w:hAnsi="宋体"/>
        </w:rPr>
      </w:pPr>
      <w:r>
        <w:rPr>
          <w:rFonts w:ascii="宋体" w:hAnsi="宋体" w:hint="eastAsia"/>
          <w:szCs w:val="21"/>
        </w:rPr>
        <w:t>在收到温室气体标准气体后，应及时组织开展标校工作，每瓶标准气体至少标定三轮，如标定结果达不到相关要求，则应继续开展下一轮标校，及时向采购人汇报标定结果，结果经采购人审定后及时制作标定证书，从标校完成到提交标定证书时间不得超过一个月；所有台站和对外服务的标气在用完后需进行返标，并及时提交标定结果。协助完成温室气体年度高压配气任务（每年至少</w:t>
      </w:r>
      <w:r>
        <w:rPr>
          <w:rFonts w:ascii="宋体" w:hAnsi="宋体"/>
          <w:szCs w:val="21"/>
        </w:rPr>
        <w:t>2</w:t>
      </w:r>
      <w:r>
        <w:rPr>
          <w:rFonts w:ascii="宋体" w:hAnsi="宋体" w:hint="eastAsia"/>
          <w:szCs w:val="21"/>
        </w:rPr>
        <w:t>次），负责标气的需求统计、流转、运输、标定和返标工作；承担标气瓶的出入库管理工作</w:t>
      </w:r>
      <w:r>
        <w:rPr>
          <w:rFonts w:ascii="宋体" w:hAnsi="宋体" w:hint="eastAsia"/>
        </w:rPr>
        <w:t>。收到台站浊度标气申请后，标气发出的时间一般不超过</w:t>
      </w:r>
      <w:r>
        <w:rPr>
          <w:rFonts w:ascii="宋体" w:hAnsi="宋体"/>
        </w:rPr>
        <w:t>10</w:t>
      </w:r>
      <w:r>
        <w:rPr>
          <w:rFonts w:ascii="宋体" w:hAnsi="宋体" w:hint="eastAsia"/>
        </w:rPr>
        <w:t>个工作日；收到浊度标气后，标定完成时间一般不超过20个工作日。</w:t>
      </w:r>
    </w:p>
    <w:p>
      <w:pPr>
        <w:pStyle w:val="Z3"/>
        <w:numPr>
          <w:ilvl w:val="0"/>
          <w:numId w:val="0"/>
        </w:numPr>
        <w:ind w:left="848" w:hanging="422" w:leftChars="203" w:hangingChars="201"/>
        <w:rPr>
          <w:rFonts w:ascii="宋体" w:hAnsi="宋体"/>
          <w:sz w:val="21"/>
          <w:szCs w:val="21"/>
        </w:rPr>
      </w:pPr>
      <w:r>
        <w:rPr>
          <w:rFonts w:ascii="宋体" w:hAnsi="宋体" w:hint="eastAsia"/>
          <w:sz w:val="21"/>
          <w:szCs w:val="21"/>
        </w:rPr>
        <w:t>3、收发管理</w:t>
      </w:r>
    </w:p>
    <w:p>
      <w:pPr>
        <w:spacing w:line="360" w:lineRule="auto"/>
        <w:ind w:firstLine="420" w:firstLineChars="200"/>
        <w:rPr>
          <w:rFonts w:ascii="宋体" w:hAnsi="宋体"/>
          <w:szCs w:val="21"/>
        </w:rPr>
      </w:pPr>
      <w:r>
        <w:rPr>
          <w:szCs w:val="21"/>
        </w:rPr>
        <w:t>承担大气成分观测业务样品、仪器设备和标准气体等的收发管理。建立业务样品、仪器设备和标准气体等的收发台账，记录样品、仪器设备和标准气体收发相关信息，检查样品、仪器设备和标准气体质量，发现问题及时向采购人提供书面报告；全程跟踪样品物流，发出和收到样品时应及时书面通知对方；若样品未按时到达，联系台站了解情况，并将进展告知采购人；配合采购人实施仪器设备和备品备件的出入库管理，及时更新台站观测要素、仪器设备、联系方式，并书面告知采购人；跟踪站网仪器设备运行情况，若有故障，书面告知采购人。按年度进行实验室各要素采样记录的整理和装订。</w:t>
      </w:r>
      <w:r>
        <w:rPr>
          <w:rFonts w:hint="eastAsia"/>
          <w:szCs w:val="21"/>
        </w:rPr>
        <w:t>配合进行酸雨相关材料的整理</w:t>
      </w:r>
      <w:r>
        <w:rPr>
          <w:rFonts w:ascii="宋体" w:hAnsi="宋体" w:hint="eastAsia"/>
          <w:szCs w:val="21"/>
        </w:rPr>
        <w:t>。</w:t>
      </w:r>
    </w:p>
    <w:p>
      <w:pPr>
        <w:pStyle w:val="Z3"/>
        <w:numPr>
          <w:ilvl w:val="0"/>
          <w:numId w:val="0"/>
        </w:numPr>
        <w:ind w:left="848" w:hanging="422" w:leftChars="203" w:hangingChars="201"/>
        <w:rPr>
          <w:rFonts w:ascii="宋体" w:hAnsi="宋体"/>
          <w:sz w:val="21"/>
          <w:szCs w:val="21"/>
        </w:rPr>
      </w:pPr>
      <w:r>
        <w:rPr>
          <w:rFonts w:ascii="宋体" w:hAnsi="宋体" w:hint="eastAsia"/>
          <w:sz w:val="21"/>
          <w:szCs w:val="21"/>
        </w:rPr>
        <w:t>4、考核比对</w:t>
      </w:r>
    </w:p>
    <w:p>
      <w:pPr>
        <w:spacing w:line="360" w:lineRule="auto"/>
        <w:ind w:firstLine="420" w:firstLineChars="200"/>
        <w:rPr>
          <w:rFonts w:ascii="宋体" w:hAnsi="宋体"/>
          <w:szCs w:val="21"/>
        </w:rPr>
      </w:pPr>
      <w:r>
        <w:rPr>
          <w:rFonts w:ascii="宋体" w:hAnsi="宋体" w:hint="eastAsia"/>
          <w:szCs w:val="21"/>
        </w:rPr>
        <w:t>承担全国酸雨业务质量考核任务，酸雨业务质量考核是指为</w:t>
      </w:r>
      <w:r>
        <w:rPr>
          <w:rFonts w:ascii="宋体" w:hAnsi="宋体"/>
          <w:szCs w:val="21"/>
        </w:rPr>
        <w:t>177</w:t>
      </w:r>
      <w:r>
        <w:rPr>
          <w:rFonts w:ascii="宋体" w:hAnsi="宋体" w:hint="eastAsia"/>
          <w:szCs w:val="21"/>
        </w:rPr>
        <w:t>个</w:t>
      </w:r>
      <w:r>
        <w:rPr>
          <w:rFonts w:ascii="宋体" w:hAnsi="宋体"/>
          <w:szCs w:val="21"/>
        </w:rPr>
        <w:t>人工观测</w:t>
      </w:r>
      <w:r>
        <w:rPr>
          <w:rFonts w:ascii="宋体" w:hAnsi="宋体" w:hint="eastAsia"/>
          <w:szCs w:val="21"/>
        </w:rPr>
        <w:t>台站和</w:t>
      </w:r>
      <w:r>
        <w:rPr>
          <w:rFonts w:ascii="宋体" w:hAnsi="宋体"/>
          <w:szCs w:val="21"/>
        </w:rPr>
        <w:t>170</w:t>
      </w:r>
      <w:r>
        <w:rPr>
          <w:rFonts w:ascii="宋体" w:hAnsi="宋体" w:hint="eastAsia"/>
          <w:szCs w:val="21"/>
        </w:rPr>
        <w:t>套</w:t>
      </w:r>
      <w:r>
        <w:rPr>
          <w:rFonts w:ascii="宋体" w:hAnsi="宋体"/>
          <w:szCs w:val="21"/>
        </w:rPr>
        <w:t>观测自动观测系统台站</w:t>
      </w:r>
      <w:r>
        <w:rPr>
          <w:rFonts w:ascii="宋体" w:hAnsi="宋体" w:hint="eastAsia"/>
          <w:szCs w:val="21"/>
        </w:rPr>
        <w:t>配置考核用的样品并寄送至台站，待台站检测完毕后收集汇总各个台站的检测结果，每年一次；</w:t>
      </w:r>
      <w:r>
        <w:rPr>
          <w:rFonts w:ascii="宋体" w:hAnsi="宋体"/>
          <w:szCs w:val="21"/>
        </w:rPr>
        <w:t xml:space="preserve"> </w:t>
      </w:r>
      <w:r>
        <w:rPr>
          <w:rFonts w:ascii="宋体" w:hAnsi="宋体" w:hint="eastAsia"/>
          <w:szCs w:val="21"/>
        </w:rPr>
        <w:t>具体内容为：建立相关台账，承担样品溶液配制及</w:t>
      </w:r>
      <w:r>
        <w:rPr>
          <w:rFonts w:ascii="宋体" w:hAnsi="宋体"/>
          <w:szCs w:val="21"/>
        </w:rPr>
        <w:t>pH</w:t>
      </w:r>
      <w:r>
        <w:rPr>
          <w:rFonts w:ascii="宋体" w:hAnsi="宋体" w:hint="eastAsia"/>
          <w:szCs w:val="21"/>
        </w:rPr>
        <w:t>、电导率、化学组分测量等实验室分析工作、样品分装与分发、考核数据的收集、录入、校对及初步处理、考核报告编写等任务。</w:t>
      </w:r>
    </w:p>
    <w:p>
      <w:pPr>
        <w:spacing w:line="360" w:lineRule="auto"/>
        <w:ind w:firstLine="420" w:firstLineChars="200"/>
        <w:rPr>
          <w:rFonts w:ascii="宋体" w:hAnsi="宋体"/>
          <w:szCs w:val="21"/>
        </w:rPr>
      </w:pPr>
      <w:r>
        <w:rPr>
          <w:rFonts w:ascii="宋体" w:hAnsi="宋体" w:hint="eastAsia"/>
          <w:szCs w:val="21"/>
        </w:rPr>
        <w:t>承担温室气体国内、国际比对相关工作，其中国内巡回比对至少开展</w:t>
      </w:r>
      <w:r>
        <w:rPr>
          <w:rFonts w:ascii="宋体" w:hAnsi="宋体"/>
          <w:szCs w:val="21"/>
        </w:rPr>
        <w:t>1</w:t>
      </w:r>
      <w:r>
        <w:rPr>
          <w:rFonts w:ascii="宋体" w:hAnsi="宋体" w:hint="eastAsia"/>
          <w:szCs w:val="21"/>
        </w:rPr>
        <w:t>次</w:t>
      </w:r>
      <w:r>
        <w:rPr>
          <w:rFonts w:ascii="宋体" w:hAnsi="宋体"/>
          <w:szCs w:val="21"/>
        </w:rPr>
        <w:t>/</w:t>
      </w:r>
      <w:r>
        <w:rPr>
          <w:rFonts w:ascii="宋体" w:hAnsi="宋体" w:hint="eastAsia"/>
          <w:szCs w:val="21"/>
        </w:rPr>
        <w:t>年，涵盖温室气体观测的全部站点以及全部观测系统，负责撰写相关比对报告，国际巡回比对依据</w:t>
      </w:r>
      <w:r>
        <w:rPr>
          <w:rFonts w:ascii="宋体" w:hAnsi="宋体"/>
          <w:szCs w:val="21"/>
        </w:rPr>
        <w:t>WMO/GAW</w:t>
      </w:r>
      <w:r>
        <w:rPr>
          <w:rFonts w:ascii="宋体" w:hAnsi="宋体" w:hint="eastAsia"/>
          <w:szCs w:val="21"/>
        </w:rPr>
        <w:t>要求开展，包括样品的进出口运输、清关、商检、国内运输、台站、实验室现场分析、结果提交、报告撰写等内容。</w:t>
      </w:r>
    </w:p>
    <w:p>
      <w:pPr>
        <w:pStyle w:val="Z3"/>
        <w:numPr>
          <w:ilvl w:val="0"/>
          <w:numId w:val="0"/>
        </w:numPr>
        <w:ind w:left="848" w:hanging="422" w:leftChars="203" w:hangingChars="201"/>
        <w:rPr>
          <w:rFonts w:ascii="宋体" w:hAnsi="宋体"/>
          <w:sz w:val="21"/>
          <w:szCs w:val="21"/>
        </w:rPr>
      </w:pPr>
      <w:r>
        <w:rPr>
          <w:rFonts w:ascii="宋体" w:hAnsi="宋体" w:hint="eastAsia"/>
          <w:sz w:val="21"/>
          <w:szCs w:val="21"/>
        </w:rPr>
        <w:t>5、运行维护</w:t>
      </w:r>
    </w:p>
    <w:p>
      <w:pPr>
        <w:spacing w:line="360" w:lineRule="auto"/>
        <w:ind w:firstLine="420" w:firstLineChars="200"/>
        <w:jc w:val="left"/>
        <w:rPr>
          <w:szCs w:val="21"/>
        </w:rPr>
      </w:pPr>
      <w:r>
        <w:rPr>
          <w:szCs w:val="21"/>
        </w:rPr>
        <w:t>承担实验室设备的日常检查、定期维护</w:t>
      </w:r>
      <w:r>
        <w:rPr>
          <w:rFonts w:hint="eastAsia"/>
          <w:szCs w:val="21"/>
        </w:rPr>
        <w:t>和标校</w:t>
      </w:r>
      <w:r>
        <w:rPr>
          <w:szCs w:val="21"/>
        </w:rPr>
        <w:t>、报修、故障诊断和维修、定期系统测试和常用耗材及易损件的更换</w:t>
      </w:r>
      <w:r>
        <w:rPr>
          <w:szCs w:val="21"/>
          <w:u w:val="single"/>
        </w:rPr>
        <w:t>（不包括相关物资的采购）</w:t>
      </w:r>
      <w:r>
        <w:rPr>
          <w:rFonts w:hint="eastAsia"/>
          <w:szCs w:val="21"/>
          <w:u w:val="single"/>
        </w:rPr>
        <w:t>以及故障报告</w:t>
      </w:r>
      <w:r>
        <w:rPr>
          <w:szCs w:val="21"/>
        </w:rPr>
        <w:t>。设备</w:t>
      </w:r>
      <w:r>
        <w:rPr>
          <w:rFonts w:hint="eastAsia"/>
          <w:szCs w:val="21"/>
        </w:rPr>
        <w:t>清单如下：</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42"/>
        <w:gridCol w:w="6307"/>
        <w:gridCol w:w="818"/>
        <w:gridCol w:w="836"/>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0"/>
          <w:tblHeader/>
          <w:jc w:val="center"/>
        </w:trPr>
        <w:tc>
          <w:tcPr>
            <w:tcW w:w="579" w:type="pct"/>
            <w:noWrap/>
            <w:vAlign w:val="center"/>
          </w:tcPr>
          <w:p>
            <w:pPr>
              <w:widowControl/>
              <w:jc w:val="center"/>
              <w:rPr>
                <w:rFonts w:ascii="宋体" w:hAnsi="宋体" w:cs="宋体"/>
                <w:b/>
                <w:bCs/>
                <w:kern w:val="0"/>
                <w:szCs w:val="21"/>
              </w:rPr>
            </w:pPr>
            <w:r>
              <w:rPr>
                <w:rFonts w:ascii="宋体" w:hAnsi="宋体" w:cs="宋体" w:hint="eastAsia"/>
                <w:b/>
                <w:bCs/>
                <w:kern w:val="0"/>
                <w:szCs w:val="21"/>
              </w:rPr>
              <w:t>编号</w:t>
            </w:r>
          </w:p>
        </w:tc>
        <w:tc>
          <w:tcPr>
            <w:tcW w:w="3502" w:type="pct"/>
            <w:noWrap/>
            <w:vAlign w:val="center"/>
          </w:tcPr>
          <w:p>
            <w:pPr>
              <w:widowControl/>
              <w:jc w:val="center"/>
              <w:rPr>
                <w:rFonts w:ascii="宋体" w:hAnsi="宋体" w:cs="宋体"/>
                <w:b/>
                <w:bCs/>
                <w:kern w:val="0"/>
                <w:szCs w:val="21"/>
              </w:rPr>
            </w:pPr>
            <w:r>
              <w:rPr>
                <w:rFonts w:ascii="宋体" w:hAnsi="宋体" w:cs="宋体" w:hint="eastAsia"/>
                <w:b/>
                <w:bCs/>
                <w:kern w:val="0"/>
                <w:szCs w:val="21"/>
              </w:rPr>
              <w:t>仪器名称</w:t>
            </w:r>
          </w:p>
        </w:tc>
        <w:tc>
          <w:tcPr>
            <w:tcW w:w="454" w:type="pct"/>
            <w:noWrap/>
            <w:vAlign w:val="center"/>
          </w:tcPr>
          <w:p>
            <w:pPr>
              <w:widowControl/>
              <w:jc w:val="center"/>
              <w:rPr>
                <w:rFonts w:ascii="宋体" w:hAnsi="宋体" w:cs="宋体"/>
                <w:b/>
                <w:bCs/>
                <w:kern w:val="0"/>
                <w:szCs w:val="21"/>
              </w:rPr>
            </w:pPr>
            <w:r>
              <w:rPr>
                <w:rFonts w:ascii="宋体" w:hAnsi="宋体" w:cs="宋体" w:hint="eastAsia"/>
                <w:b/>
                <w:bCs/>
                <w:kern w:val="0"/>
                <w:szCs w:val="21"/>
              </w:rPr>
              <w:t>单位</w:t>
            </w:r>
          </w:p>
        </w:tc>
        <w:tc>
          <w:tcPr>
            <w:tcW w:w="464" w:type="pct"/>
            <w:noWrap/>
            <w:vAlign w:val="center"/>
          </w:tcPr>
          <w:p>
            <w:pPr>
              <w:widowControl/>
              <w:jc w:val="center"/>
              <w:rPr>
                <w:rFonts w:ascii="宋体" w:hAnsi="宋体" w:cs="宋体"/>
                <w:b/>
                <w:bCs/>
                <w:kern w:val="0"/>
                <w:szCs w:val="21"/>
              </w:rPr>
            </w:pPr>
            <w:r>
              <w:rPr>
                <w:rFonts w:ascii="宋体" w:hAnsi="宋体" w:cs="宋体" w:hint="eastAsia"/>
                <w:b/>
                <w:bCs/>
                <w:kern w:val="0"/>
                <w:szCs w:val="21"/>
              </w:rPr>
              <w:t>数量</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气相色谱系统（</w:t>
            </w:r>
            <w:r>
              <w:rPr>
                <w:rFonts w:ascii="宋体" w:hAnsi="宋体" w:cs="宋体"/>
                <w:kern w:val="0"/>
                <w:szCs w:val="21"/>
              </w:rPr>
              <w:t>GC）</w:t>
            </w:r>
          </w:p>
        </w:tc>
        <w:tc>
          <w:tcPr>
            <w:tcW w:w="454" w:type="pct"/>
            <w:vAlign w:val="center"/>
          </w:tcPr>
          <w:p>
            <w:pPr>
              <w:widowControl/>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hint="eastAsia"/>
                <w:kern w:val="0"/>
                <w:szCs w:val="21"/>
              </w:rPr>
              <w:t>4</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光腔衰荡光谱系统（</w:t>
            </w:r>
            <w:r>
              <w:rPr>
                <w:rFonts w:ascii="宋体" w:hAnsi="宋体" w:cs="宋体"/>
                <w:kern w:val="0"/>
                <w:szCs w:val="21"/>
              </w:rPr>
              <w:t>CRDS）</w:t>
            </w:r>
          </w:p>
        </w:tc>
        <w:tc>
          <w:tcPr>
            <w:tcW w:w="454" w:type="pct"/>
            <w:vAlign w:val="center"/>
          </w:tcPr>
          <w:p>
            <w:pPr>
              <w:widowControl/>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7</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kern w:val="0"/>
                <w:szCs w:val="21"/>
              </w:rPr>
              <w:t>LGR系统</w:t>
            </w:r>
          </w:p>
        </w:tc>
        <w:tc>
          <w:tcPr>
            <w:tcW w:w="454" w:type="pct"/>
            <w:vAlign w:val="center"/>
          </w:tcPr>
          <w:p>
            <w:pPr>
              <w:widowControl/>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3</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样品进气系统</w:t>
            </w:r>
          </w:p>
        </w:tc>
        <w:tc>
          <w:tcPr>
            <w:tcW w:w="454" w:type="pct"/>
            <w:vAlign w:val="center"/>
          </w:tcPr>
          <w:p>
            <w:pPr>
              <w:widowControl/>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3</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同位素系统（</w:t>
            </w:r>
            <w:r>
              <w:rPr>
                <w:rFonts w:ascii="宋体" w:hAnsi="宋体" w:cs="宋体"/>
                <w:kern w:val="0"/>
                <w:szCs w:val="21"/>
              </w:rPr>
              <w:t>IRMS）</w:t>
            </w:r>
          </w:p>
        </w:tc>
        <w:tc>
          <w:tcPr>
            <w:tcW w:w="454" w:type="pct"/>
            <w:vAlign w:val="center"/>
          </w:tcPr>
          <w:p>
            <w:pPr>
              <w:widowControl/>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2</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气相色谱</w:t>
            </w:r>
            <w:r>
              <w:rPr>
                <w:rFonts w:ascii="宋体" w:hAnsi="宋体" w:cs="宋体"/>
                <w:kern w:val="0"/>
                <w:szCs w:val="21"/>
              </w:rPr>
              <w:t>-质谱联用系统（GC-MS）</w:t>
            </w:r>
          </w:p>
        </w:tc>
        <w:tc>
          <w:tcPr>
            <w:tcW w:w="454" w:type="pct"/>
            <w:vAlign w:val="center"/>
          </w:tcPr>
          <w:p>
            <w:pPr>
              <w:widowControl/>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hint="eastAsia"/>
                <w:kern w:val="0"/>
                <w:szCs w:val="21"/>
              </w:rPr>
              <w:t>2</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恒温热脱附系统</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1</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清瓶系统</w:t>
            </w:r>
          </w:p>
        </w:tc>
        <w:tc>
          <w:tcPr>
            <w:tcW w:w="454" w:type="pct"/>
            <w:vAlign w:val="center"/>
          </w:tcPr>
          <w:p>
            <w:pPr>
              <w:rPr>
                <w:rFonts w:ascii="宋体" w:hAnsi="宋体"/>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2</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清罐系统</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1</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kern w:val="0"/>
                <w:szCs w:val="21"/>
              </w:rPr>
              <w:t>傅里叶红外光谱</w:t>
            </w:r>
            <w:r>
              <w:rPr>
                <w:rFonts w:ascii="宋体" w:hAnsi="宋体" w:cs="宋体" w:hint="eastAsia"/>
                <w:kern w:val="0"/>
                <w:szCs w:val="21"/>
              </w:rPr>
              <w:t>系统（</w:t>
            </w:r>
            <w:r>
              <w:rPr>
                <w:rFonts w:ascii="宋体" w:hAnsi="宋体" w:cs="宋体"/>
                <w:kern w:val="0"/>
                <w:szCs w:val="21"/>
              </w:rPr>
              <w:t>FTIR）</w:t>
            </w:r>
          </w:p>
        </w:tc>
        <w:tc>
          <w:tcPr>
            <w:tcW w:w="454" w:type="pct"/>
            <w:vAlign w:val="center"/>
          </w:tcPr>
          <w:p>
            <w:pPr>
              <w:rPr>
                <w:rFonts w:ascii="宋体" w:hAnsi="宋体"/>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1</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碳分析系统</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hint="eastAsia"/>
                <w:kern w:val="0"/>
                <w:szCs w:val="21"/>
              </w:rPr>
              <w:t>2</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离子色谱分析系统（</w:t>
            </w:r>
            <w:r>
              <w:rPr>
                <w:rFonts w:ascii="宋体" w:hAnsi="宋体" w:cs="宋体"/>
                <w:kern w:val="0"/>
                <w:szCs w:val="21"/>
              </w:rPr>
              <w:t>IC）</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2</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原子吸收分析系统（</w:t>
            </w:r>
            <w:r>
              <w:rPr>
                <w:rFonts w:ascii="宋体" w:hAnsi="宋体" w:cs="宋体"/>
                <w:kern w:val="0"/>
                <w:szCs w:val="21"/>
              </w:rPr>
              <w:t>AAS）</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1</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高精度分析天平及砝码</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1</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kern w:val="0"/>
                <w:szCs w:val="21"/>
              </w:rPr>
              <w:t>pH计</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2</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电导率仪</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kern w:val="0"/>
                <w:szCs w:val="21"/>
              </w:rPr>
              <w:t>2</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积分浊度仪标校系统</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hint="eastAsia"/>
                <w:kern w:val="0"/>
                <w:szCs w:val="21"/>
              </w:rPr>
              <w:t>1</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反应性气体标校系统</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hint="eastAsia"/>
                <w:kern w:val="0"/>
                <w:szCs w:val="21"/>
              </w:rPr>
            </w:pPr>
            <w:r>
              <w:rPr>
                <w:rFonts w:ascii="宋体" w:hAnsi="宋体" w:cs="宋体" w:hint="eastAsia"/>
                <w:kern w:val="0"/>
                <w:szCs w:val="21"/>
                <w:lang w:val="en-US" w:eastAsia="zh-CN"/>
              </w:rPr>
              <w:t>2</w:t>
            </w:r>
          </w:p>
        </w:tc>
      </w:tr>
      <w:tr>
        <w:tblPrEx>
          <w:tblW w:w="5000" w:type="pct"/>
          <w:jc w:val="center"/>
          <w:tblLayout w:type="fixed"/>
          <w:tblCellMar>
            <w:top w:w="0" w:type="dxa"/>
            <w:left w:w="108" w:type="dxa"/>
            <w:bottom w:w="0" w:type="dxa"/>
            <w:right w:w="108" w:type="dxa"/>
          </w:tblCellMar>
        </w:tblPrEx>
        <w:trPr>
          <w:trHeight w:val="20"/>
          <w:jc w:val="center"/>
        </w:trPr>
        <w:tc>
          <w:tcPr>
            <w:tcW w:w="579" w:type="pct"/>
            <w:noWrap/>
            <w:vAlign w:val="center"/>
          </w:tcPr>
          <w:p>
            <w:pPr>
              <w:pStyle w:val="ListParagraph"/>
              <w:widowControl/>
              <w:numPr>
                <w:ilvl w:val="0"/>
                <w:numId w:val="7"/>
              </w:numPr>
              <w:ind w:firstLineChars="0"/>
              <w:rPr>
                <w:rFonts w:ascii="宋体" w:hAnsi="宋体" w:cs="宋体"/>
                <w:kern w:val="0"/>
                <w:szCs w:val="21"/>
              </w:rPr>
            </w:pPr>
          </w:p>
        </w:tc>
        <w:tc>
          <w:tcPr>
            <w:tcW w:w="3502" w:type="pct"/>
            <w:vAlign w:val="center"/>
          </w:tcPr>
          <w:p>
            <w:pPr>
              <w:widowControl/>
              <w:rPr>
                <w:rFonts w:ascii="宋体" w:hAnsi="宋体" w:cs="宋体"/>
                <w:kern w:val="0"/>
                <w:szCs w:val="21"/>
              </w:rPr>
            </w:pPr>
            <w:r>
              <w:rPr>
                <w:rFonts w:ascii="宋体" w:hAnsi="宋体" w:cs="宋体" w:hint="eastAsia"/>
                <w:kern w:val="0"/>
                <w:szCs w:val="21"/>
              </w:rPr>
              <w:t>GRIMM</w:t>
            </w:r>
            <w:r>
              <w:rPr>
                <w:rFonts w:ascii="宋体" w:hAnsi="宋体" w:cs="宋体"/>
                <w:kern w:val="0"/>
                <w:szCs w:val="21"/>
              </w:rPr>
              <w:t>180</w:t>
            </w:r>
            <w:r>
              <w:rPr>
                <w:rFonts w:ascii="宋体" w:hAnsi="宋体" w:cs="宋体" w:hint="eastAsia"/>
                <w:kern w:val="0"/>
                <w:szCs w:val="21"/>
              </w:rPr>
              <w:t>粒径谱仪标校系统</w:t>
            </w:r>
          </w:p>
        </w:tc>
        <w:tc>
          <w:tcPr>
            <w:tcW w:w="454" w:type="pct"/>
            <w:vAlign w:val="center"/>
          </w:tcPr>
          <w:p>
            <w:pPr>
              <w:rPr>
                <w:rFonts w:ascii="宋体" w:hAnsi="宋体" w:cs="宋体"/>
                <w:kern w:val="0"/>
                <w:szCs w:val="21"/>
              </w:rPr>
            </w:pPr>
            <w:r>
              <w:rPr>
                <w:rFonts w:ascii="宋体" w:hAnsi="宋体" w:cs="宋体" w:hint="eastAsia"/>
                <w:kern w:val="0"/>
                <w:szCs w:val="21"/>
              </w:rPr>
              <w:t>套</w:t>
            </w:r>
          </w:p>
        </w:tc>
        <w:tc>
          <w:tcPr>
            <w:tcW w:w="464" w:type="pct"/>
            <w:noWrap/>
            <w:vAlign w:val="center"/>
          </w:tcPr>
          <w:p>
            <w:pPr>
              <w:widowControl/>
              <w:rPr>
                <w:rFonts w:ascii="宋体" w:hAnsi="宋体" w:cs="宋体"/>
                <w:kern w:val="0"/>
                <w:szCs w:val="21"/>
              </w:rPr>
            </w:pPr>
            <w:r>
              <w:rPr>
                <w:rFonts w:ascii="宋体" w:hAnsi="宋体" w:cs="宋体" w:hint="eastAsia"/>
                <w:kern w:val="0"/>
                <w:szCs w:val="21"/>
              </w:rPr>
              <w:t>3</w:t>
            </w:r>
          </w:p>
        </w:tc>
      </w:tr>
      <w:tr>
        <w:tblPrEx>
          <w:tblW w:w="5000" w:type="pct"/>
          <w:jc w:val="center"/>
          <w:tblLayout w:type="fixed"/>
          <w:tblCellMar>
            <w:top w:w="0" w:type="dxa"/>
            <w:left w:w="108" w:type="dxa"/>
            <w:bottom w:w="0" w:type="dxa"/>
            <w:right w:w="108" w:type="dxa"/>
          </w:tblCellMar>
        </w:tblPrEx>
        <w:trPr>
          <w:trHeight w:val="20"/>
          <w:jc w:val="center"/>
        </w:trPr>
        <w:tc>
          <w:tcPr>
            <w:tcW w:w="579" w:type="pct"/>
            <w:shd w:val="clear" w:color="auto" w:fill="auto"/>
            <w:noWrap/>
            <w:vAlign w:val="center"/>
          </w:tcPr>
          <w:p>
            <w:pPr>
              <w:pStyle w:val="ListParagraph"/>
              <w:widowControl/>
              <w:numPr>
                <w:ilvl w:val="0"/>
                <w:numId w:val="7"/>
              </w:numPr>
              <w:ind w:left="420" w:hanging="420" w:leftChars="0" w:firstLineChars="0"/>
              <w:rPr>
                <w:rFonts w:ascii="宋体" w:hAnsi="宋体" w:cs="宋体"/>
                <w:kern w:val="0"/>
                <w:szCs w:val="21"/>
                <w:lang w:val="en-US" w:bidi="ar-SA"/>
              </w:rPr>
            </w:pPr>
          </w:p>
        </w:tc>
        <w:tc>
          <w:tcPr>
            <w:tcW w:w="3502" w:type="pct"/>
            <w:shd w:val="clear" w:color="auto" w:fill="auto"/>
            <w:vAlign w:val="center"/>
          </w:tcPr>
          <w:p>
            <w:pPr>
              <w:widowControl/>
              <w:rPr>
                <w:rFonts w:ascii="宋体" w:hAnsi="宋体" w:cs="宋体" w:hint="eastAsia"/>
                <w:kern w:val="0"/>
                <w:szCs w:val="21"/>
              </w:rPr>
            </w:pPr>
            <w:r>
              <w:rPr>
                <w:rFonts w:ascii="宋体" w:hAnsi="宋体" w:cs="宋体" w:hint="eastAsia"/>
                <w:kern w:val="0"/>
                <w:szCs w:val="21"/>
                <w:lang w:val="en-US" w:eastAsia="zh-CN"/>
              </w:rPr>
              <w:t>黑碳气溶胶发生与混合系统</w:t>
            </w:r>
          </w:p>
        </w:tc>
        <w:tc>
          <w:tcPr>
            <w:tcW w:w="454" w:type="pct"/>
            <w:shd w:val="clear" w:color="auto" w:fill="auto"/>
            <w:vAlign w:val="center"/>
          </w:tcPr>
          <w:p>
            <w:pPr>
              <w:rPr>
                <w:rFonts w:ascii="宋体" w:hAnsi="宋体" w:cs="宋体" w:hint="eastAsia"/>
                <w:kern w:val="0"/>
                <w:szCs w:val="21"/>
              </w:rPr>
            </w:pPr>
            <w:r>
              <w:rPr>
                <w:rFonts w:ascii="宋体" w:hAnsi="宋体" w:cs="宋体" w:hint="eastAsia"/>
                <w:kern w:val="0"/>
                <w:szCs w:val="21"/>
                <w:lang w:val="en-US" w:eastAsia="zh-CN"/>
              </w:rPr>
              <w:t>套</w:t>
            </w:r>
          </w:p>
        </w:tc>
        <w:tc>
          <w:tcPr>
            <w:tcW w:w="464" w:type="pct"/>
            <w:shd w:val="clear" w:color="auto" w:fill="auto"/>
            <w:noWrap/>
            <w:vAlign w:val="center"/>
          </w:tcPr>
          <w:p>
            <w:pPr>
              <w:widowControl/>
              <w:rPr>
                <w:rFonts w:ascii="宋体" w:hAnsi="宋体" w:cs="宋体" w:hint="eastAsia"/>
                <w:kern w:val="0"/>
                <w:szCs w:val="21"/>
              </w:rPr>
            </w:pPr>
            <w:r>
              <w:rPr>
                <w:rFonts w:ascii="宋体" w:hAnsi="宋体" w:cs="宋体" w:hint="eastAsia"/>
                <w:kern w:val="0"/>
                <w:szCs w:val="21"/>
                <w:lang w:val="en-US" w:eastAsia="zh-CN"/>
              </w:rPr>
              <w:t>1</w:t>
            </w:r>
          </w:p>
        </w:tc>
      </w:tr>
    </w:tbl>
    <w:p>
      <w:pPr>
        <w:spacing w:line="360" w:lineRule="auto"/>
        <w:ind w:firstLine="420" w:firstLineChars="200"/>
        <w:rPr>
          <w:rFonts w:ascii="宋体" w:cs="宋体"/>
          <w:kern w:val="0"/>
          <w:szCs w:val="21"/>
        </w:rPr>
      </w:pPr>
      <w:r>
        <w:rPr>
          <w:rFonts w:ascii="宋体" w:cs="宋体" w:hint="eastAsia"/>
          <w:kern w:val="0"/>
          <w:szCs w:val="21"/>
        </w:rPr>
        <w:t>承担实验室辅助分析设施及设备的报修和常用耗材、易损件的更换</w:t>
      </w:r>
      <w:r>
        <w:rPr>
          <w:rFonts w:ascii="宋体" w:cs="宋体" w:hint="eastAsia"/>
          <w:kern w:val="0"/>
          <w:szCs w:val="21"/>
          <w:u w:val="single"/>
        </w:rPr>
        <w:t>（不包括相关物资的采购）</w:t>
      </w:r>
      <w:r>
        <w:rPr>
          <w:rFonts w:ascii="宋体" w:cs="宋体" w:hint="eastAsia"/>
          <w:kern w:val="0"/>
          <w:szCs w:val="21"/>
        </w:rPr>
        <w:t>，包括各种仪器配套软件系统、百万分之一天平、马弗炉、恒温恒湿箱、超纯水机、烘箱、低温冷柜等。</w:t>
      </w:r>
    </w:p>
    <w:p>
      <w:pPr>
        <w:spacing w:line="360" w:lineRule="auto"/>
        <w:ind w:firstLine="420" w:firstLineChars="200"/>
        <w:rPr>
          <w:rFonts w:ascii="宋体" w:cs="宋体"/>
          <w:kern w:val="0"/>
          <w:szCs w:val="21"/>
        </w:rPr>
      </w:pPr>
      <w:r>
        <w:rPr>
          <w:rFonts w:ascii="宋体" w:cs="宋体" w:hint="eastAsia"/>
          <w:kern w:val="0"/>
          <w:szCs w:val="21"/>
        </w:rPr>
        <w:t>承担中国气象局国家级大气本底站温室气体观测系统的故障诊断、维修和常用耗材、易损件的更换</w:t>
      </w:r>
      <w:r>
        <w:rPr>
          <w:rFonts w:ascii="宋体" w:cs="宋体" w:hint="eastAsia"/>
          <w:kern w:val="0"/>
          <w:szCs w:val="21"/>
          <w:u w:val="single"/>
        </w:rPr>
        <w:t>（不包括相关物资的采购）</w:t>
      </w:r>
      <w:r>
        <w:rPr>
          <w:rFonts w:ascii="宋体" w:cs="宋体" w:hint="eastAsia"/>
          <w:kern w:val="0"/>
          <w:szCs w:val="21"/>
        </w:rPr>
        <w:t>，包括台站光腔衰荡光谱系统、气相色谱系统、积分</w:t>
      </w:r>
      <w:r>
        <w:rPr>
          <w:rFonts w:ascii="宋体" w:cs="宋体"/>
          <w:kern w:val="0"/>
          <w:szCs w:val="21"/>
        </w:rPr>
        <w:t>腔</w:t>
      </w:r>
      <w:r>
        <w:rPr>
          <w:rFonts w:ascii="宋体" w:cs="宋体" w:hint="eastAsia"/>
          <w:kern w:val="0"/>
          <w:szCs w:val="21"/>
        </w:rPr>
        <w:t>输出</w:t>
      </w:r>
      <w:r>
        <w:rPr>
          <w:rFonts w:ascii="宋体" w:cs="宋体"/>
          <w:kern w:val="0"/>
          <w:szCs w:val="21"/>
        </w:rPr>
        <w:t>光谱系统、</w:t>
      </w:r>
      <w:r>
        <w:rPr>
          <w:rFonts w:ascii="宋体" w:cs="宋体" w:hint="eastAsia"/>
          <w:kern w:val="0"/>
          <w:szCs w:val="21"/>
        </w:rPr>
        <w:t>梯度进气系统、铁塔气象要素系统、卤代温室气体观测系统、高压配气系统、玻璃瓶采样系统、不锈钢罐采样系统等。</w:t>
      </w:r>
    </w:p>
    <w:p>
      <w:pPr>
        <w:pStyle w:val="Z3"/>
        <w:numPr>
          <w:ilvl w:val="0"/>
          <w:numId w:val="0"/>
        </w:numPr>
        <w:ind w:left="848" w:hanging="422" w:leftChars="203" w:hangingChars="201"/>
        <w:rPr>
          <w:rFonts w:ascii="宋体" w:hAnsi="宋体"/>
          <w:sz w:val="21"/>
          <w:szCs w:val="21"/>
        </w:rPr>
      </w:pPr>
      <w:r>
        <w:rPr>
          <w:rFonts w:ascii="宋体" w:hAnsi="宋体" w:hint="eastAsia"/>
          <w:sz w:val="21"/>
          <w:szCs w:val="21"/>
        </w:rPr>
        <w:t>6、设备的年度维护</w:t>
      </w:r>
    </w:p>
    <w:p>
      <w:pPr>
        <w:spacing w:line="360" w:lineRule="auto"/>
        <w:ind w:firstLine="420" w:firstLineChars="200"/>
        <w:rPr>
          <w:rFonts w:ascii="宋体" w:hAnsi="宋体"/>
          <w:b/>
          <w:szCs w:val="21"/>
        </w:rPr>
      </w:pPr>
      <w:r>
        <w:rPr>
          <w:szCs w:val="21"/>
        </w:rPr>
        <w:t>承担大气本底站相关仪器的年度维护、系统测试和运行状况巡检，并按规定格式在巡检结束一周内提交巡检记录表（纸质材料及信息化材料）和维护报告等</w:t>
      </w:r>
      <w:r>
        <w:rPr>
          <w:rFonts w:hint="eastAsia"/>
          <w:szCs w:val="21"/>
        </w:rPr>
        <w:t>，其中瓦里关、香格里拉、龙凤山、阿克达拉本底站需在</w:t>
      </w:r>
      <w:r>
        <w:rPr>
          <w:rFonts w:hint="eastAsia"/>
          <w:szCs w:val="21"/>
          <w:lang w:val="en-US" w:eastAsia="zh-CN"/>
        </w:rPr>
        <w:t>12</w:t>
      </w:r>
      <w:r>
        <w:rPr>
          <w:rFonts w:hint="eastAsia"/>
          <w:szCs w:val="21"/>
        </w:rPr>
        <w:t>月底前完成。</w:t>
      </w:r>
      <w:r>
        <w:rPr>
          <w:szCs w:val="21"/>
        </w:rPr>
        <w:t>设备和站点如下</w:t>
      </w:r>
      <w:r>
        <w:rPr>
          <w:rFonts w:ascii="宋体" w:hAnsi="宋体" w:hint="eastAsia"/>
          <w:szCs w:val="21"/>
        </w:rPr>
        <w:t>：</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08" w:type="dxa"/>
          <w:bottom w:w="15" w:type="dxa"/>
          <w:right w:w="108" w:type="dxa"/>
        </w:tblCellMar>
      </w:tblPr>
      <w:tblGrid>
        <w:gridCol w:w="725"/>
        <w:gridCol w:w="1972"/>
        <w:gridCol w:w="5825"/>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08" w:type="dxa"/>
            <w:bottom w:w="15" w:type="dxa"/>
            <w:right w:w="108" w:type="dxa"/>
          </w:tblCellMar>
        </w:tblPrEx>
        <w:trPr>
          <w:trHeight w:val="62"/>
          <w:tblHeader/>
        </w:trPr>
        <w:tc>
          <w:tcPr>
            <w:tcW w:w="425" w:type="pct"/>
            <w:shd w:val="clear" w:color="auto" w:fill="auto"/>
            <w:vAlign w:val="center"/>
          </w:tcPr>
          <w:p>
            <w:pPr>
              <w:widowControl/>
              <w:jc w:val="center"/>
              <w:rPr>
                <w:rFonts w:ascii="宋体" w:hAnsi="宋体" w:cs="宋体"/>
                <w:b/>
                <w:bCs/>
                <w:kern w:val="0"/>
                <w:szCs w:val="21"/>
              </w:rPr>
            </w:pPr>
            <w:r>
              <w:rPr>
                <w:rFonts w:ascii="宋体" w:hAnsi="宋体" w:cs="宋体" w:hint="eastAsia"/>
                <w:b/>
                <w:bCs/>
                <w:kern w:val="0"/>
                <w:szCs w:val="21"/>
              </w:rPr>
              <w:t>序号</w:t>
            </w:r>
          </w:p>
        </w:tc>
        <w:tc>
          <w:tcPr>
            <w:tcW w:w="1157" w:type="pct"/>
            <w:shd w:val="clear" w:color="auto" w:fill="auto"/>
            <w:vAlign w:val="center"/>
          </w:tcPr>
          <w:p>
            <w:pPr>
              <w:widowControl/>
              <w:jc w:val="center"/>
              <w:rPr>
                <w:rFonts w:ascii="宋体" w:hAnsi="宋体" w:cs="宋体"/>
                <w:b/>
                <w:bCs/>
                <w:kern w:val="0"/>
                <w:szCs w:val="21"/>
              </w:rPr>
            </w:pPr>
            <w:r>
              <w:rPr>
                <w:rFonts w:ascii="宋体" w:hAnsi="宋体" w:cs="宋体" w:hint="eastAsia"/>
                <w:b/>
                <w:bCs/>
                <w:kern w:val="0"/>
                <w:szCs w:val="21"/>
              </w:rPr>
              <w:t>站点</w:t>
            </w:r>
          </w:p>
        </w:tc>
        <w:tc>
          <w:tcPr>
            <w:tcW w:w="3417" w:type="pct"/>
            <w:shd w:val="clear" w:color="auto" w:fill="auto"/>
            <w:vAlign w:val="center"/>
          </w:tcPr>
          <w:p>
            <w:pPr>
              <w:widowControl/>
              <w:jc w:val="center"/>
              <w:rPr>
                <w:rFonts w:ascii="宋体" w:hAnsi="宋体" w:cs="宋体"/>
                <w:b/>
                <w:bCs/>
                <w:kern w:val="0"/>
                <w:szCs w:val="21"/>
              </w:rPr>
            </w:pPr>
            <w:r>
              <w:rPr>
                <w:rFonts w:ascii="宋体" w:hAnsi="宋体" w:cs="宋体" w:hint="eastAsia"/>
                <w:b/>
                <w:bCs/>
                <w:kern w:val="0"/>
                <w:szCs w:val="21"/>
              </w:rPr>
              <w:t>设备</w:t>
            </w:r>
          </w:p>
        </w:tc>
      </w:tr>
      <w:tr>
        <w:tblPrEx>
          <w:tblW w:w="5000" w:type="pct"/>
          <w:tblInd w:w="0" w:type="dxa"/>
          <w:tblCellMar>
            <w:top w:w="15" w:type="dxa"/>
            <w:left w:w="108" w:type="dxa"/>
            <w:bottom w:w="15" w:type="dxa"/>
            <w:right w:w="108" w:type="dxa"/>
          </w:tblCellMar>
        </w:tblPrEx>
        <w:trPr>
          <w:trHeight w:val="20"/>
        </w:trPr>
        <w:tc>
          <w:tcPr>
            <w:tcW w:w="425" w:type="pct"/>
            <w:vMerge w:val="restart"/>
            <w:shd w:val="clear" w:color="auto" w:fill="auto"/>
            <w:vAlign w:val="center"/>
          </w:tcPr>
          <w:p>
            <w:pPr>
              <w:ind w:left="0" w:firstLineChars="0"/>
              <w:jc w:val="center"/>
              <w:rPr>
                <w:rFonts w:ascii="Cambria" w:eastAsia="微软雅黑" w:hAnsi="Cambria" w:hint="eastAsia"/>
                <w:color w:val="000000"/>
                <w:kern w:val="20"/>
                <w:szCs w:val="20"/>
              </w:rPr>
            </w:pPr>
            <w:r>
              <w:rPr>
                <w:rFonts w:ascii="Cambria" w:eastAsia="微软雅黑" w:hAnsi="Cambria" w:cs="Times New Roman" w:hint="eastAsia"/>
                <w:color w:val="000000"/>
                <w:kern w:val="20"/>
                <w:szCs w:val="20"/>
                <w:lang w:val="en-US" w:eastAsia="zh-CN"/>
              </w:rPr>
              <w:t>1</w:t>
            </w:r>
          </w:p>
        </w:tc>
        <w:tc>
          <w:tcPr>
            <w:tcW w:w="1157" w:type="pct"/>
            <w:vMerge w:val="restar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北京上甸子</w:t>
            </w: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温室气体观测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-颗粒物质量浓度监测仪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黑碳仪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气溶胶-浊度仪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-太阳光度计</w:t>
            </w:r>
          </w:p>
        </w:tc>
      </w:tr>
      <w:tr>
        <w:tblPrEx>
          <w:tblW w:w="5000" w:type="pct"/>
          <w:tblInd w:w="0" w:type="dxa"/>
          <w:tblCellMar>
            <w:top w:w="15" w:type="dxa"/>
            <w:left w:w="108" w:type="dxa"/>
            <w:bottom w:w="15" w:type="dxa"/>
            <w:right w:w="108" w:type="dxa"/>
          </w:tblCellMar>
        </w:tblPrEx>
        <w:trPr>
          <w:trHeight w:val="637"/>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反应性气体观测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val="restart"/>
            <w:shd w:val="clear" w:color="auto" w:fill="auto"/>
            <w:vAlign w:val="center"/>
          </w:tcPr>
          <w:p>
            <w:pPr>
              <w:ind w:left="0" w:firstLineChars="0"/>
              <w:jc w:val="center"/>
              <w:rPr>
                <w:rFonts w:ascii="Cambria" w:eastAsia="微软雅黑" w:hAnsi="Cambria" w:hint="eastAsia"/>
                <w:color w:val="000000"/>
                <w:kern w:val="20"/>
                <w:szCs w:val="20"/>
              </w:rPr>
            </w:pPr>
            <w:r>
              <w:rPr>
                <w:rFonts w:ascii="Cambria" w:eastAsia="微软雅黑" w:hAnsi="Cambria" w:hint="eastAsia"/>
                <w:color w:val="000000"/>
                <w:kern w:val="20"/>
                <w:szCs w:val="20"/>
                <w:lang w:val="en-US" w:eastAsia="zh-CN"/>
              </w:rPr>
              <w:t>2</w:t>
            </w:r>
          </w:p>
        </w:tc>
        <w:tc>
          <w:tcPr>
            <w:tcW w:w="1157" w:type="pct"/>
            <w:vMerge w:val="restar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黑龙江龙凤山</w:t>
            </w: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温室气体观测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-颗粒物质量浓度监测仪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黑碳仪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-太阳光度计</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便携式</w:t>
            </w:r>
            <w:r>
              <w:rPr>
                <w:rFonts w:ascii="宋体" w:hAnsi="宋体" w:cs="宋体"/>
                <w:kern w:val="0"/>
                <w:szCs w:val="21"/>
              </w:rPr>
              <w:t>采样</w:t>
            </w:r>
            <w:r>
              <w:rPr>
                <w:rFonts w:ascii="宋体" w:hAnsi="宋体" w:cs="宋体" w:hint="eastAsia"/>
                <w:kern w:val="0"/>
                <w:szCs w:val="21"/>
              </w:rPr>
              <w:t>器</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反应性气体观测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val="restart"/>
            <w:shd w:val="clear" w:color="auto" w:fill="auto"/>
            <w:vAlign w:val="center"/>
          </w:tcPr>
          <w:p>
            <w:pPr>
              <w:ind w:left="0" w:firstLineChars="0"/>
              <w:jc w:val="center"/>
              <w:rPr>
                <w:rFonts w:ascii="Cambria" w:eastAsia="微软雅黑" w:hAnsi="Cambria" w:hint="eastAsia"/>
                <w:color w:val="000000"/>
                <w:kern w:val="20"/>
                <w:szCs w:val="20"/>
              </w:rPr>
            </w:pPr>
            <w:r>
              <w:rPr>
                <w:rFonts w:ascii="Cambria" w:eastAsia="微软雅黑" w:hAnsi="Cambria" w:cs="Times New Roman" w:hint="eastAsia"/>
                <w:color w:val="000000"/>
                <w:kern w:val="20"/>
                <w:szCs w:val="20"/>
                <w:lang w:val="en-US" w:eastAsia="zh-CN"/>
              </w:rPr>
              <w:t>3</w:t>
            </w:r>
          </w:p>
        </w:tc>
        <w:tc>
          <w:tcPr>
            <w:tcW w:w="1157" w:type="pct"/>
            <w:vMerge w:val="restar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湖北金沙</w:t>
            </w: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温室气体观测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-颗粒物质量浓度监测仪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黑碳仪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气溶胶-浊度仪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-太阳光度计</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反应性气体观测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val="restart"/>
            <w:shd w:val="clear" w:color="auto" w:fill="auto"/>
            <w:vAlign w:val="center"/>
          </w:tcPr>
          <w:p>
            <w:pPr>
              <w:ind w:left="0" w:firstLineChars="0"/>
              <w:jc w:val="center"/>
              <w:rPr>
                <w:rFonts w:ascii="Cambria" w:eastAsia="微软雅黑" w:hAnsi="Cambria" w:hint="eastAsia"/>
                <w:color w:val="000000"/>
                <w:kern w:val="20"/>
                <w:szCs w:val="20"/>
              </w:rPr>
            </w:pPr>
            <w:r>
              <w:rPr>
                <w:rFonts w:ascii="Cambria" w:eastAsia="微软雅黑" w:hAnsi="Cambria" w:hint="eastAsia"/>
                <w:color w:val="000000"/>
                <w:kern w:val="20"/>
                <w:szCs w:val="20"/>
                <w:lang w:val="en-US" w:eastAsia="zh-CN"/>
              </w:rPr>
              <w:t>4</w:t>
            </w:r>
          </w:p>
        </w:tc>
        <w:tc>
          <w:tcPr>
            <w:tcW w:w="1157" w:type="pct"/>
            <w:vMerge w:val="restar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青海瓦里关</w:t>
            </w: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温室气体观测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-颗粒物质量浓度监测仪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黑碳仪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-太阳光度计</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反应性气体观测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臭氧光谱仪</w:t>
            </w:r>
          </w:p>
        </w:tc>
      </w:tr>
      <w:tr>
        <w:tblPrEx>
          <w:tblW w:w="5000" w:type="pct"/>
          <w:tblInd w:w="0" w:type="dxa"/>
          <w:tblCellMar>
            <w:top w:w="15" w:type="dxa"/>
            <w:left w:w="108" w:type="dxa"/>
            <w:bottom w:w="15" w:type="dxa"/>
            <w:right w:w="108" w:type="dxa"/>
          </w:tblCellMar>
        </w:tblPrEx>
        <w:trPr>
          <w:trHeight w:val="20"/>
        </w:trPr>
        <w:tc>
          <w:tcPr>
            <w:tcW w:w="425" w:type="pct"/>
            <w:vMerge w:val="restart"/>
            <w:shd w:val="clear" w:color="auto" w:fill="auto"/>
            <w:vAlign w:val="center"/>
          </w:tcPr>
          <w:p>
            <w:pPr>
              <w:ind w:left="0" w:firstLineChars="0"/>
              <w:jc w:val="center"/>
              <w:rPr>
                <w:rFonts w:ascii="Cambria" w:eastAsia="微软雅黑" w:hAnsi="Cambria" w:hint="eastAsia"/>
                <w:color w:val="000000"/>
                <w:kern w:val="20"/>
                <w:szCs w:val="20"/>
              </w:rPr>
            </w:pPr>
            <w:r>
              <w:rPr>
                <w:rFonts w:ascii="Cambria" w:eastAsia="微软雅黑" w:hAnsi="Cambria" w:hint="eastAsia"/>
                <w:color w:val="000000"/>
                <w:kern w:val="20"/>
                <w:szCs w:val="20"/>
                <w:lang w:val="en-US" w:eastAsia="zh-CN"/>
              </w:rPr>
              <w:t>5</w:t>
            </w:r>
          </w:p>
        </w:tc>
        <w:tc>
          <w:tcPr>
            <w:tcW w:w="1157" w:type="pct"/>
            <w:vMerge w:val="restar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新疆阿克达拉</w:t>
            </w: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温室气体观测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0"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颗粒物质量浓度监测仪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0"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黑碳仪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0"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tcPr>
          <w:p>
            <w:pPr>
              <w:widowControl/>
              <w:jc w:val="left"/>
              <w:rPr>
                <w:rFonts w:ascii="宋体" w:hAnsi="宋体" w:cs="宋体"/>
                <w:kern w:val="0"/>
                <w:szCs w:val="21"/>
              </w:rPr>
            </w:pPr>
            <w:r>
              <w:rPr>
                <w:rFonts w:ascii="宋体" w:hAnsi="宋体" w:cs="宋体" w:hint="eastAsia"/>
                <w:kern w:val="0"/>
                <w:szCs w:val="21"/>
              </w:rPr>
              <w:t>气溶胶-浊度仪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0"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-太阳光度计</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0"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反应性气体观测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val="restart"/>
            <w:shd w:val="clear" w:color="auto" w:fill="auto"/>
            <w:vAlign w:val="center"/>
          </w:tcPr>
          <w:p>
            <w:pPr>
              <w:ind w:left="0" w:firstLineChars="0"/>
              <w:jc w:val="center"/>
              <w:rPr>
                <w:rFonts w:ascii="Cambria" w:eastAsia="微软雅黑" w:hAnsi="Cambria" w:hint="eastAsia"/>
                <w:color w:val="000000"/>
                <w:kern w:val="20"/>
                <w:szCs w:val="20"/>
              </w:rPr>
            </w:pPr>
            <w:r>
              <w:rPr>
                <w:rFonts w:ascii="Cambria" w:eastAsia="微软雅黑" w:hAnsi="Cambria" w:hint="eastAsia"/>
                <w:color w:val="000000"/>
                <w:kern w:val="20"/>
                <w:szCs w:val="20"/>
                <w:lang w:val="en-US" w:eastAsia="zh-CN"/>
              </w:rPr>
              <w:t>6</w:t>
            </w:r>
          </w:p>
        </w:tc>
        <w:tc>
          <w:tcPr>
            <w:tcW w:w="1157" w:type="pct"/>
            <w:vMerge w:val="restar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云南香格里拉</w:t>
            </w: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温室气体观测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0"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颗粒物质量浓度监测仪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0"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黑碳仪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0"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-太阳光度计</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right="100"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反应性气体观测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val="restart"/>
            <w:shd w:val="clear" w:color="auto" w:fill="auto"/>
            <w:vAlign w:val="center"/>
          </w:tcPr>
          <w:p>
            <w:pPr>
              <w:ind w:left="0" w:firstLineChars="0"/>
              <w:jc w:val="center"/>
              <w:rPr>
                <w:rFonts w:ascii="Cambria" w:eastAsia="微软雅黑" w:hAnsi="Cambria" w:hint="eastAsia"/>
                <w:color w:val="000000"/>
                <w:kern w:val="20"/>
                <w:szCs w:val="20"/>
              </w:rPr>
            </w:pPr>
            <w:r>
              <w:rPr>
                <w:rFonts w:ascii="Cambria" w:eastAsia="微软雅黑" w:hAnsi="Cambria" w:hint="eastAsia"/>
                <w:color w:val="000000"/>
                <w:kern w:val="20"/>
                <w:szCs w:val="20"/>
                <w:lang w:val="en-US" w:eastAsia="zh-CN"/>
              </w:rPr>
              <w:t>7</w:t>
            </w:r>
          </w:p>
        </w:tc>
        <w:tc>
          <w:tcPr>
            <w:tcW w:w="1157" w:type="pct"/>
            <w:vMerge w:val="restar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浙江临安</w:t>
            </w: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温室气体观测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ind w:left="1265" w:firstLineChars="0"/>
              <w:jc w:val="center"/>
              <w:rPr>
                <w:rFonts w:ascii="Cambria" w:eastAsia="微软雅黑" w:hAnsi="Cambria"/>
                <w:color w:val="000000"/>
                <w:kern w:val="20"/>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-颗粒物质量浓度监测仪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widowControl/>
              <w:jc w:val="center"/>
              <w:rPr>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黑碳仪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widowControl/>
              <w:jc w:val="center"/>
              <w:rPr>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气溶胶-浊度仪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widowControl/>
              <w:jc w:val="center"/>
              <w:rPr>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-太阳光度计</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widowControl/>
              <w:jc w:val="center"/>
              <w:rPr>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tcPr>
          <w:p>
            <w:pPr>
              <w:widowControl/>
              <w:jc w:val="left"/>
              <w:rPr>
                <w:rFonts w:ascii="宋体" w:hAnsi="宋体" w:cs="宋体"/>
                <w:kern w:val="0"/>
                <w:szCs w:val="21"/>
              </w:rPr>
            </w:pPr>
            <w:r>
              <w:rPr>
                <w:rFonts w:ascii="宋体" w:hAnsi="宋体" w:cs="宋体" w:hint="eastAsia"/>
                <w:kern w:val="0"/>
                <w:szCs w:val="21"/>
              </w:rPr>
              <w:t>反应性气体观测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widowControl/>
              <w:jc w:val="center"/>
              <w:rPr>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tcPr>
          <w:p>
            <w:pPr>
              <w:widowControl/>
              <w:jc w:val="left"/>
              <w:rPr>
                <w:rFonts w:ascii="宋体" w:hAnsi="宋体" w:cs="宋体"/>
                <w:kern w:val="0"/>
                <w:szCs w:val="21"/>
              </w:rPr>
            </w:pPr>
            <w:r>
              <w:rPr>
                <w:rFonts w:ascii="宋体" w:hAnsi="宋体" w:cs="宋体" w:hint="eastAsia"/>
                <w:kern w:val="0"/>
                <w:szCs w:val="21"/>
              </w:rPr>
              <w:t>臭氧光谱仪</w:t>
            </w:r>
          </w:p>
        </w:tc>
      </w:tr>
      <w:tr>
        <w:tblPrEx>
          <w:tblW w:w="5000" w:type="pct"/>
          <w:tblInd w:w="0" w:type="dxa"/>
          <w:tblCellMar>
            <w:top w:w="15" w:type="dxa"/>
            <w:left w:w="108" w:type="dxa"/>
            <w:bottom w:w="15" w:type="dxa"/>
            <w:right w:w="108" w:type="dxa"/>
          </w:tblCellMar>
        </w:tblPrEx>
        <w:trPr>
          <w:trHeight w:val="20"/>
        </w:trPr>
        <w:tc>
          <w:tcPr>
            <w:tcW w:w="425" w:type="pct"/>
            <w:vMerge w:val="restart"/>
            <w:shd w:val="clear" w:color="auto" w:fill="auto"/>
            <w:vAlign w:val="center"/>
          </w:tcPr>
          <w:p>
            <w:pPr>
              <w:widowControl/>
              <w:jc w:val="center"/>
              <w:rPr>
                <w:rFonts w:hint="eastAsia"/>
                <w:szCs w:val="20"/>
              </w:rPr>
            </w:pPr>
            <w:r>
              <w:rPr>
                <w:rFonts w:hint="eastAsia"/>
                <w:kern w:val="2"/>
                <w:szCs w:val="20"/>
                <w:lang w:val="en-US" w:eastAsia="zh-CN"/>
              </w:rPr>
              <w:t>8</w:t>
            </w:r>
          </w:p>
        </w:tc>
        <w:tc>
          <w:tcPr>
            <w:tcW w:w="1157" w:type="pct"/>
            <w:vMerge w:val="restar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广东新丰</w:t>
            </w: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温室气体观测</w:t>
            </w:r>
            <w:r>
              <w:rPr>
                <w:rFonts w:ascii="宋体" w:hAnsi="宋体" w:cs="宋体"/>
                <w:kern w:val="0"/>
                <w:szCs w:val="21"/>
              </w:rPr>
              <w:t>系统</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widowControl/>
              <w:jc w:val="left"/>
              <w:rPr>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-颗粒物质量浓度监测仪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widowControl/>
              <w:jc w:val="left"/>
              <w:rPr>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w:t>
            </w:r>
            <w:r>
              <w:rPr>
                <w:rFonts w:ascii="宋体" w:hAnsi="宋体" w:cs="宋体" w:hint="eastAsia"/>
                <w:kern w:val="0"/>
                <w:szCs w:val="21"/>
              </w:rPr>
              <w:t>黑碳仪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widowControl/>
              <w:jc w:val="left"/>
              <w:rPr>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气溶胶-浊度仪</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widowControl/>
              <w:jc w:val="left"/>
              <w:rPr>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vAlign w:val="center"/>
          </w:tcPr>
          <w:p>
            <w:pPr>
              <w:widowControl/>
              <w:jc w:val="left"/>
              <w:rPr>
                <w:rFonts w:ascii="宋体" w:hAnsi="宋体" w:cs="宋体"/>
                <w:kern w:val="0"/>
                <w:szCs w:val="21"/>
              </w:rPr>
            </w:pPr>
            <w:r>
              <w:rPr>
                <w:rFonts w:ascii="宋体" w:hAnsi="宋体" w:cs="宋体" w:hint="eastAsia"/>
                <w:kern w:val="0"/>
                <w:szCs w:val="21"/>
              </w:rPr>
              <w:t>气溶胶</w:t>
            </w:r>
            <w:r>
              <w:rPr>
                <w:rFonts w:ascii="宋体" w:hAnsi="宋体" w:cs="宋体"/>
                <w:kern w:val="0"/>
                <w:szCs w:val="21"/>
              </w:rPr>
              <w:t>-太阳光度计</w:t>
            </w:r>
          </w:p>
        </w:tc>
      </w:tr>
      <w:tr>
        <w:tblPrEx>
          <w:tblW w:w="5000" w:type="pct"/>
          <w:tblInd w:w="0" w:type="dxa"/>
          <w:tblCellMar>
            <w:top w:w="15" w:type="dxa"/>
            <w:left w:w="108" w:type="dxa"/>
            <w:bottom w:w="15" w:type="dxa"/>
            <w:right w:w="108" w:type="dxa"/>
          </w:tblCellMar>
        </w:tblPrEx>
        <w:trPr>
          <w:trHeight w:val="20"/>
        </w:trPr>
        <w:tc>
          <w:tcPr>
            <w:tcW w:w="425" w:type="pct"/>
            <w:vMerge/>
            <w:shd w:val="clear" w:color="auto" w:fill="auto"/>
            <w:vAlign w:val="center"/>
          </w:tcPr>
          <w:p>
            <w:pPr>
              <w:widowControl/>
              <w:jc w:val="left"/>
              <w:rPr>
                <w:szCs w:val="20"/>
              </w:rPr>
            </w:pPr>
          </w:p>
        </w:tc>
        <w:tc>
          <w:tcPr>
            <w:tcW w:w="1157" w:type="pct"/>
            <w:vMerge/>
            <w:shd w:val="clear" w:color="auto" w:fill="auto"/>
            <w:vAlign w:val="center"/>
          </w:tcPr>
          <w:p>
            <w:pPr>
              <w:widowControl/>
              <w:jc w:val="left"/>
              <w:rPr>
                <w:rFonts w:ascii="宋体" w:hAnsi="宋体" w:cs="宋体"/>
                <w:kern w:val="0"/>
                <w:szCs w:val="21"/>
              </w:rPr>
            </w:pPr>
          </w:p>
        </w:tc>
        <w:tc>
          <w:tcPr>
            <w:tcW w:w="3417" w:type="pct"/>
            <w:shd w:val="clear" w:color="auto" w:fill="auto"/>
          </w:tcPr>
          <w:p>
            <w:pPr>
              <w:widowControl/>
              <w:jc w:val="left"/>
              <w:rPr>
                <w:rFonts w:ascii="宋体" w:hAnsi="宋体" w:cs="宋体"/>
                <w:kern w:val="0"/>
                <w:szCs w:val="21"/>
              </w:rPr>
            </w:pPr>
            <w:r>
              <w:rPr>
                <w:rFonts w:ascii="宋体" w:hAnsi="宋体" w:cs="宋体" w:hint="eastAsia"/>
                <w:kern w:val="0"/>
                <w:szCs w:val="21"/>
              </w:rPr>
              <w:t>反应性气体观测</w:t>
            </w:r>
            <w:r>
              <w:rPr>
                <w:rFonts w:ascii="宋体" w:hAnsi="宋体" w:cs="宋体"/>
                <w:kern w:val="0"/>
                <w:szCs w:val="21"/>
              </w:rPr>
              <w:t>系统</w:t>
            </w:r>
          </w:p>
        </w:tc>
      </w:tr>
    </w:tbl>
    <w:p>
      <w:pPr>
        <w:pStyle w:val="Z3"/>
        <w:numPr>
          <w:ilvl w:val="0"/>
          <w:numId w:val="0"/>
        </w:numPr>
        <w:ind w:left="848" w:hanging="422" w:leftChars="203" w:hangingChars="201"/>
        <w:rPr>
          <w:rFonts w:ascii="宋体" w:hAnsi="宋体"/>
          <w:sz w:val="21"/>
          <w:szCs w:val="21"/>
        </w:rPr>
      </w:pPr>
      <w:r>
        <w:rPr>
          <w:rFonts w:ascii="宋体" w:hAnsi="宋体" w:hint="eastAsia"/>
          <w:sz w:val="21"/>
          <w:szCs w:val="21"/>
        </w:rPr>
        <w:t>7、数据监控及处理</w:t>
      </w:r>
    </w:p>
    <w:p>
      <w:pPr>
        <w:spacing w:line="360" w:lineRule="auto"/>
        <w:ind w:firstLine="420" w:firstLineChars="200"/>
        <w:rPr>
          <w:rFonts w:ascii="宋体" w:hAnsi="宋体"/>
          <w:szCs w:val="21"/>
        </w:rPr>
      </w:pPr>
      <w:r>
        <w:rPr>
          <w:szCs w:val="21"/>
        </w:rPr>
        <w:t>保证服务器运行稳定，数据中断后及时恢复，按照采购人制定的值班流程在探测中心大平台进行值班，要求工作日每日中午之前完成值班，并及时向采购人汇报到报率和及时率和正确率、台站仪器故障及其维修情况</w:t>
      </w:r>
      <w:r>
        <w:rPr>
          <w:rFonts w:hint="eastAsia"/>
          <w:szCs w:val="21"/>
        </w:rPr>
        <w:t>，监控要素包括天衡、天衍、天元和</w:t>
      </w:r>
      <w:r>
        <w:rPr>
          <w:szCs w:val="21"/>
        </w:rPr>
        <w:t>一体化</w:t>
      </w:r>
      <w:r>
        <w:rPr>
          <w:rFonts w:hint="eastAsia"/>
          <w:szCs w:val="21"/>
        </w:rPr>
        <w:t>平台已上线的观测项目</w:t>
      </w:r>
      <w:r>
        <w:rPr>
          <w:szCs w:val="21"/>
        </w:rPr>
        <w:t>。</w:t>
      </w:r>
      <w:r>
        <w:rPr>
          <w:rFonts w:hint="eastAsia"/>
          <w:szCs w:val="21"/>
        </w:rPr>
        <w:t>每月按照时间节点和内容要求制作质量月报；</w:t>
      </w:r>
      <w:r>
        <w:rPr>
          <w:szCs w:val="21"/>
        </w:rPr>
        <w:t>每年提交数据质量报告、故障诊断和维修报告。</w:t>
      </w:r>
      <w:r>
        <w:rPr>
          <w:rFonts w:hint="eastAsia"/>
          <w:szCs w:val="21"/>
        </w:rPr>
        <w:t>按</w:t>
      </w:r>
      <w:r>
        <w:rPr>
          <w:szCs w:val="21"/>
        </w:rPr>
        <w:t>采购人要求</w:t>
      </w:r>
      <w:r>
        <w:rPr>
          <w:rFonts w:hint="eastAsia"/>
          <w:szCs w:val="21"/>
        </w:rPr>
        <w:t>辅助</w:t>
      </w:r>
      <w:r>
        <w:rPr>
          <w:szCs w:val="21"/>
        </w:rPr>
        <w:t>提出</w:t>
      </w:r>
      <w:r>
        <w:rPr>
          <w:rFonts w:hint="eastAsia"/>
          <w:szCs w:val="21"/>
        </w:rPr>
        <w:t>平台</w:t>
      </w:r>
      <w:r>
        <w:rPr>
          <w:szCs w:val="21"/>
        </w:rPr>
        <w:t>质控</w:t>
      </w:r>
      <w:r>
        <w:rPr>
          <w:rFonts w:hint="eastAsia"/>
          <w:szCs w:val="21"/>
        </w:rPr>
        <w:t>算</w:t>
      </w:r>
      <w:r>
        <w:rPr>
          <w:szCs w:val="21"/>
        </w:rPr>
        <w:t>法</w:t>
      </w:r>
      <w:r>
        <w:rPr>
          <w:rFonts w:hint="eastAsia"/>
          <w:szCs w:val="21"/>
        </w:rPr>
        <w:t>及</w:t>
      </w:r>
      <w:r>
        <w:rPr>
          <w:szCs w:val="21"/>
        </w:rPr>
        <w:t>改进建议</w:t>
      </w:r>
      <w:r>
        <w:rPr>
          <w:rFonts w:hint="eastAsia"/>
          <w:szCs w:val="21"/>
        </w:rPr>
        <w:t>，</w:t>
      </w:r>
      <w:r>
        <w:rPr>
          <w:szCs w:val="21"/>
        </w:rPr>
        <w:t>进行</w:t>
      </w:r>
      <w:r>
        <w:rPr>
          <w:rFonts w:hint="eastAsia"/>
          <w:szCs w:val="21"/>
        </w:rPr>
        <w:t>相关</w:t>
      </w:r>
      <w:r>
        <w:rPr>
          <w:szCs w:val="21"/>
        </w:rPr>
        <w:t>数据处理工作（知识产权归采购人所有</w:t>
      </w:r>
      <w:r>
        <w:rPr>
          <w:rFonts w:hint="eastAsia"/>
          <w:szCs w:val="21"/>
        </w:rPr>
        <w:t>）</w:t>
      </w:r>
      <w:r>
        <w:rPr>
          <w:rFonts w:ascii="宋体" w:hAnsi="宋体" w:hint="eastAsia"/>
          <w:szCs w:val="21"/>
        </w:rPr>
        <w:t>。</w:t>
      </w:r>
    </w:p>
    <w:p>
      <w:pPr>
        <w:pStyle w:val="Z3"/>
        <w:numPr>
          <w:ilvl w:val="0"/>
          <w:numId w:val="0"/>
        </w:numPr>
        <w:ind w:left="848" w:hanging="422" w:leftChars="203" w:hangingChars="201"/>
        <w:rPr>
          <w:rFonts w:ascii="宋体" w:hAnsi="宋体"/>
          <w:sz w:val="21"/>
          <w:szCs w:val="21"/>
        </w:rPr>
      </w:pPr>
      <w:r>
        <w:rPr>
          <w:rFonts w:ascii="宋体" w:hAnsi="宋体" w:hint="eastAsia"/>
          <w:sz w:val="21"/>
          <w:szCs w:val="21"/>
        </w:rPr>
        <w:t>8、其他工作</w:t>
      </w:r>
    </w:p>
    <w:p>
      <w:pPr>
        <w:spacing w:line="360" w:lineRule="auto"/>
        <w:ind w:firstLine="420" w:firstLineChars="200"/>
        <w:rPr>
          <w:rFonts w:ascii="宋体" w:hAnsi="宋体"/>
          <w:szCs w:val="21"/>
        </w:rPr>
      </w:pPr>
      <w:r>
        <w:rPr>
          <w:szCs w:val="21"/>
        </w:rPr>
        <w:t>协助采购人开展实验室研发/业务平台（设备</w:t>
      </w:r>
      <w:r>
        <w:rPr>
          <w:rFonts w:hint="eastAsia"/>
          <w:szCs w:val="21"/>
        </w:rPr>
        <w:t>、业务系统</w:t>
      </w:r>
      <w:r>
        <w:rPr>
          <w:szCs w:val="21"/>
        </w:rPr>
        <w:t>）的搭建和测试、</w:t>
      </w:r>
      <w:r>
        <w:rPr>
          <w:rFonts w:hint="eastAsia"/>
          <w:szCs w:val="21"/>
        </w:rPr>
        <w:t>系统开发、</w:t>
      </w:r>
      <w:r>
        <w:rPr>
          <w:szCs w:val="21"/>
        </w:rPr>
        <w:t>仪器测试、</w:t>
      </w:r>
      <w:r>
        <w:rPr>
          <w:rFonts w:hint="eastAsia"/>
          <w:szCs w:val="21"/>
        </w:rPr>
        <w:t>算法测试、</w:t>
      </w:r>
      <w:r>
        <w:rPr>
          <w:szCs w:val="21"/>
        </w:rPr>
        <w:t>操作培训、软件开发需求以及构建实验室质量管理体系相关工作，并派</w:t>
      </w:r>
      <w:r>
        <w:rPr>
          <w:rFonts w:hint="eastAsia"/>
          <w:szCs w:val="21"/>
        </w:rPr>
        <w:t>人</w:t>
      </w:r>
      <w:r>
        <w:rPr>
          <w:szCs w:val="21"/>
        </w:rPr>
        <w:t>员参加相关培训。协助采购人做好实验室安全工作，负责清洁、日常维护等相关工作。按采购人要求参与采购人的研发工作（知识产权归采购人所有</w:t>
      </w:r>
      <w:r>
        <w:rPr>
          <w:rFonts w:hint="eastAsia"/>
          <w:szCs w:val="21"/>
        </w:rPr>
        <w:t>）</w:t>
      </w:r>
      <w:r>
        <w:rPr>
          <w:rFonts w:ascii="宋体" w:hAnsi="宋体" w:hint="eastAsia"/>
          <w:szCs w:val="21"/>
        </w:rPr>
        <w:t>。</w:t>
      </w:r>
    </w:p>
    <w:p>
      <w:pPr>
        <w:pStyle w:val="Z2"/>
        <w:numPr>
          <w:ilvl w:val="0"/>
          <w:numId w:val="0"/>
        </w:numPr>
        <w:rPr>
          <w:rFonts w:ascii="宋体" w:eastAsia="宋体" w:hAnsi="宋体"/>
          <w:sz w:val="21"/>
          <w:szCs w:val="21"/>
        </w:rPr>
      </w:pPr>
      <w:r>
        <w:rPr>
          <w:rFonts w:ascii="宋体" w:eastAsia="宋体" w:hAnsi="宋体" w:hint="eastAsia"/>
          <w:sz w:val="21"/>
          <w:szCs w:val="21"/>
        </w:rPr>
        <w:t>三、技术服务要求</w:t>
      </w:r>
    </w:p>
    <w:p>
      <w:pPr>
        <w:spacing w:line="360" w:lineRule="auto"/>
        <w:ind w:firstLine="420" w:firstLineChars="200"/>
        <w:rPr>
          <w:szCs w:val="21"/>
        </w:rPr>
      </w:pPr>
      <w:r>
        <w:rPr>
          <w:szCs w:val="21"/>
        </w:rPr>
        <w:t>1</w:t>
      </w:r>
      <w:r>
        <w:rPr>
          <w:rFonts w:hint="eastAsia"/>
          <w:szCs w:val="21"/>
        </w:rPr>
        <w:t>、</w:t>
      </w:r>
      <w:r>
        <w:rPr>
          <w:szCs w:val="21"/>
        </w:rPr>
        <w:t>供应商负责对服务采购人的人员进行录用、组织与管理；根据所承担的任务和工作量，合理配置相关人员，需要组成至少1</w:t>
      </w:r>
      <w:r>
        <w:rPr>
          <w:rFonts w:hint="eastAsia"/>
          <w:szCs w:val="21"/>
        </w:rPr>
        <w:t>0</w:t>
      </w:r>
      <w:r>
        <w:rPr>
          <w:szCs w:val="21"/>
        </w:rPr>
        <w:t>人的驻场服务团队，其中负责温室气体业务、气溶胶样品分析业务、非温室气体站网支撑的人数分别为</w:t>
      </w:r>
      <w:r>
        <w:rPr>
          <w:rFonts w:hint="eastAsia"/>
          <w:szCs w:val="21"/>
          <w:lang w:val="en-US" w:eastAsia="zh-CN"/>
        </w:rPr>
        <w:t>5</w:t>
      </w:r>
      <w:r>
        <w:rPr>
          <w:szCs w:val="21"/>
        </w:rPr>
        <w:t>、</w:t>
      </w:r>
      <w:r>
        <w:rPr>
          <w:rFonts w:hint="eastAsia"/>
          <w:szCs w:val="21"/>
          <w:lang w:val="en-US" w:eastAsia="zh-CN"/>
        </w:rPr>
        <w:t>2</w:t>
      </w:r>
      <w:r>
        <w:rPr>
          <w:szCs w:val="21"/>
        </w:rPr>
        <w:t>、</w:t>
      </w:r>
      <w:r>
        <w:rPr>
          <w:rFonts w:hint="eastAsia"/>
          <w:szCs w:val="21"/>
          <w:lang w:val="en-US" w:eastAsia="zh-CN"/>
        </w:rPr>
        <w:t>3</w:t>
      </w:r>
      <w:r>
        <w:rPr>
          <w:szCs w:val="21"/>
        </w:rPr>
        <w:t>人，遇有人员流失时应提前通知采购人并及时补充。服务人员全部驻场（称为驻场人员）。驻场人员工作绩效由采购人评定，并按照如下要求进行管理：</w:t>
      </w:r>
    </w:p>
    <w:p>
      <w:pPr>
        <w:spacing w:line="360" w:lineRule="auto"/>
        <w:ind w:firstLine="420" w:firstLineChars="200"/>
        <w:rPr>
          <w:szCs w:val="21"/>
        </w:rPr>
      </w:pPr>
      <w:r>
        <w:rPr>
          <w:szCs w:val="21"/>
        </w:rPr>
        <w:t>（1）驻场人员考勤管理：驻场人员的工作时间与采购人一致，由采购人进行考核；驻场人员请销假须由采购人管理人员签字方能生效。</w:t>
      </w:r>
    </w:p>
    <w:p>
      <w:pPr>
        <w:spacing w:line="360" w:lineRule="auto"/>
        <w:ind w:firstLine="420" w:firstLineChars="200"/>
        <w:rPr>
          <w:szCs w:val="21"/>
        </w:rPr>
      </w:pPr>
      <w:r>
        <w:rPr>
          <w:szCs w:val="21"/>
        </w:rPr>
        <w:t>（2）驻场人员应严格要求自己和不断提高技术能力，认真负责，敬业爱岗，确保按时完成每天的常规业务/研发工作，额外完成的工作采购人酌情予以奖励，遵守采购人规章制度，听从采购人管理人员的管理，及时汇报工作进度，按时提交工作结果。</w:t>
      </w:r>
    </w:p>
    <w:p>
      <w:pPr>
        <w:spacing w:line="360" w:lineRule="auto"/>
        <w:ind w:firstLine="420" w:firstLineChars="200"/>
        <w:rPr>
          <w:szCs w:val="21"/>
        </w:rPr>
      </w:pPr>
      <w:r>
        <w:rPr>
          <w:szCs w:val="21"/>
        </w:rPr>
        <w:t>（3）驻场人员在岗期间，工作内容由采购人安排，不允许做与采购人要求工作不相关的工作；驻场人员出差计划需按流程由采购人科室或处室</w:t>
      </w:r>
      <w:r>
        <w:rPr>
          <w:rFonts w:hint="eastAsia"/>
          <w:szCs w:val="21"/>
        </w:rPr>
        <w:t>领导</w:t>
      </w:r>
      <w:r>
        <w:rPr>
          <w:szCs w:val="21"/>
        </w:rPr>
        <w:t>审批后方能离场，否则视为旷工。</w:t>
      </w:r>
    </w:p>
    <w:p>
      <w:pPr>
        <w:spacing w:line="360" w:lineRule="auto"/>
        <w:ind w:firstLine="420" w:firstLineChars="200"/>
        <w:rPr>
          <w:szCs w:val="21"/>
        </w:rPr>
      </w:pPr>
      <w:r>
        <w:rPr>
          <w:szCs w:val="21"/>
        </w:rPr>
        <w:t>（4</w:t>
      </w:r>
      <w:r>
        <w:rPr>
          <w:rFonts w:hint="eastAsia"/>
          <w:szCs w:val="21"/>
        </w:rPr>
        <w:t>）驻场人员的工作绩效评价由采购人考核并打分，采用滚动评价方法，上半年评价不合格者，提请供应商减少其下半年奖金；年度评价不合格者，</w:t>
      </w:r>
      <w:r>
        <w:rPr>
          <w:szCs w:val="21"/>
        </w:rPr>
        <w:t>探测中心</w:t>
      </w:r>
      <w:r>
        <w:rPr>
          <w:rFonts w:hint="eastAsia"/>
          <w:szCs w:val="21"/>
        </w:rPr>
        <w:t>将酌情考虑</w:t>
      </w:r>
      <w:r>
        <w:rPr>
          <w:szCs w:val="21"/>
        </w:rPr>
        <w:t>不再为</w:t>
      </w:r>
      <w:r>
        <w:rPr>
          <w:rFonts w:hint="eastAsia"/>
          <w:szCs w:val="21"/>
        </w:rPr>
        <w:t>其</w:t>
      </w:r>
      <w:r>
        <w:rPr>
          <w:szCs w:val="21"/>
        </w:rPr>
        <w:t>职称</w:t>
      </w:r>
      <w:r>
        <w:rPr>
          <w:rFonts w:hint="eastAsia"/>
          <w:szCs w:val="21"/>
        </w:rPr>
        <w:t>评定出具任何证明；</w:t>
      </w:r>
      <w:r>
        <w:rPr>
          <w:szCs w:val="21"/>
        </w:rPr>
        <w:t>情节严重者，提请供应商对其解除</w:t>
      </w:r>
      <w:r>
        <w:rPr>
          <w:rFonts w:hint="eastAsia"/>
          <w:szCs w:val="21"/>
        </w:rPr>
        <w:t>劳动</w:t>
      </w:r>
      <w:r>
        <w:rPr>
          <w:szCs w:val="21"/>
        </w:rPr>
        <w:t>合同，不允许再为采购人服务。</w:t>
      </w:r>
    </w:p>
    <w:p>
      <w:pPr>
        <w:spacing w:line="360" w:lineRule="auto"/>
        <w:ind w:firstLine="420" w:firstLineChars="200"/>
        <w:rPr>
          <w:szCs w:val="21"/>
        </w:rPr>
      </w:pPr>
      <w:r>
        <w:rPr>
          <w:rFonts w:hint="eastAsia"/>
          <w:szCs w:val="21"/>
        </w:rPr>
        <w:t>（5）实验室人员应严格遵守实验室规章制度，严格按流程进行实验操作；实验室收到气溶胶样品45天后，将各类质控数据和样品分析数据（原始数据和最终数据）发至大气成分室；数据合格率应达到90%。</w:t>
      </w:r>
    </w:p>
    <w:p>
      <w:pPr>
        <w:spacing w:line="360" w:lineRule="auto"/>
        <w:ind w:firstLine="420" w:firstLineChars="200"/>
        <w:rPr>
          <w:szCs w:val="21"/>
        </w:rPr>
      </w:pPr>
      <w:r>
        <w:rPr>
          <w:szCs w:val="21"/>
        </w:rPr>
        <w:t>（6）驻场地点：</w:t>
      </w:r>
      <w:r>
        <w:rPr>
          <w:rFonts w:hint="eastAsia"/>
          <w:szCs w:val="21"/>
        </w:rPr>
        <w:t>探测中心</w:t>
      </w:r>
      <w:r>
        <w:rPr>
          <w:szCs w:val="21"/>
        </w:rPr>
        <w:t>实验室（按采购人要求）。</w:t>
      </w:r>
    </w:p>
    <w:p>
      <w:pPr>
        <w:spacing w:line="360" w:lineRule="auto"/>
        <w:ind w:firstLine="420" w:firstLineChars="200"/>
        <w:rPr>
          <w:color w:val="000000"/>
          <w:szCs w:val="21"/>
        </w:rPr>
      </w:pPr>
      <w:r>
        <w:rPr>
          <w:rFonts w:hint="eastAsia"/>
          <w:color w:val="000000"/>
          <w:szCs w:val="21"/>
        </w:rPr>
        <w:t>（7）特别指出：供应商不能保证以上人员按照采购人要求进行工作时，采购人不签署整个项目的验收报告。</w:t>
      </w:r>
    </w:p>
    <w:p>
      <w:pPr>
        <w:spacing w:line="360" w:lineRule="auto"/>
        <w:ind w:firstLine="420" w:firstLineChars="200"/>
        <w:rPr>
          <w:szCs w:val="21"/>
        </w:rPr>
      </w:pPr>
      <w:r>
        <w:rPr>
          <w:szCs w:val="21"/>
        </w:rPr>
        <w:t>2</w:t>
      </w:r>
      <w:r>
        <w:rPr>
          <w:rFonts w:hint="eastAsia"/>
          <w:szCs w:val="21"/>
        </w:rPr>
        <w:t>、</w:t>
      </w:r>
      <w:r>
        <w:rPr>
          <w:szCs w:val="21"/>
        </w:rPr>
        <w:t>供应商应遵守采购人和实验室的有关管理和业务规定，定期组织开展安全生产教育活动与检查；组织开展业务样品分析与标校工作交流；组织开展样品分析等人员的技术培训与上岗考核。</w:t>
      </w:r>
    </w:p>
    <w:p>
      <w:pPr>
        <w:spacing w:line="360" w:lineRule="auto"/>
        <w:ind w:firstLine="420" w:firstLineChars="200"/>
        <w:rPr>
          <w:rFonts w:ascii="宋体" w:hAnsi="宋体"/>
          <w:szCs w:val="21"/>
        </w:rPr>
      </w:pPr>
      <w:r>
        <w:rPr>
          <w:szCs w:val="21"/>
        </w:rPr>
        <w:t>3</w:t>
      </w:r>
      <w:r>
        <w:rPr>
          <w:rFonts w:hint="eastAsia"/>
          <w:szCs w:val="21"/>
        </w:rPr>
        <w:t>、</w:t>
      </w:r>
      <w:r>
        <w:rPr>
          <w:szCs w:val="21"/>
        </w:rPr>
        <w:t>供应商对采购人提出的合同范围内的业务样品分析和标气标校等相关工作应及时响应，按时保质保量完成相关任务，在遇有紧急业务样品分析和标准气体标校等工作时，应积极协助和配合采购人的工作要求和安排，及时组织有效力量完成相关工作；工作过程中出现仪器异常或故障时，应在24小时内向采购人人员报告和提交故障报告并组织故障诊断和修复工作，确保各项工作的正常开展。</w:t>
      </w:r>
    </w:p>
    <w:p>
      <w:pPr>
        <w:pStyle w:val="Z2"/>
        <w:numPr>
          <w:ilvl w:val="0"/>
          <w:numId w:val="0"/>
        </w:numPr>
        <w:rPr>
          <w:rFonts w:ascii="宋体" w:eastAsia="宋体" w:hAnsi="宋体"/>
          <w:sz w:val="21"/>
          <w:szCs w:val="21"/>
        </w:rPr>
      </w:pPr>
      <w:r>
        <w:rPr>
          <w:rFonts w:ascii="宋体" w:eastAsia="宋体" w:hAnsi="宋体" w:hint="eastAsia"/>
          <w:sz w:val="21"/>
          <w:szCs w:val="21"/>
        </w:rPr>
        <w:t>四、项目进度要求</w:t>
      </w:r>
    </w:p>
    <w:p>
      <w:pPr>
        <w:spacing w:line="360" w:lineRule="auto"/>
        <w:ind w:firstLine="420" w:firstLineChars="200"/>
        <w:rPr>
          <w:rFonts w:ascii="宋体" w:hAnsi="宋体"/>
          <w:szCs w:val="21"/>
        </w:rPr>
      </w:pPr>
      <w:r>
        <w:rPr>
          <w:rFonts w:ascii="宋体" w:hAnsi="宋体" w:hint="eastAsia"/>
          <w:szCs w:val="21"/>
        </w:rPr>
        <w:t>本合同有效期自合同签订日起一年，各项工作进度安排以《大气成分观测业务运行管理暂行规定》为准</w:t>
      </w:r>
      <w:r>
        <w:rPr>
          <w:rFonts w:ascii="宋体" w:hAnsi="宋体"/>
          <w:szCs w:val="21"/>
        </w:rPr>
        <w:t>，</w:t>
      </w:r>
      <w:r>
        <w:rPr>
          <w:rFonts w:ascii="宋体" w:hAnsi="宋体" w:hint="eastAsia"/>
          <w:szCs w:val="21"/>
        </w:rPr>
        <w:t>主要要求如下：</w:t>
      </w:r>
    </w:p>
    <w:p>
      <w:pPr>
        <w:spacing w:line="360" w:lineRule="auto"/>
        <w:ind w:firstLine="420" w:firstLineChars="200"/>
        <w:rPr>
          <w:rFonts w:ascii="宋体" w:hAnsi="宋体"/>
          <w:szCs w:val="21"/>
        </w:rPr>
      </w:pPr>
      <w:r>
        <w:rPr>
          <w:rFonts w:ascii="宋体" w:hAnsi="宋体"/>
          <w:szCs w:val="21"/>
        </w:rPr>
        <w:t>1</w:t>
      </w:r>
      <w:r>
        <w:rPr>
          <w:rFonts w:ascii="宋体" w:hAnsi="宋体" w:hint="eastAsia"/>
          <w:szCs w:val="21"/>
        </w:rPr>
        <w:t>、在收到业务样品后，应及时开展样品分析，正常情况下，样品分析进度不得超过《大气成分观测业务运行管理暂行规定》要求；</w:t>
      </w:r>
    </w:p>
    <w:p>
      <w:pPr>
        <w:spacing w:line="360" w:lineRule="auto"/>
        <w:ind w:firstLine="420" w:firstLineChars="200"/>
        <w:rPr>
          <w:rFonts w:ascii="宋体" w:hAnsi="宋体"/>
          <w:szCs w:val="21"/>
        </w:rPr>
      </w:pPr>
      <w:r>
        <w:rPr>
          <w:rFonts w:ascii="宋体" w:hAnsi="宋体"/>
          <w:szCs w:val="21"/>
        </w:rPr>
        <w:t>2</w:t>
      </w:r>
      <w:r>
        <w:rPr>
          <w:rFonts w:ascii="宋体" w:hAnsi="宋体" w:hint="eastAsia"/>
          <w:szCs w:val="21"/>
        </w:rPr>
        <w:t>、实验室设备、</w:t>
      </w:r>
      <w:r>
        <w:rPr>
          <w:rFonts w:ascii="宋体" w:hAnsi="宋体" w:cs="宋体" w:hint="eastAsia"/>
          <w:kern w:val="0"/>
          <w:szCs w:val="21"/>
        </w:rPr>
        <w:t>辅助分析设施及设备和</w:t>
      </w:r>
      <w:r>
        <w:rPr>
          <w:rFonts w:ascii="宋体" w:hAnsi="宋体" w:hint="eastAsia"/>
          <w:szCs w:val="21"/>
        </w:rPr>
        <w:t>中国气象局国家级大气本底站温室气体观测系统发生故障时，应在</w:t>
      </w:r>
      <w:r>
        <w:rPr>
          <w:rFonts w:ascii="宋体" w:hAnsi="宋体"/>
          <w:szCs w:val="21"/>
        </w:rPr>
        <w:t>168</w:t>
      </w:r>
      <w:r>
        <w:rPr>
          <w:rFonts w:ascii="宋体" w:hAnsi="宋体" w:hint="eastAsia"/>
          <w:szCs w:val="21"/>
        </w:rPr>
        <w:t>小时内恢复运行；</w:t>
      </w:r>
    </w:p>
    <w:p>
      <w:pPr>
        <w:spacing w:line="360" w:lineRule="auto"/>
        <w:ind w:firstLine="420" w:firstLineChars="200"/>
        <w:rPr>
          <w:rFonts w:ascii="宋体" w:hAnsi="宋体"/>
          <w:szCs w:val="21"/>
        </w:rPr>
      </w:pPr>
      <w:r>
        <w:rPr>
          <w:rFonts w:ascii="宋体" w:hAnsi="宋体"/>
          <w:szCs w:val="21"/>
        </w:rPr>
        <w:t>3</w:t>
      </w:r>
      <w:r>
        <w:rPr>
          <w:rFonts w:ascii="宋体" w:hAnsi="宋体" w:hint="eastAsia"/>
          <w:szCs w:val="21"/>
        </w:rPr>
        <w:t>、</w:t>
      </w:r>
      <w:r>
        <w:rPr>
          <w:rFonts w:ascii="宋体" w:hAnsi="宋体"/>
          <w:szCs w:val="21"/>
        </w:rPr>
        <w:t>202</w:t>
      </w:r>
      <w:r>
        <w:rPr>
          <w:rFonts w:ascii="宋体" w:hAnsi="宋体" w:hint="eastAsia"/>
          <w:szCs w:val="21"/>
        </w:rPr>
        <w:t>6年</w:t>
      </w:r>
      <w:r>
        <w:rPr>
          <w:rFonts w:ascii="宋体" w:hAnsi="宋体"/>
          <w:szCs w:val="21"/>
        </w:rPr>
        <w:t>12</w:t>
      </w:r>
      <w:r>
        <w:rPr>
          <w:rFonts w:ascii="宋体" w:hAnsi="宋体" w:hint="eastAsia"/>
          <w:szCs w:val="21"/>
        </w:rPr>
        <w:t>月</w:t>
      </w:r>
      <w:r>
        <w:rPr>
          <w:rFonts w:ascii="宋体" w:hAnsi="宋体"/>
          <w:szCs w:val="21"/>
        </w:rPr>
        <w:t>31</w:t>
      </w:r>
      <w:r>
        <w:rPr>
          <w:rFonts w:ascii="宋体" w:hAnsi="宋体" w:hint="eastAsia"/>
          <w:szCs w:val="21"/>
        </w:rPr>
        <w:t>日前，完成合同规定的设备标校和维护任务并按要求提交巡检表和巡检报告；</w:t>
      </w:r>
    </w:p>
    <w:p>
      <w:pPr>
        <w:spacing w:line="360" w:lineRule="auto"/>
        <w:ind w:firstLine="420" w:firstLineChars="200"/>
        <w:rPr>
          <w:rFonts w:ascii="宋体" w:hAnsi="宋体"/>
          <w:szCs w:val="21"/>
        </w:rPr>
      </w:pPr>
      <w:r>
        <w:rPr>
          <w:rFonts w:ascii="宋体" w:hAnsi="宋体" w:hint="eastAsia"/>
          <w:szCs w:val="21"/>
        </w:rPr>
        <w:t>4、每月与采购人进行一次工作交流，对上月工作进行总结，对下月工作进行安排部署；</w:t>
      </w:r>
    </w:p>
    <w:p>
      <w:pPr>
        <w:spacing w:line="360" w:lineRule="auto"/>
        <w:ind w:firstLine="420" w:firstLineChars="200"/>
        <w:rPr>
          <w:rFonts w:ascii="宋体" w:hAnsi="宋体"/>
          <w:szCs w:val="21"/>
        </w:rPr>
      </w:pPr>
      <w:r>
        <w:rPr>
          <w:rFonts w:ascii="宋体" w:hAnsi="宋体" w:hint="eastAsia"/>
          <w:szCs w:val="21"/>
        </w:rPr>
        <w:t>5、合同期限内，完成合同规定的其它相关事项。</w:t>
      </w:r>
    </w:p>
    <w:p>
      <w:pPr>
        <w:pStyle w:val="Z2"/>
        <w:numPr>
          <w:ilvl w:val="0"/>
          <w:numId w:val="0"/>
        </w:numPr>
        <w:rPr>
          <w:rFonts w:ascii="宋体" w:eastAsia="宋体" w:hAnsi="宋体"/>
          <w:sz w:val="21"/>
          <w:szCs w:val="21"/>
        </w:rPr>
      </w:pPr>
      <w:r>
        <w:rPr>
          <w:rFonts w:ascii="宋体" w:eastAsia="宋体" w:hAnsi="宋体" w:hint="eastAsia"/>
          <w:sz w:val="21"/>
          <w:szCs w:val="21"/>
        </w:rPr>
        <w:t>五、验收要求</w:t>
      </w:r>
    </w:p>
    <w:p>
      <w:pPr>
        <w:spacing w:line="360" w:lineRule="auto"/>
        <w:ind w:firstLine="420" w:firstLineChars="200"/>
        <w:jc w:val="left"/>
        <w:rPr>
          <w:rFonts w:ascii="宋体" w:hAnsi="宋体"/>
          <w:szCs w:val="21"/>
        </w:rPr>
      </w:pPr>
      <w:r>
        <w:rPr>
          <w:szCs w:val="21"/>
        </w:rPr>
        <w:t>以下情况视为违约，供应商每违约1次，支付采购人总合同金额千分之一的违约金</w:t>
      </w:r>
      <w:r>
        <w:rPr>
          <w:rFonts w:ascii="宋体" w:hAnsi="宋体" w:hint="eastAsia"/>
          <w:szCs w:val="21"/>
        </w:rPr>
        <w:t>。</w:t>
      </w:r>
    </w:p>
    <w:p>
      <w:pPr>
        <w:spacing w:line="360" w:lineRule="auto"/>
        <w:ind w:firstLine="420" w:firstLineChars="200"/>
        <w:jc w:val="left"/>
        <w:rPr>
          <w:rFonts w:ascii="宋体" w:hAnsi="宋体"/>
          <w:szCs w:val="21"/>
        </w:rPr>
      </w:pPr>
      <w:r>
        <w:rPr>
          <w:rFonts w:ascii="宋体" w:hAnsi="宋体"/>
          <w:szCs w:val="21"/>
        </w:rPr>
        <w:t>1</w:t>
      </w:r>
      <w:r>
        <w:rPr>
          <w:rFonts w:ascii="宋体" w:hAnsi="宋体" w:hint="eastAsia"/>
          <w:szCs w:val="21"/>
        </w:rPr>
        <w:t>、</w:t>
      </w:r>
      <w:r>
        <w:rPr>
          <w:rFonts w:ascii="宋体" w:hAnsi="宋体"/>
          <w:szCs w:val="21"/>
        </w:rPr>
        <w:t>20</w:t>
      </w:r>
      <w:r>
        <w:rPr>
          <w:rFonts w:ascii="宋体" w:hAnsi="宋体" w:hint="eastAsia"/>
          <w:szCs w:val="21"/>
        </w:rPr>
        <w:t>26年度，业务样品分析进度超过《大气成分观测业务运行管理暂行规定》的要求；</w:t>
      </w:r>
      <w:r>
        <w:rPr>
          <w:rFonts w:ascii="宋体" w:hAnsi="宋体"/>
          <w:szCs w:val="21"/>
        </w:rPr>
        <w:t>实验室设备故障恢复时间超过</w:t>
      </w:r>
      <w:r>
        <w:rPr>
          <w:rFonts w:ascii="宋体" w:hAnsi="宋体" w:hint="eastAsia"/>
          <w:szCs w:val="21"/>
        </w:rPr>
        <w:t>168</w:t>
      </w:r>
      <w:r>
        <w:rPr>
          <w:rFonts w:ascii="宋体" w:hAnsi="宋体"/>
          <w:szCs w:val="21"/>
        </w:rPr>
        <w:t>小时</w:t>
      </w:r>
      <w:r>
        <w:rPr>
          <w:rFonts w:ascii="宋体" w:hAnsi="宋体" w:hint="eastAsia"/>
          <w:szCs w:val="21"/>
        </w:rPr>
        <w:t>（仪器返厂</w:t>
      </w:r>
      <w:r>
        <w:rPr>
          <w:rFonts w:ascii="宋体" w:hAnsi="宋体"/>
          <w:szCs w:val="21"/>
        </w:rPr>
        <w:t>、</w:t>
      </w:r>
      <w:r>
        <w:rPr>
          <w:rFonts w:ascii="宋体" w:hAnsi="宋体" w:hint="eastAsia"/>
          <w:szCs w:val="21"/>
        </w:rPr>
        <w:t>进口备件国内</w:t>
      </w:r>
      <w:r>
        <w:rPr>
          <w:rFonts w:ascii="宋体" w:hAnsi="宋体"/>
          <w:szCs w:val="21"/>
        </w:rPr>
        <w:t>无货</w:t>
      </w:r>
      <w:r>
        <w:rPr>
          <w:rFonts w:ascii="宋体" w:hAnsi="宋体" w:hint="eastAsia"/>
          <w:szCs w:val="21"/>
        </w:rPr>
        <w:t>等特殊情况除外）</w:t>
      </w:r>
      <w:r>
        <w:rPr>
          <w:rFonts w:ascii="宋体" w:hAnsi="宋体"/>
          <w:szCs w:val="21"/>
        </w:rPr>
        <w:t>；温室气体标气</w:t>
      </w:r>
      <w:r>
        <w:rPr>
          <w:rFonts w:ascii="宋体" w:hAnsi="宋体" w:hint="eastAsia"/>
          <w:szCs w:val="21"/>
        </w:rPr>
        <w:t>、反应性气体、浊度、GRIMM</w:t>
      </w:r>
      <w:r>
        <w:rPr>
          <w:rFonts w:ascii="宋体" w:hAnsi="宋体"/>
          <w:szCs w:val="21"/>
        </w:rPr>
        <w:t>180</w:t>
      </w:r>
      <w:r>
        <w:rPr>
          <w:rFonts w:ascii="宋体" w:hAnsi="宋体" w:hint="eastAsia"/>
          <w:szCs w:val="21"/>
        </w:rPr>
        <w:t>粒径谱仪等</w:t>
      </w:r>
      <w:r>
        <w:rPr>
          <w:rFonts w:ascii="宋体" w:hAnsi="宋体"/>
          <w:szCs w:val="21"/>
        </w:rPr>
        <w:t>标定证书的提交时间超过</w:t>
      </w:r>
      <w:r>
        <w:rPr>
          <w:rFonts w:ascii="宋体" w:hAnsi="宋体" w:hint="eastAsia"/>
          <w:szCs w:val="21"/>
        </w:rPr>
        <w:t>完成</w:t>
      </w:r>
      <w:r>
        <w:rPr>
          <w:rFonts w:ascii="宋体" w:hAnsi="宋体"/>
          <w:szCs w:val="21"/>
        </w:rPr>
        <w:t>标定后的</w:t>
      </w:r>
      <w:r>
        <w:rPr>
          <w:rFonts w:ascii="宋体" w:hAnsi="宋体" w:hint="eastAsia"/>
          <w:szCs w:val="21"/>
        </w:rPr>
        <w:t>一</w:t>
      </w:r>
      <w:r>
        <w:rPr>
          <w:rFonts w:ascii="宋体" w:hAnsi="宋体"/>
          <w:szCs w:val="21"/>
        </w:rPr>
        <w:t>个月</w:t>
      </w:r>
      <w:r>
        <w:rPr>
          <w:rFonts w:ascii="宋体" w:hAnsi="宋体" w:hint="eastAsia"/>
          <w:szCs w:val="21"/>
        </w:rPr>
        <w:t>；温室气体高压配气业务未能按照大气成分观测业务运行管理暂行规定》进度要求执行，且超期1周后仍未向观测项目负责人反馈</w:t>
      </w:r>
      <w:r>
        <w:rPr>
          <w:rFonts w:ascii="宋体" w:hAnsi="宋体"/>
          <w:szCs w:val="21"/>
        </w:rPr>
        <w:t>；未按照采购人要求的分析或标定流程进行操作。</w:t>
      </w:r>
    </w:p>
    <w:p>
      <w:pPr>
        <w:spacing w:line="360" w:lineRule="auto"/>
        <w:ind w:firstLine="420" w:firstLineChars="200"/>
        <w:jc w:val="left"/>
        <w:rPr>
          <w:rFonts w:ascii="宋体" w:hAnsi="宋体"/>
          <w:szCs w:val="21"/>
        </w:rPr>
      </w:pPr>
      <w:r>
        <w:rPr>
          <w:rFonts w:ascii="宋体" w:hAnsi="宋体"/>
          <w:szCs w:val="21"/>
        </w:rPr>
        <w:t>2</w:t>
      </w:r>
      <w:r>
        <w:rPr>
          <w:rFonts w:ascii="宋体" w:hAnsi="宋体" w:hint="eastAsia"/>
          <w:szCs w:val="21"/>
        </w:rPr>
        <w:t>、</w:t>
      </w:r>
      <w:r>
        <w:rPr>
          <w:rFonts w:ascii="宋体" w:hAnsi="宋体"/>
          <w:szCs w:val="21"/>
        </w:rPr>
        <w:t>20</w:t>
      </w:r>
      <w:r>
        <w:rPr>
          <w:rFonts w:ascii="宋体" w:hAnsi="宋体" w:hint="eastAsia"/>
          <w:szCs w:val="21"/>
        </w:rPr>
        <w:t>26年度，设备故障恢复时间超过</w:t>
      </w:r>
      <w:r>
        <w:rPr>
          <w:rFonts w:ascii="宋体" w:hAnsi="宋体"/>
          <w:szCs w:val="21"/>
        </w:rPr>
        <w:t>168</w:t>
      </w:r>
      <w:r>
        <w:rPr>
          <w:rFonts w:ascii="宋体" w:hAnsi="宋体" w:hint="eastAsia"/>
          <w:szCs w:val="21"/>
        </w:rPr>
        <w:t>小时（仪器返厂</w:t>
      </w:r>
      <w:r>
        <w:rPr>
          <w:rFonts w:ascii="宋体" w:hAnsi="宋体"/>
          <w:szCs w:val="21"/>
        </w:rPr>
        <w:t>、</w:t>
      </w:r>
      <w:r>
        <w:rPr>
          <w:rFonts w:ascii="宋体" w:hAnsi="宋体" w:hint="eastAsia"/>
          <w:szCs w:val="21"/>
        </w:rPr>
        <w:t>进口备件国内</w:t>
      </w:r>
      <w:r>
        <w:rPr>
          <w:rFonts w:ascii="宋体" w:hAnsi="宋体"/>
          <w:szCs w:val="21"/>
        </w:rPr>
        <w:t>无货</w:t>
      </w:r>
      <w:r>
        <w:rPr>
          <w:rFonts w:ascii="宋体" w:hAnsi="宋体" w:hint="eastAsia"/>
          <w:szCs w:val="21"/>
        </w:rPr>
        <w:t>等特殊情况除外）；实验室设备故障超过2</w:t>
      </w:r>
      <w:r>
        <w:rPr>
          <w:rFonts w:ascii="宋体" w:hAnsi="宋体"/>
          <w:szCs w:val="21"/>
        </w:rPr>
        <w:t>4</w:t>
      </w:r>
      <w:r>
        <w:rPr>
          <w:rFonts w:ascii="宋体" w:hAnsi="宋体" w:hint="eastAsia"/>
          <w:szCs w:val="21"/>
        </w:rPr>
        <w:t>小时未向观测项目负责人报告；台站观测数据监控值班过程中，未按要求及时反馈值班结果；未及时发现数据问题。</w:t>
      </w:r>
    </w:p>
    <w:p>
      <w:pPr>
        <w:ind w:firstLine="508" w:firstLineChars="242"/>
        <w:jc w:val="left"/>
        <w:rPr>
          <w:b/>
          <w:szCs w:val="21"/>
        </w:rPr>
      </w:pPr>
      <w:r>
        <w:rPr>
          <w:rFonts w:ascii="宋体" w:hAnsi="宋体"/>
          <w:szCs w:val="21"/>
        </w:rPr>
        <w:t>3</w:t>
      </w:r>
      <w:r>
        <w:rPr>
          <w:rFonts w:ascii="宋体" w:hAnsi="宋体" w:hint="eastAsia"/>
          <w:szCs w:val="21"/>
        </w:rPr>
        <w:t>、</w:t>
      </w:r>
      <w:r>
        <w:rPr>
          <w:rFonts w:ascii="宋体" w:hAnsi="宋体"/>
          <w:szCs w:val="21"/>
        </w:rPr>
        <w:t>20</w:t>
      </w:r>
      <w:r>
        <w:rPr>
          <w:rFonts w:ascii="宋体" w:hAnsi="宋体" w:hint="eastAsia"/>
          <w:szCs w:val="21"/>
        </w:rPr>
        <w:t>26年</w:t>
      </w:r>
      <w:r>
        <w:rPr>
          <w:rFonts w:ascii="宋体" w:hAnsi="宋体"/>
          <w:szCs w:val="21"/>
        </w:rPr>
        <w:t>12</w:t>
      </w:r>
      <w:r>
        <w:rPr>
          <w:rFonts w:ascii="宋体" w:hAnsi="宋体" w:hint="eastAsia"/>
          <w:szCs w:val="21"/>
        </w:rPr>
        <w:t>月</w:t>
      </w:r>
      <w:r>
        <w:rPr>
          <w:rFonts w:ascii="宋体" w:hAnsi="宋体"/>
          <w:szCs w:val="21"/>
        </w:rPr>
        <w:t>31</w:t>
      </w:r>
      <w:r>
        <w:rPr>
          <w:rFonts w:ascii="宋体" w:hAnsi="宋体" w:hint="eastAsia"/>
          <w:szCs w:val="21"/>
        </w:rPr>
        <w:t>日前，未完成年度维护、系统测试和巡检任务（不可抗力</w:t>
      </w:r>
      <w:r>
        <w:rPr>
          <w:rFonts w:ascii="宋体" w:hAnsi="宋体"/>
          <w:szCs w:val="21"/>
        </w:rPr>
        <w:t>除外</w:t>
      </w:r>
      <w:r>
        <w:rPr>
          <w:rFonts w:ascii="宋体" w:hAnsi="宋体" w:hint="eastAsia"/>
          <w:szCs w:val="21"/>
        </w:rPr>
        <w:t>）。</w:t>
      </w:r>
    </w:p>
    <w:p/>
    <w:p w:rsidR="00A77B3E"/>
    <w:p>
      <w:pPr>
        <w:pStyle w:val="2"/>
        <w:keepNext w:val="0"/>
        <w:keepLines w:val="0"/>
        <w:numPr>
          <w:ilvl w:val="0"/>
          <w:numId w:val="0"/>
        </w:numPr>
        <w:spacing w:before="156" w:beforeLines="50" w:after="0" w:line="360" w:lineRule="auto"/>
        <w:jc w:val="center"/>
        <w:rPr>
          <w:b/>
          <w:color w:val="auto"/>
          <w:sz w:val="30"/>
          <w:szCs w:val="30"/>
        </w:rPr>
        <w:sectPr>
          <w:pgSz w:w="11906" w:h="16838"/>
          <w:pgMar w:top="1418" w:right="1418" w:bottom="1418" w:left="1701" w:header="851" w:footer="851" w:gutter="0"/>
          <w:cols w:space="708"/>
          <w:docGrid w:type="linesAndChars" w:linePitch="312"/>
        </w:sectPr>
      </w:pPr>
      <w:bookmarkEnd w:id="58"/>
    </w:p>
    <w:p>
      <w:pPr>
        <w:tabs>
          <w:tab w:val="left" w:pos="1573"/>
        </w:tabs>
        <w:adjustRightInd w:val="0"/>
        <w:snapToGrid w:val="0"/>
        <w:spacing w:line="360" w:lineRule="auto"/>
        <w:jc w:val="center"/>
        <w:outlineLvl w:val="1"/>
        <w:rPr>
          <w:b/>
          <w:bCs/>
          <w:sz w:val="30"/>
          <w:szCs w:val="30"/>
          <w:highlight w:val="none"/>
        </w:rPr>
      </w:pPr>
      <w:bookmarkStart w:id="5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7"/>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pPr>
              <w:tabs>
                <w:tab w:val="left" w:pos="709"/>
              </w:tabs>
              <w:spacing w:line="360" w:lineRule="auto"/>
              <w:jc w:val="left"/>
              <w:rPr>
                <w:rFonts w:ascii="宋体" w:hAnsi="宋体"/>
                <w:sz w:val="18"/>
                <w:szCs w:val="18"/>
              </w:rPr>
            </w:pPr>
            <w:r>
              <w:rPr>
                <w:rFonts w:ascii="宋体" w:hAnsi="宋体" w:hint="eastAsia"/>
                <w:sz w:val="18"/>
                <w:szCs w:val="18"/>
              </w:rPr>
              <w:t>无</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7"/>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7"/>
              </w:numPr>
              <w:rPr>
                <w:rFonts w:ascii="宋体" w:hAnsi="宋体"/>
                <w:sz w:val="18"/>
                <w:szCs w:val="18"/>
              </w:rPr>
            </w:pPr>
          </w:p>
        </w:tc>
        <w:tc>
          <w:tcPr>
            <w:tcW w:w="898" w:type="dxa"/>
            <w:vAlign w:val="center"/>
          </w:tcPr>
          <w:p>
            <w:pPr>
              <w:jc w:val="center"/>
              <w:rPr>
                <w:rFonts w:ascii="宋体" w:hAnsi="宋体"/>
                <w:sz w:val="18"/>
                <w:szCs w:val="18"/>
              </w:rPr>
            </w:pPr>
          </w:p>
        </w:tc>
        <w:tc>
          <w:tcPr>
            <w:tcW w:w="7347" w:type="dxa"/>
            <w:vAlign w:val="center"/>
          </w:tcPr>
          <w:p>
            <w:pPr>
              <w:tabs>
                <w:tab w:val="left" w:pos="709"/>
              </w:tabs>
              <w:spacing w:line="360" w:lineRule="auto"/>
              <w:jc w:val="left"/>
              <w:rPr>
                <w:rFonts w:ascii="宋体" w:hAnsi="宋体"/>
                <w:sz w:val="18"/>
                <w:szCs w:val="18"/>
              </w:rPr>
            </w:pPr>
            <w:r>
              <w:rPr>
                <w:rFonts w:ascii="宋体" w:hAnsi="宋体" w:hint="eastAsia"/>
                <w:sz w:val="18"/>
                <w:szCs w:val="18"/>
              </w:rPr>
              <w:t>无</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8"/>
        </w:numPr>
        <w:spacing w:line="360" w:lineRule="auto"/>
        <w:ind w:firstLine="3066" w:firstLineChars="1460"/>
        <w:jc w:val="left"/>
        <w:rPr>
          <w:rFonts w:hint="eastAsia"/>
          <w:b/>
          <w:bCs/>
          <w:szCs w:val="21"/>
          <w:highlight w:val="none"/>
        </w:rPr>
      </w:pPr>
      <w:bookmarkStart w:id="6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6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6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6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6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10"/>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eastAsia="宋体" w:hAnsi="宋体" w:cs="Times New Roman" w:hint="eastAsia"/>
          <w:szCs w:val="21"/>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甲乙</w:t>
      </w:r>
      <w:r>
        <w:rPr>
          <w:rFonts w:ascii="宋体" w:eastAsia="宋体" w:hAnsi="宋体" w:cs="Times New Roman" w:hint="eastAsia"/>
          <w:szCs w:val="21"/>
          <w:u w:val="single"/>
        </w:rPr>
        <w:t>双方签署合同后7个工作日内，甲方</w:t>
      </w:r>
      <w:r>
        <w:rPr>
          <w:rFonts w:ascii="宋体" w:eastAsia="宋体" w:hAnsi="宋体" w:cs="Times New Roman" w:hint="eastAsia"/>
          <w:szCs w:val="21"/>
          <w:u w:val="single"/>
          <w:shd w:val="clear" w:color="auto" w:fill="auto"/>
        </w:rPr>
        <w:t>向乙方支</w:t>
      </w:r>
      <w:r>
        <w:rPr>
          <w:rFonts w:ascii="宋体" w:eastAsia="宋体" w:hAnsi="宋体" w:cs="Times New Roman" w:hint="eastAsia"/>
          <w:szCs w:val="21"/>
          <w:u w:val="single"/>
        </w:rPr>
        <w:t>付合同总金额的90%</w:t>
      </w:r>
      <w:r>
        <w:rPr>
          <w:rFonts w:ascii="宋体" w:eastAsia="宋体" w:hAnsi="宋体" w:cs="Times New Roman" w:hint="eastAsia"/>
          <w:szCs w:val="21"/>
          <w:u w:val="single"/>
          <w:lang w:eastAsia="zh-CN"/>
        </w:rPr>
        <w:t>，</w:t>
      </w:r>
      <w:r>
        <w:rPr>
          <w:rFonts w:ascii="宋体" w:eastAsia="宋体" w:hAnsi="宋体" w:cs="Times New Roman" w:hint="eastAsia"/>
          <w:szCs w:val="21"/>
          <w:u w:val="single"/>
          <w:lang w:val="en-US" w:eastAsia="zh-CN"/>
        </w:rPr>
        <w:t>甲乙</w:t>
      </w:r>
      <w:r>
        <w:rPr>
          <w:rFonts w:ascii="宋体" w:eastAsia="宋体" w:hAnsi="宋体" w:cs="Times New Roman" w:hint="eastAsia"/>
          <w:szCs w:val="21"/>
          <w:u w:val="single"/>
        </w:rPr>
        <w:t>双方签署验收报告后7个工作日内，甲方向乙方支付合同总金额的10%</w:t>
      </w:r>
      <w:r>
        <w:rPr>
          <w:rFonts w:ascii="宋体" w:eastAsia="宋体" w:hAnsi="宋体" w:cs="Times New Roman" w:hint="eastAsia"/>
          <w:szCs w:val="21"/>
          <w:u w:val="single"/>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9"/>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1"/>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9"/>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63" w:name="_Toc27624"/>
      <w:r>
        <w:rPr>
          <w:rFonts w:ascii="黑体" w:hAnsi="黑体" w:hint="eastAsia"/>
          <w:b w:val="0"/>
          <w:bCs w:val="0"/>
          <w:sz w:val="28"/>
          <w:szCs w:val="28"/>
          <w:highlight w:val="none"/>
        </w:rPr>
        <w:t>第二节 政府采购合同通用条款</w:t>
      </w:r>
      <w:bookmarkEnd w:id="6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3"/>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6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6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4"/>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5"/>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6"/>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6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6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8"/>
        </w:numPr>
        <w:spacing w:line="360" w:lineRule="auto"/>
        <w:ind w:firstLine="3066" w:firstLineChars="1460"/>
        <w:jc w:val="left"/>
        <w:rPr>
          <w:rFonts w:hint="eastAsia"/>
          <w:b/>
          <w:bCs/>
          <w:szCs w:val="21"/>
          <w:highlight w:val="none"/>
        </w:rPr>
      </w:pPr>
      <w:bookmarkEnd w:id="6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altName w:val="DejaVu Sans"/>
    <w:panose1 w:val="02020603050405020304"/>
    <w:charset w:val="CC"/>
    <w:family w:val="roman"/>
    <w:pitch w:val="variable"/>
    <w:sig w:usb0="E0002EFF" w:usb1="C000785B" w:usb2="00000009" w:usb3="00000000" w:csb0="400001FF" w:csb1="FFFF0000"/>
  </w:font>
  <w:font w:name="宋体">
    <w:altName w:val="方正书宋_GBK"/>
    <w:panose1 w:val="02010600030101010101"/>
    <w:charset w:val="86"/>
    <w:family w:val="auto"/>
    <w:pitch w:val="default"/>
    <w:sig w:usb0="00000203" w:usb1="288F0000" w:usb2="00000006" w:usb3="00000000" w:csb0="00040001" w:csb1="00000000"/>
  </w:font>
  <w:font w:name="Arial">
    <w:altName w:val="DejaVu Sans"/>
    <w:panose1 w:val="020B0604020202020204"/>
    <w:charset w:val="01"/>
    <w:family w:val="swiss"/>
    <w:pitch w:val="variable"/>
    <w:sig w:usb0="E0002EFF" w:usb1="C000785B"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ambria">
    <w:altName w:val="Noto Sans Syriac Eastern"/>
    <w:panose1 w:val="02040503050406030204"/>
    <w:charset w:val="00"/>
    <w:family w:val="roman"/>
    <w:pitch w:val="default"/>
    <w:sig w:usb0="E00006FF" w:usb1="420024FF" w:usb2="02000000" w:usb3="00000000" w:csb0="2000019F" w:csb1="00000000"/>
  </w:font>
  <w:font w:name="微软雅黑">
    <w:altName w:val="方正黑体_GBK"/>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altName w:val="DejaVu Sans"/>
    <w:panose1 w:val="020F0502020204030204"/>
    <w:charset w:val="00"/>
    <w:family w:val="swiss"/>
    <w:pitch w:val="default"/>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仿宋_GBK">
    <w:panose1 w:val="02000000000000000000"/>
    <w:charset w:val="86"/>
    <w:family w:val="auto"/>
    <w:pitch w:val="default"/>
    <w:sig w:usb0="00000001" w:usb1="08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A5B6C12"/>
    <w:multiLevelType w:val="multilevel"/>
    <w:tmpl w:val="0A5B6C1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6D07967"/>
    <w:multiLevelType w:val="multilevel"/>
    <w:tmpl w:val="36D07967"/>
    <w:lvl w:ilvl="0">
      <w:start w:val="1"/>
      <w:numFmt w:val="decimal"/>
      <w:pStyle w:val="Z3"/>
      <w:lvlText w:val="%1."/>
      <w:lvlJc w:val="left"/>
      <w:pPr>
        <w:ind w:left="425" w:hanging="425"/>
      </w:pPr>
      <w:rPr>
        <w:rFonts w:hint="eastAsia"/>
      </w:rPr>
    </w:lvl>
    <w:lvl w:ilvl="1">
      <w:start w:val="1"/>
      <w:numFmt w:val="decimal"/>
      <w:lvlText w:val="%1.%2."/>
      <w:lvlJc w:val="left"/>
      <w:pPr>
        <w:ind w:left="567" w:hanging="567"/>
      </w:pPr>
      <w:rPr>
        <w:rFonts w:hint="eastAsia"/>
        <w:b w:val="0"/>
        <w:sz w:val="21"/>
        <w:szCs w:val="21"/>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12">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3">
    <w:nsid w:val="4FA10850"/>
    <w:multiLevelType w:val="multilevel"/>
    <w:tmpl w:val="4FA10850"/>
    <w:lvl w:ilvl="0">
      <w:start w:val="1"/>
      <w:numFmt w:val="chineseCountingThousand"/>
      <w:pStyle w:val="Z2"/>
      <w:lvlText w:val="%1、"/>
      <w:lvlJc w:val="left"/>
      <w:pPr>
        <w:ind w:left="420" w:hanging="42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4">
    <w:nsid w:val="53A08313"/>
    <w:multiLevelType w:val="singleLevel"/>
    <w:tmpl w:val="53A08313"/>
    <w:lvl w:ilvl="0">
      <w:start w:val="9"/>
      <w:numFmt w:val="chineseCounting"/>
      <w:suff w:val="space"/>
      <w:lvlText w:val="第%1章"/>
      <w:lvlJc w:val="left"/>
      <w:rPr>
        <w:rFonts w:hint="eastAsia"/>
      </w:rPr>
    </w:lvl>
  </w:abstractNum>
  <w:abstractNum w:abstractNumId="15">
    <w:nsid w:val="5E605490"/>
    <w:multiLevelType w:val="multilevel"/>
    <w:tmpl w:val="5E605490"/>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3"/>
  </w:num>
  <w:num w:numId="5">
    <w:abstractNumId w:val="11"/>
  </w:num>
  <w:num w:numId="6">
    <w:abstractNumId w:val="15"/>
  </w:num>
  <w:num w:numId="7">
    <w:abstractNumId w:val="9"/>
  </w:num>
  <w:num w:numId="8">
    <w:abstractNumId w:val="14"/>
  </w:num>
  <w:num w:numId="9">
    <w:abstractNumId w:val="16"/>
  </w:num>
  <w:num w:numId="10">
    <w:abstractNumId w:val="1"/>
  </w:num>
  <w:num w:numId="11">
    <w:abstractNumId w:val="5"/>
  </w:num>
  <w:num w:numId="12">
    <w:abstractNumId w:val="3"/>
  </w:num>
  <w:num w:numId="13">
    <w:abstractNumId w:val="2"/>
  </w:num>
  <w:num w:numId="14">
    <w:abstractNumId w:val="12"/>
  </w:num>
  <w:num w:numId="15">
    <w:abstractNumId w:val="0"/>
  </w:num>
  <w:num w:numId="16">
    <w:abstractNumId w:val="4"/>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3E77BB"/>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Z2">
    <w:name w:val="Z2"/>
    <w:basedOn w:val="Normal"/>
    <w:qFormat/>
    <w:pPr>
      <w:keepNext/>
      <w:numPr>
        <w:numId w:val="4"/>
      </w:numPr>
      <w:spacing w:line="360" w:lineRule="auto"/>
      <w:outlineLvl w:val="1"/>
    </w:pPr>
    <w:rPr>
      <w:rFonts w:eastAsia="黑体"/>
      <w:b/>
      <w:sz w:val="32"/>
    </w:rPr>
  </w:style>
  <w:style w:type="paragraph" w:customStyle="1" w:styleId="Z3">
    <w:name w:val="Z3"/>
    <w:basedOn w:val="Normal"/>
    <w:qFormat/>
    <w:pPr>
      <w:keepNext/>
      <w:numPr>
        <w:numId w:val="5"/>
      </w:numPr>
      <w:spacing w:line="360" w:lineRule="auto"/>
      <w:outlineLvl w:val="2"/>
    </w:pPr>
    <w:rPr>
      <w:b/>
      <w:sz w:val="28"/>
      <w:szCs w:val="28"/>
    </w:rPr>
  </w:style>
  <w:style w:type="paragraph" w:styleId="BodyTextIndent">
    <w:name w:val="Body Text Indent"/>
    <w:basedOn w:val="Normal"/>
    <w:qFormat/>
    <w:pPr>
      <w:spacing w:after="120"/>
      <w:ind w:left="420" w:leftChars="200"/>
    </w:pPr>
    <w:rPr>
      <w:rFonts w:asciiTheme="minorHAnsi" w:eastAsiaTheme="minorEastAsia" w:hAnsiTheme="minorHAnsi" w:cstheme="minorBidi"/>
      <w:szCs w:val="24"/>
    </w:r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23886</Words>
  <Characters>25185</Characters>
  <Application>Microsoft Office Word</Application>
  <DocSecurity>0</DocSecurity>
  <Lines>216</Lines>
  <Paragraphs>61</Paragraphs>
  <ScaleCrop>false</ScaleCrop>
  <Company>中国气象局</Company>
  <LinksUpToDate>false</LinksUpToDate>
  <CharactersWithSpaces>25300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2026-07-20T07:57:51Z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