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对流层风廓线雷达升级改造</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ZQCD-25263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中国气象局武汉暴雨研究所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对流层风廓线雷达升级改造</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ZQCD-25263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合同签订后180天内，所有设备交货至甲方指定地点；交货后60天内完成安装后现场测试。</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湖北</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2025年08月29日 00:00:00</w:t>
      </w:r>
      <w:bookmarkEnd w:id="26"/>
      <w:r>
        <w:rPr>
          <w:rFonts w:ascii="宋体" w:hint="eastAsia"/>
          <w:szCs w:val="21"/>
          <w:highlight w:val="none"/>
        </w:rPr>
        <w:t>至</w:t>
      </w:r>
      <w:bookmarkStart w:id="27" w:name="项目公告_signUpLastTime"/>
      <w:r>
        <w:rPr>
          <w:rFonts w:ascii="宋体" w:hint="eastAsia"/>
          <w:szCs w:val="21"/>
          <w:highlight w:val="none"/>
        </w:rPr>
        <w:t>2025年09月05日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2025年09月19日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中国气象局武汉暴雨研究所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张文刚</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027-81804913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湖北省武汉市东湖新技术开发区金融港二路6号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中国气象局武汉暴雨研究所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允许（仅针对以下产品：所有允许代理商投标）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必须，以下产品需要提供至投标截止日仍有效的《气象专用技术装备使用许可证》：P波段风廓线雷达</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（1）标的：对流层风廓线雷达升级改造，属于工业行业；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是，中标服务费：2.6万元。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232.000000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232.000000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3"/>
        <w:gridCol w:w="283"/>
        <w:gridCol w:w="1442"/>
        <w:gridCol w:w="283"/>
        <w:gridCol w:w="68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(3)</w:t>
            </w:r>
          </w:p>
        </w:tc>
        <w:tc>
          <w:tcPr/>
          <w:p>
            <w:r>
              <w:t>评审标准：</w:t>
            </w:r>
          </w:p>
          <w:p>
            <w:r>
              <w:t>投标人具有 ISO9000系列或GJB9001B质量管理体系认证，得3分。否则不得分。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(6)</w:t>
            </w:r>
          </w:p>
        </w:tc>
        <w:tc>
          <w:tcPr/>
          <w:p>
            <w:r>
              <w:t>评审标准：</w:t>
            </w:r>
          </w:p>
          <w:p>
            <w:r>
              <w:t>销售合同必须包括P波段风廓线雷达采购(符合中国气象局《P波段风廓线雷达功能规格需求书》)，每提供1份合同得1分，最多得6分。否则不得分。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根据投标人提供的培训承诺及方案进行评分。具体标准评分如下：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用户满意度证明（客观分）</w:t>
            </w:r>
          </w:p>
        </w:tc>
        <w:tc>
          <w:tcPr/>
          <w:p>
            <w:r>
              <w:t>勾选打分</w:t>
            </w:r>
            <w:r>
              <w:t>(6)</w:t>
            </w:r>
          </w:p>
        </w:tc>
        <w:tc>
          <w:tcPr/>
          <w:p>
            <w:r>
              <w:t>评审标准：</w:t>
            </w:r>
          </w:p>
          <w:p>
            <w:r>
              <w:t>针对P波段风廓线雷达设备（符合中国气象局《P波段风廓线雷达功能规格需求书》），每提供 1份用户证明材料得1分，最多得6分。否则不得分。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8</w:t>
            </w:r>
          </w:p>
        </w:tc>
        <w:tc>
          <w:tcPr>
            <w:vMerge w:val="restart"/>
          </w:tcPr>
          <w:p>
            <w:r>
              <w:t>技术部分</w:t>
            </w:r>
          </w:p>
        </w:tc>
        <w:tc>
          <w:tcPr/>
          <w:p>
            <w:r>
              <w:t>投标产品重要技术指标（客观分）</w:t>
            </w:r>
          </w:p>
        </w:tc>
        <w:tc>
          <w:tcPr/>
          <w:p>
            <w:r>
              <w:t>区间打分</w:t>
            </w:r>
            <w:r>
              <w:t>(35)</w:t>
            </w:r>
          </w:p>
        </w:tc>
        <w:tc>
          <w:tcPr/>
          <w:p>
            <w:r>
              <w:t>评审标准：</w:t>
            </w:r>
          </w:p>
          <w:p>
            <w:r>
              <w:t>标注#的重要指标共7项，每满足1项（如有多个下级指标，则每个下级指标均应满足）得5分，满分35分。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9</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10</w:t>
            </w:r>
          </w:p>
        </w:tc>
        <w:tc>
          <w:tcPr>
            <w:vMerge/>
          </w:tcPr>
          <w:p>
            <w:r>
              <w:t>技术部分</w:t>
            </w:r>
          </w:p>
        </w:tc>
        <w:tc>
          <w:tcPr/>
          <w:p>
            <w:r>
              <w:t>自主检测能力（客观分）</w:t>
            </w:r>
          </w:p>
        </w:tc>
        <w:tc>
          <w:tcPr/>
          <w:p>
            <w:r>
              <w:t>区间打分</w:t>
            </w:r>
            <w:r>
              <w:t>(6)</w:t>
            </w:r>
          </w:p>
        </w:tc>
        <w:tc>
          <w:tcPr/>
          <w:p>
            <w:r>
              <w:t>评审标准：</w:t>
            </w:r>
          </w:p>
          <w:p>
            <w:r>
              <w:t>对于“盐雾、紫外老化、淋雨、恒温（高温地温）、砂尘、机械振动冲击、雷击浪涌、风洞”等方面有完善的质检能力，每提供一项相关证明文件得 0.5分，最多得4分，未提供不得分。具有一定检测和校准能力，且经中国合格评定国家认可委员会（CMA和CNAS）认证其相关能力的得2分；未提供不得分。</w:t>
            </w:r>
          </w:p>
          <w:p>
            <w:r>
              <w:t>评审标准说明：</w:t>
            </w:r>
          </w:p>
          <w:p>
            <w:r>
              <w:t>须提供相关证明材料，未提供不得分。</w:t>
            </w:r>
          </w:p>
          <w:p/>
        </w:tc>
      </w:tr>
      <w:tr>
        <w:tblPrEx>
          <w:tblW w:w="5000" w:type="pct"/>
          <w:tblCellMar>
            <w:left w:w="108" w:type="dxa"/>
            <w:right w:w="108" w:type="dxa"/>
          </w:tblCellMar>
        </w:tblPrEx>
        <w:tc>
          <w:tcPr/>
          <w:p>
            <w:r>
              <w:t>11</w:t>
            </w:r>
          </w:p>
        </w:tc>
        <w:tc>
          <w:tcPr>
            <w:vMerge/>
          </w:tcPr>
          <w:p>
            <w:r>
              <w:t>技术部分</w:t>
            </w:r>
          </w:p>
        </w:tc>
        <w:tc>
          <w:tcPr/>
          <w:p>
            <w:r>
              <w:t>投标产品软件性能（客观分）</w:t>
            </w:r>
          </w:p>
        </w:tc>
        <w:tc>
          <w:tcPr/>
          <w:p>
            <w:r>
              <w:t>勾选打分</w:t>
            </w:r>
            <w:r>
              <w:t>(4)</w:t>
            </w:r>
          </w:p>
        </w:tc>
        <w:tc>
          <w:tcPr/>
          <w:p>
            <w:r>
              <w:t>评审标准：</w:t>
            </w:r>
          </w:p>
          <w:p>
            <w:r>
              <w:t>投标人提供中文版应用软件说明得2分，提供中文版技术操作手册文档得2分，未提供不得分。</w:t>
            </w:r>
          </w:p>
          <w:p>
            <w:r>
              <w:t>评审标准说明：</w:t>
            </w:r>
          </w:p>
          <w:p>
            <w:r>
              <w:t>须提供相关材料，未提供不得分。</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0F42B0">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0F42B0">
      <w:pPr>
        <w:spacing w:line="360" w:lineRule="auto"/>
        <w:ind w:firstLine="420" w:firstLineChars="200"/>
        <w:rPr>
          <w:rFonts w:ascii="宋体" w:hAnsi="宋体"/>
          <w:szCs w:val="21"/>
        </w:rPr>
      </w:pPr>
      <w:r>
        <w:rPr>
          <w:rFonts w:ascii="宋体" w:hAnsi="宋体" w:hint="eastAsia"/>
          <w:szCs w:val="21"/>
        </w:rPr>
        <w:t>一、项目概况及总体要求</w:t>
      </w:r>
    </w:p>
    <w:p w:rsidR="000F42B0">
      <w:pPr>
        <w:spacing w:line="360" w:lineRule="auto"/>
        <w:ind w:firstLine="420" w:firstLineChars="200"/>
        <w:rPr>
          <w:rFonts w:ascii="宋体" w:hAnsi="宋体"/>
          <w:szCs w:val="21"/>
        </w:rPr>
      </w:pPr>
      <w:r>
        <w:rPr>
          <w:rFonts w:ascii="宋体" w:hAnsi="宋体" w:hint="eastAsia"/>
          <w:szCs w:val="21"/>
        </w:rPr>
        <w:t>1.1.</w:t>
      </w:r>
      <w:r>
        <w:rPr>
          <w:rFonts w:ascii="宋体" w:hAnsi="宋体" w:hint="eastAsia"/>
          <w:szCs w:val="21"/>
        </w:rPr>
        <w:t>项目概况</w:t>
      </w:r>
    </w:p>
    <w:p w:rsidR="000F42B0">
      <w:pPr>
        <w:spacing w:line="360" w:lineRule="auto"/>
        <w:ind w:firstLine="420" w:firstLineChars="200"/>
        <w:rPr>
          <w:rFonts w:ascii="宋体" w:hAnsi="宋体"/>
          <w:szCs w:val="21"/>
        </w:rPr>
      </w:pPr>
      <w:r>
        <w:rPr>
          <w:rFonts w:ascii="宋体" w:hAnsi="宋体" w:hint="eastAsia"/>
          <w:szCs w:val="21"/>
        </w:rPr>
        <w:t>项目隶属于</w:t>
      </w:r>
      <w:r>
        <w:rPr>
          <w:rFonts w:ascii="宋体" w:hAnsi="宋体" w:hint="eastAsia"/>
          <w:szCs w:val="21"/>
        </w:rPr>
        <w:t>2025</w:t>
      </w:r>
      <w:r>
        <w:rPr>
          <w:rFonts w:ascii="宋体" w:hAnsi="宋体" w:hint="eastAsia"/>
          <w:szCs w:val="21"/>
        </w:rPr>
        <w:t>年度财政部中央级科研院所改善科研条件专项《高空风和水汽廓线观测设备升级》，项目计划将咸宁</w:t>
      </w:r>
      <w:r>
        <w:rPr>
          <w:rFonts w:ascii="宋体" w:hAnsi="宋体" w:hint="eastAsia"/>
          <w:szCs w:val="21"/>
        </w:rPr>
        <w:t>1</w:t>
      </w:r>
      <w:r>
        <w:rPr>
          <w:rFonts w:ascii="宋体" w:hAnsi="宋体" w:hint="eastAsia"/>
          <w:szCs w:val="21"/>
        </w:rPr>
        <w:t>部对流层风廓线雷达进行升级改造，能够对部分典型天气进行智能化实时识别，参数自适应，以及兼具有对环境的更高适应能力，对智能化观测系统、质控算法及产品模块、天</w:t>
      </w:r>
      <w:r>
        <w:rPr>
          <w:rFonts w:ascii="宋体" w:hAnsi="宋体" w:hint="eastAsia"/>
          <w:szCs w:val="21"/>
        </w:rPr>
        <w:t>馈</w:t>
      </w:r>
      <w:r>
        <w:rPr>
          <w:rFonts w:ascii="宋体" w:hAnsi="宋体" w:hint="eastAsia"/>
          <w:szCs w:val="21"/>
        </w:rPr>
        <w:t>分系统、收发分系统、信号处理分系统、监控分系统、应用终端分系统及配电分系统升级改造，完成观测场地维修翻新，使得设备更加稳定，可靠性高。</w:t>
      </w:r>
    </w:p>
    <w:p w:rsidR="000F42B0">
      <w:pPr>
        <w:spacing w:line="360" w:lineRule="auto"/>
        <w:ind w:firstLine="420" w:firstLineChars="200"/>
        <w:rPr>
          <w:rFonts w:ascii="宋体" w:hAnsi="宋体"/>
          <w:szCs w:val="21"/>
        </w:rPr>
      </w:pPr>
      <w:r>
        <w:rPr>
          <w:rFonts w:ascii="宋体" w:hAnsi="宋体" w:hint="eastAsia"/>
          <w:szCs w:val="21"/>
        </w:rPr>
        <w:t>1.2.</w:t>
      </w:r>
      <w:r>
        <w:rPr>
          <w:rFonts w:ascii="宋体" w:hAnsi="宋体" w:hint="eastAsia"/>
          <w:szCs w:val="21"/>
        </w:rPr>
        <w:t>总体要求</w:t>
      </w:r>
    </w:p>
    <w:p w:rsidR="000F42B0">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）投标人提供的设备与软件必须满足标书提出的功能和规格描述。</w:t>
      </w:r>
    </w:p>
    <w:p w:rsidR="000F42B0">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）投标人提供的系统软、硬件的性能应达到或超过招标书所列技术指标。投标人在响应建议中必须就有关技术指标列出具体数值，否则将视为不符合技术性能需求。</w:t>
      </w:r>
    </w:p>
    <w:p w:rsidR="000F42B0">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）投标人的设备报价表应尽量具体详细，报价表中要明确设备厂家、型号和价格等。</w:t>
      </w:r>
    </w:p>
    <w:p w:rsidR="000F42B0">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）所列性能指标要求只是最低标准，还需要考察性能高低和方案（包括技术和售后服务）优劣以及设备价格，择性价比最优者选用。</w:t>
      </w:r>
    </w:p>
    <w:p w:rsidR="000F42B0">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）供货商提供的设备的性能指标，按照投标时厂家公开公布的实际性能指标参数如实填写，填写“将来支</w:t>
      </w:r>
      <w:r>
        <w:rPr>
          <w:rFonts w:ascii="宋体" w:hAnsi="宋体" w:hint="eastAsia"/>
          <w:szCs w:val="21"/>
        </w:rPr>
        <w:t>持或未来支持等不确切的性能指标参数”，即为不支持；若发现弄虚作假，即废标，并追究投标人和生产厂家递交虚假资料的法律责任。</w:t>
      </w:r>
    </w:p>
    <w:p w:rsidR="000F42B0">
      <w:pPr>
        <w:spacing w:line="360" w:lineRule="auto"/>
        <w:ind w:firstLine="420" w:firstLineChars="200"/>
        <w:rPr>
          <w:rFonts w:ascii="宋体" w:hAnsi="宋体"/>
          <w:szCs w:val="21"/>
        </w:rPr>
      </w:pPr>
      <w:r>
        <w:rPr>
          <w:rFonts w:ascii="宋体" w:hAnsi="宋体" w:hint="eastAsia"/>
          <w:szCs w:val="21"/>
        </w:rPr>
        <w:t>二、设备需求一览表（见第七章</w:t>
      </w:r>
      <w:r>
        <w:rPr>
          <w:rFonts w:ascii="宋体" w:hAnsi="宋体" w:hint="eastAsia"/>
          <w:szCs w:val="21"/>
        </w:rPr>
        <w:t xml:space="preserve"> </w:t>
      </w:r>
      <w:r>
        <w:rPr>
          <w:rFonts w:ascii="宋体" w:hAnsi="宋体" w:hint="eastAsia"/>
          <w:szCs w:val="21"/>
        </w:rPr>
        <w:t>采购需求</w:t>
      </w:r>
      <w:r>
        <w:rPr>
          <w:rFonts w:ascii="宋体" w:hAnsi="宋体" w:hint="eastAsia"/>
          <w:szCs w:val="21"/>
        </w:rPr>
        <w:t xml:space="preserve"> </w:t>
      </w:r>
      <w:r>
        <w:rPr>
          <w:rFonts w:ascii="宋体" w:hAnsi="宋体" w:hint="eastAsia"/>
          <w:szCs w:val="21"/>
        </w:rPr>
        <w:t>附表）</w:t>
      </w:r>
    </w:p>
    <w:p w:rsidR="000F42B0">
      <w:pPr>
        <w:spacing w:line="360" w:lineRule="auto"/>
        <w:ind w:firstLine="420" w:firstLineChars="200"/>
        <w:rPr>
          <w:rFonts w:ascii="宋体" w:hAnsi="宋体"/>
          <w:szCs w:val="21"/>
        </w:rPr>
      </w:pPr>
      <w:r>
        <w:rPr>
          <w:rFonts w:ascii="宋体" w:hAnsi="宋体" w:hint="eastAsia"/>
          <w:szCs w:val="21"/>
        </w:rPr>
        <w:t>三、技术性能指标</w:t>
      </w:r>
    </w:p>
    <w:p w:rsidR="000F42B0">
      <w:pPr>
        <w:spacing w:line="360" w:lineRule="auto"/>
        <w:ind w:firstLine="420" w:firstLineChars="200"/>
        <w:rPr>
          <w:rFonts w:ascii="宋体" w:hAnsi="宋体" w:cs="宋体"/>
        </w:rPr>
      </w:pPr>
      <w:r>
        <w:rPr>
          <w:rFonts w:ascii="宋体" w:hAnsi="宋体" w:cs="宋体" w:hint="eastAsia"/>
        </w:rPr>
        <w:t>对流层风廓线雷达升级后关键技术指标</w:t>
      </w:r>
      <w:r>
        <w:rPr>
          <w:rFonts w:ascii="宋体" w:hAnsi="宋体" w:cs="宋体" w:hint="eastAsia"/>
        </w:rPr>
        <w:t>如下：</w:t>
      </w:r>
    </w:p>
    <w:tbl>
      <w:tblPr>
        <w:tblStyle w:val="TableGrid"/>
        <w:tblW w:w="8298" w:type="dxa"/>
        <w:tblLook w:val="04A0"/>
      </w:tblPr>
      <w:tblGrid>
        <w:gridCol w:w="701"/>
        <w:gridCol w:w="1859"/>
        <w:gridCol w:w="5738"/>
      </w:tblGrid>
      <w:tr>
        <w:tblPrEx>
          <w:tblW w:w="8298" w:type="dxa"/>
          <w:tblLook w:val="04A0"/>
        </w:tblPrEx>
        <w:trPr>
          <w:trHeight w:val="329"/>
        </w:trPr>
        <w:tc>
          <w:tcPr>
            <w:tcW w:w="701" w:type="dxa"/>
            <w:shd w:val="clear" w:color="auto" w:fill="auto"/>
            <w:vAlign w:val="center"/>
          </w:tcPr>
          <w:p w:rsidR="000F42B0">
            <w:r>
              <w:rPr>
                <w:rFonts w:hint="eastAsia"/>
              </w:rPr>
              <w:t>序号</w:t>
            </w:r>
          </w:p>
        </w:tc>
        <w:tc>
          <w:tcPr>
            <w:tcW w:w="1859" w:type="dxa"/>
            <w:shd w:val="clear" w:color="auto" w:fill="auto"/>
            <w:vAlign w:val="center"/>
          </w:tcPr>
          <w:p w:rsidR="000F42B0">
            <w:r>
              <w:rPr>
                <w:rFonts w:hint="eastAsia"/>
              </w:rPr>
              <w:t>项目</w:t>
            </w:r>
          </w:p>
        </w:tc>
        <w:tc>
          <w:tcPr>
            <w:tcW w:w="5738" w:type="dxa"/>
            <w:shd w:val="clear" w:color="auto" w:fill="auto"/>
            <w:vAlign w:val="center"/>
          </w:tcPr>
          <w:p w:rsidR="000F42B0">
            <w:r>
              <w:rPr>
                <w:rFonts w:hint="eastAsia"/>
              </w:rPr>
              <w:t>技术指标</w:t>
            </w:r>
          </w:p>
        </w:tc>
      </w:tr>
      <w:tr>
        <w:tblPrEx>
          <w:tblW w:w="8298" w:type="dxa"/>
          <w:tblLook w:val="04A0"/>
        </w:tblPrEx>
        <w:trPr>
          <w:trHeight w:val="329"/>
        </w:trPr>
        <w:tc>
          <w:tcPr>
            <w:tcW w:w="701" w:type="dxa"/>
            <w:shd w:val="clear" w:color="auto" w:fill="auto"/>
            <w:vAlign w:val="center"/>
          </w:tcPr>
          <w:p w:rsidR="000F42B0">
            <w:r>
              <w:rPr>
                <w:rFonts w:hint="eastAsia"/>
              </w:rPr>
              <w:t>1</w:t>
            </w:r>
          </w:p>
        </w:tc>
        <w:tc>
          <w:tcPr>
            <w:tcW w:w="1859" w:type="dxa"/>
            <w:shd w:val="clear" w:color="auto" w:fill="auto"/>
            <w:vAlign w:val="center"/>
          </w:tcPr>
          <w:p w:rsidR="000F42B0">
            <w:r>
              <w:rPr>
                <w:rFonts w:hint="eastAsia"/>
              </w:rPr>
              <w:t>工作频率</w:t>
            </w:r>
          </w:p>
        </w:tc>
        <w:tc>
          <w:tcPr>
            <w:tcW w:w="5738" w:type="dxa"/>
            <w:shd w:val="clear" w:color="auto" w:fill="auto"/>
            <w:vAlign w:val="center"/>
          </w:tcPr>
          <w:p w:rsidR="000F42B0">
            <w:r>
              <w:t>445MHz</w:t>
            </w:r>
          </w:p>
        </w:tc>
      </w:tr>
      <w:tr>
        <w:tblPrEx>
          <w:tblW w:w="8298" w:type="dxa"/>
          <w:tblLook w:val="04A0"/>
        </w:tblPrEx>
        <w:trPr>
          <w:trHeight w:val="967"/>
        </w:trPr>
        <w:tc>
          <w:tcPr>
            <w:tcW w:w="701" w:type="dxa"/>
            <w:shd w:val="clear" w:color="auto" w:fill="auto"/>
            <w:vAlign w:val="center"/>
          </w:tcPr>
          <w:p w:rsidR="000F42B0">
            <w:r>
              <w:rPr>
                <w:rFonts w:hint="eastAsia"/>
              </w:rPr>
              <w:t>2</w:t>
            </w:r>
          </w:p>
        </w:tc>
        <w:tc>
          <w:tcPr>
            <w:tcW w:w="1859" w:type="dxa"/>
            <w:shd w:val="clear" w:color="auto" w:fill="auto"/>
            <w:vAlign w:val="center"/>
          </w:tcPr>
          <w:p w:rsidR="000F42B0">
            <w:r>
              <w:rPr>
                <w:rFonts w:hint="eastAsia"/>
              </w:rPr>
              <w:t>探测要素</w:t>
            </w:r>
          </w:p>
        </w:tc>
        <w:tc>
          <w:tcPr>
            <w:tcW w:w="5738" w:type="dxa"/>
            <w:shd w:val="clear" w:color="auto" w:fill="auto"/>
            <w:vAlign w:val="center"/>
          </w:tcPr>
          <w:p w:rsidR="000F42B0">
            <w:r>
              <w:rPr>
                <w:rFonts w:hint="eastAsia"/>
              </w:rPr>
              <w:t>功率谱、径向速度、谱宽、信噪比。</w:t>
            </w:r>
          </w:p>
          <w:p w:rsidR="000F42B0">
            <w:r>
              <w:rPr>
                <w:rFonts w:hint="eastAsia"/>
              </w:rPr>
              <w:t>水平风速、风向、垂直气流、大气折射率结构常数。</w:t>
            </w:r>
          </w:p>
        </w:tc>
      </w:tr>
      <w:tr>
        <w:tblPrEx>
          <w:tblW w:w="8298" w:type="dxa"/>
          <w:tblLook w:val="04A0"/>
        </w:tblPrEx>
        <w:trPr>
          <w:trHeight w:val="648"/>
        </w:trPr>
        <w:tc>
          <w:tcPr>
            <w:tcW w:w="701" w:type="dxa"/>
            <w:shd w:val="clear" w:color="auto" w:fill="auto"/>
            <w:vAlign w:val="center"/>
          </w:tcPr>
          <w:p w:rsidR="000F42B0">
            <w:r>
              <w:rPr>
                <w:rFonts w:hint="eastAsia"/>
              </w:rPr>
              <w:t>3</w:t>
            </w:r>
          </w:p>
        </w:tc>
        <w:tc>
          <w:tcPr>
            <w:tcW w:w="1859" w:type="dxa"/>
            <w:shd w:val="clear" w:color="auto" w:fill="auto"/>
            <w:vAlign w:val="center"/>
          </w:tcPr>
          <w:p w:rsidR="000F42B0">
            <w:r>
              <w:rPr>
                <w:rFonts w:hint="eastAsia"/>
              </w:rPr>
              <w:t>#</w:t>
            </w:r>
            <w:r>
              <w:rPr>
                <w:rFonts w:hint="eastAsia"/>
              </w:rPr>
              <w:t>探测高度</w:t>
            </w:r>
          </w:p>
        </w:tc>
        <w:tc>
          <w:tcPr>
            <w:tcW w:w="5738" w:type="dxa"/>
            <w:shd w:val="clear" w:color="auto" w:fill="auto"/>
            <w:vAlign w:val="center"/>
          </w:tcPr>
          <w:p w:rsidR="000F42B0">
            <w:r>
              <w:rPr>
                <w:rFonts w:hint="eastAsia"/>
              </w:rPr>
              <w:t>最大探测高度：</w:t>
            </w:r>
            <w:r>
              <w:t>≥12 km</w:t>
            </w:r>
          </w:p>
          <w:p w:rsidR="000F42B0">
            <w:r>
              <w:rPr>
                <w:rFonts w:hint="eastAsia"/>
              </w:rPr>
              <w:t>最小探测高度：</w:t>
            </w:r>
            <w:r>
              <w:t>≤</w:t>
            </w:r>
            <w:r>
              <w:rPr>
                <w:rFonts w:hint="eastAsia"/>
              </w:rPr>
              <w:t>150m</w:t>
            </w:r>
          </w:p>
        </w:tc>
      </w:tr>
      <w:tr>
        <w:tblPrEx>
          <w:tblW w:w="8298" w:type="dxa"/>
          <w:tblLook w:val="04A0"/>
        </w:tblPrEx>
        <w:trPr>
          <w:trHeight w:val="329"/>
        </w:trPr>
        <w:tc>
          <w:tcPr>
            <w:tcW w:w="701" w:type="dxa"/>
            <w:shd w:val="clear" w:color="auto" w:fill="auto"/>
            <w:vAlign w:val="center"/>
          </w:tcPr>
          <w:p w:rsidR="000F42B0">
            <w:r>
              <w:rPr>
                <w:rFonts w:hint="eastAsia"/>
              </w:rPr>
              <w:t>4</w:t>
            </w:r>
          </w:p>
        </w:tc>
        <w:tc>
          <w:tcPr>
            <w:tcW w:w="1859" w:type="dxa"/>
            <w:shd w:val="clear" w:color="auto" w:fill="auto"/>
            <w:vAlign w:val="center"/>
          </w:tcPr>
          <w:p w:rsidR="000F42B0">
            <w:r>
              <w:rPr>
                <w:rFonts w:hint="eastAsia"/>
              </w:rPr>
              <w:t>系统相干性</w:t>
            </w:r>
          </w:p>
        </w:tc>
        <w:tc>
          <w:tcPr>
            <w:tcW w:w="5738" w:type="dxa"/>
            <w:shd w:val="clear" w:color="auto" w:fill="auto"/>
            <w:vAlign w:val="center"/>
          </w:tcPr>
          <w:p w:rsidR="000F42B0">
            <w:r>
              <w:t>≤0.1°</w:t>
            </w:r>
          </w:p>
        </w:tc>
      </w:tr>
      <w:tr>
        <w:tblPrEx>
          <w:tblW w:w="8298" w:type="dxa"/>
          <w:tblLook w:val="04A0"/>
        </w:tblPrEx>
        <w:trPr>
          <w:trHeight w:val="329"/>
        </w:trPr>
        <w:tc>
          <w:tcPr>
            <w:tcW w:w="701" w:type="dxa"/>
            <w:shd w:val="clear" w:color="auto" w:fill="auto"/>
            <w:vAlign w:val="center"/>
          </w:tcPr>
          <w:p w:rsidR="000F42B0">
            <w:r>
              <w:rPr>
                <w:rFonts w:hint="eastAsia"/>
              </w:rPr>
              <w:t>5</w:t>
            </w:r>
          </w:p>
        </w:tc>
        <w:tc>
          <w:tcPr>
            <w:tcW w:w="1859" w:type="dxa"/>
            <w:shd w:val="clear" w:color="auto" w:fill="auto"/>
            <w:vAlign w:val="center"/>
          </w:tcPr>
          <w:p w:rsidR="000F42B0">
            <w:r>
              <w:rPr>
                <w:rFonts w:hint="eastAsia"/>
              </w:rPr>
              <w:t>#</w:t>
            </w:r>
            <w:r>
              <w:rPr>
                <w:rFonts w:hint="eastAsia"/>
              </w:rPr>
              <w:t>系统最小可测功率</w:t>
            </w:r>
          </w:p>
        </w:tc>
        <w:tc>
          <w:tcPr>
            <w:tcW w:w="5738" w:type="dxa"/>
            <w:shd w:val="clear" w:color="auto" w:fill="auto"/>
            <w:vAlign w:val="center"/>
          </w:tcPr>
          <w:p w:rsidR="000F42B0">
            <w:r>
              <w:t>≤-150dBm</w:t>
            </w:r>
          </w:p>
        </w:tc>
      </w:tr>
      <w:tr>
        <w:tblPrEx>
          <w:tblW w:w="8298" w:type="dxa"/>
          <w:tblLook w:val="04A0"/>
        </w:tblPrEx>
        <w:trPr>
          <w:trHeight w:val="1286"/>
        </w:trPr>
        <w:tc>
          <w:tcPr>
            <w:tcW w:w="701" w:type="dxa"/>
            <w:shd w:val="clear" w:color="auto" w:fill="auto"/>
            <w:vAlign w:val="center"/>
          </w:tcPr>
          <w:p w:rsidR="000F42B0">
            <w:r>
              <w:rPr>
                <w:rFonts w:hint="eastAsia"/>
              </w:rPr>
              <w:t>6</w:t>
            </w:r>
          </w:p>
        </w:tc>
        <w:tc>
          <w:tcPr>
            <w:tcW w:w="1859" w:type="dxa"/>
            <w:shd w:val="clear" w:color="auto" w:fill="auto"/>
            <w:vAlign w:val="center"/>
          </w:tcPr>
          <w:p w:rsidR="000F42B0">
            <w:r>
              <w:rPr>
                <w:rFonts w:hint="eastAsia"/>
              </w:rPr>
              <w:t>测量性能与精度</w:t>
            </w:r>
          </w:p>
        </w:tc>
        <w:tc>
          <w:tcPr>
            <w:tcW w:w="5738" w:type="dxa"/>
            <w:shd w:val="clear" w:color="auto" w:fill="auto"/>
            <w:vAlign w:val="center"/>
          </w:tcPr>
          <w:p w:rsidR="000F42B0">
            <w:r>
              <w:rPr>
                <w:rFonts w:hint="eastAsia"/>
              </w:rPr>
              <w:t>风速：≤</w:t>
            </w:r>
            <w:r>
              <w:rPr>
                <w:rFonts w:hint="eastAsia"/>
              </w:rPr>
              <w:t>0.2 m/s</w:t>
            </w:r>
            <w:r>
              <w:rPr>
                <w:rFonts w:hint="eastAsia"/>
              </w:rPr>
              <w:t>。</w:t>
            </w:r>
          </w:p>
          <w:p w:rsidR="000F42B0">
            <w:r>
              <w:rPr>
                <w:rFonts w:hint="eastAsia"/>
              </w:rPr>
              <w:t>风向：≤</w:t>
            </w:r>
            <w:r>
              <w:rPr>
                <w:rFonts w:hint="eastAsia"/>
              </w:rPr>
              <w:t>0.5</w:t>
            </w:r>
            <w:r>
              <w:rPr>
                <w:rFonts w:hint="eastAsia"/>
              </w:rPr>
              <w:t>°。</w:t>
            </w:r>
          </w:p>
          <w:p w:rsidR="000F42B0">
            <w:r>
              <w:rPr>
                <w:rFonts w:hint="eastAsia"/>
              </w:rPr>
              <w:t>垂直气流：≤</w:t>
            </w:r>
            <w:r>
              <w:rPr>
                <w:rFonts w:hint="eastAsia"/>
              </w:rPr>
              <w:t>0.1 m/s</w:t>
            </w:r>
            <w:r>
              <w:rPr>
                <w:rFonts w:hint="eastAsia"/>
              </w:rPr>
              <w:t>。</w:t>
            </w:r>
          </w:p>
          <w:p w:rsidR="000F42B0">
            <w:r>
              <w:rPr>
                <w:rFonts w:hint="eastAsia"/>
              </w:rPr>
              <w:t>高度分辨力：</w:t>
            </w:r>
            <w:r>
              <w:rPr>
                <w:rFonts w:hint="eastAsia"/>
              </w:rPr>
              <w:t>120m</w:t>
            </w:r>
            <w:r>
              <w:rPr>
                <w:rFonts w:hint="eastAsia"/>
              </w:rPr>
              <w:t>、</w:t>
            </w:r>
            <w:r>
              <w:rPr>
                <w:rFonts w:hint="eastAsia"/>
              </w:rPr>
              <w:t>240m</w:t>
            </w:r>
            <w:r>
              <w:rPr>
                <w:rFonts w:hint="eastAsia"/>
              </w:rPr>
              <w:t>、</w:t>
            </w:r>
            <w:r>
              <w:rPr>
                <w:rFonts w:hint="eastAsia"/>
              </w:rPr>
              <w:t>480m</w:t>
            </w:r>
            <w:r>
              <w:rPr>
                <w:rFonts w:hint="eastAsia"/>
              </w:rPr>
              <w:t>。</w:t>
            </w:r>
          </w:p>
        </w:tc>
      </w:tr>
      <w:tr>
        <w:tblPrEx>
          <w:tblW w:w="8298" w:type="dxa"/>
          <w:tblLook w:val="04A0"/>
        </w:tblPrEx>
        <w:trPr>
          <w:trHeight w:val="1286"/>
        </w:trPr>
        <w:tc>
          <w:tcPr>
            <w:tcW w:w="701" w:type="dxa"/>
            <w:shd w:val="clear" w:color="auto" w:fill="auto"/>
            <w:vAlign w:val="center"/>
          </w:tcPr>
          <w:p w:rsidR="000F42B0">
            <w:r>
              <w:rPr>
                <w:rFonts w:hint="eastAsia"/>
              </w:rPr>
              <w:t>7</w:t>
            </w:r>
          </w:p>
        </w:tc>
        <w:tc>
          <w:tcPr>
            <w:tcW w:w="1859" w:type="dxa"/>
            <w:shd w:val="clear" w:color="auto" w:fill="auto"/>
            <w:vAlign w:val="center"/>
          </w:tcPr>
          <w:p w:rsidR="000F42B0">
            <w:r>
              <w:rPr>
                <w:rFonts w:hint="eastAsia"/>
              </w:rPr>
              <w:t>时间分辨率</w:t>
            </w:r>
          </w:p>
        </w:tc>
        <w:tc>
          <w:tcPr>
            <w:tcW w:w="5738" w:type="dxa"/>
            <w:shd w:val="clear" w:color="auto" w:fill="auto"/>
            <w:vAlign w:val="center"/>
          </w:tcPr>
          <w:p w:rsidR="000F42B0">
            <w:r>
              <w:t xml:space="preserve">1) </w:t>
            </w:r>
            <w:r>
              <w:rPr>
                <w:rFonts w:hint="eastAsia"/>
              </w:rPr>
              <w:t>常规观测模式，</w:t>
            </w:r>
            <w:r>
              <w:t>3</w:t>
            </w:r>
            <w:r>
              <w:rPr>
                <w:rFonts w:hint="eastAsia"/>
              </w:rPr>
              <w:t>波束≤</w:t>
            </w:r>
            <w:r>
              <w:rPr>
                <w:rFonts w:hint="eastAsia"/>
              </w:rPr>
              <w:t>3min</w:t>
            </w:r>
            <w:r>
              <w:rPr>
                <w:rFonts w:hint="eastAsia"/>
              </w:rPr>
              <w:t>，</w:t>
            </w:r>
            <w:r>
              <w:rPr>
                <w:rFonts w:hint="eastAsia"/>
              </w:rPr>
              <w:t>5</w:t>
            </w:r>
            <w:r>
              <w:rPr>
                <w:rFonts w:hint="eastAsia"/>
              </w:rPr>
              <w:t>波束≤</w:t>
            </w:r>
            <w:r>
              <w:rPr>
                <w:rFonts w:hint="eastAsia"/>
              </w:rPr>
              <w:t>5min</w:t>
            </w:r>
            <w:r>
              <w:rPr>
                <w:rFonts w:hint="eastAsia"/>
              </w:rPr>
              <w:t>；</w:t>
            </w:r>
          </w:p>
          <w:p w:rsidR="000F42B0">
            <w:r>
              <w:t xml:space="preserve">2) </w:t>
            </w:r>
            <w:r>
              <w:rPr>
                <w:rFonts w:hint="eastAsia"/>
              </w:rPr>
              <w:t>加密观测模式，</w:t>
            </w:r>
            <w:r>
              <w:rPr>
                <w:rFonts w:hint="eastAsia"/>
              </w:rPr>
              <w:t>3</w:t>
            </w:r>
            <w:r>
              <w:rPr>
                <w:rFonts w:hint="eastAsia"/>
              </w:rPr>
              <w:t>波束≤</w:t>
            </w:r>
            <w:r>
              <w:rPr>
                <w:rFonts w:hint="eastAsia"/>
              </w:rPr>
              <w:t>1min</w:t>
            </w:r>
            <w:r>
              <w:rPr>
                <w:rFonts w:hint="eastAsia"/>
              </w:rPr>
              <w:t>；</w:t>
            </w:r>
            <w:r>
              <w:rPr>
                <w:rFonts w:hint="eastAsia"/>
              </w:rPr>
              <w:t>5</w:t>
            </w:r>
            <w:r>
              <w:rPr>
                <w:rFonts w:hint="eastAsia"/>
              </w:rPr>
              <w:t>波束≤</w:t>
            </w:r>
            <w:r>
              <w:rPr>
                <w:rFonts w:hint="eastAsia"/>
              </w:rPr>
              <w:t>2min</w:t>
            </w:r>
            <w:r>
              <w:rPr>
                <w:rFonts w:hint="eastAsia"/>
              </w:rPr>
              <w:t>。</w:t>
            </w:r>
          </w:p>
        </w:tc>
      </w:tr>
      <w:tr>
        <w:tblPrEx>
          <w:tblW w:w="8298" w:type="dxa"/>
          <w:tblLook w:val="04A0"/>
        </w:tblPrEx>
        <w:trPr>
          <w:trHeight w:val="967"/>
        </w:trPr>
        <w:tc>
          <w:tcPr>
            <w:tcW w:w="701" w:type="dxa"/>
            <w:shd w:val="clear" w:color="auto" w:fill="auto"/>
            <w:vAlign w:val="center"/>
          </w:tcPr>
          <w:p w:rsidR="000F42B0">
            <w:r>
              <w:rPr>
                <w:rFonts w:hint="eastAsia"/>
              </w:rPr>
              <w:t>8</w:t>
            </w:r>
          </w:p>
        </w:tc>
        <w:tc>
          <w:tcPr>
            <w:tcW w:w="1859" w:type="dxa"/>
            <w:shd w:val="clear" w:color="auto" w:fill="auto"/>
            <w:vAlign w:val="center"/>
          </w:tcPr>
          <w:p w:rsidR="000F42B0">
            <w:r>
              <w:rPr>
                <w:rFonts w:hint="eastAsia"/>
              </w:rPr>
              <w:t>测量范围</w:t>
            </w:r>
          </w:p>
        </w:tc>
        <w:tc>
          <w:tcPr>
            <w:tcW w:w="5738" w:type="dxa"/>
            <w:shd w:val="clear" w:color="auto" w:fill="auto"/>
            <w:vAlign w:val="center"/>
          </w:tcPr>
          <w:p w:rsidR="000F42B0">
            <w:r>
              <w:rPr>
                <w:rFonts w:hint="eastAsia"/>
              </w:rPr>
              <w:t>风速：</w:t>
            </w:r>
            <w:r>
              <w:rPr>
                <w:rFonts w:hint="eastAsia"/>
              </w:rPr>
              <w:t>0 m/s</w:t>
            </w:r>
            <w:r>
              <w:rPr>
                <w:rFonts w:hint="eastAsia"/>
              </w:rPr>
              <w:t>～</w:t>
            </w:r>
            <w:r>
              <w:rPr>
                <w:rFonts w:hint="eastAsia"/>
              </w:rPr>
              <w:t>80 m/s</w:t>
            </w:r>
            <w:r>
              <w:rPr>
                <w:rFonts w:hint="eastAsia"/>
              </w:rPr>
              <w:t>；</w:t>
            </w:r>
          </w:p>
          <w:p w:rsidR="000F42B0">
            <w:r>
              <w:rPr>
                <w:rFonts w:hint="eastAsia"/>
              </w:rPr>
              <w:t>风向：</w:t>
            </w:r>
            <w:r>
              <w:rPr>
                <w:rFonts w:hint="eastAsia"/>
              </w:rPr>
              <w:t>0</w:t>
            </w:r>
            <w:r>
              <w:rPr>
                <w:rFonts w:hint="eastAsia"/>
              </w:rPr>
              <w:t>°～</w:t>
            </w:r>
            <w:r>
              <w:rPr>
                <w:rFonts w:hint="eastAsia"/>
              </w:rPr>
              <w:t>360</w:t>
            </w:r>
            <w:r>
              <w:rPr>
                <w:rFonts w:hint="eastAsia"/>
              </w:rPr>
              <w:t>°；</w:t>
            </w:r>
          </w:p>
          <w:p w:rsidR="000F42B0">
            <w:r>
              <w:rPr>
                <w:rFonts w:hint="eastAsia"/>
              </w:rPr>
              <w:t>垂直气流：</w:t>
            </w:r>
            <w:r>
              <w:rPr>
                <w:rFonts w:hint="eastAsia"/>
              </w:rPr>
              <w:t>-20 m/s</w:t>
            </w:r>
            <w:r>
              <w:rPr>
                <w:rFonts w:hint="eastAsia"/>
              </w:rPr>
              <w:t>～</w:t>
            </w:r>
            <w:r>
              <w:rPr>
                <w:rFonts w:hint="eastAsia"/>
              </w:rPr>
              <w:t>20 m/s</w:t>
            </w:r>
            <w:r>
              <w:rPr>
                <w:rFonts w:hint="eastAsia"/>
              </w:rPr>
              <w:t>。</w:t>
            </w:r>
          </w:p>
        </w:tc>
      </w:tr>
      <w:tr>
        <w:tblPrEx>
          <w:tblW w:w="8298" w:type="dxa"/>
          <w:tblLook w:val="04A0"/>
        </w:tblPrEx>
        <w:trPr>
          <w:trHeight w:val="648"/>
        </w:trPr>
        <w:tc>
          <w:tcPr>
            <w:tcW w:w="701" w:type="dxa"/>
            <w:shd w:val="clear" w:color="auto" w:fill="auto"/>
            <w:vAlign w:val="center"/>
          </w:tcPr>
          <w:p w:rsidR="000F42B0">
            <w:r>
              <w:rPr>
                <w:rFonts w:hint="eastAsia"/>
              </w:rPr>
              <w:t>9</w:t>
            </w:r>
          </w:p>
        </w:tc>
        <w:tc>
          <w:tcPr>
            <w:tcW w:w="1859" w:type="dxa"/>
            <w:shd w:val="clear" w:color="auto" w:fill="auto"/>
            <w:vAlign w:val="center"/>
          </w:tcPr>
          <w:p w:rsidR="000F42B0">
            <w:r>
              <w:rPr>
                <w:rFonts w:hint="eastAsia"/>
              </w:rPr>
              <w:t>测量精度</w:t>
            </w:r>
          </w:p>
        </w:tc>
        <w:tc>
          <w:tcPr>
            <w:tcW w:w="5738" w:type="dxa"/>
            <w:shd w:val="clear" w:color="auto" w:fill="auto"/>
            <w:vAlign w:val="center"/>
          </w:tcPr>
          <w:p w:rsidR="000F42B0">
            <w:r>
              <w:rPr>
                <w:rFonts w:hint="eastAsia"/>
              </w:rPr>
              <w:t>风速：≤</w:t>
            </w:r>
            <w:r>
              <w:rPr>
                <w:rFonts w:hint="eastAsia"/>
              </w:rPr>
              <w:t>2</w:t>
            </w:r>
            <w:r>
              <w:t xml:space="preserve"> m/s</w:t>
            </w:r>
            <w:r>
              <w:rPr>
                <w:rFonts w:hint="eastAsia"/>
              </w:rPr>
              <w:t>；</w:t>
            </w:r>
          </w:p>
          <w:p w:rsidR="000F42B0">
            <w:r>
              <w:rPr>
                <w:rFonts w:hint="eastAsia"/>
              </w:rPr>
              <w:t>风向：≤</w:t>
            </w:r>
            <w:r>
              <w:rPr>
                <w:rFonts w:hint="eastAsia"/>
              </w:rPr>
              <w:t>10</w:t>
            </w:r>
            <w:r>
              <w:rPr>
                <w:rFonts w:hint="eastAsia"/>
              </w:rPr>
              <w:t>°（风速</w:t>
            </w:r>
            <w:r>
              <w:t>&gt;5m/s</w:t>
            </w:r>
            <w:r>
              <w:rPr>
                <w:rFonts w:hint="eastAsia"/>
              </w:rPr>
              <w:t>）。</w:t>
            </w:r>
          </w:p>
        </w:tc>
      </w:tr>
      <w:tr>
        <w:tblPrEx>
          <w:tblW w:w="8298" w:type="dxa"/>
          <w:tblLook w:val="04A0"/>
        </w:tblPrEx>
        <w:trPr>
          <w:trHeight w:val="329"/>
        </w:trPr>
        <w:tc>
          <w:tcPr>
            <w:tcW w:w="701" w:type="dxa"/>
            <w:shd w:val="clear" w:color="auto" w:fill="auto"/>
            <w:vAlign w:val="center"/>
          </w:tcPr>
          <w:p w:rsidR="000F42B0">
            <w:r>
              <w:rPr>
                <w:rFonts w:hint="eastAsia"/>
              </w:rPr>
              <w:t>10</w:t>
            </w:r>
          </w:p>
        </w:tc>
        <w:tc>
          <w:tcPr>
            <w:tcW w:w="1859" w:type="dxa"/>
            <w:shd w:val="clear" w:color="auto" w:fill="auto"/>
            <w:vAlign w:val="center"/>
          </w:tcPr>
          <w:p w:rsidR="000F42B0">
            <w:r>
              <w:rPr>
                <w:rFonts w:hint="eastAsia"/>
              </w:rPr>
              <w:t>天线形式</w:t>
            </w:r>
          </w:p>
        </w:tc>
        <w:tc>
          <w:tcPr>
            <w:tcW w:w="5738" w:type="dxa"/>
            <w:shd w:val="clear" w:color="auto" w:fill="auto"/>
            <w:vAlign w:val="center"/>
          </w:tcPr>
          <w:p w:rsidR="000F42B0">
            <w:r>
              <w:rPr>
                <w:rFonts w:hint="eastAsia"/>
              </w:rPr>
              <w:t>相控阵，</w:t>
            </w:r>
            <w:r>
              <w:rPr>
                <w:rFonts w:hint="eastAsia"/>
              </w:rPr>
              <w:t>20</w:t>
            </w:r>
            <w:r>
              <w:rPr>
                <w:rFonts w:hint="eastAsia"/>
              </w:rPr>
              <w:t>行×</w:t>
            </w:r>
            <w:r>
              <w:rPr>
                <w:rFonts w:hint="eastAsia"/>
              </w:rPr>
              <w:t>20</w:t>
            </w:r>
            <w:r>
              <w:rPr>
                <w:rFonts w:hint="eastAsia"/>
              </w:rPr>
              <w:t>列</w:t>
            </w:r>
          </w:p>
        </w:tc>
      </w:tr>
      <w:tr>
        <w:tblPrEx>
          <w:tblW w:w="8298" w:type="dxa"/>
          <w:tblLook w:val="04A0"/>
        </w:tblPrEx>
        <w:trPr>
          <w:trHeight w:val="329"/>
        </w:trPr>
        <w:tc>
          <w:tcPr>
            <w:tcW w:w="701" w:type="dxa"/>
            <w:shd w:val="clear" w:color="auto" w:fill="auto"/>
            <w:vAlign w:val="center"/>
          </w:tcPr>
          <w:p w:rsidR="000F42B0">
            <w:r>
              <w:rPr>
                <w:rFonts w:hint="eastAsia"/>
              </w:rPr>
              <w:t>11</w:t>
            </w:r>
          </w:p>
        </w:tc>
        <w:tc>
          <w:tcPr>
            <w:tcW w:w="1859" w:type="dxa"/>
            <w:shd w:val="clear" w:color="auto" w:fill="auto"/>
            <w:vAlign w:val="center"/>
          </w:tcPr>
          <w:p w:rsidR="000F42B0">
            <w:r>
              <w:rPr>
                <w:rFonts w:hint="eastAsia"/>
              </w:rPr>
              <w:t>天线单元形式</w:t>
            </w:r>
          </w:p>
        </w:tc>
        <w:tc>
          <w:tcPr>
            <w:tcW w:w="5738" w:type="dxa"/>
            <w:shd w:val="clear" w:color="auto" w:fill="auto"/>
            <w:vAlign w:val="center"/>
          </w:tcPr>
          <w:p w:rsidR="000F42B0">
            <w:r>
              <w:rPr>
                <w:rFonts w:hint="eastAsia"/>
              </w:rPr>
              <w:t>半波阵子</w:t>
            </w:r>
          </w:p>
        </w:tc>
      </w:tr>
      <w:tr>
        <w:tblPrEx>
          <w:tblW w:w="8298" w:type="dxa"/>
          <w:tblLook w:val="04A0"/>
        </w:tblPrEx>
        <w:trPr>
          <w:trHeight w:val="329"/>
        </w:trPr>
        <w:tc>
          <w:tcPr>
            <w:tcW w:w="701" w:type="dxa"/>
            <w:shd w:val="clear" w:color="auto" w:fill="auto"/>
            <w:vAlign w:val="center"/>
          </w:tcPr>
          <w:p w:rsidR="000F42B0">
            <w:r>
              <w:rPr>
                <w:rFonts w:hint="eastAsia"/>
              </w:rPr>
              <w:t>12</w:t>
            </w:r>
          </w:p>
        </w:tc>
        <w:tc>
          <w:tcPr>
            <w:tcW w:w="1859" w:type="dxa"/>
            <w:shd w:val="clear" w:color="auto" w:fill="auto"/>
            <w:vAlign w:val="center"/>
          </w:tcPr>
          <w:p w:rsidR="000F42B0">
            <w:r>
              <w:rPr>
                <w:rFonts w:hint="eastAsia"/>
              </w:rPr>
              <w:t>倾斜波束倾角</w:t>
            </w:r>
          </w:p>
        </w:tc>
        <w:tc>
          <w:tcPr>
            <w:tcW w:w="5738" w:type="dxa"/>
            <w:shd w:val="clear" w:color="auto" w:fill="auto"/>
            <w:vAlign w:val="center"/>
          </w:tcPr>
          <w:p w:rsidR="000F42B0">
            <w:r>
              <w:t>1</w:t>
            </w:r>
            <w:r>
              <w:rPr>
                <w:rFonts w:hint="eastAsia"/>
              </w:rPr>
              <w:t>4</w:t>
            </w:r>
            <w:r>
              <w:rPr>
                <w:rFonts w:ascii="Symbol" w:hAnsi="Symbol"/>
              </w:rPr>
              <w:sym w:font="Symbol" w:char="F0B1"/>
            </w:r>
            <w:r>
              <w:rPr>
                <w:rFonts w:hint="eastAsia"/>
              </w:rPr>
              <w:t>1</w:t>
            </w:r>
            <w:r>
              <w:t>°</w:t>
            </w:r>
          </w:p>
        </w:tc>
      </w:tr>
      <w:tr>
        <w:tblPrEx>
          <w:tblW w:w="8298" w:type="dxa"/>
          <w:tblLook w:val="04A0"/>
        </w:tblPrEx>
        <w:trPr>
          <w:trHeight w:val="329"/>
        </w:trPr>
        <w:tc>
          <w:tcPr>
            <w:tcW w:w="701" w:type="dxa"/>
            <w:shd w:val="clear" w:color="auto" w:fill="auto"/>
            <w:vAlign w:val="center"/>
          </w:tcPr>
          <w:p w:rsidR="000F42B0">
            <w:r>
              <w:rPr>
                <w:rFonts w:hint="eastAsia"/>
              </w:rPr>
              <w:t>13</w:t>
            </w:r>
          </w:p>
        </w:tc>
        <w:tc>
          <w:tcPr>
            <w:tcW w:w="1859" w:type="dxa"/>
            <w:shd w:val="clear" w:color="auto" w:fill="auto"/>
            <w:vAlign w:val="center"/>
          </w:tcPr>
          <w:p w:rsidR="000F42B0">
            <w:r>
              <w:rPr>
                <w:rFonts w:hint="eastAsia"/>
              </w:rPr>
              <w:t>#</w:t>
            </w:r>
            <w:r>
              <w:rPr>
                <w:rFonts w:hint="eastAsia"/>
              </w:rPr>
              <w:t>天线增益</w:t>
            </w:r>
          </w:p>
        </w:tc>
        <w:tc>
          <w:tcPr>
            <w:tcW w:w="5738" w:type="dxa"/>
            <w:shd w:val="clear" w:color="auto" w:fill="auto"/>
            <w:vAlign w:val="center"/>
          </w:tcPr>
          <w:p w:rsidR="000F42B0">
            <w:r>
              <w:t>≥30dB</w:t>
            </w:r>
          </w:p>
        </w:tc>
      </w:tr>
      <w:tr>
        <w:tblPrEx>
          <w:tblW w:w="8298" w:type="dxa"/>
          <w:tblLook w:val="04A0"/>
        </w:tblPrEx>
        <w:trPr>
          <w:trHeight w:val="329"/>
        </w:trPr>
        <w:tc>
          <w:tcPr>
            <w:tcW w:w="701" w:type="dxa"/>
            <w:shd w:val="clear" w:color="auto" w:fill="auto"/>
            <w:vAlign w:val="center"/>
          </w:tcPr>
          <w:p w:rsidR="000F42B0">
            <w:r>
              <w:rPr>
                <w:rFonts w:hint="eastAsia"/>
              </w:rPr>
              <w:t>14</w:t>
            </w:r>
          </w:p>
        </w:tc>
        <w:tc>
          <w:tcPr>
            <w:tcW w:w="1859" w:type="dxa"/>
            <w:shd w:val="clear" w:color="auto" w:fill="auto"/>
            <w:vAlign w:val="center"/>
          </w:tcPr>
          <w:p w:rsidR="000F42B0">
            <w:r>
              <w:rPr>
                <w:rFonts w:hint="eastAsia"/>
              </w:rPr>
              <w:t>#</w:t>
            </w:r>
            <w:r>
              <w:rPr>
                <w:rFonts w:hint="eastAsia"/>
              </w:rPr>
              <w:t>波束宽度</w:t>
            </w:r>
          </w:p>
        </w:tc>
        <w:tc>
          <w:tcPr>
            <w:tcW w:w="5738" w:type="dxa"/>
            <w:shd w:val="clear" w:color="auto" w:fill="auto"/>
            <w:vAlign w:val="center"/>
          </w:tcPr>
          <w:p w:rsidR="000F42B0">
            <w:r>
              <w:t>≤4.5°</w:t>
            </w:r>
          </w:p>
        </w:tc>
      </w:tr>
      <w:tr>
        <w:tblPrEx>
          <w:tblW w:w="8298" w:type="dxa"/>
          <w:tblLook w:val="04A0"/>
        </w:tblPrEx>
        <w:trPr>
          <w:trHeight w:val="329"/>
        </w:trPr>
        <w:tc>
          <w:tcPr>
            <w:tcW w:w="701" w:type="dxa"/>
            <w:shd w:val="clear" w:color="auto" w:fill="auto"/>
            <w:vAlign w:val="center"/>
          </w:tcPr>
          <w:p w:rsidR="000F42B0">
            <w:r>
              <w:rPr>
                <w:rFonts w:hint="eastAsia"/>
              </w:rPr>
              <w:t>15</w:t>
            </w:r>
          </w:p>
        </w:tc>
        <w:tc>
          <w:tcPr>
            <w:tcW w:w="1859" w:type="dxa"/>
            <w:shd w:val="clear" w:color="auto" w:fill="auto"/>
            <w:vAlign w:val="center"/>
          </w:tcPr>
          <w:p w:rsidR="000F42B0">
            <w:r>
              <w:rPr>
                <w:rFonts w:hint="eastAsia"/>
              </w:rPr>
              <w:t>最大副瓣电平</w:t>
            </w:r>
          </w:p>
        </w:tc>
        <w:tc>
          <w:tcPr>
            <w:tcW w:w="5738" w:type="dxa"/>
            <w:shd w:val="clear" w:color="auto" w:fill="auto"/>
            <w:vAlign w:val="center"/>
          </w:tcPr>
          <w:p w:rsidR="000F42B0">
            <w:r>
              <w:t>≤-20dB</w:t>
            </w:r>
          </w:p>
        </w:tc>
      </w:tr>
      <w:tr>
        <w:tblPrEx>
          <w:tblW w:w="8298" w:type="dxa"/>
          <w:tblLook w:val="04A0"/>
        </w:tblPrEx>
        <w:trPr>
          <w:trHeight w:val="329"/>
        </w:trPr>
        <w:tc>
          <w:tcPr>
            <w:tcW w:w="701" w:type="dxa"/>
            <w:shd w:val="clear" w:color="auto" w:fill="auto"/>
            <w:vAlign w:val="center"/>
          </w:tcPr>
          <w:p w:rsidR="000F42B0">
            <w:r>
              <w:rPr>
                <w:rFonts w:hint="eastAsia"/>
              </w:rPr>
              <w:t>1</w:t>
            </w:r>
            <w:r>
              <w:t>6</w:t>
            </w:r>
          </w:p>
        </w:tc>
        <w:tc>
          <w:tcPr>
            <w:tcW w:w="1859" w:type="dxa"/>
            <w:shd w:val="clear" w:color="auto" w:fill="auto"/>
            <w:vAlign w:val="center"/>
          </w:tcPr>
          <w:p w:rsidR="000F42B0">
            <w:r>
              <w:rPr>
                <w:rFonts w:hint="eastAsia"/>
              </w:rPr>
              <w:t>远区副瓣</w:t>
            </w:r>
          </w:p>
        </w:tc>
        <w:tc>
          <w:tcPr>
            <w:tcW w:w="5738" w:type="dxa"/>
            <w:shd w:val="clear" w:color="auto" w:fill="auto"/>
            <w:vAlign w:val="center"/>
          </w:tcPr>
          <w:p w:rsidR="000F42B0">
            <w:r>
              <w:t>≤-30dB</w:t>
            </w:r>
          </w:p>
        </w:tc>
      </w:tr>
      <w:tr>
        <w:tblPrEx>
          <w:tblW w:w="8298" w:type="dxa"/>
          <w:tblLook w:val="04A0"/>
        </w:tblPrEx>
        <w:trPr>
          <w:trHeight w:val="329"/>
        </w:trPr>
        <w:tc>
          <w:tcPr>
            <w:tcW w:w="701" w:type="dxa"/>
            <w:shd w:val="clear" w:color="auto" w:fill="auto"/>
            <w:vAlign w:val="center"/>
          </w:tcPr>
          <w:p w:rsidR="000F42B0">
            <w:r>
              <w:rPr>
                <w:rFonts w:hint="eastAsia"/>
              </w:rPr>
              <w:t>1</w:t>
            </w:r>
            <w:r>
              <w:t>7</w:t>
            </w:r>
          </w:p>
        </w:tc>
        <w:tc>
          <w:tcPr>
            <w:tcW w:w="1859" w:type="dxa"/>
            <w:shd w:val="clear" w:color="auto" w:fill="auto"/>
            <w:vAlign w:val="center"/>
          </w:tcPr>
          <w:p w:rsidR="000F42B0">
            <w:r>
              <w:rPr>
                <w:rFonts w:hint="eastAsia"/>
              </w:rPr>
              <w:t>#</w:t>
            </w:r>
            <w:r>
              <w:rPr>
                <w:rFonts w:hint="eastAsia"/>
              </w:rPr>
              <w:t>发射机峰值功率</w:t>
            </w:r>
          </w:p>
        </w:tc>
        <w:tc>
          <w:tcPr>
            <w:tcW w:w="5738" w:type="dxa"/>
            <w:shd w:val="clear" w:color="auto" w:fill="auto"/>
            <w:vAlign w:val="center"/>
          </w:tcPr>
          <w:p w:rsidR="000F42B0">
            <w:r>
              <w:t>≥1</w:t>
            </w:r>
            <w:r>
              <w:rPr>
                <w:rFonts w:hint="eastAsia"/>
              </w:rPr>
              <w:t>6</w:t>
            </w:r>
            <w:r>
              <w:t xml:space="preserve"> </w:t>
            </w:r>
            <w:r>
              <w:rPr>
                <w:rFonts w:hint="eastAsia"/>
              </w:rPr>
              <w:t>kW</w:t>
            </w:r>
          </w:p>
        </w:tc>
      </w:tr>
      <w:tr>
        <w:tblPrEx>
          <w:tblW w:w="8298" w:type="dxa"/>
          <w:tblLook w:val="04A0"/>
        </w:tblPrEx>
        <w:trPr>
          <w:trHeight w:val="329"/>
        </w:trPr>
        <w:tc>
          <w:tcPr>
            <w:tcW w:w="701" w:type="dxa"/>
            <w:shd w:val="clear" w:color="auto" w:fill="auto"/>
            <w:vAlign w:val="center"/>
          </w:tcPr>
          <w:p w:rsidR="000F42B0">
            <w:r>
              <w:rPr>
                <w:rFonts w:hint="eastAsia"/>
              </w:rPr>
              <w:t>1</w:t>
            </w:r>
            <w:r>
              <w:t>8</w:t>
            </w:r>
          </w:p>
        </w:tc>
        <w:tc>
          <w:tcPr>
            <w:tcW w:w="1859" w:type="dxa"/>
            <w:shd w:val="clear" w:color="auto" w:fill="auto"/>
            <w:vAlign w:val="center"/>
          </w:tcPr>
          <w:p w:rsidR="000F42B0">
            <w:r>
              <w:rPr>
                <w:rFonts w:hint="eastAsia"/>
              </w:rPr>
              <w:t>#</w:t>
            </w:r>
            <w:r>
              <w:rPr>
                <w:rFonts w:hint="eastAsia"/>
              </w:rPr>
              <w:t>接收系统动态范围</w:t>
            </w:r>
          </w:p>
        </w:tc>
        <w:tc>
          <w:tcPr>
            <w:tcW w:w="5738" w:type="dxa"/>
            <w:shd w:val="clear" w:color="auto" w:fill="auto"/>
            <w:vAlign w:val="center"/>
          </w:tcPr>
          <w:p w:rsidR="000F42B0">
            <w:r>
              <w:t>≥</w:t>
            </w:r>
            <w:r>
              <w:rPr>
                <w:rFonts w:hint="eastAsia"/>
              </w:rPr>
              <w:t>90dB</w:t>
            </w:r>
          </w:p>
        </w:tc>
      </w:tr>
      <w:tr>
        <w:tblPrEx>
          <w:tblW w:w="8298" w:type="dxa"/>
          <w:tblLook w:val="04A0"/>
        </w:tblPrEx>
        <w:trPr>
          <w:trHeight w:val="648"/>
        </w:trPr>
        <w:tc>
          <w:tcPr>
            <w:tcW w:w="701" w:type="dxa"/>
            <w:shd w:val="clear" w:color="auto" w:fill="auto"/>
            <w:vAlign w:val="center"/>
          </w:tcPr>
          <w:p w:rsidR="000F42B0">
            <w:r>
              <w:rPr>
                <w:rFonts w:hint="eastAsia"/>
              </w:rPr>
              <w:t>1</w:t>
            </w:r>
            <w:r>
              <w:t>9</w:t>
            </w:r>
          </w:p>
        </w:tc>
        <w:tc>
          <w:tcPr>
            <w:tcW w:w="1859" w:type="dxa"/>
            <w:shd w:val="clear" w:color="auto" w:fill="auto"/>
            <w:vAlign w:val="center"/>
          </w:tcPr>
          <w:p w:rsidR="000F42B0">
            <w:r>
              <w:rPr>
                <w:rFonts w:hint="eastAsia"/>
              </w:rPr>
              <w:t>#</w:t>
            </w:r>
            <w:r>
              <w:rPr>
                <w:rFonts w:hint="eastAsia"/>
              </w:rPr>
              <w:t>接收通道噪声系数</w:t>
            </w:r>
          </w:p>
        </w:tc>
        <w:tc>
          <w:tcPr>
            <w:tcW w:w="5738" w:type="dxa"/>
            <w:shd w:val="clear" w:color="auto" w:fill="auto"/>
            <w:vAlign w:val="center"/>
          </w:tcPr>
          <w:p w:rsidR="000F42B0">
            <w:r>
              <w:t>≤</w:t>
            </w:r>
            <w:r>
              <w:rPr>
                <w:rFonts w:hint="eastAsia"/>
              </w:rPr>
              <w:t>2</w:t>
            </w:r>
            <w:r>
              <w:t xml:space="preserve"> dB</w:t>
            </w:r>
            <w:r>
              <w:rPr>
                <w:rFonts w:hint="eastAsia"/>
              </w:rPr>
              <w:t>（扣除行列开关、环形器、</w:t>
            </w:r>
            <w:r>
              <w:rPr>
                <w:rFonts w:hint="eastAsia"/>
              </w:rPr>
              <w:t>TR</w:t>
            </w:r>
            <w:r>
              <w:rPr>
                <w:rFonts w:hint="eastAsia"/>
              </w:rPr>
              <w:t>开关、限幅器等损耗）</w:t>
            </w:r>
          </w:p>
        </w:tc>
      </w:tr>
      <w:tr>
        <w:tblPrEx>
          <w:tblW w:w="8298" w:type="dxa"/>
          <w:tblLook w:val="04A0"/>
        </w:tblPrEx>
        <w:trPr>
          <w:trHeight w:val="648"/>
        </w:trPr>
        <w:tc>
          <w:tcPr>
            <w:tcW w:w="701" w:type="dxa"/>
            <w:shd w:val="clear" w:color="auto" w:fill="auto"/>
            <w:vAlign w:val="center"/>
          </w:tcPr>
          <w:p w:rsidR="000F42B0">
            <w:r>
              <w:t>20</w:t>
            </w:r>
          </w:p>
        </w:tc>
        <w:tc>
          <w:tcPr>
            <w:tcW w:w="1859" w:type="dxa"/>
            <w:shd w:val="clear" w:color="auto" w:fill="auto"/>
            <w:vAlign w:val="center"/>
          </w:tcPr>
          <w:p w:rsidR="000F42B0">
            <w:r>
              <w:rPr>
                <w:rFonts w:hint="eastAsia"/>
              </w:rPr>
              <w:t>系统稳定性</w:t>
            </w:r>
          </w:p>
        </w:tc>
        <w:tc>
          <w:tcPr>
            <w:tcW w:w="5738" w:type="dxa"/>
            <w:shd w:val="clear" w:color="auto" w:fill="auto"/>
            <w:vAlign w:val="center"/>
          </w:tcPr>
          <w:p w:rsidR="000F42B0">
            <w:r>
              <w:t>MTBF</w:t>
            </w:r>
            <w:r>
              <w:rPr>
                <w:rFonts w:hint="eastAsia"/>
              </w:rPr>
              <w:t xml:space="preserve"> </w:t>
            </w:r>
            <w:r>
              <w:t>≥2500h</w:t>
            </w:r>
            <w:r>
              <w:rPr>
                <w:rFonts w:hint="eastAsia"/>
              </w:rPr>
              <w:t>；</w:t>
            </w:r>
          </w:p>
          <w:p w:rsidR="000F42B0">
            <w:r>
              <w:t>MTTR</w:t>
            </w:r>
            <w:r>
              <w:rPr>
                <w:rFonts w:hint="eastAsia"/>
              </w:rPr>
              <w:t xml:space="preserve"> </w:t>
            </w:r>
            <w:r>
              <w:t>≤0.5h</w:t>
            </w:r>
            <w:r>
              <w:rPr>
                <w:rFonts w:hint="eastAsia"/>
              </w:rPr>
              <w:t>。</w:t>
            </w:r>
          </w:p>
        </w:tc>
      </w:tr>
      <w:tr>
        <w:tblPrEx>
          <w:tblW w:w="8298" w:type="dxa"/>
          <w:tblLook w:val="04A0"/>
        </w:tblPrEx>
        <w:trPr>
          <w:trHeight w:val="648"/>
        </w:trPr>
        <w:tc>
          <w:tcPr>
            <w:tcW w:w="701" w:type="dxa"/>
            <w:shd w:val="clear" w:color="auto" w:fill="auto"/>
            <w:vAlign w:val="center"/>
          </w:tcPr>
          <w:p w:rsidR="000F42B0">
            <w:r>
              <w:rPr>
                <w:rFonts w:hint="eastAsia"/>
              </w:rPr>
              <w:t>2</w:t>
            </w:r>
            <w:r>
              <w:t>1</w:t>
            </w:r>
          </w:p>
        </w:tc>
        <w:tc>
          <w:tcPr>
            <w:tcW w:w="1859" w:type="dxa"/>
            <w:shd w:val="clear" w:color="auto" w:fill="auto"/>
            <w:vAlign w:val="center"/>
          </w:tcPr>
          <w:p w:rsidR="000F42B0">
            <w:r>
              <w:rPr>
                <w:rFonts w:hint="eastAsia"/>
              </w:rPr>
              <w:t>系统功耗</w:t>
            </w:r>
          </w:p>
        </w:tc>
        <w:tc>
          <w:tcPr>
            <w:tcW w:w="5738" w:type="dxa"/>
            <w:shd w:val="clear" w:color="auto" w:fill="auto"/>
            <w:vAlign w:val="center"/>
          </w:tcPr>
          <w:p w:rsidR="000F42B0">
            <w:r>
              <w:rPr>
                <w:rFonts w:hint="eastAsia"/>
              </w:rPr>
              <w:t>功耗≤</w:t>
            </w:r>
            <w:r>
              <w:rPr>
                <w:rFonts w:hint="eastAsia"/>
              </w:rPr>
              <w:t xml:space="preserve">15 </w:t>
            </w:r>
            <w:r>
              <w:rPr>
                <w:rFonts w:hint="eastAsia"/>
              </w:rPr>
              <w:t>kW</w:t>
            </w:r>
            <w:r>
              <w:rPr>
                <w:rFonts w:hint="eastAsia"/>
              </w:rPr>
              <w:t>（不含空调、照明等配套设备）</w:t>
            </w:r>
          </w:p>
        </w:tc>
      </w:tr>
      <w:tr>
        <w:tblPrEx>
          <w:tblW w:w="8298" w:type="dxa"/>
          <w:tblLook w:val="04A0"/>
        </w:tblPrEx>
        <w:trPr>
          <w:trHeight w:val="1286"/>
        </w:trPr>
        <w:tc>
          <w:tcPr>
            <w:tcW w:w="701" w:type="dxa"/>
            <w:shd w:val="clear" w:color="auto" w:fill="auto"/>
            <w:vAlign w:val="center"/>
          </w:tcPr>
          <w:p w:rsidR="000F42B0">
            <w:r>
              <w:t>22</w:t>
            </w:r>
          </w:p>
        </w:tc>
        <w:tc>
          <w:tcPr>
            <w:tcW w:w="1859" w:type="dxa"/>
            <w:shd w:val="clear" w:color="auto" w:fill="auto"/>
            <w:vAlign w:val="center"/>
          </w:tcPr>
          <w:p w:rsidR="000F42B0">
            <w:r>
              <w:rPr>
                <w:rFonts w:hint="eastAsia"/>
              </w:rPr>
              <w:t>升级改造要求</w:t>
            </w:r>
          </w:p>
        </w:tc>
        <w:tc>
          <w:tcPr>
            <w:tcW w:w="5738" w:type="dxa"/>
            <w:shd w:val="clear" w:color="auto" w:fill="auto"/>
            <w:vAlign w:val="center"/>
          </w:tcPr>
          <w:p w:rsidR="000F42B0">
            <w:r>
              <w:rPr>
                <w:rFonts w:hint="eastAsia"/>
              </w:rPr>
              <w:t>应遵循对原有分系统翻新、维修、升级，不能用整机更新的方式进行升级改造，新升级分系统应能与原分系统完全适配。</w:t>
            </w:r>
          </w:p>
        </w:tc>
      </w:tr>
      <w:tr>
        <w:tblPrEx>
          <w:tblW w:w="8298" w:type="dxa"/>
          <w:tblLook w:val="04A0"/>
        </w:tblPrEx>
        <w:trPr>
          <w:trHeight w:val="329"/>
        </w:trPr>
        <w:tc>
          <w:tcPr>
            <w:tcW w:w="701" w:type="dxa"/>
            <w:shd w:val="clear" w:color="auto" w:fill="auto"/>
            <w:vAlign w:val="center"/>
          </w:tcPr>
          <w:p w:rsidR="000F42B0">
            <w:r>
              <w:rPr>
                <w:rFonts w:hint="eastAsia"/>
              </w:rPr>
              <w:t>2</w:t>
            </w:r>
            <w:r>
              <w:t>3</w:t>
            </w:r>
          </w:p>
        </w:tc>
        <w:tc>
          <w:tcPr>
            <w:tcW w:w="1859" w:type="dxa"/>
            <w:shd w:val="clear" w:color="auto" w:fill="auto"/>
            <w:vAlign w:val="center"/>
          </w:tcPr>
          <w:p w:rsidR="000F42B0">
            <w:r>
              <w:rPr>
                <w:rFonts w:hint="eastAsia"/>
              </w:rPr>
              <w:t>智能化观测</w:t>
            </w:r>
          </w:p>
        </w:tc>
        <w:tc>
          <w:tcPr>
            <w:tcW w:w="5738" w:type="dxa"/>
            <w:shd w:val="clear" w:color="auto" w:fill="auto"/>
            <w:vAlign w:val="center"/>
          </w:tcPr>
          <w:p w:rsidR="000F42B0">
            <w:r>
              <w:rPr>
                <w:rFonts w:hint="eastAsia"/>
              </w:rPr>
              <w:t>有</w:t>
            </w:r>
          </w:p>
        </w:tc>
      </w:tr>
      <w:tr>
        <w:tblPrEx>
          <w:tblW w:w="8298" w:type="dxa"/>
          <w:tblLook w:val="04A0"/>
        </w:tblPrEx>
        <w:trPr>
          <w:trHeight w:val="648"/>
        </w:trPr>
        <w:tc>
          <w:tcPr>
            <w:tcW w:w="701" w:type="dxa"/>
            <w:shd w:val="clear" w:color="auto" w:fill="auto"/>
            <w:vAlign w:val="center"/>
          </w:tcPr>
          <w:p w:rsidR="000F42B0">
            <w:r>
              <w:rPr>
                <w:rFonts w:hint="eastAsia"/>
              </w:rPr>
              <w:t>2</w:t>
            </w:r>
            <w:r>
              <w:t>4</w:t>
            </w:r>
          </w:p>
        </w:tc>
        <w:tc>
          <w:tcPr>
            <w:tcW w:w="1859" w:type="dxa"/>
            <w:shd w:val="clear" w:color="auto" w:fill="auto"/>
            <w:vAlign w:val="center"/>
          </w:tcPr>
          <w:p w:rsidR="000F42B0">
            <w:r>
              <w:rPr>
                <w:rFonts w:hint="eastAsia"/>
              </w:rPr>
              <w:t>软件产品</w:t>
            </w:r>
          </w:p>
        </w:tc>
        <w:tc>
          <w:tcPr>
            <w:tcW w:w="5738" w:type="dxa"/>
            <w:shd w:val="clear" w:color="auto" w:fill="auto"/>
            <w:vAlign w:val="center"/>
          </w:tcPr>
          <w:p w:rsidR="000F42B0">
            <w:r>
              <w:rPr>
                <w:rFonts w:hint="eastAsia"/>
              </w:rPr>
              <w:t>有二次产品，降水识别、冷暖平流、风切变等</w:t>
            </w:r>
          </w:p>
        </w:tc>
      </w:tr>
      <w:tr>
        <w:tblPrEx>
          <w:tblW w:w="8298" w:type="dxa"/>
          <w:tblLook w:val="04A0"/>
        </w:tblPrEx>
        <w:trPr>
          <w:trHeight w:val="329"/>
        </w:trPr>
        <w:tc>
          <w:tcPr>
            <w:tcW w:w="701" w:type="dxa"/>
            <w:shd w:val="clear" w:color="auto" w:fill="auto"/>
            <w:vAlign w:val="center"/>
          </w:tcPr>
          <w:p w:rsidR="000F42B0">
            <w:r>
              <w:rPr>
                <w:rFonts w:hint="eastAsia"/>
              </w:rPr>
              <w:t>2</w:t>
            </w:r>
            <w:r>
              <w:t>5</w:t>
            </w:r>
          </w:p>
        </w:tc>
        <w:tc>
          <w:tcPr>
            <w:tcW w:w="1859" w:type="dxa"/>
            <w:shd w:val="clear" w:color="auto" w:fill="auto"/>
            <w:vAlign w:val="center"/>
          </w:tcPr>
          <w:p w:rsidR="000F42B0">
            <w:r>
              <w:rPr>
                <w:rFonts w:hint="eastAsia"/>
              </w:rPr>
              <w:t>无人值守</w:t>
            </w:r>
          </w:p>
        </w:tc>
        <w:tc>
          <w:tcPr>
            <w:tcW w:w="5738" w:type="dxa"/>
            <w:shd w:val="clear" w:color="auto" w:fill="auto"/>
            <w:vAlign w:val="center"/>
          </w:tcPr>
          <w:p w:rsidR="000F42B0">
            <w:r>
              <w:rPr>
                <w:rFonts w:hint="eastAsia"/>
              </w:rPr>
              <w:t>支持来电自启动</w:t>
            </w:r>
          </w:p>
        </w:tc>
      </w:tr>
      <w:tr>
        <w:tblPrEx>
          <w:tblW w:w="8298" w:type="dxa"/>
          <w:tblLook w:val="04A0"/>
        </w:tblPrEx>
        <w:trPr>
          <w:trHeight w:val="329"/>
        </w:trPr>
        <w:tc>
          <w:tcPr>
            <w:tcW w:w="701" w:type="dxa"/>
            <w:shd w:val="clear" w:color="auto" w:fill="auto"/>
            <w:vAlign w:val="center"/>
          </w:tcPr>
          <w:p w:rsidR="000F42B0">
            <w:r>
              <w:rPr>
                <w:rFonts w:hint="eastAsia"/>
              </w:rPr>
              <w:t>2</w:t>
            </w:r>
            <w:r>
              <w:t>6</w:t>
            </w:r>
          </w:p>
        </w:tc>
        <w:tc>
          <w:tcPr>
            <w:tcW w:w="1859" w:type="dxa"/>
            <w:shd w:val="clear" w:color="auto" w:fill="auto"/>
            <w:vAlign w:val="center"/>
          </w:tcPr>
          <w:p w:rsidR="000F42B0">
            <w:r>
              <w:rPr>
                <w:rFonts w:hint="eastAsia"/>
              </w:rPr>
              <w:t>系统灵敏度</w:t>
            </w:r>
          </w:p>
        </w:tc>
        <w:tc>
          <w:tcPr>
            <w:tcW w:w="5738" w:type="dxa"/>
            <w:shd w:val="clear" w:color="auto" w:fill="auto"/>
            <w:vAlign w:val="center"/>
          </w:tcPr>
          <w:p w:rsidR="000F42B0">
            <w:r>
              <w:t>-150dBm</w:t>
            </w:r>
          </w:p>
        </w:tc>
      </w:tr>
      <w:tr>
        <w:tblPrEx>
          <w:tblW w:w="8298" w:type="dxa"/>
          <w:tblLook w:val="04A0"/>
        </w:tblPrEx>
        <w:trPr>
          <w:trHeight w:val="329"/>
        </w:trPr>
        <w:tc>
          <w:tcPr>
            <w:tcW w:w="701" w:type="dxa"/>
            <w:shd w:val="clear" w:color="auto" w:fill="auto"/>
            <w:vAlign w:val="center"/>
          </w:tcPr>
          <w:p w:rsidR="000F42B0">
            <w:r>
              <w:rPr>
                <w:rFonts w:hint="eastAsia"/>
              </w:rPr>
              <w:t>2</w:t>
            </w:r>
            <w:r>
              <w:t>7</w:t>
            </w:r>
          </w:p>
        </w:tc>
        <w:tc>
          <w:tcPr>
            <w:tcW w:w="1859" w:type="dxa"/>
            <w:shd w:val="clear" w:color="auto" w:fill="auto"/>
            <w:vAlign w:val="center"/>
          </w:tcPr>
          <w:p w:rsidR="000F42B0">
            <w:r>
              <w:rPr>
                <w:rFonts w:hint="eastAsia"/>
              </w:rPr>
              <w:t>接收馈线损耗</w:t>
            </w:r>
          </w:p>
        </w:tc>
        <w:tc>
          <w:tcPr>
            <w:tcW w:w="5738" w:type="dxa"/>
            <w:shd w:val="clear" w:color="auto" w:fill="auto"/>
            <w:vAlign w:val="center"/>
          </w:tcPr>
          <w:p w:rsidR="000F42B0">
            <w:r>
              <w:t>≤4dB</w:t>
            </w:r>
          </w:p>
        </w:tc>
      </w:tr>
      <w:tr>
        <w:tblPrEx>
          <w:tblW w:w="8298" w:type="dxa"/>
          <w:tblLook w:val="04A0"/>
        </w:tblPrEx>
        <w:trPr>
          <w:trHeight w:val="648"/>
        </w:trPr>
        <w:tc>
          <w:tcPr>
            <w:tcW w:w="701" w:type="dxa"/>
            <w:shd w:val="clear" w:color="auto" w:fill="auto"/>
            <w:vAlign w:val="center"/>
          </w:tcPr>
          <w:p w:rsidR="000F42B0">
            <w:r>
              <w:rPr>
                <w:rFonts w:hint="eastAsia"/>
              </w:rPr>
              <w:t>2</w:t>
            </w:r>
            <w:r>
              <w:t>8</w:t>
            </w:r>
          </w:p>
        </w:tc>
        <w:tc>
          <w:tcPr>
            <w:tcW w:w="1859" w:type="dxa"/>
            <w:shd w:val="clear" w:color="auto" w:fill="auto"/>
            <w:vAlign w:val="center"/>
          </w:tcPr>
          <w:p w:rsidR="000F42B0">
            <w:r>
              <w:rPr>
                <w:rFonts w:hint="eastAsia"/>
              </w:rPr>
              <w:t>接收相位一致性</w:t>
            </w:r>
          </w:p>
        </w:tc>
        <w:tc>
          <w:tcPr>
            <w:tcW w:w="5738" w:type="dxa"/>
            <w:shd w:val="clear" w:color="auto" w:fill="auto"/>
            <w:vAlign w:val="center"/>
          </w:tcPr>
          <w:p w:rsidR="000F42B0">
            <w:r>
              <w:rPr>
                <w:rFonts w:hint="eastAsia"/>
              </w:rPr>
              <w:t>内置相位微调功能，自动调整，便于维护</w:t>
            </w:r>
          </w:p>
        </w:tc>
      </w:tr>
      <w:tr>
        <w:tblPrEx>
          <w:tblW w:w="8298" w:type="dxa"/>
          <w:tblLook w:val="04A0"/>
        </w:tblPrEx>
        <w:trPr>
          <w:trHeight w:val="967"/>
        </w:trPr>
        <w:tc>
          <w:tcPr>
            <w:tcW w:w="701" w:type="dxa"/>
            <w:shd w:val="clear" w:color="auto" w:fill="auto"/>
            <w:vAlign w:val="center"/>
          </w:tcPr>
          <w:p w:rsidR="000F42B0">
            <w:r>
              <w:rPr>
                <w:rFonts w:hint="eastAsia"/>
              </w:rPr>
              <w:t>2</w:t>
            </w:r>
            <w:r>
              <w:t>9</w:t>
            </w:r>
          </w:p>
        </w:tc>
        <w:tc>
          <w:tcPr>
            <w:tcW w:w="1859" w:type="dxa"/>
            <w:shd w:val="clear" w:color="auto" w:fill="auto"/>
            <w:vAlign w:val="center"/>
          </w:tcPr>
          <w:p w:rsidR="000F42B0">
            <w:r>
              <w:rPr>
                <w:rFonts w:hint="eastAsia"/>
              </w:rPr>
              <w:t>接收机</w:t>
            </w:r>
            <w:r>
              <w:rPr>
                <w:rFonts w:hint="eastAsia"/>
              </w:rPr>
              <w:t>及频综</w:t>
            </w:r>
          </w:p>
        </w:tc>
        <w:tc>
          <w:tcPr>
            <w:tcW w:w="5738" w:type="dxa"/>
            <w:shd w:val="clear" w:color="auto" w:fill="auto"/>
          </w:tcPr>
          <w:p w:rsidR="000F42B0">
            <w:r>
              <w:rPr>
                <w:rFonts w:hint="eastAsia"/>
              </w:rPr>
              <w:t>优化设计，将中频、高频接收机组合合二为一，布局紧凑，集中监控、可靠性增强</w:t>
            </w:r>
          </w:p>
        </w:tc>
      </w:tr>
      <w:tr>
        <w:tblPrEx>
          <w:tblW w:w="8298" w:type="dxa"/>
          <w:tblLook w:val="04A0"/>
        </w:tblPrEx>
        <w:trPr>
          <w:trHeight w:val="2243"/>
        </w:trPr>
        <w:tc>
          <w:tcPr>
            <w:tcW w:w="701" w:type="dxa"/>
            <w:shd w:val="clear" w:color="auto" w:fill="auto"/>
            <w:vAlign w:val="center"/>
          </w:tcPr>
          <w:p w:rsidR="000F42B0">
            <w:r>
              <w:rPr>
                <w:rFonts w:hint="eastAsia"/>
              </w:rPr>
              <w:t>3</w:t>
            </w:r>
            <w:r>
              <w:t>0</w:t>
            </w:r>
          </w:p>
        </w:tc>
        <w:tc>
          <w:tcPr>
            <w:tcW w:w="1859" w:type="dxa"/>
            <w:shd w:val="clear" w:color="auto" w:fill="auto"/>
            <w:vAlign w:val="center"/>
          </w:tcPr>
          <w:p w:rsidR="000F42B0">
            <w:r>
              <w:rPr>
                <w:rFonts w:hint="eastAsia"/>
              </w:rPr>
              <w:t>发射分系统</w:t>
            </w:r>
          </w:p>
        </w:tc>
        <w:tc>
          <w:tcPr>
            <w:tcW w:w="5738" w:type="dxa"/>
            <w:shd w:val="clear" w:color="auto" w:fill="auto"/>
            <w:vAlign w:val="center"/>
          </w:tcPr>
          <w:p w:rsidR="000F42B0">
            <w:r>
              <w:rPr>
                <w:rFonts w:hint="eastAsia"/>
              </w:rPr>
              <w:t>优化发射模块匹配设计和散热设计；集中式监控，便于维护；重新设计发射链路，由大功率激励信号改为小功率激励信号，增强稳定性；发射功率≥</w:t>
            </w:r>
            <w:r>
              <w:rPr>
                <w:rFonts w:hint="eastAsia"/>
              </w:rPr>
              <w:t>16kW</w:t>
            </w:r>
            <w:r>
              <w:rPr>
                <w:rFonts w:hint="eastAsia"/>
              </w:rPr>
              <w:t>，整合发射模块、接收模块和行列开关为一体。</w:t>
            </w:r>
          </w:p>
        </w:tc>
      </w:tr>
      <w:tr>
        <w:tblPrEx>
          <w:tblW w:w="8298" w:type="dxa"/>
          <w:tblLook w:val="04A0"/>
        </w:tblPrEx>
        <w:trPr>
          <w:trHeight w:val="1924"/>
        </w:trPr>
        <w:tc>
          <w:tcPr>
            <w:tcW w:w="701" w:type="dxa"/>
            <w:shd w:val="clear" w:color="auto" w:fill="auto"/>
            <w:vAlign w:val="center"/>
          </w:tcPr>
          <w:p w:rsidR="000F42B0">
            <w:r>
              <w:rPr>
                <w:rFonts w:hint="eastAsia"/>
              </w:rPr>
              <w:t>3</w:t>
            </w:r>
            <w:r>
              <w:t>1</w:t>
            </w:r>
          </w:p>
        </w:tc>
        <w:tc>
          <w:tcPr>
            <w:tcW w:w="1859" w:type="dxa"/>
            <w:shd w:val="clear" w:color="auto" w:fill="auto"/>
            <w:vAlign w:val="center"/>
          </w:tcPr>
          <w:p w:rsidR="000F42B0">
            <w:r>
              <w:rPr>
                <w:rFonts w:hint="eastAsia"/>
              </w:rPr>
              <w:t>信号及数据处理</w:t>
            </w:r>
          </w:p>
        </w:tc>
        <w:tc>
          <w:tcPr>
            <w:tcW w:w="5738" w:type="dxa"/>
            <w:shd w:val="clear" w:color="auto" w:fill="auto"/>
            <w:vAlign w:val="center"/>
          </w:tcPr>
          <w:p w:rsidR="000F42B0">
            <w:r>
              <w:rPr>
                <w:rFonts w:hint="eastAsia"/>
              </w:rPr>
              <w:t>升级为稳定性更强的</w:t>
            </w:r>
            <w:r>
              <w:rPr>
                <w:rFonts w:hint="eastAsia"/>
              </w:rPr>
              <w:t>DDC</w:t>
            </w:r>
            <w:r>
              <w:rPr>
                <w:rFonts w:hint="eastAsia"/>
              </w:rPr>
              <w:t>板，同时配备</w:t>
            </w:r>
            <w:r>
              <w:rPr>
                <w:rFonts w:hint="eastAsia"/>
              </w:rPr>
              <w:t>win7</w:t>
            </w:r>
            <w:r>
              <w:rPr>
                <w:rFonts w:hint="eastAsia"/>
              </w:rPr>
              <w:t>及以上版本操作系统的工控机及主控软件；更换终端</w:t>
            </w:r>
            <w:r>
              <w:rPr>
                <w:rFonts w:hint="eastAsia"/>
              </w:rPr>
              <w:t>win10</w:t>
            </w:r>
            <w:r>
              <w:rPr>
                <w:rFonts w:hint="eastAsia"/>
              </w:rPr>
              <w:t>版本以上，满足入业务内网安全要求；最大</w:t>
            </w:r>
            <w:r>
              <w:rPr>
                <w:rFonts w:hint="eastAsia"/>
              </w:rPr>
              <w:t>处理库数</w:t>
            </w:r>
            <w:r>
              <w:rPr>
                <w:rFonts w:hint="eastAsia"/>
              </w:rPr>
              <w:t>100</w:t>
            </w:r>
            <w:r>
              <w:rPr>
                <w:rFonts w:hint="eastAsia"/>
              </w:rPr>
              <w:t>，可输出</w:t>
            </w:r>
            <w:r>
              <w:rPr>
                <w:rFonts w:hint="eastAsia"/>
              </w:rPr>
              <w:t>IQ</w:t>
            </w:r>
            <w:r>
              <w:rPr>
                <w:rFonts w:hint="eastAsia"/>
              </w:rPr>
              <w:t>数据</w:t>
            </w:r>
          </w:p>
        </w:tc>
      </w:tr>
      <w:tr>
        <w:tblPrEx>
          <w:tblW w:w="8298" w:type="dxa"/>
          <w:tblLook w:val="04A0"/>
        </w:tblPrEx>
        <w:trPr>
          <w:trHeight w:val="648"/>
        </w:trPr>
        <w:tc>
          <w:tcPr>
            <w:tcW w:w="701" w:type="dxa"/>
            <w:shd w:val="clear" w:color="auto" w:fill="auto"/>
            <w:vAlign w:val="center"/>
          </w:tcPr>
          <w:p w:rsidR="000F42B0">
            <w:r>
              <w:rPr>
                <w:rFonts w:hint="eastAsia"/>
              </w:rPr>
              <w:t>3</w:t>
            </w:r>
            <w:r>
              <w:t>2</w:t>
            </w:r>
          </w:p>
        </w:tc>
        <w:tc>
          <w:tcPr>
            <w:tcW w:w="1859" w:type="dxa"/>
            <w:shd w:val="clear" w:color="auto" w:fill="auto"/>
            <w:vAlign w:val="center"/>
          </w:tcPr>
          <w:p w:rsidR="000F42B0">
            <w:r>
              <w:rPr>
                <w:rFonts w:hint="eastAsia"/>
              </w:rPr>
              <w:t>监控组合</w:t>
            </w:r>
          </w:p>
        </w:tc>
        <w:tc>
          <w:tcPr>
            <w:tcW w:w="5738" w:type="dxa"/>
            <w:shd w:val="clear" w:color="auto" w:fill="auto"/>
            <w:vAlign w:val="center"/>
          </w:tcPr>
          <w:p w:rsidR="000F42B0">
            <w:r>
              <w:rPr>
                <w:rFonts w:hint="eastAsia"/>
              </w:rPr>
              <w:t>相应优化调整并更换，各分系统状态信号</w:t>
            </w:r>
            <w:r>
              <w:rPr>
                <w:rFonts w:hint="eastAsia"/>
              </w:rPr>
              <w:t>虚警率不</w:t>
            </w:r>
            <w:r>
              <w:rPr>
                <w:rFonts w:hint="eastAsia"/>
              </w:rPr>
              <w:t>大于</w:t>
            </w:r>
            <w:r>
              <w:rPr>
                <w:rFonts w:hint="eastAsia"/>
              </w:rPr>
              <w:t>10%</w:t>
            </w:r>
          </w:p>
        </w:tc>
      </w:tr>
      <w:tr>
        <w:tblPrEx>
          <w:tblW w:w="8298" w:type="dxa"/>
          <w:tblLook w:val="04A0"/>
        </w:tblPrEx>
        <w:trPr>
          <w:trHeight w:val="977"/>
        </w:trPr>
        <w:tc>
          <w:tcPr>
            <w:tcW w:w="701" w:type="dxa"/>
            <w:shd w:val="clear" w:color="auto" w:fill="auto"/>
            <w:vAlign w:val="center"/>
          </w:tcPr>
          <w:p w:rsidR="000F42B0">
            <w:r>
              <w:rPr>
                <w:rFonts w:hint="eastAsia"/>
              </w:rPr>
              <w:t>3</w:t>
            </w:r>
            <w:r>
              <w:t>3</w:t>
            </w:r>
          </w:p>
        </w:tc>
        <w:tc>
          <w:tcPr>
            <w:tcW w:w="1859" w:type="dxa"/>
            <w:shd w:val="clear" w:color="auto" w:fill="auto"/>
            <w:vAlign w:val="center"/>
          </w:tcPr>
          <w:p w:rsidR="000F42B0">
            <w:r>
              <w:t>UPS</w:t>
            </w:r>
            <w:r>
              <w:rPr>
                <w:rFonts w:hint="eastAsia"/>
              </w:rPr>
              <w:t>电源</w:t>
            </w:r>
          </w:p>
        </w:tc>
        <w:tc>
          <w:tcPr>
            <w:tcW w:w="5738" w:type="dxa"/>
            <w:shd w:val="clear" w:color="auto" w:fill="auto"/>
            <w:vAlign w:val="center"/>
          </w:tcPr>
          <w:p w:rsidR="000F42B0">
            <w:r>
              <w:rPr>
                <w:rFonts w:hint="eastAsia"/>
              </w:rPr>
              <w:t>更换新版</w:t>
            </w:r>
            <w:r>
              <w:rPr>
                <w:rFonts w:hint="eastAsia"/>
              </w:rPr>
              <w:t>UPS</w:t>
            </w:r>
            <w:r>
              <w:rPr>
                <w:rFonts w:hint="eastAsia"/>
              </w:rPr>
              <w:t>主机</w:t>
            </w:r>
            <w:r>
              <w:rPr>
                <w:rFonts w:hint="eastAsia"/>
              </w:rPr>
              <w:t>(20kVA)</w:t>
            </w:r>
            <w:r>
              <w:rPr>
                <w:rFonts w:hint="eastAsia"/>
              </w:rPr>
              <w:t>及电池组</w:t>
            </w:r>
            <w:r>
              <w:rPr>
                <w:rFonts w:hint="eastAsia"/>
              </w:rPr>
              <w:t>(100Ah)</w:t>
            </w:r>
            <w:r>
              <w:rPr>
                <w:rFonts w:hint="eastAsia"/>
              </w:rPr>
              <w:t>，停电后保障运行时间</w:t>
            </w:r>
            <w:r>
              <w:rPr>
                <w:rFonts w:hint="eastAsia"/>
              </w:rPr>
              <w:t>2</w:t>
            </w:r>
            <w:r>
              <w:rPr>
                <w:rFonts w:hint="eastAsia"/>
              </w:rPr>
              <w:t>小时</w:t>
            </w:r>
          </w:p>
        </w:tc>
      </w:tr>
    </w:tbl>
    <w:p w:rsidR="000F42B0">
      <w:pPr>
        <w:spacing w:line="360" w:lineRule="auto"/>
        <w:rPr>
          <w:rFonts w:ascii="宋体" w:hAnsi="宋体" w:cs="宋体"/>
        </w:rPr>
      </w:pPr>
    </w:p>
    <w:p w:rsidR="000F42B0">
      <w:pPr>
        <w:spacing w:line="360" w:lineRule="auto"/>
        <w:ind w:firstLine="420" w:firstLineChars="200"/>
        <w:rPr>
          <w:rFonts w:ascii="宋体" w:hAnsi="宋体"/>
          <w:szCs w:val="21"/>
        </w:rPr>
      </w:pPr>
      <w:r>
        <w:rPr>
          <w:rFonts w:ascii="宋体" w:hAnsi="宋体" w:hint="eastAsia"/>
          <w:szCs w:val="21"/>
        </w:rPr>
        <w:t>四、</w:t>
      </w:r>
      <w:r>
        <w:rPr>
          <w:rFonts w:ascii="宋体" w:hAnsi="宋体" w:hint="eastAsia"/>
          <w:szCs w:val="21"/>
        </w:rPr>
        <w:t>检验考核要求</w:t>
      </w:r>
    </w:p>
    <w:p w:rsidR="000F42B0">
      <w:pPr>
        <w:spacing w:line="360" w:lineRule="auto"/>
        <w:ind w:firstLine="420" w:firstLineChars="200"/>
        <w:rPr>
          <w:rFonts w:ascii="宋体" w:hAnsi="宋体"/>
          <w:szCs w:val="21"/>
        </w:rPr>
      </w:pPr>
      <w:r>
        <w:rPr>
          <w:rFonts w:ascii="宋体" w:hAnsi="宋体" w:hint="eastAsia"/>
          <w:szCs w:val="21"/>
        </w:rPr>
        <w:t>采购人应对合同设备在考核中应达到的技术性能考核指标进行规定，并可根据合同设备的</w:t>
      </w:r>
      <w:r>
        <w:rPr>
          <w:rFonts w:ascii="宋体" w:hAnsi="宋体" w:hint="eastAsia"/>
          <w:szCs w:val="21"/>
        </w:rPr>
        <w:t xml:space="preserve"> </w:t>
      </w:r>
      <w:r>
        <w:rPr>
          <w:rFonts w:ascii="宋体" w:hAnsi="宋体" w:hint="eastAsia"/>
          <w:szCs w:val="21"/>
        </w:rPr>
        <w:t>实际情况，规定可以接受的合同设备的最低技术性能考核指标。</w:t>
      </w:r>
    </w:p>
    <w:p w:rsidR="000F42B0">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w:t>
      </w:r>
      <w:r>
        <w:rPr>
          <w:rFonts w:ascii="宋体" w:hAnsi="宋体" w:hint="eastAsia"/>
          <w:szCs w:val="21"/>
        </w:rPr>
        <w:t>智能化观测</w:t>
      </w:r>
      <w:r>
        <w:rPr>
          <w:rFonts w:ascii="宋体" w:hAnsi="宋体" w:hint="eastAsia"/>
          <w:szCs w:val="21"/>
        </w:rPr>
        <w:tab/>
      </w:r>
      <w:r>
        <w:rPr>
          <w:rFonts w:ascii="宋体" w:hAnsi="宋体" w:hint="eastAsia"/>
          <w:szCs w:val="21"/>
        </w:rPr>
        <w:t>有</w:t>
      </w:r>
    </w:p>
    <w:p w:rsidR="000F42B0">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w:t>
      </w:r>
      <w:r>
        <w:rPr>
          <w:rFonts w:ascii="宋体" w:hAnsi="宋体" w:hint="eastAsia"/>
          <w:szCs w:val="21"/>
        </w:rPr>
        <w:t>软件产品</w:t>
      </w:r>
      <w:r>
        <w:rPr>
          <w:rFonts w:ascii="宋体" w:hAnsi="宋体" w:hint="eastAsia"/>
          <w:szCs w:val="21"/>
        </w:rPr>
        <w:tab/>
      </w:r>
      <w:r>
        <w:rPr>
          <w:rFonts w:ascii="宋体" w:hAnsi="宋体" w:hint="eastAsia"/>
          <w:szCs w:val="21"/>
        </w:rPr>
        <w:t>有二次产品，降水识别、冷暖平流、风切变等</w:t>
      </w:r>
    </w:p>
    <w:p w:rsidR="000F42B0">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w:t>
      </w:r>
      <w:r>
        <w:rPr>
          <w:rFonts w:ascii="宋体" w:hAnsi="宋体" w:hint="eastAsia"/>
          <w:szCs w:val="21"/>
        </w:rPr>
        <w:t>无人值守</w:t>
      </w:r>
      <w:r>
        <w:rPr>
          <w:rFonts w:ascii="宋体" w:hAnsi="宋体" w:hint="eastAsia"/>
          <w:szCs w:val="21"/>
        </w:rPr>
        <w:tab/>
      </w:r>
      <w:r>
        <w:rPr>
          <w:rFonts w:ascii="宋体" w:hAnsi="宋体" w:hint="eastAsia"/>
          <w:szCs w:val="21"/>
        </w:rPr>
        <w:t>支持来电自启动</w:t>
      </w:r>
    </w:p>
    <w:p w:rsidR="000F42B0">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w:t>
      </w:r>
      <w:r>
        <w:rPr>
          <w:rFonts w:ascii="宋体" w:hAnsi="宋体" w:hint="eastAsia"/>
          <w:szCs w:val="21"/>
        </w:rPr>
        <w:t>系统灵敏度</w:t>
      </w:r>
      <w:r>
        <w:rPr>
          <w:rFonts w:ascii="宋体" w:hAnsi="宋体" w:hint="eastAsia"/>
          <w:szCs w:val="21"/>
        </w:rPr>
        <w:tab/>
        <w:t>-150dBm</w:t>
      </w:r>
    </w:p>
    <w:p w:rsidR="000F42B0">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w:t>
      </w:r>
      <w:r>
        <w:rPr>
          <w:rFonts w:ascii="宋体" w:hAnsi="宋体" w:hint="eastAsia"/>
          <w:szCs w:val="21"/>
        </w:rPr>
        <w:t>接收馈线损耗</w:t>
      </w:r>
      <w:r>
        <w:rPr>
          <w:rFonts w:ascii="宋体" w:hAnsi="宋体" w:hint="eastAsia"/>
          <w:szCs w:val="21"/>
        </w:rPr>
        <w:tab/>
      </w:r>
      <w:r>
        <w:rPr>
          <w:rFonts w:ascii="宋体" w:hAnsi="宋体" w:hint="eastAsia"/>
          <w:szCs w:val="21"/>
        </w:rPr>
        <w:t>≤</w:t>
      </w:r>
      <w:r>
        <w:rPr>
          <w:rFonts w:ascii="宋体" w:hAnsi="宋体" w:hint="eastAsia"/>
          <w:szCs w:val="21"/>
        </w:rPr>
        <w:t>4dB</w:t>
      </w:r>
    </w:p>
    <w:p w:rsidR="000F42B0">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szCs w:val="21"/>
        </w:rPr>
        <w:t>接收相位一致性</w:t>
      </w:r>
      <w:r>
        <w:rPr>
          <w:rFonts w:ascii="宋体" w:hAnsi="宋体" w:hint="eastAsia"/>
          <w:szCs w:val="21"/>
        </w:rPr>
        <w:tab/>
      </w:r>
      <w:r>
        <w:rPr>
          <w:rFonts w:ascii="宋体" w:hAnsi="宋体" w:hint="eastAsia"/>
          <w:szCs w:val="21"/>
        </w:rPr>
        <w:t>内置相位微调功能，自动调整，便于维护</w:t>
      </w:r>
    </w:p>
    <w:p w:rsidR="000F42B0">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w:t>
      </w:r>
      <w:r>
        <w:rPr>
          <w:rFonts w:ascii="宋体" w:hAnsi="宋体" w:hint="eastAsia"/>
          <w:szCs w:val="21"/>
        </w:rPr>
        <w:t>接收机</w:t>
      </w:r>
      <w:r>
        <w:rPr>
          <w:rFonts w:ascii="宋体" w:hAnsi="宋体" w:hint="eastAsia"/>
          <w:szCs w:val="21"/>
        </w:rPr>
        <w:t>及频综</w:t>
      </w:r>
      <w:r>
        <w:rPr>
          <w:rFonts w:ascii="宋体" w:hAnsi="宋体" w:hint="eastAsia"/>
          <w:szCs w:val="21"/>
        </w:rPr>
        <w:tab/>
      </w:r>
      <w:r>
        <w:rPr>
          <w:rFonts w:ascii="宋体" w:hAnsi="宋体" w:hint="eastAsia"/>
          <w:szCs w:val="21"/>
        </w:rPr>
        <w:t>及优化设计，将中频、高频接收机组合合二为一，布局紧凑，集中监控、可靠性增强</w:t>
      </w:r>
    </w:p>
    <w:p w:rsidR="000F42B0">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8</w:t>
      </w:r>
      <w:r>
        <w:rPr>
          <w:rFonts w:ascii="宋体" w:hAnsi="宋体" w:hint="eastAsia"/>
          <w:szCs w:val="21"/>
        </w:rPr>
        <w:t>）</w:t>
      </w:r>
      <w:r>
        <w:rPr>
          <w:rFonts w:ascii="宋体" w:hAnsi="宋体" w:hint="eastAsia"/>
          <w:szCs w:val="21"/>
        </w:rPr>
        <w:t>发射分系统</w:t>
      </w:r>
      <w:r>
        <w:rPr>
          <w:rFonts w:ascii="宋体" w:hAnsi="宋体" w:hint="eastAsia"/>
          <w:szCs w:val="21"/>
        </w:rPr>
        <w:tab/>
      </w:r>
      <w:r>
        <w:rPr>
          <w:rFonts w:ascii="宋体" w:hAnsi="宋体" w:hint="eastAsia"/>
          <w:szCs w:val="21"/>
        </w:rPr>
        <w:t>优化发射模块匹配设计和散热设计；集中式监控，便于维护；重新设计发射链路，由大功率激励信号改为小功率激励信号，增强稳定性；发射功率≥</w:t>
      </w:r>
      <w:r>
        <w:rPr>
          <w:rFonts w:ascii="宋体" w:hAnsi="宋体" w:hint="eastAsia"/>
          <w:szCs w:val="21"/>
        </w:rPr>
        <w:t>16kW</w:t>
      </w:r>
      <w:r>
        <w:rPr>
          <w:rFonts w:ascii="宋体" w:hAnsi="宋体" w:hint="eastAsia"/>
          <w:szCs w:val="21"/>
        </w:rPr>
        <w:t>，整合发射模块、接收模块和行列开关为一体。</w:t>
      </w:r>
    </w:p>
    <w:p w:rsidR="000F42B0">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9</w:t>
      </w:r>
      <w:r>
        <w:rPr>
          <w:rFonts w:ascii="宋体" w:hAnsi="宋体" w:hint="eastAsia"/>
          <w:szCs w:val="21"/>
        </w:rPr>
        <w:t>）</w:t>
      </w:r>
      <w:r>
        <w:rPr>
          <w:rFonts w:ascii="宋体" w:hAnsi="宋体" w:hint="eastAsia"/>
          <w:szCs w:val="21"/>
        </w:rPr>
        <w:t>信号及数据处理</w:t>
      </w:r>
      <w:r>
        <w:rPr>
          <w:rFonts w:ascii="宋体" w:hAnsi="宋体" w:hint="eastAsia"/>
          <w:szCs w:val="21"/>
        </w:rPr>
        <w:tab/>
      </w:r>
      <w:r>
        <w:rPr>
          <w:rFonts w:ascii="宋体" w:hAnsi="宋体" w:hint="eastAsia"/>
          <w:szCs w:val="21"/>
        </w:rPr>
        <w:t>升级为稳定性更强的</w:t>
      </w:r>
      <w:r>
        <w:rPr>
          <w:rFonts w:ascii="宋体" w:hAnsi="宋体" w:hint="eastAsia"/>
          <w:szCs w:val="21"/>
        </w:rPr>
        <w:t>DDC</w:t>
      </w:r>
      <w:r>
        <w:rPr>
          <w:rFonts w:ascii="宋体" w:hAnsi="宋体" w:hint="eastAsia"/>
          <w:szCs w:val="21"/>
        </w:rPr>
        <w:t>板，同时配备</w:t>
      </w:r>
      <w:r>
        <w:rPr>
          <w:rFonts w:ascii="宋体" w:hAnsi="宋体" w:hint="eastAsia"/>
          <w:szCs w:val="21"/>
        </w:rPr>
        <w:t>win7</w:t>
      </w:r>
      <w:r>
        <w:rPr>
          <w:rFonts w:ascii="宋体" w:hAnsi="宋体" w:hint="eastAsia"/>
          <w:szCs w:val="21"/>
        </w:rPr>
        <w:t>及以上版本操作系统的工控机及主控软件；更换终端</w:t>
      </w:r>
      <w:r>
        <w:rPr>
          <w:rFonts w:ascii="宋体" w:hAnsi="宋体" w:hint="eastAsia"/>
          <w:szCs w:val="21"/>
        </w:rPr>
        <w:t>win10</w:t>
      </w:r>
      <w:r>
        <w:rPr>
          <w:rFonts w:ascii="宋体" w:hAnsi="宋体" w:hint="eastAsia"/>
          <w:szCs w:val="21"/>
        </w:rPr>
        <w:t>版本以上，满足入业务内网安全要求；最大</w:t>
      </w:r>
      <w:r>
        <w:rPr>
          <w:rFonts w:ascii="宋体" w:hAnsi="宋体" w:hint="eastAsia"/>
          <w:szCs w:val="21"/>
        </w:rPr>
        <w:t>处理库数</w:t>
      </w:r>
      <w:r>
        <w:rPr>
          <w:rFonts w:ascii="宋体" w:hAnsi="宋体" w:hint="eastAsia"/>
          <w:szCs w:val="21"/>
        </w:rPr>
        <w:t>100</w:t>
      </w:r>
      <w:r>
        <w:rPr>
          <w:rFonts w:ascii="宋体" w:hAnsi="宋体" w:hint="eastAsia"/>
          <w:szCs w:val="21"/>
        </w:rPr>
        <w:t>，可输出</w:t>
      </w:r>
      <w:r>
        <w:rPr>
          <w:rFonts w:ascii="宋体" w:hAnsi="宋体" w:hint="eastAsia"/>
          <w:szCs w:val="21"/>
        </w:rPr>
        <w:t>IQ</w:t>
      </w:r>
      <w:r>
        <w:rPr>
          <w:rFonts w:ascii="宋体" w:hAnsi="宋体" w:hint="eastAsia"/>
          <w:szCs w:val="21"/>
        </w:rPr>
        <w:t>数据</w:t>
      </w:r>
    </w:p>
    <w:p w:rsidR="000F42B0">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10</w:t>
      </w:r>
      <w:r>
        <w:rPr>
          <w:rFonts w:ascii="宋体" w:hAnsi="宋体" w:hint="eastAsia"/>
          <w:szCs w:val="21"/>
        </w:rPr>
        <w:t>）</w:t>
      </w:r>
      <w:r>
        <w:rPr>
          <w:rFonts w:ascii="宋体" w:hAnsi="宋体" w:hint="eastAsia"/>
          <w:szCs w:val="21"/>
        </w:rPr>
        <w:t>监控组合</w:t>
      </w:r>
      <w:r>
        <w:rPr>
          <w:rFonts w:ascii="宋体" w:hAnsi="宋体" w:hint="eastAsia"/>
          <w:szCs w:val="21"/>
        </w:rPr>
        <w:tab/>
      </w:r>
      <w:r>
        <w:rPr>
          <w:rFonts w:ascii="宋体" w:hAnsi="宋体" w:hint="eastAsia"/>
          <w:szCs w:val="21"/>
        </w:rPr>
        <w:t>相应优化调整并更换，各分系</w:t>
      </w:r>
      <w:r>
        <w:rPr>
          <w:rFonts w:ascii="宋体" w:hAnsi="宋体" w:hint="eastAsia"/>
          <w:szCs w:val="21"/>
        </w:rPr>
        <w:t>统状态信号</w:t>
      </w:r>
      <w:r>
        <w:rPr>
          <w:rFonts w:ascii="宋体" w:hAnsi="宋体" w:hint="eastAsia"/>
          <w:szCs w:val="21"/>
        </w:rPr>
        <w:t>虚警率不</w:t>
      </w:r>
      <w:r>
        <w:rPr>
          <w:rFonts w:ascii="宋体" w:hAnsi="宋体" w:hint="eastAsia"/>
          <w:szCs w:val="21"/>
        </w:rPr>
        <w:t>大于</w:t>
      </w:r>
      <w:r>
        <w:rPr>
          <w:rFonts w:ascii="宋体" w:hAnsi="宋体" w:hint="eastAsia"/>
          <w:szCs w:val="21"/>
        </w:rPr>
        <w:t>10%</w:t>
      </w:r>
    </w:p>
    <w:p w:rsidR="000F42B0">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11</w:t>
      </w:r>
      <w:r>
        <w:rPr>
          <w:rFonts w:ascii="宋体" w:hAnsi="宋体" w:hint="eastAsia"/>
          <w:szCs w:val="21"/>
        </w:rPr>
        <w:t>）</w:t>
      </w:r>
      <w:r>
        <w:rPr>
          <w:rFonts w:ascii="宋体" w:hAnsi="宋体" w:hint="eastAsia"/>
          <w:szCs w:val="21"/>
        </w:rPr>
        <w:t>UPS</w:t>
      </w:r>
      <w:r>
        <w:rPr>
          <w:rFonts w:ascii="宋体" w:hAnsi="宋体" w:hint="eastAsia"/>
          <w:szCs w:val="21"/>
        </w:rPr>
        <w:t>电源</w:t>
      </w:r>
      <w:r>
        <w:rPr>
          <w:rFonts w:ascii="宋体" w:hAnsi="宋体" w:hint="eastAsia"/>
          <w:szCs w:val="21"/>
        </w:rPr>
        <w:tab/>
      </w:r>
      <w:r>
        <w:rPr>
          <w:rFonts w:ascii="宋体" w:hAnsi="宋体" w:hint="eastAsia"/>
          <w:szCs w:val="21"/>
        </w:rPr>
        <w:t xml:space="preserve"> </w:t>
      </w:r>
      <w:r>
        <w:rPr>
          <w:rFonts w:ascii="宋体" w:hAnsi="宋体" w:hint="eastAsia"/>
          <w:szCs w:val="21"/>
        </w:rPr>
        <w:t>更换新版</w:t>
      </w:r>
      <w:r>
        <w:rPr>
          <w:rFonts w:ascii="宋体" w:hAnsi="宋体" w:hint="eastAsia"/>
          <w:szCs w:val="21"/>
        </w:rPr>
        <w:t>UPS</w:t>
      </w:r>
      <w:r>
        <w:rPr>
          <w:rFonts w:ascii="宋体" w:hAnsi="宋体" w:hint="eastAsia"/>
          <w:szCs w:val="21"/>
        </w:rPr>
        <w:t>主机</w:t>
      </w:r>
      <w:r>
        <w:rPr>
          <w:rFonts w:ascii="宋体" w:hAnsi="宋体" w:hint="eastAsia"/>
          <w:szCs w:val="21"/>
        </w:rPr>
        <w:t>(20kVA)</w:t>
      </w:r>
      <w:r>
        <w:rPr>
          <w:rFonts w:ascii="宋体" w:hAnsi="宋体" w:hint="eastAsia"/>
          <w:szCs w:val="21"/>
        </w:rPr>
        <w:t>及电池组</w:t>
      </w:r>
      <w:r>
        <w:rPr>
          <w:rFonts w:ascii="宋体" w:hAnsi="宋体" w:hint="eastAsia"/>
          <w:szCs w:val="21"/>
        </w:rPr>
        <w:t>(100Ah)</w:t>
      </w:r>
      <w:r>
        <w:rPr>
          <w:rFonts w:ascii="宋体" w:hAnsi="宋体" w:hint="eastAsia"/>
          <w:szCs w:val="21"/>
        </w:rPr>
        <w:t>，停电后保障运行时间</w:t>
      </w:r>
      <w:r>
        <w:rPr>
          <w:rFonts w:ascii="宋体" w:hAnsi="宋体" w:hint="eastAsia"/>
          <w:szCs w:val="21"/>
        </w:rPr>
        <w:t>2</w:t>
      </w:r>
      <w:r>
        <w:rPr>
          <w:rFonts w:ascii="宋体" w:hAnsi="宋体" w:hint="eastAsia"/>
          <w:szCs w:val="21"/>
        </w:rPr>
        <w:t>小时</w:t>
      </w:r>
    </w:p>
    <w:p w:rsidR="000F42B0">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12</w:t>
      </w:r>
      <w:r>
        <w:rPr>
          <w:rFonts w:ascii="宋体" w:hAnsi="宋体" w:hint="eastAsia"/>
          <w:szCs w:val="21"/>
        </w:rPr>
        <w:t>）</w:t>
      </w:r>
      <w:r>
        <w:rPr>
          <w:rFonts w:ascii="宋体" w:hAnsi="宋体" w:hint="eastAsia"/>
          <w:szCs w:val="21"/>
        </w:rPr>
        <w:t>维修翻新屏蔽网、天线阵基础结构件、机房空调、配电和网络设施等。</w:t>
      </w:r>
    </w:p>
    <w:p w:rsidR="000F42B0">
      <w:pPr>
        <w:spacing w:line="360" w:lineRule="auto"/>
        <w:ind w:firstLine="420" w:firstLineChars="200"/>
        <w:rPr>
          <w:rFonts w:ascii="宋体" w:hAnsi="宋体"/>
          <w:szCs w:val="21"/>
        </w:rPr>
      </w:pPr>
      <w:r>
        <w:rPr>
          <w:rFonts w:ascii="宋体" w:hAnsi="宋体" w:hint="eastAsia"/>
          <w:szCs w:val="21"/>
        </w:rPr>
        <w:t>五、技术服务和</w:t>
      </w:r>
      <w:r>
        <w:rPr>
          <w:rFonts w:ascii="宋体" w:hAnsi="宋体" w:hint="eastAsia"/>
          <w:szCs w:val="21"/>
        </w:rPr>
        <w:t>质保期</w:t>
      </w:r>
      <w:r>
        <w:rPr>
          <w:rFonts w:ascii="宋体" w:hAnsi="宋体" w:hint="eastAsia"/>
          <w:szCs w:val="21"/>
        </w:rPr>
        <w:t>服务要求</w:t>
      </w:r>
    </w:p>
    <w:p w:rsidR="000F42B0">
      <w:pPr>
        <w:spacing w:line="360" w:lineRule="auto"/>
        <w:ind w:left="420" w:leftChars="200"/>
        <w:rPr>
          <w:rFonts w:ascii="宋体" w:hAnsi="宋体"/>
          <w:szCs w:val="21"/>
        </w:rPr>
      </w:pPr>
      <w:r>
        <w:rPr>
          <w:rFonts w:ascii="宋体" w:hAnsi="宋体" w:hint="eastAsia"/>
          <w:szCs w:val="21"/>
        </w:rPr>
        <w:t>5.1.</w:t>
      </w:r>
      <w:r>
        <w:rPr>
          <w:rFonts w:ascii="宋体" w:hAnsi="宋体" w:hint="eastAsia"/>
          <w:szCs w:val="21"/>
        </w:rPr>
        <w:t>技术资料</w:t>
      </w:r>
    </w:p>
    <w:p w:rsidR="000F42B0">
      <w:pPr>
        <w:spacing w:line="360" w:lineRule="auto"/>
        <w:ind w:left="420" w:leftChars="200"/>
        <w:rPr>
          <w:rFonts w:ascii="宋体" w:hAnsi="宋体"/>
          <w:szCs w:val="21"/>
        </w:rPr>
      </w:pPr>
      <w:r>
        <w:rPr>
          <w:rFonts w:ascii="宋体" w:hAnsi="宋体" w:hint="eastAsia"/>
          <w:szCs w:val="21"/>
        </w:rPr>
        <w:t>中标方交货时需随机提供详细技术文档，包括但不限于：设备工作原理、设备部件结构组成等。</w:t>
      </w:r>
    </w:p>
    <w:p w:rsidR="000F42B0">
      <w:pPr>
        <w:spacing w:line="360" w:lineRule="auto"/>
        <w:ind w:left="420" w:leftChars="200"/>
        <w:rPr>
          <w:rFonts w:ascii="宋体" w:hAnsi="宋体"/>
          <w:szCs w:val="21"/>
        </w:rPr>
      </w:pPr>
      <w:r>
        <w:rPr>
          <w:rFonts w:ascii="宋体" w:hAnsi="宋体" w:hint="eastAsia"/>
          <w:szCs w:val="21"/>
        </w:rPr>
        <w:t>5.2.</w:t>
      </w:r>
      <w:r>
        <w:rPr>
          <w:rFonts w:ascii="宋体" w:hAnsi="宋体" w:hint="eastAsia"/>
          <w:szCs w:val="21"/>
        </w:rPr>
        <w:t>售后服务</w:t>
      </w:r>
    </w:p>
    <w:p w:rsidR="000F42B0">
      <w:pPr>
        <w:spacing w:line="360" w:lineRule="auto"/>
        <w:ind w:left="420" w:leftChars="200"/>
        <w:rPr>
          <w:rFonts w:ascii="宋体" w:hAnsi="宋体"/>
          <w:szCs w:val="21"/>
        </w:rPr>
      </w:pPr>
      <w:r>
        <w:rPr>
          <w:rFonts w:ascii="宋体" w:hAnsi="宋体" w:hint="eastAsia"/>
          <w:szCs w:val="21"/>
        </w:rPr>
        <w:t>中标方需提供详细售后服务方案，包括设备售后服务组织机构、人员组成、技术支持文档等。</w:t>
      </w:r>
    </w:p>
    <w:p w:rsidR="000F42B0">
      <w:pPr>
        <w:spacing w:line="360" w:lineRule="auto"/>
        <w:ind w:left="420" w:leftChars="200"/>
        <w:rPr>
          <w:rFonts w:ascii="宋体" w:hAnsi="宋体"/>
          <w:szCs w:val="21"/>
        </w:rPr>
      </w:pPr>
      <w:r>
        <w:rPr>
          <w:rFonts w:ascii="宋体" w:hAnsi="宋体" w:hint="eastAsia"/>
          <w:szCs w:val="21"/>
        </w:rPr>
        <w:t>5.3.</w:t>
      </w:r>
      <w:r>
        <w:rPr>
          <w:rFonts w:ascii="宋体" w:hAnsi="宋体" w:hint="eastAsia"/>
          <w:szCs w:val="21"/>
        </w:rPr>
        <w:t>服务团队</w:t>
      </w:r>
    </w:p>
    <w:p w:rsidR="000F42B0">
      <w:pPr>
        <w:spacing w:line="360" w:lineRule="auto"/>
        <w:ind w:left="420" w:leftChars="200"/>
        <w:rPr>
          <w:rFonts w:ascii="宋体" w:hAnsi="宋体"/>
          <w:szCs w:val="21"/>
        </w:rPr>
      </w:pPr>
      <w:r>
        <w:rPr>
          <w:rFonts w:ascii="宋体" w:hAnsi="宋体" w:hint="eastAsia"/>
          <w:szCs w:val="21"/>
        </w:rPr>
        <w:t>中标方为本项目设立专业团队，负责项目中全部设备的安装、调试、故障排除和</w:t>
      </w:r>
      <w:r>
        <w:rPr>
          <w:rFonts w:ascii="宋体" w:hAnsi="宋体" w:hint="eastAsia"/>
          <w:szCs w:val="21"/>
        </w:rPr>
        <w:t>质保期</w:t>
      </w:r>
      <w:r>
        <w:rPr>
          <w:rFonts w:ascii="宋体" w:hAnsi="宋体" w:hint="eastAsia"/>
          <w:szCs w:val="21"/>
        </w:rPr>
        <w:t>内的其他相关工作。其中中标方应确保团队的稳定性和专业性，项目经理应具有必要的项目管理经验。</w:t>
      </w:r>
    </w:p>
    <w:p w:rsidR="000F42B0">
      <w:pPr>
        <w:spacing w:line="360" w:lineRule="auto"/>
        <w:ind w:left="420" w:leftChars="200"/>
        <w:rPr>
          <w:rFonts w:ascii="宋体" w:hAnsi="宋体"/>
          <w:szCs w:val="21"/>
        </w:rPr>
      </w:pPr>
      <w:r>
        <w:rPr>
          <w:rFonts w:ascii="宋体" w:hAnsi="宋体" w:hint="eastAsia"/>
          <w:szCs w:val="21"/>
        </w:rPr>
        <w:t>5.4.</w:t>
      </w:r>
      <w:r>
        <w:rPr>
          <w:rFonts w:ascii="宋体" w:hAnsi="宋体" w:hint="eastAsia"/>
          <w:szCs w:val="21"/>
        </w:rPr>
        <w:t>技术培训</w:t>
      </w:r>
    </w:p>
    <w:p w:rsidR="000F42B0">
      <w:pPr>
        <w:spacing w:line="360" w:lineRule="auto"/>
        <w:ind w:left="420" w:leftChars="200"/>
        <w:rPr>
          <w:rFonts w:ascii="宋体" w:hAnsi="宋体"/>
          <w:szCs w:val="21"/>
        </w:rPr>
      </w:pPr>
      <w:r>
        <w:rPr>
          <w:rFonts w:ascii="宋体" w:hAnsi="宋体" w:hint="eastAsia"/>
          <w:szCs w:val="21"/>
        </w:rPr>
        <w:t>中标方对投标产品提供至少</w:t>
      </w:r>
      <w:r>
        <w:rPr>
          <w:rFonts w:ascii="宋体" w:hAnsi="宋体" w:hint="eastAsia"/>
          <w:szCs w:val="21"/>
        </w:rPr>
        <w:t>2</w:t>
      </w:r>
      <w:r>
        <w:rPr>
          <w:rFonts w:ascii="宋体" w:hAnsi="宋体" w:hint="eastAsia"/>
          <w:szCs w:val="21"/>
        </w:rPr>
        <w:t>次技术培训，培训内容包括设备使用、日常维护、观测原理及产品应用，培训时间、地点及方式由双方协商确定。</w:t>
      </w:r>
    </w:p>
    <w:p w:rsidR="000F42B0">
      <w:pPr>
        <w:spacing w:line="360" w:lineRule="auto"/>
        <w:ind w:left="420" w:leftChars="200"/>
        <w:rPr>
          <w:rFonts w:ascii="宋体" w:hAnsi="宋体"/>
          <w:szCs w:val="21"/>
        </w:rPr>
      </w:pPr>
      <w:r>
        <w:rPr>
          <w:rFonts w:ascii="宋体" w:hAnsi="宋体" w:hint="eastAsia"/>
          <w:szCs w:val="21"/>
        </w:rPr>
        <w:t>5.5.</w:t>
      </w:r>
      <w:r>
        <w:rPr>
          <w:rFonts w:ascii="宋体" w:hAnsi="宋体" w:hint="eastAsia"/>
          <w:szCs w:val="21"/>
        </w:rPr>
        <w:t>质保期服务</w:t>
      </w:r>
    </w:p>
    <w:p w:rsidR="000F42B0">
      <w:pPr>
        <w:spacing w:line="360" w:lineRule="auto"/>
        <w:ind w:left="420" w:leftChars="200"/>
        <w:rPr>
          <w:rFonts w:ascii="宋体" w:hAnsi="宋体"/>
          <w:szCs w:val="21"/>
        </w:rPr>
      </w:pPr>
      <w:r>
        <w:rPr>
          <w:rFonts w:ascii="宋体" w:hAnsi="宋体" w:hint="eastAsia"/>
          <w:szCs w:val="21"/>
        </w:rPr>
        <w:t>中标方需提供完善的质保服务方案，并对质保期（保内、保外）政策进行阐述或承诺，列明有偿服务和无偿服务内容，设备整机质保</w:t>
      </w:r>
      <w:r>
        <w:rPr>
          <w:rFonts w:ascii="宋体" w:hAnsi="宋体" w:hint="eastAsia"/>
          <w:szCs w:val="21"/>
        </w:rPr>
        <w:t>4</w:t>
      </w:r>
      <w:r>
        <w:rPr>
          <w:rFonts w:ascii="宋体" w:hAnsi="宋体" w:hint="eastAsia"/>
          <w:szCs w:val="21"/>
        </w:rPr>
        <w:t>年。</w:t>
      </w:r>
    </w:p>
    <w:p w:rsidR="000F42B0">
      <w:pPr>
        <w:spacing w:line="360" w:lineRule="auto"/>
        <w:ind w:left="420" w:leftChars="200"/>
        <w:rPr>
          <w:rFonts w:ascii="宋体" w:hAnsi="宋体"/>
          <w:szCs w:val="21"/>
        </w:rPr>
      </w:pPr>
      <w:r>
        <w:rPr>
          <w:rFonts w:ascii="宋体" w:hAnsi="宋体" w:hint="eastAsia"/>
          <w:szCs w:val="21"/>
        </w:rPr>
        <w:t>5.6.</w:t>
      </w:r>
      <w:r>
        <w:rPr>
          <w:rFonts w:ascii="宋体" w:hAnsi="宋体" w:hint="eastAsia"/>
          <w:szCs w:val="21"/>
        </w:rPr>
        <w:t>交货期保证</w:t>
      </w:r>
      <w:r>
        <w:rPr>
          <w:rFonts w:ascii="宋体" w:hAnsi="宋体" w:hint="eastAsia"/>
          <w:szCs w:val="21"/>
        </w:rPr>
        <w:t xml:space="preserve"> </w:t>
      </w:r>
    </w:p>
    <w:p w:rsidR="000F42B0">
      <w:pPr>
        <w:spacing w:line="360" w:lineRule="auto"/>
        <w:ind w:left="420" w:leftChars="200"/>
        <w:rPr>
          <w:rFonts w:ascii="宋体" w:eastAsia="宋体" w:hAnsi="宋体" w:cs="Times New Roman"/>
          <w:szCs w:val="21"/>
        </w:rPr>
      </w:pPr>
      <w:r>
        <w:rPr>
          <w:rFonts w:ascii="宋体" w:hAnsi="宋体" w:hint="eastAsia"/>
          <w:szCs w:val="21"/>
        </w:rPr>
        <w:t>合同签订后</w:t>
      </w:r>
      <w:r>
        <w:rPr>
          <w:rFonts w:ascii="宋体" w:hAnsi="宋体" w:hint="eastAsia"/>
          <w:szCs w:val="21"/>
        </w:rPr>
        <w:t>180</w:t>
      </w:r>
      <w:r>
        <w:rPr>
          <w:rFonts w:ascii="宋体" w:hAnsi="宋体" w:hint="eastAsia"/>
          <w:szCs w:val="21"/>
        </w:rPr>
        <w:t>天内，所有设备交</w:t>
      </w:r>
      <w:r>
        <w:rPr>
          <w:rFonts w:ascii="宋体" w:hAnsi="宋体" w:hint="eastAsia"/>
          <w:szCs w:val="21"/>
        </w:rPr>
        <w:t>货至甲方指定地点</w:t>
      </w:r>
      <w:r w:rsidRPr="00322E81">
        <w:rPr>
          <w:rFonts w:ascii="宋体" w:hAnsi="宋体" w:hint="eastAsia"/>
          <w:szCs w:val="21"/>
        </w:rPr>
        <w:t>；交货后60天内完成安装后现场测试。</w:t>
      </w:r>
      <w:r>
        <w:rPr>
          <w:rFonts w:ascii="宋体" w:hAnsi="宋体" w:hint="eastAsia"/>
          <w:szCs w:val="21"/>
        </w:rPr>
        <w:t>中标方需提供交货时间承诺函。</w:t>
      </w:r>
    </w:p>
    <w:p w:rsidR="000F42B0">
      <w:pPr>
        <w:spacing w:line="360" w:lineRule="auto"/>
        <w:rPr>
          <w:rFonts w:ascii="宋体" w:eastAsia="宋体" w:hAnsi="宋体" w:cs="Times New Roman"/>
          <w:szCs w:val="21"/>
        </w:rPr>
      </w:pPr>
      <w:r>
        <w:rPr>
          <w:rFonts w:ascii="宋体" w:eastAsia="宋体" w:hAnsi="宋体" w:cs="Times New Roman" w:hint="eastAsia"/>
          <w:szCs w:val="21"/>
        </w:rPr>
        <w:t>第七章</w:t>
      </w:r>
      <w:r>
        <w:rPr>
          <w:rFonts w:ascii="宋体" w:eastAsia="宋体" w:hAnsi="宋体" w:cs="Times New Roman" w:hint="eastAsia"/>
          <w:szCs w:val="21"/>
        </w:rPr>
        <w:t xml:space="preserve"> </w:t>
      </w:r>
      <w:r>
        <w:rPr>
          <w:rFonts w:ascii="宋体" w:eastAsia="宋体" w:hAnsi="宋体" w:cs="Times New Roman" w:hint="eastAsia"/>
          <w:szCs w:val="21"/>
        </w:rPr>
        <w:t>采购需求</w:t>
      </w:r>
      <w:r>
        <w:rPr>
          <w:rFonts w:ascii="宋体" w:eastAsia="宋体" w:hAnsi="宋体" w:cs="Times New Roman" w:hint="eastAsia"/>
          <w:szCs w:val="21"/>
        </w:rPr>
        <w:t xml:space="preserve"> </w:t>
      </w:r>
      <w:r>
        <w:rPr>
          <w:rFonts w:ascii="宋体" w:eastAsia="宋体" w:hAnsi="宋体" w:cs="Times New Roman" w:hint="eastAsia"/>
          <w:szCs w:val="21"/>
        </w:rPr>
        <w:t>附表</w:t>
      </w:r>
    </w:p>
    <w:p w:rsidR="000F42B0">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97"/>
        <w:gridCol w:w="2509"/>
        <w:gridCol w:w="980"/>
        <w:gridCol w:w="1362"/>
        <w:gridCol w:w="1553"/>
        <w:gridCol w:w="980"/>
        <w:gridCol w:w="580"/>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对流层风廓线雷达升级改造</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2,320,000.00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2,320,000.00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95"/>
        <w:gridCol w:w="2079"/>
        <w:gridCol w:w="2079"/>
        <w:gridCol w:w="495"/>
        <w:gridCol w:w="1128"/>
        <w:gridCol w:w="941"/>
        <w:gridCol w:w="812"/>
        <w:gridCol w:w="49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中国气象局武汉暴雨研究所</w:t>
            </w:r>
          </w:p>
        </w:tc>
        <w:tc>
          <w:tcPr/>
          <w:p>
            <w:r>
              <w:t>对流层风廓线雷达升级改造</w:t>
            </w:r>
          </w:p>
        </w:tc>
        <w:tc>
          <w:tcPr/>
          <w:p>
            <w:r>
              <w:t>1</w:t>
            </w:r>
          </w:p>
        </w:tc>
        <w:tc>
          <w:tcPr/>
          <w:p>
            <w:r>
              <w:t>2320000.00</w:t>
            </w:r>
          </w:p>
        </w:tc>
        <w:tc>
          <w:tcPr/>
          <w:p>
            <w:r>
              <w:t xml:space="preserve">2320000.00  </w:t>
            </w:r>
          </w:p>
        </w:tc>
        <w:tc>
          <w:tcP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105632">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105632">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7D4623">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105632">
            <w:pPr>
              <w:rPr>
                <w:sz w:val="18"/>
                <w:szCs w:val="18"/>
              </w:rPr>
            </w:pPr>
            <w:r>
              <w:rPr>
                <w:rFonts w:hint="eastAsia"/>
                <w:sz w:val="18"/>
                <w:szCs w:val="18"/>
              </w:rPr>
              <w:t>序号</w:t>
            </w:r>
          </w:p>
        </w:tc>
        <w:tc>
          <w:tcPr>
            <w:tcW w:w="898" w:type="dxa"/>
            <w:vAlign w:val="center"/>
          </w:tcPr>
          <w:p w:rsidR="00105632">
            <w:pPr>
              <w:jc w:val="center"/>
              <w:rPr>
                <w:sz w:val="18"/>
                <w:szCs w:val="18"/>
              </w:rPr>
            </w:pPr>
            <w:r>
              <w:rPr>
                <w:rFonts w:hint="eastAsia"/>
                <w:sz w:val="18"/>
                <w:szCs w:val="18"/>
              </w:rPr>
              <w:t>对应</w:t>
            </w:r>
          </w:p>
          <w:p w:rsidR="00105632">
            <w:pPr>
              <w:jc w:val="center"/>
              <w:rPr>
                <w:sz w:val="18"/>
                <w:szCs w:val="18"/>
              </w:rPr>
            </w:pPr>
            <w:r>
              <w:rPr>
                <w:rFonts w:hint="eastAsia"/>
                <w:sz w:val="18"/>
                <w:szCs w:val="18"/>
              </w:rPr>
              <w:t>条款号</w:t>
            </w:r>
          </w:p>
        </w:tc>
        <w:tc>
          <w:tcPr>
            <w:tcW w:w="7347" w:type="dxa"/>
            <w:vAlign w:val="center"/>
          </w:tcPr>
          <w:p w:rsidR="00105632">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7D4623">
        <w:tblPrEx>
          <w:tblW w:w="8789" w:type="dxa"/>
          <w:tblLayout w:type="fixed"/>
          <w:tblLook w:val="04A0"/>
        </w:tblPrEx>
        <w:trPr>
          <w:cantSplit/>
        </w:trPr>
        <w:tc>
          <w:tcPr>
            <w:tcW w:w="8789" w:type="dxa"/>
            <w:gridSpan w:val="3"/>
            <w:vAlign w:val="center"/>
          </w:tcPr>
          <w:p w:rsidR="00105632">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7D4623">
        <w:tblPrEx>
          <w:tblW w:w="8789" w:type="dxa"/>
          <w:tblLayout w:type="fixed"/>
          <w:tblLook w:val="04A0"/>
        </w:tblPrEx>
        <w:trPr>
          <w:cantSplit/>
        </w:trPr>
        <w:tc>
          <w:tcPr>
            <w:tcW w:w="544" w:type="dxa"/>
            <w:vAlign w:val="center"/>
          </w:tcPr>
          <w:p w:rsidR="00105632">
            <w:pPr>
              <w:numPr>
                <w:ilvl w:val="0"/>
                <w:numId w:val="13"/>
              </w:numPr>
              <w:rPr>
                <w:rFonts w:ascii="宋体" w:hAnsi="宋体"/>
                <w:sz w:val="18"/>
                <w:szCs w:val="18"/>
              </w:rPr>
            </w:pPr>
          </w:p>
        </w:tc>
        <w:tc>
          <w:tcPr>
            <w:tcW w:w="898" w:type="dxa"/>
            <w:vAlign w:val="center"/>
          </w:tcPr>
          <w:p w:rsidR="00105632" w:rsidP="007D4623">
            <w:pPr>
              <w:jc w:val="center"/>
              <w:rPr>
                <w:rFonts w:ascii="宋体" w:hAnsi="宋体"/>
                <w:sz w:val="18"/>
                <w:szCs w:val="18"/>
              </w:rPr>
            </w:pPr>
            <w:r>
              <w:rPr>
                <w:rFonts w:ascii="宋体" w:hAnsi="宋体" w:hint="eastAsia"/>
                <w:sz w:val="18"/>
                <w:szCs w:val="18"/>
              </w:rPr>
              <w:t>5</w:t>
            </w:r>
            <w:r>
              <w:rPr>
                <w:rFonts w:ascii="宋体" w:hAnsi="宋体"/>
                <w:sz w:val="18"/>
                <w:szCs w:val="18"/>
              </w:rPr>
              <w:t>.7</w:t>
            </w:r>
          </w:p>
        </w:tc>
        <w:tc>
          <w:tcPr>
            <w:tcW w:w="7347" w:type="dxa"/>
          </w:tcPr>
          <w:p w:rsidR="00105632" w:rsidP="008D1586">
            <w:pPr>
              <w:tabs>
                <w:tab w:val="left" w:pos="709"/>
              </w:tabs>
              <w:spacing w:line="360" w:lineRule="auto"/>
              <w:jc w:val="left"/>
              <w:rPr>
                <w:rFonts w:ascii="宋体" w:hAnsi="宋体" w:cs="微软雅黑"/>
                <w:b/>
                <w:color w:val="0000FF"/>
                <w:kern w:val="0"/>
                <w:sz w:val="18"/>
                <w:szCs w:val="18"/>
              </w:rPr>
            </w:pPr>
            <w:r>
              <w:rPr>
                <w:rFonts w:ascii="微软雅黑" w:eastAsia="微软雅黑" w:hAnsi="微软雅黑" w:hint="eastAsia"/>
                <w:szCs w:val="21"/>
                <w:shd w:val="clear" w:color="auto" w:fill="FFFFFF"/>
              </w:rPr>
              <w:t>针对以下货物必须取得《气象专用技术装备使用许可证》:</w:t>
            </w:r>
            <w:r w:rsidR="008D1586">
              <w:rPr>
                <w:rFonts w:ascii="微软雅黑" w:eastAsia="微软雅黑" w:hAnsi="微软雅黑" w:hint="eastAsia"/>
                <w:szCs w:val="21"/>
                <w:shd w:val="clear" w:color="auto" w:fill="FFFFFF"/>
              </w:rPr>
              <w:t>P波段</w:t>
            </w:r>
            <w:r w:rsidRPr="007D4623">
              <w:rPr>
                <w:rFonts w:ascii="微软雅黑" w:eastAsia="微软雅黑" w:hAnsi="微软雅黑" w:hint="eastAsia"/>
                <w:szCs w:val="21"/>
                <w:shd w:val="clear" w:color="auto" w:fill="FFFFFF"/>
              </w:rPr>
              <w:t>风廓线雷达</w:t>
            </w:r>
          </w:p>
        </w:tc>
      </w:tr>
      <w:tr w:rsidTr="007D4623">
        <w:tblPrEx>
          <w:tblW w:w="8789" w:type="dxa"/>
          <w:tblLayout w:type="fixed"/>
          <w:tblLook w:val="04A0"/>
        </w:tblPrEx>
        <w:trPr>
          <w:cantSplit/>
        </w:trPr>
        <w:tc>
          <w:tcPr>
            <w:tcW w:w="8789" w:type="dxa"/>
            <w:gridSpan w:val="3"/>
            <w:vAlign w:val="center"/>
          </w:tcPr>
          <w:p w:rsidR="00105632">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7D4623">
        <w:tblPrEx>
          <w:tblW w:w="8789" w:type="dxa"/>
          <w:tblLayout w:type="fixed"/>
          <w:tblLook w:val="04A0"/>
        </w:tblPrEx>
        <w:trPr>
          <w:cantSplit/>
        </w:trPr>
        <w:tc>
          <w:tcPr>
            <w:tcW w:w="544" w:type="dxa"/>
            <w:vAlign w:val="center"/>
          </w:tcPr>
          <w:p w:rsidR="00105632">
            <w:pPr>
              <w:numPr>
                <w:ilvl w:val="0"/>
                <w:numId w:val="13"/>
              </w:numPr>
              <w:rPr>
                <w:rFonts w:ascii="宋体" w:hAnsi="宋体"/>
                <w:sz w:val="18"/>
                <w:szCs w:val="18"/>
              </w:rPr>
            </w:pPr>
          </w:p>
        </w:tc>
        <w:tc>
          <w:tcPr>
            <w:tcW w:w="898" w:type="dxa"/>
            <w:vAlign w:val="center"/>
          </w:tcPr>
          <w:p w:rsidR="00105632">
            <w:pPr>
              <w:jc w:val="center"/>
              <w:rPr>
                <w:rFonts w:ascii="宋体" w:hAnsi="宋体"/>
                <w:sz w:val="18"/>
                <w:szCs w:val="18"/>
              </w:rPr>
            </w:pPr>
            <w:r>
              <w:rPr>
                <w:rFonts w:ascii="宋体" w:hAnsi="宋体"/>
                <w:sz w:val="18"/>
                <w:szCs w:val="18"/>
              </w:rPr>
              <w:t>……</w:t>
            </w:r>
          </w:p>
        </w:tc>
        <w:tc>
          <w:tcPr>
            <w:tcW w:w="7347" w:type="dxa"/>
            <w:vAlign w:val="center"/>
          </w:tcPr>
          <w:p w:rsidR="00105632">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105632">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FE"/>
      </w:r>
      <w:r>
        <w:rPr>
          <w:rFonts w:ascii="宋体" w:hAnsi="宋体" w:hint="eastAsia"/>
          <w:szCs w:val="21"/>
          <w:highlight w:val="none"/>
        </w:rPr>
        <w:t>全额付款：</w:t>
      </w:r>
      <w:r>
        <w:rPr>
          <w:rFonts w:ascii="宋体" w:hAnsi="宋体" w:hint="eastAsia"/>
          <w:szCs w:val="21"/>
          <w:highlight w:val="none"/>
          <w:u w:val="single"/>
        </w:rPr>
        <w:t xml:space="preserve">     </w:t>
      </w:r>
      <w:r>
        <w:rPr>
          <w:rFonts w:ascii="宋体" w:hAnsi="宋体" w:hint="eastAsia"/>
          <w:szCs w:val="21"/>
          <w:highlight w:val="none"/>
          <w:u w:val="single"/>
          <w:lang w:val="en-US" w:eastAsia="zh-CN"/>
        </w:rPr>
        <w:t>合同签订后十五个工作日内完成付款</w:t>
      </w:r>
      <w:r>
        <w:rPr>
          <w:rFonts w:ascii="宋体" w:hAnsi="宋体" w:hint="eastAsia"/>
          <w:szCs w:val="21"/>
          <w:highlight w:val="none"/>
          <w:u w:val="single"/>
        </w:rPr>
        <w:t xml:space="preserve">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2" w:name="_Toc27624"/>
      <w:r>
        <w:rPr>
          <w:rFonts w:ascii="黑体" w:hAnsi="黑体" w:hint="eastAsia"/>
          <w:b w:val="0"/>
          <w:bCs w:val="0"/>
          <w:sz w:val="28"/>
          <w:szCs w:val="28"/>
          <w:highlight w:val="none"/>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69"/>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2B0"/>
    <w:rsid w:val="000F4445"/>
    <w:rsid w:val="000F646B"/>
    <w:rsid w:val="000F750E"/>
    <w:rsid w:val="000F75E8"/>
    <w:rsid w:val="00100624"/>
    <w:rsid w:val="0010098C"/>
    <w:rsid w:val="001037D1"/>
    <w:rsid w:val="00103847"/>
    <w:rsid w:val="00104E6A"/>
    <w:rsid w:val="00105108"/>
    <w:rsid w:val="00105632"/>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2E81"/>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4623"/>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1586"/>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