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2025年站网雷达工程大气本底站全息云（雾）滴谱仪采购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郑州市气象局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2025年站网雷达工程大气本底站全息云（雾）滴谱仪采购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郑州</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2025年12月04日 00:00:00</w:t>
      </w:r>
      <w:bookmarkEnd w:id="26"/>
      <w:r>
        <w:rPr>
          <w:rFonts w:ascii="宋体" w:hint="eastAsia"/>
          <w:szCs w:val="21"/>
          <w:highlight w:val="none"/>
        </w:rPr>
        <w:t>至</w:t>
      </w:r>
      <w:bookmarkStart w:id="27" w:name="项目公告_signUpLastTime"/>
      <w:r>
        <w:rPr>
          <w:rFonts w:ascii="宋体" w:hint="eastAsia"/>
          <w:szCs w:val="21"/>
          <w:highlight w:val="none"/>
        </w:rPr>
        <w:t>2025年12月11日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郑州市气象局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马赛飞</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郑州市管城区南三环与中州大道交叉口</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郑州市气象局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不允许（仅针对以下产品：1、全息云（雾）滴谱仪不允许代理商投标）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全息云（雾）滴谱仪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销售合同必须包括全息云（雾）滴谱仪，每提供1份合同得1分，最多得5分。否则不得分。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针对本项目采购的全息云（雾）滴谱仪，承诺每提前10天交货的得0.5分，最多得1分。否则不得分。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针对全息云（雾）滴谱仪，每提供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1、投标人为本项目拟派的服务团队中项目经理应具有3年以上相关工作经验的得1分；  2、除项目经理外至少3人具有2年及以上相关工作经验的，得2分；其他不得分。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针对全息云（雾）滴谱仪设备，测试报告应涵盖低温试验、高温试验、低气压试验等内容，每包含一项得1分，最多得3分。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left"/>
        <w:rPr>
          <w:rFonts w:ascii="宋体" w:hAnsi="宋体"/>
          <w:bCs/>
          <w:szCs w:val="21"/>
        </w:rPr>
      </w:pPr>
      <w:r>
        <w:rPr>
          <w:bCs/>
          <w:szCs w:val="21"/>
          <w:highlight w:val="none"/>
        </w:rPr>
        <w:br w:type="page"/>
      </w:r>
      <w:bookmarkStart w:id="59" w:name="插入_采购需求书"/>
    </w:p>
    <w:p>
      <w:pPr>
        <w:spacing w:before="156" w:beforeLines="50" w:line="360" w:lineRule="auto"/>
        <w:jc w:val="center"/>
        <w:outlineLvl w:val="1"/>
        <w:rPr>
          <w:rFonts w:ascii="宋体" w:hAnsi="宋体"/>
          <w:b/>
          <w:sz w:val="30"/>
          <w:szCs w:val="30"/>
        </w:rPr>
      </w:pPr>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szCs w:val="21"/>
        </w:rPr>
        <w:t>本项目核心是采购并部署一套高性能全息云（雾）滴谱仪。该设备将安装于郑州市，主要用于对城区及周边地区的低云、浓雾等天气现象进行不间断、高分辨率观测。本项目目标明确，兼具业务与科研双重价值。在业务应用层面，设备将直接服务于城市气象安全保障，通过对平流雾、辐射雾的精细化监测，为交通枢纽的低能见度预警提供科学依据；同时，支持人工影响天气工作的科学决策与效果评估，提升区域水资源调控能力。在科学研究层面，数据将用于深入研究郑州地区雾霾的相互作用机理、云降水物理过程，并为数值天气预报模式的本地化应用与验证提供宝贵的地面实况资料。</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p>
    <w:p>
      <w:pPr>
        <w:spacing w:line="360" w:lineRule="auto"/>
        <w:ind w:firstLine="420" w:firstLineChars="200"/>
        <w:rPr>
          <w:rFonts w:ascii="宋体" w:hAnsi="宋体"/>
          <w:color w:val="FF0000"/>
          <w:szCs w:val="21"/>
        </w:rPr>
      </w:pPr>
      <w:r>
        <w:rPr>
          <w:rFonts w:ascii="宋体" w:hAnsi="宋体" w:hint="eastAsia"/>
          <w:color w:val="FF0000"/>
          <w:szCs w:val="21"/>
        </w:rPr>
        <w:t>三、技术性能指标</w:t>
      </w:r>
    </w:p>
    <w:p>
      <w:pPr>
        <w:spacing w:line="560" w:lineRule="exact"/>
        <w:jc w:val="center"/>
        <w:rPr>
          <w:rFonts w:ascii="仿宋" w:eastAsia="仿宋" w:hAnsi="仿宋" w:cs="仿宋"/>
          <w:b/>
          <w:bCs/>
          <w:color w:val="FF0000"/>
          <w:sz w:val="28"/>
        </w:rPr>
      </w:pPr>
      <w:r>
        <w:rPr>
          <w:rFonts w:ascii="仿宋" w:eastAsia="仿宋" w:hAnsi="仿宋" w:cs="仿宋" w:hint="eastAsia"/>
          <w:b/>
          <w:bCs/>
          <w:color w:val="FF0000"/>
          <w:sz w:val="28"/>
        </w:rPr>
        <w:t>技术性能指标</w:t>
      </w:r>
    </w:p>
    <w:tbl>
      <w:tblPr>
        <w:tblStyle w:val="TableNormal"/>
        <w:tblW w:w="51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8"/>
        <w:gridCol w:w="1181"/>
        <w:gridCol w:w="481"/>
        <w:gridCol w:w="1423"/>
        <w:gridCol w:w="5400"/>
      </w:tblGrid>
      <w:tr>
        <w:tblPrEx>
          <w:tblW w:w="51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380"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b/>
                <w:bCs/>
                <w:color w:val="FF0000"/>
                <w:lang w:eastAsia="en-US"/>
              </w:rPr>
            </w:pPr>
            <w:r>
              <w:rPr>
                <w:rFonts w:ascii="仿宋" w:eastAsia="仿宋" w:hAnsi="仿宋" w:cs="仿宋" w:hint="eastAsia"/>
                <w:b/>
                <w:bCs/>
                <w:color w:val="FF0000"/>
                <w:sz w:val="24"/>
                <w:lang w:eastAsia="en-US"/>
              </w:rPr>
              <w:t>序号</w:t>
            </w:r>
          </w:p>
        </w:tc>
        <w:tc>
          <w:tcPr>
            <w:tcW w:w="1680" w:type="pct"/>
            <w:gridSpan w:val="3"/>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b/>
                <w:bCs/>
                <w:color w:val="FF0000"/>
                <w:lang w:eastAsia="en-US"/>
              </w:rPr>
            </w:pPr>
            <w:r>
              <w:rPr>
                <w:rFonts w:ascii="仿宋" w:eastAsia="仿宋" w:hAnsi="仿宋" w:cs="仿宋" w:hint="eastAsia"/>
                <w:b/>
                <w:bCs/>
                <w:color w:val="FF0000"/>
                <w:sz w:val="24"/>
                <w:lang w:eastAsia="en-US"/>
              </w:rPr>
              <w:t>名称</w:t>
            </w:r>
          </w:p>
        </w:tc>
        <w:tc>
          <w:tcPr>
            <w:tcW w:w="2941" w:type="pct"/>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b/>
                <w:bCs/>
                <w:color w:val="FF0000"/>
                <w:lang w:eastAsia="en-US"/>
              </w:rPr>
            </w:pPr>
            <w:r>
              <w:rPr>
                <w:rFonts w:ascii="仿宋" w:eastAsia="仿宋" w:hAnsi="仿宋" w:cs="仿宋" w:hint="eastAsia"/>
                <w:b/>
                <w:bCs/>
                <w:color w:val="FF0000"/>
                <w:sz w:val="24"/>
                <w:lang w:eastAsia="en-US"/>
              </w:rPr>
              <w:t>技术要求</w:t>
            </w:r>
          </w:p>
        </w:tc>
      </w:tr>
      <w:tr>
        <w:tblPrEx>
          <w:tblW w:w="5100" w:type="pct"/>
          <w:jc w:val="center"/>
          <w:tblCellMar>
            <w:top w:w="0" w:type="dxa"/>
            <w:left w:w="108" w:type="dxa"/>
            <w:bottom w:w="0" w:type="dxa"/>
            <w:right w:w="108" w:type="dxa"/>
          </w:tblCellMar>
        </w:tblPrEx>
        <w:trPr>
          <w:jc w:val="center"/>
        </w:trPr>
        <w:tc>
          <w:tcPr>
            <w:tcW w:w="380" w:type="pct"/>
            <w:tcBorders>
              <w:top w:val="single" w:sz="4" w:space="0" w:color="auto"/>
              <w:left w:val="single" w:sz="4" w:space="0" w:color="auto"/>
              <w:bottom w:val="single" w:sz="4" w:space="0" w:color="auto"/>
              <w:right w:val="single" w:sz="4" w:space="0" w:color="auto"/>
            </w:tcBorders>
            <w:vAlign w:val="center"/>
          </w:tcPr>
          <w:p>
            <w:pPr>
              <w:pStyle w:val="12"/>
              <w:numPr>
                <w:ilvl w:val="0"/>
                <w:numId w:val="4"/>
              </w:numPr>
              <w:ind w:left="0" w:firstLine="0" w:firstLineChars="0"/>
              <w:rPr>
                <w:rFonts w:ascii="仿宋" w:eastAsia="仿宋" w:hAnsi="仿宋" w:cs="仿宋"/>
                <w:color w:val="FF0000"/>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pPr>
              <w:widowControl/>
              <w:jc w:val="left"/>
              <w:rPr>
                <w:rFonts w:ascii="仿宋" w:eastAsia="仿宋" w:hAnsi="仿宋" w:cs="仿宋"/>
                <w:color w:val="FF0000"/>
                <w:lang w:eastAsia="en-US"/>
              </w:rPr>
            </w:pPr>
            <w:r>
              <w:rPr>
                <w:rFonts w:ascii="仿宋" w:eastAsia="仿宋" w:hAnsi="仿宋" w:cs="仿宋" w:hint="eastAsia"/>
                <w:color w:val="FF0000"/>
                <w:sz w:val="24"/>
                <w:szCs w:val="24"/>
                <w:lang w:eastAsia="en-US"/>
              </w:rPr>
              <w:t>全息云（雾）滴谱仪</w:t>
            </w:r>
          </w:p>
        </w:tc>
        <w:tc>
          <w:tcPr>
            <w:tcW w:w="26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color w:val="FF0000"/>
                <w:lang w:eastAsia="en-US"/>
              </w:rPr>
            </w:pPr>
            <w:r>
              <w:rPr>
                <w:rFonts w:ascii="仿宋" w:eastAsia="仿宋" w:hAnsi="仿宋" w:cs="仿宋" w:hint="eastAsia"/>
                <w:color w:val="FF0000"/>
                <w:sz w:val="24"/>
                <w:lang w:eastAsia="en-US"/>
              </w:rPr>
              <w:t>测量单元</w:t>
            </w:r>
          </w:p>
        </w:tc>
        <w:tc>
          <w:tcPr>
            <w:tcW w:w="775"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color w:val="FF0000"/>
                <w:lang w:eastAsia="en-US"/>
              </w:rPr>
            </w:pPr>
            <w:r>
              <w:rPr>
                <w:rFonts w:ascii="仿宋" w:eastAsia="仿宋" w:hAnsi="仿宋" w:cs="仿宋" w:hint="eastAsia"/>
                <w:color w:val="FF0000"/>
                <w:sz w:val="24"/>
                <w:lang w:eastAsia="en-US"/>
              </w:rPr>
              <w:t>分析主机</w:t>
            </w:r>
          </w:p>
        </w:tc>
        <w:tc>
          <w:tcPr>
            <w:tcW w:w="2941"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#粒径检出下限：2μm；</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#粒径检出上限：50μm；</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#粒径分档：＞30；</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#测量精度：≤±10%；</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#采样频率：≤30；</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#采样体积：3cm*@30Hz；</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#采样分辨率：3000x3000像素；</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#数据处理：实时处理、后处理；</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#结果格式：CSV格式、粒子图像；</w:t>
            </w:r>
          </w:p>
          <w:p>
            <w:pPr>
              <w:ind w:left="1200" w:hanging="1200" w:hangingChars="500"/>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#实时处理：数浓度、谱分布、液态水含量、粒子粒径、中值直径、粒子三维空间分布；</w:t>
            </w:r>
          </w:p>
          <w:p>
            <w:pPr>
              <w:ind w:left="960" w:hanging="960" w:hangingChars="400"/>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#后处理：粒子图像、数浓度、请谱分布、液态水含量、粒子粒径、中值直径、粒子三维空间；</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#数据传输：光纤、485通讯；</w:t>
            </w:r>
          </w:p>
          <w:p>
            <w:pPr>
              <w:ind w:left="1200" w:hanging="1200" w:hangingChars="500"/>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#仪器控制：本地控制：存在互联网条件，可远程控制；</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#电源：AC220V，50hz；</w:t>
            </w:r>
          </w:p>
          <w:p>
            <w:pPr>
              <w:rPr>
                <w:rFonts w:ascii="仿宋" w:eastAsia="仿宋" w:hAnsi="仿宋" w:cs="仿宋" w:hint="eastAsia"/>
                <w:color w:val="FF0000"/>
                <w:highlight w:val="yellow"/>
              </w:rPr>
            </w:pPr>
            <w:r>
              <w:rPr>
                <w:rFonts w:ascii="仿宋" w:eastAsia="仿宋" w:hAnsi="仿宋" w:cs="仿宋" w:hint="eastAsia"/>
                <w:color w:val="FF0000"/>
                <w:sz w:val="24"/>
                <w:szCs w:val="24"/>
                <w:highlight w:val="yellow"/>
              </w:rPr>
              <w:t>#功耗：200W@220V；</w:t>
            </w:r>
          </w:p>
          <w:p>
            <w:pPr>
              <w:rPr>
                <w:rFonts w:ascii="仿宋" w:eastAsia="仿宋" w:hAnsi="仿宋" w:cs="仿宋"/>
                <w:color w:val="FF0000"/>
              </w:rPr>
            </w:pPr>
            <w:r>
              <w:rPr>
                <w:rFonts w:ascii="仿宋" w:eastAsia="仿宋" w:hAnsi="仿宋" w:cs="仿宋" w:hint="eastAsia"/>
                <w:color w:val="FF0000"/>
                <w:sz w:val="24"/>
                <w:szCs w:val="24"/>
                <w:highlight w:val="yellow"/>
              </w:rPr>
              <w:t>#数据传输：USB3.0（测量数据）、RS485通讯（控制数据）。</w:t>
            </w:r>
          </w:p>
        </w:tc>
      </w:tr>
    </w:tbl>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highlight w:val="yellow"/>
          <w:lang w:val="en-US" w:eastAsia="zh-CN"/>
        </w:rPr>
        <w:t>*</w:t>
      </w:r>
      <w:r>
        <w:rPr>
          <w:rFonts w:ascii="宋体" w:hAnsi="宋体" w:hint="eastAsia"/>
          <w:szCs w:val="21"/>
          <w:highlight w:val="yellow"/>
        </w:rPr>
        <w:t>质保期：全息云（雾）滴谱仪质保8年，从双方签署现场安装测试报告之日起开始计算质保期。</w:t>
      </w:r>
    </w:p>
    <w:p>
      <w:pPr>
        <w:spacing w:line="360" w:lineRule="auto"/>
        <w:ind w:firstLine="420" w:firstLineChars="200"/>
        <w:rPr>
          <w:rFonts w:ascii="宋体" w:hAnsi="宋体"/>
          <w:szCs w:val="21"/>
        </w:rPr>
      </w:pPr>
      <w:r>
        <w:rPr>
          <w:rFonts w:ascii="宋体" w:hAnsi="宋体" w:hint="eastAsia"/>
          <w:szCs w:val="21"/>
        </w:rPr>
        <w:t>质保期服务内容要求：</w:t>
      </w:r>
    </w:p>
    <w:p>
      <w:pPr>
        <w:spacing w:line="360" w:lineRule="auto"/>
        <w:ind w:firstLine="420" w:firstLineChars="200"/>
        <w:rPr>
          <w:rFonts w:ascii="宋体" w:hAnsi="宋体"/>
          <w:szCs w:val="21"/>
        </w:rPr>
      </w:pPr>
      <w:r>
        <w:rPr>
          <w:rFonts w:ascii="宋体" w:hAnsi="宋体" w:hint="eastAsia"/>
          <w:szCs w:val="21"/>
        </w:rPr>
        <w:t>（1）质保期内，因设备故障，投标人进行设备维修保障或更换时，需自备维修保障耗材和更换配件。</w:t>
      </w:r>
    </w:p>
    <w:p>
      <w:pPr>
        <w:spacing w:line="360" w:lineRule="auto"/>
        <w:ind w:firstLine="420" w:firstLineChars="200"/>
        <w:rPr>
          <w:rFonts w:ascii="宋体" w:hAnsi="宋体"/>
          <w:szCs w:val="21"/>
        </w:rPr>
      </w:pPr>
      <w:r>
        <w:rPr>
          <w:rFonts w:ascii="宋体" w:hAnsi="宋体" w:hint="eastAsia"/>
          <w:szCs w:val="21"/>
        </w:rPr>
        <w:t>（2）每年需进行1次现场巡检，同时需提供必要的软件升级服务。</w:t>
      </w:r>
    </w:p>
    <w:p>
      <w:pPr>
        <w:spacing w:line="360" w:lineRule="auto"/>
        <w:ind w:firstLine="420" w:firstLineChars="200"/>
        <w:rPr>
          <w:rFonts w:ascii="宋体" w:hAnsi="宋体"/>
          <w:szCs w:val="21"/>
        </w:rPr>
      </w:pPr>
      <w:r>
        <w:rPr>
          <w:rFonts w:ascii="宋体" w:hAnsi="宋体" w:hint="eastAsia"/>
          <w:szCs w:val="21"/>
        </w:rPr>
        <w:t>（3）质保期满后，仍有义务提供远程技术服务等支持。</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采购人可根据合同、技术性能指标以及采购人的有关规定进行修改和补充，经双方确认后形成验收文件作为验收依据。设备的技术性能指标除满足三、技术性能指标外，设备出厂、包装运输、安装调试、设备验收、保修服务等方面还应满足以下要求：</w:t>
      </w:r>
    </w:p>
    <w:p>
      <w:pPr>
        <w:spacing w:line="360" w:lineRule="auto"/>
        <w:ind w:firstLine="420" w:firstLineChars="200"/>
        <w:rPr>
          <w:rFonts w:ascii="宋体" w:hAnsi="宋体"/>
          <w:b/>
          <w:bCs/>
          <w:szCs w:val="21"/>
        </w:rPr>
      </w:pPr>
      <w:r>
        <w:rPr>
          <w:rFonts w:ascii="宋体" w:hAnsi="宋体" w:hint="eastAsia"/>
          <w:b/>
          <w:bCs/>
          <w:szCs w:val="21"/>
        </w:rPr>
        <w:t>5.1设备出厂</w:t>
      </w:r>
    </w:p>
    <w:p>
      <w:pPr>
        <w:spacing w:line="360" w:lineRule="auto"/>
        <w:ind w:firstLine="420" w:firstLineChars="200"/>
        <w:rPr>
          <w:rFonts w:ascii="宋体" w:hAnsi="宋体"/>
          <w:szCs w:val="21"/>
        </w:rPr>
      </w:pPr>
      <w:r>
        <w:rPr>
          <w:rFonts w:ascii="宋体" w:hAnsi="宋体" w:hint="eastAsia"/>
          <w:szCs w:val="21"/>
        </w:rPr>
        <w:t>（1）保证所提供产品的数量、质量。</w:t>
      </w:r>
    </w:p>
    <w:p>
      <w:pPr>
        <w:spacing w:line="360" w:lineRule="auto"/>
        <w:ind w:firstLine="420" w:firstLineChars="200"/>
        <w:rPr>
          <w:rFonts w:ascii="宋体" w:hAnsi="宋体"/>
          <w:szCs w:val="21"/>
        </w:rPr>
      </w:pPr>
      <w:r>
        <w:rPr>
          <w:rFonts w:ascii="宋体" w:hAnsi="宋体" w:hint="eastAsia"/>
          <w:szCs w:val="21"/>
        </w:rPr>
        <w:t>（2)出厂前要经买方人员严格测试和检查，确保设备长期稳定、可靠地运行。</w:t>
      </w:r>
    </w:p>
    <w:p>
      <w:pPr>
        <w:spacing w:line="360" w:lineRule="auto"/>
        <w:ind w:firstLine="420" w:firstLineChars="200"/>
        <w:rPr>
          <w:rFonts w:ascii="宋体" w:hAnsi="宋体"/>
          <w:b/>
          <w:bCs/>
          <w:szCs w:val="21"/>
        </w:rPr>
      </w:pPr>
      <w:r>
        <w:rPr>
          <w:rFonts w:ascii="宋体" w:hAnsi="宋体" w:hint="eastAsia"/>
          <w:b/>
          <w:bCs/>
          <w:szCs w:val="21"/>
        </w:rPr>
        <w:t>5.2包装和运输要求</w:t>
      </w:r>
    </w:p>
    <w:p>
      <w:pPr>
        <w:spacing w:line="360" w:lineRule="auto"/>
        <w:ind w:firstLine="420" w:firstLineChars="200"/>
        <w:rPr>
          <w:rFonts w:ascii="宋体" w:hAnsi="宋体"/>
          <w:szCs w:val="21"/>
        </w:rPr>
      </w:pPr>
      <w:r>
        <w:rPr>
          <w:rFonts w:ascii="宋体" w:hAnsi="宋体" w:hint="eastAsia"/>
          <w:szCs w:val="21"/>
        </w:rPr>
        <w:t>（1）中标人须在合同签定后按约定时间将设备运到招标人指定的地点，运费由中标人承担。</w:t>
      </w:r>
    </w:p>
    <w:p>
      <w:pPr>
        <w:spacing w:line="360" w:lineRule="auto"/>
        <w:ind w:firstLine="420" w:firstLineChars="200"/>
        <w:rPr>
          <w:rFonts w:ascii="宋体" w:hAnsi="宋体"/>
          <w:szCs w:val="21"/>
        </w:rPr>
      </w:pPr>
      <w:r>
        <w:rPr>
          <w:rFonts w:ascii="宋体" w:hAnsi="宋体" w:hint="eastAsia"/>
          <w:szCs w:val="21"/>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spacing w:line="360" w:lineRule="auto"/>
        <w:ind w:firstLine="420" w:firstLineChars="200"/>
        <w:rPr>
          <w:rFonts w:ascii="宋体" w:hAnsi="宋体"/>
          <w:b/>
          <w:bCs/>
          <w:szCs w:val="21"/>
        </w:rPr>
      </w:pPr>
      <w:r>
        <w:rPr>
          <w:rFonts w:ascii="宋体" w:hAnsi="宋体" w:hint="eastAsia"/>
          <w:b/>
          <w:bCs/>
          <w:szCs w:val="21"/>
        </w:rPr>
        <w:t>5.3安装、调试</w:t>
      </w:r>
    </w:p>
    <w:p>
      <w:pPr>
        <w:spacing w:line="360" w:lineRule="auto"/>
        <w:ind w:firstLine="420" w:firstLineChars="200"/>
        <w:rPr>
          <w:rFonts w:ascii="宋体" w:hAnsi="宋体"/>
          <w:szCs w:val="21"/>
        </w:rPr>
      </w:pPr>
      <w:r>
        <w:rPr>
          <w:rFonts w:ascii="宋体" w:hAnsi="宋体" w:hint="eastAsia"/>
          <w:szCs w:val="21"/>
        </w:rPr>
        <w:t>（1）设备安装由中标人负责。</w:t>
      </w:r>
    </w:p>
    <w:p>
      <w:pPr>
        <w:spacing w:line="360" w:lineRule="auto"/>
        <w:ind w:firstLine="420" w:firstLineChars="200"/>
        <w:rPr>
          <w:rFonts w:ascii="宋体" w:hAnsi="宋体"/>
          <w:szCs w:val="21"/>
        </w:rPr>
      </w:pPr>
      <w:r>
        <w:rPr>
          <w:rFonts w:ascii="宋体" w:hAnsi="宋体" w:hint="eastAsia"/>
          <w:szCs w:val="21"/>
        </w:rPr>
        <w:t>（2）设备的基础建设（包括预埋件、防雷等基础建设，不含地勘）和设备安装由中标人负责。基础建设和安装调试费等相关费用均包含在报价中。</w:t>
      </w:r>
    </w:p>
    <w:p>
      <w:pPr>
        <w:spacing w:line="360" w:lineRule="auto"/>
        <w:ind w:firstLine="420" w:firstLineChars="200"/>
        <w:rPr>
          <w:rFonts w:ascii="宋体" w:hAnsi="宋体"/>
          <w:szCs w:val="21"/>
        </w:rPr>
      </w:pPr>
      <w:r>
        <w:rPr>
          <w:rFonts w:ascii="宋体" w:hAnsi="宋体" w:hint="eastAsia"/>
          <w:szCs w:val="21"/>
        </w:rPr>
        <w:t>（3）设备安装调试过程中，中标人应作详细检验记录。安装调试结果应该符合有关标准的要求。检验记录应提供给采购人。</w:t>
      </w:r>
    </w:p>
    <w:p>
      <w:pPr>
        <w:spacing w:line="360" w:lineRule="auto"/>
        <w:ind w:firstLine="420" w:firstLineChars="200"/>
        <w:rPr>
          <w:rFonts w:ascii="宋体" w:hAnsi="宋体"/>
          <w:szCs w:val="21"/>
        </w:rPr>
      </w:pPr>
      <w:r>
        <w:rPr>
          <w:rFonts w:ascii="宋体" w:hAnsi="宋体" w:hint="eastAsia"/>
          <w:szCs w:val="21"/>
        </w:rPr>
        <w:t>（4）中标人需要充分考虑系统运行中所需要的软硬件配套设备。在系统设备安装和调试期间，采购人有权派出技术人员参加，中标人有义务对其进行指导。</w:t>
      </w:r>
    </w:p>
    <w:p>
      <w:pPr>
        <w:spacing w:line="360" w:lineRule="auto"/>
        <w:ind w:firstLine="420" w:firstLineChars="200"/>
        <w:rPr>
          <w:rFonts w:ascii="宋体" w:hAnsi="宋体"/>
          <w:szCs w:val="21"/>
        </w:rPr>
      </w:pPr>
      <w:r>
        <w:rPr>
          <w:rFonts w:ascii="宋体" w:hAnsi="宋体" w:hint="eastAsia"/>
          <w:szCs w:val="21"/>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spacing w:line="360" w:lineRule="auto"/>
        <w:ind w:firstLine="420" w:firstLineChars="200"/>
        <w:rPr>
          <w:rFonts w:ascii="宋体" w:hAnsi="宋体"/>
          <w:b/>
          <w:bCs/>
          <w:szCs w:val="21"/>
        </w:rPr>
      </w:pPr>
      <w:r>
        <w:rPr>
          <w:rFonts w:ascii="宋体" w:hAnsi="宋体" w:hint="eastAsia"/>
          <w:b/>
          <w:bCs/>
          <w:szCs w:val="21"/>
        </w:rPr>
        <w:t>5.4设备验收</w:t>
      </w:r>
    </w:p>
    <w:p>
      <w:pPr>
        <w:spacing w:line="360" w:lineRule="auto"/>
        <w:ind w:firstLine="420" w:firstLineChars="200"/>
        <w:rPr>
          <w:rFonts w:ascii="宋体" w:hAnsi="宋体"/>
          <w:szCs w:val="21"/>
        </w:rPr>
      </w:pPr>
      <w:r>
        <w:rPr>
          <w:rFonts w:ascii="宋体" w:hAnsi="宋体" w:hint="eastAsia"/>
          <w:szCs w:val="21"/>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360" w:lineRule="auto"/>
        <w:ind w:firstLine="420" w:firstLineChars="200"/>
        <w:rPr>
          <w:rFonts w:ascii="宋体" w:hAnsi="宋体"/>
          <w:szCs w:val="21"/>
        </w:rPr>
      </w:pPr>
      <w:r>
        <w:rPr>
          <w:rFonts w:ascii="宋体" w:hAnsi="宋体" w:hint="eastAsia"/>
          <w:szCs w:val="21"/>
        </w:rPr>
        <w:t>（2）设备经过1个月试运行期，达到功能规格需求书的要求时，可进行最终验收。在试运行期间，由于设备质量等造成某些指标达不到要求，允许中标人更换或进行修复，但试运行期另加1个月。</w:t>
      </w:r>
    </w:p>
    <w:p>
      <w:pPr>
        <w:spacing w:line="360" w:lineRule="auto"/>
        <w:ind w:firstLine="420" w:firstLineChars="200"/>
        <w:rPr>
          <w:rFonts w:ascii="宋体" w:hAnsi="宋体"/>
          <w:szCs w:val="21"/>
        </w:rPr>
      </w:pPr>
      <w:r>
        <w:rPr>
          <w:rFonts w:ascii="宋体" w:hAnsi="宋体" w:hint="eastAsia"/>
          <w:szCs w:val="21"/>
        </w:rPr>
        <w:t>（3）设备安装调试和试运行结束后，采购人组织最终验收。当满足以下条件时，采购人确认验收合格签署验收合格证：</w:t>
      </w:r>
    </w:p>
    <w:p>
      <w:pPr>
        <w:numPr>
          <w:ilvl w:val="0"/>
          <w:numId w:val="5"/>
        </w:numPr>
        <w:spacing w:line="360" w:lineRule="auto"/>
        <w:ind w:firstLine="420" w:firstLineChars="200"/>
        <w:rPr>
          <w:rFonts w:ascii="宋体" w:hAnsi="宋体"/>
          <w:szCs w:val="21"/>
        </w:rPr>
      </w:pPr>
      <w:r>
        <w:rPr>
          <w:rFonts w:ascii="宋体" w:hAnsi="宋体" w:hint="eastAsia"/>
          <w:szCs w:val="21"/>
        </w:rPr>
        <w:t>中标人已提供合同中签署的全部货物及完整技术资料；</w:t>
      </w:r>
    </w:p>
    <w:p>
      <w:pPr>
        <w:numPr>
          <w:ilvl w:val="0"/>
          <w:numId w:val="5"/>
        </w:numPr>
        <w:spacing w:line="360" w:lineRule="auto"/>
        <w:ind w:firstLine="420" w:firstLineChars="200"/>
        <w:rPr>
          <w:rFonts w:ascii="宋体" w:hAnsi="宋体"/>
          <w:szCs w:val="21"/>
        </w:rPr>
      </w:pPr>
      <w:r>
        <w:rPr>
          <w:rFonts w:ascii="宋体" w:hAnsi="宋体" w:hint="eastAsia"/>
          <w:szCs w:val="21"/>
        </w:rPr>
        <w:t>货物符合技术规格，性能满足要求；</w:t>
      </w:r>
    </w:p>
    <w:p>
      <w:pPr>
        <w:numPr>
          <w:ilvl w:val="0"/>
          <w:numId w:val="5"/>
        </w:numPr>
        <w:spacing w:line="360" w:lineRule="auto"/>
        <w:ind w:firstLine="420" w:firstLineChars="200"/>
        <w:rPr>
          <w:rFonts w:ascii="宋体" w:hAnsi="宋体"/>
          <w:szCs w:val="21"/>
        </w:rPr>
      </w:pPr>
      <w:r>
        <w:rPr>
          <w:rFonts w:ascii="宋体" w:hAnsi="宋体" w:hint="eastAsia"/>
          <w:szCs w:val="21"/>
        </w:rPr>
        <w:t>安装工程符合技术要求，系统性能满足要求，设备正常运行。</w:t>
      </w:r>
    </w:p>
    <w:p>
      <w:pPr>
        <w:spacing w:line="360" w:lineRule="auto"/>
        <w:ind w:firstLine="420" w:firstLineChars="200"/>
        <w:rPr>
          <w:rFonts w:ascii="宋体" w:hAnsi="宋体"/>
          <w:b/>
          <w:bCs/>
          <w:szCs w:val="21"/>
        </w:rPr>
      </w:pPr>
      <w:r>
        <w:rPr>
          <w:rFonts w:ascii="宋体" w:hAnsi="宋体" w:hint="eastAsia"/>
          <w:b/>
          <w:bCs/>
          <w:szCs w:val="21"/>
        </w:rPr>
        <w:t>5.5保修服务</w:t>
      </w:r>
    </w:p>
    <w:p>
      <w:pPr>
        <w:spacing w:line="360" w:lineRule="auto"/>
        <w:ind w:firstLine="420" w:firstLineChars="200"/>
        <w:rPr>
          <w:rFonts w:ascii="宋体" w:hAnsi="宋体"/>
          <w:szCs w:val="21"/>
        </w:rPr>
      </w:pPr>
      <w:r>
        <w:rPr>
          <w:rFonts w:ascii="宋体" w:hAnsi="宋体" w:hint="eastAsia"/>
          <w:szCs w:val="21"/>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360" w:lineRule="auto"/>
        <w:ind w:firstLine="420" w:firstLineChars="200"/>
        <w:rPr>
          <w:rFonts w:ascii="宋体" w:hAnsi="宋体"/>
          <w:szCs w:val="21"/>
        </w:rPr>
      </w:pPr>
      <w:r>
        <w:rPr>
          <w:rFonts w:ascii="宋体" w:hAnsi="宋体" w:hint="eastAsia"/>
          <w:szCs w:val="21"/>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spacing w:line="360" w:lineRule="auto"/>
        <w:ind w:firstLine="420" w:firstLineChars="200"/>
        <w:rPr>
          <w:rFonts w:ascii="宋体" w:hAnsi="宋体"/>
          <w:b/>
          <w:bCs/>
          <w:szCs w:val="21"/>
        </w:rPr>
      </w:pPr>
      <w:r>
        <w:rPr>
          <w:rFonts w:ascii="宋体" w:hAnsi="宋体" w:hint="eastAsia"/>
          <w:b/>
          <w:bCs/>
          <w:szCs w:val="21"/>
        </w:rPr>
        <w:t>5.6售后服务要求</w:t>
      </w:r>
    </w:p>
    <w:p>
      <w:pPr>
        <w:spacing w:line="360" w:lineRule="auto"/>
        <w:ind w:firstLine="420" w:firstLineChars="200"/>
        <w:rPr>
          <w:rFonts w:ascii="宋体" w:hAnsi="宋体"/>
          <w:szCs w:val="21"/>
        </w:rPr>
      </w:pPr>
      <w:r>
        <w:rPr>
          <w:rFonts w:ascii="宋体" w:hAnsi="宋体" w:hint="eastAsia"/>
          <w:szCs w:val="21"/>
        </w:rPr>
        <w:t>设备供应商需提供详细售后服务方案，包括设备售后服务组织机构、人员组成、技术支持文档等。其中，售后服务组织机构设置合理，人员技术能力强，技术文档内容全面。</w:t>
      </w:r>
    </w:p>
    <w:p>
      <w:pPr>
        <w:spacing w:line="360" w:lineRule="auto"/>
        <w:ind w:firstLine="420" w:firstLineChars="200"/>
        <w:rPr>
          <w:rFonts w:ascii="宋体" w:hAnsi="宋体"/>
          <w:b/>
          <w:bCs/>
          <w:szCs w:val="21"/>
        </w:rPr>
      </w:pPr>
      <w:r>
        <w:rPr>
          <w:rFonts w:ascii="宋体" w:hAnsi="宋体" w:hint="eastAsia"/>
          <w:b/>
          <w:bCs/>
          <w:szCs w:val="21"/>
        </w:rPr>
        <w:t>5.7培训要求</w:t>
      </w:r>
    </w:p>
    <w:p>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360" w:lineRule="auto"/>
        <w:ind w:firstLine="420" w:firstLineChars="200"/>
        <w:rPr>
          <w:rFonts w:ascii="宋体" w:hAnsi="宋体"/>
          <w:szCs w:val="21"/>
        </w:rPr>
      </w:pPr>
      <w:r>
        <w:rPr>
          <w:rFonts w:ascii="宋体" w:hAnsi="宋体" w:hint="eastAsia"/>
          <w:szCs w:val="21"/>
        </w:rPr>
        <w:t>设备供应商对每套投标产品提供至少2次技术培训，培训课时不少于4个课时，培训人数不少于5人。培训内容包括设备安装、使用、日常维护、观测原理及产品应用，培训时间及地点双方协商确定。</w:t>
      </w:r>
    </w:p>
    <w:p>
      <w:pPr>
        <w:spacing w:line="360" w:lineRule="auto"/>
        <w:ind w:firstLine="420" w:firstLineChars="200"/>
        <w:rPr>
          <w:rFonts w:ascii="宋体" w:hAnsi="宋体"/>
          <w:b/>
          <w:bCs/>
          <w:szCs w:val="21"/>
        </w:rPr>
      </w:pPr>
      <w:r>
        <w:rPr>
          <w:rFonts w:ascii="宋体" w:hAnsi="宋体" w:hint="eastAsia"/>
          <w:b/>
          <w:bCs/>
          <w:szCs w:val="21"/>
        </w:rPr>
        <w:t>5.8交货要求及履约地点</w:t>
      </w:r>
    </w:p>
    <w:p>
      <w:pPr>
        <w:spacing w:line="360" w:lineRule="auto"/>
        <w:ind w:firstLine="420" w:firstLineChars="200"/>
        <w:rPr>
          <w:rFonts w:ascii="宋体" w:hAnsi="宋体"/>
          <w:szCs w:val="21"/>
        </w:rPr>
      </w:pPr>
      <w:r>
        <w:rPr>
          <w:rFonts w:ascii="宋体" w:hAnsi="宋体" w:hint="eastAsia"/>
          <w:szCs w:val="21"/>
        </w:rPr>
        <w:t>中标供应商将所有设备运送至郑州市气象局（运输相关费用由供应商负责），并负责安装调试。</w:t>
      </w:r>
    </w:p>
    <w:p>
      <w:pPr>
        <w:spacing w:line="360" w:lineRule="auto"/>
        <w:ind w:firstLine="420" w:firstLineChars="200"/>
        <w:rPr>
          <w:rFonts w:ascii="宋体" w:hAnsi="宋体"/>
          <w:b/>
          <w:bCs/>
          <w:szCs w:val="21"/>
        </w:rPr>
      </w:pPr>
      <w:r>
        <w:rPr>
          <w:rFonts w:ascii="宋体" w:hAnsi="宋体" w:hint="eastAsia"/>
          <w:szCs w:val="21"/>
        </w:rPr>
        <w:t>合同签订后120天内交货，30天内完成安装调试并具备验收条件。</w:t>
      </w:r>
      <w:r>
        <w:rPr>
          <w:rFonts w:ascii="宋体" w:hAnsi="宋体" w:hint="eastAsia"/>
          <w:szCs w:val="21"/>
        </w:rPr>
        <w:br/>
      </w:r>
      <w:r>
        <w:rPr>
          <w:rFonts w:ascii="宋体" w:hAnsi="宋体" w:hint="eastAsia"/>
          <w:b/>
          <w:bCs/>
          <w:szCs w:val="21"/>
        </w:rPr>
        <w:t>5.9服务团队要求</w:t>
      </w:r>
    </w:p>
    <w:p>
      <w:pPr>
        <w:spacing w:line="360" w:lineRule="auto"/>
        <w:ind w:firstLine="420" w:firstLineChars="200"/>
        <w:rPr>
          <w:rFonts w:ascii="宋体" w:hAnsi="宋体"/>
          <w:szCs w:val="21"/>
        </w:rPr>
      </w:pPr>
      <w:r>
        <w:rPr>
          <w:rFonts w:ascii="宋体" w:hAnsi="宋体" w:hint="eastAsia"/>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ind w:firstLine="420" w:firstLineChars="200"/>
        <w:rPr>
          <w:rFonts w:ascii="宋体" w:hAnsi="宋体"/>
          <w:b/>
          <w:bCs/>
          <w:szCs w:val="21"/>
        </w:rPr>
      </w:pPr>
      <w:r>
        <w:rPr>
          <w:rFonts w:ascii="宋体" w:hAnsi="宋体" w:hint="eastAsia"/>
          <w:b/>
          <w:bCs/>
          <w:szCs w:val="21"/>
        </w:rPr>
        <w:t>5.10投标产品软件兼容性要求</w:t>
      </w:r>
    </w:p>
    <w:p>
      <w:pPr>
        <w:spacing w:line="360" w:lineRule="auto"/>
        <w:ind w:firstLine="420" w:firstLineChars="200"/>
        <w:rPr>
          <w:rFonts w:ascii="宋体" w:hAnsi="宋体"/>
          <w:szCs w:val="21"/>
        </w:rPr>
      </w:pPr>
      <w:r>
        <w:rPr>
          <w:rFonts w:ascii="宋体" w:hAnsi="宋体" w:hint="eastAsia"/>
          <w:szCs w:val="21"/>
        </w:rPr>
        <w:t>设备可无缝接入气象数据平台，完全符合甲方相关要求和规范，保证其系统的兼容性和功能的完整性。</w:t>
      </w:r>
    </w:p>
    <w:p>
      <w:pPr>
        <w:spacing w:line="360" w:lineRule="auto"/>
        <w:rPr>
          <w:rFonts w:ascii="宋体" w:hAnsi="宋体"/>
          <w:szCs w:val="21"/>
        </w:rPr>
      </w:pPr>
      <w:r>
        <w:rPr>
          <w:rFonts w:ascii="宋体" w:hAnsi="宋体" w:hint="eastAsia"/>
          <w:szCs w:val="21"/>
        </w:rPr>
        <w:t>第七章 采购需求 附表</w:t>
      </w:r>
    </w:p>
    <w:p>
      <w:pPr>
        <w:adjustRightInd w:val="0"/>
        <w:snapToGrid w:val="0"/>
        <w:spacing w:line="360" w:lineRule="auto"/>
        <w:jc w:val="both"/>
        <w:rPr>
          <w:rFonts w:ascii="宋体" w:hAnsi="宋体"/>
          <w:b/>
          <w:sz w:val="30"/>
          <w:szCs w:val="30"/>
        </w:rPr>
        <w:sectPr>
          <w:pgSz w:w="11906" w:h="16838"/>
          <w:pgMar w:top="1418" w:right="1418" w:bottom="1418" w:left="1701" w:header="851" w:footer="851" w:gutter="0"/>
          <w:cols w:num="1" w:space="720"/>
          <w:docGrid w:type="linesAndChars" w:linePitch="312" w:charSpace="0"/>
        </w:sectPr>
      </w:pP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2075"/>
        <w:gridCol w:w="1050"/>
        <w:gridCol w:w="1460"/>
        <w:gridCol w:w="1665"/>
        <w:gridCol w:w="105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全息云（雾）滴谱仪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77"/>
        <w:gridCol w:w="1622"/>
        <w:gridCol w:w="1546"/>
        <w:gridCol w:w="477"/>
        <w:gridCol w:w="1088"/>
        <w:gridCol w:w="907"/>
        <w:gridCol w:w="1088"/>
        <w:gridCol w:w="131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郑州市局(001046023)</w:t>
            </w:r>
          </w:p>
        </w:tc>
        <w:tc>
          <w:tcPr/>
          <w:p>
            <w:r>
              <w:t>全息云（雾）滴谱仪</w:t>
            </w:r>
          </w:p>
        </w:tc>
        <w:tc>
          <w:tcPr/>
          <w:p>
            <w:r>
              <w:t>1</w:t>
            </w:r>
          </w:p>
        </w:tc>
        <w:tc>
          <w:tcPr/>
          <w:p>
            <w:r>
              <w:t>1500000.00</w:t>
            </w:r>
          </w:p>
        </w:tc>
        <w:tc>
          <w:tcPr/>
          <w:p>
            <w:r>
              <w:t xml:space="preserve">1500000.00  </w:t>
            </w:r>
          </w:p>
        </w:tc>
        <w:tc>
          <w:tcPr/>
          <w:p>
            <w:r>
              <w:t>郑州市气象局</w:t>
            </w:r>
          </w:p>
        </w:tc>
        <w:tc>
          <w:tcPr/>
          <w:p>
            <w:r>
              <w:t>冯冲13592480521</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质保期</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hint="eastAsia"/>
                <w:sz w:val="18"/>
                <w:szCs w:val="18"/>
                <w:highlight w:val="none"/>
              </w:rPr>
              <w:t>全息云（雾）滴谱仪质保8年，从双方签署现场安装测试报告之日起开始计算质保期。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E7B70" w:rsidP="00C149C3">
      <w:pPr>
        <w:numPr>
          <w:ilvl w:val="0"/>
          <w:numId w:val="6"/>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9E7B70">
      <w:pPr>
        <w:spacing w:line="360" w:lineRule="auto"/>
        <w:ind w:left="1680" w:firstLine="420"/>
        <w:jc w:val="left"/>
        <w:rPr>
          <w:b/>
          <w:bCs/>
          <w:szCs w:val="21"/>
        </w:rPr>
      </w:pPr>
      <w:r>
        <w:rPr>
          <w:rFonts w:hint="eastAsia"/>
          <w:b/>
          <w:bCs/>
          <w:szCs w:val="21"/>
        </w:rPr>
        <w:t>必须明确合同金额支付条件及支付比例</w:t>
      </w:r>
    </w:p>
    <w:p w:rsidR="009E7B70">
      <w:pPr>
        <w:pStyle w:val="BodyText"/>
        <w:spacing w:after="0"/>
        <w:jc w:val="center"/>
        <w:rPr>
          <w:rFonts w:ascii="宋体" w:hAnsi="宋体" w:cs="宋体"/>
          <w:b/>
          <w:bCs/>
          <w:spacing w:val="-20"/>
          <w:kern w:val="44"/>
          <w:sz w:val="48"/>
          <w:szCs w:val="48"/>
        </w:rPr>
      </w:pPr>
      <w:r>
        <w:rPr>
          <w:b/>
          <w:bCs/>
          <w:szCs w:val="21"/>
        </w:rPr>
        <w:br w:type="page"/>
      </w:r>
      <w:bookmarkStart w:id="70" w:name="_Toc3995"/>
    </w:p>
    <w:p w:rsidR="009E7B70">
      <w:pPr>
        <w:pStyle w:val="BodyText"/>
        <w:spacing w:after="0"/>
        <w:jc w:val="center"/>
        <w:rPr>
          <w:rFonts w:ascii="宋体" w:hAnsi="宋体" w:cs="宋体"/>
          <w:b/>
          <w:bCs/>
          <w:spacing w:val="-20"/>
          <w:kern w:val="44"/>
          <w:sz w:val="48"/>
          <w:szCs w:val="48"/>
        </w:rPr>
      </w:pPr>
    </w:p>
    <w:p w:rsidR="009E7B70">
      <w:pPr>
        <w:pStyle w:val="BodyText"/>
        <w:spacing w:after="0"/>
        <w:jc w:val="center"/>
        <w:rPr>
          <w:rFonts w:ascii="宋体" w:hAnsi="宋体" w:cs="宋体"/>
          <w:b/>
          <w:bCs/>
          <w:spacing w:val="-20"/>
          <w:kern w:val="44"/>
          <w:sz w:val="48"/>
          <w:szCs w:val="48"/>
        </w:rPr>
      </w:pPr>
    </w:p>
    <w:p w:rsidR="009E7B70">
      <w:pPr>
        <w:pStyle w:val="BodyText"/>
        <w:spacing w:after="0"/>
        <w:jc w:val="center"/>
        <w:rPr>
          <w:rFonts w:ascii="宋体" w:hAnsi="宋体" w:cs="宋体"/>
          <w:b/>
          <w:bCs/>
          <w:spacing w:val="-20"/>
          <w:kern w:val="44"/>
          <w:sz w:val="48"/>
          <w:szCs w:val="48"/>
        </w:rPr>
      </w:pPr>
    </w:p>
    <w:p w:rsidR="009E7B70">
      <w:pPr>
        <w:pStyle w:val="BodyText"/>
        <w:spacing w:after="0"/>
        <w:jc w:val="center"/>
        <w:rPr>
          <w:rFonts w:ascii="宋体" w:hAnsi="宋体" w:cs="宋体"/>
          <w:b/>
          <w:bCs/>
          <w:spacing w:val="-20"/>
          <w:kern w:val="44"/>
          <w:sz w:val="48"/>
          <w:szCs w:val="48"/>
        </w:rPr>
      </w:pPr>
    </w:p>
    <w:p w:rsidR="009E7B7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9E7B7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9E7B70">
      <w:pPr>
        <w:rPr>
          <w:rFonts w:ascii="宋体" w:hAnsi="宋体" w:cs="宋体"/>
          <w:b/>
          <w:bCs/>
          <w:spacing w:val="-20"/>
          <w:kern w:val="44"/>
          <w:sz w:val="40"/>
          <w:szCs w:val="40"/>
        </w:rPr>
      </w:pPr>
    </w:p>
    <w:p w:rsidR="009E7B70">
      <w:pPr>
        <w:rPr>
          <w:rFonts w:ascii="宋体" w:hAnsi="宋体" w:cs="宋体"/>
          <w:b/>
          <w:bCs/>
          <w:spacing w:val="-20"/>
          <w:kern w:val="44"/>
          <w:sz w:val="40"/>
          <w:szCs w:val="40"/>
        </w:rPr>
      </w:pPr>
    </w:p>
    <w:p w:rsidR="009E7B70">
      <w:pPr>
        <w:rPr>
          <w:rFonts w:ascii="宋体" w:hAnsi="宋体" w:cs="宋体"/>
          <w:b/>
          <w:bCs/>
          <w:spacing w:val="-20"/>
          <w:kern w:val="44"/>
          <w:sz w:val="40"/>
          <w:szCs w:val="40"/>
        </w:rPr>
      </w:pPr>
    </w:p>
    <w:p w:rsidR="009E7B70">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9E7B70">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9E7B70">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9E7B70">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9E7B70">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9E7B70"/>
    <w:p w:rsidR="009E7B70">
      <w:pPr>
        <w:rPr>
          <w:rFonts w:eastAsia="黑体"/>
          <w:sz w:val="44"/>
          <w:szCs w:val="44"/>
        </w:rPr>
      </w:pPr>
      <w:r>
        <w:rPr>
          <w:rFonts w:eastAsia="黑体"/>
          <w:sz w:val="44"/>
          <w:szCs w:val="44"/>
        </w:rPr>
        <w:br w:type="page"/>
      </w:r>
    </w:p>
    <w:p w:rsidR="009E7B70">
      <w:pPr>
        <w:rPr>
          <w:rFonts w:eastAsia="黑体"/>
          <w:sz w:val="44"/>
          <w:szCs w:val="44"/>
        </w:rPr>
      </w:pPr>
    </w:p>
    <w:p w:rsidR="009E7B70">
      <w:pPr>
        <w:rPr>
          <w:rFonts w:eastAsia="黑体"/>
          <w:sz w:val="44"/>
          <w:szCs w:val="44"/>
        </w:rPr>
      </w:pPr>
    </w:p>
    <w:p w:rsidR="009E7B7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9E7B70">
      <w:pPr>
        <w:ind w:firstLine="640" w:firstLineChars="200"/>
        <w:rPr>
          <w:rFonts w:ascii="仿宋_GB2312" w:eastAsia="仿宋_GB2312" w:hAnsi="仿宋_GB2312" w:cs="仿宋_GB2312"/>
          <w:sz w:val="32"/>
          <w:szCs w:val="32"/>
        </w:rPr>
      </w:pPr>
    </w:p>
    <w:p w:rsidR="009E7B7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9E7B7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9E7B7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9E7B70">
      <w:pPr>
        <w:rPr>
          <w:rFonts w:eastAsia="黑体"/>
          <w:sz w:val="44"/>
          <w:szCs w:val="44"/>
        </w:rPr>
        <w:sectPr>
          <w:pgSz w:w="11906" w:h="16838"/>
          <w:pgMar w:top="1440" w:right="1800" w:bottom="1440" w:left="1800" w:header="851" w:footer="992" w:gutter="0"/>
          <w:cols w:space="425"/>
          <w:docGrid w:type="lines" w:linePitch="312"/>
        </w:sectPr>
      </w:pPr>
    </w:p>
    <w:p w:rsidR="009E7B70">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9E7B70">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9E7B70">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9E7B70">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9E7B70">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9E7B70">
      <w:pPr>
        <w:spacing w:line="400" w:lineRule="exact"/>
      </w:pPr>
    </w:p>
    <w:p w:rsidR="009E7B7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9E7B70" w:rsidP="00C149C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9E7B70">
      <w:pPr>
        <w:pStyle w:val="BodyTextIndent"/>
        <w:numPr>
          <w:ilvl w:val="0"/>
          <w:numId w:val="8"/>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9E7B70">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9E7B7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9E7B70">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9E7B70">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9E7B70">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9E7B70">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9E7B70">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9E7B7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E7B7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9E7B7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9E7B7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9E7B7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E7B7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9E7B7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9E7B70">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9E7B70">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9E7B70">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9E7B70">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E7B70">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E7B70">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E7B70">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E7B70">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E7B7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9E7B7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9E7B7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9E7B7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9E7B70">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9E7B70">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9E7B70">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9E7B70">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9E7B70">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9E7B70">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9E7B70">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9E7B7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9E7B7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9E7B70">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9E7B7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E7B7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E7B7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9E7B7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9E7B7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E7B7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E7B70">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9E7B70">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9E7B7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E7B70">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E7B7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9E7B70">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9E7B70" w:rsidP="00C149C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9E7B70">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9E7B7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9E7B70">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9E7B7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9E7B7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r>
        <w:rPr>
          <w:rFonts w:ascii="宋体" w:hAnsi="宋体" w:hint="eastAsia"/>
          <w:szCs w:val="21"/>
        </w:rPr>
        <w:t>可以勾选多项</w:t>
      </w:r>
      <w:r>
        <w:rPr>
          <w:rFonts w:ascii="宋体" w:hAnsi="宋体" w:hint="eastAsia"/>
          <w:szCs w:val="21"/>
        </w:rPr>
        <w:t>）：</w:t>
      </w:r>
    </w:p>
    <w:p w:rsidR="009E7B70">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9E7B70">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w:t>
      </w:r>
      <w:r>
        <w:rPr>
          <w:rFonts w:ascii="宋体" w:hAnsi="宋体" w:hint="eastAsia"/>
        </w:rPr>
        <w:t>实际勾选填写</w:t>
      </w:r>
      <w:r>
        <w:rPr>
          <w:rFonts w:ascii="宋体" w:hAnsi="宋体" w:hint="eastAsia"/>
        </w:rPr>
        <w:t>）：</w:t>
      </w:r>
    </w:p>
    <w:p w:rsidR="009E7B7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9E7B70" w:rsidP="00C149C3">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sidRPr="00C149C3">
        <w:rPr>
          <w:rFonts w:ascii="宋体" w:hAnsi="宋体" w:hint="eastAsia"/>
          <w:szCs w:val="21"/>
          <w:u w:val="single"/>
        </w:rPr>
        <w:t>1、合同生效后付款：双方签署合同后15个工作日内，乙方向甲方开具合同总金额的90%即人民币              元（大写）             元（小写）的有效发票，甲方在收到发票后15个工作日内向乙方支付；2、到货、检验后付款：双方签署到货验收报告后7个工作日内，乙方向甲方开具合同总金额的10%即人民币               元（大写）         元（小写）的有效发票，甲方在收到发票后15个工作日内向乙方支付。</w:t>
      </w:r>
    </w:p>
    <w:p w:rsidR="009E7B7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9E7B70">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9E7B70" w:rsidP="00C149C3">
      <w:pPr>
        <w:numPr>
          <w:ilvl w:val="0"/>
          <w:numId w:val="7"/>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9E7B70">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9E7B70">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9E7B70">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9E7B70">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9E7B7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9E7B70">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9E7B70">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9E7B70">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9E7B70" w:rsidP="00C149C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9E7B70">
      <w:pPr>
        <w:numPr>
          <w:ilvl w:val="0"/>
          <w:numId w:val="9"/>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9E7B70">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9E7B70">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E7B70">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E7B70">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E7B70">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E7B70">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E7B70">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9E7B70">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E7B70">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9E7B7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9E7B70">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9E7B70">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9E7B70">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9E7B7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9E7B7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9E7B70">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9E7B70">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9E7B70" w:rsidP="00C149C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9E7B70">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9E7B70" w:rsidP="00C149C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9E7B70" w:rsidP="00C149C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E7B70">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9E7B70">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9E7B70">
      <w:r>
        <w:rPr>
          <w:rFonts w:hint="eastAsia"/>
        </w:rPr>
        <w:br w:type="page"/>
      </w:r>
    </w:p>
    <w:p w:rsidR="009E7B70">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9E7B70">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9E7B70">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法定代表人</w:t>
            </w:r>
          </w:p>
          <w:p w:rsidR="009E7B70">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法定代表人</w:t>
            </w:r>
          </w:p>
          <w:p w:rsidR="009E7B7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E7B70">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9E7B70">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9E7B70">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9E7B70">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9E7B70">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9E7B7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9E7B70">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9E7B7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9E7B7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9E7B7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9E7B7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9E7B7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9E7B7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9E7B70">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9E7B70">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9E7B70">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9E7B7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9E7B70">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9E7B7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9E7B7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9E7B7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9E7B70">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9E7B70">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9E7B70">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9E7B7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9E7B7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9E7B70">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9E7B70">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9E7B70">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E7B70">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9E7B70">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9E7B70">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9E7B7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9E7B7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9E7B7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9E7B70">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9E7B7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9E7B70">
      <w:pPr>
        <w:numPr>
          <w:ilvl w:val="1"/>
          <w:numId w:val="12"/>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9E7B70">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9E7B70">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9E7B70">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9E7B70">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9E7B70">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9E7B70">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9E7B70">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9E7B70">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9E7B70">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9E7B70">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9E7B70">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9E7B70">
      <w:pPr>
        <w:numPr>
          <w:ilvl w:val="0"/>
          <w:numId w:val="13"/>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9E7B70">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9E7B70">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9E7B70">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9E7B70">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9E7B70">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9E7B70">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9E7B70">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9E7B70">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9E7B7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9E7B7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9E7B7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9E7B70">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9E7B70">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9E7B70">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9E7B70">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9E7B70">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9E7B70">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w:t>
      </w:r>
      <w:r>
        <w:rPr>
          <w:rFonts w:ascii="宋体" w:hAnsi="宋体" w:hint="eastAsia"/>
          <w:color w:val="auto"/>
          <w:szCs w:val="21"/>
        </w:rPr>
        <w:t>成部分。</w:t>
      </w:r>
    </w:p>
    <w:p w:rsidR="009E7B70">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9E7B70">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9E7B70">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9E7B70">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9E7B70">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9E7B70">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9E7B70">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9E7B70">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9E7B70">
      <w:pPr>
        <w:numPr>
          <w:ilvl w:val="0"/>
          <w:numId w:val="14"/>
        </w:numPr>
        <w:adjustRightInd w:val="0"/>
        <w:snapToGrid w:val="0"/>
        <w:spacing w:line="400" w:lineRule="exact"/>
        <w:jc w:val="left"/>
        <w:rPr>
          <w:rFonts w:ascii="宋体" w:hAnsi="宋体"/>
          <w:b/>
          <w:bCs/>
        </w:rPr>
      </w:pPr>
      <w:r>
        <w:rPr>
          <w:rFonts w:ascii="宋体" w:hAnsi="宋体" w:hint="eastAsia"/>
          <w:b/>
          <w:bCs/>
          <w:sz w:val="24"/>
        </w:rPr>
        <w:t>合同未尽事项</w:t>
      </w:r>
    </w:p>
    <w:p w:rsidR="009E7B70">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9E7B70">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9E7B70">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9E7B70">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9E7B70"/>
        </w:tc>
      </w:tr>
      <w:tr>
        <w:tblPrEx>
          <w:tblW w:w="8519" w:type="dxa"/>
          <w:tblInd w:w="108" w:type="dxa"/>
          <w:tblLayout w:type="fixed"/>
          <w:tblLook w:val="04A0"/>
        </w:tblPrEx>
        <w:trPr>
          <w:trHeight w:val="667"/>
        </w:trPr>
        <w:tc>
          <w:tcPr>
            <w:tcW w:w="1607" w:type="dxa"/>
            <w:vMerge/>
            <w:vAlign w:val="center"/>
          </w:tcPr>
          <w:p w:rsidR="009E7B70">
            <w:pPr>
              <w:adjustRightInd w:val="0"/>
              <w:snapToGrid w:val="0"/>
              <w:jc w:val="center"/>
              <w:rPr>
                <w:rFonts w:ascii="宋体" w:hAnsi="宋体"/>
                <w:szCs w:val="21"/>
              </w:rPr>
            </w:pPr>
          </w:p>
        </w:tc>
        <w:tc>
          <w:tcPr>
            <w:tcW w:w="1742" w:type="dxa"/>
            <w:vAlign w:val="center"/>
          </w:tcPr>
          <w:p w:rsidR="009E7B70">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9E7B70"/>
        </w:tc>
      </w:tr>
      <w:tr>
        <w:tblPrEx>
          <w:tblW w:w="8519" w:type="dxa"/>
          <w:tblInd w:w="108" w:type="dxa"/>
          <w:tblLayout w:type="fixed"/>
          <w:tblLook w:val="04A0"/>
        </w:tblPrEx>
        <w:trPr>
          <w:trHeight w:val="772"/>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9E7B70"/>
        </w:tc>
      </w:tr>
      <w:tr>
        <w:tblPrEx>
          <w:tblW w:w="8519" w:type="dxa"/>
          <w:tblInd w:w="108" w:type="dxa"/>
          <w:tblLayout w:type="fixed"/>
          <w:tblLook w:val="04A0"/>
        </w:tblPrEx>
        <w:trPr>
          <w:trHeight w:val="667"/>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9E7B70"/>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9E7B70">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货物质量缺陷</w:t>
            </w:r>
          </w:p>
          <w:p w:rsidR="009E7B70">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snapToGrid w:val="0"/>
              <w:jc w:val="center"/>
              <w:rPr>
                <w:rFonts w:ascii="宋体" w:hAnsi="宋体" w:cs="宋体"/>
                <w:szCs w:val="21"/>
              </w:rPr>
            </w:pPr>
            <w:r>
              <w:rPr>
                <w:rFonts w:ascii="宋体" w:hAnsi="宋体" w:cs="宋体" w:hint="eastAsia"/>
                <w:szCs w:val="21"/>
              </w:rPr>
              <w:t>第二节</w:t>
            </w:r>
          </w:p>
          <w:p w:rsidR="009E7B70">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9E7B70">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9E7B7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9E7B70">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9E7B70">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9E7B70">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9E7B70">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9E7B70">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9E7B7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9E7B7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9E7B70">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9E7B70">
            <w:pPr>
              <w:adjustRightInd w:val="0"/>
              <w:snapToGrid w:val="0"/>
              <w:jc w:val="center"/>
              <w:rPr>
                <w:rFonts w:ascii="宋体" w:hAnsi="宋体"/>
                <w:szCs w:val="21"/>
              </w:rPr>
            </w:pPr>
            <w:r>
              <w:rPr>
                <w:rFonts w:ascii="宋体" w:hAnsi="宋体" w:hint="eastAsia"/>
                <w:szCs w:val="21"/>
              </w:rPr>
              <w:t>第二节</w:t>
            </w:r>
          </w:p>
          <w:p w:rsidR="009E7B7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9E7B70">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9E7B70">
            <w:pPr>
              <w:adjustRightInd w:val="0"/>
              <w:snapToGrid w:val="0"/>
              <w:jc w:val="left"/>
              <w:rPr>
                <w:rFonts w:ascii="宋体" w:hAnsi="宋体"/>
                <w:szCs w:val="21"/>
              </w:rPr>
            </w:pPr>
          </w:p>
        </w:tc>
      </w:tr>
    </w:tbl>
    <w:p w:rsidR="009E7B70"/>
    <w:p w:rsidR="009E7B70">
      <w:pPr>
        <w:rPr>
          <w:b/>
          <w:bCs/>
          <w:sz w:val="44"/>
          <w:szCs w:val="44"/>
        </w:rPr>
      </w:pPr>
    </w:p>
    <w:p w:rsidR="009E7B70"/>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2"/>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E7B70"/>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49C3"/>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