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华北区域人工影响天气能力建设-人工消减云雾试验示范基地建设（雾滴谱仪）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天津气象雷达研究试验中心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华北区域人工影响天气能力建设-人工消减云雾试验示范基地建设（雾滴谱仪）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ZQCD-26114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天津市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2026年07月02日 00:00:00</w:t>
      </w:r>
      <w:bookmarkEnd w:id="26"/>
      <w:r>
        <w:rPr>
          <w:rFonts w:ascii="宋体" w:hint="eastAsia"/>
          <w:szCs w:val="21"/>
          <w:highlight w:val="none"/>
        </w:rPr>
        <w:t>至</w:t>
      </w:r>
      <w:bookmarkStart w:id="27" w:name="项目公告_signUpLastTime"/>
      <w:r>
        <w:rPr>
          <w:rFonts w:ascii="宋体" w:hint="eastAsia"/>
          <w:szCs w:val="21"/>
          <w:highlight w:val="none"/>
        </w:rPr>
        <w:t>2026年07月09日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天津气象雷达研究试验中心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宋薇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022-23348845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天津市滨海新区生态城航美道246号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天津气象雷达研究试验中心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不允许（仅针对以下产品：雾滴谱仪不允许代理商投标）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（1）标的：雾滴谱仪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销售合同必须包括雾滴谱仪，每提供1份合同得1分，最多得5分。否则不得分。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针对本项目采购的雾滴谱仪，承诺每提前10天交货的得1分，最多得1分。否则不得分。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针对雾滴谱仪设备，每提供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 xml:space="preserve">根据投标人提供的技术方案进行评分，具体评分标准如下： </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针对雾滴谱仪，测试报告涵盖温度得2分，否则不得分。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（一）项目概况</w:t>
      </w:r>
    </w:p>
    <w:p>
      <w:pPr>
        <w:spacing w:line="360" w:lineRule="auto"/>
        <w:ind w:firstLine="420" w:firstLineChars="200"/>
        <w:rPr>
          <w:rFonts w:ascii="宋体" w:hAnsi="宋体"/>
          <w:szCs w:val="21"/>
        </w:rPr>
      </w:pPr>
      <w:r>
        <w:rPr>
          <w:rFonts w:ascii="宋体" w:hAnsi="宋体" w:hint="eastAsia"/>
          <w:szCs w:val="21"/>
        </w:rPr>
        <w:t>本次采购属于“华北区域人工影响天气能力建设-人工消减云雾试验示范基地建设”设备采购项目，主要涉及人工消减云雾试验示范基地的1部雾滴谱仪采购，项目预算为80万元。雾滴谱仪是根据Mie散射原理，通过前向光学散射方法测量雾滴大小及谱分布，并根据抽气气流的速度和仪器的采样面积计算出雾滴的浓度，该设备可以很好的实现对雾的微观特性的连续观测。</w:t>
      </w:r>
    </w:p>
    <w:p>
      <w:pPr>
        <w:spacing w:line="360" w:lineRule="auto"/>
        <w:ind w:firstLine="420" w:firstLineChars="200"/>
        <w:rPr>
          <w:rFonts w:ascii="宋体" w:hAnsi="宋体"/>
          <w:szCs w:val="21"/>
        </w:rPr>
      </w:pPr>
      <w:r>
        <w:rPr>
          <w:rFonts w:ascii="宋体" w:hAnsi="宋体" w:hint="eastAsia"/>
          <w:szCs w:val="21"/>
        </w:rPr>
        <w:t>（二）总体需求</w:t>
      </w:r>
    </w:p>
    <w:p>
      <w:pPr>
        <w:spacing w:line="360" w:lineRule="auto"/>
        <w:ind w:firstLine="420" w:firstLineChars="200"/>
        <w:rPr>
          <w:rFonts w:ascii="宋体" w:hAnsi="宋体"/>
          <w:szCs w:val="21"/>
        </w:rPr>
      </w:pPr>
      <w:r>
        <w:rPr>
          <w:rFonts w:ascii="宋体" w:hAnsi="宋体" w:hint="eastAsia"/>
          <w:szCs w:val="21"/>
        </w:rPr>
        <w:t>面向人工消减云雾试验需要，采购雾滴谱仪1部。</w:t>
      </w:r>
    </w:p>
    <w:p>
      <w:pPr>
        <w:spacing w:line="360" w:lineRule="auto"/>
        <w:ind w:firstLine="420" w:firstLineChars="200"/>
        <w:rPr>
          <w:rFonts w:ascii="宋体" w:hAnsi="宋体"/>
          <w:szCs w:val="21"/>
        </w:rPr>
      </w:pPr>
      <w:r>
        <w:rPr>
          <w:rFonts w:ascii="宋体" w:hAnsi="宋体" w:hint="eastAsia"/>
          <w:szCs w:val="21"/>
        </w:rPr>
        <w:t>二、付款方式</w:t>
      </w:r>
    </w:p>
    <w:p>
      <w:pPr>
        <w:spacing w:line="360" w:lineRule="auto"/>
        <w:ind w:firstLine="420" w:firstLineChars="200"/>
        <w:rPr>
          <w:rFonts w:ascii="宋体" w:hAnsi="宋体"/>
          <w:szCs w:val="21"/>
        </w:rPr>
      </w:pPr>
      <w:r>
        <w:rPr>
          <w:rFonts w:ascii="宋体" w:hAnsi="宋体" w:hint="eastAsia"/>
          <w:szCs w:val="21"/>
        </w:rPr>
        <w:t>（一）支付方式：银行转账</w:t>
      </w:r>
    </w:p>
    <w:p>
      <w:pPr>
        <w:spacing w:line="360" w:lineRule="auto"/>
        <w:ind w:firstLine="420" w:firstLineChars="200"/>
        <w:rPr>
          <w:rFonts w:ascii="宋体" w:hAnsi="宋体"/>
          <w:szCs w:val="21"/>
        </w:rPr>
      </w:pPr>
      <w:r>
        <w:rPr>
          <w:rFonts w:ascii="宋体" w:hAnsi="宋体" w:hint="eastAsia"/>
          <w:szCs w:val="21"/>
        </w:rPr>
        <w:t>（二）货币单位：人民币</w:t>
      </w:r>
    </w:p>
    <w:p>
      <w:pPr>
        <w:spacing w:line="360" w:lineRule="auto"/>
        <w:ind w:firstLine="420" w:firstLineChars="200"/>
        <w:rPr>
          <w:rFonts w:ascii="宋体" w:hAnsi="宋体"/>
          <w:szCs w:val="21"/>
        </w:rPr>
      </w:pPr>
      <w:r>
        <w:rPr>
          <w:rFonts w:ascii="宋体" w:hAnsi="宋体" w:hint="eastAsia"/>
          <w:szCs w:val="21"/>
        </w:rPr>
        <w:t>（三）结算方式：</w:t>
      </w:r>
    </w:p>
    <w:p>
      <w:pPr>
        <w:spacing w:line="360" w:lineRule="auto"/>
        <w:ind w:firstLine="420" w:firstLineChars="200"/>
        <w:rPr>
          <w:rFonts w:ascii="宋体" w:hAnsi="宋体"/>
          <w:szCs w:val="21"/>
        </w:rPr>
      </w:pPr>
      <w:r>
        <w:rPr>
          <w:rFonts w:ascii="宋体" w:hAnsi="宋体" w:hint="eastAsia"/>
          <w:szCs w:val="21"/>
        </w:rPr>
        <w:t>合同签订后，乙方向甲方提供合同总金额5%的银行履约保函，设备验收合格</w:t>
      </w:r>
      <w:r>
        <w:rPr>
          <w:rFonts w:ascii="宋体" w:hAnsi="宋体" w:hint="eastAsia"/>
          <w:szCs w:val="21"/>
        </w:rPr>
        <w:t>后，甲方将银行履约保函退还乙方。</w:t>
      </w:r>
    </w:p>
    <w:p>
      <w:pPr>
        <w:spacing w:line="360" w:lineRule="auto"/>
        <w:ind w:firstLine="420" w:firstLineChars="200"/>
        <w:rPr>
          <w:rFonts w:ascii="宋体" w:hAnsi="宋体"/>
          <w:szCs w:val="21"/>
        </w:rPr>
      </w:pPr>
      <w:r>
        <w:rPr>
          <w:rFonts w:ascii="宋体" w:hAnsi="宋体" w:hint="eastAsia"/>
          <w:szCs w:val="21"/>
        </w:rPr>
        <w:t>合同签订后30日内支付合同金额的30%，用于雾滴谱仪的生产；设备现场开箱验收合格后，支付合同金额的30%；设备安装调试完毕且运行正常后，支付合同金额的30%；合同验收意见签署完成后支付合同金额的10%。</w:t>
      </w:r>
    </w:p>
    <w:p>
      <w:pPr>
        <w:spacing w:line="360" w:lineRule="auto"/>
        <w:ind w:firstLine="420" w:firstLineChars="200"/>
        <w:rPr>
          <w:rFonts w:ascii="宋体" w:hAnsi="宋体"/>
          <w:szCs w:val="21"/>
        </w:rPr>
      </w:pPr>
      <w:r>
        <w:rPr>
          <w:rFonts w:ascii="宋体" w:hAnsi="宋体" w:hint="eastAsia"/>
          <w:szCs w:val="21"/>
        </w:rPr>
        <w:t>三、设备需求一览表（见第七章 采购需求 附表）</w:t>
      </w:r>
    </w:p>
    <w:p>
      <w:pPr>
        <w:spacing w:line="360" w:lineRule="auto"/>
        <w:ind w:firstLine="420" w:firstLineChars="200"/>
        <w:rPr>
          <w:rFonts w:ascii="宋体" w:hAnsi="宋体"/>
          <w:szCs w:val="21"/>
        </w:rPr>
      </w:pPr>
      <w:r>
        <w:rPr>
          <w:rFonts w:ascii="宋体" w:hAnsi="宋体" w:hint="eastAsia"/>
          <w:szCs w:val="21"/>
        </w:rPr>
        <w:t>四、技术性能指标</w:t>
      </w:r>
    </w:p>
    <w:p>
      <w:pPr>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（1）雾滴谱仪</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雾滴谱仪由抽气泵抽取环境中的大气，当气流所携带的雾滴经过由光学系统构成的取样区时，根据散射强度确定粒子的大小；根据气流的速度和取样区的面积，计算出粒子的浓度。</w:t>
      </w:r>
    </w:p>
    <w:p>
      <w:pPr>
        <w:jc w:val="center"/>
        <w:rPr>
          <w:rFonts w:ascii="Arial" w:eastAsia="黑体" w:hAnsi="Arial" w:cs="Arial"/>
          <w:sz w:val="20"/>
          <w:szCs w:val="20"/>
        </w:rPr>
      </w:pPr>
      <w:r>
        <w:rPr>
          <w:rFonts w:ascii="Arial" w:eastAsia="黑体" w:hAnsi="Arial" w:cs="Arial" w:hint="eastAsia"/>
          <w:sz w:val="20"/>
          <w:szCs w:val="20"/>
        </w:rPr>
        <w:t>雾滴谱仪主要设备配置清单</w:t>
      </w:r>
    </w:p>
    <w:tbl>
      <w:tblPr>
        <w:tblStyle w:val="TableNormal"/>
        <w:tblW w:w="852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879"/>
        <w:gridCol w:w="3091"/>
        <w:gridCol w:w="1985"/>
        <w:gridCol w:w="2570"/>
      </w:tblGrid>
      <w:tr>
        <w:tblPrEx>
          <w:tblW w:w="852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395"/>
        </w:trPr>
        <w:tc>
          <w:tcPr>
            <w:tcW w:w="879" w:type="dxa"/>
            <w:vAlign w:val="center"/>
          </w:tcPr>
          <w:p>
            <w:pPr>
              <w:widowControl/>
              <w:kinsoku w:val="0"/>
              <w:autoSpaceDE w:val="0"/>
              <w:autoSpaceDN w:val="0"/>
              <w:adjustRightInd w:val="0"/>
              <w:snapToGrid w:val="0"/>
              <w:spacing w:before="97" w:after="160" w:line="230" w:lineRule="auto"/>
              <w:ind w:left="241"/>
              <w:jc w:val="left"/>
              <w:rPr>
                <w:rFonts w:ascii="宋体" w:eastAsia="等线" w:hAnsi="宋体" w:cs="宋体"/>
                <w:snapToGrid w:val="0"/>
                <w:color w:val="000000"/>
                <w:kern w:val="0"/>
                <w:sz w:val="19"/>
                <w:szCs w:val="19"/>
                <w:lang w:eastAsia="en-US"/>
              </w:rPr>
            </w:pPr>
            <w:r>
              <w:rPr>
                <w:rFonts w:ascii="宋体" w:eastAsia="等线" w:hAnsi="宋体" w:cs="宋体"/>
                <w:b/>
                <w:bCs/>
                <w:snapToGrid w:val="0"/>
                <w:color w:val="000000"/>
                <w:spacing w:val="4"/>
                <w:kern w:val="0"/>
                <w:sz w:val="19"/>
                <w:szCs w:val="19"/>
                <w:lang w:eastAsia="en-US"/>
              </w:rPr>
              <w:t>序号</w:t>
            </w:r>
          </w:p>
        </w:tc>
        <w:tc>
          <w:tcPr>
            <w:tcW w:w="3091" w:type="dxa"/>
            <w:vAlign w:val="center"/>
          </w:tcPr>
          <w:p>
            <w:pPr>
              <w:widowControl/>
              <w:kinsoku w:val="0"/>
              <w:autoSpaceDE w:val="0"/>
              <w:autoSpaceDN w:val="0"/>
              <w:adjustRightInd w:val="0"/>
              <w:snapToGrid w:val="0"/>
              <w:spacing w:before="97" w:after="160" w:line="230" w:lineRule="auto"/>
              <w:ind w:left="761"/>
              <w:jc w:val="left"/>
              <w:rPr>
                <w:rFonts w:ascii="宋体" w:eastAsia="等线" w:hAnsi="宋体" w:cs="宋体"/>
                <w:snapToGrid w:val="0"/>
                <w:color w:val="000000"/>
                <w:kern w:val="0"/>
                <w:sz w:val="19"/>
                <w:szCs w:val="19"/>
                <w:lang w:eastAsia="en-US"/>
              </w:rPr>
            </w:pPr>
            <w:r>
              <w:rPr>
                <w:rFonts w:ascii="宋体" w:eastAsia="等线" w:hAnsi="宋体" w:cs="宋体"/>
                <w:b/>
                <w:bCs/>
                <w:snapToGrid w:val="0"/>
                <w:color w:val="000000"/>
                <w:spacing w:val="5"/>
                <w:kern w:val="0"/>
                <w:sz w:val="19"/>
                <w:szCs w:val="19"/>
                <w:lang w:eastAsia="en-US"/>
              </w:rPr>
              <w:t>设备名称</w:t>
            </w:r>
          </w:p>
        </w:tc>
        <w:tc>
          <w:tcPr>
            <w:tcW w:w="1985" w:type="dxa"/>
            <w:vAlign w:val="center"/>
          </w:tcPr>
          <w:p>
            <w:pPr>
              <w:widowControl/>
              <w:kinsoku w:val="0"/>
              <w:autoSpaceDE w:val="0"/>
              <w:autoSpaceDN w:val="0"/>
              <w:adjustRightInd w:val="0"/>
              <w:snapToGrid w:val="0"/>
              <w:spacing w:before="98" w:after="160" w:line="228" w:lineRule="auto"/>
              <w:ind w:left="241"/>
              <w:jc w:val="center"/>
              <w:rPr>
                <w:rFonts w:ascii="宋体" w:eastAsia="等线" w:hAnsi="宋体" w:cs="宋体"/>
                <w:snapToGrid w:val="0"/>
                <w:color w:val="000000"/>
                <w:kern w:val="0"/>
                <w:sz w:val="19"/>
                <w:szCs w:val="19"/>
                <w:lang w:eastAsia="en-US"/>
              </w:rPr>
            </w:pPr>
            <w:r>
              <w:rPr>
                <w:rFonts w:ascii="宋体" w:eastAsia="等线" w:hAnsi="宋体" w:cs="宋体"/>
                <w:b/>
                <w:bCs/>
                <w:snapToGrid w:val="0"/>
                <w:color w:val="000000"/>
                <w:spacing w:val="3"/>
                <w:kern w:val="0"/>
                <w:sz w:val="19"/>
                <w:szCs w:val="19"/>
                <w:lang w:eastAsia="en-US"/>
              </w:rPr>
              <w:t>数量</w:t>
            </w:r>
          </w:p>
        </w:tc>
        <w:tc>
          <w:tcPr>
            <w:tcW w:w="2570" w:type="dxa"/>
            <w:vAlign w:val="center"/>
          </w:tcPr>
          <w:p>
            <w:pPr>
              <w:widowControl/>
              <w:kinsoku w:val="0"/>
              <w:autoSpaceDE w:val="0"/>
              <w:autoSpaceDN w:val="0"/>
              <w:adjustRightInd w:val="0"/>
              <w:snapToGrid w:val="0"/>
              <w:spacing w:before="97" w:after="160" w:line="230" w:lineRule="auto"/>
              <w:ind w:left="2035"/>
              <w:jc w:val="left"/>
              <w:rPr>
                <w:rFonts w:ascii="宋体" w:eastAsia="等线" w:hAnsi="宋体" w:cs="宋体"/>
                <w:snapToGrid w:val="0"/>
                <w:color w:val="000000"/>
                <w:kern w:val="0"/>
                <w:sz w:val="19"/>
                <w:szCs w:val="19"/>
                <w:lang w:eastAsia="en-US"/>
              </w:rPr>
            </w:pPr>
            <w:r>
              <w:rPr>
                <w:rFonts w:ascii="宋体" w:eastAsia="等线" w:hAnsi="宋体" w:cs="宋体"/>
                <w:b/>
                <w:bCs/>
                <w:snapToGrid w:val="0"/>
                <w:color w:val="000000"/>
                <w:spacing w:val="3"/>
                <w:kern w:val="0"/>
                <w:sz w:val="19"/>
                <w:szCs w:val="19"/>
                <w:lang w:eastAsia="en-US"/>
              </w:rPr>
              <w:t>备注</w:t>
            </w:r>
          </w:p>
        </w:tc>
      </w:tr>
      <w:tr>
        <w:tblPrEx>
          <w:tblW w:w="8525" w:type="dxa"/>
          <w:tblInd w:w="2" w:type="dxa"/>
          <w:tblLayout w:type="fixed"/>
          <w:tblCellMar>
            <w:top w:w="0" w:type="dxa"/>
            <w:left w:w="0" w:type="dxa"/>
            <w:bottom w:w="0" w:type="dxa"/>
            <w:right w:w="0" w:type="dxa"/>
          </w:tblCellMar>
        </w:tblPrEx>
        <w:trPr>
          <w:trHeight w:val="391"/>
        </w:trPr>
        <w:tc>
          <w:tcPr>
            <w:tcW w:w="879" w:type="dxa"/>
            <w:vAlign w:val="center"/>
          </w:tcPr>
          <w:p>
            <w:pPr>
              <w:spacing w:before="131" w:after="160" w:line="195" w:lineRule="auto"/>
              <w:ind w:left="131"/>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1</w:t>
            </w:r>
          </w:p>
        </w:tc>
        <w:tc>
          <w:tcPr>
            <w:tcW w:w="3091" w:type="dxa"/>
            <w:vAlign w:val="center"/>
          </w:tcPr>
          <w:p>
            <w:pPr>
              <w:widowControl/>
              <w:kinsoku w:val="0"/>
              <w:autoSpaceDE w:val="0"/>
              <w:autoSpaceDN w:val="0"/>
              <w:adjustRightInd w:val="0"/>
              <w:snapToGrid w:val="0"/>
              <w:spacing w:before="97" w:after="160" w:line="227" w:lineRule="auto"/>
              <w:ind w:left="114"/>
              <w:jc w:val="center"/>
              <w:rPr>
                <w:rFonts w:ascii="宋体" w:eastAsia="等线" w:hAnsi="宋体" w:cs="宋体"/>
                <w:snapToGrid w:val="0"/>
                <w:color w:val="000000"/>
                <w:kern w:val="0"/>
                <w:sz w:val="19"/>
                <w:szCs w:val="19"/>
                <w:lang w:eastAsia="en-US"/>
              </w:rPr>
            </w:pPr>
            <w:r>
              <w:rPr>
                <w:rFonts w:ascii="宋体" w:eastAsia="等线" w:hAnsi="宋体" w:cs="宋体"/>
                <w:snapToGrid w:val="0"/>
                <w:color w:val="000000"/>
                <w:spacing w:val="8"/>
                <w:kern w:val="0"/>
                <w:sz w:val="19"/>
                <w:szCs w:val="19"/>
                <w:lang w:eastAsia="en-US"/>
              </w:rPr>
              <w:t>雾滴谱仪主机</w:t>
            </w:r>
          </w:p>
        </w:tc>
        <w:tc>
          <w:tcPr>
            <w:tcW w:w="1985" w:type="dxa"/>
            <w:vAlign w:val="center"/>
          </w:tcPr>
          <w:p>
            <w:pPr>
              <w:spacing w:before="131" w:after="160" w:line="195" w:lineRule="auto"/>
              <w:ind w:left="128"/>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1</w:t>
            </w:r>
          </w:p>
        </w:tc>
        <w:tc>
          <w:tcPr>
            <w:tcW w:w="2570" w:type="dxa"/>
            <w:vAlign w:val="center"/>
          </w:tcPr>
          <w:p>
            <w:pPr>
              <w:spacing w:after="160" w:line="278" w:lineRule="auto"/>
              <w:jc w:val="center"/>
              <w:rPr>
                <w:rFonts w:ascii="Arial" w:eastAsia="等线" w:hAnsi="Arial" w:cs="Arial"/>
                <w:snapToGrid w:val="0"/>
                <w:color w:val="000000"/>
                <w:szCs w:val="21"/>
                <w:lang w:eastAsia="en-US"/>
              </w:rPr>
            </w:pPr>
          </w:p>
        </w:tc>
      </w:tr>
      <w:tr>
        <w:tblPrEx>
          <w:tblW w:w="8525" w:type="dxa"/>
          <w:tblInd w:w="2" w:type="dxa"/>
          <w:tblLayout w:type="fixed"/>
          <w:tblCellMar>
            <w:top w:w="0" w:type="dxa"/>
            <w:left w:w="0" w:type="dxa"/>
            <w:bottom w:w="0" w:type="dxa"/>
            <w:right w:w="0" w:type="dxa"/>
          </w:tblCellMar>
        </w:tblPrEx>
        <w:trPr>
          <w:trHeight w:val="391"/>
        </w:trPr>
        <w:tc>
          <w:tcPr>
            <w:tcW w:w="879" w:type="dxa"/>
            <w:vAlign w:val="center"/>
          </w:tcPr>
          <w:p>
            <w:pPr>
              <w:spacing w:before="131" w:after="160" w:line="195" w:lineRule="auto"/>
              <w:ind w:left="111"/>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2</w:t>
            </w:r>
          </w:p>
        </w:tc>
        <w:tc>
          <w:tcPr>
            <w:tcW w:w="3091" w:type="dxa"/>
            <w:vAlign w:val="center"/>
          </w:tcPr>
          <w:p>
            <w:pPr>
              <w:widowControl/>
              <w:kinsoku w:val="0"/>
              <w:autoSpaceDE w:val="0"/>
              <w:autoSpaceDN w:val="0"/>
              <w:adjustRightInd w:val="0"/>
              <w:snapToGrid w:val="0"/>
              <w:spacing w:before="96" w:after="160" w:line="228" w:lineRule="auto"/>
              <w:ind w:left="111"/>
              <w:jc w:val="center"/>
              <w:rPr>
                <w:rFonts w:ascii="宋体" w:eastAsia="等线" w:hAnsi="宋体" w:cs="宋体"/>
                <w:snapToGrid w:val="0"/>
                <w:color w:val="000000"/>
                <w:kern w:val="0"/>
                <w:sz w:val="19"/>
                <w:szCs w:val="19"/>
                <w:lang w:eastAsia="en-US"/>
              </w:rPr>
            </w:pPr>
            <w:r>
              <w:rPr>
                <w:rFonts w:ascii="宋体" w:eastAsia="等线" w:hAnsi="宋体" w:cs="宋体"/>
                <w:snapToGrid w:val="0"/>
                <w:color w:val="000000"/>
                <w:spacing w:val="7"/>
                <w:kern w:val="0"/>
                <w:sz w:val="19"/>
                <w:szCs w:val="19"/>
                <w:lang w:eastAsia="en-US"/>
              </w:rPr>
              <w:t>抽气泵</w:t>
            </w:r>
          </w:p>
        </w:tc>
        <w:tc>
          <w:tcPr>
            <w:tcW w:w="1985" w:type="dxa"/>
            <w:vAlign w:val="center"/>
          </w:tcPr>
          <w:p>
            <w:pPr>
              <w:spacing w:before="131" w:after="160" w:line="195" w:lineRule="auto"/>
              <w:ind w:left="128"/>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1</w:t>
            </w:r>
          </w:p>
        </w:tc>
        <w:tc>
          <w:tcPr>
            <w:tcW w:w="2570" w:type="dxa"/>
            <w:vAlign w:val="center"/>
          </w:tcPr>
          <w:p>
            <w:pPr>
              <w:spacing w:after="160" w:line="278" w:lineRule="auto"/>
              <w:jc w:val="center"/>
              <w:rPr>
                <w:rFonts w:ascii="Arial" w:eastAsia="等线" w:hAnsi="Arial" w:cs="Arial"/>
                <w:snapToGrid w:val="0"/>
                <w:color w:val="000000"/>
                <w:szCs w:val="21"/>
                <w:lang w:eastAsia="en-US"/>
              </w:rPr>
            </w:pPr>
          </w:p>
        </w:tc>
      </w:tr>
      <w:tr>
        <w:tblPrEx>
          <w:tblW w:w="8525" w:type="dxa"/>
          <w:tblInd w:w="2" w:type="dxa"/>
          <w:tblLayout w:type="fixed"/>
          <w:tblCellMar>
            <w:top w:w="0" w:type="dxa"/>
            <w:left w:w="0" w:type="dxa"/>
            <w:bottom w:w="0" w:type="dxa"/>
            <w:right w:w="0" w:type="dxa"/>
          </w:tblCellMar>
        </w:tblPrEx>
        <w:trPr>
          <w:trHeight w:val="391"/>
        </w:trPr>
        <w:tc>
          <w:tcPr>
            <w:tcW w:w="879" w:type="dxa"/>
            <w:vAlign w:val="center"/>
          </w:tcPr>
          <w:p>
            <w:pPr>
              <w:spacing w:before="133" w:after="160" w:line="195" w:lineRule="auto"/>
              <w:ind w:left="115"/>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3</w:t>
            </w:r>
          </w:p>
        </w:tc>
        <w:tc>
          <w:tcPr>
            <w:tcW w:w="3091" w:type="dxa"/>
            <w:vAlign w:val="center"/>
          </w:tcPr>
          <w:p>
            <w:pPr>
              <w:widowControl/>
              <w:kinsoku w:val="0"/>
              <w:autoSpaceDE w:val="0"/>
              <w:autoSpaceDN w:val="0"/>
              <w:adjustRightInd w:val="0"/>
              <w:snapToGrid w:val="0"/>
              <w:spacing w:before="99" w:after="160" w:line="228" w:lineRule="auto"/>
              <w:ind w:left="135"/>
              <w:jc w:val="center"/>
              <w:rPr>
                <w:rFonts w:ascii="宋体" w:eastAsia="等线" w:hAnsi="宋体" w:cs="宋体"/>
                <w:snapToGrid w:val="0"/>
                <w:color w:val="000000"/>
                <w:kern w:val="0"/>
                <w:sz w:val="19"/>
                <w:szCs w:val="19"/>
                <w:lang w:eastAsia="en-US"/>
              </w:rPr>
            </w:pPr>
            <w:r>
              <w:rPr>
                <w:rFonts w:ascii="宋体" w:eastAsia="等线" w:hAnsi="宋体" w:cs="宋体"/>
                <w:snapToGrid w:val="0"/>
                <w:color w:val="000000"/>
                <w:spacing w:val="5"/>
                <w:kern w:val="0"/>
                <w:sz w:val="19"/>
                <w:szCs w:val="19"/>
                <w:lang w:eastAsia="en-US"/>
              </w:rPr>
              <w:t>电源线、数据线</w:t>
            </w:r>
          </w:p>
        </w:tc>
        <w:tc>
          <w:tcPr>
            <w:tcW w:w="1985" w:type="dxa"/>
            <w:vAlign w:val="center"/>
          </w:tcPr>
          <w:p>
            <w:pPr>
              <w:spacing w:before="133" w:after="160" w:line="195" w:lineRule="auto"/>
              <w:ind w:left="128"/>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1</w:t>
            </w:r>
          </w:p>
        </w:tc>
        <w:tc>
          <w:tcPr>
            <w:tcW w:w="2570" w:type="dxa"/>
            <w:vAlign w:val="center"/>
          </w:tcPr>
          <w:p>
            <w:pPr>
              <w:spacing w:after="160" w:line="278" w:lineRule="auto"/>
              <w:jc w:val="center"/>
              <w:rPr>
                <w:rFonts w:ascii="Arial" w:eastAsia="等线" w:hAnsi="Arial" w:cs="Arial"/>
                <w:snapToGrid w:val="0"/>
                <w:color w:val="000000"/>
                <w:szCs w:val="21"/>
                <w:lang w:eastAsia="en-US"/>
              </w:rPr>
            </w:pPr>
          </w:p>
        </w:tc>
      </w:tr>
      <w:tr>
        <w:tblPrEx>
          <w:tblW w:w="8525" w:type="dxa"/>
          <w:tblInd w:w="2" w:type="dxa"/>
          <w:tblLayout w:type="fixed"/>
          <w:tblCellMar>
            <w:top w:w="0" w:type="dxa"/>
            <w:left w:w="0" w:type="dxa"/>
            <w:bottom w:w="0" w:type="dxa"/>
            <w:right w:w="0" w:type="dxa"/>
          </w:tblCellMar>
        </w:tblPrEx>
        <w:trPr>
          <w:trHeight w:val="396"/>
        </w:trPr>
        <w:tc>
          <w:tcPr>
            <w:tcW w:w="879" w:type="dxa"/>
            <w:vAlign w:val="center"/>
          </w:tcPr>
          <w:p>
            <w:pPr>
              <w:spacing w:before="133" w:after="160" w:line="195" w:lineRule="auto"/>
              <w:ind w:left="110"/>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pacing w:val="1"/>
                <w:sz w:val="19"/>
                <w:szCs w:val="19"/>
                <w:lang w:eastAsia="en-US"/>
              </w:rPr>
              <w:t>4</w:t>
            </w:r>
          </w:p>
        </w:tc>
        <w:tc>
          <w:tcPr>
            <w:tcW w:w="3091" w:type="dxa"/>
            <w:vAlign w:val="center"/>
          </w:tcPr>
          <w:p>
            <w:pPr>
              <w:widowControl/>
              <w:kinsoku w:val="0"/>
              <w:autoSpaceDE w:val="0"/>
              <w:autoSpaceDN w:val="0"/>
              <w:adjustRightInd w:val="0"/>
              <w:snapToGrid w:val="0"/>
              <w:spacing w:before="99" w:after="160" w:line="227" w:lineRule="auto"/>
              <w:ind w:left="114"/>
              <w:jc w:val="center"/>
              <w:rPr>
                <w:rFonts w:ascii="宋体" w:eastAsia="等线" w:hAnsi="宋体" w:cs="宋体"/>
                <w:snapToGrid w:val="0"/>
                <w:color w:val="000000"/>
                <w:kern w:val="0"/>
                <w:sz w:val="19"/>
                <w:szCs w:val="19"/>
                <w:lang w:eastAsia="en-US"/>
              </w:rPr>
            </w:pPr>
            <w:r>
              <w:rPr>
                <w:rFonts w:ascii="宋体" w:eastAsia="等线" w:hAnsi="宋体" w:cs="宋体"/>
                <w:snapToGrid w:val="0"/>
                <w:color w:val="000000"/>
                <w:spacing w:val="8"/>
                <w:kern w:val="0"/>
                <w:sz w:val="19"/>
                <w:szCs w:val="19"/>
                <w:lang w:eastAsia="en-US"/>
              </w:rPr>
              <w:t>数据采集计算机</w:t>
            </w:r>
          </w:p>
        </w:tc>
        <w:tc>
          <w:tcPr>
            <w:tcW w:w="1985" w:type="dxa"/>
            <w:vAlign w:val="center"/>
          </w:tcPr>
          <w:p>
            <w:pPr>
              <w:spacing w:before="133" w:after="160" w:line="195" w:lineRule="auto"/>
              <w:ind w:left="128"/>
              <w:jc w:val="center"/>
              <w:rPr>
                <w:rFonts w:ascii="Times New Roman" w:eastAsia="Times New Roman" w:hAnsi="Times New Roman" w:cs="Times New Roman"/>
                <w:snapToGrid w:val="0"/>
                <w:color w:val="000000"/>
                <w:sz w:val="19"/>
                <w:szCs w:val="19"/>
                <w:lang w:eastAsia="en-US"/>
              </w:rPr>
            </w:pPr>
            <w:r>
              <w:rPr>
                <w:rFonts w:ascii="Times New Roman" w:eastAsia="Times New Roman" w:hAnsi="Times New Roman" w:cs="Times New Roman"/>
                <w:snapToGrid w:val="0"/>
                <w:color w:val="000000"/>
                <w:sz w:val="19"/>
                <w:szCs w:val="19"/>
                <w:lang w:eastAsia="en-US"/>
              </w:rPr>
              <w:t>1</w:t>
            </w:r>
          </w:p>
        </w:tc>
        <w:tc>
          <w:tcPr>
            <w:tcW w:w="2570" w:type="dxa"/>
            <w:vAlign w:val="center"/>
          </w:tcPr>
          <w:p>
            <w:pPr>
              <w:spacing w:after="160" w:line="278" w:lineRule="auto"/>
              <w:jc w:val="center"/>
              <w:rPr>
                <w:rFonts w:ascii="Arial" w:eastAsia="等线" w:hAnsi="Arial" w:cs="Arial"/>
                <w:snapToGrid w:val="0"/>
                <w:color w:val="000000"/>
                <w:szCs w:val="21"/>
                <w:lang w:eastAsia="en-US"/>
              </w:rPr>
            </w:pPr>
          </w:p>
        </w:tc>
      </w:tr>
    </w:tbl>
    <w:p>
      <w:pPr>
        <w:spacing w:line="360" w:lineRule="auto"/>
        <w:ind w:firstLine="420" w:firstLineChars="200"/>
        <w:jc w:val="center"/>
        <w:rPr>
          <w:rFonts w:ascii="宋体" w:eastAsia="宋体" w:hAnsi="宋体" w:cs="Times New Roman"/>
          <w:szCs w:val="21"/>
        </w:rPr>
      </w:pPr>
    </w:p>
    <w:p>
      <w:pPr>
        <w:spacing w:line="360" w:lineRule="auto"/>
        <w:ind w:firstLine="420" w:firstLineChars="200"/>
        <w:jc w:val="center"/>
        <w:rPr>
          <w:rFonts w:ascii="宋体" w:eastAsia="宋体" w:hAnsi="宋体" w:cs="宋体"/>
          <w:spacing w:val="-1"/>
          <w:szCs w:val="28"/>
        </w:rPr>
      </w:pPr>
      <w:r>
        <w:rPr>
          <w:rFonts w:ascii="宋体" w:eastAsia="宋体" w:hAnsi="宋体" w:cs="Times New Roman" w:hint="eastAsia"/>
          <w:szCs w:val="21"/>
        </w:rPr>
        <w:t>雾滴谱仪技术</w:t>
      </w:r>
      <w:r>
        <w:rPr>
          <w:rFonts w:ascii="宋体" w:eastAsia="宋体" w:hAnsi="宋体" w:cs="宋体" w:hint="eastAsia"/>
          <w:spacing w:val="-1"/>
          <w:szCs w:val="28"/>
        </w:rPr>
        <w:t>性能指标要求</w:t>
      </w:r>
    </w:p>
    <w:tbl>
      <w:tblPr>
        <w:tblStyle w:val="TableNormal"/>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3233"/>
        <w:gridCol w:w="5069"/>
      </w:tblGrid>
      <w:tr>
        <w:tblPrEx>
          <w:tblW w:w="8302" w:type="dxa"/>
          <w:tblInd w:w="-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463"/>
        </w:trPr>
        <w:tc>
          <w:tcPr>
            <w:tcW w:w="3233" w:type="dxa"/>
          </w:tcPr>
          <w:p>
            <w:pPr>
              <w:widowControl/>
              <w:kinsoku w:val="0"/>
              <w:autoSpaceDE w:val="0"/>
              <w:autoSpaceDN w:val="0"/>
              <w:adjustRightInd w:val="0"/>
              <w:snapToGrid w:val="0"/>
              <w:spacing w:before="134" w:line="228" w:lineRule="auto"/>
              <w:ind w:left="1422"/>
              <w:jc w:val="left"/>
              <w:rPr>
                <w:rFonts w:ascii="宋体" w:eastAsia="宋体" w:hAnsi="宋体" w:cs="宋体"/>
                <w:kern w:val="0"/>
                <w:sz w:val="19"/>
                <w:szCs w:val="19"/>
              </w:rPr>
            </w:pPr>
            <w:r>
              <w:rPr>
                <w:rFonts w:ascii="宋体" w:eastAsia="Times New Roman" w:hAnsi="宋体" w:cs="宋体" w:hint="eastAsia"/>
                <w:b/>
                <w:bCs/>
                <w:spacing w:val="3"/>
                <w:kern w:val="0"/>
                <w:sz w:val="19"/>
                <w:szCs w:val="19"/>
              </w:rPr>
              <w:t>项目</w:t>
            </w:r>
          </w:p>
        </w:tc>
        <w:tc>
          <w:tcPr>
            <w:tcW w:w="5069" w:type="dxa"/>
          </w:tcPr>
          <w:p>
            <w:pPr>
              <w:widowControl/>
              <w:kinsoku w:val="0"/>
              <w:autoSpaceDE w:val="0"/>
              <w:autoSpaceDN w:val="0"/>
              <w:adjustRightInd w:val="0"/>
              <w:snapToGrid w:val="0"/>
              <w:spacing w:before="133" w:line="250" w:lineRule="exact"/>
              <w:ind w:left="1708" w:firstLine="190" w:firstLineChars="100"/>
              <w:jc w:val="left"/>
              <w:rPr>
                <w:rFonts w:ascii="宋体" w:eastAsia="Times New Roman" w:hAnsi="宋体" w:cs="宋体"/>
                <w:kern w:val="0"/>
                <w:sz w:val="19"/>
                <w:szCs w:val="19"/>
                <w:lang w:eastAsia="en-US"/>
              </w:rPr>
            </w:pPr>
            <w:r>
              <w:rPr>
                <w:rFonts w:ascii="宋体" w:eastAsia="Times New Roman" w:hAnsi="宋体" w:cs="宋体" w:hint="eastAsia"/>
                <w:b/>
                <w:bCs/>
                <w:spacing w:val="6"/>
                <w:kern w:val="0"/>
                <w:sz w:val="19"/>
                <w:szCs w:val="19"/>
              </w:rPr>
              <w:t>性能</w:t>
            </w:r>
            <w:r>
              <w:rPr>
                <w:rFonts w:ascii="宋体" w:eastAsia="Times New Roman" w:hAnsi="宋体" w:cs="宋体"/>
                <w:b/>
                <w:bCs/>
                <w:spacing w:val="6"/>
                <w:kern w:val="0"/>
                <w:sz w:val="19"/>
                <w:szCs w:val="19"/>
                <w:lang w:eastAsia="en-US"/>
              </w:rPr>
              <w:t>指标</w:t>
            </w:r>
          </w:p>
        </w:tc>
      </w:tr>
      <w:tr>
        <w:tblPrEx>
          <w:tblW w:w="8302" w:type="dxa"/>
          <w:tblInd w:w="-24" w:type="dxa"/>
          <w:tblLayout w:type="fixed"/>
          <w:tblCellMar>
            <w:top w:w="0" w:type="dxa"/>
            <w:left w:w="0" w:type="dxa"/>
            <w:bottom w:w="0" w:type="dxa"/>
            <w:right w:w="0" w:type="dxa"/>
          </w:tblCellMar>
        </w:tblPrEx>
        <w:trPr>
          <w:trHeight w:val="463"/>
        </w:trPr>
        <w:tc>
          <w:tcPr>
            <w:tcW w:w="3233" w:type="dxa"/>
          </w:tcPr>
          <w:p>
            <w:pPr>
              <w:widowControl/>
              <w:kinsoku w:val="0"/>
              <w:autoSpaceDE w:val="0"/>
              <w:autoSpaceDN w:val="0"/>
              <w:adjustRightInd w:val="0"/>
              <w:snapToGrid w:val="0"/>
              <w:spacing w:before="134" w:line="229" w:lineRule="auto"/>
              <w:ind w:left="13"/>
              <w:jc w:val="left"/>
              <w:rPr>
                <w:rFonts w:ascii="宋体" w:eastAsia="Times New Roman" w:hAnsi="宋体" w:cs="宋体"/>
                <w:kern w:val="0"/>
                <w:sz w:val="19"/>
                <w:szCs w:val="19"/>
                <w:lang w:eastAsia="en-US"/>
              </w:rPr>
            </w:pPr>
            <w:r>
              <w:rPr>
                <w:rFonts w:ascii="宋体" w:eastAsia="宋体" w:hAnsi="宋体" w:cs="宋体"/>
                <w:color w:val="000000"/>
                <w:kern w:val="0"/>
                <w:sz w:val="19"/>
                <w:szCs w:val="21"/>
                <w:highlight w:val="yellow"/>
                <w:lang w:eastAsia="en-US" w:bidi="ar"/>
              </w:rPr>
              <w:t>#</w:t>
            </w:r>
            <w:r>
              <w:rPr>
                <w:rFonts w:ascii="宋体" w:eastAsia="Times New Roman" w:hAnsi="宋体" w:cs="宋体"/>
                <w:spacing w:val="7"/>
                <w:kern w:val="0"/>
                <w:sz w:val="19"/>
                <w:szCs w:val="19"/>
                <w:highlight w:val="yellow"/>
                <w:lang w:eastAsia="en-US"/>
              </w:rPr>
              <w:t>测量范围</w:t>
            </w:r>
          </w:p>
        </w:tc>
        <w:tc>
          <w:tcPr>
            <w:tcW w:w="5069" w:type="dxa"/>
          </w:tcPr>
          <w:p>
            <w:pPr>
              <w:widowControl/>
              <w:kinsoku w:val="0"/>
              <w:autoSpaceDE w:val="0"/>
              <w:autoSpaceDN w:val="0"/>
              <w:adjustRightInd w:val="0"/>
              <w:snapToGrid w:val="0"/>
              <w:spacing w:before="133" w:line="225" w:lineRule="auto"/>
              <w:ind w:left="6"/>
              <w:jc w:val="left"/>
              <w:rPr>
                <w:rFonts w:ascii="Times New Roman" w:eastAsia="Times New Roman" w:hAnsi="Times New Roman" w:cs="Times New Roman"/>
                <w:kern w:val="0"/>
                <w:sz w:val="19"/>
                <w:szCs w:val="19"/>
                <w:lang w:eastAsia="en-US"/>
              </w:rPr>
            </w:pPr>
            <w:r>
              <w:rPr>
                <w:rFonts w:ascii="Times New Roman" w:eastAsia="Times New Roman" w:hAnsi="Times New Roman" w:cs="Times New Roman"/>
                <w:spacing w:val="5"/>
                <w:kern w:val="0"/>
                <w:sz w:val="19"/>
                <w:szCs w:val="19"/>
                <w:lang w:eastAsia="en-US"/>
              </w:rPr>
              <w:t>2</w:t>
            </w:r>
            <w:r>
              <w:rPr>
                <w:rFonts w:ascii="宋体" w:eastAsia="Times New Roman" w:hAnsi="宋体" w:cs="宋体"/>
                <w:spacing w:val="5"/>
                <w:kern w:val="0"/>
                <w:sz w:val="19"/>
                <w:szCs w:val="19"/>
                <w:lang w:eastAsia="en-US"/>
              </w:rPr>
              <w:t>－</w:t>
            </w:r>
            <w:r>
              <w:rPr>
                <w:rFonts w:ascii="Times New Roman" w:eastAsia="Times New Roman" w:hAnsi="Times New Roman" w:cs="Times New Roman"/>
                <w:spacing w:val="5"/>
                <w:kern w:val="0"/>
                <w:sz w:val="19"/>
                <w:szCs w:val="19"/>
                <w:lang w:eastAsia="en-US"/>
              </w:rPr>
              <w:t>50</w:t>
            </w:r>
            <w:r>
              <w:rPr>
                <w:rFonts w:ascii="Arial" w:eastAsia="Arial" w:hAnsi="Arial" w:cs="Arial"/>
                <w:spacing w:val="5"/>
                <w:kern w:val="0"/>
                <w:sz w:val="19"/>
                <w:szCs w:val="19"/>
                <w:lang w:eastAsia="en-US"/>
              </w:rPr>
              <w:t>μ</w:t>
            </w:r>
            <w:r>
              <w:rPr>
                <w:rFonts w:ascii="Times New Roman" w:eastAsia="Times New Roman" w:hAnsi="Times New Roman" w:cs="Times New Roman"/>
                <w:spacing w:val="5"/>
                <w:kern w:val="0"/>
                <w:sz w:val="19"/>
                <w:szCs w:val="19"/>
                <w:lang w:eastAsia="en-US"/>
              </w:rPr>
              <w:t>m</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29" w:line="228" w:lineRule="auto"/>
              <w:ind w:left="13"/>
              <w:jc w:val="left"/>
              <w:rPr>
                <w:rFonts w:ascii="宋体" w:eastAsia="Times New Roman" w:hAnsi="宋体" w:cs="宋体"/>
                <w:kern w:val="0"/>
                <w:sz w:val="19"/>
                <w:szCs w:val="19"/>
                <w:lang w:eastAsia="en-US"/>
              </w:rPr>
            </w:pPr>
            <w:r>
              <w:rPr>
                <w:rFonts w:asciiTheme="minorEastAsia" w:hAnsiTheme="minorEastAsia" w:cs="宋体" w:hint="eastAsia"/>
                <w:spacing w:val="7"/>
                <w:kern w:val="0"/>
                <w:sz w:val="19"/>
                <w:szCs w:val="19"/>
                <w:highlight w:val="yellow"/>
              </w:rPr>
              <w:t>#</w:t>
            </w:r>
            <w:r>
              <w:rPr>
                <w:rFonts w:ascii="宋体" w:eastAsia="Times New Roman" w:hAnsi="宋体" w:cs="宋体"/>
                <w:spacing w:val="7"/>
                <w:kern w:val="0"/>
                <w:sz w:val="19"/>
                <w:szCs w:val="19"/>
                <w:highlight w:val="yellow"/>
                <w:lang w:eastAsia="en-US"/>
              </w:rPr>
              <w:t>测量分辨率</w:t>
            </w:r>
          </w:p>
        </w:tc>
        <w:tc>
          <w:tcPr>
            <w:tcW w:w="5069" w:type="dxa"/>
          </w:tcPr>
          <w:p>
            <w:pPr>
              <w:widowControl/>
              <w:kinsoku w:val="0"/>
              <w:autoSpaceDE w:val="0"/>
              <w:autoSpaceDN w:val="0"/>
              <w:adjustRightInd w:val="0"/>
              <w:snapToGrid w:val="0"/>
              <w:spacing w:before="129" w:line="225" w:lineRule="auto"/>
              <w:ind w:left="12"/>
              <w:jc w:val="left"/>
              <w:rPr>
                <w:rFonts w:ascii="Times New Roman" w:eastAsia="Times New Roman" w:hAnsi="Times New Roman" w:cs="Times New Roman"/>
                <w:kern w:val="0"/>
                <w:sz w:val="19"/>
                <w:szCs w:val="19"/>
                <w:lang w:eastAsia="en-US"/>
              </w:rPr>
            </w:pPr>
            <w:r>
              <w:rPr>
                <w:rFonts w:ascii="宋体" w:eastAsia="Times New Roman" w:hAnsi="宋体" w:cs="宋体"/>
                <w:kern w:val="0"/>
                <w:sz w:val="19"/>
                <w:szCs w:val="19"/>
                <w:lang w:eastAsia="en-US"/>
              </w:rPr>
              <w:t>最小</w:t>
            </w:r>
            <w:r>
              <w:rPr>
                <w:rFonts w:ascii="Times New Roman" w:eastAsia="Times New Roman" w:hAnsi="Times New Roman" w:cs="Times New Roman"/>
                <w:kern w:val="0"/>
                <w:sz w:val="19"/>
                <w:szCs w:val="19"/>
                <w:lang w:eastAsia="en-US"/>
              </w:rPr>
              <w:t>1</w:t>
            </w:r>
            <w:r>
              <w:rPr>
                <w:rFonts w:ascii="Arial" w:eastAsia="Arial" w:hAnsi="Arial" w:cs="Arial"/>
                <w:kern w:val="0"/>
                <w:sz w:val="19"/>
                <w:szCs w:val="19"/>
                <w:lang w:eastAsia="en-US"/>
              </w:rPr>
              <w:t>μ</w:t>
            </w:r>
            <w:r>
              <w:rPr>
                <w:rFonts w:ascii="Times New Roman" w:eastAsia="Times New Roman" w:hAnsi="Times New Roman" w:cs="Times New Roman"/>
                <w:kern w:val="0"/>
                <w:sz w:val="19"/>
                <w:szCs w:val="19"/>
                <w:lang w:eastAsia="en-US"/>
              </w:rPr>
              <w:t>m</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29" w:line="228" w:lineRule="auto"/>
              <w:ind w:left="11"/>
              <w:jc w:val="left"/>
              <w:rPr>
                <w:rFonts w:ascii="宋体" w:eastAsia="Times New Roman" w:hAnsi="宋体" w:cs="宋体"/>
                <w:kern w:val="0"/>
                <w:sz w:val="19"/>
                <w:szCs w:val="19"/>
                <w:lang w:eastAsia="en-US"/>
              </w:rPr>
            </w:pPr>
            <w:r>
              <w:rPr>
                <w:rFonts w:asciiTheme="minorEastAsia" w:hAnsiTheme="minorEastAsia" w:cs="宋体" w:hint="eastAsia"/>
                <w:spacing w:val="8"/>
                <w:kern w:val="0"/>
                <w:sz w:val="19"/>
                <w:szCs w:val="19"/>
                <w:highlight w:val="yellow"/>
              </w:rPr>
              <w:t>#</w:t>
            </w:r>
            <w:r>
              <w:rPr>
                <w:rFonts w:ascii="宋体" w:eastAsia="Times New Roman" w:hAnsi="宋体" w:cs="宋体"/>
                <w:spacing w:val="8"/>
                <w:kern w:val="0"/>
                <w:sz w:val="19"/>
                <w:szCs w:val="19"/>
                <w:highlight w:val="yellow"/>
                <w:lang w:eastAsia="en-US"/>
              </w:rPr>
              <w:t>采样气流速度</w:t>
            </w:r>
          </w:p>
        </w:tc>
        <w:tc>
          <w:tcPr>
            <w:tcW w:w="5069" w:type="dxa"/>
          </w:tcPr>
          <w:p>
            <w:pPr>
              <w:widowControl/>
              <w:kinsoku w:val="0"/>
              <w:autoSpaceDE w:val="0"/>
              <w:autoSpaceDN w:val="0"/>
              <w:adjustRightInd w:val="0"/>
              <w:snapToGrid w:val="0"/>
              <w:spacing w:before="162" w:line="227" w:lineRule="auto"/>
              <w:ind w:left="25"/>
              <w:jc w:val="left"/>
              <w:rPr>
                <w:rFonts w:ascii="Times New Roman" w:eastAsia="Times New Roman" w:hAnsi="Times New Roman" w:cs="Times New Roman"/>
                <w:kern w:val="0"/>
                <w:sz w:val="19"/>
                <w:szCs w:val="19"/>
                <w:lang w:eastAsia="en-US"/>
              </w:rPr>
            </w:pPr>
            <w:r>
              <w:rPr>
                <w:rFonts w:ascii="Times New Roman" w:eastAsia="Times New Roman" w:hAnsi="Times New Roman" w:cs="Times New Roman"/>
                <w:spacing w:val="2"/>
                <w:kern w:val="0"/>
                <w:sz w:val="19"/>
                <w:szCs w:val="19"/>
                <w:lang w:eastAsia="en-US"/>
              </w:rPr>
              <w:t>15m/s</w:t>
            </w:r>
            <w:r>
              <w:rPr>
                <w:rFonts w:ascii="Times New Roman" w:eastAsia="Times New Roman" w:hAnsi="Times New Roman" w:cs="Times New Roman"/>
                <w:spacing w:val="-21"/>
                <w:kern w:val="0"/>
                <w:sz w:val="19"/>
                <w:szCs w:val="19"/>
                <w:lang w:eastAsia="en-US"/>
              </w:rPr>
              <w:t xml:space="preserve"> </w:t>
            </w:r>
            <w:r>
              <w:rPr>
                <w:rFonts w:ascii="宋体" w:eastAsia="Times New Roman" w:hAnsi="宋体" w:cs="宋体"/>
                <w:spacing w:val="2"/>
                <w:kern w:val="0"/>
                <w:sz w:val="19"/>
                <w:szCs w:val="19"/>
                <w:lang w:eastAsia="en-US"/>
              </w:rPr>
              <w:t>、</w:t>
            </w:r>
            <w:r>
              <w:rPr>
                <w:rFonts w:ascii="Times New Roman" w:eastAsia="Times New Roman" w:hAnsi="Times New Roman" w:cs="Times New Roman"/>
                <w:spacing w:val="2"/>
                <w:kern w:val="0"/>
                <w:sz w:val="19"/>
                <w:szCs w:val="19"/>
                <w:lang w:eastAsia="en-US"/>
              </w:rPr>
              <w:t>1m</w:t>
            </w:r>
            <w:r>
              <w:rPr>
                <w:rFonts w:ascii="Times New Roman" w:eastAsia="Times New Roman" w:hAnsi="Times New Roman" w:cs="Times New Roman"/>
                <w:spacing w:val="2"/>
                <w:kern w:val="0"/>
                <w:sz w:val="19"/>
                <w:szCs w:val="19"/>
                <w:vertAlign w:val="superscript"/>
                <w:lang w:eastAsia="en-US"/>
              </w:rPr>
              <w:t>3</w:t>
            </w:r>
            <w:r>
              <w:rPr>
                <w:rFonts w:ascii="Times New Roman" w:eastAsia="Times New Roman" w:hAnsi="Times New Roman" w:cs="Times New Roman"/>
                <w:spacing w:val="2"/>
                <w:kern w:val="0"/>
                <w:sz w:val="19"/>
                <w:szCs w:val="19"/>
                <w:lang w:eastAsia="en-US"/>
              </w:rPr>
              <w:t>/</w:t>
            </w:r>
            <w:r>
              <w:rPr>
                <w:rFonts w:ascii="Times New Roman" w:eastAsia="Times New Roman" w:hAnsi="Times New Roman" w:cs="Times New Roman"/>
                <w:kern w:val="0"/>
                <w:sz w:val="19"/>
                <w:szCs w:val="19"/>
                <w:lang w:eastAsia="en-US"/>
              </w:rPr>
              <w:t>min</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29" w:line="228" w:lineRule="auto"/>
              <w:ind w:left="11"/>
              <w:jc w:val="left"/>
              <w:rPr>
                <w:rFonts w:ascii="Times New Roman" w:eastAsia="Times New Roman" w:hAnsi="Times New Roman" w:cs="Times New Roman"/>
                <w:kern w:val="0"/>
                <w:sz w:val="19"/>
                <w:szCs w:val="19"/>
                <w:lang w:eastAsia="en-US"/>
              </w:rPr>
            </w:pPr>
            <w:r>
              <w:rPr>
                <w:rFonts w:ascii="Times New Roman" w:hAnsi="Times New Roman" w:cs="Times New Roman"/>
                <w:kern w:val="0"/>
                <w:sz w:val="19"/>
                <w:szCs w:val="19"/>
              </w:rPr>
              <w:t>取</w:t>
            </w:r>
            <w:r>
              <w:rPr>
                <w:rFonts w:ascii="宋体" w:eastAsia="宋体" w:hAnsi="宋体" w:cs="宋体" w:hint="eastAsia"/>
                <w:kern w:val="0"/>
                <w:sz w:val="19"/>
                <w:szCs w:val="19"/>
                <w:lang w:eastAsia="en-US"/>
              </w:rPr>
              <w:t>样面积</w:t>
            </w:r>
          </w:p>
        </w:tc>
        <w:tc>
          <w:tcPr>
            <w:tcW w:w="5069" w:type="dxa"/>
          </w:tcPr>
          <w:p>
            <w:pPr>
              <w:widowControl/>
              <w:kinsoku w:val="0"/>
              <w:autoSpaceDE w:val="0"/>
              <w:autoSpaceDN w:val="0"/>
              <w:adjustRightInd w:val="0"/>
              <w:snapToGrid w:val="0"/>
              <w:spacing w:before="162" w:line="227" w:lineRule="auto"/>
              <w:ind w:left="25"/>
              <w:jc w:val="left"/>
              <w:rPr>
                <w:rFonts w:ascii="Times New Roman" w:eastAsia="Times New Roman" w:hAnsi="Times New Roman" w:cs="Times New Roman"/>
                <w:kern w:val="0"/>
                <w:sz w:val="19"/>
                <w:szCs w:val="19"/>
                <w:lang w:eastAsia="en-US"/>
              </w:rPr>
            </w:pPr>
            <w:r>
              <w:rPr>
                <w:rFonts w:ascii="Times New Roman" w:eastAsia="Times New Roman" w:hAnsi="Times New Roman" w:cs="Times New Roman"/>
                <w:kern w:val="0"/>
                <w:sz w:val="19"/>
                <w:szCs w:val="19"/>
                <w:lang w:eastAsia="en-US"/>
              </w:rPr>
              <w:t>0.2mm</w:t>
            </w:r>
            <w:r>
              <w:rPr>
                <w:rFonts w:ascii="Times New Roman" w:eastAsia="Times New Roman" w:hAnsi="Times New Roman" w:cs="Times New Roman"/>
                <w:kern w:val="0"/>
                <w:sz w:val="19"/>
                <w:szCs w:val="19"/>
                <w:vertAlign w:val="superscript"/>
                <w:lang w:eastAsia="en-US"/>
              </w:rPr>
              <w:t>2</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29" w:line="228" w:lineRule="auto"/>
              <w:ind w:left="13"/>
              <w:jc w:val="left"/>
              <w:rPr>
                <w:rFonts w:ascii="宋体" w:eastAsia="Times New Roman" w:hAnsi="宋体" w:cs="宋体"/>
                <w:kern w:val="0"/>
                <w:sz w:val="19"/>
                <w:szCs w:val="19"/>
                <w:lang w:eastAsia="en-US"/>
              </w:rPr>
            </w:pPr>
            <w:r>
              <w:rPr>
                <w:rFonts w:asciiTheme="minorEastAsia" w:hAnsiTheme="minorEastAsia" w:cs="宋体" w:hint="eastAsia"/>
                <w:spacing w:val="6"/>
                <w:kern w:val="0"/>
                <w:sz w:val="19"/>
                <w:szCs w:val="19"/>
                <w:highlight w:val="yellow"/>
              </w:rPr>
              <w:t>#</w:t>
            </w:r>
            <w:r>
              <w:rPr>
                <w:rFonts w:ascii="宋体" w:eastAsia="Times New Roman" w:hAnsi="宋体" w:cs="宋体"/>
                <w:spacing w:val="6"/>
                <w:kern w:val="0"/>
                <w:sz w:val="19"/>
                <w:szCs w:val="19"/>
                <w:highlight w:val="yellow"/>
                <w:lang w:eastAsia="en-US"/>
              </w:rPr>
              <w:t>数据传输</w:t>
            </w:r>
          </w:p>
        </w:tc>
        <w:tc>
          <w:tcPr>
            <w:tcW w:w="5069" w:type="dxa"/>
          </w:tcPr>
          <w:p>
            <w:pPr>
              <w:snapToGrid w:val="0"/>
              <w:spacing w:before="162" w:line="242" w:lineRule="auto"/>
              <w:ind w:left="5"/>
              <w:rPr>
                <w:rFonts w:ascii="Times New Roman" w:eastAsia="Times New Roman" w:hAnsi="Times New Roman" w:cs="Times New Roman"/>
                <w:sz w:val="19"/>
                <w:szCs w:val="19"/>
              </w:rPr>
            </w:pPr>
            <w:r>
              <w:rPr>
                <w:rFonts w:ascii="Times New Roman" w:eastAsia="Times New Roman" w:hAnsi="Times New Roman" w:cs="Times New Roman"/>
                <w:spacing w:val="4"/>
                <w:sz w:val="19"/>
                <w:szCs w:val="19"/>
              </w:rPr>
              <w:t>485</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29" w:line="228" w:lineRule="auto"/>
              <w:ind w:left="11"/>
              <w:jc w:val="left"/>
              <w:rPr>
                <w:rFonts w:ascii="宋体" w:eastAsia="Times New Roman" w:hAnsi="宋体" w:cs="宋体"/>
                <w:kern w:val="0"/>
                <w:sz w:val="19"/>
                <w:szCs w:val="19"/>
              </w:rPr>
            </w:pPr>
            <w:r>
              <w:rPr>
                <w:rFonts w:asciiTheme="minorEastAsia" w:hAnsiTheme="minorEastAsia" w:cs="宋体" w:hint="eastAsia"/>
                <w:kern w:val="0"/>
                <w:sz w:val="19"/>
                <w:szCs w:val="19"/>
                <w:highlight w:val="yellow"/>
              </w:rPr>
              <w:t>#</w:t>
            </w:r>
            <w:r>
              <w:rPr>
                <w:rFonts w:ascii="宋体" w:eastAsia="Times New Roman" w:hAnsi="宋体" w:cs="宋体" w:hint="eastAsia"/>
                <w:kern w:val="0"/>
                <w:sz w:val="19"/>
                <w:szCs w:val="19"/>
                <w:highlight w:val="yellow"/>
              </w:rPr>
              <w:t>一维浓度数据取样频率</w:t>
            </w:r>
          </w:p>
        </w:tc>
        <w:tc>
          <w:tcPr>
            <w:tcW w:w="5069" w:type="dxa"/>
          </w:tcPr>
          <w:p>
            <w:pPr>
              <w:snapToGrid w:val="0"/>
              <w:spacing w:before="162" w:line="242" w:lineRule="auto"/>
              <w:ind w:left="11"/>
              <w:rPr>
                <w:rFonts w:ascii="宋体" w:eastAsia="Times New Roman" w:hAnsi="宋体" w:cs="宋体"/>
                <w:kern w:val="0"/>
                <w:sz w:val="19"/>
                <w:szCs w:val="19"/>
                <w:lang w:eastAsia="en-US"/>
              </w:rPr>
            </w:pPr>
            <w:r>
              <w:rPr>
                <w:rFonts w:ascii="宋体" w:eastAsia="Times New Roman" w:hAnsi="宋体" w:cs="宋体" w:hint="eastAsia"/>
                <w:kern w:val="0"/>
                <w:sz w:val="19"/>
                <w:szCs w:val="19"/>
                <w:lang w:eastAsia="en-US"/>
              </w:rPr>
              <w:t>1Hz</w:t>
            </w:r>
            <w:r>
              <w:rPr>
                <w:rFonts w:ascii="宋体" w:eastAsia="Times New Roman" w:hAnsi="宋体" w:cs="宋体"/>
                <w:kern w:val="0"/>
                <w:sz w:val="19"/>
                <w:szCs w:val="19"/>
                <w:lang w:eastAsia="en-US"/>
              </w:rPr>
              <w:t>-5Hz</w:t>
            </w:r>
            <w:r>
              <w:rPr>
                <w:rFonts w:ascii="宋体" w:eastAsia="Times New Roman" w:hAnsi="宋体" w:cs="宋体" w:hint="eastAsia"/>
                <w:kern w:val="0"/>
                <w:sz w:val="19"/>
                <w:szCs w:val="19"/>
                <w:lang w:eastAsia="en-US"/>
              </w:rPr>
              <w:t>可调</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1" w:line="228" w:lineRule="auto"/>
              <w:ind w:left="11"/>
              <w:jc w:val="left"/>
              <w:rPr>
                <w:rFonts w:ascii="宋体" w:eastAsia="Times New Roman" w:hAnsi="宋体" w:cs="宋体"/>
                <w:kern w:val="0"/>
                <w:sz w:val="19"/>
                <w:szCs w:val="19"/>
                <w:highlight w:val="yellow"/>
                <w:lang w:eastAsia="en-US"/>
              </w:rPr>
            </w:pPr>
            <w:r>
              <w:rPr>
                <w:rFonts w:ascii="宋体" w:eastAsia="Times New Roman" w:hAnsi="宋体" w:cs="宋体"/>
                <w:spacing w:val="7"/>
                <w:kern w:val="0"/>
                <w:sz w:val="19"/>
                <w:szCs w:val="19"/>
                <w:lang w:eastAsia="en-US"/>
              </w:rPr>
              <w:t>激光类型</w:t>
            </w:r>
          </w:p>
        </w:tc>
        <w:tc>
          <w:tcPr>
            <w:tcW w:w="5069" w:type="dxa"/>
          </w:tcPr>
          <w:p>
            <w:pPr>
              <w:widowControl/>
              <w:kinsoku w:val="0"/>
              <w:autoSpaceDE w:val="0"/>
              <w:autoSpaceDN w:val="0"/>
              <w:adjustRightInd w:val="0"/>
              <w:snapToGrid w:val="0"/>
              <w:spacing w:before="131" w:line="228" w:lineRule="auto"/>
              <w:ind w:left="13"/>
              <w:jc w:val="left"/>
              <w:rPr>
                <w:rFonts w:ascii="宋体" w:eastAsia="Times New Roman" w:hAnsi="宋体" w:cs="宋体"/>
                <w:kern w:val="0"/>
                <w:sz w:val="19"/>
                <w:szCs w:val="19"/>
                <w:lang w:eastAsia="en-US"/>
              </w:rPr>
            </w:pPr>
            <w:r>
              <w:rPr>
                <w:rFonts w:ascii="宋体" w:eastAsia="Times New Roman" w:hAnsi="宋体" w:cs="宋体"/>
                <w:spacing w:val="7"/>
                <w:kern w:val="0"/>
                <w:sz w:val="19"/>
                <w:szCs w:val="19"/>
                <w:lang w:eastAsia="en-US"/>
              </w:rPr>
              <w:t>二极管激光</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1" w:line="228" w:lineRule="auto"/>
              <w:ind w:left="11"/>
              <w:jc w:val="left"/>
              <w:rPr>
                <w:rFonts w:ascii="宋体" w:eastAsia="Times New Roman" w:hAnsi="宋体" w:cs="宋体"/>
                <w:kern w:val="0"/>
                <w:sz w:val="19"/>
                <w:szCs w:val="19"/>
                <w:highlight w:val="yellow"/>
                <w:lang w:eastAsia="en-US"/>
              </w:rPr>
            </w:pPr>
            <w:r>
              <w:rPr>
                <w:rFonts w:asciiTheme="minorEastAsia" w:hAnsiTheme="minorEastAsia" w:cs="宋体" w:hint="eastAsia"/>
                <w:spacing w:val="7"/>
                <w:kern w:val="0"/>
                <w:sz w:val="19"/>
                <w:szCs w:val="19"/>
                <w:highlight w:val="yellow"/>
              </w:rPr>
              <w:t>#</w:t>
            </w:r>
            <w:r>
              <w:rPr>
                <w:rFonts w:ascii="宋体" w:eastAsia="Times New Roman" w:hAnsi="宋体" w:cs="宋体"/>
                <w:spacing w:val="7"/>
                <w:kern w:val="0"/>
                <w:sz w:val="19"/>
                <w:szCs w:val="19"/>
                <w:highlight w:val="yellow"/>
                <w:lang w:eastAsia="en-US"/>
              </w:rPr>
              <w:t>激光波长</w:t>
            </w:r>
          </w:p>
        </w:tc>
        <w:tc>
          <w:tcPr>
            <w:tcW w:w="5069" w:type="dxa"/>
          </w:tcPr>
          <w:p>
            <w:pPr>
              <w:snapToGrid w:val="0"/>
              <w:spacing w:before="163" w:line="242" w:lineRule="auto"/>
              <w:ind w:left="11"/>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660</w:t>
            </w:r>
            <w:r>
              <w:rPr>
                <w:rFonts w:ascii="Times New Roman" w:eastAsia="Times New Roman" w:hAnsi="Times New Roman" w:cs="Times New Roman"/>
                <w:sz w:val="19"/>
                <w:szCs w:val="19"/>
              </w:rPr>
              <w:t>nm</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32" w:line="228" w:lineRule="auto"/>
              <w:ind w:left="11"/>
              <w:jc w:val="left"/>
              <w:rPr>
                <w:rFonts w:ascii="宋体" w:eastAsia="Times New Roman" w:hAnsi="宋体" w:cs="宋体"/>
                <w:kern w:val="0"/>
                <w:sz w:val="19"/>
                <w:szCs w:val="19"/>
                <w:highlight w:val="yellow"/>
                <w:lang w:eastAsia="en-US"/>
              </w:rPr>
            </w:pPr>
            <w:r>
              <w:rPr>
                <w:rFonts w:asciiTheme="minorEastAsia" w:hAnsiTheme="minorEastAsia" w:cs="宋体" w:hint="eastAsia"/>
                <w:spacing w:val="7"/>
                <w:kern w:val="0"/>
                <w:sz w:val="19"/>
                <w:szCs w:val="19"/>
                <w:highlight w:val="yellow"/>
              </w:rPr>
              <w:t>#</w:t>
            </w:r>
            <w:r>
              <w:rPr>
                <w:rFonts w:ascii="宋体" w:eastAsia="Times New Roman" w:hAnsi="宋体" w:cs="宋体"/>
                <w:spacing w:val="7"/>
                <w:kern w:val="0"/>
                <w:sz w:val="19"/>
                <w:szCs w:val="19"/>
                <w:highlight w:val="yellow"/>
                <w:lang w:eastAsia="en-US"/>
              </w:rPr>
              <w:t>激光功率</w:t>
            </w:r>
          </w:p>
        </w:tc>
        <w:tc>
          <w:tcPr>
            <w:tcW w:w="5069" w:type="dxa"/>
          </w:tcPr>
          <w:p>
            <w:pPr>
              <w:snapToGrid w:val="0"/>
              <w:spacing w:before="166" w:line="195" w:lineRule="auto"/>
              <w:ind w:left="6"/>
              <w:rPr>
                <w:rFonts w:ascii="Times New Roman" w:eastAsia="Times New Roman" w:hAnsi="Times New Roman" w:cs="Times New Roman"/>
                <w:sz w:val="19"/>
                <w:szCs w:val="19"/>
              </w:rPr>
            </w:pPr>
            <w:r>
              <w:rPr>
                <w:rFonts w:ascii="Times New Roman" w:eastAsia="Times New Roman" w:hAnsi="Times New Roman" w:cs="Times New Roman"/>
                <w:spacing w:val="12"/>
                <w:sz w:val="19"/>
                <w:szCs w:val="19"/>
              </w:rPr>
              <w:t>20</w:t>
            </w:r>
            <w:r>
              <w:rPr>
                <w:rFonts w:ascii="Times New Roman" w:eastAsia="Times New Roman" w:hAnsi="Times New Roman" w:cs="Times New Roman"/>
                <w:sz w:val="19"/>
                <w:szCs w:val="19"/>
              </w:rPr>
              <w:t>mW</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2" w:line="228" w:lineRule="auto"/>
              <w:ind w:left="14"/>
              <w:jc w:val="left"/>
              <w:rPr>
                <w:rFonts w:ascii="宋体" w:eastAsia="Times New Roman" w:hAnsi="宋体" w:cs="宋体"/>
                <w:kern w:val="0"/>
                <w:sz w:val="19"/>
                <w:szCs w:val="19"/>
                <w:lang w:eastAsia="en-US"/>
              </w:rPr>
            </w:pPr>
            <w:r>
              <w:rPr>
                <w:rFonts w:ascii="宋体" w:eastAsia="Times New Roman" w:hAnsi="宋体" w:cs="宋体"/>
                <w:spacing w:val="6"/>
                <w:kern w:val="0"/>
                <w:sz w:val="19"/>
                <w:szCs w:val="19"/>
                <w:lang w:eastAsia="en-US"/>
              </w:rPr>
              <w:t>取样面积</w:t>
            </w:r>
          </w:p>
        </w:tc>
        <w:tc>
          <w:tcPr>
            <w:tcW w:w="5069" w:type="dxa"/>
          </w:tcPr>
          <w:p>
            <w:pPr>
              <w:snapToGrid w:val="0"/>
              <w:spacing w:before="143" w:line="241" w:lineRule="exact"/>
              <w:ind w:left="9"/>
              <w:rPr>
                <w:rFonts w:ascii="Times New Roman" w:eastAsia="Times New Roman" w:hAnsi="Times New Roman" w:cs="Times New Roman"/>
                <w:sz w:val="12"/>
                <w:szCs w:val="12"/>
              </w:rPr>
            </w:pPr>
            <w:r>
              <w:rPr>
                <w:rFonts w:ascii="Times New Roman" w:eastAsia="Times New Roman" w:hAnsi="Times New Roman" w:cs="Times New Roman"/>
                <w:spacing w:val="7"/>
                <w:sz w:val="19"/>
                <w:szCs w:val="19"/>
              </w:rPr>
              <w:t>0.2</w:t>
            </w:r>
            <w:r>
              <w:rPr>
                <w:rFonts w:ascii="Times New Roman" w:eastAsia="Times New Roman" w:hAnsi="Times New Roman" w:cs="Times New Roman"/>
                <w:sz w:val="19"/>
                <w:szCs w:val="19"/>
              </w:rPr>
              <w:t>mm</w:t>
            </w:r>
            <w:r>
              <w:rPr>
                <w:rFonts w:ascii="Times New Roman" w:eastAsia="Times New Roman" w:hAnsi="Times New Roman" w:cs="Times New Roman"/>
                <w:spacing w:val="7"/>
                <w:position w:val="6"/>
                <w:sz w:val="12"/>
                <w:szCs w:val="12"/>
              </w:rPr>
              <w:t>2</w:t>
            </w:r>
          </w:p>
        </w:tc>
      </w:tr>
      <w:tr>
        <w:tblPrEx>
          <w:tblW w:w="8302" w:type="dxa"/>
          <w:tblInd w:w="-24" w:type="dxa"/>
          <w:tblLayout w:type="fixed"/>
          <w:tblCellMar>
            <w:top w:w="0" w:type="dxa"/>
            <w:left w:w="0" w:type="dxa"/>
            <w:bottom w:w="0" w:type="dxa"/>
            <w:right w:w="0" w:type="dxa"/>
          </w:tblCellMar>
        </w:tblPrEx>
        <w:trPr>
          <w:trHeight w:val="458"/>
        </w:trPr>
        <w:tc>
          <w:tcPr>
            <w:tcW w:w="3233" w:type="dxa"/>
          </w:tcPr>
          <w:p>
            <w:pPr>
              <w:widowControl/>
              <w:kinsoku w:val="0"/>
              <w:autoSpaceDE w:val="0"/>
              <w:autoSpaceDN w:val="0"/>
              <w:adjustRightInd w:val="0"/>
              <w:snapToGrid w:val="0"/>
              <w:spacing w:before="132" w:line="229" w:lineRule="auto"/>
              <w:ind w:left="14"/>
              <w:jc w:val="left"/>
              <w:rPr>
                <w:rFonts w:ascii="宋体" w:eastAsia="Times New Roman" w:hAnsi="宋体" w:cs="宋体"/>
                <w:kern w:val="0"/>
                <w:sz w:val="19"/>
                <w:szCs w:val="19"/>
                <w:highlight w:val="yellow"/>
                <w:lang w:eastAsia="en-US"/>
              </w:rPr>
            </w:pPr>
            <w:r>
              <w:rPr>
                <w:rFonts w:asciiTheme="minorEastAsia" w:hAnsiTheme="minorEastAsia" w:cs="宋体" w:hint="eastAsia"/>
                <w:spacing w:val="7"/>
                <w:kern w:val="0"/>
                <w:sz w:val="19"/>
                <w:szCs w:val="19"/>
                <w:highlight w:val="yellow"/>
              </w:rPr>
              <w:t>#</w:t>
            </w:r>
            <w:r>
              <w:rPr>
                <w:rFonts w:ascii="宋体" w:eastAsia="Times New Roman" w:hAnsi="宋体" w:cs="宋体"/>
                <w:spacing w:val="7"/>
                <w:kern w:val="0"/>
                <w:sz w:val="19"/>
                <w:szCs w:val="19"/>
                <w:highlight w:val="yellow"/>
                <w:lang w:eastAsia="en-US"/>
              </w:rPr>
              <w:t>工作环境温度</w:t>
            </w:r>
          </w:p>
        </w:tc>
        <w:tc>
          <w:tcPr>
            <w:tcW w:w="5069" w:type="dxa"/>
          </w:tcPr>
          <w:p>
            <w:pPr>
              <w:widowControl/>
              <w:kinsoku w:val="0"/>
              <w:autoSpaceDE w:val="0"/>
              <w:autoSpaceDN w:val="0"/>
              <w:adjustRightInd w:val="0"/>
              <w:snapToGrid w:val="0"/>
              <w:spacing w:before="132" w:line="267" w:lineRule="exact"/>
              <w:ind w:left="10"/>
              <w:jc w:val="left"/>
              <w:rPr>
                <w:rFonts w:ascii="宋体" w:eastAsia="Times New Roman" w:hAnsi="宋体" w:cs="宋体"/>
                <w:kern w:val="0"/>
                <w:sz w:val="19"/>
                <w:szCs w:val="19"/>
                <w:lang w:eastAsia="en-US"/>
              </w:rPr>
            </w:pPr>
            <w:r>
              <w:rPr>
                <w:rFonts w:ascii="Times New Roman" w:eastAsia="Times New Roman" w:hAnsi="Times New Roman" w:cs="Times New Roman"/>
                <w:spacing w:val="5"/>
                <w:kern w:val="0"/>
                <w:position w:val="1"/>
                <w:sz w:val="19"/>
                <w:szCs w:val="19"/>
                <w:lang w:eastAsia="en-US"/>
              </w:rPr>
              <w:t>-20</w:t>
            </w:r>
            <w:r>
              <w:rPr>
                <w:rFonts w:ascii="宋体" w:eastAsia="Times New Roman" w:hAnsi="宋体" w:cs="宋体"/>
                <w:spacing w:val="5"/>
                <w:kern w:val="0"/>
                <w:position w:val="1"/>
                <w:sz w:val="19"/>
                <w:szCs w:val="19"/>
                <w:lang w:eastAsia="en-US"/>
              </w:rPr>
              <w:t>－</w:t>
            </w:r>
            <w:r>
              <w:rPr>
                <w:rFonts w:ascii="Times New Roman" w:eastAsia="Times New Roman" w:hAnsi="Times New Roman" w:cs="Times New Roman"/>
                <w:spacing w:val="5"/>
                <w:kern w:val="0"/>
                <w:position w:val="1"/>
                <w:sz w:val="19"/>
                <w:szCs w:val="19"/>
                <w:lang w:eastAsia="en-US"/>
              </w:rPr>
              <w:t>+50</w:t>
            </w:r>
            <w:r>
              <w:rPr>
                <w:rFonts w:ascii="宋体" w:eastAsia="Times New Roman" w:hAnsi="宋体" w:cs="宋体"/>
                <w:spacing w:val="5"/>
                <w:kern w:val="0"/>
                <w:position w:val="1"/>
                <w:sz w:val="19"/>
                <w:szCs w:val="19"/>
                <w:lang w:eastAsia="en-US"/>
              </w:rPr>
              <w:t>℃</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32" w:line="229" w:lineRule="auto"/>
              <w:ind w:left="14"/>
              <w:jc w:val="left"/>
              <w:rPr>
                <w:rFonts w:ascii="宋体" w:eastAsia="Times New Roman" w:hAnsi="宋体" w:cs="宋体"/>
                <w:kern w:val="0"/>
                <w:sz w:val="19"/>
                <w:szCs w:val="19"/>
                <w:highlight w:val="yellow"/>
                <w:lang w:eastAsia="en-US"/>
              </w:rPr>
            </w:pPr>
            <w:r>
              <w:rPr>
                <w:rFonts w:asciiTheme="minorEastAsia" w:hAnsiTheme="minorEastAsia" w:cs="宋体" w:hint="eastAsia"/>
                <w:spacing w:val="7"/>
                <w:kern w:val="0"/>
                <w:sz w:val="19"/>
                <w:szCs w:val="19"/>
                <w:highlight w:val="yellow"/>
              </w:rPr>
              <w:t>#</w:t>
            </w:r>
            <w:r>
              <w:rPr>
                <w:rFonts w:ascii="宋体" w:eastAsia="Times New Roman" w:hAnsi="宋体" w:cs="宋体"/>
                <w:spacing w:val="7"/>
                <w:kern w:val="0"/>
                <w:sz w:val="19"/>
                <w:szCs w:val="19"/>
                <w:highlight w:val="yellow"/>
                <w:lang w:eastAsia="en-US"/>
              </w:rPr>
              <w:t>工作环境湿度</w:t>
            </w:r>
          </w:p>
        </w:tc>
        <w:tc>
          <w:tcPr>
            <w:tcW w:w="5069" w:type="dxa"/>
          </w:tcPr>
          <w:p>
            <w:pPr>
              <w:widowControl/>
              <w:kinsoku w:val="0"/>
              <w:autoSpaceDE w:val="0"/>
              <w:autoSpaceDN w:val="0"/>
              <w:adjustRightInd w:val="0"/>
              <w:snapToGrid w:val="0"/>
              <w:spacing w:before="132" w:line="251" w:lineRule="exact"/>
              <w:ind w:left="9"/>
              <w:jc w:val="left"/>
              <w:rPr>
                <w:rFonts w:ascii="宋体" w:eastAsia="Times New Roman" w:hAnsi="宋体" w:cs="宋体"/>
                <w:kern w:val="0"/>
                <w:sz w:val="19"/>
                <w:szCs w:val="19"/>
                <w:lang w:eastAsia="en-US"/>
              </w:rPr>
            </w:pPr>
            <w:r>
              <w:rPr>
                <w:rFonts w:ascii="Times New Roman" w:eastAsia="Times New Roman" w:hAnsi="Times New Roman" w:cs="Times New Roman"/>
                <w:spacing w:val="2"/>
                <w:kern w:val="0"/>
                <w:position w:val="1"/>
                <w:sz w:val="19"/>
                <w:szCs w:val="19"/>
                <w:lang w:eastAsia="en-US"/>
              </w:rPr>
              <w:t>0</w:t>
            </w:r>
            <w:r>
              <w:rPr>
                <w:rFonts w:ascii="宋体" w:eastAsia="Times New Roman" w:hAnsi="宋体" w:cs="宋体"/>
                <w:spacing w:val="2"/>
                <w:kern w:val="0"/>
                <w:position w:val="1"/>
                <w:sz w:val="19"/>
                <w:szCs w:val="19"/>
                <w:lang w:eastAsia="en-US"/>
              </w:rPr>
              <w:t>－</w:t>
            </w:r>
            <w:r>
              <w:rPr>
                <w:rFonts w:ascii="Times New Roman" w:eastAsia="Times New Roman" w:hAnsi="Times New Roman" w:cs="Times New Roman"/>
                <w:spacing w:val="2"/>
                <w:kern w:val="0"/>
                <w:position w:val="1"/>
                <w:sz w:val="19"/>
                <w:szCs w:val="19"/>
                <w:lang w:eastAsia="en-US"/>
              </w:rPr>
              <w:t>100%</w:t>
            </w:r>
            <w:r>
              <w:rPr>
                <w:rFonts w:ascii="Times New Roman" w:eastAsia="Times New Roman" w:hAnsi="Times New Roman" w:cs="Times New Roman"/>
                <w:spacing w:val="-10"/>
                <w:kern w:val="0"/>
                <w:position w:val="1"/>
                <w:sz w:val="19"/>
                <w:szCs w:val="19"/>
                <w:lang w:eastAsia="en-US"/>
              </w:rPr>
              <w:t xml:space="preserve"> </w:t>
            </w:r>
            <w:r>
              <w:rPr>
                <w:rFonts w:ascii="宋体" w:eastAsia="Times New Roman" w:hAnsi="宋体" w:cs="宋体"/>
                <w:spacing w:val="2"/>
                <w:kern w:val="0"/>
                <w:position w:val="1"/>
                <w:sz w:val="19"/>
                <w:szCs w:val="19"/>
                <w:lang w:eastAsia="en-US"/>
              </w:rPr>
              <w:t>（非凝结）</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32" w:line="229" w:lineRule="auto"/>
              <w:ind w:left="14"/>
              <w:jc w:val="left"/>
              <w:rPr>
                <w:rFonts w:ascii="宋体" w:eastAsia="Times New Roman" w:hAnsi="宋体" w:cs="宋体"/>
                <w:spacing w:val="7"/>
                <w:kern w:val="0"/>
                <w:sz w:val="19"/>
                <w:szCs w:val="19"/>
                <w:highlight w:val="yellow"/>
                <w:lang w:eastAsia="en-US"/>
              </w:rPr>
            </w:pPr>
            <w:r>
              <w:rPr>
                <w:rFonts w:asciiTheme="minorEastAsia" w:hAnsiTheme="minorEastAsia" w:cs="宋体" w:hint="eastAsia"/>
                <w:spacing w:val="6"/>
                <w:kern w:val="0"/>
                <w:sz w:val="19"/>
                <w:szCs w:val="19"/>
                <w:highlight w:val="yellow"/>
              </w:rPr>
              <w:t>#</w:t>
            </w:r>
            <w:r>
              <w:rPr>
                <w:rFonts w:ascii="宋体" w:eastAsia="Times New Roman" w:hAnsi="宋体" w:cs="宋体"/>
                <w:spacing w:val="6"/>
                <w:kern w:val="0"/>
                <w:sz w:val="19"/>
                <w:szCs w:val="19"/>
                <w:highlight w:val="yellow"/>
                <w:lang w:eastAsia="en-US"/>
              </w:rPr>
              <w:t>工作电压</w:t>
            </w:r>
          </w:p>
        </w:tc>
        <w:tc>
          <w:tcPr>
            <w:tcW w:w="5069" w:type="dxa"/>
          </w:tcPr>
          <w:p>
            <w:pPr>
              <w:widowControl/>
              <w:kinsoku w:val="0"/>
              <w:autoSpaceDE w:val="0"/>
              <w:autoSpaceDN w:val="0"/>
              <w:adjustRightInd w:val="0"/>
              <w:snapToGrid w:val="0"/>
              <w:spacing w:before="132" w:line="251" w:lineRule="exact"/>
              <w:ind w:left="9"/>
              <w:jc w:val="left"/>
              <w:rPr>
                <w:rFonts w:ascii="Times New Roman" w:eastAsia="Times New Roman" w:hAnsi="Times New Roman" w:cs="Times New Roman"/>
                <w:spacing w:val="2"/>
                <w:kern w:val="0"/>
                <w:position w:val="1"/>
                <w:sz w:val="19"/>
                <w:szCs w:val="19"/>
                <w:lang w:eastAsia="en-US"/>
              </w:rPr>
            </w:pPr>
            <w:r>
              <w:rPr>
                <w:rFonts w:ascii="Times New Roman" w:eastAsia="Times New Roman" w:hAnsi="Times New Roman" w:cs="Times New Roman"/>
                <w:spacing w:val="4"/>
                <w:kern w:val="0"/>
                <w:sz w:val="19"/>
                <w:szCs w:val="19"/>
                <w:lang w:eastAsia="en-US"/>
              </w:rPr>
              <w:t>220</w:t>
            </w:r>
            <w:r>
              <w:rPr>
                <w:rFonts w:ascii="Times New Roman" w:eastAsia="Times New Roman" w:hAnsi="Times New Roman" w:cs="Times New Roman"/>
                <w:kern w:val="0"/>
                <w:sz w:val="19"/>
                <w:szCs w:val="19"/>
                <w:lang w:eastAsia="en-US"/>
              </w:rPr>
              <w:t>VAC</w:t>
            </w:r>
          </w:p>
        </w:tc>
      </w:tr>
      <w:tr>
        <w:tblPrEx>
          <w:tblW w:w="8302" w:type="dxa"/>
          <w:tblInd w:w="-24" w:type="dxa"/>
          <w:tblLayout w:type="fixed"/>
          <w:tblCellMar>
            <w:top w:w="0" w:type="dxa"/>
            <w:left w:w="0" w:type="dxa"/>
            <w:bottom w:w="0" w:type="dxa"/>
            <w:right w:w="0" w:type="dxa"/>
          </w:tblCellMar>
        </w:tblPrEx>
        <w:trPr>
          <w:trHeight w:val="460"/>
        </w:trPr>
        <w:tc>
          <w:tcPr>
            <w:tcW w:w="3233" w:type="dxa"/>
          </w:tcPr>
          <w:p>
            <w:pPr>
              <w:widowControl/>
              <w:kinsoku w:val="0"/>
              <w:autoSpaceDE w:val="0"/>
              <w:autoSpaceDN w:val="0"/>
              <w:adjustRightInd w:val="0"/>
              <w:snapToGrid w:val="0"/>
              <w:spacing w:before="132" w:line="229" w:lineRule="auto"/>
              <w:ind w:left="14"/>
              <w:jc w:val="left"/>
              <w:rPr>
                <w:rFonts w:asciiTheme="minorEastAsia" w:hAnsiTheme="minorEastAsia" w:cs="宋体"/>
                <w:spacing w:val="6"/>
                <w:kern w:val="0"/>
                <w:sz w:val="19"/>
                <w:szCs w:val="19"/>
              </w:rPr>
            </w:pPr>
            <w:r>
              <w:rPr>
                <w:rFonts w:asciiTheme="minorEastAsia" w:hAnsiTheme="minorEastAsia" w:cs="宋体" w:hint="eastAsia"/>
                <w:spacing w:val="6"/>
                <w:kern w:val="0"/>
                <w:sz w:val="19"/>
                <w:szCs w:val="19"/>
              </w:rPr>
              <w:t>用电功率</w:t>
            </w:r>
          </w:p>
        </w:tc>
        <w:tc>
          <w:tcPr>
            <w:tcW w:w="5069" w:type="dxa"/>
          </w:tcPr>
          <w:p>
            <w:pPr>
              <w:widowControl/>
              <w:kinsoku w:val="0"/>
              <w:autoSpaceDE w:val="0"/>
              <w:autoSpaceDN w:val="0"/>
              <w:adjustRightInd w:val="0"/>
              <w:snapToGrid w:val="0"/>
              <w:spacing w:before="132" w:line="251" w:lineRule="exact"/>
              <w:ind w:left="9"/>
              <w:jc w:val="left"/>
              <w:rPr>
                <w:rFonts w:ascii="Times New Roman" w:hAnsi="Times New Roman" w:cs="Times New Roman"/>
                <w:spacing w:val="4"/>
                <w:kern w:val="0"/>
                <w:sz w:val="19"/>
                <w:szCs w:val="19"/>
              </w:rPr>
            </w:pPr>
            <w:r>
              <w:rPr>
                <w:rFonts w:ascii="Times New Roman" w:hAnsi="Times New Roman" w:cs="Times New Roman" w:hint="eastAsia"/>
                <w:spacing w:val="4"/>
                <w:kern w:val="0"/>
                <w:sz w:val="19"/>
                <w:szCs w:val="19"/>
              </w:rPr>
              <w:t>660w</w:t>
            </w:r>
          </w:p>
        </w:tc>
      </w:tr>
    </w:tbl>
    <w:p>
      <w:pPr>
        <w:spacing w:line="360" w:lineRule="auto"/>
        <w:ind w:firstLine="420" w:firstLineChars="200"/>
        <w:rPr>
          <w:rFonts w:ascii="宋体" w:hAnsi="宋体"/>
          <w:szCs w:val="21"/>
        </w:rPr>
      </w:pPr>
      <w:r>
        <w:rPr>
          <w:rFonts w:ascii="宋体" w:hAnsi="宋体" w:hint="eastAsia"/>
          <w:szCs w:val="21"/>
        </w:rPr>
        <w:t>五、检验考核要求</w:t>
      </w:r>
    </w:p>
    <w:p>
      <w:pPr>
        <w:spacing w:line="360" w:lineRule="auto"/>
        <w:ind w:firstLine="420" w:firstLineChars="200"/>
        <w:rPr>
          <w:rFonts w:ascii="宋体" w:hAnsi="宋体"/>
          <w:szCs w:val="21"/>
        </w:rPr>
      </w:pPr>
      <w:r>
        <w:rPr>
          <w:rFonts w:ascii="宋体" w:hAnsi="宋体" w:hint="eastAsia"/>
          <w:szCs w:val="21"/>
        </w:rPr>
        <w:t>5.1 设备建设</w:t>
      </w:r>
    </w:p>
    <w:p>
      <w:pPr>
        <w:spacing w:line="360" w:lineRule="auto"/>
        <w:ind w:firstLine="420" w:firstLineChars="200"/>
        <w:rPr>
          <w:rFonts w:ascii="宋体" w:hAnsi="宋体"/>
          <w:szCs w:val="21"/>
        </w:rPr>
      </w:pPr>
      <w:r>
        <w:rPr>
          <w:rFonts w:ascii="宋体" w:hAnsi="宋体" w:hint="eastAsia"/>
          <w:szCs w:val="21"/>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360" w:lineRule="auto"/>
        <w:ind w:firstLine="420" w:firstLineChars="200"/>
        <w:rPr>
          <w:rFonts w:ascii="宋体" w:hAnsi="宋体"/>
          <w:szCs w:val="21"/>
        </w:rPr>
      </w:pPr>
      <w:r>
        <w:rPr>
          <w:rFonts w:ascii="宋体" w:hAnsi="宋体" w:hint="eastAsia"/>
          <w:szCs w:val="21"/>
        </w:rPr>
        <w:t>5.2验收要求</w:t>
      </w:r>
    </w:p>
    <w:p>
      <w:pPr>
        <w:spacing w:line="360" w:lineRule="auto"/>
        <w:ind w:firstLine="420" w:firstLineChars="200"/>
        <w:rPr>
          <w:rFonts w:ascii="宋体" w:hAnsi="宋体"/>
          <w:szCs w:val="21"/>
        </w:rPr>
      </w:pPr>
      <w:r>
        <w:rPr>
          <w:rFonts w:ascii="宋体" w:hAnsi="宋体" w:hint="eastAsia"/>
          <w:szCs w:val="21"/>
        </w:rPr>
        <w:t>1 现场开箱验收及安装调试</w:t>
      </w:r>
    </w:p>
    <w:p>
      <w:pPr>
        <w:spacing w:line="360" w:lineRule="auto"/>
        <w:ind w:firstLine="420" w:firstLineChars="200"/>
        <w:rPr>
          <w:rFonts w:ascii="宋体" w:hAnsi="宋体"/>
          <w:szCs w:val="21"/>
        </w:rPr>
      </w:pPr>
      <w:r>
        <w:rPr>
          <w:rFonts w:ascii="宋体" w:hAnsi="宋体" w:hint="eastAsia"/>
          <w:szCs w:val="21"/>
        </w:rPr>
        <w:t>中标人应提供符合质量要求的合格产品。设备到货后，现场开箱验收，验收合格后方可进行后续安装工作。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pPr>
        <w:spacing w:line="360" w:lineRule="auto"/>
        <w:ind w:firstLine="420" w:firstLineChars="200"/>
        <w:rPr>
          <w:rFonts w:ascii="宋体" w:hAnsi="宋体"/>
          <w:szCs w:val="21"/>
        </w:rPr>
      </w:pPr>
      <w:r>
        <w:rPr>
          <w:rFonts w:ascii="宋体" w:hAnsi="宋体" w:hint="eastAsia"/>
          <w:szCs w:val="21"/>
        </w:rPr>
        <w:t>2.试运行验收</w:t>
      </w:r>
    </w:p>
    <w:p>
      <w:pPr>
        <w:spacing w:line="360" w:lineRule="auto"/>
        <w:ind w:firstLine="420" w:firstLineChars="200"/>
        <w:rPr>
          <w:rFonts w:ascii="宋体" w:hAnsi="宋体"/>
          <w:szCs w:val="21"/>
        </w:rPr>
      </w:pPr>
      <w:r>
        <w:rPr>
          <w:rFonts w:ascii="宋体" w:hAnsi="宋体" w:hint="eastAsia"/>
          <w:szCs w:val="21"/>
        </w:rPr>
        <w:t>地面观测设备现场调试合格后进入试运行期，试运行周期不少于90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合同验收。</w:t>
      </w:r>
    </w:p>
    <w:p>
      <w:pPr>
        <w:spacing w:line="360" w:lineRule="auto"/>
        <w:ind w:firstLine="420" w:firstLineChars="200"/>
        <w:rPr>
          <w:rFonts w:ascii="宋体" w:hAnsi="宋体"/>
          <w:szCs w:val="21"/>
        </w:rPr>
      </w:pPr>
      <w:r>
        <w:rPr>
          <w:rFonts w:ascii="宋体" w:hAnsi="宋体" w:hint="eastAsia"/>
          <w:szCs w:val="21"/>
        </w:rPr>
        <w:t>3.合同验收</w:t>
      </w:r>
    </w:p>
    <w:p>
      <w:pPr>
        <w:spacing w:line="360" w:lineRule="auto"/>
        <w:ind w:firstLine="420" w:firstLineChars="200"/>
        <w:rPr>
          <w:rFonts w:ascii="宋体" w:hAnsi="宋体"/>
          <w:szCs w:val="21"/>
        </w:rPr>
      </w:pPr>
      <w:r>
        <w:rPr>
          <w:rFonts w:ascii="宋体" w:hAnsi="宋体" w:hint="eastAsia"/>
          <w:szCs w:val="21"/>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pPr>
        <w:spacing w:line="360" w:lineRule="auto"/>
        <w:ind w:firstLine="420" w:firstLineChars="200"/>
        <w:rPr>
          <w:rFonts w:ascii="宋体" w:hAnsi="宋体"/>
          <w:szCs w:val="21"/>
        </w:rPr>
      </w:pPr>
      <w:r>
        <w:rPr>
          <w:rFonts w:ascii="宋体" w:hAnsi="宋体" w:hint="eastAsia"/>
          <w:szCs w:val="21"/>
        </w:rPr>
        <w:t>六、技术服务和质保期服务要求</w:t>
      </w:r>
    </w:p>
    <w:p>
      <w:pPr>
        <w:spacing w:line="360" w:lineRule="auto"/>
        <w:ind w:firstLine="420" w:firstLineChars="200"/>
        <w:rPr>
          <w:rFonts w:ascii="宋体" w:hAnsi="宋体"/>
          <w:szCs w:val="21"/>
        </w:rPr>
      </w:pPr>
      <w:r>
        <w:rPr>
          <w:rFonts w:ascii="宋体" w:hAnsi="宋体" w:hint="eastAsia"/>
          <w:szCs w:val="21"/>
        </w:rPr>
        <w:t>6.1技术服务</w:t>
      </w:r>
    </w:p>
    <w:p>
      <w:pPr>
        <w:spacing w:line="360" w:lineRule="auto"/>
        <w:ind w:firstLine="420" w:firstLineChars="200"/>
        <w:rPr>
          <w:rFonts w:ascii="宋体" w:hAnsi="宋体"/>
          <w:szCs w:val="21"/>
        </w:rPr>
      </w:pPr>
      <w:r>
        <w:rPr>
          <w:rFonts w:ascii="宋体" w:hAnsi="宋体" w:hint="eastAsia"/>
          <w:szCs w:val="21"/>
        </w:rPr>
        <w:t>（1）设备供应商需提供详细技术服务方案，包括但不限于：设备安装建设规范、设备工作原理、设备部件结构组成、设备操作手册、设备运行维护手册、设备软件使用手册、相关产品算法说明文档等。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szCs w:val="21"/>
        </w:rPr>
      </w:pPr>
      <w:r>
        <w:rPr>
          <w:rFonts w:ascii="宋体" w:hAnsi="宋体" w:hint="eastAsia"/>
          <w:szCs w:val="21"/>
        </w:rPr>
        <w:t>（2）设备供应商需提供详细售后服务方案，包括设备售后服务组织机构、人员组成、技术支持文档等。其中，售后服务组织机构设置合理，人员技术能力强，技术文档内容全面。</w:t>
      </w:r>
    </w:p>
    <w:p>
      <w:pPr>
        <w:spacing w:line="360" w:lineRule="auto"/>
        <w:ind w:firstLine="420" w:firstLineChars="200"/>
        <w:rPr>
          <w:rFonts w:ascii="宋体" w:hAnsi="宋体"/>
          <w:szCs w:val="21"/>
        </w:rPr>
      </w:pPr>
      <w:r>
        <w:rPr>
          <w:rFonts w:ascii="宋体" w:hAnsi="宋体" w:hint="eastAsia"/>
          <w:szCs w:val="21"/>
        </w:rPr>
        <w:t>（3）设备供应商对每套投标产品提供至少2次技术培训，技术培训内容包括：设备工作原理、使用方法、日常维护及一般常见故障的诊断及排除等，并在培训时免费提供完整的技术资料，其中包括使用说明、工作原理、注意事项、安装调试方法和维修指南等。培训时间及地点双方协商确定。</w:t>
      </w:r>
    </w:p>
    <w:p>
      <w:pPr>
        <w:spacing w:line="360" w:lineRule="auto"/>
        <w:ind w:firstLine="420" w:firstLineChars="200"/>
        <w:rPr>
          <w:rFonts w:ascii="宋体" w:hAnsi="宋体"/>
          <w:szCs w:val="21"/>
        </w:rPr>
      </w:pPr>
      <w:r>
        <w:rPr>
          <w:rFonts w:ascii="宋体" w:hAnsi="宋体" w:hint="eastAsia"/>
          <w:szCs w:val="21"/>
        </w:rPr>
        <w:t>6.2质保期服务要求</w:t>
      </w:r>
    </w:p>
    <w:p>
      <w:pPr>
        <w:spacing w:line="360" w:lineRule="auto"/>
        <w:ind w:firstLine="420" w:firstLineChars="200"/>
        <w:rPr>
          <w:rFonts w:ascii="宋体" w:hAnsi="宋体"/>
          <w:szCs w:val="21"/>
        </w:rPr>
      </w:pPr>
      <w:r>
        <w:rPr>
          <w:rFonts w:ascii="宋体" w:hAnsi="宋体" w:hint="eastAsia"/>
          <w:szCs w:val="21"/>
        </w:rPr>
        <w:t>（1）设备供应商对所有设备提供自验收合格后8年的免费维护维修服务*，并提供设备质保承诺函。质保期内因设备设计、质量出现问题，中标人需及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spacing w:line="360" w:lineRule="auto"/>
        <w:ind w:firstLine="420" w:firstLineChars="200"/>
        <w:rPr>
          <w:rFonts w:ascii="宋体" w:hAnsi="宋体"/>
          <w:szCs w:val="21"/>
        </w:rPr>
      </w:pPr>
      <w:r>
        <w:rPr>
          <w:rFonts w:ascii="宋体" w:hAnsi="宋体" w:hint="eastAsia"/>
          <w:szCs w:val="21"/>
        </w:rPr>
        <w:t>（2）质保期内中标人应对投标产品每年提供2次巡检服务及定标服务，具体时间及地点根据设备安装地点双方协商确定。质保期内为免费用户提供1~2次搬移服务。</w:t>
      </w:r>
    </w:p>
    <w:p>
      <w:pPr>
        <w:spacing w:line="360" w:lineRule="auto"/>
        <w:ind w:firstLine="420" w:firstLineChars="200"/>
        <w:rPr>
          <w:rFonts w:ascii="宋体" w:hAnsi="宋体"/>
          <w:szCs w:val="21"/>
        </w:rPr>
      </w:pPr>
      <w:r>
        <w:rPr>
          <w:rFonts w:ascii="宋体" w:hAnsi="宋体" w:hint="eastAsia"/>
          <w:szCs w:val="21"/>
        </w:rPr>
        <w:t>（3）在质保期满之前，要对设备进行一次整体全面的维护和检查；</w:t>
      </w:r>
    </w:p>
    <w:p>
      <w:pPr>
        <w:spacing w:line="360" w:lineRule="auto"/>
        <w:ind w:firstLine="420" w:firstLineChars="200"/>
        <w:rPr>
          <w:rFonts w:ascii="宋体" w:hAnsi="宋体"/>
          <w:szCs w:val="21"/>
        </w:rPr>
      </w:pPr>
      <w:r>
        <w:rPr>
          <w:rFonts w:ascii="宋体" w:hAnsi="宋体" w:hint="eastAsia"/>
          <w:szCs w:val="21"/>
        </w:rPr>
        <w:t>（4）无论是质保期内还是质保期外发现的技术、质量问题，应及时予以解决，要做到在接到设备故障通知后4小时内做出响应，及时提供维修配件，2个工作日内工程师到达用户现场进行维修服务，未尽事宜协商解决；</w:t>
      </w:r>
    </w:p>
    <w:p>
      <w:pPr>
        <w:spacing w:line="360" w:lineRule="auto"/>
        <w:ind w:firstLine="420" w:firstLineChars="200"/>
        <w:rPr>
          <w:rFonts w:ascii="宋体" w:hAnsi="宋体"/>
          <w:szCs w:val="21"/>
        </w:rPr>
      </w:pPr>
      <w:r>
        <w:rPr>
          <w:rFonts w:ascii="宋体" w:hAnsi="宋体" w:hint="eastAsia"/>
          <w:szCs w:val="21"/>
        </w:rPr>
        <w:t>（5）需要提供设备使用手册，并进行必要的理论和实操培训，包含日常操作和故障排查等内容。</w:t>
      </w:r>
    </w:p>
    <w:p>
      <w:pPr>
        <w:spacing w:line="360" w:lineRule="auto"/>
        <w:ind w:firstLine="420" w:firstLineChars="200"/>
        <w:rPr>
          <w:rFonts w:ascii="宋体" w:hAnsi="宋体"/>
          <w:szCs w:val="21"/>
        </w:rPr>
      </w:pPr>
      <w:r>
        <w:rPr>
          <w:rFonts w:ascii="宋体" w:hAnsi="宋体" w:hint="eastAsia"/>
          <w:szCs w:val="21"/>
        </w:rPr>
        <w:t>（6）提供投标产品软件免费升级服务，所提供观测设备观测数据能接入采购人现有气象数据平台。</w:t>
      </w:r>
    </w:p>
    <w:p>
      <w:pPr>
        <w:spacing w:line="360" w:lineRule="auto"/>
        <w:ind w:firstLine="420" w:firstLineChars="200"/>
        <w:rPr>
          <w:rFonts w:ascii="宋体" w:hAnsi="宋体"/>
          <w:szCs w:val="21"/>
        </w:rPr>
      </w:pPr>
      <w:r>
        <w:rPr>
          <w:rFonts w:ascii="宋体" w:hAnsi="宋体" w:hint="eastAsia"/>
          <w:szCs w:val="21"/>
        </w:rPr>
        <w:t>七、培训要求</w:t>
      </w:r>
    </w:p>
    <w:p>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2年；设备供应商对每套投标产品提供至少5次技术培训，并在培训时免费提供完整的技术资料，培训内容包括设备安装、使用、日常维护、观测原理及产品应用，培训时间及地点双方协商确定。</w:t>
      </w:r>
    </w:p>
    <w:p>
      <w:pPr>
        <w:spacing w:line="360" w:lineRule="auto"/>
        <w:ind w:firstLine="420" w:firstLineChars="200"/>
        <w:rPr>
          <w:rFonts w:ascii="宋体" w:hAnsi="宋体"/>
          <w:szCs w:val="21"/>
        </w:rPr>
      </w:pPr>
      <w:r>
        <w:rPr>
          <w:rFonts w:ascii="宋体" w:hAnsi="宋体" w:hint="eastAsia"/>
          <w:szCs w:val="21"/>
        </w:rPr>
        <w:t>八、其他要求</w:t>
      </w:r>
    </w:p>
    <w:p>
      <w:pPr>
        <w:spacing w:line="360" w:lineRule="auto"/>
        <w:ind w:firstLine="420" w:firstLineChars="200"/>
        <w:rPr>
          <w:rFonts w:ascii="宋体" w:hAnsi="宋体"/>
          <w:szCs w:val="21"/>
        </w:rPr>
      </w:pPr>
      <w:r>
        <w:rPr>
          <w:rFonts w:ascii="宋体" w:hAnsi="宋体" w:hint="eastAsia"/>
          <w:szCs w:val="21"/>
        </w:rPr>
        <w:t>详见采购需求-其他技术及商务需求。</w:t>
      </w:r>
    </w:p>
    <w:p>
      <w:pPr>
        <w:spacing w:line="360" w:lineRule="auto"/>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9"/>
        <w:gridCol w:w="2280"/>
        <w:gridCol w:w="672"/>
        <w:gridCol w:w="672"/>
        <w:gridCol w:w="1207"/>
        <w:gridCol w:w="806"/>
        <w:gridCol w:w="224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375"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序号</w:t>
            </w: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设备名称</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规格</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数量</w:t>
            </w:r>
          </w:p>
        </w:tc>
        <w:tc>
          <w:tcPr>
            <w:tcW w:w="70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交货期</w:t>
            </w:r>
          </w:p>
        </w:tc>
        <w:tc>
          <w:tcPr>
            <w:tcW w:w="473"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交货地</w:t>
            </w: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备注</w:t>
            </w:r>
          </w:p>
        </w:tc>
      </w:tr>
      <w:tr>
        <w:tblPrEx>
          <w:tblW w:w="5000" w:type="pct"/>
          <w:jc w:val="center"/>
          <w:tblCellMar>
            <w:top w:w="0" w:type="dxa"/>
            <w:left w:w="108" w:type="dxa"/>
            <w:bottom w:w="0" w:type="dxa"/>
            <w:right w:w="108" w:type="dxa"/>
          </w:tblCellMar>
        </w:tblPrEx>
        <w:trPr>
          <w:jc w:val="center"/>
        </w:trPr>
        <w:tc>
          <w:tcPr>
            <w:tcW w:w="375" w:type="pct"/>
            <w:vAlign w:val="center"/>
          </w:tcPr>
          <w:p>
            <w:pPr>
              <w:numPr>
                <w:ilvl w:val="0"/>
                <w:numId w:val="4"/>
              </w:numPr>
              <w:spacing w:line="360" w:lineRule="auto"/>
              <w:rPr>
                <w:rFonts w:ascii="宋体" w:eastAsia="宋体" w:hAnsi="宋体" w:cs="Times New Roman"/>
                <w:szCs w:val="21"/>
              </w:rPr>
            </w:pP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雾滴谱仪</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部</w:t>
            </w:r>
          </w:p>
        </w:tc>
        <w:tc>
          <w:tcPr>
            <w:tcW w:w="394" w:type="pct"/>
            <w:vAlign w:val="center"/>
          </w:tcPr>
          <w:p>
            <w:pPr>
              <w:rPr>
                <w:rFonts w:ascii="宋体" w:eastAsia="宋体" w:hAnsi="宋体" w:cs="Times New Roman"/>
                <w:szCs w:val="21"/>
              </w:rPr>
            </w:pPr>
            <w:r>
              <w:rPr>
                <w:rFonts w:ascii="宋体" w:eastAsia="宋体" w:hAnsi="宋体" w:cs="Times New Roman" w:hint="eastAsia"/>
                <w:szCs w:val="21"/>
              </w:rPr>
              <w:t>1</w:t>
            </w:r>
          </w:p>
        </w:tc>
        <w:tc>
          <w:tcPr>
            <w:tcW w:w="708" w:type="pct"/>
            <w:vAlign w:val="center"/>
          </w:tcPr>
          <w:p>
            <w:pPr>
              <w:rPr>
                <w:rFonts w:ascii="宋体" w:eastAsia="宋体" w:hAnsi="宋体" w:cs="Times New Roman"/>
                <w:szCs w:val="21"/>
              </w:rPr>
            </w:pPr>
            <w:r>
              <w:rPr>
                <w:rFonts w:ascii="宋体" w:eastAsia="宋体" w:hAnsi="宋体" w:cs="Times New Roman" w:hint="eastAsia"/>
                <w:szCs w:val="21"/>
              </w:rPr>
              <w:t>合同签订后60天内交货，90天内完成安装调试并具备验收条件</w:t>
            </w:r>
          </w:p>
        </w:tc>
        <w:tc>
          <w:tcPr>
            <w:tcW w:w="473" w:type="pct"/>
            <w:vAlign w:val="center"/>
          </w:tcPr>
          <w:p>
            <w:pPr>
              <w:spacing w:line="360" w:lineRule="auto"/>
              <w:rPr>
                <w:rFonts w:ascii="宋体" w:eastAsia="宋体" w:hAnsi="宋体" w:cs="Times New Roman"/>
                <w:szCs w:val="21"/>
              </w:rPr>
            </w:pPr>
            <w:r>
              <w:rPr>
                <w:rFonts w:ascii="宋体" w:eastAsia="宋体" w:hAnsi="宋体" w:cs="Times New Roman"/>
                <w:szCs w:val="21"/>
              </w:rPr>
              <w:t>由采购人指定</w:t>
            </w: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含雾滴谱主机、抽气泵、电源线、数据线、数据采集与显示终端等</w:t>
            </w:r>
          </w:p>
        </w:tc>
      </w:tr>
    </w:tbl>
    <w:p>
      <w:pPr>
        <w:spacing w:line="360" w:lineRule="auto"/>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7"/>
        <w:gridCol w:w="734"/>
        <w:gridCol w:w="734"/>
        <w:gridCol w:w="1020"/>
        <w:gridCol w:w="1164"/>
        <w:gridCol w:w="4028"/>
        <w:gridCol w:w="43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雾滴谱仪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800,000.00</w:t>
            </w:r>
          </w:p>
        </w:tc>
        <w:tc>
          <w:tcPr/>
          <w:p>
            <w:pPr>
              <w:autoSpaceDE w:val="0"/>
              <w:jc w:val="center"/>
              <w:rPr>
                <w:rFonts w:asciiTheme="minorEastAsia" w:hAnsiTheme="minorEastAsia" w:cstheme="minorEastAsia" w:hint="eastAsia"/>
                <w:kern w:val="0"/>
                <w:szCs w:val="21"/>
              </w:rPr>
            </w:pPr>
            <w:r>
              <w:t>合同签订后60天内交货，90天内完成安装调试并具备验收条件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94"/>
        <w:gridCol w:w="2402"/>
        <w:gridCol w:w="975"/>
        <w:gridCol w:w="594"/>
        <w:gridCol w:w="1355"/>
        <w:gridCol w:w="1033"/>
        <w:gridCol w:w="975"/>
        <w:gridCol w:w="5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雷达研试中心(001033019)</w:t>
            </w:r>
          </w:p>
        </w:tc>
        <w:tc>
          <w:tcPr/>
          <w:p>
            <w:r>
              <w:t>雾滴谱仪</w:t>
            </w:r>
          </w:p>
        </w:tc>
        <w:tc>
          <w:tcPr/>
          <w:p>
            <w:r>
              <w:t>1</w:t>
            </w:r>
          </w:p>
        </w:tc>
        <w:tc>
          <w:tcPr/>
          <w:p>
            <w:r>
              <w:t>800000.00</w:t>
            </w:r>
          </w:p>
        </w:tc>
        <w:tc>
          <w:tcPr/>
          <w:p>
            <w:r>
              <w:t xml:space="preserve">800000.00  </w:t>
            </w:r>
          </w:p>
        </w:tc>
        <w:tc>
          <w:tcPr/>
          <w:p>
            <w:r>
              <w:t>天津市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*质保期要求：设备供应商提供自验收合格后8年的质保服务，需提供设备质保承诺函原件（格式自拟）</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0"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color w:val="FF0000"/>
          <w:szCs w:val="21"/>
          <w:u w:val="single"/>
        </w:rPr>
      </w:pPr>
      <w:r>
        <w:rPr>
          <w:rFonts w:ascii="Wingdings 2" w:hAnsi="Wingdings 2" w:cs="微软雅黑"/>
          <w:b/>
          <w:kern w:val="0"/>
          <w:szCs w:val="21"/>
        </w:rPr>
        <w:sym w:font="Wingdings 2" w:char="F052"/>
      </w:r>
      <w:r>
        <w:rPr>
          <w:rFonts w:ascii="宋体" w:hAnsi="宋体" w:hint="eastAsia"/>
          <w:szCs w:val="21"/>
        </w:rPr>
        <w:t>分期付款：</w:t>
      </w:r>
      <w:r>
        <w:rPr>
          <w:rFonts w:ascii="宋体" w:hAnsi="宋体" w:hint="eastAsia"/>
          <w:color w:val="FF0000"/>
          <w:szCs w:val="21"/>
          <w:u w:val="single"/>
        </w:rPr>
        <w:t xml:space="preserve"> </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合同采用分期付款方式，各期支付比例一经确定在合同履行过程中不得调整，具体支付比例为：</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合同签订后，乙方向甲方提供合同总金额5%的银行履约保函，设备验收合格</w:t>
      </w:r>
      <w:r>
        <w:rPr>
          <w:rFonts w:ascii="宋体" w:eastAsia="宋体" w:hAnsi="宋体" w:cs="Times New Roman" w:hint="eastAsia"/>
          <w:szCs w:val="21"/>
          <w:highlight w:val="yellow"/>
        </w:rPr>
        <w:t>后，甲方将银行履约保函退还乙方。</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（1）合同签订生效后，30个工作日内甲方向乙方支付合同金额的30%，人民币小写：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（2）设备现场开箱验收合格后，甲方向乙方支付合同金额的30%，人民币小写：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（3）设备完成安装调试且运行正常，甲方向乙方支付合同金额的30%，人民币小写：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highlight w:val="yellow"/>
        </w:rPr>
        <w:t>（4）设备通过合同验收后，甲方向乙方支付合同金额的10%，人民币小写：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各期支付条件均与分期履约验收情况挂钩，验收不合格的甲方有权暂缓支付相应款项，其中预付款在支付后不因后续验收情况调整，如涉及预付款保函其有效期应覆盖至预付款全部抵扣完毕。</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86"/>
    <w:family w:val="auto"/>
    <w:pitch w:val="default"/>
    <w:sig w:usb0="00000000" w:usb1="00000000" w:usb2="00000016"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1CD3C09"/>
    <w:multiLevelType w:val="multilevel"/>
    <w:tmpl w:val="31CD3C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