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2025年湖南X波段天气雷达系统建设项目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ZQCD-25437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祁阳市气象局；资兴市气象局；浏阳市气象局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湖南祁阳、资兴、浏阳2025年短临工程X波段双线偏振多普勒天气雷达建设项目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ZQCD-25437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合同签订后180天内交货，60天内完成安装调试并具备验收条件（具体详见采购需求）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湖南省永州祁阳市、浏阳市、郴州资兴市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2025年12月09日 00:00:00</w:t>
      </w:r>
      <w:bookmarkEnd w:id="26"/>
      <w:r>
        <w:rPr>
          <w:rFonts w:ascii="宋体" w:hint="eastAsia"/>
          <w:szCs w:val="21"/>
          <w:highlight w:val="none"/>
        </w:rPr>
        <w:t>至</w:t>
      </w:r>
      <w:bookmarkStart w:id="27" w:name="项目公告_signUpLastTime"/>
      <w:r>
        <w:rPr>
          <w:rFonts w:ascii="宋体" w:hint="eastAsia"/>
          <w:szCs w:val="21"/>
          <w:highlight w:val="none"/>
        </w:rPr>
        <w:t>2025年12月16日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2026年01月28日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祁阳市气象局；资兴市气象局；浏阳市气象局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李建宇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0731-85551125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湖南省长沙市雨花区东塘街道黄土岭路296号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祁阳市气象局；资兴市气象局；浏阳市气象局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w:t>
            </w:r>
            <w:bookmarkEnd w:id="40"/>
            <w:bookmarkStart w:id="41" w:name="_GoBack"/>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2" w:name="进口产品_agentMaterials"/>
            <w:r>
              <w:rPr>
                <w:rFonts w:ascii="宋体" w:hAnsi="宋体" w:cs="微软雅黑" w:hint="eastAsia"/>
                <w:kern w:val="0"/>
                <w:szCs w:val="21"/>
                <w:highlight w:val="none"/>
              </w:rPr>
              <w:t>/</w:t>
            </w:r>
            <w:bookmarkEnd w:id="42"/>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3" w:name="是否设有核心产品_coreFlagText"/>
            <w:r>
              <w:rPr>
                <w:rFonts w:asciiTheme="minorEastAsia" w:eastAsiaTheme="minorEastAsia" w:hAnsiTheme="minorEastAsia" w:cstheme="minorEastAsia" w:hint="eastAsia"/>
                <w:kern w:val="0"/>
                <w:szCs w:val="21"/>
                <w:highlight w:val="none"/>
              </w:rPr>
              <w:t>不设有</w:t>
            </w:r>
            <w:bookmarkEnd w:id="43"/>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4" w:name="联合体投标_jointFlagText"/>
            <w:r>
              <w:rPr>
                <w:rFonts w:ascii="宋体" w:hAnsi="宋体" w:cs="微软雅黑" w:hint="eastAsia"/>
                <w:kern w:val="0"/>
                <w:szCs w:val="21"/>
                <w:highlight w:val="none"/>
              </w:rPr>
              <w:t>不允许</w:t>
            </w:r>
            <w:bookmarkEnd w:id="44"/>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5"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必须，以下产品需要提供至投标截止日仍有效的《气象专用技术装备使用许可证》：X波段双线偏振多普勒天气雷达</w:t>
            </w:r>
            <w:bookmarkEnd w:id="45"/>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6" w:name="进口产品投标_entranceFlagText"/>
            <w:r>
              <w:rPr>
                <w:rFonts w:asciiTheme="minorEastAsia" w:eastAsiaTheme="minorEastAsia" w:hAnsiTheme="minorEastAsia" w:cstheme="minorEastAsia" w:hint="eastAsia"/>
                <w:kern w:val="0"/>
                <w:szCs w:val="21"/>
                <w:highlight w:val="none"/>
              </w:rPr>
              <w:t>不允许</w:t>
            </w:r>
            <w:bookmarkEnd w:id="46"/>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（1）标的：X波段双线偏振多普勒天气雷达系统 ，属于  工业  行业；</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9" w:name="中标服务费_finalAmountText"/>
            <w:r>
              <w:rPr>
                <w:rFonts w:hint="eastAsia"/>
                <w:highlight w:val="none"/>
                <w:lang w:eastAsia="zh-CN"/>
              </w:rPr>
              <w:t>是，中标服务费：7.1万元。</w:t>
            </w:r>
            <w:bookmarkEnd w:id="49"/>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2" w:name="预算金额_budgetAmount"/>
            <w:r>
              <w:rPr>
                <w:rFonts w:ascii="宋体" w:hAnsi="宋体" w:cs="微软雅黑" w:hint="eastAsia"/>
                <w:kern w:val="0"/>
                <w:szCs w:val="21"/>
                <w:highlight w:val="none"/>
              </w:rPr>
              <w:t>1,062.000000</w:t>
            </w:r>
            <w:bookmarkEnd w:id="52"/>
            <w:r>
              <w:rPr>
                <w:rFonts w:ascii="宋体" w:hAnsi="宋体" w:cs="微软雅黑" w:hint="eastAsia"/>
                <w:kern w:val="0"/>
                <w:szCs w:val="21"/>
                <w:highlight w:val="none"/>
              </w:rPr>
              <w:t>万元</w:t>
            </w:r>
            <w:bookmarkStart w:id="53" w:name="预算明细_packMoneyDetail"/>
            <w:r>
              <w:rPr>
                <w:rFonts w:hint="eastAsia"/>
                <w:szCs w:val="21"/>
                <w:highlight w:val="none"/>
              </w:rPr>
              <w:t>,包 1 采购预算(或最高限价)为人民币 1,062.000000 万元</w:t>
            </w:r>
            <w:bookmarkEnd w:id="53"/>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highlight w:val="none"/>
              </w:rPr>
              <w:t>不允许</w:t>
            </w:r>
            <w:bookmarkEnd w:id="54"/>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详见采购需求</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销售合同必须包括X波段双线偏振多普勒天气雷达，每提供1份合同得1分，最多得5分。否则不得分。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针对本项目采购的X波段双线偏振多普勒天气雷达，承诺每提前10天交货的得0.5分，最多得1分。否则不得分。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针对X波段双线偏振多普勒天气雷达设备，每提供1份用户证明材料得1分，最多得3分。否则不得分。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针对X波段双线偏振多普勒天气雷达设备，测试报告应涵盖安全试验、环境试验测试、第三方抗干扰检测等内容，每包含一项得1分，最多得3分。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highlight w:val="green"/>
        </w:rPr>
      </w:pPr>
      <w:r>
        <w:rPr>
          <w:rFonts w:ascii="仿宋" w:eastAsia="仿宋" w:hAnsi="仿宋" w:cs="仿宋" w:hint="eastAsia"/>
          <w:sz w:val="28"/>
          <w:szCs w:val="20"/>
          <w:highlight w:val="green"/>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按照《X波段双线偏振多普勒天气雷达系统功能规格需求书（第二版）》（气测函〔2025〕109号）研制生产雷达。</w:t>
      </w:r>
    </w:p>
    <w:p>
      <w:p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rPr>
        <w:t>（一）分系统设计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w:t>
      </w:r>
      <w:r>
        <w:rPr>
          <w:rFonts w:ascii="仿宋" w:eastAsia="仿宋" w:hAnsi="仿宋" w:cs="仿宋" w:hint="eastAsia"/>
          <w:sz w:val="28"/>
          <w:szCs w:val="28"/>
        </w:rPr>
        <w:t>.</w:t>
      </w:r>
      <w:r>
        <w:rPr>
          <w:rFonts w:ascii="仿宋" w:eastAsia="仿宋" w:hAnsi="仿宋" w:cs="仿宋" w:hint="eastAsia"/>
          <w:bCs/>
          <w:sz w:val="28"/>
          <w:szCs w:val="28"/>
        </w:rPr>
        <w:t>1天线罩</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1.1.1组成与功能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天线罩主要由罩体、安装基环组成，天线罩罩体在电气性能上具有良好的电磁波穿透特性，机械性能上能经受外部恶劣环境。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天线罩其主要作用是保护雷达系统免受风雨、冰雪、沙尘和太阳辐射等的影响，减轻天线的磨损、腐蚀和老化，延长使用寿命。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1.1.2结构要求#</w:t>
      </w:r>
    </w:p>
    <w:p>
      <w:pPr>
        <w:snapToGrid w:val="0"/>
        <w:spacing w:line="360" w:lineRule="auto"/>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85230716" o:spid="_x0000_s1026" type="#_x0000_t75" style="width:31.45pt;height:11.9pt;margin-top:16.25pt;margin-left:353.35pt;mso-height-relative:page;mso-width-relative:page;position:absolute;z-index:251658240" coordsize="21600,21600" o:preferrelative="t" filled="f" stroked="f">
            <v:imagedata r:id="rId6" o:title=""/>
            <o:lock v:ext="edit" aspectratio="t"/>
          </v:shape>
        </w:pict>
      </w:r>
      <w:r>
        <w:rPr>
          <w:sz w:val="28"/>
          <w:szCs w:val="28"/>
        </w:rPr>
        <w:pict>
          <v:shape id="_x0000_i1027" type="#_x0000_t75" style="width:370.3pt;height:283.3pt" coordsize="21600,21600" o:preferrelative="t" filled="f" stroked="f">
            <v:imagedata r:id="rId7" o:title=""/>
            <o:lock v:ext="edit" aspectratio="t"/>
            <w10:anchorlock/>
          </v:shape>
        </w:pict>
      </w:r>
    </w:p>
    <w:p>
      <w:pPr>
        <w:snapToGrid w:val="0"/>
        <w:spacing w:line="360" w:lineRule="auto"/>
        <w:jc w:val="center"/>
        <w:rPr>
          <w:sz w:val="28"/>
          <w:szCs w:val="28"/>
        </w:rPr>
      </w:pPr>
      <w:r>
        <w:rPr>
          <w:sz w:val="28"/>
          <w:szCs w:val="28"/>
        </w:rPr>
        <w:pict>
          <v:shape id="_x0000_i1028" type="#_x0000_t75" style="width:286.95pt;height:283.7pt" coordsize="21600,21600" o:preferrelative="t" filled="f" stroked="f">
            <v:imagedata r:id="rId8" o:title=""/>
            <o:lock v:ext="edit" aspectratio="t"/>
            <w10:anchorlock/>
          </v:shape>
        </w:pict>
      </w:r>
    </w:p>
    <w:p>
      <w:pPr>
        <w:snapToGrid w:val="0"/>
        <w:spacing w:line="360" w:lineRule="auto"/>
        <w:rPr>
          <w:sz w:val="28"/>
          <w:szCs w:val="28"/>
        </w:rPr>
      </w:pPr>
      <w:r>
        <w:rPr>
          <w:sz w:val="28"/>
          <w:szCs w:val="28"/>
        </w:rPr>
        <w:pict>
          <v:shape id="_x0000_i1029" type="#_x0000_t75" style="width:415.05pt;height:263.7pt" coordsize="21600,21600" o:preferrelative="t" filled="f" stroked="f">
            <v:imagedata r:id="rId9" o:title=""/>
            <o:lock v:ext="edit" aspectratio="t"/>
            <w10:anchorlock/>
          </v:shape>
        </w:pict>
      </w:r>
    </w:p>
    <w:p>
      <w:pPr>
        <w:spacing w:line="570" w:lineRule="exact"/>
        <w:jc w:val="center"/>
        <w:rPr>
          <w:rFonts w:eastAsia="仿宋"/>
          <w:sz w:val="28"/>
          <w:szCs w:val="28"/>
        </w:rPr>
      </w:pPr>
      <w:r>
        <w:rPr>
          <w:rFonts w:ascii="黑体" w:eastAsia="黑体" w:hAnsi="黑体" w:cs="黑体" w:hint="eastAsia"/>
          <w:sz w:val="28"/>
          <w:szCs w:val="28"/>
        </w:rPr>
        <w:t>图1 天线罩结构示例</w:t>
      </w:r>
    </w:p>
    <w:p>
      <w:pPr>
        <w:ind w:firstLine="560" w:firstLineChars="200"/>
        <w:outlineLvl w:val="9"/>
        <w:rPr>
          <w:rFonts w:ascii="仿宋" w:eastAsia="仿宋" w:hAnsi="仿宋" w:cs="仿宋" w:hint="eastAsia"/>
          <w:bCs/>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_GB2312" w:hAnsi="仿宋_GB2312" w:cs="仿宋_GB2312"/>
          <w:bCs/>
          <w:sz w:val="28"/>
          <w:szCs w:val="28"/>
        </w:rPr>
      </w:pPr>
      <w:r>
        <w:rPr>
          <w:rFonts w:ascii="仿宋" w:eastAsia="仿宋" w:hAnsi="仿宋" w:cs="仿宋" w:hint="eastAsia"/>
          <w:bCs/>
          <w:sz w:val="28"/>
          <w:szCs w:val="28"/>
        </w:rPr>
        <w:t>1.2天线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rPr>
        <w:t>1.2.1组成与功能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天线为旋转圆抛物面反射体，用于辐射微波能量和接收目标后向散射微波功率。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highlight w:val="yellow"/>
        </w:rPr>
        <w:t>1.2.2结构要求#</w:t>
      </w:r>
    </w:p>
    <w:p>
      <w:pPr>
        <w:snapToGrid w:val="0"/>
        <w:spacing w:line="360" w:lineRule="auto"/>
        <w:jc w:val="center"/>
        <w:rPr>
          <w:rFonts w:ascii="宋体" w:eastAsia="宋体" w:hAnsi="宋体"/>
          <w:sz w:val="28"/>
          <w:szCs w:val="28"/>
        </w:rPr>
      </w:pPr>
      <w:r>
        <w:rPr>
          <w:sz w:val="28"/>
          <w:szCs w:val="28"/>
        </w:rPr>
        <w:pict>
          <v:shape id="_x0000_i1030" type="#_x0000_t75" style="width:396.95pt;height:280.25pt" coordsize="21600,21600" o:preferrelative="t" filled="f" stroked="f">
            <v:imagedata r:id="rId10"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图2 天线结构示例</w:t>
      </w:r>
    </w:p>
    <w:p>
      <w:pPr>
        <w:tabs>
          <w:tab w:val="center" w:pos="4213"/>
          <w:tab w:val="left" w:pos="7371"/>
        </w:tabs>
        <w:jc w:val="center"/>
        <w:rPr>
          <w:rFonts w:ascii="黑体" w:eastAsia="黑体" w:hAnsi="黑体" w:cs="黑体"/>
          <w:sz w:val="28"/>
          <w:szCs w:val="28"/>
        </w:rPr>
      </w:pPr>
      <w:r>
        <w:rPr>
          <w:sz w:val="28"/>
          <w:szCs w:val="28"/>
        </w:rPr>
        <w:pict>
          <v:shape id="图片 1" o:spid="_x0000_s1031" type="#_x0000_t75" style="width:249.15pt;height:175.6pt;margin-top:12.9pt;margin-left:73.05pt;mso-height-relative:page;mso-width-relative:page;mso-wrap-distance-bottom:0;mso-wrap-distance-top:0;position:absolute;z-index:251660288" coordsize="21600,21600" o:preferrelative="t" filled="f" stroked="f">
            <v:imagedata r:id="rId11" o:title=""/>
            <o:lock v:ext="edit" aspectratio="t"/>
            <w10:wrap type="topAndBottom"/>
          </v:shape>
        </w:pict>
      </w:r>
      <w:r>
        <w:rPr>
          <w:sz w:val="28"/>
          <w:szCs w:val="28"/>
        </w:rPr>
        <w:pict>
          <v:shape id="图片 11" o:spid="_x0000_s1032" type="#_x0000_t75" style="width:30.15pt;height:11.4pt;margin-top:151.1pt;margin-left:35.55pt;mso-height-relative:page;mso-position-horizontal-relative:margin;mso-width-relative:page;position:absolute;z-index:251659264" coordsize="21600,21600" o:preferrelative="t" filled="f" stroked="f">
            <v:imagedata r:id="rId6" o:title=""/>
            <o:lock v:ext="edit" aspectratio="t"/>
            <w10:wrap anchorx="margin"/>
          </v:shape>
        </w:pict>
      </w:r>
      <w:r>
        <w:rPr>
          <w:rFonts w:ascii="黑体" w:eastAsia="黑体" w:hAnsi="黑体" w:cs="黑体" w:hint="eastAsia"/>
          <w:sz w:val="28"/>
          <w:szCs w:val="28"/>
        </w:rPr>
        <w:t>图3 转台和天线连接结构示例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1.2.3工艺、材质及标识标牌要求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693"/>
        <w:gridCol w:w="5906"/>
      </w:tblGrid>
      <w:tr>
        <w:tblPrEx>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w:t>
            </w:r>
          </w:p>
        </w:tc>
      </w:tr>
      <w:tr>
        <w:tblPrEx>
          <w:tblW w:w="7599" w:type="dxa"/>
          <w:jc w:val="center"/>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天线</w:t>
            </w:r>
          </w:p>
        </w:tc>
      </w:tr>
      <w:tr>
        <w:tblPrEx>
          <w:tblW w:w="7599" w:type="dxa"/>
          <w:jc w:val="center"/>
          <w:tblCellMar>
            <w:top w:w="0" w:type="dxa"/>
            <w:left w:w="108" w:type="dxa"/>
            <w:bottom w:w="0" w:type="dxa"/>
            <w:right w:w="108" w:type="dxa"/>
          </w:tblCellMar>
        </w:tblPrEx>
        <w:trPr>
          <w:cantSplit/>
          <w:trHeight w:val="430"/>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2.4米+1%</w:t>
            </w:r>
          </w:p>
        </w:tc>
      </w:tr>
      <w:tr>
        <w:tblPrEx>
          <w:tblW w:w="7599" w:type="dxa"/>
          <w:jc w:val="center"/>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UD01-YYYY-MM-XXX</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序列号中的“YYYY”代表出厂所述年，“MM”代表出厂所述月，“XXX代表出厂序号”。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1.2.4接口说明#</w:t>
      </w:r>
    </w:p>
    <w:tbl>
      <w:tblPr>
        <w:tblStyle w:val="TableNormal"/>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123"/>
        <w:gridCol w:w="1426"/>
        <w:gridCol w:w="1108"/>
        <w:gridCol w:w="2523"/>
        <w:gridCol w:w="1598"/>
      </w:tblGrid>
      <w:tr>
        <w:tblPrEx>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509"/>
          <w:jc w:val="center"/>
        </w:trPr>
        <w:tc>
          <w:tcPr>
            <w:tcW w:w="11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接口号</w:t>
            </w:r>
          </w:p>
        </w:tc>
        <w:tc>
          <w:tcPr>
            <w:tcW w:w="1426"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接口类型</w:t>
            </w:r>
          </w:p>
        </w:tc>
        <w:tc>
          <w:tcPr>
            <w:tcW w:w="110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接口名</w:t>
            </w:r>
          </w:p>
        </w:tc>
        <w:tc>
          <w:tcPr>
            <w:tcW w:w="25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信号定义</w:t>
            </w:r>
          </w:p>
        </w:tc>
        <w:tc>
          <w:tcPr>
            <w:tcW w:w="159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备注</w:t>
            </w:r>
          </w:p>
        </w:tc>
      </w:tr>
      <w:tr>
        <w:tblPrEx>
          <w:tblW w:w="7778" w:type="dxa"/>
          <w:jc w:val="center"/>
          <w:tblCellMar>
            <w:top w:w="0" w:type="dxa"/>
            <w:left w:w="108" w:type="dxa"/>
            <w:bottom w:w="0" w:type="dxa"/>
            <w:right w:w="108" w:type="dxa"/>
          </w:tblCellMar>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XS01</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T/R-H</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水平极化收发接口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连接馈线（XS01）</w:t>
            </w:r>
          </w:p>
        </w:tc>
      </w:tr>
      <w:tr>
        <w:tblPrEx>
          <w:tblW w:w="7778" w:type="dxa"/>
          <w:jc w:val="center"/>
          <w:tblCellMar>
            <w:top w:w="0" w:type="dxa"/>
            <w:left w:w="108" w:type="dxa"/>
            <w:bottom w:w="0" w:type="dxa"/>
            <w:right w:w="108" w:type="dxa"/>
          </w:tblCellMar>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XS02</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T/R-V</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垂直极化收发接口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连接馈线（XS02）</w:t>
            </w:r>
          </w:p>
        </w:tc>
      </w:tr>
    </w:tbl>
    <w:p>
      <w:pPr>
        <w:ind w:firstLine="560" w:firstLineChars="200"/>
        <w:outlineLvl w:val="2"/>
        <w:rPr>
          <w:rFonts w:ascii="仿宋_GB2312" w:hAnsi="仿宋_GB2312" w:cs="仿宋_GB2312"/>
          <w:bCs/>
          <w:sz w:val="28"/>
          <w:szCs w:val="28"/>
        </w:rPr>
      </w:pPr>
      <w:r>
        <w:rPr>
          <w:rFonts w:ascii="仿宋_GB2312" w:eastAsia="仿宋_GB2312" w:hAnsi="仿宋_GB2312" w:cs="仿宋_GB2312" w:hint="eastAsia"/>
          <w:bCs/>
          <w:sz w:val="28"/>
          <w:szCs w:val="28"/>
        </w:rPr>
        <w:t>1.3馈线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1.3.1组成与功能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馈线分为两路，一路为水平支路，另一路为垂直支路，主要用于传输发射信号和接收信号。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highlight w:val="yellow"/>
        </w:rPr>
        <w:t>1.3.2结构要求#</w:t>
      </w:r>
    </w:p>
    <w:p>
      <w:pPr>
        <w:spacing w:line="360" w:lineRule="auto"/>
        <w:rPr>
          <w:sz w:val="28"/>
          <w:szCs w:val="28"/>
        </w:rPr>
      </w:pPr>
      <w:r>
        <w:rPr>
          <w:sz w:val="28"/>
          <w:szCs w:val="28"/>
        </w:rPr>
        <w:pict>
          <v:shape id="图片 10" o:spid="_x0000_s1033" type="#_x0000_t75" style="width:31.45pt;height:11.9pt;margin-top:33.6pt;margin-left:314pt;mso-height-relative:page;mso-width-relative:page;position:absolute;z-index:251661312" coordsize="21600,21600" o:preferrelative="t" filled="f" stroked="f">
            <v:imagedata r:id="rId6" o:title=""/>
            <o:lock v:ext="edit" aspectratio="t"/>
          </v:shape>
        </w:pict>
      </w:r>
      <w:r>
        <w:rPr>
          <w:rFonts w:ascii="仿宋_GB2312"/>
          <w:sz w:val="28"/>
          <w:szCs w:val="28"/>
        </w:rPr>
        <w:pict>
          <v:shape id="_x0000_i1034" type="#_x0000_t75" alt="D:\WeChat Files\fenrisking\FileStorage\File\2024-01\馈线尺寸图_00.png" style="width:415.2pt;height:293.3pt" coordsize="21600,21600" o:preferrelative="t" filled="f" stroked="f">
            <v:imagedata r:id="rId12" o:title="馈线尺寸图_00"/>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图4 馈线结构示例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1.3.3工艺、材质及标识标牌要求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927"/>
        <w:gridCol w:w="7012"/>
      </w:tblGrid>
      <w:tr>
        <w:tblPrEx>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型  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w:t>
            </w:r>
          </w:p>
        </w:tc>
      </w:tr>
      <w:tr>
        <w:tblPrEx>
          <w:tblW w:w="8939" w:type="dxa"/>
          <w:jc w:val="center"/>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名  称</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馈线</w:t>
            </w:r>
          </w:p>
        </w:tc>
      </w:tr>
      <w:tr>
        <w:tblPrEx>
          <w:tblW w:w="8939" w:type="dxa"/>
          <w:jc w:val="center"/>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规  格</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FBP100/BJ100</w:t>
            </w:r>
          </w:p>
        </w:tc>
      </w:tr>
      <w:tr>
        <w:tblPrEx>
          <w:tblW w:w="8939" w:type="dxa"/>
          <w:jc w:val="center"/>
          <w:tblCellMar>
            <w:top w:w="0" w:type="dxa"/>
            <w:left w:w="108" w:type="dxa"/>
            <w:bottom w:w="0" w:type="dxa"/>
            <w:right w:w="108" w:type="dxa"/>
          </w:tblCellMar>
        </w:tblPrEx>
        <w:trPr>
          <w:cantSplit/>
          <w:trHeight w:val="446"/>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序列号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UD02-YYYY-MM-XXX</w:t>
            </w:r>
          </w:p>
        </w:tc>
      </w:tr>
    </w:tbl>
    <w:p>
      <w:pPr>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1.3.4接口说明#</w:t>
      </w:r>
    </w:p>
    <w:tbl>
      <w:tblPr>
        <w:tblStyle w:val="TableNormal"/>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067"/>
        <w:gridCol w:w="1350"/>
        <w:gridCol w:w="1104"/>
        <w:gridCol w:w="2591"/>
        <w:gridCol w:w="2811"/>
      </w:tblGrid>
      <w:tr>
        <w:tblPrEx>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578"/>
          <w:tblHeader/>
          <w:jc w:val="center"/>
        </w:trPr>
        <w:tc>
          <w:tcPr>
            <w:tcW w:w="1067"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接口号</w:t>
            </w:r>
          </w:p>
        </w:tc>
        <w:tc>
          <w:tcPr>
            <w:tcW w:w="1350"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接口类型</w:t>
            </w:r>
          </w:p>
        </w:tc>
        <w:tc>
          <w:tcPr>
            <w:tcW w:w="1104"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接口名</w:t>
            </w:r>
          </w:p>
        </w:tc>
        <w:tc>
          <w:tcPr>
            <w:tcW w:w="259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信号定义</w:t>
            </w:r>
          </w:p>
        </w:tc>
        <w:tc>
          <w:tcPr>
            <w:tcW w:w="281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备注</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XS01</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XS02</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XS03</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XS04</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XS05</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XS06</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XS07</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H-TEST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耦合测试口（耦合比40±1dB），连接接收机（XS03），用于功率监视</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XS08</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V-TEST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耦合测试口（耦合比40±1dB），连接接收机（XS04），用于功率监视</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1.4伺服转台</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1.4.1组成与功能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控制选用数字式伺服转台，高精度伺服电机驱动，方位360°无限制、俯仰-2°—+180°扫描（固态体制），俯仰-2°—+90°扫描（速调管体制），具有相应的电气和机械限位功能；雷达伺服转台应支持平面位置扫描、距离高度扫描、体积扫描、扇形扫描、定点扫描等多种扫描方式，各种扫描方式均由软件控制完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1.4.2结构要求#</w:t>
      </w:r>
    </w:p>
    <w:p>
      <w:pPr>
        <w:spacing w:line="360" w:lineRule="auto"/>
        <w:jc w:val="center"/>
        <w:rPr>
          <w:bCs/>
          <w:sz w:val="28"/>
          <w:szCs w:val="28"/>
        </w:rPr>
      </w:pPr>
      <w:r>
        <w:rPr>
          <w:color w:val="000000"/>
          <w:sz w:val="28"/>
          <w:szCs w:val="28"/>
        </w:rPr>
        <w:pict>
          <v:shape id="_x0000_i1035" type="#_x0000_t75" style="width:262.15pt;height:297.9pt" coordsize="21600,21600" o:preferrelative="t" filled="f" stroked="f">
            <v:imagedata r:id="rId13"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图5 伺服结构示例（含电源模块）</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1.4.3工艺、材质及标识标牌要求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质：铝材、碳钢Q235（方位支柱）</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86"/>
        <w:gridCol w:w="6373"/>
      </w:tblGrid>
      <w:tr>
        <w:tblPrEx>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p>
        </w:tc>
      </w:tr>
      <w:tr>
        <w:tblPrEx>
          <w:tblW w:w="8759" w:type="dxa"/>
          <w:jc w:val="center"/>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373" w:type="dxa"/>
            <w:vAlign w:val="center"/>
          </w:tcPr>
          <w:p>
            <w:pPr>
              <w:pStyle w:val="-"/>
              <w:spacing w:line="240" w:lineRule="auto"/>
              <w:ind w:firstLine="0" w:firstLineChars="0"/>
              <w:jc w:val="center"/>
              <w:rPr>
                <w:rFonts w:ascii="仿宋_GB2312"/>
                <w:szCs w:val="28"/>
              </w:rPr>
            </w:pPr>
            <w:r>
              <w:rPr>
                <w:rFonts w:ascii="仿宋_GB2312" w:hint="eastAsia"/>
                <w:szCs w:val="28"/>
              </w:rPr>
              <w:t>伺服转台</w:t>
            </w:r>
          </w:p>
        </w:tc>
      </w:tr>
      <w:tr>
        <w:tblPrEx>
          <w:tblW w:w="8759" w:type="dxa"/>
          <w:jc w:val="center"/>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1010mm×650mm×2170mm</w:t>
            </w:r>
          </w:p>
        </w:tc>
      </w:tr>
      <w:tr>
        <w:tblPrEx>
          <w:tblW w:w="8759" w:type="dxa"/>
          <w:jc w:val="center"/>
          <w:tblCellMar>
            <w:top w:w="0" w:type="dxa"/>
            <w:left w:w="108" w:type="dxa"/>
            <w:bottom w:w="0" w:type="dxa"/>
            <w:right w:w="108" w:type="dxa"/>
          </w:tblCellMar>
        </w:tblPrEx>
        <w:trPr>
          <w:cantSplit/>
          <w:trHeight w:val="477"/>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spacing w:line="360" w:lineRule="auto"/>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1.4.4接口说明#</w:t>
      </w:r>
    </w:p>
    <w:tbl>
      <w:tblPr>
        <w:tblStyle w:val="TableNormal"/>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979"/>
        <w:gridCol w:w="193"/>
        <w:gridCol w:w="2403"/>
        <w:gridCol w:w="1382"/>
        <w:gridCol w:w="2102"/>
        <w:gridCol w:w="1749"/>
      </w:tblGrid>
      <w:tr>
        <w:tblPrEx>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jc w:val="center"/>
        </w:trPr>
        <w:tc>
          <w:tcPr>
            <w:tcW w:w="1172" w:type="dxa"/>
            <w:gridSpan w:val="2"/>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2403"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382"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102"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1749"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AC-POWER</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市电输入</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ANT</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伺服控制</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POWER-1</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恒温系统供电输出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航空插头(Y50EX-1412AZK10)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2</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发射供电输出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航空插头(Y50X-1207ZK10)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3</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接收供电输出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1.5发射机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1.5.1组成与功能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发射机将来自接收机的激励信号通过全固态或速调管功率放大后，输出大功率微波信号，通过天馈线向空间辐射；接收雷达监控单元的控制指令，完成对发射机的各种控制，并向监控单元反馈发射机的工作状态和故障信息。</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1.5.2结构要求#</w:t>
      </w:r>
    </w:p>
    <w:p>
      <w:pPr>
        <w:spacing w:line="360" w:lineRule="auto"/>
        <w:jc w:val="center"/>
        <w:rPr>
          <w:rFonts w:ascii="宋体" w:eastAsia="宋体" w:hAnsi="宋体"/>
          <w:sz w:val="28"/>
          <w:szCs w:val="28"/>
        </w:rPr>
      </w:pPr>
      <w:r>
        <w:rPr>
          <w:sz w:val="28"/>
          <w:szCs w:val="28"/>
        </w:rPr>
        <w:pict>
          <v:shape id="图片 7" o:spid="_x0000_s1036" type="#_x0000_t75" style="width:31.45pt;height:11.9pt;margin-top:9.75pt;margin-left:277.15pt;mso-height-relative:page;mso-width-relative:page;position:absolute;z-index:251662336" coordsize="21600,21600" o:preferrelative="t" filled="f" stroked="f">
            <v:imagedata r:id="rId6" o:title=""/>
            <o:lock v:ext="edit" aspectratio="t"/>
          </v:shape>
        </w:pict>
      </w:r>
      <w:r>
        <w:rPr>
          <w:sz w:val="28"/>
          <w:szCs w:val="28"/>
        </w:rPr>
        <w:pict>
          <v:shape id="_x0000_i1037" type="#_x0000_t75" style="width:306.35pt;height:255.25pt" coordsize="21600,21600" o:preferrelative="t" filled="f" stroked="f">
            <v:imagedata r:id="rId14"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图6 发射机结构示例</w:t>
      </w:r>
    </w:p>
    <w:p>
      <w:pPr>
        <w:spacing w:line="360" w:lineRule="auto"/>
        <w:jc w:val="center"/>
        <w:rPr>
          <w:rFonts w:ascii="宋体" w:eastAsia="宋体" w:hAnsi="宋体"/>
          <w:sz w:val="28"/>
          <w:szCs w:val="28"/>
        </w:rPr>
      </w:pPr>
      <w:r>
        <w:rPr>
          <w:sz w:val="28"/>
          <w:szCs w:val="28"/>
        </w:rPr>
        <w:pict>
          <v:shape id="_x0000_i1038" type="#_x0000_t75" style="width:241.75pt;height:258.35pt" coordsize="21600,21600" o:preferrelative="t" filled="f" stroked="f">
            <v:imagedata r:id="rId15"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图7 发射机和转台连接结构示例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1.5.3工艺、材质及标识标牌要求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48"/>
        <w:gridCol w:w="6271"/>
      </w:tblGrid>
      <w:tr>
        <w:tblPrEx>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w:t>
            </w:r>
          </w:p>
        </w:tc>
      </w:tr>
      <w:tr>
        <w:tblPrEx>
          <w:tblW w:w="8619" w:type="dxa"/>
          <w:jc w:val="center"/>
          <w:tblCellMar>
            <w:top w:w="0" w:type="dxa"/>
            <w:left w:w="108" w:type="dxa"/>
            <w:bottom w:w="0" w:type="dxa"/>
            <w:right w:w="108" w:type="dxa"/>
          </w:tblCellMar>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发射机</w:t>
            </w:r>
          </w:p>
        </w:tc>
      </w:tr>
      <w:tr>
        <w:tblPrEx>
          <w:tblW w:w="8619" w:type="dxa"/>
          <w:jc w:val="center"/>
          <w:tblCellMar>
            <w:top w:w="0" w:type="dxa"/>
            <w:left w:w="108" w:type="dxa"/>
            <w:bottom w:w="0" w:type="dxa"/>
            <w:right w:w="108" w:type="dxa"/>
          </w:tblCellMar>
        </w:tblPrEx>
        <w:trPr>
          <w:cantSplit/>
          <w:trHeight w:val="458"/>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650mm*500mm*230mm</w:t>
            </w:r>
          </w:p>
        </w:tc>
      </w:tr>
      <w:tr>
        <w:tblPrEx>
          <w:tblW w:w="8619" w:type="dxa"/>
          <w:jc w:val="center"/>
          <w:tblCellMar>
            <w:top w:w="0" w:type="dxa"/>
            <w:left w:w="108" w:type="dxa"/>
            <w:bottom w:w="0" w:type="dxa"/>
            <w:right w:w="108" w:type="dxa"/>
          </w:tblCellMar>
        </w:tblPrEx>
        <w:trPr>
          <w:cantSplit/>
          <w:trHeight w:val="507"/>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UD04-YYYY-MM-XXX</w:t>
            </w:r>
          </w:p>
        </w:tc>
      </w:tr>
    </w:tbl>
    <w:p>
      <w:pPr>
        <w:pStyle w:val="-"/>
        <w:spacing w:before="156" w:beforeLines="50" w:line="560" w:lineRule="exact"/>
        <w:ind w:firstLine="552"/>
        <w:outlineLvl w:val="3"/>
        <w:rPr>
          <w:rFonts w:ascii="仿宋" w:eastAsia="仿宋" w:hAnsi="仿宋" w:cs="仿宋" w:hint="eastAsia"/>
          <w:kern w:val="2"/>
          <w:szCs w:val="28"/>
        </w:rPr>
      </w:pPr>
      <w:r>
        <w:rPr>
          <w:rFonts w:ascii="仿宋" w:eastAsia="仿宋" w:hAnsi="仿宋" w:cs="仿宋" w:hint="eastAsia"/>
          <w:kern w:val="2"/>
          <w:szCs w:val="28"/>
          <w:highlight w:val="yellow"/>
        </w:rPr>
        <w:t>1.5.4接口说明</w:t>
      </w:r>
      <w:r>
        <w:rPr>
          <w:rFonts w:ascii="仿宋" w:eastAsia="仿宋" w:hAnsi="仿宋" w:cs="仿宋" w:hint="eastAsia"/>
          <w:szCs w:val="28"/>
          <w:highlight w:val="yellow"/>
        </w:rPr>
        <w:t>#</w:t>
      </w:r>
    </w:p>
    <w:tbl>
      <w:tblPr>
        <w:tblStyle w:val="TableNormal"/>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097"/>
        <w:gridCol w:w="2541"/>
        <w:gridCol w:w="1069"/>
        <w:gridCol w:w="2091"/>
        <w:gridCol w:w="1899"/>
      </w:tblGrid>
      <w:tr>
        <w:tblPrEx>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812"/>
          <w:tblHeader/>
          <w:jc w:val="center"/>
        </w:trPr>
        <w:tc>
          <w:tcPr>
            <w:tcW w:w="1097"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接口号</w:t>
            </w:r>
          </w:p>
        </w:tc>
        <w:tc>
          <w:tcPr>
            <w:tcW w:w="254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接口类型</w:t>
            </w:r>
          </w:p>
        </w:tc>
        <w:tc>
          <w:tcPr>
            <w:tcW w:w="106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09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信号定义</w:t>
            </w:r>
          </w:p>
        </w:tc>
        <w:tc>
          <w:tcPr>
            <w:tcW w:w="189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备注</w:t>
            </w:r>
          </w:p>
        </w:tc>
      </w:tr>
      <w:tr>
        <w:tblPrEx>
          <w:tblW w:w="8697" w:type="dxa"/>
          <w:jc w:val="center"/>
          <w:tblLayout w:type="fixed"/>
          <w:tblCellMar>
            <w:top w:w="0" w:type="dxa"/>
            <w:left w:w="108" w:type="dxa"/>
            <w:bottom w:w="0" w:type="dxa"/>
            <w:right w:w="108" w:type="dxa"/>
          </w:tblCellMar>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XS01</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TX-H</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水平极化发射输出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通过波导连接馈线（XS03）</w:t>
            </w:r>
          </w:p>
        </w:tc>
      </w:tr>
      <w:tr>
        <w:tblPrEx>
          <w:tblW w:w="8697" w:type="dxa"/>
          <w:jc w:val="center"/>
          <w:tblLayout w:type="fixed"/>
          <w:tblCellMar>
            <w:top w:w="0" w:type="dxa"/>
            <w:left w:w="108" w:type="dxa"/>
            <w:bottom w:w="0" w:type="dxa"/>
            <w:right w:w="108" w:type="dxa"/>
          </w:tblCellMar>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XS02</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TX-V</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垂直极化发射输出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通过波导连接馈线（XS04）</w:t>
            </w:r>
          </w:p>
        </w:tc>
      </w:tr>
      <w:tr>
        <w:tblPrEx>
          <w:tblW w:w="8697" w:type="dxa"/>
          <w:jc w:val="center"/>
          <w:tblLayout w:type="fixed"/>
          <w:tblCellMar>
            <w:top w:w="0" w:type="dxa"/>
            <w:left w:w="108" w:type="dxa"/>
            <w:bottom w:w="0" w:type="dxa"/>
            <w:right w:w="108" w:type="dxa"/>
          </w:tblCellMar>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XS03</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TX-OUT</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发射测试输出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功放耦合输出（耦合比40±1dB）,测试口</w:t>
            </w:r>
          </w:p>
        </w:tc>
      </w:tr>
      <w:tr>
        <w:tblPrEx>
          <w:tblW w:w="8697" w:type="dxa"/>
          <w:jc w:val="center"/>
          <w:tblLayout w:type="fixed"/>
          <w:tblCellMar>
            <w:top w:w="0" w:type="dxa"/>
            <w:left w:w="108" w:type="dxa"/>
            <w:bottom w:w="0" w:type="dxa"/>
            <w:right w:w="108" w:type="dxa"/>
          </w:tblCellMar>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XS04</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馈线损耗测试输入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馈线测试输入（耦合比40±1dB），测试口</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XS05</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RF-IN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发射激励输入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来自接收机（XS06）</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XS06</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航空插头(Y50X-0810ZK10)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TX-KZ</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发射监控输入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连接至接收机（XS16）</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XS07</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航空插头(Y50X-0804ZK10)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FAN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风扇供电输出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连接至机箱散热风扇</w:t>
            </w:r>
          </w:p>
        </w:tc>
      </w:tr>
      <w:tr>
        <w:tblPrEx>
          <w:tblW w:w="8697" w:type="dxa"/>
          <w:jc w:val="center"/>
          <w:tblLayout w:type="fixed"/>
          <w:tblCellMar>
            <w:top w:w="0" w:type="dxa"/>
            <w:left w:w="108" w:type="dxa"/>
            <w:bottom w:w="0" w:type="dxa"/>
            <w:right w:w="108" w:type="dxa"/>
          </w:tblCellMar>
        </w:tblPrEx>
        <w:trPr>
          <w:cantSplit/>
          <w:trHeight w:val="1224"/>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XS08</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航空插头(Y50EX-1412ZJ10)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POWER-2</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发射电源输入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连接至伺服转台（XS06）</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1.6接收机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1.6.1组成与功能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接收机接收气象目标回波信号，经放大、频率变换、滤波，输出中频信号，供数字中频单元进行信号处理。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接收机采用高集成度设计，由接收通道、频率源（本振）等组成。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接收通道主要完成回波信号的放大、滤波和下变频，并输出中频信号至数字中频单元。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频率源为雷达各分机提供各种频率信号、本振信号、激励信号、参考时钟和测试信号，并以高稳定度的晶振作为频率基准。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1.6.2结构要求#</w:t>
      </w:r>
    </w:p>
    <w:p>
      <w:pPr>
        <w:spacing w:line="360" w:lineRule="auto"/>
        <w:jc w:val="center"/>
        <w:rPr>
          <w:bCs/>
          <w:sz w:val="28"/>
          <w:szCs w:val="28"/>
        </w:rPr>
      </w:pPr>
      <w:r>
        <w:rPr>
          <w:sz w:val="28"/>
          <w:szCs w:val="28"/>
        </w:rPr>
        <w:pict>
          <v:shape id="图片 17" o:spid="_x0000_s1039" type="#_x0000_t75" style="width:50pt;height:11.9pt;margin-top:8.65pt;margin-left:310.4pt;mso-height-relative:page;mso-width-relative:page;position:absolute;z-index:251663360" coordsize="21600,21600" o:preferrelative="t" filled="f" stroked="f">
            <v:imagedata r:id="rId6" o:title=""/>
            <o:lock v:ext="edit" aspectratio="t"/>
          </v:shape>
        </w:pict>
      </w:r>
      <w:r>
        <w:rPr>
          <w:sz w:val="28"/>
          <w:szCs w:val="28"/>
        </w:rPr>
        <w:pict>
          <v:shape id="_x0000_i1040" type="#_x0000_t75" style="width:415.55pt;height:313.6pt" coordsize="21600,21600" o:preferrelative="t" filled="f" stroked="f">
            <v:imagedata r:id="rId16"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图8 接收机结构示例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1.6.3工艺、材质及标识标牌要求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质：铝 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43"/>
        <w:gridCol w:w="6256"/>
      </w:tblGrid>
      <w:tr>
        <w:tblPrEx>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型  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w:t>
            </w:r>
          </w:p>
        </w:tc>
      </w:tr>
      <w:tr>
        <w:tblPrEx>
          <w:tblW w:w="8599" w:type="dxa"/>
          <w:jc w:val="center"/>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名  称</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接收机</w:t>
            </w:r>
          </w:p>
        </w:tc>
      </w:tr>
      <w:tr>
        <w:tblPrEx>
          <w:tblW w:w="8599" w:type="dxa"/>
          <w:jc w:val="center"/>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规  格</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240mm×480mm×270mm</w:t>
            </w:r>
          </w:p>
        </w:tc>
      </w:tr>
      <w:tr>
        <w:tblPrEx>
          <w:tblW w:w="8599" w:type="dxa"/>
          <w:jc w:val="center"/>
          <w:tblCellMar>
            <w:top w:w="0" w:type="dxa"/>
            <w:left w:w="108" w:type="dxa"/>
            <w:bottom w:w="0" w:type="dxa"/>
            <w:right w:w="108" w:type="dxa"/>
          </w:tblCellMar>
        </w:tblPrEx>
        <w:trPr>
          <w:cantSplit/>
          <w:trHeight w:val="521"/>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序列号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UD05-YYYY-MM-XXX</w:t>
            </w:r>
          </w:p>
        </w:tc>
      </w:tr>
    </w:tbl>
    <w:p>
      <w:pPr>
        <w:pStyle w:val="-"/>
        <w:spacing w:before="156" w:beforeLines="50" w:line="560" w:lineRule="exact"/>
        <w:ind w:firstLine="552"/>
        <w:outlineLvl w:val="3"/>
        <w:rPr>
          <w:szCs w:val="28"/>
        </w:rPr>
      </w:pPr>
      <w:r>
        <w:rPr>
          <w:rFonts w:ascii="仿宋_GB2312" w:hAnsi="仿宋_GB2312" w:cs="仿宋_GB2312" w:hint="eastAsia"/>
          <w:kern w:val="2"/>
          <w:szCs w:val="28"/>
          <w:highlight w:val="yellow"/>
        </w:rPr>
        <w:t>1.6.4接口说明</w:t>
      </w:r>
      <w:r>
        <w:rPr>
          <w:rFonts w:ascii="仿宋" w:eastAsia="仿宋" w:hAnsi="仿宋" w:cs="仿宋" w:hint="eastAsia"/>
          <w:szCs w:val="28"/>
          <w:highlight w:val="yellow"/>
        </w:rPr>
        <w:t>#</w:t>
      </w:r>
    </w:p>
    <w:tbl>
      <w:tblPr>
        <w:tblStyle w:val="TableNormal"/>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58"/>
        <w:gridCol w:w="1445"/>
        <w:gridCol w:w="1082"/>
        <w:gridCol w:w="2683"/>
        <w:gridCol w:w="2137"/>
      </w:tblGrid>
      <w:tr>
        <w:tblPrEx>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645"/>
          <w:jc w:val="center"/>
        </w:trPr>
        <w:tc>
          <w:tcPr>
            <w:tcW w:w="1158" w:type="dxa"/>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1445"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082" w:type="dxa"/>
            <w:vAlign w:val="center"/>
          </w:tcPr>
          <w:p>
            <w:pPr>
              <w:pStyle w:val="-"/>
              <w:spacing w:line="400" w:lineRule="exact"/>
              <w:ind w:firstLine="0" w:firstLineChars="0"/>
              <w:jc w:val="center"/>
              <w:rPr>
                <w:rFonts w:ascii="仿宋_GB2312"/>
                <w:b/>
                <w:bCs/>
                <w:szCs w:val="28"/>
              </w:rPr>
            </w:pPr>
            <w:r>
              <w:rPr>
                <w:rFonts w:ascii="仿宋_GB2312"/>
                <w:b/>
                <w:bCs/>
                <w:szCs w:val="28"/>
              </w:rPr>
              <w:t>接口名</w:t>
            </w:r>
          </w:p>
        </w:tc>
        <w:tc>
          <w:tcPr>
            <w:tcW w:w="2683"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2137"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RX-H</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水平极化接收波导输入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RX-V</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垂直极化接收波导输入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TX-H-IN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来自馈线水平极化耦合口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TX-V-IN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来自馈线垂直极化耦合口</w:t>
            </w:r>
          </w:p>
        </w:tc>
      </w:tr>
      <w:tr>
        <w:tblPrEx>
          <w:tblW w:w="8505" w:type="dxa"/>
          <w:jc w:val="center"/>
          <w:tblLayout w:type="fixed"/>
          <w:tblCellMar>
            <w:top w:w="0" w:type="dxa"/>
            <w:left w:w="108" w:type="dxa"/>
            <w:bottom w:w="0" w:type="dxa"/>
            <w:right w:w="108" w:type="dxa"/>
          </w:tblCellMar>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FC</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CMD/DATA</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FC光纤接口</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使用光纤跳线连接至伺服转台</w:t>
            </w:r>
          </w:p>
        </w:tc>
      </w:tr>
      <w:tr>
        <w:tblPrEx>
          <w:tblW w:w="8505" w:type="dxa"/>
          <w:jc w:val="center"/>
          <w:tblLayout w:type="fixed"/>
          <w:tblCellMar>
            <w:top w:w="0" w:type="dxa"/>
            <w:left w:w="108" w:type="dxa"/>
            <w:bottom w:w="0" w:type="dxa"/>
            <w:right w:w="108" w:type="dxa"/>
          </w:tblCellMar>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发射激励输出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测试信号输出</w:t>
            </w:r>
            <w:r>
              <w:rPr>
                <w:rFonts w:ascii="仿宋_GB2312" w:hint="eastAsia"/>
                <w:szCs w:val="28"/>
              </w:rPr>
              <w:t>，</w:t>
            </w:r>
            <w:r>
              <w:rPr>
                <w:rFonts w:ascii="仿宋_GB2312"/>
                <w:szCs w:val="28"/>
              </w:rPr>
              <w:t>连接至XS12</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XS08</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IF-H-OUT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PrEx>
        <w:trPr>
          <w:cantSplit/>
          <w:trHeight w:val="796"/>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XS09</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RFD</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射频激励测试输出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射频激励测试输出，测试口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XS10</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外参考源输入</w:t>
            </w:r>
          </w:p>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测试信号输入</w:t>
            </w:r>
            <w:r>
              <w:rPr>
                <w:rFonts w:ascii="仿宋_GB2312" w:hint="eastAsia"/>
                <w:szCs w:val="28"/>
              </w:rPr>
              <w:t>，</w:t>
            </w:r>
            <w:r>
              <w:rPr>
                <w:rFonts w:ascii="仿宋_GB2312"/>
                <w:szCs w:val="28"/>
              </w:rPr>
              <w:t>连接至XS07</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IF-V-OUT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SPARE</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备用</w:t>
            </w:r>
          </w:p>
        </w:tc>
        <w:tc>
          <w:tcPr>
            <w:tcW w:w="2137" w:type="dxa"/>
            <w:vAlign w:val="center"/>
          </w:tcPr>
          <w:p>
            <w:pPr>
              <w:pStyle w:val="-"/>
              <w:spacing w:line="400" w:lineRule="exact"/>
              <w:ind w:firstLine="0" w:firstLineChars="0"/>
              <w:jc w:val="center"/>
              <w:rPr>
                <w:rFonts w:ascii="仿宋_GB2312"/>
                <w:szCs w:val="28"/>
              </w:rPr>
            </w:pP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ANT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伺服转台控制</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连接至伺服转台</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航空插头(Y50X-0810ZK10)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TX-KZ</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发射控制输出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监控发射和极化开关，连接至发射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POWER-1</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制冷器电源输入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恒温组件供电</w:t>
            </w:r>
            <w:r>
              <w:rPr>
                <w:rFonts w:ascii="仿宋_GB2312" w:hint="eastAsia"/>
                <w:szCs w:val="28"/>
              </w:rPr>
              <w:t>，</w:t>
            </w:r>
            <w:r>
              <w:rPr>
                <w:rFonts w:ascii="仿宋_GB2312"/>
                <w:szCs w:val="28"/>
              </w:rPr>
              <w:t>连接至伺服转台</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hint="eastAsia"/>
                <w:szCs w:val="28"/>
              </w:rPr>
              <w:t>XS18</w:t>
            </w:r>
          </w:p>
        </w:tc>
        <w:tc>
          <w:tcPr>
            <w:tcW w:w="1445"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航空插头(Y50X-1207ZJ10)</w:t>
            </w:r>
          </w:p>
        </w:tc>
        <w:tc>
          <w:tcPr>
            <w:tcW w:w="1082" w:type="dxa"/>
            <w:vAlign w:val="center"/>
          </w:tcPr>
          <w:p>
            <w:pPr>
              <w:pStyle w:val="-"/>
              <w:spacing w:line="400" w:lineRule="exact"/>
              <w:ind w:firstLine="0" w:firstLineChars="0"/>
              <w:jc w:val="center"/>
              <w:rPr>
                <w:rFonts w:ascii="仿宋_GB2312"/>
                <w:szCs w:val="28"/>
              </w:rPr>
            </w:pPr>
            <w:r>
              <w:rPr>
                <w:rFonts w:ascii="仿宋_GB2312" w:hint="eastAsia"/>
                <w:szCs w:val="28"/>
              </w:rPr>
              <w:t>POWER-3</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直流电源输入</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接收机供电，连接至伺服转台</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1.7综合机柜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1.7.1组成与功能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综合机柜包含雷达远程电源控制器等设备。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1.7.2结构要求#</w:t>
      </w:r>
    </w:p>
    <w:p>
      <w:pPr>
        <w:spacing w:line="360" w:lineRule="auto"/>
        <w:jc w:val="center"/>
        <w:rPr>
          <w:bCs/>
          <w:sz w:val="28"/>
          <w:szCs w:val="28"/>
        </w:rPr>
      </w:pPr>
      <w:r>
        <w:rPr>
          <w:color w:val="000000"/>
          <w:sz w:val="28"/>
          <w:szCs w:val="28"/>
        </w:rPr>
        <w:pict>
          <v:shape id="_x0000_i1041" type="#_x0000_t75" alt="综合机柜_00" style="width:414.65pt;height:140.9pt" coordsize="21600,21600" o:preferrelative="t" filled="f" stroked="f">
            <v:imagedata r:id="rId17" o:title="综合机柜_00" croptop="17550f" cropbottom="15269f"/>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图9 综合机柜结构示例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1.7.3工艺、材质及标识标牌要求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色：RAL9003、RAL8022</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质：304不锈钢</w:t>
      </w:r>
    </w:p>
    <w:p>
      <w:pPr>
        <w:pStyle w:val="BodyTextFirstIndent2"/>
        <w:ind w:left="632" w:firstLine="0" w:firstLineChars="0"/>
        <w:jc w:val="center"/>
        <w:rPr>
          <w:bCs/>
          <w:sz w:val="28"/>
          <w:szCs w:val="28"/>
        </w:rPr>
      </w:pPr>
      <w:r>
        <w:rPr>
          <w:sz w:val="28"/>
          <w:szCs w:val="28"/>
        </w:rPr>
        <w:pict>
          <v:shape id="_x0000_i1042" type="#_x0000_t75" alt="1657625101653" style="width:255.4pt;height:283.3pt" coordsize="21600,21600" o:preferrelative="t" filled="f" stroked="f">
            <v:imagedata r:id="rId18" o:title="1657625101653"/>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图10 综合机柜外观效果图</w:t>
      </w:r>
    </w:p>
    <w:p>
      <w:pPr>
        <w:spacing w:line="570" w:lineRule="exact"/>
        <w:ind w:firstLine="560" w:firstLineChars="200"/>
        <w:rPr>
          <w:rFonts w:ascii="仿宋_GB2312"/>
          <w:sz w:val="28"/>
          <w:szCs w:val="28"/>
        </w:rPr>
      </w:pPr>
      <w:r>
        <w:rPr>
          <w:rFonts w:ascii="仿宋_GB2312"/>
          <w:sz w:val="28"/>
          <w:szCs w:val="28"/>
        </w:rPr>
        <w:t>标识标牌：</w:t>
      </w:r>
    </w:p>
    <w:tbl>
      <w:tblPr>
        <w:tblStyle w:val="TableNormal"/>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451"/>
        <w:gridCol w:w="6548"/>
      </w:tblGrid>
      <w:tr>
        <w:tblPrEx>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p>
        </w:tc>
      </w:tr>
      <w:tr>
        <w:tblPrEx>
          <w:tblW w:w="8999" w:type="dxa"/>
          <w:jc w:val="center"/>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548" w:type="dxa"/>
            <w:vAlign w:val="center"/>
          </w:tcPr>
          <w:p>
            <w:pPr>
              <w:pStyle w:val="-"/>
              <w:spacing w:line="240" w:lineRule="auto"/>
              <w:ind w:firstLine="0" w:firstLineChars="0"/>
              <w:jc w:val="center"/>
              <w:rPr>
                <w:rFonts w:ascii="仿宋_GB2312"/>
                <w:szCs w:val="28"/>
              </w:rPr>
            </w:pPr>
            <w:r>
              <w:rPr>
                <w:rFonts w:ascii="仿宋_GB2312" w:hint="eastAsia"/>
                <w:szCs w:val="28"/>
              </w:rPr>
              <w:t>综合机柜</w:t>
            </w:r>
          </w:p>
        </w:tc>
      </w:tr>
      <w:tr>
        <w:tblPrEx>
          <w:tblW w:w="8999" w:type="dxa"/>
          <w:jc w:val="center"/>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720mm×540mm×840mm</w:t>
            </w:r>
          </w:p>
        </w:tc>
      </w:tr>
      <w:tr>
        <w:tblPrEx>
          <w:tblW w:w="8999" w:type="dxa"/>
          <w:jc w:val="center"/>
          <w:tblCellMar>
            <w:top w:w="0" w:type="dxa"/>
            <w:left w:w="108" w:type="dxa"/>
            <w:bottom w:w="0" w:type="dxa"/>
            <w:right w:w="108" w:type="dxa"/>
          </w:tblCellMar>
        </w:tblPrEx>
        <w:trPr>
          <w:cantSplit/>
          <w:trHeight w:val="460"/>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3"/>
        <w:rPr>
          <w:rFonts w:ascii="仿宋" w:eastAsia="仿宋" w:hAnsi="仿宋" w:cs="仿宋" w:hint="eastAsia"/>
          <w:szCs w:val="28"/>
          <w:highlight w:val="yellow"/>
        </w:rPr>
      </w:pPr>
      <w:r>
        <w:rPr>
          <w:rFonts w:ascii="仿宋" w:eastAsia="仿宋" w:hAnsi="仿宋" w:cs="仿宋" w:hint="eastAsia"/>
          <w:kern w:val="2"/>
          <w:szCs w:val="28"/>
          <w:highlight w:val="yellow"/>
        </w:rPr>
        <w:t>1.7.4接口说明</w:t>
      </w:r>
      <w:r>
        <w:rPr>
          <w:rFonts w:ascii="仿宋" w:eastAsia="仿宋" w:hAnsi="仿宋" w:cs="仿宋" w:hint="eastAsia"/>
          <w:szCs w:val="28"/>
          <w:highlight w:val="yellow"/>
        </w:rPr>
        <w:t>#</w:t>
      </w: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tbl>
      <w:tblPr>
        <w:tblStyle w:val="TableNormal"/>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07"/>
        <w:gridCol w:w="1846"/>
        <w:gridCol w:w="1839"/>
        <w:gridCol w:w="2708"/>
        <w:gridCol w:w="1503"/>
      </w:tblGrid>
      <w:tr>
        <w:tblPrEx>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672"/>
          <w:jc w:val="center"/>
        </w:trPr>
        <w:tc>
          <w:tcPr>
            <w:tcW w:w="1107"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接口号</w:t>
            </w:r>
          </w:p>
        </w:tc>
        <w:tc>
          <w:tcPr>
            <w:tcW w:w="1846"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接口类型</w:t>
            </w:r>
          </w:p>
        </w:tc>
        <w:tc>
          <w:tcPr>
            <w:tcW w:w="1839"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接口名</w:t>
            </w:r>
          </w:p>
        </w:tc>
        <w:tc>
          <w:tcPr>
            <w:tcW w:w="2708"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信号定义</w:t>
            </w:r>
          </w:p>
        </w:tc>
        <w:tc>
          <w:tcPr>
            <w:tcW w:w="1503"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备注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雷达数据采集单元</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雷达基数据和状态数据、雷达远程控制指令</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连接至用户端</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XS03</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XS04</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XS05</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DB9S</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COM</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9针串口</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XS06</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FC</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CMD/DATA</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雷达命令/数据(CMD/DATA)</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连接伺服转台</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XS07</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通道1</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trHeight w:val="796"/>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XS08</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通道2</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XS09</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通道3</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XS10</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通道4</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航空插头(Y50DX-1203ZS10/F)</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雷达供电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雷达系统供电输出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连接至伺服转台</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航空插头(Y50DX-1203ZS10/M)</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市电输入</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连接至市电</w:t>
            </w:r>
          </w:p>
        </w:tc>
      </w:tr>
    </w:tbl>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3"/>
        <w:rPr>
          <w:rFonts w:ascii="仿宋" w:eastAsia="仿宋" w:hAnsi="仿宋" w:cs="仿宋" w:hint="eastAsia"/>
          <w:kern w:val="2"/>
          <w:szCs w:val="28"/>
          <w:highlight w:val="yellow"/>
        </w:rPr>
      </w:pPr>
      <w:r>
        <w:rPr>
          <w:rFonts w:ascii="仿宋" w:eastAsia="仿宋" w:hAnsi="仿宋" w:cs="仿宋" w:hint="eastAsia"/>
          <w:kern w:val="2"/>
          <w:szCs w:val="28"/>
          <w:highlight w:val="yellow"/>
        </w:rPr>
        <w:t>1.8雷达线缆清单#</w:t>
      </w:r>
    </w:p>
    <w:tbl>
      <w:tblPr>
        <w:tblStyle w:val="TableNorm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8"/>
        <w:gridCol w:w="879"/>
        <w:gridCol w:w="873"/>
        <w:gridCol w:w="920"/>
        <w:gridCol w:w="1399"/>
        <w:gridCol w:w="1124"/>
        <w:gridCol w:w="1255"/>
        <w:gridCol w:w="1151"/>
      </w:tblGrid>
      <w:tr>
        <w:tblPrEx>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44"/>
          <w:jc w:val="center"/>
        </w:trPr>
        <w:tc>
          <w:tcPr>
            <w:tcW w:w="498"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序号</w:t>
            </w:r>
          </w:p>
        </w:tc>
        <w:tc>
          <w:tcPr>
            <w:tcW w:w="879"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线缆编号</w:t>
            </w:r>
          </w:p>
        </w:tc>
        <w:tc>
          <w:tcPr>
            <w:tcW w:w="873"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线缆类型</w:t>
            </w:r>
          </w:p>
        </w:tc>
        <w:tc>
          <w:tcPr>
            <w:tcW w:w="920"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w:t>
            </w:r>
          </w:p>
          <w:p>
            <w:pPr>
              <w:pStyle w:val="-"/>
              <w:spacing w:line="360" w:lineRule="exact"/>
              <w:ind w:firstLine="0" w:firstLineChars="0"/>
              <w:jc w:val="center"/>
              <w:rPr>
                <w:rFonts w:ascii="仿宋_GB2312"/>
                <w:b/>
                <w:bCs/>
                <w:szCs w:val="28"/>
              </w:rPr>
            </w:pPr>
            <w:r>
              <w:rPr>
                <w:rFonts w:ascii="仿宋_GB2312"/>
                <w:b/>
                <w:bCs/>
                <w:szCs w:val="28"/>
              </w:rPr>
              <w:t>定义</w:t>
            </w:r>
          </w:p>
        </w:tc>
        <w:tc>
          <w:tcPr>
            <w:tcW w:w="2523"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连接分系统1</w:t>
            </w:r>
          </w:p>
        </w:tc>
        <w:tc>
          <w:tcPr>
            <w:tcW w:w="2406"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连接分系统2</w:t>
            </w:r>
          </w:p>
        </w:tc>
      </w:tr>
      <w:tr>
        <w:tblPrEx>
          <w:tblW w:w="8099" w:type="dxa"/>
          <w:jc w:val="center"/>
          <w:tblCellMar>
            <w:top w:w="0" w:type="dxa"/>
            <w:left w:w="108" w:type="dxa"/>
            <w:bottom w:w="0" w:type="dxa"/>
            <w:right w:w="108" w:type="dxa"/>
          </w:tblCellMar>
        </w:tblPrEx>
        <w:trPr>
          <w:trHeight w:val="232"/>
          <w:jc w:val="center"/>
        </w:trPr>
        <w:tc>
          <w:tcPr>
            <w:tcW w:w="498" w:type="dxa"/>
            <w:vMerge/>
            <w:vAlign w:val="center"/>
          </w:tcPr>
          <w:p>
            <w:pPr>
              <w:pStyle w:val="-"/>
              <w:spacing w:line="360" w:lineRule="exact"/>
              <w:ind w:firstLine="0" w:firstLineChars="0"/>
              <w:jc w:val="center"/>
              <w:rPr>
                <w:rFonts w:ascii="仿宋_GB2312"/>
                <w:b/>
                <w:bCs/>
                <w:szCs w:val="28"/>
              </w:rPr>
            </w:pPr>
          </w:p>
        </w:tc>
        <w:tc>
          <w:tcPr>
            <w:tcW w:w="879" w:type="dxa"/>
            <w:vMerge/>
            <w:vAlign w:val="center"/>
          </w:tcPr>
          <w:p>
            <w:pPr>
              <w:pStyle w:val="-"/>
              <w:spacing w:line="360" w:lineRule="exact"/>
              <w:ind w:firstLine="0" w:firstLineChars="0"/>
              <w:jc w:val="center"/>
              <w:rPr>
                <w:rFonts w:ascii="仿宋_GB2312"/>
                <w:b/>
                <w:bCs/>
                <w:szCs w:val="28"/>
              </w:rPr>
            </w:pPr>
          </w:p>
        </w:tc>
        <w:tc>
          <w:tcPr>
            <w:tcW w:w="873" w:type="dxa"/>
            <w:vMerge/>
            <w:vAlign w:val="center"/>
          </w:tcPr>
          <w:p>
            <w:pPr>
              <w:pStyle w:val="-"/>
              <w:spacing w:line="360" w:lineRule="exact"/>
              <w:ind w:firstLine="0" w:firstLineChars="0"/>
              <w:jc w:val="center"/>
              <w:rPr>
                <w:rFonts w:ascii="仿宋_GB2312"/>
                <w:b/>
                <w:bCs/>
                <w:szCs w:val="28"/>
              </w:rPr>
            </w:pPr>
          </w:p>
        </w:tc>
        <w:tc>
          <w:tcPr>
            <w:tcW w:w="920" w:type="dxa"/>
            <w:vMerge/>
            <w:vAlign w:val="center"/>
          </w:tcPr>
          <w:p>
            <w:pPr>
              <w:pStyle w:val="-"/>
              <w:spacing w:line="360" w:lineRule="exact"/>
              <w:ind w:firstLine="0" w:firstLineChars="0"/>
              <w:jc w:val="center"/>
              <w:rPr>
                <w:rFonts w:ascii="仿宋_GB2312"/>
                <w:b/>
                <w:bCs/>
                <w:szCs w:val="28"/>
              </w:rPr>
            </w:pPr>
          </w:p>
        </w:tc>
        <w:tc>
          <w:tcPr>
            <w:tcW w:w="1399"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24"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c>
          <w:tcPr>
            <w:tcW w:w="1255"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51"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XS01</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XS02</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7</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8</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9</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监控</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XS06</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10</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射频激励</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XS18</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W07</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制冷器电源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XS17</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W08</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XS03</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W09</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伺服通信</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XS04</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W10</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雷达光纤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W11</w:t>
            </w:r>
          </w:p>
        </w:tc>
        <w:tc>
          <w:tcPr>
            <w:tcW w:w="873" w:type="dxa"/>
            <w:vAlign w:val="center"/>
          </w:tcPr>
          <w:p>
            <w:pPr>
              <w:pStyle w:val="-"/>
              <w:spacing w:line="360" w:lineRule="exact"/>
              <w:ind w:firstLine="0" w:firstLineChars="0"/>
              <w:jc w:val="center"/>
              <w:rPr>
                <w:rFonts w:ascii="仿宋_GB2312"/>
                <w:szCs w:val="28"/>
              </w:rPr>
            </w:pPr>
            <w:r>
              <w:rPr>
                <w:rFonts w:ascii="仿宋_GB2312" w:hint="eastAsia"/>
                <w:szCs w:val="28"/>
              </w:rPr>
              <w:t>低频</w:t>
            </w:r>
          </w:p>
          <w:p>
            <w:pPr>
              <w:pStyle w:val="-"/>
              <w:spacing w:line="360" w:lineRule="exact"/>
              <w:ind w:firstLine="0" w:firstLineChars="0"/>
              <w:jc w:val="center"/>
              <w:rPr>
                <w:rFonts w:ascii="仿宋_GB2312"/>
                <w:szCs w:val="28"/>
              </w:rPr>
            </w:pPr>
            <w:r>
              <w:rPr>
                <w:rFonts w:ascii="仿宋_GB2312" w:hint="eastAsia"/>
                <w:szCs w:val="28"/>
              </w:rPr>
              <w:t>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雷达供电</w:t>
            </w:r>
          </w:p>
        </w:tc>
        <w:tc>
          <w:tcPr>
            <w:tcW w:w="1399" w:type="dxa"/>
            <w:vAlign w:val="center"/>
          </w:tcPr>
          <w:p>
            <w:pPr>
              <w:pStyle w:val="-"/>
              <w:spacing w:line="360" w:lineRule="exact"/>
              <w:ind w:firstLine="0" w:firstLineChars="0"/>
              <w:jc w:val="center"/>
              <w:rPr>
                <w:rFonts w:ascii="仿宋_GB2312"/>
                <w:szCs w:val="28"/>
              </w:rPr>
            </w:pPr>
            <w:r>
              <w:rPr>
                <w:rFonts w:ascii="仿宋_GB2312" w:hint="eastAsia"/>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XS11</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1.9信号处理器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ascii="仿宋" w:eastAsia="仿宋" w:hAnsi="仿宋" w:cs="仿宋" w:hint="eastAsia"/>
          <w:bCs/>
          <w:sz w:val="28"/>
          <w:szCs w:val="28"/>
        </w:rPr>
      </w:pPr>
      <w:r>
        <w:rPr>
          <w:rFonts w:ascii="仿宋" w:eastAsia="仿宋" w:hAnsi="仿宋" w:cs="仿宋" w:hint="eastAsia"/>
          <w:color w:val="000000"/>
          <w:sz w:val="28"/>
          <w:szCs w:val="28"/>
        </w:rPr>
        <w:t>信号处理器由硬件和终端软件两部分组成，其中硬件为数字中频单元和雷达终端；终端软件由信号处理算法、雷达监控软件、雷达标校软件、雷达控制软件以及雷达数据传输软件5部分组成，并集成在雷达终端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1.9.1数字中频单元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数字中频单元布置于接收机内部。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rPr>
        <w:t>1.9.1.1组成与功能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可实现数字中频发射信号产生、中频回波信号的下变频、滤波、抽取、脉冲压缩解调等，得到基带IQ信号；可实现千兆以太网的标准化编码/译码；可实现各分系统控制信号的产生与各分系统的状态接收，系统组成如图11所示。</w:t>
      </w:r>
    </w:p>
    <w:p>
      <w:pPr>
        <w:jc w:val="center"/>
        <w:rPr>
          <w:rFonts w:ascii="仿宋_GB2312"/>
          <w:color w:val="000000"/>
          <w:sz w:val="28"/>
          <w:szCs w:val="28"/>
        </w:rPr>
      </w:pPr>
      <w:r>
        <w:rPr>
          <w:rFonts w:ascii="等线" w:eastAsia="等线" w:hAnsi="等线" w:hint="eastAsia"/>
          <w:sz w:val="28"/>
          <w:szCs w:val="28"/>
        </w:rPr>
        <w:object>
          <v:shape id="_x0000_i1043" type="#_x0000_t75" style="width:396.45pt;height:248.1pt" o:oleicon="f" o:ole="" coordsize="21600,21600" o:preferrelative="t" filled="f" stroked="f">
            <v:imagedata r:id="rId19" o:title=""/>
            <o:lock v:ext="edit" aspectratio="t"/>
            <w10:anchorlock/>
          </v:shape>
          <o:OLEObject Type="Embed" ProgID="Visio.Drawing.15" ShapeID="_x0000_i1043" DrawAspect="Content" ObjectID="_1468075725" r:id="rId20"/>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图11.系统组成示意图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highlight w:val="yellow"/>
        </w:rPr>
        <w:t>1.9.1.2结构要求</w:t>
      </w:r>
      <w:r>
        <w:rPr>
          <w:rFonts w:ascii="仿宋" w:eastAsia="仿宋" w:hAnsi="仿宋" w:cs="仿宋" w:hint="eastAsia"/>
          <w:sz w:val="28"/>
          <w:szCs w:val="28"/>
          <w:highlight w:val="yellow"/>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数字中频单元即X波段天气雷达信号处理器，其结构及参数要求如图12所示。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_x0000_i1044" type="#_x0000_t75" style="width:340.4pt;height:282.05pt" coordsize="21600,21600" o:preferrelative="t" filled="f" stroked="f">
            <v:imagedata r:id="rId21" o:title="" cropright="9627f"/>
            <o:lock v:ext="edit" aspectratio="t"/>
            <w10:anchorlock/>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_x0000_i1045" type="#_x0000_t75" alt="XA信号处理器盒体图纸-接口图_00" style="width:397.1pt;height:119.65pt" coordsize="21600,21600" o:preferrelative="t" filled="f" stroked="f">
            <v:imagedata r:id="rId22" o:title="XA信号处理器盒体图纸-接口图_00" cropbottom="-493f" cropleft="8294f" cropright="11621f"/>
            <o:lock v:ext="edit" aspectratio="t"/>
            <w10:anchorlock/>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图12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highlight w:val="yellow"/>
        </w:rPr>
        <w:t>1.9.1.3接口说明</w:t>
      </w:r>
      <w:r>
        <w:rPr>
          <w:rFonts w:ascii="仿宋" w:eastAsia="仿宋" w:hAnsi="仿宋" w:cs="仿宋" w:hint="eastAsia"/>
          <w:sz w:val="28"/>
          <w:szCs w:val="28"/>
          <w:highlight w:val="yellow"/>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数字中频接口说明如下表：</w:t>
      </w:r>
    </w:p>
    <w:tbl>
      <w:tblPr>
        <w:tblStyle w:val="TableNormal"/>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687"/>
        <w:gridCol w:w="2137"/>
        <w:gridCol w:w="3755"/>
        <w:gridCol w:w="1418"/>
      </w:tblGrid>
      <w:tr>
        <w:tblPrEx>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接口号</w:t>
            </w:r>
          </w:p>
        </w:tc>
        <w:tc>
          <w:tcPr>
            <w:tcW w:w="213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信号定义</w:t>
            </w:r>
          </w:p>
        </w:tc>
        <w:tc>
          <w:tcPr>
            <w:tcW w:w="3755"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指标要求</w:t>
            </w:r>
          </w:p>
        </w:tc>
        <w:tc>
          <w:tcPr>
            <w:tcW w:w="1418"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接口类型</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脉冲同步输出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测试备份用</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XS02</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中频激励输出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30MHz—70MHz，0±5dBm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XS03</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时钟参考输入</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800MHz，3±1dBm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XS04</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XS05</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XS06</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XS07</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XS08</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光口通讯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单模单芯双向</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IQ+状态数据</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LC</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XS09</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状态指令收发</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J30J-37ZKP</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XS10</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电源接口</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J30J-9ZKP</w:t>
            </w:r>
          </w:p>
        </w:tc>
      </w:tr>
      <w:tr>
        <w:tblPrEx>
          <w:tblW w:w="8997" w:type="dxa"/>
          <w:jc w:val="center"/>
          <w:tblLayout w:type="fixed"/>
          <w:tblCellMar>
            <w:top w:w="0" w:type="dxa"/>
            <w:left w:w="108" w:type="dxa"/>
            <w:bottom w:w="0" w:type="dxa"/>
            <w:right w:w="108" w:type="dxa"/>
          </w:tblCellMar>
        </w:tblPrEx>
        <w:trPr>
          <w:cantSplit/>
          <w:trHeight w:val="287"/>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D1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指示灯</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p>
        </w:tc>
      </w:tr>
    </w:tbl>
    <w:p>
      <w:pPr>
        <w:ind w:firstLine="560" w:firstLineChars="200"/>
        <w:rPr>
          <w:rFonts w:ascii="仿宋_GB2312" w:hint="eastAsia"/>
          <w:color w:val="000000"/>
          <w:sz w:val="28"/>
          <w:szCs w:val="28"/>
        </w:rPr>
      </w:pPr>
      <w:r>
        <w:rPr>
          <w:rFonts w:ascii="仿宋" w:eastAsia="仿宋" w:hAnsi="仿宋" w:cs="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color w:val="000000"/>
                <w:szCs w:val="28"/>
              </w:rPr>
              <w:t>XS09</w:t>
            </w:r>
            <w:r>
              <w:rPr>
                <w:rFonts w:ascii="仿宋_GB2312" w:hint="eastAsia"/>
                <w:b/>
                <w:bCs/>
                <w:color w:val="000000"/>
                <w:szCs w:val="28"/>
              </w:rPr>
              <w:t>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输入输出类型</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天线角码状态UART协议，RS422电平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频综状态回传</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发射机状态监视</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RF_ATT[6]</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机内标定数控衰减64dB，“1”衰减，“0”关闭，5V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[5]</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机内标定数控衰减32dB，“1”衰减，“0”关闭，5V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[4]</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机内标定数控衰减16dB，“1”衰减，“0”关闭，5V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[3]</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机内标定数控衰减8dB，“1”衰减，“0”关闭，5V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[2]</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机内标定数控衰减4dB，“1”衰减，“0”关闭，5V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[1]</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机内标定数控衰减2dB，“1”衰减，“0”关闭，5V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[0]</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SWH_SEL[3]</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SWH_SEL[3：0]=0000，全关闭</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SWH_SEL[3：0]=1000，保留</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SWH_SEL[3：0]=0100，射频测试通道（RFD）打开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SWH_SEL[3：0]=0010，发射机耦合通道（TD）打开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SWH_SEL[3：0]=0001，噪声源（NF）通道打开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其他，为不响应</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SWH_SEL[2]</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SWH_SEL[1]</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SWH_SEL[0]</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RADAR_FREQ_SEL</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雷达频率控制UART协议，5V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天线控制UART协议，RS422电平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脉冲调制信号，负脉冲调制，低电平有效，RS422电平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trHeight w:val="1191"/>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wvguide_switch</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单双发模式切换开关，5V TTL控制电平：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1：单发模式；</w:t>
            </w:r>
          </w:p>
          <w:p>
            <w:pPr>
              <w:pStyle w:val="-"/>
              <w:spacing w:line="320" w:lineRule="exact"/>
              <w:ind w:firstLine="0" w:firstLineChars="0"/>
              <w:jc w:val="center"/>
              <w:rPr>
                <w:rFonts w:ascii="仿宋_GB2312"/>
                <w:color w:val="000000"/>
                <w:szCs w:val="28"/>
              </w:rPr>
            </w:pPr>
            <w:r>
              <w:rPr>
                <w:rFonts w:ascii="仿宋_GB2312" w:hint="eastAsia"/>
                <w:color w:val="000000"/>
                <w:szCs w:val="28"/>
              </w:rPr>
              <w:t>0：双发模式；</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*发射机电源调制脉冲，正脉冲调制，RS422电平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其他</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剩余5个引脚备用</w:t>
            </w:r>
          </w:p>
        </w:tc>
      </w:tr>
    </w:tbl>
    <w:p>
      <w:pPr>
        <w:ind w:firstLine="560" w:firstLineChars="200"/>
        <w:rPr>
          <w:rFonts w:ascii="仿宋" w:eastAsia="仿宋" w:hAnsi="仿宋"/>
          <w:color w:val="000000"/>
          <w:sz w:val="28"/>
          <w:szCs w:val="28"/>
        </w:rPr>
      </w:pPr>
      <w:r>
        <w:rPr>
          <w:rFonts w:ascii="仿宋" w:eastAsia="仿宋" w:hAnsi="仿宋" w:hint="eastAsia"/>
          <w:b/>
          <w:bCs/>
          <w:color w:val="000000"/>
          <w:sz w:val="28"/>
          <w:szCs w:val="28"/>
        </w:rPr>
        <w:t>注*</w:t>
      </w:r>
      <w:r>
        <w:rPr>
          <w:rFonts w:ascii="仿宋" w:eastAsia="仿宋" w:hAnsi="仿宋" w:hint="eastAsia"/>
          <w:color w:val="000000"/>
          <w:sz w:val="28"/>
          <w:szCs w:val="28"/>
        </w:rPr>
        <w:t>：输入/输出方向是以数字中频单元作为参考，发射机电源调制脉冲</w:t>
      </w:r>
      <w:r>
        <w:rPr>
          <w:rFonts w:ascii="仿宋" w:eastAsia="仿宋" w:hAnsi="仿宋"/>
          <w:color w:val="000000"/>
          <w:sz w:val="28"/>
          <w:szCs w:val="28"/>
        </w:rPr>
        <w:t>信号上升沿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上升沿提前5</w:t>
      </w:r>
      <w:r>
        <w:rPr>
          <w:rFonts w:ascii="仿宋" w:eastAsia="仿宋" w:hAnsi="仿宋"/>
          <w:color w:val="000000"/>
          <w:sz w:val="28"/>
          <w:szCs w:val="28"/>
        </w:rPr>
        <w:t>00ns以内</w:t>
      </w:r>
      <w:r>
        <w:rPr>
          <w:rFonts w:ascii="仿宋" w:eastAsia="仿宋" w:hAnsi="仿宋" w:hint="eastAsia"/>
          <w:color w:val="000000"/>
          <w:sz w:val="28"/>
          <w:szCs w:val="28"/>
        </w:rPr>
        <w:t>，下降</w:t>
      </w:r>
      <w:r>
        <w:rPr>
          <w:rFonts w:ascii="仿宋" w:eastAsia="仿宋" w:hAnsi="仿宋"/>
          <w:color w:val="000000"/>
          <w:sz w:val="28"/>
          <w:szCs w:val="28"/>
        </w:rPr>
        <w:t>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下降沿延迟5</w:t>
      </w:r>
      <w:r>
        <w:rPr>
          <w:rFonts w:ascii="仿宋" w:eastAsia="仿宋" w:hAnsi="仿宋"/>
          <w:color w:val="000000"/>
          <w:sz w:val="28"/>
          <w:szCs w:val="28"/>
        </w:rPr>
        <w:t>00ns以内</w:t>
      </w:r>
      <w:r>
        <w:rPr>
          <w:rFonts w:ascii="仿宋" w:eastAsia="仿宋" w:hAnsi="仿宋" w:hint="eastAsia"/>
          <w:color w:val="000000"/>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XS10引脚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Input/Output</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波导开关返回</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 xml:space="preserve">波导开关状态UART协议 </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4</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bl>
    <w:p>
      <w:pPr>
        <w:pageBreakBefore w:val="0"/>
        <w:widowControl w:val="0"/>
        <w:kinsoku/>
        <w:wordWrap/>
        <w:overflowPunct/>
        <w:topLinePunct w:val="0"/>
        <w:autoSpaceDE/>
        <w:autoSpaceDN/>
        <w:bidi w:val="0"/>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1.9.2信号处理软件</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）、相关系数（ρ</w:t>
      </w:r>
      <w:r>
        <w:rPr>
          <w:rFonts w:ascii="仿宋" w:eastAsia="仿宋" w:hAnsi="仿宋" w:cs="仿宋" w:hint="eastAsia"/>
          <w:sz w:val="28"/>
          <w:szCs w:val="28"/>
          <w:vertAlign w:val="subscript"/>
        </w:rPr>
        <w:t>hv</w:t>
      </w:r>
      <w:r>
        <w:rPr>
          <w:rFonts w:ascii="仿宋" w:eastAsia="仿宋" w:hAnsi="仿宋" w:cs="仿宋" w:hint="eastAsia"/>
          <w:sz w:val="28"/>
          <w:szCs w:val="28"/>
        </w:rPr>
        <w:t>）、退偏振比（LDR）等参数，具有速度退模糊和距离退折叠的能力。可向终端提供观测数据和状态信息等。具有地物、电磁干扰、风电干扰等非气象回波识别和抑制的能力。</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雷达标校软件具备在线标校和离线标校功能#</w:t>
      </w:r>
      <w:r>
        <w:rPr>
          <w:rFonts w:ascii="仿宋" w:eastAsia="仿宋" w:hAnsi="仿宋" w:cs="仿宋" w:hint="eastAsia"/>
          <w:sz w:val="28"/>
          <w:szCs w:val="28"/>
        </w:rPr>
        <w:t>，标校结果要有独立报警门限并在记录文件中保存，可以在雷达终端上查看雷达系统长期的标校记录。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A）在线标校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cs="仿宋" w:hint="eastAsia"/>
          <w:sz w:val="28"/>
          <w:szCs w:val="28"/>
          <w:vertAlign w:val="superscript"/>
        </w:rPr>
        <w:t>2</w:t>
      </w:r>
      <w:r>
        <w:rPr>
          <w:rFonts w:ascii="仿宋" w:eastAsia="仿宋" w:hAnsi="仿宋" w:cs="仿宋" w:hint="eastAsia"/>
          <w:sz w:val="28"/>
          <w:szCs w:val="28"/>
        </w:rPr>
        <w:t>-1)/(m</w:t>
      </w:r>
      <w:r>
        <w:rPr>
          <w:rFonts w:ascii="仿宋" w:eastAsia="仿宋" w:hAnsi="仿宋" w:cs="仿宋" w:hint="eastAsia"/>
          <w:sz w:val="28"/>
          <w:szCs w:val="28"/>
          <w:vertAlign w:val="superscript"/>
        </w:rPr>
        <w:t>2</w:t>
      </w:r>
      <w:r>
        <w:rPr>
          <w:rFonts w:ascii="仿宋" w:eastAsia="仿宋" w:hAnsi="仿宋" w:cs="仿宋" w:hint="eastAsia"/>
          <w:sz w:val="28"/>
          <w:szCs w:val="28"/>
        </w:rPr>
        <w:t>+2)|）、匹配滤波器损耗、收发支路总损耗、天线增益、天线罩双程损耗。</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a）发射机脉冲宽度、峰值功率、频谱特性、输出端极限改善因子：发射机输出端测量；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c）脉冲压缩主副瓣比：软件自动分别测试脉压比≥100和＜100的主副瓣比；</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d）地物对消能力：比较对消前和对消后的回波强度，检查系统对实际地物的抑制能力；</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e）天顶标定：采用小雨滴作为球形散射体检查两个通道的一致性；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f）金属球法：采用金属球作为标准器检查回波强度、差分反射率等雷达关键指标的探测准确性；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g）天线波束指向误差：采用太阳法或其他等效方法进行检查；</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h）射频激励信号（RFD）：可通过机外仪表进行输出功率测试。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i）天线座水平度：在伺服转台预留测试位置或内置测试设备。</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highlight w:val="yellow"/>
        </w:rPr>
        <w:t>雷达控制软件有预置的多种观测模式#</w:t>
      </w:r>
      <w:r>
        <w:rPr>
          <w:rFonts w:ascii="仿宋" w:eastAsia="仿宋" w:hAnsi="仿宋" w:cs="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highlight w:val="yellow"/>
        </w:rPr>
        <w:t>1.9.2.1雷达系统监测</w:t>
      </w:r>
      <w:r>
        <w:rPr>
          <w:rFonts w:ascii="仿宋" w:eastAsia="仿宋" w:hAnsi="仿宋" w:cs="仿宋" w:hint="eastAsia"/>
          <w:highlight w:val="yellow"/>
        </w:rPr>
        <w:t>#</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1）具备本地和远程在线监测功能，可显示雷达自动测试结果，并上传基础参数，基础参数包括但不限于：雷达静态参数、雷达运行模式参数、雷达运行环境参数、雷达在线标校参数等，具体参数见表2。</w:t>
      </w:r>
    </w:p>
    <w:p>
      <w:pPr>
        <w:jc w:val="center"/>
        <w:rPr>
          <w:rFonts w:eastAsia="方正小标宋简体"/>
          <w:sz w:val="28"/>
          <w:szCs w:val="28"/>
        </w:rPr>
      </w:pPr>
      <w:r>
        <w:rPr>
          <w:rFonts w:eastAsia="方正小标宋简体" w:hint="eastAsia"/>
          <w:sz w:val="28"/>
          <w:szCs w:val="28"/>
        </w:rPr>
        <w:t>表2</w:t>
      </w:r>
      <w:r>
        <w:rPr>
          <w:rFonts w:eastAsia="方正小标宋简体"/>
          <w:sz w:val="28"/>
          <w:szCs w:val="28"/>
        </w:rPr>
        <w:t xml:space="preserve"> </w:t>
      </w: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Pr>
      <w:tblGrid>
        <w:gridCol w:w="1276"/>
        <w:gridCol w:w="3691"/>
        <w:gridCol w:w="3516"/>
      </w:tblGrid>
      <w:tr>
        <w:tblPrEx>
          <w:tblW w:w="8483" w:type="dxa"/>
          <w:jc w:val="center"/>
          <w:tblLayout w:type="fixed"/>
          <w:tblCellMar>
            <w:top w:w="0" w:type="dxa"/>
            <w:left w:w="108" w:type="dxa"/>
            <w:bottom w:w="0" w:type="dxa"/>
            <w:right w:w="108" w:type="dxa"/>
          </w:tblCellMar>
        </w:tblPrEx>
        <w:trPr>
          <w:trHeight w:val="397"/>
          <w:tblHeader/>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序号</w:t>
            </w:r>
          </w:p>
        </w:tc>
        <w:tc>
          <w:tcPr>
            <w:tcW w:w="369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上传参数</w:t>
            </w:r>
          </w:p>
        </w:tc>
        <w:tc>
          <w:tcPr>
            <w:tcW w:w="3516"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备注</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雷达静态参数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雷达站号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站点名称</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纬度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经度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天线馈源高度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地面高度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雷达型号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雷达数据采集终端版本号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工作频率</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单位：MHz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天线罩双程损耗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双程大气损耗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单位：dB，保留3位小数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其他损耗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机内噪声源超噪比</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雷达运行模式参数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日期</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格式：YYYYMMDD</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时间</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格式：HHmmss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扫描模式</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控制权标志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系统状态</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正常运行、需维护、故障、正常关机、待机、异常关机</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状态数据格式版本号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雷达运行环境参数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int="eastAsia"/>
                <w:b/>
                <w:bCs/>
                <w:sz w:val="28"/>
                <w:szCs w:val="28"/>
              </w:rPr>
              <w:t>在线标校参数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发射机峰值功率</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单位：kW</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561"/>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速度期望值1（移相0π）</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ZDR标校值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ΦDP标校值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bl>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2）完整记录雷达维护维修信息、关键器件出厂测试重要参数及更换信息，其中维护维修信息包括适配参数变更、备件更换、软件更迭、监测结果等。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3）雷达机内测试设备应实时监测对雷达工作有影响的因素，同时自动存储和上传工作状态和系统告警。</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4）可对天线罩内部雷达运行环境进行在线采集、监测、显示并记录上传，上传参数包括但不限于上传参数包括但不限于机房温湿度、发射机温湿度、天线罩温湿度等。</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1.9.2.2远程控制功能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1）具有本地、远程监视和遥控能力，包括但不限于控制开关机、观测模式切换、查看监测结果、修改适配参数等。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2）雷达系统具有远程软件升级功能。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3）具备雷达运行与维护的远程支持能力，包括但不限于发射机峰值功率、接收机噪声电平和噪声系数、回波强度、径向速度、双通道幅相一致性等。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雷达具备组网协同控制功能，预留接收协同控制的指令接口，能够通过网络控制雷达扫描策略。组网协同控制中心按照一定的协议规范获取各雷达的配置信息和状态信息，通过TCP/IP协议实现对组网中各部雷达的远程控制。</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1.9.2.3关键参数在线分析</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雷达应具有关键参数在线分析功能，应满足如下要求：</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1）具备关键参数记录功能。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2）具备监测到的所有实时参数超限告警提示功能。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3）具备监测参数和分析结果存储、显示、统计分析等功能。</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1.9.2.4基数据质控及显示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对回波强度（Z）、径向速度（V）、速度谱宽（W）、差分反射率（Z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）、相关系数（ρ</w:t>
      </w:r>
      <w:r>
        <w:rPr>
          <w:rFonts w:ascii="仿宋" w:eastAsia="仿宋" w:hAnsi="仿宋" w:cs="仿宋" w:hint="eastAsia"/>
          <w:sz w:val="28"/>
          <w:szCs w:val="28"/>
          <w:vertAlign w:val="subscript"/>
        </w:rPr>
        <w:t>hv</w:t>
      </w:r>
      <w:r>
        <w:rPr>
          <w:rFonts w:ascii="仿宋" w:eastAsia="仿宋" w:hAnsi="仿宋" w:cs="仿宋" w:hint="eastAsia"/>
          <w:sz w:val="28"/>
          <w:szCs w:val="28"/>
        </w:rPr>
        <w:t xml:space="preserve">）等基本量进行质控，质控包括滤波、杂波校正因子（CCOR）门限、电磁干扰抑制、风电干扰抑制、速度退模糊、距离退折叠、异常回波标记等，质控前后的基数据都具备存储功能。在雷达终端上需具备以下功能： </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数据处理功能：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基数据自动处理，按照要求的格式进行存储，台站端至少可以存储近1年的基数据。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显示功能：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1）回波数据种类、时间选择并显示；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2）监测的所有参数显示及超限告警提示显示；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3）鼠标悬浮显示；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4）数据分层控制显示；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5）图像处理显示，具有多仰角多要素同时显示。</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1.9.2.5授时功能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雷达具备授时功能，可以通过网络授时或北斗卫星授时校准系统时间，授时精度优于1s。</w:t>
      </w:r>
    </w:p>
    <w:p>
      <w:pPr>
        <w:pageBreakBefore w:val="0"/>
        <w:widowControl w:val="0"/>
        <w:kinsoku/>
        <w:wordWrap/>
        <w:overflowPunct/>
        <w:topLinePunct w:val="0"/>
        <w:autoSpaceDE/>
        <w:autoSpaceDN/>
        <w:bidi w:val="0"/>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highlight w:val="yellow"/>
        </w:rPr>
        <w:t>1.10产品软件功能</w:t>
      </w:r>
      <w:r>
        <w:rPr>
          <w:rFonts w:ascii="仿宋" w:eastAsia="仿宋" w:hAnsi="仿宋" w:cs="仿宋" w:hint="eastAsia"/>
          <w:sz w:val="28"/>
          <w:szCs w:val="28"/>
          <w:highlight w:val="yellow"/>
        </w:rPr>
        <w:t>#</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1）产品显示：平面位置产品、距离高度产品、等高面位置产品、二次产品等显示功能。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2）分屏显示：二分屏、四分屏等分屏显示功能、支持光标联动信息显示。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3）垂直剖面：基本产品任意垂直剖面显示功能，支持折线剖面，可同时显示多个产品，支持缩放、拖曳及保存图像。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4）图形缩放、拖曳：产品图像可放大缩小，拖曳移动。</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5）图像保存：产品图像可保存为图片格式。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6）动态展示：支持产品时序播放、动图制作。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7）地图加载：产品显示可加载离线地图文件，同时应支持API接口获取在线瓦片地图。</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8）测距功能：产品显示界面可测量两点间距离、折线距离。</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9）游标引导：游标所在点的经纬度、方位、距离、高度、产品数值、地理位置等信息显示。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10）阈值过滤：显示阈值范围内数据，过滤超限数据；可单一范围显隐；可调整产品透明度。</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11）自动刷新：可启停的自动显示最新产品数据。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12）状态监控：包括数据接收、产品制作、产品传输状态监控。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13）数据归档：本地或异地产品数据归档，支持定时清理。</w:t>
      </w:r>
    </w:p>
    <w:p>
      <w:pPr>
        <w:pageBreakBefore w:val="0"/>
        <w:widowControl w:val="0"/>
        <w:kinsoku/>
        <w:wordWrap/>
        <w:overflowPunct/>
        <w:topLinePunct w:val="0"/>
        <w:autoSpaceDE/>
        <w:autoSpaceDN/>
        <w:bidi w:val="0"/>
        <w:spacing w:line="560" w:lineRule="exact"/>
        <w:ind w:firstLine="560" w:firstLineChars="200"/>
        <w:jc w:val="left"/>
        <w:textAlignment w:val="auto"/>
        <w:rPr>
          <w:rFonts w:ascii="仿宋" w:eastAsia="仿宋" w:hAnsi="仿宋" w:cs="仿宋" w:hint="eastAsia"/>
          <w:sz w:val="28"/>
          <w:szCs w:val="28"/>
        </w:rPr>
      </w:pPr>
      <w:r>
        <w:rPr>
          <w:rFonts w:ascii="仿宋" w:eastAsia="仿宋" w:hAnsi="仿宋" w:cs="仿宋" w:hint="eastAsia"/>
          <w:sz w:val="28"/>
          <w:szCs w:val="28"/>
        </w:rPr>
        <w:t>14）数据上传：产品数据多节点上传，支持恢复网络后自动补传、手动补传。</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15）算法参数：算法参数可本地化调整。</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16）算法接口：支持外部算法接入，使用统一数据接口调用。</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17）系统日志：包括软件运行日志、数据接收日志、产品生成日志、数据上传日志等。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18）多用户并发：每个产品生成终端应至少能够满足30位用户同时访问。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19）数据库接口：可从外部接口获取雷达数据作为数据源。</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20）快捷操作：可通过键盘进行时间切换、仰角层切换等快捷操作。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21）关注点标记：设定不同类型的关注点，可设置备注信息并保存；可单选、多选、分类选择叠加在产品上进行显示；可设定关注点预警范围。支持关注点信息导入导出。</w:t>
      </w:r>
    </w:p>
    <w:p>
      <w:pPr>
        <w:pageBreakBefore w:val="0"/>
        <w:widowControl w:val="0"/>
        <w:kinsoku/>
        <w:wordWrap/>
        <w:overflowPunct/>
        <w:topLinePunct w:val="0"/>
        <w:autoSpaceDE/>
        <w:autoSpaceDN/>
        <w:bidi w:val="0"/>
        <w:spacing w:line="560" w:lineRule="exact"/>
        <w:ind w:firstLine="560" w:firstLineChars="200"/>
        <w:textAlignment w:val="auto"/>
        <w:outlineLvl w:val="1"/>
        <w:rPr>
          <w:rFonts w:ascii="仿宋" w:eastAsia="仿宋" w:hAnsi="仿宋" w:cs="仿宋" w:hint="eastAsia"/>
          <w:sz w:val="28"/>
          <w:szCs w:val="28"/>
        </w:rPr>
      </w:pPr>
      <w:r>
        <w:rPr>
          <w:rFonts w:ascii="仿宋" w:eastAsia="仿宋" w:hAnsi="仿宋" w:cs="仿宋" w:hint="eastAsia"/>
          <w:sz w:val="28"/>
          <w:szCs w:val="28"/>
        </w:rPr>
        <w:t>（二）技术指标</w:t>
      </w:r>
    </w:p>
    <w:p>
      <w:pPr>
        <w:jc w:val="center"/>
        <w:rPr>
          <w:rFonts w:eastAsia="方正小标宋简体" w:hint="eastAsia"/>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667"/>
        <w:gridCol w:w="2291"/>
        <w:gridCol w:w="5114"/>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双线偏振多普勒体制</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9.1～9.5GHz范围内，间隔1M可选</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≥15年</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警戒≥150km</w:t>
            </w:r>
          </w:p>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定量≥75km</w:t>
            </w:r>
          </w:p>
        </w:tc>
      </w:tr>
      <w:tr>
        <w:tblPrEx>
          <w:tblW w:w="9072" w:type="dxa"/>
          <w:jc w:val="center"/>
          <w:tblLayout w:type="fixed"/>
          <w:tblCellMar>
            <w:top w:w="0" w:type="dxa"/>
            <w:left w:w="108" w:type="dxa"/>
            <w:bottom w:w="0" w:type="dxa"/>
            <w:right w:w="108" w:type="dxa"/>
          </w:tblCellMar>
        </w:tblPrEx>
        <w:trPr>
          <w:trHeight w:val="65"/>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≤500m</w:t>
            </w:r>
          </w:p>
        </w:tc>
      </w:tr>
      <w:tr>
        <w:tblPrEx>
          <w:tblW w:w="9072" w:type="dxa"/>
          <w:jc w:val="center"/>
          <w:tblLayout w:type="fixed"/>
          <w:tblCellMar>
            <w:top w:w="0" w:type="dxa"/>
            <w:left w:w="108" w:type="dxa"/>
            <w:bottom w:w="0" w:type="dxa"/>
            <w:right w:w="108" w:type="dxa"/>
          </w:tblCellMar>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分辨率</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≤75m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测量范围</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-15～+80dBZ</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±48m/s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0～16m/s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-7.9dB～+7.9dB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-180°～+180°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-2°/km～+10°/km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-35dB～6dB（单发双收模式）</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参数测</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量精度</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（标准差）</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PrEx>
        <w:trPr>
          <w:trHeight w:val="361"/>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≤0.2dB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≤0.2°/km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≤0.01</w:t>
            </w:r>
          </w:p>
        </w:tc>
      </w:tr>
      <w:tr>
        <w:tblPrEx>
          <w:tblW w:w="9072" w:type="dxa"/>
          <w:jc w:val="center"/>
          <w:tblLayout w:type="fixed"/>
          <w:tblCellMar>
            <w:top w:w="0" w:type="dxa"/>
            <w:left w:w="108" w:type="dxa"/>
            <w:bottom w:w="0" w:type="dxa"/>
            <w:right w:w="108" w:type="dxa"/>
          </w:tblCellMar>
        </w:tblPrEx>
        <w:trPr>
          <w:trHeight w:val="7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可探测的最小反射率因子（50km处，75m分辨率，同发同收）</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≤3dBZ</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系统相位噪声</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滤波前后功率比</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≥55dB</w:t>
            </w:r>
          </w:p>
        </w:tc>
      </w:tr>
      <w:tr>
        <w:tblPrEx>
          <w:tblW w:w="9072" w:type="dxa"/>
          <w:jc w:val="center"/>
          <w:tblLayout w:type="fixed"/>
          <w:tblCellMar>
            <w:top w:w="0" w:type="dxa"/>
            <w:left w:w="108" w:type="dxa"/>
            <w:bottom w:w="0" w:type="dxa"/>
            <w:right w:w="108" w:type="dxa"/>
          </w:tblCellMar>
        </w:tblPrEx>
        <w:trPr>
          <w:trHeight w:val="6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实际地物抑制能力</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≥35dB</w:t>
            </w:r>
          </w:p>
        </w:tc>
      </w:tr>
      <w:tr>
        <w:tblPrEx>
          <w:tblW w:w="9072" w:type="dxa"/>
          <w:jc w:val="center"/>
          <w:tblLayout w:type="fixed"/>
          <w:tblCellMar>
            <w:top w:w="0" w:type="dxa"/>
            <w:left w:w="108" w:type="dxa"/>
            <w:bottom w:w="0" w:type="dxa"/>
            <w:right w:w="108" w:type="dxa"/>
          </w:tblCellMar>
        </w:tblPrEx>
        <w:trPr>
          <w:trHeight w:val="243"/>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占用带宽</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≤30MHz</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滤波前回波强度、滤波后回波强度、径向速度、速度谱宽、差分反射率、差分传播相移、差分传播相移率、相关系数、信噪比，退偏振比</w:t>
            </w:r>
          </w:p>
        </w:tc>
      </w:tr>
      <w:tr>
        <w:tblPrEx>
          <w:tblW w:w="9072" w:type="dxa"/>
          <w:jc w:val="center"/>
          <w:tblLayout w:type="fixed"/>
          <w:tblCellMar>
            <w:top w:w="0" w:type="dxa"/>
            <w:left w:w="108" w:type="dxa"/>
            <w:bottom w:w="0" w:type="dxa"/>
            <w:right w:w="108" w:type="dxa"/>
          </w:tblCellMar>
        </w:tblPrEx>
        <w:trPr>
          <w:trHeight w:val="76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单相AC220V±10%或三相AC380V±10%，50Hz±5%</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≤1200kg（不含天线罩）</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环境要求</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0～+40℃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spacing w:line="380" w:lineRule="exac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-40～+60℃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≤90%（+30℃）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海拔≤5000m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符合国家有关部门规定，且满足野外运输要求</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电源干扰、电磁干扰、无线电频率干扰</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防水、防霉、防盐雾</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≤3000W</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≥5000h</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固定架设</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≤5min</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雷达微波漏能功率密度应符合GJB5313-2004的要求。</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微波泄漏部位、机械转动部位、危险电压部位等应有清晰、醒目的安全警示标记。</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雷达备份零件、部件、组件和功能单元均能在现场更换，无需调整而正常工作。</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雷达具有市电滤波和防电磁干扰的能力，设置静电屏蔽、电磁屏蔽，模拟地线、数字地线和安全地线严格分开，避雷地线要单独接地。</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雷达应有安全性设计，确保雷达按规定条件进行制造、安装、运输、贮存、使用和维护时的人身安全和设备安全。雷达系统电源开关、伺服转台维护开关带自锁功能和指示灯。</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雷达电源线输入端应加装防雷滤波器，室外电缆一律采用屏蔽电缆或光缆。</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雷达各初级电源与大地间绝缘电阻应大于1MΩ。</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雷达整体形象应协调一致。外表面应无凹痕、碰伤、裂痕和变形等缺陷；镀涂层不起泡、龟裂和脱落；金属零件无锈蚀、毛刺及其它机械损伤。</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机箱、机箱、插件和线缆等应有统一的编号和标记，符合国家标准。</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印制板、主要元器件等应在相应位置印有与电路图中项目代号相符的标记。</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标记的文字、字母和符号应完整、规范、清晰和牢固，且便于识读。</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发射机和接收机的噪音应低于85dB。</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雷达的名称、型号（代号）；出厂编号；出厂年月；制造厂商标。</w:t>
            </w:r>
          </w:p>
        </w:tc>
      </w:tr>
    </w:tbl>
    <w:p>
      <w:pPr>
        <w:jc w:val="center"/>
        <w:rPr>
          <w:rFonts w:eastAsia="方正小标宋简体"/>
          <w:sz w:val="28"/>
          <w:szCs w:val="28"/>
        </w:rPr>
      </w:pPr>
      <w:r>
        <w:rPr>
          <w:rFonts w:eastAsia="方正小标宋简体" w:hint="eastAsia"/>
          <w:sz w:val="28"/>
          <w:szCs w:val="28"/>
        </w:rPr>
        <w:t>天线罩技术性能指标表</w:t>
      </w:r>
    </w:p>
    <w:tbl>
      <w:tblPr>
        <w:tblStyle w:val="TableNormal"/>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972"/>
        <w:gridCol w:w="6141"/>
      </w:tblGrid>
      <w:tr>
        <w:tblPrEx>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t>项目</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性能指标</w:t>
            </w:r>
          </w:p>
        </w:tc>
      </w:tr>
      <w:tr>
        <w:tblPrEx>
          <w:tblW w:w="9113" w:type="dxa"/>
          <w:jc w:val="center"/>
          <w:tblLayout w:type="fixed"/>
          <w:tblCellMar>
            <w:top w:w="0" w:type="dxa"/>
            <w:left w:w="108" w:type="dxa"/>
            <w:bottom w:w="0" w:type="dxa"/>
            <w:right w:w="108" w:type="dxa"/>
          </w:tblCellMar>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天线罩直径</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≥4.5m（白色，9/10D截球壳，偏差不超过5%）</w:t>
            </w:r>
          </w:p>
        </w:tc>
      </w:tr>
      <w:tr>
        <w:tblPrEx>
          <w:tblW w:w="9113" w:type="dxa"/>
          <w:jc w:val="center"/>
          <w:tblLayout w:type="fixed"/>
          <w:tblCellMar>
            <w:top w:w="0" w:type="dxa"/>
            <w:left w:w="108" w:type="dxa"/>
            <w:bottom w:w="0" w:type="dxa"/>
            <w:right w:w="108" w:type="dxa"/>
          </w:tblCellMar>
        </w:tblPrEx>
        <w:trPr>
          <w:trHeight w:val="328"/>
          <w:jc w:val="center"/>
        </w:trPr>
        <w:tc>
          <w:tcPr>
            <w:tcW w:w="2972"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抗风能力（阵风）</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60m/s不损坏</w:t>
            </w:r>
          </w:p>
        </w:tc>
      </w:tr>
      <w:tr>
        <w:tblPrEx>
          <w:tblW w:w="9113" w:type="dxa"/>
          <w:jc w:val="center"/>
          <w:tblLayout w:type="fixed"/>
          <w:tblCellMar>
            <w:top w:w="0" w:type="dxa"/>
            <w:left w:w="108" w:type="dxa"/>
            <w:bottom w:w="0" w:type="dxa"/>
            <w:right w:w="108" w:type="dxa"/>
          </w:tblCellMar>
        </w:tblPrEx>
        <w:trPr>
          <w:trHeight w:val="274"/>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射频损失</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≤1.2dB（双程）</w:t>
            </w:r>
          </w:p>
        </w:tc>
      </w:tr>
      <w:tr>
        <w:tblPrEx>
          <w:tblW w:w="9113" w:type="dxa"/>
          <w:jc w:val="center"/>
          <w:tblLayout w:type="fixed"/>
          <w:tblCellMar>
            <w:top w:w="0" w:type="dxa"/>
            <w:left w:w="108" w:type="dxa"/>
            <w:bottom w:w="0" w:type="dxa"/>
            <w:right w:w="108" w:type="dxa"/>
          </w:tblCellMar>
        </w:tblPrEx>
        <w:trPr>
          <w:trHeight w:val="281"/>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引入波束偏差</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≤0.05°</w:t>
            </w:r>
          </w:p>
        </w:tc>
      </w:tr>
      <w:tr>
        <w:tblPrEx>
          <w:tblW w:w="9113" w:type="dxa"/>
          <w:jc w:val="center"/>
          <w:tblLayout w:type="fixed"/>
          <w:tblCellMar>
            <w:top w:w="0" w:type="dxa"/>
            <w:left w:w="108" w:type="dxa"/>
            <w:bottom w:w="0" w:type="dxa"/>
            <w:right w:w="108" w:type="dxa"/>
          </w:tblCellMar>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引入波束展宽</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≤0.05°</w:t>
            </w:r>
          </w:p>
        </w:tc>
      </w:tr>
      <w:tr>
        <w:tblPrEx>
          <w:tblW w:w="9113" w:type="dxa"/>
          <w:jc w:val="center"/>
          <w:tblLayout w:type="fixed"/>
          <w:tblCellMar>
            <w:top w:w="0" w:type="dxa"/>
            <w:left w:w="108" w:type="dxa"/>
            <w:bottom w:w="0" w:type="dxa"/>
            <w:right w:w="108" w:type="dxa"/>
          </w:tblCellMar>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引入交叉极化隔离度影响</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≤1.0dB</w:t>
            </w:r>
          </w:p>
        </w:tc>
      </w:tr>
    </w:tbl>
    <w:p>
      <w:pPr>
        <w:jc w:val="center"/>
        <w:rPr>
          <w:rFonts w:eastAsia="方正小标宋简体"/>
          <w:sz w:val="28"/>
          <w:szCs w:val="28"/>
        </w:rPr>
      </w:pPr>
      <w:r>
        <w:rPr>
          <w:rFonts w:eastAsia="方正小标宋简体" w:hint="eastAsia"/>
          <w:sz w:val="28"/>
          <w:szCs w:val="28"/>
        </w:rPr>
        <w:t>天线技术性能指标表</w:t>
      </w:r>
    </w:p>
    <w:tbl>
      <w:tblPr>
        <w:tblStyle w:val="TableNormal"/>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324"/>
        <w:gridCol w:w="4394"/>
      </w:tblGrid>
      <w:tr>
        <w:tblPrEx>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2"/>
          <w:jc w:val="center"/>
        </w:trPr>
        <w:tc>
          <w:tcPr>
            <w:tcW w:w="432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439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718" w:type="dxa"/>
          <w:jc w:val="center"/>
          <w:tblLayout w:type="fixed"/>
          <w:tblCellMar>
            <w:top w:w="0" w:type="dxa"/>
            <w:left w:w="108" w:type="dxa"/>
            <w:bottom w:w="0" w:type="dxa"/>
            <w:right w:w="108" w:type="dxa"/>
          </w:tblCellMar>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圆形旋转抛物面反射体天线，喇叭中心馈电</w:t>
            </w:r>
          </w:p>
        </w:tc>
      </w:tr>
      <w:tr>
        <w:tblPrEx>
          <w:tblW w:w="8718" w:type="dxa"/>
          <w:jc w:val="center"/>
          <w:tblLayout w:type="fixed"/>
          <w:tblCellMar>
            <w:top w:w="0" w:type="dxa"/>
            <w:left w:w="108" w:type="dxa"/>
            <w:bottom w:w="0" w:type="dxa"/>
            <w:right w:w="108" w:type="dxa"/>
          </w:tblCellMar>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9.1～9.5GHz</w:t>
            </w:r>
          </w:p>
        </w:tc>
      </w:tr>
      <w:tr>
        <w:tblPrEx>
          <w:tblW w:w="8718" w:type="dxa"/>
          <w:jc w:val="center"/>
          <w:tblLayout w:type="fixed"/>
          <w:tblCellMar>
            <w:top w:w="0" w:type="dxa"/>
            <w:left w:w="108" w:type="dxa"/>
            <w:bottom w:w="0" w:type="dxa"/>
            <w:right w:w="108" w:type="dxa"/>
          </w:tblCellMar>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线性水平、垂直极化</w:t>
            </w:r>
          </w:p>
        </w:tc>
      </w:tr>
      <w:tr>
        <w:tblPrEx>
          <w:tblW w:w="8718" w:type="dxa"/>
          <w:jc w:val="center"/>
          <w:tblLayout w:type="fixed"/>
          <w:tblCellMar>
            <w:top w:w="0" w:type="dxa"/>
            <w:left w:w="108" w:type="dxa"/>
            <w:bottom w:w="0" w:type="dxa"/>
            <w:right w:w="108" w:type="dxa"/>
          </w:tblCellMar>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2.4～2.424m</w:t>
            </w:r>
          </w:p>
        </w:tc>
      </w:tr>
      <w:tr>
        <w:tblPrEx>
          <w:tblW w:w="8718" w:type="dxa"/>
          <w:jc w:val="center"/>
          <w:tblLayout w:type="fixed"/>
          <w:tblCellMar>
            <w:top w:w="0" w:type="dxa"/>
            <w:left w:w="108" w:type="dxa"/>
            <w:bottom w:w="0" w:type="dxa"/>
            <w:right w:w="108" w:type="dxa"/>
          </w:tblCellMar>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水平和垂直波束宽度（3dB）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≤1.0°（含天线罩）</w:t>
            </w:r>
          </w:p>
        </w:tc>
      </w:tr>
      <w:tr>
        <w:tblPrEx>
          <w:tblW w:w="8718" w:type="dxa"/>
          <w:jc w:val="center"/>
          <w:tblLayout w:type="fixed"/>
          <w:tblCellMar>
            <w:top w:w="0" w:type="dxa"/>
            <w:left w:w="108" w:type="dxa"/>
            <w:bottom w:w="0" w:type="dxa"/>
            <w:right w:w="108" w:type="dxa"/>
          </w:tblCellMar>
        </w:tblPrEx>
        <w:trPr>
          <w:trHeight w:val="206"/>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≤1.0°（不含天线罩）</w:t>
            </w:r>
          </w:p>
        </w:tc>
      </w:tr>
      <w:tr>
        <w:tblPrEx>
          <w:tblW w:w="8718" w:type="dxa"/>
          <w:jc w:val="center"/>
          <w:tblLayout w:type="fixed"/>
          <w:tblCellMar>
            <w:top w:w="0" w:type="dxa"/>
            <w:left w:w="108" w:type="dxa"/>
            <w:bottom w:w="0" w:type="dxa"/>
            <w:right w:w="108" w:type="dxa"/>
          </w:tblCellMar>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双极化波束宽度差异（3dB）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≤0.05°</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增益（水平和垂直）</w:t>
            </w: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≥43.4dB（含天线罩）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≥44dB（不含天线罩）</w:t>
            </w:r>
          </w:p>
        </w:tc>
      </w:tr>
      <w:tr>
        <w:tblPrEx>
          <w:tblW w:w="8718" w:type="dxa"/>
          <w:jc w:val="center"/>
          <w:tblLayout w:type="fixed"/>
          <w:tblCellMar>
            <w:top w:w="0" w:type="dxa"/>
            <w:left w:w="108" w:type="dxa"/>
            <w:bottom w:w="0" w:type="dxa"/>
            <w:right w:w="108" w:type="dxa"/>
          </w:tblCellMar>
        </w:tblPrEx>
        <w:trPr>
          <w:trHeight w:val="178"/>
          <w:jc w:val="center"/>
        </w:trPr>
        <w:tc>
          <w:tcPr>
            <w:tcW w:w="4324" w:type="dxa"/>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双极化天线增益差（H面和E面）</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≤0.3dB</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最大副瓣电平</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≤-26dB（含天线罩）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≤-29dB（不含天线罩）</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交叉极化隔离度</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≥35dB（含天线罩）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≥35dB（不含天线罩）</w:t>
            </w:r>
          </w:p>
        </w:tc>
      </w:tr>
      <w:tr>
        <w:tblPrEx>
          <w:tblW w:w="8718" w:type="dxa"/>
          <w:jc w:val="center"/>
          <w:tblLayout w:type="fixed"/>
          <w:tblCellMar>
            <w:top w:w="0" w:type="dxa"/>
            <w:left w:w="108" w:type="dxa"/>
            <w:bottom w:w="0" w:type="dxa"/>
            <w:right w:w="108" w:type="dxa"/>
          </w:tblCellMar>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≤30″</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馈线技术性能指标表</w:t>
      </w:r>
    </w:p>
    <w:tbl>
      <w:tblPr>
        <w:tblStyle w:val="TableNormal"/>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281"/>
        <w:gridCol w:w="1772"/>
        <w:gridCol w:w="1772"/>
      </w:tblGrid>
      <w:tr>
        <w:tblPrEx>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5281"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3544"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825" w:type="dxa"/>
          <w:jc w:val="center"/>
          <w:tblLayout w:type="fixed"/>
          <w:tblCellMar>
            <w:top w:w="0" w:type="dxa"/>
            <w:left w:w="108" w:type="dxa"/>
            <w:bottom w:w="0" w:type="dxa"/>
            <w:right w:w="108" w:type="dxa"/>
          </w:tblCellMar>
        </w:tblPrEx>
        <w:trPr>
          <w:trHeight w:val="40"/>
          <w:jc w:val="center"/>
        </w:trPr>
        <w:tc>
          <w:tcPr>
            <w:tcW w:w="5281" w:type="dxa"/>
            <w:vMerge/>
            <w:tcBorders>
              <w:left w:val="single" w:sz="4" w:space="0" w:color="auto"/>
              <w:right w:val="single" w:sz="4" w:space="0" w:color="auto"/>
            </w:tcBorders>
            <w:vAlign w:val="center"/>
          </w:tcPr>
          <w:p>
            <w:pPr>
              <w:spacing w:line="380" w:lineRule="exact"/>
              <w:jc w:val="center"/>
              <w:rPr>
                <w:rFonts w:ascii="仿宋_GB2312"/>
                <w:b/>
                <w:bCs/>
                <w:sz w:val="28"/>
                <w:szCs w:val="28"/>
              </w:rPr>
            </w:pP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全固态</w:t>
            </w: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速调管</w:t>
            </w:r>
          </w:p>
        </w:tc>
      </w:tr>
      <w:tr>
        <w:tblPrEx>
          <w:tblW w:w="8825" w:type="dxa"/>
          <w:jc w:val="center"/>
          <w:tblLayout w:type="fixed"/>
          <w:tblCellMar>
            <w:top w:w="0" w:type="dxa"/>
            <w:left w:w="108" w:type="dxa"/>
            <w:bottom w:w="0" w:type="dxa"/>
            <w:right w:w="108" w:type="dxa"/>
          </w:tblCellMar>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收发支路损耗差异（双发双收）</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≤0.4dB</w:t>
            </w:r>
          </w:p>
        </w:tc>
      </w:tr>
      <w:tr>
        <w:tblPrEx>
          <w:tblW w:w="8825" w:type="dxa"/>
          <w:jc w:val="center"/>
          <w:tblLayout w:type="fixed"/>
          <w:tblCellMar>
            <w:top w:w="0" w:type="dxa"/>
            <w:left w:w="108" w:type="dxa"/>
            <w:bottom w:w="0" w:type="dxa"/>
            <w:right w:w="108" w:type="dxa"/>
          </w:tblCellMar>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驻波比</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≤1.5:1</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伺服转台技术性能指标表</w:t>
      </w:r>
    </w:p>
    <w:tbl>
      <w:tblPr>
        <w:tblStyle w:val="TableNormal"/>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749"/>
        <w:gridCol w:w="1225"/>
        <w:gridCol w:w="4841"/>
      </w:tblGrid>
      <w:tr>
        <w:tblPrEx>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项目</w:t>
            </w:r>
          </w:p>
        </w:tc>
        <w:tc>
          <w:tcPr>
            <w:tcW w:w="4841" w:type="dxa"/>
            <w:tcBorders>
              <w:top w:val="single" w:sz="4" w:space="0" w:color="auto"/>
              <w:left w:val="single" w:sz="4" w:space="0" w:color="auto"/>
              <w:bottom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性能指标</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平面位置扫描、距离高度扫描、体积扫描、扇形扫描、定点扫描、任意指向扫描</w:t>
            </w:r>
          </w:p>
        </w:tc>
      </w:tr>
      <w:tr>
        <w:tblPrEx>
          <w:tblW w:w="8815" w:type="dxa"/>
          <w:jc w:val="center"/>
          <w:tblLayout w:type="fixed"/>
          <w:tblCellMar>
            <w:top w:w="0" w:type="dxa"/>
            <w:left w:w="108" w:type="dxa"/>
            <w:bottom w:w="0" w:type="dxa"/>
            <w:right w:w="108" w:type="dxa"/>
          </w:tblCellMar>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0～360°连续扫描</w:t>
            </w:r>
          </w:p>
        </w:tc>
      </w:tr>
      <w:tr>
        <w:tblPrEx>
          <w:tblW w:w="8815" w:type="dxa"/>
          <w:jc w:val="center"/>
          <w:tblLayout w:type="fixed"/>
          <w:tblCellMar>
            <w:top w:w="0" w:type="dxa"/>
            <w:left w:w="108" w:type="dxa"/>
            <w:bottom w:w="0" w:type="dxa"/>
            <w:right w:w="108" w:type="dxa"/>
          </w:tblCellMar>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pPr>
              <w:widowControl/>
              <w:spacing w:line="400" w:lineRule="exact"/>
              <w:jc w:val="left"/>
              <w:rPr>
                <w:rFonts w:ascii="仿宋_GB2312"/>
                <w:sz w:val="28"/>
                <w:szCs w:val="28"/>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-2～+180°往返扫描</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天线扫描速度</w:t>
            </w:r>
          </w:p>
        </w:tc>
        <w:tc>
          <w:tcPr>
            <w:tcW w:w="1225" w:type="dxa"/>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≥60°/s，≥6°/s误差≤5%</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≥60°/s，≥6°/s误差≤5%</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val="restart"/>
            <w:tcBorders>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天线扫描加速度</w:t>
            </w: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预置全自动、人工干预自动/手动控制</w:t>
            </w:r>
          </w:p>
        </w:tc>
      </w:tr>
      <w:tr>
        <w:tblPrEx>
          <w:tblW w:w="8815" w:type="dxa"/>
          <w:jc w:val="center"/>
          <w:tblLayout w:type="fixed"/>
          <w:tblCellMar>
            <w:top w:w="0" w:type="dxa"/>
            <w:left w:w="108" w:type="dxa"/>
            <w:bottom w:w="0" w:type="dxa"/>
            <w:right w:w="108" w:type="dxa"/>
          </w:tblCellMar>
        </w:tblPrEx>
        <w:trPr>
          <w:trHeight w:val="49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波束指向误差（方位和俯仰）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±0.05°之间</w:t>
            </w:r>
          </w:p>
        </w:tc>
      </w:tr>
      <w:tr>
        <w:tblPrEx>
          <w:tblW w:w="8815" w:type="dxa"/>
          <w:jc w:val="center"/>
          <w:tblLayout w:type="fixed"/>
          <w:tblCellMar>
            <w:top w:w="0" w:type="dxa"/>
            <w:left w:w="108" w:type="dxa"/>
            <w:bottom w:w="0" w:type="dxa"/>
            <w:right w:w="108" w:type="dxa"/>
          </w:tblCellMar>
        </w:tblPrEx>
        <w:trPr>
          <w:trHeight w:val="45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天线控制精度（方位和俯仰）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±0.05°之间</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≤5ms</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发射机技术性能指标表</w:t>
      </w:r>
    </w:p>
    <w:tbl>
      <w:tblPr>
        <w:tblStyle w:val="TableNormal"/>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52"/>
        <w:gridCol w:w="1628"/>
        <w:gridCol w:w="4961"/>
      </w:tblGrid>
      <w:tr>
        <w:tblPrEx>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41"/>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全固态功率合成</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寿命</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全寿命周期</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41" w:type="dxa"/>
          <w:jc w:val="center"/>
          <w:tblLayout w:type="fixed"/>
          <w:tblCellMar>
            <w:top w:w="0" w:type="dxa"/>
            <w:left w:w="108" w:type="dxa"/>
            <w:bottom w:w="0" w:type="dxa"/>
            <w:right w:w="108" w:type="dxa"/>
          </w:tblCellMar>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脉冲峰值功率（总功率）</w:t>
            </w:r>
            <w:r>
              <w:rPr>
                <w:rFonts w:ascii="仿宋" w:eastAsia="仿宋" w:hAnsi="仿宋" w:cs="仿宋" w:hint="eastAsia"/>
                <w:sz w:val="28"/>
                <w:szCs w:val="28"/>
                <w:highlight w:val="yellow"/>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≥500W</w:t>
            </w:r>
          </w:p>
        </w:tc>
      </w:tr>
      <w:tr>
        <w:tblPrEx>
          <w:tblW w:w="8841" w:type="dxa"/>
          <w:jc w:val="center"/>
          <w:tblLayout w:type="fixed"/>
          <w:tblCellMar>
            <w:top w:w="0" w:type="dxa"/>
            <w:left w:w="108" w:type="dxa"/>
            <w:bottom w:w="0" w:type="dxa"/>
            <w:right w:w="108" w:type="dxa"/>
          </w:tblCellMar>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±0.2dB之间</w:t>
            </w:r>
          </w:p>
        </w:tc>
      </w:tr>
      <w:tr>
        <w:tblPrEx>
          <w:tblW w:w="8841" w:type="dxa"/>
          <w:jc w:val="center"/>
          <w:tblLayout w:type="fixed"/>
          <w:tblCellMar>
            <w:top w:w="0" w:type="dxa"/>
            <w:left w:w="108" w:type="dxa"/>
            <w:bottom w:w="0" w:type="dxa"/>
            <w:right w:w="108" w:type="dxa"/>
          </w:tblCellMar>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峰值功率波动</w:t>
            </w: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机外</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≤0.3dB</w:t>
            </w:r>
          </w:p>
        </w:tc>
      </w:tr>
      <w:tr>
        <w:tblPrEx>
          <w:tblW w:w="8841" w:type="dxa"/>
          <w:jc w:val="center"/>
          <w:tblLayout w:type="fixed"/>
          <w:tblCellMar>
            <w:top w:w="0" w:type="dxa"/>
            <w:left w:w="108" w:type="dxa"/>
            <w:bottom w:w="0" w:type="dxa"/>
            <w:right w:w="108" w:type="dxa"/>
          </w:tblCellMar>
        </w:tblPrEx>
        <w:trPr>
          <w:trHeight w:val="355"/>
          <w:jc w:val="center"/>
        </w:trPr>
        <w:tc>
          <w:tcPr>
            <w:tcW w:w="2252" w:type="dxa"/>
            <w:vMerge/>
            <w:tcBorders>
              <w:left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w:t>
            </w:r>
          </w:p>
        </w:tc>
        <w:tc>
          <w:tcPr>
            <w:tcW w:w="4961" w:type="dxa"/>
            <w:tcBorders>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≤0.4dB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500Hz～3000Hz</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0.5±0.05μs，1.0±0.10μs，0.5～200μs（可选）</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≤200ns</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顶降</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w:t>
            </w:r>
          </w:p>
        </w:tc>
      </w:tr>
      <w:tr>
        <w:tblPrEx>
          <w:tblW w:w="8841" w:type="dxa"/>
          <w:jc w:val="center"/>
          <w:tblLayout w:type="fixed"/>
          <w:tblCellMar>
            <w:top w:w="0" w:type="dxa"/>
            <w:left w:w="108" w:type="dxa"/>
            <w:bottom w:w="0" w:type="dxa"/>
            <w:right w:w="108" w:type="dxa"/>
          </w:tblCellMar>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谱宽特性</w:t>
            </w:r>
          </w:p>
          <w:p>
            <w:pPr>
              <w:spacing w:line="360" w:lineRule="exact"/>
              <w:rPr>
                <w:rFonts w:ascii="仿宋_GB2312"/>
                <w:sz w:val="28"/>
                <w:szCs w:val="28"/>
              </w:rPr>
            </w:pPr>
            <w:r>
              <w:rPr>
                <w:rFonts w:ascii="仿宋_GB2312" w:hint="eastAsia"/>
                <w:sz w:val="28"/>
                <w:szCs w:val="28"/>
              </w:rPr>
              <w:t>（-40dB处）</w:t>
            </w: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左频偏</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PrEx>
        <w:trPr>
          <w:trHeight w:val="175"/>
          <w:jc w:val="center"/>
        </w:trPr>
        <w:tc>
          <w:tcPr>
            <w:tcW w:w="225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右频偏</w:t>
            </w:r>
          </w:p>
        </w:tc>
        <w:tc>
          <w:tcPr>
            <w:tcW w:w="4961"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hint="eastAsia"/>
                <w:sz w:val="28"/>
                <w:szCs w:val="28"/>
              </w:rPr>
              <w:t>发生过占空比、过脉宽、发生过温、过流等情况时可报警并实现自保；输出功率低时输出报警信号。</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接收机技术性能指标表</w:t>
      </w:r>
    </w:p>
    <w:tbl>
      <w:tblPr>
        <w:tblStyle w:val="TableNormal"/>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532"/>
        <w:gridCol w:w="322"/>
        <w:gridCol w:w="1478"/>
        <w:gridCol w:w="4475"/>
      </w:tblGrid>
      <w:tr>
        <w:tblPrEx>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4332" w:type="dxa"/>
            <w:gridSpan w:val="3"/>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＞40MHz</w:t>
            </w:r>
          </w:p>
        </w:tc>
      </w:tr>
      <w:tr>
        <w:tblPrEx>
          <w:tblW w:w="8807" w:type="dxa"/>
          <w:jc w:val="center"/>
          <w:tblLayout w:type="fixed"/>
          <w:tblCellMar>
            <w:top w:w="0" w:type="dxa"/>
            <w:left w:w="108" w:type="dxa"/>
            <w:bottom w:w="0" w:type="dxa"/>
            <w:right w:w="108" w:type="dxa"/>
          </w:tblCellMar>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0.5μs</w:t>
            </w:r>
          </w:p>
        </w:tc>
        <w:tc>
          <w:tcPr>
            <w:tcW w:w="4475"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2.00±0.10MHz</w:t>
            </w:r>
          </w:p>
        </w:tc>
      </w:tr>
      <w:tr>
        <w:tblPrEx>
          <w:tblW w:w="8807" w:type="dxa"/>
          <w:jc w:val="center"/>
          <w:tblLayout w:type="fixed"/>
          <w:tblCellMar>
            <w:top w:w="0" w:type="dxa"/>
            <w:left w:w="108" w:type="dxa"/>
            <w:bottom w:w="0" w:type="dxa"/>
            <w:right w:w="108" w:type="dxa"/>
          </w:tblCellMar>
        </w:tblPrEx>
        <w:trPr>
          <w:trHeight w:val="175"/>
          <w:jc w:val="center"/>
        </w:trPr>
        <w:tc>
          <w:tcPr>
            <w:tcW w:w="253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1.0μs</w:t>
            </w:r>
          </w:p>
        </w:tc>
        <w:tc>
          <w:tcPr>
            <w:tcW w:w="4475"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1.00±0.10MHz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噪声系数</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≤3dB</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±0.3dB范围内</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±0.2dB范围内</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≥95dB</w:t>
            </w:r>
          </w:p>
        </w:tc>
      </w:tr>
      <w:tr>
        <w:tblPrEx>
          <w:tblW w:w="8807" w:type="dxa"/>
          <w:jc w:val="center"/>
          <w:tblLayout w:type="fixed"/>
          <w:tblCellMar>
            <w:top w:w="0" w:type="dxa"/>
            <w:left w:w="108" w:type="dxa"/>
            <w:bottom w:w="0" w:type="dxa"/>
            <w:right w:w="108" w:type="dxa"/>
          </w:tblCellMar>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≤-107dBm（带宽2MHz）</w:t>
            </w:r>
          </w:p>
        </w:tc>
      </w:tr>
      <w:tr>
        <w:tblPrEx>
          <w:tblW w:w="8807" w:type="dxa"/>
          <w:jc w:val="center"/>
          <w:tblLayout w:type="fixed"/>
          <w:tblCellMar>
            <w:top w:w="0" w:type="dxa"/>
            <w:left w:w="108" w:type="dxa"/>
            <w:bottom w:w="0" w:type="dxa"/>
            <w:right w:w="108" w:type="dxa"/>
          </w:tblCellMar>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≤-110dBm（带宽1MHz）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≤-60dBc</w:t>
            </w:r>
          </w:p>
        </w:tc>
      </w:tr>
      <w:tr>
        <w:tblPrEx>
          <w:tblW w:w="8807" w:type="dxa"/>
          <w:jc w:val="center"/>
          <w:tblLayout w:type="fixed"/>
          <w:tblCellMar>
            <w:top w:w="0" w:type="dxa"/>
            <w:left w:w="108" w:type="dxa"/>
            <w:bottom w:w="0" w:type="dxa"/>
            <w:right w:w="108" w:type="dxa"/>
          </w:tblCellMar>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≤-110dBc/Hz </w:t>
            </w:r>
          </w:p>
        </w:tc>
      </w:tr>
      <w:tr>
        <w:tblPrEx>
          <w:tblW w:w="8807" w:type="dxa"/>
          <w:jc w:val="center"/>
          <w:tblLayout w:type="fixed"/>
          <w:tblCellMar>
            <w:top w:w="0" w:type="dxa"/>
            <w:left w:w="108" w:type="dxa"/>
            <w:bottom w:w="0" w:type="dxa"/>
            <w:right w:w="108" w:type="dxa"/>
          </w:tblCellMar>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≤-115dBc/Hz </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频率源晶振短期(1ms)稳定度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w:t>
            </w:r>
            <w:r>
              <w:rPr>
                <w:bCs/>
                <w:kern w:val="0"/>
                <w:sz w:val="28"/>
                <w:szCs w:val="28"/>
                <w:vertAlign w:val="superscript"/>
              </w:rPr>
              <w:t>-11</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温度波动范围（采用恒温接收机）</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±2℃范围内（工作温度）。当环境温度为0度或+40度，达到恒定温度的时间不超过10min；当环境温度为-30度或+50度，达到恒定温度的时间不超过30min。</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发生本振故障、激励故障、时钟故障、RFD测量误差超限、噪声系数超限、地杂物抑制超限、双通道幅相一致性超限等情况时可报警。 </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rPr>
        <w:t>数字中频单元技术性能指标表</w:t>
      </w:r>
    </w:p>
    <w:tbl>
      <w:tblPr>
        <w:tblStyle w:val="TableNormal"/>
        <w:tblpPr w:leftFromText="180" w:rightFromText="180" w:vertAnchor="text" w:horzAnchor="page" w:tblpXSpec="center" w:tblpY="553"/>
        <w:tblOverlap w:val="neve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04"/>
        <w:gridCol w:w="4759"/>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3904" w:type="dxa"/>
            <w:tcBorders>
              <w:top w:val="single" w:sz="4" w:space="0" w:color="auto"/>
              <w:left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项目</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性能指标</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hint="eastAsia"/>
                <w:sz w:val="28"/>
                <w:szCs w:val="28"/>
                <w:highlight w:val="yellow"/>
              </w:rPr>
              <w:t>参考时钟</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800MHz，3±1dBm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sz w:val="28"/>
                <w:szCs w:val="28"/>
                <w:highlight w:val="yellow"/>
              </w:rPr>
            </w:pPr>
            <w:r>
              <w:rPr>
                <w:rFonts w:hint="eastAsia"/>
                <w:sz w:val="28"/>
                <w:szCs w:val="28"/>
                <w:highlight w:val="yellow"/>
              </w:rPr>
              <w:t>输出中频激励信号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30MHz～70MHz，0±5dBm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输入中频信号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30MHz～70MHz，≤+15dBm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脉冲压缩主副瓣比</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≥50dB（脉压比≥100）</w:t>
            </w:r>
          </w:p>
          <w:p>
            <w:pPr>
              <w:spacing w:line="360" w:lineRule="exact"/>
              <w:rPr>
                <w:rFonts w:ascii="仿宋_GB2312"/>
                <w:sz w:val="28"/>
                <w:szCs w:val="28"/>
              </w:rPr>
            </w:pPr>
            <w:r>
              <w:rPr>
                <w:rFonts w:ascii="仿宋_GB2312" w:hint="eastAsia"/>
                <w:sz w:val="28"/>
                <w:szCs w:val="28"/>
              </w:rPr>
              <w:t>≥45dB（脉压比＜100）</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≤75m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≥2000个</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一阶相关或多阶相关</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16、32、64、128、256等可选</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同一发射周期内最大支持3种脉冲宽度拼接补盲，可选脉冲宽度支持0.5μs</w:t>
            </w:r>
            <w:r>
              <w:rPr>
                <w:rFonts w:ascii="宋体" w:eastAsia="宋体" w:hAnsi="宋体" w:hint="eastAsia"/>
                <w:sz w:val="28"/>
                <w:szCs w:val="28"/>
              </w:rPr>
              <w:t>～</w:t>
            </w:r>
            <w:r>
              <w:rPr>
                <w:rFonts w:ascii="仿宋_GB2312" w:hint="eastAsia"/>
                <w:sz w:val="28"/>
                <w:szCs w:val="28"/>
              </w:rPr>
              <w:t>200μs</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相位编码或其它等效方法</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双重频或其它等效方法</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IQ数据、数据丢包、参数输出等故障</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其它</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具有与信号带宽相匹配的数字下变频滤波处理和</w:t>
            </w:r>
            <w:r>
              <w:rPr>
                <w:rFonts w:ascii="仿宋_GB2312"/>
                <w:sz w:val="28"/>
                <w:szCs w:val="28"/>
              </w:rPr>
              <w:t>NLFM</w:t>
            </w:r>
            <w:r>
              <w:rPr>
                <w:rFonts w:ascii="仿宋_GB2312" w:hint="eastAsia"/>
                <w:sz w:val="28"/>
                <w:szCs w:val="28"/>
              </w:rPr>
              <w:t>信号的脉冲压缩运算能力</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信号处理算法</w:t>
      </w:r>
      <w:r>
        <w:rPr>
          <w:rFonts w:ascii="仿宋" w:eastAsia="仿宋" w:hAnsi="仿宋" w:cs="仿宋" w:hint="eastAsia"/>
          <w:sz w:val="28"/>
          <w:szCs w:val="28"/>
          <w:highlight w:val="yellow"/>
        </w:rPr>
        <w:t>#</w:t>
      </w:r>
    </w:p>
    <w:tbl>
      <w:tblPr>
        <w:tblStyle w:val="TableNormal"/>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4"/>
        <w:gridCol w:w="1870"/>
        <w:gridCol w:w="5912"/>
      </w:tblGrid>
      <w:tr>
        <w:tblPrEx>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序号</w:t>
            </w:r>
          </w:p>
        </w:tc>
        <w:tc>
          <w:tcPr>
            <w:tcW w:w="4552" w:type="pct"/>
            <w:gridSpan w:val="2"/>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算法名称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杂波抑制（采用先动态识别再进行自适应频域滤波的方法进行杂波过滤）</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3</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距离/速度退模糊</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双重频（DPRF）</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参差重频（SPRT）</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随机相位调制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系统相位编码</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批处理</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分层处理</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13</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参数估计</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常规估计（反射率因子、径向速度、速度谱宽、差分反射率、差分传播相移、相关系数）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频域估计（反射率因子、径向速度、速度谱宽、差分反射率、差分传播相移、相关系数）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多阶相关估计（反射率因子、径向速度、速度谱宽、差分反射率、差分传播相移、相关系数）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线性规划估计、最小二乘估计等多种方式（差分传播相移率）</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门限设置</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信号质量指数（SQI）</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天气信号强度指数（SIG）</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杂波订正指数（CCOR）</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杂信比（CSR）</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信噪比（LOG）</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int="eastAsia"/>
                <w:sz w:val="28"/>
                <w:szCs w:val="28"/>
              </w:rPr>
              <w:t>偏振</w:t>
            </w:r>
            <w:r>
              <w:rPr>
                <w:rFonts w:ascii="仿宋_GB2312" w:hAnsi="宋体" w:cs="宋体" w:hint="eastAsia"/>
                <w:kern w:val="0"/>
                <w:sz w:val="28"/>
                <w:szCs w:val="28"/>
              </w:rPr>
              <w:t>量信噪比（DPLOG）</w:t>
            </w:r>
          </w:p>
        </w:tc>
      </w:tr>
    </w:tbl>
    <w:p>
      <w:pPr>
        <w:jc w:val="center"/>
        <w:rPr>
          <w:rFonts w:ascii="仿宋_GB2312" w:eastAsia="仿宋_GB2312" w:hAnsi="仿宋_GB2312" w:cs="仿宋_GB2312"/>
          <w:sz w:val="28"/>
          <w:szCs w:val="28"/>
        </w:rPr>
      </w:pPr>
    </w:p>
    <w:p>
      <w:pPr>
        <w:jc w:val="center"/>
        <w:rPr>
          <w:rFonts w:eastAsia="方正小标宋简体"/>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w:t>
      </w:r>
    </w:p>
    <w:tbl>
      <w:tblPr>
        <w:tblStyle w:val="TableNormal"/>
        <w:tblW w:w="8505" w:type="dxa"/>
        <w:jc w:val="center"/>
        <w:tblCellMar>
          <w:top w:w="0" w:type="dxa"/>
          <w:left w:w="108" w:type="dxa"/>
          <w:bottom w:w="0" w:type="dxa"/>
          <w:right w:w="108" w:type="dxa"/>
        </w:tblCellMar>
      </w:tblPr>
      <w:tblGrid>
        <w:gridCol w:w="878"/>
        <w:gridCol w:w="1896"/>
        <w:gridCol w:w="5731"/>
      </w:tblGrid>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序号</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项目</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b/>
                <w:bCs/>
                <w:sz w:val="28"/>
                <w:szCs w:val="28"/>
              </w:rPr>
            </w:pPr>
            <w:r>
              <w:rPr>
                <w:rFonts w:ascii="仿宋_GB2312" w:hint="eastAsia"/>
                <w:b/>
                <w:bCs/>
                <w:sz w:val="28"/>
                <w:szCs w:val="28"/>
              </w:rPr>
              <w:t>性能指标</w:t>
            </w:r>
          </w:p>
        </w:tc>
      </w:tr>
      <w:tr>
        <w:tblPrEx>
          <w:tblW w:w="850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1</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CPU</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不少于8核16线程，频率不低于2.8GHz</w:t>
            </w:r>
          </w:p>
        </w:tc>
      </w:tr>
      <w:tr>
        <w:tblPrEx>
          <w:tblW w:w="850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2</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内存</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不低于16GB，不低于DDR4</w:t>
            </w:r>
          </w:p>
        </w:tc>
      </w:tr>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固态硬盘</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NVME协议，不低于4TB</w:t>
            </w:r>
          </w:p>
        </w:tc>
      </w:tr>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kern w:val="0"/>
                <w:sz w:val="28"/>
                <w:szCs w:val="28"/>
              </w:rPr>
              <w:t>4</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操作系统</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国产信创系统</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气象产品质控算法列表</w:t>
      </w:r>
      <w:r>
        <w:rPr>
          <w:rFonts w:ascii="仿宋" w:eastAsia="仿宋" w:hAnsi="仿宋" w:cs="仿宋" w:hint="eastAsia"/>
          <w:sz w:val="28"/>
          <w:szCs w:val="28"/>
          <w:highlight w:val="yellow"/>
        </w:rPr>
        <w:t>#</w:t>
      </w:r>
    </w:p>
    <w:tbl>
      <w:tblPr>
        <w:tblStyle w:val="TableNormal"/>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9"/>
        <w:gridCol w:w="3681"/>
        <w:gridCol w:w="4058"/>
      </w:tblGrid>
      <w:tr>
        <w:tblPrEx>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序号</w:t>
            </w:r>
          </w:p>
        </w:tc>
        <w:tc>
          <w:tcPr>
            <w:tcW w:w="3681" w:type="dxa"/>
            <w:noWrap/>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算法名称</w:t>
            </w:r>
          </w:p>
        </w:tc>
        <w:tc>
          <w:tcPr>
            <w:tcW w:w="4058"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指标要求</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1</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反射率因子衰减订正</w:t>
            </w:r>
          </w:p>
        </w:tc>
        <w:tc>
          <w:tcPr>
            <w:tcW w:w="4058" w:type="dxa"/>
            <w:vAlign w:val="center"/>
          </w:tcPr>
          <w:p>
            <w:pPr>
              <w:widowControl/>
              <w:spacing w:line="400" w:lineRule="exact"/>
              <w:jc w:val="left"/>
              <w:rPr>
                <w:rFonts w:ascii="仿宋_GB2312" w:hAnsi="仿宋" w:cs="宋体"/>
                <w:kern w:val="0"/>
                <w:sz w:val="28"/>
                <w:szCs w:val="28"/>
              </w:rPr>
            </w:pPr>
            <w:r>
              <w:rPr>
                <w:rFonts w:ascii="仿宋_GB2312" w:hAnsi="仿宋" w:cs="宋体" w:hint="eastAsia"/>
                <w:kern w:val="0"/>
                <w:sz w:val="28"/>
                <w:szCs w:val="28"/>
              </w:rPr>
              <w:t>衰减订正后，与相邻S波段雷达相比平均偏差≤3.0dB</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2</w:t>
            </w:r>
          </w:p>
        </w:tc>
        <w:tc>
          <w:tcPr>
            <w:tcW w:w="3681" w:type="dxa"/>
            <w:noWrap/>
            <w:vAlign w:val="center"/>
          </w:tcPr>
          <w:p>
            <w:pPr>
              <w:widowControl/>
              <w:spacing w:line="400" w:lineRule="exact"/>
              <w:jc w:val="center"/>
              <w:rPr>
                <w:rFonts w:ascii="仿宋_GB2312"/>
                <w:sz w:val="28"/>
                <w:szCs w:val="28"/>
              </w:rPr>
            </w:pPr>
            <w:r>
              <w:rPr>
                <w:rFonts w:ascii="仿宋_GB2312" w:hAnsi="仿宋" w:cs="宋体" w:hint="eastAsia"/>
                <w:kern w:val="0"/>
                <w:sz w:val="28"/>
                <w:szCs w:val="28"/>
              </w:rPr>
              <w:t>差分反射率衰减订正</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衰减订正后，与相邻S波段雷达相比平均偏差≤0.6dB</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3</w:t>
            </w:r>
          </w:p>
        </w:tc>
        <w:tc>
          <w:tcPr>
            <w:tcW w:w="3681" w:type="dxa"/>
            <w:noWrap/>
            <w:vAlign w:val="center"/>
          </w:tcPr>
          <w:p>
            <w:pPr>
              <w:widowControl/>
              <w:spacing w:line="400" w:lineRule="exact"/>
              <w:jc w:val="center"/>
              <w:rPr>
                <w:rFonts w:ascii="仿宋_GB2312"/>
                <w:sz w:val="28"/>
                <w:szCs w:val="28"/>
              </w:rPr>
            </w:pPr>
            <w:r>
              <w:rPr>
                <w:rFonts w:ascii="仿宋_GB2312" w:hint="eastAsia"/>
                <w:sz w:val="28"/>
                <w:szCs w:val="28"/>
              </w:rPr>
              <w:t>地物杂波消除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非降水回波识别准确率≥88%，且降水回波误判率≤5%</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4</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int="eastAsia"/>
                <w:sz w:val="28"/>
                <w:szCs w:val="28"/>
              </w:rPr>
              <w:t>径向干扰消除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径向干扰识别准确率≥90%，且降水回波误判率≤5%</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5</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晴空回波消除</w:t>
            </w:r>
          </w:p>
        </w:tc>
        <w:tc>
          <w:tcPr>
            <w:tcW w:w="4058" w:type="dxa"/>
            <w:vAlign w:val="center"/>
          </w:tcPr>
          <w:p>
            <w:pPr>
              <w:widowControl/>
              <w:spacing w:line="400" w:lineRule="exact"/>
              <w:jc w:val="left"/>
              <w:rPr>
                <w:rFonts w:ascii="仿宋_GB2312" w:hAnsi="仿宋" w:cs="宋体"/>
                <w:kern w:val="0"/>
                <w:sz w:val="28"/>
                <w:szCs w:val="28"/>
              </w:rPr>
            </w:pPr>
            <w:r>
              <w:rPr>
                <w:rFonts w:ascii="仿宋_GB2312" w:hint="eastAsia"/>
                <w:sz w:val="28"/>
                <w:szCs w:val="28"/>
              </w:rPr>
              <w:t>非降水回波识别准确率≥88%，且降水回波误判率≤5%</w:t>
            </w:r>
          </w:p>
        </w:tc>
      </w:tr>
    </w:tbl>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eastAsia="方正小标宋简体"/>
          <w:sz w:val="28"/>
          <w:szCs w:val="28"/>
        </w:rPr>
      </w:pPr>
      <w:r>
        <w:rPr>
          <w:rFonts w:eastAsia="方正小标宋简体" w:hint="eastAsia"/>
          <w:sz w:val="28"/>
          <w:szCs w:val="28"/>
          <w:highlight w:val="yellow"/>
        </w:rPr>
        <w:t>基本产品列表</w:t>
      </w:r>
      <w:r>
        <w:rPr>
          <w:rFonts w:ascii="仿宋" w:eastAsia="仿宋" w:hAnsi="仿宋" w:cs="仿宋" w:hint="eastAsia"/>
          <w:sz w:val="28"/>
          <w:szCs w:val="28"/>
          <w:highlight w:val="yellow"/>
        </w:rPr>
        <w:t>#</w:t>
      </w:r>
    </w:p>
    <w:tbl>
      <w:tblPr>
        <w:tblStyle w:val="TableNormal"/>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28"/>
        <w:gridCol w:w="2875"/>
        <w:gridCol w:w="1843"/>
      </w:tblGrid>
      <w:tr>
        <w:tblPrEx>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jc w:val="center"/>
        </w:trPr>
        <w:tc>
          <w:tcPr>
            <w:tcW w:w="2228" w:type="dxa"/>
            <w:vAlign w:val="center"/>
          </w:tcPr>
          <w:p>
            <w:pPr>
              <w:spacing w:line="400" w:lineRule="exact"/>
              <w:jc w:val="center"/>
              <w:rPr>
                <w:rFonts w:ascii="仿宋_GB2312" w:hAnsi="等线"/>
                <w:b/>
                <w:sz w:val="28"/>
                <w:szCs w:val="28"/>
              </w:rPr>
            </w:pPr>
            <w:r>
              <w:rPr>
                <w:rFonts w:ascii="仿宋_GB2312" w:hAnsi="等线" w:hint="eastAsia"/>
                <w:b/>
                <w:sz w:val="28"/>
                <w:szCs w:val="28"/>
              </w:rPr>
              <w:t>类别</w:t>
            </w:r>
          </w:p>
        </w:tc>
        <w:tc>
          <w:tcPr>
            <w:tcW w:w="2875" w:type="dxa"/>
            <w:vAlign w:val="center"/>
          </w:tcPr>
          <w:p>
            <w:pPr>
              <w:spacing w:line="400" w:lineRule="exact"/>
              <w:jc w:val="center"/>
              <w:rPr>
                <w:rFonts w:ascii="仿宋_GB2312" w:hAnsi="等线"/>
                <w:b/>
                <w:sz w:val="28"/>
                <w:szCs w:val="28"/>
              </w:rPr>
            </w:pPr>
            <w:r>
              <w:rPr>
                <w:rFonts w:ascii="仿宋_GB2312" w:hAnsi="等线" w:hint="eastAsia"/>
                <w:b/>
                <w:sz w:val="28"/>
                <w:szCs w:val="28"/>
              </w:rPr>
              <w:t>产品名称</w:t>
            </w:r>
          </w:p>
        </w:tc>
        <w:tc>
          <w:tcPr>
            <w:tcW w:w="1843" w:type="dxa"/>
            <w:vAlign w:val="center"/>
          </w:tcPr>
          <w:p>
            <w:pPr>
              <w:spacing w:line="400" w:lineRule="exact"/>
              <w:jc w:val="center"/>
              <w:rPr>
                <w:rFonts w:ascii="仿宋_GB2312" w:hAnsi="等线"/>
                <w:b/>
                <w:sz w:val="28"/>
                <w:szCs w:val="28"/>
              </w:rPr>
            </w:pPr>
            <w:r>
              <w:rPr>
                <w:rFonts w:ascii="仿宋_GB2312" w:hAnsi="等线" w:hint="eastAsia"/>
                <w:b/>
                <w:sz w:val="28"/>
                <w:szCs w:val="28"/>
              </w:rPr>
              <w:t>产品标识</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基础量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滤波前反射率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滤波后反射率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径向速度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V</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速度谱宽</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SW</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ZDR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PDP</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KDP</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相关系数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CC</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水平通道信噪比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SNRH</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垂直通道信噪比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SNRV</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物理量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组合反射率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垂直积分液态水</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VIL</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回波顶高</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ET</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反射率等高平面位置显示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CAP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速度方位显示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VAD</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速度方位显示风廓线</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VWP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1小时累积降水量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1</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N小时累积降水量</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NHP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风暴质心高度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RCH</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识别产品</w:t>
            </w:r>
          </w:p>
          <w:p>
            <w:pPr>
              <w:spacing w:line="400" w:lineRule="exact"/>
              <w:jc w:val="center"/>
              <w:rPr>
                <w:rFonts w:ascii="仿宋_GB2312" w:hAnsi="等线"/>
                <w:sz w:val="28"/>
                <w:szCs w:val="28"/>
              </w:rPr>
            </w:pPr>
            <w:r>
              <w:rPr>
                <w:rFonts w:ascii="仿宋_GB2312" w:hAnsi="等线" w:hint="eastAsia"/>
                <w:sz w:val="28"/>
                <w:szCs w:val="28"/>
              </w:rPr>
              <w:t>（6种）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冰雹指数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HI</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风暴追踪信息</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STI</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中气旋</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M</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水凝物分类</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HCL</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雷暴大风</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TD</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短时强降水</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HR</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产品终端要求#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1）用户端至少配置2台产品终端，负责产品制作及数据归档。</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2）应支持国产信创系统。</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3）产品终端数据处理能力应满足产品制作整体耗时小于雷达最短体扫用时，避免造成数据积压。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4）产品终端能存储不少于1年的基数据及3个月的雷达产品。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green"/>
        </w:rPr>
      </w:pPr>
      <w:r>
        <w:rPr>
          <w:rFonts w:ascii="仿宋" w:eastAsia="仿宋" w:hAnsi="仿宋" w:cs="仿宋" w:hint="eastAsia"/>
          <w:sz w:val="28"/>
          <w:szCs w:val="28"/>
          <w:highlight w:val="green"/>
        </w:rPr>
        <w:t>四、质保服务要求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4.1培训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在采购方指定地点，中标方对相关技术人员进行不低于2人*5天</w:t>
      </w:r>
      <w:r>
        <w:rPr>
          <w:rFonts w:ascii="仿宋" w:eastAsia="仿宋" w:hAnsi="仿宋" w:cs="仿宋" w:hint="eastAsia"/>
          <w:sz w:val="28"/>
          <w:szCs w:val="28"/>
          <w:lang w:eastAsia="zh-CN"/>
        </w:rPr>
        <w:t>（</w:t>
      </w:r>
      <w:r>
        <w:rPr>
          <w:rFonts w:ascii="仿宋" w:eastAsia="仿宋" w:hAnsi="仿宋" w:cs="仿宋" w:hint="eastAsia"/>
          <w:sz w:val="28"/>
          <w:szCs w:val="28"/>
          <w:lang w:val="en-US" w:eastAsia="zh-CN"/>
        </w:rPr>
        <w:t>40课时</w:t>
      </w:r>
      <w:r>
        <w:rPr>
          <w:rFonts w:ascii="仿宋" w:eastAsia="仿宋" w:hAnsi="仿宋" w:cs="仿宋" w:hint="eastAsia"/>
          <w:sz w:val="28"/>
          <w:szCs w:val="28"/>
          <w:lang w:eastAsia="zh-CN"/>
        </w:rPr>
        <w:t>）</w:t>
      </w:r>
      <w:r>
        <w:rPr>
          <w:rFonts w:ascii="仿宋" w:eastAsia="仿宋" w:hAnsi="仿宋" w:cs="仿宋" w:hint="eastAsia"/>
          <w:sz w:val="28"/>
          <w:szCs w:val="28"/>
        </w:rPr>
        <w:t>的雷达使用培训和机务培训，使相关人员能够熟练掌握雷达基本操作、维护维修方法等，培训至少应包括以下内容：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1）熟悉雷达系统工作原理；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7）具备雷达回波识别能力。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8）掌握仪器仪表使用方法。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highlight w:val="yellow"/>
        </w:rPr>
        <w:t>4.2质保期服务*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质保期服务提供相关承诺函。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highlight w:val="yellow"/>
        </w:rPr>
        <w:t>4.3 软件调试*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green"/>
        </w:rPr>
      </w:pPr>
      <w:r>
        <w:rPr>
          <w:rFonts w:ascii="仿宋" w:eastAsia="仿宋" w:hAnsi="仿宋" w:cs="仿宋" w:hint="eastAsia"/>
          <w:sz w:val="28"/>
          <w:szCs w:val="28"/>
          <w:highlight w:val="green"/>
        </w:rPr>
        <w:t>五、验收要求（检验考核要求等）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参照可行性研究报告、合同、《X波段双线偏振多普勒天气雷达测试大纲（第二版）》（气测函〔2025〕109号）、《气象监测预警补短板工程X波段天气雷达现场验收规定（试行）》等文件的要求开展检验考核。</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1"/>
        <w:gridCol w:w="1663"/>
        <w:gridCol w:w="1035"/>
        <w:gridCol w:w="1439"/>
        <w:gridCol w:w="1641"/>
        <w:gridCol w:w="1035"/>
        <w:gridCol w:w="1117"/>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10,620,000.00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含8年维保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10,620,000.00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30"/>
        <w:gridCol w:w="1669"/>
        <w:gridCol w:w="1133"/>
        <w:gridCol w:w="430"/>
        <w:gridCol w:w="981"/>
        <w:gridCol w:w="817"/>
        <w:gridCol w:w="981"/>
        <w:gridCol w:w="208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浏阳市局(001014025014)</w:t>
            </w:r>
          </w:p>
        </w:tc>
        <w:tc>
          <w:tcPr/>
          <w:p>
            <w:r>
              <w:t>X波段双线偏振多普勒天气雷达</w:t>
            </w:r>
          </w:p>
        </w:tc>
        <w:tc>
          <w:tcPr/>
          <w:p>
            <w:r>
              <w:t>1</w:t>
            </w:r>
          </w:p>
        </w:tc>
        <w:tc>
          <w:tcPr/>
          <w:p>
            <w:r>
              <w:t>3540000.00</w:t>
            </w:r>
          </w:p>
        </w:tc>
        <w:tc>
          <w:tcPr/>
          <w:p>
            <w:r>
              <w:t xml:space="preserve">3540000.00  </w:t>
            </w:r>
          </w:p>
        </w:tc>
        <w:tc>
          <w:tcPr/>
          <w:p>
            <w:r>
              <w:t>湖南省浏阳市</w:t>
            </w:r>
          </w:p>
        </w:tc>
        <w:tc>
          <w:tcPr/>
          <w:p>
            <w:r>
              <w:t>浏阳市气象局（联系人：罗欣威 13574185673））</w:t>
            </w:r>
          </w:p>
        </w:tc>
      </w:tr>
      <w:tr>
        <w:tblPrEx>
          <w:tblW w:w="5000" w:type="pct"/>
          <w:tblCellMar>
            <w:left w:w="108" w:type="dxa"/>
            <w:right w:w="108" w:type="dxa"/>
          </w:tblCellMar>
        </w:tblPrEx>
        <w:tc>
          <w:tcPr/>
          <w:p>
            <w:r>
              <w:t>2</w:t>
            </w:r>
          </w:p>
        </w:tc>
        <w:tc>
          <w:tcPr/>
          <w:p>
            <w:r>
              <w:t>资兴市局(001014034015)</w:t>
            </w:r>
          </w:p>
        </w:tc>
        <w:tc>
          <w:tcPr/>
          <w:p>
            <w:r>
              <w:t>X波段双线偏振多普勒天气雷达</w:t>
            </w:r>
          </w:p>
        </w:tc>
        <w:tc>
          <w:tcPr/>
          <w:p>
            <w:r>
              <w:t>1</w:t>
            </w:r>
          </w:p>
        </w:tc>
        <w:tc>
          <w:tcPr/>
          <w:p>
            <w:r>
              <w:t>3540000.00</w:t>
            </w:r>
          </w:p>
        </w:tc>
        <w:tc>
          <w:tcPr/>
          <w:p>
            <w:r>
              <w:t xml:space="preserve">3540000.00 </w:t>
            </w:r>
          </w:p>
        </w:tc>
        <w:tc>
          <w:tcPr/>
          <w:p>
            <w:r>
              <w:t>湖南省资兴市</w:t>
            </w:r>
          </w:p>
        </w:tc>
        <w:tc>
          <w:tcPr/>
          <w:p>
            <w:r>
              <w:t>资兴市气象局（联系人：秦克强 18975523316）</w:t>
            </w:r>
          </w:p>
        </w:tc>
      </w:tr>
      <w:tr>
        <w:tblPrEx>
          <w:tblW w:w="5000" w:type="pct"/>
          <w:tblCellMar>
            <w:left w:w="108" w:type="dxa"/>
            <w:right w:w="108" w:type="dxa"/>
          </w:tblCellMar>
        </w:tblPrEx>
        <w:tc>
          <w:tcPr/>
          <w:p>
            <w:r>
              <w:t>3</w:t>
            </w:r>
          </w:p>
        </w:tc>
        <w:tc>
          <w:tcPr/>
          <w:p>
            <w:r>
              <w:t>祁阳市局(001014035016)</w:t>
            </w:r>
          </w:p>
        </w:tc>
        <w:tc>
          <w:tcPr/>
          <w:p>
            <w:r>
              <w:t>X波段双线偏振多普勒天气雷达</w:t>
            </w:r>
          </w:p>
        </w:tc>
        <w:tc>
          <w:tcPr/>
          <w:p>
            <w:r>
              <w:t>1</w:t>
            </w:r>
          </w:p>
        </w:tc>
        <w:tc>
          <w:tcPr/>
          <w:p>
            <w:r>
              <w:t>3540000.00</w:t>
            </w:r>
          </w:p>
        </w:tc>
        <w:tc>
          <w:tcPr/>
          <w:p>
            <w:r>
              <w:t xml:space="preserve">3540000.00  </w:t>
            </w:r>
          </w:p>
        </w:tc>
        <w:tc>
          <w:tcPr/>
          <w:p>
            <w:r>
              <w:t>湖南省祁阳市</w:t>
            </w:r>
          </w:p>
        </w:tc>
        <w:tc>
          <w:tcPr/>
          <w:p>
            <w:r>
              <w:t>祁阳市气象局（联系人：蒋雅婷 18797698910））</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Times New Roman" w:eastAsia="仿宋_GB2312" w:hAnsi="Times New Roman" w:cs="Times New Roman" w:hint="default"/>
          <w:b/>
          <w:sz w:val="28"/>
          <w:szCs w:val="20"/>
        </w:rPr>
      </w:pPr>
      <w:r>
        <w:rPr>
          <w:rFonts w:ascii="Times New Roman" w:eastAsia="仿宋_GB2312" w:hAnsi="Times New Roman" w:cs="Times New Roman" w:hint="default"/>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Times New Roman" w:eastAsia="仿宋_GB2312" w:hAnsi="Times New Roman" w:cs="Times New Roman" w:hint="default"/>
          <w:b/>
          <w:sz w:val="36"/>
          <w:szCs w:val="36"/>
        </w:rPr>
        <w:instrText>ADDIN CNKISM.UserStyle</w:instrText>
      </w:r>
      <w:r>
        <w:rPr>
          <w:rFonts w:ascii="Times New Roman" w:eastAsia="仿宋_GB2312" w:hAnsi="Times New Roman" w:cs="Times New Roman" w:hint="default"/>
          <w:b/>
          <w:sz w:val="36"/>
          <w:szCs w:val="36"/>
        </w:rPr>
        <w:fldChar w:fldCharType="separate"/>
      </w:r>
      <w:r>
        <w:rPr>
          <w:rFonts w:ascii="Times New Roman" w:eastAsia="仿宋_GB2312" w:hAnsi="Times New Roman" w:cs="Times New Roman" w:hint="default"/>
          <w:b/>
          <w:sz w:val="36"/>
          <w:szCs w:val="36"/>
        </w:rPr>
        <w:fldChar w:fldCharType="end"/>
      </w:r>
      <w:r>
        <w:rPr>
          <w:rFonts w:ascii="Times New Roman" w:eastAsia="仿宋_GB2312" w:hAnsi="Times New Roman" w:cs="Times New Roman" w:hint="default"/>
          <w:b/>
          <w:sz w:val="36"/>
          <w:szCs w:val="36"/>
        </w:rPr>
        <w:t>采购需求（其他技术及商务需求）</w:t>
      </w:r>
    </w:p>
    <w:p>
      <w:pPr>
        <w:spacing w:line="560" w:lineRule="exact"/>
        <w:ind w:firstLine="560" w:firstLineChars="200"/>
        <w:rPr>
          <w:rFonts w:ascii="Times New Roman" w:eastAsia="仿宋_GB2312" w:hAnsi="Times New Roman" w:cs="Times New Roman" w:hint="default"/>
          <w:b/>
          <w:bCs/>
          <w:sz w:val="28"/>
          <w:szCs w:val="20"/>
        </w:rPr>
      </w:pPr>
      <w:r>
        <w:rPr>
          <w:rFonts w:ascii="Times New Roman" w:eastAsia="仿宋_GB2312" w:hAnsi="Times New Roman" w:cs="Times New Roman" w:hint="default"/>
          <w:b/>
          <w:bCs/>
          <w:sz w:val="28"/>
          <w:szCs w:val="20"/>
        </w:rPr>
        <w:t>一、项目概况及总体要求</w:t>
      </w:r>
    </w:p>
    <w:p>
      <w:pPr>
        <w:numPr>
          <w:ilvl w:val="0"/>
          <w:numId w:val="0"/>
        </w:numPr>
        <w:ind w:firstLine="560"/>
        <w:jc w:val="left"/>
        <w:rPr>
          <w:rFonts w:ascii="Times New Roman" w:eastAsia="仿宋_GB2312" w:hAnsi="Times New Roman" w:cs="Times New Roman" w:hint="default"/>
          <w:b/>
          <w:bCs/>
          <w:sz w:val="28"/>
          <w:szCs w:val="20"/>
        </w:rPr>
      </w:pPr>
      <w:r>
        <w:rPr>
          <w:rFonts w:ascii="Times New Roman" w:eastAsia="仿宋_GB2312" w:hAnsi="Times New Roman" w:cs="Times New Roman" w:hint="default"/>
          <w:b w:val="0"/>
          <w:bCs w:val="0"/>
          <w:sz w:val="28"/>
          <w:szCs w:val="20"/>
        </w:rPr>
        <w:t>本项目在湖南</w:t>
      </w:r>
      <w:r>
        <w:rPr>
          <w:rFonts w:ascii="Times New Roman" w:eastAsia="仿宋_GB2312" w:hAnsi="Times New Roman" w:cs="Times New Roman" w:hint="eastAsia"/>
          <w:b w:val="0"/>
          <w:bCs w:val="0"/>
          <w:sz w:val="28"/>
          <w:szCs w:val="20"/>
          <w:lang w:val="en-US" w:eastAsia="zh-CN"/>
        </w:rPr>
        <w:t>省郴州市、浏阳市、资兴市建设3部X波段全固态双偏振天气雷达</w:t>
      </w:r>
      <w:r>
        <w:rPr>
          <w:rFonts w:ascii="Times New Roman" w:eastAsia="仿宋_GB2312" w:hAnsi="Times New Roman" w:cs="Times New Roman" w:hint="default"/>
          <w:b w:val="0"/>
          <w:bCs w:val="0"/>
          <w:sz w:val="28"/>
          <w:szCs w:val="20"/>
        </w:rPr>
        <w:t>。该项目建成后可优化完善综合立体观测站网，发展先进观测技术装备，提高对冰雹、雷暴大风、暴雨、高温干旱、大风等灾害性天气的精密监测能力</w:t>
      </w:r>
      <w:r>
        <w:rPr>
          <w:rFonts w:ascii="Times New Roman" w:eastAsia="仿宋_GB2312" w:hAnsi="Times New Roman" w:cs="Times New Roman" w:hint="eastAsia"/>
          <w:b w:val="0"/>
          <w:bCs w:val="0"/>
          <w:sz w:val="28"/>
          <w:szCs w:val="20"/>
          <w:lang w:eastAsia="zh-CN"/>
        </w:rPr>
        <w:t>。</w:t>
      </w:r>
      <w:r>
        <w:rPr>
          <w:rFonts w:ascii="Times New Roman" w:eastAsia="仿宋_GB2312" w:hAnsi="Times New Roman" w:cs="Times New Roman" w:hint="default"/>
          <w:b w:val="0"/>
          <w:bCs w:val="0"/>
          <w:sz w:val="28"/>
          <w:szCs w:val="20"/>
        </w:rPr>
        <w:t>可有效填补中小河流山洪地质灾害易发区观测盲区，增强灾害易发区中小尺度强对流天气精准预报能力；可满足重点地区对气象服务的多样化、个性化、精细化需求，全面提升新阶段生态保护和防灾减灾精细服务能力。</w:t>
      </w:r>
    </w:p>
    <w:p>
      <w:pPr>
        <w:numPr>
          <w:ilvl w:val="0"/>
          <w:numId w:val="0"/>
        </w:numPr>
        <w:ind w:firstLine="560"/>
        <w:jc w:val="center"/>
        <w:rPr>
          <w:rFonts w:ascii="Times New Roman" w:eastAsia="仿宋_GB2312" w:hAnsi="Times New Roman" w:cs="Times New Roman" w:hint="default"/>
          <w:b/>
          <w:bCs/>
          <w:sz w:val="28"/>
          <w:szCs w:val="20"/>
        </w:rPr>
      </w:pPr>
      <w:r>
        <w:rPr>
          <w:rFonts w:ascii="Times New Roman" w:eastAsia="仿宋_GB2312" w:hAnsi="Times New Roman" w:cs="Times New Roman" w:hint="default"/>
          <w:b/>
          <w:bCs/>
          <w:sz w:val="28"/>
          <w:szCs w:val="20"/>
        </w:rPr>
        <w:t>采购</w:t>
      </w:r>
      <w:r>
        <w:rPr>
          <w:rFonts w:ascii="Times New Roman" w:eastAsia="仿宋_GB2312" w:hAnsi="Times New Roman" w:cs="Times New Roman" w:hint="default"/>
          <w:b/>
          <w:bCs/>
          <w:sz w:val="28"/>
          <w:szCs w:val="20"/>
          <w:lang w:val="en-US" w:eastAsia="zh-CN"/>
        </w:rPr>
        <w:t>需求</w:t>
      </w:r>
      <w:r>
        <w:rPr>
          <w:rFonts w:ascii="Times New Roman" w:eastAsia="仿宋_GB2312" w:hAnsi="Times New Roman" w:cs="Times New Roman" w:hint="default"/>
          <w:b/>
          <w:bCs/>
          <w:sz w:val="28"/>
          <w:szCs w:val="20"/>
        </w:rPr>
        <w:t>信息表</w:t>
      </w:r>
    </w:p>
    <w:tbl>
      <w:tblPr>
        <w:tblStyle w:val="TableNormal"/>
        <w:tblW w:w="51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79"/>
        <w:gridCol w:w="2277"/>
        <w:gridCol w:w="2286"/>
        <w:gridCol w:w="1007"/>
        <w:gridCol w:w="1337"/>
        <w:gridCol w:w="1364"/>
      </w:tblGrid>
      <w:tr>
        <w:tblPrEx>
          <w:tblW w:w="51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17"/>
          <w:tblHeader/>
          <w:jc w:val="center"/>
        </w:trPr>
        <w:tc>
          <w:tcPr>
            <w:tcW w:w="529" w:type="pct"/>
            <w:shd w:val="clear" w:color="auto" w:fill="FFFFFF"/>
            <w:noWrap w:val="0"/>
            <w:vAlign w:val="center"/>
          </w:tcPr>
          <w:p>
            <w:pPr>
              <w:widowControl/>
              <w:spacing w:line="240" w:lineRule="exact"/>
              <w:jc w:val="center"/>
              <w:rPr>
                <w:rFonts w:ascii="Times New Roman" w:eastAsia="宋体" w:hAnsi="Times New Roman" w:cs="Times New Roman" w:hint="default"/>
                <w:b/>
                <w:bCs/>
                <w:color w:val="000000"/>
                <w:kern w:val="0"/>
              </w:rPr>
            </w:pPr>
            <w:r>
              <w:rPr>
                <w:rFonts w:ascii="Times New Roman" w:eastAsia="宋体" w:hAnsi="Times New Roman" w:cs="Times New Roman" w:hint="eastAsia"/>
                <w:b/>
                <w:bCs/>
                <w:color w:val="000000"/>
                <w:kern w:val="0"/>
                <w:sz w:val="21"/>
                <w:szCs w:val="24"/>
                <w:lang w:val="en-US" w:eastAsia="zh-CN"/>
              </w:rPr>
              <w:t>省份</w:t>
            </w:r>
          </w:p>
        </w:tc>
        <w:tc>
          <w:tcPr>
            <w:tcW w:w="1230" w:type="pct"/>
            <w:shd w:val="clear" w:color="auto" w:fill="FFFFFF"/>
            <w:noWrap w:val="0"/>
            <w:vAlign w:val="center"/>
          </w:tcPr>
          <w:p>
            <w:pPr>
              <w:widowControl/>
              <w:spacing w:line="240" w:lineRule="exact"/>
              <w:jc w:val="center"/>
              <w:rPr>
                <w:rFonts w:ascii="Times New Roman" w:eastAsia="宋体" w:hAnsi="Times New Roman" w:cs="Times New Roman" w:hint="eastAsia"/>
                <w:bCs/>
                <w:color w:val="000000"/>
                <w:kern w:val="0"/>
              </w:rPr>
            </w:pPr>
            <w:r>
              <w:rPr>
                <w:rFonts w:ascii="Times New Roman" w:eastAsia="宋体" w:hAnsi="Times New Roman" w:cs="Times New Roman" w:hint="default"/>
                <w:b/>
                <w:bCs/>
                <w:color w:val="000000"/>
                <w:kern w:val="0"/>
                <w:sz w:val="21"/>
                <w:szCs w:val="24"/>
              </w:rPr>
              <w:t>采购</w:t>
            </w:r>
            <w:r>
              <w:rPr>
                <w:rFonts w:ascii="Times New Roman" w:eastAsia="宋体" w:hAnsi="Times New Roman" w:cs="Times New Roman" w:hint="eastAsia"/>
                <w:b/>
                <w:bCs/>
                <w:color w:val="000000"/>
                <w:kern w:val="0"/>
                <w:sz w:val="21"/>
                <w:szCs w:val="24"/>
                <w:lang w:val="en-US" w:eastAsia="zh-CN"/>
              </w:rPr>
              <w:t>单位</w:t>
            </w:r>
          </w:p>
        </w:tc>
        <w:tc>
          <w:tcPr>
            <w:tcW w:w="1235" w:type="pct"/>
            <w:shd w:val="clear" w:color="auto" w:fill="FFFFFF"/>
            <w:noWrap w:val="0"/>
            <w:vAlign w:val="center"/>
          </w:tcPr>
          <w:p>
            <w:pPr>
              <w:widowControl/>
              <w:spacing w:line="240" w:lineRule="exact"/>
              <w:jc w:val="center"/>
              <w:rPr>
                <w:rFonts w:ascii="Times New Roman" w:eastAsia="宋体" w:hAnsi="Times New Roman" w:cs="Times New Roman" w:hint="default"/>
                <w:b/>
                <w:bCs/>
                <w:color w:val="000000"/>
                <w:kern w:val="0"/>
              </w:rPr>
            </w:pPr>
            <w:r>
              <w:rPr>
                <w:rFonts w:ascii="Times New Roman" w:eastAsia="宋体" w:hAnsi="Times New Roman" w:cs="Times New Roman" w:hint="default"/>
                <w:b/>
                <w:bCs/>
                <w:color w:val="000000"/>
                <w:kern w:val="0"/>
                <w:sz w:val="21"/>
                <w:szCs w:val="24"/>
              </w:rPr>
              <w:t>设备名称</w:t>
            </w:r>
          </w:p>
        </w:tc>
        <w:tc>
          <w:tcPr>
            <w:tcW w:w="544" w:type="pct"/>
            <w:shd w:val="clear" w:color="auto" w:fill="FFFFFF"/>
            <w:noWrap w:val="0"/>
            <w:vAlign w:val="center"/>
          </w:tcPr>
          <w:p>
            <w:pPr>
              <w:widowControl/>
              <w:spacing w:line="240" w:lineRule="exact"/>
              <w:jc w:val="center"/>
              <w:rPr>
                <w:rFonts w:ascii="Times New Roman" w:eastAsia="宋体" w:hAnsi="Times New Roman" w:cs="Times New Roman" w:hint="default"/>
                <w:b/>
                <w:bCs/>
                <w:color w:val="000000"/>
                <w:kern w:val="0"/>
              </w:rPr>
            </w:pPr>
            <w:r>
              <w:rPr>
                <w:rFonts w:ascii="Times New Roman" w:eastAsia="宋体" w:hAnsi="Times New Roman" w:cs="Times New Roman" w:hint="default"/>
                <w:b/>
                <w:bCs/>
                <w:color w:val="000000"/>
                <w:kern w:val="0"/>
                <w:sz w:val="21"/>
                <w:szCs w:val="24"/>
              </w:rPr>
              <w:t>采购</w:t>
            </w:r>
          </w:p>
          <w:p>
            <w:pPr>
              <w:widowControl/>
              <w:spacing w:line="240" w:lineRule="exact"/>
              <w:jc w:val="center"/>
              <w:rPr>
                <w:rFonts w:ascii="Times New Roman" w:eastAsia="宋体" w:hAnsi="Times New Roman" w:cs="Times New Roman" w:hint="default"/>
                <w:b/>
                <w:bCs/>
                <w:color w:val="000000"/>
                <w:kern w:val="0"/>
              </w:rPr>
            </w:pPr>
            <w:r>
              <w:rPr>
                <w:rFonts w:ascii="Times New Roman" w:eastAsia="宋体" w:hAnsi="Times New Roman" w:cs="Times New Roman" w:hint="default"/>
                <w:b/>
                <w:bCs/>
                <w:color w:val="000000"/>
                <w:kern w:val="0"/>
                <w:sz w:val="21"/>
                <w:szCs w:val="24"/>
              </w:rPr>
              <w:t>数量</w:t>
            </w:r>
          </w:p>
          <w:p>
            <w:pPr>
              <w:widowControl/>
              <w:spacing w:line="240" w:lineRule="exact"/>
              <w:jc w:val="center"/>
              <w:rPr>
                <w:rFonts w:ascii="Times New Roman" w:eastAsia="宋体" w:hAnsi="Times New Roman" w:cs="Times New Roman" w:hint="default"/>
                <w:b/>
                <w:bCs/>
                <w:color w:val="000000"/>
                <w:kern w:val="0"/>
              </w:rPr>
            </w:pPr>
            <w:r>
              <w:rPr>
                <w:rFonts w:ascii="Times New Roman" w:eastAsia="宋体" w:hAnsi="Times New Roman" w:cs="Times New Roman" w:hint="default"/>
                <w:b/>
                <w:bCs/>
                <w:color w:val="000000"/>
                <w:kern w:val="0"/>
                <w:sz w:val="21"/>
                <w:szCs w:val="24"/>
              </w:rPr>
              <w:t>（套）</w:t>
            </w:r>
          </w:p>
        </w:tc>
        <w:tc>
          <w:tcPr>
            <w:tcW w:w="722" w:type="pct"/>
            <w:shd w:val="clear" w:color="auto" w:fill="FFFFFF"/>
            <w:noWrap w:val="0"/>
            <w:vAlign w:val="center"/>
          </w:tcPr>
          <w:p>
            <w:pPr>
              <w:widowControl/>
              <w:spacing w:line="240" w:lineRule="exact"/>
              <w:jc w:val="center"/>
              <w:rPr>
                <w:rFonts w:ascii="Times New Roman" w:eastAsia="宋体" w:hAnsi="Times New Roman" w:cs="Times New Roman" w:hint="default"/>
                <w:b/>
                <w:bCs/>
                <w:color w:val="000000"/>
                <w:kern w:val="0"/>
              </w:rPr>
            </w:pPr>
            <w:r>
              <w:rPr>
                <w:rFonts w:ascii="Times New Roman" w:eastAsia="宋体" w:hAnsi="Times New Roman" w:cs="Times New Roman" w:hint="default"/>
                <w:b/>
                <w:bCs/>
                <w:color w:val="000000"/>
                <w:kern w:val="0"/>
                <w:sz w:val="21"/>
                <w:szCs w:val="24"/>
              </w:rPr>
              <w:t>采购预算</w:t>
            </w:r>
          </w:p>
          <w:p>
            <w:pPr>
              <w:widowControl/>
              <w:spacing w:line="240" w:lineRule="exact"/>
              <w:jc w:val="center"/>
              <w:rPr>
                <w:rFonts w:ascii="Times New Roman" w:eastAsia="宋体" w:hAnsi="Times New Roman" w:cs="Times New Roman" w:hint="default"/>
                <w:b/>
                <w:bCs/>
                <w:color w:val="000000"/>
                <w:kern w:val="0"/>
              </w:rPr>
            </w:pPr>
            <w:r>
              <w:rPr>
                <w:rFonts w:ascii="Times New Roman" w:eastAsia="宋体" w:hAnsi="Times New Roman" w:cs="Times New Roman" w:hint="default"/>
                <w:b/>
                <w:bCs/>
                <w:color w:val="000000"/>
                <w:kern w:val="0"/>
                <w:sz w:val="21"/>
                <w:szCs w:val="24"/>
              </w:rPr>
              <w:t>（万元）</w:t>
            </w:r>
          </w:p>
        </w:tc>
        <w:tc>
          <w:tcPr>
            <w:tcW w:w="737" w:type="pct"/>
            <w:shd w:val="clear" w:color="auto" w:fill="FFFFFF"/>
            <w:noWrap w:val="0"/>
            <w:vAlign w:val="center"/>
          </w:tcPr>
          <w:p>
            <w:pPr>
              <w:widowControl/>
              <w:spacing w:line="240" w:lineRule="exact"/>
              <w:jc w:val="center"/>
              <w:rPr>
                <w:rFonts w:ascii="Times New Roman" w:eastAsia="宋体" w:hAnsi="Times New Roman" w:cs="Times New Roman" w:hint="default"/>
                <w:b/>
                <w:bCs/>
                <w:color w:val="000000"/>
                <w:kern w:val="0"/>
              </w:rPr>
            </w:pPr>
            <w:r>
              <w:rPr>
                <w:rFonts w:ascii="Times New Roman" w:eastAsia="宋体" w:hAnsi="Times New Roman" w:cs="Times New Roman" w:hint="default"/>
                <w:b/>
                <w:bCs/>
                <w:color w:val="000000"/>
                <w:kern w:val="0"/>
                <w:sz w:val="21"/>
                <w:szCs w:val="24"/>
                <w:lang w:val="en-US" w:eastAsia="zh-CN"/>
              </w:rPr>
              <w:t>备注</w:t>
            </w:r>
          </w:p>
        </w:tc>
      </w:tr>
      <w:tr>
        <w:tblPrEx>
          <w:tblW w:w="5137" w:type="pct"/>
          <w:jc w:val="center"/>
          <w:tblLayout w:type="fixed"/>
          <w:tblCellMar>
            <w:top w:w="0" w:type="dxa"/>
            <w:left w:w="108" w:type="dxa"/>
            <w:bottom w:w="0" w:type="dxa"/>
            <w:right w:w="108" w:type="dxa"/>
          </w:tblCellMar>
        </w:tblPrEx>
        <w:trPr>
          <w:trHeight w:val="717"/>
          <w:jc w:val="center"/>
        </w:trPr>
        <w:tc>
          <w:tcPr>
            <w:tcW w:w="529" w:type="pct"/>
            <w:vMerge w:val="restar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eastAsia"/>
                <w:b w:val="0"/>
                <w:bCs w:val="0"/>
                <w:color w:val="000000"/>
                <w:kern w:val="0"/>
                <w:sz w:val="21"/>
                <w:szCs w:val="24"/>
                <w:lang w:val="en-US" w:eastAsia="zh-CN"/>
              </w:rPr>
              <w:t>湖南</w:t>
            </w:r>
          </w:p>
        </w:tc>
        <w:tc>
          <w:tcPr>
            <w:tcW w:w="1230"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eastAsia"/>
                <w:b w:val="0"/>
                <w:bCs w:val="0"/>
                <w:color w:val="000000"/>
                <w:kern w:val="0"/>
                <w:sz w:val="21"/>
                <w:szCs w:val="24"/>
                <w:lang w:val="en-US" w:eastAsia="zh-CN"/>
              </w:rPr>
              <w:t>浏阳市气象局</w:t>
            </w:r>
          </w:p>
        </w:tc>
        <w:tc>
          <w:tcPr>
            <w:tcW w:w="1235"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Helvetica" w:hAnsi="Times New Roman" w:cs="Times New Roman" w:hint="default"/>
                <w:i w:val="0"/>
                <w:iCs w:val="0"/>
                <w:caps w:val="0"/>
                <w:color w:val="333333"/>
                <w:spacing w:val="0"/>
                <w:sz w:val="21"/>
                <w:szCs w:val="21"/>
                <w:shd w:val="clear" w:color="auto" w:fill="FFFFFF"/>
              </w:rPr>
              <w:t>X波段双线偏振多普勒天气雷达</w:t>
            </w:r>
            <w:r>
              <w:rPr>
                <w:rFonts w:ascii="Times New Roman" w:eastAsia="宋体" w:hAnsi="Times New Roman" w:cs="Times New Roman" w:hint="default"/>
                <w:i w:val="0"/>
                <w:iCs w:val="0"/>
                <w:caps w:val="0"/>
                <w:color w:val="333333"/>
                <w:spacing w:val="0"/>
                <w:sz w:val="21"/>
                <w:szCs w:val="21"/>
                <w:shd w:val="clear" w:color="auto" w:fill="FFFFFF"/>
                <w:lang w:val="en-US" w:eastAsia="zh-CN"/>
              </w:rPr>
              <w:t>(天气雷达系统主机）</w:t>
            </w:r>
          </w:p>
        </w:tc>
        <w:tc>
          <w:tcPr>
            <w:tcW w:w="544"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eastAsia"/>
                <w:b w:val="0"/>
                <w:bCs w:val="0"/>
                <w:color w:val="000000"/>
                <w:kern w:val="0"/>
                <w:sz w:val="21"/>
                <w:szCs w:val="24"/>
                <w:lang w:val="en-US" w:eastAsia="zh-CN"/>
              </w:rPr>
              <w:t>1</w:t>
            </w:r>
          </w:p>
        </w:tc>
        <w:tc>
          <w:tcPr>
            <w:tcW w:w="722"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eastAsia"/>
                <w:b w:val="0"/>
                <w:bCs w:val="0"/>
                <w:color w:val="000000"/>
                <w:kern w:val="0"/>
                <w:sz w:val="21"/>
                <w:szCs w:val="24"/>
                <w:lang w:val="en-US" w:eastAsia="zh-CN"/>
              </w:rPr>
              <w:t>354</w:t>
            </w:r>
            <w:r>
              <w:rPr>
                <w:rFonts w:ascii="Times New Roman" w:eastAsia="宋体" w:hAnsi="Times New Roman" w:cs="Times New Roman" w:hint="default"/>
                <w:b w:val="0"/>
                <w:bCs w:val="0"/>
                <w:color w:val="000000"/>
                <w:kern w:val="0"/>
                <w:sz w:val="21"/>
                <w:szCs w:val="24"/>
                <w:lang w:val="en-US" w:eastAsia="zh-CN"/>
              </w:rPr>
              <w:t>.0</w:t>
            </w:r>
          </w:p>
        </w:tc>
        <w:tc>
          <w:tcPr>
            <w:tcW w:w="737"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default"/>
                <w:b w:val="0"/>
                <w:bCs w:val="0"/>
                <w:color w:val="000000"/>
                <w:kern w:val="0"/>
                <w:sz w:val="21"/>
                <w:szCs w:val="24"/>
                <w:lang w:val="en-US" w:eastAsia="zh-CN"/>
              </w:rPr>
              <w:t>含8年维保</w:t>
            </w:r>
          </w:p>
        </w:tc>
      </w:tr>
      <w:tr>
        <w:tblPrEx>
          <w:tblW w:w="5137" w:type="pct"/>
          <w:jc w:val="center"/>
          <w:tblLayout w:type="fixed"/>
          <w:tblCellMar>
            <w:top w:w="0" w:type="dxa"/>
            <w:left w:w="108" w:type="dxa"/>
            <w:bottom w:w="0" w:type="dxa"/>
            <w:right w:w="108" w:type="dxa"/>
          </w:tblCellMar>
        </w:tblPrEx>
        <w:trPr>
          <w:trHeight w:val="717"/>
          <w:jc w:val="center"/>
        </w:trPr>
        <w:tc>
          <w:tcPr>
            <w:tcW w:w="529" w:type="pct"/>
            <w:vMerge/>
            <w:shd w:val="clear" w:color="auto" w:fill="FFFFFF"/>
            <w:noWrap w:val="0"/>
            <w:vAlign w:val="center"/>
          </w:tcPr>
          <w:p>
            <w:pPr>
              <w:widowControl/>
              <w:spacing w:line="240" w:lineRule="exact"/>
              <w:jc w:val="center"/>
              <w:rPr>
                <w:rFonts w:ascii="Times New Roman" w:eastAsia="宋体" w:hAnsi="Times New Roman" w:cs="Times New Roman" w:hint="eastAsia"/>
                <w:b w:val="0"/>
                <w:bCs w:val="0"/>
                <w:color w:val="000000"/>
                <w:kern w:val="0"/>
              </w:rPr>
            </w:pPr>
          </w:p>
        </w:tc>
        <w:tc>
          <w:tcPr>
            <w:tcW w:w="1230" w:type="pct"/>
            <w:shd w:val="clear" w:color="auto" w:fill="FFFFFF"/>
            <w:noWrap w:val="0"/>
            <w:vAlign w:val="center"/>
          </w:tcPr>
          <w:p>
            <w:pPr>
              <w:widowControl/>
              <w:spacing w:line="240" w:lineRule="exact"/>
              <w:jc w:val="center"/>
              <w:rPr>
                <w:rFonts w:ascii="Times New Roman" w:eastAsia="宋体" w:hAnsi="Times New Roman" w:cs="Times New Roman" w:hint="eastAsia"/>
                <w:b w:val="0"/>
                <w:bCs w:val="0"/>
                <w:color w:val="000000"/>
                <w:kern w:val="0"/>
              </w:rPr>
            </w:pPr>
            <w:r>
              <w:rPr>
                <w:rFonts w:ascii="Times New Roman" w:eastAsia="宋体" w:hAnsi="Times New Roman" w:cs="Times New Roman" w:hint="eastAsia"/>
                <w:b w:val="0"/>
                <w:bCs w:val="0"/>
                <w:color w:val="000000"/>
                <w:kern w:val="0"/>
                <w:sz w:val="21"/>
                <w:szCs w:val="24"/>
                <w:lang w:val="en-US" w:eastAsia="zh-CN"/>
              </w:rPr>
              <w:t>资兴市气象局</w:t>
            </w:r>
          </w:p>
        </w:tc>
        <w:tc>
          <w:tcPr>
            <w:tcW w:w="1235"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Helvetica" w:hAnsi="Times New Roman" w:cs="Times New Roman" w:hint="default"/>
                <w:i w:val="0"/>
                <w:iCs w:val="0"/>
                <w:caps w:val="0"/>
                <w:color w:val="333333"/>
                <w:spacing w:val="0"/>
                <w:sz w:val="21"/>
                <w:szCs w:val="21"/>
                <w:shd w:val="clear" w:color="auto" w:fill="FFFFFF"/>
              </w:rPr>
              <w:t>X波段双线偏振多普勒天气雷达</w:t>
            </w:r>
            <w:r>
              <w:rPr>
                <w:rFonts w:ascii="Times New Roman" w:eastAsia="宋体" w:hAnsi="Times New Roman" w:cs="Times New Roman" w:hint="default"/>
                <w:i w:val="0"/>
                <w:iCs w:val="0"/>
                <w:caps w:val="0"/>
                <w:color w:val="333333"/>
                <w:spacing w:val="0"/>
                <w:sz w:val="21"/>
                <w:szCs w:val="21"/>
                <w:shd w:val="clear" w:color="auto" w:fill="FFFFFF"/>
                <w:lang w:val="en-US" w:eastAsia="zh-CN"/>
              </w:rPr>
              <w:t>(天气雷达系统主机）</w:t>
            </w:r>
          </w:p>
        </w:tc>
        <w:tc>
          <w:tcPr>
            <w:tcW w:w="544"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eastAsia"/>
                <w:b w:val="0"/>
                <w:bCs w:val="0"/>
                <w:color w:val="000000"/>
                <w:kern w:val="0"/>
                <w:sz w:val="21"/>
                <w:szCs w:val="24"/>
                <w:lang w:val="en-US" w:eastAsia="zh-CN"/>
              </w:rPr>
              <w:t>1</w:t>
            </w:r>
          </w:p>
        </w:tc>
        <w:tc>
          <w:tcPr>
            <w:tcW w:w="722"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eastAsia"/>
                <w:b w:val="0"/>
                <w:bCs w:val="0"/>
                <w:color w:val="000000"/>
                <w:kern w:val="0"/>
                <w:sz w:val="21"/>
                <w:szCs w:val="24"/>
                <w:lang w:val="en-US" w:eastAsia="zh-CN"/>
              </w:rPr>
              <w:t>354</w:t>
            </w:r>
            <w:r>
              <w:rPr>
                <w:rFonts w:ascii="Times New Roman" w:eastAsia="宋体" w:hAnsi="Times New Roman" w:cs="Times New Roman" w:hint="default"/>
                <w:b w:val="0"/>
                <w:bCs w:val="0"/>
                <w:color w:val="000000"/>
                <w:kern w:val="0"/>
                <w:sz w:val="21"/>
                <w:szCs w:val="24"/>
                <w:lang w:val="en-US" w:eastAsia="zh-CN"/>
              </w:rPr>
              <w:t>.0</w:t>
            </w:r>
          </w:p>
        </w:tc>
        <w:tc>
          <w:tcPr>
            <w:tcW w:w="737"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default"/>
                <w:b w:val="0"/>
                <w:bCs w:val="0"/>
                <w:color w:val="000000"/>
                <w:kern w:val="0"/>
                <w:sz w:val="21"/>
                <w:szCs w:val="24"/>
                <w:lang w:val="en-US" w:eastAsia="zh-CN"/>
              </w:rPr>
              <w:t>含8年维保</w:t>
            </w:r>
          </w:p>
        </w:tc>
      </w:tr>
      <w:tr>
        <w:tblPrEx>
          <w:tblW w:w="5137" w:type="pct"/>
          <w:jc w:val="center"/>
          <w:tblLayout w:type="fixed"/>
          <w:tblCellMar>
            <w:top w:w="0" w:type="dxa"/>
            <w:left w:w="108" w:type="dxa"/>
            <w:bottom w:w="0" w:type="dxa"/>
            <w:right w:w="108" w:type="dxa"/>
          </w:tblCellMar>
        </w:tblPrEx>
        <w:trPr>
          <w:trHeight w:val="717"/>
          <w:jc w:val="center"/>
        </w:trPr>
        <w:tc>
          <w:tcPr>
            <w:tcW w:w="529" w:type="pct"/>
            <w:vMerge/>
            <w:shd w:val="clear" w:color="auto" w:fill="FFFFFF"/>
            <w:noWrap w:val="0"/>
            <w:vAlign w:val="center"/>
          </w:tcPr>
          <w:p>
            <w:pPr>
              <w:widowControl/>
              <w:spacing w:line="240" w:lineRule="exact"/>
              <w:jc w:val="center"/>
              <w:rPr>
                <w:rFonts w:ascii="Times New Roman" w:eastAsia="宋体" w:hAnsi="Times New Roman" w:cs="Times New Roman" w:hint="eastAsia"/>
                <w:b w:val="0"/>
                <w:bCs w:val="0"/>
                <w:color w:val="000000"/>
                <w:kern w:val="0"/>
              </w:rPr>
            </w:pPr>
          </w:p>
        </w:tc>
        <w:tc>
          <w:tcPr>
            <w:tcW w:w="1230" w:type="pct"/>
            <w:shd w:val="clear" w:color="auto" w:fill="FFFFFF"/>
            <w:noWrap w:val="0"/>
            <w:vAlign w:val="center"/>
          </w:tcPr>
          <w:p>
            <w:pPr>
              <w:widowControl/>
              <w:spacing w:line="240" w:lineRule="exact"/>
              <w:jc w:val="center"/>
              <w:rPr>
                <w:rFonts w:ascii="Times New Roman" w:eastAsia="宋体" w:hAnsi="Times New Roman" w:cs="Times New Roman" w:hint="eastAsia"/>
                <w:b w:val="0"/>
                <w:bCs w:val="0"/>
                <w:color w:val="000000"/>
                <w:kern w:val="0"/>
              </w:rPr>
            </w:pPr>
            <w:r>
              <w:rPr>
                <w:rFonts w:ascii="Times New Roman" w:eastAsia="宋体" w:hAnsi="Times New Roman" w:cs="Times New Roman" w:hint="eastAsia"/>
                <w:b w:val="0"/>
                <w:bCs w:val="0"/>
                <w:color w:val="000000"/>
                <w:kern w:val="0"/>
                <w:sz w:val="21"/>
                <w:szCs w:val="24"/>
                <w:lang w:val="en-US" w:eastAsia="zh-CN"/>
              </w:rPr>
              <w:t>祁阳市气象局</w:t>
            </w:r>
          </w:p>
        </w:tc>
        <w:tc>
          <w:tcPr>
            <w:tcW w:w="1235"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Helvetica" w:hAnsi="Times New Roman" w:cs="Times New Roman" w:hint="default"/>
                <w:i w:val="0"/>
                <w:iCs w:val="0"/>
                <w:caps w:val="0"/>
                <w:color w:val="333333"/>
                <w:spacing w:val="0"/>
                <w:sz w:val="21"/>
                <w:szCs w:val="21"/>
                <w:shd w:val="clear" w:color="auto" w:fill="FFFFFF"/>
              </w:rPr>
              <w:t>X波段双线偏振多普勒天气雷达</w:t>
            </w:r>
            <w:r>
              <w:rPr>
                <w:rFonts w:ascii="Times New Roman" w:eastAsia="宋体" w:hAnsi="Times New Roman" w:cs="Times New Roman" w:hint="default"/>
                <w:i w:val="0"/>
                <w:iCs w:val="0"/>
                <w:caps w:val="0"/>
                <w:color w:val="333333"/>
                <w:spacing w:val="0"/>
                <w:sz w:val="21"/>
                <w:szCs w:val="21"/>
                <w:shd w:val="clear" w:color="auto" w:fill="FFFFFF"/>
                <w:lang w:val="en-US" w:eastAsia="zh-CN"/>
              </w:rPr>
              <w:t>(天气雷达系统主机）</w:t>
            </w:r>
          </w:p>
        </w:tc>
        <w:tc>
          <w:tcPr>
            <w:tcW w:w="544"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eastAsia"/>
                <w:b w:val="0"/>
                <w:bCs w:val="0"/>
                <w:color w:val="000000"/>
                <w:kern w:val="0"/>
                <w:sz w:val="21"/>
                <w:szCs w:val="24"/>
                <w:lang w:val="en-US" w:eastAsia="zh-CN"/>
              </w:rPr>
              <w:t>1</w:t>
            </w:r>
          </w:p>
        </w:tc>
        <w:tc>
          <w:tcPr>
            <w:tcW w:w="722"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eastAsia"/>
                <w:b w:val="0"/>
                <w:bCs w:val="0"/>
                <w:color w:val="000000"/>
                <w:kern w:val="0"/>
                <w:sz w:val="21"/>
                <w:szCs w:val="24"/>
                <w:lang w:val="en-US" w:eastAsia="zh-CN"/>
              </w:rPr>
              <w:t>354</w:t>
            </w:r>
            <w:r>
              <w:rPr>
                <w:rFonts w:ascii="Times New Roman" w:eastAsia="宋体" w:hAnsi="Times New Roman" w:cs="Times New Roman" w:hint="default"/>
                <w:b w:val="0"/>
                <w:bCs w:val="0"/>
                <w:color w:val="000000"/>
                <w:kern w:val="0"/>
                <w:sz w:val="21"/>
                <w:szCs w:val="24"/>
                <w:lang w:val="en-US" w:eastAsia="zh-CN"/>
              </w:rPr>
              <w:t>.0</w:t>
            </w:r>
          </w:p>
        </w:tc>
        <w:tc>
          <w:tcPr>
            <w:tcW w:w="737"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default"/>
                <w:b w:val="0"/>
                <w:bCs w:val="0"/>
                <w:color w:val="000000"/>
                <w:kern w:val="0"/>
                <w:sz w:val="21"/>
                <w:szCs w:val="24"/>
                <w:lang w:val="en-US" w:eastAsia="zh-CN"/>
              </w:rPr>
              <w:t>含8年维保</w:t>
            </w:r>
          </w:p>
        </w:tc>
      </w:tr>
      <w:tr>
        <w:tblPrEx>
          <w:tblW w:w="5137" w:type="pct"/>
          <w:jc w:val="center"/>
          <w:tblLayout w:type="fixed"/>
          <w:tblCellMar>
            <w:top w:w="0" w:type="dxa"/>
            <w:left w:w="108" w:type="dxa"/>
            <w:bottom w:w="0" w:type="dxa"/>
            <w:right w:w="108" w:type="dxa"/>
          </w:tblCellMar>
        </w:tblPrEx>
        <w:trPr>
          <w:trHeight w:val="825"/>
          <w:jc w:val="center"/>
        </w:trPr>
        <w:tc>
          <w:tcPr>
            <w:tcW w:w="529"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p>
        </w:tc>
        <w:tc>
          <w:tcPr>
            <w:tcW w:w="1230"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default"/>
                <w:b w:val="0"/>
                <w:bCs w:val="0"/>
                <w:color w:val="000000"/>
                <w:kern w:val="0"/>
                <w:sz w:val="21"/>
                <w:szCs w:val="24"/>
                <w:lang w:val="en-US" w:eastAsia="zh-CN"/>
              </w:rPr>
              <w:t>合计</w:t>
            </w:r>
          </w:p>
        </w:tc>
        <w:tc>
          <w:tcPr>
            <w:tcW w:w="1235"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p>
        </w:tc>
        <w:tc>
          <w:tcPr>
            <w:tcW w:w="544"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p>
        </w:tc>
        <w:tc>
          <w:tcPr>
            <w:tcW w:w="722"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r>
              <w:rPr>
                <w:rFonts w:ascii="Times New Roman" w:eastAsia="宋体" w:hAnsi="Times New Roman" w:cs="Times New Roman" w:hint="default"/>
                <w:b w:val="0"/>
                <w:bCs w:val="0"/>
                <w:color w:val="000000"/>
                <w:kern w:val="0"/>
                <w:sz w:val="21"/>
                <w:szCs w:val="24"/>
                <w:lang w:val="en-US" w:eastAsia="zh-CN"/>
              </w:rPr>
              <w:t>1062.0</w:t>
            </w:r>
          </w:p>
        </w:tc>
        <w:tc>
          <w:tcPr>
            <w:tcW w:w="737" w:type="pct"/>
            <w:shd w:val="clear" w:color="auto" w:fill="FFFFFF"/>
            <w:noWrap w:val="0"/>
            <w:vAlign w:val="center"/>
          </w:tcPr>
          <w:p>
            <w:pPr>
              <w:widowControl/>
              <w:spacing w:line="240" w:lineRule="exact"/>
              <w:jc w:val="center"/>
              <w:rPr>
                <w:rFonts w:ascii="Times New Roman" w:eastAsia="宋体" w:hAnsi="Times New Roman" w:cs="Times New Roman" w:hint="default"/>
                <w:b w:val="0"/>
                <w:bCs w:val="0"/>
                <w:color w:val="000000"/>
                <w:kern w:val="0"/>
              </w:rPr>
            </w:pPr>
          </w:p>
        </w:tc>
      </w:tr>
    </w:tbl>
    <w:p>
      <w:pPr>
        <w:rPr>
          <w:rFonts w:ascii="Times New Roman" w:eastAsia="仿宋_GB2312" w:hAnsi="Times New Roman" w:cs="Times New Roman" w:hint="default"/>
          <w:sz w:val="28"/>
          <w:szCs w:val="20"/>
        </w:rPr>
      </w:pPr>
    </w:p>
    <w:p>
      <w:pPr>
        <w:ind w:firstLine="560" w:firstLineChars="200"/>
        <w:rPr>
          <w:rFonts w:ascii="Times New Roman" w:eastAsia="仿宋_GB2312" w:hAnsi="Times New Roman" w:cs="Times New Roman" w:hint="default"/>
          <w:b/>
          <w:bCs/>
          <w:sz w:val="28"/>
          <w:szCs w:val="20"/>
        </w:rPr>
      </w:pPr>
      <w:r>
        <w:rPr>
          <w:rFonts w:ascii="Times New Roman" w:eastAsia="仿宋_GB2312" w:hAnsi="Times New Roman" w:cs="Times New Roman" w:hint="default"/>
          <w:b/>
          <w:bCs/>
          <w:sz w:val="28"/>
          <w:szCs w:val="20"/>
        </w:rPr>
        <w:t>二、售后</w:t>
      </w:r>
      <w:r>
        <w:rPr>
          <w:rFonts w:ascii="Times New Roman" w:eastAsia="仿宋_GB2312" w:hAnsi="Times New Roman" w:cs="Times New Roman" w:hint="default"/>
          <w:b/>
          <w:bCs/>
          <w:sz w:val="28"/>
          <w:szCs w:val="20"/>
          <w:lang w:val="en-US" w:eastAsia="zh-CN"/>
        </w:rPr>
        <w:t>及维保服务</w:t>
      </w:r>
      <w:r>
        <w:rPr>
          <w:rFonts w:ascii="Times New Roman" w:eastAsia="仿宋_GB2312" w:hAnsi="Times New Roman" w:cs="Times New Roman" w:hint="default"/>
          <w:b/>
          <w:bCs/>
          <w:sz w:val="28"/>
          <w:szCs w:val="20"/>
        </w:rPr>
        <w:t>要求</w:t>
      </w:r>
    </w:p>
    <w:p>
      <w:pPr>
        <w:ind w:firstLine="560" w:firstLineChars="200"/>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1、设备供应商需提供详细售后服务方案，包括设备售后服务组织机构、人员组成、技术支持文档等。其中，售后服务组织机构设置合理，人员技术能力强，技术文档内容全面。</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2、设备供应商对所有设备提供自验收合格后8年的维保服务，需提供设备维保承诺函原件（格式自拟）。保修期内因设备设计、质量出现问题，均由设备供应商即时无偿解决（包括更换器件）；设备安装后的试运行期间（六个月）内，遇设备故障或数据明显异常、性能不达标等，中标人负责72小时内到站对故障设备进行测试和更换，确保设备正常投入业务运行。维保期过后，设备供应商仍有义务提供远程技术服务（包括提供设备维护、备件等）。</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配备必要的随机工具，提供技术手册、使用说明书、电路图、测试报告等随机资料，以满足雷达正常运行和维护保障需要。</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3、质保期服务内容要求：</w:t>
      </w:r>
    </w:p>
    <w:p>
      <w:pPr>
        <w:ind w:firstLine="560" w:firstLineChars="200"/>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中标方按照中国气象局有关要求提供服务，确保设备稳定运行，主要工作包括：日巡查、周维护、月维护及标校、汛前巡检及标校、年维护及标校、卫生清洁、防雷设施检测、消防设备检测等现场巡检巡查工作，以及</w:t>
      </w:r>
      <w:r>
        <w:rPr>
          <w:rFonts w:ascii="Times New Roman" w:eastAsia="仿宋_GB2312" w:hAnsi="Times New Roman" w:cs="Times New Roman" w:hint="eastAsia"/>
          <w:sz w:val="28"/>
          <w:szCs w:val="20"/>
          <w:lang w:val="en-US" w:eastAsia="zh-CN"/>
        </w:rPr>
        <w:t>雷达</w:t>
      </w:r>
      <w:r>
        <w:rPr>
          <w:rFonts w:ascii="Times New Roman" w:eastAsia="仿宋_GB2312" w:hAnsi="Times New Roman" w:cs="Times New Roman" w:hint="default"/>
          <w:sz w:val="28"/>
          <w:szCs w:val="20"/>
        </w:rPr>
        <w:t>整机及雷达分系统故障的维修等。</w:t>
      </w:r>
    </w:p>
    <w:p>
      <w:pPr>
        <w:ind w:firstLine="560" w:firstLineChars="200"/>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按照中国气象局有关业务规范要求，在三级及以上气象应急响应期间，24小时全天候现场值守保障，并定期编制和上报雷达运行状态及故障处置报告。</w:t>
      </w:r>
    </w:p>
    <w:p>
      <w:pPr>
        <w:ind w:firstLine="560" w:firstLineChars="200"/>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备品备件、维护标校、故障维修和巡检巡查等各项要求按照《X 波段天气雷达观测规范（试行）》、《X波段天气雷达标校业务规范（试行）》等文件要求执行。</w:t>
      </w:r>
    </w:p>
    <w:p>
      <w:pPr>
        <w:ind w:firstLine="560" w:firstLineChars="200"/>
        <w:rPr>
          <w:rFonts w:ascii="Times New Roman" w:eastAsia="仿宋_GB2312" w:hAnsi="Times New Roman" w:cs="Times New Roman" w:hint="default"/>
          <w:b/>
          <w:bCs/>
          <w:sz w:val="28"/>
          <w:szCs w:val="20"/>
        </w:rPr>
      </w:pPr>
      <w:r>
        <w:rPr>
          <w:rFonts w:ascii="Times New Roman" w:eastAsia="仿宋_GB2312" w:hAnsi="Times New Roman" w:cs="Times New Roman" w:hint="default"/>
          <w:b/>
          <w:bCs/>
          <w:sz w:val="28"/>
          <w:szCs w:val="20"/>
        </w:rPr>
        <w:t>三、培训要求</w:t>
      </w:r>
    </w:p>
    <w:p>
      <w:pPr>
        <w:ind w:firstLine="560" w:firstLineChars="200"/>
        <w:rPr>
          <w:rFonts w:ascii="Times New Roman" w:eastAsia="仿宋_GB2312" w:hAnsi="Times New Roman" w:cs="Times New Roman" w:hint="default"/>
          <w:sz w:val="28"/>
          <w:szCs w:val="20"/>
        </w:rPr>
      </w:pPr>
      <w:r>
        <w:rPr>
          <w:rFonts w:ascii="仿宋" w:eastAsia="仿宋" w:hAnsi="仿宋" w:cs="仿宋" w:hint="eastAsia"/>
          <w:sz w:val="28"/>
          <w:szCs w:val="20"/>
          <w:lang w:val="en-US" w:eastAsia="zh-CN"/>
        </w:rPr>
        <w:t>除“质保服务要求4.1培训”的基本要求外，还应满足以下要求；</w:t>
      </w:r>
    </w:p>
    <w:p>
      <w:pPr>
        <w:ind w:firstLine="560" w:firstLineChars="200"/>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中标人应向用户提供至少2次培训，培训课时不少于</w:t>
      </w:r>
      <w:r>
        <w:rPr>
          <w:rFonts w:ascii="Times New Roman" w:eastAsia="仿宋_GB2312" w:hAnsi="Times New Roman" w:cs="Times New Roman" w:hint="eastAsia"/>
          <w:sz w:val="28"/>
          <w:szCs w:val="20"/>
          <w:lang w:val="en-US" w:eastAsia="zh-CN"/>
        </w:rPr>
        <w:t>40</w:t>
      </w:r>
      <w:r>
        <w:rPr>
          <w:rFonts w:ascii="Times New Roman" w:eastAsia="仿宋_GB2312" w:hAnsi="Times New Roman" w:cs="Times New Roman" w:hint="default"/>
          <w:sz w:val="28"/>
          <w:szCs w:val="20"/>
        </w:rPr>
        <w:t>个课时，培训人数不少于</w:t>
      </w:r>
      <w:r>
        <w:rPr>
          <w:rFonts w:ascii="Times New Roman" w:eastAsia="仿宋_GB2312" w:hAnsi="Times New Roman" w:cs="Times New Roman" w:hint="eastAsia"/>
          <w:sz w:val="28"/>
          <w:szCs w:val="20"/>
          <w:lang w:val="en-US" w:eastAsia="zh-CN"/>
        </w:rPr>
        <w:t>4</w:t>
      </w:r>
      <w:r>
        <w:rPr>
          <w:rFonts w:ascii="Times New Roman" w:eastAsia="仿宋_GB2312" w:hAnsi="Times New Roman" w:cs="Times New Roman" w:hint="default"/>
          <w:sz w:val="28"/>
          <w:szCs w:val="20"/>
        </w:rPr>
        <w:t>人</w:t>
      </w:r>
      <w:r>
        <w:rPr>
          <w:rFonts w:ascii="Times New Roman" w:eastAsia="仿宋_GB2312" w:hAnsi="Times New Roman" w:cs="Times New Roman" w:hint="eastAsia"/>
          <w:sz w:val="28"/>
          <w:szCs w:val="20"/>
          <w:lang w:eastAsia="zh-CN"/>
        </w:rPr>
        <w:t>，</w:t>
      </w:r>
      <w:r>
        <w:rPr>
          <w:rFonts w:ascii="Times New Roman" w:eastAsia="仿宋_GB2312" w:hAnsi="Times New Roman" w:cs="Times New Roman" w:hint="default"/>
          <w:sz w:val="28"/>
          <w:szCs w:val="20"/>
        </w:rPr>
        <w:t>包含现场安装培训和集中授课培训，其中集中授课培训人数要求每套设备至少2人，并邀请项目建设单位参与。培训内容包括设备安装、使用、日常维护、观测原理及产品应用，培训时间及地点双方协商确定。</w:t>
      </w:r>
    </w:p>
    <w:p>
      <w:pPr>
        <w:ind w:firstLine="560" w:firstLineChars="200"/>
        <w:rPr>
          <w:rFonts w:ascii="Times New Roman" w:eastAsia="仿宋_GB2312" w:hAnsi="Times New Roman" w:cs="Times New Roman" w:hint="default"/>
          <w:b/>
          <w:bCs/>
          <w:sz w:val="28"/>
          <w:szCs w:val="20"/>
        </w:rPr>
      </w:pPr>
      <w:r>
        <w:rPr>
          <w:rFonts w:ascii="Times New Roman" w:eastAsia="仿宋_GB2312" w:hAnsi="Times New Roman" w:cs="Times New Roman" w:hint="default"/>
          <w:b/>
          <w:bCs/>
          <w:sz w:val="28"/>
          <w:szCs w:val="20"/>
        </w:rPr>
        <w:t>四、交货要求及履约地点</w:t>
      </w:r>
    </w:p>
    <w:p>
      <w:pPr>
        <w:ind w:firstLine="560" w:firstLineChars="200"/>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中标供应商将所有设备运送至</w:t>
      </w:r>
      <w:r>
        <w:rPr>
          <w:rFonts w:ascii="Times New Roman" w:eastAsia="仿宋_GB2312" w:hAnsi="Times New Roman" w:cs="Times New Roman" w:hint="default"/>
          <w:sz w:val="28"/>
          <w:szCs w:val="20"/>
          <w:lang w:val="en-US" w:eastAsia="zh-CN"/>
        </w:rPr>
        <w:t>湖南省</w:t>
      </w:r>
      <w:r>
        <w:rPr>
          <w:rFonts w:ascii="Times New Roman" w:eastAsia="仿宋_GB2312" w:hAnsi="Times New Roman" w:cs="Times New Roman" w:hint="eastAsia"/>
          <w:sz w:val="28"/>
          <w:szCs w:val="20"/>
          <w:lang w:val="en-US" w:eastAsia="zh-CN"/>
        </w:rPr>
        <w:t>长沙浏阳</w:t>
      </w:r>
      <w:r>
        <w:rPr>
          <w:rFonts w:ascii="Times New Roman" w:eastAsia="仿宋_GB2312" w:hAnsi="Times New Roman" w:cs="Times New Roman" w:hint="default"/>
          <w:sz w:val="28"/>
          <w:szCs w:val="20"/>
          <w:lang w:val="en-US" w:eastAsia="zh-CN"/>
        </w:rPr>
        <w:t>市</w:t>
      </w:r>
      <w:r>
        <w:rPr>
          <w:rFonts w:ascii="Times New Roman" w:eastAsia="仿宋_GB2312" w:hAnsi="Times New Roman" w:cs="Times New Roman" w:hint="eastAsia"/>
          <w:sz w:val="28"/>
          <w:szCs w:val="20"/>
          <w:lang w:val="en-US" w:eastAsia="zh-CN"/>
        </w:rPr>
        <w:t>、郴州资兴市、永州祁阳市</w:t>
      </w:r>
      <w:r>
        <w:rPr>
          <w:rFonts w:ascii="Times New Roman" w:eastAsia="仿宋_GB2312" w:hAnsi="Times New Roman" w:cs="Times New Roman" w:hint="default"/>
          <w:sz w:val="28"/>
          <w:szCs w:val="20"/>
        </w:rPr>
        <w:t>（运输相关费用由供应商负责），并负责安装调试。</w:t>
      </w:r>
    </w:p>
    <w:p>
      <w:pPr>
        <w:ind w:left="559" w:firstLine="0" w:leftChars="266" w:firstLineChars="0"/>
        <w:rPr>
          <w:rFonts w:ascii="Times New Roman" w:eastAsia="仿宋_GB2312" w:hAnsi="Times New Roman" w:cs="Times New Roman" w:hint="default"/>
          <w:b/>
          <w:bCs/>
          <w:sz w:val="28"/>
          <w:szCs w:val="20"/>
        </w:rPr>
      </w:pPr>
      <w:r>
        <w:rPr>
          <w:rFonts w:ascii="Times New Roman" w:eastAsia="仿宋_GB2312" w:hAnsi="Times New Roman" w:cs="Times New Roman" w:hint="default"/>
          <w:sz w:val="28"/>
          <w:szCs w:val="20"/>
        </w:rPr>
        <w:t>合同签订后</w:t>
      </w:r>
      <w:r>
        <w:rPr>
          <w:rFonts w:ascii="Times New Roman" w:eastAsia="仿宋_GB2312" w:hAnsi="Times New Roman" w:cs="Times New Roman" w:hint="default"/>
          <w:sz w:val="28"/>
          <w:szCs w:val="20"/>
          <w:lang w:val="en-US" w:eastAsia="zh-CN"/>
        </w:rPr>
        <w:t>18</w:t>
      </w:r>
      <w:r>
        <w:rPr>
          <w:rFonts w:ascii="Times New Roman" w:eastAsia="仿宋_GB2312" w:hAnsi="Times New Roman" w:cs="Times New Roman" w:hint="default"/>
          <w:sz w:val="28"/>
          <w:szCs w:val="20"/>
        </w:rPr>
        <w:t>0天内完成供货、安装调试并具备验收条件。</w:t>
      </w:r>
      <w:r>
        <w:rPr>
          <w:rFonts w:ascii="Times New Roman" w:eastAsia="仿宋_GB2312" w:hAnsi="Times New Roman" w:cs="Times New Roman" w:hint="default"/>
          <w:sz w:val="28"/>
          <w:szCs w:val="20"/>
        </w:rPr>
        <w:br/>
      </w:r>
      <w:r>
        <w:rPr>
          <w:rFonts w:ascii="Times New Roman" w:eastAsia="仿宋_GB2312" w:hAnsi="Times New Roman" w:cs="Times New Roman" w:hint="default"/>
          <w:b/>
          <w:bCs/>
          <w:sz w:val="28"/>
          <w:szCs w:val="20"/>
        </w:rPr>
        <w:t>五、服务团队要求</w:t>
      </w:r>
    </w:p>
    <w:p>
      <w:pPr>
        <w:ind w:firstLine="560" w:firstLineChars="200"/>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Times New Roman" w:eastAsia="仿宋_GB2312" w:hAnsi="Times New Roman" w:cs="Times New Roman" w:hint="default"/>
          <w:b/>
          <w:bCs/>
          <w:sz w:val="28"/>
          <w:szCs w:val="20"/>
        </w:rPr>
      </w:pPr>
      <w:r>
        <w:rPr>
          <w:rFonts w:ascii="Times New Roman" w:eastAsia="仿宋_GB2312" w:hAnsi="Times New Roman" w:cs="Times New Roman" w:hint="default"/>
          <w:b/>
          <w:bCs/>
          <w:sz w:val="28"/>
          <w:szCs w:val="20"/>
        </w:rPr>
        <w:t>六、投标产品软件兼容性要求</w:t>
      </w:r>
    </w:p>
    <w:p>
      <w:pPr>
        <w:ind w:firstLine="560" w:firstLineChars="200"/>
        <w:rPr>
          <w:rFonts w:ascii="Times New Roman" w:eastAsia="仿宋_GB2312" w:hAnsi="Times New Roman" w:cs="Times New Roman" w:hint="default"/>
          <w:b w:val="0"/>
          <w:bCs w:val="0"/>
          <w:sz w:val="28"/>
          <w:szCs w:val="20"/>
        </w:rPr>
      </w:pPr>
      <w:r>
        <w:rPr>
          <w:rFonts w:ascii="Times New Roman" w:eastAsia="仿宋_GB2312" w:hAnsi="Times New Roman" w:cs="Times New Roman" w:hint="default"/>
          <w:b w:val="0"/>
          <w:bCs w:val="0"/>
          <w:sz w:val="28"/>
          <w:szCs w:val="20"/>
        </w:rPr>
        <w:t>设备软件兼容性强，设备数据传输模式、数据格式、数据通讯协议满足国家局下发的</w:t>
      </w:r>
      <w:r>
        <w:rPr>
          <w:rFonts w:ascii="Times New Roman" w:eastAsia="仿宋_GB2312" w:hAnsi="Times New Roman" w:cs="Times New Roman" w:hint="default"/>
          <w:b w:val="0"/>
          <w:bCs w:val="0"/>
          <w:sz w:val="28"/>
          <w:szCs w:val="20"/>
          <w:lang w:val="en-US" w:eastAsia="zh-CN"/>
        </w:rPr>
        <w:t>蒸散量观测系统性能指标</w:t>
      </w:r>
      <w:r>
        <w:rPr>
          <w:rFonts w:ascii="Times New Roman" w:eastAsia="仿宋_GB2312" w:hAnsi="Times New Roman" w:cs="Times New Roman" w:hint="default"/>
          <w:b w:val="0"/>
          <w:bCs w:val="0"/>
          <w:sz w:val="28"/>
          <w:szCs w:val="20"/>
        </w:rPr>
        <w:t>，设备观测数据完全符合甲方相关要求和规范，保证其系统的兼容性和功能的完整性。</w:t>
      </w:r>
    </w:p>
    <w:p>
      <w:pPr>
        <w:ind w:firstLine="560" w:firstLineChars="200"/>
        <w:rPr>
          <w:rFonts w:ascii="Times New Roman" w:eastAsia="仿宋_GB2312" w:hAnsi="Times New Roman" w:cs="Times New Roman" w:hint="default"/>
          <w:b/>
          <w:bCs/>
          <w:sz w:val="28"/>
          <w:szCs w:val="20"/>
        </w:rPr>
      </w:pPr>
      <w:r>
        <w:rPr>
          <w:rFonts w:ascii="Times New Roman" w:eastAsia="仿宋_GB2312" w:hAnsi="Times New Roman" w:cs="Times New Roman" w:hint="eastAsia"/>
          <w:b/>
          <w:bCs/>
          <w:sz w:val="28"/>
          <w:szCs w:val="20"/>
          <w:lang w:val="en-US" w:eastAsia="zh-CN"/>
        </w:rPr>
        <w:t>七、</w:t>
      </w:r>
      <w:r>
        <w:rPr>
          <w:rFonts w:ascii="Times New Roman" w:eastAsia="仿宋_GB2312" w:hAnsi="Times New Roman" w:cs="Times New Roman" w:hint="default"/>
          <w:b/>
          <w:bCs/>
          <w:sz w:val="28"/>
          <w:szCs w:val="20"/>
          <w:lang w:val="en-US" w:eastAsia="zh-CN"/>
        </w:rPr>
        <w:t>建设要求</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b w:val="0"/>
          <w:bCs w:val="0"/>
          <w:sz w:val="28"/>
          <w:szCs w:val="20"/>
          <w:lang w:val="en-US" w:eastAsia="zh-CN"/>
        </w:rPr>
        <w:t>（</w:t>
      </w:r>
      <w:r>
        <w:rPr>
          <w:rFonts w:ascii="Times New Roman" w:eastAsia="仿宋_GB2312" w:hAnsi="Times New Roman" w:cs="Times New Roman" w:hint="default"/>
          <w:sz w:val="28"/>
          <w:szCs w:val="20"/>
          <w:lang w:val="en-US" w:eastAsia="zh-CN"/>
        </w:rPr>
        <w:t>1）系统组成</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lang w:val="en-US" w:eastAsia="zh-CN"/>
        </w:rPr>
        <w:t>X 波段固态雷达主要由天线系统、馈线系统、伺服系统、发射机、接收机、综合机柜等部 分组成。</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lang w:val="en-US" w:eastAsia="zh-CN"/>
        </w:rPr>
        <w:t>除反射体外，各分系统误差控制在±5%以内。</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lang w:val="en-US" w:eastAsia="zh-CN"/>
        </w:rPr>
        <w:t>雷达系统组成框图如下图所示：</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position w:val="-111"/>
        </w:rPr>
      </w:pPr>
      <w:r>
        <w:rPr>
          <w:position w:val="-111"/>
        </w:rPr>
        <w:drawing>
          <wp:inline distT="0" distB="0" distL="0" distR="0">
            <wp:extent cx="4617720" cy="3527425"/>
            <wp:effectExtent l="0" t="0" r="11430" b="15875"/>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xmlns:r="http://schemas.openxmlformats.org/officeDocument/2006/relationships" r:embed="rId23"/>
                    <a:stretch>
                      <a:fillRect/>
                    </a:stretch>
                  </pic:blipFill>
                  <pic:spPr>
                    <a:xfrm>
                      <a:off x="0" y="0"/>
                      <a:ext cx="4618007" cy="3528059"/>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b w:val="0"/>
          <w:bCs w:val="0"/>
          <w:sz w:val="28"/>
          <w:szCs w:val="20"/>
        </w:rPr>
      </w:pPr>
      <w:r>
        <w:rPr>
          <w:rFonts w:ascii="Times New Roman" w:eastAsia="仿宋_GB2312" w:hAnsi="Times New Roman" w:cs="Times New Roman" w:hint="default"/>
          <w:b w:val="0"/>
          <w:bCs w:val="0"/>
          <w:sz w:val="28"/>
          <w:szCs w:val="20"/>
          <w:lang w:val="en-US" w:eastAsia="zh-CN"/>
        </w:rPr>
        <w:t>（</w:t>
      </w:r>
      <w:r>
        <w:rPr>
          <w:rFonts w:ascii="Times New Roman" w:eastAsia="仿宋_GB2312" w:hAnsi="Times New Roman" w:cs="Times New Roman" w:hint="eastAsia"/>
          <w:b w:val="0"/>
          <w:bCs w:val="0"/>
          <w:sz w:val="28"/>
          <w:szCs w:val="20"/>
          <w:lang w:val="en-US" w:eastAsia="zh-CN"/>
        </w:rPr>
        <w:t>a</w:t>
      </w:r>
      <w:r>
        <w:rPr>
          <w:rFonts w:ascii="Times New Roman" w:eastAsia="仿宋_GB2312" w:hAnsi="Times New Roman" w:cs="Times New Roman" w:hint="default"/>
          <w:b w:val="0"/>
          <w:bCs w:val="0"/>
          <w:sz w:val="28"/>
          <w:szCs w:val="20"/>
          <w:lang w:val="en-US" w:eastAsia="zh-CN"/>
        </w:rPr>
        <w:t>）天线系统（UD01）</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b w:val="0"/>
          <w:bCs w:val="0"/>
          <w:sz w:val="28"/>
          <w:szCs w:val="20"/>
        </w:rPr>
      </w:pPr>
      <w:r>
        <w:rPr>
          <w:rFonts w:ascii="Times New Roman" w:eastAsia="仿宋_GB2312" w:hAnsi="Times New Roman" w:cs="Times New Roman" w:hint="default"/>
          <w:b w:val="0"/>
          <w:bCs w:val="0"/>
          <w:sz w:val="28"/>
          <w:szCs w:val="20"/>
          <w:lang w:val="en-US" w:eastAsia="zh-CN"/>
        </w:rPr>
        <w:t>天线系统由旋转抛物面反射体与馈源组成，用于辐射微波能量和接收目标后向散射微波功率。</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position w:val="-131"/>
        </w:rPr>
      </w:pPr>
      <w:r>
        <w:rPr>
          <w:position w:val="-131"/>
        </w:rPr>
        <w:drawing>
          <wp:inline distT="0" distB="0" distL="0" distR="0">
            <wp:extent cx="4754245" cy="3547745"/>
            <wp:effectExtent l="0" t="0" r="8255" b="14605"/>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xmlns:r="http://schemas.openxmlformats.org/officeDocument/2006/relationships" r:embed="rId24"/>
                    <a:stretch>
                      <a:fillRect/>
                    </a:stretch>
                  </pic:blipFill>
                  <pic:spPr>
                    <a:xfrm>
                      <a:off x="0" y="0"/>
                      <a:ext cx="4754245" cy="354774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b w:val="0"/>
          <w:bCs w:val="0"/>
          <w:sz w:val="28"/>
          <w:szCs w:val="20"/>
        </w:rPr>
      </w:pPr>
      <w:r>
        <w:rPr>
          <w:rFonts w:ascii="Times New Roman" w:eastAsia="仿宋_GB2312" w:hAnsi="Times New Roman" w:cs="Times New Roman" w:hint="default"/>
          <w:b w:val="0"/>
          <w:bCs w:val="0"/>
          <w:sz w:val="28"/>
          <w:szCs w:val="20"/>
          <w:lang w:val="en-US" w:eastAsia="zh-CN"/>
        </w:rPr>
        <w:t>（</w:t>
      </w:r>
      <w:r>
        <w:rPr>
          <w:rFonts w:ascii="Times New Roman" w:eastAsia="仿宋_GB2312" w:hAnsi="Times New Roman" w:cs="Times New Roman" w:hint="eastAsia"/>
          <w:b w:val="0"/>
          <w:bCs w:val="0"/>
          <w:sz w:val="28"/>
          <w:szCs w:val="20"/>
          <w:lang w:val="en-US" w:eastAsia="zh-CN"/>
        </w:rPr>
        <w:t>b</w:t>
      </w:r>
      <w:r>
        <w:rPr>
          <w:rFonts w:ascii="Times New Roman" w:eastAsia="仿宋_GB2312" w:hAnsi="Times New Roman" w:cs="Times New Roman" w:hint="default"/>
          <w:b w:val="0"/>
          <w:bCs w:val="0"/>
          <w:sz w:val="28"/>
          <w:szCs w:val="20"/>
          <w:lang w:val="en-US" w:eastAsia="zh-CN"/>
        </w:rPr>
        <w:t>）馈线系统（UD02）</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b w:val="0"/>
          <w:bCs w:val="0"/>
          <w:sz w:val="28"/>
          <w:szCs w:val="20"/>
        </w:rPr>
      </w:pPr>
      <w:r>
        <w:rPr>
          <w:rFonts w:ascii="Times New Roman" w:eastAsia="仿宋_GB2312" w:hAnsi="Times New Roman" w:cs="Times New Roman" w:hint="default"/>
          <w:b w:val="0"/>
          <w:bCs w:val="0"/>
          <w:sz w:val="28"/>
          <w:szCs w:val="20"/>
          <w:lang w:val="en-US" w:eastAsia="zh-CN"/>
        </w:rPr>
        <w:t>馈线系统主要由波导、环形器等组成，馈线分为两路，一路为水平支路，另一路为垂直支路，用于传输发射和接收信号。</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position w:val="-124"/>
        </w:rPr>
      </w:pPr>
      <w:r>
        <w:rPr>
          <w:position w:val="-124"/>
        </w:rPr>
        <w:drawing>
          <wp:inline distT="0" distB="0" distL="0" distR="0">
            <wp:extent cx="4977765" cy="3495040"/>
            <wp:effectExtent l="0" t="0" r="13335" b="1016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xmlns:r="http://schemas.openxmlformats.org/officeDocument/2006/relationships" r:embed="rId25"/>
                    <a:stretch>
                      <a:fillRect/>
                    </a:stretch>
                  </pic:blipFill>
                  <pic:spPr>
                    <a:xfrm>
                      <a:off x="0" y="0"/>
                      <a:ext cx="4977765" cy="349504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b w:val="0"/>
          <w:bCs w:val="0"/>
          <w:sz w:val="28"/>
          <w:szCs w:val="20"/>
        </w:rPr>
      </w:pPr>
      <w:r>
        <w:rPr>
          <w:rFonts w:ascii="Times New Roman" w:eastAsia="仿宋_GB2312" w:hAnsi="Times New Roman" w:cs="Times New Roman" w:hint="default"/>
          <w:b w:val="0"/>
          <w:bCs w:val="0"/>
          <w:sz w:val="28"/>
          <w:szCs w:val="20"/>
          <w:lang w:val="en-US" w:eastAsia="zh-CN"/>
        </w:rPr>
        <w:t>（</w:t>
      </w:r>
      <w:r>
        <w:rPr>
          <w:rFonts w:ascii="Times New Roman" w:eastAsia="仿宋_GB2312" w:hAnsi="Times New Roman" w:cs="Times New Roman" w:hint="eastAsia"/>
          <w:b w:val="0"/>
          <w:bCs w:val="0"/>
          <w:sz w:val="28"/>
          <w:szCs w:val="20"/>
          <w:lang w:val="en-US" w:eastAsia="zh-CN"/>
        </w:rPr>
        <w:t>c</w:t>
      </w:r>
      <w:r>
        <w:rPr>
          <w:rFonts w:ascii="Times New Roman" w:eastAsia="仿宋_GB2312" w:hAnsi="Times New Roman" w:cs="Times New Roman" w:hint="default"/>
          <w:b w:val="0"/>
          <w:bCs w:val="0"/>
          <w:sz w:val="28"/>
          <w:szCs w:val="20"/>
          <w:lang w:val="en-US" w:eastAsia="zh-CN"/>
        </w:rPr>
        <w:t>）伺服系统（UD03）</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b w:val="0"/>
          <w:bCs w:val="0"/>
          <w:sz w:val="28"/>
          <w:szCs w:val="20"/>
        </w:rPr>
      </w:pPr>
      <w:r>
        <w:rPr>
          <w:rFonts w:ascii="Times New Roman" w:eastAsia="仿宋_GB2312" w:hAnsi="Times New Roman" w:cs="Times New Roman" w:hint="default"/>
          <w:b w:val="0"/>
          <w:bCs w:val="0"/>
          <w:sz w:val="28"/>
          <w:szCs w:val="20"/>
          <w:lang w:val="en-US" w:eastAsia="zh-CN"/>
        </w:rPr>
        <w:t>伺服选用数字式伺服系统，使用高精度伺服电机驱动，方位 360°无限制、俯仰-2°~+92°</w:t>
      </w:r>
      <w:r>
        <w:rPr>
          <w:rFonts w:ascii="Times New Roman" w:eastAsia="仿宋_GB2312" w:hAnsi="Times New Roman" w:cs="Times New Roman" w:hint="eastAsia"/>
          <w:b w:val="0"/>
          <w:bCs w:val="0"/>
          <w:sz w:val="28"/>
          <w:szCs w:val="20"/>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position w:val="-187"/>
        </w:rPr>
      </w:pPr>
      <w:r>
        <w:rPr>
          <w:position w:val="-187"/>
        </w:rPr>
        <w:drawing>
          <wp:inline distT="0" distB="0" distL="0" distR="0">
            <wp:extent cx="5254625" cy="4192270"/>
            <wp:effectExtent l="0" t="0" r="3175" b="1778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xmlns:r="http://schemas.openxmlformats.org/officeDocument/2006/relationships" r:embed="rId26"/>
                    <a:stretch>
                      <a:fillRect/>
                    </a:stretch>
                  </pic:blipFill>
                  <pic:spPr>
                    <a:xfrm>
                      <a:off x="0" y="0"/>
                      <a:ext cx="5254752" cy="419227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lang w:val="en-US" w:eastAsia="zh-CN"/>
        </w:rPr>
        <w:t>（</w:t>
      </w:r>
      <w:r>
        <w:rPr>
          <w:rFonts w:ascii="Times New Roman" w:eastAsia="仿宋_GB2312" w:hAnsi="Times New Roman" w:cs="Times New Roman" w:hint="eastAsia"/>
          <w:sz w:val="28"/>
          <w:szCs w:val="20"/>
          <w:lang w:val="en-US" w:eastAsia="zh-CN"/>
        </w:rPr>
        <w:t>d</w:t>
      </w:r>
      <w:r>
        <w:rPr>
          <w:rFonts w:ascii="Times New Roman" w:eastAsia="仿宋_GB2312" w:hAnsi="Times New Roman" w:cs="Times New Roman" w:hint="default"/>
          <w:sz w:val="28"/>
          <w:szCs w:val="20"/>
          <w:lang w:val="en-US" w:eastAsia="zh-CN"/>
        </w:rPr>
        <w:t>）发射机（UD04）</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lang w:val="en-US" w:eastAsia="zh-CN"/>
        </w:rPr>
        <w:t>雷达发射机将来自接收机的激励信号通过全固态功率放大后，输出大功率微波信号，通过 天馈线向空间辐射；接收雷达监控单元的控制指令，完成对发射机的各种控制，并向监控单元 反馈发射机的工作状态和故障信息。</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position w:val="-129"/>
        </w:rPr>
      </w:pPr>
      <w:r>
        <w:rPr>
          <w:position w:val="-129"/>
        </w:rPr>
        <w:drawing>
          <wp:inline distT="0" distB="0" distL="0" distR="0">
            <wp:extent cx="4578350" cy="3485515"/>
            <wp:effectExtent l="0" t="0" r="12700" b="635"/>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xmlns:r="http://schemas.openxmlformats.org/officeDocument/2006/relationships" r:embed="rId27"/>
                    <a:stretch>
                      <a:fillRect/>
                    </a:stretch>
                  </pic:blipFill>
                  <pic:spPr>
                    <a:xfrm>
                      <a:off x="0" y="0"/>
                      <a:ext cx="4578350" cy="348551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lang w:val="en-US" w:eastAsia="zh-CN"/>
        </w:rPr>
        <w:t>（</w:t>
      </w:r>
      <w:r>
        <w:rPr>
          <w:rFonts w:ascii="Times New Roman" w:eastAsia="仿宋_GB2312" w:hAnsi="Times New Roman" w:cs="Times New Roman" w:hint="eastAsia"/>
          <w:sz w:val="28"/>
          <w:szCs w:val="20"/>
          <w:lang w:val="en-US" w:eastAsia="zh-CN"/>
        </w:rPr>
        <w:t>e</w:t>
      </w:r>
      <w:r>
        <w:rPr>
          <w:rFonts w:ascii="Times New Roman" w:eastAsia="仿宋_GB2312" w:hAnsi="Times New Roman" w:cs="Times New Roman" w:hint="default"/>
          <w:sz w:val="28"/>
          <w:szCs w:val="20"/>
          <w:lang w:val="en-US" w:eastAsia="zh-CN"/>
        </w:rPr>
        <w:t>）接收机（UD05）</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lang w:val="en-US" w:eastAsia="zh-CN"/>
        </w:rPr>
        <w:t>接收通道主要完成回波信号的放大、滤波和下变频，并输出模拟中频信号至数字中频模 块；数字中频包括时钟信号、触发信号、中频激励信号产生，A/D 转换、数字下变频、脉冲压 缩等，形成数字 I/Q 信号传送至信号处理器。</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lang w:val="en-US" w:eastAsia="zh-CN"/>
        </w:rPr>
        <w:t>频率源为雷达各分机提供各种频率信号和激励信号，并以高稳定度、低相位噪声的晶振作 为频率基准，保证频率源的所有输出信号也具有高稳定度、低相位噪声、高谐波和杂散抑制等 特性。</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lang w:val="en-US" w:eastAsia="zh-CN"/>
        </w:rPr>
        <w:t>利用机内高精度标定模块，实现主要指标的标定，主要包括脉冲峰值功率、脉冲宽度、噪 声系数、动态范围、回波强度、径向速度、相位噪声、水平和垂直通道幅相一致性等，标定的 结果用于雷达体扫间在线标校过程。</w:t>
      </w:r>
    </w:p>
    <w:p>
      <w:pPr>
        <w:pStyle w:val="BodyText"/>
        <w:spacing w:before="1" w:line="422" w:lineRule="auto"/>
        <w:ind w:left="4" w:right="39" w:firstLine="416"/>
        <w:jc w:val="both"/>
        <w:rPr>
          <w:rFonts w:ascii="Times New Roman" w:eastAsia="仿宋_GB2312" w:hAnsi="Times New Roman" w:cs="Times New Roman" w:hint="default"/>
          <w:b w:val="0"/>
          <w:bCs w:val="0"/>
          <w:sz w:val="28"/>
          <w:lang w:eastAsia="zh-CN"/>
        </w:rPr>
      </w:pPr>
    </w:p>
    <w:p>
      <w:pPr>
        <w:pStyle w:val="BodyText"/>
        <w:spacing w:before="1" w:line="422" w:lineRule="auto"/>
        <w:ind w:left="4" w:right="39" w:firstLine="416"/>
        <w:jc w:val="both"/>
        <w:rPr>
          <w:position w:val="-130"/>
        </w:rPr>
      </w:pPr>
      <w:r>
        <w:rPr>
          <w:position w:val="-130"/>
        </w:rPr>
        <w:drawing>
          <wp:inline distT="0" distB="0" distL="0" distR="0">
            <wp:extent cx="4354830" cy="3361055"/>
            <wp:effectExtent l="0" t="0" r="7620" b="10795"/>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xmlns:r="http://schemas.openxmlformats.org/officeDocument/2006/relationships" r:embed="rId28"/>
                    <a:stretch>
                      <a:fillRect/>
                    </a:stretch>
                  </pic:blipFill>
                  <pic:spPr>
                    <a:xfrm>
                      <a:off x="0" y="0"/>
                      <a:ext cx="4354830" cy="336105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b/>
          <w:bCs/>
          <w:sz w:val="28"/>
          <w:szCs w:val="20"/>
        </w:rPr>
      </w:pPr>
      <w:r>
        <w:rPr>
          <w:rFonts w:ascii="Times New Roman" w:eastAsia="仿宋_GB2312" w:hAnsi="Times New Roman" w:cs="Times New Roman" w:hint="default"/>
          <w:b/>
          <w:bCs/>
          <w:sz w:val="28"/>
          <w:szCs w:val="20"/>
        </w:rPr>
        <w:t>八、</w:t>
      </w:r>
      <w:r>
        <w:rPr>
          <w:rFonts w:ascii="Times New Roman" w:eastAsia="仿宋_GB2312" w:hAnsi="Times New Roman" w:cs="Times New Roman" w:hint="default"/>
          <w:b/>
          <w:bCs/>
          <w:sz w:val="28"/>
          <w:szCs w:val="20"/>
          <w:lang w:val="en-US" w:eastAsia="zh-CN"/>
        </w:rPr>
        <w:t>合同</w:t>
      </w:r>
      <w:r>
        <w:rPr>
          <w:rFonts w:ascii="Times New Roman" w:eastAsia="仿宋_GB2312" w:hAnsi="Times New Roman" w:cs="Times New Roman" w:hint="default"/>
          <w:b/>
          <w:bCs/>
          <w:sz w:val="28"/>
          <w:szCs w:val="20"/>
        </w:rPr>
        <w:t>付款方式</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分期付款：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（1）合同生效后付款：双方签署合同后20个工作日内，乙方向甲方开具合同总金额的</w:t>
      </w:r>
      <w:r>
        <w:rPr>
          <w:rFonts w:ascii="Times New Roman" w:eastAsia="仿宋_GB2312" w:hAnsi="Times New Roman" w:cs="Times New Roman" w:hint="eastAsia"/>
          <w:sz w:val="28"/>
          <w:szCs w:val="20"/>
          <w:lang w:val="en-US" w:eastAsia="zh-CN"/>
        </w:rPr>
        <w:t>80</w:t>
      </w:r>
      <w:r>
        <w:rPr>
          <w:rFonts w:ascii="Times New Roman" w:eastAsia="仿宋_GB2312" w:hAnsi="Times New Roman" w:cs="Times New Roman" w:hint="default"/>
          <w:sz w:val="28"/>
          <w:szCs w:val="20"/>
        </w:rPr>
        <w:t>% 即人民币</w:t>
      </w:r>
      <w:r>
        <w:rPr>
          <w:rFonts w:ascii="Times New Roman" w:eastAsia="仿宋_GB2312" w:hAnsi="Times New Roman" w:cs="Times New Roman" w:hint="default"/>
          <w:sz w:val="28"/>
          <w:szCs w:val="20"/>
          <w:u w:val="single"/>
        </w:rPr>
        <w:t xml:space="preserve">    </w:t>
      </w:r>
      <w:r>
        <w:rPr>
          <w:rFonts w:ascii="Times New Roman" w:eastAsia="仿宋_GB2312" w:hAnsi="Times New Roman" w:cs="Times New Roman" w:hint="default"/>
          <w:sz w:val="28"/>
          <w:szCs w:val="20"/>
        </w:rPr>
        <w:t>元（大写）</w:t>
      </w:r>
      <w:r>
        <w:rPr>
          <w:rFonts w:ascii="Times New Roman" w:eastAsia="仿宋_GB2312" w:hAnsi="Times New Roman" w:cs="Times New Roman" w:hint="default"/>
          <w:sz w:val="28"/>
          <w:szCs w:val="20"/>
          <w:u w:val="single"/>
        </w:rPr>
        <w:t xml:space="preserve">    </w:t>
      </w:r>
      <w:r>
        <w:rPr>
          <w:rFonts w:ascii="Times New Roman" w:eastAsia="仿宋_GB2312" w:hAnsi="Times New Roman" w:cs="Times New Roman" w:hint="default"/>
          <w:sz w:val="28"/>
          <w:szCs w:val="20"/>
        </w:rPr>
        <w:t>（小写） 的增值税普通发票，同时甲方向乙方支付相应金额款项。</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 xml:space="preserve">（2）到货后付款：设备到货、签收后 20个工作日内，乙方向甲方开具合同总金额的 </w:t>
      </w:r>
      <w:r>
        <w:rPr>
          <w:rFonts w:ascii="Times New Roman" w:eastAsia="仿宋_GB2312" w:hAnsi="Times New Roman" w:cs="Times New Roman" w:hint="eastAsia"/>
          <w:sz w:val="28"/>
          <w:szCs w:val="20"/>
          <w:lang w:val="en-US" w:eastAsia="zh-CN"/>
        </w:rPr>
        <w:t>15</w:t>
      </w:r>
      <w:r>
        <w:rPr>
          <w:rFonts w:ascii="Times New Roman" w:eastAsia="仿宋_GB2312" w:hAnsi="Times New Roman" w:cs="Times New Roman" w:hint="default"/>
          <w:sz w:val="28"/>
          <w:szCs w:val="20"/>
        </w:rPr>
        <w:t>% 即人民币</w:t>
      </w:r>
      <w:r>
        <w:rPr>
          <w:rFonts w:ascii="Times New Roman" w:eastAsia="仿宋_GB2312" w:hAnsi="Times New Roman" w:cs="Times New Roman" w:hint="default"/>
          <w:sz w:val="28"/>
          <w:szCs w:val="20"/>
          <w:u w:val="single"/>
        </w:rPr>
        <w:t xml:space="preserve">    </w:t>
      </w:r>
      <w:r>
        <w:rPr>
          <w:rFonts w:ascii="Times New Roman" w:eastAsia="仿宋_GB2312" w:hAnsi="Times New Roman" w:cs="Times New Roman" w:hint="default"/>
          <w:sz w:val="28"/>
          <w:szCs w:val="20"/>
        </w:rPr>
        <w:t>元（大写）</w:t>
      </w:r>
      <w:r>
        <w:rPr>
          <w:rFonts w:ascii="Times New Roman" w:eastAsia="仿宋_GB2312" w:hAnsi="Times New Roman" w:cs="Times New Roman" w:hint="default"/>
          <w:sz w:val="28"/>
          <w:szCs w:val="20"/>
          <w:u w:val="single"/>
        </w:rPr>
        <w:t xml:space="preserve">    </w:t>
      </w:r>
      <w:r>
        <w:rPr>
          <w:rFonts w:ascii="Times New Roman" w:eastAsia="仿宋_GB2312" w:hAnsi="Times New Roman" w:cs="Times New Roman" w:hint="default"/>
          <w:sz w:val="28"/>
          <w:szCs w:val="20"/>
        </w:rPr>
        <w:t>元（小写） 的增值税普通发票，同时甲方向乙方支付相应金额款项。</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（3）乙方在合同</w:t>
      </w:r>
      <w:r>
        <w:rPr>
          <w:rFonts w:ascii="Times New Roman" w:eastAsia="仿宋_GB2312" w:hAnsi="Times New Roman" w:cs="Times New Roman" w:hint="default"/>
          <w:sz w:val="28"/>
          <w:szCs w:val="20"/>
          <w:lang w:val="en-US" w:eastAsia="zh-CN"/>
        </w:rPr>
        <w:t>验收</w:t>
      </w:r>
      <w:r>
        <w:rPr>
          <w:rFonts w:ascii="Times New Roman" w:eastAsia="仿宋_GB2312" w:hAnsi="Times New Roman" w:cs="Times New Roman" w:hint="default"/>
          <w:sz w:val="28"/>
          <w:szCs w:val="20"/>
        </w:rPr>
        <w:t xml:space="preserve">后20个工作日内，向甲方开具合同总金额的 </w:t>
      </w:r>
      <w:r>
        <w:rPr>
          <w:rFonts w:ascii="Times New Roman" w:eastAsia="仿宋_GB2312" w:hAnsi="Times New Roman" w:cs="Times New Roman" w:hint="default"/>
          <w:sz w:val="28"/>
          <w:szCs w:val="20"/>
          <w:lang w:val="en-US" w:eastAsia="zh-CN"/>
        </w:rPr>
        <w:t>5</w:t>
      </w:r>
      <w:r>
        <w:rPr>
          <w:rFonts w:ascii="Times New Roman" w:eastAsia="仿宋_GB2312" w:hAnsi="Times New Roman" w:cs="Times New Roman" w:hint="default"/>
          <w:sz w:val="28"/>
          <w:szCs w:val="20"/>
        </w:rPr>
        <w:t>% 即人民币</w:t>
      </w:r>
      <w:r>
        <w:rPr>
          <w:rFonts w:ascii="Times New Roman" w:eastAsia="仿宋_GB2312" w:hAnsi="Times New Roman" w:cs="Times New Roman" w:hint="default"/>
          <w:sz w:val="28"/>
          <w:szCs w:val="20"/>
          <w:u w:val="single"/>
        </w:rPr>
        <w:t xml:space="preserve">    </w:t>
      </w:r>
      <w:r>
        <w:rPr>
          <w:rFonts w:ascii="Times New Roman" w:eastAsia="仿宋_GB2312" w:hAnsi="Times New Roman" w:cs="Times New Roman" w:hint="default"/>
          <w:sz w:val="28"/>
          <w:szCs w:val="20"/>
        </w:rPr>
        <w:t>元（大写）</w:t>
      </w:r>
      <w:r>
        <w:rPr>
          <w:rFonts w:ascii="Times New Roman" w:eastAsia="仿宋_GB2312" w:hAnsi="Times New Roman" w:cs="Times New Roman" w:hint="default"/>
          <w:sz w:val="28"/>
          <w:szCs w:val="20"/>
          <w:u w:val="single"/>
        </w:rPr>
        <w:t xml:space="preserve">    </w:t>
      </w:r>
      <w:r>
        <w:rPr>
          <w:rFonts w:ascii="Times New Roman" w:eastAsia="仿宋_GB2312" w:hAnsi="Times New Roman" w:cs="Times New Roman" w:hint="default"/>
          <w:sz w:val="28"/>
          <w:szCs w:val="20"/>
        </w:rPr>
        <w:t>元（小写） 的增值税普通发票，甲方向乙方支付相应金额款项</w:t>
      </w:r>
      <w:r>
        <w:rPr>
          <w:rFonts w:ascii="Times New Roman" w:eastAsia="仿宋_GB2312" w:hAnsi="Times New Roman" w:cs="Times New Roman" w:hint="default"/>
          <w:sz w:val="28"/>
          <w:szCs w:val="20"/>
          <w:lang w:eastAsia="zh-CN"/>
        </w:rPr>
        <w:t>。同时乙方向甲方提供5%的银行履约保函，</w:t>
      </w:r>
      <w:r>
        <w:rPr>
          <w:rFonts w:ascii="Times New Roman" w:eastAsia="仿宋_GB2312" w:hAnsi="Times New Roman" w:cs="Times New Roman" w:hint="default"/>
          <w:sz w:val="28"/>
          <w:szCs w:val="20"/>
        </w:rPr>
        <w:t>即人民币</w:t>
      </w:r>
      <w:r>
        <w:rPr>
          <w:rFonts w:ascii="Times New Roman" w:eastAsia="仿宋_GB2312" w:hAnsi="Times New Roman" w:cs="Times New Roman" w:hint="default"/>
          <w:sz w:val="28"/>
          <w:szCs w:val="20"/>
          <w:u w:val="single"/>
        </w:rPr>
        <w:t xml:space="preserve">    </w:t>
      </w:r>
      <w:r>
        <w:rPr>
          <w:rFonts w:ascii="Times New Roman" w:eastAsia="仿宋_GB2312" w:hAnsi="Times New Roman" w:cs="Times New Roman" w:hint="default"/>
          <w:sz w:val="28"/>
          <w:szCs w:val="20"/>
        </w:rPr>
        <w:t>元（大写）</w:t>
      </w:r>
      <w:r>
        <w:rPr>
          <w:rFonts w:ascii="Times New Roman" w:eastAsia="仿宋_GB2312" w:hAnsi="Times New Roman" w:cs="Times New Roman" w:hint="default"/>
          <w:sz w:val="28"/>
          <w:szCs w:val="20"/>
          <w:u w:val="single"/>
        </w:rPr>
        <w:t xml:space="preserve">    </w:t>
      </w:r>
      <w:r>
        <w:rPr>
          <w:rFonts w:ascii="Times New Roman" w:eastAsia="仿宋_GB2312" w:hAnsi="Times New Roman" w:cs="Times New Roman" w:hint="default"/>
          <w:sz w:val="28"/>
          <w:szCs w:val="20"/>
        </w:rPr>
        <w:t>元（小写）</w:t>
      </w:r>
      <w:r>
        <w:rPr>
          <w:rFonts w:ascii="Times New Roman" w:eastAsia="仿宋_GB2312" w:hAnsi="Times New Roman" w:cs="Times New Roman" w:hint="default"/>
          <w:sz w:val="28"/>
          <w:szCs w:val="20"/>
          <w:lang w:eastAsia="zh-CN"/>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b/>
          <w:bCs/>
          <w:sz w:val="28"/>
          <w:szCs w:val="20"/>
        </w:rPr>
      </w:pPr>
      <w:r>
        <w:rPr>
          <w:rFonts w:ascii="Times New Roman" w:eastAsia="仿宋_GB2312" w:hAnsi="Times New Roman" w:cs="Times New Roman" w:hint="default"/>
          <w:b/>
          <w:bCs/>
          <w:sz w:val="28"/>
          <w:szCs w:val="20"/>
          <w:lang w:val="en-US" w:eastAsia="zh-CN"/>
        </w:rPr>
        <w:t>九</w:t>
      </w:r>
      <w:r>
        <w:rPr>
          <w:rFonts w:ascii="Times New Roman" w:eastAsia="仿宋_GB2312" w:hAnsi="Times New Roman" w:cs="Times New Roman" w:hint="default"/>
          <w:b/>
          <w:bCs/>
          <w:sz w:val="28"/>
          <w:szCs w:val="20"/>
        </w:rPr>
        <w:t>、检验考核要求</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采购人应对合同设备在考核中应达到的技术性能考核指标进行规定，并可根据合同设备的实际情况，规定可以接受的合同设备的最低技术性能考核指标。</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1）测试期间中标方必须在招标方代表参加的情况下，在工厂环境里验证相关的硬件和软件能够完全正确运行和满足验收方案要求和技术指标，并形成出厂测试报告。如果未能通过出厂验收测试，验收将延期重新进行，由此增加的一切费用由中标方承担。出厂测试验收时，中标方应提供配套软件详细的技术文档，包括但是不限于检测报告、电路图、技术说明书和使用说明书等各1份。</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imes New Roman" w:eastAsia="仿宋_GB2312" w:hAnsi="Times New Roman" w:cs="Times New Roman" w:hint="default"/>
          <w:sz w:val="28"/>
          <w:szCs w:val="20"/>
        </w:rPr>
      </w:pPr>
      <w:r>
        <w:rPr>
          <w:rFonts w:ascii="Times New Roman" w:eastAsia="仿宋_GB2312" w:hAnsi="Times New Roman" w:cs="Times New Roman" w:hint="default"/>
          <w:sz w:val="28"/>
          <w:szCs w:val="20"/>
        </w:rPr>
        <w:t>（2）现场测试验收应在中标方指定的建设场地对设备和软件进行调试后，经过1个月的试运行，在招标方代表参加的情况下，依据验收方案中相关要求和技术指标对配套软件分别进行现场验收测试并形成现场测试报告。如果未能通过现场验收测试，验收将延期重新进行，由此增加的一切费用由中标方承担。</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以下产品需要提供至投标截止日仍有效的《气象专用技术装备使用许可证》：X波段双线偏振多普勒天气雷达</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4.2质保期服务</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中标方按照中国气象局有关要求提供服务，确保设备稳定运行，主要工作包括：日巡查、周维护、月维护及标校、汛前巡检及标校、年维护及标校、卫生清洁、防雷设施检测、消防设备检测、铁塔安全性检测等现场巡检巡查工作，以及自验收合格后8年的整机及雷达分系统质保服务等。</w:t>
            </w:r>
          </w:p>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按照中国气象局有关业务规范要求，在三级及以上气象应急响应期间，24小时全天候现场值守保障，并定期编制和上报雷达运行状态及故障处置报告。</w:t>
            </w:r>
          </w:p>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备品备件按质保总额的20%比例配置。设备厂家以履约保函等形式支付20%担保金额，后续逐年返还。此外，设备厂家应按照雷达维修保障要求配</w:t>
            </w:r>
            <w:r>
              <w:rPr>
                <w:rFonts w:ascii="宋体" w:hAnsi="宋体" w:cs="微软雅黑" w:hint="eastAsia"/>
                <w:b/>
                <w:color w:val="0000FF"/>
                <w:kern w:val="0"/>
                <w:sz w:val="18"/>
                <w:szCs w:val="18"/>
                <w:highlight w:val="none"/>
              </w:rPr>
              <w:t>置整机备品备件，确保维修保障时效内配送至雷达站。</w:t>
            </w:r>
          </w:p>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备品备件、维护标校、故障维修和巡检巡查等各项要求按照《X波段天气雷达观测规范（试行）》、《X波段天气雷达标校业务规范（试行）》等文件要求执行。</w:t>
            </w:r>
          </w:p>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质保期服务提供相关承诺函。</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4.3软件调试</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软件调试</w:t>
            </w:r>
            <w:r>
              <w:rPr>
                <w:rFonts w:ascii="宋体" w:hAnsi="宋体" w:cs="微软雅黑" w:hint="eastAsia"/>
                <w:b/>
                <w:color w:val="0000FF"/>
                <w:kern w:val="0"/>
                <w:sz w:val="18"/>
                <w:szCs w:val="18"/>
                <w:highlight w:val="none"/>
                <w:lang w:eastAsia="zh-CN"/>
              </w:rPr>
              <w:t>：中标方需配合采购方，完成ROSE-X等软件的安装调试，保证上站后能够安全稳定运行。投标方须提供承诺函。</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29"/>
          <w:footerReference w:type="default" r:id="rId30"/>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双方签署合同后20个工作日内，乙方向甲方开具合同总金额的</w:t>
      </w:r>
      <w:r>
        <w:rPr>
          <w:rFonts w:ascii="宋体" w:hAnsi="宋体" w:hint="eastAsia"/>
          <w:szCs w:val="21"/>
          <w:highlight w:val="none"/>
          <w:u w:val="single"/>
          <w:lang w:val="en-US" w:eastAsia="zh-CN"/>
        </w:rPr>
        <w:t>80</w:t>
      </w:r>
      <w:r>
        <w:rPr>
          <w:rFonts w:ascii="宋体" w:hAnsi="宋体" w:hint="eastAsia"/>
          <w:szCs w:val="21"/>
          <w:highlight w:val="none"/>
          <w:u w:val="single"/>
        </w:rPr>
        <w:t>%</w:t>
      </w:r>
      <w:r>
        <w:rPr>
          <w:rFonts w:ascii="宋体" w:hAnsi="宋体" w:hint="eastAsia"/>
          <w:szCs w:val="21"/>
          <w:highlight w:val="none"/>
          <w:u w:val="single"/>
          <w:lang w:eastAsia="zh-CN"/>
        </w:rPr>
        <w:t>的</w:t>
      </w:r>
      <w:r>
        <w:rPr>
          <w:rFonts w:ascii="宋体" w:hAnsi="宋体" w:hint="eastAsia"/>
          <w:szCs w:val="21"/>
          <w:highlight w:val="none"/>
          <w:u w:val="single"/>
        </w:rPr>
        <w:t>增值税普通发票，同时甲方向乙方支付相应金额款项</w:t>
      </w:r>
      <w:r>
        <w:rPr>
          <w:rFonts w:ascii="宋体" w:hAnsi="宋体" w:hint="eastAsia"/>
          <w:szCs w:val="21"/>
          <w:highlight w:val="none"/>
          <w:u w:val="single"/>
          <w:lang w:eastAsia="zh-CN"/>
        </w:rPr>
        <w:t xml:space="preserve">；设备到货、签收后 20个工作日内，乙方向甲方开具合同总金额的 </w:t>
      </w:r>
      <w:r>
        <w:rPr>
          <w:rFonts w:ascii="宋体" w:hAnsi="宋体" w:hint="eastAsia"/>
          <w:szCs w:val="21"/>
          <w:highlight w:val="none"/>
          <w:u w:val="single"/>
          <w:lang w:val="en-US" w:eastAsia="zh-CN"/>
        </w:rPr>
        <w:t>15</w:t>
      </w:r>
      <w:r>
        <w:rPr>
          <w:rFonts w:ascii="宋体" w:hAnsi="宋体" w:hint="eastAsia"/>
          <w:szCs w:val="21"/>
          <w:highlight w:val="none"/>
          <w:u w:val="single"/>
          <w:lang w:eastAsia="zh-CN"/>
        </w:rPr>
        <w:t xml:space="preserve">%的增值税普通发票，同时甲方向乙方支付相应金额款项；乙方在合同验收后20个工作日内，向甲方开具合同总金额的 5%的增值税普通发票，甲方向乙方支付相应金额款项。同时乙方向甲方提供5%的银行履约保函 </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WPSEMBED59">
    <w:panose1 w:val="02010609030101010101"/>
    <w:charset w:val="86"/>
    <w:family w:val="auto"/>
    <w:pitch w:val="default"/>
    <w:sig w:usb0="00000001" w:usb1="080E0000" w:usb2="00000000" w:usb3="00000000" w:csb0="00040000" w:csb1="00000000"/>
  </w:font>
  <w:font w:name="WPSEMBED60">
    <w:panose1 w:val="02010600010101010101"/>
    <w:charset w:val="86"/>
    <w:family w:val="auto"/>
    <w:pitch w:val="default"/>
    <w:sig w:usb0="00000001" w:usb1="080E0000" w:usb2="00000000" w:usb3="00000000" w:csb0="00040000" w:csb1="00000000"/>
  </w:font>
  <w:font w:name="Arial Unicode MS">
    <w:altName w:val="Arial"/>
    <w:panose1 w:val="00000000000000000000"/>
    <w:charset w:val="00"/>
    <w:family w:val="auto"/>
    <w:pitch w:val="default"/>
    <w:sig w:usb0="00000000" w:usb1="00000000" w:usb2="00000000" w:usb3="00000000" w:csb0="00000001" w:csb1="00000000"/>
  </w:font>
  <w:font w:name="Helvetica">
    <w:altName w:val="Arial"/>
    <w:panose1 w:val="020B0604020202020204"/>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Microsoft YaHei">
    <w:panose1 w:val="020B0503020204020204"/>
    <w:charset w:val="86"/>
    <w:family w:val="auto"/>
    <w:pitch w:val="default"/>
    <w:sig w:usb0="80000287" w:usb1="280F3C52" w:usb2="00000016" w:usb3="00000000" w:csb0="0004001F" w:csb1="00000000"/>
  </w:font>
  <w:font w:name="Noto Sans Syriac Eastern">
    <w:panose1 w:val="02040503050306020203"/>
    <w:charset w:val="86"/>
    <w:family w:val="auto"/>
    <w:pitch w:val="default"/>
    <w:sig w:usb0="00000000" w:usb1="00000000" w:usb2="00000080" w:usb3="00000000" w:csb0="203E0161" w:csb1="D7FF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noto sans thai">
    <w:panose1 w:val="020B0502040504020204"/>
    <w:charset w:val="00"/>
    <w:family w:val="auto"/>
    <w:pitch w:val="default"/>
    <w:sig w:usb0="81000063" w:usb1="00002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 w:type="paragraph" w:styleId="BodyTextFirstIndent2">
    <w:name w:val="Body Text First Indent 2"/>
    <w:basedOn w:val="BodyTextIndent"/>
    <w:link w:val="20"/>
    <w:qFormat/>
    <w:pPr>
      <w:ind w:firstLine="420" w:firstLineChars="200"/>
    </w:pPr>
    <w:rPr>
      <w:rFonts w:eastAsia="方正仿宋"/>
      <w:sz w:val="32"/>
    </w:rPr>
  </w:style>
  <w:style w:type="character" w:customStyle="1" w:styleId="20">
    <w:name w:val="正文文本首行缩进 2 字符"/>
    <w:link w:val="BodyTextFirstIndent2"/>
    <w:qFormat/>
    <w:rPr>
      <w:rFonts w:ascii="仿宋_GB2312" w:eastAsia="方正仿宋"/>
      <w:kern w:val="2"/>
      <w:sz w:val="32"/>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png" /><Relationship Id="rId19" Type="http://schemas.openxmlformats.org/officeDocument/2006/relationships/image" Target="media/image14.emf" /><Relationship Id="rId2" Type="http://schemas.openxmlformats.org/officeDocument/2006/relationships/webSettings" Target="webSettings.xml" /><Relationship Id="rId20" Type="http://schemas.openxmlformats.org/officeDocument/2006/relationships/oleObject" Target="embeddings/oleObject1.bin" /><Relationship Id="rId21" Type="http://schemas.openxmlformats.org/officeDocument/2006/relationships/image" Target="media/image15.png" /><Relationship Id="rId22" Type="http://schemas.openxmlformats.org/officeDocument/2006/relationships/image" Target="media/image16.jpeg" /><Relationship Id="rId23" Type="http://schemas.openxmlformats.org/officeDocument/2006/relationships/image" Target="media/image17.png" /><Relationship Id="rId24" Type="http://schemas.openxmlformats.org/officeDocument/2006/relationships/image" Target="media/image18.jpeg" /><Relationship Id="rId25" Type="http://schemas.openxmlformats.org/officeDocument/2006/relationships/image" Target="media/image19.jpeg" /><Relationship Id="rId26" Type="http://schemas.openxmlformats.org/officeDocument/2006/relationships/image" Target="media/image20.jpeg" /><Relationship Id="rId27" Type="http://schemas.openxmlformats.org/officeDocument/2006/relationships/image" Target="media/image21.jpeg" /><Relationship Id="rId28" Type="http://schemas.openxmlformats.org/officeDocument/2006/relationships/image" Target="media/image22.jpeg" /><Relationship Id="rId29" Type="http://schemas.openxmlformats.org/officeDocument/2006/relationships/header" Target="header2.xml" /><Relationship Id="rId3" Type="http://schemas.openxmlformats.org/officeDocument/2006/relationships/fontTable" Target="fontTable.xml" /><Relationship Id="rId30" Type="http://schemas.openxmlformats.org/officeDocument/2006/relationships/footer" Target="footer2.xml" /><Relationship Id="rId31" Type="http://schemas.openxmlformats.org/officeDocument/2006/relationships/theme" Target="theme/theme1.xml" /><Relationship Id="rId32" Type="http://schemas.openxmlformats.org/officeDocument/2006/relationships/numbering" Target="numbering.xml" /><Relationship Id="rId33"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