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智能化气象数据服务能力建设</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ZQCD-26202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left="210" w:firstLine="210" w:leftChars="100" w:firstLineChars="1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left"/>
        <w:outlineLvl w:val="1"/>
        <w:rPr>
          <w:rFonts w:ascii="宋体" w:hAnsi="宋体" w:hint="eastAsia"/>
        </w:rPr>
      </w:pP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1.3.10</w:t>
            </w:r>
          </w:p>
        </w:tc>
        <w:tc>
          <w:tcPr>
            <w:tcW w:w="7723" w:type="dxa"/>
            <w:vAlign w:val="center"/>
          </w:tcPr>
          <w:p>
            <w:pPr>
              <w:pStyle w:val="10"/>
              <w:numPr>
                <w:ilvl w:val="0"/>
                <w:numId w:val="0"/>
              </w:numPr>
              <w:tabs>
                <w:tab w:val="left" w:pos="34"/>
                <w:tab w:val="clear" w:pos="709"/>
                <w:tab w:val="left" w:pos="1573"/>
              </w:tabs>
              <w:adjustRightInd w:val="0"/>
              <w:snapToGrid w:val="0"/>
              <w:spacing w:line="360" w:lineRule="auto"/>
              <w:ind w:left="34" w:leftChars="16"/>
              <w:rPr>
                <w:rFonts w:hint="eastAsia"/>
                <w:bCs/>
                <w:sz w:val="18"/>
                <w:szCs w:val="18"/>
              </w:rPr>
            </w:pPr>
            <w:r>
              <w:rPr>
                <w:rFonts w:hint="eastAsia"/>
                <w:sz w:val="18"/>
                <w:szCs w:val="18"/>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rPr>
              <w:t>拒绝</w:t>
            </w:r>
            <w:r>
              <w:rPr>
                <w:rFonts w:hint="eastAsia"/>
                <w:bCs/>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rPr>
              <w:t>仅接受该</w:t>
            </w:r>
            <w:r>
              <w:rPr>
                <w:rFonts w:ascii="宋体" w:hAnsi="宋体" w:hint="eastAsia"/>
                <w:sz w:val="18"/>
                <w:szCs w:val="18"/>
              </w:rPr>
              <w:t>投标人</w:t>
            </w:r>
            <w:r>
              <w:rPr>
                <w:rFonts w:ascii="宋体" w:hAnsi="宋体"/>
                <w:sz w:val="18"/>
                <w:szCs w:val="18"/>
              </w:rPr>
              <w:t>的投标，</w:t>
            </w:r>
            <w:r>
              <w:rPr>
                <w:rFonts w:ascii="宋体" w:hAnsi="宋体" w:hint="eastAsia"/>
                <w:sz w:val="18"/>
                <w:szCs w:val="18"/>
              </w:rPr>
              <w:t>被</w:t>
            </w:r>
            <w:r>
              <w:rPr>
                <w:rFonts w:ascii="宋体" w:hAnsi="宋体"/>
                <w:sz w:val="18"/>
                <w:szCs w:val="18"/>
              </w:rPr>
              <w:t>授权</w:t>
            </w:r>
            <w:r>
              <w:rPr>
                <w:rFonts w:ascii="宋体" w:hAnsi="宋体" w:hint="eastAsia"/>
                <w:sz w:val="18"/>
                <w:szCs w:val="18"/>
              </w:rPr>
              <w:t>人的</w:t>
            </w:r>
            <w:r>
              <w:rPr>
                <w:rFonts w:ascii="宋体" w:hAnsi="宋体"/>
                <w:sz w:val="18"/>
                <w:szCs w:val="18"/>
              </w:rPr>
              <w:t>投标将被</w:t>
            </w:r>
            <w:r>
              <w:rPr>
                <w:rFonts w:ascii="宋体" w:hAnsi="宋体"/>
                <w:b/>
                <w:sz w:val="18"/>
                <w:szCs w:val="18"/>
              </w:rPr>
              <w:t>拒绝</w:t>
            </w:r>
            <w:r>
              <w:rPr>
                <w:rFonts w:ascii="宋体" w:hAnsi="宋体" w:hint="eastAsia"/>
                <w:sz w:val="18"/>
                <w:szCs w:val="18"/>
              </w:rPr>
              <w:t>。（2）除</w:t>
            </w:r>
            <w:r>
              <w:rPr>
                <w:rFonts w:ascii="宋体" w:hAnsi="宋体" w:hint="eastAsia"/>
                <w:b/>
                <w:bCs/>
                <w:sz w:val="18"/>
                <w:szCs w:val="18"/>
              </w:rPr>
              <w:t>第五章投标人须知专用部分</w:t>
            </w:r>
            <w:r>
              <w:rPr>
                <w:rFonts w:ascii="宋体" w:hAnsi="宋体" w:hint="eastAsia"/>
                <w:bCs/>
                <w:sz w:val="18"/>
                <w:szCs w:val="18"/>
              </w:rPr>
              <w:t>另有约定外，拥有第三方软件著作权的所有</w:t>
            </w:r>
            <w:r>
              <w:rPr>
                <w:rFonts w:ascii="宋体" w:hAnsi="宋体" w:hint="eastAsia"/>
                <w:sz w:val="18"/>
                <w:szCs w:val="18"/>
              </w:rPr>
              <w:t>第三方，只能授权同一个投标人在开发本项目招标的软件时，对该第三方软件进行移植、修改、再开发，否则被授权的所有投标人的投标将全部被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1.3.12</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1.3.13</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本项目如不需要驻场服务，则投标人应符合以下条件，否则投标将被</w:t>
            </w:r>
            <w:r>
              <w:rPr>
                <w:rFonts w:ascii="宋体" w:hAnsi="宋体" w:hint="eastAsia"/>
                <w:b/>
                <w:sz w:val="18"/>
                <w:szCs w:val="18"/>
              </w:rPr>
              <w:t>拒绝</w:t>
            </w:r>
            <w:r>
              <w:rPr>
                <w:rFonts w:ascii="宋体" w:hAnsi="宋体" w:hint="eastAsia"/>
                <w:sz w:val="18"/>
                <w:szCs w:val="18"/>
              </w:rPr>
              <w:t>：</w:t>
            </w:r>
            <w:r>
              <w:rPr>
                <w:rFonts w:ascii="宋体" w:hAnsi="宋体" w:hint="eastAsia"/>
                <w:sz w:val="18"/>
                <w:szCs w:val="18"/>
              </w:rPr>
              <w:t>①</w:t>
            </w:r>
            <w:r>
              <w:rPr>
                <w:rFonts w:ascii="宋体" w:hAnsi="宋体" w:hint="eastAsia"/>
                <w:sz w:val="18"/>
                <w:szCs w:val="18"/>
              </w:rPr>
              <w:t>用于本项目的设施、系统和数据与其他项目有明确、清晰的边界；</w:t>
            </w:r>
            <w:r>
              <w:rPr>
                <w:rFonts w:ascii="宋体" w:hAnsi="宋体" w:hint="eastAsia"/>
                <w:sz w:val="18"/>
                <w:szCs w:val="18"/>
              </w:rPr>
              <w:t>②</w:t>
            </w:r>
            <w:r>
              <w:rPr>
                <w:rFonts w:ascii="宋体" w:hAnsi="宋体" w:hint="eastAsia"/>
                <w:sz w:val="18"/>
                <w:szCs w:val="18"/>
              </w:rPr>
              <w:t>用于本项目的服务器</w:t>
            </w:r>
            <w:r>
              <w:rPr>
                <w:rFonts w:ascii="宋体" w:hAnsi="宋体" w:hint="eastAsia"/>
                <w:spacing w:val="-34"/>
                <w:sz w:val="18"/>
                <w:szCs w:val="18"/>
              </w:rPr>
              <w:t>、</w:t>
            </w:r>
            <w:r>
              <w:rPr>
                <w:rFonts w:ascii="宋体" w:hAnsi="宋体" w:hint="eastAsia"/>
                <w:sz w:val="18"/>
                <w:szCs w:val="18"/>
              </w:rPr>
              <w:t>存储</w:t>
            </w:r>
            <w:r>
              <w:rPr>
                <w:rFonts w:ascii="宋体" w:hAnsi="宋体" w:hint="eastAsia"/>
                <w:spacing w:val="-34"/>
                <w:sz w:val="18"/>
                <w:szCs w:val="18"/>
              </w:rPr>
              <w:t>、</w:t>
            </w:r>
            <w:r>
              <w:rPr>
                <w:rFonts w:ascii="宋体" w:hAnsi="宋体" w:hint="eastAsia"/>
                <w:sz w:val="18"/>
                <w:szCs w:val="18"/>
              </w:rPr>
              <w:t>网络设备、操作系统</w:t>
            </w:r>
            <w:r>
              <w:rPr>
                <w:rFonts w:ascii="宋体" w:hAnsi="宋体" w:hint="eastAsia"/>
                <w:spacing w:val="-20"/>
                <w:sz w:val="18"/>
                <w:szCs w:val="18"/>
              </w:rPr>
              <w:t>、</w:t>
            </w:r>
            <w:r>
              <w:rPr>
                <w:rFonts w:ascii="宋体" w:hAnsi="宋体" w:hint="eastAsia"/>
                <w:sz w:val="18"/>
                <w:szCs w:val="18"/>
              </w:rPr>
              <w:t>数据库</w:t>
            </w:r>
            <w:r>
              <w:rPr>
                <w:rFonts w:ascii="宋体" w:hAnsi="宋体" w:hint="eastAsia"/>
                <w:spacing w:val="-20"/>
                <w:sz w:val="18"/>
                <w:szCs w:val="18"/>
              </w:rPr>
              <w:t>、</w:t>
            </w:r>
            <w:r>
              <w:rPr>
                <w:rFonts w:ascii="宋体" w:hAnsi="宋体" w:hint="eastAsia"/>
                <w:sz w:val="18"/>
                <w:szCs w:val="18"/>
              </w:rPr>
              <w:t>中间件等软</w:t>
            </w:r>
            <w:r>
              <w:rPr>
                <w:rFonts w:ascii="宋体" w:hAnsi="宋体" w:hint="eastAsia"/>
                <w:spacing w:val="-20"/>
                <w:sz w:val="18"/>
                <w:szCs w:val="18"/>
              </w:rPr>
              <w:t>、</w:t>
            </w:r>
            <w:r>
              <w:rPr>
                <w:rFonts w:ascii="宋体" w:hAnsi="宋体" w:hint="eastAsia"/>
                <w:sz w:val="18"/>
                <w:szCs w:val="18"/>
              </w:rPr>
              <w:t>硬件设施具有最高管理权限；</w:t>
            </w:r>
            <w:r>
              <w:rPr>
                <w:rFonts w:ascii="宋体" w:hAnsi="宋体" w:hint="eastAsia"/>
                <w:sz w:val="18"/>
                <w:szCs w:val="18"/>
              </w:rPr>
              <w:t>③</w:t>
            </w:r>
            <w:r>
              <w:rPr>
                <w:rFonts w:ascii="宋体" w:hAnsi="宋体" w:hint="eastAsia"/>
                <w:sz w:val="18"/>
                <w:szCs w:val="18"/>
              </w:rPr>
              <w:t>具有防止数据泄露的管理和技术措施；</w:t>
            </w:r>
            <w:r>
              <w:rPr>
                <w:rFonts w:ascii="宋体" w:hAnsi="宋体" w:hint="eastAsia"/>
                <w:sz w:val="18"/>
                <w:szCs w:val="18"/>
              </w:rPr>
              <w:t>④</w:t>
            </w:r>
            <w:r>
              <w:rPr>
                <w:rFonts w:ascii="宋体" w:hAnsi="宋体" w:hint="eastAsia"/>
                <w:sz w:val="18"/>
                <w:szCs w:val="18"/>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第五章投标人须知专用部分5.7条</w:t>
            </w:r>
            <w:r>
              <w:rPr>
                <w:rFonts w:hint="eastAsia"/>
                <w:sz w:val="18"/>
                <w:szCs w:val="18"/>
              </w:rPr>
              <w:t>有关代理商投标要求，以及进口产品代理商未按</w:t>
            </w:r>
            <w:r>
              <w:rPr>
                <w:rFonts w:hint="eastAsia"/>
                <w:b/>
                <w:sz w:val="18"/>
                <w:szCs w:val="18"/>
              </w:rPr>
              <w:t>第五章投标人须知专用部分5.8条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rPr>
            </w:pPr>
            <w:r>
              <w:rPr>
                <w:rFonts w:ascii="宋体" w:hAnsi="宋体" w:hint="eastAsia"/>
                <w:sz w:val="18"/>
                <w:szCs w:val="18"/>
              </w:rPr>
              <w:t>投标人未提交全以下商务文件（特别说明除外）：（1）法定代表人身份证明或授权委托书；（2）投标函；（3）资格、资信证明文件：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ascii="宋体" w:hAnsi="宋体"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ascii="宋体" w:hAnsi="宋体" w:hint="eastAsia"/>
                <w:sz w:val="18"/>
                <w:szCs w:val="18"/>
              </w:rPr>
              <w:t>④</w:t>
            </w:r>
            <w:r>
              <w:rPr>
                <w:rFonts w:ascii="宋体" w:hAnsi="宋体" w:hint="eastAsia"/>
                <w:sz w:val="18"/>
                <w:szCs w:val="18"/>
              </w:rPr>
              <w:t>财务状况证明；</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ascii="宋体" w:hAnsi="宋体" w:hint="eastAsia"/>
                <w:sz w:val="18"/>
                <w:szCs w:val="18"/>
              </w:rPr>
              <w:t>⑥</w:t>
            </w:r>
            <w:r>
              <w:rPr>
                <w:rFonts w:ascii="宋体" w:hAnsi="宋体" w:hint="eastAsia"/>
                <w:sz w:val="18"/>
                <w:szCs w:val="18"/>
              </w:rPr>
              <w:t>不使用第三方软件移植承诺书或</w:t>
            </w:r>
            <w:r>
              <w:rPr>
                <w:rFonts w:ascii="宋体" w:hAnsi="宋体" w:hint="eastAsia"/>
                <w:bCs/>
                <w:sz w:val="18"/>
                <w:szCs w:val="18"/>
              </w:rPr>
              <w:t>软件移植授权书（开发本项目招标的软件，如不使用第三方软件进行移植、修改和再开发的，应提供《</w:t>
            </w:r>
            <w:r>
              <w:rPr>
                <w:rFonts w:ascii="宋体" w:hAnsi="宋体" w:hint="eastAsia"/>
                <w:sz w:val="18"/>
                <w:szCs w:val="18"/>
              </w:rPr>
              <w:t>不使用第三方软件移植承诺书》，</w:t>
            </w:r>
            <w:r>
              <w:rPr>
                <w:rFonts w:ascii="宋体" w:hAnsi="宋体" w:hint="eastAsia"/>
                <w:bCs/>
                <w:sz w:val="18"/>
                <w:szCs w:val="18"/>
              </w:rPr>
              <w:t>如使用则应提供《软件移植授权书</w:t>
            </w:r>
            <w:r>
              <w:rPr>
                <w:rFonts w:ascii="宋体" w:hAnsi="宋体" w:hint="eastAsia"/>
                <w:sz w:val="18"/>
                <w:szCs w:val="18"/>
              </w:rPr>
              <w:t>》</w:t>
            </w:r>
            <w:r>
              <w:rPr>
                <w:rFonts w:ascii="宋体" w:hAnsi="宋体" w:hint="eastAsia"/>
                <w:bCs/>
                <w:sz w:val="18"/>
                <w:szCs w:val="18"/>
              </w:rPr>
              <w:t>）；</w:t>
            </w:r>
            <w:r>
              <w:rPr>
                <w:rFonts w:ascii="宋体" w:hAnsi="宋体" w:hint="eastAsia"/>
                <w:sz w:val="18"/>
                <w:szCs w:val="18"/>
              </w:rPr>
              <w:t>⑦</w:t>
            </w:r>
            <w:r>
              <w:rPr>
                <w:rFonts w:ascii="宋体" w:hAnsi="宋体" w:hint="eastAsia"/>
                <w:bCs/>
                <w:sz w:val="18"/>
                <w:szCs w:val="18"/>
              </w:rPr>
              <w:t>投标货物的《</w:t>
            </w:r>
            <w:r>
              <w:rPr>
                <w:rFonts w:ascii="宋体" w:hAnsi="宋体" w:hint="eastAsia"/>
                <w:sz w:val="18"/>
                <w:szCs w:val="18"/>
              </w:rPr>
              <w:t>气象专用技术装备使用许可证》（如本次采购内容不包括货物，或者投标货物不必须取得《气象专用技术装备使用许可证》的，可以不提供）；</w:t>
            </w:r>
            <w:r>
              <w:rPr>
                <w:rFonts w:ascii="宋体" w:hAnsi="宋体" w:hint="eastAsia"/>
                <w:bCs/>
                <w:sz w:val="18"/>
                <w:szCs w:val="18"/>
              </w:rPr>
              <w:t>⑧</w:t>
            </w:r>
            <w:r>
              <w:rPr>
                <w:rFonts w:ascii="宋体" w:hAnsi="宋体" w:hint="eastAsia"/>
                <w:bCs/>
                <w:sz w:val="18"/>
                <w:szCs w:val="18"/>
              </w:rPr>
              <w:t>进口产品制造商授权书（投标货物不是进口产品的，不提供）；</w:t>
            </w:r>
            <w:r>
              <w:rPr>
                <w:rFonts w:ascii="宋体" w:hAnsi="宋体" w:hint="eastAsia"/>
                <w:sz w:val="18"/>
                <w:szCs w:val="18"/>
              </w:rPr>
              <w:t>⑨</w:t>
            </w:r>
            <w:r>
              <w:rPr>
                <w:rFonts w:ascii="宋体" w:hAnsi="宋体" w:hint="eastAsia"/>
                <w:bCs/>
                <w:sz w:val="18"/>
                <w:szCs w:val="18"/>
              </w:rPr>
              <w:t>中小</w:t>
            </w:r>
            <w:r>
              <w:rPr>
                <w:rFonts w:ascii="宋体" w:hAnsi="宋体"/>
                <w:bCs/>
                <w:sz w:val="18"/>
                <w:szCs w:val="18"/>
              </w:rPr>
              <w:t>企业声明函</w:t>
            </w:r>
            <w:r>
              <w:rPr>
                <w:rFonts w:ascii="宋体" w:hAnsi="宋体"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⑩</w:t>
            </w:r>
            <w:r>
              <w:rPr>
                <w:rFonts w:ascii="宋体" w:hAnsi="宋体" w:hint="eastAsia"/>
                <w:sz w:val="18"/>
                <w:szCs w:val="18"/>
              </w:rPr>
              <w:t>联合体协议（如有）</w:t>
            </w:r>
            <w:r>
              <w:rPr>
                <w:rFonts w:ascii="宋体" w:hAnsi="宋体" w:hint="eastAsia"/>
                <w:bCs/>
                <w:sz w:val="18"/>
                <w:szCs w:val="18"/>
              </w:rPr>
              <w:t>；</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11</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分包意向协议（如有）；</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12</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按照</w:t>
            </w:r>
            <w:r>
              <w:rPr>
                <w:rFonts w:ascii="宋体" w:hAnsi="宋体" w:hint="eastAsia"/>
                <w:b/>
                <w:sz w:val="18"/>
                <w:szCs w:val="18"/>
              </w:rPr>
              <w:t>第五章投标人须知专用部分5.2条</w:t>
            </w:r>
            <w:r>
              <w:rPr>
                <w:rFonts w:ascii="宋体" w:hAnsi="宋体" w:hint="eastAsia"/>
                <w:sz w:val="18"/>
                <w:szCs w:val="18"/>
              </w:rPr>
              <w:t>规定应提交的特殊资质条件证明文件。（4）银行保函或投标保证金说明函（本项目不要求提交投标保证金的不提供）。（5）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tabs>
                <w:tab w:val="left" w:pos="900"/>
                <w:tab w:val="left" w:pos="5580"/>
              </w:tabs>
              <w:adjustRightInd w:val="0"/>
              <w:snapToGrid w:val="0"/>
              <w:spacing w:line="360" w:lineRule="auto"/>
              <w:jc w:val="left"/>
              <w:rPr>
                <w:rFonts w:ascii="宋体" w:hAnsi="宋体"/>
                <w:sz w:val="18"/>
                <w:szCs w:val="18"/>
              </w:rPr>
            </w:pPr>
            <w:r>
              <w:rPr>
                <w:rFonts w:ascii="宋体" w:hAnsi="宋体" w:hint="eastAsia"/>
                <w:sz w:val="18"/>
                <w:szCs w:val="18"/>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投标文件的盖章、签字等签署要求见1.2.9条。其中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rPr>
            </w:pPr>
            <w:r>
              <w:rPr>
                <w:rFonts w:ascii="宋体" w:hAnsi="宋体" w:hint="eastAsia"/>
                <w:b/>
                <w:sz w:val="18"/>
                <w:szCs w:val="18"/>
              </w:rPr>
              <w:t>不使用第三方软件移植承诺书。</w:t>
            </w:r>
            <w:r>
              <w:rPr>
                <w:rFonts w:ascii="宋体" w:hAnsi="宋体" w:hint="eastAsia"/>
                <w:sz w:val="18"/>
                <w:szCs w:val="18"/>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rPr>
            </w:pPr>
            <w:r>
              <w:rPr>
                <w:rFonts w:ascii="宋体" w:hAnsi="宋体" w:hint="eastAsia"/>
                <w:b/>
                <w:sz w:val="18"/>
                <w:szCs w:val="18"/>
              </w:rPr>
              <w:t>软件移植</w:t>
            </w:r>
            <w:r>
              <w:rPr>
                <w:rFonts w:ascii="宋体" w:hAnsi="宋体" w:hint="eastAsia"/>
                <w:b/>
                <w:bCs/>
                <w:sz w:val="18"/>
                <w:szCs w:val="18"/>
              </w:rPr>
              <w:t>授权书。</w:t>
            </w:r>
            <w:r>
              <w:rPr>
                <w:rFonts w:ascii="宋体" w:hAnsi="宋体" w:hint="eastAsia"/>
                <w:sz w:val="18"/>
                <w:szCs w:val="18"/>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国家气象信息中心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智能化气象数据服务能力建设</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ZQCD-26202</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合同签订后12个月内完成并具备验收条件</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国家气象信息中心</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2026年09月11日 00:00:00</w:t>
      </w:r>
      <w:bookmarkEnd w:id="27"/>
      <w:r>
        <w:rPr>
          <w:rFonts w:ascii="宋体" w:hint="eastAsia"/>
          <w:szCs w:val="21"/>
          <w:highlight w:val="none"/>
        </w:rPr>
        <w:t>至</w:t>
      </w:r>
      <w:bookmarkStart w:id="28" w:name="项目公告_signUpLastTime"/>
      <w:r>
        <w:rPr>
          <w:rFonts w:ascii="宋体" w:hint="eastAsia"/>
          <w:szCs w:val="21"/>
          <w:highlight w:val="none"/>
        </w:rPr>
        <w:t>2026年09月18日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9" w:name="项目公告_openBidTime"/>
      <w:r>
        <w:rPr>
          <w:rFonts w:ascii="宋体" w:hAnsi="宋体" w:hint="eastAsia"/>
          <w:bCs/>
          <w:szCs w:val="21"/>
          <w:highlight w:val="none"/>
        </w:rPr>
        <w:t>2026年10月09日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北京市海淀区中关村南大街46号中国气象局北区7号楼2层小会议室（科技大楼前草坪西侧），届时投标人的法定代表人或其授权的投标人授权代表无需到场参加。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陈小超</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010-68406136</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国家气象信息中心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邓莉</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010-58993450</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国家气象信息中心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4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4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（1）标的：智能化气象数据服务能力建设，属于软件和信息技术服务 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是，代理服务费：1.6万元。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112.000000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112.000000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7"/>
        <w:gridCol w:w="274"/>
        <w:gridCol w:w="914"/>
        <w:gridCol w:w="274"/>
        <w:gridCol w:w="73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(8)</w:t>
            </w:r>
          </w:p>
        </w:tc>
        <w:tc>
          <w:tcPr/>
          <w:p>
            <w:r>
              <w:t>评审标准：</w:t>
            </w:r>
          </w:p>
          <w:p>
            <w:r>
              <w:t>1、投标人具有 ISO9000系列质量管理体系认证；</w:t>
              <w:cr/>
              <w:t>2、投标人具有ISO20000信息技术服务管理体系认证；</w:t>
              <w:cr/>
              <w:t>3、投标人具有ISO27001信息安全管理体系认证；</w:t>
              <w:cr/>
              <w:t>4、知识产权管理体系认证；</w:t>
              <w:cr/>
              <w:t>以上每有一个证书得2分，满分8分。否则不得分。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每有1份得2分，最多不超过8分。否则不得分。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5</w:t>
            </w:r>
          </w:p>
        </w:tc>
        <w:tc>
          <w:tcPr>
            <w:vMerge/>
          </w:tcPr>
          <w:p>
            <w:r>
              <w:t>商务部分</w:t>
            </w:r>
          </w:p>
        </w:tc>
        <w:tc>
          <w:tcPr/>
          <w:p>
            <w:r>
              <w:t>投标人实力（客观分）</w:t>
            </w:r>
          </w:p>
        </w:tc>
        <w:tc>
          <w:tcPr/>
          <w:p>
            <w:r>
              <w:t>勾选打分</w:t>
            </w:r>
            <w:r>
              <w:t>(8)</w:t>
            </w:r>
          </w:p>
        </w:tc>
        <w:tc>
          <w:tcPr/>
          <w:p>
            <w:r>
              <w:t>评审标准：</w:t>
            </w:r>
          </w:p>
          <w:p>
            <w:r>
              <w:t>每提供1份软件著作权证书得2分，最多得 8分。</w:t>
            </w:r>
          </w:p>
          <w:p>
            <w:r>
              <w:t>评审标准说明：</w:t>
            </w:r>
          </w:p>
          <w:p>
            <w:r>
              <w:t>投标人提供原始取得的软件著作权证书，并加盖投标人公章。</w:t>
            </w:r>
          </w:p>
          <w:p/>
        </w:tc>
      </w:tr>
      <w:tr>
        <w:tblPrEx>
          <w:tblW w:w="5000" w:type="pct"/>
          <w:tblCellMar>
            <w:left w:w="108" w:type="dxa"/>
            <w:right w:w="108" w:type="dxa"/>
          </w:tblCellMar>
        </w:tblPrEx>
        <w:tc>
          <w:tcPr/>
          <w:p>
            <w:r>
              <w:t>6</w:t>
            </w:r>
          </w:p>
        </w:tc>
        <w:tc>
          <w:tcPr>
            <w:vMerge w:val="restart"/>
          </w:tcPr>
          <w:p>
            <w:r>
              <w:t>服务部分</w:t>
            </w:r>
          </w:p>
        </w:tc>
        <w:tc>
          <w:tcPr/>
          <w:p>
            <w:r>
              <w:t>服务团队（客观分）</w:t>
            </w:r>
          </w:p>
        </w:tc>
        <w:tc>
          <w:tcPr/>
          <w:p>
            <w:r>
              <w:t>区间打分</w:t>
            </w:r>
            <w:r>
              <w:t>(10)</w:t>
            </w:r>
          </w:p>
        </w:tc>
        <w:tc>
          <w:tcPr/>
          <w:p>
            <w:r>
              <w:t>评审标准：</w:t>
            </w:r>
          </w:p>
          <w:p>
            <w:r>
              <w:t xml:space="preserve">投标人应组成本项目开发服务团队，团队组织结构清晰，应设服务团队负责人（项目经理），人员专业背景齐全。具体如下： </w:t>
              <w:cr/>
              <w:t xml:space="preserve">1.团队人数至少4人，其中驻场人员至少4人。完全满足得4分，否则不得分。 </w:t>
              <w:cr/>
              <w:t>2.团队负责人有3年及以上同类项目开发经验，得3分，否则不得分。</w:t>
              <w:cr/>
              <w:t>3.除团队负责人外，团队驻场人员中每有1人有1年及以上同类项目开发经验得1分，最高得3分。</w:t>
            </w:r>
          </w:p>
          <w:p>
            <w:r>
              <w:t>评审标准说明：</w:t>
            </w:r>
          </w:p>
          <w:p>
            <w:r>
              <w:t>须提供团队人员名单及背景材料（证书复印件、技术能力、从业及相关项目经验等），同时提供投标截止日前12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7</w:t>
            </w:r>
          </w:p>
        </w:tc>
        <w:tc>
          <w:tcPr>
            <w:vMerge/>
          </w:tcPr>
          <w:p>
            <w:r>
              <w:t>服务部分</w:t>
            </w:r>
          </w:p>
        </w:tc>
        <w:tc>
          <w:tcPr/>
          <w:p>
            <w:r>
              <w:t>质保期内需求变更（客观分）</w:t>
            </w:r>
          </w:p>
        </w:tc>
        <w:tc>
          <w:tcPr/>
          <w:p>
            <w:r>
              <w:t>勾选打分</w:t>
            </w:r>
            <w:r>
              <w:t>(6)</w:t>
            </w:r>
          </w:p>
        </w:tc>
        <w:tc>
          <w:tcPr/>
          <w:p>
            <w:r>
              <w:t>评审标准：</w:t>
            </w:r>
          </w:p>
          <w:p>
            <w:r>
              <w:t>提供书面承诺得6分。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8</w:t>
            </w:r>
          </w:p>
        </w:tc>
        <w:tc>
          <w:tcPr>
            <w:vMerge/>
          </w:tcPr>
          <w:p>
            <w:r>
              <w:t>服务部分</w:t>
            </w:r>
          </w:p>
        </w:tc>
        <w:tc>
          <w:tcPr/>
          <w:p>
            <w:r>
              <w:t>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cr/>
            </w:r>
          </w:p>
          <w:p/>
        </w:tc>
      </w:tr>
      <w:tr>
        <w:tblPrEx>
          <w:tblW w:w="5000" w:type="pct"/>
          <w:tblCellMar>
            <w:left w:w="108" w:type="dxa"/>
            <w:right w:w="108" w:type="dxa"/>
          </w:tblCellMar>
        </w:tblPrEx>
        <w:tc>
          <w:tcPr/>
          <w:p>
            <w:r>
              <w:t>9</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10</w:t>
            </w:r>
          </w:p>
        </w:tc>
        <w:tc>
          <w:tcPr>
            <w:vMerge w:val="restart"/>
          </w:tcPr>
          <w:p>
            <w:r>
              <w:t>技术部分</w:t>
            </w:r>
          </w:p>
        </w:tc>
        <w:tc>
          <w:tcPr/>
          <w:p>
            <w:r>
              <w:t>软件开发计划（主观分）</w:t>
            </w:r>
          </w:p>
        </w:tc>
        <w:tc>
          <w:tcPr/>
          <w:p>
            <w:r>
              <w:t>勾选打分</w:t>
            </w:r>
            <w:r>
              <w:t>(2)</w:t>
            </w:r>
          </w:p>
        </w:tc>
        <w:tc>
          <w:tcPr/>
          <w:p>
            <w:r>
              <w:t>评审标准：</w:t>
            </w:r>
          </w:p>
          <w:p>
            <w:r>
              <w:t>一档0分</w:t>
              <w:cr/>
              <w:t>二档0.5分</w:t>
              <w:cr/>
              <w:t>三档1分</w:t>
              <w:cr/>
              <w:t>四档2分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11</w:t>
            </w:r>
          </w:p>
        </w:tc>
        <w:tc>
          <w:tcPr>
            <w:vMerge/>
          </w:tcPr>
          <w:p>
            <w:r>
              <w:t>技术部分</w:t>
            </w:r>
          </w:p>
        </w:tc>
        <w:tc>
          <w:tcPr/>
          <w:p>
            <w:r>
              <w:t>软件功能开发需求分析（主观分）</w:t>
            </w:r>
          </w:p>
        </w:tc>
        <w:tc>
          <w:tcPr/>
          <w:p>
            <w:r>
              <w:t>勾选打分</w:t>
            </w:r>
            <w:r>
              <w:t>(2)</w:t>
            </w:r>
          </w:p>
        </w:tc>
        <w:tc>
          <w:tcPr/>
          <w:p>
            <w:r>
              <w:t>评审标准：</w:t>
            </w:r>
          </w:p>
          <w:p>
            <w:r>
              <w:t>一档0分</w:t>
              <w:cr/>
              <w:t>二档0.5分</w:t>
              <w:cr/>
              <w:t>三档1分</w:t>
              <w:cr/>
              <w:t>四档2分</w:t>
            </w:r>
          </w:p>
          <w:p>
            <w:r>
              <w:t>评审标准说明：</w:t>
            </w:r>
          </w:p>
          <w:p>
            <w:r>
              <w:t>提供软件系统功能需求分析。具体评分标准如下：</w:t>
              <w:cr/>
              <w:t>一档：无软件功能开发需求分析；</w:t>
              <w:cr/>
              <w:t>二档：软件功能开发需求分析不完整，未对软件系统各模块进行功能需求拆分，分析不具体、不充分、不详细；</w:t>
              <w:cr/>
              <w:t>三档：软件功能开发需求分析完整，对软件系统各模块进行功能需求拆分，分析具体，但不充分、不详细；</w:t>
              <w:cr/>
              <w:t>四档：软件功能开发需求分析完整，对软件系统各模块进行功能需求拆分，并对各个功能点进行详细功能需求分析，完全覆盖招标文件功能要求，需求分析完整详细合理。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12</w:t>
            </w:r>
          </w:p>
        </w:tc>
        <w:tc>
          <w:tcPr>
            <w:vMerge/>
          </w:tcPr>
          <w:p>
            <w:r>
              <w:t>技术部分</w:t>
            </w:r>
          </w:p>
        </w:tc>
        <w:tc>
          <w:tcPr/>
          <w:p>
            <w:r>
              <w:t>软件非功能需求分析（主观分）</w:t>
            </w:r>
          </w:p>
        </w:tc>
        <w:tc>
          <w:tcPr/>
          <w:p>
            <w:r>
              <w:t>勾选打分</w:t>
            </w:r>
            <w:r>
              <w:t>(2)</w:t>
            </w:r>
          </w:p>
        </w:tc>
        <w:tc>
          <w:tcPr/>
          <w:p>
            <w:r>
              <w:t>评审标准：</w:t>
            </w:r>
          </w:p>
          <w:p>
            <w:r>
              <w:t>一档0分</w:t>
              <w:cr/>
              <w:t>二档0.5分</w:t>
              <w:cr/>
              <w:t>三档1分</w:t>
              <w:cr/>
              <w:t>四档2分</w:t>
            </w:r>
          </w:p>
          <w:p>
            <w:r>
              <w:t>评审标准说明：</w:t>
            </w:r>
          </w:p>
          <w:p>
            <w:r>
              <w:t>提供软件系统非功能及性能需求分析，具体评分标准如下：</w:t>
              <w:cr/>
              <w:t>一档：无软件非功能及性能开发需求分析；</w:t>
              <w:cr/>
              <w:t>二档：软件非功能及性能分析不完整、不具体，合理性一般；</w:t>
              <w:cr/>
              <w:t>三档：软件非功能及性能开发需求分析完整、具体、合理，但分析简单不充分详细；</w:t>
              <w:cr/>
              <w:t>四档：软件非功能及性能开发需求分析完整、具体、合理，分析充分详细，完全覆盖招标文件要求。</w:t>
            </w:r>
          </w:p>
          <w:p/>
        </w:tc>
      </w:tr>
      <w:tr>
        <w:tblPrEx>
          <w:tblW w:w="5000" w:type="pct"/>
          <w:tblCellMar>
            <w:left w:w="108" w:type="dxa"/>
            <w:right w:w="108" w:type="dxa"/>
          </w:tblCellMar>
        </w:tblPrEx>
        <w:tc>
          <w:tcPr/>
          <w:p>
            <w:r>
              <w:t>13</w:t>
            </w:r>
          </w:p>
        </w:tc>
        <w:tc>
          <w:tcPr>
            <w:vMerge/>
          </w:tcPr>
          <w:p>
            <w:r>
              <w:t>技术部分</w:t>
            </w:r>
          </w:p>
        </w:tc>
        <w:tc>
          <w:tcPr/>
          <w:p>
            <w:r>
              <w:t>软件数据需求分析（主观分）</w:t>
            </w:r>
          </w:p>
        </w:tc>
        <w:tc>
          <w:tcPr/>
          <w:p>
            <w:r>
              <w:t>勾选打分</w:t>
            </w:r>
            <w:r>
              <w:t>(2)</w:t>
            </w:r>
          </w:p>
        </w:tc>
        <w:tc>
          <w:tcPr/>
          <w:p>
            <w:r>
              <w:t>评审标准：</w:t>
            </w:r>
          </w:p>
          <w:p>
            <w:r>
              <w:t>一档0分</w:t>
              <w:cr/>
              <w:t>二档0.5分</w:t>
              <w:cr/>
              <w:t>三档1分</w:t>
              <w:cr/>
              <w:t>四档2分</w:t>
            </w:r>
          </w:p>
          <w:p>
            <w:r>
              <w:t>评审标准说明：</w:t>
            </w:r>
          </w:p>
          <w:p>
            <w:r>
              <w:t>提供数据需求分析内容，具体评分标准如下：</w:t>
              <w:cr/>
              <w:t>一档：无数据需求分析。</w:t>
              <w:cr/>
              <w:t>二档：数据需求分析覆盖不全面或分析不合理。</w:t>
              <w:cr/>
              <w:t>三档：数据需求分析覆盖全面、合理，但分析简单、不充分。</w:t>
              <w:cr/>
              <w:t>四档：数据需求分析涵盖全面、合理、详细、充分，完全覆盖招标文件要求。</w:t>
            </w:r>
          </w:p>
          <w:p/>
        </w:tc>
      </w:tr>
      <w:tr>
        <w:tblPrEx>
          <w:tblW w:w="5000" w:type="pct"/>
          <w:tblCellMar>
            <w:left w:w="108" w:type="dxa"/>
            <w:right w:w="108" w:type="dxa"/>
          </w:tblCellMar>
        </w:tblPrEx>
        <w:tc>
          <w:tcPr/>
          <w:p>
            <w:r>
              <w:t>14</w:t>
            </w:r>
          </w:p>
        </w:tc>
        <w:tc>
          <w:tcPr>
            <w:vMerge/>
          </w:tcPr>
          <w:p>
            <w:r>
              <w:t>技术部分</w:t>
            </w:r>
          </w:p>
        </w:tc>
        <w:tc>
          <w:tcPr/>
          <w:p>
            <w:r>
              <w:t>软件接口需求分析（主观分）</w:t>
            </w:r>
          </w:p>
        </w:tc>
        <w:tc>
          <w:tcPr/>
          <w:p>
            <w:r>
              <w:t>勾选打分</w:t>
            </w:r>
            <w:r>
              <w:t>(2)</w:t>
            </w:r>
          </w:p>
        </w:tc>
        <w:tc>
          <w:tcPr/>
          <w:p>
            <w:r>
              <w:t>评审标准：</w:t>
            </w:r>
          </w:p>
          <w:p>
            <w:r>
              <w:t>一档0分</w:t>
              <w:cr/>
              <w:t>二档0.5分</w:t>
              <w:cr/>
              <w:t>三档1分</w:t>
              <w:cr/>
              <w:t>四档2分</w:t>
            </w:r>
          </w:p>
          <w:p>
            <w:r>
              <w:t>评审标准说明：</w:t>
            </w:r>
          </w:p>
          <w:p>
            <w:r>
              <w:t>提供软件系统接口需求分析。具体评分标准如下：</w:t>
              <w:cr/>
              <w:t>一档：无接口需求分析；</w:t>
              <w:cr/>
              <w:t>二档：接口需求分析不完整、简单；</w:t>
              <w:cr/>
              <w:t>三档：接口需求分析完整、详细，但针对性、合理性一般；</w:t>
              <w:cr/>
              <w:t>四档：接口需求分析完整、详细，针对性、合理性强，完全覆盖招标文件要求。</w:t>
            </w:r>
          </w:p>
          <w:p/>
        </w:tc>
      </w:tr>
      <w:tr>
        <w:tblPrEx>
          <w:tblW w:w="5000" w:type="pct"/>
          <w:tblCellMar>
            <w:left w:w="108" w:type="dxa"/>
            <w:right w:w="108" w:type="dxa"/>
          </w:tblCellMar>
        </w:tblPrEx>
        <w:tc>
          <w:tcPr/>
          <w:p>
            <w:r>
              <w:t>15</w:t>
            </w:r>
          </w:p>
        </w:tc>
        <w:tc>
          <w:tcPr>
            <w:vMerge/>
          </w:tcPr>
          <w:p>
            <w:r>
              <w:t>技术部分</w:t>
            </w:r>
          </w:p>
        </w:tc>
        <w:tc>
          <w:tcPr/>
          <w:p>
            <w:r>
              <w:t>软件关键技术识别（主观分）</w:t>
            </w:r>
          </w:p>
        </w:tc>
        <w:tc>
          <w:tcPr/>
          <w:p>
            <w:r>
              <w:t>勾选打分</w:t>
            </w:r>
            <w:r>
              <w:t>(2)</w:t>
            </w:r>
          </w:p>
        </w:tc>
        <w:tc>
          <w:tcPr/>
          <w:p>
            <w:r>
              <w:t>评审标准：</w:t>
            </w:r>
          </w:p>
          <w:p>
            <w:r>
              <w:t>一档0分</w:t>
              <w:cr/>
              <w:t>二档0.5分</w:t>
              <w:cr/>
              <w:t>三档1分</w:t>
              <w:cr/>
              <w:t>四档2分</w:t>
            </w:r>
          </w:p>
          <w:p>
            <w:r>
              <w:t>评审标准说明：</w:t>
            </w:r>
          </w:p>
          <w:p>
            <w:r>
              <w:t>对项目的技术特点认识深入，准确识别软件系统关键技术问题，并提出详细合理的解决方案。具体评分标准如下：</w:t>
              <w:cr/>
              <w:t>一档：未进行软件关键技术识别分析；</w:t>
              <w:cr/>
              <w:t>二档：提供了软件关键技术识别分析，但不能准确识别软件系统关键技术问题；</w:t>
              <w:cr/>
              <w:t>三档：能准确识别软件系统关键技术问题，但未提供详细合理解决方案；</w:t>
              <w:cr/>
              <w:t>四档：对项目的技术特点认识深入，准确识别软件系统关键技术问题，并提出详细合理的解决方案。</w:t>
            </w:r>
          </w:p>
          <w:p/>
        </w:tc>
      </w:tr>
      <w:tr>
        <w:tblPrEx>
          <w:tblW w:w="5000" w:type="pct"/>
          <w:tblCellMar>
            <w:left w:w="108" w:type="dxa"/>
            <w:right w:w="108" w:type="dxa"/>
          </w:tblCellMar>
        </w:tblPrEx>
        <w:tc>
          <w:tcPr/>
          <w:p>
            <w:r>
              <w:t>16</w:t>
            </w:r>
          </w:p>
        </w:tc>
        <w:tc>
          <w:tcPr>
            <w:vMerge/>
          </w:tcPr>
          <w:p>
            <w:r>
              <w:t>技术部分</w:t>
            </w:r>
          </w:p>
        </w:tc>
        <w:tc>
          <w:tcPr/>
          <w:p>
            <w:r>
              <w:t>系统整体架构技术方案（主观分）</w:t>
            </w:r>
          </w:p>
        </w:tc>
        <w:tc>
          <w:tcPr/>
          <w:p>
            <w:r>
              <w:t>勾选打分</w:t>
            </w:r>
            <w:r>
              <w:t>(4)</w:t>
            </w:r>
          </w:p>
        </w:tc>
        <w:tc>
          <w:tcPr/>
          <w:p>
            <w:r>
              <w:t>评审标准：</w:t>
            </w:r>
          </w:p>
          <w:p>
            <w:r>
              <w:t>一档0分</w:t>
              <w:cr/>
              <w:t>二档1分</w:t>
              <w:cr/>
              <w:t>三档2分</w:t>
              <w:cr/>
              <w:t>四档4分</w:t>
            </w:r>
          </w:p>
          <w:p>
            <w:r>
              <w:t>评审标准说明：</w:t>
            </w:r>
          </w:p>
          <w:p>
            <w:r>
              <w:t>根据提交的系统整体架构设计技术方案评分：</w:t>
              <w:cr/>
              <w:t>一档：未提供；</w:t>
              <w:cr/>
              <w:t>二档：系统整体架构设计有一定合理性，但无针对性，功能不完整；</w:t>
              <w:cr/>
              <w:t>三档：系统整体架构设计合理可行，针对性一般，功能完整；</w:t>
              <w:cr/>
              <w:t>四档：系统整体架构设计合理可行，技术先进，功能完整，针对性强。</w:t>
            </w:r>
          </w:p>
          <w:p/>
        </w:tc>
      </w:tr>
      <w:tr>
        <w:tblPrEx>
          <w:tblW w:w="5000" w:type="pct"/>
          <w:tblCellMar>
            <w:left w:w="108" w:type="dxa"/>
            <w:right w:w="108" w:type="dxa"/>
          </w:tblCellMar>
        </w:tblPrEx>
        <w:tc>
          <w:tcPr/>
          <w:p>
            <w:r>
              <w:t>17</w:t>
            </w:r>
          </w:p>
        </w:tc>
        <w:tc>
          <w:tcPr>
            <w:vMerge/>
          </w:tcPr>
          <w:p>
            <w:r>
              <w:t>技术部分</w:t>
            </w:r>
          </w:p>
        </w:tc>
        <w:tc>
          <w:tcPr/>
          <w:p>
            <w:r>
              <w:t>系统接口设计技术方案（主观分）</w:t>
            </w:r>
          </w:p>
        </w:tc>
        <w:tc>
          <w:tcPr/>
          <w:p>
            <w:r>
              <w:t>勾选打分</w:t>
            </w:r>
            <w:r>
              <w:t>(4)</w:t>
            </w:r>
          </w:p>
        </w:tc>
        <w:tc>
          <w:tcPr/>
          <w:p>
            <w:r>
              <w:t>评审标准：</w:t>
            </w:r>
          </w:p>
          <w:p>
            <w:r>
              <w:t>一档0分</w:t>
              <w:cr/>
              <w:t>二档1分</w:t>
              <w:cr/>
              <w:t>三档2分</w:t>
              <w:cr/>
              <w:t>四档4分</w:t>
            </w:r>
          </w:p>
          <w:p>
            <w:r>
              <w:t>评审标准说明：</w:t>
            </w:r>
          </w:p>
          <w:p>
            <w:r>
              <w:t>根据提交的系统接口设计技术方案评分：</w:t>
              <w:cr/>
              <w:t>一档：未提供。</w:t>
              <w:cr/>
              <w:t>二档：系统接口设计有一定合理性，但无针对性，功能不完整；</w:t>
              <w:cr/>
              <w:t>三档：系统接口设计合理可行，针对性一般，功能完整；</w:t>
              <w:cr/>
              <w:t>四档：系统接口设计合理可行，技术先进，功能完整，针对性强。</w:t>
            </w:r>
          </w:p>
          <w:p/>
        </w:tc>
      </w:tr>
      <w:tr>
        <w:tblPrEx>
          <w:tblW w:w="5000" w:type="pct"/>
          <w:tblCellMar>
            <w:left w:w="108" w:type="dxa"/>
            <w:right w:w="108" w:type="dxa"/>
          </w:tblCellMar>
        </w:tblPrEx>
        <w:tc>
          <w:tcPr/>
          <w:p>
            <w:r>
              <w:t>18</w:t>
            </w:r>
          </w:p>
        </w:tc>
        <w:tc>
          <w:tcPr>
            <w:vMerge/>
          </w:tcPr>
          <w:p>
            <w:r>
              <w:t>技术部分</w:t>
            </w:r>
          </w:p>
        </w:tc>
        <w:tc>
          <w:tcPr/>
          <w:p>
            <w:r>
              <w:t>模块设计技术方案（主观分）</w:t>
            </w:r>
          </w:p>
        </w:tc>
        <w:tc>
          <w:tcPr/>
          <w:p>
            <w:r>
              <w:t>区间打分</w:t>
            </w:r>
            <w:r>
              <w:t>(16)</w:t>
            </w:r>
          </w:p>
        </w:tc>
        <w:tc>
          <w:tcPr/>
          <w:p>
            <w:r>
              <w:t>评审标准：</w:t>
            </w:r>
          </w:p>
          <w:p>
            <w:r>
              <w:t>提交如下模块技术方案：</w:t>
              <w:cr/>
              <w:t>1、气象科学数据智能服务模块</w:t>
              <w:cr/>
              <w:t>2、数据网络智能安全管理模块</w:t>
              <w:cr/>
              <w:t>3、气象数据存储智能优化模块</w:t>
              <w:cr/>
              <w:t>4、智能体运行支撑与管理模块</w:t>
              <w:cr/>
              <w:t>以上每个模块</w:t>
              <w:cr/>
              <w:t>一档0分</w:t>
              <w:cr/>
              <w:t>二档1分</w:t>
              <w:cr/>
              <w:t>三档2分</w:t>
              <w:cr/>
              <w:t>四档4分</w:t>
              <w:cr/>
              <w:t>以上共计4模块，满分16分。</w:t>
            </w:r>
          </w:p>
          <w:p>
            <w:r>
              <w:t>评审标准说明：</w:t>
            </w:r>
          </w:p>
          <w:p>
            <w:r>
              <w:t>按模块提出技术方案，每个模块评分标准如下：</w:t>
              <w:cr/>
              <w:t>一档：未提供</w:t>
              <w:cr/>
              <w:t>二档：技术方案不完整，未覆盖项目的功能和非功能需求，描述不清楚、缺乏针对关建技术的分析，可行性针对性差。</w:t>
              <w:cr/>
              <w:t>三档：技术方案内容完整，覆盖项目的功能和非功能需求，描述基本清楚；技术思路较合理、关建技术的分析较清晰，解决措施有一定可行性针对性，基本满足采购需求。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19</w:t>
            </w:r>
          </w:p>
        </w:tc>
        <w:tc>
          <w:tcPr>
            <w:vMerge/>
          </w:tcPr>
          <w:p>
            <w:r>
              <w:t>技术部分</w:t>
            </w:r>
          </w:p>
        </w:tc>
        <w:tc>
          <w:tcPr/>
          <w:p>
            <w:r>
              <w:t>项目需求理解（主观分）</w:t>
            </w:r>
          </w:p>
        </w:tc>
        <w:tc>
          <w:tcPr/>
          <w:p>
            <w:r>
              <w:t>勾选打分</w:t>
            </w:r>
            <w:r>
              <w:t>(2)</w:t>
            </w:r>
          </w:p>
        </w:tc>
        <w:tc>
          <w:tcPr/>
          <w:p>
            <w:r>
              <w:t>评审标准：</w:t>
            </w:r>
          </w:p>
          <w:p>
            <w:r>
              <w:t>一档0分</w:t>
              <w:cr/>
              <w:t>二档0.5分</w:t>
              <w:cr/>
              <w:t>三档1分</w:t>
              <w:cr/>
              <w:t>四档2分</w:t>
            </w:r>
          </w:p>
          <w:p>
            <w:r>
              <w:t>评审标准说明：</w:t>
            </w:r>
          </w:p>
          <w:p>
            <w:r>
              <w:t>结合项目需求、背景、现状情况等对项目进行需求分析理解。</w:t>
              <w:cr/>
              <w:t>一档：未提供。</w:t>
              <w:cr/>
              <w:t>二档：对项目范围和内容及用户总体需求分析有一定偏差，未抓住重点、难点。</w:t>
              <w:cr/>
              <w:t>三档：对项目范围和内容及用户总体需求分析无偏差，能抓住重点、难点不突出，但未提出合理的解决方案。</w:t>
              <w:cr/>
              <w:t>四档：对项目范围和内容理解清晰，对用户总体需求分析正确，重点、难点分析到位，问题描述清楚；能准确识别软件系统关键技术问题，并提出详细合理的解决方案。</w:t>
            </w:r>
          </w:p>
          <w:p/>
        </w:tc>
      </w:tr>
      <w:tr>
        <w:tblPrEx>
          <w:tblW w:w="5000" w:type="pct"/>
          <w:tblCellMar>
            <w:left w:w="108" w:type="dxa"/>
            <w:right w:w="108" w:type="dxa"/>
          </w:tblCellMar>
        </w:tblPrEx>
        <w:tc>
          <w:tcPr/>
          <w:p>
            <w:r>
              <w:t>20</w:t>
            </w:r>
          </w:p>
        </w:tc>
        <w:tc>
          <w:tcPr>
            <w:vMerge/>
          </w:tcPr>
          <w:p>
            <w:r>
              <w:t>技术部分</w:t>
            </w:r>
          </w:p>
        </w:tc>
        <w:tc>
          <w:tcPr/>
          <w:p>
            <w:r>
              <w:t>针对本项目的合理化建议（主观分）</w:t>
            </w:r>
          </w:p>
        </w:tc>
        <w:tc>
          <w:tcPr/>
          <w:p>
            <w:r>
              <w:t>勾选打分</w:t>
            </w:r>
            <w:r>
              <w:t>(2)</w:t>
            </w:r>
          </w:p>
        </w:tc>
        <w:tc>
          <w:tcPr/>
          <w:p>
            <w:r>
              <w:t>评审标准：</w:t>
            </w:r>
          </w:p>
          <w:p>
            <w:r>
              <w:t>每一项得1分，最高不超过2分。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bl>
    <w:p w:rsidR="00A77B3E">
      <w:r>
        <w:t xml:space="preserve">      </w:t>
      </w:r>
    </w:p>
    <w:p w:rsidR="00A77B3E"/>
    <w:p w:rsidR="00A77B3E">
      <w:bookmarkEnd w:id="59"/>
    </w:p>
    <w:p w:rsidR="0033424F">
      <w:pPr>
        <w:spacing w:before="156" w:beforeLines="50" w:line="360" w:lineRule="auto"/>
        <w:jc w:val="center"/>
        <w:outlineLvl w:val="1"/>
        <w:rPr>
          <w:rFonts w:ascii="宋体" w:hAnsi="宋体"/>
          <w:b/>
          <w:sz w:val="30"/>
          <w:szCs w:val="30"/>
        </w:rPr>
      </w:pPr>
      <w:r>
        <w:rPr>
          <w:bCs/>
          <w:szCs w:val="21"/>
          <w:highlight w:val="none"/>
        </w:rPr>
        <w:br w:type="page"/>
      </w:r>
      <w:bookmarkStart w:id="60"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33424F">
      <w:pPr>
        <w:jc w:val="left"/>
        <w:rPr>
          <w:b/>
          <w:szCs w:val="21"/>
        </w:rPr>
      </w:pPr>
    </w:p>
    <w:p w:rsidR="000E6BAF" w:rsidP="000E6BAF">
      <w:pPr>
        <w:pStyle w:val="Heading1"/>
        <w:keepNext/>
        <w:keepLines/>
        <w:widowControl w:val="0"/>
        <w:numPr>
          <w:numId w:val="4"/>
        </w:numPr>
        <w:tabs>
          <w:tab w:val="left" w:pos="480"/>
        </w:tabs>
        <w:spacing w:before="156" w:beforeLines="50" w:after="156" w:afterLines="50" w:line="360" w:lineRule="auto"/>
        <w:ind w:left="0" w:firstLine="0"/>
        <w:jc w:val="left"/>
      </w:pPr>
      <w:bookmarkStart w:id="61" w:name="_Toc239193955"/>
      <w:r>
        <w:rPr>
          <w:rFonts w:hint="eastAsia"/>
        </w:rPr>
        <w:t>建设目标</w:t>
      </w:r>
      <w:bookmarkEnd w:id="61"/>
    </w:p>
    <w:p w:rsidR="000E6BAF" w:rsidP="000E6BAF">
      <w:pPr>
        <w:ind w:firstLine="480"/>
      </w:pPr>
      <w:r>
        <w:t>本项目围绕气象科学数据服务、安全管理、存储优化和科技管理工作，建设气象科学数据智能服务、数据网络智能安全管理、气象数据存储智能优化、智能</w:t>
      </w:r>
      <w:r>
        <w:t>体运行</w:t>
      </w:r>
      <w:r>
        <w:t>支撑与管理、智能</w:t>
      </w:r>
      <w:r>
        <w:t>体业务</w:t>
      </w:r>
      <w:r>
        <w:t>应用与提效五类能力，形成可部署的软件功能、模型与工具接入组件、配置规则、知识资源、任务记录和应用验证结果。</w:t>
      </w:r>
    </w:p>
    <w:p w:rsidR="000E6BAF" w:rsidP="000E6BAF">
      <w:pPr>
        <w:ind w:firstLine="480"/>
      </w:pPr>
      <w:r>
        <w:t>1</w:t>
      </w:r>
      <w:r>
        <w:t>、建设气象科学数据智能服务。开发用户意图智能理解、多条件数据智能匹配、专业气象数据知识增强和数据关联发现与推荐功能，支持将用户自然语言需求转换为检索条件，并提供数据说明、适用场景和关联数据推荐。</w:t>
      </w:r>
    </w:p>
    <w:p w:rsidR="000E6BAF" w:rsidP="000E6BAF">
      <w:pPr>
        <w:ind w:firstLine="480"/>
      </w:pPr>
      <w:r>
        <w:t>2</w:t>
      </w:r>
      <w:r>
        <w:t>、建设数据网络智能安全管理能力。面向</w:t>
      </w:r>
      <w:r>
        <w:rPr>
          <w:rFonts w:hint="eastAsia"/>
        </w:rPr>
        <w:t>公有云</w:t>
      </w:r>
      <w:r>
        <w:t>、</w:t>
      </w:r>
      <w:r>
        <w:t>DMZ</w:t>
      </w:r>
      <w:r>
        <w:t>等不同网络域，开发数据流转路径分析、数据使用行为溯源、跨域共享异常识别和安全事件辅助处置功能，为管理人员提供流向梳理、异常提示、影响范围分析和处置材料。</w:t>
      </w:r>
    </w:p>
    <w:p w:rsidR="000E6BAF" w:rsidP="000E6BAF">
      <w:pPr>
        <w:ind w:firstLine="480"/>
      </w:pPr>
      <w:r>
        <w:t>3</w:t>
      </w:r>
      <w:r>
        <w:t>、建设气象数据存储智能优化能力。开发数据访问热度分析、分层存储优化、存储位置调度、存储资源使用监测和数据生命周期管理功能，为缓存、迁移、归档、压缩和清理等存储调整提供依据和建议。</w:t>
      </w:r>
    </w:p>
    <w:p w:rsidR="000E6BAF" w:rsidP="000E6BAF">
      <w:pPr>
        <w:ind w:firstLine="480"/>
      </w:pPr>
      <w:r>
        <w:t>4</w:t>
      </w:r>
      <w:r>
        <w:t>、建设智能</w:t>
      </w:r>
      <w:r>
        <w:t>体运行</w:t>
      </w:r>
      <w:r>
        <w:t>支撑与管理能力。部署统一智能</w:t>
      </w:r>
      <w:r>
        <w:t>体运行</w:t>
      </w:r>
      <w:r>
        <w:t>框架，开发多模型接入与统一调用、业务工具能力封装以及数据与知识资源接入功能，为不同类型智能</w:t>
      </w:r>
      <w:r>
        <w:t>体提供</w:t>
      </w:r>
      <w:r>
        <w:t>任务编排、工具调用、上下文管理和运行监控支撑。</w:t>
      </w:r>
    </w:p>
    <w:p w:rsidR="000E6BAF" w:rsidP="000E6BAF">
      <w:pPr>
        <w:ind w:firstLine="480"/>
      </w:pPr>
      <w:r>
        <w:t>5</w:t>
      </w:r>
      <w:r>
        <w:t>、建设智能</w:t>
      </w:r>
      <w:r>
        <w:t>体业务</w:t>
      </w:r>
      <w:r>
        <w:t>应用。开发数据服务、运行支撑、成果管理和科技管理辅助智能体，支持目录查询、资料说明提取、运行信息归纳、成果分类归集、项目进展梳理和材料内容核对，提高相关工作的处理效率。</w:t>
      </w:r>
    </w:p>
    <w:p w:rsidR="000E6BAF" w:rsidP="000E6BAF">
      <w:pPr>
        <w:pStyle w:val="Heading1"/>
        <w:keepNext/>
        <w:keepLines/>
        <w:widowControl w:val="0"/>
        <w:numPr>
          <w:numId w:val="4"/>
        </w:numPr>
        <w:tabs>
          <w:tab w:val="left" w:pos="480"/>
        </w:tabs>
        <w:spacing w:before="156" w:beforeLines="50" w:after="156" w:afterLines="50" w:line="360" w:lineRule="auto"/>
        <w:ind w:left="0" w:firstLine="0"/>
        <w:jc w:val="left"/>
      </w:pPr>
      <w:bookmarkStart w:id="62" w:name="_Toc239193956"/>
      <w:r>
        <w:rPr>
          <w:rFonts w:hint="eastAsia"/>
        </w:rPr>
        <w:t>任务要求</w:t>
      </w:r>
      <w:bookmarkEnd w:id="62"/>
    </w:p>
    <w:p w:rsidR="000E6BAF" w:rsidP="000E6BAF">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63" w:name="_Toc239193957"/>
      <w:r>
        <w:rPr>
          <w:rFonts w:hint="eastAsia"/>
        </w:rPr>
        <w:t>功能要求</w:t>
      </w:r>
      <w:bookmarkEnd w:id="63"/>
    </w:p>
    <w:p w:rsidR="000E6BAF" w:rsidP="000E6BAF">
      <w:pPr>
        <w:pStyle w:val="Heading3"/>
        <w:keepNext/>
        <w:keepLines/>
        <w:widowControl w:val="0"/>
        <w:numPr>
          <w:ilvl w:val="2"/>
          <w:numId w:val="4"/>
        </w:numPr>
        <w:tabs>
          <w:tab w:val="left" w:pos="480"/>
        </w:tabs>
        <w:spacing w:before="156" w:beforeLines="50" w:after="156" w:afterLines="50" w:line="360" w:lineRule="auto"/>
        <w:ind w:left="425" w:firstLine="0"/>
        <w:jc w:val="left"/>
      </w:pPr>
      <w:bookmarkStart w:id="64" w:name="_Toc239193958"/>
      <w:r w:rsidRPr="00253273">
        <w:t>气象科学数据智能服务</w:t>
      </w:r>
      <w:bookmarkEnd w:id="64"/>
    </w:p>
    <w:p w:rsidR="000E6BAF" w:rsidRPr="001D1ACF" w:rsidP="000E6BAF">
      <w:pPr>
        <w:ind w:firstLine="482"/>
        <w:rPr>
          <w:b/>
          <w:bCs/>
        </w:rPr>
      </w:pPr>
      <w:bookmarkStart w:id="65" w:name="_TocSmart1005"/>
      <w:r w:rsidRPr="001D1ACF">
        <w:rPr>
          <w:rFonts w:hint="eastAsia"/>
          <w:b/>
          <w:bCs/>
        </w:rPr>
        <w:t>1</w:t>
      </w:r>
      <w:r w:rsidRPr="001D1ACF">
        <w:rPr>
          <w:rFonts w:hint="eastAsia"/>
          <w:b/>
          <w:bCs/>
        </w:rPr>
        <w:t>、</w:t>
      </w:r>
      <w:bookmarkEnd w:id="65"/>
      <w:r w:rsidRPr="00532CB0">
        <w:rPr>
          <w:b/>
          <w:bCs/>
        </w:rPr>
        <w:t>用户意图智能理解</w:t>
      </w:r>
    </w:p>
    <w:p w:rsidR="000E6BAF" w:rsidP="000E6BAF">
      <w:pPr>
        <w:ind w:firstLine="480"/>
      </w:pPr>
      <w:r w:rsidRPr="00532CB0">
        <w:t>建设面向气象数据检索场景的自然语言理解能力，支持用户以口语化、业务化方式提出数据需求，系统能够识别其中的时间范围、空间范围、气象要素、资料类型、灾害过程、观测方式等关键信息，并转化为结构化检索条件，降低用户使用专业数据的门槛</w:t>
      </w:r>
      <w:r>
        <w:rPr>
          <w:rFonts w:hint="eastAsia"/>
        </w:rPr>
        <w:t>。</w:t>
      </w:r>
    </w:p>
    <w:p w:rsidR="000E6BAF" w:rsidRPr="00E14AA7" w:rsidP="000E6BAF">
      <w:pPr>
        <w:ind w:firstLine="482"/>
        <w:rPr>
          <w:b/>
          <w:bCs/>
        </w:rPr>
      </w:pPr>
      <w:r>
        <w:rPr>
          <w:rFonts w:hint="eastAsia"/>
          <w:b/>
          <w:bCs/>
        </w:rPr>
        <w:t>2</w:t>
      </w:r>
      <w:r>
        <w:rPr>
          <w:rFonts w:hint="eastAsia"/>
          <w:b/>
          <w:bCs/>
        </w:rPr>
        <w:t>、</w:t>
      </w:r>
      <w:r w:rsidRPr="00E14AA7">
        <w:rPr>
          <w:rFonts w:hint="eastAsia"/>
          <w:b/>
          <w:bCs/>
        </w:rPr>
        <w:t>多条件数据智能匹配</w:t>
      </w:r>
    </w:p>
    <w:p w:rsidR="000E6BAF" w:rsidRPr="00E14AA7" w:rsidP="000E6BAF">
      <w:pPr>
        <w:ind w:firstLine="480"/>
      </w:pPr>
      <w:r w:rsidRPr="00E14AA7">
        <w:rPr>
          <w:rFonts w:hint="eastAsia"/>
        </w:rPr>
        <w:t>在现有数据目录、元数据和检索条件基础上，构建多条件智能匹配能力。系统能够根据用户输入的多个约束条件，自动匹配适合的数据产品、数据集和资料目录，并对匹配结果进行排序推荐，提高用户查找数据的准确性和效率。</w:t>
      </w:r>
    </w:p>
    <w:p w:rsidR="000E6BAF" w:rsidRPr="00E14AA7" w:rsidP="000E6BAF">
      <w:pPr>
        <w:ind w:firstLine="482"/>
        <w:rPr>
          <w:b/>
          <w:bCs/>
        </w:rPr>
      </w:pPr>
      <w:r>
        <w:rPr>
          <w:rFonts w:hint="eastAsia"/>
          <w:b/>
          <w:bCs/>
        </w:rPr>
        <w:t>3</w:t>
      </w:r>
      <w:r>
        <w:rPr>
          <w:rFonts w:hint="eastAsia"/>
          <w:b/>
          <w:bCs/>
        </w:rPr>
        <w:t>、</w:t>
      </w:r>
      <w:r w:rsidRPr="00E14AA7">
        <w:rPr>
          <w:rFonts w:hint="eastAsia"/>
          <w:b/>
          <w:bCs/>
        </w:rPr>
        <w:t>专业气象数据知识增强</w:t>
      </w:r>
    </w:p>
    <w:p w:rsidR="000E6BAF" w:rsidRPr="00E14AA7" w:rsidP="000E6BAF">
      <w:pPr>
        <w:ind w:firstLine="480"/>
      </w:pPr>
      <w:r w:rsidRPr="00E14AA7">
        <w:rPr>
          <w:rFonts w:hint="eastAsia"/>
        </w:rPr>
        <w:t>围绕</w:t>
      </w:r>
      <w:r>
        <w:rPr>
          <w:rFonts w:hint="eastAsia"/>
        </w:rPr>
        <w:t>中国</w:t>
      </w:r>
      <w:r w:rsidRPr="00E14AA7">
        <w:rPr>
          <w:rFonts w:hint="eastAsia"/>
        </w:rPr>
        <w:t>气象数据网现有资料说明、帮助文档、数据目录、元数据</w:t>
      </w:r>
      <w:r>
        <w:rPr>
          <w:rFonts w:hint="eastAsia"/>
        </w:rPr>
        <w:t>、</w:t>
      </w:r>
      <w:r>
        <w:t>数据标注</w:t>
      </w:r>
      <w:r w:rsidRPr="00E14AA7">
        <w:rPr>
          <w:rFonts w:hint="eastAsia"/>
        </w:rPr>
        <w:t>和常见问题，建设气象数据知识库。通过知识增强方式，支持系统解释数据含义、适用场景、空间</w:t>
      </w:r>
      <w:r w:rsidRPr="00E14AA7">
        <w:rPr>
          <w:rFonts w:hint="eastAsia"/>
        </w:rPr>
        <w:t>分辨率、时间分辨率、要素内容和使用限制，帮助用户更好理解和选择数据。</w:t>
      </w:r>
    </w:p>
    <w:p w:rsidR="000E6BAF" w:rsidRPr="00E14AA7" w:rsidP="000E6BAF">
      <w:pPr>
        <w:ind w:firstLine="482"/>
        <w:rPr>
          <w:b/>
          <w:bCs/>
        </w:rPr>
      </w:pPr>
      <w:r>
        <w:rPr>
          <w:rFonts w:hint="eastAsia"/>
          <w:b/>
          <w:bCs/>
        </w:rPr>
        <w:t>4</w:t>
      </w:r>
      <w:r>
        <w:rPr>
          <w:rFonts w:hint="eastAsia"/>
          <w:b/>
          <w:bCs/>
        </w:rPr>
        <w:t>、</w:t>
      </w:r>
      <w:r w:rsidRPr="00E14AA7">
        <w:rPr>
          <w:rFonts w:hint="eastAsia"/>
          <w:b/>
          <w:bCs/>
        </w:rPr>
        <w:t>数据关联发现与推荐</w:t>
      </w:r>
    </w:p>
    <w:p w:rsidR="000E6BAF" w:rsidRPr="00E14AA7" w:rsidP="000E6BAF">
      <w:pPr>
        <w:ind w:firstLine="480"/>
      </w:pPr>
      <w:r w:rsidRPr="00E14AA7">
        <w:rPr>
          <w:rFonts w:hint="eastAsia"/>
        </w:rPr>
        <w:t>基于用户检索行为、下载记录、资料访问热度和数据之间的业务关联关系，建设数据关联发现能力。支持在用户查询某一类资料时，自动推荐相关数据集、同类产品、替代资料或常用组合数据，提升气象数据发现能力。</w:t>
      </w:r>
    </w:p>
    <w:p w:rsidR="000E6BAF" w:rsidP="000E6BAF">
      <w:pPr>
        <w:pStyle w:val="Heading3"/>
        <w:keepNext/>
        <w:keepLines/>
        <w:widowControl w:val="0"/>
        <w:numPr>
          <w:ilvl w:val="2"/>
          <w:numId w:val="4"/>
        </w:numPr>
        <w:tabs>
          <w:tab w:val="left" w:pos="480"/>
        </w:tabs>
        <w:spacing w:before="156" w:beforeLines="50" w:after="156" w:afterLines="50" w:line="360" w:lineRule="auto"/>
        <w:ind w:left="425" w:firstLine="0"/>
        <w:jc w:val="left"/>
      </w:pPr>
      <w:bookmarkStart w:id="66" w:name="_Toc239193959"/>
      <w:r>
        <w:t>数据网络智能</w:t>
      </w:r>
      <w:r>
        <w:rPr>
          <w:rFonts w:hint="eastAsia"/>
        </w:rPr>
        <w:t>安全</w:t>
      </w:r>
      <w:r>
        <w:t>管理</w:t>
      </w:r>
      <w:bookmarkEnd w:id="66"/>
    </w:p>
    <w:p w:rsidR="000E6BAF" w:rsidRPr="000A0CF2" w:rsidP="000E6BAF">
      <w:pPr>
        <w:ind w:firstLine="482"/>
        <w:rPr>
          <w:b/>
          <w:bCs/>
        </w:rPr>
      </w:pPr>
      <w:r w:rsidRPr="000A0CF2">
        <w:rPr>
          <w:rFonts w:hint="eastAsia"/>
          <w:b/>
          <w:bCs/>
        </w:rPr>
        <w:t>1</w:t>
      </w:r>
      <w:r w:rsidRPr="000A0CF2">
        <w:rPr>
          <w:rFonts w:hint="eastAsia"/>
          <w:b/>
          <w:bCs/>
        </w:rPr>
        <w:t>、</w:t>
      </w:r>
      <w:r w:rsidRPr="000A0CF2">
        <w:rPr>
          <w:rFonts w:hint="eastAsia"/>
          <w:b/>
          <w:bCs/>
        </w:rPr>
        <w:t>跨网络域数据</w:t>
      </w:r>
      <w:r w:rsidRPr="000A0CF2">
        <w:rPr>
          <w:rFonts w:hint="eastAsia"/>
          <w:b/>
          <w:bCs/>
        </w:rPr>
        <w:t>流转智能分析</w:t>
      </w:r>
    </w:p>
    <w:p w:rsidR="000E6BAF" w:rsidRPr="000A0CF2" w:rsidP="000E6BAF">
      <w:pPr>
        <w:ind w:firstLine="480"/>
      </w:pPr>
      <w:r w:rsidRPr="000A0CF2">
        <w:rPr>
          <w:rFonts w:hint="eastAsia"/>
        </w:rPr>
        <w:t>面向气象数据在</w:t>
      </w:r>
      <w:r>
        <w:rPr>
          <w:rFonts w:hint="eastAsia"/>
        </w:rPr>
        <w:t>公有云</w:t>
      </w:r>
      <w:r w:rsidRPr="000A0CF2">
        <w:rPr>
          <w:rFonts w:hint="eastAsia"/>
        </w:rPr>
        <w:t>、</w:t>
      </w:r>
      <w:r w:rsidRPr="000A0CF2">
        <w:rPr>
          <w:rFonts w:hint="eastAsia"/>
        </w:rPr>
        <w:t xml:space="preserve">DMZ </w:t>
      </w:r>
      <w:r w:rsidRPr="000A0CF2">
        <w:rPr>
          <w:rFonts w:hint="eastAsia"/>
        </w:rPr>
        <w:t>等不同网络域之间的共享使用场景，建设跨域数据流转智能分析能力。智能体可基于数据同步记录、发布记录、访问日志和服务调用信息，自动梳理数据从产生、同步、发布到使用的流转路径，辅助管理人员快速掌握数据流向和跨域使用情况，提升</w:t>
      </w:r>
      <w:r w:rsidRPr="000A0CF2">
        <w:rPr>
          <w:rFonts w:hint="eastAsia"/>
        </w:rPr>
        <w:t>跨网络域</w:t>
      </w:r>
      <w:r w:rsidRPr="000A0CF2">
        <w:rPr>
          <w:rFonts w:hint="eastAsia"/>
        </w:rPr>
        <w:t>数据管理的可视化和分析效率。</w:t>
      </w:r>
    </w:p>
    <w:p w:rsidR="000E6BAF" w:rsidRPr="000A0CF2" w:rsidP="000E6BAF">
      <w:pPr>
        <w:ind w:firstLine="482"/>
        <w:rPr>
          <w:b/>
          <w:bCs/>
        </w:rPr>
      </w:pPr>
      <w:r>
        <w:rPr>
          <w:rFonts w:hint="eastAsia"/>
          <w:b/>
          <w:bCs/>
        </w:rPr>
        <w:t>2</w:t>
      </w:r>
      <w:r w:rsidRPr="000A0CF2">
        <w:rPr>
          <w:rFonts w:hint="eastAsia"/>
          <w:b/>
          <w:bCs/>
        </w:rPr>
        <w:t>、数据使用行为智能溯源任务</w:t>
      </w:r>
    </w:p>
    <w:p w:rsidR="000E6BAF" w:rsidRPr="000A0CF2" w:rsidP="000E6BAF">
      <w:pPr>
        <w:ind w:firstLine="480"/>
      </w:pPr>
      <w:r>
        <w:rPr>
          <w:rFonts w:hint="eastAsia"/>
        </w:rPr>
        <w:t>建设面向数据使用全过程的智能溯源分析能力。智能体可对数据检索、访问、下载、接口调用、跨域同步等行为日志进行关联分析，自动归纳某一数据资源的使用对象、使用方式、访问频次和流向情况，辅助回答“数据被谁使用、怎么使用、流向哪里”等管理问题，提高问题排查和安全管理效率。</w:t>
      </w:r>
    </w:p>
    <w:p w:rsidR="000E6BAF" w:rsidRPr="000A0CF2" w:rsidP="000E6BAF">
      <w:pPr>
        <w:ind w:firstLine="482"/>
        <w:rPr>
          <w:b/>
          <w:bCs/>
        </w:rPr>
      </w:pPr>
      <w:r>
        <w:rPr>
          <w:rFonts w:hint="eastAsia"/>
          <w:b/>
          <w:bCs/>
        </w:rPr>
        <w:t>3</w:t>
      </w:r>
      <w:r w:rsidRPr="000A0CF2">
        <w:rPr>
          <w:rFonts w:hint="eastAsia"/>
          <w:b/>
          <w:bCs/>
        </w:rPr>
        <w:t>、跨域共享异常智能识别任务</w:t>
      </w:r>
    </w:p>
    <w:p w:rsidR="000E6BAF" w:rsidRPr="000A0CF2" w:rsidP="000E6BAF">
      <w:pPr>
        <w:ind w:firstLine="480"/>
      </w:pPr>
      <w:r w:rsidRPr="000A0CF2">
        <w:rPr>
          <w:rFonts w:hint="eastAsia"/>
        </w:rPr>
        <w:t>围绕</w:t>
      </w:r>
      <w:r w:rsidRPr="000A0CF2">
        <w:rPr>
          <w:rFonts w:hint="eastAsia"/>
        </w:rPr>
        <w:t>跨网络域</w:t>
      </w:r>
      <w:r w:rsidRPr="000A0CF2">
        <w:rPr>
          <w:rFonts w:hint="eastAsia"/>
        </w:rPr>
        <w:t>数据共享使用过程中可能出现的异常下载、高频调用、非预期访问、异常同步和</w:t>
      </w:r>
      <w:r w:rsidRPr="000A0CF2">
        <w:rPr>
          <w:rFonts w:hint="eastAsia"/>
        </w:rPr>
        <w:t>疑似超</w:t>
      </w:r>
      <w:r w:rsidRPr="000A0CF2">
        <w:rPr>
          <w:rFonts w:hint="eastAsia"/>
        </w:rPr>
        <w:t>范围使用等情况，建设智能识别和</w:t>
      </w:r>
      <w:r w:rsidRPr="000A0CF2">
        <w:rPr>
          <w:rFonts w:hint="eastAsia"/>
        </w:rPr>
        <w:t>辅助研</w:t>
      </w:r>
      <w:r w:rsidRPr="000A0CF2">
        <w:rPr>
          <w:rFonts w:hint="eastAsia"/>
        </w:rPr>
        <w:t>判能力。智能体通过对历史访问行为、服务调用特征和数据流转记录进行分析，发现异常模式并生成风险提示，辅助管理人员快速判断问题性质和影响范围。</w:t>
      </w:r>
    </w:p>
    <w:p w:rsidR="000E6BAF" w:rsidRPr="000A0CF2" w:rsidP="000E6BAF">
      <w:pPr>
        <w:ind w:firstLine="482"/>
        <w:rPr>
          <w:b/>
          <w:bCs/>
        </w:rPr>
      </w:pPr>
      <w:r>
        <w:rPr>
          <w:rFonts w:hint="eastAsia"/>
          <w:b/>
          <w:bCs/>
        </w:rPr>
        <w:t>4</w:t>
      </w:r>
      <w:r w:rsidRPr="000A0CF2">
        <w:rPr>
          <w:rFonts w:hint="eastAsia"/>
          <w:b/>
          <w:bCs/>
        </w:rPr>
        <w:t>、数据安全事件辅助处置任务</w:t>
      </w:r>
    </w:p>
    <w:p w:rsidR="000E6BAF" w:rsidRPr="000A0CF2" w:rsidP="000E6BAF">
      <w:pPr>
        <w:ind w:firstLine="480"/>
      </w:pPr>
      <w:r w:rsidRPr="000A0CF2">
        <w:rPr>
          <w:rFonts w:hint="eastAsia"/>
        </w:rPr>
        <w:t>面向跨域共享过程中的异常访问、数据流转异常、接口调用异常和共享规则冲突等问题，建设数据安全事件辅助处置能力。智能体可自动汇总相关日志、提取关键证据、生成问题说明和处置建议，辅助形成排查记录、整改意见和管理报告，提升安全事件处理效率。</w:t>
      </w:r>
    </w:p>
    <w:p w:rsidR="000E6BAF" w:rsidP="000E6BAF">
      <w:pPr>
        <w:pStyle w:val="Heading3"/>
        <w:keepNext/>
        <w:keepLines/>
        <w:widowControl w:val="0"/>
        <w:numPr>
          <w:ilvl w:val="2"/>
          <w:numId w:val="4"/>
        </w:numPr>
        <w:tabs>
          <w:tab w:val="left" w:pos="480"/>
        </w:tabs>
        <w:spacing w:before="156" w:beforeLines="50" w:after="156" w:afterLines="50" w:line="360" w:lineRule="auto"/>
        <w:ind w:left="425" w:firstLine="0"/>
        <w:jc w:val="left"/>
      </w:pPr>
      <w:bookmarkStart w:id="67" w:name="_Toc239193960"/>
      <w:r>
        <w:rPr>
          <w:rFonts w:hint="eastAsia"/>
        </w:rPr>
        <w:t>气象数据存储智能优化</w:t>
      </w:r>
      <w:bookmarkEnd w:id="67"/>
    </w:p>
    <w:p w:rsidR="000E6BAF" w:rsidRPr="003E12FF" w:rsidP="000E6BAF">
      <w:pPr>
        <w:ind w:firstLine="482"/>
        <w:rPr>
          <w:b/>
          <w:bCs/>
        </w:rPr>
      </w:pPr>
      <w:bookmarkStart w:id="68" w:name="OLE_LINK1"/>
      <w:r>
        <w:rPr>
          <w:rFonts w:hint="eastAsia"/>
          <w:b/>
          <w:bCs/>
        </w:rPr>
        <w:t>1</w:t>
      </w:r>
      <w:r>
        <w:rPr>
          <w:rFonts w:hint="eastAsia"/>
          <w:b/>
          <w:bCs/>
        </w:rPr>
        <w:t>、</w:t>
      </w:r>
      <w:r w:rsidRPr="003E12FF">
        <w:rPr>
          <w:rFonts w:hint="eastAsia"/>
          <w:b/>
          <w:bCs/>
        </w:rPr>
        <w:t>数据访问热度分析任务</w:t>
      </w:r>
    </w:p>
    <w:p w:rsidR="000E6BAF" w:rsidRPr="003E12FF" w:rsidP="000E6BAF">
      <w:pPr>
        <w:ind w:firstLine="480"/>
      </w:pPr>
      <w:r w:rsidRPr="003E12FF">
        <w:rPr>
          <w:rFonts w:hint="eastAsia"/>
        </w:rPr>
        <w:t>对气象数据访问、检索、下载和接口调用情况进行持续统计分析，识别高频访问数据、低频访问数据和长期未使用数据。通过访问热度分析，为存储资源调整、缓存策略配置和数据分层管理提供依据。</w:t>
      </w:r>
    </w:p>
    <w:p w:rsidR="000E6BAF" w:rsidRPr="003E12FF" w:rsidP="000E6BAF">
      <w:pPr>
        <w:ind w:firstLine="482"/>
        <w:rPr>
          <w:b/>
          <w:bCs/>
        </w:rPr>
      </w:pPr>
      <w:r>
        <w:rPr>
          <w:rFonts w:hint="eastAsia"/>
          <w:b/>
          <w:bCs/>
        </w:rPr>
        <w:t>2</w:t>
      </w:r>
      <w:r>
        <w:rPr>
          <w:rFonts w:hint="eastAsia"/>
          <w:b/>
          <w:bCs/>
        </w:rPr>
        <w:t>、</w:t>
      </w:r>
      <w:r w:rsidRPr="003E12FF">
        <w:rPr>
          <w:rFonts w:hint="eastAsia"/>
          <w:b/>
          <w:bCs/>
        </w:rPr>
        <w:t>数据存储分层优化任务</w:t>
      </w:r>
    </w:p>
    <w:p w:rsidR="000E6BAF" w:rsidRPr="003E12FF" w:rsidP="000E6BAF">
      <w:pPr>
        <w:ind w:firstLine="480"/>
      </w:pPr>
      <w:r w:rsidRPr="003E12FF">
        <w:rPr>
          <w:rFonts w:hint="eastAsia"/>
        </w:rPr>
        <w:t>根据数据类型、访问频率、保存周期、业务重要性和共享需求，建立数据分层存储策略。将高频数据、重点业务数据、历史归档数据和低频</w:t>
      </w:r>
      <w:r w:rsidRPr="003E12FF">
        <w:rPr>
          <w:rFonts w:hint="eastAsia"/>
        </w:rPr>
        <w:t>冷数据</w:t>
      </w:r>
      <w:r w:rsidRPr="003E12FF">
        <w:rPr>
          <w:rFonts w:hint="eastAsia"/>
        </w:rPr>
        <w:t>分别配置到不同存储层级，提高存储资源利用效率。</w:t>
      </w:r>
    </w:p>
    <w:p w:rsidR="000E6BAF" w:rsidRPr="003E12FF" w:rsidP="000E6BAF">
      <w:pPr>
        <w:ind w:firstLine="482"/>
        <w:rPr>
          <w:b/>
          <w:bCs/>
        </w:rPr>
      </w:pPr>
      <w:r>
        <w:rPr>
          <w:rFonts w:hint="eastAsia"/>
          <w:b/>
          <w:bCs/>
        </w:rPr>
        <w:t>3</w:t>
      </w:r>
      <w:r>
        <w:rPr>
          <w:rFonts w:hint="eastAsia"/>
          <w:b/>
          <w:bCs/>
        </w:rPr>
        <w:t>、</w:t>
      </w:r>
      <w:r w:rsidRPr="003E12FF">
        <w:rPr>
          <w:rFonts w:hint="eastAsia"/>
          <w:b/>
          <w:bCs/>
        </w:rPr>
        <w:t>存储位置智能调度任务</w:t>
      </w:r>
    </w:p>
    <w:p w:rsidR="000E6BAF" w:rsidRPr="003E12FF" w:rsidP="000E6BAF">
      <w:pPr>
        <w:ind w:firstLine="480"/>
      </w:pPr>
      <w:r w:rsidRPr="003E12FF">
        <w:rPr>
          <w:rFonts w:hint="eastAsia"/>
        </w:rPr>
        <w:t>结合数据访问来源、网络位置、业务系统调用频率和数据服务场景，优化数据存放位置。对访问量较高或服务压力较大的数据，可通过调整存储位置、增加缓存或预处理副本，提高数据访问效率和服务响应能力。</w:t>
      </w:r>
    </w:p>
    <w:p w:rsidR="000E6BAF" w:rsidRPr="003E12FF" w:rsidP="000E6BAF">
      <w:pPr>
        <w:ind w:firstLine="482"/>
        <w:rPr>
          <w:b/>
          <w:bCs/>
        </w:rPr>
      </w:pPr>
      <w:r>
        <w:rPr>
          <w:rFonts w:hint="eastAsia"/>
          <w:b/>
          <w:bCs/>
        </w:rPr>
        <w:t>4</w:t>
      </w:r>
      <w:r>
        <w:rPr>
          <w:rFonts w:hint="eastAsia"/>
          <w:b/>
          <w:bCs/>
        </w:rPr>
        <w:t>、</w:t>
      </w:r>
      <w:r w:rsidRPr="003E12FF">
        <w:rPr>
          <w:rFonts w:hint="eastAsia"/>
          <w:b/>
          <w:bCs/>
        </w:rPr>
        <w:t>存储资源使用监测任务</w:t>
      </w:r>
    </w:p>
    <w:p w:rsidR="000E6BAF" w:rsidRPr="003E12FF" w:rsidP="000E6BAF">
      <w:pPr>
        <w:ind w:firstLine="480"/>
      </w:pPr>
      <w:r w:rsidRPr="003E12FF">
        <w:rPr>
          <w:rFonts w:hint="eastAsia"/>
        </w:rPr>
        <w:t>建设存储资源运行监测能力，对容量使用、增长趋势、访问压力、文件数量、热点目</w:t>
      </w:r>
      <w:r w:rsidRPr="003E12FF">
        <w:rPr>
          <w:rFonts w:hint="eastAsia"/>
        </w:rPr>
        <w:t>录和异常占用情况进行统计展示。通过持续监测，及时发现存储空间紧张、资源分布不均和数据冗余等问题。</w:t>
      </w:r>
    </w:p>
    <w:p w:rsidR="000E6BAF" w:rsidRPr="003E12FF" w:rsidP="000E6BAF">
      <w:pPr>
        <w:ind w:firstLine="482"/>
        <w:rPr>
          <w:b/>
          <w:bCs/>
        </w:rPr>
      </w:pPr>
      <w:r>
        <w:rPr>
          <w:rFonts w:hint="eastAsia"/>
          <w:b/>
          <w:bCs/>
        </w:rPr>
        <w:t>5</w:t>
      </w:r>
      <w:r>
        <w:rPr>
          <w:rFonts w:hint="eastAsia"/>
          <w:b/>
          <w:bCs/>
        </w:rPr>
        <w:t>、</w:t>
      </w:r>
      <w:r w:rsidRPr="003E12FF">
        <w:rPr>
          <w:rFonts w:hint="eastAsia"/>
          <w:b/>
          <w:bCs/>
        </w:rPr>
        <w:t>数据生命周期管理任务</w:t>
      </w:r>
    </w:p>
    <w:p w:rsidR="000E6BAF" w:rsidP="000E6BAF">
      <w:pPr>
        <w:ind w:firstLine="480"/>
      </w:pPr>
      <w:r w:rsidRPr="003E12FF">
        <w:rPr>
          <w:rFonts w:hint="eastAsia"/>
        </w:rPr>
        <w:t>围绕气象数据长期保存和业务使用要求，建立数据生命周期管理能力。根据数据保存期限、访问价值和业务规则，对数据进行保留、迁移、归档、压缩或清理建议，降低存储成本，提升整体管理效率。</w:t>
      </w:r>
    </w:p>
    <w:p w:rsidR="000E6BAF" w:rsidP="000E6BAF">
      <w:pPr>
        <w:pStyle w:val="Heading3"/>
        <w:keepNext/>
        <w:keepLines/>
        <w:widowControl w:val="0"/>
        <w:numPr>
          <w:ilvl w:val="2"/>
          <w:numId w:val="4"/>
        </w:numPr>
        <w:tabs>
          <w:tab w:val="left" w:pos="480"/>
        </w:tabs>
        <w:spacing w:before="156" w:beforeLines="50" w:after="156" w:afterLines="50" w:line="360" w:lineRule="auto"/>
        <w:ind w:left="425" w:firstLine="0"/>
        <w:jc w:val="left"/>
      </w:pPr>
      <w:bookmarkStart w:id="69" w:name="_Toc239193961"/>
      <w:r>
        <w:rPr>
          <w:rFonts w:hint="eastAsia"/>
        </w:rPr>
        <w:t>智</w:t>
      </w:r>
      <w:r w:rsidRPr="00A95B4E">
        <w:t>能</w:t>
      </w:r>
      <w:r w:rsidRPr="00A95B4E">
        <w:t>体运行</w:t>
      </w:r>
      <w:r w:rsidRPr="00A95B4E">
        <w:t>支撑与</w:t>
      </w:r>
      <w:r>
        <w:rPr>
          <w:rFonts w:hint="eastAsia"/>
        </w:rPr>
        <w:t>管理</w:t>
      </w:r>
      <w:bookmarkEnd w:id="69"/>
    </w:p>
    <w:p w:rsidR="000E6BAF" w:rsidRPr="006E2DF3" w:rsidP="000E6BAF">
      <w:pPr>
        <w:ind w:firstLine="482"/>
        <w:rPr>
          <w:b/>
          <w:bCs/>
        </w:rPr>
      </w:pPr>
      <w:r>
        <w:rPr>
          <w:rFonts w:hint="eastAsia"/>
          <w:b/>
          <w:bCs/>
        </w:rPr>
        <w:t>1</w:t>
      </w:r>
      <w:r>
        <w:rPr>
          <w:rFonts w:hint="eastAsia"/>
          <w:b/>
          <w:bCs/>
        </w:rPr>
        <w:t>、</w:t>
      </w:r>
      <w:r w:rsidRPr="006E2DF3">
        <w:rPr>
          <w:rFonts w:hint="eastAsia"/>
          <w:b/>
          <w:bCs/>
        </w:rPr>
        <w:t>智能</w:t>
      </w:r>
      <w:r w:rsidRPr="006E2DF3">
        <w:rPr>
          <w:rFonts w:hint="eastAsia"/>
          <w:b/>
          <w:bCs/>
        </w:rPr>
        <w:t>体基础</w:t>
      </w:r>
      <w:r w:rsidRPr="006E2DF3">
        <w:rPr>
          <w:rFonts w:hint="eastAsia"/>
          <w:b/>
          <w:bCs/>
        </w:rPr>
        <w:t>运行框架建设</w:t>
      </w:r>
    </w:p>
    <w:p w:rsidR="000E6BAF" w:rsidP="000E6BAF">
      <w:pPr>
        <w:ind w:firstLine="480"/>
      </w:pPr>
      <w:r>
        <w:rPr>
          <w:rFonts w:hint="eastAsia"/>
        </w:rPr>
        <w:t>建设统一的智能</w:t>
      </w:r>
      <w:r>
        <w:rPr>
          <w:rFonts w:hint="eastAsia"/>
        </w:rPr>
        <w:t>体运行</w:t>
      </w:r>
      <w:r>
        <w:rPr>
          <w:rFonts w:hint="eastAsia"/>
        </w:rPr>
        <w:t>支撑框架，提供模型接入、工具调用、任务编排、上下文管理、日志记录和运行监控等基础能力。通过统一框架支撑不同类型智能</w:t>
      </w:r>
      <w:r>
        <w:rPr>
          <w:rFonts w:hint="eastAsia"/>
        </w:rPr>
        <w:t>体稳定</w:t>
      </w:r>
      <w:r>
        <w:rPr>
          <w:rFonts w:hint="eastAsia"/>
        </w:rPr>
        <w:t>运行，避免各业务场景重复建设运行底座。</w:t>
      </w:r>
    </w:p>
    <w:p w:rsidR="000E6BAF" w:rsidRPr="006E2DF3" w:rsidP="000E6BAF">
      <w:pPr>
        <w:ind w:firstLine="482"/>
        <w:rPr>
          <w:b/>
          <w:bCs/>
        </w:rPr>
      </w:pPr>
      <w:r>
        <w:rPr>
          <w:rFonts w:hint="eastAsia"/>
          <w:b/>
          <w:bCs/>
        </w:rPr>
        <w:t>2</w:t>
      </w:r>
      <w:r>
        <w:rPr>
          <w:rFonts w:hint="eastAsia"/>
          <w:b/>
          <w:bCs/>
        </w:rPr>
        <w:t>、</w:t>
      </w:r>
      <w:r w:rsidRPr="006E2DF3">
        <w:rPr>
          <w:rFonts w:hint="eastAsia"/>
          <w:b/>
          <w:bCs/>
        </w:rPr>
        <w:t>多模型接入与统一调用</w:t>
      </w:r>
    </w:p>
    <w:p w:rsidR="000E6BAF" w:rsidP="000E6BAF">
      <w:pPr>
        <w:ind w:firstLine="480"/>
      </w:pPr>
      <w:r>
        <w:rPr>
          <w:rFonts w:hint="eastAsia"/>
        </w:rPr>
        <w:t>支持接入不同基座模型、专业领域模型和本地化部署模型，通过统一接口屏蔽不同模型之间的调用差异。根据不同业务场景和任务复杂度，实现模型能力的灵活切换和统一调度。</w:t>
      </w:r>
    </w:p>
    <w:p w:rsidR="000E6BAF" w:rsidRPr="006E2DF3" w:rsidP="000E6BAF">
      <w:pPr>
        <w:ind w:firstLine="482"/>
        <w:rPr>
          <w:b/>
          <w:bCs/>
        </w:rPr>
      </w:pPr>
      <w:r>
        <w:rPr>
          <w:rFonts w:hint="eastAsia"/>
          <w:b/>
          <w:bCs/>
        </w:rPr>
        <w:t>3</w:t>
      </w:r>
      <w:r>
        <w:rPr>
          <w:rFonts w:hint="eastAsia"/>
          <w:b/>
          <w:bCs/>
        </w:rPr>
        <w:t>、</w:t>
      </w:r>
      <w:r w:rsidRPr="006E2DF3">
        <w:rPr>
          <w:rFonts w:hint="eastAsia"/>
          <w:b/>
          <w:bCs/>
        </w:rPr>
        <w:t>业务工具能力封装</w:t>
      </w:r>
    </w:p>
    <w:p w:rsidR="000E6BAF" w:rsidP="000E6BAF">
      <w:pPr>
        <w:ind w:firstLine="480"/>
      </w:pPr>
      <w:r>
        <w:rPr>
          <w:rFonts w:hint="eastAsia"/>
        </w:rPr>
        <w:t>将数据查询、目录检索、文档读取、统计分析、文件解析、信息抽取等现有能力进行工具化封装。智能体可根据任务需要调用相关工具完成具体业务处理，提升智能体从“回答问题”到“执行任务”的能力。</w:t>
      </w:r>
    </w:p>
    <w:p w:rsidR="000E6BAF" w:rsidRPr="006E2DF3" w:rsidP="000E6BAF">
      <w:pPr>
        <w:ind w:firstLine="482"/>
        <w:rPr>
          <w:b/>
          <w:bCs/>
        </w:rPr>
      </w:pPr>
      <w:r>
        <w:rPr>
          <w:rFonts w:hint="eastAsia"/>
          <w:b/>
          <w:bCs/>
        </w:rPr>
        <w:t>4</w:t>
      </w:r>
      <w:r>
        <w:rPr>
          <w:rFonts w:hint="eastAsia"/>
          <w:b/>
          <w:bCs/>
        </w:rPr>
        <w:t>、</w:t>
      </w:r>
      <w:r w:rsidRPr="006E2DF3">
        <w:rPr>
          <w:rFonts w:hint="eastAsia"/>
          <w:b/>
          <w:bCs/>
        </w:rPr>
        <w:t>数据与知识资源接入</w:t>
      </w:r>
    </w:p>
    <w:p w:rsidR="000E6BAF" w:rsidP="000E6BAF">
      <w:pPr>
        <w:ind w:firstLine="480"/>
      </w:pPr>
      <w:r>
        <w:rPr>
          <w:rFonts w:hint="eastAsia"/>
        </w:rPr>
        <w:t>接入气象数据网、数据目录、元数据、服务日志、科技项目、论文、专利、软著、标准、成果材料等资源，形成智能体可调用的数据和知识支撑能力。通过统一资源接入，为后续数据服务和科技管理智能</w:t>
      </w:r>
      <w:r>
        <w:rPr>
          <w:rFonts w:hint="eastAsia"/>
        </w:rPr>
        <w:t>体提供</w:t>
      </w:r>
      <w:r>
        <w:rPr>
          <w:rFonts w:hint="eastAsia"/>
        </w:rPr>
        <w:t>基础信息来源。</w:t>
      </w:r>
    </w:p>
    <w:p w:rsidR="000E6BAF" w:rsidP="000E6BAF">
      <w:pPr>
        <w:pStyle w:val="Heading3"/>
        <w:keepNext/>
        <w:keepLines/>
        <w:widowControl w:val="0"/>
        <w:numPr>
          <w:ilvl w:val="2"/>
          <w:numId w:val="4"/>
        </w:numPr>
        <w:tabs>
          <w:tab w:val="left" w:pos="480"/>
        </w:tabs>
        <w:spacing w:before="156" w:beforeLines="50" w:after="156" w:afterLines="50" w:line="360" w:lineRule="auto"/>
        <w:ind w:left="425" w:firstLine="0"/>
        <w:jc w:val="left"/>
      </w:pPr>
      <w:bookmarkStart w:id="70" w:name="_Toc239193962"/>
      <w:bookmarkEnd w:id="68"/>
      <w:r>
        <w:rPr>
          <w:rFonts w:hint="eastAsia"/>
        </w:rPr>
        <w:t>智</w:t>
      </w:r>
      <w:r w:rsidRPr="00A95B4E">
        <w:t>能</w:t>
      </w:r>
      <w:r w:rsidRPr="00A95B4E">
        <w:t>体</w:t>
      </w:r>
      <w:r>
        <w:rPr>
          <w:rFonts w:hint="eastAsia"/>
        </w:rPr>
        <w:t>业务</w:t>
      </w:r>
      <w:r>
        <w:rPr>
          <w:rFonts w:hint="eastAsia"/>
        </w:rPr>
        <w:t>应用与提效</w:t>
      </w:r>
      <w:bookmarkEnd w:id="70"/>
    </w:p>
    <w:p w:rsidR="000E6BAF" w:rsidRPr="00F7764B" w:rsidP="000E6BAF">
      <w:pPr>
        <w:ind w:firstLine="482"/>
        <w:rPr>
          <w:b/>
          <w:bCs/>
        </w:rPr>
      </w:pPr>
      <w:r>
        <w:rPr>
          <w:rFonts w:hint="eastAsia"/>
          <w:b/>
          <w:bCs/>
        </w:rPr>
        <w:t>1</w:t>
      </w:r>
      <w:r>
        <w:rPr>
          <w:rFonts w:hint="eastAsia"/>
          <w:b/>
          <w:bCs/>
        </w:rPr>
        <w:t>、</w:t>
      </w:r>
      <w:r w:rsidRPr="00F7764B">
        <w:rPr>
          <w:rFonts w:hint="eastAsia"/>
          <w:b/>
          <w:bCs/>
        </w:rPr>
        <w:t>数据服务辅助智能</w:t>
      </w:r>
      <w:r w:rsidRPr="00F7764B">
        <w:rPr>
          <w:rFonts w:hint="eastAsia"/>
          <w:b/>
          <w:bCs/>
        </w:rPr>
        <w:t>体建设</w:t>
      </w:r>
      <w:r w:rsidRPr="00F7764B">
        <w:rPr>
          <w:rFonts w:hint="eastAsia"/>
          <w:b/>
          <w:bCs/>
        </w:rPr>
        <w:t>任务</w:t>
      </w:r>
    </w:p>
    <w:p w:rsidR="000E6BAF" w:rsidRPr="00F7764B" w:rsidP="000E6BAF">
      <w:pPr>
        <w:ind w:firstLine="480"/>
      </w:pPr>
      <w:r w:rsidRPr="00F7764B">
        <w:rPr>
          <w:rFonts w:hint="eastAsia"/>
        </w:rPr>
        <w:t>开发面向数据服务工作的智能体，支持数据目录查询、资料说明提取、用户问题辅助解答、下载情况统计、服务运行简报生成等功能。通过智能体辅助日常数据服务工作，提高资料查询、问题定位和服务支撑效率。</w:t>
      </w:r>
    </w:p>
    <w:p w:rsidR="000E6BAF" w:rsidRPr="00F7764B" w:rsidP="000E6BAF">
      <w:pPr>
        <w:ind w:firstLine="482"/>
        <w:rPr>
          <w:b/>
          <w:bCs/>
        </w:rPr>
      </w:pPr>
      <w:r>
        <w:rPr>
          <w:rFonts w:hint="eastAsia"/>
          <w:b/>
          <w:bCs/>
        </w:rPr>
        <w:t>2</w:t>
      </w:r>
      <w:r>
        <w:rPr>
          <w:rFonts w:hint="eastAsia"/>
          <w:b/>
          <w:bCs/>
        </w:rPr>
        <w:t>、</w:t>
      </w:r>
      <w:r w:rsidRPr="00F7764B">
        <w:rPr>
          <w:rFonts w:hint="eastAsia"/>
          <w:b/>
          <w:bCs/>
        </w:rPr>
        <w:t>运行支撑辅助智能</w:t>
      </w:r>
      <w:r w:rsidRPr="00F7764B">
        <w:rPr>
          <w:rFonts w:hint="eastAsia"/>
          <w:b/>
          <w:bCs/>
        </w:rPr>
        <w:t>体建设</w:t>
      </w:r>
      <w:r w:rsidRPr="00F7764B">
        <w:rPr>
          <w:rFonts w:hint="eastAsia"/>
          <w:b/>
          <w:bCs/>
        </w:rPr>
        <w:t>任务</w:t>
      </w:r>
    </w:p>
    <w:p w:rsidR="000E6BAF" w:rsidRPr="00F7764B" w:rsidP="000E6BAF">
      <w:pPr>
        <w:ind w:firstLine="480"/>
      </w:pPr>
      <w:r w:rsidRPr="00F7764B">
        <w:rPr>
          <w:rFonts w:hint="eastAsia"/>
        </w:rPr>
        <w:t>面向系统运行保障和服务监测场景，开发运行支撑辅助智能体，支持日志信息提取、异常现象归纳、运行状态汇总和问题初步分析。重点提升运行问题发现、整理和</w:t>
      </w:r>
      <w:r w:rsidRPr="00F7764B">
        <w:rPr>
          <w:rFonts w:hint="eastAsia"/>
        </w:rPr>
        <w:t>辅助研</w:t>
      </w:r>
      <w:r w:rsidRPr="00F7764B">
        <w:rPr>
          <w:rFonts w:hint="eastAsia"/>
        </w:rPr>
        <w:t>判效率。</w:t>
      </w:r>
    </w:p>
    <w:p w:rsidR="000E6BAF" w:rsidRPr="00F7764B" w:rsidP="000E6BAF">
      <w:pPr>
        <w:ind w:firstLine="482"/>
        <w:rPr>
          <w:b/>
          <w:bCs/>
        </w:rPr>
      </w:pPr>
      <w:r>
        <w:rPr>
          <w:rFonts w:hint="eastAsia"/>
          <w:b/>
          <w:bCs/>
        </w:rPr>
        <w:t>3</w:t>
      </w:r>
      <w:r>
        <w:rPr>
          <w:rFonts w:hint="eastAsia"/>
          <w:b/>
          <w:bCs/>
        </w:rPr>
        <w:t>、</w:t>
      </w:r>
      <w:r w:rsidRPr="00F7764B">
        <w:rPr>
          <w:rFonts w:hint="eastAsia"/>
          <w:b/>
          <w:bCs/>
        </w:rPr>
        <w:t>成果管理辅助智能</w:t>
      </w:r>
      <w:r w:rsidRPr="00F7764B">
        <w:rPr>
          <w:rFonts w:hint="eastAsia"/>
          <w:b/>
          <w:bCs/>
        </w:rPr>
        <w:t>体建设</w:t>
      </w:r>
      <w:r w:rsidRPr="00F7764B">
        <w:rPr>
          <w:rFonts w:hint="eastAsia"/>
          <w:b/>
          <w:bCs/>
        </w:rPr>
        <w:t>任务</w:t>
      </w:r>
    </w:p>
    <w:p w:rsidR="000E6BAF" w:rsidRPr="00F7764B" w:rsidP="000E6BAF">
      <w:pPr>
        <w:ind w:firstLine="480"/>
      </w:pPr>
      <w:r w:rsidRPr="00F7764B">
        <w:rPr>
          <w:rFonts w:hint="eastAsia"/>
        </w:rPr>
        <w:t>开发面向成果管理工作的智能体，支持论文、专利、软著、标准、项目成果等信息提取、分类归集、关联分析和材料整理。提高成果梳理、统计汇总和成果材料准备效率。</w:t>
      </w:r>
    </w:p>
    <w:p w:rsidR="000E6BAF" w:rsidRPr="00F7764B" w:rsidP="000E6BAF">
      <w:pPr>
        <w:ind w:firstLine="482"/>
        <w:rPr>
          <w:b/>
          <w:bCs/>
        </w:rPr>
      </w:pPr>
      <w:r>
        <w:rPr>
          <w:rFonts w:hint="eastAsia"/>
          <w:b/>
          <w:bCs/>
        </w:rPr>
        <w:t>4</w:t>
      </w:r>
      <w:r>
        <w:rPr>
          <w:rFonts w:hint="eastAsia"/>
          <w:b/>
          <w:bCs/>
        </w:rPr>
        <w:t>、</w:t>
      </w:r>
      <w:r w:rsidRPr="00F7764B">
        <w:rPr>
          <w:rFonts w:hint="eastAsia"/>
          <w:b/>
          <w:bCs/>
        </w:rPr>
        <w:t>科技管理辅助智能</w:t>
      </w:r>
      <w:r w:rsidRPr="00F7764B">
        <w:rPr>
          <w:rFonts w:hint="eastAsia"/>
          <w:b/>
          <w:bCs/>
        </w:rPr>
        <w:t>体建设</w:t>
      </w:r>
      <w:r w:rsidRPr="00F7764B">
        <w:rPr>
          <w:rFonts w:hint="eastAsia"/>
          <w:b/>
          <w:bCs/>
        </w:rPr>
        <w:t>任务</w:t>
      </w:r>
    </w:p>
    <w:p w:rsidR="000E6BAF" w:rsidRPr="00F7764B" w:rsidP="000E6BAF">
      <w:pPr>
        <w:ind w:firstLine="480"/>
      </w:pPr>
      <w:r w:rsidRPr="00F7764B">
        <w:rPr>
          <w:rFonts w:hint="eastAsia"/>
        </w:rPr>
        <w:t>面向科技项目、考核材料、汇报材料和管理台账等工作，开发科技管理辅助智能体。支持项目进展梳理、材料内容核对、关键信息提取和汇报素材整理，减少重复性人工整理工作。</w:t>
      </w:r>
    </w:p>
    <w:p w:rsidR="000E6BAF" w:rsidP="000E6BAF">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71" w:name="_Toc239193963"/>
      <w:r>
        <w:rPr>
          <w:rFonts w:hint="eastAsia"/>
        </w:rPr>
        <w:t>非功能要求</w:t>
      </w:r>
      <w:bookmarkEnd w:id="71"/>
    </w:p>
    <w:p w:rsidR="000E6BAF" w:rsidP="000E6BAF">
      <w:pPr>
        <w:pStyle w:val="Heading3"/>
        <w:keepNext/>
        <w:keepLines/>
        <w:widowControl w:val="0"/>
        <w:numPr>
          <w:ilvl w:val="2"/>
          <w:numId w:val="4"/>
        </w:numPr>
        <w:tabs>
          <w:tab w:val="left" w:pos="480"/>
        </w:tabs>
        <w:spacing w:before="156" w:beforeLines="50" w:after="156" w:afterLines="50" w:line="360" w:lineRule="auto"/>
        <w:ind w:left="425" w:firstLine="0"/>
        <w:jc w:val="left"/>
      </w:pPr>
      <w:bookmarkStart w:id="72" w:name="_Toc239193964"/>
      <w:r>
        <w:rPr>
          <w:rFonts w:hint="eastAsia"/>
        </w:rPr>
        <w:t>稳定性</w:t>
      </w:r>
      <w:bookmarkEnd w:id="72"/>
    </w:p>
    <w:p w:rsidR="000E6BAF" w:rsidP="000E6BAF">
      <w:pPr>
        <w:ind w:firstLine="480"/>
      </w:pPr>
      <w:r>
        <w:rPr>
          <w:rFonts w:hint="eastAsia"/>
        </w:rPr>
        <w:t>本项目建设的数据智能服务、跨域安全分析、存储优化和智能</w:t>
      </w:r>
      <w:r>
        <w:rPr>
          <w:rFonts w:hint="eastAsia"/>
        </w:rPr>
        <w:t>体运行</w:t>
      </w:r>
      <w:r>
        <w:rPr>
          <w:rFonts w:hint="eastAsia"/>
        </w:rPr>
        <w:t>支撑功能应满足稳定运行要求。系统应提供服务状态、任务状态、模型与工具调用状态、异常信息和故障提示，保证智能匹配结果、跨域分析结果、存储优化建议和智能体处理结果可查询。</w:t>
      </w:r>
    </w:p>
    <w:p w:rsidR="000E6BAF" w:rsidP="000E6BAF">
      <w:pPr>
        <w:ind w:firstLine="480"/>
      </w:pPr>
      <w:r>
        <w:rPr>
          <w:rFonts w:hint="eastAsia"/>
        </w:rPr>
        <w:t>（</w:t>
      </w:r>
      <w:r>
        <w:rPr>
          <w:rFonts w:hint="eastAsia"/>
        </w:rPr>
        <w:t>1</w:t>
      </w:r>
      <w:r>
        <w:rPr>
          <w:rFonts w:hint="eastAsia"/>
        </w:rPr>
        <w:t>）用户意图理解、数据智能匹配、知识检索、关联推荐和跨域安全分析等核心服务应支持</w:t>
      </w:r>
      <w:r>
        <w:rPr>
          <w:rFonts w:hint="eastAsia"/>
        </w:rPr>
        <w:t>7</w:t>
      </w:r>
      <w:r>
        <w:rPr>
          <w:rFonts w:hint="eastAsia"/>
        </w:rPr>
        <w:t>×</w:t>
      </w:r>
      <w:r>
        <w:rPr>
          <w:rFonts w:hint="eastAsia"/>
        </w:rPr>
        <w:t>24</w:t>
      </w:r>
      <w:r>
        <w:rPr>
          <w:rFonts w:hint="eastAsia"/>
        </w:rPr>
        <w:t>小时运行，提供健康检查、状态监测、异常记录和故障提示。智能</w:t>
      </w:r>
      <w:r>
        <w:rPr>
          <w:rFonts w:hint="eastAsia"/>
        </w:rPr>
        <w:t>体运行</w:t>
      </w:r>
      <w:r>
        <w:rPr>
          <w:rFonts w:hint="eastAsia"/>
        </w:rPr>
        <w:t>框架应提供任务数量、执行状态、调用耗时和失败环节查询，基座模型或外部工具的可用性按其实际服务条件管理。</w:t>
      </w:r>
    </w:p>
    <w:p w:rsidR="000E6BAF" w:rsidP="000E6BAF">
      <w:pPr>
        <w:ind w:firstLine="480"/>
      </w:pPr>
      <w:r>
        <w:rPr>
          <w:rFonts w:hint="eastAsia"/>
        </w:rPr>
        <w:t>（</w:t>
      </w:r>
      <w:r>
        <w:rPr>
          <w:rFonts w:hint="eastAsia"/>
        </w:rPr>
        <w:t>2</w:t>
      </w:r>
      <w:r>
        <w:rPr>
          <w:rFonts w:hint="eastAsia"/>
        </w:rPr>
        <w:t>）数据匹配、知识检索、关联推荐、跨域流转分析、异常识别、存储分析和智能</w:t>
      </w:r>
      <w:r>
        <w:rPr>
          <w:rFonts w:hint="eastAsia"/>
        </w:rPr>
        <w:t>体任务</w:t>
      </w:r>
      <w:r>
        <w:rPr>
          <w:rFonts w:hint="eastAsia"/>
        </w:rPr>
        <w:t>发生异常时，应记录输入摘要、执行步骤、任务状态和错误信息。可重复执行的任务支持失败后重试；不能自动恢复的任务应允许管理员或用户重新发起。</w:t>
      </w:r>
    </w:p>
    <w:p w:rsidR="000E6BAF" w:rsidP="000E6BAF">
      <w:pPr>
        <w:ind w:firstLine="480"/>
      </w:pPr>
      <w:r>
        <w:rPr>
          <w:rFonts w:hint="eastAsia"/>
        </w:rPr>
        <w:t>（</w:t>
      </w:r>
      <w:r>
        <w:rPr>
          <w:rFonts w:hint="eastAsia"/>
        </w:rPr>
        <w:t>3</w:t>
      </w:r>
      <w:r>
        <w:rPr>
          <w:rFonts w:hint="eastAsia"/>
        </w:rPr>
        <w:t>）基座模型、知识资源或业务工具</w:t>
      </w:r>
      <w:r>
        <w:rPr>
          <w:rFonts w:hint="eastAsia"/>
        </w:rPr>
        <w:t>不</w:t>
      </w:r>
      <w:r>
        <w:rPr>
          <w:rFonts w:hint="eastAsia"/>
        </w:rPr>
        <w:t>可用时，智能体应终止或降级本次任务，记录失败环节、错误信息和已完成步骤，并向用户显示具体原因。模型或工具异常不得影响气象数据网现有检索、下载和接口服务。</w:t>
      </w:r>
    </w:p>
    <w:p w:rsidR="000E6BAF" w:rsidP="000E6BAF">
      <w:pPr>
        <w:ind w:firstLine="480"/>
      </w:pPr>
      <w:r>
        <w:rPr>
          <w:rFonts w:hint="eastAsia"/>
        </w:rPr>
        <w:t>（</w:t>
      </w:r>
      <w:r>
        <w:rPr>
          <w:rFonts w:hint="eastAsia"/>
        </w:rPr>
        <w:t>4</w:t>
      </w:r>
      <w:r>
        <w:rPr>
          <w:rFonts w:hint="eastAsia"/>
        </w:rPr>
        <w:t>）缓存、迁移、归档、压缩和清理等存储调整应在执行前完成方案确认、目标容量检查和回退准备，执行后核对数据数量、完整性和</w:t>
      </w:r>
      <w:r>
        <w:rPr>
          <w:rFonts w:hint="eastAsia"/>
        </w:rPr>
        <w:t>可</w:t>
      </w:r>
      <w:r>
        <w:rPr>
          <w:rFonts w:hint="eastAsia"/>
        </w:rPr>
        <w:t>访问状态。任务失败时停止后续操作并恢复原配置；涉及数据清理的操作须经人工确认。</w:t>
      </w:r>
    </w:p>
    <w:p w:rsidR="000E6BAF" w:rsidP="000E6BAF">
      <w:pPr>
        <w:pStyle w:val="Heading3"/>
        <w:keepNext/>
        <w:keepLines/>
        <w:widowControl w:val="0"/>
        <w:numPr>
          <w:ilvl w:val="2"/>
          <w:numId w:val="4"/>
        </w:numPr>
        <w:tabs>
          <w:tab w:val="left" w:pos="480"/>
        </w:tabs>
        <w:spacing w:before="156" w:beforeLines="50" w:after="156" w:afterLines="50" w:line="360" w:lineRule="auto"/>
        <w:ind w:left="425" w:firstLine="0"/>
        <w:jc w:val="left"/>
      </w:pPr>
      <w:bookmarkStart w:id="73" w:name="_Toc239193965"/>
      <w:r>
        <w:rPr>
          <w:rFonts w:hint="eastAsia"/>
        </w:rPr>
        <w:t>安全性</w:t>
      </w:r>
      <w:bookmarkEnd w:id="73"/>
    </w:p>
    <w:p w:rsidR="000E6BAF" w:rsidP="000E6BAF">
      <w:pPr>
        <w:ind w:firstLine="480"/>
      </w:pPr>
      <w:r>
        <w:rPr>
          <w:rFonts w:hint="eastAsia"/>
        </w:rPr>
        <w:t>本项目涉及气象科学数据、用户身份、跨域流转记录、服务日志、项目材料、成果信息和模型调用信息，应按照现有网络安全和数据安全制度实施身份认证、权限控制、操作记录、使用溯源和敏感信息保护。智能体仅使用经授权的数据、日志和科技管理材料。</w:t>
      </w:r>
    </w:p>
    <w:p w:rsidR="000E6BAF" w:rsidP="000E6BAF">
      <w:pPr>
        <w:ind w:firstLine="480"/>
      </w:pPr>
      <w:r>
        <w:rPr>
          <w:rFonts w:hint="eastAsia"/>
        </w:rPr>
        <w:t>（</w:t>
      </w:r>
      <w:r>
        <w:rPr>
          <w:rFonts w:hint="eastAsia"/>
        </w:rPr>
        <w:t>1</w:t>
      </w:r>
      <w:r>
        <w:rPr>
          <w:rFonts w:hint="eastAsia"/>
        </w:rPr>
        <w:t>）用户意图理解、数据智能匹配、知识解释和关联推荐应在现有用户权限范围内返回数据和资料信息，不得通过智能推荐绕过数据查看、下载和接口调用权限。</w:t>
      </w:r>
    </w:p>
    <w:p w:rsidR="000E6BAF" w:rsidP="000E6BAF">
      <w:pPr>
        <w:ind w:firstLine="480"/>
      </w:pPr>
      <w:r>
        <w:rPr>
          <w:rFonts w:hint="eastAsia"/>
        </w:rPr>
        <w:t>（</w:t>
      </w:r>
      <w:r>
        <w:rPr>
          <w:rFonts w:hint="eastAsia"/>
        </w:rPr>
        <w:t>2</w:t>
      </w:r>
      <w:r>
        <w:rPr>
          <w:rFonts w:hint="eastAsia"/>
        </w:rPr>
        <w:t>）</w:t>
      </w:r>
      <w:r>
        <w:rPr>
          <w:rFonts w:hint="eastAsia"/>
        </w:rPr>
        <w:t>跨网络域数据</w:t>
      </w:r>
      <w:r>
        <w:rPr>
          <w:rFonts w:hint="eastAsia"/>
        </w:rPr>
        <w:t>流转分析和使用行为溯源应复用现有同步、发布、访问和服务调用记录，并按照网络域、用户角色和数据范围控制查询与导出。异常识别结果、处置建议和相关日志仅向授权管理人员提供。</w:t>
      </w:r>
    </w:p>
    <w:p w:rsidR="000E6BAF" w:rsidP="000E6BAF">
      <w:pPr>
        <w:ind w:firstLine="480"/>
      </w:pPr>
      <w:r>
        <w:rPr>
          <w:rFonts w:hint="eastAsia"/>
        </w:rPr>
        <w:t>（</w:t>
      </w:r>
      <w:r>
        <w:rPr>
          <w:rFonts w:hint="eastAsia"/>
        </w:rPr>
        <w:t>3</w:t>
      </w:r>
      <w:r>
        <w:rPr>
          <w:rFonts w:hint="eastAsia"/>
        </w:rPr>
        <w:t>）提交给外部或非本地基座模型的内容不得包含未经批准的数据、日志和项目材料。智能体调用数据查询、日志查询、文件解析和科技管理工具前应校验用户权限、工具权限和参数范围；涉及数据修改、成果确认或材料发布的操作由业务人员确认后在相应系统中完成。</w:t>
      </w:r>
    </w:p>
    <w:p w:rsidR="000E6BAF" w:rsidP="000E6BAF">
      <w:pPr>
        <w:ind w:firstLine="480"/>
      </w:pPr>
      <w:r>
        <w:rPr>
          <w:rFonts w:hint="eastAsia"/>
        </w:rPr>
        <w:t>（</w:t>
      </w:r>
      <w:r>
        <w:rPr>
          <w:rFonts w:hint="eastAsia"/>
        </w:rPr>
        <w:t>4</w:t>
      </w:r>
      <w:r>
        <w:rPr>
          <w:rFonts w:hint="eastAsia"/>
        </w:rPr>
        <w:t>）系统应记录意图解析、数据匹配、知识检索、关联推荐、跨域分析、异常识别、存储策略调整、模型调用、资料检索和工具执行等关键过程。相关</w:t>
      </w:r>
      <w:r>
        <w:rPr>
          <w:rFonts w:hint="eastAsia"/>
        </w:rPr>
        <w:t>记录按</w:t>
      </w:r>
      <w:r>
        <w:rPr>
          <w:rFonts w:hint="eastAsia"/>
        </w:rPr>
        <w:t>现有制度设置访问权限和留存期限，并支持按用户、数据、项目、任务和时间范围查询。</w:t>
      </w:r>
    </w:p>
    <w:p w:rsidR="000E6BAF" w:rsidP="000E6BAF">
      <w:pPr>
        <w:ind w:firstLine="480"/>
      </w:pPr>
      <w:r>
        <w:rPr>
          <w:rFonts w:hint="eastAsia"/>
        </w:rPr>
        <w:t>（</w:t>
      </w:r>
      <w:r>
        <w:rPr>
          <w:rFonts w:hint="eastAsia"/>
        </w:rPr>
        <w:t>5</w:t>
      </w:r>
      <w:r>
        <w:rPr>
          <w:rFonts w:hint="eastAsia"/>
        </w:rPr>
        <w:t>）项目部署的服务器、数据库、存储、模型接口、工具接口和运行组件应纳入现有安全管理范围，完成账号清理、默认口令修改、必要端口开放、补丁更新和依赖组件检查，并保留检查记录。</w:t>
      </w:r>
    </w:p>
    <w:p w:rsidR="000E6BAF" w:rsidP="000E6BAF">
      <w:pPr>
        <w:pStyle w:val="Heading3"/>
        <w:keepNext/>
        <w:keepLines/>
        <w:widowControl w:val="0"/>
        <w:numPr>
          <w:ilvl w:val="2"/>
          <w:numId w:val="4"/>
        </w:numPr>
        <w:tabs>
          <w:tab w:val="left" w:pos="480"/>
        </w:tabs>
        <w:spacing w:before="156" w:beforeLines="50" w:after="156" w:afterLines="50" w:line="360" w:lineRule="auto"/>
        <w:ind w:left="425" w:firstLine="0"/>
        <w:jc w:val="left"/>
      </w:pPr>
      <w:bookmarkStart w:id="74" w:name="_Toc239193966"/>
      <w:r>
        <w:rPr>
          <w:rFonts w:hint="eastAsia"/>
        </w:rPr>
        <w:t>易用性</w:t>
      </w:r>
      <w:bookmarkEnd w:id="74"/>
    </w:p>
    <w:p w:rsidR="000E6BAF" w:rsidP="000E6BAF">
      <w:pPr>
        <w:ind w:firstLine="480"/>
      </w:pPr>
      <w:r>
        <w:rPr>
          <w:rFonts w:hint="eastAsia"/>
        </w:rPr>
        <w:t>系统应分别为数据用户、数据服务人员、安全管理人员、存储运维人员、成果管理人员和科技管理人员提供与其职责对应的功能入口，并统一页面中的字段名称、任务状态和操作提示。</w:t>
      </w:r>
    </w:p>
    <w:p w:rsidR="000E6BAF" w:rsidP="000E6BAF">
      <w:pPr>
        <w:ind w:firstLine="480"/>
      </w:pPr>
      <w:r>
        <w:rPr>
          <w:rFonts w:hint="eastAsia"/>
        </w:rPr>
        <w:t>（</w:t>
      </w:r>
      <w:r>
        <w:rPr>
          <w:rFonts w:hint="eastAsia"/>
        </w:rPr>
        <w:t>1</w:t>
      </w:r>
      <w:r>
        <w:rPr>
          <w:rFonts w:hint="eastAsia"/>
        </w:rPr>
        <w:t>）用户意图理解功能应展示解析出的时间范围、空间范围、气象要素、资料类型、灾害过程和观测方式等条件，用户可以修改或删除识别结果；无法识别或存在歧义时应给出明确提示。</w:t>
      </w:r>
    </w:p>
    <w:p w:rsidR="000E6BAF" w:rsidP="000E6BAF">
      <w:pPr>
        <w:ind w:firstLine="480"/>
      </w:pPr>
      <w:r>
        <w:rPr>
          <w:rFonts w:hint="eastAsia"/>
        </w:rPr>
        <w:t>（</w:t>
      </w:r>
      <w:r>
        <w:rPr>
          <w:rFonts w:hint="eastAsia"/>
        </w:rPr>
        <w:t>2</w:t>
      </w:r>
      <w:r>
        <w:rPr>
          <w:rFonts w:hint="eastAsia"/>
        </w:rPr>
        <w:t>）数据匹配与推荐应展示匹配条件和推荐依据；跨域安全分析、存储优化和智能</w:t>
      </w:r>
      <w:r>
        <w:rPr>
          <w:rFonts w:hint="eastAsia"/>
        </w:rPr>
        <w:t>体任务</w:t>
      </w:r>
      <w:r>
        <w:rPr>
          <w:rFonts w:hint="eastAsia"/>
        </w:rPr>
        <w:t>应显示当前状态、输入范围、处理结果和待确认事项。操作失败时应显示失败环节和错误原因，智能体生成内容应展示所用资料来源。</w:t>
      </w:r>
    </w:p>
    <w:p w:rsidR="000E6BAF" w:rsidP="000E6BAF">
      <w:pPr>
        <w:ind w:firstLine="480"/>
      </w:pPr>
      <w:r>
        <w:rPr>
          <w:rFonts w:hint="eastAsia"/>
        </w:rPr>
        <w:t>（</w:t>
      </w:r>
      <w:r>
        <w:rPr>
          <w:rFonts w:hint="eastAsia"/>
        </w:rPr>
        <w:t>3</w:t>
      </w:r>
      <w:r>
        <w:rPr>
          <w:rFonts w:hint="eastAsia"/>
        </w:rPr>
        <w:t>）系统按用户角色显示功能入口。常用检索条件、数据推荐结果、跨域分析条件、存储策略和智能</w:t>
      </w:r>
      <w:r>
        <w:rPr>
          <w:rFonts w:hint="eastAsia"/>
        </w:rPr>
        <w:t>体任务</w:t>
      </w:r>
      <w:r>
        <w:rPr>
          <w:rFonts w:hint="eastAsia"/>
        </w:rPr>
        <w:t>模板支持保存、复制和再次使用，保存内容由用户或管理员按权限维护。</w:t>
      </w:r>
    </w:p>
    <w:p w:rsidR="000E6BAF" w:rsidP="000E6BAF">
      <w:pPr>
        <w:ind w:firstLine="480"/>
      </w:pPr>
      <w:r>
        <w:rPr>
          <w:rFonts w:hint="eastAsia"/>
        </w:rPr>
        <w:t>（</w:t>
      </w:r>
      <w:r>
        <w:rPr>
          <w:rFonts w:hint="eastAsia"/>
        </w:rPr>
        <w:t>4</w:t>
      </w:r>
      <w:r>
        <w:rPr>
          <w:rFonts w:hint="eastAsia"/>
        </w:rPr>
        <w:t>）项目交付用户手册、管理员手册、部署说明和接口示例，说明数据字段、任务状态、权限要求、分析条件、存储策略、模型与工具配置、智能体适用范围及已知限制。</w:t>
      </w:r>
    </w:p>
    <w:p w:rsidR="000E6BAF" w:rsidP="000E6BAF">
      <w:pPr>
        <w:pStyle w:val="Heading3"/>
        <w:keepNext/>
        <w:keepLines/>
        <w:widowControl w:val="0"/>
        <w:numPr>
          <w:ilvl w:val="2"/>
          <w:numId w:val="4"/>
        </w:numPr>
        <w:tabs>
          <w:tab w:val="left" w:pos="480"/>
        </w:tabs>
        <w:spacing w:before="156" w:beforeLines="50" w:after="156" w:afterLines="50" w:line="360" w:lineRule="auto"/>
        <w:ind w:left="425" w:firstLine="0"/>
        <w:jc w:val="left"/>
      </w:pPr>
      <w:bookmarkStart w:id="75" w:name="_Toc239193967"/>
      <w:r>
        <w:rPr>
          <w:rFonts w:hint="eastAsia"/>
        </w:rPr>
        <w:t>可维护性</w:t>
      </w:r>
      <w:bookmarkEnd w:id="75"/>
    </w:p>
    <w:p w:rsidR="000E6BAF" w:rsidP="000E6BAF">
      <w:pPr>
        <w:ind w:firstLine="480"/>
      </w:pPr>
      <w:r>
        <w:rPr>
          <w:rFonts w:hint="eastAsia"/>
        </w:rPr>
        <w:t>系统应支持气象专业词表、数据匹配规则、关联推荐规则、知识资料、跨域分析规则、异常识别规则、存储分层与生命周期策略、模型端点、工具注册和智能</w:t>
      </w:r>
      <w:r>
        <w:rPr>
          <w:rFonts w:hint="eastAsia"/>
        </w:rPr>
        <w:t>体任务</w:t>
      </w:r>
      <w:r>
        <w:rPr>
          <w:rFonts w:hint="eastAsia"/>
        </w:rPr>
        <w:t>配置更新。各模块使用明确的接口、配置项、错误编码、版本字段和任务状态。</w:t>
      </w:r>
    </w:p>
    <w:p w:rsidR="000E6BAF" w:rsidP="000E6BAF">
      <w:pPr>
        <w:ind w:firstLine="480"/>
      </w:pPr>
      <w:r>
        <w:rPr>
          <w:rFonts w:hint="eastAsia"/>
        </w:rPr>
        <w:t>（</w:t>
      </w:r>
      <w:r>
        <w:rPr>
          <w:rFonts w:hint="eastAsia"/>
        </w:rPr>
        <w:t>1</w:t>
      </w:r>
      <w:r>
        <w:rPr>
          <w:rFonts w:hint="eastAsia"/>
        </w:rPr>
        <w:t>）专业词表、匹配条件、推荐规则、知识资料、跨域分析条件、异常规则、存储分层策略、生命周期规则、模型参数、资料索引和工具注册信息采用配置文件或管理功能维护；配置变更记录操作人和时间。</w:t>
      </w:r>
    </w:p>
    <w:p w:rsidR="000E6BAF" w:rsidP="000E6BAF">
      <w:pPr>
        <w:ind w:firstLine="480"/>
      </w:pPr>
      <w:r>
        <w:rPr>
          <w:rFonts w:hint="eastAsia"/>
        </w:rPr>
        <w:t>（</w:t>
      </w:r>
      <w:r>
        <w:rPr>
          <w:rFonts w:hint="eastAsia"/>
        </w:rPr>
        <w:t>2</w:t>
      </w:r>
      <w:r>
        <w:rPr>
          <w:rFonts w:hint="eastAsia"/>
        </w:rPr>
        <w:t>）系统统一数据字典、错误编码、任务状态和过程记录字段。意图解析、数据匹配、知识检索、跨域分析、异常识别、存储优化、模型调用和工具执行发生异常时，记录任务标识、配置版本、参数摘要、错误信息和发生时间。</w:t>
      </w:r>
    </w:p>
    <w:p w:rsidR="000E6BAF" w:rsidP="000E6BAF">
      <w:pPr>
        <w:ind w:firstLine="480"/>
      </w:pPr>
      <w:r>
        <w:rPr>
          <w:rFonts w:hint="eastAsia"/>
        </w:rPr>
        <w:t>（</w:t>
      </w:r>
      <w:r>
        <w:rPr>
          <w:rFonts w:hint="eastAsia"/>
        </w:rPr>
        <w:t>3</w:t>
      </w:r>
      <w:r>
        <w:rPr>
          <w:rFonts w:hint="eastAsia"/>
        </w:rPr>
        <w:t>）程序、匹配规则、知识资料、异常识别规则、存储策略、模型配置、提示模板、科技管理资料索引和智能体配置应标注版本。上线前完成测试并保留发布记录；程序和配置变更准备可执行的回退方案。</w:t>
      </w:r>
    </w:p>
    <w:p w:rsidR="000E6BAF" w:rsidP="000E6BAF">
      <w:pPr>
        <w:ind w:firstLine="480"/>
      </w:pPr>
      <w:r>
        <w:rPr>
          <w:rFonts w:hint="eastAsia"/>
        </w:rPr>
        <w:t>（</w:t>
      </w:r>
      <w:r>
        <w:rPr>
          <w:rFonts w:hint="eastAsia"/>
        </w:rPr>
        <w:t>4</w:t>
      </w:r>
      <w:r>
        <w:rPr>
          <w:rFonts w:hint="eastAsia"/>
        </w:rPr>
        <w:t>）系统提供服务状态、智能</w:t>
      </w:r>
      <w:r>
        <w:rPr>
          <w:rFonts w:hint="eastAsia"/>
        </w:rPr>
        <w:t>体任务</w:t>
      </w:r>
      <w:r>
        <w:rPr>
          <w:rFonts w:hint="eastAsia"/>
        </w:rPr>
        <w:t>数量、失败任务、模型与工具调用情况、存储容量和接口响应时间等运行信息，支持按模块和时间范围查询。告警应记录处理人、处理时间和处理结果。</w:t>
      </w:r>
    </w:p>
    <w:p w:rsidR="000E6BAF" w:rsidP="000E6BAF">
      <w:pPr>
        <w:ind w:firstLine="480"/>
      </w:pPr>
      <w:r>
        <w:rPr>
          <w:rFonts w:hint="eastAsia"/>
        </w:rPr>
        <w:t>（</w:t>
      </w:r>
      <w:r>
        <w:rPr>
          <w:rFonts w:hint="eastAsia"/>
        </w:rPr>
        <w:t>5</w:t>
      </w:r>
      <w:r>
        <w:rPr>
          <w:rFonts w:hint="eastAsia"/>
        </w:rPr>
        <w:t>）系统升级、知识资料更新、配置调整和数据迁移前应备份相关程序、配置、索引和任务记录，形成实施步骤、验证项和回退步骤；完成后核对知识索引、规则配置、存储位置和智能体任务。</w:t>
      </w:r>
    </w:p>
    <w:p w:rsidR="000E6BAF" w:rsidP="000E6BAF">
      <w:pPr>
        <w:pStyle w:val="Heading3"/>
        <w:keepNext/>
        <w:keepLines/>
        <w:widowControl w:val="0"/>
        <w:numPr>
          <w:ilvl w:val="2"/>
          <w:numId w:val="4"/>
        </w:numPr>
        <w:tabs>
          <w:tab w:val="left" w:pos="480"/>
        </w:tabs>
        <w:spacing w:before="156" w:beforeLines="50" w:after="156" w:afterLines="50" w:line="360" w:lineRule="auto"/>
        <w:ind w:left="425" w:firstLine="0"/>
        <w:jc w:val="left"/>
      </w:pPr>
      <w:bookmarkStart w:id="76" w:name="_Toc239193968"/>
      <w:r>
        <w:rPr>
          <w:rFonts w:hint="eastAsia"/>
        </w:rPr>
        <w:t>可移植性</w:t>
      </w:r>
      <w:bookmarkEnd w:id="76"/>
    </w:p>
    <w:p w:rsidR="000E6BAF" w:rsidP="000E6BAF">
      <w:pPr>
        <w:ind w:firstLine="480"/>
      </w:pPr>
      <w:r>
        <w:rPr>
          <w:rFonts w:hint="eastAsia"/>
        </w:rPr>
        <w:t>系统按照项目确定的服务器、存储、网络和基础软件环境完成部署，并通过配置文件管理数据库、存储目录、知识索引、业务工具接口和模型端点，便于在兼容环境中调整。</w:t>
      </w:r>
    </w:p>
    <w:p w:rsidR="000E6BAF" w:rsidP="000E6BAF">
      <w:pPr>
        <w:ind w:firstLine="480"/>
      </w:pPr>
      <w:r>
        <w:rPr>
          <w:rFonts w:hint="eastAsia"/>
        </w:rPr>
        <w:t>（</w:t>
      </w:r>
      <w:r>
        <w:rPr>
          <w:rFonts w:hint="eastAsia"/>
        </w:rPr>
        <w:t>1</w:t>
      </w:r>
      <w:r>
        <w:rPr>
          <w:rFonts w:hint="eastAsia"/>
        </w:rPr>
        <w:t>）运行参数、接口地址、模型端点、知识索引位置、工具凭据、存储目录和数据库连接采用配置化管理，敏感配置不写入程序代码。</w:t>
      </w:r>
    </w:p>
    <w:p w:rsidR="000E6BAF" w:rsidP="000E6BAF">
      <w:pPr>
        <w:ind w:firstLine="480"/>
      </w:pPr>
      <w:r>
        <w:rPr>
          <w:rFonts w:hint="eastAsia"/>
        </w:rPr>
        <w:t>（</w:t>
      </w:r>
      <w:r>
        <w:rPr>
          <w:rFonts w:hint="eastAsia"/>
        </w:rPr>
        <w:t>2</w:t>
      </w:r>
      <w:r>
        <w:rPr>
          <w:rFonts w:hint="eastAsia"/>
        </w:rPr>
        <w:t>）各类智能体通过统一适配接口调用基座模型和业务工具。新增或更换模型、工具时更新模型参数、能力描述、权限范围和适配配置，不要求改动数据智能服务、跨域安全分析和存储管理等独立业务功能。</w:t>
      </w:r>
    </w:p>
    <w:p w:rsidR="000E6BAF" w:rsidP="000E6BAF">
      <w:pPr>
        <w:ind w:firstLine="480"/>
      </w:pPr>
      <w:r>
        <w:rPr>
          <w:rFonts w:hint="eastAsia"/>
        </w:rPr>
        <w:t>（</w:t>
      </w:r>
      <w:r>
        <w:rPr>
          <w:rFonts w:hint="eastAsia"/>
        </w:rPr>
        <w:t>3</w:t>
      </w:r>
      <w:r>
        <w:rPr>
          <w:rFonts w:hint="eastAsia"/>
        </w:rPr>
        <w:t>）项目交付安装部署、环境依赖、模型与工具配置、启动停止、备份恢复、升级和回退说明，并在项目部署环境完成一次安装或恢复验证。</w:t>
      </w:r>
    </w:p>
    <w:p w:rsidR="000E6BAF" w:rsidP="000E6BAF">
      <w:pPr>
        <w:ind w:firstLine="480"/>
      </w:pPr>
      <w:r>
        <w:rPr>
          <w:rFonts w:hint="eastAsia"/>
        </w:rPr>
        <w:t>（</w:t>
      </w:r>
      <w:r>
        <w:rPr>
          <w:rFonts w:hint="eastAsia"/>
        </w:rPr>
        <w:t>4</w:t>
      </w:r>
      <w:r>
        <w:rPr>
          <w:rFonts w:hint="eastAsia"/>
        </w:rPr>
        <w:t>）如项目实施期间发生环境迁移，应迁移专业词表、匹配与推荐规则、跨域分析规则、存储策略、知识索引、模型与工具注册、智能体配置和任务记录，并按测试用例核对迁移结果。</w:t>
      </w:r>
    </w:p>
    <w:p w:rsidR="000E6BAF" w:rsidP="000E6BAF">
      <w:pPr>
        <w:pStyle w:val="Heading3"/>
        <w:keepNext/>
        <w:keepLines/>
        <w:widowControl w:val="0"/>
        <w:numPr>
          <w:ilvl w:val="2"/>
          <w:numId w:val="4"/>
        </w:numPr>
        <w:tabs>
          <w:tab w:val="left" w:pos="480"/>
        </w:tabs>
        <w:spacing w:before="156" w:beforeLines="50" w:after="156" w:afterLines="50" w:line="360" w:lineRule="auto"/>
        <w:ind w:left="425" w:firstLine="0"/>
        <w:jc w:val="left"/>
      </w:pPr>
      <w:bookmarkStart w:id="77" w:name="_Toc239193969"/>
      <w:r>
        <w:rPr>
          <w:rFonts w:hint="eastAsia"/>
        </w:rPr>
        <w:t>可扩展性</w:t>
      </w:r>
      <w:bookmarkEnd w:id="77"/>
    </w:p>
    <w:p w:rsidR="000E6BAF" w:rsidP="000E6BAF">
      <w:pPr>
        <w:ind w:firstLine="480"/>
      </w:pPr>
      <w:r>
        <w:rPr>
          <w:rFonts w:hint="eastAsia"/>
        </w:rPr>
        <w:t>系统应为后续增加数据类型、匹配与推荐规则、跨域分析任务、存储策略、基座模型、业务工具、知识资源和智能体场景保留注册或配置接口。本项目复用现有数据网和科技管理资源，仅实现任务书明确的功能和应用场景。</w:t>
      </w:r>
    </w:p>
    <w:p w:rsidR="000E6BAF" w:rsidP="000E6BAF">
      <w:pPr>
        <w:ind w:firstLine="480"/>
      </w:pPr>
      <w:r>
        <w:rPr>
          <w:rFonts w:hint="eastAsia"/>
        </w:rPr>
        <w:t>（</w:t>
      </w:r>
      <w:r>
        <w:rPr>
          <w:rFonts w:hint="eastAsia"/>
        </w:rPr>
        <w:t>1</w:t>
      </w:r>
      <w:r>
        <w:rPr>
          <w:rFonts w:hint="eastAsia"/>
        </w:rPr>
        <w:t>）数据智能服务支持扩展气象专业术语、意图识别字段、多条件匹配规则、知识资料和关联推荐规则；新增数据类型时通过现有数据目录和元数据接口接入。</w:t>
      </w:r>
    </w:p>
    <w:p w:rsidR="000E6BAF" w:rsidP="000E6BAF">
      <w:pPr>
        <w:ind w:firstLine="480"/>
      </w:pPr>
      <w:r>
        <w:rPr>
          <w:rFonts w:hint="eastAsia"/>
        </w:rPr>
        <w:t>（</w:t>
      </w:r>
      <w:r>
        <w:rPr>
          <w:rFonts w:hint="eastAsia"/>
        </w:rPr>
        <w:t>2</w:t>
      </w:r>
      <w:r>
        <w:rPr>
          <w:rFonts w:hint="eastAsia"/>
        </w:rPr>
        <w:t>）数据网络智能安全管理支持扩展网络域、流转记录类型、使用行为分析条件、异常识别规则和事件处置模板；新增规则应完成样</w:t>
      </w:r>
      <w:r>
        <w:rPr>
          <w:rFonts w:hint="eastAsia"/>
        </w:rPr>
        <w:t>例数据</w:t>
      </w:r>
      <w:r>
        <w:rPr>
          <w:rFonts w:hint="eastAsia"/>
        </w:rPr>
        <w:t>验证后启用。</w:t>
      </w:r>
    </w:p>
    <w:p w:rsidR="000E6BAF" w:rsidP="000E6BAF">
      <w:pPr>
        <w:ind w:firstLine="480"/>
      </w:pPr>
      <w:r>
        <w:rPr>
          <w:rFonts w:hint="eastAsia"/>
        </w:rPr>
        <w:t>（</w:t>
      </w:r>
      <w:r>
        <w:rPr>
          <w:rFonts w:hint="eastAsia"/>
        </w:rPr>
        <w:t>3</w:t>
      </w:r>
      <w:r>
        <w:rPr>
          <w:rFonts w:hint="eastAsia"/>
        </w:rPr>
        <w:t>）存储智能优化支持登记新增存储节点、存储介质、数据目录和容量信息，并扩展访问热度、分层存储、位置调度和生命周期规则；涉及数据迁移和清理的新增策略应先完成测试。</w:t>
      </w:r>
    </w:p>
    <w:p w:rsidR="000E6BAF" w:rsidP="000E6BAF">
      <w:pPr>
        <w:ind w:firstLine="480"/>
      </w:pPr>
      <w:r>
        <w:rPr>
          <w:rFonts w:hint="eastAsia"/>
        </w:rPr>
        <w:t>（</w:t>
      </w:r>
      <w:r>
        <w:rPr>
          <w:rFonts w:hint="eastAsia"/>
        </w:rPr>
        <w:t>4</w:t>
      </w:r>
      <w:r>
        <w:rPr>
          <w:rFonts w:hint="eastAsia"/>
        </w:rPr>
        <w:t>）智能</w:t>
      </w:r>
      <w:r>
        <w:rPr>
          <w:rFonts w:hint="eastAsia"/>
        </w:rPr>
        <w:t>体运行</w:t>
      </w:r>
      <w:r>
        <w:rPr>
          <w:rFonts w:hint="eastAsia"/>
        </w:rPr>
        <w:t>框架支持注册新的基座模型、专业模型、业务工具和知识资源。新增能力时应配置调用参数、权限范围、超时处理和返回格式，并完成接入测试。</w:t>
      </w:r>
    </w:p>
    <w:p w:rsidR="000E6BAF" w:rsidP="000E6BAF">
      <w:pPr>
        <w:ind w:firstLine="480"/>
      </w:pPr>
      <w:r>
        <w:rPr>
          <w:rFonts w:hint="eastAsia"/>
        </w:rPr>
        <w:t>（</w:t>
      </w:r>
      <w:r>
        <w:rPr>
          <w:rFonts w:hint="eastAsia"/>
        </w:rPr>
        <w:t>5</w:t>
      </w:r>
      <w:r>
        <w:rPr>
          <w:rFonts w:hint="eastAsia"/>
        </w:rPr>
        <w:t>）新增数据服务、运行支撑、成果管理或科技管理智能体场景时，应明确使用的数据与资料范围、工具权限、任务步骤、输出格式、测试用例和人工确认要求，完成验证后再纳入使用范围。</w:t>
      </w:r>
    </w:p>
    <w:p w:rsidR="000E6BAF" w:rsidRPr="00655FCD" w:rsidP="000E6BAF">
      <w:pPr>
        <w:pStyle w:val="Heading3"/>
        <w:keepNext/>
        <w:keepLines/>
        <w:widowControl w:val="0"/>
        <w:numPr>
          <w:ilvl w:val="2"/>
          <w:numId w:val="4"/>
        </w:numPr>
        <w:tabs>
          <w:tab w:val="left" w:pos="480"/>
        </w:tabs>
        <w:spacing w:before="156" w:beforeLines="50" w:after="156" w:afterLines="50" w:line="360" w:lineRule="auto"/>
        <w:ind w:left="0" w:firstLine="0"/>
        <w:jc w:val="left"/>
      </w:pPr>
      <w:r w:rsidRPr="00655FCD">
        <w:rPr>
          <w:rFonts w:hint="eastAsia"/>
        </w:rPr>
        <w:t>国产适配性</w:t>
      </w:r>
    </w:p>
    <w:p w:rsidR="000E6BAF" w:rsidRPr="00655FCD" w:rsidP="000E6BAF">
      <w:pPr>
        <w:ind w:firstLine="480"/>
      </w:pPr>
      <w:r w:rsidRPr="00655FCD">
        <w:rPr>
          <w:rFonts w:hint="eastAsia"/>
        </w:rPr>
        <w:t>本系统应具备国产适配能力，应对未来国产化趋势</w:t>
      </w:r>
      <w:r w:rsidRPr="00655FCD">
        <w:t>.</w:t>
      </w:r>
    </w:p>
    <w:p w:rsidR="000E6BAF" w:rsidRPr="00655FCD" w:rsidP="000E6BAF">
      <w:pPr>
        <w:ind w:firstLine="480"/>
      </w:pPr>
      <w:r w:rsidRPr="00655FCD">
        <w:rPr>
          <w:rFonts w:hint="eastAsia"/>
        </w:rPr>
        <w:t>本期项目建设要兼顾后续的系统国产化进程。当服务器或者其他硬件组件替换为国产化产品后，不应出现系统反应速度大幅下降、系统崩溃等重大事故。为此，系统需要在国产化软硬件环境下进行充分的性能测试，并提供针对国产化环境的详细技术支持服务、配置手册、安装指南等，快速响应国产化过程中出现的用户问题。</w:t>
      </w:r>
    </w:p>
    <w:p w:rsidR="000E6BAF" w:rsidRPr="000E46AE" w:rsidP="000E6BAF">
      <w:pPr>
        <w:pStyle w:val="Heading1"/>
        <w:keepNext/>
        <w:keepLines/>
        <w:widowControl w:val="0"/>
        <w:numPr>
          <w:numId w:val="4"/>
        </w:numPr>
        <w:tabs>
          <w:tab w:val="left" w:pos="480"/>
        </w:tabs>
        <w:spacing w:before="156" w:beforeLines="50" w:after="156" w:afterLines="50" w:line="360" w:lineRule="auto"/>
        <w:ind w:left="0" w:firstLine="0"/>
        <w:jc w:val="left"/>
      </w:pPr>
      <w:bookmarkStart w:id="78" w:name="_Toc239193970"/>
      <w:r>
        <w:rPr>
          <w:rFonts w:hint="eastAsia"/>
        </w:rPr>
        <w:t>项目实施要求</w:t>
      </w:r>
      <w:bookmarkEnd w:id="78"/>
    </w:p>
    <w:p w:rsidR="000E6BAF" w:rsidP="000E6BAF">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79" w:name="_Toc239193971"/>
      <w:r>
        <w:rPr>
          <w:rFonts w:hint="eastAsia"/>
        </w:rPr>
        <w:t>项目进度要求</w:t>
      </w:r>
      <w:bookmarkEnd w:id="79"/>
    </w:p>
    <w:p w:rsidR="000E6BAF" w:rsidP="000E6BAF">
      <w:pPr>
        <w:ind w:firstLine="480"/>
      </w:pPr>
      <w:r w:rsidRPr="00E07CFC">
        <w:t>本项目要求完全按软件工程的方法和过程实施，其研制过程主要包括需求分析、概要设计、详细设计与编码调试、测试与系统集成、试运行、系统验收六个阶段，研制周期为</w:t>
      </w:r>
      <w:r w:rsidRPr="00E07CFC">
        <w:t>12</w:t>
      </w:r>
      <w:r w:rsidRPr="00E07CFC">
        <w:t>个月，下表给出了任务各阶段的进度要求：</w:t>
      </w:r>
    </w:p>
    <w:tbl>
      <w:tblPr>
        <w:tblStyle w:val="TableNormal"/>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96"/>
        <w:gridCol w:w="1418"/>
        <w:gridCol w:w="5599"/>
      </w:tblGrid>
      <w:tr w:rsidTr="00FB2765">
        <w:tblPrEx>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1696" w:type="dxa"/>
            <w:shd w:val="clear" w:color="auto" w:fill="D0CECE"/>
            <w:vAlign w:val="center"/>
          </w:tcPr>
          <w:p w:rsidR="000E6BAF" w:rsidRPr="004F6AC2" w:rsidP="00FB2765">
            <w:pPr>
              <w:pStyle w:val="HXLC-"/>
              <w:jc w:val="center"/>
              <w:rPr>
                <w:b/>
                <w:bCs/>
              </w:rPr>
            </w:pPr>
            <w:r w:rsidRPr="004F6AC2">
              <w:rPr>
                <w:b/>
                <w:bCs/>
              </w:rPr>
              <w:t>软件研发过程</w:t>
            </w:r>
          </w:p>
        </w:tc>
        <w:tc>
          <w:tcPr>
            <w:tcW w:w="1418" w:type="dxa"/>
            <w:shd w:val="clear" w:color="auto" w:fill="D0CECE"/>
            <w:vAlign w:val="center"/>
          </w:tcPr>
          <w:p w:rsidR="000E6BAF" w:rsidRPr="004F6AC2" w:rsidP="00FB2765">
            <w:pPr>
              <w:pStyle w:val="HXLC-"/>
              <w:jc w:val="center"/>
              <w:rPr>
                <w:b/>
                <w:bCs/>
              </w:rPr>
            </w:pPr>
            <w:r w:rsidRPr="004F6AC2">
              <w:rPr>
                <w:b/>
                <w:bCs/>
              </w:rPr>
              <w:t>进度要求</w:t>
            </w:r>
          </w:p>
        </w:tc>
        <w:tc>
          <w:tcPr>
            <w:tcW w:w="5599" w:type="dxa"/>
            <w:shd w:val="clear" w:color="auto" w:fill="D0CECE"/>
            <w:vAlign w:val="center"/>
          </w:tcPr>
          <w:p w:rsidR="000E6BAF" w:rsidRPr="004F6AC2" w:rsidP="00FB2765">
            <w:pPr>
              <w:pStyle w:val="HXLC-"/>
              <w:jc w:val="center"/>
              <w:rPr>
                <w:b/>
                <w:bCs/>
              </w:rPr>
            </w:pPr>
            <w:r w:rsidRPr="004F6AC2">
              <w:rPr>
                <w:b/>
                <w:bCs/>
              </w:rPr>
              <w:t>基本要求</w:t>
            </w:r>
          </w:p>
        </w:tc>
      </w:tr>
      <w:tr w:rsidTr="00FB2765">
        <w:tblPrEx>
          <w:tblW w:w="8713" w:type="dxa"/>
          <w:jc w:val="center"/>
          <w:tblLook w:val="0000"/>
        </w:tblPrEx>
        <w:trPr>
          <w:jc w:val="center"/>
        </w:trPr>
        <w:tc>
          <w:tcPr>
            <w:tcW w:w="1696" w:type="dxa"/>
            <w:vAlign w:val="center"/>
          </w:tcPr>
          <w:p w:rsidR="000E6BAF" w:rsidP="00FB2765">
            <w:pPr>
              <w:pStyle w:val="HXLC-"/>
            </w:pPr>
            <w:r>
              <w:t>需求分析</w:t>
            </w:r>
          </w:p>
        </w:tc>
        <w:tc>
          <w:tcPr>
            <w:tcW w:w="1418" w:type="dxa"/>
            <w:vAlign w:val="center"/>
          </w:tcPr>
          <w:p w:rsidR="000E6BAF" w:rsidP="00FB2765">
            <w:pPr>
              <w:pStyle w:val="HXLC-"/>
            </w:pPr>
            <w:r>
              <w:rPr>
                <w:rFonts w:hint="eastAsia"/>
              </w:rPr>
              <w:t>2</w:t>
            </w:r>
          </w:p>
        </w:tc>
        <w:tc>
          <w:tcPr>
            <w:tcW w:w="5599" w:type="dxa"/>
            <w:vAlign w:val="center"/>
          </w:tcPr>
          <w:p w:rsidR="000E6BAF" w:rsidP="00FB2765">
            <w:pPr>
              <w:pStyle w:val="HXLC-"/>
            </w:pPr>
            <w:r>
              <w:rPr>
                <w:rFonts w:hint="eastAsia"/>
              </w:rPr>
              <w:t>完成任务书中</w:t>
            </w:r>
            <w:r>
              <w:t>所有软件功能的分析</w:t>
            </w:r>
            <w:r>
              <w:rPr>
                <w:rFonts w:hint="eastAsia"/>
              </w:rPr>
              <w:t>，</w:t>
            </w:r>
            <w:r>
              <w:t>提交软件需求阶段应提交的各类文档，通过</w:t>
            </w:r>
            <w:r>
              <w:rPr>
                <w:rFonts w:hint="eastAsia"/>
              </w:rPr>
              <w:t>甲方组织的评审</w:t>
            </w:r>
          </w:p>
        </w:tc>
      </w:tr>
      <w:tr w:rsidTr="00FB2765">
        <w:tblPrEx>
          <w:tblW w:w="8713" w:type="dxa"/>
          <w:jc w:val="center"/>
          <w:tblLook w:val="0000"/>
        </w:tblPrEx>
        <w:trPr>
          <w:jc w:val="center"/>
        </w:trPr>
        <w:tc>
          <w:tcPr>
            <w:tcW w:w="1696" w:type="dxa"/>
            <w:vAlign w:val="center"/>
          </w:tcPr>
          <w:p w:rsidR="000E6BAF" w:rsidP="00FB2765">
            <w:pPr>
              <w:pStyle w:val="HXLC-"/>
            </w:pPr>
            <w:r>
              <w:t>概要设计</w:t>
            </w:r>
          </w:p>
        </w:tc>
        <w:tc>
          <w:tcPr>
            <w:tcW w:w="1418" w:type="dxa"/>
            <w:vAlign w:val="center"/>
          </w:tcPr>
          <w:p w:rsidR="000E6BAF" w:rsidP="00FB2765">
            <w:pPr>
              <w:pStyle w:val="HXLC-"/>
            </w:pPr>
            <w:r>
              <w:rPr>
                <w:rFonts w:hint="eastAsia"/>
              </w:rPr>
              <w:t>1</w:t>
            </w:r>
          </w:p>
        </w:tc>
        <w:tc>
          <w:tcPr>
            <w:tcW w:w="5599" w:type="dxa"/>
            <w:vAlign w:val="center"/>
          </w:tcPr>
          <w:p w:rsidR="000E6BAF" w:rsidP="00FB2765">
            <w:pPr>
              <w:pStyle w:val="HXLC-"/>
            </w:pPr>
            <w:r>
              <w:rPr>
                <w:rFonts w:hint="eastAsia"/>
              </w:rPr>
              <w:t>完成任务书中</w:t>
            </w:r>
            <w:r>
              <w:t>所有软件功能的</w:t>
            </w:r>
            <w:r>
              <w:rPr>
                <w:rFonts w:hint="eastAsia"/>
              </w:rPr>
              <w:t>设计，</w:t>
            </w:r>
            <w:r>
              <w:t>提交概要设计阶段应提交的各类文档，提供客户端原型设计，通过</w:t>
            </w:r>
            <w:r>
              <w:rPr>
                <w:rFonts w:hint="eastAsia"/>
              </w:rPr>
              <w:t>甲方组织的评审</w:t>
            </w:r>
          </w:p>
        </w:tc>
      </w:tr>
      <w:tr w:rsidTr="00FB2765">
        <w:tblPrEx>
          <w:tblW w:w="8713" w:type="dxa"/>
          <w:jc w:val="center"/>
          <w:tblLook w:val="0000"/>
        </w:tblPrEx>
        <w:trPr>
          <w:jc w:val="center"/>
        </w:trPr>
        <w:tc>
          <w:tcPr>
            <w:tcW w:w="1696" w:type="dxa"/>
            <w:vAlign w:val="center"/>
          </w:tcPr>
          <w:p w:rsidR="000E6BAF" w:rsidP="00FB2765">
            <w:pPr>
              <w:pStyle w:val="HXLC-"/>
            </w:pPr>
            <w:r>
              <w:t>编码调试</w:t>
            </w:r>
          </w:p>
        </w:tc>
        <w:tc>
          <w:tcPr>
            <w:tcW w:w="1418" w:type="dxa"/>
            <w:vAlign w:val="center"/>
          </w:tcPr>
          <w:p w:rsidR="000E6BAF" w:rsidP="00FB2765">
            <w:pPr>
              <w:pStyle w:val="HXLC-"/>
            </w:pPr>
            <w:r>
              <w:t>7</w:t>
            </w:r>
          </w:p>
        </w:tc>
        <w:tc>
          <w:tcPr>
            <w:tcW w:w="5599" w:type="dxa"/>
            <w:vAlign w:val="center"/>
          </w:tcPr>
          <w:p w:rsidR="000E6BAF" w:rsidP="00FB2765">
            <w:pPr>
              <w:pStyle w:val="HXLC-"/>
            </w:pPr>
            <w:r>
              <w:t>完成详细设计、程序编码、调试和单元测试</w:t>
            </w:r>
          </w:p>
        </w:tc>
      </w:tr>
      <w:tr w:rsidTr="00FB2765">
        <w:tblPrEx>
          <w:tblW w:w="8713" w:type="dxa"/>
          <w:jc w:val="center"/>
          <w:tblLook w:val="0000"/>
        </w:tblPrEx>
        <w:trPr>
          <w:jc w:val="center"/>
        </w:trPr>
        <w:tc>
          <w:tcPr>
            <w:tcW w:w="1696" w:type="dxa"/>
            <w:vAlign w:val="center"/>
          </w:tcPr>
          <w:p w:rsidR="000E6BAF" w:rsidP="00FB2765">
            <w:pPr>
              <w:pStyle w:val="HXLC-"/>
            </w:pPr>
            <w:r>
              <w:rPr>
                <w:rFonts w:hint="eastAsia"/>
              </w:rPr>
              <w:t>系统部署</w:t>
            </w:r>
          </w:p>
        </w:tc>
        <w:tc>
          <w:tcPr>
            <w:tcW w:w="1418" w:type="dxa"/>
            <w:vAlign w:val="center"/>
          </w:tcPr>
          <w:p w:rsidR="000E6BAF" w:rsidP="00FB2765">
            <w:pPr>
              <w:pStyle w:val="HXLC-"/>
            </w:pPr>
            <w:r>
              <w:t>0.5</w:t>
            </w:r>
          </w:p>
        </w:tc>
        <w:tc>
          <w:tcPr>
            <w:tcW w:w="5599" w:type="dxa"/>
            <w:vAlign w:val="center"/>
          </w:tcPr>
          <w:p w:rsidR="000E6BAF" w:rsidP="00FB2765">
            <w:pPr>
              <w:pStyle w:val="HXLC-"/>
            </w:pPr>
            <w:r>
              <w:t>完成系统功能确认测试、</w:t>
            </w:r>
            <w:r>
              <w:rPr>
                <w:rFonts w:hint="eastAsia"/>
              </w:rPr>
              <w:t>运行环境配置、</w:t>
            </w:r>
            <w:r>
              <w:t>系统应用集成</w:t>
            </w:r>
            <w:r>
              <w:rPr>
                <w:rFonts w:hint="eastAsia"/>
              </w:rPr>
              <w:t>与部署</w:t>
            </w:r>
          </w:p>
        </w:tc>
      </w:tr>
      <w:tr w:rsidTr="00FB2765">
        <w:tblPrEx>
          <w:tblW w:w="8713" w:type="dxa"/>
          <w:jc w:val="center"/>
          <w:tblLook w:val="0000"/>
        </w:tblPrEx>
        <w:trPr>
          <w:jc w:val="center"/>
        </w:trPr>
        <w:tc>
          <w:tcPr>
            <w:tcW w:w="1696" w:type="dxa"/>
            <w:vAlign w:val="center"/>
          </w:tcPr>
          <w:p w:rsidR="000E6BAF" w:rsidP="00FB2765">
            <w:pPr>
              <w:pStyle w:val="HXLC-"/>
            </w:pPr>
            <w:r>
              <w:rPr>
                <w:rFonts w:hint="eastAsia"/>
              </w:rPr>
              <w:t>试运行</w:t>
            </w:r>
          </w:p>
        </w:tc>
        <w:tc>
          <w:tcPr>
            <w:tcW w:w="1418" w:type="dxa"/>
            <w:vAlign w:val="center"/>
          </w:tcPr>
          <w:p w:rsidR="000E6BAF" w:rsidP="00FB2765">
            <w:pPr>
              <w:pStyle w:val="HXLC-"/>
            </w:pPr>
            <w:r>
              <w:rPr>
                <w:rFonts w:hint="eastAsia"/>
              </w:rPr>
              <w:t>1</w:t>
            </w:r>
          </w:p>
        </w:tc>
        <w:tc>
          <w:tcPr>
            <w:tcW w:w="5599" w:type="dxa"/>
            <w:vAlign w:val="center"/>
          </w:tcPr>
          <w:p w:rsidR="000E6BAF" w:rsidP="00FB2765">
            <w:pPr>
              <w:pStyle w:val="HXLC-"/>
            </w:pPr>
            <w:r>
              <w:rPr>
                <w:rFonts w:hint="eastAsia"/>
              </w:rPr>
              <w:t>完成业务试运行</w:t>
            </w:r>
          </w:p>
        </w:tc>
      </w:tr>
      <w:tr w:rsidTr="00FB2765">
        <w:tblPrEx>
          <w:tblW w:w="8713" w:type="dxa"/>
          <w:jc w:val="center"/>
          <w:tblLook w:val="0000"/>
        </w:tblPrEx>
        <w:trPr>
          <w:jc w:val="center"/>
        </w:trPr>
        <w:tc>
          <w:tcPr>
            <w:tcW w:w="1696" w:type="dxa"/>
            <w:vAlign w:val="center"/>
          </w:tcPr>
          <w:p w:rsidR="000E6BAF" w:rsidP="00FB2765">
            <w:pPr>
              <w:pStyle w:val="HXLC-"/>
            </w:pPr>
            <w:r>
              <w:rPr>
                <w:rFonts w:hint="eastAsia"/>
              </w:rPr>
              <w:t>系统终验</w:t>
            </w:r>
          </w:p>
        </w:tc>
        <w:tc>
          <w:tcPr>
            <w:tcW w:w="1418" w:type="dxa"/>
            <w:vAlign w:val="center"/>
          </w:tcPr>
          <w:p w:rsidR="000E6BAF" w:rsidP="00FB2765">
            <w:pPr>
              <w:pStyle w:val="HXLC-"/>
            </w:pPr>
            <w:r>
              <w:rPr>
                <w:rFonts w:hint="eastAsia"/>
              </w:rPr>
              <w:t>0.5</w:t>
            </w:r>
          </w:p>
        </w:tc>
        <w:tc>
          <w:tcPr>
            <w:tcW w:w="5599" w:type="dxa"/>
            <w:vAlign w:val="center"/>
          </w:tcPr>
          <w:p w:rsidR="000E6BAF" w:rsidP="00FB2765">
            <w:pPr>
              <w:pStyle w:val="HXLC-"/>
            </w:pPr>
            <w:r>
              <w:t>完成</w:t>
            </w:r>
            <w:r>
              <w:rPr>
                <w:rFonts w:hint="eastAsia"/>
              </w:rPr>
              <w:t>系统最终验收并移交</w:t>
            </w:r>
          </w:p>
        </w:tc>
      </w:tr>
    </w:tbl>
    <w:p w:rsidR="000E6BAF" w:rsidP="000E6BAF">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80" w:name="_Toc239193972"/>
      <w:r>
        <w:rPr>
          <w:rFonts w:hint="eastAsia"/>
        </w:rPr>
        <w:t>软件交付要求</w:t>
      </w:r>
      <w:bookmarkEnd w:id="80"/>
    </w:p>
    <w:p w:rsidR="000E6BAF" w:rsidP="000E6BAF">
      <w:pPr>
        <w:pStyle w:val="Heading3"/>
        <w:keepNext/>
        <w:keepLines/>
        <w:widowControl w:val="0"/>
        <w:numPr>
          <w:ilvl w:val="2"/>
          <w:numId w:val="4"/>
        </w:numPr>
        <w:tabs>
          <w:tab w:val="left" w:pos="480"/>
        </w:tabs>
        <w:spacing w:before="156" w:beforeLines="50" w:after="156" w:afterLines="50" w:line="360" w:lineRule="auto"/>
        <w:ind w:left="425" w:firstLine="0"/>
        <w:jc w:val="left"/>
      </w:pPr>
      <w:bookmarkStart w:id="81" w:name="_Toc239193973"/>
      <w:r>
        <w:rPr>
          <w:rFonts w:hint="eastAsia"/>
        </w:rPr>
        <w:t>产品交付物</w:t>
      </w:r>
      <w:bookmarkEnd w:id="81"/>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1400"/>
        <w:gridCol w:w="7122"/>
      </w:tblGrid>
      <w:tr w:rsidTr="00FB2765">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Ex>
        <w:trPr>
          <w:jc w:val="center"/>
        </w:trPr>
        <w:tc>
          <w:tcPr>
            <w:tcW w:w="1421" w:type="dxa"/>
            <w:shd w:val="pct10" w:color="auto" w:fill="auto"/>
          </w:tcPr>
          <w:p w:rsidR="000E6BAF" w:rsidRPr="00677C4C" w:rsidP="00FB2765">
            <w:pPr>
              <w:pStyle w:val="HXLC-"/>
              <w:jc w:val="center"/>
              <w:rPr>
                <w:b/>
                <w:bCs/>
              </w:rPr>
            </w:pPr>
            <w:r w:rsidRPr="00677C4C">
              <w:rPr>
                <w:rFonts w:hint="eastAsia"/>
                <w:b/>
                <w:bCs/>
              </w:rPr>
              <w:t>序号</w:t>
            </w:r>
          </w:p>
        </w:tc>
        <w:tc>
          <w:tcPr>
            <w:tcW w:w="7260" w:type="dxa"/>
            <w:shd w:val="pct10" w:color="auto" w:fill="auto"/>
          </w:tcPr>
          <w:p w:rsidR="000E6BAF" w:rsidRPr="00677C4C" w:rsidP="00FB2765">
            <w:pPr>
              <w:pStyle w:val="HXLC-"/>
              <w:jc w:val="center"/>
              <w:rPr>
                <w:b/>
                <w:bCs/>
              </w:rPr>
            </w:pPr>
            <w:r w:rsidRPr="00677C4C">
              <w:rPr>
                <w:rFonts w:hint="eastAsia"/>
                <w:b/>
                <w:bCs/>
              </w:rPr>
              <w:t>产品名称</w:t>
            </w:r>
          </w:p>
        </w:tc>
      </w:tr>
      <w:tr w:rsidTr="00FB2765">
        <w:tblPrEx>
          <w:tblW w:w="0" w:type="auto"/>
          <w:jc w:val="center"/>
          <w:tblLook w:val="0000"/>
        </w:tblPrEx>
        <w:trPr>
          <w:jc w:val="center"/>
        </w:trPr>
        <w:tc>
          <w:tcPr>
            <w:tcW w:w="1421" w:type="dxa"/>
          </w:tcPr>
          <w:p w:rsidR="000E6BAF" w:rsidP="00FB2765">
            <w:pPr>
              <w:pStyle w:val="HXLC-"/>
            </w:pPr>
            <w:r>
              <w:rPr>
                <w:rFonts w:hint="eastAsia"/>
              </w:rPr>
              <w:t>1</w:t>
            </w:r>
          </w:p>
        </w:tc>
        <w:tc>
          <w:tcPr>
            <w:tcW w:w="7260" w:type="dxa"/>
          </w:tcPr>
          <w:p w:rsidR="000E6BAF" w:rsidP="00FB2765">
            <w:pPr>
              <w:pStyle w:val="HXLC-"/>
            </w:pPr>
            <w:r>
              <w:rPr>
                <w:rFonts w:hint="eastAsia"/>
              </w:rPr>
              <w:t>应用软件安装包</w:t>
            </w:r>
          </w:p>
        </w:tc>
      </w:tr>
      <w:tr w:rsidTr="00FB2765">
        <w:tblPrEx>
          <w:tblW w:w="0" w:type="auto"/>
          <w:jc w:val="center"/>
          <w:tblLook w:val="0000"/>
        </w:tblPrEx>
        <w:trPr>
          <w:jc w:val="center"/>
        </w:trPr>
        <w:tc>
          <w:tcPr>
            <w:tcW w:w="1421" w:type="dxa"/>
          </w:tcPr>
          <w:p w:rsidR="000E6BAF" w:rsidP="00FB2765">
            <w:pPr>
              <w:pStyle w:val="HXLC-"/>
            </w:pPr>
            <w:r>
              <w:rPr>
                <w:rFonts w:hint="eastAsia"/>
              </w:rPr>
              <w:t>2</w:t>
            </w:r>
          </w:p>
        </w:tc>
        <w:tc>
          <w:tcPr>
            <w:tcW w:w="7260" w:type="dxa"/>
          </w:tcPr>
          <w:p w:rsidR="000E6BAF" w:rsidP="00FB2765">
            <w:pPr>
              <w:pStyle w:val="HXLC-"/>
            </w:pPr>
            <w:r>
              <w:rPr>
                <w:rFonts w:hint="eastAsia"/>
              </w:rPr>
              <w:t>源代码、工程文件及程序说明</w:t>
            </w:r>
          </w:p>
        </w:tc>
      </w:tr>
    </w:tbl>
    <w:p w:rsidR="000E6BAF" w:rsidRPr="00677C4C" w:rsidP="000E6BAF"/>
    <w:p w:rsidR="000E6BAF" w:rsidP="000E6BAF">
      <w:pPr>
        <w:pStyle w:val="Heading3"/>
        <w:keepNext/>
        <w:keepLines/>
        <w:widowControl w:val="0"/>
        <w:numPr>
          <w:ilvl w:val="2"/>
          <w:numId w:val="4"/>
        </w:numPr>
        <w:tabs>
          <w:tab w:val="left" w:pos="480"/>
        </w:tabs>
        <w:spacing w:before="156" w:beforeLines="50" w:after="156" w:afterLines="50" w:line="360" w:lineRule="auto"/>
        <w:ind w:left="425" w:firstLine="0"/>
        <w:jc w:val="left"/>
      </w:pPr>
      <w:bookmarkStart w:id="82" w:name="_Toc239193974"/>
      <w:r>
        <w:rPr>
          <w:rFonts w:hint="eastAsia"/>
        </w:rPr>
        <w:t>文档交付物</w:t>
      </w:r>
      <w:bookmarkEnd w:id="82"/>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2840"/>
        <w:gridCol w:w="2841"/>
        <w:gridCol w:w="2841"/>
      </w:tblGrid>
      <w:tr w:rsidTr="00FB2765">
        <w:tblPrEx>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Ex>
        <w:trPr>
          <w:jc w:val="center"/>
        </w:trPr>
        <w:tc>
          <w:tcPr>
            <w:tcW w:w="1666" w:type="pct"/>
            <w:shd w:val="pct10" w:color="auto" w:fill="auto"/>
            <w:vAlign w:val="center"/>
          </w:tcPr>
          <w:p w:rsidR="000E6BAF" w:rsidRPr="00CD6133" w:rsidP="00FB2765">
            <w:pPr>
              <w:pStyle w:val="HXLC-"/>
              <w:jc w:val="center"/>
              <w:rPr>
                <w:b/>
                <w:bCs/>
              </w:rPr>
            </w:pPr>
            <w:r w:rsidRPr="00CD6133">
              <w:rPr>
                <w:rFonts w:hint="eastAsia"/>
                <w:b/>
                <w:bCs/>
              </w:rPr>
              <w:t>工作内容</w:t>
            </w:r>
          </w:p>
        </w:tc>
        <w:tc>
          <w:tcPr>
            <w:tcW w:w="1667" w:type="pct"/>
            <w:shd w:val="pct10" w:color="auto" w:fill="auto"/>
            <w:vAlign w:val="center"/>
          </w:tcPr>
          <w:p w:rsidR="000E6BAF" w:rsidRPr="00CD6133" w:rsidP="00FB2765">
            <w:pPr>
              <w:pStyle w:val="HXLC-"/>
              <w:jc w:val="center"/>
              <w:rPr>
                <w:b/>
                <w:bCs/>
              </w:rPr>
            </w:pPr>
            <w:r w:rsidRPr="00CD6133">
              <w:rPr>
                <w:rFonts w:hint="eastAsia"/>
                <w:b/>
                <w:bCs/>
              </w:rPr>
              <w:t>技术文档</w:t>
            </w:r>
          </w:p>
        </w:tc>
        <w:tc>
          <w:tcPr>
            <w:tcW w:w="1667" w:type="pct"/>
            <w:shd w:val="pct10" w:color="auto" w:fill="auto"/>
            <w:vAlign w:val="center"/>
          </w:tcPr>
          <w:p w:rsidR="000E6BAF" w:rsidRPr="00CD6133" w:rsidP="00FB2765">
            <w:pPr>
              <w:pStyle w:val="HXLC-"/>
              <w:jc w:val="center"/>
              <w:rPr>
                <w:b/>
                <w:bCs/>
              </w:rPr>
            </w:pPr>
            <w:r w:rsidRPr="00CD6133">
              <w:rPr>
                <w:rFonts w:hint="eastAsia"/>
                <w:b/>
                <w:bCs/>
              </w:rPr>
              <w:t>管理文档</w:t>
            </w:r>
          </w:p>
        </w:tc>
      </w:tr>
      <w:tr w:rsidTr="00FB2765">
        <w:tblPrEx>
          <w:tblW w:w="5000" w:type="pct"/>
          <w:jc w:val="center"/>
          <w:tblLook w:val="0000"/>
        </w:tblPrEx>
        <w:trPr>
          <w:jc w:val="center"/>
        </w:trPr>
        <w:tc>
          <w:tcPr>
            <w:tcW w:w="1666" w:type="pct"/>
            <w:vAlign w:val="center"/>
          </w:tcPr>
          <w:p w:rsidR="000E6BAF" w:rsidP="00FB2765">
            <w:pPr>
              <w:pStyle w:val="HXLC-"/>
            </w:pPr>
            <w:r>
              <w:rPr>
                <w:rFonts w:hint="eastAsia"/>
              </w:rPr>
              <w:t>需求分析</w:t>
            </w:r>
          </w:p>
        </w:tc>
        <w:tc>
          <w:tcPr>
            <w:tcW w:w="1667" w:type="pct"/>
            <w:vAlign w:val="center"/>
          </w:tcPr>
          <w:p w:rsidR="000E6BAF" w:rsidP="00FB2765">
            <w:pPr>
              <w:pStyle w:val="HXLC-"/>
            </w:pPr>
            <w:r>
              <w:rPr>
                <w:rFonts w:hint="eastAsia"/>
              </w:rPr>
              <w:t>需求规格说明书</w:t>
            </w:r>
          </w:p>
        </w:tc>
        <w:tc>
          <w:tcPr>
            <w:tcW w:w="1667" w:type="pct"/>
            <w:vAlign w:val="center"/>
          </w:tcPr>
          <w:p w:rsidR="000E6BAF" w:rsidP="00FB2765">
            <w:pPr>
              <w:pStyle w:val="HXLC-"/>
            </w:pPr>
          </w:p>
        </w:tc>
      </w:tr>
      <w:tr w:rsidTr="00FB2765">
        <w:tblPrEx>
          <w:tblW w:w="5000" w:type="pct"/>
          <w:jc w:val="center"/>
          <w:tblLook w:val="0000"/>
        </w:tblPrEx>
        <w:trPr>
          <w:jc w:val="center"/>
        </w:trPr>
        <w:tc>
          <w:tcPr>
            <w:tcW w:w="1666" w:type="pct"/>
            <w:vAlign w:val="center"/>
          </w:tcPr>
          <w:p w:rsidR="000E6BAF" w:rsidP="00FB2765">
            <w:pPr>
              <w:pStyle w:val="HXLC-"/>
            </w:pPr>
            <w:r>
              <w:rPr>
                <w:rFonts w:hint="eastAsia"/>
              </w:rPr>
              <w:t>设计开发</w:t>
            </w:r>
          </w:p>
        </w:tc>
        <w:tc>
          <w:tcPr>
            <w:tcW w:w="1667" w:type="pct"/>
            <w:vAlign w:val="center"/>
          </w:tcPr>
          <w:p w:rsidR="000E6BAF" w:rsidP="00FB2765">
            <w:pPr>
              <w:pStyle w:val="HXLC-"/>
            </w:pPr>
            <w:r>
              <w:rPr>
                <w:rFonts w:hint="eastAsia"/>
              </w:rPr>
              <w:t>概要设计说明书</w:t>
            </w:r>
          </w:p>
        </w:tc>
        <w:tc>
          <w:tcPr>
            <w:tcW w:w="1667" w:type="pct"/>
            <w:vAlign w:val="center"/>
          </w:tcPr>
          <w:p w:rsidR="000E6BAF" w:rsidP="00FB2765">
            <w:pPr>
              <w:pStyle w:val="HXLC-"/>
            </w:pPr>
          </w:p>
        </w:tc>
      </w:tr>
      <w:tr w:rsidTr="00FB2765">
        <w:tblPrEx>
          <w:tblW w:w="5000" w:type="pct"/>
          <w:jc w:val="center"/>
          <w:tblLook w:val="0000"/>
        </w:tblPrEx>
        <w:trPr>
          <w:jc w:val="center"/>
        </w:trPr>
        <w:tc>
          <w:tcPr>
            <w:tcW w:w="1666" w:type="pct"/>
            <w:vMerge w:val="restart"/>
            <w:vAlign w:val="center"/>
          </w:tcPr>
          <w:p w:rsidR="000E6BAF" w:rsidP="00FB2765">
            <w:pPr>
              <w:pStyle w:val="HXLC-"/>
            </w:pPr>
            <w:r>
              <w:rPr>
                <w:rFonts w:hint="eastAsia"/>
              </w:rPr>
              <w:t>测试部署</w:t>
            </w:r>
          </w:p>
        </w:tc>
        <w:tc>
          <w:tcPr>
            <w:tcW w:w="1667" w:type="pct"/>
            <w:vAlign w:val="center"/>
          </w:tcPr>
          <w:p w:rsidR="000E6BAF" w:rsidP="00FB2765">
            <w:pPr>
              <w:pStyle w:val="HXLC-"/>
            </w:pPr>
            <w:r>
              <w:rPr>
                <w:rFonts w:hint="eastAsia"/>
              </w:rPr>
              <w:t>系统测试方案</w:t>
            </w:r>
          </w:p>
        </w:tc>
        <w:tc>
          <w:tcPr>
            <w:tcW w:w="1667" w:type="pct"/>
            <w:vMerge w:val="restart"/>
            <w:vAlign w:val="center"/>
          </w:tcPr>
          <w:p w:rsidR="000E6BAF" w:rsidP="00FB2765">
            <w:pPr>
              <w:pStyle w:val="HXLC-"/>
            </w:pPr>
          </w:p>
        </w:tc>
      </w:tr>
      <w:tr w:rsidTr="00FB2765">
        <w:tblPrEx>
          <w:tblW w:w="5000" w:type="pct"/>
          <w:jc w:val="center"/>
          <w:tblLook w:val="0000"/>
        </w:tblPrEx>
        <w:trPr>
          <w:jc w:val="center"/>
        </w:trPr>
        <w:tc>
          <w:tcPr>
            <w:tcW w:w="1666" w:type="pct"/>
            <w:vMerge/>
            <w:vAlign w:val="center"/>
          </w:tcPr>
          <w:p w:rsidR="000E6BAF" w:rsidP="00FB2765">
            <w:pPr>
              <w:pStyle w:val="HXLC-"/>
            </w:pPr>
          </w:p>
        </w:tc>
        <w:tc>
          <w:tcPr>
            <w:tcW w:w="1667" w:type="pct"/>
            <w:vAlign w:val="center"/>
          </w:tcPr>
          <w:p w:rsidR="000E6BAF" w:rsidP="00FB2765">
            <w:pPr>
              <w:pStyle w:val="HXLC-"/>
            </w:pPr>
            <w:r>
              <w:rPr>
                <w:rFonts w:hint="eastAsia"/>
              </w:rPr>
              <w:t>系统测试报告</w:t>
            </w:r>
          </w:p>
        </w:tc>
        <w:tc>
          <w:tcPr>
            <w:tcW w:w="1667" w:type="pct"/>
            <w:vMerge/>
            <w:vAlign w:val="center"/>
          </w:tcPr>
          <w:p w:rsidR="000E6BAF" w:rsidP="00FB2765">
            <w:pPr>
              <w:pStyle w:val="HXLC-"/>
            </w:pPr>
          </w:p>
        </w:tc>
      </w:tr>
      <w:tr w:rsidTr="00FB2765">
        <w:tblPrEx>
          <w:tblW w:w="5000" w:type="pct"/>
          <w:jc w:val="center"/>
          <w:tblLook w:val="0000"/>
        </w:tblPrEx>
        <w:trPr>
          <w:jc w:val="center"/>
        </w:trPr>
        <w:tc>
          <w:tcPr>
            <w:tcW w:w="1666" w:type="pct"/>
            <w:vMerge w:val="restart"/>
            <w:vAlign w:val="center"/>
          </w:tcPr>
          <w:p w:rsidR="000E6BAF" w:rsidP="00FB2765">
            <w:pPr>
              <w:pStyle w:val="HXLC-"/>
            </w:pPr>
            <w:r>
              <w:rPr>
                <w:rFonts w:hint="eastAsia"/>
              </w:rPr>
              <w:t>系统试运行</w:t>
            </w:r>
          </w:p>
        </w:tc>
        <w:tc>
          <w:tcPr>
            <w:tcW w:w="1667" w:type="pct"/>
            <w:vAlign w:val="center"/>
          </w:tcPr>
          <w:p w:rsidR="000E6BAF" w:rsidP="00FB2765">
            <w:pPr>
              <w:pStyle w:val="HXLC-"/>
            </w:pPr>
            <w:r>
              <w:rPr>
                <w:rFonts w:hint="eastAsia"/>
              </w:rPr>
              <w:t>用户使用手册</w:t>
            </w:r>
          </w:p>
        </w:tc>
        <w:tc>
          <w:tcPr>
            <w:tcW w:w="1667" w:type="pct"/>
            <w:vMerge w:val="restart"/>
            <w:vAlign w:val="center"/>
          </w:tcPr>
          <w:p w:rsidR="000E6BAF" w:rsidP="00FB2765">
            <w:pPr>
              <w:pStyle w:val="HXLC-"/>
            </w:pPr>
          </w:p>
        </w:tc>
      </w:tr>
      <w:tr w:rsidTr="00FB2765">
        <w:tblPrEx>
          <w:tblW w:w="5000" w:type="pct"/>
          <w:jc w:val="center"/>
          <w:tblLook w:val="0000"/>
        </w:tblPrEx>
        <w:trPr>
          <w:jc w:val="center"/>
        </w:trPr>
        <w:tc>
          <w:tcPr>
            <w:tcW w:w="1666" w:type="pct"/>
            <w:vMerge/>
            <w:vAlign w:val="center"/>
          </w:tcPr>
          <w:p w:rsidR="000E6BAF" w:rsidP="00FB2765">
            <w:pPr>
              <w:pStyle w:val="HXLC-"/>
            </w:pPr>
          </w:p>
        </w:tc>
        <w:tc>
          <w:tcPr>
            <w:tcW w:w="1667" w:type="pct"/>
            <w:vAlign w:val="center"/>
          </w:tcPr>
          <w:p w:rsidR="000E6BAF" w:rsidP="00FB2765">
            <w:pPr>
              <w:pStyle w:val="HXLC-"/>
            </w:pPr>
            <w:r>
              <w:rPr>
                <w:rFonts w:hint="eastAsia"/>
              </w:rPr>
              <w:t>程序及模块清单</w:t>
            </w:r>
          </w:p>
        </w:tc>
        <w:tc>
          <w:tcPr>
            <w:tcW w:w="1667" w:type="pct"/>
            <w:vMerge/>
            <w:vAlign w:val="center"/>
          </w:tcPr>
          <w:p w:rsidR="000E6BAF" w:rsidP="00FB2765">
            <w:pPr>
              <w:pStyle w:val="HXLC-"/>
            </w:pPr>
          </w:p>
        </w:tc>
      </w:tr>
      <w:tr w:rsidTr="00FB2765">
        <w:tblPrEx>
          <w:tblW w:w="5000" w:type="pct"/>
          <w:jc w:val="center"/>
          <w:tblLook w:val="0000"/>
        </w:tblPrEx>
        <w:trPr>
          <w:jc w:val="center"/>
        </w:trPr>
        <w:tc>
          <w:tcPr>
            <w:tcW w:w="1666" w:type="pct"/>
            <w:vMerge/>
            <w:vAlign w:val="center"/>
          </w:tcPr>
          <w:p w:rsidR="000E6BAF" w:rsidP="00FB2765">
            <w:pPr>
              <w:pStyle w:val="HXLC-"/>
            </w:pPr>
          </w:p>
        </w:tc>
        <w:tc>
          <w:tcPr>
            <w:tcW w:w="1667" w:type="pct"/>
            <w:vAlign w:val="center"/>
          </w:tcPr>
          <w:p w:rsidR="000E6BAF" w:rsidP="00FB2765">
            <w:pPr>
              <w:pStyle w:val="HXLC-"/>
            </w:pPr>
            <w:r>
              <w:rPr>
                <w:rFonts w:hint="eastAsia"/>
              </w:rPr>
              <w:t>试运行评估报告</w:t>
            </w:r>
          </w:p>
        </w:tc>
        <w:tc>
          <w:tcPr>
            <w:tcW w:w="1667" w:type="pct"/>
            <w:vAlign w:val="center"/>
          </w:tcPr>
          <w:p w:rsidR="000E6BAF" w:rsidP="00FB2765">
            <w:pPr>
              <w:pStyle w:val="HXLC-"/>
            </w:pPr>
          </w:p>
        </w:tc>
      </w:tr>
      <w:tr w:rsidTr="00FB2765">
        <w:tblPrEx>
          <w:tblW w:w="5000" w:type="pct"/>
          <w:jc w:val="center"/>
          <w:tblLook w:val="0000"/>
        </w:tblPrEx>
        <w:trPr>
          <w:jc w:val="center"/>
        </w:trPr>
        <w:tc>
          <w:tcPr>
            <w:tcW w:w="1666" w:type="pct"/>
            <w:vMerge w:val="restart"/>
            <w:vAlign w:val="center"/>
          </w:tcPr>
          <w:p w:rsidR="000E6BAF" w:rsidP="00FB2765">
            <w:pPr>
              <w:pStyle w:val="HXLC-"/>
            </w:pPr>
            <w:r>
              <w:rPr>
                <w:rFonts w:hint="eastAsia"/>
              </w:rPr>
              <w:t>系统培训</w:t>
            </w:r>
          </w:p>
        </w:tc>
        <w:tc>
          <w:tcPr>
            <w:tcW w:w="1667" w:type="pct"/>
            <w:vMerge w:val="restart"/>
            <w:vAlign w:val="center"/>
          </w:tcPr>
          <w:p w:rsidR="000E6BAF" w:rsidP="00FB2765">
            <w:pPr>
              <w:pStyle w:val="HXLC-"/>
            </w:pPr>
            <w:r>
              <w:rPr>
                <w:rFonts w:hint="eastAsia"/>
              </w:rPr>
              <w:t>培训教程</w:t>
            </w:r>
          </w:p>
        </w:tc>
        <w:tc>
          <w:tcPr>
            <w:tcW w:w="1667" w:type="pct"/>
            <w:vAlign w:val="center"/>
          </w:tcPr>
          <w:p w:rsidR="000E6BAF" w:rsidP="00FB2765">
            <w:pPr>
              <w:pStyle w:val="HXLC-"/>
            </w:pPr>
            <w:r>
              <w:rPr>
                <w:rFonts w:hint="eastAsia"/>
              </w:rPr>
              <w:t>培训计划</w:t>
            </w:r>
          </w:p>
        </w:tc>
      </w:tr>
      <w:tr w:rsidTr="00FB2765">
        <w:tblPrEx>
          <w:tblW w:w="5000" w:type="pct"/>
          <w:jc w:val="center"/>
          <w:tblLook w:val="0000"/>
        </w:tblPrEx>
        <w:trPr>
          <w:jc w:val="center"/>
        </w:trPr>
        <w:tc>
          <w:tcPr>
            <w:tcW w:w="1666" w:type="pct"/>
            <w:vMerge/>
            <w:vAlign w:val="center"/>
          </w:tcPr>
          <w:p w:rsidR="000E6BAF" w:rsidP="00FB2765">
            <w:pPr>
              <w:pStyle w:val="HXLC-"/>
            </w:pPr>
          </w:p>
        </w:tc>
        <w:tc>
          <w:tcPr>
            <w:tcW w:w="1667" w:type="pct"/>
            <w:vMerge/>
            <w:vAlign w:val="center"/>
          </w:tcPr>
          <w:p w:rsidR="000E6BAF" w:rsidP="00FB2765">
            <w:pPr>
              <w:pStyle w:val="HXLC-"/>
            </w:pPr>
          </w:p>
        </w:tc>
        <w:tc>
          <w:tcPr>
            <w:tcW w:w="1667" w:type="pct"/>
            <w:vAlign w:val="center"/>
          </w:tcPr>
          <w:p w:rsidR="000E6BAF" w:rsidP="00FB2765">
            <w:pPr>
              <w:pStyle w:val="HXLC-"/>
            </w:pPr>
            <w:r>
              <w:rPr>
                <w:rFonts w:hint="eastAsia"/>
              </w:rPr>
              <w:t>培训记录</w:t>
            </w:r>
          </w:p>
        </w:tc>
      </w:tr>
      <w:tr w:rsidTr="00FB2765">
        <w:tblPrEx>
          <w:tblW w:w="5000" w:type="pct"/>
          <w:jc w:val="center"/>
          <w:tblLook w:val="0000"/>
        </w:tblPrEx>
        <w:trPr>
          <w:jc w:val="center"/>
        </w:trPr>
        <w:tc>
          <w:tcPr>
            <w:tcW w:w="1666" w:type="pct"/>
            <w:vMerge w:val="restart"/>
            <w:vAlign w:val="center"/>
          </w:tcPr>
          <w:p w:rsidR="000E6BAF" w:rsidP="00FB2765">
            <w:pPr>
              <w:pStyle w:val="HXLC-"/>
            </w:pPr>
            <w:r>
              <w:rPr>
                <w:rFonts w:hint="eastAsia"/>
              </w:rPr>
              <w:t>系统终验</w:t>
            </w:r>
          </w:p>
        </w:tc>
        <w:tc>
          <w:tcPr>
            <w:tcW w:w="1667" w:type="pct"/>
            <w:vMerge w:val="restart"/>
            <w:vAlign w:val="center"/>
          </w:tcPr>
          <w:p w:rsidR="000E6BAF" w:rsidP="00FB2765">
            <w:pPr>
              <w:pStyle w:val="HXLC-"/>
            </w:pPr>
            <w:r>
              <w:rPr>
                <w:rFonts w:hint="eastAsia"/>
              </w:rPr>
              <w:t>终</w:t>
            </w:r>
            <w:r>
              <w:rPr>
                <w:rFonts w:hint="eastAsia"/>
              </w:rPr>
              <w:t>验报告</w:t>
            </w:r>
          </w:p>
        </w:tc>
        <w:tc>
          <w:tcPr>
            <w:tcW w:w="1667" w:type="pct"/>
            <w:vAlign w:val="center"/>
          </w:tcPr>
          <w:p w:rsidR="000E6BAF" w:rsidP="00FB2765">
            <w:pPr>
              <w:pStyle w:val="HXLC-"/>
            </w:pPr>
            <w:r>
              <w:rPr>
                <w:rFonts w:hint="eastAsia"/>
              </w:rPr>
              <w:t>终</w:t>
            </w:r>
            <w:r>
              <w:rPr>
                <w:rFonts w:hint="eastAsia"/>
              </w:rPr>
              <w:t>验申请</w:t>
            </w:r>
          </w:p>
        </w:tc>
      </w:tr>
      <w:tr w:rsidTr="00FB2765">
        <w:tblPrEx>
          <w:tblW w:w="5000" w:type="pct"/>
          <w:jc w:val="center"/>
          <w:tblLook w:val="0000"/>
        </w:tblPrEx>
        <w:trPr>
          <w:jc w:val="center"/>
        </w:trPr>
        <w:tc>
          <w:tcPr>
            <w:tcW w:w="1666" w:type="pct"/>
            <w:vMerge/>
            <w:vAlign w:val="center"/>
          </w:tcPr>
          <w:p w:rsidR="000E6BAF" w:rsidP="00FB2765">
            <w:pPr>
              <w:pStyle w:val="HXLC-"/>
            </w:pPr>
          </w:p>
        </w:tc>
        <w:tc>
          <w:tcPr>
            <w:tcW w:w="1667" w:type="pct"/>
            <w:vMerge/>
            <w:vAlign w:val="center"/>
          </w:tcPr>
          <w:p w:rsidR="000E6BAF" w:rsidP="00FB2765">
            <w:pPr>
              <w:pStyle w:val="HXLC-"/>
            </w:pPr>
          </w:p>
        </w:tc>
        <w:tc>
          <w:tcPr>
            <w:tcW w:w="1667" w:type="pct"/>
            <w:vAlign w:val="center"/>
          </w:tcPr>
          <w:p w:rsidR="000E6BAF" w:rsidP="00FB2765">
            <w:pPr>
              <w:pStyle w:val="HXLC-"/>
            </w:pPr>
            <w:r>
              <w:rPr>
                <w:rFonts w:hint="eastAsia"/>
              </w:rPr>
              <w:t>终</w:t>
            </w:r>
            <w:r>
              <w:rPr>
                <w:rFonts w:hint="eastAsia"/>
              </w:rPr>
              <w:t>验计划</w:t>
            </w:r>
          </w:p>
        </w:tc>
      </w:tr>
    </w:tbl>
    <w:p w:rsidR="000E6BAF" w:rsidRPr="00AF635B" w:rsidP="000E6BAF"/>
    <w:p w:rsidR="000E6BAF" w:rsidP="000E6BAF">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83" w:name="_Toc239193975"/>
      <w:r>
        <w:rPr>
          <w:rFonts w:hint="eastAsia"/>
        </w:rPr>
        <w:t>故障处理要求</w:t>
      </w:r>
      <w:bookmarkEnd w:id="83"/>
    </w:p>
    <w:p w:rsidR="000E6BAF" w:rsidP="000E6BAF">
      <w:pPr>
        <w:pStyle w:val="Heading3"/>
        <w:keepNext/>
        <w:keepLines/>
        <w:widowControl w:val="0"/>
        <w:numPr>
          <w:ilvl w:val="2"/>
          <w:numId w:val="4"/>
        </w:numPr>
        <w:tabs>
          <w:tab w:val="left" w:pos="480"/>
        </w:tabs>
        <w:spacing w:before="156" w:beforeLines="50" w:after="156" w:afterLines="50" w:line="360" w:lineRule="auto"/>
        <w:ind w:left="425" w:firstLine="0"/>
        <w:jc w:val="left"/>
      </w:pPr>
      <w:bookmarkStart w:id="84" w:name="_Toc239193976"/>
      <w:r>
        <w:rPr>
          <w:rFonts w:hint="eastAsia"/>
        </w:rPr>
        <w:t>系统出错处理</w:t>
      </w:r>
      <w:bookmarkEnd w:id="84"/>
    </w:p>
    <w:p w:rsidR="000E6BAF" w:rsidP="000E6BAF">
      <w:pPr>
        <w:ind w:firstLine="480"/>
      </w:pPr>
      <w:r>
        <w:rPr>
          <w:rFonts w:hint="eastAsia"/>
        </w:rPr>
        <w:t>用户界面错误：在界面出错后，给出一个友好的错误提示界面，并且记录错误日志，通过监控系统发送告警信息，并提供一段时间的日志复查，为故障处理提供依据。</w:t>
      </w:r>
    </w:p>
    <w:p w:rsidR="000E6BAF" w:rsidRPr="00854444" w:rsidP="000E6BAF">
      <w:pPr>
        <w:ind w:firstLine="480"/>
      </w:pPr>
      <w:r>
        <w:rPr>
          <w:rFonts w:hint="eastAsia"/>
        </w:rPr>
        <w:t>服务错误：当各类业务处理服务出错后，提供处理状态回滚，记录错误日志，通过监控系统发送告警信息，为故障处理提供依据。可采用人工干预的方式重新启动服务，继续执行尚未完成的作业。</w:t>
      </w:r>
    </w:p>
    <w:p w:rsidR="000E6BAF" w:rsidP="000E6BAF">
      <w:pPr>
        <w:pStyle w:val="Heading3"/>
        <w:keepNext/>
        <w:keepLines/>
        <w:widowControl w:val="0"/>
        <w:numPr>
          <w:ilvl w:val="2"/>
          <w:numId w:val="4"/>
        </w:numPr>
        <w:tabs>
          <w:tab w:val="left" w:pos="480"/>
        </w:tabs>
        <w:spacing w:before="156" w:beforeLines="50" w:after="156" w:afterLines="50" w:line="360" w:lineRule="auto"/>
        <w:ind w:left="425" w:firstLine="0"/>
        <w:jc w:val="left"/>
      </w:pPr>
      <w:bookmarkStart w:id="85" w:name="_Toc239193977"/>
      <w:r>
        <w:rPr>
          <w:rFonts w:hint="eastAsia"/>
        </w:rPr>
        <w:t>容错备份处理</w:t>
      </w:r>
      <w:bookmarkEnd w:id="85"/>
    </w:p>
    <w:p w:rsidR="000E6BAF" w:rsidP="000E6BAF">
      <w:pPr>
        <w:pStyle w:val="Heading4"/>
        <w:keepNext/>
        <w:keepLines/>
        <w:widowControl w:val="0"/>
        <w:numPr>
          <w:ilvl w:val="3"/>
          <w:numId w:val="4"/>
        </w:numPr>
        <w:tabs>
          <w:tab w:val="left" w:pos="480"/>
        </w:tabs>
        <w:spacing w:before="156" w:beforeLines="50" w:after="156" w:afterLines="50" w:line="360" w:lineRule="auto"/>
        <w:ind w:left="0" w:firstLine="0"/>
        <w:jc w:val="left"/>
      </w:pPr>
      <w:r>
        <w:rPr>
          <w:rFonts w:hint="eastAsia"/>
        </w:rPr>
        <w:t>容错措施</w:t>
      </w:r>
    </w:p>
    <w:p w:rsidR="000E6BAF" w:rsidP="000E6BAF">
      <w:pPr>
        <w:ind w:firstLine="480"/>
      </w:pPr>
      <w:r>
        <w:rPr>
          <w:rFonts w:hint="eastAsia"/>
        </w:rPr>
        <w:t>由于服务器承担着关键业务，其数据和运行的安全问题显得非常重要。对气象事业来说，利用计算机系统来提供及时可靠的信息和服务实必不可少的；另一方面，计算机硬件与软件都不可避免的会发生故障，这些故障有可能给气象业务带来极大的损失，甚至整个服务终止，网络的瘫痪。本项目每天</w:t>
      </w:r>
      <w:r>
        <w:rPr>
          <w:rFonts w:hint="eastAsia"/>
        </w:rPr>
        <w:t>24</w:t>
      </w:r>
      <w:r>
        <w:rPr>
          <w:rFonts w:hint="eastAsia"/>
        </w:rPr>
        <w:t>小时不间断的自动运行，对系统的高可用性显得更为重要。因此，必须有适当的措施来确保计算机系统提供不间断的服务，以维护系统的可用性。</w:t>
      </w:r>
    </w:p>
    <w:p w:rsidR="000E6BAF" w:rsidP="000E6BAF">
      <w:pPr>
        <w:pStyle w:val="Heading4"/>
        <w:keepNext/>
        <w:keepLines/>
        <w:widowControl w:val="0"/>
        <w:numPr>
          <w:ilvl w:val="3"/>
          <w:numId w:val="4"/>
        </w:numPr>
        <w:tabs>
          <w:tab w:val="left" w:pos="480"/>
        </w:tabs>
        <w:spacing w:before="156" w:beforeLines="50" w:after="156" w:afterLines="50" w:line="360" w:lineRule="auto"/>
        <w:ind w:left="0" w:firstLine="0"/>
        <w:jc w:val="left"/>
      </w:pPr>
      <w:r>
        <w:rPr>
          <w:rFonts w:hint="eastAsia"/>
        </w:rPr>
        <w:t>数据备份</w:t>
      </w:r>
    </w:p>
    <w:p w:rsidR="000E6BAF" w:rsidP="000E6BAF">
      <w:pPr>
        <w:ind w:firstLine="480"/>
      </w:pPr>
      <w:r>
        <w:rPr>
          <w:rFonts w:hint="eastAsia"/>
        </w:rPr>
        <w:t>数据备份能将故障引起的后果降低到最低限度。数据的备份是保证数据安全的第一要素。能把数据拷贝到一种存储介质，当数据出现问题时，可以进行还原。当硬盘出现故障时，磁盘的容错功能，可以将数据恢复。</w:t>
      </w:r>
    </w:p>
    <w:p w:rsidR="000E6BAF" w:rsidP="000E6BAF">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86" w:name="_Toc239193978"/>
      <w:r>
        <w:rPr>
          <w:rFonts w:hint="eastAsia"/>
        </w:rPr>
        <w:t>实施管理要求</w:t>
      </w:r>
      <w:bookmarkEnd w:id="86"/>
    </w:p>
    <w:p w:rsidR="000E6BAF" w:rsidRPr="00401019" w:rsidP="000E6BAF">
      <w:pPr>
        <w:ind w:firstLine="480"/>
      </w:pPr>
      <w:r w:rsidRPr="00401019">
        <w:t>乙方应编制完整的软件开发实施计划，建立规范的进度管理机制并组织实施，定期向甲方报告项目进展、存在问题及相关建议，及时协调解决项目实施过程中的技术、进度和质量问题；项目建设内容或实施条件发生变化时，应及时调整工作安排和实施计划。乙方应做好项目日常组织、管理与协调，参加甲方组织的相关会议，遵循项目管理规范，形成并持续维护实施计划、进度报告、会议纪要及问题处理记录等项目管理文档，并按照甲方要求及时落实项目建设任务的相关调整。</w:t>
      </w:r>
    </w:p>
    <w:p w:rsidR="000E6BAF" w:rsidP="000E6BAF">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87" w:name="_Toc239193979"/>
      <w:r>
        <w:rPr>
          <w:rFonts w:hint="eastAsia"/>
        </w:rPr>
        <w:t>人员组织要求</w:t>
      </w:r>
      <w:bookmarkEnd w:id="87"/>
    </w:p>
    <w:p w:rsidR="000E6BAF" w:rsidP="000E6BAF">
      <w:pPr>
        <w:ind w:firstLine="480"/>
      </w:pPr>
      <w:r>
        <w:rPr>
          <w:rFonts w:hint="eastAsia"/>
        </w:rPr>
        <w:t>乙方必须成立合理的组织机构，建立健全保障设计、开发工作顺利实施的各项管理制度和质量保证体系，安排好足够的高素质人才参加本项目工作。</w:t>
      </w:r>
    </w:p>
    <w:p w:rsidR="000E6BAF" w:rsidP="000E6BAF">
      <w:pPr>
        <w:ind w:firstLine="480"/>
      </w:pPr>
      <w:r>
        <w:rPr>
          <w:rFonts w:hint="eastAsia"/>
        </w:rPr>
        <w:t>在组织机构中应明确各岗位的职责、任职资格及成果，确保项目顺利实施，应分别配</w:t>
      </w:r>
      <w:r>
        <w:rPr>
          <w:rFonts w:hint="eastAsia"/>
        </w:rPr>
        <w:t>备有项目经理、技术负责人承担本项目工作。</w:t>
      </w:r>
    </w:p>
    <w:p w:rsidR="000E6BAF" w:rsidRPr="00030324" w:rsidP="000E6BAF">
      <w:pPr>
        <w:ind w:firstLine="480"/>
      </w:pPr>
      <w:r>
        <w:rPr>
          <w:rFonts w:hint="eastAsia"/>
        </w:rPr>
        <w:t>乙方应确保服务于本项目的核心技术人员及主要开发人员稳定，团队人数不少于</w:t>
      </w:r>
      <w:r>
        <w:rPr>
          <w:rFonts w:hint="eastAsia"/>
        </w:rPr>
        <w:t>4</w:t>
      </w:r>
      <w:r>
        <w:rPr>
          <w:rFonts w:hint="eastAsia"/>
        </w:rPr>
        <w:t>人，未经甲方允许不得调整核心团队成员，甲方有权要求更换乙方项目团队成员。</w:t>
      </w:r>
    </w:p>
    <w:p w:rsidR="000E6BAF" w:rsidP="000E6BAF">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88" w:name="_Toc239193980"/>
      <w:r>
        <w:rPr>
          <w:rFonts w:hint="eastAsia"/>
        </w:rPr>
        <w:t>评审验收要求</w:t>
      </w:r>
      <w:bookmarkEnd w:id="88"/>
    </w:p>
    <w:p w:rsidR="000E6BAF" w:rsidRPr="004D347E" w:rsidP="000E6BAF">
      <w:pPr>
        <w:ind w:firstLine="480"/>
      </w:pPr>
      <w:r w:rsidRPr="004D347E">
        <w:t>通过甲方组织的需求评审后形成项目评审验收方案，制订出一套明确的可操作性的评价指标，作为甲方评价开发工作的标准，用于本项目的评审和验收。</w:t>
      </w:r>
    </w:p>
    <w:p w:rsidR="000E6BAF" w:rsidRPr="00BA76B2" w:rsidP="000E6BAF">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89" w:name="_Toc239193981"/>
      <w:r>
        <w:rPr>
          <w:rFonts w:hint="eastAsia"/>
        </w:rPr>
        <w:t>项目培训要求</w:t>
      </w:r>
      <w:bookmarkEnd w:id="89"/>
    </w:p>
    <w:p w:rsidR="000E6BAF" w:rsidP="000E6BAF">
      <w:r>
        <w:tab/>
      </w:r>
      <w:r w:rsidRPr="00A61109">
        <w:t>乙方应根据项目建设内容和实施进度制定详细的培训计划，并在培训实施前提交甲方确认，采用现场讲解、集中授课和实际操作相结合的方式，围绕系统功能、业务操作、后台管理、运行维护及常见问题处理等内容开展培训，确保相关人员能够独立、熟练地完成系统操作，并具备基本的故障判断和配置维护能力；培训地点、时间、对象及具体内容由甲乙双方结合项目实际情况和实施进度协商确定</w:t>
      </w:r>
      <w:r>
        <w:rPr>
          <w:rFonts w:hint="eastAsia"/>
        </w:rPr>
        <w:t>。</w:t>
      </w:r>
    </w:p>
    <w:p w:rsidR="000E6BAF" w:rsidP="000E6BAF">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90" w:name="_Toc239193982"/>
      <w:r>
        <w:rPr>
          <w:rFonts w:hint="eastAsia"/>
        </w:rPr>
        <w:t>安全保密要求</w:t>
      </w:r>
      <w:bookmarkEnd w:id="90"/>
    </w:p>
    <w:p w:rsidR="000E6BAF" w:rsidP="000E6BAF">
      <w:pPr>
        <w:ind w:firstLine="480"/>
      </w:pPr>
      <w:r>
        <w:rPr>
          <w:rFonts w:hint="eastAsia"/>
        </w:rPr>
        <w:t>乙方要承诺在项目执行过程中严格遵守《中华人民共和国网络安全法》和《中华人民共和国数据安全法》，确保项目涉及的气象数据安全；承诺在国家气象信息中心驻场期间按照《国家气象信息中心外协单位驻场管理办法（试行）》的要求开展相关工作，签订相关安全协议书。项目所涉气象数据（或气象资料）仅</w:t>
      </w:r>
      <w:r>
        <w:rPr>
          <w:rFonts w:hint="eastAsia"/>
        </w:rPr>
        <w:t>供项目</w:t>
      </w:r>
      <w:r>
        <w:rPr>
          <w:rFonts w:hint="eastAsia"/>
        </w:rPr>
        <w:t>建设使用，乙方在项目执行过程中如发生气象数据丢失、转让或交易等行为，甲方将根据合同和相关法规要求乙方赔偿并追究法律责任。</w:t>
      </w:r>
    </w:p>
    <w:p w:rsidR="000E6BAF" w:rsidRPr="00CC6DB0" w:rsidP="000E6BAF">
      <w:pPr>
        <w:ind w:firstLine="480"/>
      </w:pPr>
      <w:r>
        <w:rPr>
          <w:rFonts w:hint="eastAsia"/>
        </w:rPr>
        <w:t>乙方必须对项目技术文件以及由甲方提供的所有内部材料、技术文档和信息予以保密。乙方必须遵守与甲方签订的保密协议，未经甲方书面许可，乙方不得以任何形式向第三方透露本项目的任何内容。</w:t>
      </w:r>
    </w:p>
    <w:p w:rsidR="000E6BAF" w:rsidP="000E6BAF">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91" w:name="_Toc239193983"/>
      <w:r>
        <w:rPr>
          <w:rFonts w:hint="eastAsia"/>
        </w:rPr>
        <w:t>售后服务要求</w:t>
      </w:r>
      <w:bookmarkEnd w:id="91"/>
    </w:p>
    <w:p w:rsidR="000E6BAF" w:rsidP="000E6BAF">
      <w:pPr>
        <w:ind w:firstLine="480"/>
      </w:pPr>
      <w:r>
        <w:rPr>
          <w:rFonts w:hint="eastAsia"/>
        </w:rPr>
        <w:t>本项目要求乙方能够提供从系统终验之日起</w:t>
      </w:r>
      <w:r>
        <w:rPr>
          <w:rFonts w:hint="eastAsia"/>
        </w:rPr>
        <w:t>1</w:t>
      </w:r>
      <w:r>
        <w:rPr>
          <w:rFonts w:hint="eastAsia"/>
        </w:rPr>
        <w:t>年免费技术支持服务。</w:t>
      </w:r>
    </w:p>
    <w:p w:rsidR="000E6BAF" w:rsidP="000E6BAF">
      <w:pPr>
        <w:ind w:firstLine="480"/>
      </w:pPr>
      <w:r>
        <w:rPr>
          <w:rFonts w:hint="eastAsia"/>
        </w:rPr>
        <w:t>系统发生异常情况，在接到甲方的通知后，乙方技术人员应提供</w:t>
      </w:r>
      <w:r>
        <w:rPr>
          <w:rFonts w:hint="eastAsia"/>
        </w:rPr>
        <w:t>7*24</w:t>
      </w:r>
      <w:r>
        <w:rPr>
          <w:rFonts w:hint="eastAsia"/>
        </w:rPr>
        <w:t>小时的服务响应，随时进行电话应答；</w:t>
      </w:r>
      <w:r>
        <w:rPr>
          <w:rFonts w:hint="eastAsia"/>
        </w:rPr>
        <w:t>30</w:t>
      </w:r>
      <w:r>
        <w:rPr>
          <w:rFonts w:hint="eastAsia"/>
        </w:rPr>
        <w:t>分钟内完成远程登录诊断；在</w:t>
      </w:r>
      <w:r>
        <w:rPr>
          <w:rFonts w:hint="eastAsia"/>
        </w:rPr>
        <w:t>1</w:t>
      </w:r>
      <w:r>
        <w:rPr>
          <w:rFonts w:hint="eastAsia"/>
        </w:rPr>
        <w:t>小时内到达国家局现场解决疑难。</w:t>
      </w:r>
    </w:p>
    <w:p w:rsidR="000E6BAF" w:rsidP="000E6BAF">
      <w:pPr>
        <w:ind w:firstLine="480"/>
      </w:pPr>
      <w:r>
        <w:rPr>
          <w:rFonts w:hint="eastAsia"/>
        </w:rPr>
        <w:t>质量保证期后，乙方仍应根据合同要求向甲方提供技术服务，以合理价格提供软件功能改进技术服务。</w:t>
      </w:r>
    </w:p>
    <w:p w:rsidR="000E6BAF" w:rsidRPr="00572F51" w:rsidP="000E6BAF">
      <w:pPr>
        <w:ind w:firstLine="480"/>
      </w:pPr>
      <w:r>
        <w:rPr>
          <w:rFonts w:hint="eastAsia"/>
        </w:rPr>
        <w:t>质量保证期间的维护服务不收取任何额外费用，质量保证期后按合同约定进行维护。</w:t>
      </w:r>
    </w:p>
    <w:p w:rsidR="000E6BAF" w:rsidRPr="00A10948" w:rsidP="000E6BAF">
      <w:pPr>
        <w:pStyle w:val="Heading2"/>
        <w:keepNext/>
        <w:keepLines/>
        <w:widowControl w:val="0"/>
        <w:numPr>
          <w:ilvl w:val="1"/>
          <w:numId w:val="4"/>
        </w:numPr>
        <w:tabs>
          <w:tab w:val="left" w:pos="480"/>
        </w:tabs>
        <w:spacing w:before="156" w:beforeLines="50" w:after="156" w:afterLines="50" w:line="360" w:lineRule="auto"/>
        <w:ind w:left="0" w:firstLine="0"/>
        <w:jc w:val="left"/>
      </w:pPr>
      <w:bookmarkStart w:id="92" w:name="_Toc239193984"/>
      <w:r>
        <w:rPr>
          <w:rFonts w:hint="eastAsia"/>
        </w:rPr>
        <w:t>知识产权要求</w:t>
      </w:r>
      <w:bookmarkEnd w:id="92"/>
    </w:p>
    <w:p w:rsidR="000E6BAF" w:rsidP="000E6BAF">
      <w:pPr>
        <w:ind w:firstLine="480"/>
      </w:pPr>
      <w:r>
        <w:rPr>
          <w:rFonts w:hint="eastAsia"/>
        </w:rPr>
        <w:t>全部及</w:t>
      </w:r>
      <w:r>
        <w:rPr>
          <w:rFonts w:hint="eastAsia"/>
        </w:rPr>
        <w:t>/</w:t>
      </w:r>
      <w:r>
        <w:rPr>
          <w:rFonts w:hint="eastAsia"/>
        </w:rPr>
        <w:t>或任何部分的相关知识产权，包括相关权益，归甲方共有。乙方有不可争议的义务确保采购人依据本次采购所获得的知识产权不存在任何瑕疵并且可以不受限制地行使相关权利，包括各项延伸权利。若因此发生任何争议均应当由乙方独自承担全部及</w:t>
      </w:r>
      <w:r>
        <w:rPr>
          <w:rFonts w:hint="eastAsia"/>
        </w:rPr>
        <w:t>/</w:t>
      </w:r>
      <w:r>
        <w:rPr>
          <w:rFonts w:hint="eastAsia"/>
        </w:rPr>
        <w:t>或任何责任，包括但不限于应当承担其自身及采购方为排除任何争议或瑕疵所应当或所需支付的一</w:t>
      </w:r>
      <w:r>
        <w:rPr>
          <w:rFonts w:hint="eastAsia"/>
        </w:rPr>
        <w:t>切相关</w:t>
      </w:r>
      <w:r>
        <w:rPr>
          <w:rFonts w:hint="eastAsia"/>
        </w:rPr>
        <w:t>/</w:t>
      </w:r>
      <w:r>
        <w:rPr>
          <w:rFonts w:hint="eastAsia"/>
        </w:rPr>
        <w:t>或由此引起的费用。</w:t>
      </w:r>
    </w:p>
    <w:p w:rsidR="000E6BAF" w:rsidP="000E6BAF">
      <w:pPr>
        <w:ind w:firstLine="480"/>
      </w:pPr>
      <w:r>
        <w:rPr>
          <w:rFonts w:hint="eastAsia"/>
        </w:rPr>
        <w:t>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w:t>
      </w:r>
      <w:r>
        <w:rPr>
          <w:rFonts w:hint="eastAsia"/>
        </w:rPr>
        <w:t>/</w:t>
      </w:r>
      <w:r>
        <w:rPr>
          <w:rFonts w:hint="eastAsia"/>
        </w:rPr>
        <w:t>或任何责任，包括但不限于应当承担其自身及采购中心为排除任何争议及</w:t>
      </w:r>
      <w:r>
        <w:rPr>
          <w:rFonts w:hint="eastAsia"/>
        </w:rPr>
        <w:t>/</w:t>
      </w:r>
      <w:r>
        <w:rPr>
          <w:rFonts w:hint="eastAsia"/>
        </w:rPr>
        <w:t>或赔偿侵权所应当或所需支付的一切相关及</w:t>
      </w:r>
      <w:r>
        <w:rPr>
          <w:rFonts w:hint="eastAsia"/>
        </w:rPr>
        <w:t>/</w:t>
      </w:r>
      <w:r>
        <w:rPr>
          <w:rFonts w:hint="eastAsia"/>
        </w:rPr>
        <w:t>或由此引起的费用。</w:t>
      </w:r>
    </w:p>
    <w:p w:rsidR="000E6BAF" w:rsidP="000E6BAF">
      <w:pPr>
        <w:ind w:firstLine="480"/>
      </w:pPr>
      <w:r>
        <w:rPr>
          <w:rFonts w:hint="eastAsia"/>
        </w:rPr>
        <w:t>为甲方提供与本项目设计、开发和集成有关的各类技术咨询服务。</w:t>
      </w:r>
    </w:p>
    <w:p w:rsidR="000E6BAF" w:rsidP="000E6BAF">
      <w:pPr>
        <w:ind w:firstLine="480"/>
      </w:pPr>
      <w:r>
        <w:rPr>
          <w:rFonts w:hint="eastAsia"/>
        </w:rPr>
        <w:t>协助甲方预见本项目设计、开发和系统集成工作中和项目其他建设工作中可能发生的问题和困难，并向甲方提出解决的办法或建议。</w:t>
      </w:r>
    </w:p>
    <w:p w:rsidR="000E6BAF" w:rsidRPr="008C0ADF" w:rsidP="000E6BAF">
      <w:pPr>
        <w:ind w:firstLine="480"/>
      </w:pPr>
      <w:r>
        <w:rPr>
          <w:rFonts w:hint="eastAsia"/>
        </w:rPr>
        <w:t>在系统的运行维护阶段提供技术支持。对运行过程中出现的新问题提供建议和解决方案。</w:t>
      </w:r>
    </w:p>
    <w:p w:rsidR="0033424F" w:rsidRPr="000E6BAF">
      <w:pPr>
        <w:snapToGrid w:val="0"/>
        <w:spacing w:line="360" w:lineRule="auto"/>
        <w:jc w:val="left"/>
        <w:rPr>
          <w:rFonts w:ascii="宋体" w:hAnsi="宋体"/>
          <w:szCs w:val="21"/>
        </w:rPr>
      </w:pPr>
    </w:p>
    <w:p w:rsidR="0033424F">
      <w:pPr>
        <w:spacing w:line="360" w:lineRule="auto"/>
        <w:ind w:firstLine="420" w:firstLineChars="200"/>
        <w:rPr>
          <w:rFonts w:ascii="宋体" w:eastAsia="宋体" w:hAnsi="宋体" w:cs="Times New Roman"/>
          <w:szCs w:val="21"/>
        </w:rPr>
      </w:pPr>
    </w:p>
    <w:p w:rsidR="00A77B3E"/>
    <w:p w:rsidR="0033424F">
      <w:pPr>
        <w:spacing w:before="156" w:beforeLines="50" w:line="360" w:lineRule="auto"/>
        <w:jc w:val="center"/>
        <w:outlineLvl w:val="1"/>
        <w:rPr>
          <w:rFonts w:ascii="宋体" w:hAnsi="宋体"/>
          <w:b/>
          <w:sz w:val="30"/>
          <w:szCs w:val="30"/>
        </w:rPr>
        <w:sectPr>
          <w:footerReference w:type="default" r:id="rId6"/>
          <w:pgSz w:w="11906" w:h="16838"/>
          <w:pgMar w:top="1418" w:right="1418" w:bottom="1418" w:left="1701" w:header="851" w:footer="851" w:gutter="0"/>
          <w:cols w:space="708"/>
          <w:docGrid w:type="linesAndChars" w:linePitch="312"/>
        </w:sectPr>
      </w:pPr>
      <w:bookmarkEnd w:id="60"/>
    </w:p>
    <w:p w:rsidR="00A30186">
      <w:pPr>
        <w:spacing w:before="156" w:beforeLines="50" w:line="360" w:lineRule="auto"/>
        <w:jc w:val="center"/>
        <w:outlineLvl w:val="1"/>
        <w:rPr>
          <w:rFonts w:ascii="宋体" w:hAnsi="宋体"/>
          <w:b/>
          <w:sz w:val="30"/>
          <w:szCs w:val="30"/>
        </w:rPr>
      </w:pPr>
      <w:bookmarkStart w:id="93" w:name="投标被拒绝条款专用部分_JJTK"/>
      <w:r>
        <w:rPr>
          <w:rFonts w:ascii="宋体" w:hAnsi="宋体" w:hint="eastAsia"/>
          <w:b/>
          <w:sz w:val="30"/>
          <w:szCs w:val="30"/>
        </w:rPr>
        <w:t>第八章</w:t>
      </w:r>
      <w:r>
        <w:rPr>
          <w:rFonts w:ascii="宋体" w:hAnsi="宋体" w:hint="eastAsia"/>
          <w:b/>
          <w:sz w:val="30"/>
          <w:szCs w:val="30"/>
        </w:rPr>
        <w:t xml:space="preserve">  </w:t>
      </w:r>
      <w:r>
        <w:rPr>
          <w:rFonts w:ascii="宋体" w:hAnsi="宋体" w:hint="eastAsia"/>
          <w:b/>
          <w:sz w:val="30"/>
          <w:szCs w:val="30"/>
        </w:rPr>
        <w:t>投标被拒绝条款专用部分</w:t>
      </w:r>
    </w:p>
    <w:p w:rsidR="00A30186">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E37DAB">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A30186">
            <w:pPr>
              <w:rPr>
                <w:sz w:val="18"/>
                <w:szCs w:val="18"/>
              </w:rPr>
            </w:pPr>
            <w:r>
              <w:rPr>
                <w:rFonts w:hint="eastAsia"/>
                <w:sz w:val="18"/>
                <w:szCs w:val="18"/>
              </w:rPr>
              <w:t>序号</w:t>
            </w:r>
          </w:p>
        </w:tc>
        <w:tc>
          <w:tcPr>
            <w:tcW w:w="898" w:type="dxa"/>
            <w:vAlign w:val="center"/>
          </w:tcPr>
          <w:p w:rsidR="00A30186">
            <w:pPr>
              <w:jc w:val="center"/>
              <w:rPr>
                <w:sz w:val="18"/>
                <w:szCs w:val="18"/>
              </w:rPr>
            </w:pPr>
            <w:r>
              <w:rPr>
                <w:rFonts w:hint="eastAsia"/>
                <w:sz w:val="18"/>
                <w:szCs w:val="18"/>
              </w:rPr>
              <w:t>对应</w:t>
            </w:r>
          </w:p>
          <w:p w:rsidR="00A30186">
            <w:pPr>
              <w:jc w:val="center"/>
              <w:rPr>
                <w:sz w:val="18"/>
                <w:szCs w:val="18"/>
              </w:rPr>
            </w:pPr>
            <w:r>
              <w:rPr>
                <w:rFonts w:hint="eastAsia"/>
                <w:sz w:val="18"/>
                <w:szCs w:val="18"/>
              </w:rPr>
              <w:t>条款号</w:t>
            </w:r>
          </w:p>
        </w:tc>
        <w:tc>
          <w:tcPr>
            <w:tcW w:w="7347" w:type="dxa"/>
            <w:vAlign w:val="center"/>
          </w:tcPr>
          <w:p w:rsidR="00A30186">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E37DAB">
        <w:tblPrEx>
          <w:tblW w:w="8789" w:type="dxa"/>
          <w:tblLayout w:type="fixed"/>
          <w:tblLook w:val="04A0"/>
        </w:tblPrEx>
        <w:trPr>
          <w:cantSplit/>
        </w:trPr>
        <w:tc>
          <w:tcPr>
            <w:tcW w:w="8789" w:type="dxa"/>
            <w:gridSpan w:val="3"/>
            <w:vAlign w:val="center"/>
          </w:tcPr>
          <w:p w:rsidR="00A30186">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E37DAB">
        <w:tblPrEx>
          <w:tblW w:w="8789" w:type="dxa"/>
          <w:tblLayout w:type="fixed"/>
          <w:tblLook w:val="04A0"/>
        </w:tblPrEx>
        <w:trPr>
          <w:cantSplit/>
        </w:trPr>
        <w:tc>
          <w:tcPr>
            <w:tcW w:w="544" w:type="dxa"/>
            <w:vAlign w:val="center"/>
          </w:tcPr>
          <w:p w:rsidR="00A30186">
            <w:pPr>
              <w:numPr>
                <w:ilvl w:val="0"/>
                <w:numId w:val="5"/>
              </w:numPr>
              <w:rPr>
                <w:rFonts w:ascii="宋体" w:hAnsi="宋体"/>
                <w:sz w:val="18"/>
                <w:szCs w:val="18"/>
              </w:rPr>
            </w:pPr>
          </w:p>
        </w:tc>
        <w:tc>
          <w:tcPr>
            <w:tcW w:w="898" w:type="dxa"/>
            <w:vAlign w:val="center"/>
          </w:tcPr>
          <w:p w:rsidR="00A30186">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A30186">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r w:rsidTr="00E37DAB">
        <w:tblPrEx>
          <w:tblW w:w="8789" w:type="dxa"/>
          <w:tblLayout w:type="fixed"/>
          <w:tblLook w:val="04A0"/>
        </w:tblPrEx>
        <w:trPr>
          <w:cantSplit/>
        </w:trPr>
        <w:tc>
          <w:tcPr>
            <w:tcW w:w="8789" w:type="dxa"/>
            <w:gridSpan w:val="3"/>
            <w:vAlign w:val="center"/>
          </w:tcPr>
          <w:p w:rsidR="00A30186">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E37DAB">
        <w:tblPrEx>
          <w:tblW w:w="8789" w:type="dxa"/>
          <w:tblLayout w:type="fixed"/>
          <w:tblLook w:val="04A0"/>
        </w:tblPrEx>
        <w:trPr>
          <w:cantSplit/>
        </w:trPr>
        <w:tc>
          <w:tcPr>
            <w:tcW w:w="544" w:type="dxa"/>
            <w:vAlign w:val="center"/>
          </w:tcPr>
          <w:p w:rsidR="00A30186">
            <w:pPr>
              <w:numPr>
                <w:ilvl w:val="0"/>
                <w:numId w:val="5"/>
              </w:numPr>
              <w:rPr>
                <w:rFonts w:ascii="宋体" w:hAnsi="宋体"/>
                <w:sz w:val="18"/>
                <w:szCs w:val="18"/>
              </w:rPr>
            </w:pPr>
          </w:p>
        </w:tc>
        <w:tc>
          <w:tcPr>
            <w:tcW w:w="898" w:type="dxa"/>
            <w:vAlign w:val="center"/>
          </w:tcPr>
          <w:p w:rsidR="00A30186">
            <w:pPr>
              <w:jc w:val="center"/>
              <w:rPr>
                <w:rFonts w:ascii="宋体" w:hAnsi="宋体"/>
                <w:sz w:val="18"/>
                <w:szCs w:val="18"/>
              </w:rPr>
            </w:pPr>
          </w:p>
        </w:tc>
        <w:tc>
          <w:tcPr>
            <w:tcW w:w="7347" w:type="dxa"/>
            <w:vAlign w:val="center"/>
          </w:tcPr>
          <w:p w:rsidR="00A30186">
            <w:pPr>
              <w:tabs>
                <w:tab w:val="left" w:pos="709"/>
              </w:tabs>
              <w:spacing w:line="360" w:lineRule="auto"/>
              <w:jc w:val="left"/>
              <w:rPr>
                <w:rFonts w:ascii="宋体" w:hAnsi="宋体"/>
                <w:sz w:val="18"/>
                <w:szCs w:val="18"/>
              </w:rPr>
            </w:pPr>
            <w:r>
              <w:rPr>
                <w:rFonts w:ascii="宋体" w:hAnsi="宋体" w:hint="eastAsia"/>
                <w:sz w:val="18"/>
                <w:szCs w:val="18"/>
              </w:rPr>
              <w:t>无</w:t>
            </w:r>
          </w:p>
        </w:tc>
      </w:tr>
    </w:tbl>
    <w:p w:rsidR="00A30186">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A30186">
      <w:pPr>
        <w:spacing w:before="156" w:beforeLines="50" w:line="360" w:lineRule="auto"/>
        <w:ind w:firstLine="420"/>
      </w:pPr>
    </w:p>
    <w:p w:rsidR="00A77B3E"/>
    <w:p w:rsidR="00A30186">
      <w:pPr>
        <w:spacing w:before="156" w:beforeLines="50" w:line="360" w:lineRule="auto"/>
        <w:jc w:val="center"/>
        <w:outlineLvl w:val="1"/>
        <w:rPr>
          <w:rFonts w:ascii="宋体" w:hAnsi="宋体"/>
          <w:b/>
          <w:sz w:val="30"/>
          <w:szCs w:val="30"/>
        </w:rPr>
        <w:sectPr>
          <w:headerReference w:type="default" r:id="rId7"/>
          <w:footerReference w:type="default" r:id="rId8"/>
          <w:pgSz w:w="11906" w:h="16838"/>
          <w:pgMar w:top="1440" w:right="1800" w:bottom="1440" w:left="1800" w:header="851" w:footer="992" w:gutter="0"/>
          <w:cols w:space="708"/>
          <w:docGrid w:type="lines" w:linePitch="312"/>
        </w:sectPr>
      </w:pPr>
      <w:bookmarkEnd w:id="93"/>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7F21DC" w:rsidP="006F77AB">
      <w:pPr>
        <w:spacing w:before="156" w:beforeLines="50"/>
        <w:jc w:val="center"/>
        <w:outlineLvl w:val="1"/>
        <w:rPr>
          <w:rFonts w:ascii="宋体" w:hAnsi="宋体"/>
          <w:b/>
          <w:sz w:val="30"/>
          <w:szCs w:val="30"/>
        </w:rPr>
      </w:pPr>
      <w:bookmarkStart w:id="94" w:name="采购公告合同部分_ZBGGHT"/>
      <w:r w:rsidR="0018265B">
        <w:rPr>
          <w:rFonts w:ascii="宋体" w:hAnsi="宋体" w:hint="eastAsia"/>
          <w:b/>
          <w:sz w:val="30"/>
          <w:szCs w:val="30"/>
        </w:rPr>
        <w:t>第</w:t>
      </w:r>
      <w:r w:rsidR="00121E82">
        <w:rPr>
          <w:rFonts w:ascii="宋体" w:hAnsi="宋体" w:hint="eastAsia"/>
          <w:b/>
          <w:sz w:val="30"/>
          <w:szCs w:val="30"/>
        </w:rPr>
        <w:t>八</w:t>
      </w:r>
      <w:r w:rsidR="0018265B">
        <w:rPr>
          <w:rFonts w:ascii="宋体" w:hAnsi="宋体" w:hint="eastAsia"/>
          <w:b/>
          <w:sz w:val="30"/>
          <w:szCs w:val="30"/>
        </w:rPr>
        <w:t xml:space="preserve">章  </w:t>
      </w:r>
      <w:bookmarkStart w:id="95" w:name="OLE_LINK1_0"/>
      <w:r w:rsidR="0018265B">
        <w:rPr>
          <w:rFonts w:ascii="宋体" w:hAnsi="宋体" w:hint="eastAsia"/>
          <w:b/>
          <w:sz w:val="30"/>
          <w:szCs w:val="30"/>
        </w:rPr>
        <w:t>合同条款专用部分</w:t>
      </w:r>
      <w:bookmarkEnd w:id="95"/>
    </w:p>
    <w:p w:rsidR="007F21DC">
      <w:pPr>
        <w:adjustRightInd w:val="0"/>
        <w:snapToGrid w:val="0"/>
        <w:ind w:firstLine="560"/>
        <w:jc w:val="center"/>
        <w:rPr>
          <w:rFonts w:cs="宋体"/>
          <w:bCs/>
          <w:kern w:val="0"/>
          <w:sz w:val="28"/>
        </w:rPr>
      </w:pPr>
      <w:r w:rsidR="0018265B">
        <w:rPr>
          <w:rFonts w:cs="宋体" w:hint="eastAsia"/>
          <w:bCs/>
          <w:kern w:val="0"/>
          <w:sz w:val="28"/>
        </w:rPr>
        <w:t>（本合同模板仅供参考，最终合同文本以双方签订为准）</w:t>
      </w:r>
    </w:p>
    <w:p w:rsidR="007F21DC">
      <w:pPr>
        <w:adjustRightInd w:val="0"/>
        <w:snapToGrid w:val="0"/>
        <w:ind w:firstLine="562"/>
        <w:jc w:val="center"/>
        <w:rPr>
          <w:rFonts w:cs="宋体"/>
          <w:b/>
          <w:bCs/>
          <w:kern w:val="0"/>
          <w:sz w:val="28"/>
        </w:rPr>
      </w:pPr>
    </w:p>
    <w:p w:rsidR="007F21DC">
      <w:pPr>
        <w:snapToGrid w:val="0"/>
        <w:ind w:firstLine="480"/>
        <w:rPr>
          <w:rFonts w:ascii="宋体" w:hAnsi="宋体"/>
          <w:szCs w:val="21"/>
        </w:rPr>
      </w:pPr>
      <w:r w:rsidR="0018265B">
        <w:rPr>
          <w:rFonts w:ascii="宋体" w:hAnsi="宋体" w:hint="eastAsia"/>
          <w:szCs w:val="21"/>
        </w:rPr>
        <w:t>甲方（采购人）：</w:t>
      </w:r>
      <w:r w:rsidR="0018265B">
        <w:rPr>
          <w:rFonts w:hint="eastAsia"/>
          <w:szCs w:val="21"/>
          <w:u w:val="single"/>
        </w:rPr>
        <w:t xml:space="preserve">   </w:t>
      </w:r>
      <w:r w:rsidR="00155A99">
        <w:rPr>
          <w:rFonts w:hint="eastAsia"/>
          <w:szCs w:val="21"/>
          <w:u w:val="single"/>
        </w:rPr>
        <w:t>国家气象信息中心</w:t>
      </w:r>
      <w:r w:rsidR="0018265B">
        <w:rPr>
          <w:rFonts w:hint="eastAsia"/>
          <w:szCs w:val="21"/>
          <w:u w:val="single"/>
        </w:rPr>
        <w:t xml:space="preserve">                               </w:t>
      </w:r>
    </w:p>
    <w:p w:rsidR="007F21DC">
      <w:pPr>
        <w:snapToGrid w:val="0"/>
        <w:ind w:firstLine="480"/>
        <w:rPr>
          <w:rFonts w:ascii="宋体" w:hAnsi="宋体"/>
          <w:szCs w:val="21"/>
        </w:rPr>
      </w:pPr>
      <w:r w:rsidR="0018265B">
        <w:rPr>
          <w:rFonts w:ascii="宋体" w:hAnsi="宋体" w:hint="eastAsia"/>
          <w:szCs w:val="21"/>
        </w:rPr>
        <w:t>乙方（中标人）：</w:t>
      </w:r>
      <w:r w:rsidR="0018265B">
        <w:rPr>
          <w:rFonts w:hint="eastAsia"/>
          <w:szCs w:val="21"/>
          <w:u w:val="single"/>
        </w:rPr>
        <w:t xml:space="preserve">                         </w:t>
      </w:r>
      <w:r w:rsidR="00AB32E9">
        <w:rPr>
          <w:szCs w:val="21"/>
          <w:u w:val="single"/>
        </w:rPr>
        <w:t xml:space="preserve">                </w:t>
      </w:r>
      <w:r w:rsidR="0018265B">
        <w:rPr>
          <w:rFonts w:hint="eastAsia"/>
          <w:szCs w:val="21"/>
          <w:u w:val="single"/>
        </w:rPr>
        <w:t xml:space="preserve">         </w:t>
      </w:r>
    </w:p>
    <w:p w:rsidR="007F21DC">
      <w:pPr>
        <w:snapToGrid w:val="0"/>
        <w:ind w:firstLine="480"/>
        <w:rPr>
          <w:rFonts w:ascii="宋体" w:hAnsi="宋体"/>
          <w:szCs w:val="21"/>
        </w:rPr>
      </w:pPr>
      <w:r w:rsidR="0018265B">
        <w:rPr>
          <w:rFonts w:ascii="宋体" w:hAnsi="宋体" w:hint="eastAsia"/>
          <w:szCs w:val="21"/>
        </w:rPr>
        <w:t>甲乙双方</w:t>
      </w:r>
      <w:r w:rsidR="0018265B">
        <w:rPr>
          <w:rFonts w:hint="eastAsia"/>
          <w:szCs w:val="21"/>
        </w:rPr>
        <w:t>根据《中华人民共和国政府采购法》、《民法典》等相关法律法规以及本项目招标文件的规定，经平等协商达成合同如下：</w:t>
      </w:r>
    </w:p>
    <w:p w:rsidR="007F21DC" w:rsidP="00C23A89">
      <w:pPr>
        <w:adjustRightInd w:val="0"/>
        <w:snapToGrid w:val="0"/>
        <w:ind w:firstLine="412" w:firstLineChars="196"/>
        <w:rPr>
          <w:b/>
        </w:rPr>
      </w:pPr>
      <w:r w:rsidR="0018265B">
        <w:rPr>
          <w:rFonts w:hint="eastAsia"/>
          <w:b/>
        </w:rPr>
        <w:t>一、项目</w:t>
      </w:r>
    </w:p>
    <w:p w:rsidR="007F21DC">
      <w:pPr>
        <w:adjustRightInd w:val="0"/>
        <w:snapToGrid w:val="0"/>
        <w:ind w:firstLine="420" w:firstLineChars="200"/>
        <w:rPr>
          <w:szCs w:val="21"/>
          <w:u w:val="single"/>
        </w:rPr>
      </w:pPr>
      <w:r w:rsidR="0018265B">
        <w:rPr>
          <w:rFonts w:hint="eastAsia"/>
          <w:szCs w:val="21"/>
        </w:rPr>
        <w:t>项目名称：</w:t>
      </w:r>
      <w:r w:rsidRPr="00AB32E9" w:rsidR="0018265B">
        <w:rPr>
          <w:rFonts w:hint="eastAsia"/>
          <w:szCs w:val="21"/>
          <w:u w:val="thick"/>
        </w:rPr>
        <w:t xml:space="preserve"> </w:t>
      </w:r>
      <w:r w:rsidRPr="00AB32E9" w:rsidR="00AB32E9">
        <w:rPr>
          <w:szCs w:val="21"/>
          <w:u w:val="thick"/>
        </w:rPr>
        <w:t xml:space="preserve">     </w:t>
      </w:r>
      <w:r w:rsidRPr="000B3013" w:rsidR="000B3013">
        <w:rPr>
          <w:rFonts w:hint="eastAsia"/>
          <w:szCs w:val="21"/>
          <w:u w:val="thick"/>
        </w:rPr>
        <w:t>智能化气象数据服务能力建设</w:t>
      </w:r>
      <w:r w:rsidRPr="00AB32E9" w:rsidR="0018265B">
        <w:rPr>
          <w:rFonts w:hint="eastAsia"/>
          <w:szCs w:val="21"/>
          <w:u w:val="thick"/>
        </w:rPr>
        <w:t xml:space="preserve">              </w:t>
      </w:r>
    </w:p>
    <w:p w:rsidR="007F21DC">
      <w:pPr>
        <w:adjustRightInd w:val="0"/>
        <w:snapToGrid w:val="0"/>
        <w:ind w:firstLine="420" w:firstLineChars="200"/>
        <w:rPr>
          <w:szCs w:val="21"/>
          <w:u w:val="single"/>
        </w:rPr>
      </w:pPr>
      <w:r w:rsidR="0018265B">
        <w:rPr>
          <w:rFonts w:hint="eastAsia"/>
          <w:szCs w:val="21"/>
        </w:rPr>
        <w:t>项目编号和分包号：</w:t>
      </w:r>
      <w:r w:rsidR="0018265B">
        <w:rPr>
          <w:rFonts w:hint="eastAsia"/>
          <w:szCs w:val="21"/>
          <w:u w:val="single"/>
        </w:rPr>
        <w:t xml:space="preserve">               </w:t>
      </w:r>
      <w:r w:rsidR="00AB32E9">
        <w:rPr>
          <w:szCs w:val="21"/>
          <w:u w:val="single"/>
        </w:rPr>
        <w:t xml:space="preserve">                  </w:t>
      </w:r>
      <w:r w:rsidR="0018265B">
        <w:rPr>
          <w:rFonts w:hint="eastAsia"/>
          <w:szCs w:val="21"/>
          <w:u w:val="single"/>
        </w:rPr>
        <w:t xml:space="preserve">             </w:t>
      </w:r>
    </w:p>
    <w:p w:rsidR="007F21DC">
      <w:pPr>
        <w:adjustRightInd w:val="0"/>
        <w:snapToGrid w:val="0"/>
        <w:ind w:firstLine="420" w:firstLineChars="200"/>
        <w:rPr>
          <w:rFonts w:ascii="宋体" w:hAnsi="宋体"/>
          <w:b/>
          <w:szCs w:val="28"/>
        </w:rPr>
      </w:pPr>
      <w:r w:rsidR="0018265B">
        <w:rPr>
          <w:rFonts w:hint="eastAsia"/>
          <w:szCs w:val="21"/>
        </w:rPr>
        <w:t>二、</w:t>
      </w:r>
      <w:r w:rsidR="0018265B">
        <w:rPr>
          <w:rFonts w:ascii="宋体" w:hAnsi="宋体" w:hint="eastAsia"/>
          <w:b/>
          <w:szCs w:val="28"/>
        </w:rPr>
        <w:t>合同标的</w:t>
      </w:r>
    </w:p>
    <w:p w:rsidR="007F21DC">
      <w:pPr>
        <w:adjustRightInd w:val="0"/>
        <w:snapToGrid w:val="0"/>
        <w:ind w:firstLine="420" w:firstLineChars="200"/>
        <w:rPr>
          <w:rFonts w:ascii="宋体" w:hAnsi="宋体"/>
          <w:szCs w:val="21"/>
        </w:rPr>
      </w:pPr>
      <w:r w:rsidR="0018265B">
        <w:rPr>
          <w:rFonts w:ascii="宋体" w:hAnsi="宋体"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8"/>
        <w:gridCol w:w="2619"/>
        <w:gridCol w:w="850"/>
        <w:gridCol w:w="1276"/>
        <w:gridCol w:w="1368"/>
        <w:gridCol w:w="1358"/>
      </w:tblGrid>
      <w:tr w:rsidTr="0006125E">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483"/>
          <w:jc w:val="center"/>
        </w:trPr>
        <w:tc>
          <w:tcPr>
            <w:tcW w:w="818" w:type="dxa"/>
            <w:vAlign w:val="center"/>
          </w:tcPr>
          <w:p w:rsidR="007F21DC" w:rsidRPr="00C23A89" w:rsidP="0006125E">
            <w:pPr>
              <w:tabs>
                <w:tab w:val="left" w:pos="1573"/>
              </w:tabs>
              <w:autoSpaceDE w:val="0"/>
              <w:autoSpaceDN w:val="0"/>
              <w:adjustRightInd w:val="0"/>
              <w:snapToGrid w:val="0"/>
              <w:rPr>
                <w:szCs w:val="21"/>
              </w:rPr>
            </w:pPr>
            <w:r w:rsidRPr="00C23A89" w:rsidR="0018265B">
              <w:rPr>
                <w:rFonts w:ascii="宋体" w:hAnsi="宋体" w:hint="eastAsia"/>
                <w:szCs w:val="21"/>
              </w:rPr>
              <w:t>序号</w:t>
            </w:r>
          </w:p>
        </w:tc>
        <w:tc>
          <w:tcPr>
            <w:tcW w:w="2619" w:type="dxa"/>
            <w:vAlign w:val="center"/>
          </w:tcPr>
          <w:p w:rsidR="007F21DC" w:rsidRPr="00C23A89" w:rsidP="0006125E">
            <w:pPr>
              <w:tabs>
                <w:tab w:val="left" w:pos="1573"/>
              </w:tabs>
              <w:autoSpaceDE w:val="0"/>
              <w:autoSpaceDN w:val="0"/>
              <w:adjustRightInd w:val="0"/>
              <w:snapToGrid w:val="0"/>
              <w:jc w:val="center"/>
              <w:rPr>
                <w:szCs w:val="21"/>
              </w:rPr>
            </w:pPr>
            <w:r w:rsidRPr="00C23A89" w:rsidR="0018265B">
              <w:rPr>
                <w:rFonts w:ascii="宋体" w:hAnsi="宋体" w:hint="eastAsia"/>
                <w:szCs w:val="21"/>
              </w:rPr>
              <w:t>服务产品名称</w:t>
            </w:r>
          </w:p>
        </w:tc>
        <w:tc>
          <w:tcPr>
            <w:tcW w:w="850" w:type="dxa"/>
            <w:vAlign w:val="center"/>
          </w:tcPr>
          <w:p w:rsidR="007F21DC" w:rsidRPr="00C23A89" w:rsidP="0006125E">
            <w:pPr>
              <w:tabs>
                <w:tab w:val="left" w:pos="1573"/>
              </w:tabs>
              <w:autoSpaceDE w:val="0"/>
              <w:autoSpaceDN w:val="0"/>
              <w:adjustRightInd w:val="0"/>
              <w:snapToGrid w:val="0"/>
              <w:rPr>
                <w:szCs w:val="21"/>
              </w:rPr>
            </w:pPr>
            <w:r w:rsidRPr="00C23A89" w:rsidR="0018265B">
              <w:rPr>
                <w:rFonts w:ascii="宋体" w:hAnsi="宋体" w:hint="eastAsia"/>
                <w:szCs w:val="21"/>
              </w:rPr>
              <w:t>数量</w:t>
            </w:r>
          </w:p>
        </w:tc>
        <w:tc>
          <w:tcPr>
            <w:tcW w:w="1276" w:type="dxa"/>
            <w:vAlign w:val="center"/>
          </w:tcPr>
          <w:p w:rsidR="007F21DC" w:rsidRPr="00C23A89" w:rsidP="0006125E">
            <w:pPr>
              <w:tabs>
                <w:tab w:val="left" w:pos="1573"/>
              </w:tabs>
              <w:autoSpaceDE w:val="0"/>
              <w:autoSpaceDN w:val="0"/>
              <w:adjustRightInd w:val="0"/>
              <w:snapToGrid w:val="0"/>
              <w:rPr>
                <w:szCs w:val="21"/>
              </w:rPr>
            </w:pPr>
            <w:r w:rsidRPr="00C23A89" w:rsidR="0018265B">
              <w:rPr>
                <w:rFonts w:ascii="宋体" w:hAnsi="宋体" w:hint="eastAsia"/>
                <w:szCs w:val="21"/>
              </w:rPr>
              <w:t>质量说明</w:t>
            </w:r>
          </w:p>
        </w:tc>
        <w:tc>
          <w:tcPr>
            <w:tcW w:w="1368" w:type="dxa"/>
            <w:vAlign w:val="center"/>
          </w:tcPr>
          <w:p w:rsidR="007F21DC" w:rsidRPr="00C23A89" w:rsidP="0006125E">
            <w:pPr>
              <w:tabs>
                <w:tab w:val="left" w:pos="1573"/>
              </w:tabs>
              <w:autoSpaceDE w:val="0"/>
              <w:autoSpaceDN w:val="0"/>
              <w:adjustRightInd w:val="0"/>
              <w:snapToGrid w:val="0"/>
              <w:rPr>
                <w:szCs w:val="21"/>
              </w:rPr>
            </w:pPr>
            <w:r w:rsidRPr="00C23A89" w:rsidR="0018265B">
              <w:rPr>
                <w:rFonts w:ascii="宋体" w:hAnsi="宋体" w:hint="eastAsia"/>
                <w:szCs w:val="21"/>
              </w:rPr>
              <w:t>价格</w:t>
            </w:r>
          </w:p>
        </w:tc>
        <w:tc>
          <w:tcPr>
            <w:tcW w:w="1358" w:type="dxa"/>
            <w:vAlign w:val="center"/>
          </w:tcPr>
          <w:p w:rsidR="007F21DC" w:rsidRPr="00C23A89" w:rsidP="0006125E">
            <w:pPr>
              <w:tabs>
                <w:tab w:val="left" w:pos="1573"/>
              </w:tabs>
              <w:autoSpaceDE w:val="0"/>
              <w:autoSpaceDN w:val="0"/>
              <w:adjustRightInd w:val="0"/>
              <w:snapToGrid w:val="0"/>
              <w:rPr>
                <w:rFonts w:ascii="宋体" w:hAnsi="宋体"/>
                <w:szCs w:val="21"/>
              </w:rPr>
            </w:pPr>
            <w:r w:rsidRPr="00C23A89" w:rsidR="0018265B">
              <w:rPr>
                <w:rFonts w:ascii="宋体" w:hAnsi="宋体" w:hint="eastAsia"/>
                <w:szCs w:val="21"/>
              </w:rPr>
              <w:t>交付时间</w:t>
            </w:r>
          </w:p>
        </w:tc>
      </w:tr>
      <w:tr w:rsidTr="0006125E">
        <w:tblPrEx>
          <w:tblW w:w="0" w:type="auto"/>
          <w:jc w:val="center"/>
          <w:tblLayout w:type="fixed"/>
          <w:tblLook w:val="04A0"/>
        </w:tblPrEx>
        <w:trPr>
          <w:trHeight w:val="1450"/>
          <w:jc w:val="center"/>
        </w:trPr>
        <w:tc>
          <w:tcPr>
            <w:tcW w:w="818" w:type="dxa"/>
            <w:vAlign w:val="center"/>
          </w:tcPr>
          <w:p w:rsidR="007F21DC" w:rsidRPr="00C23A89" w:rsidP="0006125E">
            <w:pPr>
              <w:tabs>
                <w:tab w:val="left" w:pos="1573"/>
              </w:tabs>
              <w:autoSpaceDE w:val="0"/>
              <w:autoSpaceDN w:val="0"/>
              <w:adjustRightInd w:val="0"/>
              <w:snapToGrid w:val="0"/>
              <w:rPr>
                <w:rFonts w:ascii="宋体" w:hAnsi="宋体"/>
                <w:szCs w:val="21"/>
              </w:rPr>
            </w:pPr>
            <w:r w:rsidR="0006125E">
              <w:rPr>
                <w:rFonts w:ascii="宋体" w:hAnsi="宋体" w:hint="eastAsia"/>
                <w:szCs w:val="21"/>
              </w:rPr>
              <w:t>1</w:t>
            </w:r>
          </w:p>
        </w:tc>
        <w:tc>
          <w:tcPr>
            <w:tcW w:w="2619" w:type="dxa"/>
            <w:vAlign w:val="center"/>
          </w:tcPr>
          <w:p w:rsidR="007F21DC" w:rsidRPr="00C23A89" w:rsidP="0006125E">
            <w:pPr>
              <w:tabs>
                <w:tab w:val="left" w:pos="1573"/>
              </w:tabs>
              <w:autoSpaceDE w:val="0"/>
              <w:autoSpaceDN w:val="0"/>
              <w:adjustRightInd w:val="0"/>
              <w:snapToGrid w:val="0"/>
              <w:rPr>
                <w:rFonts w:ascii="宋体" w:hAnsi="宋体"/>
                <w:szCs w:val="21"/>
              </w:rPr>
            </w:pPr>
            <w:r w:rsidRPr="000B3013" w:rsidR="000B3013">
              <w:rPr>
                <w:rFonts w:ascii="宋体" w:hAnsi="宋体" w:hint="eastAsia"/>
                <w:szCs w:val="21"/>
              </w:rPr>
              <w:t>智能化气象数据服务能力建设</w:t>
            </w:r>
          </w:p>
        </w:tc>
        <w:tc>
          <w:tcPr>
            <w:tcW w:w="850" w:type="dxa"/>
            <w:vAlign w:val="center"/>
          </w:tcPr>
          <w:p w:rsidR="007F21DC" w:rsidRPr="00C23A89" w:rsidP="0006125E">
            <w:pPr>
              <w:tabs>
                <w:tab w:val="left" w:pos="1573"/>
              </w:tabs>
              <w:autoSpaceDE w:val="0"/>
              <w:autoSpaceDN w:val="0"/>
              <w:adjustRightInd w:val="0"/>
              <w:snapToGrid w:val="0"/>
              <w:rPr>
                <w:rFonts w:ascii="宋体" w:hAnsi="宋体"/>
                <w:szCs w:val="21"/>
              </w:rPr>
            </w:pPr>
            <w:r w:rsidR="0006125E">
              <w:rPr>
                <w:rFonts w:ascii="宋体" w:hAnsi="宋体" w:hint="eastAsia"/>
                <w:szCs w:val="21"/>
              </w:rPr>
              <w:t>1</w:t>
            </w:r>
          </w:p>
        </w:tc>
        <w:tc>
          <w:tcPr>
            <w:tcW w:w="1276" w:type="dxa"/>
            <w:vAlign w:val="center"/>
          </w:tcPr>
          <w:p w:rsidR="007F21DC" w:rsidRPr="00C23A89" w:rsidP="0006125E">
            <w:pPr>
              <w:tabs>
                <w:tab w:val="left" w:pos="1573"/>
              </w:tabs>
              <w:autoSpaceDE w:val="0"/>
              <w:autoSpaceDN w:val="0"/>
              <w:adjustRightInd w:val="0"/>
              <w:snapToGrid w:val="0"/>
              <w:rPr>
                <w:rFonts w:ascii="宋体" w:hAnsi="宋体"/>
                <w:szCs w:val="21"/>
              </w:rPr>
            </w:pPr>
          </w:p>
        </w:tc>
        <w:tc>
          <w:tcPr>
            <w:tcW w:w="1368" w:type="dxa"/>
            <w:vAlign w:val="center"/>
          </w:tcPr>
          <w:p w:rsidR="007F21DC" w:rsidRPr="00C23A89" w:rsidP="000B3013">
            <w:pPr>
              <w:tabs>
                <w:tab w:val="left" w:pos="1573"/>
              </w:tabs>
              <w:autoSpaceDE w:val="0"/>
              <w:autoSpaceDN w:val="0"/>
              <w:adjustRightInd w:val="0"/>
              <w:snapToGrid w:val="0"/>
              <w:rPr>
                <w:rFonts w:ascii="宋体" w:hAnsi="宋体" w:hint="eastAsia"/>
                <w:szCs w:val="21"/>
              </w:rPr>
            </w:pPr>
            <w:r w:rsidR="00F06979">
              <w:rPr>
                <w:rFonts w:ascii="宋体" w:hAnsi="宋体" w:hint="eastAsia"/>
                <w:szCs w:val="21"/>
              </w:rPr>
              <w:t>1</w:t>
            </w:r>
            <w:r w:rsidR="000B3013">
              <w:rPr>
                <w:rFonts w:ascii="宋体" w:hAnsi="宋体" w:hint="eastAsia"/>
                <w:szCs w:val="21"/>
              </w:rPr>
              <w:t>1</w:t>
            </w:r>
            <w:r w:rsidR="00F06979">
              <w:rPr>
                <w:rFonts w:ascii="宋体" w:hAnsi="宋体" w:hint="eastAsia"/>
                <w:szCs w:val="21"/>
              </w:rPr>
              <w:t>2</w:t>
            </w:r>
            <w:r w:rsidR="0006125E">
              <w:rPr>
                <w:rFonts w:ascii="宋体" w:hAnsi="宋体" w:hint="eastAsia"/>
                <w:szCs w:val="21"/>
              </w:rPr>
              <w:t>万元</w:t>
            </w:r>
          </w:p>
        </w:tc>
        <w:tc>
          <w:tcPr>
            <w:tcW w:w="1358" w:type="dxa"/>
            <w:vAlign w:val="center"/>
          </w:tcPr>
          <w:p w:rsidR="007F21DC" w:rsidRPr="00C23A89" w:rsidP="0006125E">
            <w:pPr>
              <w:tabs>
                <w:tab w:val="left" w:pos="1573"/>
              </w:tabs>
              <w:autoSpaceDE w:val="0"/>
              <w:autoSpaceDN w:val="0"/>
              <w:adjustRightInd w:val="0"/>
              <w:snapToGrid w:val="0"/>
              <w:rPr>
                <w:rFonts w:ascii="宋体" w:hAnsi="宋体" w:hint="eastAsia"/>
                <w:szCs w:val="21"/>
              </w:rPr>
            </w:pPr>
            <w:r w:rsidR="0006125E">
              <w:rPr>
                <w:rFonts w:ascii="宋体" w:hAnsi="宋体" w:hint="eastAsia"/>
                <w:szCs w:val="21"/>
              </w:rPr>
              <w:t>合同签订后12个月内完成项目终验</w:t>
            </w:r>
          </w:p>
        </w:tc>
      </w:tr>
    </w:tbl>
    <w:p w:rsidR="007F21DC" w:rsidP="00C23A89">
      <w:pPr>
        <w:tabs>
          <w:tab w:val="left" w:pos="1573"/>
        </w:tabs>
        <w:adjustRightInd w:val="0"/>
        <w:snapToGrid w:val="0"/>
        <w:ind w:firstLine="420" w:firstLineChars="200"/>
        <w:jc w:val="left"/>
        <w:rPr>
          <w:rFonts w:ascii="宋体" w:hAnsi="宋体"/>
          <w:b/>
          <w:szCs w:val="28"/>
        </w:rPr>
      </w:pPr>
      <w:r w:rsidR="0018265B">
        <w:rPr>
          <w:rFonts w:ascii="宋体" w:hAnsi="宋体" w:hint="eastAsia"/>
          <w:b/>
          <w:szCs w:val="28"/>
        </w:rPr>
        <w:t>三</w:t>
      </w:r>
      <w:r w:rsidR="0018265B">
        <w:rPr>
          <w:rFonts w:hAnsi="宋体" w:hint="eastAsia"/>
          <w:b/>
        </w:rPr>
        <w:t>、合同价格及</w:t>
      </w:r>
      <w:r w:rsidR="0018265B">
        <w:rPr>
          <w:rFonts w:ascii="宋体" w:hAnsi="宋体" w:hint="eastAsia"/>
          <w:b/>
          <w:szCs w:val="28"/>
        </w:rPr>
        <w:t>付款方式</w:t>
      </w:r>
    </w:p>
    <w:p w:rsidR="00D75874" w:rsidP="00D75874">
      <w:pPr>
        <w:snapToGrid w:val="0"/>
        <w:ind w:firstLine="420" w:firstLineChars="200"/>
        <w:rPr>
          <w:rFonts w:ascii="宋体" w:hAnsi="宋体"/>
          <w:szCs w:val="21"/>
        </w:rPr>
      </w:pPr>
      <w:r>
        <w:rPr>
          <w:rFonts w:ascii="宋体" w:hAnsi="宋体" w:hint="eastAsia"/>
          <w:szCs w:val="21"/>
        </w:rPr>
        <w:t>根据上述合同文件要求，合同的总金额为人民币：___________元 (大写)，___________元（小写），分项价格详见合同货物清单（附件一）。</w:t>
      </w:r>
    </w:p>
    <w:p w:rsidR="00D75874" w:rsidRPr="00FB4D32" w:rsidP="00D75874">
      <w:pPr>
        <w:snapToGrid w:val="0"/>
        <w:ind w:firstLine="420" w:firstLineChars="200"/>
        <w:rPr>
          <w:rFonts w:ascii="宋体" w:hAnsi="宋体"/>
          <w:szCs w:val="21"/>
        </w:rPr>
      </w:pPr>
      <w:bookmarkStart w:id="96" w:name="OLE_LINK47"/>
      <w:r>
        <w:rPr>
          <w:rFonts w:ascii="宋体" w:hAnsi="宋体" w:hint="eastAsia"/>
          <w:szCs w:val="21"/>
        </w:rPr>
        <w:t>签订本</w:t>
      </w:r>
      <w:r w:rsidRPr="00FB4D32">
        <w:rPr>
          <w:rFonts w:ascii="宋体" w:hAnsi="宋体"/>
          <w:szCs w:val="21"/>
        </w:rPr>
        <w:t>合同后</w:t>
      </w:r>
      <w:r w:rsidRPr="00FB4D32">
        <w:rPr>
          <w:rFonts w:ascii="宋体" w:hAnsi="宋体"/>
          <w:szCs w:val="21"/>
          <w:u w:val="single"/>
        </w:rPr>
        <w:t>10</w:t>
      </w:r>
      <w:r w:rsidRPr="00FB4D32">
        <w:rPr>
          <w:rFonts w:ascii="宋体" w:hAnsi="宋体" w:hint="eastAsia"/>
          <w:szCs w:val="21"/>
        </w:rPr>
        <w:t>个工作日内，乙方向甲方提供</w:t>
      </w:r>
      <w:bookmarkStart w:id="97" w:name="OLE_LINK29"/>
      <w:bookmarkStart w:id="98" w:name="OLE_LINK30"/>
      <w:r>
        <w:rPr>
          <w:rFonts w:ascii="宋体" w:hAnsi="宋体" w:hint="eastAsia"/>
          <w:szCs w:val="21"/>
        </w:rPr>
        <w:t>合同总金额</w:t>
      </w:r>
      <w:r>
        <w:rPr>
          <w:rFonts w:ascii="宋体" w:hAnsi="宋体"/>
          <w:szCs w:val="21"/>
          <w:u w:val="single"/>
        </w:rPr>
        <w:t>50%</w:t>
      </w:r>
      <w:r w:rsidRPr="00FB4D32">
        <w:rPr>
          <w:rFonts w:ascii="宋体" w:hAnsi="宋体" w:hint="eastAsia"/>
          <w:szCs w:val="21"/>
        </w:rPr>
        <w:t>的预付款保函</w:t>
      </w:r>
      <w:bookmarkEnd w:id="97"/>
      <w:bookmarkEnd w:id="98"/>
      <w:r w:rsidRPr="00FB4D32">
        <w:rPr>
          <w:rFonts w:ascii="宋体" w:hAnsi="宋体" w:hint="eastAsia"/>
          <w:szCs w:val="21"/>
        </w:rPr>
        <w:t>，</w:t>
      </w:r>
      <w:r>
        <w:rPr>
          <w:rFonts w:ascii="宋体" w:hAnsi="宋体" w:hint="eastAsia"/>
          <w:szCs w:val="21"/>
        </w:rPr>
        <w:t>即</w:t>
      </w:r>
      <w:r w:rsidRPr="00FB4D32">
        <w:rPr>
          <w:rFonts w:ascii="宋体" w:hAnsi="宋体" w:hint="eastAsia"/>
          <w:szCs w:val="21"/>
        </w:rPr>
        <w:t>人民币</w:t>
      </w:r>
      <w:r w:rsidRPr="00FB4D32">
        <w:rPr>
          <w:rFonts w:ascii="宋体" w:hAnsi="宋体"/>
          <w:szCs w:val="21"/>
          <w:u w:val="single"/>
        </w:rPr>
        <w:t xml:space="preserve">        </w:t>
      </w:r>
      <w:r w:rsidRPr="00FB4D32">
        <w:rPr>
          <w:rFonts w:ascii="宋体" w:hAnsi="宋体"/>
          <w:szCs w:val="21"/>
        </w:rPr>
        <w:t>(大写)，</w:t>
      </w:r>
      <w:r w:rsidRPr="00FB4D32">
        <w:rPr>
          <w:rFonts w:ascii="宋体" w:hAnsi="宋体"/>
          <w:szCs w:val="21"/>
          <w:u w:val="single"/>
        </w:rPr>
        <w:t xml:space="preserve">        </w:t>
      </w:r>
      <w:r w:rsidRPr="00FB4D32">
        <w:rPr>
          <w:rFonts w:ascii="宋体" w:hAnsi="宋体" w:hint="eastAsia"/>
          <w:szCs w:val="21"/>
        </w:rPr>
        <w:t>元</w:t>
      </w:r>
      <w:r w:rsidRPr="00FB4D32">
        <w:rPr>
          <w:rFonts w:ascii="宋体" w:hAnsi="宋体"/>
          <w:szCs w:val="21"/>
        </w:rPr>
        <w:t>(小写)，</w:t>
      </w:r>
      <w:bookmarkStart w:id="99" w:name="OLE_LINK13"/>
      <w:bookmarkStart w:id="100" w:name="OLE_LINK14"/>
      <w:r w:rsidRPr="00FB4D32">
        <w:rPr>
          <w:rFonts w:ascii="宋体" w:hAnsi="宋体" w:hint="eastAsia"/>
          <w:szCs w:val="21"/>
        </w:rPr>
        <w:t>有效期截止</w:t>
      </w:r>
      <w:r w:rsidRPr="00FB4D32">
        <w:rPr>
          <w:rFonts w:ascii="宋体" w:hAnsi="宋体"/>
          <w:szCs w:val="21"/>
          <w:u w:val="single"/>
        </w:rPr>
        <w:t xml:space="preserve">_  </w:t>
      </w:r>
      <w:r w:rsidRPr="00FB4D32">
        <w:rPr>
          <w:rFonts w:ascii="宋体" w:hAnsi="宋体"/>
          <w:szCs w:val="21"/>
        </w:rPr>
        <w:t>_年_</w:t>
      </w:r>
      <w:r w:rsidRPr="00FB4D32">
        <w:rPr>
          <w:rFonts w:ascii="宋体" w:hAnsi="宋体"/>
          <w:szCs w:val="21"/>
          <w:u w:val="single"/>
        </w:rPr>
        <w:t xml:space="preserve">  </w:t>
      </w:r>
      <w:r w:rsidRPr="00FB4D32">
        <w:rPr>
          <w:rFonts w:ascii="宋体" w:hAnsi="宋体"/>
          <w:szCs w:val="21"/>
        </w:rPr>
        <w:t>_月_</w:t>
      </w:r>
      <w:r w:rsidRPr="00FB4D32">
        <w:rPr>
          <w:rFonts w:ascii="宋体" w:hAnsi="宋体"/>
          <w:szCs w:val="21"/>
          <w:u w:val="single"/>
        </w:rPr>
        <w:t xml:space="preserve">   </w:t>
      </w:r>
      <w:r w:rsidRPr="00FB4D32">
        <w:rPr>
          <w:rFonts w:ascii="宋体" w:hAnsi="宋体" w:hint="eastAsia"/>
          <w:szCs w:val="21"/>
        </w:rPr>
        <w:t>日。</w:t>
      </w:r>
      <w:bookmarkEnd w:id="99"/>
      <w:bookmarkEnd w:id="100"/>
      <w:r w:rsidRPr="00FB4D32">
        <w:rPr>
          <w:rFonts w:ascii="宋体" w:hAnsi="宋体" w:hint="eastAsia"/>
          <w:szCs w:val="21"/>
        </w:rPr>
        <w:t>甲方收到上述预付款保函后</w:t>
      </w:r>
      <w:r w:rsidRPr="00FB4D32">
        <w:rPr>
          <w:rFonts w:ascii="宋体" w:hAnsi="宋体"/>
          <w:szCs w:val="21"/>
          <w:u w:val="single"/>
        </w:rPr>
        <w:t>10</w:t>
      </w:r>
      <w:r w:rsidRPr="00FB4D32">
        <w:rPr>
          <w:rFonts w:ascii="宋体" w:hAnsi="宋体" w:hint="eastAsia"/>
          <w:szCs w:val="21"/>
        </w:rPr>
        <w:t>个工作日内向乙方支付合同总金额的</w:t>
      </w:r>
      <w:r w:rsidRPr="00FB4D32">
        <w:rPr>
          <w:rFonts w:ascii="宋体" w:hAnsi="宋体"/>
          <w:szCs w:val="21"/>
          <w:u w:val="single"/>
        </w:rPr>
        <w:t>90%</w:t>
      </w:r>
      <w:r w:rsidRPr="00FB4D32">
        <w:rPr>
          <w:rFonts w:ascii="宋体" w:hAnsi="宋体" w:hint="eastAsia"/>
          <w:szCs w:val="21"/>
        </w:rPr>
        <w:t>，即人民币</w:t>
      </w:r>
      <w:r w:rsidRPr="00FB4D32">
        <w:rPr>
          <w:rFonts w:ascii="宋体" w:hAnsi="宋体"/>
          <w:szCs w:val="21"/>
          <w:u w:val="single"/>
        </w:rPr>
        <w:t xml:space="preserve"> </w:t>
      </w:r>
      <w:r>
        <w:rPr>
          <w:rFonts w:ascii="宋体" w:hAnsi="宋体" w:hint="eastAsia"/>
          <w:szCs w:val="21"/>
          <w:u w:val="single"/>
        </w:rPr>
        <w:t xml:space="preserve">    </w:t>
      </w:r>
      <w:r w:rsidRPr="00FB4D32">
        <w:rPr>
          <w:rFonts w:ascii="宋体" w:hAnsi="宋体"/>
          <w:szCs w:val="21"/>
        </w:rPr>
        <w:t>(大写),</w:t>
      </w:r>
      <w:r w:rsidRPr="00FB4D32">
        <w:rPr>
          <w:rFonts w:ascii="宋体" w:hAnsi="宋体"/>
          <w:szCs w:val="21"/>
          <w:u w:val="single"/>
        </w:rPr>
        <w:t xml:space="preserve">          </w:t>
      </w:r>
      <w:r w:rsidRPr="00FB4D32">
        <w:rPr>
          <w:rFonts w:ascii="宋体" w:hAnsi="宋体" w:hint="eastAsia"/>
          <w:szCs w:val="21"/>
        </w:rPr>
        <w:t>元</w:t>
      </w:r>
      <w:r w:rsidRPr="00FB4D32">
        <w:rPr>
          <w:rFonts w:ascii="宋体" w:hAnsi="宋体"/>
          <w:szCs w:val="21"/>
        </w:rPr>
        <w:t>(小写)。</w:t>
      </w:r>
    </w:p>
    <w:p w:rsidR="00D75874" w:rsidRPr="00FB4D32" w:rsidP="00D75874">
      <w:pPr>
        <w:ind w:firstLine="420" w:firstLineChars="200"/>
        <w:jc w:val="left"/>
        <w:rPr>
          <w:rFonts w:ascii="Times New Roman" w:hAnsi="Times New Roman"/>
          <w:szCs w:val="21"/>
        </w:rPr>
      </w:pPr>
      <w:bookmarkStart w:id="101" w:name="OLE_LINK11"/>
      <w:bookmarkStart w:id="102" w:name="OLE_LINK12"/>
      <w:r w:rsidRPr="00FB4D32">
        <w:rPr>
          <w:rFonts w:ascii="宋体" w:hAnsi="宋体" w:hint="eastAsia"/>
          <w:szCs w:val="21"/>
        </w:rPr>
        <w:t>项目</w:t>
      </w:r>
      <w:r>
        <w:rPr>
          <w:rFonts w:ascii="宋体" w:hAnsi="宋体" w:hint="eastAsia"/>
          <w:szCs w:val="21"/>
        </w:rPr>
        <w:t>初</w:t>
      </w:r>
      <w:r w:rsidRPr="00FB4D32">
        <w:rPr>
          <w:rFonts w:ascii="宋体" w:hAnsi="宋体" w:hint="eastAsia"/>
          <w:szCs w:val="21"/>
        </w:rPr>
        <w:t>验合格且收到</w:t>
      </w:r>
      <w:r>
        <w:rPr>
          <w:rFonts w:ascii="宋体" w:hAnsi="宋体" w:hint="eastAsia"/>
          <w:szCs w:val="21"/>
        </w:rPr>
        <w:t>初</w:t>
      </w:r>
      <w:r w:rsidRPr="00FB4D32">
        <w:rPr>
          <w:rFonts w:ascii="宋体" w:hAnsi="宋体" w:hint="eastAsia"/>
          <w:szCs w:val="21"/>
        </w:rPr>
        <w:t>验合格证明后</w:t>
      </w:r>
      <w:r w:rsidRPr="00FB4D32">
        <w:rPr>
          <w:rFonts w:ascii="宋体" w:hAnsi="宋体"/>
          <w:szCs w:val="21"/>
          <w:u w:val="single"/>
        </w:rPr>
        <w:t>10</w:t>
      </w:r>
      <w:r w:rsidRPr="00FB4D32">
        <w:rPr>
          <w:rFonts w:ascii="宋体" w:hAnsi="宋体" w:hint="eastAsia"/>
          <w:szCs w:val="21"/>
        </w:rPr>
        <w:t>个工作日内</w:t>
      </w:r>
      <w:bookmarkEnd w:id="101"/>
      <w:bookmarkEnd w:id="102"/>
      <w:r w:rsidRPr="00FB4D32">
        <w:rPr>
          <w:rFonts w:ascii="宋体" w:hAnsi="宋体" w:hint="eastAsia"/>
          <w:szCs w:val="21"/>
        </w:rPr>
        <w:t>，</w:t>
      </w:r>
      <w:bookmarkStart w:id="103" w:name="OLE_LINK25"/>
      <w:bookmarkStart w:id="104" w:name="OLE_LINK26"/>
      <w:r>
        <w:rPr>
          <w:rFonts w:hint="eastAsia"/>
          <w:szCs w:val="21"/>
        </w:rPr>
        <w:t>甲方退还乙方该预付款保函。</w:t>
      </w:r>
      <w:bookmarkEnd w:id="103"/>
      <w:bookmarkEnd w:id="104"/>
      <w:r>
        <w:rPr>
          <w:rFonts w:hint="eastAsia"/>
          <w:szCs w:val="21"/>
        </w:rPr>
        <w:t>同时，乙方向甲方提供合同总金额</w:t>
      </w:r>
      <w:r>
        <w:rPr>
          <w:rFonts w:hint="eastAsia"/>
          <w:szCs w:val="21"/>
          <w:u w:val="single"/>
        </w:rPr>
        <w:t>10%</w:t>
      </w:r>
      <w:r>
        <w:rPr>
          <w:rFonts w:hint="eastAsia"/>
          <w:szCs w:val="21"/>
        </w:rPr>
        <w:t>的履约保函，即人民币</w:t>
      </w:r>
      <w:r>
        <w:rPr>
          <w:rFonts w:hint="eastAsia"/>
          <w:szCs w:val="21"/>
          <w:u w:val="single"/>
        </w:rPr>
        <w:t xml:space="preserve">         </w:t>
      </w:r>
      <w:r>
        <w:rPr>
          <w:rFonts w:hint="eastAsia"/>
          <w:szCs w:val="21"/>
        </w:rPr>
        <w:t>元（大写）：</w:t>
      </w:r>
      <w:r>
        <w:rPr>
          <w:rFonts w:hint="eastAsia"/>
          <w:szCs w:val="21"/>
          <w:u w:val="single"/>
        </w:rPr>
        <w:t xml:space="preserve">          </w:t>
      </w:r>
      <w:r>
        <w:rPr>
          <w:rFonts w:hint="eastAsia"/>
          <w:szCs w:val="21"/>
        </w:rPr>
        <w:t>元（小写），</w:t>
      </w:r>
      <w:r>
        <w:rPr>
          <w:rFonts w:ascii="宋体" w:hAnsi="宋体" w:hint="eastAsia"/>
          <w:szCs w:val="21"/>
        </w:rPr>
        <w:t>有效期截止</w:t>
      </w:r>
      <w:r>
        <w:rPr>
          <w:rFonts w:ascii="宋体" w:hAnsi="宋体" w:hint="eastAsia"/>
          <w:szCs w:val="21"/>
          <w:u w:val="single"/>
        </w:rPr>
        <w:t xml:space="preserve">_  </w:t>
      </w:r>
      <w:r>
        <w:rPr>
          <w:rFonts w:ascii="宋体" w:hAnsi="宋体" w:hint="eastAsia"/>
          <w:szCs w:val="21"/>
        </w:rPr>
        <w:t>_年_</w:t>
      </w:r>
      <w:r>
        <w:rPr>
          <w:rFonts w:ascii="宋体" w:hAnsi="宋体" w:hint="eastAsia"/>
          <w:szCs w:val="21"/>
          <w:u w:val="single"/>
        </w:rPr>
        <w:t xml:space="preserve">  </w:t>
      </w:r>
      <w:r>
        <w:rPr>
          <w:rFonts w:ascii="宋体" w:hAnsi="宋体" w:hint="eastAsia"/>
          <w:szCs w:val="21"/>
        </w:rPr>
        <w:t>_月_</w:t>
      </w:r>
      <w:r>
        <w:rPr>
          <w:rFonts w:ascii="宋体" w:hAnsi="宋体" w:hint="eastAsia"/>
          <w:szCs w:val="21"/>
          <w:u w:val="single"/>
        </w:rPr>
        <w:t xml:space="preserve"> </w:t>
      </w:r>
      <w:r>
        <w:rPr>
          <w:rFonts w:ascii="宋体" w:hAnsi="宋体" w:hint="eastAsia"/>
          <w:szCs w:val="21"/>
          <w:u w:val="single"/>
        </w:rPr>
        <w:t xml:space="preserve">  </w:t>
      </w:r>
      <w:r>
        <w:rPr>
          <w:rFonts w:ascii="宋体" w:hAnsi="宋体" w:hint="eastAsia"/>
          <w:szCs w:val="21"/>
        </w:rPr>
        <w:t>日</w:t>
      </w:r>
      <w:r>
        <w:rPr>
          <w:rFonts w:hint="eastAsia"/>
          <w:szCs w:val="21"/>
        </w:rPr>
        <w:t>。甲方收到上述履约保函后</w:t>
      </w:r>
      <w:r>
        <w:rPr>
          <w:rFonts w:hint="eastAsia"/>
          <w:szCs w:val="21"/>
          <w:u w:val="single"/>
        </w:rPr>
        <w:t>10</w:t>
      </w:r>
      <w:r>
        <w:rPr>
          <w:rFonts w:hint="eastAsia"/>
          <w:szCs w:val="21"/>
        </w:rPr>
        <w:t>个工作日内向</w:t>
      </w:r>
      <w:r w:rsidRPr="00D75874">
        <w:rPr>
          <w:rFonts w:ascii="等线" w:hAnsi="等线" w:hint="eastAsia"/>
          <w:szCs w:val="21"/>
        </w:rPr>
        <w:t>乙方支付合同总金额的</w:t>
      </w:r>
      <w:r>
        <w:rPr>
          <w:rFonts w:hint="eastAsia"/>
          <w:szCs w:val="21"/>
          <w:u w:val="single"/>
        </w:rPr>
        <w:t>10</w:t>
      </w:r>
      <w:r w:rsidRPr="00D75874">
        <w:rPr>
          <w:rFonts w:ascii="等线" w:hAnsi="等线" w:hint="eastAsia"/>
          <w:szCs w:val="21"/>
          <w:u w:val="single"/>
        </w:rPr>
        <w:t xml:space="preserve"> %</w:t>
      </w:r>
      <w:r w:rsidRPr="00D75874">
        <w:rPr>
          <w:rFonts w:ascii="等线" w:hAnsi="等线" w:hint="eastAsia"/>
          <w:szCs w:val="21"/>
        </w:rPr>
        <w:t>，即人民币：</w:t>
      </w:r>
      <w:r>
        <w:rPr>
          <w:rFonts w:hint="eastAsia"/>
          <w:szCs w:val="21"/>
          <w:u w:val="single"/>
        </w:rPr>
        <w:t xml:space="preserve">         </w:t>
      </w:r>
      <w:r w:rsidRPr="00D75874">
        <w:rPr>
          <w:rFonts w:ascii="等线" w:hAnsi="等线" w:hint="eastAsia"/>
          <w:szCs w:val="21"/>
        </w:rPr>
        <w:t>元（大写）：</w:t>
      </w:r>
      <w:r>
        <w:rPr>
          <w:rFonts w:hint="eastAsia"/>
          <w:szCs w:val="21"/>
          <w:u w:val="single"/>
        </w:rPr>
        <w:t xml:space="preserve">           </w:t>
      </w:r>
      <w:r w:rsidRPr="00D75874">
        <w:rPr>
          <w:rFonts w:ascii="等线" w:hAnsi="等线" w:hint="eastAsia"/>
          <w:szCs w:val="21"/>
        </w:rPr>
        <w:t>元（小写）；</w:t>
      </w:r>
    </w:p>
    <w:p w:rsidR="00D75874" w:rsidP="00D75874">
      <w:pPr>
        <w:snapToGrid w:val="0"/>
        <w:ind w:firstLine="420" w:firstLineChars="200"/>
        <w:rPr>
          <w:rFonts w:ascii="宋体" w:hAnsi="宋体"/>
          <w:szCs w:val="21"/>
        </w:rPr>
      </w:pPr>
      <w:r>
        <w:rPr>
          <w:rFonts w:ascii="宋体" w:hAnsi="宋体"/>
          <w:szCs w:val="21"/>
        </w:rPr>
        <w:t>项目</w:t>
      </w:r>
      <w:bookmarkStart w:id="105" w:name="OLE_LINK8"/>
      <w:bookmarkStart w:id="106" w:name="OLE_LINK7"/>
      <w:r>
        <w:rPr>
          <w:rFonts w:ascii="宋体" w:hAnsi="宋体" w:hint="eastAsia"/>
          <w:szCs w:val="21"/>
        </w:rPr>
        <w:t>终验</w:t>
      </w:r>
      <w:bookmarkEnd w:id="105"/>
      <w:bookmarkEnd w:id="106"/>
      <w:r>
        <w:rPr>
          <w:rFonts w:ascii="宋体" w:hAnsi="宋体"/>
          <w:szCs w:val="21"/>
        </w:rPr>
        <w:t>合格且收到</w:t>
      </w:r>
      <w:r>
        <w:rPr>
          <w:rFonts w:ascii="宋体" w:hAnsi="宋体" w:hint="eastAsia"/>
          <w:szCs w:val="21"/>
        </w:rPr>
        <w:t>终验</w:t>
      </w:r>
      <w:r>
        <w:rPr>
          <w:rFonts w:ascii="宋体" w:hAnsi="宋体"/>
          <w:szCs w:val="21"/>
        </w:rPr>
        <w:t>合格证明</w:t>
      </w:r>
      <w:r>
        <w:rPr>
          <w:rFonts w:ascii="宋体" w:hAnsi="宋体"/>
          <w:szCs w:val="21"/>
          <w:u w:val="single"/>
        </w:rPr>
        <w:t>10</w:t>
      </w:r>
      <w:r>
        <w:rPr>
          <w:rFonts w:ascii="宋体" w:hAnsi="宋体" w:hint="eastAsia"/>
          <w:szCs w:val="21"/>
        </w:rPr>
        <w:t>个工作日内，</w:t>
      </w:r>
      <w:bookmarkStart w:id="107" w:name="OLE_LINK38"/>
      <w:bookmarkStart w:id="108" w:name="OLE_LINK37"/>
      <w:r>
        <w:rPr>
          <w:rFonts w:ascii="宋体" w:hAnsi="宋体" w:hint="eastAsia"/>
          <w:szCs w:val="21"/>
        </w:rPr>
        <w:t>甲方向乙方退还该履约保函。</w:t>
      </w:r>
      <w:bookmarkEnd w:id="107"/>
      <w:bookmarkEnd w:id="108"/>
    </w:p>
    <w:p w:rsidR="00D75874" w:rsidP="00D75874">
      <w:pPr>
        <w:snapToGrid w:val="0"/>
        <w:ind w:firstLine="420" w:firstLineChars="200"/>
        <w:rPr>
          <w:rFonts w:ascii="宋体" w:hAnsi="宋体"/>
          <w:szCs w:val="21"/>
        </w:rPr>
      </w:pPr>
      <w:r w:rsidRPr="00FB4D32">
        <w:rPr>
          <w:rFonts w:ascii="宋体" w:hAnsi="宋体"/>
          <w:szCs w:val="21"/>
        </w:rPr>
        <w:t>上述付款条件满足，但项目资金未完全下达，则付款时间延后为资金下达后</w:t>
      </w:r>
      <w:r w:rsidRPr="00FB4D32">
        <w:rPr>
          <w:rFonts w:ascii="宋体" w:hAnsi="宋体"/>
          <w:szCs w:val="21"/>
          <w:u w:val="single"/>
        </w:rPr>
        <w:t>15</w:t>
      </w:r>
      <w:r w:rsidRPr="00FB4D32">
        <w:rPr>
          <w:rFonts w:ascii="宋体" w:hAnsi="宋体" w:hint="eastAsia"/>
          <w:szCs w:val="21"/>
        </w:rPr>
        <w:t>个工作日内。</w:t>
      </w:r>
    </w:p>
    <w:p w:rsidR="007F21DC" w:rsidRPr="00D75874">
      <w:pPr>
        <w:tabs>
          <w:tab w:val="left" w:pos="1573"/>
        </w:tabs>
        <w:adjustRightInd w:val="0"/>
        <w:snapToGrid w:val="0"/>
        <w:ind w:firstLine="420" w:firstLineChars="200"/>
        <w:jc w:val="left"/>
        <w:rPr>
          <w:rFonts w:ascii="微软雅黑" w:hAnsi="微软雅黑"/>
          <w:color w:val="0000FF"/>
        </w:rPr>
      </w:pPr>
      <w:bookmarkEnd w:id="96"/>
    </w:p>
    <w:p w:rsidR="007F21DC" w:rsidP="00C23A89">
      <w:pPr>
        <w:tabs>
          <w:tab w:val="left" w:pos="1573"/>
        </w:tabs>
        <w:adjustRightInd w:val="0"/>
        <w:snapToGrid w:val="0"/>
        <w:ind w:firstLine="412" w:firstLineChars="196"/>
        <w:jc w:val="left"/>
        <w:rPr>
          <w:rFonts w:ascii="宋体" w:hAnsi="宋体"/>
          <w:b/>
          <w:szCs w:val="28"/>
        </w:rPr>
      </w:pPr>
      <w:r w:rsidR="0018265B">
        <w:rPr>
          <w:rFonts w:ascii="宋体" w:hAnsi="宋体" w:hint="eastAsia"/>
          <w:b/>
          <w:szCs w:val="28"/>
        </w:rPr>
        <w:t>四、甲方应向乙方提供的资料</w:t>
      </w:r>
    </w:p>
    <w:p w:rsidR="007F21DC" w:rsidP="00C23A89">
      <w:pPr>
        <w:tabs>
          <w:tab w:val="left" w:pos="1573"/>
        </w:tabs>
        <w:adjustRightInd w:val="0"/>
        <w:snapToGrid w:val="0"/>
        <w:ind w:firstLine="412" w:firstLineChars="196"/>
        <w:jc w:val="left"/>
        <w:rPr>
          <w:rFonts w:ascii="宋体" w:hAnsi="宋体"/>
          <w:szCs w:val="28"/>
        </w:rPr>
      </w:pPr>
      <w:r w:rsidR="0018265B">
        <w:rPr>
          <w:rFonts w:ascii="宋体" w:hAnsi="宋体" w:hint="eastAsia"/>
          <w:szCs w:val="28"/>
        </w:rPr>
        <w:t>甲方提供该乙方履行合同所需的资料清单如下：</w:t>
      </w:r>
      <w:r w:rsidR="00D75874">
        <w:rPr>
          <w:rFonts w:ascii="宋体" w:hAnsi="宋体"/>
          <w:szCs w:val="21"/>
          <w:u w:val="single"/>
        </w:rPr>
        <w:t>需求分析报</w:t>
      </w:r>
      <w:r w:rsidR="00D75874">
        <w:rPr>
          <w:rFonts w:ascii="宋体" w:hAnsi="宋体" w:hint="eastAsia"/>
          <w:szCs w:val="21"/>
          <w:u w:val="single"/>
        </w:rPr>
        <w:t>告，概要设计报告，详细设计报告，技术规格说明书，技术开发文档（含源代码），测试报告，验收文档，使用操作说明手册，安装维护手册 （根据具体项目罗列）</w:t>
      </w:r>
    </w:p>
    <w:p w:rsidR="007F21DC" w:rsidP="00C23A89">
      <w:pPr>
        <w:tabs>
          <w:tab w:val="left" w:pos="1573"/>
        </w:tabs>
        <w:adjustRightInd w:val="0"/>
        <w:snapToGrid w:val="0"/>
        <w:ind w:firstLine="412" w:firstLineChars="196"/>
        <w:jc w:val="left"/>
        <w:rPr>
          <w:rFonts w:ascii="宋体" w:hAnsi="宋体"/>
          <w:szCs w:val="28"/>
        </w:rPr>
      </w:pPr>
    </w:p>
    <w:p w:rsidR="007F21DC" w:rsidP="00C23A89">
      <w:pPr>
        <w:tabs>
          <w:tab w:val="left" w:pos="1573"/>
        </w:tabs>
        <w:adjustRightInd w:val="0"/>
        <w:snapToGrid w:val="0"/>
        <w:ind w:firstLine="412" w:firstLineChars="196"/>
        <w:jc w:val="left"/>
        <w:rPr>
          <w:rFonts w:ascii="宋体" w:hAnsi="宋体"/>
          <w:b/>
          <w:szCs w:val="28"/>
        </w:rPr>
      </w:pPr>
      <w:r w:rsidR="0018265B">
        <w:rPr>
          <w:rFonts w:ascii="宋体" w:hAnsi="宋体" w:hint="eastAsia"/>
          <w:b/>
          <w:szCs w:val="28"/>
        </w:rPr>
        <w:t>五、进度要求及交付</w:t>
      </w:r>
    </w:p>
    <w:p w:rsidR="007F21DC">
      <w:pPr>
        <w:tabs>
          <w:tab w:val="left" w:pos="1573"/>
        </w:tabs>
        <w:adjustRightInd w:val="0"/>
        <w:snapToGrid w:val="0"/>
        <w:ind w:firstLine="420" w:firstLineChars="200"/>
        <w:jc w:val="left"/>
        <w:rPr>
          <w:rFonts w:ascii="宋体" w:hAnsi="宋体"/>
          <w:szCs w:val="21"/>
        </w:rPr>
      </w:pPr>
      <w:r w:rsidR="0018265B">
        <w:rPr>
          <w:rFonts w:ascii="宋体" w:hAnsi="宋体" w:hint="eastAsia"/>
          <w:szCs w:val="21"/>
        </w:rPr>
        <w:t>1、交付日期：</w:t>
      </w:r>
      <w:r w:rsidR="0018265B">
        <w:rPr>
          <w:rFonts w:ascii="宋体" w:hAnsi="宋体" w:hint="eastAsia"/>
          <w:szCs w:val="21"/>
          <w:u w:val="single"/>
        </w:rPr>
        <w:tab/>
        <w:t xml:space="preserve">   </w:t>
      </w:r>
      <w:r w:rsidR="0006125E">
        <w:rPr>
          <w:rFonts w:ascii="宋体" w:hAnsi="宋体" w:hint="eastAsia"/>
          <w:szCs w:val="21"/>
          <w:u w:val="single"/>
        </w:rPr>
        <w:t>签订合同后12个月完成验收</w:t>
      </w:r>
      <w:r w:rsidR="0018265B">
        <w:rPr>
          <w:rFonts w:ascii="宋体" w:hAnsi="宋体" w:hint="eastAsia"/>
          <w:szCs w:val="21"/>
          <w:u w:val="single"/>
        </w:rPr>
        <w:t xml:space="preserve">        </w:t>
      </w:r>
      <w:r w:rsidR="00AB32E9">
        <w:rPr>
          <w:rFonts w:ascii="宋体" w:hAnsi="宋体"/>
          <w:szCs w:val="21"/>
          <w:u w:val="single"/>
        </w:rPr>
        <w:t xml:space="preserve">      </w:t>
      </w:r>
      <w:r w:rsidR="0018265B">
        <w:rPr>
          <w:rFonts w:ascii="宋体" w:hAnsi="宋体" w:hint="eastAsia"/>
          <w:szCs w:val="21"/>
          <w:u w:val="single"/>
        </w:rPr>
        <w:t xml:space="preserve">      </w:t>
      </w:r>
      <w:r w:rsidR="00AB32E9">
        <w:rPr>
          <w:rFonts w:ascii="宋体" w:hAnsi="宋体"/>
          <w:szCs w:val="21"/>
          <w:u w:val="single"/>
        </w:rPr>
        <w:t xml:space="preserve"> </w:t>
      </w:r>
      <w:r w:rsidR="0018265B">
        <w:rPr>
          <w:rFonts w:ascii="宋体" w:hAnsi="宋体" w:hint="eastAsia"/>
          <w:szCs w:val="21"/>
          <w:u w:val="single"/>
        </w:rPr>
        <w:t xml:space="preserve">     </w:t>
      </w:r>
      <w:r w:rsidR="0018265B">
        <w:rPr>
          <w:rFonts w:ascii="宋体" w:hAnsi="宋体" w:hint="eastAsia"/>
          <w:szCs w:val="21"/>
        </w:rPr>
        <w:t>。</w:t>
      </w:r>
    </w:p>
    <w:p w:rsidR="007F21DC">
      <w:pPr>
        <w:tabs>
          <w:tab w:val="left" w:pos="1573"/>
        </w:tabs>
        <w:adjustRightInd w:val="0"/>
        <w:snapToGrid w:val="0"/>
        <w:ind w:firstLine="420" w:firstLineChars="200"/>
        <w:jc w:val="left"/>
        <w:rPr>
          <w:rFonts w:ascii="宋体" w:hAnsi="宋体"/>
          <w:szCs w:val="21"/>
        </w:rPr>
      </w:pPr>
      <w:r w:rsidR="0018265B">
        <w:rPr>
          <w:rFonts w:ascii="宋体" w:hAnsi="宋体" w:hint="eastAsia"/>
          <w:szCs w:val="21"/>
        </w:rPr>
        <w:t>2、交付地点：</w:t>
      </w:r>
      <w:r w:rsidR="0018265B">
        <w:rPr>
          <w:rFonts w:ascii="宋体" w:hAnsi="宋体" w:hint="eastAsia"/>
          <w:szCs w:val="21"/>
          <w:u w:val="single"/>
        </w:rPr>
        <w:tab/>
        <w:t xml:space="preserve">    </w:t>
      </w:r>
      <w:r w:rsidR="0006125E">
        <w:rPr>
          <w:rFonts w:ascii="宋体" w:hAnsi="宋体" w:hint="eastAsia"/>
          <w:szCs w:val="21"/>
          <w:u w:val="single"/>
        </w:rPr>
        <w:t>国家气象信息中心</w:t>
      </w:r>
      <w:r w:rsidR="0018265B">
        <w:rPr>
          <w:rFonts w:ascii="宋体" w:hAnsi="宋体" w:hint="eastAsia"/>
          <w:szCs w:val="21"/>
          <w:u w:val="single"/>
        </w:rPr>
        <w:t xml:space="preserve">                     </w:t>
      </w:r>
      <w:r w:rsidR="00AB32E9">
        <w:rPr>
          <w:rFonts w:ascii="宋体" w:hAnsi="宋体"/>
          <w:szCs w:val="21"/>
          <w:u w:val="single"/>
        </w:rPr>
        <w:t xml:space="preserve">     </w:t>
      </w:r>
      <w:r w:rsidR="0018265B">
        <w:rPr>
          <w:rFonts w:ascii="宋体" w:hAnsi="宋体" w:hint="eastAsia"/>
          <w:szCs w:val="21"/>
          <w:u w:val="single"/>
        </w:rPr>
        <w:t xml:space="preserve">        </w:t>
      </w:r>
      <w:r w:rsidR="0018265B">
        <w:rPr>
          <w:rFonts w:ascii="宋体" w:hAnsi="宋体" w:hint="eastAsia"/>
          <w:szCs w:val="21"/>
        </w:rPr>
        <w:t>。</w:t>
      </w:r>
    </w:p>
    <w:p w:rsidR="007F21DC">
      <w:pPr>
        <w:tabs>
          <w:tab w:val="left" w:pos="1573"/>
        </w:tabs>
        <w:adjustRightInd w:val="0"/>
        <w:snapToGrid w:val="0"/>
        <w:ind w:firstLine="420" w:firstLineChars="200"/>
        <w:jc w:val="left"/>
        <w:rPr>
          <w:rFonts w:ascii="宋体" w:hAnsi="宋体"/>
          <w:szCs w:val="21"/>
        </w:rPr>
      </w:pPr>
      <w:r w:rsidR="0018265B">
        <w:rPr>
          <w:rFonts w:ascii="宋体" w:hAnsi="宋体" w:hint="eastAsia"/>
          <w:szCs w:val="21"/>
        </w:rPr>
        <w:t>3、其他约定事项：</w:t>
      </w:r>
      <w:r w:rsidR="0018265B">
        <w:rPr>
          <w:rFonts w:ascii="宋体" w:hAnsi="宋体" w:hint="eastAsia"/>
          <w:szCs w:val="21"/>
          <w:u w:val="single"/>
        </w:rPr>
        <w:t xml:space="preserve">                                                     </w:t>
      </w:r>
      <w:r w:rsidR="0018265B">
        <w:rPr>
          <w:rFonts w:ascii="宋体" w:hAnsi="宋体" w:hint="eastAsia"/>
          <w:szCs w:val="21"/>
        </w:rPr>
        <w:t>。</w:t>
      </w:r>
    </w:p>
    <w:p w:rsidR="007F21DC">
      <w:pPr>
        <w:tabs>
          <w:tab w:val="left" w:pos="1573"/>
        </w:tabs>
        <w:adjustRightInd w:val="0"/>
        <w:snapToGrid w:val="0"/>
        <w:ind w:left="420" w:firstLine="482" w:leftChars="200"/>
        <w:rPr>
          <w:b/>
          <w:szCs w:val="21"/>
        </w:rPr>
      </w:pPr>
      <w:r w:rsidR="0018265B">
        <w:rPr>
          <w:rFonts w:ascii="宋体" w:hAnsi="宋体" w:hint="eastAsia"/>
          <w:b/>
          <w:szCs w:val="21"/>
        </w:rPr>
        <w:t>六、</w:t>
      </w:r>
      <w:r w:rsidR="0018265B">
        <w:rPr>
          <w:rFonts w:hint="eastAsia"/>
          <w:b/>
          <w:szCs w:val="21"/>
        </w:rPr>
        <w:t>技术服务和保修责任</w:t>
      </w:r>
    </w:p>
    <w:p w:rsidR="007F21DC" w:rsidP="00C23A89">
      <w:pPr>
        <w:tabs>
          <w:tab w:val="left" w:pos="1573"/>
        </w:tabs>
        <w:adjustRightInd w:val="0"/>
        <w:snapToGrid w:val="0"/>
        <w:ind w:firstLine="412" w:firstLineChars="196"/>
        <w:jc w:val="left"/>
        <w:rPr>
          <w:rFonts w:ascii="宋体" w:hAnsi="宋体"/>
          <w:szCs w:val="21"/>
        </w:rPr>
      </w:pPr>
      <w:r w:rsidR="0018265B">
        <w:rPr>
          <w:rFonts w:ascii="宋体" w:hAnsi="宋体" w:hint="eastAsia"/>
          <w:szCs w:val="21"/>
        </w:rPr>
        <w:t>乙方对合同服务的质量保修期为验收证书签署之日起</w:t>
      </w:r>
      <w:r w:rsidR="0018265B">
        <w:rPr>
          <w:rFonts w:ascii="宋体" w:hAnsi="宋体" w:hint="eastAsia"/>
          <w:szCs w:val="21"/>
          <w:u w:val="single"/>
        </w:rPr>
        <w:t xml:space="preserve">    </w:t>
      </w:r>
      <w:r w:rsidR="00BB089D">
        <w:rPr>
          <w:rFonts w:ascii="宋体" w:hAnsi="宋体" w:hint="eastAsia"/>
          <w:szCs w:val="21"/>
          <w:u w:val="single"/>
        </w:rPr>
        <w:t>12</w:t>
      </w:r>
      <w:r w:rsidR="0018265B">
        <w:rPr>
          <w:rFonts w:ascii="宋体" w:hAnsi="宋体" w:hint="eastAsia"/>
          <w:szCs w:val="21"/>
          <w:u w:val="single"/>
        </w:rPr>
        <w:t xml:space="preserve">      </w:t>
      </w:r>
      <w:r w:rsidR="0018265B">
        <w:rPr>
          <w:rFonts w:ascii="宋体" w:hAnsi="宋体" w:hint="eastAsia"/>
          <w:szCs w:val="21"/>
        </w:rPr>
        <w:t>个月。</w:t>
      </w:r>
    </w:p>
    <w:p w:rsidR="007F21DC" w:rsidP="00C23A89">
      <w:pPr>
        <w:tabs>
          <w:tab w:val="left" w:pos="1573"/>
        </w:tabs>
        <w:adjustRightInd w:val="0"/>
        <w:snapToGrid w:val="0"/>
        <w:ind w:firstLine="412" w:firstLineChars="196"/>
        <w:jc w:val="left"/>
        <w:rPr>
          <w:rFonts w:ascii="宋体" w:hAnsi="宋体"/>
          <w:b/>
          <w:szCs w:val="28"/>
        </w:rPr>
      </w:pPr>
      <w:r w:rsidR="0018265B">
        <w:rPr>
          <w:rFonts w:ascii="宋体" w:hAnsi="宋体" w:hint="eastAsia"/>
          <w:b/>
          <w:szCs w:val="28"/>
        </w:rPr>
        <w:t>七、违约责任</w:t>
      </w:r>
    </w:p>
    <w:p w:rsidR="007F21DC" w:rsidP="00C23A89">
      <w:pPr>
        <w:tabs>
          <w:tab w:val="left" w:pos="1573"/>
        </w:tabs>
        <w:adjustRightInd w:val="0"/>
        <w:snapToGrid w:val="0"/>
        <w:ind w:firstLine="412" w:firstLineChars="196"/>
        <w:jc w:val="left"/>
        <w:rPr>
          <w:rFonts w:ascii="宋体" w:hAnsi="宋体"/>
          <w:szCs w:val="21"/>
        </w:rPr>
      </w:pPr>
      <w:r w:rsidR="0018265B">
        <w:rPr>
          <w:rFonts w:ascii="宋体" w:hAnsi="宋体" w:hint="eastAsia"/>
          <w:szCs w:val="28"/>
        </w:rPr>
        <w:t>1、</w:t>
      </w:r>
      <w:r w:rsidR="0018265B">
        <w:rPr>
          <w:rFonts w:ascii="宋体" w:hAnsi="宋体" w:hint="eastAsia"/>
          <w:szCs w:val="21"/>
        </w:rPr>
        <w:t>延期交付或延期付款的违约责任：如乙方延期交付或甲方延期付款，每逾期一天，违约方应按延期交货所折合的金额或延期付款金额每天</w:t>
      </w:r>
      <w:r w:rsidR="0018265B">
        <w:rPr>
          <w:rFonts w:ascii="宋体" w:hAnsi="宋体" w:hint="eastAsia"/>
          <w:szCs w:val="21"/>
          <w:u w:val="single"/>
        </w:rPr>
        <w:t xml:space="preserve">      </w:t>
      </w:r>
      <w:r w:rsidR="0018265B">
        <w:rPr>
          <w:rFonts w:ascii="宋体" w:hAnsi="宋体" w:hint="eastAsia"/>
          <w:szCs w:val="21"/>
        </w:rPr>
        <w:t>‰</w:t>
      </w:r>
      <w:r w:rsidR="0018265B">
        <w:rPr>
          <w:rFonts w:ascii="宋体" w:hAnsi="宋体" w:hint="eastAsia"/>
          <w:szCs w:val="21"/>
        </w:rPr>
        <w:t xml:space="preserve"> 的比例向对方支付违约金，但该违约金累计不得超过合同总金额的</w:t>
      </w:r>
      <w:r w:rsidR="0018265B">
        <w:rPr>
          <w:rFonts w:ascii="宋体" w:hAnsi="宋体" w:hint="eastAsia"/>
          <w:szCs w:val="21"/>
          <w:u w:val="single"/>
        </w:rPr>
        <w:t xml:space="preserve">   </w:t>
      </w:r>
      <w:r w:rsidR="0018265B">
        <w:rPr>
          <w:rFonts w:ascii="宋体" w:hAnsi="宋体" w:hint="eastAsia"/>
          <w:szCs w:val="21"/>
        </w:rPr>
        <w:t>%；上述逾期超过</w:t>
      </w:r>
      <w:r w:rsidR="0018265B">
        <w:rPr>
          <w:rFonts w:ascii="宋体" w:hAnsi="宋体" w:hint="eastAsia"/>
          <w:szCs w:val="21"/>
          <w:u w:val="single"/>
        </w:rPr>
        <w:t xml:space="preserve">  </w:t>
      </w:r>
      <w:r w:rsidR="009400E7">
        <w:rPr>
          <w:rFonts w:ascii="宋体" w:hAnsi="宋体" w:hint="eastAsia"/>
          <w:szCs w:val="21"/>
          <w:u w:val="single"/>
        </w:rPr>
        <w:t>60</w:t>
      </w:r>
      <w:r w:rsidR="0018265B">
        <w:rPr>
          <w:rFonts w:ascii="宋体" w:hAnsi="宋体" w:hint="eastAsia"/>
          <w:szCs w:val="21"/>
          <w:u w:val="single"/>
        </w:rPr>
        <w:t xml:space="preserve">    </w:t>
      </w:r>
      <w:r w:rsidR="0018265B">
        <w:rPr>
          <w:rFonts w:ascii="宋体" w:hAnsi="宋体" w:hint="eastAsia"/>
          <w:szCs w:val="21"/>
        </w:rPr>
        <w:t>天，守约方有权解除合同，并要求违约方赔偿由此造成的损失。</w:t>
      </w:r>
    </w:p>
    <w:p w:rsidR="007F21DC" w:rsidP="00C23A89">
      <w:pPr>
        <w:tabs>
          <w:tab w:val="left" w:pos="1573"/>
        </w:tabs>
        <w:adjustRightInd w:val="0"/>
        <w:snapToGrid w:val="0"/>
        <w:ind w:firstLine="412" w:firstLineChars="196"/>
        <w:jc w:val="left"/>
        <w:rPr>
          <w:rFonts w:ascii="宋体" w:hAnsi="宋体"/>
          <w:szCs w:val="21"/>
        </w:rPr>
      </w:pPr>
      <w:r w:rsidR="0018265B">
        <w:rPr>
          <w:rFonts w:ascii="宋体" w:hAnsi="宋体" w:hint="eastAsia"/>
          <w:szCs w:val="21"/>
        </w:rPr>
        <w:t>2、其它违约责任</w:t>
      </w:r>
    </w:p>
    <w:p w:rsidR="007F21DC">
      <w:pPr>
        <w:tabs>
          <w:tab w:val="left" w:pos="1573"/>
        </w:tabs>
        <w:adjustRightInd w:val="0"/>
        <w:snapToGrid w:val="0"/>
        <w:ind w:firstLine="420" w:firstLineChars="200"/>
        <w:jc w:val="left"/>
        <w:rPr>
          <w:rFonts w:ascii="宋体" w:hAnsi="宋体"/>
          <w:szCs w:val="21"/>
        </w:rPr>
      </w:pPr>
      <w:r w:rsidR="0018265B">
        <w:rPr>
          <w:rFonts w:ascii="宋体" w:hAnsi="宋体" w:hint="eastAsia"/>
          <w:szCs w:val="21"/>
        </w:rPr>
        <w:t>违约方应就每一单项违约向对方支付合同总金额</w:t>
      </w:r>
      <w:r w:rsidR="0018265B">
        <w:rPr>
          <w:rFonts w:ascii="宋体" w:hAnsi="宋体" w:hint="eastAsia"/>
          <w:szCs w:val="21"/>
          <w:u w:val="single"/>
        </w:rPr>
        <w:t xml:space="preserve">   </w:t>
      </w:r>
      <w:r w:rsidR="00456F53">
        <w:rPr>
          <w:rFonts w:ascii="宋体" w:hAnsi="宋体" w:hint="eastAsia"/>
          <w:szCs w:val="21"/>
          <w:u w:val="single"/>
        </w:rPr>
        <w:t xml:space="preserve">  </w:t>
      </w:r>
      <w:r w:rsidR="0018265B">
        <w:rPr>
          <w:rFonts w:ascii="宋体" w:hAnsi="宋体" w:hint="eastAsia"/>
          <w:szCs w:val="21"/>
        </w:rPr>
        <w:t>%的违约金。</w:t>
      </w:r>
    </w:p>
    <w:p w:rsidR="007F21DC" w:rsidP="00C23A89">
      <w:pPr>
        <w:tabs>
          <w:tab w:val="left" w:pos="1573"/>
        </w:tabs>
        <w:adjustRightInd w:val="0"/>
        <w:snapToGrid w:val="0"/>
        <w:ind w:firstLine="420" w:firstLineChars="200"/>
        <w:jc w:val="left"/>
        <w:rPr>
          <w:rFonts w:ascii="宋体" w:hAnsi="宋体"/>
          <w:b/>
          <w:szCs w:val="28"/>
        </w:rPr>
      </w:pPr>
      <w:r w:rsidR="0018265B">
        <w:rPr>
          <w:rFonts w:hint="eastAsia"/>
          <w:b/>
          <w:szCs w:val="21"/>
        </w:rPr>
        <w:t>八、</w:t>
      </w:r>
      <w:r w:rsidR="0018265B">
        <w:rPr>
          <w:rFonts w:ascii="宋体" w:hAnsi="宋体" w:hint="eastAsia"/>
          <w:b/>
          <w:szCs w:val="28"/>
        </w:rPr>
        <w:t>履约保证金</w:t>
      </w:r>
    </w:p>
    <w:p w:rsidR="007F21DC">
      <w:pPr>
        <w:tabs>
          <w:tab w:val="left" w:pos="1573"/>
        </w:tabs>
        <w:adjustRightInd w:val="0"/>
        <w:snapToGrid w:val="0"/>
        <w:ind w:firstLine="420" w:firstLineChars="200"/>
        <w:jc w:val="left"/>
        <w:rPr>
          <w:rFonts w:ascii="宋体" w:hAnsi="宋体"/>
          <w:szCs w:val="21"/>
        </w:rPr>
      </w:pPr>
      <w:r w:rsidR="0018265B">
        <w:rPr>
          <w:rFonts w:ascii="宋体" w:hAnsi="宋体" w:hint="eastAsia"/>
          <w:szCs w:val="21"/>
        </w:rPr>
        <w:t>中标人在收到中标通知书后</w:t>
      </w:r>
      <w:r w:rsidR="0018265B">
        <w:rPr>
          <w:rFonts w:ascii="宋体" w:hAnsi="宋体" w:hint="eastAsia"/>
          <w:szCs w:val="21"/>
          <w:u w:val="single"/>
        </w:rPr>
        <w:t xml:space="preserve"> </w:t>
      </w:r>
      <w:r w:rsidR="00BB089D">
        <w:rPr>
          <w:rFonts w:ascii="宋体" w:hAnsi="宋体" w:hint="eastAsia"/>
          <w:szCs w:val="21"/>
          <w:u w:val="single"/>
        </w:rPr>
        <w:t>15</w:t>
      </w:r>
      <w:r w:rsidR="0018265B">
        <w:rPr>
          <w:rFonts w:ascii="宋体" w:hAnsi="宋体" w:hint="eastAsia"/>
          <w:szCs w:val="21"/>
          <w:u w:val="single"/>
        </w:rPr>
        <w:t xml:space="preserve">  </w:t>
      </w:r>
      <w:r w:rsidR="0018265B">
        <w:rPr>
          <w:rFonts w:ascii="宋体" w:hAnsi="宋体" w:hint="eastAsia"/>
          <w:szCs w:val="21"/>
        </w:rPr>
        <w:t>个工作日内，向甲方提供相当于合同总价</w:t>
      </w:r>
      <w:r w:rsidR="0018265B">
        <w:rPr>
          <w:rFonts w:ascii="宋体" w:hAnsi="宋体" w:hint="eastAsia"/>
          <w:szCs w:val="21"/>
          <w:u w:val="single"/>
        </w:rPr>
        <w:t xml:space="preserve"> </w:t>
      </w:r>
      <w:r w:rsidR="00BB089D">
        <w:rPr>
          <w:rFonts w:ascii="宋体" w:hAnsi="宋体" w:hint="eastAsia"/>
          <w:szCs w:val="21"/>
          <w:u w:val="single"/>
        </w:rPr>
        <w:t>10</w:t>
      </w:r>
      <w:r w:rsidR="0018265B">
        <w:rPr>
          <w:rFonts w:ascii="宋体" w:hAnsi="宋体" w:hint="eastAsia"/>
          <w:szCs w:val="21"/>
          <w:u w:val="single"/>
        </w:rPr>
        <w:t xml:space="preserve">  </w:t>
      </w:r>
      <w:r w:rsidR="0018265B">
        <w:rPr>
          <w:rFonts w:ascii="宋体" w:hAnsi="宋体" w:hint="eastAsia"/>
          <w:szCs w:val="21"/>
        </w:rPr>
        <w:t xml:space="preserve">%的履约保证金。 </w:t>
      </w:r>
    </w:p>
    <w:p w:rsidR="007F21DC" w:rsidP="00C23A89">
      <w:pPr>
        <w:tabs>
          <w:tab w:val="left" w:pos="1573"/>
        </w:tabs>
        <w:adjustRightInd w:val="0"/>
        <w:snapToGrid w:val="0"/>
        <w:ind w:firstLine="412" w:firstLineChars="196"/>
        <w:jc w:val="left"/>
        <w:rPr>
          <w:rFonts w:ascii="宋体" w:hAnsi="宋体"/>
          <w:b/>
          <w:szCs w:val="28"/>
        </w:rPr>
      </w:pPr>
    </w:p>
    <w:p w:rsidR="007F21DC" w:rsidP="00C23A89">
      <w:pPr>
        <w:snapToGrid w:val="0"/>
        <w:ind w:firstLine="309" w:firstLineChars="147"/>
        <w:rPr>
          <w:rFonts w:ascii="宋体" w:hAnsi="宋体"/>
          <w:b/>
          <w:szCs w:val="21"/>
        </w:rPr>
      </w:pPr>
      <w:r w:rsidR="0018265B">
        <w:rPr>
          <w:rFonts w:ascii="宋体" w:hAnsi="宋体" w:hint="eastAsia"/>
          <w:b/>
          <w:szCs w:val="21"/>
        </w:rPr>
        <w:t>甲方：                                   乙方：</w:t>
      </w:r>
    </w:p>
    <w:p w:rsidR="007F21DC" w:rsidP="00C23A89">
      <w:pPr>
        <w:snapToGrid w:val="0"/>
        <w:ind w:firstLine="309" w:firstLineChars="147"/>
        <w:rPr>
          <w:rFonts w:ascii="宋体" w:hAnsi="宋体"/>
          <w:b/>
          <w:szCs w:val="21"/>
        </w:rPr>
      </w:pPr>
      <w:r w:rsidR="0018265B">
        <w:rPr>
          <w:rFonts w:ascii="宋体" w:hAnsi="宋体" w:hint="eastAsia"/>
          <w:b/>
          <w:szCs w:val="21"/>
        </w:rPr>
        <w:t>单位名称：（公章）                        单位名称：（公章）</w:t>
      </w:r>
    </w:p>
    <w:p w:rsidR="007F21DC" w:rsidP="00C23A89">
      <w:pPr>
        <w:snapToGrid w:val="0"/>
        <w:ind w:firstLine="309" w:firstLineChars="147"/>
        <w:rPr>
          <w:rFonts w:ascii="宋体" w:hAnsi="宋体"/>
          <w:b/>
          <w:szCs w:val="21"/>
        </w:rPr>
      </w:pPr>
      <w:r w:rsidR="0018265B">
        <w:rPr>
          <w:rFonts w:ascii="宋体" w:hAnsi="宋体" w:hint="eastAsia"/>
          <w:b/>
          <w:szCs w:val="21"/>
        </w:rPr>
        <w:t>地址：                                   地址：</w:t>
      </w:r>
    </w:p>
    <w:p w:rsidR="007F21DC" w:rsidP="00C23A89">
      <w:pPr>
        <w:tabs>
          <w:tab w:val="left" w:pos="1573"/>
        </w:tabs>
        <w:adjustRightInd w:val="0"/>
        <w:snapToGrid w:val="0"/>
        <w:ind w:firstLine="315" w:firstLineChars="150"/>
        <w:jc w:val="left"/>
        <w:rPr>
          <w:rFonts w:ascii="宋体" w:hAnsi="宋体"/>
          <w:b/>
          <w:szCs w:val="21"/>
        </w:rPr>
      </w:pPr>
      <w:r w:rsidR="0018265B">
        <w:rPr>
          <w:rFonts w:ascii="宋体" w:hAnsi="宋体" w:hint="eastAsia"/>
          <w:b/>
          <w:szCs w:val="21"/>
        </w:rPr>
        <w:t xml:space="preserve">电话：                       </w:t>
        <w:tab/>
        <w:t xml:space="preserve">        电话：     </w:t>
      </w:r>
    </w:p>
    <w:p w:rsidR="007F21DC" w:rsidP="00C23A89">
      <w:pPr>
        <w:tabs>
          <w:tab w:val="left" w:pos="1573"/>
        </w:tabs>
        <w:adjustRightInd w:val="0"/>
        <w:snapToGrid w:val="0"/>
        <w:ind w:firstLine="315" w:firstLineChars="150"/>
        <w:jc w:val="left"/>
        <w:rPr>
          <w:rFonts w:ascii="宋体" w:hAnsi="宋体"/>
          <w:b/>
          <w:szCs w:val="21"/>
        </w:rPr>
      </w:pPr>
      <w:r w:rsidR="0018265B">
        <w:rPr>
          <w:rFonts w:ascii="宋体" w:hAnsi="宋体" w:hint="eastAsia"/>
          <w:b/>
          <w:szCs w:val="21"/>
        </w:rPr>
        <w:t>传真：                                   传真：</w:t>
      </w:r>
    </w:p>
    <w:p w:rsidR="007F21DC" w:rsidP="00C23A89">
      <w:pPr>
        <w:tabs>
          <w:tab w:val="left" w:pos="1573"/>
        </w:tabs>
        <w:adjustRightInd w:val="0"/>
        <w:snapToGrid w:val="0"/>
        <w:ind w:firstLine="315" w:firstLineChars="150"/>
        <w:jc w:val="left"/>
        <w:rPr>
          <w:rFonts w:ascii="宋体" w:hAnsi="宋体"/>
          <w:b/>
          <w:szCs w:val="21"/>
        </w:rPr>
      </w:pPr>
      <w:r w:rsidR="0018265B">
        <w:rPr>
          <w:rFonts w:ascii="宋体" w:hAnsi="宋体" w:hint="eastAsia"/>
          <w:b/>
          <w:szCs w:val="21"/>
        </w:rPr>
        <w:t>开户银行及帐号：                        开户银行及帐号：</w:t>
      </w:r>
    </w:p>
    <w:p w:rsidR="007F21DC" w:rsidP="00C23A89">
      <w:pPr>
        <w:tabs>
          <w:tab w:val="left" w:pos="1573"/>
        </w:tabs>
        <w:adjustRightInd w:val="0"/>
        <w:snapToGrid w:val="0"/>
        <w:ind w:firstLine="315" w:firstLineChars="150"/>
        <w:jc w:val="left"/>
        <w:rPr>
          <w:rFonts w:ascii="宋体" w:hAnsi="宋体"/>
          <w:b/>
          <w:szCs w:val="21"/>
        </w:rPr>
      </w:pPr>
    </w:p>
    <w:p w:rsidR="007F21DC" w:rsidP="00C23A89">
      <w:pPr>
        <w:snapToGrid w:val="0"/>
        <w:ind w:firstLine="309" w:firstLineChars="147"/>
        <w:rPr>
          <w:rFonts w:ascii="宋体" w:hAnsi="宋体"/>
          <w:b/>
          <w:szCs w:val="21"/>
        </w:rPr>
      </w:pPr>
      <w:r w:rsidR="0018265B">
        <w:rPr>
          <w:rFonts w:ascii="宋体" w:hAnsi="宋体" w:hint="eastAsia"/>
          <w:b/>
          <w:szCs w:val="21"/>
        </w:rPr>
        <w:t>法定代表人：                             法定代表人：</w:t>
      </w:r>
    </w:p>
    <w:p w:rsidR="007F21DC" w:rsidP="00C23A89">
      <w:pPr>
        <w:snapToGrid w:val="0"/>
        <w:ind w:firstLine="309" w:firstLineChars="147"/>
        <w:rPr>
          <w:rFonts w:ascii="宋体" w:hAnsi="宋体"/>
          <w:b/>
          <w:szCs w:val="21"/>
        </w:rPr>
      </w:pPr>
      <w:r w:rsidR="0018265B">
        <w:rPr>
          <w:rFonts w:ascii="宋体" w:hAnsi="宋体" w:hint="eastAsia"/>
          <w:b/>
          <w:szCs w:val="21"/>
        </w:rPr>
        <w:t>授权代表：                               授权代表：</w:t>
      </w:r>
    </w:p>
    <w:p w:rsidR="007F21DC" w:rsidRPr="009400E7" w:rsidP="009400E7">
      <w:pPr>
        <w:snapToGrid w:val="0"/>
        <w:ind w:firstLine="309" w:firstLineChars="147"/>
        <w:rPr>
          <w:rFonts w:ascii="宋体" w:hAnsi="宋体" w:hint="eastAsia"/>
          <w:b/>
          <w:szCs w:val="21"/>
        </w:rPr>
      </w:pPr>
      <w:r w:rsidR="0018265B">
        <w:rPr>
          <w:rFonts w:ascii="宋体" w:hAnsi="宋体" w:hint="eastAsia"/>
          <w:b/>
          <w:szCs w:val="21"/>
        </w:rPr>
        <w:t>签约日期：                               签约日期：</w:t>
      </w:r>
    </w:p>
    <w:p w:rsidR="007F21DC">
      <w:pPr>
        <w:ind w:firstLine="602"/>
        <w:rPr>
          <w:rFonts w:ascii="宋体" w:hAnsi="宋体"/>
          <w:b/>
          <w:sz w:val="30"/>
          <w:szCs w:val="30"/>
        </w:rPr>
      </w:pPr>
      <w:r w:rsidR="0018265B">
        <w:rPr>
          <w:rFonts w:ascii="宋体" w:hAnsi="宋体"/>
          <w:b/>
          <w:sz w:val="30"/>
          <w:szCs w:val="30"/>
        </w:rPr>
        <w:br w:type="page"/>
      </w:r>
    </w:p>
    <w:p w:rsidR="00A77B3E"/>
    <w:p w:rsidR="007F21DC" w:rsidP="006F77AB">
      <w:pPr>
        <w:spacing w:before="156" w:beforeLines="50"/>
        <w:jc w:val="center"/>
        <w:outlineLvl w:val="1"/>
        <w:rPr>
          <w:rFonts w:ascii="宋体" w:hAnsi="宋体"/>
          <w:b/>
          <w:sz w:val="30"/>
          <w:szCs w:val="30"/>
        </w:rPr>
      </w:pPr>
      <w:bookmarkEnd w:id="94"/>
    </w:p>
    <w:p>
      <w:pPr>
        <w:rPr>
          <w:rFonts w:ascii="Calibri" w:hAnsi="Calibri"/>
          <w:szCs w:val="22"/>
          <w:highlight w:val="none"/>
        </w:rPr>
      </w:pPr>
    </w:p>
    <w:p>
      <w:pPr>
        <w:spacing w:line="360" w:lineRule="auto"/>
        <w:jc w:val="left"/>
        <w:rPr>
          <w:b/>
          <w:bCs/>
          <w:sz w:val="44"/>
          <w:szCs w:val="44"/>
          <w:highlight w:val="none"/>
        </w:rPr>
      </w:pPr>
    </w:p>
    <w:sectPr>
      <w:headerReference w:type="even" r:id="rId9"/>
      <w:headerReference w:type="default" r:id="rId10"/>
      <w:footerReference w:type="default" r:id="rId11"/>
      <w:headerReference w:type="first" r:id="rId12"/>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黑体"/>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Times New Roman (标题 CS)">
    <w:altName w:val="汉仪中黑 197"/>
    <w:charset w:val="86"/>
    <w:family w:val="roman"/>
    <w:pitch w:val="default"/>
    <w:sig w:usb0="00000000" w:usb1="00000000" w:usb2="00000000" w:usb3="00000000" w:csb0="00040000" w:csb1="00000000"/>
  </w:font>
  <w:font w:name="Times New Roman (正文 CS 字体)">
    <w:altName w:val="汉仪中黑 197"/>
    <w:charset w:val="86"/>
    <w:family w:val="roman"/>
    <w:pitch w:val="default"/>
    <w:sig w:usb0="00000000" w:usb1="00000000" w:usb2="00000000" w:usb3="00000000" w:csb0="00040000" w:csb1="00000000"/>
  </w:font>
  <w:font w:name="Calibri Light">
    <w:panose1 w:val="020F0302020204030204"/>
    <w:charset w:val="00"/>
    <w:family w:val="swiss"/>
    <w:pitch w:val="variable"/>
    <w:sig w:usb0="A00002EF" w:usb1="4000207B" w:usb2="00000000" w:usb3="00000000" w:csb0="0000019F"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0000000000000000000"/>
    <w:charset w:val="86"/>
    <w:family w:val="auto"/>
    <w:pitch w:val="variable"/>
    <w:sig w:usb0="A00002BF" w:usb1="38CF7CFA" w:usb2="00000016" w:usb3="00000000" w:csb0="0004000F" w:csb1="00000000"/>
  </w:font>
  <w:font w:name="Cambria Math">
    <w:panose1 w:val="00000000000000000000"/>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73</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582D077E"/>
    <w:multiLevelType w:val="multilevel"/>
    <w:tmpl w:val="2EC8F3BE"/>
    <w:lvl w:ilvl="0">
      <w:start w:val="1"/>
      <w:numFmt w:val="decimal"/>
      <w:pStyle w:val="Heading1"/>
      <w:suff w:val="space"/>
      <w:lvlText w:val="%1"/>
      <w:lvlJc w:val="left"/>
      <w:pPr>
        <w:ind w:left="425" w:hanging="425"/>
      </w:pPr>
      <w:rPr>
        <w:rFonts w:hint="eastAsia"/>
      </w:rPr>
    </w:lvl>
    <w:lvl w:ilvl="1">
      <w:start w:val="1"/>
      <w:numFmt w:val="decimal"/>
      <w:pStyle w:val="Heading2"/>
      <w:suff w:val="space"/>
      <w:lvlText w:val="%1.%2"/>
      <w:lvlJc w:val="left"/>
      <w:pPr>
        <w:ind w:left="425" w:hanging="425"/>
      </w:pPr>
      <w:rPr>
        <w:rFonts w:hint="eastAsia"/>
      </w:rPr>
    </w:lvl>
    <w:lvl w:ilvl="2">
      <w:start w:val="1"/>
      <w:numFmt w:val="decimal"/>
      <w:pStyle w:val="Heading3"/>
      <w:suff w:val="space"/>
      <w:lvlText w:val="%1.%2.%3"/>
      <w:lvlJc w:val="left"/>
      <w:pPr>
        <w:ind w:left="425" w:hanging="425"/>
      </w:pPr>
      <w:rPr>
        <w:rFonts w:hint="eastAsia"/>
      </w:rPr>
    </w:lvl>
    <w:lvl w:ilvl="3">
      <w:start w:val="1"/>
      <w:numFmt w:val="decimal"/>
      <w:pStyle w:val="Heading4"/>
      <w:suff w:val="space"/>
      <w:lvlText w:val="%1.%2.%3.%4"/>
      <w:lvlJc w:val="left"/>
      <w:pPr>
        <w:ind w:left="425" w:hanging="425"/>
      </w:pPr>
      <w:rPr>
        <w:rFonts w:hint="eastAsia"/>
      </w:rPr>
    </w:lvl>
    <w:lvl w:ilvl="4">
      <w:start w:val="1"/>
      <w:numFmt w:val="decimal"/>
      <w:pStyle w:val="Heading5"/>
      <w:suff w:val="space"/>
      <w:lvlText w:val="%1.%2.%3.%4.%5"/>
      <w:lvlJc w:val="left"/>
      <w:pPr>
        <w:ind w:left="425" w:hanging="425"/>
      </w:pPr>
      <w:rPr>
        <w:rFonts w:hint="eastAsia"/>
      </w:rPr>
    </w:lvl>
    <w:lvl w:ilvl="5">
      <w:start w:val="1"/>
      <w:numFmt w:val="decimal"/>
      <w:pStyle w:val="Heading6"/>
      <w:suff w:val="space"/>
      <w:lvlText w:val="%1.%2.%3.%4.%5.%6"/>
      <w:lvlJc w:val="left"/>
      <w:pPr>
        <w:ind w:left="425" w:hanging="425"/>
      </w:pPr>
      <w:rPr>
        <w:rFonts w:hint="eastAsia"/>
      </w:rPr>
    </w:lvl>
    <w:lvl w:ilvl="6">
      <w:start w:val="1"/>
      <w:numFmt w:val="decimal"/>
      <w:pStyle w:val="Heading7"/>
      <w:suff w:val="space"/>
      <w:lvlText w:val="%1.%2.%3.%4.%5.%6.%7"/>
      <w:lvlJc w:val="left"/>
      <w:pPr>
        <w:ind w:left="425" w:hanging="425"/>
      </w:pPr>
      <w:rPr>
        <w:rFonts w:hint="eastAsia"/>
      </w:rPr>
    </w:lvl>
    <w:lvl w:ilvl="7">
      <w:start w:val="1"/>
      <w:numFmt w:val="decimal"/>
      <w:pStyle w:val="Heading8"/>
      <w:suff w:val="space"/>
      <w:lvlText w:val="%1.%2.%3.%4.%5.%6.%7.%8"/>
      <w:lvlJc w:val="left"/>
      <w:pPr>
        <w:ind w:left="425" w:hanging="425"/>
      </w:pPr>
      <w:rPr>
        <w:rFonts w:hint="eastAsia"/>
      </w:rPr>
    </w:lvl>
    <w:lvl w:ilvl="8">
      <w:start w:val="1"/>
      <w:numFmt w:val="decimal"/>
      <w:pStyle w:val="Heading9"/>
      <w:suff w:val="space"/>
      <w:lvlText w:val="%1.%2.%3.%4.%5.%6.%7.%8.%9"/>
      <w:lvlJc w:val="left"/>
      <w:pPr>
        <w:ind w:left="425" w:hanging="425"/>
      </w:pPr>
      <w:rPr>
        <w:rFonts w:hint="eastAsia"/>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324"/>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125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0CF2"/>
    <w:rsid w:val="000A184C"/>
    <w:rsid w:val="000A2D1B"/>
    <w:rsid w:val="000A33F0"/>
    <w:rsid w:val="000A402C"/>
    <w:rsid w:val="000A565D"/>
    <w:rsid w:val="000A63F4"/>
    <w:rsid w:val="000B06DC"/>
    <w:rsid w:val="000B1286"/>
    <w:rsid w:val="000B1C09"/>
    <w:rsid w:val="000B3013"/>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46AE"/>
    <w:rsid w:val="000E6BAF"/>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1E8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55A99"/>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265B"/>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1ACF"/>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3273"/>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424F"/>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12FF"/>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1019"/>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6F53"/>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47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4F6AC2"/>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2CB0"/>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2F51"/>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5FCD"/>
    <w:rsid w:val="00656B46"/>
    <w:rsid w:val="00663788"/>
    <w:rsid w:val="00665215"/>
    <w:rsid w:val="0066689A"/>
    <w:rsid w:val="006675B8"/>
    <w:rsid w:val="00670C3A"/>
    <w:rsid w:val="0067132F"/>
    <w:rsid w:val="006716C6"/>
    <w:rsid w:val="006725B7"/>
    <w:rsid w:val="0067421A"/>
    <w:rsid w:val="00675155"/>
    <w:rsid w:val="00676887"/>
    <w:rsid w:val="00677C4C"/>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2DF3"/>
    <w:rsid w:val="006E7057"/>
    <w:rsid w:val="006E7CC0"/>
    <w:rsid w:val="006F0783"/>
    <w:rsid w:val="006F07B1"/>
    <w:rsid w:val="006F0FDD"/>
    <w:rsid w:val="006F1827"/>
    <w:rsid w:val="006F1923"/>
    <w:rsid w:val="006F1E00"/>
    <w:rsid w:val="006F3BDD"/>
    <w:rsid w:val="006F4261"/>
    <w:rsid w:val="006F4570"/>
    <w:rsid w:val="006F77AB"/>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1DC"/>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444"/>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0ADF"/>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00E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0948"/>
    <w:rsid w:val="00A1187E"/>
    <w:rsid w:val="00A11B12"/>
    <w:rsid w:val="00A13A0A"/>
    <w:rsid w:val="00A13C73"/>
    <w:rsid w:val="00A14BF2"/>
    <w:rsid w:val="00A1629B"/>
    <w:rsid w:val="00A16CA3"/>
    <w:rsid w:val="00A1758A"/>
    <w:rsid w:val="00A21F28"/>
    <w:rsid w:val="00A22D65"/>
    <w:rsid w:val="00A22FAA"/>
    <w:rsid w:val="00A26469"/>
    <w:rsid w:val="00A30186"/>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5B4E"/>
    <w:rsid w:val="00A96395"/>
    <w:rsid w:val="00AA1282"/>
    <w:rsid w:val="00AA2238"/>
    <w:rsid w:val="00AA25DA"/>
    <w:rsid w:val="00AA3160"/>
    <w:rsid w:val="00AA4670"/>
    <w:rsid w:val="00AA493B"/>
    <w:rsid w:val="00AB079C"/>
    <w:rsid w:val="00AB0B0A"/>
    <w:rsid w:val="00AB32E9"/>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35B"/>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6B2"/>
    <w:rsid w:val="00BA7DB7"/>
    <w:rsid w:val="00BB089D"/>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3A89"/>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C6DB0"/>
    <w:rsid w:val="00CD1AF8"/>
    <w:rsid w:val="00CD1B4C"/>
    <w:rsid w:val="00CD505A"/>
    <w:rsid w:val="00CD5A19"/>
    <w:rsid w:val="00CD5E80"/>
    <w:rsid w:val="00CD6133"/>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587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07CFC"/>
    <w:rsid w:val="00E10352"/>
    <w:rsid w:val="00E105B8"/>
    <w:rsid w:val="00E10CE0"/>
    <w:rsid w:val="00E10E35"/>
    <w:rsid w:val="00E114DB"/>
    <w:rsid w:val="00E12D13"/>
    <w:rsid w:val="00E12E96"/>
    <w:rsid w:val="00E137B1"/>
    <w:rsid w:val="00E140A3"/>
    <w:rsid w:val="00E14AA7"/>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06979"/>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7764B"/>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2765"/>
    <w:rsid w:val="00FB3A27"/>
    <w:rsid w:val="00FB47E1"/>
    <w:rsid w:val="00FB4D32"/>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2736383"/>
    <w:rsid w:val="291772FD"/>
    <w:rsid w:val="2DD27016"/>
    <w:rsid w:val="35AB39C2"/>
    <w:rsid w:val="3E5E12A1"/>
    <w:rsid w:val="42781119"/>
    <w:rsid w:val="436667A6"/>
    <w:rsid w:val="497A4294"/>
    <w:rsid w:val="4A936B87"/>
    <w:rsid w:val="4EBD5EAD"/>
    <w:rsid w:val="54A30F88"/>
    <w:rsid w:val="60BB7BEF"/>
    <w:rsid w:val="60C01CA8"/>
    <w:rsid w:val="66C40F62"/>
    <w:rsid w:val="73A06427"/>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5">
    <w:name w:val="heading 5"/>
    <w:basedOn w:val="Normal"/>
    <w:next w:val="Normal"/>
    <w:link w:val="5"/>
    <w:uiPriority w:val="9"/>
    <w:unhideWhenUsed/>
    <w:qFormat/>
    <w:rsid w:val="000E6BAF"/>
    <w:pPr>
      <w:keepNext/>
      <w:keepLines/>
      <w:numPr>
        <w:ilvl w:val="4"/>
        <w:numId w:val="4"/>
      </w:numPr>
      <w:tabs>
        <w:tab w:val="left" w:pos="480"/>
      </w:tabs>
      <w:spacing w:before="50" w:beforeLines="50" w:after="50" w:afterLines="50" w:line="360" w:lineRule="auto"/>
      <w:ind w:left="0" w:firstLine="0"/>
      <w:jc w:val="left"/>
      <w:outlineLvl w:val="4"/>
    </w:pPr>
    <w:rPr>
      <w:rFonts w:cs="Times New Roman (标题 CS)"/>
      <w:b/>
      <w:color w:val="000000" w:themeColor="text1"/>
      <w:sz w:val="28"/>
      <w:szCs w:val="24"/>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paragraph" w:styleId="Heading7">
    <w:name w:val="heading 7"/>
    <w:basedOn w:val="Normal"/>
    <w:next w:val="Normal"/>
    <w:link w:val="7"/>
    <w:uiPriority w:val="9"/>
    <w:unhideWhenUsed/>
    <w:qFormat/>
    <w:rsid w:val="000E6BAF"/>
    <w:pPr>
      <w:keepNext/>
      <w:keepLines/>
      <w:numPr>
        <w:ilvl w:val="6"/>
        <w:numId w:val="4"/>
      </w:numPr>
      <w:tabs>
        <w:tab w:val="left" w:pos="480"/>
      </w:tabs>
      <w:spacing w:before="50" w:beforeLines="50" w:after="50" w:afterLines="50" w:line="360" w:lineRule="auto"/>
      <w:ind w:left="0" w:firstLine="0"/>
      <w:jc w:val="left"/>
      <w:outlineLvl w:val="6"/>
    </w:pPr>
    <w:rPr>
      <w:rFonts w:cstheme="majorBidi"/>
      <w:b/>
      <w:bCs/>
      <w:color w:val="000000" w:themeColor="text1"/>
      <w:sz w:val="28"/>
      <w:szCs w:val="24"/>
    </w:rPr>
  </w:style>
  <w:style w:type="paragraph" w:styleId="Heading8">
    <w:name w:val="heading 8"/>
    <w:basedOn w:val="Normal"/>
    <w:next w:val="Normal"/>
    <w:link w:val="8"/>
    <w:uiPriority w:val="9"/>
    <w:unhideWhenUsed/>
    <w:rsid w:val="000E6BAF"/>
    <w:pPr>
      <w:keepNext/>
      <w:keepLines/>
      <w:numPr>
        <w:ilvl w:val="7"/>
        <w:numId w:val="4"/>
      </w:numPr>
      <w:tabs>
        <w:tab w:val="left" w:pos="480"/>
      </w:tabs>
      <w:spacing w:line="360" w:lineRule="auto"/>
      <w:ind w:firstLineChars="200"/>
      <w:jc w:val="left"/>
      <w:outlineLvl w:val="7"/>
    </w:pPr>
    <w:rPr>
      <w:rFonts w:cstheme="majorBidi"/>
      <w:color w:val="595959" w:themeColor="text1" w:themeTint="A6"/>
      <w:sz w:val="24"/>
      <w:szCs w:val="24"/>
    </w:rPr>
  </w:style>
  <w:style w:type="paragraph" w:styleId="Heading9">
    <w:name w:val="heading 9"/>
    <w:basedOn w:val="Normal"/>
    <w:next w:val="Normal"/>
    <w:link w:val="9"/>
    <w:uiPriority w:val="9"/>
    <w:unhideWhenUsed/>
    <w:rsid w:val="000E6BAF"/>
    <w:pPr>
      <w:keepNext/>
      <w:keepLines/>
      <w:numPr>
        <w:ilvl w:val="8"/>
        <w:numId w:val="4"/>
      </w:numPr>
      <w:tabs>
        <w:tab w:val="left" w:pos="480"/>
      </w:tabs>
      <w:spacing w:line="360" w:lineRule="auto"/>
      <w:ind w:firstLineChars="200"/>
      <w:jc w:val="left"/>
      <w:outlineLvl w:val="8"/>
    </w:pPr>
    <w:rPr>
      <w:rFonts w:eastAsiaTheme="majorEastAsia" w:cstheme="majorBidi"/>
      <w:color w:val="595959" w:themeColor="text1" w:themeTint="A6"/>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character" w:customStyle="1" w:styleId="5">
    <w:name w:val="标题 5 字符"/>
    <w:basedOn w:val="DefaultParagraphFont"/>
    <w:link w:val="Heading5"/>
    <w:uiPriority w:val="9"/>
    <w:rsid w:val="000E6BAF"/>
    <w:rPr>
      <w:rFonts w:cs="Times New Roman (标题 CS)"/>
      <w:b/>
      <w:color w:val="000000" w:themeColor="text1"/>
      <w:kern w:val="2"/>
      <w:sz w:val="28"/>
      <w:szCs w:val="24"/>
      <w:lang w:eastAsia="zh-CN"/>
    </w:rPr>
  </w:style>
  <w:style w:type="character" w:customStyle="1" w:styleId="7">
    <w:name w:val="标题 7 字符"/>
    <w:basedOn w:val="DefaultParagraphFont"/>
    <w:link w:val="Heading7"/>
    <w:uiPriority w:val="9"/>
    <w:rsid w:val="000E6BAF"/>
    <w:rPr>
      <w:rFonts w:cstheme="majorBidi"/>
      <w:b/>
      <w:bCs/>
      <w:color w:val="000000" w:themeColor="text1"/>
      <w:kern w:val="2"/>
      <w:sz w:val="28"/>
      <w:szCs w:val="24"/>
      <w:lang w:eastAsia="zh-CN"/>
    </w:rPr>
  </w:style>
  <w:style w:type="character" w:customStyle="1" w:styleId="8">
    <w:name w:val="标题 8 字符"/>
    <w:basedOn w:val="DefaultParagraphFont"/>
    <w:link w:val="Heading8"/>
    <w:uiPriority w:val="9"/>
    <w:rsid w:val="000E6BAF"/>
    <w:rPr>
      <w:rFonts w:cstheme="majorBidi"/>
      <w:color w:val="595959" w:themeColor="text1" w:themeTint="A6"/>
      <w:kern w:val="2"/>
      <w:sz w:val="24"/>
      <w:szCs w:val="24"/>
      <w:lang w:eastAsia="zh-CN"/>
    </w:rPr>
  </w:style>
  <w:style w:type="character" w:customStyle="1" w:styleId="9">
    <w:name w:val="标题 9 字符"/>
    <w:basedOn w:val="DefaultParagraphFont"/>
    <w:link w:val="Heading9"/>
    <w:uiPriority w:val="9"/>
    <w:rsid w:val="000E6BAF"/>
    <w:rPr>
      <w:rFonts w:eastAsiaTheme="majorEastAsia" w:cstheme="majorBidi"/>
      <w:color w:val="595959" w:themeColor="text1" w:themeTint="A6"/>
      <w:kern w:val="2"/>
      <w:sz w:val="24"/>
      <w:szCs w:val="24"/>
      <w:lang w:eastAsia="zh-CN"/>
    </w:rPr>
  </w:style>
  <w:style w:type="paragraph" w:customStyle="1" w:styleId="HXLC-">
    <w:name w:val="HXLC-表格正文"/>
    <w:basedOn w:val="Normal"/>
    <w:next w:val="Normal"/>
    <w:qFormat/>
    <w:rsid w:val="000E6BAF"/>
    <w:pPr>
      <w:widowControl/>
      <w:tabs>
        <w:tab w:val="left" w:pos="480"/>
      </w:tabs>
      <w:spacing w:line="360" w:lineRule="auto"/>
      <w:jc w:val="left"/>
    </w:pPr>
    <w:rPr>
      <w:rFonts w:cs="Times New Roman (正文 CS 字体)"/>
      <w:color w:val="000000" w:themeColor="text1"/>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21915</Words>
  <Characters>23114</Characters>
  <Application>Microsoft Office Word</Application>
  <DocSecurity>0</DocSecurity>
  <Lines>231</Lines>
  <Paragraphs>65</Paragraphs>
  <ScaleCrop>false</ScaleCrop>
  <Company>中国气象局</Company>
  <LinksUpToDate>false</LinksUpToDate>
  <CharactersWithSpaces>23227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2026-07-20T07:58:37Z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