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hAnsi="宋体" w:cs="微软雅黑"/>
          <w:b/>
          <w:kern w:val="0"/>
          <w:szCs w:val="21"/>
        </w:rPr>
      </w:pPr>
      <w:r>
        <w:rPr>
          <w:rFonts w:ascii="宋体" w:hAnsi="宋体" w:cs="微软雅黑"/>
          <w:b/>
          <w:kern w:val="0"/>
          <w:szCs w:val="21"/>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rPr>
        <w:instrText>ADDIN CNKISM.UserStyle</w:instrText>
      </w:r>
      <w:r>
        <w:rPr>
          <w:rFonts w:ascii="宋体" w:hAnsi="宋体" w:cs="微软雅黑"/>
          <w:b/>
          <w:kern w:val="0"/>
          <w:szCs w:val="21"/>
        </w:rPr>
        <w:fldChar w:fldCharType="separate"/>
      </w:r>
      <w:r>
        <w:rPr>
          <w:rFonts w:ascii="宋体" w:hAnsi="宋体" w:cs="微软雅黑"/>
          <w:b/>
          <w:kern w:val="0"/>
          <w:szCs w:val="21"/>
        </w:rPr>
        <w:fldChar w:fldCharType="end"/>
      </w:r>
      <w:r>
        <w:rPr>
          <w:rFonts w:ascii="宋体" w:hAnsi="宋体" w:cs="微软雅黑"/>
          <w:b/>
          <w:kern w:val="0"/>
          <w:szCs w:val="21"/>
        </w:rPr>
        <w:t>版本</w:t>
      </w:r>
      <w:r>
        <w:rPr>
          <w:rFonts w:ascii="宋体" w:eastAsia="宋体" w:hAnsi="宋体" w:cs="微软雅黑" w:hint="eastAsia"/>
          <w:b/>
          <w:kern w:val="0"/>
          <w:szCs w:val="21"/>
        </w:rPr>
        <w:t>：20260101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灌云县地基多通道微波辐射计建设项目</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ZQCD-26015</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2026年02月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w:t>
      </w:r>
      <w:r>
        <w:rPr>
          <w:rFonts w:ascii="Times New Roman" w:eastAsia="宋体" w:hAnsi="Times New Roman" w:cs="Times New Roman" w:hint="eastAsia"/>
          <w:b/>
          <w:bCs/>
        </w:rPr>
        <w:t>及本国产品规</w:t>
      </w:r>
      <w:r>
        <w:rPr>
          <w:rFonts w:hint="eastAsia"/>
          <w:b/>
          <w:bCs/>
        </w:rPr>
        <w:t>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tabs>
          <w:tab w:val="left" w:pos="8460"/>
        </w:tabs>
        <w:adjustRightInd w:val="0"/>
        <w:snapToGrid w:val="0"/>
        <w:spacing w:line="360" w:lineRule="auto"/>
        <w:ind w:firstLine="420" w:firstLineChars="200"/>
        <w:jc w:val="left"/>
        <w:rPr>
          <w:rFonts w:ascii="宋体" w:eastAsia="宋体" w:hAnsi="宋体" w:cs="Times New Roman"/>
          <w:bCs/>
          <w:szCs w:val="21"/>
          <w:highlight w:val="none"/>
        </w:rPr>
      </w:pPr>
      <w:r>
        <w:rPr>
          <w:rFonts w:ascii="宋体" w:eastAsia="宋体" w:hAnsi="宋体" w:cs="Times New Roman" w:hint="eastAsia"/>
          <w:bCs/>
          <w:szCs w:val="21"/>
          <w:highlight w:val="none"/>
        </w:rPr>
        <w:t>1.4.</w:t>
      </w:r>
      <w:r>
        <w:rPr>
          <w:rFonts w:ascii="宋体" w:eastAsia="宋体" w:hAnsi="宋体" w:cs="Times New Roman"/>
          <w:bCs/>
          <w:szCs w:val="21"/>
          <w:highlight w:val="none"/>
        </w:rPr>
        <w:t>3</w:t>
      </w:r>
      <w:r>
        <w:rPr>
          <w:rFonts w:ascii="宋体" w:eastAsia="宋体" w:hAnsi="宋体" w:cs="Times New Roman" w:hint="eastAsia"/>
          <w:bCs/>
          <w:szCs w:val="21"/>
          <w:highlight w:val="none"/>
        </w:rPr>
        <w:t xml:space="preserve"> 投标人所投</w:t>
      </w:r>
      <w:r>
        <w:rPr>
          <w:rFonts w:ascii="宋体" w:eastAsia="宋体" w:hAnsi="宋体" w:cs="Times New Roman"/>
          <w:bCs/>
          <w:szCs w:val="21"/>
          <w:highlight w:val="none"/>
        </w:rPr>
        <w:t>产品</w:t>
      </w:r>
      <w:r>
        <w:rPr>
          <w:rFonts w:ascii="宋体" w:eastAsia="宋体" w:hAnsi="宋体" w:cs="Times New Roman" w:hint="eastAsia"/>
          <w:bCs/>
          <w:szCs w:val="21"/>
          <w:highlight w:val="none"/>
        </w:rPr>
        <w:t>符合国务院办公厅《关于在政府采购中实施本国产品标准及相关政策的通知》（国办发〔2025〕34号）关于</w:t>
      </w:r>
      <w:r>
        <w:rPr>
          <w:rFonts w:ascii="宋体" w:eastAsia="宋体" w:hAnsi="宋体" w:cs="Times New Roman"/>
          <w:bCs/>
          <w:szCs w:val="21"/>
          <w:highlight w:val="none"/>
        </w:rPr>
        <w:t>本国产品价格</w:t>
      </w:r>
      <w:r>
        <w:rPr>
          <w:rFonts w:ascii="宋体" w:eastAsia="宋体" w:hAnsi="宋体" w:cs="Times New Roman" w:hint="eastAsia"/>
          <w:bCs/>
          <w:szCs w:val="21"/>
          <w:highlight w:val="none"/>
        </w:rPr>
        <w:t>评审</w:t>
      </w:r>
      <w:r>
        <w:rPr>
          <w:rFonts w:ascii="宋体" w:eastAsia="宋体" w:hAnsi="宋体" w:cs="Times New Roman"/>
          <w:bCs/>
          <w:szCs w:val="21"/>
          <w:highlight w:val="none"/>
        </w:rPr>
        <w:t>优惠条件的，</w:t>
      </w:r>
      <w:r>
        <w:rPr>
          <w:rFonts w:ascii="宋体" w:eastAsia="宋体" w:hAnsi="宋体" w:cs="Times New Roman" w:hint="eastAsia"/>
          <w:bCs/>
          <w:szCs w:val="21"/>
          <w:highlight w:val="none"/>
        </w:rPr>
        <w:t>投标人可按照第二章投标文件格式的要求提供《关于符合本国产品标准的声明函》或财政部会同有关部门规定的有关证明文件，</w:t>
      </w:r>
      <w:r>
        <w:rPr>
          <w:rFonts w:ascii="宋体" w:eastAsia="宋体" w:hAnsi="宋体" w:cs="Times New Roman"/>
          <w:bCs/>
          <w:szCs w:val="21"/>
          <w:highlight w:val="none"/>
        </w:rPr>
        <w:t>将</w:t>
      </w:r>
      <w:r>
        <w:rPr>
          <w:rFonts w:ascii="宋体" w:eastAsia="宋体" w:hAnsi="宋体" w:cs="Times New Roman" w:hint="eastAsia"/>
          <w:bCs/>
          <w:szCs w:val="21"/>
          <w:highlight w:val="none"/>
        </w:rPr>
        <w:t>对该投标人的</w:t>
      </w:r>
      <w:r>
        <w:rPr>
          <w:rFonts w:ascii="宋体" w:eastAsia="宋体" w:hAnsi="宋体" w:cs="Times New Roman"/>
          <w:bCs/>
          <w:szCs w:val="21"/>
          <w:highlight w:val="none"/>
        </w:rPr>
        <w:t>总报价</w:t>
      </w:r>
      <w:r>
        <w:rPr>
          <w:rFonts w:ascii="宋体" w:eastAsia="宋体" w:hAnsi="宋体" w:cs="Times New Roman" w:hint="eastAsia"/>
          <w:bCs/>
          <w:szCs w:val="21"/>
          <w:highlight w:val="none"/>
        </w:rPr>
        <w:t>给予价格评审优惠，即对该投标人的总报价给予20%的价格扣除，用扣除后的价格参与评审。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01068406642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Times New Roman" w:eastAsia="宋体" w:hAnsi="Times New Roman" w:cs="Times New Roman"/>
        </w:rPr>
      </w:pPr>
      <w:r>
        <w:rPr>
          <w:rFonts w:ascii="宋体" w:eastAsia="宋体" w:hAnsi="宋体" w:cs="Times New Roman"/>
          <w:bCs/>
        </w:rPr>
        <w:fldChar w:fldCharType="begin"/>
      </w:r>
      <w:r>
        <w:rPr>
          <w:rFonts w:ascii="宋体" w:eastAsia="宋体" w:hAnsi="宋体" w:cs="Times New Roman"/>
          <w:bCs/>
        </w:rPr>
        <w:instrText xml:space="preserve"> </w:instrText>
      </w:r>
      <w:r>
        <w:rPr>
          <w:rFonts w:ascii="宋体" w:eastAsia="宋体" w:hAnsi="宋体" w:cs="Times New Roman" w:hint="eastAsia"/>
          <w:bCs/>
        </w:rPr>
        <w:instrText>eq \o\ac(</w:instrText>
      </w:r>
      <w:r>
        <w:rPr>
          <w:rFonts w:ascii="宋体" w:eastAsia="宋体" w:hAnsi="宋体" w:cs="Times New Roman" w:hint="eastAsia"/>
          <w:bCs/>
        </w:rPr>
        <w:instrText>○</w:instrText>
      </w:r>
      <w:r>
        <w:rPr>
          <w:rFonts w:ascii="宋体" w:eastAsia="宋体" w:hAnsi="宋体" w:cs="Times New Roman" w:hint="eastAsia"/>
          <w:bCs/>
        </w:rPr>
        <w:instrText>,</w:instrText>
      </w:r>
      <w:r>
        <w:rPr>
          <w:rFonts w:ascii="宋体" w:eastAsia="宋体" w:hAnsi="宋体" w:cs="Times New Roman" w:hint="eastAsia"/>
          <w:bCs/>
          <w:position w:val="2"/>
          <w:sz w:val="14"/>
        </w:rPr>
        <w:instrText>12</w:instrText>
      </w:r>
      <w:r>
        <w:rPr>
          <w:rFonts w:ascii="宋体" w:eastAsia="宋体" w:hAnsi="宋体" w:cs="Times New Roman" w:hint="eastAsia"/>
          <w:bCs/>
        </w:rPr>
        <w:instrText>)</w:instrText>
      </w:r>
      <w:r>
        <w:rPr>
          <w:rFonts w:ascii="宋体" w:eastAsia="宋体" w:hAnsi="宋体" w:cs="Times New Roman"/>
          <w:bCs/>
        </w:rPr>
        <w:fldChar w:fldCharType="separate"/>
      </w:r>
      <w:r>
        <w:rPr>
          <w:rFonts w:ascii="宋体" w:eastAsia="宋体" w:hAnsi="宋体" w:cs="Times New Roman"/>
          <w:bCs/>
        </w:rPr>
        <w:fldChar w:fldCharType="end"/>
      </w:r>
      <w:r>
        <w:rPr>
          <w:rFonts w:ascii="宋体" w:eastAsia="宋体" w:hAnsi="宋体" w:cs="Times New Roman"/>
          <w:szCs w:val="21"/>
        </w:rPr>
        <w:t>*</w:t>
      </w:r>
      <w:r>
        <w:rPr>
          <w:rFonts w:ascii="Times New Roman" w:eastAsia="宋体" w:hAnsi="Times New Roman" w:cs="Times New Roman" w:hint="eastAsia"/>
        </w:rPr>
        <w:t>按照</w:t>
      </w:r>
      <w:r>
        <w:rPr>
          <w:rFonts w:ascii="Times New Roman" w:eastAsia="宋体" w:hAnsi="Times New Roman" w:cs="Times New Roman" w:hint="eastAsia"/>
          <w:b/>
        </w:rPr>
        <w:t>第五章投标人须知专用部分5.2条</w:t>
      </w:r>
      <w:r>
        <w:rPr>
          <w:rFonts w:ascii="Times New Roman" w:eastAsia="宋体" w:hAnsi="Times New Roman" w:cs="Times New Roman" w:hint="eastAsia"/>
        </w:rPr>
        <w:t>规定应提交的特殊资质条件证明文件</w:t>
      </w:r>
    </w:p>
    <w:p>
      <w:pPr>
        <w:tabs>
          <w:tab w:val="left" w:pos="5580"/>
        </w:tabs>
        <w:adjustRightInd w:val="0"/>
        <w:snapToGrid w:val="0"/>
        <w:spacing w:line="360" w:lineRule="auto"/>
        <w:ind w:firstLine="840" w:firstLineChars="400"/>
        <w:jc w:val="left"/>
        <w:rPr>
          <w:rFonts w:ascii="Times New Roman" w:eastAsia="宋体" w:hAnsi="Times New Roman" w:cs="Times New Roman"/>
          <w:highlight w:val="none"/>
        </w:rPr>
      </w:pPr>
      <w:r>
        <w:rPr>
          <w:rFonts w:ascii="宋体" w:eastAsia="宋体" w:hAnsi="宋体" w:cs="Times New Roman"/>
          <w:bCs/>
          <w:highlight w:val="none"/>
        </w:rPr>
        <w:fldChar w:fldCharType="begin"/>
      </w:r>
      <w:r>
        <w:rPr>
          <w:rFonts w:ascii="宋体" w:eastAsia="宋体" w:hAnsi="宋体" w:cs="Times New Roman"/>
          <w:bCs/>
          <w:highlight w:val="none"/>
        </w:rPr>
        <w:instrText xml:space="preserve"> </w:instrText>
      </w:r>
      <w:r>
        <w:rPr>
          <w:rFonts w:ascii="宋体" w:eastAsia="宋体" w:hAnsi="宋体" w:cs="Times New Roman" w:hint="eastAsia"/>
          <w:bCs/>
          <w:highlight w:val="none"/>
        </w:rPr>
        <w:instrText>eq \o\ac(</w:instrText>
      </w:r>
      <w:r>
        <w:rPr>
          <w:rFonts w:ascii="宋体" w:eastAsia="宋体" w:hAnsi="宋体" w:cs="Times New Roman" w:hint="eastAsia"/>
          <w:bCs/>
          <w:highlight w:val="none"/>
        </w:rPr>
        <w:instrText>○</w:instrText>
      </w:r>
      <w:r>
        <w:rPr>
          <w:rFonts w:ascii="宋体" w:eastAsia="宋体" w:hAnsi="宋体" w:cs="Times New Roman" w:hint="eastAsia"/>
          <w:bCs/>
          <w:highlight w:val="none"/>
        </w:rPr>
        <w:instrText>,13)</w:instrText>
      </w:r>
      <w:r>
        <w:rPr>
          <w:rFonts w:ascii="宋体" w:eastAsia="宋体" w:hAnsi="宋体" w:cs="Times New Roman"/>
          <w:bCs/>
          <w:highlight w:val="none"/>
        </w:rPr>
        <w:fldChar w:fldCharType="separate"/>
      </w:r>
      <w:r>
        <w:rPr>
          <w:rFonts w:ascii="宋体" w:eastAsia="宋体" w:hAnsi="宋体" w:cs="Times New Roman"/>
          <w:bCs/>
          <w:highlight w:val="none"/>
        </w:rPr>
        <w:fldChar w:fldCharType="end"/>
      </w:r>
      <w:r>
        <w:rPr>
          <w:rFonts w:ascii="宋体" w:eastAsia="宋体" w:hAnsi="宋体" w:cs="Times New Roman" w:hint="eastAsia"/>
          <w:szCs w:val="21"/>
          <w:highlight w:val="none"/>
        </w:rPr>
        <w:t>《关于符合本国产品标准的声明函》或财政部会同有关部门规定的有关证明文件（</w:t>
      </w:r>
      <w:r>
        <w:rPr>
          <w:rFonts w:ascii="宋体" w:eastAsia="宋体" w:hAnsi="宋体" w:cs="Times New Roman" w:hint="eastAsia"/>
          <w:bCs/>
          <w:szCs w:val="21"/>
          <w:highlight w:val="none"/>
        </w:rPr>
        <w:t>投标人所投</w:t>
      </w:r>
      <w:r>
        <w:rPr>
          <w:rFonts w:ascii="宋体" w:eastAsia="宋体" w:hAnsi="宋体" w:cs="Times New Roman"/>
          <w:bCs/>
          <w:szCs w:val="21"/>
          <w:highlight w:val="none"/>
        </w:rPr>
        <w:t>产品</w:t>
      </w:r>
      <w:r>
        <w:rPr>
          <w:rFonts w:ascii="宋体" w:eastAsia="宋体" w:hAnsi="宋体" w:cs="Times New Roman" w:hint="eastAsia"/>
          <w:bCs/>
          <w:szCs w:val="21"/>
          <w:highlight w:val="none"/>
        </w:rPr>
        <w:t>符合国务院办公厅《关于在政府采购中实施本国产品标准及相关政策的通知》（国办发〔2025〕34号）关于</w:t>
      </w:r>
      <w:r>
        <w:rPr>
          <w:rFonts w:ascii="宋体" w:eastAsia="宋体" w:hAnsi="宋体" w:cs="Times New Roman"/>
          <w:bCs/>
          <w:szCs w:val="21"/>
          <w:highlight w:val="none"/>
        </w:rPr>
        <w:t>本国产品价格</w:t>
      </w:r>
      <w:r>
        <w:rPr>
          <w:rFonts w:ascii="宋体" w:eastAsia="宋体" w:hAnsi="宋体" w:cs="Times New Roman" w:hint="eastAsia"/>
          <w:bCs/>
          <w:szCs w:val="21"/>
          <w:highlight w:val="none"/>
        </w:rPr>
        <w:t>评审</w:t>
      </w:r>
      <w:r>
        <w:rPr>
          <w:rFonts w:ascii="宋体" w:eastAsia="宋体" w:hAnsi="宋体" w:cs="Times New Roman"/>
          <w:bCs/>
          <w:szCs w:val="21"/>
          <w:highlight w:val="none"/>
        </w:rPr>
        <w:t>优惠条件的</w:t>
      </w:r>
      <w:r>
        <w:rPr>
          <w:rFonts w:ascii="宋体" w:eastAsia="宋体" w:hAnsi="宋体" w:cs="Times New Roman" w:hint="eastAsia"/>
          <w:bCs/>
          <w:szCs w:val="21"/>
          <w:highlight w:val="none"/>
        </w:rPr>
        <w:t>提供</w:t>
      </w:r>
      <w:r>
        <w:rPr>
          <w:rFonts w:ascii="宋体" w:eastAsia="宋体" w:hAnsi="宋体" w:cs="Times New Roman"/>
          <w:bCs/>
          <w:szCs w:val="21"/>
          <w:highlight w:val="none"/>
        </w:rPr>
        <w:t>，如</w:t>
      </w:r>
      <w:r>
        <w:rPr>
          <w:rFonts w:ascii="宋体" w:eastAsia="宋体" w:hAnsi="宋体" w:cs="Times New Roman" w:hint="eastAsia"/>
          <w:bCs/>
          <w:szCs w:val="21"/>
          <w:highlight w:val="none"/>
        </w:rPr>
        <w:t>符合上述</w:t>
      </w:r>
      <w:r>
        <w:rPr>
          <w:rFonts w:ascii="宋体" w:eastAsia="宋体" w:hAnsi="宋体" w:cs="Times New Roman"/>
          <w:bCs/>
          <w:szCs w:val="21"/>
          <w:highlight w:val="none"/>
        </w:rPr>
        <w:t>条件</w:t>
      </w:r>
      <w:r>
        <w:rPr>
          <w:rFonts w:ascii="宋体" w:eastAsia="宋体" w:hAnsi="宋体" w:cs="Times New Roman" w:hint="eastAsia"/>
          <w:bCs/>
          <w:szCs w:val="21"/>
          <w:highlight w:val="none"/>
        </w:rPr>
        <w:t>但</w:t>
      </w:r>
      <w:r>
        <w:rPr>
          <w:rFonts w:ascii="宋体" w:eastAsia="宋体" w:hAnsi="宋体" w:cs="Times New Roman"/>
          <w:bCs/>
          <w:szCs w:val="21"/>
          <w:highlight w:val="none"/>
        </w:rPr>
        <w:t>未能提供，将不能享受价格扣除优惠</w:t>
      </w:r>
      <w:r>
        <w:rPr>
          <w:rFonts w:ascii="宋体" w:eastAsia="宋体" w:hAnsi="宋体" w:cs="Times New Roman" w:hint="eastAsia"/>
          <w:szCs w:val="21"/>
          <w:highlight w:val="none"/>
        </w:rPr>
        <w:t>）</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widowControl w:val="0"/>
        <w:numPr>
          <w:ilvl w:val="0"/>
          <w:numId w:val="0"/>
        </w:numPr>
        <w:tabs>
          <w:tab w:val="left" w:pos="709"/>
          <w:tab w:val="left" w:pos="1573"/>
        </w:tabs>
        <w:adjustRightInd w:val="0"/>
        <w:snapToGrid w:val="0"/>
        <w:spacing w:line="360" w:lineRule="auto"/>
        <w:ind w:firstLine="420" w:firstLineChars="200"/>
        <w:jc w:val="both"/>
        <w:rPr>
          <w:rFonts w:ascii="宋体" w:eastAsia="宋体" w:hAnsi="宋体" w:cs="Times New Roman"/>
          <w:bCs/>
          <w:kern w:val="2"/>
          <w:sz w:val="21"/>
          <w:szCs w:val="21"/>
          <w:lang w:val="en-US" w:eastAsia="zh-CN" w:bidi="ar-SA"/>
        </w:rPr>
      </w:pPr>
      <w:r>
        <w:rPr>
          <w:rFonts w:ascii="宋体" w:eastAsia="宋体" w:hAnsi="宋体" w:cs="Times New Roman" w:hint="eastAsia"/>
          <w:bCs/>
          <w:kern w:val="2"/>
          <w:sz w:val="21"/>
          <w:szCs w:val="21"/>
          <w:lang w:val="en-US" w:eastAsia="zh-CN" w:bidi="ar-SA"/>
        </w:rPr>
        <w:t>1.28.3</w:t>
      </w:r>
      <w:r>
        <w:rPr>
          <w:rFonts w:ascii="宋体" w:eastAsia="宋体" w:hAnsi="宋体" w:cs="Times New Roman" w:hint="eastAsia"/>
          <w:b/>
          <w:bCs/>
          <w:kern w:val="2"/>
          <w:sz w:val="21"/>
          <w:szCs w:val="21"/>
          <w:lang w:val="en-US" w:eastAsia="zh-CN" w:bidi="ar-SA"/>
        </w:rPr>
        <w:t>除第六章评标方法和评标标准</w:t>
      </w:r>
      <w:r>
        <w:rPr>
          <w:rFonts w:ascii="宋体" w:eastAsia="宋体" w:hAnsi="宋体" w:cs="Times New Roman" w:hint="eastAsia"/>
          <w:bCs/>
          <w:kern w:val="2"/>
          <w:sz w:val="21"/>
          <w:szCs w:val="21"/>
          <w:lang w:val="en-US" w:eastAsia="zh-CN" w:bidi="ar-SA"/>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widowControl w:val="0"/>
        <w:numPr>
          <w:ilvl w:val="0"/>
          <w:numId w:val="0"/>
        </w:numPr>
        <w:tabs>
          <w:tab w:val="left" w:pos="709"/>
          <w:tab w:val="left" w:pos="1573"/>
        </w:tabs>
        <w:adjustRightInd w:val="0"/>
        <w:snapToGrid w:val="0"/>
        <w:spacing w:line="360" w:lineRule="auto"/>
        <w:ind w:firstLine="420" w:firstLineChars="200"/>
        <w:jc w:val="both"/>
        <w:rPr>
          <w:rFonts w:ascii="宋体" w:eastAsia="宋体" w:hAnsi="宋体" w:cs="Times New Roman"/>
          <w:kern w:val="2"/>
          <w:sz w:val="21"/>
          <w:szCs w:val="21"/>
          <w:lang w:val="en-US" w:eastAsia="zh-CN" w:bidi="ar-SA"/>
        </w:rPr>
      </w:pPr>
      <w:r>
        <w:rPr>
          <w:rFonts w:ascii="宋体" w:eastAsia="宋体" w:hAnsi="宋体" w:cs="Times New Roman" w:hint="eastAsia"/>
          <w:kern w:val="2"/>
          <w:sz w:val="21"/>
          <w:szCs w:val="21"/>
          <w:lang w:val="en-US" w:eastAsia="zh-CN" w:bidi="ar-SA"/>
        </w:rPr>
        <w:t>（1）业绩。投标人类似项目的业绩等；</w:t>
      </w:r>
    </w:p>
    <w:p>
      <w:pPr>
        <w:widowControl w:val="0"/>
        <w:numPr>
          <w:ilvl w:val="0"/>
          <w:numId w:val="0"/>
        </w:numPr>
        <w:tabs>
          <w:tab w:val="left" w:pos="709"/>
          <w:tab w:val="left" w:pos="1573"/>
        </w:tabs>
        <w:adjustRightInd w:val="0"/>
        <w:snapToGrid w:val="0"/>
        <w:spacing w:line="360" w:lineRule="auto"/>
        <w:ind w:firstLine="420" w:firstLineChars="200"/>
        <w:jc w:val="both"/>
        <w:rPr>
          <w:rFonts w:ascii="宋体" w:eastAsia="宋体" w:hAnsi="宋体" w:cs="Times New Roman"/>
          <w:kern w:val="2"/>
          <w:sz w:val="21"/>
          <w:szCs w:val="21"/>
          <w:lang w:val="en-US" w:eastAsia="zh-CN" w:bidi="ar-SA"/>
        </w:rPr>
      </w:pPr>
      <w:r>
        <w:rPr>
          <w:rFonts w:ascii="宋体" w:eastAsia="宋体" w:hAnsi="宋体" w:cs="Times New Roman" w:hint="eastAsia"/>
          <w:kern w:val="2"/>
          <w:sz w:val="21"/>
          <w:szCs w:val="21"/>
          <w:lang w:val="en-US" w:eastAsia="zh-CN" w:bidi="ar-SA"/>
        </w:rPr>
        <w:t>（</w:t>
      </w:r>
      <w:r>
        <w:rPr>
          <w:rFonts w:ascii="宋体" w:eastAsia="宋体" w:hAnsi="宋体" w:cs="Times New Roman"/>
          <w:kern w:val="2"/>
          <w:sz w:val="21"/>
          <w:szCs w:val="21"/>
          <w:lang w:val="en-US" w:eastAsia="zh-CN" w:bidi="ar-SA"/>
        </w:rPr>
        <w:t>2</w:t>
      </w:r>
      <w:r>
        <w:rPr>
          <w:rFonts w:ascii="宋体" w:eastAsia="宋体" w:hAnsi="宋体" w:cs="Times New Roman" w:hint="eastAsia"/>
          <w:kern w:val="2"/>
          <w:sz w:val="21"/>
          <w:szCs w:val="21"/>
          <w:lang w:val="en-US" w:eastAsia="zh-CN" w:bidi="ar-SA"/>
        </w:rPr>
        <w:t>）投标产品技术性能及质量。包括对招标文件应答情况，技术规格有无偏离，产品的性能、标准，产品的先进性、可靠性、稳定性及质量保证等；</w:t>
      </w:r>
    </w:p>
    <w:p>
      <w:pPr>
        <w:widowControl w:val="0"/>
        <w:numPr>
          <w:ilvl w:val="0"/>
          <w:numId w:val="0"/>
        </w:numPr>
        <w:tabs>
          <w:tab w:val="left" w:pos="709"/>
          <w:tab w:val="left" w:pos="1573"/>
        </w:tabs>
        <w:adjustRightInd w:val="0"/>
        <w:snapToGrid w:val="0"/>
        <w:spacing w:line="360" w:lineRule="auto"/>
        <w:ind w:firstLine="420" w:firstLineChars="200"/>
        <w:jc w:val="both"/>
        <w:rPr>
          <w:rFonts w:ascii="宋体" w:eastAsia="宋体" w:hAnsi="宋体" w:cs="Times New Roman"/>
          <w:kern w:val="2"/>
          <w:sz w:val="21"/>
          <w:szCs w:val="21"/>
          <w:lang w:val="en-US" w:eastAsia="zh-CN" w:bidi="ar-SA"/>
        </w:rPr>
      </w:pPr>
      <w:r>
        <w:rPr>
          <w:rFonts w:ascii="宋体" w:eastAsia="宋体" w:hAnsi="宋体" w:cs="Times New Roman" w:hint="eastAsia"/>
          <w:kern w:val="2"/>
          <w:sz w:val="21"/>
          <w:szCs w:val="21"/>
          <w:lang w:val="en-US" w:eastAsia="zh-CN" w:bidi="ar-SA"/>
        </w:rPr>
        <w:t>（3）售后服务。包括投标人在项目所在地所能提供的售后服务、技术支持机构的情况、售后服务承诺及售后服务人员情况等；</w:t>
      </w:r>
    </w:p>
    <w:p>
      <w:pPr>
        <w:widowControl w:val="0"/>
        <w:numPr>
          <w:ilvl w:val="0"/>
          <w:numId w:val="0"/>
        </w:numPr>
        <w:tabs>
          <w:tab w:val="left" w:pos="709"/>
          <w:tab w:val="left" w:pos="1573"/>
        </w:tabs>
        <w:adjustRightInd w:val="0"/>
        <w:snapToGrid w:val="0"/>
        <w:spacing w:line="360" w:lineRule="auto"/>
        <w:ind w:firstLine="420" w:firstLineChars="200"/>
        <w:jc w:val="both"/>
        <w:rPr>
          <w:rFonts w:ascii="宋体" w:eastAsia="宋体" w:hAnsi="宋体" w:cs="Times New Roman" w:hint="eastAsia"/>
          <w:bCs/>
          <w:kern w:val="2"/>
          <w:sz w:val="21"/>
          <w:szCs w:val="21"/>
          <w:lang w:val="en-US" w:eastAsia="zh-CN" w:bidi="ar-SA"/>
        </w:rPr>
      </w:pPr>
      <w:r>
        <w:rPr>
          <w:rFonts w:ascii="宋体" w:eastAsia="宋体" w:hAnsi="宋体" w:cs="Times New Roman" w:hint="eastAsia"/>
          <w:kern w:val="2"/>
          <w:sz w:val="21"/>
          <w:szCs w:val="21"/>
          <w:highlight w:val="none"/>
          <w:lang w:val="en-US" w:eastAsia="zh-CN" w:bidi="ar-SA"/>
        </w:rPr>
        <w:t>（4）评审价格。开标一览表中该投标人的投标总价。如本项目</w:t>
      </w:r>
      <w:r>
        <w:rPr>
          <w:rFonts w:ascii="宋体" w:eastAsia="宋体" w:hAnsi="宋体" w:cs="Times New Roman" w:hint="eastAsia"/>
          <w:bCs/>
          <w:kern w:val="2"/>
          <w:sz w:val="21"/>
          <w:szCs w:val="21"/>
          <w:highlight w:val="none"/>
          <w:lang w:val="en-US" w:eastAsia="zh-CN" w:bidi="ar-SA"/>
        </w:rPr>
        <w:t>不是专门或部分面向中小企业采购的项目，小微企业享受价格扣除优惠，用扣除后的价格参与评审；投标人所投</w:t>
      </w:r>
      <w:r>
        <w:rPr>
          <w:rFonts w:ascii="宋体" w:eastAsia="宋体" w:hAnsi="宋体" w:cs="Times New Roman"/>
          <w:bCs/>
          <w:kern w:val="2"/>
          <w:sz w:val="21"/>
          <w:szCs w:val="21"/>
          <w:highlight w:val="none"/>
          <w:lang w:val="en-US" w:eastAsia="zh-CN" w:bidi="ar-SA"/>
        </w:rPr>
        <w:t>产品</w:t>
      </w:r>
      <w:r>
        <w:rPr>
          <w:rFonts w:ascii="宋体" w:eastAsia="宋体" w:hAnsi="宋体" w:cs="Times New Roman" w:hint="eastAsia"/>
          <w:bCs/>
          <w:kern w:val="2"/>
          <w:sz w:val="21"/>
          <w:szCs w:val="21"/>
          <w:highlight w:val="none"/>
          <w:lang w:val="en-US" w:eastAsia="zh-CN" w:bidi="ar-SA"/>
        </w:rPr>
        <w:t>符合国务院办公厅《关于在政府采购中实施本国产品标准及相关政策的通知》（国办发〔2025〕34号）关于</w:t>
      </w:r>
      <w:r>
        <w:rPr>
          <w:rFonts w:ascii="宋体" w:eastAsia="宋体" w:hAnsi="宋体" w:cs="Times New Roman"/>
          <w:bCs/>
          <w:kern w:val="2"/>
          <w:sz w:val="21"/>
          <w:szCs w:val="21"/>
          <w:highlight w:val="none"/>
          <w:lang w:val="en-US" w:eastAsia="zh-CN" w:bidi="ar-SA"/>
        </w:rPr>
        <w:t>本国产品价格</w:t>
      </w:r>
      <w:r>
        <w:rPr>
          <w:rFonts w:ascii="宋体" w:eastAsia="宋体" w:hAnsi="宋体" w:cs="Times New Roman" w:hint="eastAsia"/>
          <w:bCs/>
          <w:kern w:val="2"/>
          <w:sz w:val="21"/>
          <w:szCs w:val="21"/>
          <w:highlight w:val="none"/>
          <w:lang w:val="en-US" w:eastAsia="zh-CN" w:bidi="ar-SA"/>
        </w:rPr>
        <w:t>评审</w:t>
      </w:r>
      <w:r>
        <w:rPr>
          <w:rFonts w:ascii="宋体" w:eastAsia="宋体" w:hAnsi="宋体" w:cs="Times New Roman"/>
          <w:bCs/>
          <w:kern w:val="2"/>
          <w:sz w:val="21"/>
          <w:szCs w:val="21"/>
          <w:highlight w:val="none"/>
          <w:lang w:val="en-US" w:eastAsia="zh-CN" w:bidi="ar-SA"/>
        </w:rPr>
        <w:t>优惠条件的，</w:t>
      </w:r>
      <w:r>
        <w:rPr>
          <w:rFonts w:ascii="宋体" w:eastAsia="宋体" w:hAnsi="宋体" w:cs="Times New Roman" w:hint="eastAsia"/>
          <w:bCs/>
          <w:kern w:val="2"/>
          <w:sz w:val="21"/>
          <w:szCs w:val="21"/>
          <w:highlight w:val="none"/>
          <w:lang w:val="en-US" w:eastAsia="zh-CN" w:bidi="ar-SA"/>
        </w:rPr>
        <w:t>享受价格扣除优惠，用扣除后的价格参与评审。具体见1.4.3、1.5.4</w:t>
      </w:r>
      <w:r>
        <w:rPr>
          <w:rFonts w:ascii="宋体" w:eastAsia="宋体" w:hAnsi="宋体" w:cs="Times New Roman" w:hint="eastAsia"/>
          <w:kern w:val="2"/>
          <w:sz w:val="21"/>
          <w:szCs w:val="21"/>
          <w:highlight w:val="none"/>
          <w:lang w:val="en-US" w:eastAsia="zh-CN" w:bidi="ar-SA"/>
        </w:rPr>
        <w:t>及</w:t>
      </w:r>
      <w:r>
        <w:rPr>
          <w:rFonts w:ascii="宋体" w:eastAsia="宋体" w:hAnsi="宋体" w:cs="Times New Roman" w:hint="eastAsia"/>
          <w:b/>
          <w:kern w:val="2"/>
          <w:sz w:val="21"/>
          <w:szCs w:val="21"/>
          <w:highlight w:val="none"/>
          <w:lang w:val="en-US" w:eastAsia="zh-CN" w:bidi="ar-SA"/>
        </w:rPr>
        <w:t>第六章评标方法和评标标准。</w:t>
      </w:r>
      <w:r>
        <w:rPr>
          <w:rFonts w:ascii="宋体" w:eastAsia="宋体" w:hAnsi="宋体" w:cs="Times New Roman" w:hint="eastAsia"/>
          <w:kern w:val="2"/>
          <w:sz w:val="21"/>
          <w:szCs w:val="21"/>
          <w:highlight w:val="none"/>
          <w:lang w:val="en-US" w:eastAsia="zh-CN" w:bidi="ar-SA"/>
        </w:rPr>
        <w:t>如同时</w:t>
      </w:r>
      <w:r>
        <w:rPr>
          <w:rFonts w:ascii="宋体" w:eastAsia="宋体" w:hAnsi="宋体" w:cs="Times New Roman"/>
          <w:kern w:val="2"/>
          <w:sz w:val="21"/>
          <w:szCs w:val="21"/>
          <w:highlight w:val="none"/>
          <w:lang w:val="en-US" w:eastAsia="zh-CN" w:bidi="ar-SA"/>
        </w:rPr>
        <w:t>享受多项</w:t>
      </w:r>
      <w:r>
        <w:rPr>
          <w:rFonts w:ascii="宋体" w:eastAsia="宋体" w:hAnsi="宋体" w:cs="Times New Roman" w:hint="eastAsia"/>
          <w:kern w:val="2"/>
          <w:sz w:val="21"/>
          <w:szCs w:val="21"/>
          <w:highlight w:val="none"/>
          <w:lang w:val="en-US" w:eastAsia="zh-CN" w:bidi="ar-SA"/>
        </w:rPr>
        <w:t>价格</w:t>
      </w:r>
      <w:r>
        <w:rPr>
          <w:rFonts w:ascii="宋体" w:eastAsia="宋体" w:hAnsi="宋体" w:cs="Times New Roman"/>
          <w:kern w:val="2"/>
          <w:sz w:val="21"/>
          <w:szCs w:val="21"/>
          <w:highlight w:val="none"/>
          <w:lang w:val="en-US" w:eastAsia="zh-CN" w:bidi="ar-SA"/>
        </w:rPr>
        <w:t>扣除优惠政策</w:t>
      </w:r>
      <w:r>
        <w:rPr>
          <w:rFonts w:ascii="宋体" w:eastAsia="宋体" w:hAnsi="宋体" w:cs="Times New Roman" w:hint="eastAsia"/>
          <w:kern w:val="2"/>
          <w:sz w:val="21"/>
          <w:szCs w:val="21"/>
          <w:highlight w:val="none"/>
          <w:lang w:val="en-US" w:eastAsia="zh-CN" w:bidi="ar-SA"/>
        </w:rPr>
        <w:t>的</w:t>
      </w:r>
      <w:r>
        <w:rPr>
          <w:rFonts w:ascii="宋体" w:eastAsia="宋体" w:hAnsi="宋体" w:cs="Times New Roman"/>
          <w:kern w:val="2"/>
          <w:sz w:val="21"/>
          <w:szCs w:val="21"/>
          <w:highlight w:val="none"/>
          <w:lang w:val="en-US" w:eastAsia="zh-CN" w:bidi="ar-SA"/>
        </w:rPr>
        <w:t>，</w:t>
      </w:r>
      <w:r>
        <w:rPr>
          <w:rFonts w:ascii="宋体" w:eastAsia="宋体" w:hAnsi="宋体" w:cs="Times New Roman" w:hint="eastAsia"/>
          <w:kern w:val="2"/>
          <w:sz w:val="21"/>
          <w:szCs w:val="21"/>
          <w:highlight w:val="none"/>
          <w:lang w:val="en-US" w:eastAsia="zh-CN" w:bidi="ar-SA"/>
        </w:rPr>
        <w:t>价格</w:t>
      </w:r>
      <w:r>
        <w:rPr>
          <w:rFonts w:ascii="宋体" w:eastAsia="宋体" w:hAnsi="宋体" w:cs="Times New Roman"/>
          <w:kern w:val="2"/>
          <w:sz w:val="21"/>
          <w:szCs w:val="21"/>
          <w:highlight w:val="none"/>
          <w:lang w:val="en-US" w:eastAsia="zh-CN" w:bidi="ar-SA"/>
        </w:rPr>
        <w:t>扣除</w:t>
      </w:r>
      <w:r>
        <w:rPr>
          <w:rFonts w:ascii="宋体" w:eastAsia="宋体" w:hAnsi="宋体" w:cs="Times New Roman" w:hint="eastAsia"/>
          <w:kern w:val="2"/>
          <w:sz w:val="21"/>
          <w:szCs w:val="21"/>
          <w:highlight w:val="none"/>
          <w:lang w:val="en-US" w:eastAsia="zh-CN" w:bidi="ar-SA"/>
        </w:rPr>
        <w:t>基数均</w:t>
      </w:r>
      <w:r>
        <w:rPr>
          <w:rFonts w:ascii="宋体" w:eastAsia="宋体" w:hAnsi="宋体" w:cs="Times New Roman"/>
          <w:kern w:val="2"/>
          <w:sz w:val="21"/>
          <w:szCs w:val="21"/>
          <w:highlight w:val="none"/>
          <w:lang w:val="en-US" w:eastAsia="zh-CN" w:bidi="ar-SA"/>
        </w:rPr>
        <w:t>为</w:t>
      </w:r>
      <w:r>
        <w:rPr>
          <w:rFonts w:ascii="宋体" w:eastAsia="宋体" w:hAnsi="宋体" w:cs="Times New Roman" w:hint="eastAsia"/>
          <w:kern w:val="2"/>
          <w:sz w:val="21"/>
          <w:szCs w:val="21"/>
          <w:highlight w:val="none"/>
          <w:lang w:val="en-US" w:eastAsia="zh-CN" w:bidi="ar-SA"/>
        </w:rPr>
        <w:t>原</w:t>
      </w:r>
      <w:r>
        <w:rPr>
          <w:rFonts w:ascii="宋体" w:eastAsia="宋体" w:hAnsi="宋体" w:cs="Times New Roman"/>
          <w:kern w:val="2"/>
          <w:sz w:val="21"/>
          <w:szCs w:val="21"/>
          <w:highlight w:val="none"/>
          <w:lang w:val="en-US" w:eastAsia="zh-CN" w:bidi="ar-SA"/>
        </w:rPr>
        <w:t>投标报价。</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10</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2.10.1投标人</w:t>
      </w:r>
      <w:r>
        <w:rPr>
          <w:b/>
        </w:rPr>
        <w:t>法人</w:t>
      </w:r>
      <w:r>
        <w:rPr>
          <w:rFonts w:hint="eastAsia"/>
          <w:b/>
        </w:rPr>
        <w:t>资格</w:t>
      </w:r>
      <w:r>
        <w:rPr>
          <w:b/>
        </w:rPr>
        <w:t>证明文件</w:t>
      </w:r>
    </w:p>
    <w:p>
      <w:pPr>
        <w:pStyle w:val="10"/>
        <w:numPr>
          <w:ilvl w:val="0"/>
          <w:numId w:val="0"/>
        </w:numPr>
        <w:tabs>
          <w:tab w:val="left" w:pos="1573"/>
        </w:tabs>
        <w:adjustRightInd w:val="0"/>
        <w:snapToGrid w:val="0"/>
        <w:spacing w:line="360" w:lineRule="auto"/>
        <w:ind w:firstLine="420" w:firstLineChars="200"/>
        <w:jc w:val="left"/>
      </w:pPr>
      <w:r>
        <w:rPr>
          <w:rFonts w:hint="eastAsia"/>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rPr>
      </w:pPr>
      <w:r>
        <w:rPr>
          <w:rFonts w:hint="eastAsia"/>
        </w:rPr>
        <w:t>在格式文本中，除可填报内容外，任何实质性修改将被视为非实质性响应投标，从而导致该投标被</w:t>
      </w:r>
      <w:r>
        <w:rPr>
          <w:rFonts w:eastAsia="拒绝" w:hint="eastAsia"/>
          <w:b/>
        </w:rPr>
        <w:t>拒绝</w:t>
      </w:r>
      <w:r>
        <w:rPr>
          <w:rFonts w:hint="eastAsia"/>
        </w:rPr>
        <w:t>。</w:t>
      </w:r>
    </w:p>
    <w:p>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bookmarkStart w:id="10" w:name="_Hlt509739007"/>
      <w:bookmarkEnd w:id="10"/>
      <w:r>
        <w:rPr>
          <w:rFonts w:hint="eastAsia"/>
          <w:b/>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投标人提供在“信用中国”网站（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Times New Roman" w:eastAsia="宋体" w:hAnsi="Times New Roman" w:cs="Times New Roman" w:hint="eastAsia"/>
          <w:szCs w:val="20"/>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2.10.8进口产品制造商授权书</w:t>
      </w:r>
    </w:p>
    <w:p>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第五章投标人须知专用部分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（投标人地址）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（投标人名称）</w:t>
      </w:r>
      <w:r>
        <w:rPr>
          <w:rFonts w:ascii="华文楷体" w:eastAsia="华文楷体" w:hAnsi="华文楷体" w:cs="Times New Roman" w:hint="eastAsia"/>
          <w:szCs w:val="21"/>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（投标人名称）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（投标人名称） </w:t>
      </w:r>
      <w:r>
        <w:rPr>
          <w:rFonts w:ascii="华文楷体" w:eastAsia="华文楷体" w:hAnsi="华文楷体" w:cs="Times New Roman" w:hint="eastAsia"/>
          <w:szCs w:val="21"/>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（投标人名称）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rPr>
      </w:pP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bookmarkStart w:id="11" w:name="_Toc86202647"/>
      <w:r>
        <w:rPr>
          <w:rFonts w:hint="eastAsia"/>
          <w:b/>
        </w:rPr>
        <w:t>2.10.9中</w:t>
      </w:r>
      <w:r>
        <w:rPr>
          <w:b/>
        </w:rPr>
        <w:t>小企业声明函</w:t>
      </w:r>
      <w:r>
        <w:rPr>
          <w:rFonts w:hint="eastAsia"/>
          <w:b/>
        </w:rPr>
        <w:t>、</w:t>
      </w:r>
      <w:r>
        <w:rPr>
          <w:rFonts w:hint="eastAsia"/>
          <w:b/>
          <w:bCs/>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rPr>
      </w:pPr>
      <w:r>
        <w:rPr>
          <w:rFonts w:ascii="Times New Roman" w:eastAsia="宋体" w:hAnsi="Times New Roman" w:cs="Times New Roman" w:hint="eastAsia"/>
          <w:bCs/>
          <w:szCs w:val="20"/>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rPr>
        <w:t>在《中小企业声明函》、《</w:t>
      </w:r>
      <w:r>
        <w:rPr>
          <w:rFonts w:ascii="Times New Roman" w:eastAsia="宋体" w:hAnsi="Times New Roman" w:cs="Times New Roman" w:hint="eastAsia"/>
          <w:bCs/>
          <w:szCs w:val="20"/>
        </w:rPr>
        <w:t>残疾人福利性单位声明函》</w:t>
      </w:r>
      <w:r>
        <w:rPr>
          <w:rFonts w:ascii="Times New Roman" w:eastAsia="宋体" w:hAnsi="Times New Roman" w:cs="Times New Roman" w:hint="eastAsia"/>
          <w:szCs w:val="20"/>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rPr>
        <w:t>不能享受可能的价格扣除优惠</w:t>
      </w:r>
      <w:r>
        <w:rPr>
          <w:rFonts w:ascii="Times New Roman" w:eastAsia="宋体" w:hAnsi="Times New Roman" w:cs="Times New Roman" w:hint="eastAsia"/>
          <w:szCs w:val="20"/>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本声明由投标人提供，并对其真实性负责。</w:t>
      </w:r>
      <w:r>
        <w:rPr>
          <w:rFonts w:ascii="宋体" w:eastAsia="宋体" w:hAnsi="宋体" w:cs="仿宋_GB2312" w:hint="eastAsia"/>
          <w:szCs w:val="21"/>
          <w:highlight w:val="green"/>
        </w:rPr>
        <w:t>投标人</w:t>
      </w:r>
      <w:r>
        <w:rPr>
          <w:rFonts w:ascii="宋体" w:eastAsia="宋体" w:hAnsi="宋体" w:cs="仿宋_GB2312" w:hint="eastAsia"/>
          <w:szCs w:val="21"/>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rPr>
      </w:pPr>
      <w:r>
        <w:rPr>
          <w:rFonts w:ascii="华文楷体" w:eastAsia="华文楷体" w:hAnsi="华文楷体" w:hint="eastAsia"/>
          <w:b/>
          <w:bCs/>
        </w:rPr>
        <w:t>中小</w:t>
      </w:r>
      <w:r>
        <w:rPr>
          <w:rFonts w:ascii="华文楷体" w:eastAsia="华文楷体" w:hAnsi="华文楷体"/>
          <w:b/>
          <w:bCs/>
        </w:rPr>
        <w:t>企业声明函</w:t>
      </w:r>
      <w:r>
        <w:rPr>
          <w:rFonts w:ascii="华文楷体" w:eastAsia="华文楷体" w:hAnsi="华文楷体" w:hint="eastAsia"/>
          <w:b/>
          <w:bCs/>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rPr>
      </w:pPr>
      <w:r>
        <w:rPr>
          <w:rFonts w:ascii="华文楷体" w:eastAsia="华文楷体" w:hAnsi="华文楷体" w:cs="仿宋_GB2312" w:hint="eastAsia"/>
          <w:szCs w:val="21"/>
        </w:rPr>
        <w:t>本公司（联合体）郑重声明，根据《政府采购促进中小企业发展管理办法》（财库﹝2020﹞46 号）的规定，本公司（联合体）参加</w:t>
      </w:r>
      <w:r>
        <w:rPr>
          <w:rFonts w:ascii="华文楷体" w:eastAsia="华文楷体" w:hAnsi="华文楷体" w:cs="仿宋_GB2312" w:hint="eastAsia"/>
          <w:szCs w:val="21"/>
          <w:u w:val="single"/>
        </w:rPr>
        <w:t>（单位名称）</w:t>
      </w:r>
      <w:r>
        <w:rPr>
          <w:rFonts w:ascii="华文楷体" w:eastAsia="华文楷体" w:hAnsi="华文楷体" w:cs="仿宋_GB2312" w:hint="eastAsia"/>
          <w:szCs w:val="21"/>
        </w:rPr>
        <w:t>的</w:t>
      </w:r>
      <w:r>
        <w:rPr>
          <w:rFonts w:ascii="华文楷体" w:eastAsia="华文楷体" w:hAnsi="华文楷体" w:cs="仿宋_GB2312" w:hint="eastAsia"/>
          <w:szCs w:val="21"/>
          <w:u w:val="single"/>
        </w:rPr>
        <w:t>（项目名称）</w:t>
      </w:r>
      <w:r>
        <w:rPr>
          <w:rFonts w:ascii="华文楷体" w:eastAsia="华文楷体" w:hAnsi="华文楷体" w:cs="仿宋_GB2312" w:hint="eastAsia"/>
          <w:szCs w:val="21"/>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1.</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2.</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rPr>
      </w:pPr>
      <w:r>
        <w:rPr>
          <w:rFonts w:ascii="华文楷体" w:eastAsia="华文楷体" w:hAnsi="华文楷体" w:cs="仿宋" w:hint="eastAsia"/>
          <w:szCs w:val="21"/>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rPr>
      </w:pPr>
    </w:p>
    <w:p>
      <w:pPr>
        <w:adjustRightInd w:val="0"/>
        <w:snapToGrid w:val="0"/>
        <w:spacing w:line="480" w:lineRule="auto"/>
        <w:ind w:right="105" w:firstLine="3780" w:rightChars="50" w:firstLineChars="1800"/>
        <w:jc w:val="left"/>
        <w:rPr>
          <w:rFonts w:ascii="华文楷体" w:eastAsia="华文楷体" w:hAnsi="华文楷体" w:cs="仿宋_GB2312"/>
          <w:szCs w:val="21"/>
        </w:rPr>
      </w:pPr>
      <w:r>
        <w:rPr>
          <w:rFonts w:ascii="华文楷体" w:eastAsia="华文楷体" w:hAnsi="华文楷体" w:cs="仿宋_GB2312" w:hint="eastAsia"/>
          <w:szCs w:val="21"/>
        </w:rPr>
        <w:t>投标人名称（电子签章）：</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u w:val="single"/>
        </w:rPr>
      </w:pPr>
      <w:r>
        <w:rPr>
          <w:rFonts w:ascii="华文楷体" w:eastAsia="华文楷体" w:hAnsi="华文楷体" w:cs="仿宋_GB2312" w:hint="eastAsia"/>
          <w:szCs w:val="21"/>
        </w:rPr>
        <w:t>日 期：</w:t>
      </w:r>
      <w:r>
        <w:rPr>
          <w:rFonts w:ascii="华文楷体" w:eastAsia="华文楷体" w:hAnsi="华文楷体" w:cs="仿宋_GB2312" w:hint="eastAsia"/>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rPr>
      </w:pPr>
    </w:p>
    <w:p>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r>
        <w:rPr>
          <w:rFonts w:ascii="华文楷体" w:eastAsia="华文楷体" w:hAnsi="华文楷体" w:cs="Times New Roman" w:hint="eastAsia"/>
          <w:bCs/>
          <w:szCs w:val="20"/>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rPr>
      </w:pP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2.10.10</w:t>
      </w:r>
      <w:r>
        <w:rPr>
          <w:rFonts w:hint="eastAsia"/>
          <w:b/>
          <w:highlight w:val="green"/>
        </w:rPr>
        <w:t>联合体协议</w:t>
      </w:r>
    </w:p>
    <w:p>
      <w:pPr>
        <w:tabs>
          <w:tab w:val="left" w:pos="1573"/>
        </w:tabs>
        <w:autoSpaceDN w:val="0"/>
        <w:adjustRightInd w:val="0"/>
        <w:snapToGrid w:val="0"/>
        <w:spacing w:line="360" w:lineRule="auto"/>
        <w:rPr>
          <w:rFonts w:ascii="宋体" w:eastAsia="宋体" w:hAnsi="宋体" w:cs="Times New Roman" w:hint="eastAsia"/>
          <w:b/>
          <w:szCs w:val="21"/>
        </w:rPr>
      </w:pPr>
      <w:r>
        <w:rPr>
          <w:rFonts w:ascii="宋体" w:eastAsia="宋体" w:hAnsi="宋体" w:cs="Times New Roman" w:hint="eastAsia"/>
          <w:b/>
          <w:szCs w:val="21"/>
        </w:rPr>
        <w:t xml:space="preserve">    </w:t>
      </w:r>
      <w:r>
        <w:rPr>
          <w:rFonts w:ascii="宋体" w:eastAsia="宋体" w:hAnsi="宋体" w:cs="Times New Roman" w:hint="eastAsia"/>
          <w:szCs w:val="21"/>
        </w:rPr>
        <w:t>投标人为</w:t>
      </w:r>
      <w:r>
        <w:rPr>
          <w:rFonts w:ascii="宋体" w:eastAsia="宋体" w:hAnsi="宋体" w:cs="Times New Roman" w:hint="eastAsia"/>
          <w:szCs w:val="21"/>
          <w:highlight w:val="green"/>
        </w:rPr>
        <w:t>联合体</w:t>
      </w:r>
      <w:r>
        <w:rPr>
          <w:rFonts w:ascii="宋体" w:eastAsia="宋体" w:hAnsi="宋体" w:cs="Times New Roman" w:hint="eastAsia"/>
          <w:szCs w:val="21"/>
        </w:rPr>
        <w:t>的提供。</w:t>
      </w:r>
    </w:p>
    <w:p>
      <w:pPr>
        <w:tabs>
          <w:tab w:val="left" w:pos="1573"/>
        </w:tabs>
        <w:autoSpaceDN w:val="0"/>
        <w:adjustRightInd w:val="0"/>
        <w:snapToGrid w:val="0"/>
        <w:spacing w:line="360" w:lineRule="auto"/>
        <w:rPr>
          <w:rFonts w:ascii="宋体" w:eastAsia="宋体" w:hAnsi="宋体" w:cs="Times New Roman" w:hint="eastAsia"/>
          <w:b/>
          <w:szCs w:val="21"/>
        </w:rPr>
      </w:pPr>
    </w:p>
    <w:p>
      <w:pPr>
        <w:spacing w:line="480" w:lineRule="auto"/>
        <w:jc w:val="center"/>
        <w:rPr>
          <w:rFonts w:ascii="华文楷体" w:eastAsia="华文楷体" w:hAnsi="华文楷体" w:cs="Times New Roman" w:hint="eastAsia"/>
        </w:rPr>
      </w:pPr>
      <w:r>
        <w:rPr>
          <w:rFonts w:ascii="华文楷体" w:eastAsia="华文楷体" w:hAnsi="华文楷体" w:cs="仿宋" w:hint="eastAsia"/>
          <w:sz w:val="24"/>
          <w:szCs w:val="24"/>
          <w:highlight w:val="green"/>
        </w:rPr>
        <w:t>联合体协议</w:t>
      </w:r>
    </w:p>
    <w:p>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项目的投标。现就联合体投标事宜订立如下协议：</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pPr>
        <w:spacing w:line="360" w:lineRule="auto"/>
        <w:ind w:firstLine="420" w:firstLineChars="200"/>
        <w:rPr>
          <w:rFonts w:ascii="华文楷体" w:eastAsia="华文楷体" w:hAnsi="华文楷体" w:cs="仿宋_GB2312"/>
          <w:szCs w:val="21"/>
          <w:u w:val="single"/>
        </w:rPr>
      </w:pPr>
      <w:bookmarkStart w:id="12" w:name="_Toc23749_WPSOffice_Level2"/>
      <w:bookmarkStart w:id="13" w:name="_Toc15561_WPSOffice_Level2"/>
      <w:r>
        <w:rPr>
          <w:rFonts w:ascii="华文楷体" w:eastAsia="华文楷体" w:hAnsi="华文楷体" w:cs="仿宋_GB2312" w:hint="eastAsia"/>
          <w:szCs w:val="21"/>
        </w:rPr>
        <w:t>1.</w:t>
      </w:r>
      <w:bookmarkEnd w:id="12"/>
      <w:bookmarkEnd w:id="13"/>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4" w:name="_Toc22173_WPSOffice_Level2"/>
      <w:bookmarkStart w:id="15" w:name="_Toc405_WPSOffice_Level2"/>
      <w:r>
        <w:rPr>
          <w:rFonts w:ascii="华文楷体" w:eastAsia="华文楷体" w:hAnsi="华文楷体" w:cs="仿宋_GB2312" w:hint="eastAsia"/>
          <w:szCs w:val="21"/>
        </w:rPr>
        <w:t>2.</w:t>
      </w:r>
      <w:bookmarkEnd w:id="14"/>
      <w:bookmarkEnd w:id="15"/>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6" w:name="_Toc7084_WPSOffice_Level2"/>
      <w:bookmarkStart w:id="17" w:name="_Toc23482_WPSOffice_Level2"/>
      <w:r>
        <w:rPr>
          <w:rFonts w:ascii="华文楷体" w:eastAsia="华文楷体" w:hAnsi="华文楷体" w:cs="仿宋_GB2312" w:hint="eastAsia"/>
          <w:szCs w:val="21"/>
        </w:rPr>
        <w:t>3.</w:t>
      </w:r>
      <w:bookmarkEnd w:id="16"/>
      <w:bookmarkEnd w:id="17"/>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pPr>
        <w:spacing w:line="360" w:lineRule="auto"/>
        <w:ind w:firstLine="420" w:firstLineChars="20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pPr>
        <w:spacing w:line="360" w:lineRule="auto"/>
        <w:ind w:firstLine="2835" w:firstLineChars="135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成员名称(公章)：</w:t>
      </w:r>
      <w:r>
        <w:rPr>
          <w:rFonts w:ascii="华文楷体" w:eastAsia="华文楷体" w:hAnsi="华文楷体" w:cs="仿宋_GB2312" w:hint="eastAsia"/>
          <w:szCs w:val="21"/>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r>
        <w:rPr>
          <w:rFonts w:hint="eastAsia"/>
          <w:b/>
        </w:rPr>
        <w:t>2.10.11分包意向协议</w:t>
      </w:r>
    </w:p>
    <w:p>
      <w:pPr>
        <w:keepNext/>
        <w:keepLines/>
        <w:spacing w:before="240" w:after="64" w:line="317" w:lineRule="auto"/>
        <w:jc w:val="center"/>
        <w:rPr>
          <w:rFonts w:ascii="华文楷体" w:eastAsia="华文楷体" w:hAnsi="华文楷体" w:cs="仿宋" w:hint="eastAsia"/>
          <w:bCs/>
          <w:kern w:val="0"/>
          <w:szCs w:val="28"/>
        </w:rPr>
      </w:pPr>
      <w:r>
        <w:rPr>
          <w:rFonts w:ascii="华文楷体" w:eastAsia="华文楷体" w:hAnsi="华文楷体" w:cs="仿宋" w:hint="eastAsia"/>
          <w:bCs/>
          <w:kern w:val="0"/>
          <w:sz w:val="24"/>
          <w:szCs w:val="28"/>
        </w:rPr>
        <w:t>分包意向协议（如有）</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甲方：（分包单位）</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乙方：（承包单位）   </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拟在中标后将成交项目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甲方名称（盖章）：                乙方名称（盖章）：</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2.10.12其他资格证明文件</w:t>
      </w:r>
    </w:p>
    <w:p>
      <w:pPr>
        <w:adjustRightInd w:val="0"/>
        <w:snapToGrid w:val="0"/>
        <w:spacing w:line="360" w:lineRule="auto"/>
        <w:ind w:firstLine="412" w:firstLineChars="196"/>
      </w:pPr>
      <w:r>
        <w:rPr>
          <w:rFonts w:hint="eastAsia"/>
        </w:rPr>
        <w:t>按照</w:t>
      </w:r>
      <w:r>
        <w:rPr>
          <w:rFonts w:hint="eastAsia"/>
          <w:b/>
        </w:rPr>
        <w:t>第五章投标人须知专用部分5.2条</w:t>
      </w:r>
      <w:r>
        <w:rPr>
          <w:rFonts w:hint="eastAsia"/>
        </w:rPr>
        <w:t>规定应提交的特殊资质条件证明文件。</w:t>
      </w:r>
    </w:p>
    <w:p>
      <w:pPr>
        <w:tabs>
          <w:tab w:val="left" w:pos="1573"/>
        </w:tabs>
        <w:autoSpaceDN w:val="0"/>
        <w:adjustRightInd w:val="0"/>
        <w:snapToGrid w:val="0"/>
        <w:spacing w:line="360" w:lineRule="auto"/>
        <w:ind w:firstLine="420" w:firstLineChars="200"/>
        <w:outlineLvl w:val="4"/>
        <w:rPr>
          <w:rFonts w:ascii="宋体" w:hAnsi="宋体"/>
          <w:b/>
          <w:szCs w:val="21"/>
          <w:highlight w:val="none"/>
        </w:rPr>
      </w:pPr>
      <w:r>
        <w:rPr>
          <w:rFonts w:ascii="宋体" w:hAnsi="宋体" w:hint="eastAsia"/>
          <w:b/>
          <w:szCs w:val="21"/>
          <w:highlight w:val="none"/>
        </w:rPr>
        <w:t>2.10.1</w:t>
      </w:r>
      <w:r>
        <w:rPr>
          <w:rFonts w:ascii="宋体" w:hAnsi="宋体"/>
          <w:b/>
          <w:szCs w:val="21"/>
          <w:highlight w:val="none"/>
        </w:rPr>
        <w:t>3</w:t>
      </w:r>
      <w:r>
        <w:rPr>
          <w:rFonts w:ascii="宋体" w:hAnsi="宋体" w:hint="eastAsia"/>
          <w:b/>
          <w:szCs w:val="21"/>
          <w:highlight w:val="none"/>
        </w:rPr>
        <w:t>《关于符合本国产品标准的声明函》</w:t>
      </w:r>
    </w:p>
    <w:p>
      <w:pPr>
        <w:autoSpaceDN w:val="0"/>
        <w:spacing w:line="440" w:lineRule="exact"/>
        <w:ind w:firstLine="420" w:firstLineChars="200"/>
        <w:rPr>
          <w:rFonts w:ascii="宋体" w:hAnsi="宋体" w:cs="仿宋_GB2312"/>
          <w:szCs w:val="21"/>
          <w:highlight w:val="none"/>
        </w:rPr>
      </w:pPr>
      <w:r>
        <w:rPr>
          <w:rFonts w:ascii="宋体" w:hAnsi="宋体" w:hint="eastAsia"/>
          <w:bCs/>
          <w:szCs w:val="21"/>
          <w:highlight w:val="none"/>
        </w:rPr>
        <w:t>投标人所投</w:t>
      </w:r>
      <w:r>
        <w:rPr>
          <w:rFonts w:ascii="宋体" w:hAnsi="宋体"/>
          <w:bCs/>
          <w:szCs w:val="21"/>
          <w:highlight w:val="none"/>
        </w:rPr>
        <w:t>产品</w:t>
      </w:r>
      <w:r>
        <w:rPr>
          <w:rFonts w:ascii="宋体" w:hAnsi="宋体" w:hint="eastAsia"/>
          <w:bCs/>
          <w:szCs w:val="21"/>
          <w:highlight w:val="none"/>
        </w:rPr>
        <w:t>符合国务院办公厅《关于在政府采购中实施本国产品标准及相关政策的通知》（国办发〔2025〕34号）关于</w:t>
      </w:r>
      <w:r>
        <w:rPr>
          <w:rFonts w:ascii="宋体" w:hAnsi="宋体"/>
          <w:bCs/>
          <w:szCs w:val="21"/>
          <w:highlight w:val="none"/>
        </w:rPr>
        <w:t>本国产品价格</w:t>
      </w:r>
      <w:r>
        <w:rPr>
          <w:rFonts w:ascii="宋体" w:hAnsi="宋体" w:hint="eastAsia"/>
          <w:bCs/>
          <w:szCs w:val="21"/>
          <w:highlight w:val="none"/>
        </w:rPr>
        <w:t>评审</w:t>
      </w:r>
      <w:r>
        <w:rPr>
          <w:rFonts w:ascii="宋体" w:hAnsi="宋体"/>
          <w:bCs/>
          <w:szCs w:val="21"/>
          <w:highlight w:val="none"/>
        </w:rPr>
        <w:t>优惠条件的</w:t>
      </w:r>
      <w:r>
        <w:rPr>
          <w:rFonts w:ascii="宋体" w:hAnsi="宋体" w:hint="eastAsia"/>
          <w:bCs/>
          <w:szCs w:val="21"/>
          <w:highlight w:val="none"/>
        </w:rPr>
        <w:t>提供。</w:t>
      </w:r>
      <w:r>
        <w:rPr>
          <w:rFonts w:ascii="宋体" w:hAnsi="宋体" w:cs="仿宋_GB2312"/>
          <w:szCs w:val="21"/>
          <w:highlight w:val="none"/>
        </w:rPr>
        <w:t xml:space="preserve"> </w:t>
      </w:r>
    </w:p>
    <w:p>
      <w:pPr>
        <w:adjustRightInd w:val="0"/>
        <w:snapToGrid w:val="0"/>
        <w:spacing w:line="360" w:lineRule="auto"/>
        <w:ind w:firstLine="412" w:firstLineChars="196"/>
        <w:rPr>
          <w:highlight w:val="none"/>
        </w:rPr>
      </w:pPr>
    </w:p>
    <w:p>
      <w:pPr>
        <w:pStyle w:val="NormalWeb"/>
        <w:shd w:val="clear" w:color="auto" w:fill="FFFFFF"/>
        <w:spacing w:before="30" w:beforeAutospacing="0" w:after="30" w:afterAutospacing="0"/>
        <w:jc w:val="center"/>
        <w:rPr>
          <w:color w:val="333333"/>
          <w:szCs w:val="21"/>
          <w:highlight w:val="none"/>
        </w:rPr>
      </w:pPr>
      <w:r>
        <w:rPr>
          <w:rStyle w:val="Strong"/>
          <w:rFonts w:hint="eastAsia"/>
          <w:color w:val="333333"/>
          <w:szCs w:val="21"/>
          <w:highlight w:val="none"/>
          <w:shd w:val="clear" w:color="auto" w:fill="FFFFFF"/>
        </w:rPr>
        <w:t>关于符合本国产品标准的声明函</w:t>
      </w:r>
    </w:p>
    <w:p>
      <w:pPr>
        <w:pStyle w:val="NormalWeb"/>
        <w:shd w:val="clear" w:color="auto" w:fill="FFFFFF"/>
        <w:spacing w:before="30" w:beforeAutospacing="0" w:after="30" w:afterAutospacing="0"/>
        <w:ind w:firstLine="420"/>
        <w:rPr>
          <w:color w:val="333333"/>
          <w:szCs w:val="21"/>
          <w:highlight w:val="none"/>
        </w:rPr>
      </w:pP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1.</w:t>
      </w:r>
      <w:r>
        <w:rPr>
          <w:rStyle w:val="Emphasis"/>
          <w:rFonts w:hint="eastAsia"/>
          <w:i w:val="0"/>
          <w:color w:val="333333"/>
          <w:szCs w:val="21"/>
          <w:highlight w:val="none"/>
          <w:shd w:val="clear" w:color="auto" w:fill="FFFFFF"/>
        </w:rPr>
        <w:t>（产品名称1）</w:t>
      </w:r>
      <w:r>
        <w:rPr>
          <w:rStyle w:val="Emphasis"/>
          <w:rFonts w:hint="eastAsia"/>
          <w:i w:val="0"/>
          <w:color w:val="333333"/>
          <w:szCs w:val="21"/>
          <w:highlight w:val="none"/>
          <w:shd w:val="clear" w:color="auto" w:fill="FFFFFF"/>
          <w:vertAlign w:val="superscript"/>
        </w:rPr>
        <w:t>1</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Style w:val="Emphasis"/>
          <w:rFonts w:hint="eastAsia"/>
          <w:i w:val="0"/>
          <w:color w:val="333333"/>
          <w:szCs w:val="21"/>
          <w:highlight w:val="none"/>
          <w:shd w:val="clear" w:color="auto" w:fill="FFFFFF"/>
          <w:vertAlign w:val="superscript"/>
        </w:rPr>
        <w:t>2</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Style w:val="Emphasis"/>
          <w:rFonts w:hint="eastAsia"/>
          <w:i w:val="0"/>
          <w:color w:val="333333"/>
          <w:szCs w:val="21"/>
          <w:highlight w:val="none"/>
          <w:shd w:val="clear" w:color="auto" w:fill="FFFFFF"/>
          <w:vertAlign w:val="superscript"/>
        </w:rPr>
        <w:t>3</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Style w:val="Emphasis"/>
          <w:rFonts w:hint="eastAsia"/>
          <w:i w:val="0"/>
          <w:color w:val="333333"/>
          <w:szCs w:val="21"/>
          <w:highlight w:val="none"/>
          <w:shd w:val="clear" w:color="auto" w:fill="FFFFFF"/>
          <w:vertAlign w:val="superscript"/>
        </w:rPr>
        <w:t>4</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Style w:val="Emphasis"/>
          <w:rFonts w:hint="eastAsia"/>
          <w:i w:val="0"/>
          <w:color w:val="333333"/>
          <w:szCs w:val="21"/>
          <w:highlight w:val="none"/>
          <w:shd w:val="clear" w:color="auto" w:fill="FFFFFF"/>
          <w:vertAlign w:val="superscript"/>
        </w:rPr>
        <w:t>5</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2.</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w:t>
      </w:r>
    </w:p>
    <w:p>
      <w:pPr>
        <w:pStyle w:val="NormalWeb"/>
        <w:shd w:val="clear" w:color="auto" w:fill="FFFFFF"/>
        <w:spacing w:before="30" w:beforeAutospacing="0" w:after="30" w:afterAutospacing="0"/>
        <w:ind w:firstLine="420"/>
        <w:rPr>
          <w:color w:val="333333"/>
          <w:szCs w:val="21"/>
          <w:highlight w:val="none"/>
          <w:shd w:val="clear" w:color="auto" w:fill="FFFFFF"/>
        </w:rPr>
      </w:pPr>
      <w:r>
        <w:rPr>
          <w:rFonts w:hint="eastAsia"/>
          <w:color w:val="333333"/>
          <w:szCs w:val="21"/>
          <w:highlight w:val="none"/>
          <w:shd w:val="clear" w:color="auto" w:fill="FFFFFF"/>
        </w:rPr>
        <w:t>本公司（单位）对上述声明内容的真实性负责。如有虚假，愿承担相应法律责任。</w:t>
      </w:r>
    </w:p>
    <w:p>
      <w:pPr>
        <w:pStyle w:val="NormalWeb"/>
        <w:shd w:val="clear" w:color="auto" w:fill="FFFFFF"/>
        <w:spacing w:before="30" w:beforeAutospacing="0" w:after="30" w:afterAutospacing="0"/>
        <w:ind w:firstLine="420"/>
        <w:rPr>
          <w:color w:val="333333"/>
          <w:szCs w:val="21"/>
          <w:highlight w:val="none"/>
          <w:shd w:val="clear" w:color="auto" w:fill="FFFFFF"/>
        </w:rPr>
      </w:pPr>
    </w:p>
    <w:p>
      <w:pPr>
        <w:pStyle w:val="NormalWeb"/>
        <w:shd w:val="clear" w:color="auto" w:fill="FFFFFF"/>
        <w:spacing w:before="30" w:beforeAutospacing="0" w:after="30" w:afterAutospacing="0"/>
        <w:ind w:firstLine="420"/>
        <w:rPr>
          <w:rFonts w:hint="eastAsia"/>
          <w:color w:val="333333"/>
          <w:szCs w:val="21"/>
          <w:highlight w:val="none"/>
        </w:rPr>
      </w:pP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公司（单位）名称（盖章）：      </w:t>
      </w: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日期：　　　　　年　　月　日    </w:t>
      </w:r>
    </w:p>
    <w:p>
      <w:pPr>
        <w:pStyle w:val="NormalWeb"/>
        <w:shd w:val="clear" w:color="auto" w:fill="FFFFFF"/>
        <w:spacing w:before="30" w:beforeAutospacing="0" w:after="30" w:afterAutospacing="0"/>
        <w:rPr>
          <w:color w:val="333333"/>
          <w:szCs w:val="21"/>
          <w:highlight w:val="none"/>
        </w:rPr>
      </w:pPr>
      <w:r>
        <w:rPr>
          <w:rFonts w:hint="eastAsia"/>
          <w:color w:val="333333"/>
          <w:szCs w:val="21"/>
          <w:highlight w:val="none"/>
          <w:shd w:val="clear" w:color="auto" w:fill="FFFFFF"/>
        </w:rPr>
        <w:t>_____________________________</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注1.产品如有型号，请在“产品名称”栏一并填写。</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注2.生产厂名与厂址应与生产厂营业执照载明的相关信息保持一致。</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注3.该产品的中国境内生产的组件成本占比相关要求实施前，“规定比例”栏可不填，下同。</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注4.该产品的关键组件要求实施前，“关键组件”栏可不填，下同。</w:t>
      </w:r>
    </w:p>
    <w:p>
      <w:pPr>
        <w:pStyle w:val="NormalWeb"/>
        <w:shd w:val="clear" w:color="auto" w:fill="FFFFFF"/>
        <w:spacing w:before="30" w:beforeAutospacing="0" w:after="30" w:afterAutospacing="0"/>
        <w:ind w:firstLine="420"/>
        <w:rPr>
          <w:highlight w:val="none"/>
        </w:rPr>
      </w:pPr>
      <w:r>
        <w:rPr>
          <w:rFonts w:ascii="楷体" w:eastAsia="楷体" w:hAnsi="楷体" w:cs="楷体" w:hint="eastAsia"/>
          <w:color w:val="333333"/>
          <w:szCs w:val="21"/>
          <w:highlight w:val="none"/>
          <w:shd w:val="clear" w:color="auto" w:fill="FFFFFF"/>
        </w:rPr>
        <w:t>注5.该产品的关键工序要求实施前，“关键工序”栏可不填，下同。</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灌云县气象局</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灌云县地基多通道微波辐射计建设项目</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ZQCD-26015</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合同签订后120天内交货，180天内完成安装调试并具备验收条件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灌云县气象局</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2026年02月11日 00:00:00</w:t>
      </w:r>
      <w:bookmarkEnd w:id="26"/>
      <w:r>
        <w:rPr>
          <w:rFonts w:ascii="宋体" w:hint="eastAsia"/>
          <w:szCs w:val="21"/>
          <w:highlight w:val="none"/>
        </w:rPr>
        <w:t>至</w:t>
      </w:r>
      <w:bookmarkStart w:id="27" w:name="项目公告_signUpLastTime"/>
      <w:r>
        <w:rPr>
          <w:rFonts w:ascii="宋体" w:hint="eastAsia"/>
          <w:szCs w:val="21"/>
          <w:highlight w:val="none"/>
        </w:rPr>
        <w:t>2026年02月25日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2026年03月05日 14:00:00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北京市海淀区中关村南大街46号中国气象局北区8号楼4层404会议室（科技大楼前草坪西侧），届时投标人的法定代表人或其授权的投标人授权代表可到场参加。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王妍</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010-68406642</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灌云县气象局</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单浩琦</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0518-88812154</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江苏省连云港市灌云县侍庄街道浙江中路2号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灌云县气象局</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不允许（仅针对以下产品：地基微波辐射计不允许代理商投标）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必须，以下产品需要提供至投标截止日仍有效的《气象专用技术装备使用许可证》：地基微波辐射计专用技术装备使用许可证</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（1）标的：地基多通道微波辐射计，属于  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是，中标服务费：1.7万元。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130.000000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130.000000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4、投标产品满足招标文件小微企业、本国产品有关政策优惠条件，投标价格将给予扣除。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销售合同必须包括地基多通道微波辐射计，每提供1份合同得1分，最多得5分。否则不得分。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投标人应提供培训方案。具体标准评分如下：</w:t>
              <w:cr/>
              <w:t>一档：未提供培训方案；</w:t>
              <w:cr/>
              <w:t>二档：培训方案不完整（指缺失培训计划、培训材料（讲义）、培训课表、主要授课教师介绍任意一项）；</w:t>
              <w:cr/>
              <w:t>三档：培训方案完整，但课程设计重点不突出或针对性不强，基本满足采购文件需求；</w:t>
              <w:cr/>
              <w:t>四档：培训方案完整，课程设计重点突出、针对性强，完全满足采购文件需求。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针对本项目采购的地基多通道微波辐射计，承诺每提前5天交货的得0.5分，最多得1分。否则不得分。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针对地基多通道微波辐射计设备，每提供 1份用户证明材料得1分，最多得3分。否则不得分。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2、除项目经理外至少1人具有2年及以上相关工作经验的，得2分；为本项目派出的技术人员至少1人具有1年及以上相关工作经验的，得1分；其他不得分。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标注#的重要指标共10项，每满足1项（如有多个下级指标，则每个下级指标均应满足）得4分，满分40分。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针对地基多通道微波辐射计设备，测试报告应涵盖耐腐蚀、高低温、噪音等内容，每包含一项得1分，最多得3分。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rsidR="00A77B3E">
      <w:bookmarkEnd w:id="58"/>
    </w:p>
    <w:p>
      <w:pPr>
        <w:pStyle w:val="2"/>
        <w:keepNext w:val="0"/>
        <w:keepLines w:val="0"/>
        <w:numPr>
          <w:ilvl w:val="0"/>
          <w:numId w:val="0"/>
        </w:numPr>
        <w:spacing w:before="156" w:beforeLines="50" w:after="0" w:line="360" w:lineRule="auto"/>
        <w:jc w:val="center"/>
        <w:rPr>
          <w:b/>
          <w:color w:val="auto"/>
          <w:sz w:val="30"/>
          <w:szCs w:val="30"/>
        </w:rPr>
      </w:pPr>
      <w:r>
        <w:rPr>
          <w:rFonts w:ascii="Times New Roman" w:hAnsi="Times New Roman"/>
          <w:b w:val="0"/>
          <w:bCs/>
          <w:color w:val="auto"/>
          <w:szCs w:val="21"/>
          <w:highlight w:val="none"/>
        </w:rPr>
        <w:br w:type="page"/>
      </w:r>
      <w:bookmarkStart w:id="59" w:name="插入_采购需求书"/>
      <w:r>
        <w:rPr>
          <w:rFonts w:hint="eastAsia"/>
          <w:b/>
          <w:color w:val="auto"/>
          <w:sz w:val="30"/>
          <w:szCs w:val="30"/>
        </w:rPr>
        <w:t>第</w:t>
      </w:r>
      <w:r>
        <w:rPr>
          <w:rFonts w:hint="eastAsia"/>
          <w:b/>
          <w:color w:val="auto"/>
          <w:sz w:val="30"/>
          <w:szCs w:val="30"/>
        </w:rPr>
        <w:t>七</w:t>
      </w:r>
      <w:r>
        <w:rPr>
          <w:rFonts w:hint="eastAsia"/>
          <w:b/>
          <w:color w:val="auto"/>
          <w:sz w:val="30"/>
          <w:szCs w:val="30"/>
        </w:rPr>
        <w:t>章  采购需求</w:t>
      </w:r>
    </w:p>
    <w:p>
      <w:pPr>
        <w:snapToGrid w:val="0"/>
        <w:spacing w:before="156" w:beforeLines="50" w:after="100" w:afterAutospacing="1"/>
        <w:jc w:val="left"/>
        <w:outlineLvl w:val="1"/>
        <w:rPr>
          <w:b/>
        </w:rPr>
      </w:pPr>
      <w:bookmarkStart w:id="60" w:name="_Toc431298737"/>
      <w:bookmarkStart w:id="61" w:name="_Toc431301670"/>
      <w:r>
        <w:rPr>
          <w:rFonts w:hint="eastAsia"/>
          <w:b/>
          <w:sz w:val="24"/>
        </w:rPr>
        <w:t>一、货物需求一览表</w:t>
      </w:r>
      <w:bookmarkEnd w:id="60"/>
      <w:bookmarkEnd w:id="61"/>
    </w:p>
    <w:p>
      <w:pPr>
        <w:spacing w:line="360" w:lineRule="auto"/>
        <w:ind w:firstLine="420" w:firstLineChars="200"/>
        <w:rPr>
          <w:rFonts w:ascii="宋体" w:hAnsi="宋体"/>
          <w:b/>
          <w:bCs/>
          <w:szCs w:val="21"/>
        </w:rPr>
      </w:pPr>
      <w:r>
        <w:rPr>
          <w:rFonts w:ascii="宋体" w:hAnsi="宋体" w:hint="eastAsia"/>
          <w:b/>
          <w:bCs/>
          <w:szCs w:val="21"/>
        </w:rPr>
        <w:t>一、项目概况及总体要求</w:t>
      </w:r>
    </w:p>
    <w:p>
      <w:pPr>
        <w:pStyle w:val="NormalIndent"/>
        <w:ind w:firstLine="420" w:firstLineChars="200"/>
        <w:rPr>
          <w:rFonts w:hint="eastAsia"/>
        </w:rPr>
      </w:pPr>
      <w:r>
        <w:rPr>
          <w:rFonts w:ascii="宋体" w:hAnsi="宋体" w:hint="eastAsia"/>
          <w:szCs w:val="21"/>
        </w:rPr>
        <w:t>（一）项目名称：</w:t>
      </w:r>
      <w:r>
        <w:rPr>
          <w:rFonts w:hint="eastAsia"/>
        </w:rPr>
        <w:t>灌云县地基多通道微波辐射计建设项目。</w:t>
      </w:r>
    </w:p>
    <w:p>
      <w:pPr>
        <w:pStyle w:val="NormalIndent"/>
        <w:ind w:firstLine="420" w:firstLineChars="200"/>
      </w:pPr>
      <w:r>
        <w:rPr>
          <w:rFonts w:ascii="宋体" w:hAnsi="宋体" w:hint="eastAsia"/>
          <w:szCs w:val="21"/>
        </w:rPr>
        <w:t>（二）建设内容：</w:t>
      </w:r>
      <w:r>
        <w:rPr>
          <w:rFonts w:ascii="宋体" w:hAnsi="宋体" w:hint="eastAsia"/>
          <w:szCs w:val="21"/>
          <w:lang w:val="en-US" w:eastAsia="zh-CN"/>
        </w:rPr>
        <w:t>1</w:t>
      </w:r>
      <w:r>
        <w:rPr>
          <w:rFonts w:ascii="宋体" w:hAnsi="宋体" w:hint="eastAsia"/>
          <w:szCs w:val="21"/>
        </w:rPr>
        <w:t>套</w:t>
      </w:r>
      <w:r>
        <w:rPr>
          <w:rFonts w:hint="eastAsia"/>
          <w:b/>
          <w:bCs/>
        </w:rPr>
        <w:t>地基微波辐射计</w:t>
      </w:r>
      <w:r>
        <w:t>。</w:t>
      </w:r>
      <w:r>
        <w:rPr>
          <w:rFonts w:hint="eastAsia"/>
        </w:rPr>
        <w:t>随设备提供的备品、配件（基础件、预埋件、支架、线缆、机箱、备件等辅材）及专用工具，运抵项目现场，负责安装、调试、培训，直至双方共同验收合格，交付使用，即交钥匙工程。</w:t>
      </w:r>
    </w:p>
    <w:p>
      <w:pPr>
        <w:spacing w:line="360" w:lineRule="auto"/>
        <w:ind w:firstLine="420" w:firstLineChars="200"/>
        <w:rPr>
          <w:rFonts w:ascii="宋体" w:hAnsi="宋体"/>
          <w:szCs w:val="21"/>
        </w:rPr>
      </w:pPr>
      <w:r>
        <w:rPr>
          <w:rFonts w:ascii="宋体" w:hAnsi="宋体" w:hint="eastAsia"/>
          <w:szCs w:val="21"/>
        </w:rPr>
        <w:t>（三）建设地点：</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36"/>
        <w:gridCol w:w="846"/>
        <w:gridCol w:w="231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jc w:val="center"/>
        </w:trPr>
        <w:tc>
          <w:tcPr>
            <w:tcW w:w="0" w:type="auto"/>
            <w:tcBorders>
              <w:top w:val="single" w:sz="4" w:space="0" w:color="auto"/>
              <w:left w:val="single" w:sz="4" w:space="0" w:color="auto"/>
              <w:bottom w:val="single" w:sz="4" w:space="0" w:color="auto"/>
              <w:right w:val="single" w:sz="4" w:space="0" w:color="auto"/>
            </w:tcBorders>
            <w:noWrap w:val="0"/>
            <w:vAlign w:val="top"/>
          </w:tcPr>
          <w:p>
            <w:pPr>
              <w:spacing w:line="360" w:lineRule="auto"/>
              <w:jc w:val="center"/>
              <w:rPr>
                <w:rFonts w:ascii="宋体" w:hAnsi="宋体"/>
              </w:rPr>
            </w:pPr>
            <w:r>
              <w:rPr>
                <w:rFonts w:ascii="宋体" w:hAnsi="宋体" w:hint="eastAsia"/>
              </w:rPr>
              <w:t>序号</w:t>
            </w:r>
          </w:p>
        </w:tc>
        <w:tc>
          <w:tcPr>
            <w:tcW w:w="0" w:type="auto"/>
            <w:tcBorders>
              <w:top w:val="single" w:sz="4" w:space="0" w:color="auto"/>
              <w:left w:val="single" w:sz="4" w:space="0" w:color="auto"/>
              <w:bottom w:val="single" w:sz="4" w:space="0" w:color="auto"/>
              <w:right w:val="single" w:sz="4" w:space="0" w:color="auto"/>
            </w:tcBorders>
            <w:noWrap w:val="0"/>
            <w:vAlign w:val="top"/>
          </w:tcPr>
          <w:p>
            <w:pPr>
              <w:spacing w:line="360" w:lineRule="auto"/>
              <w:jc w:val="center"/>
              <w:rPr>
                <w:rFonts w:ascii="宋体" w:hAnsi="宋体"/>
              </w:rPr>
            </w:pPr>
            <w:r>
              <w:rPr>
                <w:rFonts w:ascii="宋体" w:hAnsi="宋体" w:hint="eastAsia"/>
              </w:rPr>
              <w:t>地市</w:t>
            </w:r>
          </w:p>
        </w:tc>
        <w:tc>
          <w:tcPr>
            <w:tcW w:w="0" w:type="auto"/>
            <w:tcBorders>
              <w:top w:val="single" w:sz="4" w:space="0" w:color="auto"/>
              <w:left w:val="single" w:sz="4" w:space="0" w:color="auto"/>
              <w:bottom w:val="single" w:sz="4" w:space="0" w:color="auto"/>
              <w:right w:val="single" w:sz="4" w:space="0" w:color="auto"/>
            </w:tcBorders>
            <w:noWrap w:val="0"/>
            <w:vAlign w:val="top"/>
          </w:tcPr>
          <w:p>
            <w:pPr>
              <w:spacing w:line="360" w:lineRule="auto"/>
              <w:jc w:val="center"/>
              <w:rPr>
                <w:rFonts w:ascii="宋体" w:hAnsi="宋体"/>
              </w:rPr>
            </w:pPr>
            <w:r>
              <w:rPr>
                <w:rFonts w:ascii="宋体" w:hAnsi="宋体" w:hint="eastAsia"/>
              </w:rPr>
              <w:t>计划建设地点</w:t>
            </w:r>
          </w:p>
        </w:tc>
      </w:tr>
      <w:tr>
        <w:tblPrEx>
          <w:tblW w:w="0" w:type="auto"/>
          <w:jc w:val="center"/>
          <w:tblCellMar>
            <w:top w:w="0" w:type="dxa"/>
            <w:left w:w="108" w:type="dxa"/>
            <w:bottom w:w="0" w:type="dxa"/>
            <w:right w:w="108" w:type="dxa"/>
          </w:tblCellMar>
        </w:tblPrEx>
        <w:trPr>
          <w:jc w:val="center"/>
        </w:trPr>
        <w:tc>
          <w:tcPr>
            <w:tcW w:w="0" w:type="auto"/>
            <w:tcBorders>
              <w:top w:val="single" w:sz="4" w:space="0" w:color="auto"/>
              <w:left w:val="single" w:sz="4" w:space="0" w:color="auto"/>
              <w:bottom w:val="single" w:sz="4" w:space="0" w:color="auto"/>
              <w:right w:val="single" w:sz="4" w:space="0" w:color="auto"/>
            </w:tcBorders>
            <w:noWrap w:val="0"/>
            <w:vAlign w:val="top"/>
          </w:tcPr>
          <w:p>
            <w:pPr>
              <w:spacing w:line="360" w:lineRule="auto"/>
              <w:jc w:val="center"/>
              <w:rPr>
                <w:rFonts w:ascii="宋体" w:hAnsi="宋体"/>
              </w:rPr>
            </w:pPr>
            <w:r>
              <w:rPr>
                <w:rFonts w:ascii="宋体" w:hAnsi="宋体" w:hint="eastAsia"/>
              </w:rPr>
              <w:t>1</w:t>
            </w:r>
          </w:p>
        </w:tc>
        <w:tc>
          <w:tcPr>
            <w:tcW w:w="0" w:type="auto"/>
            <w:tcBorders>
              <w:top w:val="single" w:sz="4" w:space="0" w:color="auto"/>
              <w:left w:val="single" w:sz="4" w:space="0" w:color="auto"/>
              <w:bottom w:val="single" w:sz="4" w:space="0" w:color="auto"/>
              <w:right w:val="single" w:sz="4" w:space="0" w:color="auto"/>
            </w:tcBorders>
            <w:noWrap w:val="0"/>
            <w:vAlign w:val="top"/>
          </w:tcPr>
          <w:p>
            <w:pPr>
              <w:spacing w:line="360" w:lineRule="auto"/>
              <w:jc w:val="center"/>
              <w:rPr>
                <w:rFonts w:ascii="宋体" w:hAnsi="宋体"/>
              </w:rPr>
            </w:pPr>
            <w:r>
              <w:rPr>
                <w:rFonts w:ascii="宋体" w:hAnsi="宋体" w:hint="eastAsia"/>
                <w:lang w:val="en-US" w:eastAsia="zh-CN"/>
              </w:rPr>
              <w:t>灌云</w:t>
            </w:r>
            <w:r>
              <w:rPr>
                <w:rFonts w:ascii="宋体" w:hAnsi="宋体" w:hint="eastAsia"/>
              </w:rPr>
              <w:t>县</w:t>
            </w:r>
          </w:p>
        </w:tc>
        <w:tc>
          <w:tcPr>
            <w:tcW w:w="0" w:type="auto"/>
            <w:tcBorders>
              <w:top w:val="single" w:sz="4" w:space="0" w:color="auto"/>
              <w:left w:val="single" w:sz="4" w:space="0" w:color="auto"/>
              <w:bottom w:val="single" w:sz="4" w:space="0" w:color="auto"/>
              <w:right w:val="single" w:sz="4" w:space="0" w:color="auto"/>
            </w:tcBorders>
            <w:noWrap w:val="0"/>
            <w:vAlign w:val="top"/>
          </w:tcPr>
          <w:p>
            <w:pPr>
              <w:spacing w:line="360" w:lineRule="auto"/>
              <w:jc w:val="center"/>
              <w:rPr>
                <w:rFonts w:ascii="宋体" w:hAnsi="宋体"/>
              </w:rPr>
            </w:pPr>
            <w:r>
              <w:rPr>
                <w:rFonts w:ascii="宋体" w:hAnsi="宋体" w:hint="eastAsia"/>
                <w:lang w:val="en-US" w:eastAsia="zh-CN"/>
              </w:rPr>
              <w:t>灌云</w:t>
            </w:r>
            <w:r>
              <w:rPr>
                <w:rFonts w:ascii="宋体" w:hAnsi="宋体" w:hint="eastAsia"/>
              </w:rPr>
              <w:t>国家基本气象站内</w:t>
            </w:r>
          </w:p>
        </w:tc>
      </w:tr>
    </w:tbl>
    <w:p>
      <w:pPr>
        <w:pStyle w:val="TOC1"/>
        <w:ind w:firstLine="420" w:firstLineChars="200"/>
      </w:pPr>
    </w:p>
    <w:p>
      <w:pPr>
        <w:pStyle w:val="TOC1"/>
        <w:ind w:firstLine="420" w:firstLineChars="200"/>
      </w:pPr>
      <w:r>
        <w:rPr>
          <w:rFonts w:hint="eastAsia"/>
        </w:rPr>
        <w:t>（四）本项目由</w:t>
      </w:r>
      <w:r>
        <w:rPr>
          <w:rFonts w:hint="eastAsia"/>
          <w:lang w:val="en-US" w:eastAsia="zh-CN"/>
        </w:rPr>
        <w:t>灌云县气象局</w:t>
      </w:r>
      <w:r>
        <w:rPr>
          <w:rFonts w:hint="eastAsia"/>
        </w:rPr>
        <w:t>组织办理政府采购事宜。采购完成后，由中标单位</w:t>
      </w:r>
      <w:r>
        <w:rPr>
          <w:rFonts w:hint="eastAsia"/>
          <w:lang w:val="en-US" w:eastAsia="zh-CN"/>
        </w:rPr>
        <w:t>与灌云县</w:t>
      </w:r>
      <w:r>
        <w:rPr>
          <w:rFonts w:hint="eastAsia"/>
        </w:rPr>
        <w:t>气象局订合同。</w:t>
      </w:r>
    </w:p>
    <w:p>
      <w:pPr>
        <w:ind w:firstLine="420" w:firstLineChars="200"/>
      </w:pPr>
      <w:r>
        <w:rPr>
          <w:rFonts w:hint="eastAsia"/>
        </w:rPr>
        <w:t>（五）项目采购清单</w:t>
      </w: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704"/>
        <w:gridCol w:w="1843"/>
        <w:gridCol w:w="2693"/>
        <w:gridCol w:w="1276"/>
        <w:gridCol w:w="1984"/>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704" w:type="dxa"/>
            <w:shd w:val="clear" w:color="auto" w:fill="auto"/>
            <w:noWrap w:val="0"/>
            <w:vAlign w:val="top"/>
          </w:tcPr>
          <w:p>
            <w:pPr>
              <w:pStyle w:val="BodyTextFirstIndent"/>
              <w:ind w:firstLine="0" w:firstLineChars="0"/>
              <w:jc w:val="center"/>
            </w:pPr>
            <w:r>
              <w:rPr>
                <w:rFonts w:hint="eastAsia"/>
              </w:rPr>
              <w:t>序号</w:t>
            </w:r>
          </w:p>
        </w:tc>
        <w:tc>
          <w:tcPr>
            <w:tcW w:w="1843" w:type="dxa"/>
            <w:shd w:val="clear" w:color="auto" w:fill="auto"/>
            <w:noWrap w:val="0"/>
            <w:vAlign w:val="top"/>
          </w:tcPr>
          <w:p>
            <w:pPr>
              <w:pStyle w:val="BodyTextFirstIndent"/>
              <w:ind w:firstLine="0" w:firstLineChars="0"/>
              <w:jc w:val="center"/>
            </w:pPr>
            <w:r>
              <w:rPr>
                <w:rFonts w:hint="eastAsia"/>
              </w:rPr>
              <w:t>采购人</w:t>
            </w:r>
          </w:p>
        </w:tc>
        <w:tc>
          <w:tcPr>
            <w:tcW w:w="2693" w:type="dxa"/>
            <w:shd w:val="clear" w:color="auto" w:fill="auto"/>
            <w:noWrap w:val="0"/>
            <w:vAlign w:val="top"/>
          </w:tcPr>
          <w:p>
            <w:pPr>
              <w:pStyle w:val="BodyTextFirstIndent"/>
              <w:ind w:firstLine="0" w:firstLineChars="0"/>
              <w:jc w:val="center"/>
            </w:pPr>
            <w:r>
              <w:rPr>
                <w:rFonts w:hint="eastAsia"/>
              </w:rPr>
              <w:t>采购内容</w:t>
            </w:r>
          </w:p>
        </w:tc>
        <w:tc>
          <w:tcPr>
            <w:tcW w:w="1276" w:type="dxa"/>
            <w:shd w:val="clear" w:color="auto" w:fill="auto"/>
            <w:noWrap w:val="0"/>
            <w:vAlign w:val="top"/>
          </w:tcPr>
          <w:p>
            <w:pPr>
              <w:pStyle w:val="BodyTextFirstIndent"/>
              <w:ind w:firstLine="0" w:firstLineChars="0"/>
              <w:jc w:val="center"/>
            </w:pPr>
            <w:r>
              <w:rPr>
                <w:rFonts w:hint="eastAsia"/>
              </w:rPr>
              <w:t>数量</w:t>
            </w:r>
          </w:p>
        </w:tc>
        <w:tc>
          <w:tcPr>
            <w:tcW w:w="1984" w:type="dxa"/>
            <w:shd w:val="clear" w:color="auto" w:fill="auto"/>
            <w:noWrap w:val="0"/>
            <w:vAlign w:val="top"/>
          </w:tcPr>
          <w:p>
            <w:pPr>
              <w:pStyle w:val="BodyTextFirstIndent"/>
              <w:ind w:firstLine="0" w:firstLineChars="0"/>
              <w:jc w:val="center"/>
            </w:pPr>
            <w:r>
              <w:rPr>
                <w:rFonts w:hint="eastAsia"/>
              </w:rPr>
              <w:t>采购预算（万元）</w:t>
            </w:r>
          </w:p>
        </w:tc>
      </w:tr>
      <w:tr>
        <w:tblPrEx>
          <w:tblW w:w="0" w:type="auto"/>
          <w:tblInd w:w="0" w:type="dxa"/>
          <w:tblCellMar>
            <w:top w:w="0" w:type="dxa"/>
            <w:left w:w="108" w:type="dxa"/>
            <w:bottom w:w="0" w:type="dxa"/>
            <w:right w:w="108" w:type="dxa"/>
          </w:tblCellMar>
        </w:tblPrEx>
        <w:tc>
          <w:tcPr>
            <w:tcW w:w="704" w:type="dxa"/>
            <w:shd w:val="clear" w:color="auto" w:fill="auto"/>
            <w:noWrap w:val="0"/>
            <w:vAlign w:val="top"/>
          </w:tcPr>
          <w:p>
            <w:pPr>
              <w:pStyle w:val="BodyTextFirstIndent"/>
              <w:ind w:firstLine="0" w:firstLineChars="0"/>
              <w:jc w:val="center"/>
            </w:pPr>
            <w:r>
              <w:rPr>
                <w:rFonts w:hint="eastAsia"/>
              </w:rPr>
              <w:t>1</w:t>
            </w:r>
          </w:p>
        </w:tc>
        <w:tc>
          <w:tcPr>
            <w:tcW w:w="1843" w:type="dxa"/>
            <w:shd w:val="clear" w:color="auto" w:fill="auto"/>
            <w:noWrap w:val="0"/>
            <w:vAlign w:val="top"/>
          </w:tcPr>
          <w:p>
            <w:pPr>
              <w:pStyle w:val="BodyTextFirstIndent"/>
              <w:ind w:firstLine="0" w:firstLineChars="0"/>
              <w:jc w:val="center"/>
            </w:pPr>
            <w:r>
              <w:rPr>
                <w:rFonts w:hint="eastAsia"/>
                <w:lang w:val="en-US" w:eastAsia="zh-CN"/>
              </w:rPr>
              <w:t>灌云</w:t>
            </w:r>
            <w:r>
              <w:rPr>
                <w:rFonts w:hint="eastAsia"/>
              </w:rPr>
              <w:t>县气象局</w:t>
            </w:r>
          </w:p>
        </w:tc>
        <w:tc>
          <w:tcPr>
            <w:tcW w:w="2693" w:type="dxa"/>
            <w:shd w:val="clear" w:color="auto" w:fill="auto"/>
            <w:noWrap w:val="0"/>
            <w:vAlign w:val="top"/>
          </w:tcPr>
          <w:p>
            <w:pPr>
              <w:pStyle w:val="BodyTextFirstIndent"/>
              <w:ind w:firstLine="0" w:firstLineChars="0"/>
              <w:jc w:val="center"/>
            </w:pPr>
            <w:r>
              <w:rPr>
                <w:rFonts w:ascii="Calibri" w:hAnsi="Calibri"/>
                <w:szCs w:val="22"/>
              </w:rPr>
              <w:t>微波辐射计</w:t>
            </w:r>
          </w:p>
        </w:tc>
        <w:tc>
          <w:tcPr>
            <w:tcW w:w="1276" w:type="dxa"/>
            <w:shd w:val="clear" w:color="auto" w:fill="auto"/>
            <w:noWrap w:val="0"/>
            <w:vAlign w:val="top"/>
          </w:tcPr>
          <w:p>
            <w:pPr>
              <w:pStyle w:val="BodyTextFirstIndent"/>
              <w:ind w:firstLine="0" w:firstLineChars="0"/>
              <w:jc w:val="center"/>
            </w:pPr>
            <w:r>
              <w:rPr>
                <w:rFonts w:hint="eastAsia"/>
              </w:rPr>
              <w:t>1</w:t>
            </w:r>
          </w:p>
        </w:tc>
        <w:tc>
          <w:tcPr>
            <w:tcW w:w="1984" w:type="dxa"/>
            <w:shd w:val="clear" w:color="auto" w:fill="auto"/>
            <w:noWrap w:val="0"/>
            <w:vAlign w:val="top"/>
          </w:tcPr>
          <w:p>
            <w:pPr>
              <w:pStyle w:val="BodyTextFirstIndent"/>
              <w:ind w:firstLine="0" w:firstLineChars="0"/>
              <w:jc w:val="center"/>
            </w:pPr>
            <w:r>
              <w:rPr>
                <w:rFonts w:hint="eastAsia"/>
              </w:rPr>
              <w:t>1</w:t>
            </w:r>
            <w:r>
              <w:t>30</w:t>
            </w:r>
          </w:p>
        </w:tc>
      </w:tr>
    </w:tbl>
    <w:p>
      <w:pPr>
        <w:pStyle w:val="TOC1"/>
      </w:pPr>
    </w:p>
    <w:p>
      <w:pPr>
        <w:spacing w:line="360" w:lineRule="auto"/>
        <w:rPr>
          <w:rFonts w:ascii="宋体" w:hAnsi="宋体"/>
          <w:b/>
          <w:bCs/>
          <w:szCs w:val="21"/>
        </w:rPr>
      </w:pPr>
      <w:r>
        <w:rPr>
          <w:rFonts w:ascii="宋体" w:hAnsi="宋体" w:hint="eastAsia"/>
          <w:b/>
          <w:bCs/>
          <w:szCs w:val="21"/>
        </w:rPr>
        <w:t>二、设备需求一览表</w:t>
      </w:r>
    </w:p>
    <w:tbl>
      <w:tblPr>
        <w:tblStyle w:val="TableNormal"/>
        <w:tblW w:w="8226"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2518"/>
        <w:gridCol w:w="851"/>
        <w:gridCol w:w="744"/>
        <w:gridCol w:w="1371"/>
        <w:gridCol w:w="1371"/>
        <w:gridCol w:w="1371"/>
      </w:tblGrid>
      <w:tr>
        <w:tblPrEx>
          <w:tblW w:w="8226"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298"/>
        </w:trPr>
        <w:tc>
          <w:tcPr>
            <w:tcW w:w="2518" w:type="dxa"/>
            <w:noWrap w:val="0"/>
            <w:vAlign w:val="center"/>
          </w:tcPr>
          <w:p>
            <w:pPr>
              <w:pStyle w:val="TOC1"/>
              <w:jc w:val="center"/>
              <w:rPr>
                <w:rFonts w:ascii="宋体" w:hAnsi="宋体"/>
                <w:b/>
                <w:szCs w:val="21"/>
              </w:rPr>
            </w:pPr>
            <w:r>
              <w:rPr>
                <w:b/>
                <w:bCs/>
                <w:szCs w:val="21"/>
              </w:rPr>
              <w:t>设备名称</w:t>
            </w:r>
          </w:p>
        </w:tc>
        <w:tc>
          <w:tcPr>
            <w:tcW w:w="851" w:type="dxa"/>
            <w:noWrap w:val="0"/>
            <w:vAlign w:val="center"/>
          </w:tcPr>
          <w:p>
            <w:pPr>
              <w:pStyle w:val="TOC1"/>
              <w:rPr>
                <w:rFonts w:ascii="宋体" w:hAnsi="宋体"/>
                <w:b/>
                <w:szCs w:val="21"/>
              </w:rPr>
            </w:pPr>
            <w:r>
              <w:rPr>
                <w:b/>
                <w:bCs/>
                <w:szCs w:val="21"/>
              </w:rPr>
              <w:t>单位</w:t>
            </w:r>
          </w:p>
        </w:tc>
        <w:tc>
          <w:tcPr>
            <w:tcW w:w="744" w:type="dxa"/>
            <w:noWrap w:val="0"/>
            <w:vAlign w:val="center"/>
          </w:tcPr>
          <w:p>
            <w:pPr>
              <w:pStyle w:val="TOC1"/>
              <w:rPr>
                <w:rFonts w:ascii="宋体" w:hAnsi="宋体"/>
                <w:b/>
                <w:szCs w:val="21"/>
              </w:rPr>
            </w:pPr>
            <w:r>
              <w:rPr>
                <w:rFonts w:hint="eastAsia"/>
                <w:b/>
                <w:bCs/>
                <w:szCs w:val="21"/>
              </w:rPr>
              <w:t>数量</w:t>
            </w:r>
          </w:p>
        </w:tc>
        <w:tc>
          <w:tcPr>
            <w:tcW w:w="1371" w:type="dxa"/>
            <w:noWrap w:val="0"/>
            <w:vAlign w:val="center"/>
          </w:tcPr>
          <w:p>
            <w:pPr>
              <w:pStyle w:val="TOC1"/>
              <w:jc w:val="center"/>
              <w:rPr>
                <w:rFonts w:ascii="宋体" w:hAnsi="宋体"/>
                <w:b/>
                <w:szCs w:val="21"/>
              </w:rPr>
            </w:pPr>
            <w:r>
              <w:rPr>
                <w:rFonts w:hint="eastAsia"/>
                <w:b/>
                <w:bCs/>
                <w:szCs w:val="21"/>
              </w:rPr>
              <w:t>*交货期</w:t>
            </w:r>
          </w:p>
        </w:tc>
        <w:tc>
          <w:tcPr>
            <w:tcW w:w="1371" w:type="dxa"/>
            <w:noWrap w:val="0"/>
            <w:vAlign w:val="center"/>
          </w:tcPr>
          <w:p>
            <w:pPr>
              <w:pStyle w:val="TOC1"/>
              <w:jc w:val="center"/>
              <w:rPr>
                <w:rFonts w:ascii="宋体" w:hAnsi="宋体"/>
                <w:b/>
                <w:szCs w:val="21"/>
              </w:rPr>
            </w:pPr>
            <w:r>
              <w:rPr>
                <w:rFonts w:hint="eastAsia"/>
                <w:b/>
                <w:bCs/>
                <w:szCs w:val="21"/>
              </w:rPr>
              <w:t>交货地点</w:t>
            </w:r>
          </w:p>
        </w:tc>
        <w:tc>
          <w:tcPr>
            <w:tcW w:w="1371" w:type="dxa"/>
            <w:noWrap w:val="0"/>
            <w:vAlign w:val="center"/>
          </w:tcPr>
          <w:p>
            <w:pPr>
              <w:pStyle w:val="TOC1"/>
              <w:jc w:val="center"/>
              <w:rPr>
                <w:rFonts w:ascii="宋体" w:hAnsi="宋体"/>
                <w:b/>
                <w:szCs w:val="21"/>
              </w:rPr>
            </w:pPr>
            <w:r>
              <w:rPr>
                <w:rFonts w:hint="eastAsia"/>
                <w:b/>
                <w:bCs/>
                <w:szCs w:val="21"/>
              </w:rPr>
              <w:t>备注</w:t>
            </w:r>
          </w:p>
        </w:tc>
      </w:tr>
      <w:tr>
        <w:tblPrEx>
          <w:tblW w:w="8226" w:type="dxa"/>
          <w:tblInd w:w="0" w:type="dxa"/>
          <w:tblCellMar>
            <w:top w:w="0" w:type="dxa"/>
            <w:left w:w="108" w:type="dxa"/>
            <w:bottom w:w="0" w:type="dxa"/>
            <w:right w:w="108" w:type="dxa"/>
          </w:tblCellMar>
        </w:tblPrEx>
        <w:trPr>
          <w:trHeight w:val="940"/>
        </w:trPr>
        <w:tc>
          <w:tcPr>
            <w:tcW w:w="2518" w:type="dxa"/>
            <w:noWrap w:val="0"/>
            <w:vAlign w:val="center"/>
          </w:tcPr>
          <w:p>
            <w:pPr>
              <w:jc w:val="center"/>
              <w:rPr>
                <w:rFonts w:ascii="宋体" w:hAnsi="宋体"/>
                <w:b/>
                <w:szCs w:val="21"/>
              </w:rPr>
            </w:pPr>
            <w:r>
              <w:rPr>
                <w:rFonts w:ascii="Calibri" w:hAnsi="Calibri"/>
                <w:szCs w:val="22"/>
              </w:rPr>
              <w:t>微波辐射计</w:t>
            </w:r>
          </w:p>
        </w:tc>
        <w:tc>
          <w:tcPr>
            <w:tcW w:w="851" w:type="dxa"/>
            <w:noWrap w:val="0"/>
            <w:vAlign w:val="center"/>
          </w:tcPr>
          <w:p>
            <w:pPr>
              <w:pStyle w:val="TOC1"/>
              <w:jc w:val="center"/>
              <w:rPr>
                <w:rFonts w:ascii="宋体" w:hAnsi="宋体"/>
                <w:b/>
                <w:szCs w:val="21"/>
              </w:rPr>
            </w:pPr>
            <w:r>
              <w:rPr>
                <w:rFonts w:hint="eastAsia"/>
                <w:szCs w:val="20"/>
              </w:rPr>
              <w:t>套</w:t>
            </w:r>
          </w:p>
        </w:tc>
        <w:tc>
          <w:tcPr>
            <w:tcW w:w="744" w:type="dxa"/>
            <w:noWrap w:val="0"/>
            <w:vAlign w:val="center"/>
          </w:tcPr>
          <w:p>
            <w:pPr>
              <w:pStyle w:val="TOC1"/>
              <w:jc w:val="center"/>
              <w:rPr>
                <w:rFonts w:ascii="宋体" w:hAnsi="宋体"/>
                <w:b/>
                <w:szCs w:val="21"/>
              </w:rPr>
            </w:pPr>
            <w:r>
              <w:rPr>
                <w:rFonts w:hint="eastAsia"/>
                <w:szCs w:val="20"/>
              </w:rPr>
              <w:t>1</w:t>
            </w:r>
          </w:p>
        </w:tc>
        <w:tc>
          <w:tcPr>
            <w:tcW w:w="1371" w:type="dxa"/>
            <w:noWrap w:val="0"/>
            <w:vAlign w:val="center"/>
          </w:tcPr>
          <w:p>
            <w:pPr>
              <w:pStyle w:val="TOC1"/>
              <w:rPr>
                <w:rFonts w:ascii="宋体" w:hAnsi="宋体"/>
                <w:b/>
                <w:szCs w:val="21"/>
              </w:rPr>
            </w:pPr>
            <w:r>
              <w:rPr>
                <w:rFonts w:ascii="Calibri" w:hAnsi="Calibri"/>
                <w:szCs w:val="22"/>
              </w:rPr>
              <w:t>合同签订后120天内交货，180天内完成安装调试并具备验收条件</w:t>
            </w:r>
          </w:p>
        </w:tc>
        <w:tc>
          <w:tcPr>
            <w:tcW w:w="1371" w:type="dxa"/>
            <w:noWrap w:val="0"/>
            <w:vAlign w:val="center"/>
          </w:tcPr>
          <w:p>
            <w:pPr>
              <w:pStyle w:val="TOC1"/>
              <w:rPr>
                <w:rFonts w:ascii="宋体" w:hAnsi="宋体"/>
                <w:b/>
                <w:szCs w:val="21"/>
              </w:rPr>
            </w:pPr>
            <w:r>
              <w:rPr>
                <w:rFonts w:ascii="宋体" w:hAnsi="宋体" w:hint="eastAsia"/>
                <w:b/>
                <w:szCs w:val="21"/>
              </w:rPr>
              <w:t>招标人指定交货地点</w:t>
            </w:r>
          </w:p>
        </w:tc>
        <w:tc>
          <w:tcPr>
            <w:tcW w:w="1371" w:type="dxa"/>
            <w:noWrap w:val="0"/>
            <w:vAlign w:val="center"/>
          </w:tcPr>
          <w:p>
            <w:pPr>
              <w:pStyle w:val="TOC1"/>
              <w:rPr>
                <w:rFonts w:ascii="宋体" w:hAnsi="宋体"/>
                <w:b/>
                <w:szCs w:val="21"/>
              </w:rPr>
            </w:pPr>
            <w:r>
              <w:rPr>
                <w:rFonts w:ascii="宋体" w:hAnsi="宋体" w:hint="eastAsia"/>
                <w:b/>
                <w:szCs w:val="21"/>
              </w:rPr>
              <w:t>包含设备运输、安装、调试、验收、8年质保等</w:t>
            </w:r>
          </w:p>
        </w:tc>
      </w:tr>
    </w:tbl>
    <w:p>
      <w:pPr>
        <w:rPr>
          <w:kern w:val="0"/>
        </w:rPr>
      </w:pPr>
    </w:p>
    <w:p>
      <w:pPr>
        <w:snapToGrid w:val="0"/>
        <w:spacing w:before="156" w:beforeLines="50" w:after="100" w:afterAutospacing="1"/>
        <w:jc w:val="left"/>
        <w:outlineLvl w:val="1"/>
        <w:rPr>
          <w:b/>
        </w:rPr>
      </w:pPr>
      <w:bookmarkStart w:id="62" w:name="_Toc431301672"/>
      <w:bookmarkStart w:id="63" w:name="_Toc431298739"/>
      <w:r>
        <w:rPr>
          <w:rFonts w:hint="eastAsia"/>
          <w:b/>
          <w:sz w:val="24"/>
        </w:rPr>
        <w:t>三、技术性能要求</w:t>
      </w:r>
      <w:bookmarkEnd w:id="62"/>
      <w:bookmarkEnd w:id="63"/>
    </w:p>
    <w:p>
      <w:pPr>
        <w:adjustRightInd w:val="0"/>
        <w:snapToGrid w:val="0"/>
        <w:spacing w:line="460" w:lineRule="exact"/>
        <w:ind w:firstLine="420" w:firstLineChars="200"/>
        <w:rPr>
          <w:rFonts w:ascii="宋体" w:hAnsi="宋体"/>
          <w:kern w:val="0"/>
        </w:rPr>
      </w:pPr>
      <w:r>
        <w:rPr>
          <w:rFonts w:ascii="宋体" w:hAnsi="宋体"/>
          <w:kern w:val="0"/>
        </w:rPr>
        <w:t>1</w:t>
      </w:r>
      <w:r>
        <w:rPr>
          <w:rFonts w:ascii="宋体" w:hAnsi="宋体" w:hint="eastAsia"/>
          <w:kern w:val="0"/>
        </w:rPr>
        <w:t>、微波辐射计性能指标</w:t>
      </w:r>
    </w:p>
    <w:p>
      <w:pPr>
        <w:rPr>
          <w:vanish/>
          <w:szCs w:val="21"/>
        </w:rPr>
      </w:pPr>
      <w:r>
        <w:rPr>
          <w:vanish/>
        </w:rPr>
        <w:t xml:space="preserve"> </w:t>
      </w:r>
    </w:p>
    <w:p>
      <w:r>
        <w:t xml:space="preserve"> </w:t>
      </w:r>
    </w:p>
    <w:tbl>
      <w:tblPr>
        <w:tblStyle w:val="TableNormal"/>
        <w:tblW w:w="91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22"/>
        <w:gridCol w:w="1098"/>
        <w:gridCol w:w="1019"/>
        <w:gridCol w:w="4159"/>
        <w:gridCol w:w="2204"/>
      </w:tblGrid>
      <w:tr>
        <w:tblPrEx>
          <w:tblW w:w="91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244"/>
          <w:jc w:val="center"/>
        </w:trPr>
        <w:tc>
          <w:tcPr>
            <w:tcW w:w="622" w:type="dxa"/>
            <w:noWrap w:val="0"/>
            <w:vAlign w:val="center"/>
          </w:tcPr>
          <w:p>
            <w:pPr>
              <w:widowControl/>
              <w:jc w:val="center"/>
              <w:rPr>
                <w:b/>
                <w:bCs/>
                <w:color w:val="000000"/>
                <w:sz w:val="18"/>
                <w:szCs w:val="18"/>
              </w:rPr>
            </w:pPr>
            <w:r>
              <w:rPr>
                <w:b/>
                <w:bCs/>
                <w:color w:val="000000"/>
                <w:sz w:val="18"/>
                <w:szCs w:val="18"/>
              </w:rPr>
              <w:t>序号</w:t>
            </w:r>
          </w:p>
        </w:tc>
        <w:tc>
          <w:tcPr>
            <w:tcW w:w="2117" w:type="dxa"/>
            <w:gridSpan w:val="2"/>
            <w:noWrap w:val="0"/>
            <w:vAlign w:val="center"/>
          </w:tcPr>
          <w:p>
            <w:pPr>
              <w:widowControl/>
              <w:jc w:val="center"/>
              <w:rPr>
                <w:b/>
                <w:bCs/>
                <w:color w:val="000000"/>
                <w:sz w:val="18"/>
                <w:szCs w:val="18"/>
              </w:rPr>
            </w:pPr>
            <w:r>
              <w:rPr>
                <w:b/>
                <w:bCs/>
                <w:color w:val="000000"/>
                <w:sz w:val="18"/>
                <w:szCs w:val="18"/>
              </w:rPr>
              <w:t>项目</w:t>
            </w:r>
          </w:p>
        </w:tc>
        <w:tc>
          <w:tcPr>
            <w:tcW w:w="6363" w:type="dxa"/>
            <w:gridSpan w:val="2"/>
            <w:noWrap w:val="0"/>
            <w:vAlign w:val="center"/>
          </w:tcPr>
          <w:p>
            <w:pPr>
              <w:widowControl/>
              <w:jc w:val="center"/>
              <w:rPr>
                <w:b/>
                <w:bCs/>
                <w:color w:val="000000"/>
                <w:sz w:val="18"/>
                <w:szCs w:val="18"/>
              </w:rPr>
            </w:pPr>
            <w:r>
              <w:rPr>
                <w:b/>
                <w:bCs/>
                <w:color w:val="000000"/>
                <w:sz w:val="18"/>
                <w:szCs w:val="18"/>
              </w:rPr>
              <w:t>指标</w:t>
            </w:r>
          </w:p>
        </w:tc>
      </w:tr>
      <w:tr>
        <w:tblPrEx>
          <w:tblW w:w="9102" w:type="dxa"/>
          <w:jc w:val="center"/>
          <w:tblLayout w:type="fixed"/>
          <w:tblCellMar>
            <w:top w:w="0" w:type="dxa"/>
            <w:left w:w="108" w:type="dxa"/>
            <w:bottom w:w="0" w:type="dxa"/>
            <w:right w:w="108" w:type="dxa"/>
          </w:tblCellMar>
        </w:tblPrEx>
        <w:trPr>
          <w:trHeight w:val="257"/>
          <w:jc w:val="center"/>
        </w:trPr>
        <w:tc>
          <w:tcPr>
            <w:tcW w:w="622" w:type="dxa"/>
            <w:noWrap w:val="0"/>
            <w:vAlign w:val="center"/>
          </w:tcPr>
          <w:p>
            <w:pPr>
              <w:widowControl/>
              <w:jc w:val="center"/>
              <w:rPr>
                <w:color w:val="000000"/>
                <w:sz w:val="18"/>
                <w:szCs w:val="18"/>
              </w:rPr>
            </w:pPr>
            <w:r>
              <w:rPr>
                <w:color w:val="000000"/>
                <w:sz w:val="18"/>
                <w:szCs w:val="18"/>
              </w:rPr>
              <w:t>1</w:t>
            </w:r>
          </w:p>
        </w:tc>
        <w:tc>
          <w:tcPr>
            <w:tcW w:w="2117" w:type="dxa"/>
            <w:gridSpan w:val="2"/>
            <w:noWrap w:val="0"/>
            <w:vAlign w:val="center"/>
          </w:tcPr>
          <w:p>
            <w:pPr>
              <w:jc w:val="left"/>
              <w:rPr>
                <w:color w:val="000000"/>
                <w:sz w:val="18"/>
                <w:szCs w:val="18"/>
              </w:rPr>
            </w:pPr>
            <w:r>
              <w:rPr>
                <w:color w:val="000000"/>
                <w:sz w:val="18"/>
                <w:szCs w:val="18"/>
              </w:rPr>
              <w:t>主要功能</w:t>
            </w:r>
          </w:p>
        </w:tc>
        <w:tc>
          <w:tcPr>
            <w:tcW w:w="6363" w:type="dxa"/>
            <w:gridSpan w:val="2"/>
            <w:noWrap w:val="0"/>
            <w:vAlign w:val="top"/>
          </w:tcPr>
          <w:p>
            <w:pPr>
              <w:rPr>
                <w:color w:val="000000"/>
                <w:sz w:val="18"/>
                <w:szCs w:val="18"/>
              </w:rPr>
            </w:pPr>
            <w:r>
              <w:rPr>
                <w:color w:val="000000"/>
                <w:sz w:val="18"/>
                <w:szCs w:val="18"/>
              </w:rPr>
              <w:t>采用单次多个独立检测器多通道并行探测方式，通过实时测量大气微波辐射信号，综合实现大气温度、湿度、云水辐射信号的多通道探测，全中文界面，终端可显示实时温湿廓线图、时间剖面图，运行状态实时监控、自动记录、自动报警，远程控制，具有断电自动恢复能力及历史数据回放功能。</w:t>
            </w:r>
          </w:p>
        </w:tc>
      </w:tr>
      <w:tr>
        <w:tblPrEx>
          <w:tblW w:w="9102" w:type="dxa"/>
          <w:jc w:val="center"/>
          <w:tblLayout w:type="fixed"/>
          <w:tblCellMar>
            <w:top w:w="0" w:type="dxa"/>
            <w:left w:w="108" w:type="dxa"/>
            <w:bottom w:w="0" w:type="dxa"/>
            <w:right w:w="108" w:type="dxa"/>
          </w:tblCellMar>
        </w:tblPrEx>
        <w:trPr>
          <w:trHeight w:val="257"/>
          <w:jc w:val="center"/>
        </w:trPr>
        <w:tc>
          <w:tcPr>
            <w:tcW w:w="622" w:type="dxa"/>
            <w:noWrap w:val="0"/>
            <w:vAlign w:val="center"/>
          </w:tcPr>
          <w:p>
            <w:pPr>
              <w:widowControl/>
              <w:jc w:val="center"/>
              <w:rPr>
                <w:color w:val="000000"/>
                <w:sz w:val="18"/>
                <w:szCs w:val="18"/>
              </w:rPr>
            </w:pPr>
            <w:r>
              <w:rPr>
                <w:color w:val="000000"/>
                <w:sz w:val="18"/>
                <w:szCs w:val="18"/>
              </w:rPr>
              <w:t>2</w:t>
            </w:r>
          </w:p>
        </w:tc>
        <w:tc>
          <w:tcPr>
            <w:tcW w:w="2117" w:type="dxa"/>
            <w:gridSpan w:val="2"/>
            <w:noWrap w:val="0"/>
            <w:vAlign w:val="center"/>
          </w:tcPr>
          <w:p>
            <w:pPr>
              <w:jc w:val="left"/>
              <w:rPr>
                <w:color w:val="FF0000"/>
                <w:sz w:val="18"/>
                <w:szCs w:val="18"/>
              </w:rPr>
            </w:pPr>
            <w:r>
              <w:rPr>
                <w:rFonts w:hint="eastAsia"/>
                <w:color w:val="000000"/>
                <w:sz w:val="18"/>
                <w:szCs w:val="18"/>
              </w:rPr>
              <w:t>基本</w:t>
            </w:r>
            <w:r>
              <w:rPr>
                <w:color w:val="000000"/>
                <w:sz w:val="18"/>
                <w:szCs w:val="18"/>
              </w:rPr>
              <w:t>数据产品</w:t>
            </w:r>
          </w:p>
        </w:tc>
        <w:tc>
          <w:tcPr>
            <w:tcW w:w="6363" w:type="dxa"/>
            <w:gridSpan w:val="2"/>
            <w:noWrap w:val="0"/>
            <w:vAlign w:val="top"/>
          </w:tcPr>
          <w:p>
            <w:pPr>
              <w:pStyle w:val="Style8"/>
              <w:ind w:firstLine="0" w:firstLineChars="0"/>
            </w:pPr>
            <w:r>
              <w:rPr>
                <w:sz w:val="18"/>
                <w:szCs w:val="18"/>
              </w:rPr>
              <w:t>大气辐射亮温，大气温度廓线，边界层温度廓线，水汽密度廓线，相对湿度廓线，液态水廓线，积分水汽，积分液态水，降雨标志，云底温度和云底高度</w:t>
            </w:r>
            <w:r>
              <w:rPr>
                <w:rFonts w:hint="eastAsia"/>
                <w:sz w:val="18"/>
                <w:szCs w:val="18"/>
              </w:rPr>
              <w:t>等</w:t>
            </w:r>
            <w:r>
              <w:rPr>
                <w:sz w:val="18"/>
                <w:szCs w:val="18"/>
              </w:rPr>
              <w:t>。</w:t>
            </w:r>
          </w:p>
        </w:tc>
      </w:tr>
      <w:tr>
        <w:tblPrEx>
          <w:tblW w:w="9102" w:type="dxa"/>
          <w:jc w:val="center"/>
          <w:tblLayout w:type="fixed"/>
          <w:tblCellMar>
            <w:top w:w="0" w:type="dxa"/>
            <w:left w:w="108" w:type="dxa"/>
            <w:bottom w:w="0" w:type="dxa"/>
            <w:right w:w="108" w:type="dxa"/>
          </w:tblCellMar>
        </w:tblPrEx>
        <w:trPr>
          <w:trHeight w:val="257"/>
          <w:jc w:val="center"/>
        </w:trPr>
        <w:tc>
          <w:tcPr>
            <w:tcW w:w="622" w:type="dxa"/>
            <w:noWrap w:val="0"/>
            <w:vAlign w:val="center"/>
          </w:tcPr>
          <w:p>
            <w:pPr>
              <w:widowControl/>
              <w:jc w:val="center"/>
              <w:rPr>
                <w:color w:val="000000"/>
                <w:sz w:val="18"/>
                <w:szCs w:val="18"/>
              </w:rPr>
            </w:pPr>
            <w:r>
              <w:rPr>
                <w:rFonts w:hint="eastAsia"/>
                <w:color w:val="000000"/>
                <w:sz w:val="18"/>
                <w:szCs w:val="18"/>
              </w:rPr>
              <w:t>3</w:t>
            </w:r>
          </w:p>
        </w:tc>
        <w:tc>
          <w:tcPr>
            <w:tcW w:w="2117" w:type="dxa"/>
            <w:gridSpan w:val="2"/>
            <w:noWrap w:val="0"/>
            <w:vAlign w:val="center"/>
          </w:tcPr>
          <w:p>
            <w:pPr>
              <w:jc w:val="left"/>
              <w:rPr>
                <w:color w:val="000000"/>
                <w:sz w:val="18"/>
                <w:szCs w:val="18"/>
              </w:rPr>
            </w:pPr>
            <w:r>
              <w:rPr>
                <w:color w:val="000000"/>
                <w:sz w:val="18"/>
                <w:szCs w:val="18"/>
              </w:rPr>
              <w:t>数据质控</w:t>
            </w:r>
          </w:p>
        </w:tc>
        <w:tc>
          <w:tcPr>
            <w:tcW w:w="6363" w:type="dxa"/>
            <w:gridSpan w:val="2"/>
            <w:noWrap w:val="0"/>
            <w:vAlign w:val="center"/>
          </w:tcPr>
          <w:p>
            <w:pPr>
              <w:rPr>
                <w:color w:val="000000"/>
                <w:sz w:val="18"/>
                <w:szCs w:val="18"/>
              </w:rPr>
            </w:pPr>
            <w:r>
              <w:rPr>
                <w:color w:val="000000"/>
                <w:sz w:val="18"/>
                <w:szCs w:val="18"/>
              </w:rPr>
              <w:t>具</w:t>
            </w:r>
            <w:r>
              <w:rPr>
                <w:rFonts w:hint="eastAsia"/>
                <w:color w:val="000000"/>
                <w:sz w:val="18"/>
                <w:szCs w:val="18"/>
              </w:rPr>
              <w:t>有</w:t>
            </w:r>
            <w:r>
              <w:rPr>
                <w:color w:val="000000"/>
                <w:sz w:val="18"/>
                <w:szCs w:val="18"/>
              </w:rPr>
              <w:t>亮温、</w:t>
            </w:r>
            <w:r>
              <w:rPr>
                <w:rFonts w:hint="eastAsia"/>
                <w:color w:val="000000"/>
                <w:sz w:val="18"/>
                <w:szCs w:val="18"/>
              </w:rPr>
              <w:t>地面辅助观测数据和气象产品数据质量的自动检测和质量控制功能。</w:t>
            </w:r>
          </w:p>
        </w:tc>
      </w:tr>
      <w:tr>
        <w:tblPrEx>
          <w:tblW w:w="9102" w:type="dxa"/>
          <w:jc w:val="center"/>
          <w:tblLayout w:type="fixed"/>
          <w:tblCellMar>
            <w:top w:w="0" w:type="dxa"/>
            <w:left w:w="108" w:type="dxa"/>
            <w:bottom w:w="0" w:type="dxa"/>
            <w:right w:w="108" w:type="dxa"/>
          </w:tblCellMar>
        </w:tblPrEx>
        <w:trPr>
          <w:trHeight w:val="257"/>
          <w:jc w:val="center"/>
        </w:trPr>
        <w:tc>
          <w:tcPr>
            <w:tcW w:w="622" w:type="dxa"/>
            <w:noWrap w:val="0"/>
            <w:vAlign w:val="center"/>
          </w:tcPr>
          <w:p>
            <w:pPr>
              <w:widowControl/>
              <w:jc w:val="center"/>
              <w:rPr>
                <w:color w:val="000000"/>
                <w:sz w:val="18"/>
                <w:szCs w:val="18"/>
              </w:rPr>
            </w:pPr>
            <w:r>
              <w:rPr>
                <w:rFonts w:hint="eastAsia"/>
                <w:color w:val="000000"/>
                <w:sz w:val="18"/>
                <w:szCs w:val="18"/>
              </w:rPr>
              <w:t>4</w:t>
            </w:r>
          </w:p>
        </w:tc>
        <w:tc>
          <w:tcPr>
            <w:tcW w:w="2117" w:type="dxa"/>
            <w:gridSpan w:val="2"/>
            <w:noWrap w:val="0"/>
            <w:vAlign w:val="center"/>
          </w:tcPr>
          <w:p>
            <w:pPr>
              <w:jc w:val="left"/>
              <w:rPr>
                <w:color w:val="000000"/>
                <w:sz w:val="18"/>
                <w:szCs w:val="18"/>
              </w:rPr>
            </w:pPr>
            <w:r>
              <w:rPr>
                <w:color w:val="000000"/>
                <w:sz w:val="18"/>
                <w:szCs w:val="18"/>
              </w:rPr>
              <w:t>廓线采样速率</w:t>
            </w:r>
          </w:p>
        </w:tc>
        <w:tc>
          <w:tcPr>
            <w:tcW w:w="6363" w:type="dxa"/>
            <w:gridSpan w:val="2"/>
            <w:noWrap w:val="0"/>
            <w:vAlign w:val="center"/>
          </w:tcPr>
          <w:p>
            <w:pPr>
              <w:rPr>
                <w:color w:val="000000"/>
                <w:sz w:val="18"/>
                <w:szCs w:val="18"/>
              </w:rPr>
            </w:pPr>
            <w:r>
              <w:rPr>
                <w:color w:val="000000"/>
                <w:sz w:val="18"/>
                <w:szCs w:val="18"/>
              </w:rPr>
              <w:t xml:space="preserve">采样速率≤2min </w:t>
            </w:r>
          </w:p>
        </w:tc>
      </w:tr>
      <w:tr>
        <w:tblPrEx>
          <w:tblW w:w="9102" w:type="dxa"/>
          <w:jc w:val="center"/>
          <w:tblLayout w:type="fixed"/>
          <w:tblCellMar>
            <w:top w:w="0" w:type="dxa"/>
            <w:left w:w="108" w:type="dxa"/>
            <w:bottom w:w="0" w:type="dxa"/>
            <w:right w:w="108" w:type="dxa"/>
          </w:tblCellMar>
        </w:tblPrEx>
        <w:trPr>
          <w:trHeight w:val="257"/>
          <w:jc w:val="center"/>
        </w:trPr>
        <w:tc>
          <w:tcPr>
            <w:tcW w:w="622" w:type="dxa"/>
            <w:noWrap w:val="0"/>
            <w:vAlign w:val="center"/>
          </w:tcPr>
          <w:p>
            <w:pPr>
              <w:widowControl/>
              <w:jc w:val="center"/>
              <w:rPr>
                <w:color w:val="000000"/>
                <w:sz w:val="18"/>
                <w:szCs w:val="18"/>
              </w:rPr>
            </w:pPr>
            <w:r>
              <w:rPr>
                <w:rFonts w:hint="eastAsia"/>
                <w:color w:val="000000"/>
                <w:sz w:val="18"/>
                <w:szCs w:val="18"/>
              </w:rPr>
              <w:t>5</w:t>
            </w:r>
          </w:p>
        </w:tc>
        <w:tc>
          <w:tcPr>
            <w:tcW w:w="2117" w:type="dxa"/>
            <w:gridSpan w:val="2"/>
            <w:noWrap w:val="0"/>
            <w:vAlign w:val="center"/>
          </w:tcPr>
          <w:p>
            <w:pPr>
              <w:jc w:val="left"/>
              <w:rPr>
                <w:color w:val="000000"/>
                <w:sz w:val="18"/>
                <w:szCs w:val="18"/>
              </w:rPr>
            </w:pPr>
            <w:r>
              <w:rPr>
                <w:color w:val="000000"/>
                <w:sz w:val="18"/>
                <w:szCs w:val="18"/>
              </w:rPr>
              <w:t>探测高度</w:t>
            </w:r>
          </w:p>
        </w:tc>
        <w:tc>
          <w:tcPr>
            <w:tcW w:w="6363" w:type="dxa"/>
            <w:gridSpan w:val="2"/>
            <w:noWrap w:val="0"/>
            <w:vAlign w:val="center"/>
          </w:tcPr>
          <w:p>
            <w:pPr>
              <w:rPr>
                <w:color w:val="000000"/>
                <w:sz w:val="18"/>
                <w:szCs w:val="18"/>
              </w:rPr>
            </w:pPr>
            <w:r>
              <w:rPr>
                <w:color w:val="000000"/>
                <w:sz w:val="18"/>
                <w:szCs w:val="18"/>
              </w:rPr>
              <w:t>≥10km</w:t>
            </w:r>
          </w:p>
        </w:tc>
      </w:tr>
      <w:tr>
        <w:tblPrEx>
          <w:tblW w:w="9102" w:type="dxa"/>
          <w:jc w:val="center"/>
          <w:tblLayout w:type="fixed"/>
          <w:tblCellMar>
            <w:top w:w="0" w:type="dxa"/>
            <w:left w:w="108" w:type="dxa"/>
            <w:bottom w:w="0" w:type="dxa"/>
            <w:right w:w="108" w:type="dxa"/>
          </w:tblCellMar>
        </w:tblPrEx>
        <w:trPr>
          <w:trHeight w:val="633"/>
          <w:jc w:val="center"/>
        </w:trPr>
        <w:tc>
          <w:tcPr>
            <w:tcW w:w="622" w:type="dxa"/>
            <w:vMerge w:val="restart"/>
            <w:noWrap w:val="0"/>
            <w:vAlign w:val="center"/>
          </w:tcPr>
          <w:p>
            <w:pPr>
              <w:widowControl/>
              <w:jc w:val="center"/>
              <w:rPr>
                <w:color w:val="000000"/>
                <w:sz w:val="18"/>
                <w:szCs w:val="18"/>
              </w:rPr>
            </w:pPr>
            <w:r>
              <w:rPr>
                <w:rFonts w:hint="eastAsia"/>
                <w:color w:val="000000"/>
                <w:sz w:val="18"/>
                <w:szCs w:val="18"/>
              </w:rPr>
              <w:t>6</w:t>
            </w:r>
          </w:p>
        </w:tc>
        <w:tc>
          <w:tcPr>
            <w:tcW w:w="1098" w:type="dxa"/>
            <w:vMerge w:val="restart"/>
            <w:noWrap w:val="0"/>
            <w:vAlign w:val="center"/>
          </w:tcPr>
          <w:p>
            <w:pPr>
              <w:jc w:val="left"/>
              <w:rPr>
                <w:color w:val="000000"/>
                <w:sz w:val="18"/>
                <w:szCs w:val="18"/>
              </w:rPr>
            </w:pPr>
            <w:r>
              <w:rPr>
                <w:color w:val="000000"/>
                <w:sz w:val="18"/>
                <w:szCs w:val="18"/>
              </w:rPr>
              <w:t>天线单元</w:t>
            </w:r>
          </w:p>
        </w:tc>
        <w:tc>
          <w:tcPr>
            <w:tcW w:w="1019" w:type="dxa"/>
            <w:noWrap w:val="0"/>
            <w:vAlign w:val="center"/>
          </w:tcPr>
          <w:p>
            <w:pPr>
              <w:jc w:val="left"/>
              <w:rPr>
                <w:color w:val="000000"/>
                <w:sz w:val="18"/>
                <w:szCs w:val="18"/>
              </w:rPr>
            </w:pPr>
            <w:r>
              <w:rPr>
                <w:color w:val="FF0000"/>
                <w:sz w:val="18"/>
                <w:szCs w:val="18"/>
                <w:highlight w:val="yellow"/>
              </w:rPr>
              <w:t>#</w:t>
            </w:r>
            <w:r>
              <w:rPr>
                <w:color w:val="000000"/>
                <w:sz w:val="18"/>
                <w:szCs w:val="18"/>
              </w:rPr>
              <w:t>天线半功率波束宽度</w:t>
            </w:r>
          </w:p>
        </w:tc>
        <w:tc>
          <w:tcPr>
            <w:tcW w:w="6363" w:type="dxa"/>
            <w:gridSpan w:val="2"/>
            <w:noWrap w:val="0"/>
            <w:vAlign w:val="center"/>
          </w:tcPr>
          <w:p>
            <w:pPr>
              <w:jc w:val="left"/>
              <w:rPr>
                <w:color w:val="000000"/>
                <w:sz w:val="18"/>
                <w:szCs w:val="18"/>
              </w:rPr>
            </w:pPr>
            <w:r>
              <w:rPr>
                <w:color w:val="000000"/>
                <w:sz w:val="18"/>
                <w:szCs w:val="18"/>
              </w:rPr>
              <w:t>水汽通道≤5°，温度通道≤3°</w:t>
            </w:r>
          </w:p>
        </w:tc>
      </w:tr>
      <w:tr>
        <w:tblPrEx>
          <w:tblW w:w="9102" w:type="dxa"/>
          <w:jc w:val="center"/>
          <w:tblLayout w:type="fixed"/>
          <w:tblCellMar>
            <w:top w:w="0" w:type="dxa"/>
            <w:left w:w="108" w:type="dxa"/>
            <w:bottom w:w="0" w:type="dxa"/>
            <w:right w:w="108" w:type="dxa"/>
          </w:tblCellMar>
        </w:tblPrEx>
        <w:trPr>
          <w:trHeight w:val="257"/>
          <w:jc w:val="center"/>
        </w:trPr>
        <w:tc>
          <w:tcPr>
            <w:tcW w:w="622" w:type="dxa"/>
            <w:vMerge/>
            <w:noWrap w:val="0"/>
            <w:vAlign w:val="center"/>
          </w:tcPr>
          <w:p>
            <w:pPr>
              <w:widowControl/>
              <w:jc w:val="center"/>
              <w:rPr>
                <w:color w:val="000000"/>
                <w:sz w:val="18"/>
                <w:szCs w:val="18"/>
              </w:rPr>
            </w:pPr>
          </w:p>
        </w:tc>
        <w:tc>
          <w:tcPr>
            <w:tcW w:w="1098" w:type="dxa"/>
            <w:vMerge/>
            <w:noWrap w:val="0"/>
            <w:vAlign w:val="center"/>
          </w:tcPr>
          <w:p>
            <w:pPr>
              <w:jc w:val="left"/>
              <w:rPr>
                <w:color w:val="000000"/>
                <w:sz w:val="18"/>
                <w:szCs w:val="18"/>
              </w:rPr>
            </w:pPr>
          </w:p>
        </w:tc>
        <w:tc>
          <w:tcPr>
            <w:tcW w:w="1019" w:type="dxa"/>
            <w:noWrap w:val="0"/>
            <w:vAlign w:val="center"/>
          </w:tcPr>
          <w:p>
            <w:pPr>
              <w:jc w:val="left"/>
              <w:rPr>
                <w:color w:val="000000"/>
                <w:sz w:val="18"/>
                <w:szCs w:val="18"/>
              </w:rPr>
            </w:pPr>
            <w:r>
              <w:rPr>
                <w:color w:val="FF0000"/>
                <w:sz w:val="18"/>
                <w:szCs w:val="18"/>
                <w:highlight w:val="yellow"/>
              </w:rPr>
              <w:t>#</w:t>
            </w:r>
            <w:r>
              <w:rPr>
                <w:color w:val="000000"/>
                <w:sz w:val="18"/>
                <w:szCs w:val="18"/>
              </w:rPr>
              <w:t>天线旁瓣电平</w:t>
            </w:r>
          </w:p>
        </w:tc>
        <w:tc>
          <w:tcPr>
            <w:tcW w:w="6363" w:type="dxa"/>
            <w:gridSpan w:val="2"/>
            <w:noWrap w:val="0"/>
            <w:vAlign w:val="center"/>
          </w:tcPr>
          <w:p>
            <w:pPr>
              <w:jc w:val="left"/>
              <w:rPr>
                <w:color w:val="000000"/>
                <w:sz w:val="18"/>
                <w:szCs w:val="18"/>
              </w:rPr>
            </w:pPr>
            <w:r>
              <w:rPr>
                <w:color w:val="000000"/>
                <w:sz w:val="18"/>
                <w:szCs w:val="18"/>
              </w:rPr>
              <w:t>水汽通道＜-25 dB，温度通道＜-28dB</w:t>
            </w:r>
          </w:p>
        </w:tc>
      </w:tr>
      <w:tr>
        <w:tblPrEx>
          <w:tblW w:w="9102" w:type="dxa"/>
          <w:jc w:val="center"/>
          <w:tblLayout w:type="fixed"/>
          <w:tblCellMar>
            <w:top w:w="0" w:type="dxa"/>
            <w:left w:w="108" w:type="dxa"/>
            <w:bottom w:w="0" w:type="dxa"/>
            <w:right w:w="108" w:type="dxa"/>
          </w:tblCellMar>
        </w:tblPrEx>
        <w:trPr>
          <w:trHeight w:val="257"/>
          <w:jc w:val="center"/>
        </w:trPr>
        <w:tc>
          <w:tcPr>
            <w:tcW w:w="622" w:type="dxa"/>
            <w:vMerge/>
            <w:noWrap w:val="0"/>
            <w:vAlign w:val="center"/>
          </w:tcPr>
          <w:p>
            <w:pPr>
              <w:widowControl/>
              <w:jc w:val="center"/>
              <w:rPr>
                <w:color w:val="000000"/>
                <w:sz w:val="18"/>
                <w:szCs w:val="18"/>
              </w:rPr>
            </w:pPr>
          </w:p>
        </w:tc>
        <w:tc>
          <w:tcPr>
            <w:tcW w:w="1098" w:type="dxa"/>
            <w:vMerge/>
            <w:noWrap w:val="0"/>
            <w:vAlign w:val="center"/>
          </w:tcPr>
          <w:p>
            <w:pPr>
              <w:jc w:val="left"/>
              <w:rPr>
                <w:color w:val="000000"/>
                <w:sz w:val="18"/>
                <w:szCs w:val="18"/>
              </w:rPr>
            </w:pPr>
          </w:p>
        </w:tc>
        <w:tc>
          <w:tcPr>
            <w:tcW w:w="1019" w:type="dxa"/>
            <w:noWrap w:val="0"/>
            <w:vAlign w:val="center"/>
          </w:tcPr>
          <w:p>
            <w:pPr>
              <w:jc w:val="left"/>
              <w:rPr>
                <w:color w:val="000000"/>
                <w:sz w:val="18"/>
                <w:szCs w:val="18"/>
              </w:rPr>
            </w:pPr>
            <w:r>
              <w:rPr>
                <w:color w:val="000000"/>
                <w:sz w:val="18"/>
                <w:szCs w:val="18"/>
              </w:rPr>
              <w:t>天线罩损耗</w:t>
            </w:r>
          </w:p>
        </w:tc>
        <w:tc>
          <w:tcPr>
            <w:tcW w:w="6363" w:type="dxa"/>
            <w:gridSpan w:val="2"/>
            <w:noWrap w:val="0"/>
            <w:vAlign w:val="center"/>
          </w:tcPr>
          <w:p>
            <w:pPr>
              <w:jc w:val="left"/>
              <w:rPr>
                <w:color w:val="000000"/>
                <w:sz w:val="18"/>
                <w:szCs w:val="18"/>
              </w:rPr>
            </w:pPr>
            <w:r>
              <w:rPr>
                <w:color w:val="000000"/>
                <w:sz w:val="18"/>
                <w:szCs w:val="18"/>
              </w:rPr>
              <w:t>≤0.1dB</w:t>
            </w:r>
          </w:p>
        </w:tc>
      </w:tr>
      <w:tr>
        <w:tblPrEx>
          <w:tblW w:w="9102" w:type="dxa"/>
          <w:jc w:val="center"/>
          <w:tblLayout w:type="fixed"/>
          <w:tblCellMar>
            <w:top w:w="0" w:type="dxa"/>
            <w:left w:w="108" w:type="dxa"/>
            <w:bottom w:w="0" w:type="dxa"/>
            <w:right w:w="108" w:type="dxa"/>
          </w:tblCellMar>
        </w:tblPrEx>
        <w:trPr>
          <w:trHeight w:val="439"/>
          <w:jc w:val="center"/>
        </w:trPr>
        <w:tc>
          <w:tcPr>
            <w:tcW w:w="622" w:type="dxa"/>
            <w:vMerge w:val="restart"/>
            <w:noWrap w:val="0"/>
            <w:vAlign w:val="center"/>
          </w:tcPr>
          <w:p>
            <w:pPr>
              <w:widowControl/>
              <w:jc w:val="center"/>
              <w:rPr>
                <w:color w:val="000000"/>
                <w:sz w:val="18"/>
                <w:szCs w:val="18"/>
              </w:rPr>
            </w:pPr>
            <w:r>
              <w:rPr>
                <w:rFonts w:hint="eastAsia"/>
                <w:color w:val="000000"/>
                <w:sz w:val="18"/>
                <w:szCs w:val="18"/>
              </w:rPr>
              <w:t>7</w:t>
            </w:r>
          </w:p>
        </w:tc>
        <w:tc>
          <w:tcPr>
            <w:tcW w:w="1098" w:type="dxa"/>
            <w:vMerge w:val="restart"/>
            <w:noWrap w:val="0"/>
            <w:vAlign w:val="center"/>
          </w:tcPr>
          <w:p>
            <w:pPr>
              <w:jc w:val="left"/>
              <w:rPr>
                <w:color w:val="000000"/>
                <w:sz w:val="18"/>
                <w:szCs w:val="18"/>
              </w:rPr>
            </w:pPr>
            <w:r>
              <w:rPr>
                <w:color w:val="000000"/>
                <w:sz w:val="18"/>
                <w:szCs w:val="18"/>
              </w:rPr>
              <w:t>接收单元</w:t>
            </w:r>
          </w:p>
        </w:tc>
        <w:tc>
          <w:tcPr>
            <w:tcW w:w="1019" w:type="dxa"/>
            <w:noWrap w:val="0"/>
            <w:vAlign w:val="center"/>
          </w:tcPr>
          <w:p>
            <w:pPr>
              <w:widowControl/>
              <w:jc w:val="left"/>
            </w:pPr>
            <w:r>
              <w:rPr>
                <w:rFonts w:ascii="宋体" w:hAnsi="宋体" w:cs="宋体" w:hint="eastAsia"/>
                <w:color w:val="000000"/>
                <w:kern w:val="0"/>
                <w:sz w:val="18"/>
                <w:szCs w:val="18"/>
                <w:lang w:bidi="ar"/>
              </w:rPr>
              <w:t xml:space="preserve">技术体制 </w:t>
            </w:r>
          </w:p>
          <w:p>
            <w:pPr>
              <w:jc w:val="left"/>
              <w:rPr>
                <w:color w:val="000000"/>
                <w:sz w:val="18"/>
                <w:szCs w:val="18"/>
                <w:highlight w:val="red"/>
              </w:rPr>
            </w:pPr>
          </w:p>
        </w:tc>
        <w:tc>
          <w:tcPr>
            <w:tcW w:w="6363" w:type="dxa"/>
            <w:gridSpan w:val="2"/>
            <w:noWrap w:val="0"/>
            <w:vAlign w:val="center"/>
          </w:tcPr>
          <w:p>
            <w:pPr>
              <w:widowControl/>
              <w:jc w:val="left"/>
            </w:pPr>
            <w:r>
              <w:rPr>
                <w:rFonts w:ascii="宋体" w:hAnsi="宋体" w:cs="宋体" w:hint="eastAsia"/>
                <w:color w:val="000000"/>
                <w:kern w:val="0"/>
                <w:sz w:val="18"/>
                <w:szCs w:val="18"/>
                <w:lang w:bidi="ar"/>
              </w:rPr>
              <w:t>直接检波或混频检波</w:t>
            </w:r>
          </w:p>
          <w:p>
            <w:pPr>
              <w:widowControl/>
              <w:jc w:val="left"/>
              <w:rPr>
                <w:color w:val="000000"/>
                <w:sz w:val="18"/>
                <w:szCs w:val="18"/>
                <w:highlight w:val="red"/>
              </w:rPr>
            </w:pPr>
          </w:p>
        </w:tc>
      </w:tr>
      <w:tr>
        <w:tblPrEx>
          <w:tblW w:w="9102" w:type="dxa"/>
          <w:jc w:val="center"/>
          <w:tblLayout w:type="fixed"/>
          <w:tblCellMar>
            <w:top w:w="0" w:type="dxa"/>
            <w:left w:w="108" w:type="dxa"/>
            <w:bottom w:w="0" w:type="dxa"/>
            <w:right w:w="108" w:type="dxa"/>
          </w:tblCellMar>
        </w:tblPrEx>
        <w:trPr>
          <w:trHeight w:val="439"/>
          <w:jc w:val="center"/>
        </w:trPr>
        <w:tc>
          <w:tcPr>
            <w:tcW w:w="622" w:type="dxa"/>
            <w:vMerge/>
            <w:noWrap w:val="0"/>
            <w:vAlign w:val="center"/>
          </w:tcPr>
          <w:p>
            <w:pPr>
              <w:widowControl/>
              <w:jc w:val="center"/>
              <w:rPr>
                <w:color w:val="000000"/>
                <w:sz w:val="18"/>
                <w:szCs w:val="18"/>
              </w:rPr>
            </w:pPr>
          </w:p>
        </w:tc>
        <w:tc>
          <w:tcPr>
            <w:tcW w:w="1098" w:type="dxa"/>
            <w:vMerge/>
            <w:noWrap w:val="0"/>
            <w:vAlign w:val="center"/>
          </w:tcPr>
          <w:p>
            <w:pPr>
              <w:jc w:val="left"/>
              <w:rPr>
                <w:color w:val="000000"/>
                <w:sz w:val="18"/>
                <w:szCs w:val="18"/>
              </w:rPr>
            </w:pPr>
          </w:p>
        </w:tc>
        <w:tc>
          <w:tcPr>
            <w:tcW w:w="1019" w:type="dxa"/>
            <w:noWrap w:val="0"/>
            <w:vAlign w:val="center"/>
          </w:tcPr>
          <w:p>
            <w:pPr>
              <w:jc w:val="left"/>
              <w:rPr>
                <w:color w:val="000000"/>
                <w:sz w:val="18"/>
                <w:szCs w:val="18"/>
                <w:highlight w:val="red"/>
              </w:rPr>
            </w:pPr>
            <w:r>
              <w:rPr>
                <w:color w:val="000000"/>
                <w:sz w:val="18"/>
                <w:szCs w:val="18"/>
              </w:rPr>
              <w:t>工作频率</w:t>
            </w:r>
          </w:p>
        </w:tc>
        <w:tc>
          <w:tcPr>
            <w:tcW w:w="6363" w:type="dxa"/>
            <w:gridSpan w:val="2"/>
            <w:noWrap w:val="0"/>
            <w:vAlign w:val="center"/>
          </w:tcPr>
          <w:p>
            <w:pPr>
              <w:widowControl/>
              <w:jc w:val="left"/>
              <w:rPr>
                <w:color w:val="000000"/>
                <w:sz w:val="18"/>
                <w:szCs w:val="18"/>
                <w:highlight w:val="red"/>
              </w:rPr>
            </w:pPr>
            <w:r>
              <w:rPr>
                <w:rFonts w:ascii="宋体" w:hAnsi="宋体" w:cs="宋体" w:hint="eastAsia"/>
                <w:color w:val="000000"/>
                <w:kern w:val="0"/>
                <w:sz w:val="18"/>
                <w:szCs w:val="18"/>
                <w:lang w:bidi="ar"/>
              </w:rPr>
              <w:t xml:space="preserve">水汽通道 22～30GHz ，温度通道 51～59GHz </w:t>
            </w:r>
          </w:p>
        </w:tc>
      </w:tr>
      <w:tr>
        <w:tblPrEx>
          <w:tblW w:w="9102" w:type="dxa"/>
          <w:jc w:val="center"/>
          <w:tblLayout w:type="fixed"/>
          <w:tblCellMar>
            <w:top w:w="0" w:type="dxa"/>
            <w:left w:w="108" w:type="dxa"/>
            <w:bottom w:w="0" w:type="dxa"/>
            <w:right w:w="108" w:type="dxa"/>
          </w:tblCellMar>
        </w:tblPrEx>
        <w:trPr>
          <w:trHeight w:val="257"/>
          <w:jc w:val="center"/>
        </w:trPr>
        <w:tc>
          <w:tcPr>
            <w:tcW w:w="622" w:type="dxa"/>
            <w:vMerge/>
            <w:noWrap w:val="0"/>
            <w:vAlign w:val="center"/>
          </w:tcPr>
          <w:p>
            <w:pPr>
              <w:widowControl/>
              <w:jc w:val="center"/>
              <w:rPr>
                <w:color w:val="000000"/>
                <w:sz w:val="18"/>
                <w:szCs w:val="18"/>
              </w:rPr>
            </w:pPr>
          </w:p>
        </w:tc>
        <w:tc>
          <w:tcPr>
            <w:tcW w:w="1098" w:type="dxa"/>
            <w:vMerge/>
            <w:noWrap w:val="0"/>
            <w:vAlign w:val="center"/>
          </w:tcPr>
          <w:p>
            <w:pPr>
              <w:jc w:val="left"/>
              <w:rPr>
                <w:color w:val="000000"/>
                <w:sz w:val="18"/>
                <w:szCs w:val="18"/>
              </w:rPr>
            </w:pPr>
          </w:p>
        </w:tc>
        <w:tc>
          <w:tcPr>
            <w:tcW w:w="1019" w:type="dxa"/>
            <w:vMerge w:val="restart"/>
            <w:noWrap w:val="0"/>
            <w:vAlign w:val="center"/>
          </w:tcPr>
          <w:p>
            <w:pPr>
              <w:jc w:val="left"/>
              <w:rPr>
                <w:color w:val="000000"/>
                <w:sz w:val="18"/>
                <w:szCs w:val="18"/>
              </w:rPr>
            </w:pPr>
            <w:r>
              <w:rPr>
                <w:color w:val="000000"/>
                <w:sz w:val="18"/>
                <w:szCs w:val="18"/>
              </w:rPr>
              <w:t>通道数量</w:t>
            </w:r>
          </w:p>
        </w:tc>
        <w:tc>
          <w:tcPr>
            <w:tcW w:w="6363" w:type="dxa"/>
            <w:gridSpan w:val="2"/>
            <w:noWrap w:val="0"/>
            <w:vAlign w:val="center"/>
          </w:tcPr>
          <w:p>
            <w:pPr>
              <w:jc w:val="left"/>
              <w:rPr>
                <w:color w:val="000000"/>
                <w:sz w:val="18"/>
                <w:szCs w:val="18"/>
              </w:rPr>
            </w:pPr>
            <w:r>
              <w:rPr>
                <w:color w:val="000000"/>
                <w:sz w:val="18"/>
                <w:szCs w:val="18"/>
              </w:rPr>
              <w:t>温度通道≥7</w:t>
            </w:r>
          </w:p>
        </w:tc>
      </w:tr>
      <w:tr>
        <w:tblPrEx>
          <w:tblW w:w="9102" w:type="dxa"/>
          <w:jc w:val="center"/>
          <w:tblLayout w:type="fixed"/>
          <w:tblCellMar>
            <w:top w:w="0" w:type="dxa"/>
            <w:left w:w="108" w:type="dxa"/>
            <w:bottom w:w="0" w:type="dxa"/>
            <w:right w:w="108" w:type="dxa"/>
          </w:tblCellMar>
        </w:tblPrEx>
        <w:trPr>
          <w:trHeight w:val="257"/>
          <w:jc w:val="center"/>
        </w:trPr>
        <w:tc>
          <w:tcPr>
            <w:tcW w:w="622" w:type="dxa"/>
            <w:vMerge/>
            <w:noWrap w:val="0"/>
            <w:vAlign w:val="center"/>
          </w:tcPr>
          <w:p>
            <w:pPr>
              <w:widowControl/>
              <w:jc w:val="center"/>
              <w:rPr>
                <w:color w:val="000000"/>
                <w:sz w:val="18"/>
                <w:szCs w:val="18"/>
              </w:rPr>
            </w:pPr>
          </w:p>
        </w:tc>
        <w:tc>
          <w:tcPr>
            <w:tcW w:w="1098" w:type="dxa"/>
            <w:vMerge/>
            <w:noWrap w:val="0"/>
            <w:vAlign w:val="center"/>
          </w:tcPr>
          <w:p>
            <w:pPr>
              <w:jc w:val="left"/>
              <w:rPr>
                <w:color w:val="000000"/>
                <w:sz w:val="18"/>
                <w:szCs w:val="18"/>
              </w:rPr>
            </w:pPr>
          </w:p>
        </w:tc>
        <w:tc>
          <w:tcPr>
            <w:tcW w:w="1019" w:type="dxa"/>
            <w:vMerge/>
            <w:noWrap w:val="0"/>
            <w:vAlign w:val="center"/>
          </w:tcPr>
          <w:p>
            <w:pPr>
              <w:jc w:val="left"/>
              <w:rPr>
                <w:color w:val="000000"/>
                <w:sz w:val="18"/>
                <w:szCs w:val="18"/>
              </w:rPr>
            </w:pPr>
          </w:p>
        </w:tc>
        <w:tc>
          <w:tcPr>
            <w:tcW w:w="6363" w:type="dxa"/>
            <w:gridSpan w:val="2"/>
            <w:noWrap w:val="0"/>
            <w:vAlign w:val="center"/>
          </w:tcPr>
          <w:p>
            <w:pPr>
              <w:jc w:val="left"/>
              <w:rPr>
                <w:color w:val="000000"/>
                <w:sz w:val="18"/>
                <w:szCs w:val="18"/>
              </w:rPr>
            </w:pPr>
            <w:r>
              <w:rPr>
                <w:color w:val="000000"/>
                <w:sz w:val="18"/>
                <w:szCs w:val="18"/>
              </w:rPr>
              <w:t>水汽通道≥7</w:t>
            </w:r>
          </w:p>
        </w:tc>
      </w:tr>
      <w:tr>
        <w:tblPrEx>
          <w:tblW w:w="9102" w:type="dxa"/>
          <w:jc w:val="center"/>
          <w:tblLayout w:type="fixed"/>
          <w:tblCellMar>
            <w:top w:w="0" w:type="dxa"/>
            <w:left w:w="108" w:type="dxa"/>
            <w:bottom w:w="0" w:type="dxa"/>
            <w:right w:w="108" w:type="dxa"/>
          </w:tblCellMar>
        </w:tblPrEx>
        <w:trPr>
          <w:trHeight w:val="257"/>
          <w:jc w:val="center"/>
        </w:trPr>
        <w:tc>
          <w:tcPr>
            <w:tcW w:w="622" w:type="dxa"/>
            <w:vMerge/>
            <w:noWrap w:val="0"/>
            <w:vAlign w:val="center"/>
          </w:tcPr>
          <w:p>
            <w:pPr>
              <w:widowControl/>
              <w:jc w:val="center"/>
              <w:rPr>
                <w:color w:val="000000"/>
                <w:sz w:val="18"/>
                <w:szCs w:val="18"/>
              </w:rPr>
            </w:pPr>
          </w:p>
        </w:tc>
        <w:tc>
          <w:tcPr>
            <w:tcW w:w="1098" w:type="dxa"/>
            <w:vMerge/>
            <w:noWrap w:val="0"/>
            <w:vAlign w:val="center"/>
          </w:tcPr>
          <w:p>
            <w:pPr>
              <w:jc w:val="left"/>
              <w:rPr>
                <w:color w:val="000000"/>
                <w:sz w:val="18"/>
                <w:szCs w:val="18"/>
              </w:rPr>
            </w:pPr>
          </w:p>
        </w:tc>
        <w:tc>
          <w:tcPr>
            <w:tcW w:w="1019" w:type="dxa"/>
            <w:noWrap w:val="0"/>
            <w:vAlign w:val="center"/>
          </w:tcPr>
          <w:p>
            <w:pPr>
              <w:jc w:val="left"/>
              <w:rPr>
                <w:color w:val="000000"/>
                <w:sz w:val="18"/>
                <w:szCs w:val="18"/>
              </w:rPr>
            </w:pPr>
            <w:r>
              <w:rPr>
                <w:color w:val="FF0000"/>
                <w:sz w:val="18"/>
                <w:szCs w:val="18"/>
                <w:highlight w:val="yellow"/>
              </w:rPr>
              <w:t>#</w:t>
            </w:r>
            <w:r>
              <w:rPr>
                <w:color w:val="000000"/>
                <w:sz w:val="18"/>
                <w:szCs w:val="18"/>
              </w:rPr>
              <w:t>噪声系数</w:t>
            </w:r>
          </w:p>
        </w:tc>
        <w:tc>
          <w:tcPr>
            <w:tcW w:w="6363" w:type="dxa"/>
            <w:gridSpan w:val="2"/>
            <w:noWrap w:val="0"/>
            <w:vAlign w:val="center"/>
          </w:tcPr>
          <w:p>
            <w:pPr>
              <w:jc w:val="left"/>
              <w:rPr>
                <w:color w:val="000000"/>
                <w:sz w:val="18"/>
                <w:szCs w:val="18"/>
              </w:rPr>
            </w:pPr>
            <w:r>
              <w:rPr>
                <w:color w:val="000000"/>
                <w:sz w:val="18"/>
                <w:szCs w:val="18"/>
              </w:rPr>
              <w:t>水汽通道≤4dB，温度通道≤6dB</w:t>
            </w:r>
          </w:p>
        </w:tc>
      </w:tr>
      <w:tr>
        <w:tblPrEx>
          <w:tblW w:w="9102" w:type="dxa"/>
          <w:jc w:val="center"/>
          <w:tblLayout w:type="fixed"/>
          <w:tblCellMar>
            <w:top w:w="0" w:type="dxa"/>
            <w:left w:w="108" w:type="dxa"/>
            <w:bottom w:w="0" w:type="dxa"/>
            <w:right w:w="108" w:type="dxa"/>
          </w:tblCellMar>
        </w:tblPrEx>
        <w:trPr>
          <w:trHeight w:val="257"/>
          <w:jc w:val="center"/>
        </w:trPr>
        <w:tc>
          <w:tcPr>
            <w:tcW w:w="622" w:type="dxa"/>
            <w:vMerge/>
            <w:noWrap w:val="0"/>
            <w:vAlign w:val="center"/>
          </w:tcPr>
          <w:p>
            <w:pPr>
              <w:widowControl/>
              <w:jc w:val="center"/>
              <w:rPr>
                <w:color w:val="000000"/>
                <w:sz w:val="18"/>
                <w:szCs w:val="18"/>
              </w:rPr>
            </w:pPr>
          </w:p>
        </w:tc>
        <w:tc>
          <w:tcPr>
            <w:tcW w:w="1098" w:type="dxa"/>
            <w:vMerge/>
            <w:noWrap w:val="0"/>
            <w:vAlign w:val="center"/>
          </w:tcPr>
          <w:p>
            <w:pPr>
              <w:jc w:val="left"/>
              <w:rPr>
                <w:color w:val="000000"/>
                <w:sz w:val="18"/>
                <w:szCs w:val="18"/>
              </w:rPr>
            </w:pPr>
          </w:p>
        </w:tc>
        <w:tc>
          <w:tcPr>
            <w:tcW w:w="1019" w:type="dxa"/>
            <w:noWrap w:val="0"/>
            <w:vAlign w:val="center"/>
          </w:tcPr>
          <w:p>
            <w:pPr>
              <w:jc w:val="left"/>
              <w:rPr>
                <w:color w:val="000000"/>
                <w:sz w:val="18"/>
                <w:szCs w:val="18"/>
              </w:rPr>
            </w:pPr>
            <w:r>
              <w:rPr>
                <w:color w:val="000000"/>
                <w:sz w:val="18"/>
                <w:szCs w:val="18"/>
              </w:rPr>
              <w:t>亮温测量范围</w:t>
            </w:r>
          </w:p>
        </w:tc>
        <w:tc>
          <w:tcPr>
            <w:tcW w:w="6363" w:type="dxa"/>
            <w:gridSpan w:val="2"/>
            <w:noWrap w:val="0"/>
            <w:vAlign w:val="center"/>
          </w:tcPr>
          <w:p>
            <w:pPr>
              <w:jc w:val="left"/>
              <w:rPr>
                <w:color w:val="000000"/>
                <w:sz w:val="18"/>
                <w:szCs w:val="18"/>
              </w:rPr>
            </w:pPr>
            <w:r>
              <w:rPr>
                <w:color w:val="000000"/>
                <w:sz w:val="18"/>
                <w:szCs w:val="18"/>
              </w:rPr>
              <w:t>0K～400K</w:t>
            </w:r>
          </w:p>
        </w:tc>
      </w:tr>
      <w:tr>
        <w:tblPrEx>
          <w:tblW w:w="9102" w:type="dxa"/>
          <w:jc w:val="center"/>
          <w:tblLayout w:type="fixed"/>
          <w:tblCellMar>
            <w:top w:w="0" w:type="dxa"/>
            <w:left w:w="108" w:type="dxa"/>
            <w:bottom w:w="0" w:type="dxa"/>
            <w:right w:w="108" w:type="dxa"/>
          </w:tblCellMar>
        </w:tblPrEx>
        <w:trPr>
          <w:trHeight w:val="244"/>
          <w:jc w:val="center"/>
        </w:trPr>
        <w:tc>
          <w:tcPr>
            <w:tcW w:w="622" w:type="dxa"/>
            <w:vMerge/>
            <w:noWrap w:val="0"/>
            <w:vAlign w:val="center"/>
          </w:tcPr>
          <w:p>
            <w:pPr>
              <w:widowControl/>
              <w:jc w:val="center"/>
              <w:rPr>
                <w:color w:val="000000"/>
                <w:sz w:val="18"/>
                <w:szCs w:val="18"/>
              </w:rPr>
            </w:pPr>
          </w:p>
        </w:tc>
        <w:tc>
          <w:tcPr>
            <w:tcW w:w="1098" w:type="dxa"/>
            <w:vMerge/>
            <w:noWrap w:val="0"/>
            <w:vAlign w:val="center"/>
          </w:tcPr>
          <w:p>
            <w:pPr>
              <w:jc w:val="left"/>
              <w:rPr>
                <w:color w:val="000000"/>
                <w:sz w:val="18"/>
                <w:szCs w:val="18"/>
              </w:rPr>
            </w:pPr>
          </w:p>
        </w:tc>
        <w:tc>
          <w:tcPr>
            <w:tcW w:w="1019" w:type="dxa"/>
            <w:noWrap w:val="0"/>
            <w:vAlign w:val="center"/>
          </w:tcPr>
          <w:p>
            <w:pPr>
              <w:jc w:val="left"/>
              <w:rPr>
                <w:color w:val="000000"/>
                <w:sz w:val="18"/>
                <w:szCs w:val="18"/>
              </w:rPr>
            </w:pPr>
            <w:r>
              <w:rPr>
                <w:color w:val="000000"/>
                <w:sz w:val="18"/>
                <w:szCs w:val="18"/>
              </w:rPr>
              <w:t>亮温灵敏度</w:t>
            </w:r>
          </w:p>
        </w:tc>
        <w:tc>
          <w:tcPr>
            <w:tcW w:w="6363" w:type="dxa"/>
            <w:gridSpan w:val="2"/>
            <w:noWrap w:val="0"/>
            <w:vAlign w:val="center"/>
          </w:tcPr>
          <w:p>
            <w:pPr>
              <w:jc w:val="left"/>
              <w:rPr>
                <w:color w:val="000000"/>
                <w:sz w:val="18"/>
                <w:szCs w:val="18"/>
              </w:rPr>
            </w:pPr>
            <w:r>
              <w:rPr>
                <w:color w:val="000000"/>
                <w:sz w:val="18"/>
                <w:szCs w:val="18"/>
              </w:rPr>
              <w:t>水汽通道≤0.2K（1s积分时间）</w:t>
            </w:r>
          </w:p>
          <w:p>
            <w:pPr>
              <w:jc w:val="left"/>
              <w:rPr>
                <w:color w:val="000000"/>
                <w:sz w:val="18"/>
                <w:szCs w:val="18"/>
              </w:rPr>
            </w:pPr>
            <w:r>
              <w:rPr>
                <w:color w:val="000000"/>
                <w:sz w:val="18"/>
                <w:szCs w:val="18"/>
              </w:rPr>
              <w:t>氧气通道≤0.3K（1s积分时间）</w:t>
            </w:r>
          </w:p>
        </w:tc>
      </w:tr>
      <w:tr>
        <w:tblPrEx>
          <w:tblW w:w="9102" w:type="dxa"/>
          <w:jc w:val="center"/>
          <w:tblLayout w:type="fixed"/>
          <w:tblCellMar>
            <w:top w:w="0" w:type="dxa"/>
            <w:left w:w="108" w:type="dxa"/>
            <w:bottom w:w="0" w:type="dxa"/>
            <w:right w:w="108" w:type="dxa"/>
          </w:tblCellMar>
        </w:tblPrEx>
        <w:trPr>
          <w:trHeight w:val="244"/>
          <w:jc w:val="center"/>
        </w:trPr>
        <w:tc>
          <w:tcPr>
            <w:tcW w:w="622" w:type="dxa"/>
            <w:vMerge/>
            <w:noWrap w:val="0"/>
            <w:vAlign w:val="center"/>
          </w:tcPr>
          <w:p>
            <w:pPr>
              <w:widowControl/>
              <w:jc w:val="center"/>
              <w:rPr>
                <w:color w:val="000000"/>
                <w:sz w:val="18"/>
                <w:szCs w:val="18"/>
              </w:rPr>
            </w:pPr>
          </w:p>
        </w:tc>
        <w:tc>
          <w:tcPr>
            <w:tcW w:w="1098" w:type="dxa"/>
            <w:vMerge/>
            <w:noWrap w:val="0"/>
            <w:vAlign w:val="center"/>
          </w:tcPr>
          <w:p>
            <w:pPr>
              <w:jc w:val="left"/>
              <w:rPr>
                <w:color w:val="000000"/>
                <w:sz w:val="18"/>
                <w:szCs w:val="18"/>
              </w:rPr>
            </w:pPr>
          </w:p>
        </w:tc>
        <w:tc>
          <w:tcPr>
            <w:tcW w:w="1019" w:type="dxa"/>
            <w:noWrap w:val="0"/>
            <w:vAlign w:val="center"/>
          </w:tcPr>
          <w:p>
            <w:pPr>
              <w:jc w:val="left"/>
              <w:rPr>
                <w:color w:val="000000"/>
                <w:sz w:val="18"/>
                <w:szCs w:val="18"/>
              </w:rPr>
            </w:pPr>
            <w:r>
              <w:rPr>
                <w:color w:val="FF0000"/>
                <w:sz w:val="18"/>
                <w:szCs w:val="18"/>
                <w:highlight w:val="yellow"/>
              </w:rPr>
              <w:t>#</w:t>
            </w:r>
            <w:r>
              <w:rPr>
                <w:color w:val="000000"/>
                <w:sz w:val="18"/>
                <w:szCs w:val="18"/>
              </w:rPr>
              <w:t>亮温测量误差</w:t>
            </w:r>
          </w:p>
        </w:tc>
        <w:tc>
          <w:tcPr>
            <w:tcW w:w="6363" w:type="dxa"/>
            <w:gridSpan w:val="2"/>
            <w:noWrap w:val="0"/>
            <w:vAlign w:val="center"/>
          </w:tcPr>
          <w:p>
            <w:pPr>
              <w:jc w:val="left"/>
              <w:rPr>
                <w:color w:val="000000"/>
                <w:sz w:val="18"/>
                <w:szCs w:val="18"/>
              </w:rPr>
            </w:pPr>
            <w:r>
              <w:rPr>
                <w:color w:val="000000"/>
                <w:sz w:val="18"/>
                <w:szCs w:val="18"/>
              </w:rPr>
              <w:t>≤1K RMS</w:t>
            </w:r>
          </w:p>
        </w:tc>
      </w:tr>
      <w:tr>
        <w:tblPrEx>
          <w:tblW w:w="9102" w:type="dxa"/>
          <w:jc w:val="center"/>
          <w:tblLayout w:type="fixed"/>
          <w:tblCellMar>
            <w:top w:w="0" w:type="dxa"/>
            <w:left w:w="108" w:type="dxa"/>
            <w:bottom w:w="0" w:type="dxa"/>
            <w:right w:w="108" w:type="dxa"/>
          </w:tblCellMar>
        </w:tblPrEx>
        <w:trPr>
          <w:trHeight w:val="244"/>
          <w:jc w:val="center"/>
        </w:trPr>
        <w:tc>
          <w:tcPr>
            <w:tcW w:w="622" w:type="dxa"/>
            <w:vMerge/>
            <w:noWrap w:val="0"/>
            <w:vAlign w:val="center"/>
          </w:tcPr>
          <w:p>
            <w:pPr>
              <w:widowControl/>
              <w:jc w:val="center"/>
              <w:rPr>
                <w:color w:val="000000"/>
                <w:sz w:val="18"/>
                <w:szCs w:val="18"/>
              </w:rPr>
            </w:pPr>
          </w:p>
        </w:tc>
        <w:tc>
          <w:tcPr>
            <w:tcW w:w="1098" w:type="dxa"/>
            <w:vMerge/>
            <w:noWrap w:val="0"/>
            <w:vAlign w:val="center"/>
          </w:tcPr>
          <w:p>
            <w:pPr>
              <w:jc w:val="left"/>
              <w:rPr>
                <w:color w:val="000000"/>
                <w:sz w:val="18"/>
                <w:szCs w:val="18"/>
              </w:rPr>
            </w:pPr>
          </w:p>
        </w:tc>
        <w:tc>
          <w:tcPr>
            <w:tcW w:w="1019" w:type="dxa"/>
            <w:noWrap w:val="0"/>
            <w:vAlign w:val="center"/>
          </w:tcPr>
          <w:p>
            <w:pPr>
              <w:jc w:val="left"/>
              <w:rPr>
                <w:color w:val="000000"/>
                <w:sz w:val="18"/>
                <w:szCs w:val="18"/>
              </w:rPr>
            </w:pPr>
            <w:r>
              <w:rPr>
                <w:color w:val="FF0000"/>
                <w:sz w:val="18"/>
                <w:szCs w:val="18"/>
                <w:highlight w:val="yellow"/>
              </w:rPr>
              <w:t>#</w:t>
            </w:r>
            <w:r>
              <w:rPr>
                <w:color w:val="000000"/>
                <w:sz w:val="18"/>
                <w:szCs w:val="18"/>
              </w:rPr>
              <w:t>检波器线性度</w:t>
            </w:r>
          </w:p>
        </w:tc>
        <w:tc>
          <w:tcPr>
            <w:tcW w:w="6363" w:type="dxa"/>
            <w:gridSpan w:val="2"/>
            <w:noWrap w:val="0"/>
            <w:vAlign w:val="center"/>
          </w:tcPr>
          <w:p>
            <w:pPr>
              <w:jc w:val="left"/>
              <w:rPr>
                <w:color w:val="000000"/>
                <w:sz w:val="18"/>
                <w:szCs w:val="18"/>
              </w:rPr>
            </w:pPr>
            <w:r>
              <w:rPr>
                <w:color w:val="000000"/>
                <w:sz w:val="18"/>
                <w:szCs w:val="18"/>
              </w:rPr>
              <w:t>0.9999</w:t>
            </w:r>
          </w:p>
        </w:tc>
      </w:tr>
      <w:tr>
        <w:tblPrEx>
          <w:tblW w:w="9102" w:type="dxa"/>
          <w:jc w:val="center"/>
          <w:tblLayout w:type="fixed"/>
          <w:tblCellMar>
            <w:top w:w="0" w:type="dxa"/>
            <w:left w:w="108" w:type="dxa"/>
            <w:bottom w:w="0" w:type="dxa"/>
            <w:right w:w="108" w:type="dxa"/>
          </w:tblCellMar>
        </w:tblPrEx>
        <w:trPr>
          <w:trHeight w:val="244"/>
          <w:jc w:val="center"/>
        </w:trPr>
        <w:tc>
          <w:tcPr>
            <w:tcW w:w="622" w:type="dxa"/>
            <w:vMerge w:val="restart"/>
            <w:noWrap w:val="0"/>
            <w:vAlign w:val="center"/>
          </w:tcPr>
          <w:p>
            <w:pPr>
              <w:widowControl/>
              <w:jc w:val="center"/>
              <w:rPr>
                <w:color w:val="000000"/>
                <w:sz w:val="18"/>
                <w:szCs w:val="18"/>
              </w:rPr>
            </w:pPr>
            <w:r>
              <w:rPr>
                <w:rFonts w:hint="eastAsia"/>
                <w:color w:val="000000"/>
                <w:sz w:val="18"/>
                <w:szCs w:val="18"/>
              </w:rPr>
              <w:t>8</w:t>
            </w:r>
          </w:p>
        </w:tc>
        <w:tc>
          <w:tcPr>
            <w:tcW w:w="1098" w:type="dxa"/>
            <w:vMerge w:val="restart"/>
            <w:noWrap w:val="0"/>
            <w:vAlign w:val="center"/>
          </w:tcPr>
          <w:p>
            <w:pPr>
              <w:jc w:val="left"/>
              <w:rPr>
                <w:color w:val="000000"/>
                <w:sz w:val="18"/>
                <w:szCs w:val="18"/>
              </w:rPr>
            </w:pPr>
            <w:r>
              <w:rPr>
                <w:color w:val="000000"/>
                <w:sz w:val="18"/>
                <w:szCs w:val="18"/>
              </w:rPr>
              <w:t>定标单元</w:t>
            </w:r>
          </w:p>
        </w:tc>
        <w:tc>
          <w:tcPr>
            <w:tcW w:w="1019" w:type="dxa"/>
            <w:noWrap w:val="0"/>
            <w:vAlign w:val="top"/>
          </w:tcPr>
          <w:p>
            <w:pPr>
              <w:jc w:val="left"/>
              <w:rPr>
                <w:color w:val="000000"/>
                <w:sz w:val="18"/>
                <w:szCs w:val="18"/>
              </w:rPr>
            </w:pPr>
            <w:r>
              <w:rPr>
                <w:color w:val="FF0000"/>
                <w:sz w:val="18"/>
                <w:szCs w:val="18"/>
                <w:highlight w:val="yellow"/>
              </w:rPr>
              <w:t>#</w:t>
            </w:r>
            <w:r>
              <w:rPr>
                <w:color w:val="000000"/>
                <w:sz w:val="18"/>
                <w:szCs w:val="18"/>
              </w:rPr>
              <w:t>内置黑体温度均匀性</w:t>
            </w:r>
          </w:p>
        </w:tc>
        <w:tc>
          <w:tcPr>
            <w:tcW w:w="6363" w:type="dxa"/>
            <w:gridSpan w:val="2"/>
            <w:noWrap w:val="0"/>
            <w:vAlign w:val="center"/>
          </w:tcPr>
          <w:p>
            <w:pPr>
              <w:jc w:val="left"/>
              <w:rPr>
                <w:color w:val="000000"/>
                <w:sz w:val="18"/>
                <w:szCs w:val="18"/>
              </w:rPr>
            </w:pPr>
            <w:r>
              <w:rPr>
                <w:color w:val="000000"/>
                <w:sz w:val="18"/>
                <w:szCs w:val="18"/>
              </w:rPr>
              <w:t>≤0.5K</w:t>
            </w:r>
          </w:p>
        </w:tc>
      </w:tr>
      <w:tr>
        <w:tblPrEx>
          <w:tblW w:w="9102" w:type="dxa"/>
          <w:jc w:val="center"/>
          <w:tblLayout w:type="fixed"/>
          <w:tblCellMar>
            <w:top w:w="0" w:type="dxa"/>
            <w:left w:w="108" w:type="dxa"/>
            <w:bottom w:w="0" w:type="dxa"/>
            <w:right w:w="108" w:type="dxa"/>
          </w:tblCellMar>
        </w:tblPrEx>
        <w:trPr>
          <w:trHeight w:val="244"/>
          <w:jc w:val="center"/>
        </w:trPr>
        <w:tc>
          <w:tcPr>
            <w:tcW w:w="622" w:type="dxa"/>
            <w:vMerge/>
            <w:noWrap w:val="0"/>
            <w:vAlign w:val="center"/>
          </w:tcPr>
          <w:p>
            <w:pPr>
              <w:widowControl/>
              <w:jc w:val="center"/>
              <w:rPr>
                <w:color w:val="000000"/>
                <w:sz w:val="18"/>
                <w:szCs w:val="18"/>
              </w:rPr>
            </w:pPr>
          </w:p>
        </w:tc>
        <w:tc>
          <w:tcPr>
            <w:tcW w:w="1098" w:type="dxa"/>
            <w:vMerge/>
            <w:noWrap w:val="0"/>
            <w:vAlign w:val="center"/>
          </w:tcPr>
          <w:p>
            <w:pPr>
              <w:jc w:val="left"/>
              <w:rPr>
                <w:color w:val="000000"/>
                <w:sz w:val="18"/>
                <w:szCs w:val="18"/>
              </w:rPr>
            </w:pPr>
          </w:p>
        </w:tc>
        <w:tc>
          <w:tcPr>
            <w:tcW w:w="1019" w:type="dxa"/>
            <w:noWrap w:val="0"/>
            <w:vAlign w:val="top"/>
          </w:tcPr>
          <w:p>
            <w:pPr>
              <w:jc w:val="left"/>
              <w:rPr>
                <w:color w:val="000000"/>
                <w:sz w:val="18"/>
                <w:szCs w:val="18"/>
              </w:rPr>
            </w:pPr>
            <w:r>
              <w:rPr>
                <w:color w:val="FF0000"/>
                <w:sz w:val="18"/>
                <w:szCs w:val="18"/>
                <w:highlight w:val="yellow"/>
              </w:rPr>
              <w:t>#</w:t>
            </w:r>
            <w:r>
              <w:rPr>
                <w:color w:val="000000"/>
                <w:sz w:val="18"/>
                <w:szCs w:val="18"/>
              </w:rPr>
              <w:t>黑体内置温度传感器误差</w:t>
            </w:r>
          </w:p>
        </w:tc>
        <w:tc>
          <w:tcPr>
            <w:tcW w:w="6363" w:type="dxa"/>
            <w:gridSpan w:val="2"/>
            <w:noWrap w:val="0"/>
            <w:vAlign w:val="center"/>
          </w:tcPr>
          <w:p>
            <w:pPr>
              <w:jc w:val="left"/>
              <w:rPr>
                <w:color w:val="000000"/>
                <w:sz w:val="18"/>
                <w:szCs w:val="18"/>
              </w:rPr>
            </w:pPr>
            <w:r>
              <w:rPr>
                <w:color w:val="000000"/>
                <w:sz w:val="18"/>
                <w:szCs w:val="18"/>
              </w:rPr>
              <w:t>≤0.2K</w:t>
            </w:r>
          </w:p>
        </w:tc>
      </w:tr>
      <w:tr>
        <w:tblPrEx>
          <w:tblW w:w="9102" w:type="dxa"/>
          <w:jc w:val="center"/>
          <w:tblLayout w:type="fixed"/>
          <w:tblCellMar>
            <w:top w:w="0" w:type="dxa"/>
            <w:left w:w="108" w:type="dxa"/>
            <w:bottom w:w="0" w:type="dxa"/>
            <w:right w:w="108" w:type="dxa"/>
          </w:tblCellMar>
        </w:tblPrEx>
        <w:trPr>
          <w:trHeight w:val="244"/>
          <w:jc w:val="center"/>
        </w:trPr>
        <w:tc>
          <w:tcPr>
            <w:tcW w:w="622" w:type="dxa"/>
            <w:vMerge w:val="restart"/>
            <w:noWrap w:val="0"/>
            <w:vAlign w:val="center"/>
          </w:tcPr>
          <w:p>
            <w:pPr>
              <w:widowControl/>
              <w:jc w:val="center"/>
              <w:rPr>
                <w:color w:val="000000"/>
                <w:sz w:val="18"/>
                <w:szCs w:val="18"/>
              </w:rPr>
            </w:pPr>
            <w:r>
              <w:rPr>
                <w:rFonts w:hint="eastAsia"/>
                <w:color w:val="000000"/>
                <w:sz w:val="18"/>
                <w:szCs w:val="18"/>
              </w:rPr>
              <w:t>9</w:t>
            </w:r>
          </w:p>
        </w:tc>
        <w:tc>
          <w:tcPr>
            <w:tcW w:w="1098" w:type="dxa"/>
            <w:vMerge w:val="restart"/>
            <w:noWrap w:val="0"/>
            <w:vAlign w:val="center"/>
          </w:tcPr>
          <w:p>
            <w:pPr>
              <w:jc w:val="left"/>
              <w:rPr>
                <w:sz w:val="18"/>
                <w:szCs w:val="18"/>
              </w:rPr>
            </w:pPr>
            <w:r>
              <w:rPr>
                <w:color w:val="000000"/>
                <w:sz w:val="18"/>
                <w:szCs w:val="18"/>
              </w:rPr>
              <w:t>地面参数测量单元</w:t>
            </w:r>
          </w:p>
        </w:tc>
        <w:tc>
          <w:tcPr>
            <w:tcW w:w="1019" w:type="dxa"/>
            <w:noWrap w:val="0"/>
            <w:vAlign w:val="top"/>
          </w:tcPr>
          <w:p>
            <w:pPr>
              <w:jc w:val="left"/>
              <w:rPr>
                <w:color w:val="000000"/>
                <w:sz w:val="18"/>
                <w:szCs w:val="18"/>
              </w:rPr>
            </w:pPr>
            <w:r>
              <w:rPr>
                <w:color w:val="000000"/>
                <w:sz w:val="18"/>
                <w:szCs w:val="18"/>
              </w:rPr>
              <w:t>地面温度传感器</w:t>
            </w:r>
          </w:p>
        </w:tc>
        <w:tc>
          <w:tcPr>
            <w:tcW w:w="6363" w:type="dxa"/>
            <w:gridSpan w:val="2"/>
            <w:noWrap w:val="0"/>
            <w:vAlign w:val="center"/>
          </w:tcPr>
          <w:p>
            <w:pPr>
              <w:jc w:val="left"/>
              <w:rPr>
                <w:color w:val="000000"/>
                <w:sz w:val="18"/>
                <w:szCs w:val="18"/>
              </w:rPr>
            </w:pPr>
            <w:r>
              <w:rPr>
                <w:color w:val="000000"/>
                <w:sz w:val="18"/>
                <w:szCs w:val="18"/>
              </w:rPr>
              <w:t>测量范围：-50</w:t>
            </w:r>
            <w:r>
              <w:rPr>
                <w:rFonts w:ascii="宋体" w:hAnsi="宋体" w:cs="宋体" w:hint="eastAsia"/>
                <w:color w:val="000000"/>
                <w:sz w:val="18"/>
                <w:szCs w:val="18"/>
              </w:rPr>
              <w:t>℃</w:t>
            </w:r>
            <w:r>
              <w:rPr>
                <w:color w:val="000000"/>
                <w:sz w:val="18"/>
                <w:szCs w:val="18"/>
              </w:rPr>
              <w:t>～50</w:t>
            </w:r>
            <w:r>
              <w:rPr>
                <w:rFonts w:ascii="宋体" w:hAnsi="宋体" w:cs="宋体" w:hint="eastAsia"/>
                <w:color w:val="000000"/>
                <w:sz w:val="18"/>
                <w:szCs w:val="18"/>
              </w:rPr>
              <w:t>℃</w:t>
            </w:r>
            <w:r>
              <w:rPr>
                <w:color w:val="000000"/>
                <w:sz w:val="18"/>
                <w:szCs w:val="18"/>
              </w:rPr>
              <w:t>；</w:t>
            </w:r>
          </w:p>
          <w:p>
            <w:pPr>
              <w:jc w:val="left"/>
              <w:rPr>
                <w:color w:val="000000"/>
                <w:sz w:val="18"/>
                <w:szCs w:val="18"/>
              </w:rPr>
            </w:pPr>
            <w:r>
              <w:rPr>
                <w:color w:val="000000"/>
                <w:sz w:val="18"/>
                <w:szCs w:val="18"/>
              </w:rPr>
              <w:t>允许误差：≤0.2</w:t>
            </w:r>
            <w:r>
              <w:rPr>
                <w:rFonts w:ascii="宋体" w:hAnsi="宋体" w:cs="宋体" w:hint="eastAsia"/>
                <w:color w:val="000000"/>
                <w:sz w:val="18"/>
                <w:szCs w:val="18"/>
              </w:rPr>
              <w:t>℃</w:t>
            </w:r>
          </w:p>
        </w:tc>
      </w:tr>
      <w:tr>
        <w:tblPrEx>
          <w:tblW w:w="9102" w:type="dxa"/>
          <w:jc w:val="center"/>
          <w:tblLayout w:type="fixed"/>
          <w:tblCellMar>
            <w:top w:w="0" w:type="dxa"/>
            <w:left w:w="108" w:type="dxa"/>
            <w:bottom w:w="0" w:type="dxa"/>
            <w:right w:w="108" w:type="dxa"/>
          </w:tblCellMar>
        </w:tblPrEx>
        <w:trPr>
          <w:trHeight w:val="244"/>
          <w:jc w:val="center"/>
        </w:trPr>
        <w:tc>
          <w:tcPr>
            <w:tcW w:w="622" w:type="dxa"/>
            <w:vMerge/>
            <w:noWrap w:val="0"/>
            <w:vAlign w:val="center"/>
          </w:tcPr>
          <w:p>
            <w:pPr>
              <w:widowControl/>
              <w:jc w:val="center"/>
              <w:rPr>
                <w:color w:val="000000"/>
                <w:sz w:val="18"/>
                <w:szCs w:val="18"/>
              </w:rPr>
            </w:pPr>
          </w:p>
        </w:tc>
        <w:tc>
          <w:tcPr>
            <w:tcW w:w="1098" w:type="dxa"/>
            <w:vMerge/>
            <w:noWrap w:val="0"/>
            <w:vAlign w:val="center"/>
          </w:tcPr>
          <w:p>
            <w:pPr>
              <w:jc w:val="left"/>
              <w:rPr>
                <w:color w:val="000000"/>
                <w:sz w:val="18"/>
                <w:szCs w:val="18"/>
              </w:rPr>
            </w:pPr>
          </w:p>
        </w:tc>
        <w:tc>
          <w:tcPr>
            <w:tcW w:w="1019" w:type="dxa"/>
            <w:noWrap w:val="0"/>
            <w:vAlign w:val="top"/>
          </w:tcPr>
          <w:p>
            <w:pPr>
              <w:jc w:val="left"/>
              <w:rPr>
                <w:color w:val="000000"/>
                <w:sz w:val="18"/>
                <w:szCs w:val="18"/>
              </w:rPr>
            </w:pPr>
            <w:r>
              <w:rPr>
                <w:color w:val="000000"/>
                <w:sz w:val="18"/>
                <w:szCs w:val="18"/>
              </w:rPr>
              <w:t>地面湿度传感器</w:t>
            </w:r>
          </w:p>
        </w:tc>
        <w:tc>
          <w:tcPr>
            <w:tcW w:w="6363" w:type="dxa"/>
            <w:gridSpan w:val="2"/>
            <w:noWrap w:val="0"/>
            <w:vAlign w:val="center"/>
          </w:tcPr>
          <w:p>
            <w:pPr>
              <w:jc w:val="left"/>
              <w:rPr>
                <w:color w:val="000000"/>
                <w:sz w:val="18"/>
                <w:szCs w:val="18"/>
              </w:rPr>
            </w:pPr>
            <w:r>
              <w:rPr>
                <w:color w:val="000000"/>
                <w:sz w:val="18"/>
                <w:szCs w:val="18"/>
              </w:rPr>
              <w:t>测量范围：5%～100%RH；</w:t>
            </w:r>
          </w:p>
          <w:p>
            <w:pPr>
              <w:jc w:val="left"/>
              <w:rPr>
                <w:color w:val="000000"/>
                <w:sz w:val="18"/>
                <w:szCs w:val="18"/>
              </w:rPr>
            </w:pPr>
            <w:r>
              <w:rPr>
                <w:color w:val="000000"/>
                <w:sz w:val="18"/>
                <w:szCs w:val="18"/>
              </w:rPr>
              <w:t>允许误差：≤3%（≤80%）；≤5%（＞80%）</w:t>
            </w:r>
          </w:p>
        </w:tc>
      </w:tr>
      <w:tr>
        <w:tblPrEx>
          <w:tblW w:w="9102" w:type="dxa"/>
          <w:jc w:val="center"/>
          <w:tblLayout w:type="fixed"/>
          <w:tblCellMar>
            <w:top w:w="0" w:type="dxa"/>
            <w:left w:w="108" w:type="dxa"/>
            <w:bottom w:w="0" w:type="dxa"/>
            <w:right w:w="108" w:type="dxa"/>
          </w:tblCellMar>
        </w:tblPrEx>
        <w:trPr>
          <w:trHeight w:val="244"/>
          <w:jc w:val="center"/>
        </w:trPr>
        <w:tc>
          <w:tcPr>
            <w:tcW w:w="622" w:type="dxa"/>
            <w:vMerge/>
            <w:noWrap w:val="0"/>
            <w:vAlign w:val="center"/>
          </w:tcPr>
          <w:p>
            <w:pPr>
              <w:widowControl/>
              <w:jc w:val="center"/>
              <w:rPr>
                <w:color w:val="000000"/>
                <w:sz w:val="18"/>
                <w:szCs w:val="18"/>
              </w:rPr>
            </w:pPr>
          </w:p>
        </w:tc>
        <w:tc>
          <w:tcPr>
            <w:tcW w:w="1098" w:type="dxa"/>
            <w:vMerge/>
            <w:noWrap w:val="0"/>
            <w:vAlign w:val="center"/>
          </w:tcPr>
          <w:p>
            <w:pPr>
              <w:jc w:val="left"/>
              <w:rPr>
                <w:color w:val="000000"/>
                <w:sz w:val="18"/>
                <w:szCs w:val="18"/>
              </w:rPr>
            </w:pPr>
          </w:p>
        </w:tc>
        <w:tc>
          <w:tcPr>
            <w:tcW w:w="1019" w:type="dxa"/>
            <w:noWrap w:val="0"/>
            <w:vAlign w:val="top"/>
          </w:tcPr>
          <w:p>
            <w:pPr>
              <w:jc w:val="left"/>
              <w:rPr>
                <w:color w:val="000000"/>
                <w:sz w:val="18"/>
                <w:szCs w:val="18"/>
              </w:rPr>
            </w:pPr>
            <w:r>
              <w:rPr>
                <w:color w:val="000000"/>
                <w:sz w:val="18"/>
                <w:szCs w:val="18"/>
              </w:rPr>
              <w:t>地面气压传感器</w:t>
            </w:r>
          </w:p>
        </w:tc>
        <w:tc>
          <w:tcPr>
            <w:tcW w:w="6363" w:type="dxa"/>
            <w:gridSpan w:val="2"/>
            <w:noWrap w:val="0"/>
            <w:vAlign w:val="center"/>
          </w:tcPr>
          <w:p>
            <w:pPr>
              <w:jc w:val="left"/>
              <w:rPr>
                <w:color w:val="000000"/>
                <w:sz w:val="18"/>
                <w:szCs w:val="18"/>
              </w:rPr>
            </w:pPr>
            <w:r>
              <w:rPr>
                <w:color w:val="000000"/>
                <w:sz w:val="18"/>
                <w:szCs w:val="18"/>
              </w:rPr>
              <w:t>测量范围：500hPa～1060hPa；</w:t>
            </w:r>
          </w:p>
          <w:p>
            <w:pPr>
              <w:jc w:val="left"/>
              <w:rPr>
                <w:color w:val="000000"/>
                <w:sz w:val="18"/>
                <w:szCs w:val="18"/>
              </w:rPr>
            </w:pPr>
            <w:r>
              <w:rPr>
                <w:color w:val="000000"/>
                <w:sz w:val="18"/>
                <w:szCs w:val="18"/>
              </w:rPr>
              <w:t>允许误差：≤0.3hPa</w:t>
            </w:r>
          </w:p>
        </w:tc>
      </w:tr>
      <w:tr>
        <w:tblPrEx>
          <w:tblW w:w="9102" w:type="dxa"/>
          <w:jc w:val="center"/>
          <w:tblLayout w:type="fixed"/>
          <w:tblCellMar>
            <w:top w:w="0" w:type="dxa"/>
            <w:left w:w="108" w:type="dxa"/>
            <w:bottom w:w="0" w:type="dxa"/>
            <w:right w:w="108" w:type="dxa"/>
          </w:tblCellMar>
        </w:tblPrEx>
        <w:trPr>
          <w:trHeight w:val="244"/>
          <w:jc w:val="center"/>
        </w:trPr>
        <w:tc>
          <w:tcPr>
            <w:tcW w:w="622" w:type="dxa"/>
            <w:vMerge/>
            <w:noWrap w:val="0"/>
            <w:vAlign w:val="center"/>
          </w:tcPr>
          <w:p>
            <w:pPr>
              <w:widowControl/>
              <w:jc w:val="center"/>
              <w:rPr>
                <w:color w:val="000000"/>
                <w:sz w:val="18"/>
                <w:szCs w:val="18"/>
              </w:rPr>
            </w:pPr>
          </w:p>
        </w:tc>
        <w:tc>
          <w:tcPr>
            <w:tcW w:w="1098" w:type="dxa"/>
            <w:vMerge/>
            <w:noWrap w:val="0"/>
            <w:vAlign w:val="center"/>
          </w:tcPr>
          <w:p>
            <w:pPr>
              <w:jc w:val="left"/>
              <w:rPr>
                <w:color w:val="000000"/>
                <w:sz w:val="18"/>
                <w:szCs w:val="18"/>
              </w:rPr>
            </w:pPr>
          </w:p>
        </w:tc>
        <w:tc>
          <w:tcPr>
            <w:tcW w:w="1019" w:type="dxa"/>
            <w:noWrap w:val="0"/>
            <w:vAlign w:val="top"/>
          </w:tcPr>
          <w:p>
            <w:pPr>
              <w:jc w:val="left"/>
              <w:rPr>
                <w:color w:val="000000"/>
                <w:sz w:val="18"/>
                <w:szCs w:val="18"/>
              </w:rPr>
            </w:pPr>
            <w:r>
              <w:rPr>
                <w:color w:val="000000"/>
                <w:sz w:val="18"/>
                <w:szCs w:val="18"/>
              </w:rPr>
              <w:t>地面风速传感器</w:t>
            </w:r>
          </w:p>
        </w:tc>
        <w:tc>
          <w:tcPr>
            <w:tcW w:w="6363" w:type="dxa"/>
            <w:gridSpan w:val="2"/>
            <w:noWrap w:val="0"/>
            <w:vAlign w:val="center"/>
          </w:tcPr>
          <w:p>
            <w:pPr>
              <w:jc w:val="left"/>
              <w:rPr>
                <w:color w:val="000000"/>
                <w:sz w:val="18"/>
                <w:szCs w:val="18"/>
              </w:rPr>
            </w:pPr>
            <w:r>
              <w:rPr>
                <w:color w:val="000000"/>
                <w:sz w:val="18"/>
                <w:szCs w:val="18"/>
              </w:rPr>
              <w:t>测量范围：0～60m/s；</w:t>
            </w:r>
          </w:p>
          <w:p>
            <w:pPr>
              <w:jc w:val="left"/>
              <w:rPr>
                <w:sz w:val="18"/>
                <w:szCs w:val="18"/>
              </w:rPr>
            </w:pPr>
            <w:r>
              <w:rPr>
                <w:color w:val="000000"/>
                <w:sz w:val="18"/>
                <w:szCs w:val="18"/>
              </w:rPr>
              <w:t>允许误差：≤3%(≥10m/s), &lt;0.3 m/s (&lt;10m/s)</w:t>
            </w:r>
          </w:p>
        </w:tc>
      </w:tr>
      <w:tr>
        <w:tblPrEx>
          <w:tblW w:w="9102" w:type="dxa"/>
          <w:jc w:val="center"/>
          <w:tblLayout w:type="fixed"/>
          <w:tblCellMar>
            <w:top w:w="0" w:type="dxa"/>
            <w:left w:w="108" w:type="dxa"/>
            <w:bottom w:w="0" w:type="dxa"/>
            <w:right w:w="108" w:type="dxa"/>
          </w:tblCellMar>
        </w:tblPrEx>
        <w:trPr>
          <w:trHeight w:val="244"/>
          <w:jc w:val="center"/>
        </w:trPr>
        <w:tc>
          <w:tcPr>
            <w:tcW w:w="622" w:type="dxa"/>
            <w:vMerge/>
            <w:noWrap w:val="0"/>
            <w:vAlign w:val="center"/>
          </w:tcPr>
          <w:p>
            <w:pPr>
              <w:widowControl/>
              <w:jc w:val="center"/>
              <w:rPr>
                <w:color w:val="000000"/>
                <w:sz w:val="18"/>
                <w:szCs w:val="18"/>
              </w:rPr>
            </w:pPr>
          </w:p>
        </w:tc>
        <w:tc>
          <w:tcPr>
            <w:tcW w:w="1098" w:type="dxa"/>
            <w:vMerge/>
            <w:noWrap w:val="0"/>
            <w:vAlign w:val="center"/>
          </w:tcPr>
          <w:p>
            <w:pPr>
              <w:jc w:val="left"/>
              <w:rPr>
                <w:color w:val="000000"/>
                <w:sz w:val="18"/>
                <w:szCs w:val="18"/>
              </w:rPr>
            </w:pPr>
          </w:p>
        </w:tc>
        <w:tc>
          <w:tcPr>
            <w:tcW w:w="1019" w:type="dxa"/>
            <w:noWrap w:val="0"/>
            <w:vAlign w:val="top"/>
          </w:tcPr>
          <w:p>
            <w:pPr>
              <w:jc w:val="left"/>
              <w:rPr>
                <w:color w:val="000000"/>
                <w:sz w:val="18"/>
                <w:szCs w:val="18"/>
              </w:rPr>
            </w:pPr>
            <w:r>
              <w:rPr>
                <w:color w:val="000000"/>
                <w:sz w:val="18"/>
                <w:szCs w:val="18"/>
              </w:rPr>
              <w:t>地面风向传感器</w:t>
            </w:r>
          </w:p>
        </w:tc>
        <w:tc>
          <w:tcPr>
            <w:tcW w:w="6363" w:type="dxa"/>
            <w:gridSpan w:val="2"/>
            <w:noWrap w:val="0"/>
            <w:vAlign w:val="center"/>
          </w:tcPr>
          <w:p>
            <w:pPr>
              <w:jc w:val="left"/>
              <w:rPr>
                <w:color w:val="000000"/>
                <w:sz w:val="18"/>
                <w:szCs w:val="18"/>
              </w:rPr>
            </w:pPr>
            <w:r>
              <w:rPr>
                <w:color w:val="000000"/>
                <w:sz w:val="18"/>
                <w:szCs w:val="18"/>
              </w:rPr>
              <w:t>测量范围：0～360°；</w:t>
            </w:r>
          </w:p>
          <w:p>
            <w:pPr>
              <w:jc w:val="left"/>
              <w:rPr>
                <w:color w:val="000000"/>
                <w:sz w:val="18"/>
                <w:szCs w:val="18"/>
              </w:rPr>
            </w:pPr>
            <w:r>
              <w:rPr>
                <w:color w:val="000000"/>
                <w:sz w:val="18"/>
                <w:szCs w:val="18"/>
              </w:rPr>
              <w:t>允许误差：≤3°</w:t>
            </w:r>
          </w:p>
        </w:tc>
      </w:tr>
      <w:tr>
        <w:tblPrEx>
          <w:tblW w:w="9102" w:type="dxa"/>
          <w:jc w:val="center"/>
          <w:tblLayout w:type="fixed"/>
          <w:tblCellMar>
            <w:top w:w="0" w:type="dxa"/>
            <w:left w:w="108" w:type="dxa"/>
            <w:bottom w:w="0" w:type="dxa"/>
            <w:right w:w="108" w:type="dxa"/>
          </w:tblCellMar>
        </w:tblPrEx>
        <w:trPr>
          <w:trHeight w:val="244"/>
          <w:jc w:val="center"/>
        </w:trPr>
        <w:tc>
          <w:tcPr>
            <w:tcW w:w="622" w:type="dxa"/>
            <w:noWrap w:val="0"/>
            <w:vAlign w:val="center"/>
          </w:tcPr>
          <w:p>
            <w:pPr>
              <w:widowControl/>
              <w:jc w:val="center"/>
              <w:rPr>
                <w:color w:val="000000"/>
                <w:sz w:val="18"/>
                <w:szCs w:val="18"/>
              </w:rPr>
            </w:pPr>
            <w:r>
              <w:rPr>
                <w:color w:val="000000"/>
                <w:sz w:val="18"/>
                <w:szCs w:val="18"/>
              </w:rPr>
              <w:t>1</w:t>
            </w:r>
            <w:r>
              <w:rPr>
                <w:rFonts w:hint="eastAsia"/>
                <w:color w:val="000000"/>
                <w:sz w:val="18"/>
                <w:szCs w:val="18"/>
              </w:rPr>
              <w:t>0</w:t>
            </w:r>
          </w:p>
        </w:tc>
        <w:tc>
          <w:tcPr>
            <w:tcW w:w="1098" w:type="dxa"/>
            <w:noWrap w:val="0"/>
            <w:vAlign w:val="center"/>
          </w:tcPr>
          <w:p>
            <w:pPr>
              <w:jc w:val="left"/>
              <w:rPr>
                <w:color w:val="000000"/>
                <w:sz w:val="18"/>
                <w:szCs w:val="18"/>
              </w:rPr>
            </w:pPr>
            <w:r>
              <w:rPr>
                <w:color w:val="000000"/>
                <w:sz w:val="18"/>
                <w:szCs w:val="18"/>
              </w:rPr>
              <w:t>采集与控制单元</w:t>
            </w:r>
          </w:p>
        </w:tc>
        <w:tc>
          <w:tcPr>
            <w:tcW w:w="1019" w:type="dxa"/>
            <w:noWrap w:val="0"/>
            <w:vAlign w:val="center"/>
          </w:tcPr>
          <w:p>
            <w:pPr>
              <w:jc w:val="left"/>
              <w:rPr>
                <w:color w:val="000000"/>
                <w:sz w:val="18"/>
                <w:szCs w:val="18"/>
              </w:rPr>
            </w:pPr>
            <w:r>
              <w:rPr>
                <w:color w:val="000000"/>
                <w:sz w:val="18"/>
                <w:szCs w:val="18"/>
              </w:rPr>
              <w:t>存储</w:t>
            </w:r>
          </w:p>
        </w:tc>
        <w:tc>
          <w:tcPr>
            <w:tcW w:w="6363" w:type="dxa"/>
            <w:gridSpan w:val="2"/>
            <w:noWrap w:val="0"/>
            <w:vAlign w:val="center"/>
          </w:tcPr>
          <w:p>
            <w:pPr>
              <w:jc w:val="left"/>
              <w:rPr>
                <w:color w:val="000000"/>
                <w:sz w:val="18"/>
                <w:szCs w:val="18"/>
              </w:rPr>
            </w:pPr>
            <w:r>
              <w:rPr>
                <w:color w:val="000000"/>
                <w:sz w:val="18"/>
                <w:szCs w:val="18"/>
              </w:rPr>
              <w:t>满足1年以上基数据和产品等数据存储要求</w:t>
            </w:r>
          </w:p>
        </w:tc>
      </w:tr>
      <w:tr>
        <w:tblPrEx>
          <w:tblW w:w="9102" w:type="dxa"/>
          <w:jc w:val="center"/>
          <w:tblLayout w:type="fixed"/>
          <w:tblCellMar>
            <w:top w:w="0" w:type="dxa"/>
            <w:left w:w="108" w:type="dxa"/>
            <w:bottom w:w="0" w:type="dxa"/>
            <w:right w:w="108" w:type="dxa"/>
          </w:tblCellMar>
        </w:tblPrEx>
        <w:trPr>
          <w:trHeight w:val="515"/>
          <w:jc w:val="center"/>
        </w:trPr>
        <w:tc>
          <w:tcPr>
            <w:tcW w:w="622" w:type="dxa"/>
            <w:noWrap w:val="0"/>
            <w:vAlign w:val="center"/>
          </w:tcPr>
          <w:p>
            <w:pPr>
              <w:widowControl/>
              <w:jc w:val="center"/>
              <w:rPr>
                <w:color w:val="000000"/>
                <w:sz w:val="18"/>
                <w:szCs w:val="18"/>
              </w:rPr>
            </w:pPr>
            <w:r>
              <w:rPr>
                <w:color w:val="000000"/>
                <w:sz w:val="18"/>
                <w:szCs w:val="18"/>
              </w:rPr>
              <w:t>1</w:t>
            </w:r>
            <w:r>
              <w:rPr>
                <w:rFonts w:hint="eastAsia"/>
                <w:color w:val="000000"/>
                <w:sz w:val="18"/>
                <w:szCs w:val="18"/>
              </w:rPr>
              <w:t>1</w:t>
            </w:r>
          </w:p>
        </w:tc>
        <w:tc>
          <w:tcPr>
            <w:tcW w:w="1098" w:type="dxa"/>
            <w:vMerge w:val="restart"/>
            <w:noWrap w:val="0"/>
            <w:vAlign w:val="center"/>
          </w:tcPr>
          <w:p>
            <w:pPr>
              <w:jc w:val="left"/>
              <w:rPr>
                <w:sz w:val="18"/>
                <w:szCs w:val="18"/>
              </w:rPr>
            </w:pPr>
            <w:r>
              <w:rPr>
                <w:color w:val="000000"/>
                <w:sz w:val="18"/>
                <w:szCs w:val="18"/>
              </w:rPr>
              <w:t>观测性能</w:t>
            </w:r>
          </w:p>
        </w:tc>
        <w:tc>
          <w:tcPr>
            <w:tcW w:w="1019" w:type="dxa"/>
            <w:noWrap w:val="0"/>
            <w:vAlign w:val="center"/>
          </w:tcPr>
          <w:p>
            <w:pPr>
              <w:jc w:val="left"/>
              <w:rPr>
                <w:color w:val="000000"/>
                <w:sz w:val="18"/>
                <w:szCs w:val="18"/>
              </w:rPr>
            </w:pPr>
            <w:r>
              <w:rPr>
                <w:color w:val="FF0000"/>
                <w:sz w:val="18"/>
                <w:szCs w:val="18"/>
                <w:highlight w:val="yellow"/>
              </w:rPr>
              <w:t>#</w:t>
            </w:r>
            <w:r>
              <w:rPr>
                <w:color w:val="000000"/>
                <w:sz w:val="18"/>
                <w:szCs w:val="18"/>
              </w:rPr>
              <w:t>相对湿度廓线</w:t>
            </w:r>
          </w:p>
        </w:tc>
        <w:tc>
          <w:tcPr>
            <w:tcW w:w="4159" w:type="dxa"/>
            <w:noWrap w:val="0"/>
            <w:vAlign w:val="center"/>
          </w:tcPr>
          <w:p>
            <w:pPr>
              <w:jc w:val="left"/>
              <w:rPr>
                <w:color w:val="000000"/>
                <w:sz w:val="18"/>
                <w:szCs w:val="18"/>
              </w:rPr>
            </w:pPr>
            <w:r>
              <w:rPr>
                <w:color w:val="000000"/>
                <w:sz w:val="18"/>
                <w:szCs w:val="18"/>
              </w:rPr>
              <w:t>垂直分辨率：</w:t>
            </w:r>
          </w:p>
          <w:p>
            <w:pPr>
              <w:jc w:val="left"/>
              <w:rPr>
                <w:color w:val="000000"/>
                <w:sz w:val="18"/>
                <w:szCs w:val="18"/>
              </w:rPr>
            </w:pPr>
            <w:r>
              <w:rPr>
                <w:color w:val="000000"/>
                <w:sz w:val="18"/>
                <w:szCs w:val="18"/>
              </w:rPr>
              <w:t>≤50m（0m～500m）；</w:t>
            </w:r>
          </w:p>
          <w:p>
            <w:pPr>
              <w:jc w:val="left"/>
              <w:rPr>
                <w:color w:val="000000"/>
                <w:sz w:val="18"/>
                <w:szCs w:val="18"/>
              </w:rPr>
            </w:pPr>
            <w:r>
              <w:rPr>
                <w:color w:val="000000"/>
                <w:sz w:val="18"/>
                <w:szCs w:val="18"/>
              </w:rPr>
              <w:t>≤100m（500m～2000m）；</w:t>
            </w:r>
          </w:p>
          <w:p>
            <w:pPr>
              <w:jc w:val="left"/>
              <w:rPr>
                <w:color w:val="000000"/>
                <w:sz w:val="18"/>
                <w:szCs w:val="18"/>
              </w:rPr>
            </w:pPr>
            <w:r>
              <w:rPr>
                <w:color w:val="000000"/>
                <w:sz w:val="18"/>
                <w:szCs w:val="18"/>
              </w:rPr>
              <w:t>≤250m（2km～10km）</w:t>
            </w:r>
          </w:p>
        </w:tc>
        <w:tc>
          <w:tcPr>
            <w:tcW w:w="2204" w:type="dxa"/>
            <w:noWrap w:val="0"/>
            <w:vAlign w:val="center"/>
          </w:tcPr>
          <w:p>
            <w:pPr>
              <w:jc w:val="left"/>
              <w:rPr>
                <w:sz w:val="18"/>
                <w:szCs w:val="18"/>
              </w:rPr>
            </w:pPr>
            <w:r>
              <w:rPr>
                <w:sz w:val="18"/>
                <w:szCs w:val="18"/>
              </w:rPr>
              <w:t>均方根误差：≤1</w:t>
            </w:r>
            <w:r>
              <w:rPr>
                <w:rFonts w:hint="eastAsia"/>
                <w:sz w:val="18"/>
                <w:szCs w:val="18"/>
              </w:rPr>
              <w:t>5</w:t>
            </w:r>
            <w:r>
              <w:rPr>
                <w:sz w:val="18"/>
                <w:szCs w:val="18"/>
              </w:rPr>
              <w:t>%RH</w:t>
            </w:r>
          </w:p>
        </w:tc>
      </w:tr>
      <w:tr>
        <w:tblPrEx>
          <w:tblW w:w="9102" w:type="dxa"/>
          <w:jc w:val="center"/>
          <w:tblLayout w:type="fixed"/>
          <w:tblCellMar>
            <w:top w:w="0" w:type="dxa"/>
            <w:left w:w="108" w:type="dxa"/>
            <w:bottom w:w="0" w:type="dxa"/>
            <w:right w:w="108" w:type="dxa"/>
          </w:tblCellMar>
        </w:tblPrEx>
        <w:trPr>
          <w:trHeight w:val="515"/>
          <w:jc w:val="center"/>
        </w:trPr>
        <w:tc>
          <w:tcPr>
            <w:tcW w:w="622" w:type="dxa"/>
            <w:noWrap w:val="0"/>
            <w:vAlign w:val="center"/>
          </w:tcPr>
          <w:p>
            <w:pPr>
              <w:widowControl/>
              <w:jc w:val="center"/>
              <w:rPr>
                <w:color w:val="000000"/>
                <w:sz w:val="18"/>
                <w:szCs w:val="18"/>
              </w:rPr>
            </w:pPr>
            <w:r>
              <w:rPr>
                <w:color w:val="000000"/>
                <w:sz w:val="18"/>
                <w:szCs w:val="18"/>
              </w:rPr>
              <w:t>1</w:t>
            </w:r>
            <w:r>
              <w:rPr>
                <w:rFonts w:hint="eastAsia"/>
                <w:color w:val="000000"/>
                <w:sz w:val="18"/>
                <w:szCs w:val="18"/>
              </w:rPr>
              <w:t>2</w:t>
            </w:r>
          </w:p>
        </w:tc>
        <w:tc>
          <w:tcPr>
            <w:tcW w:w="1098" w:type="dxa"/>
            <w:vMerge/>
            <w:noWrap w:val="0"/>
            <w:vAlign w:val="center"/>
          </w:tcPr>
          <w:p>
            <w:pPr>
              <w:jc w:val="left"/>
              <w:rPr>
                <w:sz w:val="18"/>
                <w:szCs w:val="18"/>
              </w:rPr>
            </w:pPr>
          </w:p>
        </w:tc>
        <w:tc>
          <w:tcPr>
            <w:tcW w:w="1019" w:type="dxa"/>
            <w:noWrap w:val="0"/>
            <w:vAlign w:val="center"/>
          </w:tcPr>
          <w:p>
            <w:pPr>
              <w:jc w:val="left"/>
              <w:rPr>
                <w:color w:val="000000"/>
                <w:sz w:val="18"/>
                <w:szCs w:val="18"/>
              </w:rPr>
            </w:pPr>
            <w:r>
              <w:rPr>
                <w:color w:val="000000"/>
                <w:sz w:val="18"/>
                <w:szCs w:val="18"/>
              </w:rPr>
              <w:t>水汽密度廓线</w:t>
            </w:r>
          </w:p>
        </w:tc>
        <w:tc>
          <w:tcPr>
            <w:tcW w:w="4159" w:type="dxa"/>
            <w:noWrap w:val="0"/>
            <w:vAlign w:val="center"/>
          </w:tcPr>
          <w:p>
            <w:pPr>
              <w:jc w:val="left"/>
              <w:rPr>
                <w:color w:val="000000"/>
                <w:sz w:val="18"/>
                <w:szCs w:val="18"/>
              </w:rPr>
            </w:pPr>
            <w:r>
              <w:rPr>
                <w:color w:val="000000"/>
                <w:sz w:val="18"/>
                <w:szCs w:val="18"/>
              </w:rPr>
              <w:t>垂直分辨率：</w:t>
            </w:r>
          </w:p>
          <w:p>
            <w:pPr>
              <w:jc w:val="left"/>
              <w:rPr>
                <w:color w:val="000000"/>
                <w:sz w:val="18"/>
                <w:szCs w:val="18"/>
              </w:rPr>
            </w:pPr>
            <w:r>
              <w:rPr>
                <w:color w:val="000000"/>
                <w:sz w:val="18"/>
                <w:szCs w:val="18"/>
              </w:rPr>
              <w:t>≤50m（0m～500m）；</w:t>
            </w:r>
          </w:p>
          <w:p>
            <w:pPr>
              <w:jc w:val="left"/>
              <w:rPr>
                <w:color w:val="000000"/>
                <w:sz w:val="18"/>
                <w:szCs w:val="18"/>
              </w:rPr>
            </w:pPr>
            <w:r>
              <w:rPr>
                <w:color w:val="000000"/>
                <w:sz w:val="18"/>
                <w:szCs w:val="18"/>
              </w:rPr>
              <w:t>≤100m（500m～2000m）；</w:t>
            </w:r>
          </w:p>
          <w:p>
            <w:pPr>
              <w:jc w:val="left"/>
              <w:rPr>
                <w:color w:val="000000"/>
                <w:sz w:val="18"/>
                <w:szCs w:val="18"/>
              </w:rPr>
            </w:pPr>
            <w:r>
              <w:rPr>
                <w:color w:val="000000"/>
                <w:sz w:val="18"/>
                <w:szCs w:val="18"/>
              </w:rPr>
              <w:t>≤250m（2km～10km）</w:t>
            </w:r>
          </w:p>
        </w:tc>
        <w:tc>
          <w:tcPr>
            <w:tcW w:w="2204" w:type="dxa"/>
            <w:noWrap w:val="0"/>
            <w:vAlign w:val="center"/>
          </w:tcPr>
          <w:p>
            <w:pPr>
              <w:jc w:val="left"/>
              <w:rPr>
                <w:sz w:val="18"/>
                <w:szCs w:val="18"/>
              </w:rPr>
            </w:pPr>
            <w:r>
              <w:rPr>
                <w:sz w:val="18"/>
                <w:szCs w:val="18"/>
              </w:rPr>
              <w:t>均方根误差：≤0.</w:t>
            </w:r>
            <w:r>
              <w:rPr>
                <w:rFonts w:hint="eastAsia"/>
                <w:sz w:val="18"/>
                <w:szCs w:val="18"/>
              </w:rPr>
              <w:t>8</w:t>
            </w:r>
            <w:r>
              <w:rPr>
                <w:sz w:val="18"/>
                <w:szCs w:val="18"/>
              </w:rPr>
              <w:t>g/m</w:t>
            </w:r>
            <w:r>
              <w:rPr>
                <w:sz w:val="18"/>
                <w:szCs w:val="18"/>
                <w:vertAlign w:val="superscript"/>
              </w:rPr>
              <w:t>3</w:t>
            </w:r>
          </w:p>
        </w:tc>
      </w:tr>
      <w:tr>
        <w:tblPrEx>
          <w:tblW w:w="9102" w:type="dxa"/>
          <w:jc w:val="center"/>
          <w:tblLayout w:type="fixed"/>
          <w:tblCellMar>
            <w:top w:w="0" w:type="dxa"/>
            <w:left w:w="108" w:type="dxa"/>
            <w:bottom w:w="0" w:type="dxa"/>
            <w:right w:w="108" w:type="dxa"/>
          </w:tblCellMar>
        </w:tblPrEx>
        <w:trPr>
          <w:trHeight w:val="90"/>
          <w:jc w:val="center"/>
        </w:trPr>
        <w:tc>
          <w:tcPr>
            <w:tcW w:w="622" w:type="dxa"/>
            <w:noWrap w:val="0"/>
            <w:vAlign w:val="center"/>
          </w:tcPr>
          <w:p>
            <w:pPr>
              <w:widowControl/>
              <w:jc w:val="center"/>
              <w:rPr>
                <w:color w:val="000000"/>
                <w:sz w:val="18"/>
                <w:szCs w:val="18"/>
              </w:rPr>
            </w:pPr>
            <w:r>
              <w:rPr>
                <w:color w:val="000000"/>
                <w:sz w:val="18"/>
                <w:szCs w:val="18"/>
              </w:rPr>
              <w:t>1</w:t>
            </w:r>
            <w:r>
              <w:rPr>
                <w:rFonts w:hint="eastAsia"/>
                <w:color w:val="000000"/>
                <w:sz w:val="18"/>
                <w:szCs w:val="18"/>
              </w:rPr>
              <w:t>3</w:t>
            </w:r>
          </w:p>
        </w:tc>
        <w:tc>
          <w:tcPr>
            <w:tcW w:w="1098" w:type="dxa"/>
            <w:vMerge/>
            <w:noWrap w:val="0"/>
            <w:vAlign w:val="center"/>
          </w:tcPr>
          <w:p>
            <w:pPr>
              <w:jc w:val="left"/>
              <w:rPr>
                <w:color w:val="000000"/>
                <w:sz w:val="18"/>
                <w:szCs w:val="18"/>
              </w:rPr>
            </w:pPr>
          </w:p>
        </w:tc>
        <w:tc>
          <w:tcPr>
            <w:tcW w:w="1019" w:type="dxa"/>
            <w:noWrap w:val="0"/>
            <w:vAlign w:val="center"/>
          </w:tcPr>
          <w:p>
            <w:pPr>
              <w:jc w:val="left"/>
              <w:rPr>
                <w:color w:val="000000"/>
                <w:sz w:val="18"/>
                <w:szCs w:val="18"/>
              </w:rPr>
            </w:pPr>
            <w:r>
              <w:rPr>
                <w:color w:val="FF0000"/>
                <w:sz w:val="18"/>
                <w:szCs w:val="18"/>
                <w:highlight w:val="yellow"/>
              </w:rPr>
              <w:t>#</w:t>
            </w:r>
            <w:r>
              <w:rPr>
                <w:color w:val="000000"/>
                <w:sz w:val="18"/>
                <w:szCs w:val="18"/>
              </w:rPr>
              <w:t>温度廓线</w:t>
            </w:r>
          </w:p>
        </w:tc>
        <w:tc>
          <w:tcPr>
            <w:tcW w:w="4159" w:type="dxa"/>
            <w:noWrap w:val="0"/>
            <w:vAlign w:val="center"/>
          </w:tcPr>
          <w:p>
            <w:pPr>
              <w:jc w:val="left"/>
              <w:rPr>
                <w:color w:val="000000"/>
                <w:sz w:val="18"/>
                <w:szCs w:val="18"/>
              </w:rPr>
            </w:pPr>
            <w:r>
              <w:rPr>
                <w:color w:val="000000"/>
                <w:sz w:val="18"/>
                <w:szCs w:val="18"/>
              </w:rPr>
              <w:t>垂直分辨率：</w:t>
            </w:r>
          </w:p>
          <w:p>
            <w:pPr>
              <w:jc w:val="left"/>
              <w:rPr>
                <w:color w:val="000000"/>
                <w:sz w:val="18"/>
                <w:szCs w:val="18"/>
              </w:rPr>
            </w:pPr>
            <w:r>
              <w:rPr>
                <w:color w:val="000000"/>
                <w:sz w:val="18"/>
                <w:szCs w:val="18"/>
              </w:rPr>
              <w:t>≤25m（0m～500m）；</w:t>
            </w:r>
          </w:p>
          <w:p>
            <w:pPr>
              <w:jc w:val="left"/>
              <w:rPr>
                <w:color w:val="000000"/>
                <w:sz w:val="18"/>
                <w:szCs w:val="18"/>
              </w:rPr>
            </w:pPr>
            <w:r>
              <w:rPr>
                <w:color w:val="000000"/>
                <w:sz w:val="18"/>
                <w:szCs w:val="18"/>
              </w:rPr>
              <w:t>≤50m（500m～2000m）；</w:t>
            </w:r>
          </w:p>
          <w:p>
            <w:pPr>
              <w:jc w:val="left"/>
              <w:rPr>
                <w:color w:val="000000"/>
                <w:sz w:val="18"/>
                <w:szCs w:val="18"/>
              </w:rPr>
            </w:pPr>
            <w:r>
              <w:rPr>
                <w:color w:val="000000"/>
                <w:sz w:val="18"/>
                <w:szCs w:val="18"/>
              </w:rPr>
              <w:t>≤250m（2km～10km）</w:t>
            </w:r>
          </w:p>
        </w:tc>
        <w:tc>
          <w:tcPr>
            <w:tcW w:w="2204" w:type="dxa"/>
            <w:noWrap w:val="0"/>
            <w:vAlign w:val="center"/>
          </w:tcPr>
          <w:p>
            <w:pPr>
              <w:jc w:val="left"/>
              <w:rPr>
                <w:sz w:val="18"/>
                <w:szCs w:val="18"/>
              </w:rPr>
            </w:pPr>
            <w:r>
              <w:rPr>
                <w:sz w:val="18"/>
                <w:szCs w:val="18"/>
              </w:rPr>
              <w:t>当高度＞2000m时，均方根误差：≤1.</w:t>
            </w:r>
            <w:r>
              <w:rPr>
                <w:rFonts w:hint="eastAsia"/>
                <w:sz w:val="18"/>
                <w:szCs w:val="18"/>
              </w:rPr>
              <w:t>8</w:t>
            </w:r>
            <w:r>
              <w:rPr>
                <w:sz w:val="18"/>
                <w:szCs w:val="18"/>
              </w:rPr>
              <w:t>K；</w:t>
            </w:r>
          </w:p>
          <w:p>
            <w:pPr>
              <w:jc w:val="left"/>
              <w:rPr>
                <w:sz w:val="18"/>
                <w:szCs w:val="18"/>
              </w:rPr>
            </w:pPr>
            <w:r>
              <w:rPr>
                <w:sz w:val="18"/>
                <w:szCs w:val="18"/>
              </w:rPr>
              <w:t>当高度≤2000m时，均方根误差：≤</w:t>
            </w:r>
            <w:r>
              <w:rPr>
                <w:rFonts w:hint="eastAsia"/>
                <w:sz w:val="18"/>
                <w:szCs w:val="18"/>
              </w:rPr>
              <w:t>1</w:t>
            </w:r>
            <w:r>
              <w:rPr>
                <w:sz w:val="18"/>
                <w:szCs w:val="18"/>
              </w:rPr>
              <w:t>K</w:t>
            </w:r>
          </w:p>
        </w:tc>
      </w:tr>
      <w:tr>
        <w:tblPrEx>
          <w:tblW w:w="9102" w:type="dxa"/>
          <w:jc w:val="center"/>
          <w:tblLayout w:type="fixed"/>
          <w:tblCellMar>
            <w:top w:w="0" w:type="dxa"/>
            <w:left w:w="108" w:type="dxa"/>
            <w:bottom w:w="0" w:type="dxa"/>
            <w:right w:w="108" w:type="dxa"/>
          </w:tblCellMar>
        </w:tblPrEx>
        <w:trPr>
          <w:trHeight w:val="515"/>
          <w:jc w:val="center"/>
        </w:trPr>
        <w:tc>
          <w:tcPr>
            <w:tcW w:w="622" w:type="dxa"/>
            <w:noWrap w:val="0"/>
            <w:vAlign w:val="center"/>
          </w:tcPr>
          <w:p>
            <w:pPr>
              <w:widowControl/>
              <w:jc w:val="center"/>
              <w:rPr>
                <w:color w:val="000000"/>
                <w:sz w:val="18"/>
                <w:szCs w:val="18"/>
              </w:rPr>
            </w:pPr>
            <w:r>
              <w:rPr>
                <w:color w:val="000000"/>
                <w:sz w:val="18"/>
                <w:szCs w:val="18"/>
              </w:rPr>
              <w:t>1</w:t>
            </w:r>
            <w:r>
              <w:rPr>
                <w:rFonts w:hint="eastAsia"/>
                <w:color w:val="000000"/>
                <w:sz w:val="18"/>
                <w:szCs w:val="18"/>
              </w:rPr>
              <w:t>4</w:t>
            </w:r>
          </w:p>
        </w:tc>
        <w:tc>
          <w:tcPr>
            <w:tcW w:w="1098" w:type="dxa"/>
            <w:vMerge/>
            <w:noWrap w:val="0"/>
            <w:vAlign w:val="center"/>
          </w:tcPr>
          <w:p>
            <w:pPr>
              <w:jc w:val="left"/>
              <w:rPr>
                <w:color w:val="000000"/>
                <w:sz w:val="18"/>
                <w:szCs w:val="18"/>
              </w:rPr>
            </w:pPr>
          </w:p>
        </w:tc>
        <w:tc>
          <w:tcPr>
            <w:tcW w:w="1019" w:type="dxa"/>
            <w:noWrap w:val="0"/>
            <w:vAlign w:val="center"/>
          </w:tcPr>
          <w:p>
            <w:pPr>
              <w:jc w:val="left"/>
              <w:rPr>
                <w:color w:val="000000"/>
                <w:sz w:val="18"/>
                <w:szCs w:val="18"/>
              </w:rPr>
            </w:pPr>
            <w:r>
              <w:rPr>
                <w:color w:val="FF0000"/>
                <w:sz w:val="18"/>
                <w:szCs w:val="18"/>
                <w:highlight w:val="yellow"/>
              </w:rPr>
              <w:t>#</w:t>
            </w:r>
            <w:r>
              <w:rPr>
                <w:color w:val="000000"/>
                <w:sz w:val="18"/>
                <w:szCs w:val="18"/>
              </w:rPr>
              <w:t>积分水汽含</w:t>
            </w:r>
            <w:r>
              <w:rPr>
                <w:color w:val="000000"/>
                <w:sz w:val="18"/>
                <w:szCs w:val="18"/>
              </w:rPr>
              <w:t>量</w:t>
            </w:r>
          </w:p>
        </w:tc>
        <w:tc>
          <w:tcPr>
            <w:tcW w:w="6363" w:type="dxa"/>
            <w:gridSpan w:val="2"/>
            <w:noWrap w:val="0"/>
            <w:vAlign w:val="center"/>
          </w:tcPr>
          <w:p>
            <w:pPr>
              <w:jc w:val="left"/>
              <w:rPr>
                <w:color w:val="000000"/>
                <w:sz w:val="18"/>
                <w:szCs w:val="18"/>
              </w:rPr>
            </w:pPr>
            <w:r>
              <w:rPr>
                <w:color w:val="000000"/>
                <w:sz w:val="18"/>
                <w:szCs w:val="18"/>
              </w:rPr>
              <w:t>均方根误</w:t>
            </w:r>
            <w:r>
              <w:rPr>
                <w:sz w:val="18"/>
                <w:szCs w:val="18"/>
              </w:rPr>
              <w:t>差≤</w:t>
            </w:r>
            <w:r>
              <w:rPr>
                <w:rFonts w:hint="eastAsia"/>
                <w:sz w:val="18"/>
                <w:szCs w:val="18"/>
              </w:rPr>
              <w:t>4</w:t>
            </w:r>
            <w:r>
              <w:rPr>
                <w:sz w:val="18"/>
                <w:szCs w:val="18"/>
              </w:rPr>
              <w:t>mm</w:t>
            </w:r>
          </w:p>
        </w:tc>
      </w:tr>
      <w:tr>
        <w:tblPrEx>
          <w:tblW w:w="9102" w:type="dxa"/>
          <w:jc w:val="center"/>
          <w:tblLayout w:type="fixed"/>
          <w:tblCellMar>
            <w:top w:w="0" w:type="dxa"/>
            <w:left w:w="108" w:type="dxa"/>
            <w:bottom w:w="0" w:type="dxa"/>
            <w:right w:w="108" w:type="dxa"/>
          </w:tblCellMar>
        </w:tblPrEx>
        <w:trPr>
          <w:trHeight w:val="515"/>
          <w:jc w:val="center"/>
        </w:trPr>
        <w:tc>
          <w:tcPr>
            <w:tcW w:w="622" w:type="dxa"/>
            <w:vMerge w:val="restart"/>
            <w:shd w:val="clear" w:color="auto" w:fill="auto"/>
            <w:noWrap w:val="0"/>
            <w:vAlign w:val="center"/>
          </w:tcPr>
          <w:p>
            <w:pPr>
              <w:widowControl/>
              <w:jc w:val="center"/>
              <w:rPr>
                <w:color w:val="000000"/>
                <w:sz w:val="18"/>
                <w:szCs w:val="18"/>
              </w:rPr>
            </w:pPr>
            <w:r>
              <w:rPr>
                <w:color w:val="000000"/>
                <w:sz w:val="18"/>
                <w:szCs w:val="18"/>
              </w:rPr>
              <w:t>1</w:t>
            </w:r>
            <w:r>
              <w:rPr>
                <w:rFonts w:hint="eastAsia"/>
                <w:color w:val="000000"/>
                <w:sz w:val="18"/>
                <w:szCs w:val="18"/>
              </w:rPr>
              <w:t>5</w:t>
            </w:r>
          </w:p>
        </w:tc>
        <w:tc>
          <w:tcPr>
            <w:tcW w:w="1098" w:type="dxa"/>
            <w:vMerge w:val="restart"/>
            <w:shd w:val="clear" w:color="auto" w:fill="auto"/>
            <w:noWrap w:val="0"/>
            <w:vAlign w:val="center"/>
          </w:tcPr>
          <w:p>
            <w:pPr>
              <w:jc w:val="left"/>
              <w:rPr>
                <w:color w:val="000000"/>
                <w:sz w:val="18"/>
                <w:szCs w:val="18"/>
              </w:rPr>
            </w:pPr>
            <w:r>
              <w:rPr>
                <w:color w:val="000000"/>
                <w:sz w:val="18"/>
                <w:szCs w:val="18"/>
              </w:rPr>
              <w:t>供电</w:t>
            </w:r>
          </w:p>
        </w:tc>
        <w:tc>
          <w:tcPr>
            <w:tcW w:w="1019" w:type="dxa"/>
            <w:shd w:val="clear" w:color="auto" w:fill="FFFFFF"/>
            <w:noWrap w:val="0"/>
            <w:vAlign w:val="center"/>
          </w:tcPr>
          <w:p>
            <w:pPr>
              <w:jc w:val="left"/>
              <w:rPr>
                <w:color w:val="000000"/>
                <w:sz w:val="18"/>
                <w:szCs w:val="18"/>
              </w:rPr>
            </w:pPr>
            <w:r>
              <w:rPr>
                <w:color w:val="000000"/>
                <w:sz w:val="18"/>
                <w:szCs w:val="18"/>
              </w:rPr>
              <w:t>供电</w:t>
            </w:r>
          </w:p>
        </w:tc>
        <w:tc>
          <w:tcPr>
            <w:tcW w:w="6363" w:type="dxa"/>
            <w:gridSpan w:val="2"/>
            <w:shd w:val="clear" w:color="auto" w:fill="FFFFFF"/>
            <w:noWrap w:val="0"/>
            <w:vAlign w:val="center"/>
          </w:tcPr>
          <w:p>
            <w:pPr>
              <w:jc w:val="left"/>
              <w:rPr>
                <w:color w:val="000000"/>
                <w:sz w:val="18"/>
                <w:szCs w:val="18"/>
              </w:rPr>
            </w:pPr>
            <w:r>
              <w:rPr>
                <w:color w:val="000000"/>
                <w:sz w:val="18"/>
                <w:szCs w:val="18"/>
              </w:rPr>
              <w:t>220V、50Hz，电压变化－15％～10％，频率变化±3％时，系统能正常工作</w:t>
            </w:r>
          </w:p>
        </w:tc>
      </w:tr>
      <w:tr>
        <w:tblPrEx>
          <w:tblW w:w="9102" w:type="dxa"/>
          <w:jc w:val="center"/>
          <w:tblLayout w:type="fixed"/>
          <w:tblCellMar>
            <w:top w:w="0" w:type="dxa"/>
            <w:left w:w="108" w:type="dxa"/>
            <w:bottom w:w="0" w:type="dxa"/>
            <w:right w:w="108" w:type="dxa"/>
          </w:tblCellMar>
        </w:tblPrEx>
        <w:trPr>
          <w:trHeight w:val="515"/>
          <w:jc w:val="center"/>
        </w:trPr>
        <w:tc>
          <w:tcPr>
            <w:tcW w:w="622" w:type="dxa"/>
            <w:vMerge/>
            <w:shd w:val="clear" w:color="auto" w:fill="auto"/>
            <w:noWrap w:val="0"/>
            <w:vAlign w:val="center"/>
          </w:tcPr>
          <w:p>
            <w:pPr>
              <w:widowControl/>
              <w:jc w:val="center"/>
              <w:rPr>
                <w:color w:val="000000"/>
                <w:sz w:val="18"/>
                <w:szCs w:val="18"/>
              </w:rPr>
            </w:pPr>
          </w:p>
        </w:tc>
        <w:tc>
          <w:tcPr>
            <w:tcW w:w="1098" w:type="dxa"/>
            <w:vMerge/>
            <w:shd w:val="clear" w:color="auto" w:fill="auto"/>
            <w:noWrap w:val="0"/>
            <w:vAlign w:val="center"/>
          </w:tcPr>
          <w:p>
            <w:pPr>
              <w:jc w:val="left"/>
              <w:rPr>
                <w:color w:val="000000"/>
                <w:sz w:val="18"/>
                <w:szCs w:val="18"/>
              </w:rPr>
            </w:pPr>
          </w:p>
        </w:tc>
        <w:tc>
          <w:tcPr>
            <w:tcW w:w="1019" w:type="dxa"/>
            <w:shd w:val="clear" w:color="auto" w:fill="FFFFFF"/>
            <w:noWrap w:val="0"/>
            <w:vAlign w:val="center"/>
          </w:tcPr>
          <w:p>
            <w:pPr>
              <w:jc w:val="left"/>
              <w:rPr>
                <w:color w:val="000000"/>
                <w:sz w:val="18"/>
                <w:szCs w:val="18"/>
              </w:rPr>
            </w:pPr>
            <w:r>
              <w:rPr>
                <w:color w:val="000000"/>
                <w:sz w:val="18"/>
                <w:szCs w:val="18"/>
              </w:rPr>
              <w:t>功耗</w:t>
            </w:r>
          </w:p>
        </w:tc>
        <w:tc>
          <w:tcPr>
            <w:tcW w:w="6363" w:type="dxa"/>
            <w:gridSpan w:val="2"/>
            <w:shd w:val="clear" w:color="auto" w:fill="FFFFFF"/>
            <w:noWrap w:val="0"/>
            <w:vAlign w:val="center"/>
          </w:tcPr>
          <w:p>
            <w:pPr>
              <w:jc w:val="left"/>
              <w:rPr>
                <w:color w:val="000000"/>
                <w:sz w:val="18"/>
                <w:szCs w:val="18"/>
              </w:rPr>
            </w:pPr>
            <w:r>
              <w:rPr>
                <w:color w:val="000000"/>
                <w:sz w:val="18"/>
                <w:szCs w:val="18"/>
              </w:rPr>
              <w:t>未开启防雾干燥系统加热模块时，整机功耗应≤600W；</w:t>
            </w:r>
          </w:p>
          <w:p>
            <w:pPr>
              <w:jc w:val="left"/>
              <w:rPr>
                <w:color w:val="000000"/>
                <w:sz w:val="18"/>
                <w:szCs w:val="18"/>
              </w:rPr>
            </w:pPr>
            <w:r>
              <w:rPr>
                <w:color w:val="000000"/>
                <w:sz w:val="18"/>
                <w:szCs w:val="18"/>
              </w:rPr>
              <w:t>最大允许功耗应≤2100W</w:t>
            </w:r>
          </w:p>
        </w:tc>
      </w:tr>
      <w:tr>
        <w:tblPrEx>
          <w:tblW w:w="9102" w:type="dxa"/>
          <w:jc w:val="center"/>
          <w:tblLayout w:type="fixed"/>
          <w:tblCellMar>
            <w:top w:w="0" w:type="dxa"/>
            <w:left w:w="108" w:type="dxa"/>
            <w:bottom w:w="0" w:type="dxa"/>
            <w:right w:w="108" w:type="dxa"/>
          </w:tblCellMar>
        </w:tblPrEx>
        <w:trPr>
          <w:trHeight w:val="515"/>
          <w:jc w:val="center"/>
        </w:trPr>
        <w:tc>
          <w:tcPr>
            <w:tcW w:w="622" w:type="dxa"/>
            <w:shd w:val="clear" w:color="auto" w:fill="auto"/>
            <w:noWrap w:val="0"/>
            <w:vAlign w:val="center"/>
          </w:tcPr>
          <w:p>
            <w:pPr>
              <w:widowControl/>
              <w:jc w:val="center"/>
              <w:rPr>
                <w:color w:val="000000"/>
                <w:sz w:val="18"/>
                <w:szCs w:val="18"/>
              </w:rPr>
            </w:pPr>
            <w:r>
              <w:rPr>
                <w:color w:val="000000"/>
                <w:sz w:val="18"/>
                <w:szCs w:val="18"/>
              </w:rPr>
              <w:t>1</w:t>
            </w:r>
            <w:r>
              <w:rPr>
                <w:rFonts w:hint="eastAsia"/>
                <w:color w:val="000000"/>
                <w:sz w:val="18"/>
                <w:szCs w:val="18"/>
              </w:rPr>
              <w:t>6</w:t>
            </w:r>
          </w:p>
        </w:tc>
        <w:tc>
          <w:tcPr>
            <w:tcW w:w="1098" w:type="dxa"/>
            <w:shd w:val="clear" w:color="auto" w:fill="auto"/>
            <w:noWrap w:val="0"/>
            <w:vAlign w:val="center"/>
          </w:tcPr>
          <w:p>
            <w:pPr>
              <w:jc w:val="left"/>
              <w:rPr>
                <w:color w:val="000000"/>
                <w:sz w:val="18"/>
                <w:szCs w:val="18"/>
              </w:rPr>
            </w:pPr>
            <w:r>
              <w:rPr>
                <w:color w:val="000000"/>
                <w:sz w:val="18"/>
                <w:szCs w:val="18"/>
              </w:rPr>
              <w:t>高精度伺服系统</w:t>
            </w:r>
          </w:p>
        </w:tc>
        <w:tc>
          <w:tcPr>
            <w:tcW w:w="1019" w:type="dxa"/>
            <w:shd w:val="clear" w:color="auto" w:fill="FFFFFF"/>
            <w:noWrap w:val="0"/>
            <w:vAlign w:val="center"/>
          </w:tcPr>
          <w:p>
            <w:pPr>
              <w:jc w:val="left"/>
              <w:rPr>
                <w:color w:val="000000"/>
                <w:sz w:val="18"/>
                <w:szCs w:val="18"/>
              </w:rPr>
            </w:pPr>
            <w:r>
              <w:rPr>
                <w:color w:val="000000"/>
                <w:sz w:val="18"/>
                <w:szCs w:val="18"/>
              </w:rPr>
              <w:t>扫描测量</w:t>
            </w:r>
          </w:p>
        </w:tc>
        <w:tc>
          <w:tcPr>
            <w:tcW w:w="6363" w:type="dxa"/>
            <w:gridSpan w:val="2"/>
            <w:shd w:val="clear" w:color="auto" w:fill="FFFFFF"/>
            <w:noWrap w:val="0"/>
            <w:vAlign w:val="top"/>
          </w:tcPr>
          <w:p>
            <w:pPr>
              <w:jc w:val="left"/>
              <w:rPr>
                <w:color w:val="000000"/>
                <w:sz w:val="18"/>
                <w:szCs w:val="18"/>
              </w:rPr>
            </w:pPr>
            <w:r>
              <w:rPr>
                <w:color w:val="000000"/>
                <w:sz w:val="18"/>
                <w:szCs w:val="18"/>
              </w:rPr>
              <w:t>系统方位驱动范围水平为0°～360°，角度分辨率0.1°；俯仰0°～180°，角度分辨率0.1°</w:t>
            </w:r>
          </w:p>
        </w:tc>
      </w:tr>
      <w:tr>
        <w:tblPrEx>
          <w:tblW w:w="9102" w:type="dxa"/>
          <w:jc w:val="center"/>
          <w:tblLayout w:type="fixed"/>
          <w:tblCellMar>
            <w:top w:w="0" w:type="dxa"/>
            <w:left w:w="108" w:type="dxa"/>
            <w:bottom w:w="0" w:type="dxa"/>
            <w:right w:w="108" w:type="dxa"/>
          </w:tblCellMar>
        </w:tblPrEx>
        <w:trPr>
          <w:trHeight w:val="515"/>
          <w:jc w:val="center"/>
        </w:trPr>
        <w:tc>
          <w:tcPr>
            <w:tcW w:w="622" w:type="dxa"/>
            <w:shd w:val="clear" w:color="auto" w:fill="auto"/>
            <w:noWrap w:val="0"/>
            <w:vAlign w:val="center"/>
          </w:tcPr>
          <w:p>
            <w:pPr>
              <w:widowControl/>
              <w:jc w:val="center"/>
              <w:rPr>
                <w:color w:val="000000"/>
                <w:sz w:val="18"/>
                <w:szCs w:val="18"/>
              </w:rPr>
            </w:pPr>
            <w:r>
              <w:rPr>
                <w:rFonts w:hint="eastAsia"/>
                <w:color w:val="000000"/>
                <w:sz w:val="18"/>
                <w:szCs w:val="18"/>
              </w:rPr>
              <w:t>17</w:t>
            </w:r>
          </w:p>
        </w:tc>
        <w:tc>
          <w:tcPr>
            <w:tcW w:w="1098" w:type="dxa"/>
            <w:vMerge w:val="restart"/>
            <w:shd w:val="clear" w:color="auto" w:fill="auto"/>
            <w:noWrap w:val="0"/>
            <w:vAlign w:val="center"/>
          </w:tcPr>
          <w:p>
            <w:pPr>
              <w:jc w:val="center"/>
              <w:rPr>
                <w:sz w:val="18"/>
                <w:szCs w:val="18"/>
              </w:rPr>
            </w:pPr>
            <w:r>
              <w:rPr>
                <w:sz w:val="18"/>
                <w:szCs w:val="18"/>
              </w:rPr>
              <w:t>环境适应性</w:t>
            </w:r>
          </w:p>
        </w:tc>
        <w:tc>
          <w:tcPr>
            <w:tcW w:w="1019" w:type="dxa"/>
            <w:shd w:val="clear" w:color="auto" w:fill="FFFFFF"/>
            <w:noWrap w:val="0"/>
            <w:vAlign w:val="center"/>
          </w:tcPr>
          <w:p>
            <w:pPr>
              <w:jc w:val="left"/>
              <w:rPr>
                <w:color w:val="000000"/>
                <w:sz w:val="18"/>
                <w:szCs w:val="18"/>
              </w:rPr>
            </w:pPr>
            <w:r>
              <w:rPr>
                <w:color w:val="000000"/>
                <w:sz w:val="18"/>
                <w:szCs w:val="18"/>
              </w:rPr>
              <w:t>温度</w:t>
            </w:r>
          </w:p>
        </w:tc>
        <w:tc>
          <w:tcPr>
            <w:tcW w:w="6363" w:type="dxa"/>
            <w:gridSpan w:val="2"/>
            <w:shd w:val="clear" w:color="auto" w:fill="FFFFFF"/>
            <w:noWrap w:val="0"/>
            <w:vAlign w:val="top"/>
          </w:tcPr>
          <w:p>
            <w:pPr>
              <w:widowControl/>
              <w:tabs>
                <w:tab w:val="center" w:pos="4201"/>
                <w:tab w:val="right" w:leader="dot" w:pos="9298"/>
              </w:tabs>
              <w:autoSpaceDE w:val="0"/>
              <w:autoSpaceDN w:val="0"/>
              <w:rPr>
                <w:color w:val="000000"/>
                <w:sz w:val="18"/>
                <w:szCs w:val="18"/>
              </w:rPr>
            </w:pPr>
            <w:r>
              <w:rPr>
                <w:color w:val="000000"/>
                <w:sz w:val="18"/>
                <w:szCs w:val="18"/>
              </w:rPr>
              <w:t>工作温度：</w:t>
            </w:r>
            <w:r>
              <w:rPr>
                <w:rFonts w:eastAsia="微软雅黑"/>
                <w:color w:val="000000"/>
                <w:sz w:val="18"/>
                <w:szCs w:val="18"/>
              </w:rPr>
              <w:t>−</w:t>
            </w:r>
            <w:r>
              <w:rPr>
                <w:color w:val="000000"/>
                <w:sz w:val="18"/>
                <w:szCs w:val="18"/>
              </w:rPr>
              <w:t>40</w:t>
            </w:r>
            <w:r>
              <w:rPr>
                <w:rFonts w:ascii="宋体" w:hAnsi="宋体" w:cs="宋体" w:hint="eastAsia"/>
                <w:color w:val="000000"/>
                <w:sz w:val="18"/>
                <w:szCs w:val="18"/>
              </w:rPr>
              <w:t>℃</w:t>
            </w:r>
            <w:r>
              <w:rPr>
                <w:color w:val="000000"/>
                <w:sz w:val="18"/>
                <w:szCs w:val="18"/>
              </w:rPr>
              <w:t>～50</w:t>
            </w:r>
            <w:r>
              <w:rPr>
                <w:rFonts w:ascii="宋体" w:hAnsi="宋体" w:cs="宋体" w:hint="eastAsia"/>
                <w:color w:val="000000"/>
                <w:sz w:val="18"/>
                <w:szCs w:val="18"/>
              </w:rPr>
              <w:t>℃</w:t>
            </w:r>
            <w:r>
              <w:rPr>
                <w:color w:val="000000"/>
                <w:sz w:val="18"/>
                <w:szCs w:val="18"/>
              </w:rPr>
              <w:t>（室外设备），0</w:t>
            </w:r>
            <w:r>
              <w:rPr>
                <w:rFonts w:ascii="宋体" w:hAnsi="宋体" w:cs="宋体" w:hint="eastAsia"/>
                <w:color w:val="000000"/>
                <w:sz w:val="18"/>
                <w:szCs w:val="18"/>
              </w:rPr>
              <w:t>℃</w:t>
            </w:r>
            <w:r>
              <w:rPr>
                <w:color w:val="000000"/>
                <w:sz w:val="18"/>
                <w:szCs w:val="18"/>
              </w:rPr>
              <w:t>～40</w:t>
            </w:r>
            <w:r>
              <w:rPr>
                <w:rFonts w:ascii="宋体" w:hAnsi="宋体" w:cs="宋体" w:hint="eastAsia"/>
                <w:color w:val="000000"/>
                <w:sz w:val="18"/>
                <w:szCs w:val="18"/>
              </w:rPr>
              <w:t>℃</w:t>
            </w:r>
            <w:r>
              <w:rPr>
                <w:color w:val="000000"/>
                <w:sz w:val="18"/>
                <w:szCs w:val="18"/>
              </w:rPr>
              <w:t>（室内设备）；</w:t>
            </w:r>
          </w:p>
          <w:p>
            <w:pPr>
              <w:widowControl/>
              <w:tabs>
                <w:tab w:val="center" w:pos="4201"/>
                <w:tab w:val="right" w:leader="dot" w:pos="9298"/>
              </w:tabs>
              <w:autoSpaceDE w:val="0"/>
              <w:autoSpaceDN w:val="0"/>
              <w:rPr>
                <w:sz w:val="18"/>
                <w:szCs w:val="18"/>
              </w:rPr>
            </w:pPr>
            <w:r>
              <w:rPr>
                <w:color w:val="000000"/>
                <w:sz w:val="18"/>
                <w:szCs w:val="18"/>
              </w:rPr>
              <w:t>贮存温度：</w:t>
            </w:r>
            <w:r>
              <w:rPr>
                <w:rFonts w:eastAsia="微软雅黑"/>
                <w:color w:val="000000"/>
                <w:sz w:val="18"/>
                <w:szCs w:val="18"/>
              </w:rPr>
              <w:t>−</w:t>
            </w:r>
            <w:r>
              <w:rPr>
                <w:color w:val="000000"/>
                <w:sz w:val="18"/>
                <w:szCs w:val="18"/>
              </w:rPr>
              <w:t>50</w:t>
            </w:r>
            <w:r>
              <w:rPr>
                <w:rFonts w:ascii="宋体" w:hAnsi="宋体" w:cs="宋体" w:hint="eastAsia"/>
                <w:color w:val="000000"/>
                <w:sz w:val="18"/>
                <w:szCs w:val="18"/>
              </w:rPr>
              <w:t>℃</w:t>
            </w:r>
            <w:r>
              <w:rPr>
                <w:color w:val="000000"/>
                <w:sz w:val="18"/>
                <w:szCs w:val="18"/>
              </w:rPr>
              <w:t>～55</w:t>
            </w:r>
            <w:r>
              <w:rPr>
                <w:rFonts w:ascii="宋体" w:hAnsi="宋体" w:cs="宋体" w:hint="eastAsia"/>
                <w:color w:val="000000"/>
                <w:sz w:val="18"/>
                <w:szCs w:val="18"/>
              </w:rPr>
              <w:t>℃</w:t>
            </w:r>
            <w:r>
              <w:rPr>
                <w:color w:val="000000"/>
                <w:sz w:val="18"/>
                <w:szCs w:val="18"/>
              </w:rPr>
              <w:t>。</w:t>
            </w:r>
          </w:p>
        </w:tc>
      </w:tr>
      <w:tr>
        <w:tblPrEx>
          <w:tblW w:w="9102" w:type="dxa"/>
          <w:jc w:val="center"/>
          <w:tblLayout w:type="fixed"/>
          <w:tblCellMar>
            <w:top w:w="0" w:type="dxa"/>
            <w:left w:w="108" w:type="dxa"/>
            <w:bottom w:w="0" w:type="dxa"/>
            <w:right w:w="108" w:type="dxa"/>
          </w:tblCellMar>
        </w:tblPrEx>
        <w:trPr>
          <w:trHeight w:val="515"/>
          <w:jc w:val="center"/>
        </w:trPr>
        <w:tc>
          <w:tcPr>
            <w:tcW w:w="622" w:type="dxa"/>
            <w:shd w:val="clear" w:color="auto" w:fill="auto"/>
            <w:noWrap w:val="0"/>
            <w:vAlign w:val="center"/>
          </w:tcPr>
          <w:p>
            <w:pPr>
              <w:widowControl/>
              <w:jc w:val="center"/>
              <w:rPr>
                <w:color w:val="000000"/>
                <w:sz w:val="18"/>
                <w:szCs w:val="18"/>
              </w:rPr>
            </w:pPr>
            <w:r>
              <w:rPr>
                <w:rFonts w:hint="eastAsia"/>
                <w:color w:val="000000"/>
                <w:sz w:val="18"/>
                <w:szCs w:val="18"/>
              </w:rPr>
              <w:t>18</w:t>
            </w:r>
          </w:p>
        </w:tc>
        <w:tc>
          <w:tcPr>
            <w:tcW w:w="1098" w:type="dxa"/>
            <w:vMerge/>
            <w:shd w:val="clear" w:color="auto" w:fill="auto"/>
            <w:noWrap w:val="0"/>
            <w:vAlign w:val="center"/>
          </w:tcPr>
          <w:p>
            <w:pPr>
              <w:jc w:val="center"/>
              <w:rPr>
                <w:sz w:val="18"/>
                <w:szCs w:val="18"/>
              </w:rPr>
            </w:pPr>
          </w:p>
        </w:tc>
        <w:tc>
          <w:tcPr>
            <w:tcW w:w="1019" w:type="dxa"/>
            <w:shd w:val="clear" w:color="auto" w:fill="FFFFFF"/>
            <w:noWrap w:val="0"/>
            <w:vAlign w:val="center"/>
          </w:tcPr>
          <w:p>
            <w:pPr>
              <w:jc w:val="left"/>
              <w:rPr>
                <w:color w:val="000000"/>
                <w:sz w:val="18"/>
                <w:szCs w:val="18"/>
              </w:rPr>
            </w:pPr>
            <w:r>
              <w:rPr>
                <w:color w:val="000000"/>
                <w:sz w:val="18"/>
                <w:szCs w:val="18"/>
              </w:rPr>
              <w:t>恒定湿热</w:t>
            </w:r>
          </w:p>
        </w:tc>
        <w:tc>
          <w:tcPr>
            <w:tcW w:w="6363" w:type="dxa"/>
            <w:gridSpan w:val="2"/>
            <w:shd w:val="clear" w:color="auto" w:fill="FFFFFF"/>
            <w:noWrap w:val="0"/>
            <w:vAlign w:val="top"/>
          </w:tcPr>
          <w:p>
            <w:pPr>
              <w:widowControl/>
              <w:tabs>
                <w:tab w:val="center" w:pos="4201"/>
                <w:tab w:val="right" w:leader="dot" w:pos="9298"/>
              </w:tabs>
              <w:autoSpaceDE w:val="0"/>
              <w:autoSpaceDN w:val="0"/>
              <w:rPr>
                <w:color w:val="000000"/>
                <w:sz w:val="18"/>
                <w:szCs w:val="18"/>
              </w:rPr>
            </w:pPr>
            <w:r>
              <w:rPr>
                <w:color w:val="000000"/>
                <w:sz w:val="18"/>
                <w:szCs w:val="18"/>
              </w:rPr>
              <w:t>室外设备相对湿度95%，环境温度35</w:t>
            </w:r>
            <w:r>
              <w:rPr>
                <w:rFonts w:ascii="宋体" w:hAnsi="宋体" w:cs="宋体" w:hint="eastAsia"/>
                <w:color w:val="000000"/>
                <w:sz w:val="18"/>
                <w:szCs w:val="18"/>
              </w:rPr>
              <w:t>℃</w:t>
            </w:r>
            <w:r>
              <w:rPr>
                <w:color w:val="000000"/>
                <w:sz w:val="18"/>
                <w:szCs w:val="18"/>
              </w:rPr>
              <w:t>，试验时间48h</w:t>
            </w:r>
          </w:p>
        </w:tc>
      </w:tr>
      <w:tr>
        <w:tblPrEx>
          <w:tblW w:w="9102" w:type="dxa"/>
          <w:jc w:val="center"/>
          <w:tblLayout w:type="fixed"/>
          <w:tblCellMar>
            <w:top w:w="0" w:type="dxa"/>
            <w:left w:w="108" w:type="dxa"/>
            <w:bottom w:w="0" w:type="dxa"/>
            <w:right w:w="108" w:type="dxa"/>
          </w:tblCellMar>
        </w:tblPrEx>
        <w:trPr>
          <w:trHeight w:val="515"/>
          <w:jc w:val="center"/>
        </w:trPr>
        <w:tc>
          <w:tcPr>
            <w:tcW w:w="622" w:type="dxa"/>
            <w:shd w:val="clear" w:color="auto" w:fill="auto"/>
            <w:noWrap w:val="0"/>
            <w:vAlign w:val="center"/>
          </w:tcPr>
          <w:p>
            <w:pPr>
              <w:widowControl/>
              <w:jc w:val="center"/>
              <w:rPr>
                <w:color w:val="000000"/>
                <w:sz w:val="18"/>
                <w:szCs w:val="18"/>
              </w:rPr>
            </w:pPr>
            <w:r>
              <w:rPr>
                <w:rFonts w:hint="eastAsia"/>
                <w:color w:val="000000"/>
                <w:sz w:val="18"/>
                <w:szCs w:val="18"/>
              </w:rPr>
              <w:t>19</w:t>
            </w:r>
          </w:p>
        </w:tc>
        <w:tc>
          <w:tcPr>
            <w:tcW w:w="1098" w:type="dxa"/>
            <w:vMerge/>
            <w:shd w:val="clear" w:color="auto" w:fill="auto"/>
            <w:noWrap w:val="0"/>
            <w:vAlign w:val="center"/>
          </w:tcPr>
          <w:p>
            <w:pPr>
              <w:jc w:val="center"/>
              <w:rPr>
                <w:sz w:val="18"/>
                <w:szCs w:val="18"/>
              </w:rPr>
            </w:pPr>
          </w:p>
        </w:tc>
        <w:tc>
          <w:tcPr>
            <w:tcW w:w="1019" w:type="dxa"/>
            <w:shd w:val="clear" w:color="auto" w:fill="FFFFFF"/>
            <w:noWrap w:val="0"/>
            <w:vAlign w:val="center"/>
          </w:tcPr>
          <w:p>
            <w:pPr>
              <w:jc w:val="left"/>
              <w:rPr>
                <w:color w:val="000000"/>
                <w:sz w:val="18"/>
                <w:szCs w:val="18"/>
              </w:rPr>
            </w:pPr>
            <w:r>
              <w:rPr>
                <w:color w:val="000000"/>
                <w:sz w:val="18"/>
                <w:szCs w:val="18"/>
              </w:rPr>
              <w:t>气压</w:t>
            </w:r>
          </w:p>
        </w:tc>
        <w:tc>
          <w:tcPr>
            <w:tcW w:w="6363" w:type="dxa"/>
            <w:gridSpan w:val="2"/>
            <w:shd w:val="clear" w:color="auto" w:fill="FFFFFF"/>
            <w:noWrap w:val="0"/>
            <w:vAlign w:val="top"/>
          </w:tcPr>
          <w:p>
            <w:pPr>
              <w:widowControl/>
              <w:tabs>
                <w:tab w:val="center" w:pos="4201"/>
                <w:tab w:val="right" w:leader="dot" w:pos="9298"/>
              </w:tabs>
              <w:autoSpaceDE w:val="0"/>
              <w:autoSpaceDN w:val="0"/>
              <w:rPr>
                <w:color w:val="000000"/>
                <w:sz w:val="18"/>
                <w:szCs w:val="18"/>
              </w:rPr>
            </w:pPr>
            <w:r>
              <w:rPr>
                <w:color w:val="000000"/>
                <w:sz w:val="18"/>
                <w:szCs w:val="18"/>
              </w:rPr>
              <w:t>500～1060hPa。</w:t>
            </w:r>
          </w:p>
        </w:tc>
      </w:tr>
      <w:tr>
        <w:tblPrEx>
          <w:tblW w:w="9102" w:type="dxa"/>
          <w:jc w:val="center"/>
          <w:tblLayout w:type="fixed"/>
          <w:tblCellMar>
            <w:top w:w="0" w:type="dxa"/>
            <w:left w:w="108" w:type="dxa"/>
            <w:bottom w:w="0" w:type="dxa"/>
            <w:right w:w="108" w:type="dxa"/>
          </w:tblCellMar>
        </w:tblPrEx>
        <w:trPr>
          <w:trHeight w:val="515"/>
          <w:jc w:val="center"/>
        </w:trPr>
        <w:tc>
          <w:tcPr>
            <w:tcW w:w="622" w:type="dxa"/>
            <w:shd w:val="clear" w:color="auto" w:fill="auto"/>
            <w:noWrap w:val="0"/>
            <w:vAlign w:val="center"/>
          </w:tcPr>
          <w:p>
            <w:pPr>
              <w:widowControl/>
              <w:jc w:val="center"/>
              <w:rPr>
                <w:color w:val="000000"/>
                <w:sz w:val="18"/>
                <w:szCs w:val="18"/>
              </w:rPr>
            </w:pPr>
            <w:r>
              <w:rPr>
                <w:color w:val="000000"/>
                <w:sz w:val="18"/>
                <w:szCs w:val="18"/>
              </w:rPr>
              <w:t>2</w:t>
            </w:r>
            <w:r>
              <w:rPr>
                <w:rFonts w:hint="eastAsia"/>
                <w:color w:val="000000"/>
                <w:sz w:val="18"/>
                <w:szCs w:val="18"/>
              </w:rPr>
              <w:t>0</w:t>
            </w:r>
          </w:p>
        </w:tc>
        <w:tc>
          <w:tcPr>
            <w:tcW w:w="1098" w:type="dxa"/>
            <w:vMerge/>
            <w:shd w:val="clear" w:color="auto" w:fill="auto"/>
            <w:noWrap w:val="0"/>
            <w:vAlign w:val="center"/>
          </w:tcPr>
          <w:p>
            <w:pPr>
              <w:jc w:val="center"/>
              <w:rPr>
                <w:sz w:val="18"/>
                <w:szCs w:val="18"/>
              </w:rPr>
            </w:pPr>
          </w:p>
        </w:tc>
        <w:tc>
          <w:tcPr>
            <w:tcW w:w="1019" w:type="dxa"/>
            <w:shd w:val="clear" w:color="auto" w:fill="FFFFFF"/>
            <w:noWrap w:val="0"/>
            <w:vAlign w:val="center"/>
          </w:tcPr>
          <w:p>
            <w:pPr>
              <w:jc w:val="left"/>
              <w:rPr>
                <w:color w:val="000000"/>
                <w:sz w:val="18"/>
                <w:szCs w:val="18"/>
              </w:rPr>
            </w:pPr>
            <w:r>
              <w:rPr>
                <w:color w:val="000000"/>
                <w:sz w:val="18"/>
                <w:szCs w:val="18"/>
              </w:rPr>
              <w:t>外壳防护</w:t>
            </w:r>
          </w:p>
        </w:tc>
        <w:tc>
          <w:tcPr>
            <w:tcW w:w="6363" w:type="dxa"/>
            <w:gridSpan w:val="2"/>
            <w:shd w:val="clear" w:color="auto" w:fill="FFFFFF"/>
            <w:noWrap w:val="0"/>
            <w:vAlign w:val="top"/>
          </w:tcPr>
          <w:p>
            <w:pPr>
              <w:widowControl/>
              <w:tabs>
                <w:tab w:val="center" w:pos="4201"/>
                <w:tab w:val="right" w:leader="dot" w:pos="9298"/>
              </w:tabs>
              <w:autoSpaceDE w:val="0"/>
              <w:autoSpaceDN w:val="0"/>
              <w:rPr>
                <w:color w:val="000000"/>
                <w:sz w:val="18"/>
                <w:szCs w:val="18"/>
              </w:rPr>
            </w:pPr>
            <w:r>
              <w:rPr>
                <w:color w:val="000000"/>
                <w:sz w:val="18"/>
                <w:szCs w:val="18"/>
              </w:rPr>
              <w:t>室外设备外壳防护等级应达到IP55。</w:t>
            </w:r>
          </w:p>
        </w:tc>
      </w:tr>
      <w:tr>
        <w:tblPrEx>
          <w:tblW w:w="9102" w:type="dxa"/>
          <w:jc w:val="center"/>
          <w:tblLayout w:type="fixed"/>
          <w:tblCellMar>
            <w:top w:w="0" w:type="dxa"/>
            <w:left w:w="108" w:type="dxa"/>
            <w:bottom w:w="0" w:type="dxa"/>
            <w:right w:w="108" w:type="dxa"/>
          </w:tblCellMar>
        </w:tblPrEx>
        <w:trPr>
          <w:trHeight w:val="515"/>
          <w:jc w:val="center"/>
        </w:trPr>
        <w:tc>
          <w:tcPr>
            <w:tcW w:w="622" w:type="dxa"/>
            <w:shd w:val="clear" w:color="auto" w:fill="auto"/>
            <w:noWrap w:val="0"/>
            <w:vAlign w:val="center"/>
          </w:tcPr>
          <w:p>
            <w:pPr>
              <w:widowControl/>
              <w:jc w:val="center"/>
              <w:rPr>
                <w:color w:val="000000"/>
                <w:sz w:val="18"/>
                <w:szCs w:val="18"/>
              </w:rPr>
            </w:pPr>
            <w:r>
              <w:rPr>
                <w:color w:val="000000"/>
                <w:sz w:val="18"/>
                <w:szCs w:val="18"/>
              </w:rPr>
              <w:t>2</w:t>
            </w:r>
            <w:r>
              <w:rPr>
                <w:rFonts w:hint="eastAsia"/>
                <w:color w:val="000000"/>
                <w:sz w:val="18"/>
                <w:szCs w:val="18"/>
              </w:rPr>
              <w:t>1</w:t>
            </w:r>
          </w:p>
        </w:tc>
        <w:tc>
          <w:tcPr>
            <w:tcW w:w="1098" w:type="dxa"/>
            <w:vMerge/>
            <w:shd w:val="clear" w:color="auto" w:fill="auto"/>
            <w:noWrap w:val="0"/>
            <w:vAlign w:val="center"/>
          </w:tcPr>
          <w:p>
            <w:pPr>
              <w:jc w:val="center"/>
              <w:rPr>
                <w:sz w:val="18"/>
                <w:szCs w:val="18"/>
              </w:rPr>
            </w:pPr>
          </w:p>
        </w:tc>
        <w:tc>
          <w:tcPr>
            <w:tcW w:w="1019" w:type="dxa"/>
            <w:shd w:val="clear" w:color="auto" w:fill="FFFFFF"/>
            <w:noWrap w:val="0"/>
            <w:vAlign w:val="center"/>
          </w:tcPr>
          <w:p>
            <w:pPr>
              <w:jc w:val="left"/>
              <w:rPr>
                <w:color w:val="000000"/>
                <w:sz w:val="18"/>
                <w:szCs w:val="18"/>
              </w:rPr>
            </w:pPr>
            <w:r>
              <w:rPr>
                <w:color w:val="000000"/>
                <w:sz w:val="18"/>
                <w:szCs w:val="18"/>
              </w:rPr>
              <w:t>抗盐雾腐蚀</w:t>
            </w:r>
          </w:p>
        </w:tc>
        <w:tc>
          <w:tcPr>
            <w:tcW w:w="6363" w:type="dxa"/>
            <w:gridSpan w:val="2"/>
            <w:shd w:val="clear" w:color="auto" w:fill="FFFFFF"/>
            <w:noWrap w:val="0"/>
            <w:vAlign w:val="top"/>
          </w:tcPr>
          <w:p>
            <w:pPr>
              <w:widowControl/>
              <w:tabs>
                <w:tab w:val="center" w:pos="4201"/>
                <w:tab w:val="right" w:leader="dot" w:pos="9298"/>
              </w:tabs>
              <w:autoSpaceDE w:val="0"/>
              <w:autoSpaceDN w:val="0"/>
              <w:rPr>
                <w:color w:val="000000"/>
                <w:sz w:val="18"/>
                <w:szCs w:val="18"/>
              </w:rPr>
            </w:pPr>
            <w:r>
              <w:rPr>
                <w:color w:val="000000"/>
                <w:sz w:val="18"/>
                <w:szCs w:val="18"/>
              </w:rPr>
              <w:t>外露零件镀层耐48小时盐雾沉降试验。</w:t>
            </w:r>
          </w:p>
        </w:tc>
      </w:tr>
      <w:tr>
        <w:tblPrEx>
          <w:tblW w:w="9102" w:type="dxa"/>
          <w:jc w:val="center"/>
          <w:tblLayout w:type="fixed"/>
          <w:tblCellMar>
            <w:top w:w="0" w:type="dxa"/>
            <w:left w:w="108" w:type="dxa"/>
            <w:bottom w:w="0" w:type="dxa"/>
            <w:right w:w="108" w:type="dxa"/>
          </w:tblCellMar>
        </w:tblPrEx>
        <w:trPr>
          <w:trHeight w:val="515"/>
          <w:jc w:val="center"/>
        </w:trPr>
        <w:tc>
          <w:tcPr>
            <w:tcW w:w="622" w:type="dxa"/>
            <w:shd w:val="clear" w:color="auto" w:fill="auto"/>
            <w:noWrap w:val="0"/>
            <w:vAlign w:val="center"/>
          </w:tcPr>
          <w:p>
            <w:pPr>
              <w:widowControl/>
              <w:jc w:val="center"/>
              <w:rPr>
                <w:color w:val="000000"/>
                <w:sz w:val="18"/>
                <w:szCs w:val="18"/>
              </w:rPr>
            </w:pPr>
            <w:r>
              <w:rPr>
                <w:color w:val="000000"/>
                <w:sz w:val="18"/>
                <w:szCs w:val="18"/>
              </w:rPr>
              <w:t>2</w:t>
            </w:r>
            <w:r>
              <w:rPr>
                <w:rFonts w:hint="eastAsia"/>
                <w:color w:val="000000"/>
                <w:sz w:val="18"/>
                <w:szCs w:val="18"/>
              </w:rPr>
              <w:t>2</w:t>
            </w:r>
          </w:p>
        </w:tc>
        <w:tc>
          <w:tcPr>
            <w:tcW w:w="1098" w:type="dxa"/>
            <w:shd w:val="clear" w:color="auto" w:fill="auto"/>
            <w:noWrap w:val="0"/>
            <w:vAlign w:val="center"/>
          </w:tcPr>
          <w:p>
            <w:pPr>
              <w:jc w:val="center"/>
              <w:rPr>
                <w:sz w:val="18"/>
                <w:szCs w:val="18"/>
              </w:rPr>
            </w:pPr>
            <w:r>
              <w:rPr>
                <w:sz w:val="18"/>
                <w:szCs w:val="18"/>
              </w:rPr>
              <w:t>机械</w:t>
            </w:r>
          </w:p>
          <w:p>
            <w:pPr>
              <w:jc w:val="center"/>
              <w:rPr>
                <w:sz w:val="18"/>
                <w:szCs w:val="18"/>
              </w:rPr>
            </w:pPr>
            <w:r>
              <w:rPr>
                <w:sz w:val="18"/>
                <w:szCs w:val="18"/>
              </w:rPr>
              <w:t>条件</w:t>
            </w:r>
          </w:p>
        </w:tc>
        <w:tc>
          <w:tcPr>
            <w:tcW w:w="1019" w:type="dxa"/>
            <w:shd w:val="clear" w:color="auto" w:fill="FFFFFF"/>
            <w:noWrap w:val="0"/>
            <w:vAlign w:val="center"/>
          </w:tcPr>
          <w:p>
            <w:pPr>
              <w:jc w:val="left"/>
              <w:rPr>
                <w:color w:val="000000"/>
                <w:sz w:val="18"/>
                <w:szCs w:val="18"/>
              </w:rPr>
            </w:pPr>
            <w:r>
              <w:rPr>
                <w:color w:val="000000"/>
                <w:sz w:val="18"/>
                <w:szCs w:val="18"/>
              </w:rPr>
              <w:t>冲击振动</w:t>
            </w:r>
          </w:p>
        </w:tc>
        <w:tc>
          <w:tcPr>
            <w:tcW w:w="6363" w:type="dxa"/>
            <w:gridSpan w:val="2"/>
            <w:shd w:val="clear" w:color="auto" w:fill="FFFFFF"/>
            <w:noWrap w:val="0"/>
            <w:vAlign w:val="top"/>
          </w:tcPr>
          <w:p>
            <w:pPr>
              <w:widowControl/>
              <w:tabs>
                <w:tab w:val="center" w:pos="4201"/>
                <w:tab w:val="right" w:leader="dot" w:pos="9298"/>
              </w:tabs>
              <w:autoSpaceDE w:val="0"/>
              <w:autoSpaceDN w:val="0"/>
              <w:rPr>
                <w:color w:val="000000"/>
                <w:sz w:val="18"/>
                <w:szCs w:val="18"/>
              </w:rPr>
            </w:pPr>
            <w:r>
              <w:rPr>
                <w:color w:val="000000"/>
                <w:sz w:val="18"/>
                <w:szCs w:val="18"/>
              </w:rPr>
              <w:t>在产品规定包装条件下，宽带随机振动试验应达到2M3等级（参考标准GB/T 4798.2-2008）。</w:t>
            </w:r>
          </w:p>
        </w:tc>
      </w:tr>
      <w:tr>
        <w:tblPrEx>
          <w:tblW w:w="9102" w:type="dxa"/>
          <w:jc w:val="center"/>
          <w:tblLayout w:type="fixed"/>
          <w:tblCellMar>
            <w:top w:w="0" w:type="dxa"/>
            <w:left w:w="108" w:type="dxa"/>
            <w:bottom w:w="0" w:type="dxa"/>
            <w:right w:w="108" w:type="dxa"/>
          </w:tblCellMar>
        </w:tblPrEx>
        <w:trPr>
          <w:trHeight w:val="515"/>
          <w:jc w:val="center"/>
        </w:trPr>
        <w:tc>
          <w:tcPr>
            <w:tcW w:w="622" w:type="dxa"/>
            <w:shd w:val="clear" w:color="auto" w:fill="auto"/>
            <w:noWrap w:val="0"/>
            <w:vAlign w:val="center"/>
          </w:tcPr>
          <w:p>
            <w:pPr>
              <w:widowControl/>
              <w:jc w:val="center"/>
              <w:rPr>
                <w:color w:val="000000"/>
                <w:sz w:val="18"/>
                <w:szCs w:val="18"/>
              </w:rPr>
            </w:pPr>
            <w:r>
              <w:rPr>
                <w:color w:val="000000"/>
                <w:sz w:val="18"/>
                <w:szCs w:val="18"/>
              </w:rPr>
              <w:t>2</w:t>
            </w:r>
            <w:r>
              <w:rPr>
                <w:rFonts w:hint="eastAsia"/>
                <w:color w:val="000000"/>
                <w:sz w:val="18"/>
                <w:szCs w:val="18"/>
              </w:rPr>
              <w:t>3</w:t>
            </w:r>
          </w:p>
        </w:tc>
        <w:tc>
          <w:tcPr>
            <w:tcW w:w="1098" w:type="dxa"/>
            <w:shd w:val="clear" w:color="auto" w:fill="auto"/>
            <w:noWrap w:val="0"/>
            <w:vAlign w:val="center"/>
          </w:tcPr>
          <w:p>
            <w:pPr>
              <w:jc w:val="center"/>
              <w:rPr>
                <w:sz w:val="18"/>
                <w:szCs w:val="18"/>
              </w:rPr>
            </w:pPr>
            <w:r>
              <w:rPr>
                <w:sz w:val="18"/>
                <w:szCs w:val="18"/>
              </w:rPr>
              <w:t>电磁兼容性</w:t>
            </w:r>
          </w:p>
        </w:tc>
        <w:tc>
          <w:tcPr>
            <w:tcW w:w="1019" w:type="dxa"/>
            <w:shd w:val="clear" w:color="auto" w:fill="FFFFFF"/>
            <w:noWrap w:val="0"/>
            <w:vAlign w:val="center"/>
          </w:tcPr>
          <w:p>
            <w:pPr>
              <w:jc w:val="left"/>
              <w:rPr>
                <w:color w:val="000000"/>
                <w:sz w:val="18"/>
                <w:szCs w:val="18"/>
              </w:rPr>
            </w:pPr>
            <w:r>
              <w:rPr>
                <w:color w:val="000000"/>
                <w:sz w:val="18"/>
                <w:szCs w:val="18"/>
              </w:rPr>
              <w:t>电磁抗扰度</w:t>
            </w:r>
          </w:p>
        </w:tc>
        <w:tc>
          <w:tcPr>
            <w:tcW w:w="6363" w:type="dxa"/>
            <w:gridSpan w:val="2"/>
            <w:shd w:val="clear" w:color="auto" w:fill="FFFFFF"/>
            <w:noWrap w:val="0"/>
            <w:vAlign w:val="top"/>
          </w:tcPr>
          <w:p>
            <w:pPr>
              <w:widowControl/>
              <w:tabs>
                <w:tab w:val="center" w:pos="4201"/>
                <w:tab w:val="right" w:leader="dot" w:pos="9298"/>
              </w:tabs>
              <w:autoSpaceDE w:val="0"/>
              <w:autoSpaceDN w:val="0"/>
              <w:rPr>
                <w:sz w:val="18"/>
                <w:szCs w:val="18"/>
              </w:rPr>
            </w:pPr>
            <w:r>
              <w:rPr>
                <w:sz w:val="18"/>
                <w:szCs w:val="18"/>
              </w:rPr>
              <w:t>满足GB/T17626.2-2018 静电放电抗扰度要求</w:t>
            </w:r>
          </w:p>
          <w:p>
            <w:pPr>
              <w:widowControl/>
              <w:tabs>
                <w:tab w:val="center" w:pos="4201"/>
                <w:tab w:val="right" w:leader="dot" w:pos="9298"/>
              </w:tabs>
              <w:autoSpaceDE w:val="0"/>
              <w:autoSpaceDN w:val="0"/>
              <w:rPr>
                <w:sz w:val="18"/>
                <w:szCs w:val="18"/>
              </w:rPr>
            </w:pPr>
            <w:r>
              <w:rPr>
                <w:sz w:val="18"/>
                <w:szCs w:val="18"/>
              </w:rPr>
              <w:t>满足GB/T17626.4-2018 电快速瞬变脉冲群抗扰度要求</w:t>
            </w:r>
          </w:p>
          <w:p>
            <w:pPr>
              <w:widowControl/>
              <w:tabs>
                <w:tab w:val="center" w:pos="4201"/>
                <w:tab w:val="right" w:leader="dot" w:pos="9298"/>
              </w:tabs>
              <w:autoSpaceDE w:val="0"/>
              <w:autoSpaceDN w:val="0"/>
              <w:rPr>
                <w:sz w:val="18"/>
                <w:szCs w:val="18"/>
              </w:rPr>
            </w:pPr>
            <w:r>
              <w:rPr>
                <w:sz w:val="18"/>
                <w:szCs w:val="18"/>
              </w:rPr>
              <w:t>满足GB/T17626.5-2018 浪涌（冲击）抗扰度要求</w:t>
            </w:r>
          </w:p>
          <w:p>
            <w:pPr>
              <w:widowControl/>
              <w:tabs>
                <w:tab w:val="center" w:pos="4201"/>
                <w:tab w:val="right" w:leader="dot" w:pos="9298"/>
              </w:tabs>
              <w:autoSpaceDE w:val="0"/>
              <w:autoSpaceDN w:val="0"/>
              <w:rPr>
                <w:color w:val="000000"/>
                <w:sz w:val="18"/>
                <w:szCs w:val="18"/>
              </w:rPr>
            </w:pPr>
            <w:r>
              <w:rPr>
                <w:sz w:val="18"/>
                <w:szCs w:val="18"/>
              </w:rPr>
              <w:t>提供投标产品的电磁兼容检测报告</w:t>
            </w:r>
          </w:p>
        </w:tc>
      </w:tr>
      <w:tr>
        <w:tblPrEx>
          <w:tblW w:w="9102" w:type="dxa"/>
          <w:jc w:val="center"/>
          <w:tblLayout w:type="fixed"/>
          <w:tblCellMar>
            <w:top w:w="0" w:type="dxa"/>
            <w:left w:w="108" w:type="dxa"/>
            <w:bottom w:w="0" w:type="dxa"/>
            <w:right w:w="108" w:type="dxa"/>
          </w:tblCellMar>
        </w:tblPrEx>
        <w:trPr>
          <w:trHeight w:val="515"/>
          <w:jc w:val="center"/>
        </w:trPr>
        <w:tc>
          <w:tcPr>
            <w:tcW w:w="62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color w:val="000000"/>
                <w:sz w:val="18"/>
                <w:szCs w:val="18"/>
              </w:rPr>
            </w:pPr>
            <w:r>
              <w:rPr>
                <w:rFonts w:hint="eastAsia"/>
                <w:color w:val="000000"/>
                <w:sz w:val="18"/>
                <w:szCs w:val="18"/>
              </w:rPr>
              <w:t>24</w:t>
            </w:r>
          </w:p>
        </w:tc>
        <w:tc>
          <w:tcPr>
            <w:tcW w:w="1098" w:type="dxa"/>
            <w:vMerge w:val="restart"/>
            <w:tcBorders>
              <w:top w:val="single" w:sz="4" w:space="0" w:color="auto"/>
              <w:left w:val="single" w:sz="4" w:space="0" w:color="auto"/>
              <w:right w:val="single" w:sz="4" w:space="0" w:color="auto"/>
            </w:tcBorders>
            <w:shd w:val="clear" w:color="auto" w:fill="auto"/>
            <w:noWrap w:val="0"/>
            <w:vAlign w:val="center"/>
          </w:tcPr>
          <w:p>
            <w:pPr>
              <w:jc w:val="center"/>
              <w:rPr>
                <w:sz w:val="18"/>
                <w:szCs w:val="18"/>
              </w:rPr>
            </w:pPr>
            <w:r>
              <w:rPr>
                <w:color w:val="000000"/>
                <w:sz w:val="18"/>
                <w:szCs w:val="18"/>
              </w:rPr>
              <w:t>其他</w:t>
            </w:r>
          </w:p>
        </w:tc>
        <w:tc>
          <w:tcPr>
            <w:tcW w:w="1019" w:type="dxa"/>
            <w:tcBorders>
              <w:top w:val="single" w:sz="4" w:space="0" w:color="auto"/>
              <w:left w:val="single" w:sz="4" w:space="0" w:color="auto"/>
              <w:bottom w:val="single" w:sz="4" w:space="0" w:color="auto"/>
              <w:right w:val="single" w:sz="4" w:space="0" w:color="auto"/>
            </w:tcBorders>
            <w:shd w:val="clear" w:color="auto" w:fill="FFFFFF"/>
            <w:noWrap w:val="0"/>
            <w:vAlign w:val="center"/>
          </w:tcPr>
          <w:p>
            <w:pPr>
              <w:jc w:val="left"/>
              <w:rPr>
                <w:color w:val="FF0000"/>
                <w:sz w:val="18"/>
                <w:szCs w:val="18"/>
              </w:rPr>
            </w:pPr>
            <w:r>
              <w:rPr>
                <w:sz w:val="18"/>
                <w:szCs w:val="18"/>
              </w:rPr>
              <w:t>天线罩性能</w:t>
            </w:r>
          </w:p>
        </w:tc>
        <w:tc>
          <w:tcPr>
            <w:tcW w:w="6363" w:type="dxa"/>
            <w:gridSpan w:val="2"/>
            <w:tcBorders>
              <w:top w:val="single" w:sz="4" w:space="0" w:color="auto"/>
              <w:left w:val="single" w:sz="4" w:space="0" w:color="auto"/>
              <w:bottom w:val="single" w:sz="4" w:space="0" w:color="auto"/>
              <w:right w:val="single" w:sz="4" w:space="0" w:color="auto"/>
            </w:tcBorders>
            <w:shd w:val="clear" w:color="auto" w:fill="FFFFFF"/>
            <w:noWrap w:val="0"/>
            <w:vAlign w:val="top"/>
          </w:tcPr>
          <w:p>
            <w:pPr>
              <w:rPr>
                <w:sz w:val="18"/>
                <w:szCs w:val="18"/>
              </w:rPr>
            </w:pPr>
            <w:r>
              <w:rPr>
                <w:sz w:val="18"/>
                <w:szCs w:val="18"/>
              </w:rPr>
              <w:t xml:space="preserve">微波天线罩具有雨、雪、尘土等防护作用 </w:t>
            </w:r>
          </w:p>
        </w:tc>
      </w:tr>
      <w:tr>
        <w:tblPrEx>
          <w:tblW w:w="9102" w:type="dxa"/>
          <w:jc w:val="center"/>
          <w:tblLayout w:type="fixed"/>
          <w:tblCellMar>
            <w:top w:w="0" w:type="dxa"/>
            <w:left w:w="108" w:type="dxa"/>
            <w:bottom w:w="0" w:type="dxa"/>
            <w:right w:w="108" w:type="dxa"/>
          </w:tblCellMar>
        </w:tblPrEx>
        <w:trPr>
          <w:trHeight w:val="515"/>
          <w:jc w:val="center"/>
        </w:trPr>
        <w:tc>
          <w:tcPr>
            <w:tcW w:w="62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color w:val="000000"/>
                <w:sz w:val="18"/>
                <w:szCs w:val="18"/>
              </w:rPr>
            </w:pPr>
            <w:r>
              <w:rPr>
                <w:rFonts w:hint="eastAsia"/>
                <w:color w:val="000000"/>
                <w:sz w:val="18"/>
                <w:szCs w:val="18"/>
              </w:rPr>
              <w:t>25</w:t>
            </w:r>
          </w:p>
        </w:tc>
        <w:tc>
          <w:tcPr>
            <w:tcW w:w="1098" w:type="dxa"/>
            <w:vMerge/>
            <w:tcBorders>
              <w:left w:val="single" w:sz="4" w:space="0" w:color="auto"/>
              <w:right w:val="single" w:sz="4" w:space="0" w:color="auto"/>
            </w:tcBorders>
            <w:shd w:val="clear" w:color="auto" w:fill="auto"/>
            <w:noWrap w:val="0"/>
            <w:vAlign w:val="center"/>
          </w:tcPr>
          <w:p>
            <w:pPr>
              <w:jc w:val="center"/>
              <w:rPr>
                <w:sz w:val="18"/>
                <w:szCs w:val="18"/>
              </w:rPr>
            </w:pPr>
          </w:p>
        </w:tc>
        <w:tc>
          <w:tcPr>
            <w:tcW w:w="1019" w:type="dxa"/>
            <w:tcBorders>
              <w:top w:val="single" w:sz="4" w:space="0" w:color="auto"/>
              <w:left w:val="single" w:sz="4" w:space="0" w:color="auto"/>
              <w:bottom w:val="single" w:sz="4" w:space="0" w:color="auto"/>
              <w:right w:val="single" w:sz="4" w:space="0" w:color="auto"/>
            </w:tcBorders>
            <w:shd w:val="clear" w:color="auto" w:fill="FFFFFF"/>
            <w:noWrap w:val="0"/>
            <w:vAlign w:val="center"/>
          </w:tcPr>
          <w:p>
            <w:pPr>
              <w:jc w:val="left"/>
              <w:rPr>
                <w:sz w:val="18"/>
                <w:szCs w:val="18"/>
              </w:rPr>
            </w:pPr>
            <w:r>
              <w:rPr>
                <w:sz w:val="18"/>
                <w:szCs w:val="18"/>
              </w:rPr>
              <w:t>自动观测</w:t>
            </w:r>
          </w:p>
        </w:tc>
        <w:tc>
          <w:tcPr>
            <w:tcW w:w="6363" w:type="dxa"/>
            <w:gridSpan w:val="2"/>
            <w:tcBorders>
              <w:top w:val="single" w:sz="4" w:space="0" w:color="auto"/>
              <w:left w:val="single" w:sz="4" w:space="0" w:color="auto"/>
              <w:bottom w:val="single" w:sz="4" w:space="0" w:color="auto"/>
              <w:right w:val="single" w:sz="4" w:space="0" w:color="auto"/>
            </w:tcBorders>
            <w:shd w:val="clear" w:color="auto" w:fill="FFFFFF"/>
            <w:noWrap w:val="0"/>
            <w:vAlign w:val="top"/>
          </w:tcPr>
          <w:p>
            <w:pPr>
              <w:rPr>
                <w:sz w:val="18"/>
                <w:szCs w:val="18"/>
              </w:rPr>
            </w:pPr>
            <w:r>
              <w:rPr>
                <w:sz w:val="18"/>
                <w:szCs w:val="18"/>
              </w:rPr>
              <w:t>投标产品具备无人值守观测方式，要求投标产品具备内定标技术，实现自动定标观测能力</w:t>
            </w:r>
          </w:p>
        </w:tc>
      </w:tr>
      <w:tr>
        <w:tblPrEx>
          <w:tblW w:w="9102" w:type="dxa"/>
          <w:jc w:val="center"/>
          <w:tblLayout w:type="fixed"/>
          <w:tblCellMar>
            <w:top w:w="0" w:type="dxa"/>
            <w:left w:w="108" w:type="dxa"/>
            <w:bottom w:w="0" w:type="dxa"/>
            <w:right w:w="108" w:type="dxa"/>
          </w:tblCellMar>
        </w:tblPrEx>
        <w:trPr>
          <w:trHeight w:val="452"/>
          <w:jc w:val="center"/>
        </w:trPr>
        <w:tc>
          <w:tcPr>
            <w:tcW w:w="62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color w:val="000000"/>
                <w:sz w:val="18"/>
                <w:szCs w:val="18"/>
              </w:rPr>
            </w:pPr>
            <w:r>
              <w:rPr>
                <w:color w:val="000000"/>
                <w:sz w:val="18"/>
                <w:szCs w:val="18"/>
              </w:rPr>
              <w:t>26</w:t>
            </w:r>
          </w:p>
        </w:tc>
        <w:tc>
          <w:tcPr>
            <w:tcW w:w="2117" w:type="dxa"/>
            <w:gridSpan w:val="2"/>
            <w:tcBorders>
              <w:left w:val="single" w:sz="4" w:space="0" w:color="auto"/>
              <w:right w:val="single" w:sz="4" w:space="0" w:color="auto"/>
            </w:tcBorders>
            <w:shd w:val="clear" w:color="auto" w:fill="auto"/>
            <w:noWrap w:val="0"/>
            <w:vAlign w:val="center"/>
          </w:tcPr>
          <w:p>
            <w:pPr>
              <w:jc w:val="left"/>
              <w:rPr>
                <w:sz w:val="18"/>
                <w:szCs w:val="18"/>
              </w:rPr>
            </w:pPr>
            <w:r>
              <w:rPr>
                <w:rFonts w:hint="eastAsia"/>
                <w:sz w:val="18"/>
                <w:szCs w:val="18"/>
              </w:rPr>
              <w:t>标准输出控制系统</w:t>
            </w:r>
          </w:p>
        </w:tc>
        <w:tc>
          <w:tcPr>
            <w:tcW w:w="6363" w:type="dxa"/>
            <w:gridSpan w:val="2"/>
            <w:tcBorders>
              <w:top w:val="single" w:sz="4" w:space="0" w:color="auto"/>
              <w:left w:val="single" w:sz="4" w:space="0" w:color="auto"/>
              <w:bottom w:val="single" w:sz="4" w:space="0" w:color="auto"/>
              <w:right w:val="single" w:sz="4" w:space="0" w:color="auto"/>
            </w:tcBorders>
            <w:shd w:val="clear" w:color="auto" w:fill="FFFFFF"/>
            <w:noWrap w:val="0"/>
            <w:vAlign w:val="top"/>
          </w:tcPr>
          <w:p>
            <w:pPr>
              <w:rPr>
                <w:sz w:val="18"/>
                <w:szCs w:val="18"/>
              </w:rPr>
            </w:pPr>
            <w:r>
              <w:rPr>
                <w:rFonts w:hint="eastAsia"/>
                <w:sz w:val="18"/>
                <w:szCs w:val="18"/>
              </w:rPr>
              <w:t>具备数据采集、处理、存储、通讯，以及产品显示、质量控制、业务过程、状态监控等功能（满足中国局《气象监测预警补短板工程建设技术指南（修订）》要求）</w:t>
            </w:r>
          </w:p>
        </w:tc>
      </w:tr>
    </w:tbl>
    <w:p>
      <w:pPr>
        <w:spacing w:line="360" w:lineRule="auto"/>
        <w:ind w:firstLine="420" w:firstLineChars="200"/>
        <w:rPr>
          <w:rFonts w:ascii="宋体" w:hAnsi="宋体"/>
          <w:szCs w:val="21"/>
        </w:rPr>
      </w:pPr>
    </w:p>
    <w:p>
      <w:pPr>
        <w:spacing w:line="360" w:lineRule="auto"/>
        <w:ind w:firstLine="420" w:firstLineChars="200"/>
        <w:rPr>
          <w:rFonts w:ascii="宋体" w:hAnsi="宋体"/>
          <w:szCs w:val="21"/>
        </w:rPr>
      </w:pPr>
      <w:r>
        <w:rPr>
          <w:rFonts w:ascii="宋体" w:hAnsi="宋体"/>
          <w:szCs w:val="21"/>
        </w:rPr>
        <w:t xml:space="preserve">2 </w:t>
      </w:r>
      <w:r>
        <w:rPr>
          <w:rFonts w:ascii="宋体" w:hAnsi="宋体" w:hint="eastAsia"/>
          <w:szCs w:val="21"/>
        </w:rPr>
        <w:t xml:space="preserve"> 产品主要配置清单</w:t>
      </w:r>
    </w:p>
    <w:tbl>
      <w:tblPr>
        <w:tblStyle w:val="TableNormal"/>
        <w:tblW w:w="9088"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851"/>
        <w:gridCol w:w="2126"/>
        <w:gridCol w:w="992"/>
        <w:gridCol w:w="993"/>
        <w:gridCol w:w="2676"/>
        <w:gridCol w:w="1450"/>
      </w:tblGrid>
      <w:tr>
        <w:tblPrEx>
          <w:tblW w:w="9088"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Ex>
        <w:trPr>
          <w:trHeight w:val="489"/>
          <w:jc w:val="center"/>
        </w:trPr>
        <w:tc>
          <w:tcPr>
            <w:tcW w:w="851" w:type="dxa"/>
            <w:noWrap w:val="0"/>
            <w:vAlign w:val="center"/>
          </w:tcPr>
          <w:p>
            <w:pPr>
              <w:adjustRightInd w:val="0"/>
              <w:snapToGrid w:val="0"/>
              <w:jc w:val="center"/>
              <w:rPr>
                <w:b/>
                <w:bCs/>
                <w:sz w:val="18"/>
                <w:szCs w:val="18"/>
              </w:rPr>
            </w:pPr>
            <w:r>
              <w:rPr>
                <w:rFonts w:hint="eastAsia"/>
                <w:b/>
                <w:bCs/>
                <w:sz w:val="18"/>
                <w:szCs w:val="18"/>
              </w:rPr>
              <w:t>序</w:t>
            </w:r>
          </w:p>
        </w:tc>
        <w:tc>
          <w:tcPr>
            <w:tcW w:w="2126" w:type="dxa"/>
            <w:noWrap w:val="0"/>
            <w:vAlign w:val="center"/>
          </w:tcPr>
          <w:p>
            <w:pPr>
              <w:adjustRightInd w:val="0"/>
              <w:snapToGrid w:val="0"/>
              <w:jc w:val="center"/>
              <w:rPr>
                <w:b/>
                <w:bCs/>
                <w:sz w:val="18"/>
                <w:szCs w:val="18"/>
              </w:rPr>
            </w:pPr>
            <w:r>
              <w:rPr>
                <w:b/>
                <w:bCs/>
                <w:sz w:val="18"/>
                <w:szCs w:val="18"/>
              </w:rPr>
              <w:t>设备名称</w:t>
            </w:r>
          </w:p>
        </w:tc>
        <w:tc>
          <w:tcPr>
            <w:tcW w:w="992" w:type="dxa"/>
            <w:noWrap w:val="0"/>
            <w:vAlign w:val="center"/>
          </w:tcPr>
          <w:p>
            <w:pPr>
              <w:adjustRightInd w:val="0"/>
              <w:snapToGrid w:val="0"/>
              <w:jc w:val="center"/>
              <w:rPr>
                <w:b/>
                <w:bCs/>
                <w:sz w:val="18"/>
                <w:szCs w:val="18"/>
              </w:rPr>
            </w:pPr>
            <w:r>
              <w:rPr>
                <w:b/>
                <w:bCs/>
                <w:sz w:val="18"/>
                <w:szCs w:val="18"/>
              </w:rPr>
              <w:t>单位</w:t>
            </w:r>
          </w:p>
        </w:tc>
        <w:tc>
          <w:tcPr>
            <w:tcW w:w="993" w:type="dxa"/>
            <w:noWrap w:val="0"/>
            <w:vAlign w:val="center"/>
          </w:tcPr>
          <w:p>
            <w:pPr>
              <w:adjustRightInd w:val="0"/>
              <w:snapToGrid w:val="0"/>
              <w:jc w:val="center"/>
              <w:rPr>
                <w:b/>
                <w:bCs/>
                <w:sz w:val="18"/>
                <w:szCs w:val="18"/>
              </w:rPr>
            </w:pPr>
            <w:r>
              <w:rPr>
                <w:rFonts w:hint="eastAsia"/>
                <w:b/>
                <w:bCs/>
                <w:sz w:val="18"/>
                <w:szCs w:val="18"/>
              </w:rPr>
              <w:t>数量</w:t>
            </w:r>
          </w:p>
        </w:tc>
        <w:tc>
          <w:tcPr>
            <w:tcW w:w="2676" w:type="dxa"/>
            <w:noWrap w:val="0"/>
            <w:vAlign w:val="center"/>
          </w:tcPr>
          <w:p>
            <w:pPr>
              <w:adjustRightInd w:val="0"/>
              <w:snapToGrid w:val="0"/>
              <w:jc w:val="center"/>
              <w:rPr>
                <w:b/>
                <w:bCs/>
                <w:sz w:val="18"/>
                <w:szCs w:val="18"/>
              </w:rPr>
            </w:pPr>
            <w:r>
              <w:rPr>
                <w:b/>
                <w:bCs/>
                <w:sz w:val="18"/>
                <w:szCs w:val="18"/>
              </w:rPr>
              <w:t>主要</w:t>
            </w:r>
            <w:r>
              <w:rPr>
                <w:rFonts w:hint="eastAsia"/>
                <w:b/>
                <w:bCs/>
                <w:sz w:val="18"/>
                <w:szCs w:val="18"/>
              </w:rPr>
              <w:t>功能</w:t>
            </w:r>
          </w:p>
        </w:tc>
        <w:tc>
          <w:tcPr>
            <w:tcW w:w="1450" w:type="dxa"/>
            <w:noWrap w:val="0"/>
            <w:vAlign w:val="center"/>
          </w:tcPr>
          <w:p>
            <w:pPr>
              <w:adjustRightInd w:val="0"/>
              <w:snapToGrid w:val="0"/>
              <w:jc w:val="center"/>
              <w:rPr>
                <w:b/>
                <w:bCs/>
                <w:sz w:val="18"/>
                <w:szCs w:val="18"/>
              </w:rPr>
            </w:pPr>
            <w:r>
              <w:rPr>
                <w:rFonts w:hint="eastAsia"/>
                <w:b/>
                <w:bCs/>
                <w:sz w:val="18"/>
                <w:szCs w:val="18"/>
              </w:rPr>
              <w:t>备注</w:t>
            </w:r>
          </w:p>
        </w:tc>
      </w:tr>
      <w:tr>
        <w:tblPrEx>
          <w:tblW w:w="9088" w:type="dxa"/>
          <w:jc w:val="center"/>
          <w:tblLayout w:type="fixed"/>
          <w:tblCellMar>
            <w:top w:w="0" w:type="dxa"/>
            <w:left w:w="108" w:type="dxa"/>
            <w:bottom w:w="0" w:type="dxa"/>
            <w:right w:w="108" w:type="dxa"/>
          </w:tblCellMar>
        </w:tblPrEx>
        <w:trPr>
          <w:jc w:val="center"/>
        </w:trPr>
        <w:tc>
          <w:tcPr>
            <w:tcW w:w="851" w:type="dxa"/>
            <w:noWrap w:val="0"/>
            <w:vAlign w:val="top"/>
          </w:tcPr>
          <w:p>
            <w:pPr>
              <w:jc w:val="center"/>
              <w:rPr>
                <w:sz w:val="18"/>
                <w:szCs w:val="18"/>
              </w:rPr>
            </w:pPr>
            <w:r>
              <w:rPr>
                <w:rFonts w:hint="eastAsia"/>
                <w:sz w:val="18"/>
                <w:szCs w:val="18"/>
              </w:rPr>
              <w:t>1</w:t>
            </w:r>
          </w:p>
        </w:tc>
        <w:tc>
          <w:tcPr>
            <w:tcW w:w="2126" w:type="dxa"/>
            <w:noWrap w:val="0"/>
            <w:vAlign w:val="center"/>
          </w:tcPr>
          <w:p>
            <w:pPr>
              <w:jc w:val="center"/>
              <w:rPr>
                <w:sz w:val="18"/>
                <w:szCs w:val="18"/>
              </w:rPr>
            </w:pPr>
            <w:r>
              <w:rPr>
                <w:rFonts w:hint="eastAsia"/>
                <w:sz w:val="18"/>
                <w:szCs w:val="18"/>
              </w:rPr>
              <w:t>微波辐射计</w:t>
            </w:r>
          </w:p>
          <w:p>
            <w:pPr>
              <w:jc w:val="center"/>
              <w:rPr>
                <w:sz w:val="18"/>
                <w:szCs w:val="18"/>
              </w:rPr>
            </w:pPr>
            <w:r>
              <w:rPr>
                <w:rFonts w:hint="eastAsia"/>
                <w:sz w:val="18"/>
                <w:szCs w:val="18"/>
              </w:rPr>
              <w:t>室外主机</w:t>
            </w:r>
          </w:p>
        </w:tc>
        <w:tc>
          <w:tcPr>
            <w:tcW w:w="992" w:type="dxa"/>
            <w:noWrap w:val="0"/>
            <w:vAlign w:val="center"/>
          </w:tcPr>
          <w:p>
            <w:pPr>
              <w:adjustRightInd w:val="0"/>
              <w:snapToGrid w:val="0"/>
              <w:jc w:val="center"/>
              <w:rPr>
                <w:sz w:val="18"/>
                <w:szCs w:val="18"/>
              </w:rPr>
            </w:pPr>
            <w:r>
              <w:rPr>
                <w:rFonts w:hint="eastAsia"/>
                <w:bCs/>
                <w:sz w:val="18"/>
                <w:szCs w:val="18"/>
              </w:rPr>
              <w:t>台</w:t>
            </w:r>
          </w:p>
        </w:tc>
        <w:tc>
          <w:tcPr>
            <w:tcW w:w="993" w:type="dxa"/>
            <w:noWrap w:val="0"/>
            <w:vAlign w:val="center"/>
          </w:tcPr>
          <w:p>
            <w:pPr>
              <w:adjustRightInd w:val="0"/>
              <w:snapToGrid w:val="0"/>
              <w:jc w:val="center"/>
              <w:rPr>
                <w:sz w:val="18"/>
                <w:szCs w:val="18"/>
              </w:rPr>
            </w:pPr>
            <w:r>
              <w:rPr>
                <w:sz w:val="18"/>
                <w:szCs w:val="18"/>
              </w:rPr>
              <w:t>1</w:t>
            </w:r>
          </w:p>
        </w:tc>
        <w:tc>
          <w:tcPr>
            <w:tcW w:w="2676" w:type="dxa"/>
            <w:noWrap w:val="0"/>
            <w:vAlign w:val="center"/>
          </w:tcPr>
          <w:p>
            <w:pPr>
              <w:adjustRightInd w:val="0"/>
              <w:snapToGrid w:val="0"/>
              <w:jc w:val="left"/>
              <w:rPr>
                <w:sz w:val="18"/>
                <w:szCs w:val="18"/>
              </w:rPr>
            </w:pPr>
            <w:r>
              <w:rPr>
                <w:rFonts w:ascii="仿宋" w:eastAsia="仿宋" w:hAnsi="仿宋" w:cs="Arial" w:hint="eastAsia"/>
                <w:color w:val="000000"/>
                <w:kern w:val="0"/>
                <w:sz w:val="18"/>
                <w:szCs w:val="18"/>
              </w:rPr>
              <w:t>具</w:t>
            </w:r>
            <w:r>
              <w:rPr>
                <w:rFonts w:hint="eastAsia"/>
                <w:sz w:val="18"/>
                <w:szCs w:val="18"/>
              </w:rPr>
              <w:t>备温度、水汽多通道复合大气微波辐射及云红外辐射接收能力，</w:t>
            </w:r>
            <w:r>
              <w:rPr>
                <w:sz w:val="18"/>
                <w:szCs w:val="18"/>
              </w:rPr>
              <w:t>同时还</w:t>
            </w:r>
            <w:r>
              <w:rPr>
                <w:rFonts w:hint="eastAsia"/>
                <w:sz w:val="18"/>
                <w:szCs w:val="18"/>
              </w:rPr>
              <w:t>能监测</w:t>
            </w:r>
            <w:r>
              <w:rPr>
                <w:sz w:val="18"/>
                <w:szCs w:val="18"/>
              </w:rPr>
              <w:t>工作现场的温度、湿度、气压</w:t>
            </w:r>
            <w:r>
              <w:rPr>
                <w:rFonts w:hint="eastAsia"/>
                <w:sz w:val="18"/>
                <w:szCs w:val="18"/>
              </w:rPr>
              <w:t>、</w:t>
            </w:r>
            <w:r>
              <w:rPr>
                <w:sz w:val="18"/>
                <w:szCs w:val="18"/>
              </w:rPr>
              <w:t>降水等气象要素</w:t>
            </w:r>
            <w:r>
              <w:rPr>
                <w:rFonts w:hint="eastAsia"/>
                <w:sz w:val="18"/>
                <w:szCs w:val="18"/>
              </w:rPr>
              <w:t>以及设备工作状态信息。</w:t>
            </w:r>
          </w:p>
        </w:tc>
        <w:tc>
          <w:tcPr>
            <w:tcW w:w="1450" w:type="dxa"/>
            <w:vMerge w:val="restart"/>
            <w:noWrap w:val="0"/>
            <w:vAlign w:val="center"/>
          </w:tcPr>
          <w:p>
            <w:pPr>
              <w:adjustRightInd w:val="0"/>
              <w:snapToGrid w:val="0"/>
              <w:rPr>
                <w:sz w:val="18"/>
                <w:szCs w:val="18"/>
              </w:rPr>
            </w:pPr>
            <w:r>
              <w:rPr>
                <w:rFonts w:hint="eastAsia"/>
                <w:sz w:val="18"/>
                <w:szCs w:val="18"/>
              </w:rPr>
              <w:t>包含设备运输、安装、调试、验收等。</w:t>
            </w:r>
          </w:p>
        </w:tc>
      </w:tr>
      <w:tr>
        <w:tblPrEx>
          <w:tblW w:w="9088" w:type="dxa"/>
          <w:jc w:val="center"/>
          <w:tblLayout w:type="fixed"/>
          <w:tblCellMar>
            <w:top w:w="0" w:type="dxa"/>
            <w:left w:w="108" w:type="dxa"/>
            <w:bottom w:w="0" w:type="dxa"/>
            <w:right w:w="108" w:type="dxa"/>
          </w:tblCellMar>
        </w:tblPrEx>
        <w:trPr>
          <w:jc w:val="center"/>
        </w:trPr>
        <w:tc>
          <w:tcPr>
            <w:tcW w:w="851" w:type="dxa"/>
            <w:noWrap w:val="0"/>
            <w:vAlign w:val="top"/>
          </w:tcPr>
          <w:p>
            <w:pPr>
              <w:autoSpaceDE w:val="0"/>
              <w:autoSpaceDN w:val="0"/>
              <w:adjustRightInd w:val="0"/>
              <w:jc w:val="center"/>
              <w:rPr>
                <w:rFonts w:ascii="宋体" w:hAnsi="Calibri" w:cs="宋体"/>
                <w:kern w:val="0"/>
                <w:sz w:val="18"/>
                <w:szCs w:val="18"/>
              </w:rPr>
            </w:pPr>
            <w:r>
              <w:rPr>
                <w:rFonts w:ascii="宋体" w:hAnsi="Calibri" w:cs="宋体"/>
                <w:kern w:val="0"/>
                <w:sz w:val="18"/>
                <w:szCs w:val="18"/>
              </w:rPr>
              <w:t>2</w:t>
            </w:r>
          </w:p>
        </w:tc>
        <w:tc>
          <w:tcPr>
            <w:tcW w:w="2126" w:type="dxa"/>
            <w:noWrap w:val="0"/>
            <w:vAlign w:val="center"/>
          </w:tcPr>
          <w:p>
            <w:pPr>
              <w:autoSpaceDE w:val="0"/>
              <w:autoSpaceDN w:val="0"/>
              <w:adjustRightInd w:val="0"/>
              <w:jc w:val="center"/>
              <w:rPr>
                <w:sz w:val="18"/>
                <w:szCs w:val="18"/>
              </w:rPr>
            </w:pPr>
            <w:r>
              <w:rPr>
                <w:rFonts w:ascii="宋体" w:hAnsi="Calibri" w:cs="宋体" w:hint="eastAsia"/>
                <w:kern w:val="0"/>
                <w:sz w:val="18"/>
                <w:szCs w:val="18"/>
              </w:rPr>
              <w:t>辐射计管理应用软件</w:t>
            </w:r>
          </w:p>
        </w:tc>
        <w:tc>
          <w:tcPr>
            <w:tcW w:w="992" w:type="dxa"/>
            <w:noWrap w:val="0"/>
            <w:vAlign w:val="center"/>
          </w:tcPr>
          <w:p>
            <w:pPr>
              <w:adjustRightInd w:val="0"/>
              <w:snapToGrid w:val="0"/>
              <w:jc w:val="center"/>
              <w:rPr>
                <w:bCs/>
                <w:sz w:val="18"/>
                <w:szCs w:val="18"/>
              </w:rPr>
            </w:pPr>
            <w:r>
              <w:rPr>
                <w:rFonts w:hint="eastAsia"/>
                <w:bCs/>
                <w:sz w:val="18"/>
                <w:szCs w:val="18"/>
              </w:rPr>
              <w:t>套</w:t>
            </w:r>
          </w:p>
        </w:tc>
        <w:tc>
          <w:tcPr>
            <w:tcW w:w="993" w:type="dxa"/>
            <w:noWrap w:val="0"/>
            <w:vAlign w:val="center"/>
          </w:tcPr>
          <w:p>
            <w:pPr>
              <w:adjustRightInd w:val="0"/>
              <w:snapToGrid w:val="0"/>
              <w:jc w:val="center"/>
              <w:rPr>
                <w:sz w:val="18"/>
                <w:szCs w:val="18"/>
              </w:rPr>
            </w:pPr>
            <w:r>
              <w:rPr>
                <w:sz w:val="18"/>
                <w:szCs w:val="18"/>
              </w:rPr>
              <w:t>1</w:t>
            </w:r>
          </w:p>
        </w:tc>
        <w:tc>
          <w:tcPr>
            <w:tcW w:w="2676" w:type="dxa"/>
            <w:noWrap w:val="0"/>
            <w:vAlign w:val="center"/>
          </w:tcPr>
          <w:p>
            <w:pPr>
              <w:adjustRightInd w:val="0"/>
              <w:snapToGrid w:val="0"/>
              <w:jc w:val="left"/>
              <w:rPr>
                <w:sz w:val="18"/>
                <w:szCs w:val="18"/>
              </w:rPr>
            </w:pPr>
            <w:r>
              <w:rPr>
                <w:rFonts w:hint="eastAsia"/>
                <w:sz w:val="18"/>
                <w:szCs w:val="18"/>
              </w:rPr>
              <w:t>运算生成大气温湿度廓线等多种气象产品，控制和监测辐射计主机及附属设备的工作状态</w:t>
            </w:r>
          </w:p>
        </w:tc>
        <w:tc>
          <w:tcPr>
            <w:tcW w:w="1450" w:type="dxa"/>
            <w:vMerge/>
            <w:noWrap w:val="0"/>
            <w:vAlign w:val="center"/>
          </w:tcPr>
          <w:p>
            <w:pPr>
              <w:adjustRightInd w:val="0"/>
              <w:snapToGrid w:val="0"/>
              <w:rPr>
                <w:sz w:val="18"/>
                <w:szCs w:val="18"/>
              </w:rPr>
            </w:pPr>
          </w:p>
        </w:tc>
      </w:tr>
      <w:tr>
        <w:tblPrEx>
          <w:tblW w:w="9088" w:type="dxa"/>
          <w:jc w:val="center"/>
          <w:tblLayout w:type="fixed"/>
          <w:tblCellMar>
            <w:top w:w="0" w:type="dxa"/>
            <w:left w:w="108" w:type="dxa"/>
            <w:bottom w:w="0" w:type="dxa"/>
            <w:right w:w="108" w:type="dxa"/>
          </w:tblCellMar>
        </w:tblPrEx>
        <w:trPr>
          <w:jc w:val="center"/>
        </w:trPr>
        <w:tc>
          <w:tcPr>
            <w:tcW w:w="851" w:type="dxa"/>
            <w:noWrap w:val="0"/>
            <w:vAlign w:val="top"/>
          </w:tcPr>
          <w:p>
            <w:pPr>
              <w:autoSpaceDE w:val="0"/>
              <w:autoSpaceDN w:val="0"/>
              <w:adjustRightInd w:val="0"/>
              <w:jc w:val="center"/>
              <w:rPr>
                <w:rFonts w:ascii="宋体" w:hAnsi="Calibri" w:cs="宋体"/>
                <w:kern w:val="0"/>
                <w:sz w:val="18"/>
                <w:szCs w:val="18"/>
              </w:rPr>
            </w:pPr>
            <w:r>
              <w:rPr>
                <w:rFonts w:ascii="宋体" w:hAnsi="Calibri" w:cs="宋体"/>
                <w:kern w:val="0"/>
                <w:sz w:val="18"/>
                <w:szCs w:val="18"/>
              </w:rPr>
              <w:t>3</w:t>
            </w:r>
          </w:p>
        </w:tc>
        <w:tc>
          <w:tcPr>
            <w:tcW w:w="2126" w:type="dxa"/>
            <w:noWrap w:val="0"/>
            <w:vAlign w:val="center"/>
          </w:tcPr>
          <w:p>
            <w:pPr>
              <w:autoSpaceDE w:val="0"/>
              <w:autoSpaceDN w:val="0"/>
              <w:adjustRightInd w:val="0"/>
              <w:jc w:val="center"/>
              <w:rPr>
                <w:sz w:val="18"/>
                <w:szCs w:val="18"/>
              </w:rPr>
            </w:pPr>
            <w:r>
              <w:rPr>
                <w:rFonts w:ascii="宋体" w:hAnsi="Calibri" w:cs="宋体" w:hint="eastAsia"/>
                <w:kern w:val="0"/>
                <w:sz w:val="18"/>
                <w:szCs w:val="18"/>
              </w:rPr>
              <w:t>标准输出控制器</w:t>
            </w:r>
          </w:p>
        </w:tc>
        <w:tc>
          <w:tcPr>
            <w:tcW w:w="992" w:type="dxa"/>
            <w:noWrap w:val="0"/>
            <w:vAlign w:val="center"/>
          </w:tcPr>
          <w:p>
            <w:pPr>
              <w:adjustRightInd w:val="0"/>
              <w:snapToGrid w:val="0"/>
              <w:jc w:val="center"/>
              <w:rPr>
                <w:bCs/>
                <w:sz w:val="18"/>
                <w:szCs w:val="18"/>
              </w:rPr>
            </w:pPr>
            <w:r>
              <w:rPr>
                <w:rFonts w:hint="eastAsia"/>
                <w:bCs/>
                <w:sz w:val="18"/>
                <w:szCs w:val="18"/>
              </w:rPr>
              <w:t>套</w:t>
            </w:r>
          </w:p>
        </w:tc>
        <w:tc>
          <w:tcPr>
            <w:tcW w:w="993" w:type="dxa"/>
            <w:noWrap w:val="0"/>
            <w:vAlign w:val="center"/>
          </w:tcPr>
          <w:p>
            <w:pPr>
              <w:adjustRightInd w:val="0"/>
              <w:snapToGrid w:val="0"/>
              <w:jc w:val="center"/>
              <w:rPr>
                <w:sz w:val="18"/>
                <w:szCs w:val="18"/>
              </w:rPr>
            </w:pPr>
            <w:r>
              <w:rPr>
                <w:sz w:val="18"/>
                <w:szCs w:val="18"/>
              </w:rPr>
              <w:t>1</w:t>
            </w:r>
          </w:p>
        </w:tc>
        <w:tc>
          <w:tcPr>
            <w:tcW w:w="2676" w:type="dxa"/>
            <w:noWrap w:val="0"/>
            <w:vAlign w:val="center"/>
          </w:tcPr>
          <w:p>
            <w:pPr>
              <w:adjustRightInd w:val="0"/>
              <w:snapToGrid w:val="0"/>
              <w:rPr>
                <w:sz w:val="18"/>
                <w:szCs w:val="18"/>
              </w:rPr>
            </w:pPr>
            <w:r>
              <w:rPr>
                <w:rFonts w:hint="eastAsia"/>
                <w:sz w:val="18"/>
                <w:szCs w:val="18"/>
              </w:rPr>
              <w:t>辐射计数据质量监测单元</w:t>
            </w:r>
          </w:p>
        </w:tc>
        <w:tc>
          <w:tcPr>
            <w:tcW w:w="1450" w:type="dxa"/>
            <w:vMerge/>
            <w:noWrap w:val="0"/>
            <w:vAlign w:val="center"/>
          </w:tcPr>
          <w:p>
            <w:pPr>
              <w:adjustRightInd w:val="0"/>
              <w:snapToGrid w:val="0"/>
              <w:rPr>
                <w:sz w:val="18"/>
                <w:szCs w:val="18"/>
              </w:rPr>
            </w:pPr>
          </w:p>
        </w:tc>
      </w:tr>
      <w:tr>
        <w:tblPrEx>
          <w:tblW w:w="9088" w:type="dxa"/>
          <w:jc w:val="center"/>
          <w:tblLayout w:type="fixed"/>
          <w:tblCellMar>
            <w:top w:w="0" w:type="dxa"/>
            <w:left w:w="108" w:type="dxa"/>
            <w:bottom w:w="0" w:type="dxa"/>
            <w:right w:w="108" w:type="dxa"/>
          </w:tblCellMar>
        </w:tblPrEx>
        <w:trPr>
          <w:jc w:val="center"/>
        </w:trPr>
        <w:tc>
          <w:tcPr>
            <w:tcW w:w="851" w:type="dxa"/>
            <w:noWrap w:val="0"/>
            <w:vAlign w:val="top"/>
          </w:tcPr>
          <w:p>
            <w:pPr>
              <w:autoSpaceDE w:val="0"/>
              <w:autoSpaceDN w:val="0"/>
              <w:adjustRightInd w:val="0"/>
              <w:jc w:val="center"/>
              <w:rPr>
                <w:rFonts w:ascii="宋体" w:hAnsi="Calibri" w:cs="宋体"/>
                <w:kern w:val="0"/>
                <w:sz w:val="18"/>
                <w:szCs w:val="18"/>
              </w:rPr>
            </w:pPr>
            <w:r>
              <w:rPr>
                <w:rFonts w:ascii="宋体" w:hAnsi="Calibri" w:cs="宋体" w:hint="eastAsia"/>
                <w:kern w:val="0"/>
                <w:sz w:val="18"/>
                <w:szCs w:val="18"/>
              </w:rPr>
              <w:t>4</w:t>
            </w:r>
          </w:p>
        </w:tc>
        <w:tc>
          <w:tcPr>
            <w:tcW w:w="2126" w:type="dxa"/>
            <w:noWrap w:val="0"/>
            <w:vAlign w:val="center"/>
          </w:tcPr>
          <w:p>
            <w:pPr>
              <w:autoSpaceDE w:val="0"/>
              <w:autoSpaceDN w:val="0"/>
              <w:adjustRightInd w:val="0"/>
              <w:jc w:val="center"/>
              <w:rPr>
                <w:sz w:val="18"/>
                <w:szCs w:val="18"/>
              </w:rPr>
            </w:pPr>
            <w:r>
              <w:rPr>
                <w:rFonts w:ascii="宋体" w:hAnsi="Calibri" w:cs="宋体" w:hint="eastAsia"/>
                <w:kern w:val="0"/>
                <w:sz w:val="18"/>
                <w:szCs w:val="18"/>
              </w:rPr>
              <w:t>室外支架</w:t>
            </w:r>
          </w:p>
        </w:tc>
        <w:tc>
          <w:tcPr>
            <w:tcW w:w="992" w:type="dxa"/>
            <w:noWrap w:val="0"/>
            <w:vAlign w:val="center"/>
          </w:tcPr>
          <w:p>
            <w:pPr>
              <w:adjustRightInd w:val="0"/>
              <w:snapToGrid w:val="0"/>
              <w:jc w:val="center"/>
              <w:rPr>
                <w:bCs/>
                <w:sz w:val="18"/>
                <w:szCs w:val="18"/>
              </w:rPr>
            </w:pPr>
            <w:r>
              <w:rPr>
                <w:rFonts w:hint="eastAsia"/>
                <w:bCs/>
                <w:sz w:val="18"/>
                <w:szCs w:val="18"/>
              </w:rPr>
              <w:t>台</w:t>
            </w:r>
          </w:p>
        </w:tc>
        <w:tc>
          <w:tcPr>
            <w:tcW w:w="993" w:type="dxa"/>
            <w:noWrap w:val="0"/>
            <w:vAlign w:val="center"/>
          </w:tcPr>
          <w:p>
            <w:pPr>
              <w:adjustRightInd w:val="0"/>
              <w:snapToGrid w:val="0"/>
              <w:jc w:val="center"/>
              <w:rPr>
                <w:sz w:val="18"/>
                <w:szCs w:val="18"/>
              </w:rPr>
            </w:pPr>
            <w:r>
              <w:rPr>
                <w:sz w:val="18"/>
                <w:szCs w:val="18"/>
              </w:rPr>
              <w:t>1</w:t>
            </w:r>
          </w:p>
        </w:tc>
        <w:tc>
          <w:tcPr>
            <w:tcW w:w="2676" w:type="dxa"/>
            <w:noWrap w:val="0"/>
            <w:vAlign w:val="center"/>
          </w:tcPr>
          <w:p>
            <w:pPr>
              <w:adjustRightInd w:val="0"/>
              <w:snapToGrid w:val="0"/>
              <w:rPr>
                <w:sz w:val="18"/>
                <w:szCs w:val="18"/>
              </w:rPr>
            </w:pPr>
            <w:r>
              <w:rPr>
                <w:rFonts w:hint="eastAsia"/>
                <w:sz w:val="18"/>
                <w:szCs w:val="18"/>
              </w:rPr>
              <w:t>室外主机安装</w:t>
            </w:r>
          </w:p>
        </w:tc>
        <w:tc>
          <w:tcPr>
            <w:tcW w:w="1450" w:type="dxa"/>
            <w:vMerge/>
            <w:noWrap w:val="0"/>
            <w:vAlign w:val="center"/>
          </w:tcPr>
          <w:p>
            <w:pPr>
              <w:adjustRightInd w:val="0"/>
              <w:snapToGrid w:val="0"/>
              <w:rPr>
                <w:sz w:val="18"/>
                <w:szCs w:val="18"/>
              </w:rPr>
            </w:pPr>
          </w:p>
        </w:tc>
      </w:tr>
      <w:tr>
        <w:tblPrEx>
          <w:tblW w:w="9088" w:type="dxa"/>
          <w:jc w:val="center"/>
          <w:tblLayout w:type="fixed"/>
          <w:tblCellMar>
            <w:top w:w="0" w:type="dxa"/>
            <w:left w:w="108" w:type="dxa"/>
            <w:bottom w:w="0" w:type="dxa"/>
            <w:right w:w="108" w:type="dxa"/>
          </w:tblCellMar>
        </w:tblPrEx>
        <w:trPr>
          <w:jc w:val="center"/>
        </w:trPr>
        <w:tc>
          <w:tcPr>
            <w:tcW w:w="851" w:type="dxa"/>
            <w:noWrap w:val="0"/>
            <w:vAlign w:val="top"/>
          </w:tcPr>
          <w:p>
            <w:pPr>
              <w:autoSpaceDE w:val="0"/>
              <w:autoSpaceDN w:val="0"/>
              <w:adjustRightInd w:val="0"/>
              <w:jc w:val="center"/>
              <w:rPr>
                <w:rFonts w:ascii="宋体" w:hAnsi="Calibri" w:cs="宋体"/>
                <w:kern w:val="0"/>
                <w:sz w:val="18"/>
                <w:szCs w:val="18"/>
              </w:rPr>
            </w:pPr>
            <w:r>
              <w:rPr>
                <w:rFonts w:ascii="宋体" w:hAnsi="Calibri" w:cs="宋体" w:hint="eastAsia"/>
                <w:kern w:val="0"/>
                <w:sz w:val="18"/>
                <w:szCs w:val="18"/>
              </w:rPr>
              <w:t>5</w:t>
            </w:r>
          </w:p>
        </w:tc>
        <w:tc>
          <w:tcPr>
            <w:tcW w:w="2126" w:type="dxa"/>
            <w:noWrap w:val="0"/>
            <w:vAlign w:val="center"/>
          </w:tcPr>
          <w:p>
            <w:pPr>
              <w:autoSpaceDE w:val="0"/>
              <w:autoSpaceDN w:val="0"/>
              <w:adjustRightInd w:val="0"/>
              <w:jc w:val="center"/>
              <w:rPr>
                <w:sz w:val="18"/>
                <w:szCs w:val="18"/>
              </w:rPr>
            </w:pPr>
            <w:r>
              <w:rPr>
                <w:rFonts w:ascii="宋体" w:hAnsi="Calibri" w:cs="宋体" w:hint="eastAsia"/>
                <w:kern w:val="0"/>
                <w:sz w:val="18"/>
                <w:szCs w:val="18"/>
              </w:rPr>
              <w:t>标定源及支架</w:t>
            </w:r>
          </w:p>
        </w:tc>
        <w:tc>
          <w:tcPr>
            <w:tcW w:w="992" w:type="dxa"/>
            <w:noWrap w:val="0"/>
            <w:vAlign w:val="center"/>
          </w:tcPr>
          <w:p>
            <w:pPr>
              <w:adjustRightInd w:val="0"/>
              <w:snapToGrid w:val="0"/>
              <w:jc w:val="center"/>
              <w:rPr>
                <w:bCs/>
                <w:sz w:val="18"/>
                <w:szCs w:val="18"/>
              </w:rPr>
            </w:pPr>
            <w:r>
              <w:rPr>
                <w:rFonts w:hint="eastAsia"/>
                <w:bCs/>
                <w:sz w:val="18"/>
                <w:szCs w:val="18"/>
              </w:rPr>
              <w:t>套</w:t>
            </w:r>
          </w:p>
        </w:tc>
        <w:tc>
          <w:tcPr>
            <w:tcW w:w="993" w:type="dxa"/>
            <w:noWrap w:val="0"/>
            <w:vAlign w:val="center"/>
          </w:tcPr>
          <w:p>
            <w:pPr>
              <w:adjustRightInd w:val="0"/>
              <w:snapToGrid w:val="0"/>
              <w:jc w:val="center"/>
              <w:rPr>
                <w:sz w:val="18"/>
                <w:szCs w:val="18"/>
              </w:rPr>
            </w:pPr>
            <w:r>
              <w:rPr>
                <w:sz w:val="18"/>
                <w:szCs w:val="18"/>
              </w:rPr>
              <w:t>1</w:t>
            </w:r>
          </w:p>
        </w:tc>
        <w:tc>
          <w:tcPr>
            <w:tcW w:w="2676" w:type="dxa"/>
            <w:noWrap w:val="0"/>
            <w:vAlign w:val="center"/>
          </w:tcPr>
          <w:p>
            <w:pPr>
              <w:adjustRightInd w:val="0"/>
              <w:snapToGrid w:val="0"/>
              <w:rPr>
                <w:sz w:val="18"/>
                <w:szCs w:val="18"/>
              </w:rPr>
            </w:pPr>
            <w:r>
              <w:rPr>
                <w:rFonts w:hint="eastAsia"/>
                <w:sz w:val="18"/>
                <w:szCs w:val="18"/>
              </w:rPr>
              <w:t>提供标定使用</w:t>
            </w:r>
          </w:p>
        </w:tc>
        <w:tc>
          <w:tcPr>
            <w:tcW w:w="1450" w:type="dxa"/>
            <w:vMerge/>
            <w:noWrap w:val="0"/>
            <w:vAlign w:val="center"/>
          </w:tcPr>
          <w:p>
            <w:pPr>
              <w:adjustRightInd w:val="0"/>
              <w:snapToGrid w:val="0"/>
              <w:rPr>
                <w:sz w:val="18"/>
                <w:szCs w:val="18"/>
              </w:rPr>
            </w:pPr>
          </w:p>
        </w:tc>
      </w:tr>
      <w:tr>
        <w:tblPrEx>
          <w:tblW w:w="9088" w:type="dxa"/>
          <w:jc w:val="center"/>
          <w:tblLayout w:type="fixed"/>
          <w:tblCellMar>
            <w:top w:w="0" w:type="dxa"/>
            <w:left w:w="108" w:type="dxa"/>
            <w:bottom w:w="0" w:type="dxa"/>
            <w:right w:w="108" w:type="dxa"/>
          </w:tblCellMar>
        </w:tblPrEx>
        <w:trPr>
          <w:jc w:val="center"/>
        </w:trPr>
        <w:tc>
          <w:tcPr>
            <w:tcW w:w="851" w:type="dxa"/>
            <w:noWrap w:val="0"/>
            <w:vAlign w:val="top"/>
          </w:tcPr>
          <w:p>
            <w:pPr>
              <w:autoSpaceDE w:val="0"/>
              <w:autoSpaceDN w:val="0"/>
              <w:adjustRightInd w:val="0"/>
              <w:jc w:val="center"/>
              <w:rPr>
                <w:rFonts w:ascii="宋体" w:hAnsi="Calibri" w:cs="宋体"/>
                <w:kern w:val="0"/>
                <w:sz w:val="18"/>
                <w:szCs w:val="18"/>
              </w:rPr>
            </w:pPr>
            <w:r>
              <w:rPr>
                <w:rFonts w:ascii="宋体" w:hAnsi="Calibri" w:cs="宋体" w:hint="eastAsia"/>
                <w:kern w:val="0"/>
                <w:sz w:val="18"/>
                <w:szCs w:val="18"/>
              </w:rPr>
              <w:t>6</w:t>
            </w:r>
          </w:p>
        </w:tc>
        <w:tc>
          <w:tcPr>
            <w:tcW w:w="2126" w:type="dxa"/>
            <w:noWrap w:val="0"/>
            <w:vAlign w:val="center"/>
          </w:tcPr>
          <w:p>
            <w:pPr>
              <w:autoSpaceDE w:val="0"/>
              <w:autoSpaceDN w:val="0"/>
              <w:adjustRightInd w:val="0"/>
              <w:jc w:val="center"/>
              <w:rPr>
                <w:rFonts w:ascii="宋体" w:hAnsi="Calibri" w:cs="宋体"/>
                <w:kern w:val="0"/>
                <w:sz w:val="18"/>
                <w:szCs w:val="18"/>
              </w:rPr>
            </w:pPr>
            <w:r>
              <w:rPr>
                <w:rFonts w:ascii="宋体" w:hAnsi="Calibri" w:cs="宋体" w:hint="eastAsia"/>
                <w:kern w:val="0"/>
                <w:sz w:val="18"/>
                <w:szCs w:val="18"/>
              </w:rPr>
              <w:t>产品技术手册</w:t>
            </w:r>
          </w:p>
        </w:tc>
        <w:tc>
          <w:tcPr>
            <w:tcW w:w="992" w:type="dxa"/>
            <w:noWrap w:val="0"/>
            <w:vAlign w:val="center"/>
          </w:tcPr>
          <w:p>
            <w:pPr>
              <w:adjustRightInd w:val="0"/>
              <w:snapToGrid w:val="0"/>
              <w:jc w:val="center"/>
              <w:rPr>
                <w:bCs/>
                <w:sz w:val="18"/>
                <w:szCs w:val="18"/>
              </w:rPr>
            </w:pPr>
            <w:r>
              <w:rPr>
                <w:rFonts w:hint="eastAsia"/>
                <w:bCs/>
                <w:sz w:val="18"/>
                <w:szCs w:val="18"/>
              </w:rPr>
              <w:t>套</w:t>
            </w:r>
          </w:p>
        </w:tc>
        <w:tc>
          <w:tcPr>
            <w:tcW w:w="993" w:type="dxa"/>
            <w:noWrap w:val="0"/>
            <w:vAlign w:val="center"/>
          </w:tcPr>
          <w:p>
            <w:pPr>
              <w:adjustRightInd w:val="0"/>
              <w:snapToGrid w:val="0"/>
              <w:jc w:val="center"/>
              <w:rPr>
                <w:sz w:val="18"/>
                <w:szCs w:val="18"/>
              </w:rPr>
            </w:pPr>
            <w:r>
              <w:rPr>
                <w:sz w:val="18"/>
                <w:szCs w:val="18"/>
              </w:rPr>
              <w:t>1</w:t>
            </w:r>
          </w:p>
        </w:tc>
        <w:tc>
          <w:tcPr>
            <w:tcW w:w="2676" w:type="dxa"/>
            <w:noWrap w:val="0"/>
            <w:vAlign w:val="center"/>
          </w:tcPr>
          <w:p>
            <w:pPr>
              <w:adjustRightInd w:val="0"/>
              <w:snapToGrid w:val="0"/>
              <w:jc w:val="left"/>
              <w:rPr>
                <w:sz w:val="18"/>
                <w:szCs w:val="18"/>
              </w:rPr>
            </w:pPr>
            <w:r>
              <w:rPr>
                <w:rFonts w:hint="eastAsia"/>
                <w:sz w:val="18"/>
                <w:szCs w:val="18"/>
              </w:rPr>
              <w:t>产品技术说明书、软件使用操作说明书、产品维护说明书</w:t>
            </w:r>
          </w:p>
        </w:tc>
        <w:tc>
          <w:tcPr>
            <w:tcW w:w="1450" w:type="dxa"/>
            <w:vMerge/>
            <w:noWrap w:val="0"/>
            <w:vAlign w:val="center"/>
          </w:tcPr>
          <w:p>
            <w:pPr>
              <w:adjustRightInd w:val="0"/>
              <w:snapToGrid w:val="0"/>
              <w:jc w:val="center"/>
              <w:rPr>
                <w:sz w:val="18"/>
                <w:szCs w:val="18"/>
              </w:rPr>
            </w:pPr>
          </w:p>
        </w:tc>
      </w:tr>
      <w:tr>
        <w:tblPrEx>
          <w:tblW w:w="9088" w:type="dxa"/>
          <w:jc w:val="center"/>
          <w:tblLayout w:type="fixed"/>
          <w:tblCellMar>
            <w:top w:w="0" w:type="dxa"/>
            <w:left w:w="108" w:type="dxa"/>
            <w:bottom w:w="0" w:type="dxa"/>
            <w:right w:w="108" w:type="dxa"/>
          </w:tblCellMar>
        </w:tblPrEx>
        <w:trPr>
          <w:jc w:val="center"/>
        </w:trPr>
        <w:tc>
          <w:tcPr>
            <w:tcW w:w="851" w:type="dxa"/>
            <w:noWrap w:val="0"/>
            <w:vAlign w:val="top"/>
          </w:tcPr>
          <w:p>
            <w:pPr>
              <w:autoSpaceDE w:val="0"/>
              <w:autoSpaceDN w:val="0"/>
              <w:adjustRightInd w:val="0"/>
              <w:jc w:val="center"/>
              <w:rPr>
                <w:rFonts w:ascii="宋体" w:hAnsi="Calibri" w:cs="宋体"/>
                <w:kern w:val="0"/>
                <w:sz w:val="18"/>
                <w:szCs w:val="18"/>
              </w:rPr>
            </w:pPr>
            <w:r>
              <w:rPr>
                <w:rFonts w:ascii="宋体" w:hAnsi="Calibri" w:cs="宋体" w:hint="eastAsia"/>
                <w:kern w:val="0"/>
                <w:sz w:val="18"/>
                <w:szCs w:val="18"/>
              </w:rPr>
              <w:t>7</w:t>
            </w:r>
          </w:p>
        </w:tc>
        <w:tc>
          <w:tcPr>
            <w:tcW w:w="2126" w:type="dxa"/>
            <w:noWrap w:val="0"/>
            <w:vAlign w:val="center"/>
          </w:tcPr>
          <w:p>
            <w:pPr>
              <w:autoSpaceDE w:val="0"/>
              <w:autoSpaceDN w:val="0"/>
              <w:adjustRightInd w:val="0"/>
              <w:jc w:val="center"/>
              <w:rPr>
                <w:sz w:val="18"/>
                <w:szCs w:val="18"/>
              </w:rPr>
            </w:pPr>
            <w:r>
              <w:rPr>
                <w:rFonts w:ascii="宋体" w:hAnsi="Calibri" w:cs="宋体" w:hint="eastAsia"/>
                <w:kern w:val="0"/>
                <w:sz w:val="18"/>
                <w:szCs w:val="18"/>
              </w:rPr>
              <w:t>随机附件备件</w:t>
            </w:r>
          </w:p>
        </w:tc>
        <w:tc>
          <w:tcPr>
            <w:tcW w:w="992" w:type="dxa"/>
            <w:noWrap w:val="0"/>
            <w:vAlign w:val="center"/>
          </w:tcPr>
          <w:p>
            <w:pPr>
              <w:adjustRightInd w:val="0"/>
              <w:snapToGrid w:val="0"/>
              <w:jc w:val="center"/>
              <w:rPr>
                <w:sz w:val="18"/>
                <w:szCs w:val="18"/>
              </w:rPr>
            </w:pPr>
            <w:r>
              <w:rPr>
                <w:rFonts w:hint="eastAsia"/>
                <w:bCs/>
                <w:sz w:val="18"/>
                <w:szCs w:val="18"/>
              </w:rPr>
              <w:t>套</w:t>
            </w:r>
          </w:p>
        </w:tc>
        <w:tc>
          <w:tcPr>
            <w:tcW w:w="993" w:type="dxa"/>
            <w:noWrap w:val="0"/>
            <w:vAlign w:val="center"/>
          </w:tcPr>
          <w:p>
            <w:pPr>
              <w:adjustRightInd w:val="0"/>
              <w:snapToGrid w:val="0"/>
              <w:jc w:val="center"/>
              <w:rPr>
                <w:sz w:val="18"/>
                <w:szCs w:val="18"/>
              </w:rPr>
            </w:pPr>
            <w:r>
              <w:rPr>
                <w:sz w:val="18"/>
                <w:szCs w:val="18"/>
              </w:rPr>
              <w:t>1</w:t>
            </w:r>
          </w:p>
        </w:tc>
        <w:tc>
          <w:tcPr>
            <w:tcW w:w="2676" w:type="dxa"/>
            <w:noWrap w:val="0"/>
            <w:vAlign w:val="center"/>
          </w:tcPr>
          <w:p>
            <w:pPr>
              <w:adjustRightInd w:val="0"/>
              <w:snapToGrid w:val="0"/>
              <w:jc w:val="center"/>
              <w:rPr>
                <w:sz w:val="18"/>
                <w:szCs w:val="18"/>
              </w:rPr>
            </w:pPr>
            <w:r>
              <w:rPr>
                <w:rFonts w:ascii="宋体" w:hAnsi="Calibri" w:cs="宋体" w:hint="eastAsia"/>
                <w:kern w:val="0"/>
                <w:sz w:val="18"/>
                <w:szCs w:val="18"/>
              </w:rPr>
              <w:t>随机备件一套</w:t>
            </w:r>
          </w:p>
        </w:tc>
        <w:tc>
          <w:tcPr>
            <w:tcW w:w="1450" w:type="dxa"/>
            <w:noWrap w:val="0"/>
            <w:vAlign w:val="center"/>
          </w:tcPr>
          <w:p>
            <w:pPr>
              <w:adjustRightInd w:val="0"/>
              <w:snapToGrid w:val="0"/>
              <w:jc w:val="center"/>
              <w:rPr>
                <w:sz w:val="18"/>
                <w:szCs w:val="18"/>
              </w:rPr>
            </w:pPr>
            <w:r>
              <w:rPr>
                <w:rFonts w:hint="eastAsia"/>
                <w:sz w:val="18"/>
                <w:szCs w:val="18"/>
              </w:rPr>
              <w:t>随机免费提供</w:t>
            </w:r>
          </w:p>
        </w:tc>
      </w:tr>
    </w:tbl>
    <w:p/>
    <w:p>
      <w:pPr>
        <w:snapToGrid w:val="0"/>
        <w:spacing w:before="156" w:beforeLines="50" w:after="100" w:afterAutospacing="1"/>
        <w:jc w:val="left"/>
        <w:outlineLvl w:val="1"/>
        <w:rPr>
          <w:b/>
        </w:rPr>
      </w:pPr>
      <w:r>
        <w:rPr>
          <w:rFonts w:hint="eastAsia"/>
          <w:b/>
          <w:sz w:val="24"/>
        </w:rPr>
        <w:t>四、培训、技术服务和质保期服务等要求</w:t>
      </w:r>
    </w:p>
    <w:p>
      <w:pPr>
        <w:spacing w:before="1" w:line="359" w:lineRule="auto"/>
        <w:ind w:left="21" w:right="14" w:firstLine="436"/>
        <w:rPr>
          <w:rFonts w:ascii="宋体" w:hAnsi="宋体" w:cs="宋体"/>
          <w:spacing w:val="-2"/>
          <w:szCs w:val="21"/>
        </w:rPr>
      </w:pPr>
      <w:r>
        <w:rPr>
          <w:rFonts w:ascii="宋体" w:hAnsi="宋体" w:cs="宋体" w:hint="eastAsia"/>
          <w:spacing w:val="3"/>
          <w:szCs w:val="21"/>
        </w:rPr>
        <w:t>（一）中标方</w:t>
      </w:r>
      <w:r>
        <w:rPr>
          <w:rFonts w:ascii="宋体" w:hAnsi="宋体" w:cs="宋体"/>
          <w:spacing w:val="3"/>
          <w:szCs w:val="21"/>
        </w:rPr>
        <w:t>提供技术手册、使用说明书、测</w:t>
      </w:r>
      <w:r>
        <w:rPr>
          <w:rFonts w:ascii="宋体" w:hAnsi="宋体" w:cs="宋体"/>
          <w:spacing w:val="1"/>
          <w:szCs w:val="21"/>
        </w:rPr>
        <w:t>试</w:t>
      </w:r>
      <w:r>
        <w:rPr>
          <w:rFonts w:ascii="宋体" w:hAnsi="宋体" w:cs="宋体"/>
          <w:szCs w:val="21"/>
        </w:rPr>
        <w:t>报</w:t>
      </w:r>
      <w:r>
        <w:rPr>
          <w:rFonts w:ascii="宋体" w:hAnsi="宋体" w:cs="宋体"/>
          <w:spacing w:val="-4"/>
          <w:szCs w:val="21"/>
        </w:rPr>
        <w:t>告</w:t>
      </w:r>
      <w:r>
        <w:rPr>
          <w:rFonts w:ascii="宋体" w:hAnsi="宋体" w:cs="宋体"/>
          <w:spacing w:val="-2"/>
          <w:szCs w:val="21"/>
        </w:rPr>
        <w:t>等技术资料</w:t>
      </w:r>
      <w:r>
        <w:rPr>
          <w:rFonts w:ascii="宋体" w:hAnsi="宋体" w:cs="宋体" w:hint="eastAsia"/>
          <w:spacing w:val="-2"/>
          <w:szCs w:val="21"/>
        </w:rPr>
        <w:t>，并提供详细技术服务方案，包括但不限于：设备工作原理、设备部件结构组成、设备操作手册等。</w:t>
      </w:r>
    </w:p>
    <w:p>
      <w:pPr>
        <w:spacing w:before="1" w:line="359" w:lineRule="auto"/>
        <w:ind w:left="21" w:right="14" w:firstLine="436"/>
        <w:rPr>
          <w:rFonts w:ascii="宋体" w:hAnsi="宋体" w:cs="宋体"/>
          <w:spacing w:val="-2"/>
          <w:szCs w:val="21"/>
        </w:rPr>
      </w:pPr>
      <w:r>
        <w:rPr>
          <w:rFonts w:ascii="宋体" w:hAnsi="宋体" w:cs="宋体" w:hint="eastAsia"/>
          <w:spacing w:val="4"/>
          <w:szCs w:val="21"/>
        </w:rPr>
        <w:t>（二）</w:t>
      </w:r>
      <w:r>
        <w:rPr>
          <w:rFonts w:ascii="宋体" w:hAnsi="宋体" w:cs="宋体"/>
          <w:spacing w:val="4"/>
          <w:szCs w:val="21"/>
        </w:rPr>
        <w:t>中标</w:t>
      </w:r>
      <w:r>
        <w:rPr>
          <w:rFonts w:ascii="宋体" w:hAnsi="宋体" w:cs="宋体" w:hint="eastAsia"/>
          <w:spacing w:val="4"/>
          <w:szCs w:val="21"/>
        </w:rPr>
        <w:t>方</w:t>
      </w:r>
      <w:r>
        <w:rPr>
          <w:rFonts w:ascii="宋体" w:hAnsi="宋体" w:cs="宋体"/>
          <w:spacing w:val="4"/>
          <w:szCs w:val="21"/>
        </w:rPr>
        <w:t>负责</w:t>
      </w:r>
      <w:r>
        <w:rPr>
          <w:rFonts w:ascii="宋体" w:hAnsi="宋体" w:cs="宋体"/>
          <w:spacing w:val="2"/>
          <w:szCs w:val="21"/>
        </w:rPr>
        <w:t>设备的运输</w:t>
      </w:r>
      <w:r>
        <w:rPr>
          <w:rFonts w:ascii="宋体" w:hAnsi="宋体" w:cs="宋体" w:hint="eastAsia"/>
          <w:spacing w:val="2"/>
          <w:szCs w:val="21"/>
        </w:rPr>
        <w:t>、配合</w:t>
      </w:r>
      <w:r>
        <w:rPr>
          <w:rFonts w:ascii="宋体" w:hAnsi="宋体" w:cs="宋体" w:hint="eastAsia"/>
          <w:spacing w:val="-2"/>
          <w:szCs w:val="21"/>
        </w:rPr>
        <w:t>验收等相关工作，费用由中标供货商负责。</w:t>
      </w:r>
      <w:r>
        <w:rPr>
          <w:rFonts w:ascii="宋体" w:hAnsi="宋体" w:cs="宋体"/>
          <w:spacing w:val="4"/>
          <w:szCs w:val="21"/>
        </w:rPr>
        <w:t>中标</w:t>
      </w:r>
      <w:r>
        <w:rPr>
          <w:rFonts w:ascii="宋体" w:hAnsi="宋体" w:cs="宋体" w:hint="eastAsia"/>
          <w:spacing w:val="4"/>
          <w:szCs w:val="21"/>
        </w:rPr>
        <w:t>方</w:t>
      </w:r>
      <w:r>
        <w:rPr>
          <w:rFonts w:ascii="宋体" w:hAnsi="宋体" w:cs="宋体" w:hint="eastAsia"/>
          <w:spacing w:val="-2"/>
          <w:szCs w:val="21"/>
        </w:rPr>
        <w:t>应按照招标方要求提供出厂验收、现场验收所需全部材料。设备不合格或不符合质量要求，中标方除无条件退货、返工外，还应承担招标方的一切损失。</w:t>
      </w:r>
    </w:p>
    <w:p>
      <w:pPr>
        <w:spacing w:before="1" w:line="359" w:lineRule="auto"/>
        <w:ind w:left="21" w:right="14" w:firstLine="436"/>
        <w:rPr>
          <w:rFonts w:ascii="宋体" w:hAnsi="宋体" w:cs="宋体"/>
          <w:spacing w:val="-1"/>
          <w:szCs w:val="21"/>
        </w:rPr>
      </w:pPr>
      <w:r>
        <w:rPr>
          <w:rFonts w:ascii="宋体" w:hAnsi="宋体" w:cs="宋体" w:hint="eastAsia"/>
          <w:spacing w:val="4"/>
          <w:szCs w:val="21"/>
        </w:rPr>
        <w:t>（三）</w:t>
      </w:r>
      <w:r>
        <w:rPr>
          <w:rFonts w:ascii="宋体" w:hAnsi="宋体" w:cs="宋体"/>
          <w:spacing w:val="4"/>
          <w:szCs w:val="21"/>
        </w:rPr>
        <w:t>中标</w:t>
      </w:r>
      <w:r>
        <w:rPr>
          <w:rFonts w:ascii="宋体" w:hAnsi="宋体" w:cs="宋体" w:hint="eastAsia"/>
          <w:spacing w:val="4"/>
          <w:szCs w:val="21"/>
        </w:rPr>
        <w:t>方</w:t>
      </w:r>
      <w:r>
        <w:rPr>
          <w:rFonts w:ascii="宋体" w:hAnsi="宋体" w:cs="宋体"/>
          <w:spacing w:val="4"/>
          <w:szCs w:val="21"/>
        </w:rPr>
        <w:t>所有设</w:t>
      </w:r>
      <w:r>
        <w:rPr>
          <w:rFonts w:ascii="宋体" w:hAnsi="宋体" w:cs="宋体"/>
          <w:spacing w:val="3"/>
          <w:szCs w:val="21"/>
        </w:rPr>
        <w:t>备</w:t>
      </w:r>
      <w:r>
        <w:rPr>
          <w:rFonts w:ascii="宋体" w:hAnsi="宋体" w:cs="宋体" w:hint="eastAsia"/>
          <w:spacing w:val="2"/>
          <w:szCs w:val="21"/>
        </w:rPr>
        <w:t>观测数据</w:t>
      </w:r>
      <w:r>
        <w:rPr>
          <w:rFonts w:ascii="宋体" w:hAnsi="宋体" w:cs="宋体"/>
          <w:spacing w:val="2"/>
          <w:szCs w:val="21"/>
        </w:rPr>
        <w:t>应符合气象部门业务</w:t>
      </w:r>
      <w:r>
        <w:rPr>
          <w:rFonts w:ascii="宋体" w:hAnsi="宋体" w:cs="宋体"/>
          <w:spacing w:val="-2"/>
          <w:szCs w:val="21"/>
        </w:rPr>
        <w:t>要求，并按照气象部门最新</w:t>
      </w:r>
      <w:r>
        <w:rPr>
          <w:rFonts w:ascii="宋体" w:hAnsi="宋体" w:cs="宋体"/>
          <w:spacing w:val="-1"/>
          <w:szCs w:val="21"/>
        </w:rPr>
        <w:t>业务要求进行适配升级更新。</w:t>
      </w:r>
    </w:p>
    <w:p>
      <w:pPr>
        <w:spacing w:before="158" w:line="220" w:lineRule="auto"/>
        <w:ind w:left="446"/>
        <w:rPr>
          <w:rFonts w:ascii="宋体" w:hAnsi="宋体" w:cs="宋体"/>
          <w:spacing w:val="-1"/>
          <w:szCs w:val="21"/>
        </w:rPr>
      </w:pPr>
      <w:r>
        <w:rPr>
          <w:rFonts w:ascii="宋体" w:hAnsi="宋体" w:cs="宋体" w:hint="eastAsia"/>
          <w:spacing w:val="-2"/>
          <w:szCs w:val="21"/>
        </w:rPr>
        <w:t>（四）</w:t>
      </w:r>
      <w:r>
        <w:rPr>
          <w:rFonts w:ascii="宋体" w:hAnsi="宋体" w:cs="宋体"/>
          <w:spacing w:val="-1"/>
          <w:szCs w:val="21"/>
        </w:rPr>
        <w:t>技术培训</w:t>
      </w:r>
    </w:p>
    <w:p>
      <w:pPr>
        <w:spacing w:before="1" w:line="359" w:lineRule="auto"/>
        <w:ind w:left="21" w:right="14" w:firstLine="436"/>
        <w:rPr>
          <w:rFonts w:ascii="宋体" w:hAnsi="宋体" w:cs="宋体"/>
          <w:spacing w:val="4"/>
          <w:szCs w:val="21"/>
        </w:rPr>
      </w:pPr>
      <w:r>
        <w:rPr>
          <w:rFonts w:ascii="宋体" w:hAnsi="宋体" w:cs="宋体"/>
          <w:spacing w:val="4"/>
          <w:szCs w:val="21"/>
        </w:rPr>
        <w:t>中标</w:t>
      </w:r>
      <w:r>
        <w:rPr>
          <w:rFonts w:ascii="宋体" w:hAnsi="宋体" w:cs="宋体" w:hint="eastAsia"/>
          <w:spacing w:val="4"/>
          <w:szCs w:val="21"/>
        </w:rPr>
        <w:t>方对每套投标产品提供至少 2 次技术培训，培训会等一切费用均由</w:t>
      </w:r>
      <w:r>
        <w:rPr>
          <w:rFonts w:ascii="宋体" w:hAnsi="宋体" w:cs="宋体"/>
          <w:spacing w:val="4"/>
          <w:szCs w:val="21"/>
        </w:rPr>
        <w:t>中标</w:t>
      </w:r>
      <w:r>
        <w:rPr>
          <w:rFonts w:ascii="宋体" w:hAnsi="宋体" w:cs="宋体" w:hint="eastAsia"/>
          <w:spacing w:val="4"/>
          <w:szCs w:val="21"/>
        </w:rPr>
        <w:t>方承担。</w:t>
      </w:r>
    </w:p>
    <w:p>
      <w:pPr>
        <w:spacing w:before="1" w:line="359" w:lineRule="auto"/>
        <w:ind w:left="21" w:right="14" w:firstLine="436"/>
        <w:rPr>
          <w:rFonts w:ascii="宋体" w:hAnsi="宋体" w:cs="宋体"/>
          <w:szCs w:val="21"/>
        </w:rPr>
      </w:pPr>
      <w:r>
        <w:rPr>
          <w:rFonts w:ascii="宋体" w:hAnsi="宋体" w:cs="宋体"/>
          <w:spacing w:val="4"/>
          <w:szCs w:val="21"/>
        </w:rPr>
        <w:t>(1)出厂培训。设备</w:t>
      </w:r>
      <w:r>
        <w:rPr>
          <w:rFonts w:ascii="宋体" w:hAnsi="宋体" w:cs="宋体"/>
          <w:spacing w:val="3"/>
          <w:szCs w:val="21"/>
        </w:rPr>
        <w:t>出</w:t>
      </w:r>
      <w:r>
        <w:rPr>
          <w:rFonts w:ascii="宋体" w:hAnsi="宋体" w:cs="宋体"/>
          <w:spacing w:val="2"/>
          <w:szCs w:val="21"/>
        </w:rPr>
        <w:t>厂前，中标</w:t>
      </w:r>
      <w:r>
        <w:rPr>
          <w:rFonts w:ascii="宋体" w:hAnsi="宋体" w:cs="宋体" w:hint="eastAsia"/>
          <w:spacing w:val="2"/>
          <w:szCs w:val="21"/>
        </w:rPr>
        <w:t>方</w:t>
      </w:r>
      <w:r>
        <w:rPr>
          <w:rFonts w:ascii="宋体" w:hAnsi="宋体" w:cs="宋体"/>
          <w:spacing w:val="2"/>
          <w:szCs w:val="21"/>
        </w:rPr>
        <w:t>提供培训场地，并负责提供设备技术培训服务。培训内容包括但不限于：设备工作原理、结构组成、</w:t>
      </w:r>
      <w:r>
        <w:rPr>
          <w:rFonts w:ascii="宋体" w:hAnsi="宋体" w:cs="宋体" w:hint="eastAsia"/>
          <w:spacing w:val="2"/>
          <w:szCs w:val="21"/>
        </w:rPr>
        <w:t>设备</w:t>
      </w:r>
      <w:r>
        <w:rPr>
          <w:rFonts w:ascii="宋体" w:hAnsi="宋体" w:cs="宋体"/>
          <w:spacing w:val="2"/>
          <w:szCs w:val="21"/>
        </w:rPr>
        <w:t>使用</w:t>
      </w:r>
      <w:r>
        <w:rPr>
          <w:rFonts w:ascii="宋体" w:hAnsi="宋体" w:cs="宋体" w:hint="eastAsia"/>
          <w:spacing w:val="-2"/>
          <w:szCs w:val="21"/>
        </w:rPr>
        <w:t>及产品应用等。</w:t>
      </w:r>
    </w:p>
    <w:p>
      <w:pPr>
        <w:spacing w:line="359" w:lineRule="auto"/>
        <w:ind w:left="23" w:right="16" w:firstLine="424"/>
        <w:rPr>
          <w:rFonts w:ascii="宋体" w:hAnsi="宋体" w:cs="宋体"/>
          <w:szCs w:val="21"/>
        </w:rPr>
      </w:pPr>
      <w:r>
        <w:rPr>
          <w:rFonts w:ascii="宋体" w:hAnsi="宋体" w:cs="宋体"/>
          <w:spacing w:val="2"/>
          <w:szCs w:val="21"/>
        </w:rPr>
        <w:t>(2)现场培训。招标</w:t>
      </w:r>
      <w:r>
        <w:rPr>
          <w:rFonts w:ascii="宋体" w:hAnsi="宋体" w:cs="宋体" w:hint="eastAsia"/>
          <w:spacing w:val="2"/>
          <w:szCs w:val="21"/>
        </w:rPr>
        <w:t>方</w:t>
      </w:r>
      <w:r>
        <w:rPr>
          <w:rFonts w:ascii="宋体" w:hAnsi="宋体" w:cs="宋体"/>
          <w:spacing w:val="2"/>
          <w:szCs w:val="21"/>
        </w:rPr>
        <w:t>提供培训场地，中标</w:t>
      </w:r>
      <w:r>
        <w:rPr>
          <w:rFonts w:ascii="宋体" w:hAnsi="宋体" w:cs="宋体" w:hint="eastAsia"/>
          <w:spacing w:val="2"/>
          <w:szCs w:val="21"/>
        </w:rPr>
        <w:t>方</w:t>
      </w:r>
      <w:r>
        <w:rPr>
          <w:rFonts w:ascii="宋体" w:hAnsi="宋体" w:cs="宋体"/>
          <w:spacing w:val="2"/>
          <w:szCs w:val="21"/>
        </w:rPr>
        <w:t>负责提供设备</w:t>
      </w:r>
      <w:r>
        <w:rPr>
          <w:rFonts w:ascii="宋体" w:hAnsi="宋体" w:cs="宋体"/>
          <w:spacing w:val="1"/>
          <w:szCs w:val="21"/>
        </w:rPr>
        <w:t>技术培训服务。</w:t>
      </w:r>
      <w:r>
        <w:rPr>
          <w:rFonts w:ascii="宋体" w:hAnsi="宋体" w:cs="宋体"/>
          <w:spacing w:val="4"/>
          <w:szCs w:val="21"/>
        </w:rPr>
        <w:t>培训内容包括但不限于：</w:t>
      </w:r>
      <w:r>
        <w:rPr>
          <w:rFonts w:ascii="宋体" w:hAnsi="宋体" w:cs="宋体"/>
          <w:spacing w:val="2"/>
          <w:szCs w:val="21"/>
        </w:rPr>
        <w:t>设备工作原理</w:t>
      </w:r>
      <w:r>
        <w:rPr>
          <w:rFonts w:ascii="宋体" w:hAnsi="宋体" w:cs="宋体" w:hint="eastAsia"/>
          <w:spacing w:val="2"/>
          <w:szCs w:val="21"/>
        </w:rPr>
        <w:t>、</w:t>
      </w:r>
      <w:r>
        <w:rPr>
          <w:rFonts w:ascii="宋体" w:hAnsi="宋体" w:cs="宋体"/>
          <w:spacing w:val="4"/>
          <w:szCs w:val="21"/>
        </w:rPr>
        <w:t>设备</w:t>
      </w:r>
      <w:r>
        <w:rPr>
          <w:rFonts w:ascii="宋体" w:hAnsi="宋体" w:cs="宋体"/>
          <w:spacing w:val="2"/>
          <w:szCs w:val="21"/>
        </w:rPr>
        <w:t>使用和故障</w:t>
      </w:r>
      <w:r>
        <w:rPr>
          <w:rFonts w:ascii="宋体" w:hAnsi="宋体" w:cs="宋体"/>
          <w:spacing w:val="-9"/>
          <w:szCs w:val="21"/>
        </w:rPr>
        <w:t>维</w:t>
      </w:r>
      <w:r>
        <w:rPr>
          <w:rFonts w:ascii="宋体" w:hAnsi="宋体" w:cs="宋体"/>
          <w:spacing w:val="-7"/>
          <w:szCs w:val="21"/>
        </w:rPr>
        <w:t>修等。</w:t>
      </w:r>
    </w:p>
    <w:p>
      <w:pPr>
        <w:spacing w:before="1" w:line="219" w:lineRule="auto"/>
        <w:ind w:left="446"/>
        <w:rPr>
          <w:rFonts w:ascii="宋体" w:hAnsi="宋体" w:cs="宋体"/>
          <w:szCs w:val="21"/>
        </w:rPr>
      </w:pPr>
      <w:r>
        <w:rPr>
          <w:rFonts w:ascii="宋体" w:hAnsi="宋体" w:cs="宋体" w:hint="eastAsia"/>
          <w:spacing w:val="-1"/>
          <w:szCs w:val="21"/>
        </w:rPr>
        <w:t>（五）</w:t>
      </w:r>
      <w:r>
        <w:rPr>
          <w:rFonts w:ascii="宋体" w:hAnsi="宋体" w:cs="宋体"/>
          <w:spacing w:val="-1"/>
          <w:szCs w:val="21"/>
        </w:rPr>
        <w:t>升级服务</w:t>
      </w:r>
    </w:p>
    <w:p>
      <w:pPr>
        <w:spacing w:before="159" w:line="359" w:lineRule="auto"/>
        <w:ind w:left="23" w:right="195" w:firstLine="422"/>
        <w:rPr>
          <w:rFonts w:ascii="宋体" w:hAnsi="宋体" w:cs="宋体"/>
          <w:szCs w:val="21"/>
        </w:rPr>
      </w:pPr>
      <w:r>
        <w:rPr>
          <w:rFonts w:ascii="宋体" w:hAnsi="宋体" w:cs="宋体"/>
          <w:spacing w:val="3"/>
          <w:szCs w:val="21"/>
        </w:rPr>
        <w:t>项目</w:t>
      </w:r>
      <w:r>
        <w:rPr>
          <w:rFonts w:ascii="宋体" w:hAnsi="宋体" w:cs="宋体" w:hint="eastAsia"/>
          <w:spacing w:val="3"/>
          <w:szCs w:val="21"/>
        </w:rPr>
        <w:t>现场验收</w:t>
      </w:r>
      <w:r>
        <w:rPr>
          <w:rFonts w:ascii="宋体" w:hAnsi="宋体" w:cs="宋体"/>
          <w:spacing w:val="3"/>
          <w:szCs w:val="21"/>
        </w:rPr>
        <w:t>前，中标人同型号</w:t>
      </w:r>
      <w:r>
        <w:rPr>
          <w:rFonts w:ascii="宋体" w:hAnsi="宋体" w:cs="宋体" w:hint="eastAsia"/>
          <w:spacing w:val="3"/>
          <w:szCs w:val="21"/>
        </w:rPr>
        <w:t>软硬件</w:t>
      </w:r>
      <w:r>
        <w:rPr>
          <w:rFonts w:ascii="宋体" w:hAnsi="宋体" w:cs="宋体"/>
          <w:spacing w:val="3"/>
          <w:szCs w:val="21"/>
        </w:rPr>
        <w:t>产品如有升级，需同步将已交付的产品升级，保证</w:t>
      </w:r>
      <w:r>
        <w:rPr>
          <w:rFonts w:ascii="宋体" w:hAnsi="宋体" w:cs="宋体"/>
          <w:spacing w:val="2"/>
          <w:szCs w:val="21"/>
        </w:rPr>
        <w:t>交</w:t>
      </w:r>
      <w:r>
        <w:rPr>
          <w:rFonts w:ascii="宋体" w:hAnsi="宋体" w:cs="宋体"/>
          <w:szCs w:val="21"/>
        </w:rPr>
        <w:t>付招</w:t>
      </w:r>
      <w:r>
        <w:rPr>
          <w:rFonts w:ascii="宋体" w:hAnsi="宋体" w:cs="宋体"/>
          <w:spacing w:val="-6"/>
          <w:szCs w:val="21"/>
        </w:rPr>
        <w:t>标人的产品</w:t>
      </w:r>
      <w:r>
        <w:rPr>
          <w:rFonts w:ascii="宋体" w:hAnsi="宋体" w:cs="宋体" w:hint="eastAsia"/>
          <w:spacing w:val="-6"/>
          <w:szCs w:val="21"/>
        </w:rPr>
        <w:t>均</w:t>
      </w:r>
      <w:r>
        <w:rPr>
          <w:rFonts w:ascii="宋体" w:hAnsi="宋体" w:cs="宋体"/>
          <w:spacing w:val="-6"/>
          <w:szCs w:val="21"/>
        </w:rPr>
        <w:t>为同型号且最新批次产品</w:t>
      </w:r>
      <w:r>
        <w:rPr>
          <w:rFonts w:ascii="宋体" w:hAnsi="宋体" w:cs="宋体"/>
          <w:spacing w:val="-5"/>
          <w:szCs w:val="21"/>
        </w:rPr>
        <w:t>。</w:t>
      </w:r>
    </w:p>
    <w:p>
      <w:pPr>
        <w:spacing w:before="159" w:line="360" w:lineRule="auto"/>
        <w:ind w:left="446"/>
        <w:rPr>
          <w:rFonts w:ascii="宋体" w:hAnsi="宋体" w:cs="宋体"/>
          <w:szCs w:val="21"/>
        </w:rPr>
      </w:pPr>
      <w:r>
        <w:rPr>
          <w:rFonts w:ascii="宋体" w:hAnsi="宋体" w:cs="宋体" w:hint="eastAsia"/>
          <w:spacing w:val="-3"/>
          <w:szCs w:val="21"/>
        </w:rPr>
        <w:t>（六）</w:t>
      </w:r>
      <w:r>
        <w:rPr>
          <w:rFonts w:ascii="宋体" w:hAnsi="宋体" w:cs="宋体"/>
          <w:spacing w:val="-3"/>
          <w:szCs w:val="21"/>
        </w:rPr>
        <w:t>交</w:t>
      </w:r>
      <w:r>
        <w:rPr>
          <w:rFonts w:ascii="宋体" w:hAnsi="宋体" w:cs="宋体"/>
          <w:spacing w:val="-2"/>
          <w:szCs w:val="21"/>
        </w:rPr>
        <w:t>货地点：招标人指定。</w:t>
      </w:r>
    </w:p>
    <w:p>
      <w:pPr>
        <w:spacing w:before="41" w:line="360" w:lineRule="auto"/>
        <w:ind w:left="445"/>
        <w:rPr>
          <w:rFonts w:ascii="宋体" w:hAnsi="宋体" w:cs="宋体"/>
          <w:szCs w:val="21"/>
        </w:rPr>
      </w:pPr>
      <w:r>
        <w:rPr>
          <w:rFonts w:ascii="宋体" w:hAnsi="宋体" w:cs="宋体" w:hint="eastAsia"/>
          <w:spacing w:val="-1"/>
          <w:szCs w:val="21"/>
        </w:rPr>
        <w:t>（七）</w:t>
      </w:r>
      <w:r>
        <w:rPr>
          <w:rFonts w:ascii="宋体" w:hAnsi="宋体" w:cs="宋体"/>
          <w:szCs w:val="21"/>
        </w:rPr>
        <w:t>产品质保期</w:t>
      </w:r>
      <w:r>
        <w:rPr>
          <w:rFonts w:ascii="宋体" w:hAnsi="宋体" w:cs="宋体" w:hint="eastAsia"/>
          <w:szCs w:val="21"/>
        </w:rPr>
        <w:t>：</w:t>
      </w:r>
      <w:r>
        <w:rPr>
          <w:rFonts w:ascii="宋体" w:hAnsi="宋体" w:cs="宋体"/>
          <w:szCs w:val="21"/>
        </w:rPr>
        <w:t>自现场验收合格</w:t>
      </w:r>
      <w:r>
        <w:rPr>
          <w:rFonts w:ascii="宋体" w:hAnsi="宋体" w:cs="宋体" w:hint="eastAsia"/>
          <w:szCs w:val="21"/>
        </w:rPr>
        <w:t>之</w:t>
      </w:r>
      <w:r>
        <w:rPr>
          <w:rFonts w:ascii="宋体" w:hAnsi="宋体" w:cs="宋体"/>
          <w:szCs w:val="21"/>
        </w:rPr>
        <w:t>日起</w:t>
      </w:r>
      <w:r>
        <w:rPr>
          <w:rFonts w:ascii="宋体" w:hAnsi="宋体" w:cs="宋体" w:hint="eastAsia"/>
          <w:szCs w:val="21"/>
          <w:u w:val="single"/>
        </w:rPr>
        <w:t>8</w:t>
      </w:r>
      <w:r>
        <w:rPr>
          <w:rFonts w:ascii="宋体" w:hAnsi="宋体" w:cs="宋体"/>
          <w:szCs w:val="21"/>
          <w:u w:val="single"/>
        </w:rPr>
        <w:t>年</w:t>
      </w:r>
      <w:r>
        <w:rPr>
          <w:rFonts w:ascii="宋体" w:hAnsi="宋体" w:cs="宋体"/>
          <w:szCs w:val="21"/>
        </w:rPr>
        <w:t>。</w:t>
      </w:r>
    </w:p>
    <w:p>
      <w:pPr>
        <w:spacing w:line="360" w:lineRule="auto"/>
        <w:ind w:left="445"/>
        <w:rPr>
          <w:rFonts w:ascii="宋体" w:hAnsi="宋体" w:cs="宋体"/>
          <w:szCs w:val="21"/>
        </w:rPr>
      </w:pPr>
      <w:r>
        <w:rPr>
          <w:rFonts w:ascii="宋体" w:hAnsi="宋体" w:cs="宋体" w:hint="eastAsia"/>
          <w:spacing w:val="-1"/>
          <w:szCs w:val="21"/>
        </w:rPr>
        <w:t>（八）</w:t>
      </w:r>
      <w:r>
        <w:rPr>
          <w:rFonts w:ascii="宋体" w:hAnsi="宋体" w:cs="宋体"/>
          <w:szCs w:val="21"/>
        </w:rPr>
        <w:t>售后服务内容</w:t>
      </w:r>
    </w:p>
    <w:p>
      <w:pPr>
        <w:spacing w:line="360" w:lineRule="auto"/>
        <w:ind w:left="22" w:right="179" w:firstLine="425"/>
        <w:rPr>
          <w:rFonts w:ascii="宋体" w:hAnsi="宋体" w:cs="宋体"/>
          <w:spacing w:val="-1"/>
          <w:szCs w:val="21"/>
        </w:rPr>
      </w:pPr>
      <w:r>
        <w:rPr>
          <w:rFonts w:ascii="宋体" w:hAnsi="宋体" w:cs="宋体"/>
          <w:spacing w:val="-1"/>
          <w:szCs w:val="21"/>
        </w:rPr>
        <w:t>(1)</w:t>
      </w:r>
      <w:r>
        <w:rPr>
          <w:rFonts w:ascii="宋体" w:hAnsi="宋体" w:cs="宋体" w:hint="eastAsia"/>
          <w:spacing w:val="-2"/>
          <w:szCs w:val="21"/>
        </w:rPr>
        <w:t>中标方需提供详细售后服务方案，包括设备售后服务组织机构、人员组成、技术支持文档等。其中，售后服务组织机构设置合理，人员技术能力强，技术文档内容全面。</w:t>
      </w:r>
    </w:p>
    <w:p>
      <w:pPr>
        <w:spacing w:line="360" w:lineRule="auto"/>
        <w:ind w:left="22" w:right="179" w:firstLine="425"/>
        <w:rPr>
          <w:rFonts w:ascii="宋体" w:hAnsi="宋体" w:cs="宋体"/>
          <w:szCs w:val="21"/>
        </w:rPr>
      </w:pPr>
      <w:r>
        <w:rPr>
          <w:rFonts w:ascii="宋体" w:hAnsi="宋体" w:cs="宋体" w:hint="eastAsia"/>
          <w:spacing w:val="-1"/>
          <w:szCs w:val="21"/>
        </w:rPr>
        <w:t>(2</w:t>
      </w:r>
      <w:r>
        <w:rPr>
          <w:rFonts w:ascii="宋体" w:hAnsi="宋体" w:cs="宋体"/>
          <w:spacing w:val="-1"/>
          <w:szCs w:val="21"/>
        </w:rPr>
        <w:t>)</w:t>
      </w:r>
      <w:r>
        <w:rPr>
          <w:rFonts w:ascii="宋体" w:hAnsi="宋体" w:cs="宋体" w:hint="eastAsia"/>
          <w:spacing w:val="-1"/>
          <w:szCs w:val="21"/>
        </w:rPr>
        <w:t>自设备</w:t>
      </w:r>
      <w:r>
        <w:rPr>
          <w:rFonts w:ascii="宋体" w:hAnsi="宋体" w:cs="宋体"/>
          <w:szCs w:val="21"/>
        </w:rPr>
        <w:t>通过</w:t>
      </w:r>
      <w:r>
        <w:rPr>
          <w:rFonts w:ascii="宋体" w:hAnsi="宋体" w:cs="宋体" w:hint="eastAsia"/>
          <w:szCs w:val="21"/>
        </w:rPr>
        <w:t>现场验收</w:t>
      </w:r>
      <w:r>
        <w:rPr>
          <w:rFonts w:ascii="宋体" w:hAnsi="宋体" w:cs="宋体"/>
          <w:szCs w:val="21"/>
        </w:rPr>
        <w:t>次日起，中标</w:t>
      </w:r>
      <w:r>
        <w:rPr>
          <w:rFonts w:ascii="宋体" w:hAnsi="宋体" w:cs="宋体" w:hint="eastAsia"/>
          <w:szCs w:val="21"/>
        </w:rPr>
        <w:t>方</w:t>
      </w:r>
      <w:r>
        <w:rPr>
          <w:rFonts w:ascii="宋体" w:hAnsi="宋体" w:cs="宋体"/>
          <w:szCs w:val="21"/>
        </w:rPr>
        <w:t>提供</w:t>
      </w:r>
      <w:r>
        <w:rPr>
          <w:rFonts w:ascii="宋体" w:hAnsi="宋体" w:cs="宋体"/>
          <w:szCs w:val="21"/>
          <w:u w:val="single"/>
        </w:rPr>
        <w:t xml:space="preserve"> </w:t>
      </w:r>
      <w:r>
        <w:rPr>
          <w:rFonts w:ascii="宋体" w:hAnsi="宋体" w:cs="宋体" w:hint="eastAsia"/>
          <w:szCs w:val="21"/>
          <w:u w:val="single"/>
        </w:rPr>
        <w:t>8</w:t>
      </w:r>
      <w:r>
        <w:rPr>
          <w:rFonts w:ascii="宋体" w:hAnsi="宋体" w:cs="宋体"/>
          <w:szCs w:val="21"/>
          <w:u w:val="single"/>
        </w:rPr>
        <w:t>年</w:t>
      </w:r>
      <w:r>
        <w:rPr>
          <w:rFonts w:ascii="宋体" w:hAnsi="宋体" w:cs="宋体"/>
          <w:szCs w:val="21"/>
        </w:rPr>
        <w:t>的售后服务及质</w:t>
      </w:r>
      <w:r>
        <w:rPr>
          <w:rFonts w:ascii="宋体" w:hAnsi="宋体" w:cs="宋体"/>
          <w:spacing w:val="4"/>
          <w:szCs w:val="21"/>
        </w:rPr>
        <w:t>保，在质保期内中标</w:t>
      </w:r>
      <w:r>
        <w:rPr>
          <w:rFonts w:ascii="宋体" w:hAnsi="宋体" w:cs="宋体" w:hint="eastAsia"/>
          <w:spacing w:val="4"/>
          <w:szCs w:val="21"/>
        </w:rPr>
        <w:t>方</w:t>
      </w:r>
      <w:r>
        <w:rPr>
          <w:rFonts w:ascii="宋体" w:hAnsi="宋体" w:cs="宋体"/>
          <w:spacing w:val="4"/>
          <w:szCs w:val="21"/>
        </w:rPr>
        <w:t>为</w:t>
      </w:r>
      <w:r>
        <w:rPr>
          <w:rFonts w:ascii="宋体" w:hAnsi="宋体" w:cs="宋体"/>
          <w:spacing w:val="3"/>
          <w:szCs w:val="21"/>
        </w:rPr>
        <w:t>招</w:t>
      </w:r>
      <w:r>
        <w:rPr>
          <w:rFonts w:ascii="宋体" w:hAnsi="宋体" w:cs="宋体"/>
          <w:spacing w:val="2"/>
          <w:szCs w:val="21"/>
        </w:rPr>
        <w:t>标</w:t>
      </w:r>
      <w:r>
        <w:rPr>
          <w:rFonts w:ascii="宋体" w:hAnsi="宋体" w:cs="宋体" w:hint="eastAsia"/>
          <w:spacing w:val="2"/>
          <w:szCs w:val="21"/>
        </w:rPr>
        <w:t>方</w:t>
      </w:r>
      <w:r>
        <w:rPr>
          <w:rFonts w:ascii="宋体" w:hAnsi="宋体" w:cs="宋体"/>
          <w:spacing w:val="2"/>
          <w:szCs w:val="21"/>
        </w:rPr>
        <w:t>提供正常使用情况下的</w:t>
      </w:r>
      <w:r>
        <w:rPr>
          <w:rFonts w:ascii="宋体" w:hAnsi="宋体" w:cs="宋体" w:hint="eastAsia"/>
          <w:spacing w:val="2"/>
          <w:szCs w:val="21"/>
        </w:rPr>
        <w:t>无偿解决（</w:t>
      </w:r>
      <w:r>
        <w:rPr>
          <w:rFonts w:ascii="宋体" w:hAnsi="宋体" w:cs="宋体"/>
          <w:spacing w:val="2"/>
          <w:szCs w:val="21"/>
        </w:rPr>
        <w:t>维修或更换</w:t>
      </w:r>
      <w:r>
        <w:rPr>
          <w:rFonts w:ascii="宋体" w:hAnsi="宋体" w:cs="宋体" w:hint="eastAsia"/>
          <w:spacing w:val="2"/>
          <w:szCs w:val="21"/>
        </w:rPr>
        <w:t>）</w:t>
      </w:r>
      <w:r>
        <w:rPr>
          <w:rFonts w:ascii="宋体" w:hAnsi="宋体" w:cs="宋体"/>
          <w:spacing w:val="2"/>
          <w:szCs w:val="21"/>
        </w:rPr>
        <w:t>所有</w:t>
      </w:r>
      <w:r>
        <w:rPr>
          <w:rFonts w:ascii="宋体" w:hAnsi="宋体" w:cs="宋体"/>
          <w:spacing w:val="10"/>
          <w:szCs w:val="21"/>
        </w:rPr>
        <w:t>的故</w:t>
      </w:r>
      <w:r>
        <w:rPr>
          <w:rFonts w:ascii="宋体" w:hAnsi="宋体" w:cs="宋体"/>
          <w:spacing w:val="7"/>
          <w:szCs w:val="21"/>
        </w:rPr>
        <w:t>障</w:t>
      </w:r>
      <w:r>
        <w:rPr>
          <w:rFonts w:ascii="宋体" w:hAnsi="宋体" w:cs="宋体"/>
          <w:spacing w:val="5"/>
          <w:szCs w:val="21"/>
        </w:rPr>
        <w:t>模块、元件(含耗材)，修复设计</w:t>
      </w:r>
      <w:r>
        <w:rPr>
          <w:rFonts w:ascii="宋体" w:hAnsi="宋体" w:cs="宋体" w:hint="eastAsia"/>
          <w:spacing w:val="5"/>
          <w:szCs w:val="21"/>
        </w:rPr>
        <w:t>和软</w:t>
      </w:r>
      <w:r>
        <w:rPr>
          <w:rFonts w:ascii="宋体" w:hAnsi="宋体" w:cs="宋体"/>
          <w:spacing w:val="-3"/>
          <w:szCs w:val="21"/>
        </w:rPr>
        <w:t>硬件升级等服务。</w:t>
      </w:r>
      <w:r>
        <w:rPr>
          <w:rFonts w:ascii="宋体" w:hAnsi="宋体" w:cs="宋体" w:hint="eastAsia"/>
          <w:spacing w:val="-3"/>
          <w:szCs w:val="21"/>
        </w:rPr>
        <w:t>需提供设备质保承诺函原件（格式自拟）。</w:t>
      </w:r>
    </w:p>
    <w:p>
      <w:pPr>
        <w:spacing w:line="360" w:lineRule="auto"/>
        <w:ind w:left="23" w:right="179" w:firstLine="424"/>
        <w:rPr>
          <w:rFonts w:ascii="宋体" w:hAnsi="宋体" w:cs="宋体"/>
          <w:szCs w:val="21"/>
        </w:rPr>
      </w:pPr>
      <w:r>
        <w:rPr>
          <w:rFonts w:ascii="宋体" w:hAnsi="宋体" w:cs="宋体"/>
          <w:spacing w:val="4"/>
          <w:szCs w:val="21"/>
        </w:rPr>
        <w:t>(3)</w:t>
      </w:r>
      <w:r>
        <w:rPr>
          <w:rFonts w:ascii="宋体" w:hAnsi="宋体" w:cs="宋体" w:hint="eastAsia"/>
          <w:spacing w:val="4"/>
          <w:szCs w:val="21"/>
        </w:rPr>
        <w:t>质</w:t>
      </w:r>
      <w:r>
        <w:rPr>
          <w:rFonts w:ascii="宋体" w:hAnsi="宋体" w:cs="宋体"/>
          <w:spacing w:val="2"/>
          <w:szCs w:val="21"/>
        </w:rPr>
        <w:t>保期内，系统如有任何异常或故障发生，中标</w:t>
      </w:r>
      <w:r>
        <w:rPr>
          <w:rFonts w:ascii="宋体" w:hAnsi="宋体" w:cs="宋体" w:hint="eastAsia"/>
          <w:spacing w:val="2"/>
          <w:szCs w:val="21"/>
        </w:rPr>
        <w:t>方</w:t>
      </w:r>
      <w:r>
        <w:rPr>
          <w:rFonts w:ascii="宋体" w:hAnsi="宋体" w:cs="宋体"/>
          <w:spacing w:val="2"/>
          <w:szCs w:val="21"/>
        </w:rPr>
        <w:t>应调查</w:t>
      </w:r>
      <w:r>
        <w:rPr>
          <w:rFonts w:ascii="宋体" w:hAnsi="宋体" w:cs="宋体"/>
          <w:spacing w:val="1"/>
          <w:szCs w:val="21"/>
        </w:rPr>
        <w:t>原</w:t>
      </w:r>
      <w:r>
        <w:rPr>
          <w:rFonts w:ascii="宋体" w:hAnsi="宋体" w:cs="宋体"/>
          <w:szCs w:val="21"/>
        </w:rPr>
        <w:t>因并及时修复。中标</w:t>
      </w:r>
      <w:r>
        <w:rPr>
          <w:rFonts w:ascii="宋体" w:hAnsi="宋体" w:cs="宋体" w:hint="eastAsia"/>
          <w:szCs w:val="21"/>
        </w:rPr>
        <w:t>方</w:t>
      </w:r>
      <w:r>
        <w:rPr>
          <w:rFonts w:ascii="宋体" w:hAnsi="宋体" w:cs="宋体"/>
          <w:szCs w:val="21"/>
        </w:rPr>
        <w:t>应提供7×24小时技术支持热线电话，在发生故障的情况下，中</w:t>
      </w:r>
      <w:r>
        <w:rPr>
          <w:rFonts w:ascii="宋体" w:hAnsi="宋体" w:cs="宋体"/>
          <w:spacing w:val="-14"/>
          <w:szCs w:val="21"/>
        </w:rPr>
        <w:t>标</w:t>
      </w:r>
      <w:r>
        <w:rPr>
          <w:rFonts w:ascii="宋体" w:hAnsi="宋体" w:cs="宋体" w:hint="eastAsia"/>
          <w:spacing w:val="-14"/>
          <w:szCs w:val="21"/>
        </w:rPr>
        <w:t>方</w:t>
      </w:r>
      <w:r>
        <w:rPr>
          <w:rFonts w:ascii="宋体" w:hAnsi="宋体" w:cs="宋体"/>
          <w:spacing w:val="-14"/>
          <w:szCs w:val="21"/>
        </w:rPr>
        <w:t>应</w:t>
      </w:r>
      <w:r>
        <w:rPr>
          <w:rFonts w:ascii="宋体" w:hAnsi="宋体" w:cs="宋体"/>
          <w:spacing w:val="-11"/>
          <w:szCs w:val="21"/>
        </w:rPr>
        <w:t>承</w:t>
      </w:r>
      <w:r>
        <w:rPr>
          <w:rFonts w:ascii="宋体" w:hAnsi="宋体" w:cs="宋体"/>
          <w:spacing w:val="-7"/>
          <w:szCs w:val="21"/>
        </w:rPr>
        <w:t>诺在4个小时内响应，确定需现场解决后，48小时内赶到故障现场。</w:t>
      </w:r>
      <w:r>
        <w:rPr>
          <w:rFonts w:ascii="宋体" w:hAnsi="宋体" w:cs="宋体" w:hint="eastAsia"/>
          <w:spacing w:val="-7"/>
          <w:szCs w:val="21"/>
        </w:rPr>
        <w:t>在质保期内，设备供应商对每套投标产品提供</w:t>
      </w:r>
      <w:r>
        <w:rPr>
          <w:rFonts w:ascii="宋体" w:hAnsi="宋体" w:cs="宋体" w:hint="eastAsia"/>
          <w:spacing w:val="-7"/>
          <w:szCs w:val="21"/>
          <w:u w:val="single"/>
        </w:rPr>
        <w:t xml:space="preserve"> 2 次</w:t>
      </w:r>
      <w:r>
        <w:rPr>
          <w:rFonts w:ascii="宋体" w:hAnsi="宋体" w:cs="宋体" w:hint="eastAsia"/>
          <w:spacing w:val="-7"/>
          <w:szCs w:val="21"/>
        </w:rPr>
        <w:t>机外定标服务，定标时间及地点根据设备安装地点双方协商确定。</w:t>
      </w:r>
    </w:p>
    <w:p>
      <w:pPr>
        <w:spacing w:line="360" w:lineRule="auto"/>
        <w:ind w:left="23" w:right="181" w:firstLine="425"/>
        <w:rPr>
          <w:rFonts w:ascii="宋体" w:hAnsi="宋体" w:cs="宋体"/>
          <w:spacing w:val="-2"/>
          <w:szCs w:val="21"/>
        </w:rPr>
      </w:pPr>
      <w:r>
        <w:rPr>
          <w:rFonts w:ascii="宋体" w:hAnsi="宋体" w:cs="宋体"/>
          <w:spacing w:val="4"/>
          <w:szCs w:val="21"/>
        </w:rPr>
        <w:t>(4)提供超过质保期</w:t>
      </w:r>
      <w:r>
        <w:rPr>
          <w:rFonts w:ascii="宋体" w:hAnsi="宋体" w:cs="宋体"/>
          <w:spacing w:val="3"/>
          <w:szCs w:val="21"/>
        </w:rPr>
        <w:t>后</w:t>
      </w:r>
      <w:r>
        <w:rPr>
          <w:rFonts w:ascii="宋体" w:hAnsi="宋体" w:cs="宋体"/>
          <w:spacing w:val="2"/>
          <w:szCs w:val="21"/>
        </w:rPr>
        <w:t>的技术跟踪服务，包含电话疑难问题解答、远程技术指导</w:t>
      </w:r>
      <w:r>
        <w:rPr>
          <w:rFonts w:ascii="宋体" w:hAnsi="宋体" w:cs="宋体"/>
          <w:spacing w:val="4"/>
          <w:szCs w:val="21"/>
        </w:rPr>
        <w:t>等</w:t>
      </w:r>
      <w:r>
        <w:rPr>
          <w:rFonts w:ascii="宋体" w:hAnsi="宋体" w:cs="宋体"/>
          <w:spacing w:val="2"/>
          <w:szCs w:val="21"/>
        </w:rPr>
        <w:t>。如需进行设备维护维修、备件更换、软硬</w:t>
      </w:r>
      <w:r>
        <w:rPr>
          <w:rFonts w:ascii="宋体" w:hAnsi="宋体" w:cs="宋体"/>
          <w:spacing w:val="-3"/>
          <w:szCs w:val="21"/>
        </w:rPr>
        <w:t>件功能升级等，费用另计</w:t>
      </w:r>
      <w:r>
        <w:rPr>
          <w:rFonts w:ascii="宋体" w:hAnsi="宋体" w:cs="宋体"/>
          <w:spacing w:val="-2"/>
          <w:szCs w:val="21"/>
        </w:rPr>
        <w:t>。</w:t>
      </w:r>
    </w:p>
    <w:p>
      <w:pPr>
        <w:spacing w:line="360" w:lineRule="auto"/>
        <w:ind w:left="445"/>
        <w:rPr>
          <w:rFonts w:ascii="宋体" w:hAnsi="宋体" w:cs="宋体"/>
          <w:szCs w:val="21"/>
        </w:rPr>
      </w:pPr>
      <w:r>
        <w:rPr>
          <w:rFonts w:ascii="宋体" w:hAnsi="宋体" w:cs="宋体" w:hint="eastAsia"/>
          <w:spacing w:val="-1"/>
          <w:szCs w:val="21"/>
        </w:rPr>
        <w:t>（九）</w:t>
      </w:r>
      <w:r>
        <w:rPr>
          <w:rFonts w:ascii="宋体" w:hAnsi="宋体" w:cs="宋体" w:hint="eastAsia"/>
          <w:szCs w:val="21"/>
        </w:rPr>
        <w:t>其它</w:t>
      </w:r>
    </w:p>
    <w:p>
      <w:pPr>
        <w:pStyle w:val="a2"/>
        <w:ind w:firstLine="420"/>
        <w:rPr>
          <w:bCs/>
          <w:kern w:val="0"/>
        </w:rPr>
      </w:pPr>
      <w:r>
        <w:rPr>
          <w:rFonts w:hint="eastAsia"/>
          <w:bCs/>
        </w:rPr>
        <w:t>（1）投标人按设备清单进行报价，货物和服务的报价应包括设备的采购、分别运输到安装点、装卸、仓储、保管、售后服务等确保设备正常供货和工作的全部费用。投标人所报的安装费用应包括设备安装、调试、开通、性能检验、验收配合等，确保系统正常工作的全部安装费用以及安装时所需的线材等材料的采购，运输，装卸，仓储和保管等费用。</w:t>
      </w:r>
    </w:p>
    <w:p>
      <w:pPr>
        <w:pStyle w:val="a2"/>
        <w:ind w:firstLine="420"/>
        <w:rPr>
          <w:bCs/>
        </w:rPr>
      </w:pPr>
      <w:r>
        <w:rPr>
          <w:rFonts w:hint="eastAsia"/>
          <w:bCs/>
        </w:rPr>
        <w:t>投标总报价一次报定，包括劳务、制作、调试、分别运输到安装点、管理、维护、保险、利润、税金、政策性文件规定及合同包含的所有风险、责任等各项应有费用，安装调试、培训费用、售后服务费用以及相关知识产权和所需缴纳的任何税费。</w:t>
      </w:r>
    </w:p>
    <w:p>
      <w:pPr>
        <w:pStyle w:val="a2"/>
        <w:ind w:firstLine="420"/>
        <w:rPr>
          <w:bCs/>
        </w:rPr>
      </w:pPr>
      <w:r>
        <w:rPr>
          <w:rFonts w:hint="eastAsia"/>
          <w:bCs/>
        </w:rPr>
        <w:t>在安装、调试、验收过程中，如发现有漏项、缺件，卖方应无条件、无偿补齐，所发生的一切费用，视为已包含在卖方投标时的投标报价之中，且并不因此而影响交付买方使用的时间。</w:t>
      </w:r>
    </w:p>
    <w:p>
      <w:pPr>
        <w:pStyle w:val="a2"/>
        <w:ind w:firstLine="420"/>
        <w:rPr>
          <w:bCs/>
        </w:rPr>
      </w:pPr>
      <w:r>
        <w:rPr>
          <w:rFonts w:hint="eastAsia"/>
          <w:bCs/>
        </w:rPr>
        <w:t>在本招标文件未列出而投标人认为要单独列出的报价项目，投标人可增加列出，并计入“价格合计”中。</w:t>
      </w:r>
    </w:p>
    <w:p>
      <w:pPr>
        <w:pStyle w:val="a2"/>
        <w:ind w:firstLine="420"/>
        <w:rPr>
          <w:bCs/>
          <w:lang w:val="en-US"/>
        </w:rPr>
      </w:pPr>
      <w:r>
        <w:rPr>
          <w:rFonts w:hint="eastAsia"/>
          <w:bCs/>
          <w:lang w:val="en-US"/>
        </w:rPr>
        <w:t>（2）本项目预算为</w:t>
      </w:r>
      <w:r>
        <w:rPr>
          <w:rFonts w:hint="eastAsia"/>
          <w:bCs/>
          <w:u w:val="single"/>
          <w:lang w:val="en-US"/>
        </w:rPr>
        <w:t>1</w:t>
      </w:r>
      <w:r>
        <w:rPr>
          <w:rFonts w:hint="eastAsia"/>
          <w:bCs/>
          <w:u w:val="single"/>
          <w:lang w:val="en-US" w:eastAsia="zh-CN"/>
        </w:rPr>
        <w:t>3</w:t>
      </w:r>
      <w:r>
        <w:rPr>
          <w:rFonts w:hint="eastAsia"/>
          <w:bCs/>
          <w:u w:val="single"/>
          <w:lang w:val="en-US"/>
        </w:rPr>
        <w:t>0万元人民币</w:t>
      </w:r>
      <w:r>
        <w:rPr>
          <w:rFonts w:hint="eastAsia"/>
          <w:bCs/>
          <w:lang w:val="en-US"/>
        </w:rPr>
        <w:t xml:space="preserve">,投标人的投标报价不得超过预算。超过预算的投标文件，按无效投标处理。    </w:t>
      </w:r>
    </w:p>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07"/>
        <w:gridCol w:w="797"/>
        <w:gridCol w:w="667"/>
        <w:gridCol w:w="927"/>
        <w:gridCol w:w="1057"/>
        <w:gridCol w:w="3791"/>
        <w:gridCol w:w="915"/>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4" w:name="货物一览表_index"/>
            <w:r>
              <w:rPr>
                <w:rFonts w:asciiTheme="minorEastAsia" w:eastAsiaTheme="minorEastAsia" w:hAnsiTheme="minorEastAsia" w:cstheme="minorEastAsia" w:hint="eastAsia"/>
                <w:kern w:val="0"/>
                <w:szCs w:val="21"/>
              </w:rPr>
              <w:t>序号</w:t>
            </w:r>
            <w:bookmarkEnd w:id="64"/>
          </w:p>
        </w:tc>
        <w:tc>
          <w:tcPr>
            <w:tcW w:w="1135" w:type="dxa"/>
          </w:tcPr>
          <w:p>
            <w:pPr>
              <w:autoSpaceDE w:val="0"/>
              <w:jc w:val="center"/>
              <w:rPr>
                <w:rFonts w:asciiTheme="minorEastAsia" w:hAnsiTheme="minorEastAsia" w:cstheme="minorEastAsia"/>
                <w:kern w:val="0"/>
                <w:szCs w:val="21"/>
              </w:rPr>
            </w:pPr>
            <w:bookmarkStart w:id="65" w:name="货物一览表_goodsName"/>
            <w:r>
              <w:rPr>
                <w:rFonts w:asciiTheme="minorEastAsia" w:eastAsiaTheme="minorEastAsia" w:hAnsiTheme="minorEastAsia" w:cstheme="minorEastAsia" w:hint="eastAsia"/>
                <w:kern w:val="0"/>
                <w:szCs w:val="21"/>
              </w:rPr>
              <w:t>设备名称</w:t>
            </w:r>
            <w:bookmarkEnd w:id="65"/>
          </w:p>
        </w:tc>
        <w:tc>
          <w:tcPr>
            <w:tcW w:w="965" w:type="dxa"/>
          </w:tcPr>
          <w:p>
            <w:pPr>
              <w:autoSpaceDE w:val="0"/>
              <w:jc w:val="center"/>
              <w:rPr>
                <w:rFonts w:asciiTheme="minorEastAsia" w:hAnsiTheme="minorEastAsia" w:cstheme="minorEastAsia"/>
                <w:kern w:val="0"/>
                <w:szCs w:val="21"/>
              </w:rPr>
            </w:pPr>
            <w:bookmarkStart w:id="66" w:name="货物一览表_nums"/>
            <w:r>
              <w:rPr>
                <w:rFonts w:asciiTheme="minorEastAsia" w:eastAsiaTheme="minorEastAsia" w:hAnsiTheme="minorEastAsia" w:cstheme="minorEastAsia" w:hint="eastAsia"/>
                <w:kern w:val="0"/>
                <w:szCs w:val="21"/>
              </w:rPr>
              <w:t>采购数量</w:t>
            </w:r>
            <w:bookmarkEnd w:id="66"/>
          </w:p>
        </w:tc>
        <w:tc>
          <w:tcPr>
            <w:tcW w:w="1062" w:type="dxa"/>
          </w:tcPr>
          <w:p>
            <w:pPr>
              <w:autoSpaceDE w:val="0"/>
              <w:jc w:val="center"/>
              <w:rPr>
                <w:rFonts w:asciiTheme="minorEastAsia" w:hAnsiTheme="minorEastAsia" w:cstheme="minorEastAsia"/>
                <w:kern w:val="0"/>
                <w:szCs w:val="21"/>
              </w:rPr>
            </w:pPr>
            <w:bookmarkStart w:id="67" w:name="货物一览表_units"/>
            <w:r>
              <w:rPr>
                <w:rFonts w:asciiTheme="minorEastAsia" w:eastAsiaTheme="minorEastAsia" w:hAnsiTheme="minorEastAsia" w:cstheme="minorEastAsia" w:hint="eastAsia"/>
                <w:kern w:val="0"/>
                <w:szCs w:val="21"/>
              </w:rPr>
              <w:t>计量单位</w:t>
            </w:r>
            <w:bookmarkEnd w:id="67"/>
          </w:p>
        </w:tc>
        <w:tc>
          <w:tcPr>
            <w:tcW w:w="1220" w:type="dxa"/>
          </w:tcPr>
          <w:p>
            <w:pPr>
              <w:autoSpaceDE w:val="0"/>
              <w:jc w:val="center"/>
              <w:rPr>
                <w:rFonts w:asciiTheme="minorEastAsia" w:hAnsiTheme="minorEastAsia" w:cstheme="minorEastAsia"/>
                <w:kern w:val="0"/>
                <w:szCs w:val="21"/>
              </w:rPr>
            </w:pPr>
            <w:bookmarkStart w:id="68" w:name="货物一览表_procurementBudget"/>
            <w:r>
              <w:rPr>
                <w:rFonts w:asciiTheme="minorEastAsia" w:eastAsiaTheme="minorEastAsia" w:hAnsiTheme="minorEastAsia" w:cstheme="minorEastAsia" w:hint="eastAsia"/>
                <w:kern w:val="0"/>
                <w:szCs w:val="21"/>
              </w:rPr>
              <w:t>采购预算（元）</w:t>
            </w:r>
            <w:bookmarkEnd w:id="68"/>
          </w:p>
        </w:tc>
        <w:tc>
          <w:tcPr>
            <w:tcW w:w="1329" w:type="dxa"/>
          </w:tcPr>
          <w:p>
            <w:pPr>
              <w:autoSpaceDE w:val="0"/>
              <w:jc w:val="center"/>
              <w:rPr>
                <w:rFonts w:asciiTheme="minorEastAsia" w:hAnsiTheme="minorEastAsia" w:cstheme="minorEastAsia" w:hint="eastAsia"/>
                <w:kern w:val="0"/>
                <w:szCs w:val="21"/>
              </w:rPr>
            </w:pPr>
            <w:bookmarkStart w:id="69"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9"/>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70" w:name="货物一览表_remark"/>
            <w:r>
              <w:rPr>
                <w:rFonts w:asciiTheme="minorEastAsia" w:eastAsiaTheme="minorEastAsia" w:hAnsiTheme="minorEastAsia" w:cstheme="minorEastAsia" w:hint="eastAsia"/>
                <w:kern w:val="0"/>
                <w:szCs w:val="21"/>
              </w:rPr>
              <w:t>备注</w:t>
            </w:r>
            <w:bookmarkEnd w:id="70"/>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微波辐射计</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1,300,000.00</w:t>
            </w:r>
          </w:p>
        </w:tc>
        <w:tc>
          <w:tcPr/>
          <w:p>
            <w:pPr>
              <w:autoSpaceDE w:val="0"/>
              <w:jc w:val="center"/>
              <w:rPr>
                <w:rFonts w:asciiTheme="minorEastAsia" w:hAnsiTheme="minorEastAsia" w:cstheme="minorEastAsia" w:hint="eastAsia"/>
                <w:kern w:val="0"/>
                <w:szCs w:val="21"/>
              </w:rPr>
            </w:pPr>
            <w:r>
              <w:t>合同签订后120天内交货，180天内完成安装调试并具备验收条件</w:t>
            </w:r>
          </w:p>
        </w:tc>
        <w:tc>
          <w:tcPr/>
          <w:p>
            <w:pPr>
              <w:autoSpaceDE w:val="0"/>
              <w:autoSpaceDN w:val="0"/>
              <w:adjustRightInd w:val="0"/>
              <w:spacing w:before="48"/>
              <w:ind w:right="-20"/>
              <w:jc w:val="center"/>
              <w:rPr>
                <w:rFonts w:asciiTheme="minorEastAsia" w:hAnsiTheme="minorEastAsia" w:cstheme="minorEastAsia"/>
                <w:kern w:val="0"/>
                <w:szCs w:val="21"/>
              </w:rPr>
            </w:pPr>
            <w:r>
              <w:t>灌云县气象局 谢禹 18352183126</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1,300,000.00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514"/>
        <w:gridCol w:w="1994"/>
        <w:gridCol w:w="1007"/>
        <w:gridCol w:w="514"/>
        <w:gridCol w:w="1172"/>
        <w:gridCol w:w="977"/>
        <w:gridCol w:w="1172"/>
        <w:gridCol w:w="117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71"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灌云县局(001040027010)</w:t>
            </w:r>
          </w:p>
        </w:tc>
        <w:tc>
          <w:tcPr/>
          <w:p>
            <w:r>
              <w:t>微波辐射计</w:t>
            </w:r>
          </w:p>
        </w:tc>
        <w:tc>
          <w:tcPr/>
          <w:p>
            <w:r>
              <w:t>1</w:t>
            </w:r>
          </w:p>
        </w:tc>
        <w:tc>
          <w:tcPr/>
          <w:p>
            <w:r>
              <w:t>1300000.00</w:t>
            </w:r>
          </w:p>
        </w:tc>
        <w:tc>
          <w:tcPr/>
          <w:p>
            <w:r>
              <w:t xml:space="preserve">1300000.00  </w:t>
            </w:r>
          </w:p>
        </w:tc>
        <w:tc>
          <w:tcPr/>
          <w:p>
            <w:r>
              <w:t>灌云县气象局</w:t>
            </w:r>
          </w:p>
        </w:tc>
        <w:tc>
          <w:tcPr/>
          <w:p>
            <w:r>
              <w:t>灌云县气象局 谢禹 18352183126</w:t>
            </w:r>
          </w:p>
        </w:tc>
      </w:tr>
    </w:tbl>
    <w:p w:rsidR="00A77B3E"/>
    <w:p>
      <w:pPr>
        <w:spacing w:line="360" w:lineRule="auto"/>
        <w:rPr>
          <w:rFonts w:ascii="宋体" w:hAnsi="宋体"/>
          <w:szCs w:val="21"/>
        </w:rPr>
      </w:pPr>
      <w:bookmarkEnd w:id="71"/>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A77B3E"/>
    <w:p>
      <w:pPr>
        <w:pStyle w:val="2"/>
        <w:keepNext w:val="0"/>
        <w:keepLines w:val="0"/>
        <w:numPr>
          <w:ilvl w:val="0"/>
          <w:numId w:val="0"/>
        </w:numPr>
        <w:spacing w:before="156" w:beforeLines="50" w:after="0" w:line="360" w:lineRule="auto"/>
        <w:jc w:val="center"/>
        <w:rPr>
          <w:b/>
          <w:color w:val="auto"/>
          <w:sz w:val="30"/>
          <w:szCs w:val="30"/>
        </w:rPr>
        <w:sectPr>
          <w:pgSz w:w="11906" w:h="16838"/>
          <w:pgMar w:top="1418" w:right="1418" w:bottom="1418" w:left="1701" w:header="851" w:footer="851" w:gutter="0"/>
          <w:cols w:space="708"/>
          <w:docGrid w:type="linesAndChars" w:linePitch="312"/>
        </w:sectPr>
      </w:pPr>
      <w:bookmarkEnd w:id="59"/>
    </w:p>
    <w:p>
      <w:pPr>
        <w:tabs>
          <w:tab w:val="left" w:pos="1573"/>
        </w:tabs>
        <w:adjustRightInd w:val="0"/>
        <w:snapToGrid w:val="0"/>
        <w:spacing w:line="360" w:lineRule="auto"/>
        <w:jc w:val="center"/>
        <w:outlineLvl w:val="1"/>
        <w:rPr>
          <w:b/>
          <w:bCs/>
          <w:sz w:val="30"/>
          <w:szCs w:val="30"/>
          <w:highlight w:val="none"/>
        </w:rPr>
      </w:pPr>
      <w:bookmarkStart w:id="72" w:name="投标被拒绝条款专用部分_JJTK"/>
      <w:r>
        <w:rPr>
          <w:rFonts w:hint="eastAsia"/>
          <w:b/>
          <w:sz w:val="30"/>
          <w:szCs w:val="30"/>
          <w:highlight w:val="none"/>
        </w:rPr>
        <w:t>第八章  投标被拒绝条款专用部分</w:t>
      </w:r>
    </w:p>
    <w:p>
      <w:pPr>
        <w:adjustRightInd w:val="0"/>
        <w:snapToGrid w:val="0"/>
        <w:spacing w:before="156" w:beforeLines="50" w:line="360" w:lineRule="auto"/>
        <w:ind w:firstLine="420"/>
        <w:rPr>
          <w:rFonts w:ascii="宋体" w:hAnsi="宋体" w:hint="eastAsia"/>
          <w:szCs w:val="21"/>
          <w:highlight w:val="none"/>
        </w:rPr>
      </w:pPr>
      <w:r>
        <w:rPr>
          <w:rFonts w:ascii="宋体" w:hAnsi="宋体" w:hint="eastAsia"/>
          <w:szCs w:val="21"/>
          <w:highlight w:val="none"/>
        </w:rPr>
        <w:t>本项目投标被拒绝专用条款详见下表。除下表及</w:t>
      </w:r>
      <w:r>
        <w:rPr>
          <w:rFonts w:ascii="黑体" w:eastAsia="黑体" w:hAnsi="黑体" w:hint="eastAsia"/>
          <w:b/>
          <w:bCs/>
          <w:szCs w:val="21"/>
          <w:highlight w:val="none"/>
        </w:rPr>
        <w:t>第三章投标被拒绝条款通用部分</w:t>
      </w:r>
      <w:r>
        <w:rPr>
          <w:rFonts w:ascii="宋体" w:hAnsi="宋体"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pPr>
              <w:rPr>
                <w:rFonts w:hint="eastAsia"/>
                <w:sz w:val="18"/>
                <w:szCs w:val="18"/>
                <w:highlight w:val="none"/>
              </w:rPr>
            </w:pPr>
            <w:r>
              <w:rPr>
                <w:rFonts w:hint="eastAsia"/>
                <w:sz w:val="18"/>
                <w:szCs w:val="18"/>
                <w:highlight w:val="none"/>
              </w:rPr>
              <w:t>序号</w:t>
            </w:r>
          </w:p>
        </w:tc>
        <w:tc>
          <w:tcPr>
            <w:tcW w:w="898" w:type="dxa"/>
            <w:noWrap w:val="0"/>
            <w:vAlign w:val="center"/>
          </w:tcPr>
          <w:p>
            <w:pPr>
              <w:jc w:val="center"/>
              <w:rPr>
                <w:rFonts w:hint="eastAsia"/>
                <w:sz w:val="18"/>
                <w:szCs w:val="18"/>
                <w:highlight w:val="none"/>
              </w:rPr>
            </w:pPr>
            <w:r>
              <w:rPr>
                <w:rFonts w:hint="eastAsia"/>
                <w:sz w:val="18"/>
                <w:szCs w:val="18"/>
                <w:highlight w:val="none"/>
              </w:rPr>
              <w:t>对应</w:t>
            </w:r>
          </w:p>
          <w:p>
            <w:pPr>
              <w:jc w:val="center"/>
              <w:rPr>
                <w:rFonts w:hint="eastAsia"/>
                <w:sz w:val="18"/>
                <w:szCs w:val="18"/>
                <w:highlight w:val="none"/>
              </w:rPr>
            </w:pPr>
            <w:r>
              <w:rPr>
                <w:rFonts w:hint="eastAsia"/>
                <w:sz w:val="18"/>
                <w:szCs w:val="18"/>
                <w:highlight w:val="none"/>
              </w:rPr>
              <w:t>条款号</w:t>
            </w:r>
          </w:p>
        </w:tc>
        <w:tc>
          <w:tcPr>
            <w:tcW w:w="7347" w:type="dxa"/>
            <w:noWrap w:val="0"/>
            <w:vAlign w:val="center"/>
          </w:tcPr>
          <w:p>
            <w:pPr>
              <w:jc w:val="center"/>
              <w:rPr>
                <w:rFonts w:hint="eastAsia"/>
                <w:sz w:val="18"/>
                <w:szCs w:val="18"/>
                <w:highlight w:val="none"/>
              </w:rPr>
            </w:pPr>
            <w:r>
              <w:rPr>
                <w:rFonts w:hint="eastAsia"/>
                <w:sz w:val="18"/>
                <w:szCs w:val="18"/>
                <w:highlight w:val="none"/>
              </w:rPr>
              <w:t>内 容</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b/>
                <w:sz w:val="18"/>
                <w:szCs w:val="18"/>
                <w:highlight w:val="none"/>
              </w:rPr>
            </w:pPr>
            <w:r>
              <w:rPr>
                <w:rFonts w:hint="eastAsia"/>
                <w:b/>
                <w:sz w:val="18"/>
                <w:szCs w:val="18"/>
                <w:highlight w:val="none"/>
              </w:rPr>
              <w:t>第五章 投标人须知专用部分</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3"/>
              </w:numPr>
              <w:ind w:left="704" w:hanging="420" w:leftChars="0" w:firstLineChars="0"/>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hint="eastAsia"/>
                <w:sz w:val="18"/>
                <w:szCs w:val="18"/>
              </w:rPr>
              <w:t>5</w:t>
            </w:r>
            <w:r>
              <w:rPr>
                <w:rFonts w:ascii="宋体" w:hAnsi="宋体"/>
                <w:sz w:val="18"/>
                <w:szCs w:val="18"/>
              </w:rPr>
              <w:t>.7</w:t>
            </w:r>
          </w:p>
        </w:tc>
        <w:tc>
          <w:tcPr>
            <w:tcW w:w="7347" w:type="dxa"/>
            <w:noWrap w:val="0"/>
            <w:vAlign w:val="top"/>
          </w:tcPr>
          <w:p>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hint="eastAsia"/>
                <w:b/>
                <w:color w:val="0000FF"/>
                <w:kern w:val="0"/>
                <w:sz w:val="18"/>
                <w:szCs w:val="18"/>
              </w:rPr>
              <w:t>投标产品应具有以下到投标截止日仍在有效期内的资质：《地基微波辐射计气象专用技术装备许可证》</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sz w:val="18"/>
                <w:szCs w:val="18"/>
                <w:highlight w:val="none"/>
              </w:rPr>
            </w:pPr>
            <w:r>
              <w:rPr>
                <w:rFonts w:hint="eastAsia"/>
                <w:b/>
                <w:sz w:val="18"/>
                <w:szCs w:val="18"/>
                <w:highlight w:val="none"/>
              </w:rPr>
              <w:t>第七章  采购需求</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3"/>
              </w:numPr>
              <w:ind w:left="704" w:hanging="420" w:leftChars="0" w:firstLineChars="0"/>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eastAsia="宋体" w:hAnsi="宋体" w:cs="宋体" w:hint="eastAsia"/>
                <w:b/>
                <w:bCs/>
                <w:color w:val="2E09E9"/>
                <w:sz w:val="18"/>
                <w:szCs w:val="18"/>
              </w:rPr>
              <w:t>四、培训、技术服务和质保期服务等要求</w:t>
            </w:r>
            <w:r>
              <w:rPr>
                <w:rFonts w:ascii="宋体" w:eastAsia="宋体" w:hAnsi="宋体" w:cs="宋体" w:hint="eastAsia"/>
                <w:b/>
                <w:bCs/>
                <w:color w:val="2E09E9"/>
                <w:sz w:val="18"/>
                <w:szCs w:val="18"/>
                <w:lang w:eastAsia="zh-CN"/>
              </w:rPr>
              <w:t>（第</w:t>
            </w:r>
            <w:r>
              <w:rPr>
                <w:rFonts w:ascii="宋体" w:eastAsia="宋体" w:hAnsi="宋体" w:cs="宋体" w:hint="eastAsia"/>
                <w:b/>
                <w:bCs/>
                <w:color w:val="2E09E9"/>
                <w:sz w:val="18"/>
                <w:szCs w:val="18"/>
                <w:lang w:val="en-US" w:eastAsia="zh-CN"/>
              </w:rPr>
              <w:t>7、8条款</w:t>
            </w:r>
            <w:r>
              <w:rPr>
                <w:rFonts w:ascii="宋体" w:eastAsia="宋体" w:hAnsi="宋体" w:cs="宋体" w:hint="eastAsia"/>
                <w:b/>
                <w:bCs/>
                <w:color w:val="2E09E9"/>
                <w:sz w:val="18"/>
                <w:szCs w:val="18"/>
                <w:lang w:eastAsia="zh-CN"/>
              </w:rPr>
              <w:t>）</w:t>
            </w:r>
          </w:p>
        </w:tc>
        <w:tc>
          <w:tcPr>
            <w:tcW w:w="7347" w:type="dxa"/>
            <w:noWrap w:val="0"/>
            <w:vAlign w:val="center"/>
          </w:tcPr>
          <w:p>
            <w:pPr>
              <w:tabs>
                <w:tab w:val="left" w:pos="709"/>
              </w:tabs>
              <w:spacing w:line="360" w:lineRule="auto"/>
              <w:jc w:val="left"/>
              <w:rPr>
                <w:rFonts w:ascii="宋体" w:hAnsi="宋体" w:hint="eastAsia"/>
                <w:sz w:val="18"/>
                <w:szCs w:val="18"/>
                <w:highlight w:val="none"/>
              </w:rPr>
            </w:pPr>
            <w:r>
              <w:rPr>
                <w:rFonts w:ascii="宋体" w:hAnsi="宋体" w:cs="微软雅黑" w:hint="eastAsia"/>
                <w:b/>
                <w:color w:val="0000FF"/>
                <w:kern w:val="0"/>
                <w:sz w:val="18"/>
                <w:szCs w:val="18"/>
              </w:rPr>
              <w:t>质保期：地基多通道微波辐射计观测系统8年，从双方签署现场安装测试报告之日开始计算保质期。</w:t>
            </w:r>
          </w:p>
        </w:tc>
      </w:tr>
    </w:tbl>
    <w:p>
      <w:pPr>
        <w:spacing w:before="156" w:beforeLines="50" w:line="360" w:lineRule="auto"/>
        <w:ind w:firstLine="420"/>
        <w:rPr>
          <w:highlight w:val="none"/>
        </w:rPr>
      </w:pPr>
      <w:r>
        <w:rPr>
          <w:rFonts w:ascii="宋体" w:hAnsi="宋体" w:hint="eastAsia"/>
          <w:szCs w:val="21"/>
          <w:highlight w:val="none"/>
        </w:rPr>
        <w:t>注：根据项目具体情况，对投标人有具体要求，且投标人必须遵守的，逐条列出。</w:t>
      </w:r>
    </w:p>
    <w:p w:rsidR="00A77B3E"/>
    <w:p>
      <w:pPr>
        <w:tabs>
          <w:tab w:val="left" w:pos="1573"/>
        </w:tabs>
        <w:adjustRightInd w:val="0"/>
        <w:snapToGrid w:val="0"/>
        <w:spacing w:line="360" w:lineRule="auto"/>
        <w:jc w:val="center"/>
        <w:outlineLvl w:val="1"/>
        <w:rPr>
          <w:b/>
          <w:bCs/>
          <w:sz w:val="30"/>
          <w:szCs w:val="30"/>
          <w:highlight w:val="none"/>
        </w:rPr>
        <w:sectPr>
          <w:headerReference w:type="default" r:id="rId6"/>
          <w:footerReference w:type="default" r:id="rId7"/>
          <w:pgSz w:w="11906" w:h="16838"/>
          <w:pgMar w:top="1440" w:right="1800" w:bottom="1440" w:left="1800" w:header="851" w:footer="992" w:gutter="0"/>
          <w:cols w:space="708"/>
          <w:docGrid w:type="lines" w:linePitch="312"/>
        </w:sectPr>
      </w:pPr>
      <w:bookmarkEnd w:id="72"/>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4"/>
        </w:numPr>
        <w:spacing w:line="360" w:lineRule="auto"/>
        <w:ind w:firstLine="3066" w:firstLineChars="1460"/>
        <w:jc w:val="left"/>
        <w:rPr>
          <w:rFonts w:hint="eastAsia"/>
          <w:b/>
          <w:bCs/>
          <w:szCs w:val="21"/>
          <w:highlight w:val="none"/>
        </w:rPr>
      </w:pPr>
      <w:bookmarkStart w:id="73" w:name="采购公告合同部分_ZBGGHT"/>
      <w:r>
        <w:rPr>
          <w:rFonts w:hint="eastAsia"/>
          <w:b/>
          <w:bCs/>
          <w:szCs w:val="21"/>
          <w:highlight w:val="none"/>
        </w:rPr>
        <w:t xml:space="preserve"> 采购合同</w:t>
      </w:r>
    </w:p>
    <w:p>
      <w:pPr>
        <w:numPr>
          <w:ilvl w:val="0"/>
          <w:numId w:val="0"/>
        </w:numPr>
        <w:spacing w:line="360" w:lineRule="auto"/>
        <w:ind w:left="1680" w:firstLine="420" w:leftChars="0" w:firstLineChars="0"/>
        <w:jc w:val="left"/>
        <w:rPr>
          <w:rFonts w:hint="eastAsia"/>
          <w:b/>
          <w:bCs/>
          <w:szCs w:val="21"/>
          <w:highlight w:val="none"/>
        </w:rPr>
      </w:pPr>
      <w:r>
        <w:rPr>
          <w:rFonts w:hint="eastAsia"/>
          <w:b/>
          <w:bCs/>
          <w:szCs w:val="21"/>
          <w:highlight w:val="none"/>
        </w:rPr>
        <w:t>必须明确合同金额支付条件及支付比例</w:t>
      </w:r>
    </w:p>
    <w:p>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74" w:name="_Toc3995"/>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pPr>
        <w:rPr>
          <w:highlight w:val="none"/>
        </w:rPr>
      </w:pPr>
    </w:p>
    <w:p>
      <w:pPr>
        <w:rPr>
          <w:rFonts w:eastAsia="黑体"/>
          <w:sz w:val="44"/>
          <w:szCs w:val="44"/>
          <w:highlight w:val="none"/>
        </w:rPr>
      </w:pPr>
      <w:r>
        <w:rPr>
          <w:rFonts w:eastAsia="黑体"/>
          <w:sz w:val="44"/>
          <w:szCs w:val="44"/>
          <w:highlight w:val="none"/>
        </w:rPr>
        <w:br w:type="page"/>
      </w:r>
    </w:p>
    <w:p>
      <w:pPr>
        <w:rPr>
          <w:rFonts w:eastAsia="黑体"/>
          <w:sz w:val="44"/>
          <w:szCs w:val="44"/>
          <w:highlight w:val="none"/>
        </w:rPr>
      </w:pPr>
    </w:p>
    <w:p>
      <w:pPr>
        <w:rPr>
          <w:rFonts w:eastAsia="黑体"/>
          <w:sz w:val="44"/>
          <w:szCs w:val="44"/>
          <w:highlight w:val="none"/>
        </w:rPr>
      </w:pPr>
    </w:p>
    <w:p>
      <w:pPr>
        <w:jc w:val="center"/>
        <w:rPr>
          <w:rFonts w:eastAsia="黑体"/>
          <w:sz w:val="44"/>
          <w:szCs w:val="44"/>
          <w:highlight w:val="none"/>
        </w:rPr>
      </w:pPr>
      <w:r>
        <w:rPr>
          <w:rFonts w:eastAsia="黑体"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74"/>
    <w:p>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75"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75"/>
    </w:p>
    <w:p>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pPr>
        <w:adjustRightInd w:val="0"/>
        <w:snapToGrid w:val="0"/>
        <w:spacing w:line="400" w:lineRule="exact"/>
        <w:rPr>
          <w:rFonts w:ascii="宋体" w:hAnsi="宋体"/>
          <w:szCs w:val="21"/>
          <w:highlight w:val="none"/>
        </w:rPr>
      </w:pPr>
      <w:r>
        <w:rPr>
          <w:rFonts w:ascii="宋体" w:hAnsi="宋体" w:hint="eastAsia"/>
          <w:szCs w:val="21"/>
          <w:highlight w:val="none"/>
        </w:rPr>
        <w:t>乙方2（全称）：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adjustRightInd w:val="0"/>
        <w:snapToGrid w:val="0"/>
        <w:spacing w:line="400" w:lineRule="exact"/>
        <w:rPr>
          <w:rFonts w:ascii="宋体" w:hAnsi="宋体"/>
          <w:szCs w:val="21"/>
          <w:highlight w:val="none"/>
        </w:rPr>
      </w:pPr>
      <w:r>
        <w:rPr>
          <w:rFonts w:hint="eastAsia"/>
          <w:highlight w:val="none"/>
        </w:rPr>
        <w:t>乙方</w:t>
      </w:r>
      <w:r>
        <w:rPr>
          <w:rFonts w:ascii="宋体" w:hAnsi="宋体" w:hint="eastAsia"/>
          <w:szCs w:val="21"/>
          <w:highlight w:val="none"/>
        </w:rPr>
        <w:t>3</w:t>
      </w:r>
      <w:r>
        <w:rPr>
          <w:rFonts w:hint="eastAsia"/>
          <w:highlight w:val="none"/>
        </w:rPr>
        <w:t>（全称）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spacing w:line="400" w:lineRule="exact"/>
        <w:rPr>
          <w:highlight w:val="none"/>
        </w:rPr>
      </w:pP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pPr>
        <w:pStyle w:val="BodyTextIndent"/>
        <w:numPr>
          <w:ilvl w:val="0"/>
          <w:numId w:val="6"/>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pPr>
        <w:pStyle w:val="12"/>
        <w:spacing w:line="400" w:lineRule="exact"/>
        <w:rPr>
          <w:highlight w:val="none"/>
        </w:rPr>
      </w:pPr>
      <w:r>
        <w:rPr>
          <w:rFonts w:ascii="宋体" w:hAnsi="宋体" w:hint="eastAsia"/>
          <w:highlight w:val="none"/>
        </w:rPr>
        <w:t>（3）付款方式（按项目实际勾选填写）：</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（应明确一次性支付合同款项的条件）                    </w:t>
      </w:r>
    </w:p>
    <w:p>
      <w:pPr>
        <w:adjustRightInd w:val="0"/>
        <w:snapToGrid w:val="0"/>
        <w:spacing w:line="400" w:lineRule="exact"/>
        <w:ind w:firstLine="630" w:firstLineChars="300"/>
        <w:rPr>
          <w:rFonts w:ascii="宋体" w:hAnsi="宋体" w:hint="eastAsia"/>
          <w:szCs w:val="21"/>
          <w:highlight w:val="none"/>
          <w:u w:val="single"/>
        </w:rPr>
      </w:pPr>
      <w:r>
        <w:rPr>
          <w:rFonts w:ascii="Wingdings" w:hAnsi="Wingdings"/>
          <w:szCs w:val="21"/>
          <w:highlight w:val="none"/>
        </w:rPr>
        <w:sym w:font="Wingdings" w:char="F0FE"/>
      </w:r>
      <w:r>
        <w:rPr>
          <w:rFonts w:ascii="宋体" w:hAnsi="宋体" w:hint="eastAsia"/>
          <w:szCs w:val="21"/>
          <w:highlight w:val="none"/>
        </w:rPr>
        <w:t>分期付款：</w:t>
      </w:r>
      <w:r>
        <w:rPr>
          <w:rFonts w:ascii="宋体" w:hAnsi="宋体" w:hint="eastAsia"/>
          <w:szCs w:val="21"/>
          <w:highlight w:val="none"/>
          <w:u w:val="single"/>
        </w:rPr>
        <w:t xml:space="preserve">  </w:t>
      </w:r>
      <w:r>
        <w:rPr>
          <w:rFonts w:ascii="宋体" w:hAnsi="宋体" w:hint="eastAsia"/>
          <w:szCs w:val="21"/>
          <w:u w:val="single"/>
        </w:rPr>
        <w:t xml:space="preserve"> 合同生效后20个工作日内付款50%，设备到货、签收后20个工作日内付款30%，项目验收合格后20个工作日内付款20%</w:t>
      </w:r>
      <w:r>
        <w:rPr>
          <w:rFonts w:ascii="宋体" w:hAnsi="宋体" w:hint="eastAsia"/>
          <w:szCs w:val="21"/>
          <w:highlight w:val="none"/>
          <w:u w:val="single"/>
        </w:rPr>
        <w:t xml:space="preserve"> </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（应明确按照成本补偿方式的支付方式和支付条件）   </w:t>
      </w:r>
    </w:p>
    <w:p>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（应明确按照绩效激励方式的支付方式和支付条件）   </w:t>
      </w:r>
    </w:p>
    <w:p>
      <w:pPr>
        <w:numPr>
          <w:ilvl w:val="0"/>
          <w:numId w:val="5"/>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none"/>
        </w:rPr>
        <w:sym w:font="Wingdings" w:char="F0A8"/>
      </w:r>
      <w:r>
        <w:rPr>
          <w:rFonts w:ascii="宋体" w:hAnsi="宋体" w:cs="宋体" w:hint="eastAsia"/>
          <w:szCs w:val="21"/>
          <w:highlight w:val="none"/>
        </w:rPr>
        <w:t xml:space="preserve">是    </w:t>
      </w:r>
      <w:r>
        <w:rPr>
          <w:rFonts w:ascii="Wingdings" w:hAnsi="Wingdings" w:cs="宋体"/>
          <w:szCs w:val="21"/>
          <w:highlight w:val="none"/>
        </w:rPr>
        <w:sym w:font="Wingdings" w:char="F0A8"/>
      </w:r>
      <w:r>
        <w:rPr>
          <w:rFonts w:ascii="宋体" w:hAnsi="宋体" w:cs="宋体" w:hint="eastAsia"/>
          <w:szCs w:val="21"/>
          <w:highlight w:val="none"/>
        </w:rPr>
        <w:t>否</w:t>
      </w:r>
    </w:p>
    <w:p>
      <w:pPr>
        <w:pStyle w:val="AONormal"/>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w:t>
      </w:r>
    </w:p>
    <w:p>
      <w:pPr>
        <w:snapToGrid w:val="0"/>
        <w:spacing w:line="400" w:lineRule="exact"/>
        <w:ind w:firstLine="420" w:firstLine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pPr>
        <w:numPr>
          <w:ilvl w:val="0"/>
          <w:numId w:val="7"/>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A8"/>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A8"/>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日内组织验收）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A8"/>
      </w:r>
      <w:r>
        <w:rPr>
          <w:rFonts w:ascii="宋体" w:hAnsi="宋体" w:hint="eastAsia"/>
          <w:bCs/>
          <w:szCs w:val="21"/>
          <w:highlight w:val="none"/>
        </w:rPr>
        <w:t xml:space="preserve">一次性验收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A8"/>
      </w:r>
      <w:r>
        <w:rPr>
          <w:rFonts w:ascii="宋体" w:eastAsia="宋体" w:hAnsi="宋体" w:cs="宋体" w:hint="eastAsia"/>
          <w:bCs/>
          <w:sz w:val="21"/>
          <w:highlight w:val="none"/>
        </w:rPr>
        <w:t>否</w:t>
      </w:r>
    </w:p>
    <w:p>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（产权过户登记等）          </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rPr>
        <w:t>份，均具有同等法律效力。</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pPr>
        <w:rPr>
          <w:highlight w:val="none"/>
        </w:rPr>
      </w:pPr>
      <w:r>
        <w:rPr>
          <w:rFonts w:hint="eastAsia"/>
          <w:highlight w:val="none"/>
        </w:rPr>
        <w:br w:type="page"/>
      </w:r>
    </w:p>
    <w:p>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891"/>
        <w:gridCol w:w="2412"/>
        <w:gridCol w:w="1978"/>
        <w:gridCol w:w="2117"/>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76" w:name="_Toc27624"/>
      <w:r>
        <w:rPr>
          <w:rFonts w:ascii="黑体" w:hAnsi="黑体" w:hint="eastAsia"/>
          <w:b w:val="0"/>
          <w:bCs w:val="0"/>
          <w:sz w:val="28"/>
          <w:szCs w:val="28"/>
          <w:highlight w:val="none"/>
        </w:rPr>
        <w:t>第二节 政府采购合同通用条款</w:t>
      </w:r>
      <w:bookmarkEnd w:id="76"/>
    </w:p>
    <w:p>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numPr>
          <w:ilvl w:val="0"/>
          <w:numId w:val="8"/>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pPr>
        <w:numPr>
          <w:ilvl w:val="0"/>
          <w:numId w:val="9"/>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77"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77"/>
      <w:r>
        <w:rPr>
          <w:rFonts w:ascii="宋体" w:hAnsi="宋体" w:hint="eastAsia"/>
          <w:szCs w:val="21"/>
          <w:highlight w:val="none"/>
        </w:rPr>
        <w:t>。</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pPr>
        <w:numPr>
          <w:ilvl w:val="1"/>
          <w:numId w:val="10"/>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pPr>
        <w:numPr>
          <w:ilvl w:val="0"/>
          <w:numId w:val="11"/>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pPr>
        <w:numPr>
          <w:ilvl w:val="0"/>
          <w:numId w:val="12"/>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78" w:name="_Toc20313"/>
    </w:p>
    <w:p>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78"/>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highlight w:val="none"/>
              </w:rPr>
            </w:pPr>
            <w:r>
              <w:rPr>
                <w:rFonts w:ascii="宋体" w:hAnsi="宋体" w:hint="eastAsia"/>
                <w:szCs w:val="21"/>
                <w:highlight w:val="none"/>
              </w:rPr>
              <w:t>第5.4款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pPr>
              <w:adjustRightInd w:val="0"/>
              <w:snapToGrid w:val="0"/>
              <w:jc w:val="center"/>
              <w:rPr>
                <w:rFonts w:ascii="宋体" w:hAnsi="宋体"/>
                <w:szCs w:val="21"/>
                <w:highlight w:val="none"/>
              </w:rPr>
            </w:pP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pPr>
              <w:autoSpaceDE w:val="0"/>
              <w:autoSpaceDN w:val="0"/>
              <w:adjustRightInd w:val="0"/>
              <w:snapToGrid w:val="0"/>
              <w:ind w:firstLine="420" w:firstLineChars="20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货物质量缺陷</w:t>
            </w:r>
          </w:p>
          <w:p>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snapToGrid w:val="0"/>
              <w:jc w:val="center"/>
              <w:rPr>
                <w:rFonts w:ascii="宋体" w:hAnsi="宋体" w:cs="宋体"/>
                <w:szCs w:val="21"/>
                <w:highlight w:val="none"/>
              </w:rPr>
            </w:pPr>
            <w:r>
              <w:rPr>
                <w:rFonts w:ascii="宋体" w:hAnsi="宋体" w:cs="宋体" w:hint="eastAsia"/>
                <w:szCs w:val="21"/>
                <w:highlight w:val="none"/>
              </w:rPr>
              <w:t>第二节</w:t>
            </w:r>
          </w:p>
          <w:p>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pPr>
              <w:adjustRightInd w:val="0"/>
              <w:snapToGrid w:val="0"/>
              <w:jc w:val="left"/>
              <w:rPr>
                <w:rFonts w:ascii="宋体" w:hAnsi="宋体"/>
                <w:szCs w:val="21"/>
                <w:highlight w:val="none"/>
              </w:rPr>
            </w:pPr>
          </w:p>
        </w:tc>
      </w:tr>
    </w:tbl>
    <w:p>
      <w:pPr>
        <w:rPr>
          <w:highlight w:val="none"/>
        </w:rPr>
      </w:pPr>
    </w:p>
    <w:p>
      <w:pPr>
        <w:rPr>
          <w:b/>
          <w:bCs/>
          <w:sz w:val="44"/>
          <w:szCs w:val="44"/>
          <w:highlight w:val="none"/>
        </w:rPr>
      </w:pPr>
    </w:p>
    <w:p>
      <w:pPr>
        <w:rPr>
          <w:highlight w:val="none"/>
        </w:rPr>
      </w:pPr>
    </w:p>
    <w:p w:rsidR="00A77B3E"/>
    <w:p>
      <w:pPr>
        <w:numPr>
          <w:ilvl w:val="0"/>
          <w:numId w:val="4"/>
        </w:numPr>
        <w:spacing w:line="360" w:lineRule="auto"/>
        <w:ind w:firstLine="3066" w:firstLineChars="1460"/>
        <w:jc w:val="left"/>
        <w:rPr>
          <w:rFonts w:hint="eastAsia"/>
          <w:b/>
          <w:bCs/>
          <w:szCs w:val="21"/>
          <w:highlight w:val="none"/>
        </w:rPr>
      </w:pPr>
      <w:bookmarkEnd w:id="73"/>
    </w:p>
    <w:sectPr>
      <w:pgSz w:w="11906" w:h="16838"/>
      <w:pgMar w:top="1440" w:right="1800" w:bottom="1440" w:left="1800" w:header="851" w:footer="992" w:gutter="0"/>
      <w:cols w:num="1" w:space="425"/>
      <w:docGrid w:type="lines" w:linePitch="312" w:charSpace="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楷体">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华文中宋">
    <w:panose1 w:val="02010600040101010101"/>
    <w:charset w:val="86"/>
    <w:family w:val="auto"/>
    <w:pitch w:val="default"/>
    <w:sig w:usb0="00000287" w:usb1="080F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1">
    <w:nsid w:val="53A08313"/>
    <w:multiLevelType w:val="singleLevel"/>
    <w:tmpl w:val="53A08313"/>
    <w:lvl w:ilvl="0">
      <w:start w:val="9"/>
      <w:numFmt w:val="chineseCounting"/>
      <w:suff w:val="space"/>
      <w:lvlText w:val="第%1章"/>
      <w:lvlJc w:val="left"/>
      <w:rPr>
        <w:rFonts w:hint="eastAsia"/>
      </w:rPr>
    </w:lvl>
  </w:abstractNum>
  <w:abstractNum w:abstractNumId="12">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11"/>
  </w:num>
  <w:num w:numId="5">
    <w:abstractNumId w:val="12"/>
  </w:num>
  <w:num w:numId="6">
    <w:abstractNumId w:val="1"/>
  </w:num>
  <w:num w:numId="7">
    <w:abstractNumId w:val="5"/>
  </w:num>
  <w:num w:numId="8">
    <w:abstractNumId w:val="3"/>
  </w:num>
  <w:num w:numId="9">
    <w:abstractNumId w:val="2"/>
  </w:num>
  <w:num w:numId="10">
    <w:abstractNumId w:val="10"/>
  </w:num>
  <w:num w:numId="11">
    <w:abstractNumId w:val="0"/>
  </w:num>
  <w:num w:numId="12">
    <w:abstractNumId w:val="4"/>
  </w:num>
  <w:num w:numId="1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2"/>
  <w:stylePaneFormatFilter w:val="3F01"/>
  <w:documentProtection w:edit="trackedChanges" w:enforcement="0"/>
  <w:defaultTabStop w:val="420"/>
  <w:drawingGridHorizontalSpacing w:val="105"/>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25C2291"/>
    <w:rsid w:val="35B53FBD"/>
    <w:rsid w:val="3653693B"/>
    <w:rsid w:val="38D40889"/>
    <w:rsid w:val="390D2D52"/>
    <w:rsid w:val="3AC23405"/>
    <w:rsid w:val="3BAE7045"/>
    <w:rsid w:val="450656E4"/>
    <w:rsid w:val="478D4909"/>
    <w:rsid w:val="48F46997"/>
    <w:rsid w:val="4E754480"/>
    <w:rsid w:val="4ED765AF"/>
    <w:rsid w:val="5AE70CB8"/>
    <w:rsid w:val="5BAD110F"/>
    <w:rsid w:val="5CBB779A"/>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paragraph" w:styleId="NormalIndent">
    <w:name w:val="Normal Indent"/>
    <w:basedOn w:val="Normal"/>
    <w:autoRedefine/>
    <w:qFormat/>
    <w:pPr>
      <w:ind w:firstLine="420"/>
    </w:pPr>
  </w:style>
  <w:style w:type="paragraph" w:styleId="BodyTextFirstIndent">
    <w:name w:val="Body Text First Indent"/>
    <w:basedOn w:val="BodyText"/>
    <w:autoRedefine/>
    <w:uiPriority w:val="99"/>
    <w:unhideWhenUsed/>
    <w:qFormat/>
    <w:pPr>
      <w:widowControl w:val="0"/>
      <w:ind w:firstLine="420" w:firstLineChars="100"/>
      <w:jc w:val="both"/>
    </w:pPr>
    <w:rPr>
      <w:rFonts w:ascii="Times New Roman" w:eastAsia="宋体" w:hAnsi="Times New Roman"/>
      <w:color w:val="auto"/>
      <w:kern w:val="2"/>
      <w:lang w:val="en-US"/>
    </w:rPr>
  </w:style>
  <w:style w:type="paragraph" w:customStyle="1" w:styleId="Style8">
    <w:name w:val="_Style 8"/>
    <w:basedOn w:val="BodyTextIndent"/>
    <w:next w:val="BodyTextFirstIndent2"/>
    <w:autoRedefine/>
    <w:unhideWhenUsed/>
    <w:qFormat/>
    <w:pPr>
      <w:spacing w:after="0"/>
      <w:ind w:left="0" w:firstLine="420" w:leftChars="0" w:firstLineChars="200"/>
    </w:pPr>
    <w:rPr>
      <w:rFonts w:ascii="宋体" w:hAnsi="宋体"/>
      <w:color w:val="000000"/>
      <w:sz w:val="24"/>
      <w:szCs w:val="20"/>
    </w:rPr>
  </w:style>
  <w:style w:type="paragraph" w:styleId="BodyTextFirstIndent2">
    <w:name w:val="Body Text First Indent 2"/>
    <w:basedOn w:val="BodyTextIndent"/>
    <w:autoRedefine/>
    <w:semiHidden/>
    <w:unhideWhenUsed/>
    <w:qFormat/>
    <w:pPr>
      <w:ind w:firstLine="420" w:firstLineChars="200"/>
    </w:pPr>
    <w:rPr>
      <w:szCs w:val="20"/>
    </w:rPr>
  </w:style>
  <w:style w:type="paragraph" w:customStyle="1" w:styleId="a2">
    <w:name w:val="！正文"/>
    <w:basedOn w:val="Normal"/>
    <w:autoRedefine/>
    <w:qFormat/>
    <w:pPr>
      <w:spacing w:line="360" w:lineRule="auto"/>
      <w:ind w:firstLine="200" w:firstLineChars="200"/>
    </w:pPr>
    <w:rPr>
      <w:szCs w:val="28"/>
      <w:lang w:val="zh-CN"/>
    </w:rPr>
  </w:style>
  <w:style w:type="character" w:styleId="Emphasis">
    <w:name w:val="Emphasis"/>
    <w:qFormat/>
    <w:rPr>
      <w:i/>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38</Pages>
  <Words>19278</Words>
  <Characters>20410</Characters>
  <Application>Microsoft Office Word</Application>
  <DocSecurity>0</DocSecurity>
  <Lines>209</Lines>
  <Paragraphs>59</Paragraphs>
  <ScaleCrop>false</ScaleCrop>
  <Company>中国气象局</Company>
  <LinksUpToDate>false</LinksUpToDate>
  <CharactersWithSpaces>20510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2026-01-08T07:53:41Z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2052-12.1.0.24034</vt:lpwstr>
  </property>
  <property fmtid="{D5CDD505-2E9C-101B-9397-08002B2CF9AE}" pid="4" name="KSOTemplateDocerSaveRecord">
    <vt:lpwstr>eyJoZGlkIjoiM2FkMjdjNjAxZjdmYjI5MjMyNmE5MTA5ZjJkMDM4NmEiLCJ1c2VySWQiOiI0MTI2MjIxMDYifQ==</vt:lpwstr>
  </property>
</Properties>
</file>