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1.6.0 -->
  <w:background w:color="ffffff">
    <v:background id="_x0000_s1025" filled="t" fillcolor="white">
      <v:fill color2="white"/>
    </v:background>
  </w:background>
  <w:body>
    <w:p>
      <w:pPr>
        <w:spacing w:line="360" w:lineRule="auto"/>
        <w:rPr>
          <w:rFonts w:ascii="宋体" w:hAnsi="宋体" w:cs="微软雅黑"/>
          <w:b/>
          <w:kern w:val="0"/>
          <w:szCs w:val="21"/>
          <w:highlight w:val="none"/>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eastAsia="宋体" w:hAnsi="宋体" w:cs="微软雅黑" w:hint="eastAsia"/>
          <w:b/>
          <w:kern w:val="0"/>
          <w:szCs w:val="21"/>
          <w:highlight w:val="none"/>
        </w:rPr>
        <w:t>：</w:t>
      </w:r>
      <w:r>
        <w:rPr>
          <w:rFonts w:ascii="宋体" w:hAnsi="宋体" w:cs="微软雅黑" w:hint="eastAsia"/>
          <w:b/>
          <w:kern w:val="0"/>
          <w:szCs w:val="21"/>
          <w:highlight w:val="none"/>
        </w:rPr>
        <w:t>20260201.1</w:t>
      </w:r>
    </w:p>
    <w:p>
      <w:pPr>
        <w:spacing w:line="360" w:lineRule="auto"/>
        <w:jc w:val="center"/>
        <w:rPr>
          <w:b/>
          <w:sz w:val="28"/>
          <w:szCs w:val="28"/>
          <w:highlight w:val="none"/>
        </w:rPr>
      </w:pPr>
    </w:p>
    <w:p>
      <w:pPr>
        <w:spacing w:line="360" w:lineRule="auto"/>
        <w:jc w:val="center"/>
        <w:rPr>
          <w:b/>
          <w:sz w:val="28"/>
          <w:szCs w:val="28"/>
          <w:highlight w:val="none"/>
        </w:rPr>
      </w:pPr>
    </w:p>
    <w:p>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pPr>
        <w:spacing w:line="360" w:lineRule="auto"/>
        <w:jc w:val="center"/>
        <w:rPr>
          <w:rFonts w:ascii="宋体" w:hAnsi="宋体"/>
          <w:b/>
          <w:sz w:val="48"/>
          <w:highlight w:val="none"/>
        </w:rPr>
      </w:pPr>
      <w:r>
        <w:rPr>
          <w:rFonts w:ascii="宋体" w:hAnsi="宋体" w:hint="eastAsia"/>
          <w:b/>
          <w:sz w:val="48"/>
          <w:highlight w:val="none"/>
        </w:rPr>
        <w:t>（范本，货物类适用）</w:t>
      </w:r>
    </w:p>
    <w:p>
      <w:pPr>
        <w:spacing w:line="360" w:lineRule="auto"/>
        <w:jc w:val="center"/>
        <w:rPr>
          <w:sz w:val="24"/>
          <w:szCs w:val="24"/>
          <w:highlight w:val="none"/>
        </w:rPr>
      </w:pPr>
    </w:p>
    <w:p>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河北66mm人工影响天气火箭弹采购</w:t>
      </w:r>
      <w:bookmarkEnd w:id="0"/>
    </w:p>
    <w:p>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ZQCD-26173</w:t>
      </w:r>
      <w:bookmarkEnd w:id="1"/>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b/>
          <w:sz w:val="32"/>
          <w:szCs w:val="32"/>
          <w:highlight w:val="none"/>
        </w:rPr>
      </w:pPr>
    </w:p>
    <w:p>
      <w:pPr>
        <w:adjustRightInd w:val="0"/>
        <w:snapToGrid w:val="0"/>
        <w:spacing w:line="360" w:lineRule="auto"/>
        <w:jc w:val="left"/>
        <w:rPr>
          <w:rFonts w:ascii="仿宋_GB2312" w:eastAsia="仿宋_GB2312"/>
          <w:b/>
          <w:szCs w:val="21"/>
          <w:highlight w:val="none"/>
        </w:rPr>
      </w:pPr>
    </w:p>
    <w:p>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2026年08月</w:t>
      </w:r>
      <w:bookmarkEnd w:id="2"/>
    </w:p>
    <w:p>
      <w:pPr>
        <w:adjustRightInd w:val="0"/>
        <w:snapToGrid w:val="0"/>
        <w:spacing w:line="360" w:lineRule="auto"/>
        <w:ind w:firstLine="529" w:firstLineChars="147"/>
        <w:jc w:val="center"/>
        <w:rPr>
          <w:rFonts w:ascii="仿宋" w:eastAsia="仿宋" w:hAnsi="仿宋" w:cs="微软雅黑"/>
          <w:b/>
          <w:kern w:val="0"/>
          <w:sz w:val="36"/>
          <w:szCs w:val="36"/>
          <w:highlight w:val="none"/>
        </w:rPr>
      </w:pPr>
    </w:p>
    <w:p>
      <w:pPr>
        <w:spacing w:line="360" w:lineRule="auto"/>
        <w:jc w:val="center"/>
        <w:rPr>
          <w:sz w:val="24"/>
          <w:szCs w:val="24"/>
          <w:highlight w:val="none"/>
        </w:rPr>
      </w:pPr>
    </w:p>
    <w:p>
      <w:pPr>
        <w:spacing w:line="360" w:lineRule="auto"/>
        <w:jc w:val="center"/>
        <w:rPr>
          <w:sz w:val="24"/>
          <w:szCs w:val="24"/>
          <w:highlight w:val="none"/>
        </w:rPr>
      </w:pPr>
      <w:r>
        <w:rPr>
          <w:sz w:val="24"/>
          <w:szCs w:val="24"/>
          <w:highlight w:val="none"/>
        </w:rPr>
        <w:br w:type="page"/>
      </w:r>
    </w:p>
    <w:p>
      <w:pPr>
        <w:spacing w:line="360" w:lineRule="auto"/>
        <w:jc w:val="center"/>
        <w:rPr>
          <w:sz w:val="24"/>
          <w:szCs w:val="24"/>
          <w:highlight w:val="none"/>
        </w:rPr>
      </w:pPr>
    </w:p>
    <w:p>
      <w:pPr>
        <w:spacing w:line="360" w:lineRule="auto"/>
        <w:jc w:val="center"/>
        <w:rPr>
          <w:sz w:val="24"/>
          <w:szCs w:val="24"/>
          <w:highlight w:val="none"/>
        </w:rPr>
      </w:pPr>
    </w:p>
    <w:p>
      <w:pPr>
        <w:spacing w:line="360" w:lineRule="auto"/>
        <w:jc w:val="center"/>
        <w:rPr>
          <w:rFonts w:ascii="宋体" w:hAnsi="宋体"/>
          <w:b/>
          <w:bCs/>
          <w:sz w:val="36"/>
          <w:szCs w:val="36"/>
        </w:rPr>
      </w:pPr>
      <w:r>
        <w:rPr>
          <w:rFonts w:ascii="宋体" w:hAnsi="宋体" w:hint="eastAsia"/>
          <w:b/>
          <w:bCs/>
          <w:sz w:val="36"/>
          <w:szCs w:val="36"/>
        </w:rPr>
        <w:t>总 目 录</w:t>
      </w:r>
    </w:p>
    <w:p>
      <w:pPr>
        <w:spacing w:line="360" w:lineRule="auto"/>
        <w:jc w:val="center"/>
        <w:rPr>
          <w:b/>
          <w:sz w:val="28"/>
          <w:szCs w:val="28"/>
        </w:rPr>
      </w:pPr>
    </w:p>
    <w:p>
      <w:pPr>
        <w:spacing w:line="360" w:lineRule="auto"/>
        <w:jc w:val="center"/>
        <w:rPr>
          <w:rFonts w:ascii="宋体" w:hAnsi="宋体"/>
          <w:b/>
          <w:sz w:val="28"/>
          <w:szCs w:val="28"/>
        </w:rPr>
      </w:pPr>
      <w:r>
        <w:rPr>
          <w:rFonts w:ascii="宋体" w:hAnsi="宋体" w:hint="eastAsia"/>
          <w:b/>
          <w:sz w:val="28"/>
          <w:szCs w:val="28"/>
        </w:rPr>
        <w:t>第一分册   通用部分</w:t>
      </w:r>
    </w:p>
    <w:p>
      <w:pPr>
        <w:spacing w:line="360" w:lineRule="auto"/>
        <w:ind w:left="2517" w:firstLine="420"/>
        <w:jc w:val="left"/>
        <w:rPr>
          <w:b/>
          <w:szCs w:val="21"/>
        </w:rPr>
      </w:pPr>
      <w:r>
        <w:rPr>
          <w:rFonts w:hint="eastAsia"/>
          <w:b/>
          <w:szCs w:val="21"/>
        </w:rPr>
        <w:t>第一章  投标人须知通用部分</w:t>
      </w:r>
    </w:p>
    <w:p>
      <w:pPr>
        <w:spacing w:line="360" w:lineRule="auto"/>
        <w:ind w:left="2517" w:firstLine="420"/>
        <w:jc w:val="left"/>
        <w:rPr>
          <w:b/>
          <w:szCs w:val="21"/>
        </w:rPr>
      </w:pPr>
      <w:r>
        <w:rPr>
          <w:rFonts w:hint="eastAsia"/>
          <w:b/>
          <w:szCs w:val="21"/>
        </w:rPr>
        <w:t>第二章  投标文件格式</w:t>
      </w:r>
    </w:p>
    <w:p>
      <w:pPr>
        <w:spacing w:line="360" w:lineRule="auto"/>
        <w:ind w:left="2517" w:firstLine="420"/>
        <w:jc w:val="left"/>
        <w:rPr>
          <w:b/>
          <w:szCs w:val="21"/>
        </w:rPr>
      </w:pPr>
      <w:r>
        <w:rPr>
          <w:rFonts w:hint="eastAsia"/>
          <w:b/>
          <w:szCs w:val="21"/>
        </w:rPr>
        <w:t>第三章  投标被拒绝条款通用部分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第二分册   专用部分</w:t>
      </w:r>
    </w:p>
    <w:p>
      <w:pPr>
        <w:spacing w:line="360" w:lineRule="auto"/>
        <w:ind w:left="2520" w:firstLine="420"/>
        <w:jc w:val="left"/>
        <w:rPr>
          <w:b/>
          <w:szCs w:val="21"/>
        </w:rPr>
      </w:pPr>
      <w:r>
        <w:rPr>
          <w:rFonts w:hint="eastAsia"/>
          <w:b/>
          <w:szCs w:val="21"/>
        </w:rPr>
        <w:t>第四章  投标邀请书</w:t>
      </w:r>
    </w:p>
    <w:p>
      <w:pPr>
        <w:spacing w:line="360" w:lineRule="auto"/>
        <w:ind w:left="2520" w:firstLine="420"/>
        <w:jc w:val="left"/>
        <w:rPr>
          <w:b/>
          <w:szCs w:val="21"/>
        </w:rPr>
      </w:pPr>
      <w:r>
        <w:rPr>
          <w:rFonts w:hint="eastAsia"/>
          <w:b/>
          <w:szCs w:val="21"/>
        </w:rPr>
        <w:t>第五章  投标人须知专用部分</w:t>
      </w:r>
    </w:p>
    <w:p>
      <w:pPr>
        <w:spacing w:line="360" w:lineRule="auto"/>
        <w:ind w:left="2520" w:firstLine="420"/>
        <w:jc w:val="left"/>
        <w:rPr>
          <w:b/>
          <w:szCs w:val="21"/>
        </w:rPr>
      </w:pPr>
      <w:r>
        <w:rPr>
          <w:rFonts w:hint="eastAsia"/>
          <w:b/>
          <w:szCs w:val="21"/>
        </w:rPr>
        <w:t>第六章  评标方法和评标标准</w:t>
      </w:r>
    </w:p>
    <w:p>
      <w:pPr>
        <w:spacing w:line="360" w:lineRule="auto"/>
        <w:ind w:left="2520" w:firstLine="420"/>
        <w:jc w:val="left"/>
        <w:rPr>
          <w:b/>
          <w:szCs w:val="21"/>
        </w:rPr>
      </w:pPr>
      <w:r>
        <w:rPr>
          <w:rFonts w:hint="eastAsia"/>
          <w:b/>
          <w:szCs w:val="21"/>
        </w:rPr>
        <w:t>第七章  采购需求</w:t>
      </w:r>
    </w:p>
    <w:p>
      <w:pPr>
        <w:spacing w:line="360" w:lineRule="auto"/>
        <w:ind w:left="2520" w:firstLine="420"/>
        <w:jc w:val="left"/>
        <w:rPr>
          <w:rFonts w:hint="eastAsia"/>
          <w:b/>
          <w:szCs w:val="21"/>
        </w:rPr>
      </w:pPr>
      <w:r>
        <w:rPr>
          <w:rFonts w:hint="eastAsia"/>
          <w:b/>
          <w:szCs w:val="21"/>
        </w:rPr>
        <w:t>第八章  投标被拒绝条款专用部分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第三分册   采购合同</w:t>
      </w:r>
    </w:p>
    <w:p>
      <w:pPr>
        <w:spacing w:line="360" w:lineRule="auto"/>
        <w:ind w:left="2520" w:firstLine="420"/>
        <w:jc w:val="left"/>
        <w:rPr>
          <w:b/>
          <w:szCs w:val="21"/>
        </w:rPr>
      </w:pPr>
      <w:r>
        <w:rPr>
          <w:rFonts w:hint="eastAsia"/>
          <w:b/>
          <w:szCs w:val="21"/>
        </w:rPr>
        <w:t>第九章  采购合同</w:t>
      </w:r>
    </w:p>
    <w:p>
      <w:pPr>
        <w:spacing w:line="360" w:lineRule="auto"/>
        <w:ind w:left="2520" w:firstLine="420"/>
        <w:jc w:val="left"/>
        <w:rPr>
          <w:b/>
          <w:szCs w:val="21"/>
        </w:rPr>
      </w:pPr>
    </w:p>
    <w:p>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pPr>
        <w:spacing w:line="360" w:lineRule="auto"/>
        <w:jc w:val="center"/>
        <w:outlineLvl w:val="0"/>
        <w:rPr>
          <w:b/>
          <w:sz w:val="48"/>
          <w:szCs w:val="36"/>
        </w:rPr>
      </w:pPr>
      <w:r>
        <w:rPr>
          <w:rFonts w:hint="eastAsia"/>
          <w:b/>
          <w:sz w:val="48"/>
          <w:szCs w:val="36"/>
        </w:rPr>
        <w:t>第一分册：通用部分</w:t>
      </w:r>
    </w:p>
    <w:p>
      <w:pPr>
        <w:spacing w:line="360" w:lineRule="auto"/>
        <w:rPr>
          <w:b/>
          <w:bCs/>
          <w:sz w:val="28"/>
          <w:szCs w:val="28"/>
        </w:rPr>
      </w:pPr>
    </w:p>
    <w:p>
      <w:pPr>
        <w:spacing w:line="360" w:lineRule="auto"/>
        <w:jc w:val="center"/>
        <w:rPr>
          <w:b/>
          <w:bCs/>
          <w:sz w:val="28"/>
          <w:szCs w:val="28"/>
        </w:rPr>
      </w:pPr>
      <w:r>
        <w:rPr>
          <w:rFonts w:hint="eastAsia"/>
          <w:b/>
          <w:bCs/>
          <w:sz w:val="28"/>
          <w:szCs w:val="28"/>
        </w:rPr>
        <w:t>目    录</w:t>
      </w:r>
    </w:p>
    <w:p>
      <w:pPr>
        <w:spacing w:line="360" w:lineRule="auto"/>
        <w:jc w:val="center"/>
        <w:rPr>
          <w:b/>
          <w:bCs/>
          <w:sz w:val="28"/>
          <w:szCs w:val="28"/>
        </w:rPr>
      </w:pPr>
    </w:p>
    <w:p>
      <w:pPr>
        <w:spacing w:line="360" w:lineRule="auto"/>
        <w:ind w:firstLine="2258" w:firstLineChars="1075"/>
        <w:jc w:val="left"/>
        <w:rPr>
          <w:b/>
          <w:bCs/>
          <w:szCs w:val="21"/>
        </w:rPr>
      </w:pPr>
      <w:r>
        <w:rPr>
          <w:rFonts w:hint="eastAsia"/>
          <w:b/>
          <w:bCs/>
          <w:szCs w:val="21"/>
        </w:rPr>
        <w:t>第一章  投标人须知通用部分</w:t>
      </w:r>
    </w:p>
    <w:p>
      <w:pPr>
        <w:spacing w:line="360" w:lineRule="auto"/>
        <w:ind w:firstLine="2258" w:firstLineChars="1075"/>
        <w:jc w:val="left"/>
        <w:rPr>
          <w:b/>
          <w:bCs/>
          <w:szCs w:val="21"/>
        </w:rPr>
      </w:pPr>
      <w:r>
        <w:rPr>
          <w:rFonts w:hint="eastAsia"/>
          <w:b/>
          <w:bCs/>
          <w:szCs w:val="21"/>
        </w:rPr>
        <w:t>第二章  投标文件格式</w:t>
      </w:r>
    </w:p>
    <w:p>
      <w:pPr>
        <w:spacing w:line="360" w:lineRule="auto"/>
        <w:ind w:firstLine="2258" w:firstLineChars="1075"/>
        <w:jc w:val="left"/>
        <w:rPr>
          <w:b/>
          <w:bCs/>
          <w:szCs w:val="21"/>
        </w:rPr>
      </w:pPr>
      <w:r>
        <w:rPr>
          <w:rFonts w:hint="eastAsia"/>
          <w:b/>
          <w:bCs/>
          <w:szCs w:val="21"/>
        </w:rPr>
        <w:t>第三章  投标被拒绝条款通用部分</w:t>
      </w:r>
    </w:p>
    <w:p>
      <w:pPr>
        <w:jc w:val="center"/>
        <w:outlineLvl w:val="1"/>
        <w:rPr>
          <w:sz w:val="30"/>
          <w:szCs w:val="30"/>
        </w:rPr>
      </w:pPr>
      <w:bookmarkStart w:id="3" w:name="_Toc86202581"/>
      <w:r>
        <w:br w:type="page"/>
      </w:r>
      <w:bookmarkEnd w:id="3"/>
      <w:r>
        <w:rPr>
          <w:rFonts w:hint="eastAsia"/>
          <w:b/>
          <w:bCs/>
          <w:sz w:val="30"/>
          <w:szCs w:val="30"/>
        </w:rPr>
        <w:t>第一章  投标人须知通用部分</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1.1适用范围</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中所述货物及相关服务的招标投标。本项目属性确定为货物类采购。</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1.2定义</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w:t>
      </w:r>
      <w:r>
        <w:rPr>
          <w:rFonts w:hint="eastAsia"/>
          <w:bCs/>
        </w:rPr>
        <w:t>“</w:t>
      </w:r>
      <w:r>
        <w:rPr>
          <w:rFonts w:hint="eastAsia"/>
          <w:bCs/>
        </w:rPr>
        <w:t>采购人</w:t>
      </w:r>
      <w:r>
        <w:rPr>
          <w:rFonts w:hint="eastAsia"/>
          <w:bCs/>
        </w:rPr>
        <w:t>”</w:t>
      </w:r>
      <w:r>
        <w:rPr>
          <w:rFonts w:hint="eastAsia"/>
          <w:bCs/>
        </w:rPr>
        <w:t>是指本项目的具体采购单位，具体名称详见</w:t>
      </w:r>
      <w:r>
        <w:rPr>
          <w:rFonts w:hint="eastAsia"/>
          <w:b/>
          <w:bCs/>
        </w:rPr>
        <w:t>第五章投标人须知专用部分</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w:t>
      </w:r>
      <w:r>
        <w:rPr>
          <w:rFonts w:hint="eastAsia"/>
          <w:bCs/>
        </w:rPr>
        <w:t>“</w:t>
      </w:r>
      <w:r>
        <w:rPr>
          <w:rFonts w:hint="eastAsia"/>
          <w:bCs/>
        </w:rPr>
        <w:t>招标货物</w:t>
      </w:r>
      <w:r>
        <w:rPr>
          <w:rFonts w:hint="eastAsia"/>
          <w:bCs/>
        </w:rPr>
        <w:t>”</w:t>
      </w:r>
      <w:r>
        <w:rPr>
          <w:rFonts w:hint="eastAsia"/>
          <w:bCs/>
        </w:rPr>
        <w:t>指本招标文件中</w:t>
      </w:r>
      <w:r>
        <w:rPr>
          <w:rFonts w:hint="eastAsia"/>
          <w:b/>
          <w:bCs/>
        </w:rPr>
        <w:t>第七章采购需求</w:t>
      </w:r>
      <w:r>
        <w:rPr>
          <w:rFonts w:hint="eastAsia"/>
          <w:bCs/>
        </w:rPr>
        <w:t>所述所有货物（包括不需要二次开发的软件）。</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Style w:val="px10"/>
          <w:rFonts w:hint="eastAsia"/>
          <w:bCs/>
        </w:rPr>
        <w:t>1.2.3</w:t>
      </w:r>
      <w:r>
        <w:rPr>
          <w:rStyle w:val="px10"/>
          <w:rFonts w:hint="eastAsia"/>
          <w:bCs/>
        </w:rPr>
        <w:t>“</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w:t>
      </w:r>
      <w:r>
        <w:rPr>
          <w:rFonts w:hint="eastAsia"/>
        </w:rPr>
        <w:t>“</w:t>
      </w:r>
      <w:r>
        <w:rPr>
          <w:rFonts w:hint="eastAsia"/>
        </w:rPr>
        <w:t>潜在投标人</w:t>
      </w:r>
      <w:r>
        <w:rPr>
          <w:rFonts w:hint="eastAsia"/>
        </w:rPr>
        <w:t>”</w:t>
      </w:r>
      <w:r>
        <w:rPr>
          <w:rFonts w:hint="eastAsia"/>
        </w:rPr>
        <w:t>指符合本招标文件各项规定的供应商。</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1.2.5</w:t>
      </w:r>
      <w:r>
        <w:rPr>
          <w:rFonts w:hint="eastAsia"/>
        </w:rPr>
        <w:t>“</w:t>
      </w:r>
      <w:r>
        <w:rPr>
          <w:rFonts w:hint="eastAsia"/>
        </w:rPr>
        <w:t>投标人</w:t>
      </w:r>
      <w:r>
        <w:rPr>
          <w:rFonts w:hint="eastAsia"/>
        </w:rPr>
        <w:t>”</w:t>
      </w:r>
      <w:r>
        <w:rPr>
          <w:rFonts w:hint="eastAsia"/>
        </w:rPr>
        <w:t>如无特殊说明，指符合本招标文件规定并参加投标的供应商。</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1.2.6本招标文件各部分规定的期间以时、日、月、年计算。期间开始的日，不计算在期间内，而从次日开始计算。期间届满的最后一天是节假日的，以节假日后的第一日为期间届满的日期。</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1.2.7本招标文件所称的复印件，包括原件经扫描或照相后的打印件、影印件等。复印件应清晰。</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1.2.8盖章及签字。</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1.2.8.1盖章。在本招标文件中，要求相关方在投标文件及相关文件上盖章的，均应使用与相关方名称全称相一致的公章，不得使用</w:t>
      </w:r>
      <w:r>
        <w:rPr>
          <w:rFonts w:hint="eastAsia"/>
        </w:rPr>
        <w:t>“</w:t>
      </w:r>
      <w:r>
        <w:rPr>
          <w:rFonts w:hint="eastAsia"/>
        </w:rPr>
        <w:t>投标专用章</w:t>
      </w:r>
      <w:r>
        <w:rPr>
          <w:rFonts w:hint="eastAsia"/>
        </w:rPr>
        <w:t>”</w:t>
      </w:r>
      <w:r>
        <w:rPr>
          <w:rFonts w:hint="eastAsia"/>
        </w:rPr>
        <w:t>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1.3合格投标人的条件</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bCs/>
        </w:rPr>
        <w:t>1.3.4本次招标是否允许代理商（指投标人提供的货物不是自己制造的，下同）投标，以及进口产品代理商投标应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第五章投标人须知专用部分5.3条</w:t>
      </w:r>
      <w:r>
        <w:rPr>
          <w:rFonts w:hint="eastAsia"/>
        </w:rPr>
        <w:t>有关代理商投标要求，以及进口产品代理商未按</w:t>
      </w:r>
      <w:r>
        <w:rPr>
          <w:rFonts w:hint="eastAsia"/>
          <w:b/>
        </w:rPr>
        <w:t>第五章投标人须知专用部分5.4条</w:t>
      </w:r>
      <w:r>
        <w:rPr>
          <w:rFonts w:hint="eastAsia"/>
        </w:rPr>
        <w:t>提交有关资料的，投标将被拒绝。</w:t>
      </w:r>
      <w:r>
        <w:rPr>
          <w:rFonts w:hint="eastAsia"/>
          <w:bCs/>
        </w:rPr>
        <w:t>制造商与一家或多家代理商参加相同品牌产品投标的处理规则详见</w:t>
      </w:r>
      <w:r>
        <w:rPr>
          <w:rFonts w:hint="eastAsia"/>
          <w:b/>
          <w:bCs/>
        </w:rPr>
        <w:t>1.28.4</w:t>
      </w:r>
      <w:r>
        <w:rPr>
          <w:rFonts w:hint="eastAsia"/>
          <w:bCs/>
        </w:rPr>
        <w:t>条。</w:t>
      </w:r>
    </w:p>
    <w:p>
      <w:pPr>
        <w:adjustRightInd w:val="0"/>
        <w:snapToGrid w:val="0"/>
        <w:spacing w:line="360" w:lineRule="auto"/>
        <w:ind w:firstLine="420" w:firstLineChars="200"/>
      </w:pPr>
      <w:r>
        <w:rPr>
          <w:rFonts w:ascii="宋体" w:hAnsi="宋体" w:hint="eastAsia"/>
        </w:rPr>
        <w:t>1.3.5单位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pPr>
        <w:tabs>
          <w:tab w:val="left" w:pos="1573"/>
        </w:tabs>
        <w:adjustRightInd w:val="0"/>
        <w:snapToGrid w:val="0"/>
        <w:spacing w:line="360" w:lineRule="auto"/>
        <w:ind w:firstLine="420" w:firstLineChars="200"/>
      </w:pPr>
      <w:r>
        <w:rPr>
          <w:rFonts w:ascii="宋体" w:hAnsi="宋体" w:hint="eastAsia"/>
        </w:rPr>
        <w:t>1.3.6</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（1）联合体应提供</w:t>
      </w:r>
      <w:r>
        <w:rPr>
          <w:rFonts w:hint="eastAsia"/>
        </w:rPr>
        <w:t>“</w:t>
      </w:r>
      <w:r>
        <w:rPr>
          <w:rFonts w:hint="eastAsia"/>
        </w:rPr>
        <w:t>联合体协议</w:t>
      </w:r>
      <w:r>
        <w:rPr>
          <w:rFonts w:hint="eastAsia"/>
        </w:rPr>
        <w:t>”</w:t>
      </w:r>
      <w:r>
        <w:rPr>
          <w:rFonts w:hint="eastAsia"/>
        </w:rPr>
        <w:t>，该协议书对联合体各方均具有法律约束力。联合体投标文件未附联合体协议的，其投标将被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1.3.7投标的货物是否必须取得《气象专用技术装备使用许可证》，见</w:t>
      </w:r>
      <w:r>
        <w:rPr>
          <w:rFonts w:hint="eastAsia"/>
          <w:b/>
        </w:rPr>
        <w:t>第五章投标人须知专用部分。</w:t>
      </w:r>
      <w:r>
        <w:rPr>
          <w:rFonts w:hint="eastAsia"/>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1.3.8以投标截止日为基准日，投标人之前三年存在不良信用记录的，其投标将被作为无效投标被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（1）不良信用记录指存在下列情形之一：</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w:t>
      </w:r>
      <w:r>
        <w:rPr>
          <w:rFonts w:hint="eastAsia"/>
        </w:rPr>
        <w:t>“</w:t>
      </w:r>
      <w:r>
        <w:rPr>
          <w:rFonts w:hint="eastAsia"/>
        </w:rPr>
        <w:t>较大数额罚款</w:t>
      </w:r>
      <w:r>
        <w:rPr>
          <w:rFonts w:hint="eastAsia"/>
        </w:rPr>
        <w:t>”</w:t>
      </w:r>
      <w:r>
        <w:rPr>
          <w:rFonts w:hint="eastAsia"/>
        </w:rPr>
        <w:t>标准高于200 万元的，从其规定。</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（3）信用记录查询：采购中心或采购人通过</w:t>
      </w:r>
      <w:r>
        <w:rPr>
          <w:rFonts w:hint="eastAsia"/>
        </w:rPr>
        <w:t>“</w:t>
      </w:r>
      <w:r>
        <w:rPr>
          <w:rFonts w:hint="eastAsia"/>
        </w:rPr>
        <w:t>信用中国</w:t>
      </w:r>
      <w:r>
        <w:rPr>
          <w:rFonts w:hint="eastAsia"/>
        </w:rPr>
        <w:t>”</w:t>
      </w:r>
      <w:r>
        <w:rPr>
          <w:rFonts w:hint="eastAsia"/>
        </w:rPr>
        <w:t>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1.3.9投标人在投标过程中不得向采购人和采购中心提供、给予任何有价值的物品，一经发现，按照投标无效处理。</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1.3.10投标人没有其他不符合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pPr>
        <w:tabs>
          <w:tab w:val="left" w:pos="8460"/>
        </w:tabs>
        <w:adjustRightInd w:val="0"/>
        <w:snapToGrid w:val="0"/>
        <w:spacing w:line="360" w:lineRule="auto"/>
        <w:ind w:firstLine="420" w:firstLineChars="200"/>
        <w:jc w:val="left"/>
        <w:rPr>
          <w:rFonts w:ascii="宋体" w:hAnsi="宋体"/>
          <w:kern w:val="0"/>
          <w:szCs w:val="21"/>
        </w:rPr>
      </w:pPr>
      <w:r>
        <w:rPr>
          <w:rFonts w:ascii="宋体" w:hAnsi="宋体" w:hint="eastAsia"/>
          <w:kern w:val="0"/>
          <w:szCs w:val="21"/>
        </w:rPr>
        <w:t>1.3.11投标人所投标的货物如是国家法律、法规、政策禁止采购人采购的货物，或者投标人所投标的货物使用了国家法律、法规、政策禁止采购人采购的货物作为零件，投标将被拒绝。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kern w:val="0"/>
        </w:rPr>
        <w:t>1.3.12</w:t>
      </w:r>
      <w:r>
        <w:rPr>
          <w:rFonts w:hint="eastAsia"/>
        </w:rPr>
        <w:t>如投标人授权代表不是法定代表人，须在投标函中具有法定代表人的授权，否则投标将被拒绝。</w:t>
      </w:r>
    </w:p>
    <w:p>
      <w:pPr>
        <w:tabs>
          <w:tab w:val="left" w:pos="8460"/>
        </w:tabs>
        <w:adjustRightInd w:val="0"/>
        <w:snapToGrid w:val="0"/>
        <w:spacing w:line="360" w:lineRule="auto"/>
        <w:ind w:firstLine="420" w:firstLineChars="200"/>
        <w:jc w:val="left"/>
        <w:rPr>
          <w:b/>
          <w:bCs/>
        </w:rPr>
      </w:pPr>
      <w:r>
        <w:rPr>
          <w:rFonts w:hint="eastAsia"/>
          <w:b/>
          <w:bCs/>
        </w:rPr>
        <w:t>1.4进口产品</w:t>
      </w:r>
      <w:r>
        <w:rPr>
          <w:rFonts w:ascii="Times New Roman" w:eastAsia="宋体" w:hAnsi="Times New Roman" w:cs="Times New Roman" w:hint="eastAsia"/>
          <w:b/>
          <w:bCs/>
        </w:rPr>
        <w:t>及本国产品规</w:t>
      </w:r>
      <w:r>
        <w:rPr>
          <w:rFonts w:hint="eastAsia"/>
          <w:b/>
          <w:bCs/>
        </w:rPr>
        <w:t>定</w:t>
      </w:r>
    </w:p>
    <w:p>
      <w:pPr>
        <w:tabs>
          <w:tab w:val="left" w:pos="8460"/>
        </w:tabs>
        <w:adjustRightInd w:val="0"/>
        <w:snapToGrid w:val="0"/>
        <w:spacing w:line="360" w:lineRule="auto"/>
        <w:ind w:firstLine="420" w:firstLineChars="200"/>
        <w:jc w:val="left"/>
        <w:rPr>
          <w:rFonts w:hint="eastAsia"/>
        </w:rPr>
      </w:pPr>
      <w:r>
        <w:rPr>
          <w:rFonts w:ascii="宋体" w:hAnsi="宋体" w:hint="eastAsia"/>
          <w:szCs w:val="21"/>
        </w:rPr>
        <w:t>1.4.1本项目是否允许进口产品投标，见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5.8条有关进口产品投标要求的，投标将被拒绝。</w:t>
      </w:r>
    </w:p>
    <w:p>
      <w:pPr>
        <w:tabs>
          <w:tab w:val="left" w:pos="8460"/>
        </w:tabs>
        <w:adjustRightInd w:val="0"/>
        <w:snapToGrid w:val="0"/>
        <w:spacing w:line="360" w:lineRule="auto"/>
        <w:ind w:firstLine="420" w:firstLineChars="200"/>
        <w:jc w:val="left"/>
        <w:rPr>
          <w:rFonts w:ascii="宋体" w:hAnsi="宋体"/>
          <w:bCs/>
          <w:szCs w:val="21"/>
        </w:rPr>
      </w:pPr>
      <w:r>
        <w:rPr>
          <w:rFonts w:ascii="宋体" w:hAnsi="宋体" w:hint="eastAsia"/>
          <w:bCs/>
          <w:szCs w:val="21"/>
        </w:rPr>
        <w:t>1.4.2如允许采购进口产品，应当遵守《财政部关于印发&lt;政府采购进口产品管理办法&gt;的通知》（财库〔2007〕119 号）、财政部办公厅《关于政府采购进口产品管理有关问题的通知》（财办库〔2008〕248 号）的相关规定。</w:t>
      </w:r>
    </w:p>
    <w:p>
      <w:pPr>
        <w:tabs>
          <w:tab w:val="left" w:pos="8460"/>
        </w:tabs>
        <w:adjustRightInd w:val="0"/>
        <w:snapToGrid w:val="0"/>
        <w:spacing w:line="360" w:lineRule="auto"/>
        <w:ind w:firstLine="420" w:firstLineChars="200"/>
        <w:jc w:val="left"/>
        <w:rPr>
          <w:rFonts w:ascii="宋体" w:eastAsia="宋体" w:hAnsi="宋体" w:cs="Times New Roman" w:hint="eastAsia"/>
          <w:bCs/>
          <w:szCs w:val="21"/>
        </w:rPr>
      </w:pPr>
      <w:r>
        <w:rPr>
          <w:rFonts w:ascii="宋体" w:eastAsia="宋体" w:hAnsi="宋体" w:cs="Times New Roman" w:hint="eastAsia"/>
          <w:bCs/>
          <w:szCs w:val="21"/>
        </w:rPr>
        <w:t>1.4.3 投标人所投产品符合国务院办公厅《关于在政府采购中实施本国产品标准及相关政策的通知》（国办发〔2025〕34号）关于本国产品价格评审优惠条件的，投标人可按照第二章投标文件格式的要求提供《关于符合本国产品标准的声明函》或财政部会同有关部门规定的有关证明文件，将对该投标人的总报价给予价格评审优惠，即对该投标人的总报价给予20%的价格扣除，用扣除后的价格参与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1.5中小企业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1.5.2以联合体形式参加本次采购活动的，如联合体各方均为中小企业，则联合体视同中小企业，其中联合体各方均为小微企业（小型和微型企业的简称，下同）的，则联合体视同小微企业。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1.5.4 如本项目不是预留采购份额面向中小企业采购，则价格优惠政策如下：</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1.5.6享受中小企业扶持政策获得本项目政府采购合同的，小微企业不得将合同分包给大中型企业，中型企业不得将合同分包给大型企业。</w:t>
      </w:r>
    </w:p>
    <w:p>
      <w:pPr>
        <w:tabs>
          <w:tab w:val="left" w:pos="8460"/>
        </w:tabs>
        <w:adjustRightInd w:val="0"/>
        <w:snapToGrid w:val="0"/>
        <w:spacing w:line="360" w:lineRule="auto"/>
        <w:ind w:firstLine="420" w:firstLineChars="200"/>
        <w:jc w:val="left"/>
        <w:rPr>
          <w:rFonts w:ascii="宋体" w:hAnsi="宋体"/>
          <w:b/>
          <w:szCs w:val="21"/>
        </w:rPr>
      </w:pPr>
      <w:r>
        <w:rPr>
          <w:rFonts w:ascii="宋体" w:hAnsi="宋体" w:hint="eastAsia"/>
          <w:b/>
          <w:szCs w:val="21"/>
        </w:rPr>
        <w:t>1.6节能及环保产品</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1.6.2如投标产品属于上述政府优先采购产品类别的，将在评标时将视情况予以优先采购，具体优先采购办法如有详见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1.7串通投标</w:t>
      </w:r>
    </w:p>
    <w:p>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1.8采购预算</w:t>
      </w:r>
    </w:p>
    <w:p>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1.9投标费用</w:t>
      </w:r>
    </w:p>
    <w:p>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w:t>
      </w:r>
      <w:r>
        <w:rPr>
          <w:rFonts w:hint="eastAsia"/>
        </w:rPr>
        <w:t>—</w:t>
      </w:r>
      <w:r>
        <w:rPr>
          <w:rFonts w:hint="eastAsia"/>
        </w:rPr>
        <w:t>100（含）万费率1%，100</w:t>
      </w:r>
      <w:r>
        <w:rPr>
          <w:rFonts w:hint="eastAsia"/>
        </w:rPr>
        <w:t>—</w:t>
      </w:r>
      <w:r>
        <w:rPr>
          <w:rFonts w:hint="eastAsia"/>
        </w:rPr>
        <w:t>500（含）万费率0.8%，500</w:t>
      </w:r>
      <w:r>
        <w:rPr>
          <w:rFonts w:hint="eastAsia"/>
        </w:rPr>
        <w:t>—</w:t>
      </w:r>
      <w:r>
        <w:rPr>
          <w:rFonts w:hint="eastAsia"/>
        </w:rPr>
        <w:t>1000（含）万费率0.45% ，1000</w:t>
      </w:r>
      <w:r>
        <w:rPr>
          <w:rFonts w:hint="eastAsia"/>
        </w:rPr>
        <w:t>—</w:t>
      </w:r>
      <w:r>
        <w:rPr>
          <w:rFonts w:hint="eastAsia"/>
        </w:rPr>
        <w:t>5000（含）万费率0.25%，5000</w:t>
      </w:r>
      <w:r>
        <w:rPr>
          <w:rFonts w:hint="eastAsia"/>
        </w:rPr>
        <w:t>—</w:t>
      </w:r>
      <w:r>
        <w:rPr>
          <w:rFonts w:hint="eastAsia"/>
        </w:rPr>
        <w:t>10000（含）万费率0.1%，10000</w:t>
      </w:r>
      <w:r>
        <w:rPr>
          <w:rFonts w:hint="eastAsia"/>
        </w:rPr>
        <w:t>—</w:t>
      </w:r>
      <w:r>
        <w:rPr>
          <w:rFonts w:hint="eastAsia"/>
        </w:rPr>
        <w:t>50000（含）万费率0.05%，50000</w:t>
      </w:r>
      <w:r>
        <w:rPr>
          <w:rFonts w:hint="eastAsia"/>
        </w:rPr>
        <w:t>—</w:t>
      </w:r>
      <w:r>
        <w:rPr>
          <w:rFonts w:hint="eastAsia"/>
        </w:rPr>
        <w:t>100000（含）万费率0.04%，100000万以上费率0.01%），再根据项目技术复杂程度、组织项目采购的难易程度上下浮动20%。</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1.10通知</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1.11招标文件的组成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第八章  投标被拒绝条款专用部分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pPr>
        <w:pStyle w:val="10"/>
        <w:numPr>
          <w:ilvl w:val="0"/>
          <w:numId w:val="0"/>
        </w:numPr>
        <w:tabs>
          <w:tab w:val="left" w:pos="709"/>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1.14投标文件的组成及要求</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1.14.2投标人应提交以下商务文件，且不允许在投标截止后补正。其中加*项除特别说明外，若缺失或无效，会导致投标被拒绝。</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（1）*法定代表人身份证明或授权委托书</w:t>
      </w:r>
    </w:p>
    <w:p>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（5）资格、资信证明文件：</w:t>
      </w:r>
    </w:p>
    <w:p>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w:t>
      </w:r>
      <w:r>
        <w:rPr>
          <w:rFonts w:ascii="宋体" w:hAnsi="宋体" w:hint="eastAsia"/>
          <w:szCs w:val="21"/>
        </w:rPr>
        <w:t>*财务状况证明</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w:t>
      </w:r>
      <w:r>
        <w:rPr>
          <w:rFonts w:ascii="宋体" w:hAnsi="宋体" w:hint="eastAsia"/>
          <w:szCs w:val="21"/>
        </w:rPr>
        <w:t>投标人信用查询记录（</w:t>
      </w:r>
      <w:r>
        <w:rPr>
          <w:rFonts w:hint="eastAsia"/>
        </w:rPr>
        <w:t>“</w:t>
      </w:r>
      <w:r>
        <w:rPr>
          <w:rFonts w:hint="eastAsia"/>
        </w:rPr>
        <w:t>信用中国</w:t>
      </w:r>
      <w:r>
        <w:rPr>
          <w:rFonts w:hint="eastAsia"/>
        </w:rPr>
        <w:t>”</w:t>
      </w:r>
      <w:r>
        <w:rPr>
          <w:rFonts w:hint="eastAsia"/>
        </w:rPr>
        <w:t>网站相关截图，网址：www.creditchina.gov.cn）</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bCs/>
        </w:rPr>
        <w:t>*投标货物的《</w:t>
      </w:r>
      <w:r>
        <w:rPr>
          <w:rFonts w:hint="eastAsia"/>
        </w:rPr>
        <w:t>气象专用技术装备使用许可证》</w:t>
      </w:r>
      <w:r>
        <w:rPr>
          <w:rFonts w:ascii="宋体" w:hAnsi="宋体" w:hint="eastAsia"/>
          <w:szCs w:val="21"/>
        </w:rPr>
        <w:t>（投标</w:t>
      </w:r>
      <w:r>
        <w:rPr>
          <w:rFonts w:hint="eastAsia"/>
        </w:rPr>
        <w:t>货物不必须取得《气象专用技术装备使用许可证》的，可以不提供）</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bCs/>
        </w:rPr>
        <w:t>⑧</w:t>
      </w:r>
      <w:r>
        <w:rPr>
          <w:rFonts w:ascii="宋体" w:hAnsi="宋体" w:hint="eastAsia"/>
          <w:bCs/>
        </w:rPr>
        <w:t>*进口产品制造商授权书（投标货物不是进口产品的，不提供）</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hint="eastAsia"/>
          <w:szCs w:val="21"/>
        </w:rPr>
        <w:t>⑨</w:t>
      </w:r>
      <w:r>
        <w:rPr>
          <w:rFonts w:ascii="宋体" w:hAnsi="宋体" w:hint="eastAsia"/>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微软雅黑" w:eastAsia="微软雅黑" w:hAnsi="微软雅黑" w:hint="eastAsia"/>
          <w:szCs w:val="21"/>
        </w:rPr>
        <w:t>⑩</w:t>
      </w:r>
      <w:r>
        <w:rPr>
          <w:rFonts w:ascii="宋体" w:hAnsi="宋体"/>
          <w:bCs/>
        </w:rPr>
        <w:t>*</w:t>
      </w:r>
      <w:r>
        <w:rPr>
          <w:rFonts w:ascii="宋体" w:hAnsi="宋体" w:hint="eastAsia"/>
          <w:szCs w:val="21"/>
        </w:rPr>
        <w:t>联合体协议（如有）</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分包意向协议（如有）</w:t>
      </w:r>
    </w:p>
    <w:p>
      <w:pPr>
        <w:tabs>
          <w:tab w:val="left" w:pos="5580"/>
        </w:tabs>
        <w:adjustRightInd w:val="0"/>
        <w:snapToGrid w:val="0"/>
        <w:spacing w:line="360" w:lineRule="auto"/>
        <w:ind w:firstLine="840" w:firstLineChars="400"/>
        <w:jc w:val="left"/>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12</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hint="eastAsia"/>
        </w:rPr>
        <w:t>按照</w:t>
      </w:r>
      <w:r>
        <w:rPr>
          <w:rFonts w:hint="eastAsia"/>
          <w:b/>
        </w:rPr>
        <w:t>第五章投标人须知专用部分5.2条</w:t>
      </w:r>
      <w:r>
        <w:rPr>
          <w:rFonts w:hint="eastAsia"/>
        </w:rPr>
        <w:t>规定应提交的特殊资质条件证明文件</w:t>
      </w:r>
    </w:p>
    <w:p>
      <w:pPr>
        <w:tabs>
          <w:tab w:val="left" w:pos="5580"/>
        </w:tabs>
        <w:adjustRightInd w:val="0"/>
        <w:snapToGrid w:val="0"/>
        <w:spacing w:line="360" w:lineRule="auto"/>
        <w:ind w:firstLine="840" w:firstLineChars="400"/>
        <w:jc w:val="left"/>
        <w:rPr>
          <w:rFonts w:ascii="Times New Roman" w:eastAsia="宋体" w:hAnsi="Times New Roman" w:cs="Times New Roman" w:hint="eastAsia"/>
        </w:rPr>
      </w:pPr>
      <w:r>
        <w:rPr>
          <w:rFonts w:ascii="Times New Roman" w:eastAsia="宋体" w:hAnsi="Times New Roman" w:cs="Times New Roman" w:hint="eastAsia"/>
        </w:rPr>
        <w:fldChar w:fldCharType="begin"/>
      </w:r>
      <w:r>
        <w:rPr>
          <w:rFonts w:ascii="Times New Roman" w:eastAsia="宋体" w:hAnsi="Times New Roman" w:cs="Times New Roman" w:hint="eastAsia"/>
        </w:rPr>
        <w:instrText xml:space="preserve"> eq \o\ac(</w:instrText>
      </w:r>
      <w:r>
        <w:rPr>
          <w:rFonts w:ascii="Times New Roman" w:eastAsia="宋体" w:hAnsi="Times New Roman" w:cs="Times New Roman" w:hint="eastAsia"/>
        </w:rPr>
        <w:instrText>○</w:instrText>
      </w:r>
      <w:r>
        <w:rPr>
          <w:rFonts w:ascii="Times New Roman" w:eastAsia="宋体" w:hAnsi="Times New Roman" w:cs="Times New Roman" w:hint="eastAsia"/>
        </w:rPr>
        <w:instrText>,13)</w:instrText>
      </w:r>
      <w:r>
        <w:rPr>
          <w:rFonts w:ascii="Times New Roman" w:eastAsia="宋体" w:hAnsi="Times New Roman" w:cs="Times New Roman" w:hint="eastAsia"/>
        </w:rPr>
        <w:fldChar w:fldCharType="separate"/>
      </w:r>
      <w:r>
        <w:rPr>
          <w:rFonts w:ascii="Times New Roman" w:eastAsia="宋体" w:hAnsi="Times New Roman" w:cs="Times New Roman" w:hint="eastAsia"/>
        </w:rPr>
        <w:fldChar w:fldCharType="end"/>
      </w:r>
      <w:r>
        <w:rPr>
          <w:rFonts w:ascii="Times New Roman" w:eastAsia="宋体" w:hAnsi="Times New Roman" w:cs="Times New Roman" w:hint="eastAsia"/>
        </w:rPr>
        <w:t>《关于符合本国产品标准的声明函》或财政部会同有关部门规定的有关证明文件（投标人所投产品符合国务院办公厅《关于在政府采购中实施本国产品标准及相关政策的通知》（国办发〔2025〕34号）关于本国产品价格评审优惠条件的提供，如符合上述条件但未能提供，将不能享受价格扣除优惠）</w:t>
      </w:r>
    </w:p>
    <w:p>
      <w:pPr>
        <w:tabs>
          <w:tab w:val="left" w:pos="5580"/>
        </w:tabs>
        <w:adjustRightInd w:val="0"/>
        <w:snapToGrid w:val="0"/>
        <w:spacing w:line="360" w:lineRule="auto"/>
        <w:jc w:val="left"/>
        <w:rPr>
          <w:rFonts w:ascii="宋体" w:hAnsi="宋体"/>
          <w:szCs w:val="21"/>
        </w:rPr>
      </w:pPr>
      <w:r>
        <w:rPr>
          <w:rFonts w:ascii="宋体" w:hAnsi="宋体" w:hint="eastAsia"/>
          <w:szCs w:val="21"/>
        </w:rPr>
        <w:t xml:space="preserve">    （6）*银行保函或投标保证金说明函（本项目不要求提交投标保证金的不提供）</w:t>
      </w:r>
    </w:p>
    <w:p>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（7）*</w:t>
      </w:r>
      <w:r>
        <w:rPr>
          <w:rFonts w:hint="eastAsia"/>
        </w:rPr>
        <w:t>按照</w:t>
      </w:r>
      <w:r>
        <w:rPr>
          <w:rFonts w:hint="eastAsia"/>
          <w:b/>
        </w:rPr>
        <w:t>第五章投标人须知专用部分5.13条</w:t>
      </w:r>
      <w:r>
        <w:rPr>
          <w:rFonts w:hint="eastAsia"/>
        </w:rPr>
        <w:t>规定应提交的其他商务文件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（8）投标人自行编制的商务文件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（2）*分项报价表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（3）*技术要求偏离表</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（4）主要标的信息表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w:t>
      </w:r>
      <w:r>
        <w:rPr>
          <w:rFonts w:hint="eastAsia"/>
        </w:rPr>
        <w:t>按照</w:t>
      </w:r>
      <w:r>
        <w:rPr>
          <w:rFonts w:hint="eastAsia"/>
          <w:b/>
        </w:rPr>
        <w:t>第五章投标人须知专用部分5.13条</w:t>
      </w:r>
      <w:r>
        <w:rPr>
          <w:rFonts w:hint="eastAsia"/>
        </w:rPr>
        <w:t>规定应提交的其他技术文件</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（6）投标人项目实施和售后服务方案</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（7）投标人自行编写的技术文件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1.15投标文件签署及相关要求</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1.15.2投标文件的盖章、签字等签署要求见1.2.8条。其中</w:t>
      </w:r>
      <w:r>
        <w:rPr>
          <w:rFonts w:hint="eastAsia"/>
        </w:rPr>
        <w:t>“</w:t>
      </w:r>
      <w:r>
        <w:rPr>
          <w:rFonts w:hint="eastAsia"/>
        </w:rPr>
        <w:t>投标函</w:t>
      </w:r>
      <w:r>
        <w:rPr>
          <w:rFonts w:hint="eastAsia"/>
        </w:rPr>
        <w:t>”</w:t>
      </w:r>
      <w:r>
        <w:rPr>
          <w:rFonts w:hint="eastAsia"/>
        </w:rPr>
        <w:t>及</w:t>
      </w:r>
      <w:r>
        <w:rPr>
          <w:rFonts w:hint="eastAsia"/>
        </w:rPr>
        <w:t>“</w:t>
      </w:r>
      <w:r>
        <w:rPr>
          <w:rFonts w:hint="eastAsia"/>
        </w:rPr>
        <w:t>法定代表人授权委托书</w:t>
      </w:r>
      <w:r>
        <w:rPr>
          <w:rFonts w:hint="eastAsia"/>
        </w:rPr>
        <w:t>”</w:t>
      </w:r>
      <w:r>
        <w:rPr>
          <w:rFonts w:hint="eastAsia"/>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1.16投标保证金</w:t>
      </w:r>
    </w:p>
    <w:p>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w:t>
      </w:r>
      <w:r>
        <w:rPr>
          <w:rFonts w:ascii="宋体" w:hAnsi="宋体" w:hint="eastAsia"/>
          <w:szCs w:val="21"/>
        </w:rPr>
        <w:t>“</w:t>
      </w:r>
      <w:r>
        <w:rPr>
          <w:rFonts w:ascii="宋体" w:hAnsi="宋体" w:hint="eastAsia"/>
          <w:szCs w:val="21"/>
        </w:rPr>
        <w:t>投标保证金</w:t>
      </w:r>
      <w:r>
        <w:rPr>
          <w:rFonts w:ascii="宋体" w:hAnsi="宋体" w:hint="eastAsia"/>
          <w:szCs w:val="21"/>
        </w:rPr>
        <w:t>”</w:t>
      </w:r>
      <w:r>
        <w:rPr>
          <w:rFonts w:ascii="宋体" w:hAnsi="宋体" w:hint="eastAsia"/>
          <w:szCs w:val="21"/>
        </w:rPr>
        <w:t>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1.17投标报价</w:t>
      </w:r>
    </w:p>
    <w:p>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购买货物及其运送、安装、调试、验收、保险和相关服务等的费用和所需缴纳的所有税、费。上述所有价格内容及其他应包括在总价中的价格内容应在分项报价表中分别逐项列出，由于分项报价填报不完整、不清楚或存在其它任何失误，所导致的任何不利后果均应当由投标人自行承担。</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1.17.2本项目的采购预算（或最高限价）详见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1.17.3投标人要按分项报价表的内容填写货物单价（包括货物报价以及品牌、型号、产地、装箱、包装、包装物料、运输和保险费用等）、总价及其他事项。</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1.18分包</w:t>
      </w:r>
    </w:p>
    <w:p>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1.19投标内容填写说明</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w:t>
      </w:r>
      <w:r>
        <w:rPr>
          <w:rFonts w:ascii="宋体" w:hAnsi="宋体" w:hint="eastAsia"/>
          <w:szCs w:val="21"/>
        </w:rPr>
        <w:t>“</w:t>
      </w:r>
      <w:r>
        <w:rPr>
          <w:rFonts w:ascii="宋体" w:hAnsi="宋体" w:hint="eastAsia"/>
          <w:szCs w:val="21"/>
        </w:rPr>
        <w:t>无</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未测试</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没有相应指标</w:t>
      </w:r>
      <w:r>
        <w:rPr>
          <w:rFonts w:ascii="宋体" w:hAnsi="宋体" w:hint="eastAsia"/>
          <w:szCs w:val="21"/>
        </w:rPr>
        <w:t>”</w:t>
      </w:r>
      <w:r>
        <w:rPr>
          <w:rFonts w:ascii="宋体" w:hAnsi="宋体" w:hint="eastAsia"/>
          <w:szCs w:val="21"/>
        </w:rPr>
        <w:t>等明确的回答文字。投标文件未按规定提交或留有空项，将被视为投标文件完整性有缺陷。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1.20投标有效期</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pPr>
        <w:pStyle w:val="10"/>
        <w:numPr>
          <w:ilvl w:val="0"/>
          <w:numId w:val="0"/>
        </w:numPr>
        <w:tabs>
          <w:tab w:val="left" w:pos="709"/>
          <w:tab w:val="left" w:pos="1573"/>
        </w:tabs>
        <w:adjustRightInd w:val="0"/>
        <w:snapToGrid w:val="0"/>
        <w:spacing w:line="360" w:lineRule="auto"/>
        <w:ind w:firstLine="420" w:firstLineChars="200"/>
        <w:jc w:val="left"/>
        <w:rPr>
          <w:rFonts w:hint="eastAsia"/>
          <w:b/>
        </w:rPr>
      </w:pPr>
      <w:r>
        <w:rPr>
          <w:rFonts w:hint="eastAsia"/>
          <w:b/>
        </w:rPr>
        <w:t>1.21投标截止时间</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中国气象局政府采购中心电子采购系统（地址：http：//cmagp.cmaidp.cma.cn/portalweb），</w:t>
      </w:r>
      <w:r>
        <w:rPr>
          <w:rFonts w:ascii="宋体" w:cs="微软雅黑" w:hint="eastAsia"/>
          <w:szCs w:val="21"/>
        </w:rPr>
        <w:t>下载电子采购系统的投标（响应）工具，制作并于投标截止时间前上传加密的电子投标文件，文件上传成功后，将获得系统回执。该系统的上传通道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1.25组建评标委员会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1.26初审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1.26.1投标文件的初审分为资格性审查和符合性审查。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w:t>
      </w:r>
      <w:r>
        <w:rPr>
          <w:rFonts w:hint="eastAsia"/>
        </w:rPr>
        <w:t>①</w:t>
      </w:r>
      <w:r>
        <w:rPr>
          <w:rFonts w:hint="eastAsia"/>
        </w:rPr>
        <w:t>投标人法人资格证明文件，</w:t>
      </w:r>
      <w:r>
        <w:rPr>
          <w:rFonts w:hint="eastAsia"/>
        </w:rPr>
        <w:t>②</w:t>
      </w:r>
      <w:r>
        <w:rPr>
          <w:rFonts w:hint="eastAsia"/>
        </w:rPr>
        <w:t>以投标截止日为基准日，近一年</w:t>
      </w:r>
      <w:r>
        <w:t>内</w:t>
      </w:r>
      <w:r>
        <w:rPr>
          <w:rFonts w:hint="eastAsia"/>
        </w:rPr>
        <w:t>任何</w:t>
      </w:r>
      <w:r>
        <w:t>完税凭证或税务部门出具的税收减免证明</w:t>
      </w:r>
      <w:r>
        <w:rPr>
          <w:rFonts w:hint="eastAsia"/>
        </w:rPr>
        <w:t>，</w:t>
      </w:r>
      <w:r>
        <w:t>③</w:t>
      </w:r>
      <w:r>
        <w:rPr>
          <w:rFonts w:hint="eastAsia"/>
        </w:rPr>
        <w:t>以投标截止日为基准日，</w:t>
      </w:r>
      <w:r>
        <w:t>近</w:t>
      </w:r>
      <w:r>
        <w:rPr>
          <w:rFonts w:hint="eastAsia"/>
        </w:rPr>
        <w:t>一年</w:t>
      </w:r>
      <w:r>
        <w:t>内</w:t>
      </w:r>
      <w:r>
        <w:rPr>
          <w:rFonts w:hint="eastAsia"/>
        </w:rPr>
        <w:t>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w:t>
      </w:r>
      <w:r>
        <w:rPr>
          <w:rFonts w:hint="eastAsia"/>
        </w:rPr>
        <w:t>⑦</w:t>
      </w:r>
      <w:r>
        <w:rPr>
          <w:rFonts w:hint="eastAsia"/>
        </w:rPr>
        <w:t>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pPr>
        <w:tabs>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进口产品制造商授权书（如有）、中小企业声明函或残疾人福利性单位声明函或监狱企业证明文件（如有）、联合体协议（如有）、分包意向协议（如有）、分项报价表、技术偏离表、按照第五章投标人须知专用部分5.13条规定应提交的其他商务文件和技术文件、实质性*号条款响应等进行审查，以确定其是否满足招标文件的实质性要求。没有通过初审的投标人不再进行详细评审。</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pPr>
        <w:widowControl/>
        <w:adjustRightInd w:val="0"/>
        <w:snapToGrid w:val="0"/>
        <w:spacing w:line="360" w:lineRule="auto"/>
        <w:ind w:firstLine="420" w:firstLineChars="200"/>
        <w:jc w:val="left"/>
        <w:rPr>
          <w:rFonts w:ascii="宋体" w:hAnsi="宋体" w:hint="eastAsia"/>
          <w:szCs w:val="21"/>
        </w:rPr>
      </w:pPr>
      <w:r>
        <w:rPr>
          <w:rFonts w:hint="eastAsia"/>
          <w:bCs/>
        </w:rPr>
        <w:t>（1）代表投标人进行述标的述标人应是投标人的正式员工。如采取现场方式述标，述标人应持</w:t>
      </w:r>
      <w:r>
        <w:rPr>
          <w:rFonts w:ascii="宋体" w:hAnsi="宋体" w:hint="eastAsia"/>
          <w:bCs/>
          <w:szCs w:val="21"/>
        </w:rPr>
        <w:t>有委托其述标的委托书（见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（6）投标人放弃述标不影响其投标的有效性。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（4）根据1.26.8条修正后的分项报价表总价金额小于开标一览表总价金额；</w:t>
      </w:r>
    </w:p>
    <w:p>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（5）根据1.26.8条修正后的分项报价表总价金额大于开标一览表总价金额，评标委员会按1.27条规定的程序要求其对单价进行调整，并使其分项报价表总价金额等于开标一览表总价金额时，投标人</w:t>
      </w:r>
      <w:r>
        <w:rPr>
          <w:rFonts w:ascii="宋体" w:eastAsia="拒绝" w:hAnsi="宋体" w:hint="eastAsia"/>
          <w:szCs w:val="21"/>
        </w:rPr>
        <w:t>拒绝</w:t>
      </w:r>
      <w:r>
        <w:rPr>
          <w:rFonts w:ascii="宋体" w:hAnsi="宋体" w:hint="eastAsia"/>
          <w:szCs w:val="21"/>
        </w:rPr>
        <w:t>调整的；</w:t>
      </w:r>
    </w:p>
    <w:p>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1.27投标的澄清</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pPr>
        <w:pStyle w:val="10"/>
        <w:numPr>
          <w:ilvl w:val="0"/>
          <w:numId w:val="0"/>
        </w:numPr>
        <w:tabs>
          <w:tab w:val="left" w:pos="709"/>
          <w:tab w:val="left" w:pos="1573"/>
        </w:tabs>
        <w:adjustRightInd w:val="0"/>
        <w:snapToGrid w:val="0"/>
        <w:spacing w:line="360" w:lineRule="auto"/>
        <w:ind w:firstLine="420" w:firstLineChars="200"/>
        <w:rPr>
          <w:highlight w:val="none"/>
        </w:rPr>
      </w:pPr>
      <w:r>
        <w:rPr>
          <w:rFonts w:hint="eastAsia"/>
          <w:highlight w:val="none"/>
        </w:rPr>
        <w:t>1.27.3评审中出现下列情形之一的，评标委员会将启动异常低价投标审查程序：</w:t>
      </w:r>
    </w:p>
    <w:p>
      <w:pPr>
        <w:pStyle w:val="10"/>
        <w:numPr>
          <w:ilvl w:val="0"/>
          <w:numId w:val="0"/>
        </w:numPr>
        <w:tabs>
          <w:tab w:val="left" w:pos="709"/>
          <w:tab w:val="left" w:pos="1573"/>
        </w:tabs>
        <w:adjustRightInd w:val="0"/>
        <w:snapToGrid w:val="0"/>
        <w:spacing w:line="360" w:lineRule="auto"/>
        <w:ind w:firstLine="420" w:firstLineChars="200"/>
        <w:rPr>
          <w:highlight w:val="none"/>
        </w:rPr>
      </w:pPr>
      <w:r>
        <w:rPr>
          <w:rFonts w:hint="eastAsia"/>
          <w:highlight w:val="none"/>
        </w:rPr>
        <w:t>（1）投标报价低于全部通过符合性审查供应商投标报价平均值50%的，即：投标报价 &lt;全部通过符合性审查供应商投标报价平均值</w:t>
      </w:r>
      <w:r>
        <w:rPr>
          <w:rFonts w:hint="eastAsia"/>
          <w:highlight w:val="none"/>
        </w:rPr>
        <w:t>×</w:t>
      </w:r>
      <w:r>
        <w:rPr>
          <w:rFonts w:hint="eastAsia"/>
          <w:highlight w:val="none"/>
        </w:rPr>
        <w:t>50%；</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（2）投标报价低于通过符合性审查的次低报价供应商投标报价50%的，即：投标报价 &lt;</w:t>
      </w:r>
      <w:r>
        <w:rPr>
          <w:rFonts w:ascii="宋体" w:hAnsi="宋体"/>
          <w:szCs w:val="21"/>
          <w:highlight w:val="none"/>
        </w:rPr>
        <w:t xml:space="preserve"> </w:t>
      </w:r>
      <w:r>
        <w:rPr>
          <w:rFonts w:ascii="宋体" w:hAnsi="宋体" w:hint="eastAsia"/>
          <w:szCs w:val="21"/>
          <w:highlight w:val="none"/>
        </w:rPr>
        <w:t>通过符合性审查的次低报价供应商投标报价</w:t>
      </w:r>
      <w:r>
        <w:rPr>
          <w:rFonts w:ascii="宋体" w:hAnsi="宋体" w:hint="eastAsia"/>
          <w:szCs w:val="21"/>
          <w:highlight w:val="none"/>
        </w:rPr>
        <w:t>×</w:t>
      </w:r>
      <w:r>
        <w:rPr>
          <w:rFonts w:ascii="宋体" w:hAnsi="宋体" w:hint="eastAsia"/>
          <w:szCs w:val="21"/>
          <w:highlight w:val="none"/>
        </w:rPr>
        <w:t>50%；</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（3）投标报价低于采购项目最高限价45%的，即：投标报价 &lt;</w:t>
      </w:r>
      <w:r>
        <w:rPr>
          <w:rFonts w:ascii="宋体" w:hAnsi="宋体"/>
          <w:szCs w:val="21"/>
          <w:highlight w:val="none"/>
        </w:rPr>
        <w:t xml:space="preserve"> </w:t>
      </w:r>
      <w:r>
        <w:rPr>
          <w:rFonts w:ascii="宋体" w:hAnsi="宋体" w:hint="eastAsia"/>
          <w:szCs w:val="21"/>
          <w:highlight w:val="none"/>
        </w:rPr>
        <w:t>采购项目最高限价</w:t>
      </w:r>
      <w:r>
        <w:rPr>
          <w:rFonts w:ascii="宋体" w:hAnsi="宋体" w:hint="eastAsia"/>
          <w:szCs w:val="21"/>
          <w:highlight w:val="none"/>
        </w:rPr>
        <w:t>×</w:t>
      </w:r>
      <w:r>
        <w:rPr>
          <w:rFonts w:ascii="宋体" w:hAnsi="宋体" w:hint="eastAsia"/>
          <w:szCs w:val="21"/>
          <w:highlight w:val="none"/>
        </w:rPr>
        <w:t>45%；</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（4）评标委员会基于专业判断，认为供应商报价过低，有可能影响产品质量或者不能诚信履约的其他情形。</w:t>
      </w:r>
    </w:p>
    <w:p>
      <w:pPr>
        <w:widowControl/>
        <w:shd w:val="clear" w:color="auto" w:fill="FFFFFF"/>
        <w:spacing w:line="360" w:lineRule="auto"/>
        <w:ind w:firstLine="420" w:firstLineChars="200"/>
        <w:textAlignment w:val="baseline"/>
        <w:rPr>
          <w:b/>
          <w:bCs/>
          <w:highlight w:val="none"/>
        </w:rPr>
      </w:pPr>
      <w:r>
        <w:rPr>
          <w:rFonts w:ascii="宋体" w:hAnsi="宋体" w:hint="eastAsia"/>
          <w:szCs w:val="21"/>
          <w:highlight w:val="none"/>
        </w:rPr>
        <w:t>采购人根据</w:t>
      </w:r>
      <w:r>
        <w:rPr>
          <w:rFonts w:ascii="宋体" w:hAnsi="宋体"/>
          <w:szCs w:val="21"/>
          <w:highlight w:val="none"/>
        </w:rPr>
        <w:t>本项目实际情况，</w:t>
      </w:r>
      <w:r>
        <w:rPr>
          <w:rFonts w:ascii="宋体" w:hAnsi="宋体" w:hint="eastAsia"/>
          <w:szCs w:val="21"/>
          <w:highlight w:val="none"/>
        </w:rPr>
        <w:t>可以提高</w:t>
      </w:r>
      <w:r>
        <w:rPr>
          <w:rFonts w:ascii="宋体" w:hAnsi="宋体"/>
          <w:szCs w:val="21"/>
          <w:highlight w:val="none"/>
        </w:rPr>
        <w:t>上述</w:t>
      </w:r>
      <w:r>
        <w:rPr>
          <w:rFonts w:ascii="宋体" w:hAnsi="宋体" w:hint="eastAsia"/>
          <w:szCs w:val="21"/>
          <w:highlight w:val="none"/>
        </w:rPr>
        <w:t>1项至3项中</w:t>
      </w:r>
      <w:r>
        <w:rPr>
          <w:rFonts w:ascii="宋体" w:hAnsi="宋体"/>
          <w:szCs w:val="21"/>
          <w:highlight w:val="none"/>
        </w:rPr>
        <w:t>启动</w:t>
      </w:r>
      <w:r>
        <w:rPr>
          <w:rFonts w:ascii="宋体" w:hAnsi="宋体" w:hint="eastAsia"/>
          <w:szCs w:val="21"/>
          <w:highlight w:val="none"/>
        </w:rPr>
        <w:t>异常</w:t>
      </w:r>
      <w:r>
        <w:rPr>
          <w:rFonts w:ascii="宋体" w:hAnsi="宋体"/>
          <w:szCs w:val="21"/>
          <w:highlight w:val="none"/>
        </w:rPr>
        <w:t>低价投标审查</w:t>
      </w:r>
      <w:r>
        <w:rPr>
          <w:rFonts w:ascii="宋体" w:hAnsi="宋体" w:hint="eastAsia"/>
          <w:szCs w:val="21"/>
          <w:highlight w:val="none"/>
        </w:rPr>
        <w:t>的</w:t>
      </w:r>
      <w:r>
        <w:rPr>
          <w:rFonts w:ascii="宋体" w:hAnsi="宋体"/>
          <w:szCs w:val="21"/>
          <w:highlight w:val="none"/>
        </w:rPr>
        <w:t>数值标准，</w:t>
      </w:r>
      <w:r>
        <w:rPr>
          <w:rFonts w:ascii="宋体" w:hAnsi="宋体" w:hint="eastAsia"/>
          <w:szCs w:val="21"/>
          <w:highlight w:val="none"/>
        </w:rPr>
        <w:t>但最高</w:t>
      </w:r>
      <w:r>
        <w:rPr>
          <w:rFonts w:ascii="宋体" w:hAnsi="宋体"/>
          <w:szCs w:val="21"/>
          <w:highlight w:val="none"/>
        </w:rPr>
        <w:t>不</w:t>
      </w:r>
      <w:r>
        <w:rPr>
          <w:rFonts w:ascii="宋体" w:hAnsi="宋体" w:hint="eastAsia"/>
          <w:szCs w:val="21"/>
          <w:highlight w:val="none"/>
        </w:rPr>
        <w:t>超过65%。如</w:t>
      </w:r>
      <w:r>
        <w:rPr>
          <w:rFonts w:ascii="宋体" w:hAnsi="宋体"/>
          <w:szCs w:val="21"/>
          <w:highlight w:val="none"/>
        </w:rPr>
        <w:t>提高，</w:t>
      </w:r>
      <w:r>
        <w:rPr>
          <w:rFonts w:ascii="宋体" w:hAnsi="宋体" w:hint="eastAsia"/>
          <w:szCs w:val="21"/>
          <w:highlight w:val="none"/>
        </w:rPr>
        <w:t>具体比例见</w:t>
      </w:r>
      <w:r>
        <w:rPr>
          <w:rFonts w:hint="eastAsia"/>
          <w:b/>
          <w:bCs/>
          <w:highlight w:val="none"/>
        </w:rPr>
        <w:t>第五章投标人须知专用部分。</w:t>
      </w:r>
      <w:r>
        <w:rPr>
          <w:rFonts w:ascii="宋体" w:hAnsi="宋体" w:hint="eastAsia"/>
          <w:szCs w:val="21"/>
          <w:highlight w:val="none"/>
        </w:rPr>
        <w:t>如</w:t>
      </w:r>
      <w:r>
        <w:rPr>
          <w:rFonts w:hint="eastAsia"/>
          <w:b/>
          <w:bCs/>
          <w:highlight w:val="none"/>
        </w:rPr>
        <w:t>第五章投标人须知专用部分</w:t>
      </w:r>
      <w:r>
        <w:rPr>
          <w:rFonts w:hint="eastAsia"/>
          <w:bCs/>
          <w:highlight w:val="none"/>
        </w:rPr>
        <w:t>未约定</w:t>
      </w:r>
      <w:r>
        <w:rPr>
          <w:bCs/>
          <w:highlight w:val="none"/>
        </w:rPr>
        <w:t>，</w:t>
      </w:r>
      <w:r>
        <w:rPr>
          <w:rFonts w:hint="eastAsia"/>
          <w:bCs/>
          <w:highlight w:val="none"/>
        </w:rPr>
        <w:t>视同不</w:t>
      </w:r>
      <w:r>
        <w:rPr>
          <w:bCs/>
          <w:highlight w:val="none"/>
        </w:rPr>
        <w:t>提高相关数值标准</w:t>
      </w:r>
      <w:r>
        <w:rPr>
          <w:rFonts w:hint="eastAsia"/>
          <w:bCs/>
          <w:highlight w:val="none"/>
        </w:rPr>
        <w:t>。</w:t>
      </w:r>
    </w:p>
    <w:p>
      <w:pPr>
        <w:widowControl/>
        <w:shd w:val="clear" w:color="auto" w:fill="FFFFFF"/>
        <w:spacing w:line="360" w:lineRule="auto"/>
        <w:textAlignment w:val="baseline"/>
        <w:rPr>
          <w:rFonts w:ascii="宋体" w:hAnsi="宋体"/>
          <w:szCs w:val="21"/>
          <w:highlight w:val="none"/>
        </w:rPr>
      </w:pPr>
      <w:r>
        <w:rPr>
          <w:rFonts w:ascii="宋体" w:hAnsi="宋体" w:hint="eastAsia"/>
          <w:szCs w:val="21"/>
          <w:highlight w:val="none"/>
        </w:rPr>
        <w:t xml:space="preserve">    </w:t>
      </w:r>
      <w:r>
        <w:rPr>
          <w:rFonts w:ascii="宋体" w:hAnsi="宋体"/>
          <w:szCs w:val="21"/>
          <w:highlight w:val="none"/>
        </w:rPr>
        <w:t>1.27.4</w:t>
      </w:r>
      <w:r>
        <w:rPr>
          <w:rFonts w:hint="eastAsia"/>
          <w:highlight w:val="none"/>
        </w:rPr>
        <w:t>评标委员会启动异常低价投标审查程序后，将</w:t>
      </w:r>
      <w:r>
        <w:rPr>
          <w:rFonts w:ascii="宋体" w:hAnsi="宋体" w:hint="eastAsia"/>
          <w:szCs w:val="21"/>
          <w:highlight w:val="none"/>
        </w:rPr>
        <w:t>要求相关供应商在评标现场合理的时间内对投标价格作出解释，提供项目具体成本测算等与报价合理性相关的书面说明及必要的证明材料，包括但不限于原材料成本、人工成本、制造费用等，给予相关供应商的合理时间一般不少于30分钟。其中，属于前述第3项情形，供应商已随投标文件一并提交相关书面说明及必要的证明材料的，在评标现场不再重复提交。</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评标委员会依据专业经验，参考同类项目中标（成交）价格、类似产品市场价格水平、行业人工费用标准、国家有关部门指导行业协会发布的行业平均成本等情况，对报价合理性进行判断。</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如</w:t>
      </w:r>
      <w:r>
        <w:rPr>
          <w:rFonts w:ascii="宋体" w:hAnsi="宋体"/>
          <w:szCs w:val="21"/>
          <w:highlight w:val="none"/>
        </w:rPr>
        <w:t>相关</w:t>
      </w:r>
      <w:r>
        <w:rPr>
          <w:rFonts w:ascii="宋体" w:hAnsi="宋体" w:hint="eastAsia"/>
          <w:szCs w:val="21"/>
          <w:highlight w:val="none"/>
        </w:rPr>
        <w:t>供应商不能提供书面说明、证明材料，或者提供的书面说明、证明材料不能证明其报价合理性的，评标委员会应当将其作为无效投标处理。</w:t>
      </w:r>
    </w:p>
    <w:p>
      <w:pPr>
        <w:widowControl/>
        <w:shd w:val="clear" w:color="auto" w:fill="FFFFFF"/>
        <w:tabs>
          <w:tab w:val="left" w:pos="709"/>
          <w:tab w:val="left" w:pos="1573"/>
        </w:tabs>
        <w:adjustRightInd w:val="0"/>
        <w:snapToGrid w:val="0"/>
        <w:spacing w:line="360" w:lineRule="auto"/>
        <w:ind w:firstLine="420" w:firstLineChars="200"/>
        <w:jc w:val="left"/>
        <w:textAlignment w:val="baseline"/>
        <w:outlineLvl w:val="3"/>
        <w:rPr>
          <w:b/>
          <w:bCs/>
        </w:rPr>
      </w:pPr>
      <w:r>
        <w:rPr>
          <w:rFonts w:hint="eastAsia"/>
          <w:b/>
          <w:bCs/>
        </w:rPr>
        <w:t>1.28对投标文件的详细评审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投标产品质量、售后服务、价格等各项因素作为评价的基础，综合评选出最佳投标方案。每一投标人的最终得分为评标委员会所有成员给其评分的算数平均值。其中：</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（1）业绩。投标人类似项目的业绩等；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2</w:t>
      </w:r>
      <w:r>
        <w:rPr>
          <w:rFonts w:hint="eastAsia"/>
        </w:rPr>
        <w:t>）投标产品技术性能及质量。包括对招标文件应答情况，技术规格有无偏离，产品的性能、标准，产品的先进性、可靠性、稳定性及质量保证等；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（4）评审价格。开标一览表中该投标人的投标总价。如本项目</w:t>
      </w:r>
      <w:r>
        <w:rPr>
          <w:rFonts w:hint="eastAsia"/>
          <w:bCs/>
        </w:rPr>
        <w:t>不是专门或部分面向中小企</w:t>
      </w:r>
      <w:r>
        <w:rPr>
          <w:rFonts w:hint="eastAsia"/>
          <w:bCs/>
          <w:highlight w:val="none"/>
        </w:rPr>
        <w:t>业采购的项目，小微企业享受价格扣除优惠，用扣除后的价格参与评审；投标人所投</w:t>
      </w:r>
      <w:r>
        <w:rPr>
          <w:bCs/>
          <w:highlight w:val="none"/>
        </w:rPr>
        <w:t>产品</w:t>
      </w:r>
      <w:r>
        <w:rPr>
          <w:rFonts w:hint="eastAsia"/>
          <w:bCs/>
          <w:highlight w:val="none"/>
        </w:rPr>
        <w:t>符合国务院办公厅《关于在政府采购中实施本国产品标准及相关政策的通知》（国办发〔2025〕34号）关于</w:t>
      </w:r>
      <w:r>
        <w:rPr>
          <w:bCs/>
          <w:highlight w:val="none"/>
        </w:rPr>
        <w:t>本国产品价格</w:t>
      </w:r>
      <w:r>
        <w:rPr>
          <w:rFonts w:hint="eastAsia"/>
          <w:bCs/>
          <w:highlight w:val="none"/>
        </w:rPr>
        <w:t>评审</w:t>
      </w:r>
      <w:r>
        <w:rPr>
          <w:bCs/>
          <w:highlight w:val="none"/>
        </w:rPr>
        <w:t>优惠条件的，</w:t>
      </w:r>
      <w:r>
        <w:rPr>
          <w:rFonts w:hint="eastAsia"/>
          <w:bCs/>
          <w:highlight w:val="none"/>
        </w:rPr>
        <w:t>享受价格扣除优惠，用扣除后的价格参与评审。具体见1.4.3、1.5.4</w:t>
      </w:r>
      <w:r>
        <w:rPr>
          <w:rFonts w:hint="eastAsia"/>
          <w:highlight w:val="none"/>
        </w:rPr>
        <w:t>及</w:t>
      </w:r>
      <w:r>
        <w:rPr>
          <w:rFonts w:hint="eastAsia"/>
          <w:b/>
          <w:highlight w:val="none"/>
        </w:rPr>
        <w:t>第六章评标方法和评标标准。</w:t>
      </w:r>
      <w:r>
        <w:rPr>
          <w:rFonts w:hint="eastAsia"/>
          <w:highlight w:val="none"/>
        </w:rPr>
        <w:t>如同时</w:t>
      </w:r>
      <w:r>
        <w:rPr>
          <w:highlight w:val="none"/>
        </w:rPr>
        <w:t>享受多项</w:t>
      </w:r>
      <w:r>
        <w:rPr>
          <w:rFonts w:hint="eastAsia"/>
          <w:highlight w:val="none"/>
        </w:rPr>
        <w:t>价格</w:t>
      </w:r>
      <w:r>
        <w:rPr>
          <w:highlight w:val="none"/>
        </w:rPr>
        <w:t>扣除优惠政策</w:t>
      </w:r>
      <w:r>
        <w:rPr>
          <w:rFonts w:hint="eastAsia"/>
          <w:highlight w:val="none"/>
        </w:rPr>
        <w:t>的</w:t>
      </w:r>
      <w:r>
        <w:rPr>
          <w:highlight w:val="none"/>
        </w:rPr>
        <w:t>，</w:t>
      </w:r>
      <w:r>
        <w:rPr>
          <w:rFonts w:hint="eastAsia"/>
          <w:highlight w:val="none"/>
        </w:rPr>
        <w:t>价格</w:t>
      </w:r>
      <w:r>
        <w:rPr>
          <w:highlight w:val="none"/>
        </w:rPr>
        <w:t>扣除</w:t>
      </w:r>
      <w:r>
        <w:rPr>
          <w:rFonts w:hint="eastAsia"/>
          <w:highlight w:val="none"/>
        </w:rPr>
        <w:t>基数均</w:t>
      </w:r>
      <w:r>
        <w:rPr>
          <w:highlight w:val="none"/>
        </w:rPr>
        <w:t>为</w:t>
      </w:r>
      <w:r>
        <w:rPr>
          <w:rFonts w:hint="eastAsia"/>
          <w:highlight w:val="none"/>
        </w:rPr>
        <w:t>原</w:t>
      </w:r>
      <w:r>
        <w:rPr>
          <w:highlight w:val="none"/>
        </w:rPr>
        <w:t>投标报价。</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1.28.4提供相同品牌产品且通过资格审查、符合性审查的不同投标人参加同一合同项下投标的，按一家投标人计算，评审后得分最高的同品牌投标人获得中标人推荐资格；评审得分相同的，投标报价低的获得中标人推荐资格，其他同品牌投标人不作为中标候选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非单一产品采购项目，采购人应当根据采购项目技术构成、产品价格比重等合理确定核心产品。不同投标人提供的核心产品品牌相同的，按前款规定处理。本项目是否设有核心产品，详见</w:t>
      </w:r>
      <w:r>
        <w:rPr>
          <w:rFonts w:hint="eastAsia"/>
          <w:b/>
          <w:bCs/>
        </w:rPr>
        <w:t>第五章投标人须知专用部分。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1.29.3采购人也可授权评标委员会按本条规定直接确定中标人。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1.30评审过程要求</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1.32采购项目废标</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（2）通过资格审查的投标人不足3家；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（4）出现影响采购公正的违法、违规行为的。</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1.33中标通知</w:t>
      </w:r>
    </w:p>
    <w:p>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规格型号、数量、单价、服务要求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1.33.3中标通知书是合同的组成部分。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1.34合同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1.34.6违反1.34.4、1.34.5条的规定，给对方造成损失的，应承担赔偿责任。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1.37.6有下列情形之一的，属于无效质疑，采购中心可不予受理：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（1）未在有效期限内提出质疑的；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（2）质疑未以书面形式提出的；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（3）质疑函不符合1.37.4要求或财政部规章要求，内容不完整的；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（4）质疑事项已经进入投诉或者诉讼程序的；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（5）质疑缺乏事实和法律依据的；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pPr>
        <w:pStyle w:val="10"/>
        <w:numPr>
          <w:ilvl w:val="0"/>
          <w:numId w:val="0"/>
        </w:numPr>
        <w:tabs>
          <w:tab w:val="left" w:pos="709"/>
          <w:tab w:val="left" w:pos="1573"/>
        </w:tabs>
        <w:adjustRightInd w:val="0"/>
        <w:snapToGrid w:val="0"/>
        <w:spacing w:line="360" w:lineRule="auto"/>
      </w:pPr>
      <w:r>
        <w:rPr>
          <w:rFonts w:hint="eastAsia"/>
        </w:rPr>
        <w:t xml:space="preserve">    （8）其它不符合受理条件的情形。</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pPr>
        <w:pStyle w:val="10"/>
        <w:numPr>
          <w:ilvl w:val="0"/>
          <w:numId w:val="0"/>
        </w:numPr>
        <w:tabs>
          <w:tab w:val="left" w:pos="709"/>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投诉书范本可在中国政府采购网下载。</w:t>
      </w:r>
    </w:p>
    <w:p>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p>
      <w:pPr>
        <w:pStyle w:val="10"/>
        <w:numPr>
          <w:ilvl w:val="0"/>
          <w:numId w:val="0"/>
        </w:numPr>
        <w:tabs>
          <w:tab w:val="left" w:pos="709"/>
          <w:tab w:val="left" w:pos="1573"/>
        </w:tabs>
        <w:adjustRightInd w:val="0"/>
        <w:snapToGrid w:val="0"/>
        <w:spacing w:line="360" w:lineRule="auto"/>
        <w:ind w:firstLine="420" w:firstLineChars="200"/>
      </w:pPr>
      <w:bookmarkEnd w:id="5"/>
      <w:r>
        <w:rPr>
          <w:rFonts w:hint="eastAsia"/>
        </w:rPr>
        <w:t>1.39.1投标人自领取招标文件之日起，须履行本招标项目下保密义务，不得将因本次招标获得的信息向第三人外传。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1.40供应商诚信评价</w:t>
      </w:r>
    </w:p>
    <w:p>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pPr>
        <w:tabs>
          <w:tab w:val="left" w:pos="1573"/>
        </w:tabs>
        <w:adjustRightInd w:val="0"/>
        <w:snapToGrid w:val="0"/>
        <w:spacing w:line="360" w:lineRule="auto"/>
        <w:ind w:firstLine="210" w:firstLineChars="100"/>
        <w:jc w:val="center"/>
        <w:rPr>
          <w:bCs/>
          <w:szCs w:val="44"/>
        </w:rPr>
      </w:pPr>
      <w:r>
        <w:br w:type="page"/>
      </w:r>
      <w:r>
        <w:rPr>
          <w:rFonts w:hint="eastAsia"/>
          <w:b/>
          <w:bCs/>
          <w:sz w:val="30"/>
          <w:szCs w:val="30"/>
        </w:rPr>
        <w:t>第二章  投标文件格式</w:t>
      </w:r>
    </w:p>
    <w:p>
      <w:pPr>
        <w:pStyle w:val="10"/>
        <w:numPr>
          <w:ilvl w:val="0"/>
          <w:numId w:val="0"/>
        </w:numPr>
        <w:tabs>
          <w:tab w:val="left" w:pos="709"/>
          <w:tab w:val="left" w:pos="1573"/>
        </w:tabs>
        <w:spacing w:line="360" w:lineRule="auto"/>
        <w:ind w:firstLine="420" w:firstLineChars="200"/>
        <w:rPr>
          <w:szCs w:val="44"/>
        </w:rPr>
      </w:pPr>
    </w:p>
    <w:p>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pPr>
        <w:tabs>
          <w:tab w:val="left" w:pos="709"/>
          <w:tab w:val="left" w:pos="1573"/>
        </w:tabs>
        <w:adjustRightInd w:val="0"/>
        <w:snapToGrid w:val="0"/>
        <w:spacing w:line="360" w:lineRule="auto"/>
        <w:ind w:firstLine="420" w:firstLineChars="200"/>
        <w:rPr>
          <w:rFonts w:ascii="宋体" w:hAnsi="宋体"/>
          <w:bCs/>
          <w:szCs w:val="44"/>
        </w:rPr>
      </w:pPr>
      <w:r>
        <w:rPr>
          <w:rFonts w:ascii="宋体" w:hAnsi="宋体" w:hint="eastAsia"/>
          <w:b/>
          <w:bCs/>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pPr>
        <w:pStyle w:val="10"/>
        <w:numPr>
          <w:ilvl w:val="0"/>
          <w:numId w:val="0"/>
        </w:numPr>
        <w:tabs>
          <w:tab w:val="left" w:pos="709"/>
          <w:tab w:val="left" w:pos="1573"/>
        </w:tabs>
        <w:adjustRightInd w:val="0"/>
        <w:snapToGrid w:val="0"/>
        <w:spacing w:line="360" w:lineRule="auto"/>
        <w:ind w:firstLine="420" w:firstLineChars="200"/>
        <w:rPr>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pPr>
      <w:bookmarkStart w:id="8" w:name="插入_投标文件商务部分"/>
      <w:r>
        <w:rPr>
          <w:rFonts w:ascii="宋体" w:eastAsia="宋体" w:hAnsi="宋体" w:cs="Times New Roman" w:hint="eastAsia"/>
          <w:b/>
          <w:szCs w:val="20"/>
          <w:highlight w:val="none"/>
        </w:rPr>
        <w:t>2.6法定代表人身份证明或授权委托书</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r>
        <w:rPr>
          <w:rFonts w:ascii="Times New Roman" w:eastAsia="宋体" w:hAnsi="Times New Roman" w:cs="Times New Roman" w:hint="eastAsia"/>
          <w:szCs w:val="20"/>
          <w:highlight w:val="none"/>
        </w:rPr>
        <w:t>在格式文本中，</w:t>
      </w:r>
      <w:r>
        <w:rPr>
          <w:rFonts w:ascii="宋体" w:eastAsia="宋体" w:hAnsi="宋体" w:cs="Times New Roman" w:hint="eastAsia"/>
          <w:szCs w:val="21"/>
          <w:highlight w:val="none"/>
        </w:rPr>
        <w:t>除可填报内容外，任何实质性修改将被视为非实质性响应投标，从而导致该投标被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pPr>
        <w:tabs>
          <w:tab w:val="left" w:pos="5580"/>
        </w:tabs>
        <w:adjustRightInd w:val="0"/>
        <w:snapToGrid w:val="0"/>
        <w:spacing w:line="360" w:lineRule="auto"/>
        <w:ind w:firstLine="420" w:firstLineChars="200"/>
        <w:jc w:val="left"/>
        <w:outlineLvl w:val="4"/>
        <w:rPr>
          <w:rFonts w:ascii="华文楷体" w:eastAsia="华文楷体" w:hAnsi="华文楷体" w:cs="Times New Roman" w:hint="eastAsia"/>
          <w:szCs w:val="21"/>
          <w:highlight w:val="none"/>
        </w:rPr>
      </w:pPr>
      <w:r>
        <w:rPr>
          <w:rFonts w:ascii="宋体" w:eastAsia="宋体" w:hAnsi="宋体" w:cs="Times New Roman" w:hint="eastAsia"/>
          <w:b/>
          <w:szCs w:val="21"/>
          <w:highlight w:val="none"/>
        </w:rPr>
        <w:t>2.6.1</w:t>
      </w:r>
      <w:r>
        <w:rPr>
          <w:rFonts w:ascii="华文楷体" w:eastAsia="华文楷体" w:hAnsi="华文楷体" w:cs="Times New Roman" w:hint="eastAsia"/>
          <w:szCs w:val="21"/>
          <w:highlight w:val="none"/>
        </w:rPr>
        <w:t>如法定代表人直接办理此项目投标事务，按如下格式提供：</w:t>
      </w:r>
    </w:p>
    <w:p>
      <w:pPr>
        <w:tabs>
          <w:tab w:val="left" w:pos="5580"/>
        </w:tabs>
        <w:adjustRightInd w:val="0"/>
        <w:snapToGrid w:val="0"/>
        <w:spacing w:line="360" w:lineRule="auto"/>
        <w:jc w:val="center"/>
        <w:rPr>
          <w:rFonts w:ascii="华文楷体" w:eastAsia="华文楷体" w:hAnsi="华文楷体" w:cs="Times New Roman" w:hint="eastAsia"/>
          <w:b/>
          <w:szCs w:val="21"/>
          <w:highlight w:val="none"/>
        </w:rPr>
      </w:pPr>
    </w:p>
    <w:p>
      <w:pPr>
        <w:tabs>
          <w:tab w:val="left" w:pos="5580"/>
        </w:tabs>
        <w:adjustRightInd w:val="0"/>
        <w:snapToGrid w:val="0"/>
        <w:spacing w:line="360" w:lineRule="auto"/>
        <w:jc w:val="center"/>
        <w:rPr>
          <w:rFonts w:ascii="华文楷体" w:eastAsia="华文楷体" w:hAnsi="华文楷体" w:cs="Times New Roman"/>
          <w:b/>
          <w:szCs w:val="21"/>
          <w:highlight w:val="none"/>
        </w:rPr>
      </w:pPr>
      <w:r>
        <w:rPr>
          <w:rFonts w:ascii="华文楷体" w:eastAsia="华文楷体" w:hAnsi="华文楷体" w:cs="Times New Roman" w:hint="eastAsia"/>
          <w:b/>
          <w:szCs w:val="21"/>
          <w:highlight w:val="none"/>
        </w:rPr>
        <w:t>法定代表人（单位负责人）身份证明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widowControl/>
        <w:adjustRightInd w:val="0"/>
        <w:snapToGrid w:val="0"/>
        <w:spacing w:line="360" w:lineRule="auto"/>
        <w:ind w:firstLine="420" w:firstLineChars="200"/>
        <w:jc w:val="left"/>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投标人名称：</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姓名：</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szCs w:val="21"/>
          <w:highlight w:val="none"/>
        </w:rPr>
        <w:t>性别：</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ab/>
      </w:r>
      <w:r>
        <w:rPr>
          <w:rFonts w:ascii="华文楷体" w:eastAsia="华文楷体" w:hAnsi="华文楷体" w:cs="Times New Roman" w:hint="eastAsia"/>
          <w:szCs w:val="21"/>
          <w:highlight w:val="none"/>
        </w:rPr>
        <w:t>职务：</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szCs w:val="21"/>
          <w:highlight w:val="none"/>
        </w:rPr>
        <w:tab/>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系</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hint="eastAsia"/>
          <w:szCs w:val="21"/>
          <w:highlight w:val="none"/>
        </w:rPr>
        <w:t>（投标人名称）的法定代表人（单位负责人）。</w:t>
      </w:r>
    </w:p>
    <w:p>
      <w:pPr>
        <w:widowControl/>
        <w:adjustRightInd w:val="0"/>
        <w:snapToGrid w:val="0"/>
        <w:spacing w:line="360" w:lineRule="auto"/>
        <w:ind w:firstLine="840" w:firstLineChars="4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特此证明。</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投标人（电子签章）：</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附：法定代表人（单位负责人）身份证复印件。</w:t>
      </w:r>
      <w:r>
        <w:rPr>
          <w:rFonts w:ascii="华文楷体" w:eastAsia="华文楷体" w:hAnsi="华文楷体" w:cs="Times New Roman"/>
          <w:szCs w:val="21"/>
          <w:highlight w:val="non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p>
    <w:p>
      <w:pPr>
        <w:tabs>
          <w:tab w:val="left" w:pos="1573"/>
        </w:tabs>
        <w:adjustRightInd w:val="0"/>
        <w:snapToGrid w:val="0"/>
        <w:spacing w:line="360" w:lineRule="auto"/>
        <w:ind w:firstLine="420" w:firstLineChars="200"/>
        <w:outlineLvl w:val="4"/>
        <w:rPr>
          <w:rFonts w:ascii="宋体" w:eastAsia="宋体" w:hAnsi="宋体" w:cs="Times New Roman" w:hint="eastAsia"/>
          <w:bCs/>
          <w:szCs w:val="20"/>
          <w:highlight w:val="none"/>
        </w:rPr>
      </w:pPr>
      <w:r>
        <w:rPr>
          <w:rFonts w:ascii="宋体" w:eastAsia="宋体" w:hAnsi="宋体" w:cs="Times New Roman" w:hint="eastAsia"/>
          <w:b/>
          <w:bCs/>
          <w:szCs w:val="20"/>
          <w:highlight w:val="none"/>
        </w:rPr>
        <w:t>2.6.2</w:t>
      </w:r>
      <w:r>
        <w:rPr>
          <w:rFonts w:ascii="华文楷体" w:eastAsia="华文楷体" w:hAnsi="华文楷体" w:cs="Times New Roman" w:hint="eastAsia"/>
          <w:szCs w:val="21"/>
          <w:highlight w:val="none"/>
        </w:rPr>
        <w:t>如法定代表人授权他人办理此项目投标事务，按如下格式提供：</w:t>
      </w:r>
    </w:p>
    <w:p>
      <w:pPr>
        <w:tabs>
          <w:tab w:val="left" w:pos="1573"/>
        </w:tabs>
        <w:adjustRightInd w:val="0"/>
        <w:snapToGrid w:val="0"/>
        <w:spacing w:line="360" w:lineRule="auto"/>
        <w:ind w:firstLine="420" w:firstLineChars="200"/>
        <w:rPr>
          <w:rFonts w:ascii="宋体" w:eastAsia="宋体" w:hAnsi="宋体" w:cs="Times New Roman"/>
          <w:bCs/>
          <w:szCs w:val="20"/>
          <w:highlight w:val="none"/>
        </w:rPr>
      </w:pPr>
    </w:p>
    <w:p>
      <w:pPr>
        <w:tabs>
          <w:tab w:val="left" w:pos="5580"/>
        </w:tabs>
        <w:adjustRightInd w:val="0"/>
        <w:snapToGrid w:val="0"/>
        <w:spacing w:line="360" w:lineRule="auto"/>
        <w:jc w:val="center"/>
        <w:rPr>
          <w:rFonts w:ascii="华文楷体" w:eastAsia="华文楷体" w:hAnsi="华文楷体" w:cs="Times New Roman"/>
          <w:b/>
          <w:bCs/>
          <w:szCs w:val="21"/>
          <w:highlight w:val="none"/>
          <w:u w:val="single"/>
        </w:rPr>
      </w:pPr>
      <w:r>
        <w:rPr>
          <w:rFonts w:ascii="华文楷体" w:eastAsia="华文楷体" w:hAnsi="华文楷体" w:cs="Times New Roman" w:hint="eastAsia"/>
          <w:b/>
          <w:szCs w:val="21"/>
          <w:highlight w:val="none"/>
        </w:rPr>
        <w:t>法定代表人（单位负责人）</w:t>
      </w:r>
      <w:r>
        <w:rPr>
          <w:rFonts w:ascii="华文楷体" w:eastAsia="华文楷体" w:hAnsi="华文楷体" w:cs="Times New Roman" w:hint="eastAsia"/>
          <w:b/>
          <w:bCs/>
          <w:szCs w:val="21"/>
          <w:highlight w:val="none"/>
        </w:rPr>
        <w:t>授权委托书</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u w:val="single"/>
        </w:rPr>
        <w:t>中国气象局政府采购中心</w:t>
      </w:r>
      <w:r>
        <w:rPr>
          <w:rFonts w:ascii="华文楷体" w:eastAsia="华文楷体" w:hAnsi="华文楷体" w:cs="Times New Roman" w:hint="eastAsia"/>
          <w:szCs w:val="21"/>
          <w:highlight w:val="none"/>
        </w:rPr>
        <w:t>：</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本授权书声明：</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(投标人全称)的</w:t>
      </w:r>
      <w:r>
        <w:rPr>
          <w:rFonts w:ascii="华文楷体" w:eastAsia="华文楷体" w:hAnsi="华文楷体" w:cs="Times New Roman" w:hint="eastAsia"/>
          <w:szCs w:val="21"/>
          <w:highlight w:val="none"/>
        </w:rPr>
        <w:t>法定代表人（单位负责人）</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b/>
          <w:bCs/>
          <w:szCs w:val="21"/>
          <w:highlight w:val="none"/>
        </w:rPr>
        <w:t>法定代表人姓名、职务</w:t>
      </w:r>
      <w:r>
        <w:rPr>
          <w:rFonts w:ascii="华文楷体" w:eastAsia="华文楷体" w:hAnsi="华文楷体" w:cs="Times New Roman" w:hint="eastAsia"/>
          <w:szCs w:val="21"/>
          <w:highlight w:val="none"/>
        </w:rPr>
        <w:t>）授权</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(投标人授权代表姓名)</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职务、职称)</w:t>
      </w:r>
      <w:r>
        <w:rPr>
          <w:rFonts w:ascii="华文楷体" w:eastAsia="华文楷体" w:hAnsi="华文楷体" w:cs="Times New Roman" w:hint="eastAsia"/>
          <w:szCs w:val="21"/>
          <w:highlight w:val="none"/>
        </w:rPr>
        <w:t>为本公司合法代理人</w:t>
      </w:r>
      <w:r>
        <w:rPr>
          <w:rFonts w:ascii="华文楷体" w:eastAsia="华文楷体" w:hAnsi="华文楷体" w:cs="Times New Roman" w:hint="eastAsia"/>
          <w:b/>
          <w:bCs/>
          <w:szCs w:val="21"/>
          <w:highlight w:val="none"/>
        </w:rPr>
        <w:t>，</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（包号），并以本公司名义处理一切与之有关的事务，其法律后果由本公司承担。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代理人无转委托权。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投标人(电子签章)：</w:t>
      </w:r>
      <w:r>
        <w:rPr>
          <w:rFonts w:ascii="华文楷体" w:eastAsia="华文楷体" w:hAnsi="华文楷体" w:cs="Times New Roman" w:hint="eastAsia"/>
          <w:bCs/>
          <w:szCs w:val="21"/>
          <w:highlight w:val="none"/>
        </w:rPr>
        <w:t xml:space="preserve"> </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法定代表人（单位负责人）（签字或盖章）：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投标人授权代表(签字或盖章)：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附：授权代表身份证复印件</w:t>
      </w:r>
    </w:p>
    <w:p>
      <w:pPr>
        <w:rPr>
          <w:highlight w:val="none"/>
        </w:rPr>
      </w:pPr>
      <w:r>
        <w:rPr>
          <w:rFonts w:ascii="华文楷体" w:eastAsia="华文楷体" w:hAnsi="华文楷体" w:cs="Times New Roman" w:hint="eastAsia"/>
          <w:szCs w:val="21"/>
          <w:highlight w:val="none"/>
        </w:rPr>
        <w:t>注：本授权委托书需由</w:t>
      </w:r>
      <w:r>
        <w:rPr>
          <w:rFonts w:ascii="华文楷体" w:eastAsia="华文楷体" w:hAnsi="华文楷体" w:cs="Times New Roman" w:hint="eastAsia"/>
          <w:szCs w:val="21"/>
          <w:highlight w:val="none"/>
        </w:rPr>
        <w:t>投标人</w:t>
      </w:r>
      <w:r>
        <w:rPr>
          <w:rFonts w:ascii="华文楷体" w:eastAsia="华文楷体" w:hAnsi="华文楷体" w:cs="Times New Roman" w:hint="eastAsia"/>
          <w:szCs w:val="21"/>
          <w:highlight w:val="none"/>
        </w:rPr>
        <w:t>加盖单位公章并由其法定代表人（单位负责人）和授权代表签字或盖章。</w:t>
      </w:r>
      <w:r>
        <w:rPr>
          <w:rFonts w:ascii="华文楷体" w:eastAsia="华文楷体" w:hAnsi="华文楷体" w:cs="Times New Roman" w:hint="eastAsia"/>
          <w:szCs w:val="20"/>
          <w:highlight w:val="none"/>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3.截止到投标截止日，所投货物中无国家法律、法规、政策禁止采购人采购的货物，也未使用国家法律、法规、政策禁止采购人采购的货物作为零件。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4.按招标文件要求提供和交付的货物和服务的投标报价详见开标一览表。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5.完全理解投标报价超过预算金额或最高限价时，投标无效。</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开标一览表或投标文件中未注明出处的优惠金额可由采购人按用户利益最大化原则分摊到主要设备费用中，折算后的价格作为维保和追加设备的计费依据，其集成费、服务费、培训费等非设备费用将保持原值不变。</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7.保证忠实地执行双方所签订的合同，并承担合同规定的责任和义务。</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8.完全理解招标文件中的各项商务和技术要求，若有偏差，已在投标文件商务条款和技术要求偏离表中予以明确特别说明。</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9.完全理解贵方不一定接受最低价的投标或收到的任何投标。</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10.愿意向贵方提供任何与本项投标有关的数据、情况和技术资料。若贵方需要，我方愿意提供我方作出的一切承诺的证明材料。</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11.我方已详细审核全部投标文件，包括投标文件修改书（如有的话）、参考资料及有关附件，确认无误。</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12.采购人若需追加采购本项目招标文件所列货物及相关服务的，在不改变合同其他实质性条款的前提下，按相同或更优惠的折扣率保证供货。</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13.接受招标文件中合同条款的全部条款且无任何异议。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14.本次投标没有与其他投标人相互串通，没有组织或参与陪标、围标、串标等法律禁止行为。</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w:t>
      </w:r>
      <w:r>
        <w:rPr>
          <w:rFonts w:ascii="华文楷体" w:eastAsia="华文楷体" w:hAnsi="华文楷体" w:cs="Times New Roman" w:hint="eastAsia"/>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firstLine="420" w:firstLineChars="200"/>
        <w:rPr>
          <w:rFonts w:ascii="宋体" w:eastAsia="宋体" w:hAnsi="宋体" w:cs="Times New Roman" w:hint="eastAsia"/>
          <w:b/>
          <w:szCs w:val="21"/>
        </w:rPr>
      </w:pPr>
    </w:p>
    <w:p>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单位名称</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统一社会信用代码</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详细地址</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主管部门</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rPr>
              <w:t>授权代表</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组织形式</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hint="eastAsia"/>
              </w:rPr>
              <w:t>企业类型</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hint="eastAsia"/>
              </w:rPr>
              <w:t>所属行业</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单位优势及特长</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单位概况</w:t>
            </w:r>
          </w:p>
        </w:tc>
        <w:tc>
          <w:tcPr>
            <w:tcW w:w="678" w:type="pct"/>
            <w:vMerge w:val="restart"/>
            <w:vAlign w:val="center"/>
          </w:tcPr>
          <w:p>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vAlign w:val="center"/>
          </w:tcPr>
          <w:p>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tcPr>
          <w:p>
            <w:pPr>
              <w:ind w:right="-42" w:rightChars="-20"/>
              <w:rPr>
                <w:rFonts w:ascii="Arial" w:eastAsia="黑体" w:hAnsi="Arial" w:cs="Arial"/>
              </w:rPr>
            </w:pPr>
            <w:r>
              <w:rPr>
                <w:rFonts w:ascii="Arial" w:eastAsia="黑体" w:hAnsi="Arial" w:cs="Arial" w:hint="eastAsia"/>
              </w:rPr>
              <w:t>管理人员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jc w:val="center"/>
              <w:rPr>
                <w:rFonts w:ascii="Arial" w:eastAsia="黑体" w:hAnsi="Arial" w:cs="Arial"/>
              </w:rPr>
            </w:pPr>
          </w:p>
        </w:tc>
        <w:tc>
          <w:tcPr>
            <w:tcW w:w="940" w:type="pct"/>
            <w:gridSpan w:val="3"/>
            <w:vMerge/>
            <w:vAlign w:val="center"/>
          </w:tcPr>
          <w:p>
            <w:pPr>
              <w:snapToGrid w:val="0"/>
              <w:ind w:right="-42" w:rightChars="-20"/>
              <w:jc w:val="center"/>
              <w:rPr>
                <w:rFonts w:ascii="Arial" w:eastAsia="黑体" w:hAnsi="Arial" w:cs="Arial"/>
              </w:rPr>
            </w:pPr>
          </w:p>
        </w:tc>
        <w:tc>
          <w:tcPr>
            <w:tcW w:w="2586" w:type="pct"/>
            <w:gridSpan w:val="4"/>
          </w:tcPr>
          <w:p>
            <w:pPr>
              <w:ind w:right="-42" w:rightChars="-20"/>
              <w:rPr>
                <w:rFonts w:ascii="Arial" w:eastAsia="黑体" w:hAnsi="Arial" w:cs="Arial"/>
              </w:rPr>
            </w:pPr>
            <w:r>
              <w:rPr>
                <w:rFonts w:ascii="Arial" w:eastAsia="黑体" w:hAnsi="Arial" w:cs="Arial" w:hint="eastAsia"/>
              </w:rPr>
              <w:t>技术人员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vAlign w:val="center"/>
          </w:tcPr>
          <w:p>
            <w:pPr>
              <w:ind w:right="-42" w:rightChars="-20"/>
              <w:jc w:val="center"/>
              <w:rPr>
                <w:rFonts w:ascii="Arial" w:eastAsia="黑体" w:hAnsi="Arial" w:cs="Arial"/>
              </w:rPr>
            </w:pPr>
            <w:r>
              <w:rPr>
                <w:rFonts w:ascii="Arial" w:eastAsia="黑体" w:hAnsi="Arial" w:cs="Arial"/>
              </w:rPr>
              <w:t>中级职称</w:t>
            </w:r>
          </w:p>
        </w:tc>
        <w:tc>
          <w:tcPr>
            <w:tcW w:w="757" w:type="pct"/>
            <w:vAlign w:val="center"/>
          </w:tcPr>
          <w:p>
            <w:pPr>
              <w:ind w:right="-42" w:rightChars="-20"/>
              <w:jc w:val="center"/>
              <w:rPr>
                <w:rFonts w:ascii="Arial" w:eastAsia="黑体" w:hAnsi="Arial" w:cs="Arial"/>
              </w:rPr>
            </w:pPr>
            <w:r>
              <w:rPr>
                <w:rFonts w:ascii="Arial" w:eastAsia="黑体" w:hAnsi="Arial" w:cs="Arial"/>
              </w:rPr>
              <w:t>初级职称</w:t>
            </w:r>
          </w:p>
        </w:tc>
        <w:tc>
          <w:tcPr>
            <w:tcW w:w="1023" w:type="pct"/>
            <w:vAlign w:val="center"/>
          </w:tcPr>
          <w:p>
            <w:pPr>
              <w:ind w:right="-42" w:rightChars="-20"/>
              <w:jc w:val="center"/>
              <w:rPr>
                <w:rFonts w:ascii="Arial" w:eastAsia="黑体" w:hAnsi="Arial" w:cs="Arial"/>
              </w:rPr>
            </w:pPr>
            <w:r>
              <w:rPr>
                <w:rFonts w:ascii="Arial" w:eastAsia="黑体" w:hAnsi="Arial" w:cs="Arial"/>
              </w:rPr>
              <w:t>技工</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人数</w:t>
            </w:r>
          </w:p>
        </w:tc>
        <w:tc>
          <w:tcPr>
            <w:tcW w:w="940" w:type="pct"/>
            <w:gridSpan w:val="3"/>
          </w:tcPr>
          <w:p>
            <w:pPr>
              <w:snapToGrid w:val="0"/>
              <w:ind w:right="-42" w:rightChars="-20"/>
              <w:rPr>
                <w:rFonts w:ascii="Arial" w:eastAsia="黑体" w:hAnsi="Arial" w:cs="Arial"/>
              </w:rPr>
            </w:pPr>
          </w:p>
        </w:tc>
        <w:tc>
          <w:tcPr>
            <w:tcW w:w="806" w:type="pct"/>
            <w:gridSpan w:val="2"/>
          </w:tcPr>
          <w:p>
            <w:pPr>
              <w:ind w:right="-42" w:rightChars="-20"/>
              <w:rPr>
                <w:rFonts w:ascii="Arial" w:eastAsia="黑体" w:hAnsi="Arial" w:cs="Arial"/>
              </w:rPr>
            </w:pPr>
          </w:p>
        </w:tc>
        <w:tc>
          <w:tcPr>
            <w:tcW w:w="757" w:type="pct"/>
          </w:tcPr>
          <w:p>
            <w:pPr>
              <w:ind w:right="-42" w:rightChars="-20"/>
              <w:rPr>
                <w:rFonts w:ascii="Arial" w:eastAsia="黑体" w:hAnsi="Arial" w:cs="Arial"/>
              </w:rPr>
            </w:pPr>
          </w:p>
        </w:tc>
        <w:tc>
          <w:tcPr>
            <w:tcW w:w="1023" w:type="pct"/>
          </w:tcPr>
          <w:p>
            <w:pPr>
              <w:ind w:right="-42" w:rightChars="-20"/>
              <w:rPr>
                <w:rFonts w:ascii="Arial" w:eastAsia="黑体"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restart"/>
            <w:vAlign w:val="center"/>
          </w:tcPr>
          <w:p>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vAlign w:val="center"/>
          </w:tcPr>
          <w:p>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vAlign w:val="center"/>
          </w:tcPr>
          <w:p>
            <w:pPr>
              <w:ind w:right="-42" w:rightChars="-20"/>
              <w:jc w:val="center"/>
              <w:rPr>
                <w:rFonts w:ascii="Arial" w:eastAsia="黑体" w:hAnsi="Arial" w:cs="Arial"/>
              </w:rPr>
            </w:pPr>
            <w:r>
              <w:rPr>
                <w:rFonts w:ascii="Arial" w:eastAsia="黑体" w:hAnsi="Arial" w:cs="Arial"/>
              </w:rPr>
              <w:t>资金来源</w:t>
            </w:r>
          </w:p>
        </w:tc>
        <w:tc>
          <w:tcPr>
            <w:tcW w:w="757" w:type="pct"/>
            <w:vAlign w:val="center"/>
          </w:tcPr>
          <w:p>
            <w:pPr>
              <w:ind w:right="-42" w:rightChars="-20"/>
              <w:jc w:val="center"/>
              <w:rPr>
                <w:rFonts w:ascii="Arial" w:eastAsia="黑体" w:hAnsi="Arial" w:cs="Arial"/>
              </w:rPr>
            </w:pPr>
            <w:r>
              <w:rPr>
                <w:rFonts w:ascii="Arial" w:eastAsia="黑体" w:hAnsi="Arial" w:cs="Arial"/>
              </w:rPr>
              <w:t>自有资金</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rPr>
                <w:rFonts w:ascii="Arial" w:eastAsia="黑体" w:hAnsi="Arial" w:cs="Arial"/>
              </w:rPr>
            </w:pPr>
          </w:p>
        </w:tc>
        <w:tc>
          <w:tcPr>
            <w:tcW w:w="940" w:type="pct"/>
            <w:gridSpan w:val="3"/>
            <w:vMerge/>
            <w:vAlign w:val="center"/>
          </w:tcPr>
          <w:p>
            <w:pPr>
              <w:snapToGrid w:val="0"/>
              <w:ind w:right="-42" w:rightChars="-20"/>
              <w:rPr>
                <w:rFonts w:ascii="Arial" w:eastAsia="黑体" w:hAnsi="Arial" w:cs="Arial"/>
              </w:rPr>
            </w:pPr>
          </w:p>
        </w:tc>
        <w:tc>
          <w:tcPr>
            <w:tcW w:w="806" w:type="pct"/>
            <w:gridSpan w:val="2"/>
            <w:vMerge/>
            <w:vAlign w:val="center"/>
          </w:tcPr>
          <w:p>
            <w:pPr>
              <w:ind w:right="-42" w:rightChars="-20"/>
              <w:jc w:val="center"/>
              <w:rPr>
                <w:rFonts w:ascii="Arial" w:eastAsia="黑体" w:hAnsi="Arial" w:cs="Arial"/>
              </w:rPr>
            </w:pPr>
          </w:p>
        </w:tc>
        <w:tc>
          <w:tcPr>
            <w:tcW w:w="757" w:type="pct"/>
            <w:vAlign w:val="center"/>
          </w:tcPr>
          <w:p>
            <w:pPr>
              <w:ind w:right="-42" w:rightChars="-20"/>
              <w:jc w:val="center"/>
              <w:rPr>
                <w:rFonts w:ascii="Arial" w:eastAsia="黑体" w:hAnsi="Arial" w:cs="Arial"/>
              </w:rPr>
            </w:pPr>
            <w:r>
              <w:rPr>
                <w:rFonts w:ascii="Arial" w:eastAsia="黑体" w:hAnsi="Arial" w:cs="Arial"/>
              </w:rPr>
              <w:t>银行贷款</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原值</w:t>
            </w:r>
          </w:p>
        </w:tc>
        <w:tc>
          <w:tcPr>
            <w:tcW w:w="806" w:type="pct"/>
            <w:gridSpan w:val="2"/>
            <w:vAlign w:val="center"/>
          </w:tcPr>
          <w:p>
            <w:pPr>
              <w:ind w:right="-42" w:firstLine="630" w:rightChars="-20" w:firstLineChars="300"/>
              <w:jc w:val="right"/>
              <w:rPr>
                <w:rFonts w:ascii="Arial" w:eastAsia="黑体" w:hAnsi="Arial" w:cs="Arial"/>
              </w:rPr>
            </w:pPr>
            <w:r>
              <w:rPr>
                <w:rFonts w:ascii="Arial" w:eastAsia="黑体" w:hAnsi="Arial" w:cs="Arial"/>
              </w:rPr>
              <w:t>万元</w:t>
            </w:r>
          </w:p>
        </w:tc>
        <w:tc>
          <w:tcPr>
            <w:tcW w:w="757" w:type="pct"/>
            <w:vAlign w:val="center"/>
          </w:tcPr>
          <w:p>
            <w:pPr>
              <w:ind w:right="-42" w:rightChars="-20"/>
              <w:jc w:val="center"/>
              <w:rPr>
                <w:rFonts w:ascii="Arial" w:eastAsia="黑体" w:hAnsi="Arial" w:cs="Arial"/>
              </w:rPr>
            </w:pPr>
            <w:r>
              <w:rPr>
                <w:rFonts w:ascii="Arial" w:eastAsia="黑体" w:hAnsi="Arial" w:cs="Arial"/>
              </w:rPr>
              <w:t>净值</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企业财务状况</w:t>
            </w: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vAlign w:val="center"/>
          </w:tcPr>
          <w:p>
            <w:pPr>
              <w:ind w:right="-42" w:rightChars="-20"/>
              <w:jc w:val="center"/>
              <w:rPr>
                <w:rFonts w:ascii="Arial" w:eastAsia="黑体" w:hAnsi="Arial" w:cs="Arial"/>
              </w:rPr>
            </w:pPr>
            <w:r>
              <w:rPr>
                <w:rFonts w:ascii="Arial" w:eastAsia="黑体" w:hAnsi="Arial" w:cs="Arial"/>
              </w:rPr>
              <w:t>利润总额</w:t>
            </w:r>
          </w:p>
        </w:tc>
        <w:tc>
          <w:tcPr>
            <w:tcW w:w="757" w:type="pct"/>
            <w:vAlign w:val="center"/>
          </w:tcPr>
          <w:p>
            <w:pPr>
              <w:ind w:right="-42" w:rightChars="-20"/>
              <w:jc w:val="center"/>
              <w:rPr>
                <w:rFonts w:ascii="Arial" w:eastAsia="黑体" w:hAnsi="Arial" w:cs="Arial"/>
              </w:rPr>
            </w:pPr>
            <w:r>
              <w:rPr>
                <w:rFonts w:ascii="Arial" w:eastAsia="黑体" w:hAnsi="Arial" w:cs="Arial"/>
              </w:rPr>
              <w:t>税后利润</w:t>
            </w:r>
          </w:p>
        </w:tc>
        <w:tc>
          <w:tcPr>
            <w:tcW w:w="1023" w:type="pct"/>
            <w:vAlign w:val="center"/>
          </w:tcPr>
          <w:p>
            <w:pPr>
              <w:ind w:right="-42" w:rightChars="-20"/>
              <w:jc w:val="center"/>
              <w:rPr>
                <w:rFonts w:ascii="Arial" w:eastAsia="黑体" w:hAnsi="Arial" w:cs="Arial"/>
              </w:rPr>
            </w:pPr>
            <w:r>
              <w:rPr>
                <w:rFonts w:ascii="Arial" w:eastAsia="黑体" w:hAnsi="Arial" w:cs="Arial"/>
              </w:rPr>
              <w:t>负债总额</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vAlign w:val="center"/>
          </w:tcPr>
          <w:p>
            <w:pPr>
              <w:snapToGrid w:val="0"/>
              <w:ind w:right="-42" w:rightChars="-20"/>
              <w:rPr>
                <w:rFonts w:ascii="Arial" w:eastAsia="黑体" w:hAnsi="Arial" w:cs="Arial"/>
              </w:rPr>
            </w:pPr>
          </w:p>
        </w:tc>
        <w:tc>
          <w:tcPr>
            <w:tcW w:w="806" w:type="pct"/>
            <w:gridSpan w:val="2"/>
            <w:vAlign w:val="center"/>
          </w:tcPr>
          <w:p>
            <w:pPr>
              <w:ind w:right="-42" w:rightChars="-20"/>
              <w:rPr>
                <w:rFonts w:ascii="Arial" w:eastAsia="黑体" w:hAnsi="Arial" w:cs="Arial"/>
              </w:rPr>
            </w:pPr>
          </w:p>
        </w:tc>
        <w:tc>
          <w:tcPr>
            <w:tcW w:w="757" w:type="pct"/>
            <w:vAlign w:val="center"/>
          </w:tcPr>
          <w:p>
            <w:pPr>
              <w:ind w:right="-42" w:rightChars="-20"/>
              <w:rPr>
                <w:rFonts w:ascii="Arial" w:eastAsia="黑体" w:hAnsi="Arial" w:cs="Arial"/>
              </w:rPr>
            </w:pPr>
          </w:p>
        </w:tc>
        <w:tc>
          <w:tcPr>
            <w:tcW w:w="1023" w:type="pct"/>
            <w:vAlign w:val="center"/>
          </w:tcPr>
          <w:p>
            <w:pPr>
              <w:ind w:right="-42" w:rightChars="-20"/>
              <w:rPr>
                <w:rFonts w:ascii="Arial" w:eastAsia="黑体" w:hAnsi="Arial" w:cs="Arial"/>
              </w:rPr>
            </w:pPr>
          </w:p>
        </w:tc>
      </w:tr>
    </w:tbl>
    <w:p>
      <w:pPr>
        <w:tabs>
          <w:tab w:val="left" w:pos="5580"/>
        </w:tabs>
        <w:adjustRightInd w:val="0"/>
        <w:snapToGrid w:val="0"/>
        <w:spacing w:line="360" w:lineRule="auto"/>
        <w:jc w:val="center"/>
        <w:rPr>
          <w:rFonts w:ascii="宋体" w:hAnsi="宋体"/>
          <w:szCs w:val="21"/>
        </w:rPr>
      </w:pPr>
    </w:p>
    <w:p>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9" w:name="OLE_LINK46"/>
      <w:r>
        <w:rPr>
          <w:rFonts w:hint="eastAsia"/>
        </w:rPr>
        <w:t>“微型企业”。</w:t>
      </w:r>
      <w:bookmarkEnd w:id="9"/>
      <w:r>
        <w:rPr>
          <w:rFonts w:hint="eastAsia"/>
        </w:rPr>
        <w:t>属于监狱企业的应填写为“监狱企业”，属于残疾人福利性单位的应填写为“残疾人福利性单位”。</w:t>
      </w:r>
    </w:p>
    <w:p>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如投标人提交的投标文件商务条款及合同条款与招标文件的要求存在偏离，需逐项填写；如投标人完全满足招标文件的要求，则需应答“完全满足招标文件的全部要求”；如</w:t>
      </w:r>
      <w:r>
        <w:rPr>
          <w:rFonts w:ascii="Times New Roman" w:eastAsia="宋体" w:hAnsi="Times New Roman" w:cs="Times New Roman" w:hint="eastAsia"/>
          <w:szCs w:val="20"/>
        </w:rPr>
        <w:t>项目分包的，应以包为单位分别填写；如未逐包分别填写，可能导致的不利后果由投标人承担。</w:t>
      </w:r>
    </w:p>
    <w:p>
      <w:pPr>
        <w:tabs>
          <w:tab w:val="left" w:pos="1573"/>
        </w:tabs>
        <w:adjustRightInd w:val="0"/>
        <w:snapToGrid w:val="0"/>
        <w:spacing w:line="360" w:lineRule="auto"/>
        <w:ind w:firstLine="412" w:firstLineChars="196"/>
        <w:rPr>
          <w:rFonts w:ascii="宋体" w:eastAsia="宋体" w:hAnsi="宋体" w:cs="Times New Roman"/>
          <w:szCs w:val="21"/>
        </w:rPr>
      </w:pPr>
    </w:p>
    <w:p>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1701"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招标文件商务文件要求</w:t>
            </w:r>
          </w:p>
        </w:tc>
        <w:tc>
          <w:tcPr>
            <w:tcW w:w="184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投标文件的应答</w:t>
            </w:r>
          </w:p>
        </w:tc>
        <w:tc>
          <w:tcPr>
            <w:tcW w:w="1276"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投标文件中的对应页码</w:t>
            </w:r>
          </w:p>
        </w:tc>
        <w:tc>
          <w:tcPr>
            <w:tcW w:w="1843"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pPr>
        <w:tabs>
          <w:tab w:val="left" w:pos="1260"/>
        </w:tabs>
        <w:adjustRightInd w:val="0"/>
        <w:snapToGrid w:val="0"/>
        <w:spacing w:line="360" w:lineRule="auto"/>
        <w:ind w:firstLine="840" w:firstLineChars="400"/>
        <w:rPr>
          <w:rFonts w:ascii="华文楷体" w:eastAsia="华文楷体" w:hAnsi="华文楷体" w:cs="Times New Roman" w:hint="eastAsia"/>
          <w:szCs w:val="21"/>
        </w:rPr>
      </w:pPr>
      <w:r>
        <w:rPr>
          <w:rFonts w:ascii="华文楷体" w:eastAsia="华文楷体" w:hAnsi="华文楷体" w:cs="Times New Roman" w:hint="eastAsia"/>
          <w:szCs w:val="21"/>
        </w:rPr>
        <w:t>2、“投标文件的页码范围”填写应答内容所在电子文档的文件名称及对应页码。</w:t>
      </w:r>
    </w:p>
    <w:p>
      <w:pPr>
        <w:tabs>
          <w:tab w:val="left" w:pos="1260"/>
        </w:tabs>
        <w:adjustRightInd w:val="0"/>
        <w:snapToGrid w:val="0"/>
        <w:spacing w:line="360" w:lineRule="auto"/>
        <w:ind w:firstLine="735" w:firstLineChars="35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示例：如某应答内容在投标人自行编制的商务文件10-13页，则填列“投标人自行编制的商务文件10-13页”。</w:t>
      </w:r>
    </w:p>
    <w:p/>
    <w:p>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rPr>
      </w:pPr>
      <w:r>
        <w:rPr>
          <w:rFonts w:ascii="宋体" w:eastAsia="宋体" w:hAnsi="宋体" w:cs="Times New Roman" w:hint="eastAsia"/>
          <w:b/>
          <w:szCs w:val="20"/>
        </w:rPr>
        <w:t>2</w:t>
      </w:r>
      <w:r>
        <w:rPr>
          <w:rFonts w:ascii="宋体" w:eastAsia="宋体" w:hAnsi="宋体" w:cs="Times New Roman"/>
          <w:b/>
          <w:szCs w:val="20"/>
        </w:rPr>
        <w:t>.</w:t>
      </w:r>
      <w:r>
        <w:rPr>
          <w:rFonts w:ascii="宋体" w:eastAsia="宋体" w:hAnsi="宋体" w:cs="Times New Roman" w:hint="eastAsia"/>
          <w:b/>
          <w:szCs w:val="20"/>
        </w:rPr>
        <w:t>10</w:t>
      </w:r>
      <w:r>
        <w:rPr>
          <w:rFonts w:ascii="宋体" w:eastAsia="宋体" w:hAnsi="宋体" w:cs="Times New Roman"/>
          <w:b/>
          <w:szCs w:val="20"/>
        </w:rPr>
        <w:t>资格</w:t>
      </w:r>
      <w:r>
        <w:rPr>
          <w:rFonts w:ascii="宋体" w:eastAsia="宋体" w:hAnsi="宋体" w:cs="Times New Roman" w:hint="eastAsia"/>
          <w:b/>
          <w:szCs w:val="20"/>
        </w:rPr>
        <w:t>、资信</w:t>
      </w:r>
      <w:r>
        <w:rPr>
          <w:rFonts w:ascii="宋体" w:eastAsia="宋体" w:hAnsi="宋体" w:cs="Times New Roman"/>
          <w:b/>
          <w:szCs w:val="20"/>
        </w:rPr>
        <w:t>证明文件</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2.10.1投标人</w:t>
      </w:r>
      <w:r>
        <w:rPr>
          <w:b/>
        </w:rPr>
        <w:t>法人</w:t>
      </w:r>
      <w:r>
        <w:rPr>
          <w:rFonts w:hint="eastAsia"/>
          <w:b/>
        </w:rPr>
        <w:t>资格</w:t>
      </w:r>
      <w:r>
        <w:rPr>
          <w:b/>
        </w:rPr>
        <w:t>证明文件</w:t>
      </w:r>
    </w:p>
    <w:p>
      <w:pPr>
        <w:pStyle w:val="10"/>
        <w:numPr>
          <w:ilvl w:val="0"/>
          <w:numId w:val="0"/>
        </w:numPr>
        <w:tabs>
          <w:tab w:val="left" w:pos="1573"/>
        </w:tabs>
        <w:adjustRightInd w:val="0"/>
        <w:snapToGrid w:val="0"/>
        <w:spacing w:line="360" w:lineRule="auto"/>
        <w:ind w:firstLine="420" w:firstLineChars="200"/>
        <w:jc w:val="left"/>
      </w:pPr>
      <w:r>
        <w:rPr>
          <w:rFonts w:hint="eastAsia"/>
        </w:rPr>
        <w:t>截止至投标截止日仍有效的投标人法人资格的证明文件（法人营业执照、事业单位法人证书等）的复印件。</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2.10.2近一年内任何完税凭证或税务部门出具的税收减免证明</w:t>
      </w:r>
    </w:p>
    <w:p>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2.10.3近一年内任何一期社会保障资金缴纳凭证</w:t>
      </w:r>
    </w:p>
    <w:p>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以投标截止日为基准日，投标人开标前一年内任何一期缴纳社会保险的凭据（专用收据或社会保险缴纳清单），依法不需要缴纳社会保障资金的投标人，应提供相应证明文件证明其不需要缴纳社会保障资金。</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2.10.4财务状况证明</w:t>
      </w:r>
    </w:p>
    <w:p>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2.10.5参加政府采购活动前三年内，在经营活动中没有重大违法记录的声明</w:t>
      </w:r>
    </w:p>
    <w:p>
      <w:pPr>
        <w:pStyle w:val="10"/>
        <w:numPr>
          <w:ilvl w:val="0"/>
          <w:numId w:val="0"/>
        </w:numPr>
        <w:tabs>
          <w:tab w:val="left" w:pos="1573"/>
        </w:tabs>
        <w:adjustRightInd w:val="0"/>
        <w:snapToGrid w:val="0"/>
        <w:spacing w:line="360" w:lineRule="auto"/>
        <w:ind w:firstLine="420" w:firstLineChars="200"/>
        <w:jc w:val="left"/>
        <w:rPr>
          <w:b/>
        </w:rPr>
      </w:pPr>
      <w:r>
        <w:rPr>
          <w:rFonts w:hint="eastAsia"/>
        </w:rPr>
        <w:t>在格式文本中，除可填报内容外，任何实质性修改将被视为非实质性响应投标，从而导致该投标被</w:t>
      </w:r>
      <w:r>
        <w:rPr>
          <w:rFonts w:eastAsia="拒绝" w:hint="eastAsia"/>
          <w:b/>
        </w:rPr>
        <w:t>拒绝</w:t>
      </w:r>
      <w:r>
        <w:rPr>
          <w:rFonts w:hint="eastAsia"/>
        </w:rPr>
        <w:t>。</w:t>
      </w:r>
    </w:p>
    <w:p>
      <w:pPr>
        <w:tabs>
          <w:tab w:val="left" w:pos="1573"/>
        </w:tabs>
        <w:adjustRightInd w:val="0"/>
        <w:snapToGrid w:val="0"/>
        <w:spacing w:line="360" w:lineRule="auto"/>
        <w:jc w:val="center"/>
        <w:rPr>
          <w:rFonts w:ascii="华文楷体" w:eastAsia="华文楷体" w:hAnsi="华文楷体" w:cs="Times New Roman"/>
          <w:b/>
          <w:szCs w:val="20"/>
        </w:rPr>
      </w:pPr>
      <w:r>
        <w:rPr>
          <w:rFonts w:ascii="华文楷体" w:eastAsia="华文楷体" w:hAnsi="华文楷体" w:cs="Times New Roman" w:hint="eastAsia"/>
          <w:b/>
          <w:szCs w:val="20"/>
        </w:rPr>
        <w:t>近三年内，在经营活动中没有重大违法记录的声明</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致：中国气象局政府采购中心</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我单位就贵方组织的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进行了投标，在此郑重声明：</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pPr>
        <w:tabs>
          <w:tab w:val="left" w:pos="1573"/>
        </w:tabs>
        <w:adjustRightInd w:val="0"/>
        <w:snapToGrid w:val="0"/>
        <w:spacing w:line="360" w:lineRule="auto"/>
        <w:ind w:left="941" w:leftChars="448"/>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leftChars="448"/>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Pr>
        <w:adjustRightInd w:val="0"/>
        <w:snapToGrid w:val="0"/>
        <w:spacing w:line="360" w:lineRule="auto"/>
        <w:ind w:firstLine="412" w:firstLineChars="196"/>
        <w:rPr>
          <w:rFonts w:ascii="Times New Roman" w:eastAsia="宋体" w:hAnsi="Times New Roman" w:cs="Times New Roman"/>
          <w:szCs w:val="20"/>
        </w:rPr>
      </w:pPr>
    </w:p>
    <w:p>
      <w:pPr>
        <w:pStyle w:val="10"/>
        <w:numPr>
          <w:ilvl w:val="0"/>
          <w:numId w:val="0"/>
        </w:numPr>
        <w:tabs>
          <w:tab w:val="left" w:pos="1573"/>
        </w:tabs>
        <w:adjustRightInd w:val="0"/>
        <w:snapToGrid w:val="0"/>
        <w:spacing w:line="360" w:lineRule="auto"/>
        <w:ind w:firstLine="420" w:firstLineChars="200"/>
        <w:jc w:val="left"/>
        <w:outlineLvl w:val="4"/>
        <w:rPr>
          <w:b/>
        </w:rPr>
      </w:pPr>
      <w:bookmarkStart w:id="10" w:name="_Hlt509739007"/>
      <w:bookmarkEnd w:id="10"/>
      <w:r>
        <w:rPr>
          <w:rFonts w:hint="eastAsia"/>
          <w:b/>
        </w:rPr>
        <w:t>2.10.6投标人信用查询记录。</w:t>
      </w:r>
    </w:p>
    <w:p>
      <w:pPr>
        <w:tabs>
          <w:tab w:val="left" w:pos="5580"/>
        </w:tabs>
        <w:adjustRightInd w:val="0"/>
        <w:snapToGrid w:val="0"/>
        <w:spacing w:line="360" w:lineRule="auto"/>
        <w:ind w:firstLine="420" w:firstLineChars="200"/>
        <w:jc w:val="left"/>
        <w:rPr>
          <w:rFonts w:ascii="宋体" w:eastAsia="宋体" w:hAnsi="宋体" w:cs="Times New Roman"/>
          <w:szCs w:val="20"/>
        </w:rPr>
      </w:pPr>
      <w:r>
        <w:rPr>
          <w:rFonts w:ascii="宋体" w:eastAsia="宋体" w:hAnsi="宋体" w:cs="Times New Roman" w:hint="eastAsia"/>
          <w:szCs w:val="20"/>
        </w:rPr>
        <w:t>投标人提供在“信用中国”网站（</w:t>
      </w:r>
      <w:r>
        <w:rPr>
          <w:rFonts w:ascii="宋体" w:eastAsia="宋体" w:hAnsi="宋体" w:cs="Times New Roman"/>
          <w:szCs w:val="20"/>
        </w:rPr>
        <w:t>www.creditchina.gov.cn）</w:t>
      </w:r>
      <w:r>
        <w:rPr>
          <w:rFonts w:ascii="宋体" w:eastAsia="宋体" w:hAnsi="宋体" w:cs="Times New Roman" w:hint="eastAsia"/>
          <w:szCs w:val="20"/>
        </w:rPr>
        <w:t>查询记录截图，查询时间为招标文件发出之日后。</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2.10.7投标货物的《气象专用技术装备使用许可证》。</w:t>
      </w:r>
    </w:p>
    <w:p>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Times New Roman" w:eastAsia="宋体" w:hAnsi="Times New Roman" w:cs="Times New Roman" w:hint="eastAsia"/>
          <w:szCs w:val="20"/>
        </w:rPr>
        <w:t>如投标货物必须取得《气象专用技术装备使用许可证》的，应提供气象行业主管部门颁发的且至投标截止日仍有效的《气象专用技术装备使用许可证》的复印件，所载产品名称、规格型号应与投标货物的名称、规格型号一致。</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2.10.8进口产品制造商授权书</w:t>
      </w:r>
    </w:p>
    <w:p>
      <w:pPr>
        <w:adjustRightInd w:val="0"/>
        <w:snapToGrid w:val="0"/>
        <w:spacing w:line="360" w:lineRule="auto"/>
        <w:ind w:firstLine="412" w:firstLineChars="196"/>
        <w:rPr>
          <w:rFonts w:ascii="宋体" w:eastAsia="宋体" w:hAnsi="宋体" w:cs="Times New Roman"/>
          <w:szCs w:val="20"/>
        </w:rPr>
      </w:pPr>
      <w:r>
        <w:rPr>
          <w:rFonts w:ascii="宋体" w:eastAsia="宋体" w:hAnsi="宋体" w:cs="Times New Roman" w:hint="eastAsia"/>
          <w:b/>
          <w:szCs w:val="21"/>
        </w:rPr>
        <w:t>第五章投标人须知专用部分</w:t>
      </w:r>
      <w:r>
        <w:rPr>
          <w:rFonts w:ascii="宋体" w:eastAsia="宋体" w:hAnsi="宋体" w:cs="Times New Roman" w:hint="eastAsia"/>
          <w:szCs w:val="21"/>
        </w:rPr>
        <w:t>如对</w:t>
      </w:r>
      <w:r>
        <w:rPr>
          <w:rFonts w:ascii="宋体" w:eastAsia="宋体" w:hAnsi="宋体" w:cs="Times New Roman" w:hint="eastAsia"/>
          <w:szCs w:val="20"/>
        </w:rPr>
        <w:t>进口产品代理商有专门要求时提供（以下为参考格式，可自拟）。</w:t>
      </w:r>
    </w:p>
    <w:p>
      <w:pPr>
        <w:adjustRightInd w:val="0"/>
        <w:snapToGrid w:val="0"/>
        <w:spacing w:line="360" w:lineRule="auto"/>
        <w:ind w:firstLine="412" w:firstLineChars="196"/>
        <w:rPr>
          <w:rFonts w:ascii="宋体" w:eastAsia="宋体" w:hAnsi="宋体" w:cs="Times New Roman"/>
          <w:szCs w:val="20"/>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rPr>
      </w:pPr>
      <w:r>
        <w:rPr>
          <w:rFonts w:ascii="华文楷体" w:eastAsia="华文楷体" w:hAnsi="华文楷体" w:cs="Times New Roman" w:hint="eastAsia"/>
          <w:b/>
          <w:szCs w:val="20"/>
        </w:rPr>
        <w:t>进口产品制造商授权书</w:t>
      </w:r>
    </w:p>
    <w:p>
      <w:pPr>
        <w:tabs>
          <w:tab w:val="left" w:pos="1573"/>
        </w:tabs>
        <w:adjustRightInd w:val="0"/>
        <w:snapToGrid w:val="0"/>
        <w:spacing w:line="360" w:lineRule="auto"/>
        <w:rPr>
          <w:rFonts w:ascii="华文楷体" w:eastAsia="华文楷体" w:hAnsi="华文楷体" w:cs="Times New Roman"/>
          <w:b/>
          <w:bCs/>
          <w:szCs w:val="20"/>
        </w:rPr>
      </w:pPr>
      <w:r>
        <w:rPr>
          <w:rFonts w:ascii="华文楷体" w:eastAsia="华文楷体" w:hAnsi="华文楷体" w:cs="Times New Roman" w:hint="eastAsia"/>
          <w:szCs w:val="21"/>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我们</w:t>
      </w:r>
      <w:r>
        <w:rPr>
          <w:rFonts w:ascii="华文楷体" w:eastAsia="华文楷体" w:hAnsi="华文楷体" w:cs="Times New Roman" w:hint="eastAsia"/>
          <w:szCs w:val="21"/>
          <w:u w:val="single"/>
        </w:rPr>
        <w:t>（制造商名称）</w:t>
      </w:r>
      <w:r>
        <w:rPr>
          <w:rFonts w:ascii="华文楷体" w:eastAsia="华文楷体" w:hAnsi="华文楷体" w:cs="Times New Roman" w:hint="eastAsia"/>
          <w:szCs w:val="21"/>
        </w:rPr>
        <w:t>是按</w:t>
      </w:r>
      <w:r>
        <w:rPr>
          <w:rFonts w:ascii="华文楷体" w:eastAsia="华文楷体" w:hAnsi="华文楷体" w:cs="Times New Roman" w:hint="eastAsia"/>
          <w:szCs w:val="21"/>
          <w:u w:val="single"/>
        </w:rPr>
        <w:t>（国家名称）</w:t>
      </w:r>
      <w:r>
        <w:rPr>
          <w:rFonts w:ascii="华文楷体" w:eastAsia="华文楷体" w:hAnsi="华文楷体" w:cs="Times New Roman" w:hint="eastAsia"/>
          <w:szCs w:val="21"/>
        </w:rPr>
        <w:t>法律成立的一家制造商，主要营业地点设在</w:t>
      </w:r>
      <w:r>
        <w:rPr>
          <w:rFonts w:ascii="华文楷体" w:eastAsia="华文楷体" w:hAnsi="华文楷体" w:cs="Times New Roman" w:hint="eastAsia"/>
          <w:szCs w:val="21"/>
          <w:u w:val="single"/>
        </w:rPr>
        <w:t>（制造商地址）</w:t>
      </w:r>
      <w:r>
        <w:rPr>
          <w:rFonts w:ascii="华文楷体" w:eastAsia="华文楷体" w:hAnsi="华文楷体" w:cs="Times New Roman" w:hint="eastAsia"/>
          <w:szCs w:val="21"/>
        </w:rPr>
        <w:t>。兹指派按</w:t>
      </w:r>
      <w:r>
        <w:rPr>
          <w:rFonts w:ascii="华文楷体" w:eastAsia="华文楷体" w:hAnsi="华文楷体" w:cs="Times New Roman" w:hint="eastAsia"/>
          <w:szCs w:val="21"/>
          <w:u w:val="single"/>
        </w:rPr>
        <w:t>（国家名称）</w:t>
      </w:r>
      <w:r>
        <w:rPr>
          <w:rFonts w:ascii="华文楷体" w:eastAsia="华文楷体" w:hAnsi="华文楷体" w:cs="Times New Roman" w:hint="eastAsia"/>
          <w:szCs w:val="21"/>
        </w:rPr>
        <w:t>的法律正式成立的，主要营业地点设在</w:t>
      </w:r>
      <w:r>
        <w:rPr>
          <w:rFonts w:ascii="华文楷体" w:eastAsia="华文楷体" w:hAnsi="华文楷体" w:cs="Times New Roman" w:hint="eastAsia"/>
          <w:szCs w:val="21"/>
          <w:u w:val="single"/>
        </w:rPr>
        <w:t>（投标人地址）</w:t>
      </w:r>
      <w:r>
        <w:rPr>
          <w:rFonts w:ascii="华文楷体" w:eastAsia="华文楷体" w:hAnsi="华文楷体" w:cs="Times New Roman" w:hint="eastAsia"/>
          <w:szCs w:val="21"/>
        </w:rPr>
        <w:t>的</w:t>
      </w:r>
      <w:r>
        <w:rPr>
          <w:rFonts w:ascii="华文楷体" w:eastAsia="华文楷体" w:hAnsi="华文楷体" w:cs="Times New Roman" w:hint="eastAsia"/>
          <w:szCs w:val="21"/>
          <w:u w:val="single"/>
        </w:rPr>
        <w:t>（投标人名称）</w:t>
      </w:r>
      <w:r>
        <w:rPr>
          <w:rFonts w:ascii="华文楷体" w:eastAsia="华文楷体" w:hAnsi="华文楷体" w:cs="Times New Roman" w:hint="eastAsia"/>
          <w:szCs w:val="21"/>
        </w:rPr>
        <w:t>作为我方真正的合法的代理人进行下列有效的活动：</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（1）代表我方办理贵方</w:t>
      </w:r>
      <w:r>
        <w:rPr>
          <w:rFonts w:ascii="华文楷体" w:eastAsia="华文楷体" w:hAnsi="华文楷体" w:cs="Times New Roman" w:hint="eastAsia"/>
          <w:szCs w:val="21"/>
          <w:u w:val="single"/>
        </w:rPr>
        <w:t xml:space="preserve"> （项目编号、项目名称、包号）</w:t>
      </w:r>
      <w:r>
        <w:rPr>
          <w:rFonts w:ascii="华文楷体" w:eastAsia="华文楷体" w:hAnsi="华文楷体" w:cs="Times New Roman" w:hint="eastAsia"/>
          <w:szCs w:val="21"/>
        </w:rPr>
        <w:t xml:space="preserve"> 投标邀请要求提供的由我方制造的货物的有关事宜，并对我方具有约束力。</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（2）作为制造商，我方保证以投标合作者来约束自己，并对该投标共同和分别承担招标文件中所规定的义务。</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（3）我方兹授予</w:t>
      </w:r>
      <w:r>
        <w:rPr>
          <w:rFonts w:ascii="华文楷体" w:eastAsia="华文楷体" w:hAnsi="华文楷体" w:cs="Times New Roman" w:hint="eastAsia"/>
          <w:szCs w:val="21"/>
          <w:u w:val="single"/>
        </w:rPr>
        <w:t xml:space="preserve"> （投标人名称） </w:t>
      </w:r>
      <w:r>
        <w:rPr>
          <w:rFonts w:ascii="华文楷体" w:eastAsia="华文楷体" w:hAnsi="华文楷体" w:cs="Times New Roman" w:hint="eastAsia"/>
          <w:szCs w:val="21"/>
        </w:rPr>
        <w:t xml:space="preserve">全权办理和履行上述我方为完成上述各点所必须的事宜，具有替换或撤销的全权。兹确认 </w:t>
      </w:r>
      <w:r>
        <w:rPr>
          <w:rFonts w:ascii="华文楷体" w:eastAsia="华文楷体" w:hAnsi="华文楷体" w:cs="Times New Roman" w:hint="eastAsia"/>
          <w:szCs w:val="21"/>
          <w:u w:val="single"/>
        </w:rPr>
        <w:t xml:space="preserve">（投标人名称） </w:t>
      </w:r>
      <w:r>
        <w:rPr>
          <w:rFonts w:ascii="华文楷体" w:eastAsia="华文楷体" w:hAnsi="华文楷体" w:cs="Times New Roman" w:hint="eastAsia"/>
          <w:szCs w:val="21"/>
        </w:rPr>
        <w:t>或其正式授权代表依此合法地办理一切事宜。</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（4）我方于</w:t>
      </w:r>
      <w:r>
        <w:rPr>
          <w:rFonts w:ascii="华文楷体" w:eastAsia="华文楷体" w:hAnsi="华文楷体" w:cs="Times New Roman" w:hint="eastAsia"/>
          <w:szCs w:val="21"/>
          <w:u w:val="single"/>
        </w:rPr>
        <w:t xml:space="preserve"> 年 月 日</w:t>
      </w:r>
      <w:r>
        <w:rPr>
          <w:rFonts w:ascii="华文楷体" w:eastAsia="华文楷体" w:hAnsi="华文楷体" w:cs="Times New Roman" w:hint="eastAsia"/>
          <w:szCs w:val="21"/>
        </w:rPr>
        <w:t>签署本文件，</w:t>
      </w:r>
      <w:r>
        <w:rPr>
          <w:rFonts w:ascii="华文楷体" w:eastAsia="华文楷体" w:hAnsi="华文楷体" w:cs="Times New Roman" w:hint="eastAsia"/>
          <w:szCs w:val="21"/>
          <w:u w:val="single"/>
        </w:rPr>
        <w:t xml:space="preserve"> （投标人名称）</w:t>
      </w:r>
      <w:r>
        <w:rPr>
          <w:rFonts w:ascii="华文楷体" w:eastAsia="华文楷体" w:hAnsi="华文楷体" w:cs="Times New Roman" w:hint="eastAsia"/>
          <w:szCs w:val="21"/>
        </w:rPr>
        <w:t>于</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年</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月</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日接受此件，以此为证。</w:t>
      </w:r>
    </w:p>
    <w:p>
      <w:pPr>
        <w:tabs>
          <w:tab w:val="left" w:pos="1573"/>
        </w:tabs>
        <w:adjustRightInd w:val="0"/>
        <w:snapToGrid w:val="0"/>
        <w:spacing w:line="360" w:lineRule="auto"/>
        <w:ind w:firstLine="420" w:firstLineChars="200"/>
        <w:rPr>
          <w:rFonts w:ascii="华文楷体" w:eastAsia="华文楷体" w:hAnsi="华文楷体" w:cs="Times New Roman"/>
          <w:szCs w:val="21"/>
        </w:rPr>
      </w:pP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制造商名称（制造商公章）：</w:t>
      </w:r>
      <w:r>
        <w:rPr>
          <w:rFonts w:ascii="华文楷体" w:eastAsia="华文楷体" w:hAnsi="华文楷体" w:cs="Times New Roman" w:hint="eastAsia"/>
          <w:szCs w:val="21"/>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制造商签字人职务和部门：</w:t>
      </w:r>
      <w:r>
        <w:rPr>
          <w:rFonts w:ascii="华文楷体" w:eastAsia="华文楷体" w:hAnsi="华文楷体" w:cs="Times New Roman" w:hint="eastAsia"/>
          <w:szCs w:val="21"/>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制造商签字人（签字或盖章）：</w:t>
      </w:r>
      <w:r>
        <w:rPr>
          <w:rFonts w:ascii="华文楷体" w:eastAsia="华文楷体" w:hAnsi="华文楷体" w:cs="Times New Roman" w:hint="eastAsia"/>
          <w:szCs w:val="21"/>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（以上格式仅供参考，投标人就以上内容自拟格式，但必须体现出制造商名称及地址、被授权单位名称及地址，授权事项中要求明确体现出制造商同意对投标人提供其制造的货物及相关伴随服务等内容）</w:t>
      </w:r>
    </w:p>
    <w:p>
      <w:pPr>
        <w:pStyle w:val="10"/>
        <w:numPr>
          <w:ilvl w:val="0"/>
          <w:numId w:val="0"/>
        </w:numPr>
        <w:tabs>
          <w:tab w:val="left" w:pos="1573"/>
        </w:tabs>
        <w:adjustRightInd w:val="0"/>
        <w:snapToGrid w:val="0"/>
        <w:spacing w:line="360" w:lineRule="auto"/>
        <w:ind w:firstLine="420" w:firstLineChars="200"/>
        <w:jc w:val="left"/>
        <w:outlineLvl w:val="4"/>
        <w:rPr>
          <w:rFonts w:hint="eastAsia"/>
          <w:b/>
        </w:rPr>
      </w:pPr>
      <w:bookmarkStart w:id="11" w:name="_Toc86202647"/>
      <w:r>
        <w:rPr>
          <w:rFonts w:hint="eastAsia"/>
          <w:b/>
        </w:rPr>
        <w:t>2.10.9中</w:t>
      </w:r>
      <w:r>
        <w:rPr>
          <w:b/>
        </w:rPr>
        <w:t>小企业声明函</w:t>
      </w:r>
      <w:r>
        <w:rPr>
          <w:rFonts w:hint="eastAsia"/>
          <w:b/>
        </w:rPr>
        <w:t>、</w:t>
      </w:r>
      <w:r>
        <w:rPr>
          <w:rFonts w:hint="eastAsia"/>
          <w:b/>
          <w:bCs/>
        </w:rPr>
        <w:t>残疾人福利性单位声明函、监狱企业证明文件</w:t>
      </w:r>
    </w:p>
    <w:p>
      <w:pPr>
        <w:tabs>
          <w:tab w:val="left" w:pos="5580"/>
        </w:tabs>
        <w:adjustRightInd w:val="0"/>
        <w:snapToGrid w:val="0"/>
        <w:spacing w:line="360" w:lineRule="auto"/>
        <w:ind w:firstLine="420" w:firstLineChars="200"/>
        <w:jc w:val="left"/>
        <w:rPr>
          <w:rFonts w:ascii="Times New Roman" w:eastAsia="宋体" w:hAnsi="Times New Roman" w:cs="Times New Roman" w:hint="eastAsia"/>
          <w:szCs w:val="20"/>
        </w:rPr>
      </w:pPr>
      <w:r>
        <w:rPr>
          <w:rFonts w:ascii="Times New Roman" w:eastAsia="宋体" w:hAnsi="Times New Roman" w:cs="Times New Roman" w:hint="eastAsia"/>
          <w:bCs/>
          <w:szCs w:val="20"/>
        </w:rPr>
        <w:t>属于预留采购份额面向中小企业采购的项目，必须提供；不属于预留采购份额面向中小企业采购的项目，可以不提供，但不能享受可能的价格扣除优惠。</w:t>
      </w:r>
      <w:r>
        <w:rPr>
          <w:rFonts w:ascii="Times New Roman" w:eastAsia="宋体" w:hAnsi="Times New Roman" w:cs="Times New Roman" w:hint="eastAsia"/>
          <w:szCs w:val="20"/>
        </w:rPr>
        <w:t>在《中小企业声明函》、《</w:t>
      </w:r>
      <w:r>
        <w:rPr>
          <w:rFonts w:ascii="Times New Roman" w:eastAsia="宋体" w:hAnsi="Times New Roman" w:cs="Times New Roman" w:hint="eastAsia"/>
          <w:bCs/>
          <w:szCs w:val="20"/>
        </w:rPr>
        <w:t>残疾人福利性单位声明函》</w:t>
      </w:r>
      <w:r>
        <w:rPr>
          <w:rFonts w:ascii="Times New Roman" w:eastAsia="宋体" w:hAnsi="Times New Roman" w:cs="Times New Roman" w:hint="eastAsia"/>
          <w:szCs w:val="20"/>
        </w:rPr>
        <w:t>格式文本中，除可填报内容外，对内容的任何实质性修改将被视为相关要求未得到响应，从而导致该投标被拒绝或者</w:t>
      </w:r>
      <w:r>
        <w:rPr>
          <w:rFonts w:ascii="Times New Roman" w:eastAsia="宋体" w:hAnsi="Times New Roman" w:cs="Times New Roman" w:hint="eastAsia"/>
          <w:bCs/>
          <w:szCs w:val="20"/>
        </w:rPr>
        <w:t>不能享受可能的价格扣除优惠</w:t>
      </w:r>
      <w:r>
        <w:rPr>
          <w:rFonts w:ascii="Times New Roman" w:eastAsia="宋体" w:hAnsi="Times New Roman" w:cs="Times New Roman" w:hint="eastAsia"/>
          <w:szCs w:val="20"/>
        </w:rPr>
        <w:t>。</w:t>
      </w:r>
    </w:p>
    <w:p>
      <w:pPr>
        <w:tabs>
          <w:tab w:val="left" w:pos="8460"/>
        </w:tabs>
        <w:adjustRightInd w:val="0"/>
        <w:snapToGrid w:val="0"/>
        <w:spacing w:line="360" w:lineRule="auto"/>
        <w:ind w:firstLine="420" w:firstLineChars="200"/>
        <w:jc w:val="left"/>
        <w:rPr>
          <w:rFonts w:ascii="宋体" w:eastAsia="宋体" w:hAnsi="宋体" w:cs="仿宋_GB2312" w:hint="eastAsia"/>
          <w:szCs w:val="21"/>
        </w:rPr>
      </w:pPr>
      <w:r>
        <w:rPr>
          <w:rFonts w:ascii="宋体" w:eastAsia="宋体" w:hAnsi="宋体" w:cs="Times New Roman" w:hint="eastAsia"/>
          <w:b/>
          <w:bCs/>
          <w:szCs w:val="20"/>
        </w:rPr>
        <w:t>（1）中小</w:t>
      </w:r>
      <w:r>
        <w:rPr>
          <w:rFonts w:ascii="宋体" w:eastAsia="宋体" w:hAnsi="宋体" w:cs="Times New Roman"/>
          <w:b/>
          <w:bCs/>
          <w:szCs w:val="20"/>
        </w:rPr>
        <w:t>企业声明函</w:t>
      </w:r>
      <w:r>
        <w:rPr>
          <w:rFonts w:ascii="宋体" w:eastAsia="宋体" w:hAnsi="宋体" w:cs="Times New Roman" w:hint="eastAsia"/>
          <w:b/>
          <w:bCs/>
          <w:szCs w:val="20"/>
        </w:rPr>
        <w:t>。</w:t>
      </w:r>
      <w:r>
        <w:rPr>
          <w:rFonts w:ascii="宋体" w:eastAsia="宋体" w:hAnsi="宋体" w:cs="仿宋_GB2312" w:hint="eastAsia"/>
          <w:szCs w:val="21"/>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rPr>
        <w:t>符合中小企业划分标准视同中小企业的个体工商户。</w:t>
      </w:r>
      <w:r>
        <w:rPr>
          <w:rFonts w:ascii="宋体" w:eastAsia="宋体" w:hAnsi="宋体" w:cs="仿宋_GB2312" w:hint="eastAsia"/>
          <w:szCs w:val="21"/>
        </w:rPr>
        <w:t>本声明由投标人提供，并对其真实性负责。</w:t>
      </w:r>
      <w:r>
        <w:rPr>
          <w:rFonts w:ascii="宋体" w:eastAsia="宋体" w:hAnsi="宋体" w:cs="仿宋_GB2312" w:hint="eastAsia"/>
          <w:szCs w:val="21"/>
          <w:highlight w:val="green"/>
        </w:rPr>
        <w:t>投标人</w:t>
      </w:r>
      <w:r>
        <w:rPr>
          <w:rFonts w:ascii="宋体" w:eastAsia="宋体" w:hAnsi="宋体" w:cs="仿宋_GB2312" w:hint="eastAsia"/>
          <w:szCs w:val="21"/>
        </w:rPr>
        <w:t>为非企业单位的，无需提供此声明，提供此声明的，声明无效。</w:t>
      </w:r>
    </w:p>
    <w:p>
      <w:pPr>
        <w:tabs>
          <w:tab w:val="left" w:pos="8460"/>
        </w:tabs>
        <w:adjustRightInd w:val="0"/>
        <w:snapToGrid w:val="0"/>
        <w:spacing w:line="360" w:lineRule="auto"/>
        <w:ind w:firstLine="420" w:firstLineChars="200"/>
        <w:jc w:val="left"/>
        <w:rPr>
          <w:rFonts w:ascii="Times New Roman" w:eastAsia="宋体" w:hAnsi="Times New Roman" w:cs="Times New Roman"/>
          <w:b/>
          <w:bCs/>
          <w:szCs w:val="20"/>
        </w:rPr>
      </w:pPr>
    </w:p>
    <w:p>
      <w:pPr>
        <w:pStyle w:val="10"/>
        <w:numPr>
          <w:ilvl w:val="0"/>
          <w:numId w:val="0"/>
        </w:numPr>
        <w:tabs>
          <w:tab w:val="left" w:pos="1573"/>
        </w:tabs>
        <w:adjustRightInd w:val="0"/>
        <w:snapToGrid w:val="0"/>
        <w:spacing w:line="360" w:lineRule="auto"/>
        <w:ind w:left="105"/>
        <w:jc w:val="center"/>
        <w:rPr>
          <w:rFonts w:ascii="华文楷体" w:eastAsia="华文楷体" w:hAnsi="华文楷体"/>
          <w:b/>
          <w:bCs/>
        </w:rPr>
      </w:pPr>
      <w:r>
        <w:rPr>
          <w:rFonts w:ascii="华文楷体" w:eastAsia="华文楷体" w:hAnsi="华文楷体" w:hint="eastAsia"/>
          <w:b/>
          <w:bCs/>
        </w:rPr>
        <w:t>中小</w:t>
      </w:r>
      <w:r>
        <w:rPr>
          <w:rFonts w:ascii="华文楷体" w:eastAsia="华文楷体" w:hAnsi="华文楷体"/>
          <w:b/>
          <w:bCs/>
        </w:rPr>
        <w:t>企业声明函</w:t>
      </w:r>
      <w:r>
        <w:rPr>
          <w:rFonts w:ascii="华文楷体" w:eastAsia="华文楷体" w:hAnsi="华文楷体" w:hint="eastAsia"/>
          <w:b/>
          <w:bCs/>
        </w:rPr>
        <w:t>（货物）</w:t>
      </w:r>
    </w:p>
    <w:p>
      <w:pPr>
        <w:tabs>
          <w:tab w:val="left" w:pos="1573"/>
        </w:tabs>
        <w:autoSpaceDN w:val="0"/>
        <w:adjustRightInd w:val="0"/>
        <w:snapToGrid w:val="0"/>
        <w:spacing w:line="360" w:lineRule="auto"/>
        <w:ind w:left="105" w:firstLine="412" w:leftChars="50" w:firstLineChars="196"/>
        <w:rPr>
          <w:rFonts w:ascii="华文楷体" w:eastAsia="华文楷体" w:hAnsi="华文楷体" w:cs="仿宋_GB2312" w:hint="eastAsia"/>
          <w:szCs w:val="21"/>
        </w:rPr>
      </w:pPr>
      <w:r>
        <w:rPr>
          <w:rFonts w:ascii="华文楷体" w:eastAsia="华文楷体" w:hAnsi="华文楷体" w:cs="仿宋_GB2312" w:hint="eastAsia"/>
          <w:szCs w:val="21"/>
        </w:rPr>
        <w:t>本公司（联合体）郑重声明，根据《政府采购促进中小企业发展管理办法》（财库﹝2020﹞46 号）的规定，本公司（联合体）参加</w:t>
      </w:r>
      <w:r>
        <w:rPr>
          <w:rFonts w:ascii="华文楷体" w:eastAsia="华文楷体" w:hAnsi="华文楷体" w:cs="仿宋_GB2312" w:hint="eastAsia"/>
          <w:szCs w:val="21"/>
          <w:u w:val="single"/>
        </w:rPr>
        <w:t>（单位名称）</w:t>
      </w:r>
      <w:r>
        <w:rPr>
          <w:rFonts w:ascii="华文楷体" w:eastAsia="华文楷体" w:hAnsi="华文楷体" w:cs="仿宋_GB2312" w:hint="eastAsia"/>
          <w:szCs w:val="21"/>
        </w:rPr>
        <w:t>的</w:t>
      </w:r>
      <w:r>
        <w:rPr>
          <w:rFonts w:ascii="华文楷体" w:eastAsia="华文楷体" w:hAnsi="华文楷体" w:cs="仿宋_GB2312" w:hint="eastAsia"/>
          <w:szCs w:val="21"/>
          <w:u w:val="single"/>
        </w:rPr>
        <w:t>（项目名称）</w:t>
      </w:r>
      <w:r>
        <w:rPr>
          <w:rFonts w:ascii="华文楷体" w:eastAsia="华文楷体" w:hAnsi="华文楷体" w:cs="仿宋_GB2312" w:hint="eastAsia"/>
          <w:szCs w:val="21"/>
        </w:rPr>
        <w:t>采购活动，提供的货物全部由符合政策要求的中小企业制造。相关企业（含联合体中的中小企业、签订分包意向协议的中小企业） 的具体情况如下：</w:t>
      </w:r>
    </w:p>
    <w:p>
      <w:pPr>
        <w:autoSpaceDN w:val="0"/>
        <w:spacing w:line="440" w:lineRule="exact"/>
        <w:ind w:firstLine="420" w:firstLineChars="200"/>
        <w:jc w:val="left"/>
        <w:rPr>
          <w:rFonts w:ascii="华文楷体" w:eastAsia="华文楷体" w:hAnsi="华文楷体" w:cs="仿宋_GB2312" w:hint="eastAsia"/>
          <w:szCs w:val="21"/>
        </w:rPr>
      </w:pPr>
      <w:r>
        <w:rPr>
          <w:rFonts w:ascii="华文楷体" w:eastAsia="华文楷体" w:hAnsi="华文楷体" w:cs="仿宋_GB2312" w:hint="eastAsia"/>
          <w:szCs w:val="21"/>
        </w:rPr>
        <w:t xml:space="preserve"> 1.</w:t>
      </w:r>
      <w:r>
        <w:rPr>
          <w:rFonts w:ascii="华文楷体" w:eastAsia="华文楷体" w:hAnsi="华文楷体" w:cs="仿宋_GB2312" w:hint="eastAsia"/>
          <w:szCs w:val="21"/>
          <w:u w:val="single"/>
        </w:rPr>
        <w:t>（ 标的名称 ）</w:t>
      </w:r>
      <w:r>
        <w:rPr>
          <w:rFonts w:ascii="华文楷体" w:eastAsia="华文楷体" w:hAnsi="华文楷体" w:cs="仿宋_GB2312" w:hint="eastAsia"/>
          <w:szCs w:val="21"/>
        </w:rPr>
        <w:t xml:space="preserve"> ， 属于</w:t>
      </w:r>
      <w:r>
        <w:rPr>
          <w:rFonts w:ascii="华文楷体" w:eastAsia="华文楷体" w:hAnsi="华文楷体" w:cs="仿宋_GB2312" w:hint="eastAsia"/>
          <w:szCs w:val="21"/>
          <w:u w:val="single"/>
        </w:rPr>
        <w:t>（招标文件中明确的所属行业 ）</w:t>
      </w:r>
      <w:r>
        <w:rPr>
          <w:rFonts w:ascii="华文楷体" w:eastAsia="华文楷体" w:hAnsi="华文楷体" w:cs="仿宋_GB2312" w:hint="eastAsia"/>
          <w:szCs w:val="21"/>
        </w:rPr>
        <w:t>行业；制造商为（企业名称），从业人员</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人，营业收入为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万元，资产总额为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万元，属于</w:t>
      </w:r>
      <w:r>
        <w:rPr>
          <w:rFonts w:ascii="华文楷体" w:eastAsia="华文楷体" w:hAnsi="华文楷体" w:cs="仿宋_GB2312" w:hint="eastAsia"/>
          <w:szCs w:val="21"/>
          <w:u w:val="single"/>
        </w:rPr>
        <w:t>（中型企业、小型企业、微型企业）</w:t>
      </w:r>
      <w:r>
        <w:rPr>
          <w:rFonts w:ascii="华文楷体" w:eastAsia="华文楷体" w:hAnsi="华文楷体" w:cs="仿宋_GB2312" w:hint="eastAsia"/>
          <w:szCs w:val="21"/>
        </w:rPr>
        <w:t>；</w:t>
      </w:r>
    </w:p>
    <w:p>
      <w:pPr>
        <w:autoSpaceDN w:val="0"/>
        <w:spacing w:line="440" w:lineRule="exact"/>
        <w:ind w:firstLine="420" w:firstLineChars="200"/>
        <w:jc w:val="left"/>
        <w:rPr>
          <w:rFonts w:ascii="华文楷体" w:eastAsia="华文楷体" w:hAnsi="华文楷体" w:cs="仿宋_GB2312" w:hint="eastAsia"/>
          <w:szCs w:val="21"/>
        </w:rPr>
      </w:pPr>
      <w:r>
        <w:rPr>
          <w:rFonts w:ascii="华文楷体" w:eastAsia="华文楷体" w:hAnsi="华文楷体" w:cs="仿宋_GB2312" w:hint="eastAsia"/>
          <w:szCs w:val="21"/>
        </w:rPr>
        <w:t xml:space="preserve"> 2.</w:t>
      </w:r>
      <w:r>
        <w:rPr>
          <w:rFonts w:ascii="华文楷体" w:eastAsia="华文楷体" w:hAnsi="华文楷体" w:cs="仿宋_GB2312" w:hint="eastAsia"/>
          <w:szCs w:val="21"/>
          <w:u w:val="single"/>
        </w:rPr>
        <w:t>（ 标的名称 ）</w:t>
      </w:r>
      <w:r>
        <w:rPr>
          <w:rFonts w:ascii="华文楷体" w:eastAsia="华文楷体" w:hAnsi="华文楷体" w:cs="仿宋_GB2312" w:hint="eastAsia"/>
          <w:szCs w:val="21"/>
        </w:rPr>
        <w:t xml:space="preserve"> ， 属于</w:t>
      </w:r>
      <w:r>
        <w:rPr>
          <w:rFonts w:ascii="华文楷体" w:eastAsia="华文楷体" w:hAnsi="华文楷体" w:cs="仿宋_GB2312" w:hint="eastAsia"/>
          <w:szCs w:val="21"/>
          <w:u w:val="single"/>
        </w:rPr>
        <w:t>（招标文件中明确的所属行业 ）</w:t>
      </w:r>
      <w:r>
        <w:rPr>
          <w:rFonts w:ascii="华文楷体" w:eastAsia="华文楷体" w:hAnsi="华文楷体" w:cs="仿宋_GB2312" w:hint="eastAsia"/>
          <w:szCs w:val="21"/>
        </w:rPr>
        <w:t>行业；制造商为（企业名称），从业人员</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人，营业收入为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万元，资产总额为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万元，属于</w:t>
      </w:r>
      <w:r>
        <w:rPr>
          <w:rFonts w:ascii="华文楷体" w:eastAsia="华文楷体" w:hAnsi="华文楷体" w:cs="仿宋_GB2312" w:hint="eastAsia"/>
          <w:szCs w:val="21"/>
          <w:u w:val="single"/>
        </w:rPr>
        <w:t>（中型企业、小型企业、微型企业）</w:t>
      </w:r>
      <w:r>
        <w:rPr>
          <w:rFonts w:ascii="华文楷体" w:eastAsia="华文楷体" w:hAnsi="华文楷体" w:cs="仿宋_GB2312" w:hint="eastAsia"/>
          <w:szCs w:val="21"/>
        </w:rPr>
        <w:t>；</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以上企业，不属于大企业的分支机构，不存在控股股东为大企业的情形，也不存在与大企业的负责人为同一人的情形。</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本企业对上述声明内容的真实性负责。如有虚假，将依法承担相应责任。</w:t>
      </w:r>
    </w:p>
    <w:p>
      <w:pPr>
        <w:autoSpaceDN w:val="0"/>
        <w:spacing w:line="440" w:lineRule="exact"/>
        <w:ind w:firstLine="420" w:firstLineChars="200"/>
        <w:rPr>
          <w:rFonts w:ascii="华文楷体" w:eastAsia="华文楷体" w:hAnsi="华文楷体" w:cs="仿宋" w:hint="eastAsia"/>
          <w:szCs w:val="21"/>
        </w:rPr>
      </w:pPr>
      <w:r>
        <w:rPr>
          <w:rFonts w:ascii="华文楷体" w:eastAsia="华文楷体" w:hAnsi="华文楷体" w:cs="仿宋" w:hint="eastAsia"/>
          <w:szCs w:val="21"/>
        </w:rPr>
        <w:t>注：从业人员、营业收入、资产总额填报上一年度数据，无上一年度数据的新成立企业可不填报</w:t>
      </w:r>
    </w:p>
    <w:p>
      <w:pPr>
        <w:autoSpaceDN w:val="0"/>
        <w:spacing w:line="440" w:lineRule="exact"/>
        <w:ind w:right="170"/>
        <w:rPr>
          <w:rFonts w:ascii="华文楷体" w:eastAsia="华文楷体" w:hAnsi="华文楷体" w:cs="仿宋_GB2312"/>
          <w:szCs w:val="21"/>
        </w:rPr>
      </w:pPr>
    </w:p>
    <w:p>
      <w:pPr>
        <w:adjustRightInd w:val="0"/>
        <w:snapToGrid w:val="0"/>
        <w:spacing w:line="480" w:lineRule="auto"/>
        <w:ind w:right="105" w:firstLine="3780" w:rightChars="50" w:firstLineChars="1800"/>
        <w:jc w:val="left"/>
        <w:rPr>
          <w:rFonts w:ascii="华文楷体" w:eastAsia="华文楷体" w:hAnsi="华文楷体" w:cs="仿宋_GB2312"/>
          <w:szCs w:val="21"/>
        </w:rPr>
      </w:pPr>
      <w:r>
        <w:rPr>
          <w:rFonts w:ascii="华文楷体" w:eastAsia="华文楷体" w:hAnsi="华文楷体" w:cs="仿宋_GB2312" w:hint="eastAsia"/>
          <w:szCs w:val="21"/>
        </w:rPr>
        <w:t>投标人名称（电子签章）：</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 xml:space="preserve"> </w:t>
      </w:r>
    </w:p>
    <w:p>
      <w:pPr>
        <w:adjustRightInd w:val="0"/>
        <w:snapToGrid w:val="0"/>
        <w:spacing w:line="480" w:lineRule="auto"/>
        <w:ind w:right="105" w:firstLine="3780" w:rightChars="50" w:firstLineChars="1800"/>
        <w:jc w:val="left"/>
        <w:rPr>
          <w:rFonts w:ascii="华文楷体" w:eastAsia="华文楷体" w:hAnsi="华文楷体" w:cs="仿宋_GB2312" w:hint="eastAsia"/>
          <w:szCs w:val="21"/>
          <w:u w:val="single"/>
        </w:rPr>
      </w:pPr>
      <w:r>
        <w:rPr>
          <w:rFonts w:ascii="华文楷体" w:eastAsia="华文楷体" w:hAnsi="华文楷体" w:cs="仿宋_GB2312" w:hint="eastAsia"/>
          <w:szCs w:val="21"/>
        </w:rPr>
        <w:t>日 期：</w:t>
      </w:r>
      <w:r>
        <w:rPr>
          <w:rFonts w:ascii="华文楷体" w:eastAsia="华文楷体" w:hAnsi="华文楷体" w:cs="仿宋_GB2312" w:hint="eastAsia"/>
          <w:szCs w:val="21"/>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szCs w:val="21"/>
        </w:rPr>
      </w:pPr>
      <w:r>
        <w:rPr>
          <w:rFonts w:ascii="宋体" w:eastAsia="宋体" w:hAnsi="宋体" w:cs="仿宋_GB2312" w:hint="eastAsia"/>
          <w:b/>
          <w:szCs w:val="21"/>
        </w:rPr>
        <w:t>（2）《残疾人福利性单位声明函》。</w:t>
      </w:r>
      <w:r>
        <w:rPr>
          <w:rFonts w:ascii="宋体" w:eastAsia="宋体" w:hAnsi="宋体" w:cs="仿宋_GB2312" w:hint="eastAsia"/>
          <w:szCs w:val="21"/>
        </w:rPr>
        <w:t>本声明适用于</w:t>
      </w:r>
      <w:r>
        <w:rPr>
          <w:rFonts w:ascii="宋体" w:eastAsia="宋体" w:hAnsi="宋体" w:cs="Times New Roman" w:hint="eastAsia"/>
          <w:szCs w:val="21"/>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rPr>
        <w:t>本声明由投标人提供，并对其真实性负责。</w:t>
      </w:r>
    </w:p>
    <w:p>
      <w:pPr>
        <w:tabs>
          <w:tab w:val="left" w:pos="1573"/>
        </w:tabs>
        <w:autoSpaceDN w:val="0"/>
        <w:adjustRightInd w:val="0"/>
        <w:snapToGrid w:val="0"/>
        <w:spacing w:line="360" w:lineRule="auto"/>
        <w:jc w:val="center"/>
        <w:rPr>
          <w:rFonts w:ascii="华文楷体" w:eastAsia="华文楷体" w:hAnsi="华文楷体" w:cs="仿宋_GB2312" w:hint="eastAsia"/>
          <w:b/>
          <w:szCs w:val="21"/>
        </w:rPr>
      </w:pPr>
    </w:p>
    <w:p>
      <w:pPr>
        <w:tabs>
          <w:tab w:val="left" w:pos="1573"/>
        </w:tabs>
        <w:autoSpaceDN w:val="0"/>
        <w:adjustRightInd w:val="0"/>
        <w:snapToGrid w:val="0"/>
        <w:spacing w:line="360" w:lineRule="auto"/>
        <w:jc w:val="center"/>
        <w:rPr>
          <w:rFonts w:ascii="华文楷体" w:eastAsia="华文楷体" w:hAnsi="华文楷体" w:cs="Times New Roman"/>
          <w:b/>
          <w:bCs/>
          <w:szCs w:val="20"/>
        </w:rPr>
      </w:pPr>
      <w:r>
        <w:rPr>
          <w:rFonts w:ascii="华文楷体" w:eastAsia="华文楷体" w:hAnsi="华文楷体" w:cs="Times New Roman" w:hint="eastAsia"/>
          <w:b/>
          <w:bCs/>
          <w:szCs w:val="20"/>
        </w:rPr>
        <w:t>残疾人福利性单位声明函</w:t>
      </w:r>
    </w:p>
    <w:p>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本单位对上述声明的真实性负责。如有虚假，将依法承担相应责任。</w:t>
      </w:r>
    </w:p>
    <w:p>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rPr>
      </w:pPr>
    </w:p>
    <w:p>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rPr>
      </w:pPr>
      <w:r>
        <w:rPr>
          <w:rFonts w:ascii="华文楷体" w:eastAsia="华文楷体" w:hAnsi="华文楷体" w:cs="Times New Roman" w:hint="eastAsia"/>
          <w:bCs/>
          <w:szCs w:val="20"/>
        </w:rPr>
        <w:t xml:space="preserve">                                     投标人名称（电子签章）：</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rPr>
      </w:pPr>
      <w:r>
        <w:rPr>
          <w:rFonts w:ascii="华文楷体" w:eastAsia="华文楷体" w:hAnsi="华文楷体" w:cs="Times New Roman" w:hint="eastAsia"/>
          <w:bCs/>
          <w:szCs w:val="20"/>
        </w:rPr>
        <w:t xml:space="preserve">                      日  期：</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hint="eastAsia"/>
          <w:szCs w:val="21"/>
        </w:rPr>
      </w:pPr>
      <w:r>
        <w:rPr>
          <w:rFonts w:ascii="宋体" w:eastAsia="宋体" w:hAnsi="宋体" w:cs="Times New Roman" w:hint="eastAsia"/>
          <w:b/>
          <w:szCs w:val="21"/>
        </w:rPr>
        <w:t>（3）</w:t>
      </w:r>
      <w:r>
        <w:rPr>
          <w:rFonts w:ascii="宋体" w:eastAsia="宋体" w:hAnsi="宋体" w:cs="Times New Roman" w:hint="eastAsia"/>
          <w:b/>
          <w:bCs/>
          <w:szCs w:val="20"/>
        </w:rPr>
        <w:t>监狱企业证明文件。</w:t>
      </w:r>
      <w:r>
        <w:rPr>
          <w:rFonts w:ascii="宋体" w:eastAsia="宋体" w:hAnsi="宋体" w:cs="Times New Roman" w:hint="eastAsia"/>
          <w:bCs/>
          <w:szCs w:val="20"/>
        </w:rPr>
        <w:t>该文件适用于</w:t>
      </w:r>
      <w:r>
        <w:rPr>
          <w:rFonts w:ascii="宋体" w:eastAsia="宋体" w:hAnsi="宋体" w:cs="Times New Roman" w:hint="eastAsia"/>
          <w:szCs w:val="21"/>
        </w:rPr>
        <w:t>符合《财政部 司法部&lt;关于政府采购支持监狱企业发展有关问题的通知&gt;》（财库〔2014〕68号）规定的监狱和戒毒企业，由</w:t>
      </w:r>
      <w:r>
        <w:rPr>
          <w:rFonts w:ascii="宋体" w:eastAsia="宋体" w:hAnsi="宋体" w:cs="仿宋_GB2312" w:hint="eastAsia"/>
          <w:szCs w:val="21"/>
        </w:rPr>
        <w:t>省级以上监狱管理局、戒毒管理局（含新疆生产建设兵团）出具，投标人提供。</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rPr>
      </w:pP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2.10.10</w:t>
      </w:r>
      <w:r>
        <w:rPr>
          <w:rFonts w:hint="eastAsia"/>
          <w:b/>
          <w:highlight w:val="green"/>
        </w:rPr>
        <w:t>联合体协议</w:t>
      </w:r>
    </w:p>
    <w:p>
      <w:pPr>
        <w:tabs>
          <w:tab w:val="left" w:pos="1573"/>
        </w:tabs>
        <w:autoSpaceDN w:val="0"/>
        <w:adjustRightInd w:val="0"/>
        <w:snapToGrid w:val="0"/>
        <w:spacing w:line="360" w:lineRule="auto"/>
        <w:rPr>
          <w:rFonts w:ascii="宋体" w:eastAsia="宋体" w:hAnsi="宋体" w:cs="Times New Roman" w:hint="eastAsia"/>
          <w:b/>
          <w:szCs w:val="21"/>
        </w:rPr>
      </w:pPr>
      <w:r>
        <w:rPr>
          <w:rFonts w:ascii="宋体" w:eastAsia="宋体" w:hAnsi="宋体" w:cs="Times New Roman" w:hint="eastAsia"/>
          <w:b/>
          <w:szCs w:val="21"/>
        </w:rPr>
        <w:t xml:space="preserve">    </w:t>
      </w:r>
      <w:r>
        <w:rPr>
          <w:rFonts w:ascii="宋体" w:eastAsia="宋体" w:hAnsi="宋体" w:cs="Times New Roman" w:hint="eastAsia"/>
          <w:szCs w:val="21"/>
        </w:rPr>
        <w:t>投标人为</w:t>
      </w:r>
      <w:r>
        <w:rPr>
          <w:rFonts w:ascii="宋体" w:eastAsia="宋体" w:hAnsi="宋体" w:cs="Times New Roman" w:hint="eastAsia"/>
          <w:szCs w:val="21"/>
          <w:highlight w:val="green"/>
        </w:rPr>
        <w:t>联合体</w:t>
      </w:r>
      <w:r>
        <w:rPr>
          <w:rFonts w:ascii="宋体" w:eastAsia="宋体" w:hAnsi="宋体" w:cs="Times New Roman" w:hint="eastAsia"/>
          <w:szCs w:val="21"/>
        </w:rPr>
        <w:t>的提供。</w:t>
      </w:r>
    </w:p>
    <w:p>
      <w:pPr>
        <w:tabs>
          <w:tab w:val="left" w:pos="1573"/>
        </w:tabs>
        <w:autoSpaceDN w:val="0"/>
        <w:adjustRightInd w:val="0"/>
        <w:snapToGrid w:val="0"/>
        <w:spacing w:line="360" w:lineRule="auto"/>
        <w:rPr>
          <w:rFonts w:ascii="宋体" w:eastAsia="宋体" w:hAnsi="宋体" w:cs="Times New Roman" w:hint="eastAsia"/>
          <w:b/>
          <w:szCs w:val="21"/>
        </w:rPr>
      </w:pPr>
    </w:p>
    <w:p>
      <w:pPr>
        <w:spacing w:line="480" w:lineRule="auto"/>
        <w:jc w:val="center"/>
        <w:rPr>
          <w:rFonts w:ascii="华文楷体" w:eastAsia="华文楷体" w:hAnsi="华文楷体" w:cs="Times New Roman" w:hint="eastAsia"/>
        </w:rPr>
      </w:pPr>
      <w:r>
        <w:rPr>
          <w:rFonts w:ascii="华文楷体" w:eastAsia="华文楷体" w:hAnsi="华文楷体" w:cs="仿宋" w:hint="eastAsia"/>
          <w:sz w:val="24"/>
          <w:szCs w:val="24"/>
          <w:highlight w:val="green"/>
        </w:rPr>
        <w:t>联合体协议</w:t>
      </w:r>
    </w:p>
    <w:p>
      <w:pPr>
        <w:spacing w:line="360" w:lineRule="auto"/>
        <w:rPr>
          <w:rFonts w:ascii="华文楷体" w:eastAsia="华文楷体" w:hAnsi="华文楷体" w:cs="仿宋_GB2312"/>
          <w:szCs w:val="21"/>
        </w:rPr>
      </w:pPr>
      <w:r>
        <w:rPr>
          <w:rFonts w:ascii="华文楷体" w:eastAsia="华文楷体" w:hAnsi="华文楷体" w:cs="仿宋_GB2312" w:hint="eastAsia"/>
          <w:szCs w:val="21"/>
          <w:u w:val="single"/>
        </w:rPr>
        <w:t>中国气象局政府采购中心</w:t>
      </w:r>
      <w:r>
        <w:rPr>
          <w:rFonts w:ascii="华文楷体" w:eastAsia="华文楷体" w:hAnsi="华文楷体" w:cs="仿宋_GB2312" w:hint="eastAsia"/>
          <w:szCs w:val="21"/>
        </w:rPr>
        <w:t>：</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经研究，我方决定自愿组成联合体共同参加</w:t>
      </w:r>
      <w:r>
        <w:rPr>
          <w:rFonts w:ascii="华文楷体" w:eastAsia="华文楷体" w:hAnsi="华文楷体" w:cs="仿宋_GB2312" w:hint="eastAsia"/>
          <w:szCs w:val="21"/>
          <w:u w:val="single"/>
        </w:rPr>
        <w:t>(项目名称、项目编号、包号)</w:t>
      </w:r>
      <w:r>
        <w:rPr>
          <w:rFonts w:ascii="华文楷体" w:eastAsia="华文楷体" w:hAnsi="华文楷体" w:cs="仿宋_GB2312" w:hint="eastAsia"/>
          <w:szCs w:val="21"/>
        </w:rPr>
        <w:t>项目的投标。现就联合体投标事宜订立如下协议：</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一、联合体成员：</w:t>
      </w:r>
    </w:p>
    <w:p>
      <w:pPr>
        <w:spacing w:line="360" w:lineRule="auto"/>
        <w:ind w:firstLine="420" w:firstLineChars="200"/>
        <w:rPr>
          <w:rFonts w:ascii="华文楷体" w:eastAsia="华文楷体" w:hAnsi="华文楷体" w:cs="仿宋_GB2312"/>
          <w:szCs w:val="21"/>
          <w:u w:val="single"/>
        </w:rPr>
      </w:pPr>
      <w:bookmarkStart w:id="12" w:name="_Toc23749_WPSOffice_Level2"/>
      <w:bookmarkStart w:id="13" w:name="_Toc15561_WPSOffice_Level2"/>
      <w:r>
        <w:rPr>
          <w:rFonts w:ascii="华文楷体" w:eastAsia="华文楷体" w:hAnsi="华文楷体" w:cs="仿宋_GB2312" w:hint="eastAsia"/>
          <w:szCs w:val="21"/>
        </w:rPr>
        <w:t>1.</w:t>
      </w:r>
      <w:bookmarkEnd w:id="12"/>
      <w:bookmarkEnd w:id="13"/>
      <w:r>
        <w:rPr>
          <w:rFonts w:ascii="华文楷体" w:eastAsia="华文楷体" w:hAnsi="华文楷体" w:cs="仿宋_GB2312" w:hint="eastAsia"/>
          <w:szCs w:val="21"/>
          <w:u w:val="single"/>
        </w:rPr>
        <w:t xml:space="preserve">                  </w:t>
      </w:r>
    </w:p>
    <w:p>
      <w:pPr>
        <w:spacing w:line="360" w:lineRule="auto"/>
        <w:ind w:firstLine="420" w:firstLineChars="200"/>
        <w:rPr>
          <w:rFonts w:ascii="华文楷体" w:eastAsia="华文楷体" w:hAnsi="华文楷体" w:cs="仿宋_GB2312"/>
          <w:szCs w:val="21"/>
        </w:rPr>
      </w:pPr>
      <w:bookmarkStart w:id="14" w:name="_Toc22173_WPSOffice_Level2"/>
      <w:bookmarkStart w:id="15" w:name="_Toc405_WPSOffice_Level2"/>
      <w:r>
        <w:rPr>
          <w:rFonts w:ascii="华文楷体" w:eastAsia="华文楷体" w:hAnsi="华文楷体" w:cs="仿宋_GB2312" w:hint="eastAsia"/>
          <w:szCs w:val="21"/>
        </w:rPr>
        <w:t>2.</w:t>
      </w:r>
      <w:bookmarkEnd w:id="14"/>
      <w:bookmarkEnd w:id="15"/>
      <w:r>
        <w:rPr>
          <w:rFonts w:ascii="华文楷体" w:eastAsia="华文楷体" w:hAnsi="华文楷体" w:cs="仿宋_GB2312" w:hint="eastAsia"/>
          <w:szCs w:val="21"/>
          <w:u w:val="single"/>
        </w:rPr>
        <w:t xml:space="preserve">                  </w:t>
      </w:r>
    </w:p>
    <w:p>
      <w:pPr>
        <w:spacing w:line="360" w:lineRule="auto"/>
        <w:ind w:firstLine="420" w:firstLineChars="200"/>
        <w:rPr>
          <w:rFonts w:ascii="华文楷体" w:eastAsia="华文楷体" w:hAnsi="华文楷体" w:cs="仿宋_GB2312"/>
          <w:szCs w:val="21"/>
        </w:rPr>
      </w:pPr>
      <w:bookmarkStart w:id="16" w:name="_Toc7084_WPSOffice_Level2"/>
      <w:bookmarkStart w:id="17" w:name="_Toc23482_WPSOffice_Level2"/>
      <w:r>
        <w:rPr>
          <w:rFonts w:ascii="华文楷体" w:eastAsia="华文楷体" w:hAnsi="华文楷体" w:cs="仿宋_GB2312" w:hint="eastAsia"/>
          <w:szCs w:val="21"/>
        </w:rPr>
        <w:t>3.</w:t>
      </w:r>
      <w:bookmarkEnd w:id="16"/>
      <w:bookmarkEnd w:id="17"/>
      <w:r>
        <w:rPr>
          <w:rFonts w:ascii="华文楷体" w:eastAsia="华文楷体" w:hAnsi="华文楷体" w:cs="仿宋_GB2312" w:hint="eastAsia"/>
          <w:szCs w:val="21"/>
          <w:u w:val="single"/>
        </w:rPr>
        <w:t xml:space="preserve">                  </w:t>
      </w:r>
    </w:p>
    <w:p>
      <w:pPr>
        <w:spacing w:line="360" w:lineRule="auto"/>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二、</w:t>
      </w:r>
      <w:r>
        <w:rPr>
          <w:rFonts w:ascii="华文楷体" w:eastAsia="华文楷体" w:hAnsi="华文楷体" w:cs="仿宋_GB2312" w:hint="eastAsia"/>
          <w:szCs w:val="21"/>
          <w:u w:val="single"/>
        </w:rPr>
        <w:t>(某成员单位名称)</w:t>
      </w:r>
      <w:r>
        <w:rPr>
          <w:rFonts w:ascii="华文楷体" w:eastAsia="华文楷体" w:hAnsi="华文楷体" w:cs="仿宋_GB2312" w:hint="eastAsia"/>
          <w:szCs w:val="21"/>
        </w:rPr>
        <w:t>为(联合体名称)牵头人。</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四、联合体将严格按照招标文件的各项要求，递交投标文件，参加投标，履行中标义务和中标后的合同，并向采购人承担连带责任。</w:t>
      </w:r>
    </w:p>
    <w:p>
      <w:pPr>
        <w:spacing w:line="360" w:lineRule="auto"/>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五、联合体各成员单位内部的职责分工如下：</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。按照本条上述分工，联合体成员单位各自所承担的合同工作量比例如下：</w:t>
      </w:r>
      <w:r>
        <w:rPr>
          <w:rFonts w:ascii="仿宋" w:eastAsia="仿宋" w:hAnsi="仿宋" w:cs="仿宋_GB2312" w:hint="eastAsia"/>
          <w:sz w:val="24"/>
          <w:szCs w:val="24"/>
          <w:u w:val="single"/>
        </w:rPr>
        <w:t xml:space="preserve">                  </w:t>
      </w:r>
      <w:r>
        <w:rPr>
          <w:rFonts w:ascii="仿宋" w:eastAsia="仿宋" w:hAnsi="仿宋" w:cs="仿宋_GB2312" w:hint="eastAsia"/>
          <w:sz w:val="24"/>
          <w:szCs w:val="24"/>
        </w:rPr>
        <w:t>。</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按照本条上述分工，中小企业合同金额为：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 xml:space="preserve"> ，占到合同总金额的比例为：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，其中小微企业的合同金额为：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。我公司（联合体）保证组成联合体的中小企业与联合体内其他企业之间不存在直接控股、管理关系。（专门面向中小企业的采购项目接受联合体投标的，需增加此内容）</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六、本协议书自签署之日起生效，合同履行完毕后自动失效。</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七、本协议书一式</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份，联合体成员和采购人各执</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份。</w:t>
      </w:r>
    </w:p>
    <w:p>
      <w:pPr>
        <w:spacing w:line="360" w:lineRule="auto"/>
        <w:ind w:firstLine="420" w:firstLineChars="200"/>
        <w:rPr>
          <w:rFonts w:ascii="华文楷体" w:eastAsia="华文楷体" w:hAnsi="华文楷体" w:cs="仿宋_GB2312"/>
          <w:szCs w:val="21"/>
        </w:rPr>
      </w:pPr>
    </w:p>
    <w:p>
      <w:pPr>
        <w:spacing w:line="360" w:lineRule="auto"/>
        <w:ind w:firstLine="2835" w:firstLineChars="1350"/>
        <w:rPr>
          <w:rFonts w:ascii="华文楷体" w:eastAsia="华文楷体" w:hAnsi="华文楷体" w:cs="仿宋_GB2312"/>
          <w:szCs w:val="21"/>
          <w:u w:val="single"/>
        </w:rPr>
      </w:pPr>
      <w:r>
        <w:rPr>
          <w:rFonts w:ascii="华文楷体" w:eastAsia="华文楷体" w:hAnsi="华文楷体" w:cs="仿宋_GB2312" w:hint="eastAsia"/>
          <w:szCs w:val="21"/>
        </w:rPr>
        <w:t>牵头人名称(电子签章)：</w:t>
      </w:r>
      <w:r>
        <w:rPr>
          <w:rFonts w:ascii="华文楷体" w:eastAsia="华文楷体" w:hAnsi="华文楷体" w:cs="仿宋_GB2312" w:hint="eastAsia"/>
          <w:szCs w:val="21"/>
          <w:u w:val="single"/>
        </w:rPr>
        <w:t xml:space="preserve">                            </w:t>
      </w:r>
    </w:p>
    <w:p>
      <w:pPr>
        <w:spacing w:line="360" w:lineRule="auto"/>
        <w:ind w:firstLine="2835" w:firstLineChars="1350"/>
        <w:rPr>
          <w:rFonts w:ascii="华文楷体" w:eastAsia="华文楷体" w:hAnsi="华文楷体" w:cs="仿宋_GB2312"/>
          <w:szCs w:val="21"/>
        </w:rPr>
      </w:pPr>
    </w:p>
    <w:p>
      <w:pPr>
        <w:spacing w:line="360" w:lineRule="auto"/>
        <w:ind w:firstLine="2835" w:firstLineChars="1350"/>
        <w:rPr>
          <w:rFonts w:ascii="华文楷体" w:eastAsia="华文楷体" w:hAnsi="华文楷体" w:cs="仿宋_GB2312"/>
          <w:szCs w:val="21"/>
          <w:u w:val="single"/>
        </w:rPr>
      </w:pPr>
      <w:r>
        <w:rPr>
          <w:rFonts w:ascii="华文楷体" w:eastAsia="华文楷体" w:hAnsi="华文楷体" w:cs="仿宋_GB2312" w:hint="eastAsia"/>
          <w:szCs w:val="21"/>
        </w:rPr>
        <w:t>成员名称(公章)：</w:t>
      </w:r>
      <w:r>
        <w:rPr>
          <w:rFonts w:ascii="华文楷体" w:eastAsia="华文楷体" w:hAnsi="华文楷体" w:cs="仿宋_GB2312" w:hint="eastAsia"/>
          <w:szCs w:val="21"/>
          <w:u w:val="single"/>
        </w:rPr>
        <w:t xml:space="preserve">                              </w:t>
      </w:r>
    </w:p>
    <w:p>
      <w:pPr>
        <w:spacing w:line="360" w:lineRule="exact"/>
        <w:ind w:right="1050" w:firstLine="2835" w:rightChars="500" w:firstLineChars="1350"/>
        <w:jc w:val="left"/>
        <w:rPr>
          <w:rFonts w:ascii="华文楷体" w:eastAsia="华文楷体" w:hAnsi="华文楷体" w:cs="仿宋_GB2312" w:hint="eastAsia"/>
          <w:szCs w:val="21"/>
        </w:rPr>
      </w:pPr>
      <w:r>
        <w:rPr>
          <w:rFonts w:ascii="华文楷体" w:eastAsia="华文楷体" w:hAnsi="华文楷体" w:cs="仿宋_GB2312" w:hint="eastAsia"/>
          <w:szCs w:val="21"/>
        </w:rPr>
        <w:t>日期：</w:t>
      </w:r>
      <w:r>
        <w:rPr>
          <w:rFonts w:ascii="华文楷体" w:eastAsia="华文楷体" w:hAnsi="华文楷体" w:cs="仿宋_GB2312" w:hint="eastAsia"/>
          <w:szCs w:val="24"/>
          <w:u w:val="single"/>
        </w:rPr>
        <w:t xml:space="preserve">              </w:t>
      </w:r>
      <w:r>
        <w:rPr>
          <w:rFonts w:ascii="华文楷体" w:eastAsia="华文楷体" w:hAnsi="华文楷体" w:cs="仿宋_GB2312" w:hint="eastAsia"/>
          <w:szCs w:val="21"/>
        </w:rPr>
        <w:t xml:space="preserve"> </w:t>
      </w:r>
    </w:p>
    <w:p>
      <w:pPr>
        <w:spacing w:line="360" w:lineRule="exact"/>
        <w:ind w:right="1050" w:firstLine="2835" w:rightChars="500" w:firstLineChars="1350"/>
        <w:jc w:val="left"/>
        <w:rPr>
          <w:rFonts w:ascii="华文楷体" w:eastAsia="华文楷体" w:hAnsi="华文楷体" w:cs="仿宋_GB2312" w:hint="eastAsia"/>
          <w:szCs w:val="21"/>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rPr>
      </w:pPr>
      <w:r>
        <w:rPr>
          <w:rFonts w:ascii="华文楷体" w:eastAsia="华文楷体" w:hAnsi="华文楷体" w:cs="Times New Roman" w:hint="eastAsia"/>
          <w:szCs w:val="20"/>
        </w:rPr>
        <w:t>注：1、联合体其他成员可直接加盖公章，不需要电子签章。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rPr>
      </w:pPr>
      <w:r>
        <w:rPr>
          <w:rFonts w:ascii="华文楷体" w:eastAsia="华文楷体" w:hAnsi="华文楷体" w:cs="Times New Roman" w:hint="eastAsia"/>
          <w:szCs w:val="20"/>
        </w:rPr>
        <w:t>2、牵头投标人可加盖公章后，扫描并上传至电子投标文件及相关文件相应位置，再进行电子签章。</w:t>
      </w:r>
    </w:p>
    <w:p>
      <w:pPr>
        <w:spacing w:line="360" w:lineRule="exact"/>
        <w:ind w:right="1050" w:firstLine="2835" w:rightChars="500" w:firstLineChars="1350"/>
        <w:jc w:val="left"/>
        <w:rPr>
          <w:rFonts w:ascii="华文楷体" w:eastAsia="华文楷体" w:hAnsi="华文楷体" w:cs="仿宋_GB2312" w:hint="eastAsia"/>
          <w:szCs w:val="21"/>
        </w:rPr>
      </w:pPr>
    </w:p>
    <w:p>
      <w:pPr>
        <w:pStyle w:val="10"/>
        <w:numPr>
          <w:ilvl w:val="0"/>
          <w:numId w:val="0"/>
        </w:numPr>
        <w:tabs>
          <w:tab w:val="left" w:pos="1573"/>
        </w:tabs>
        <w:adjustRightInd w:val="0"/>
        <w:snapToGrid w:val="0"/>
        <w:spacing w:line="360" w:lineRule="auto"/>
        <w:ind w:firstLine="420" w:firstLineChars="200"/>
        <w:jc w:val="left"/>
        <w:outlineLvl w:val="4"/>
        <w:rPr>
          <w:rFonts w:hint="eastAsia"/>
          <w:b/>
        </w:rPr>
      </w:pPr>
      <w:r>
        <w:rPr>
          <w:rFonts w:hint="eastAsia"/>
          <w:b/>
        </w:rPr>
        <w:t>2.10.11分包意向协议</w:t>
      </w:r>
    </w:p>
    <w:p>
      <w:pPr>
        <w:keepNext/>
        <w:keepLines/>
        <w:spacing w:before="240" w:after="64" w:line="317" w:lineRule="auto"/>
        <w:jc w:val="center"/>
        <w:rPr>
          <w:rFonts w:ascii="华文楷体" w:eastAsia="华文楷体" w:hAnsi="华文楷体" w:cs="仿宋" w:hint="eastAsia"/>
          <w:bCs/>
          <w:kern w:val="0"/>
          <w:szCs w:val="28"/>
        </w:rPr>
      </w:pPr>
      <w:r>
        <w:rPr>
          <w:rFonts w:ascii="华文楷体" w:eastAsia="华文楷体" w:hAnsi="华文楷体" w:cs="仿宋" w:hint="eastAsia"/>
          <w:bCs/>
          <w:kern w:val="0"/>
          <w:sz w:val="24"/>
          <w:szCs w:val="28"/>
        </w:rPr>
        <w:t>分包意向协议（如有）</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甲方：（分包单位）</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 xml:space="preserve">乙方：（承包单位）   </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经甲、乙双方协商，甲方</w:t>
      </w:r>
      <w:r>
        <w:rPr>
          <w:rFonts w:ascii="华文楷体" w:eastAsia="华文楷体" w:hAnsi="华文楷体" w:cs="仿宋_GB2312" w:hint="eastAsia"/>
          <w:kern w:val="0"/>
          <w:szCs w:val="21"/>
        </w:rPr>
        <w:t>拟在中标后将成交项目</w:t>
      </w:r>
      <w:r>
        <w:rPr>
          <w:rFonts w:ascii="华文楷体" w:eastAsia="华文楷体" w:hAnsi="华文楷体" w:cs="仿宋_GB2312" w:hint="eastAsia"/>
          <w:szCs w:val="21"/>
          <w:u w:val="single"/>
        </w:rPr>
        <w:t>（项目编号、项目名称、包号）</w:t>
      </w:r>
      <w:r>
        <w:rPr>
          <w:rFonts w:ascii="华文楷体" w:eastAsia="华文楷体" w:hAnsi="华文楷体" w:cs="仿宋_GB2312" w:hint="eastAsia"/>
          <w:szCs w:val="21"/>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rPr>
        <w:t>约定</w:t>
      </w:r>
      <w:r>
        <w:rPr>
          <w:rFonts w:ascii="华文楷体" w:eastAsia="华文楷体" w:hAnsi="华文楷体" w:cs="仿宋_GB2312" w:hint="eastAsia"/>
          <w:szCs w:val="21"/>
        </w:rPr>
        <w:t>中小企业合同金额为：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，其中小微企业的合同金额为：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w:t>
      </w:r>
    </w:p>
    <w:p>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甲乙双方保证，</w:t>
      </w:r>
      <w:r>
        <w:rPr>
          <w:rFonts w:ascii="华文楷体" w:eastAsia="华文楷体" w:hAnsi="华文楷体" w:cs="仿宋_GB2312"/>
          <w:szCs w:val="21"/>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rPr>
        <w:t>。</w:t>
      </w:r>
    </w:p>
    <w:p>
      <w:pPr>
        <w:autoSpaceDN w:val="0"/>
        <w:spacing w:line="440" w:lineRule="exact"/>
        <w:ind w:firstLine="420" w:firstLineChars="200"/>
        <w:rPr>
          <w:rFonts w:ascii="华文楷体" w:eastAsia="华文楷体" w:hAnsi="华文楷体" w:cs="仿宋_GB2312" w:hint="eastAsia"/>
          <w:szCs w:val="21"/>
        </w:rPr>
      </w:pP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甲方名称（盖章）：                乙方名称（盖章）：</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 xml:space="preserve">日期：                            日期：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rPr>
      </w:pPr>
      <w:r>
        <w:rPr>
          <w:rFonts w:ascii="华文楷体" w:eastAsia="华文楷体" w:hAnsi="华文楷体" w:cs="Times New Roman" w:hint="eastAsia"/>
          <w:szCs w:val="20"/>
        </w:rPr>
        <w:t>注：1、乙方可直接加盖公章，不需要电子签章。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rPr>
      </w:pPr>
      <w:r>
        <w:rPr>
          <w:rFonts w:ascii="华文楷体" w:eastAsia="华文楷体" w:hAnsi="华文楷体" w:cs="Times New Roman" w:hint="eastAsia"/>
          <w:szCs w:val="20"/>
        </w:rPr>
        <w:t>2、投标人（甲方）可加盖公章后，扫描并上传至电子投标文件及相关文件相应位置，再进行电子签章。</w:t>
      </w:r>
    </w:p>
    <w:p>
      <w:pPr>
        <w:tabs>
          <w:tab w:val="left" w:pos="1573"/>
        </w:tabs>
        <w:autoSpaceDN w:val="0"/>
        <w:adjustRightInd w:val="0"/>
        <w:snapToGrid w:val="0"/>
        <w:spacing w:line="360" w:lineRule="auto"/>
        <w:rPr>
          <w:rFonts w:ascii="宋体" w:eastAsia="宋体" w:hAnsi="宋体" w:cs="Times New Roman" w:hint="eastAsia"/>
          <w:b/>
          <w:szCs w:val="21"/>
        </w:rPr>
      </w:pPr>
    </w:p>
    <w:bookmarkEnd w:id="11"/>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2.10.12其他资格证明文件</w:t>
      </w:r>
    </w:p>
    <w:p>
      <w:pPr>
        <w:adjustRightInd w:val="0"/>
        <w:snapToGrid w:val="0"/>
        <w:spacing w:line="360" w:lineRule="auto"/>
        <w:ind w:firstLine="412" w:firstLineChars="196"/>
      </w:pPr>
      <w:r>
        <w:rPr>
          <w:rFonts w:hint="eastAsia"/>
        </w:rPr>
        <w:t>按照</w:t>
      </w:r>
      <w:r>
        <w:rPr>
          <w:rFonts w:hint="eastAsia"/>
          <w:b/>
        </w:rPr>
        <w:t>第五章投标人须知专用部分5.2条</w:t>
      </w:r>
      <w:r>
        <w:rPr>
          <w:rFonts w:hint="eastAsia"/>
        </w:rPr>
        <w:t>规定应提交的特殊资质条件证明文件。</w:t>
      </w:r>
    </w:p>
    <w:p>
      <w:pPr>
        <w:tabs>
          <w:tab w:val="left" w:pos="1573"/>
        </w:tabs>
        <w:autoSpaceDN w:val="0"/>
        <w:adjustRightInd w:val="0"/>
        <w:snapToGrid w:val="0"/>
        <w:spacing w:line="360" w:lineRule="auto"/>
        <w:ind w:firstLine="420" w:firstLineChars="200"/>
        <w:outlineLvl w:val="4"/>
        <w:rPr>
          <w:rFonts w:ascii="宋体" w:hAnsi="宋体"/>
          <w:b/>
          <w:szCs w:val="21"/>
          <w:highlight w:val="none"/>
        </w:rPr>
      </w:pPr>
      <w:r>
        <w:rPr>
          <w:rFonts w:ascii="宋体" w:hAnsi="宋体" w:hint="eastAsia"/>
          <w:b/>
          <w:szCs w:val="21"/>
          <w:highlight w:val="none"/>
        </w:rPr>
        <w:t>2.10.1</w:t>
      </w:r>
      <w:r>
        <w:rPr>
          <w:rFonts w:ascii="宋体" w:hAnsi="宋体"/>
          <w:b/>
          <w:szCs w:val="21"/>
          <w:highlight w:val="none"/>
        </w:rPr>
        <w:t>3</w:t>
      </w:r>
      <w:r>
        <w:rPr>
          <w:rFonts w:ascii="宋体" w:hAnsi="宋体" w:hint="eastAsia"/>
          <w:b/>
          <w:szCs w:val="21"/>
          <w:highlight w:val="none"/>
        </w:rPr>
        <w:t>《关于符合本国产品标准的声明函》</w:t>
      </w:r>
    </w:p>
    <w:p>
      <w:pPr>
        <w:autoSpaceDN w:val="0"/>
        <w:spacing w:line="440" w:lineRule="exact"/>
        <w:ind w:firstLine="420" w:firstLineChars="200"/>
        <w:rPr>
          <w:rFonts w:ascii="宋体" w:hAnsi="宋体" w:cs="仿宋_GB2312"/>
          <w:szCs w:val="21"/>
          <w:highlight w:val="none"/>
        </w:rPr>
      </w:pPr>
      <w:r>
        <w:rPr>
          <w:rFonts w:ascii="宋体" w:hAnsi="宋体" w:hint="eastAsia"/>
          <w:bCs/>
          <w:szCs w:val="21"/>
          <w:highlight w:val="none"/>
        </w:rPr>
        <w:t>投标人所投</w:t>
      </w:r>
      <w:r>
        <w:rPr>
          <w:rFonts w:ascii="宋体" w:hAnsi="宋体"/>
          <w:bCs/>
          <w:szCs w:val="21"/>
          <w:highlight w:val="none"/>
        </w:rPr>
        <w:t>产品</w:t>
      </w:r>
      <w:r>
        <w:rPr>
          <w:rFonts w:ascii="宋体" w:hAnsi="宋体" w:hint="eastAsia"/>
          <w:bCs/>
          <w:szCs w:val="21"/>
          <w:highlight w:val="none"/>
        </w:rPr>
        <w:t>符合国务院办公厅《关于在政府采购中实施本国产品标准及相关政策的通知》（国办发〔2025〕34号）关于</w:t>
      </w:r>
      <w:r>
        <w:rPr>
          <w:rFonts w:ascii="宋体" w:hAnsi="宋体"/>
          <w:bCs/>
          <w:szCs w:val="21"/>
          <w:highlight w:val="none"/>
        </w:rPr>
        <w:t>本国产品价格</w:t>
      </w:r>
      <w:r>
        <w:rPr>
          <w:rFonts w:ascii="宋体" w:hAnsi="宋体" w:hint="eastAsia"/>
          <w:bCs/>
          <w:szCs w:val="21"/>
          <w:highlight w:val="none"/>
        </w:rPr>
        <w:t>评审</w:t>
      </w:r>
      <w:r>
        <w:rPr>
          <w:rFonts w:ascii="宋体" w:hAnsi="宋体"/>
          <w:bCs/>
          <w:szCs w:val="21"/>
          <w:highlight w:val="none"/>
        </w:rPr>
        <w:t>优惠条件的</w:t>
      </w:r>
      <w:r>
        <w:rPr>
          <w:rFonts w:ascii="宋体" w:hAnsi="宋体" w:hint="eastAsia"/>
          <w:bCs/>
          <w:szCs w:val="21"/>
          <w:highlight w:val="none"/>
        </w:rPr>
        <w:t>提供。</w:t>
      </w:r>
      <w:r>
        <w:rPr>
          <w:rFonts w:ascii="宋体" w:hAnsi="宋体" w:cs="仿宋_GB2312"/>
          <w:szCs w:val="21"/>
          <w:highlight w:val="none"/>
        </w:rPr>
        <w:t xml:space="preserve"> </w:t>
      </w:r>
    </w:p>
    <w:p>
      <w:pPr>
        <w:adjustRightInd w:val="0"/>
        <w:snapToGrid w:val="0"/>
        <w:spacing w:line="360" w:lineRule="auto"/>
        <w:ind w:firstLine="412" w:firstLineChars="196"/>
        <w:rPr>
          <w:highlight w:val="none"/>
        </w:rPr>
      </w:pPr>
    </w:p>
    <w:p>
      <w:pPr>
        <w:pStyle w:val="NormalWeb"/>
        <w:shd w:val="clear" w:color="auto" w:fill="FFFFFF"/>
        <w:spacing w:before="30" w:beforeAutospacing="0" w:after="30" w:afterAutospacing="0"/>
        <w:jc w:val="center"/>
        <w:rPr>
          <w:color w:val="333333"/>
          <w:szCs w:val="21"/>
          <w:highlight w:val="none"/>
        </w:rPr>
      </w:pPr>
      <w:r>
        <w:rPr>
          <w:rStyle w:val="Strong"/>
          <w:rFonts w:hint="eastAsia"/>
          <w:color w:val="333333"/>
          <w:szCs w:val="21"/>
          <w:highlight w:val="none"/>
          <w:shd w:val="clear" w:color="auto" w:fill="FFFFFF"/>
        </w:rPr>
        <w:t>关于符合本国产品标准的声明函</w:t>
      </w:r>
    </w:p>
    <w:p>
      <w:pPr>
        <w:pStyle w:val="NormalWeb"/>
        <w:shd w:val="clear" w:color="auto" w:fill="FFFFFF"/>
        <w:spacing w:before="30" w:beforeAutospacing="0" w:after="30" w:afterAutospacing="0"/>
        <w:ind w:firstLine="420"/>
        <w:rPr>
          <w:color w:val="333333"/>
          <w:szCs w:val="21"/>
          <w:highlight w:val="none"/>
        </w:rPr>
      </w:pPr>
    </w:p>
    <w:p>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本公司（单位）郑重声明，根据《国务院办公厅关于在政府采购中实施本国产品标准及相关政策的通知》（国办发〔2025〕34号）的规定，本公司（单位）提供的以下产品属于本国产品。具体情况如下：</w:t>
      </w:r>
    </w:p>
    <w:p>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1.</w:t>
      </w:r>
      <w:r>
        <w:rPr>
          <w:rStyle w:val="Emphasis"/>
          <w:rFonts w:hint="eastAsia"/>
          <w:i w:val="0"/>
          <w:color w:val="333333"/>
          <w:szCs w:val="21"/>
          <w:highlight w:val="none"/>
          <w:shd w:val="clear" w:color="auto" w:fill="FFFFFF"/>
        </w:rPr>
        <w:t>（产品名称1）</w:t>
      </w:r>
      <w:r>
        <w:rPr>
          <w:rStyle w:val="Emphasis"/>
          <w:rFonts w:hint="eastAsia"/>
          <w:i w:val="0"/>
          <w:color w:val="333333"/>
          <w:szCs w:val="21"/>
          <w:highlight w:val="none"/>
          <w:shd w:val="clear" w:color="auto" w:fill="FFFFFF"/>
          <w:vertAlign w:val="superscript"/>
        </w:rPr>
        <w:t>1</w:t>
      </w:r>
      <w:r>
        <w:rPr>
          <w:rFonts w:hint="eastAsia"/>
          <w:color w:val="333333"/>
          <w:szCs w:val="21"/>
          <w:highlight w:val="none"/>
          <w:shd w:val="clear" w:color="auto" w:fill="FFFFFF"/>
        </w:rPr>
        <w:t>，生产厂为</w:t>
      </w:r>
      <w:r>
        <w:rPr>
          <w:rStyle w:val="Emphasis"/>
          <w:rFonts w:hint="eastAsia"/>
          <w:i w:val="0"/>
          <w:color w:val="333333"/>
          <w:szCs w:val="21"/>
          <w:highlight w:val="none"/>
          <w:shd w:val="clear" w:color="auto" w:fill="FFFFFF"/>
        </w:rPr>
        <w:t>（厂名）</w:t>
      </w:r>
      <w:r>
        <w:rPr>
          <w:rStyle w:val="Emphasis"/>
          <w:rFonts w:hint="eastAsia"/>
          <w:i w:val="0"/>
          <w:color w:val="333333"/>
          <w:szCs w:val="21"/>
          <w:highlight w:val="none"/>
          <w:shd w:val="clear" w:color="auto" w:fill="FFFFFF"/>
          <w:vertAlign w:val="superscript"/>
        </w:rPr>
        <w:t>2</w:t>
      </w:r>
      <w:r>
        <w:rPr>
          <w:rFonts w:hint="eastAsia"/>
          <w:color w:val="333333"/>
          <w:szCs w:val="21"/>
          <w:highlight w:val="none"/>
          <w:shd w:val="clear" w:color="auto" w:fill="FFFFFF"/>
        </w:rPr>
        <w:t>，厂址为</w:t>
      </w:r>
      <w:r>
        <w:rPr>
          <w:rStyle w:val="Emphasis"/>
          <w:rFonts w:hint="eastAsia"/>
          <w:i w:val="0"/>
          <w:color w:val="333333"/>
          <w:szCs w:val="21"/>
          <w:highlight w:val="none"/>
          <w:shd w:val="clear" w:color="auto" w:fill="FFFFFF"/>
        </w:rPr>
        <w:t>（生产厂址）</w:t>
      </w:r>
      <w:r>
        <w:rPr>
          <w:rFonts w:hint="eastAsia"/>
          <w:color w:val="333333"/>
          <w:szCs w:val="21"/>
          <w:highlight w:val="none"/>
          <w:shd w:val="clear" w:color="auto" w:fill="FFFFFF"/>
        </w:rPr>
        <w:t>。</w:t>
      </w:r>
      <w:r>
        <w:rPr>
          <w:rStyle w:val="Emphasis"/>
          <w:rFonts w:hint="eastAsia"/>
          <w:i w:val="0"/>
          <w:color w:val="333333"/>
          <w:szCs w:val="21"/>
          <w:highlight w:val="none"/>
          <w:shd w:val="clear" w:color="auto" w:fill="FFFFFF"/>
        </w:rPr>
        <w:t>（产品名称1）</w:t>
      </w:r>
      <w:r>
        <w:rPr>
          <w:rFonts w:hint="eastAsia"/>
          <w:color w:val="333333"/>
          <w:szCs w:val="21"/>
          <w:highlight w:val="none"/>
          <w:shd w:val="clear" w:color="auto" w:fill="FFFFFF"/>
        </w:rPr>
        <w:t>的中国境内生产的组件成本占比≥</w:t>
      </w:r>
      <w:r>
        <w:rPr>
          <w:rStyle w:val="Emphasis"/>
          <w:rFonts w:hint="eastAsia"/>
          <w:i w:val="0"/>
          <w:color w:val="333333"/>
          <w:szCs w:val="21"/>
          <w:highlight w:val="none"/>
          <w:shd w:val="clear" w:color="auto" w:fill="FFFFFF"/>
        </w:rPr>
        <w:t>（规定比例）</w:t>
      </w:r>
      <w:r>
        <w:rPr>
          <w:rStyle w:val="Emphasis"/>
          <w:rFonts w:hint="eastAsia"/>
          <w:i w:val="0"/>
          <w:color w:val="333333"/>
          <w:szCs w:val="21"/>
          <w:highlight w:val="none"/>
          <w:shd w:val="clear" w:color="auto" w:fill="FFFFFF"/>
          <w:vertAlign w:val="superscript"/>
        </w:rPr>
        <w:t>3</w:t>
      </w:r>
      <w:r>
        <w:rPr>
          <w:rFonts w:hint="eastAsia"/>
          <w:color w:val="333333"/>
          <w:szCs w:val="21"/>
          <w:highlight w:val="none"/>
          <w:shd w:val="clear" w:color="auto" w:fill="FFFFFF"/>
        </w:rPr>
        <w:t>。</w:t>
      </w:r>
      <w:r>
        <w:rPr>
          <w:rStyle w:val="Emphasis"/>
          <w:rFonts w:hint="eastAsia"/>
          <w:i w:val="0"/>
          <w:color w:val="333333"/>
          <w:szCs w:val="21"/>
          <w:highlight w:val="none"/>
          <w:shd w:val="clear" w:color="auto" w:fill="FFFFFF"/>
        </w:rPr>
        <w:t>（产品名称1）</w:t>
      </w:r>
      <w:r>
        <w:rPr>
          <w:rFonts w:hint="eastAsia"/>
          <w:color w:val="333333"/>
          <w:szCs w:val="21"/>
          <w:highlight w:val="none"/>
          <w:shd w:val="clear" w:color="auto" w:fill="FFFFFF"/>
        </w:rPr>
        <w:t>的</w:t>
      </w:r>
      <w:r>
        <w:rPr>
          <w:rStyle w:val="Emphasis"/>
          <w:rFonts w:hint="eastAsia"/>
          <w:i w:val="0"/>
          <w:color w:val="333333"/>
          <w:szCs w:val="21"/>
          <w:highlight w:val="none"/>
          <w:shd w:val="clear" w:color="auto" w:fill="FFFFFF"/>
        </w:rPr>
        <w:t>（关键组件）</w:t>
      </w:r>
      <w:r>
        <w:rPr>
          <w:rStyle w:val="Emphasis"/>
          <w:rFonts w:hint="eastAsia"/>
          <w:i w:val="0"/>
          <w:color w:val="333333"/>
          <w:szCs w:val="21"/>
          <w:highlight w:val="none"/>
          <w:shd w:val="clear" w:color="auto" w:fill="FFFFFF"/>
          <w:vertAlign w:val="superscript"/>
        </w:rPr>
        <w:t>4</w:t>
      </w:r>
      <w:r>
        <w:rPr>
          <w:rFonts w:hint="eastAsia"/>
          <w:color w:val="333333"/>
          <w:szCs w:val="21"/>
          <w:highlight w:val="none"/>
          <w:shd w:val="clear" w:color="auto" w:fill="FFFFFF"/>
        </w:rPr>
        <w:t>在中国境内生产。</w:t>
      </w:r>
      <w:r>
        <w:rPr>
          <w:rStyle w:val="Emphasis"/>
          <w:rFonts w:hint="eastAsia"/>
          <w:i w:val="0"/>
          <w:color w:val="333333"/>
          <w:szCs w:val="21"/>
          <w:highlight w:val="none"/>
          <w:shd w:val="clear" w:color="auto" w:fill="FFFFFF"/>
        </w:rPr>
        <w:t>（产品名称1）</w:t>
      </w:r>
      <w:r>
        <w:rPr>
          <w:rFonts w:hint="eastAsia"/>
          <w:color w:val="333333"/>
          <w:szCs w:val="21"/>
          <w:highlight w:val="none"/>
          <w:shd w:val="clear" w:color="auto" w:fill="FFFFFF"/>
        </w:rPr>
        <w:t>的</w:t>
      </w:r>
      <w:r>
        <w:rPr>
          <w:rStyle w:val="Emphasis"/>
          <w:rFonts w:hint="eastAsia"/>
          <w:i w:val="0"/>
          <w:color w:val="333333"/>
          <w:szCs w:val="21"/>
          <w:highlight w:val="none"/>
          <w:shd w:val="clear" w:color="auto" w:fill="FFFFFF"/>
        </w:rPr>
        <w:t>（关键工序）</w:t>
      </w:r>
      <w:r>
        <w:rPr>
          <w:rStyle w:val="Emphasis"/>
          <w:rFonts w:hint="eastAsia"/>
          <w:i w:val="0"/>
          <w:color w:val="333333"/>
          <w:szCs w:val="21"/>
          <w:highlight w:val="none"/>
          <w:shd w:val="clear" w:color="auto" w:fill="FFFFFF"/>
          <w:vertAlign w:val="superscript"/>
        </w:rPr>
        <w:t>5</w:t>
      </w:r>
      <w:r>
        <w:rPr>
          <w:rFonts w:hint="eastAsia"/>
          <w:color w:val="333333"/>
          <w:szCs w:val="21"/>
          <w:highlight w:val="none"/>
          <w:shd w:val="clear" w:color="auto" w:fill="FFFFFF"/>
        </w:rPr>
        <w:t>在中国境内完成。</w:t>
      </w:r>
    </w:p>
    <w:p>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2.</w:t>
      </w:r>
      <w:r>
        <w:rPr>
          <w:rStyle w:val="Emphasis"/>
          <w:rFonts w:hint="eastAsia"/>
          <w:i w:val="0"/>
          <w:color w:val="333333"/>
          <w:szCs w:val="21"/>
          <w:highlight w:val="none"/>
          <w:shd w:val="clear" w:color="auto" w:fill="FFFFFF"/>
        </w:rPr>
        <w:t>（产品名称2）</w:t>
      </w:r>
      <w:r>
        <w:rPr>
          <w:rFonts w:hint="eastAsia"/>
          <w:color w:val="333333"/>
          <w:szCs w:val="21"/>
          <w:highlight w:val="none"/>
          <w:shd w:val="clear" w:color="auto" w:fill="FFFFFF"/>
        </w:rPr>
        <w:t>，生产厂为</w:t>
      </w:r>
      <w:r>
        <w:rPr>
          <w:rStyle w:val="Emphasis"/>
          <w:rFonts w:hint="eastAsia"/>
          <w:i w:val="0"/>
          <w:color w:val="333333"/>
          <w:szCs w:val="21"/>
          <w:highlight w:val="none"/>
          <w:shd w:val="clear" w:color="auto" w:fill="FFFFFF"/>
        </w:rPr>
        <w:t>（厂名）</w:t>
      </w:r>
      <w:r>
        <w:rPr>
          <w:rFonts w:hint="eastAsia"/>
          <w:color w:val="333333"/>
          <w:szCs w:val="21"/>
          <w:highlight w:val="none"/>
          <w:shd w:val="clear" w:color="auto" w:fill="FFFFFF"/>
        </w:rPr>
        <w:t>，厂址为</w:t>
      </w:r>
      <w:r>
        <w:rPr>
          <w:rStyle w:val="Emphasis"/>
          <w:rFonts w:hint="eastAsia"/>
          <w:i w:val="0"/>
          <w:color w:val="333333"/>
          <w:szCs w:val="21"/>
          <w:highlight w:val="none"/>
          <w:shd w:val="clear" w:color="auto" w:fill="FFFFFF"/>
        </w:rPr>
        <w:t>（生产厂址）</w:t>
      </w:r>
      <w:r>
        <w:rPr>
          <w:rFonts w:hint="eastAsia"/>
          <w:color w:val="333333"/>
          <w:szCs w:val="21"/>
          <w:highlight w:val="none"/>
          <w:shd w:val="clear" w:color="auto" w:fill="FFFFFF"/>
        </w:rPr>
        <w:t>。</w:t>
      </w:r>
      <w:r>
        <w:rPr>
          <w:rStyle w:val="Emphasis"/>
          <w:rFonts w:hint="eastAsia"/>
          <w:i w:val="0"/>
          <w:color w:val="333333"/>
          <w:szCs w:val="21"/>
          <w:highlight w:val="none"/>
          <w:shd w:val="clear" w:color="auto" w:fill="FFFFFF"/>
        </w:rPr>
        <w:t>（产品名称2）</w:t>
      </w:r>
      <w:r>
        <w:rPr>
          <w:rFonts w:hint="eastAsia"/>
          <w:color w:val="333333"/>
          <w:szCs w:val="21"/>
          <w:highlight w:val="none"/>
          <w:shd w:val="clear" w:color="auto" w:fill="FFFFFF"/>
        </w:rPr>
        <w:t>的中国境内生产的组件成本占比≥</w:t>
      </w:r>
      <w:r>
        <w:rPr>
          <w:rStyle w:val="Emphasis"/>
          <w:rFonts w:hint="eastAsia"/>
          <w:i w:val="0"/>
          <w:color w:val="333333"/>
          <w:szCs w:val="21"/>
          <w:highlight w:val="none"/>
          <w:shd w:val="clear" w:color="auto" w:fill="FFFFFF"/>
        </w:rPr>
        <w:t>（规定比例）</w:t>
      </w:r>
      <w:r>
        <w:rPr>
          <w:rFonts w:hint="eastAsia"/>
          <w:color w:val="333333"/>
          <w:szCs w:val="21"/>
          <w:highlight w:val="none"/>
          <w:shd w:val="clear" w:color="auto" w:fill="FFFFFF"/>
        </w:rPr>
        <w:t>。</w:t>
      </w:r>
      <w:r>
        <w:rPr>
          <w:rStyle w:val="Emphasis"/>
          <w:rFonts w:hint="eastAsia"/>
          <w:i w:val="0"/>
          <w:color w:val="333333"/>
          <w:szCs w:val="21"/>
          <w:highlight w:val="none"/>
          <w:shd w:val="clear" w:color="auto" w:fill="FFFFFF"/>
        </w:rPr>
        <w:t>（产品名称2）</w:t>
      </w:r>
      <w:r>
        <w:rPr>
          <w:rFonts w:hint="eastAsia"/>
          <w:color w:val="333333"/>
          <w:szCs w:val="21"/>
          <w:highlight w:val="none"/>
          <w:shd w:val="clear" w:color="auto" w:fill="FFFFFF"/>
        </w:rPr>
        <w:t>的</w:t>
      </w:r>
      <w:r>
        <w:rPr>
          <w:rStyle w:val="Emphasis"/>
          <w:rFonts w:hint="eastAsia"/>
          <w:i w:val="0"/>
          <w:color w:val="333333"/>
          <w:szCs w:val="21"/>
          <w:highlight w:val="none"/>
          <w:shd w:val="clear" w:color="auto" w:fill="FFFFFF"/>
        </w:rPr>
        <w:t>（关键组件）</w:t>
      </w:r>
      <w:r>
        <w:rPr>
          <w:rFonts w:hint="eastAsia"/>
          <w:color w:val="333333"/>
          <w:szCs w:val="21"/>
          <w:highlight w:val="none"/>
          <w:shd w:val="clear" w:color="auto" w:fill="FFFFFF"/>
        </w:rPr>
        <w:t>在中国境内生产。</w:t>
      </w:r>
      <w:r>
        <w:rPr>
          <w:rStyle w:val="Emphasis"/>
          <w:rFonts w:hint="eastAsia"/>
          <w:i w:val="0"/>
          <w:color w:val="333333"/>
          <w:szCs w:val="21"/>
          <w:highlight w:val="none"/>
          <w:shd w:val="clear" w:color="auto" w:fill="FFFFFF"/>
        </w:rPr>
        <w:t>（产品名称2）</w:t>
      </w:r>
      <w:r>
        <w:rPr>
          <w:rFonts w:hint="eastAsia"/>
          <w:color w:val="333333"/>
          <w:szCs w:val="21"/>
          <w:highlight w:val="none"/>
          <w:shd w:val="clear" w:color="auto" w:fill="FFFFFF"/>
        </w:rPr>
        <w:t>的</w:t>
      </w:r>
      <w:r>
        <w:rPr>
          <w:rStyle w:val="Emphasis"/>
          <w:rFonts w:hint="eastAsia"/>
          <w:i w:val="0"/>
          <w:color w:val="333333"/>
          <w:szCs w:val="21"/>
          <w:highlight w:val="none"/>
          <w:shd w:val="clear" w:color="auto" w:fill="FFFFFF"/>
        </w:rPr>
        <w:t>（关键工序）</w:t>
      </w:r>
      <w:r>
        <w:rPr>
          <w:rFonts w:hint="eastAsia"/>
          <w:color w:val="333333"/>
          <w:szCs w:val="21"/>
          <w:highlight w:val="none"/>
          <w:shd w:val="clear" w:color="auto" w:fill="FFFFFF"/>
        </w:rPr>
        <w:t>在中国境内完成。</w:t>
      </w:r>
    </w:p>
    <w:p>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w:t>
      </w:r>
    </w:p>
    <w:p>
      <w:pPr>
        <w:pStyle w:val="NormalWeb"/>
        <w:shd w:val="clear" w:color="auto" w:fill="FFFFFF"/>
        <w:spacing w:before="30" w:beforeAutospacing="0" w:after="30" w:afterAutospacing="0"/>
        <w:ind w:firstLine="420"/>
        <w:rPr>
          <w:color w:val="333333"/>
          <w:szCs w:val="21"/>
          <w:highlight w:val="none"/>
          <w:shd w:val="clear" w:color="auto" w:fill="FFFFFF"/>
        </w:rPr>
      </w:pPr>
      <w:r>
        <w:rPr>
          <w:rFonts w:hint="eastAsia"/>
          <w:color w:val="333333"/>
          <w:szCs w:val="21"/>
          <w:highlight w:val="none"/>
          <w:shd w:val="clear" w:color="auto" w:fill="FFFFFF"/>
        </w:rPr>
        <w:t>本公司（单位）对上述声明内容的真实性负责。如有虚假，愿承担相应法律责任。</w:t>
      </w:r>
    </w:p>
    <w:p>
      <w:pPr>
        <w:pStyle w:val="NormalWeb"/>
        <w:shd w:val="clear" w:color="auto" w:fill="FFFFFF"/>
        <w:spacing w:before="30" w:beforeAutospacing="0" w:after="30" w:afterAutospacing="0"/>
        <w:ind w:firstLine="420"/>
        <w:rPr>
          <w:color w:val="333333"/>
          <w:szCs w:val="21"/>
          <w:highlight w:val="none"/>
          <w:shd w:val="clear" w:color="auto" w:fill="FFFFFF"/>
        </w:rPr>
      </w:pPr>
    </w:p>
    <w:p>
      <w:pPr>
        <w:pStyle w:val="NormalWeb"/>
        <w:shd w:val="clear" w:color="auto" w:fill="FFFFFF"/>
        <w:spacing w:before="30" w:beforeAutospacing="0" w:after="30" w:afterAutospacing="0"/>
        <w:ind w:firstLine="420"/>
        <w:rPr>
          <w:rFonts w:hint="eastAsia"/>
          <w:color w:val="333333"/>
          <w:szCs w:val="21"/>
          <w:highlight w:val="none"/>
        </w:rPr>
      </w:pPr>
    </w:p>
    <w:p>
      <w:pPr>
        <w:pStyle w:val="NormalWeb"/>
        <w:shd w:val="clear" w:color="auto" w:fill="FFFFFF"/>
        <w:spacing w:before="30" w:beforeAutospacing="0" w:after="30" w:afterAutospacing="0"/>
        <w:ind w:firstLine="420"/>
        <w:jc w:val="right"/>
        <w:rPr>
          <w:color w:val="333333"/>
          <w:szCs w:val="21"/>
          <w:highlight w:val="none"/>
        </w:rPr>
      </w:pPr>
      <w:r>
        <w:rPr>
          <w:rFonts w:hint="eastAsia"/>
          <w:color w:val="333333"/>
          <w:szCs w:val="21"/>
          <w:highlight w:val="none"/>
          <w:shd w:val="clear" w:color="auto" w:fill="FFFFFF"/>
        </w:rPr>
        <w:t>公司（单位）名称（盖章）：      </w:t>
      </w:r>
    </w:p>
    <w:p>
      <w:pPr>
        <w:pStyle w:val="NormalWeb"/>
        <w:shd w:val="clear" w:color="auto" w:fill="FFFFFF"/>
        <w:spacing w:before="30" w:beforeAutospacing="0" w:after="30" w:afterAutospacing="0"/>
        <w:ind w:firstLine="420"/>
        <w:jc w:val="right"/>
        <w:rPr>
          <w:color w:val="333333"/>
          <w:szCs w:val="21"/>
          <w:highlight w:val="none"/>
        </w:rPr>
      </w:pPr>
      <w:r>
        <w:rPr>
          <w:rFonts w:hint="eastAsia"/>
          <w:color w:val="333333"/>
          <w:szCs w:val="21"/>
          <w:highlight w:val="none"/>
          <w:shd w:val="clear" w:color="auto" w:fill="FFFFFF"/>
        </w:rPr>
        <w:t>日期：　　　　　年　　月　日    </w:t>
      </w:r>
    </w:p>
    <w:p>
      <w:pPr>
        <w:pStyle w:val="NormalWeb"/>
        <w:shd w:val="clear" w:color="auto" w:fill="FFFFFF"/>
        <w:spacing w:before="30" w:beforeAutospacing="0" w:after="30" w:afterAutospacing="0"/>
        <w:rPr>
          <w:color w:val="333333"/>
          <w:szCs w:val="21"/>
          <w:highlight w:val="none"/>
        </w:rPr>
      </w:pPr>
      <w:r>
        <w:rPr>
          <w:rFonts w:hint="eastAsia"/>
          <w:color w:val="333333"/>
          <w:szCs w:val="21"/>
          <w:highlight w:val="none"/>
          <w:shd w:val="clear" w:color="auto" w:fill="FFFFFF"/>
        </w:rPr>
        <w:t>_____________________________</w:t>
      </w:r>
    </w:p>
    <w:p>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注1.产品如有型号，请在“产品名称”栏一并填写。</w:t>
      </w:r>
    </w:p>
    <w:p>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注2.生产厂名与厂址应与生产厂营业执照载明的相关信息保持一致。</w:t>
      </w:r>
    </w:p>
    <w:p>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注3.该产品的中国境内生产的组件成本占比相关要求实施前，“规定比例”栏可不填，下同。</w:t>
      </w:r>
    </w:p>
    <w:p>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注4.该产品的关键组件要求实施前，“关键组件”栏可不填，下同。</w:t>
      </w:r>
    </w:p>
    <w:p>
      <w:pPr>
        <w:pStyle w:val="NormalWeb"/>
        <w:shd w:val="clear" w:color="auto" w:fill="FFFFFF"/>
        <w:spacing w:before="30" w:beforeAutospacing="0" w:after="30" w:afterAutospacing="0"/>
        <w:ind w:firstLine="420"/>
        <w:rPr>
          <w:highlight w:val="none"/>
        </w:rPr>
      </w:pPr>
      <w:r>
        <w:rPr>
          <w:rFonts w:ascii="楷体" w:eastAsia="楷体" w:hAnsi="楷体" w:cs="楷体" w:hint="eastAsia"/>
          <w:color w:val="333333"/>
          <w:szCs w:val="21"/>
          <w:highlight w:val="none"/>
          <w:shd w:val="clear" w:color="auto" w:fill="FFFFFF"/>
        </w:rPr>
        <w:t>注5.该产品的关键工序要求实施前，“关键工序”栏可不填，下同。</w:t>
      </w:r>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11银行保函或投标保证金说明函</w:t>
      </w:r>
    </w:p>
    <w:p>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2.11.1银行保函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需用带银行抬头的格式纸出具，使用银行保函提交投标保证金的投标人提供。本项目不要求提交投标保证金的，不提供。</w:t>
      </w:r>
    </w:p>
    <w:p>
      <w:pPr>
        <w:pStyle w:val="PlainText"/>
        <w:rPr>
          <w:highlight w:val="none"/>
        </w:rPr>
      </w:pPr>
    </w:p>
    <w:p>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本保函作为</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（投标人全称）</w:t>
      </w:r>
      <w:r>
        <w:rPr>
          <w:rFonts w:ascii="华文楷体" w:eastAsia="华文楷体" w:hAnsi="华文楷体" w:hint="eastAsia"/>
          <w:highlight w:val="none"/>
        </w:rPr>
        <w:t>（以下简称“投标人”）对中国气象局政府采购中心的投标邀请提供的银行保函。投标项目名称为：</w:t>
      </w:r>
      <w:r>
        <w:rPr>
          <w:rFonts w:ascii="华文楷体" w:eastAsia="华文楷体" w:hAnsi="华文楷体" w:hint="eastAsia"/>
          <w:highlight w:val="none"/>
          <w:u w:val="single"/>
        </w:rPr>
        <w:t xml:space="preserve">       </w:t>
      </w:r>
      <w:r>
        <w:rPr>
          <w:rFonts w:ascii="华文楷体" w:eastAsia="华文楷体" w:hAnsi="华文楷体" w:hint="eastAsia"/>
          <w:highlight w:val="none"/>
        </w:rPr>
        <w:t>（项目编号：</w:t>
      </w:r>
      <w:r>
        <w:rPr>
          <w:rFonts w:ascii="华文楷体" w:eastAsia="华文楷体" w:hAnsi="华文楷体" w:hint="eastAsia"/>
          <w:highlight w:val="none"/>
          <w:u w:val="single"/>
        </w:rPr>
        <w:t xml:space="preserve">     ）</w:t>
      </w:r>
      <w:r>
        <w:rPr>
          <w:rFonts w:ascii="华文楷体" w:eastAsia="华文楷体" w:hAnsi="华文楷体" w:hint="eastAsia"/>
          <w:highlight w:val="none"/>
        </w:rPr>
        <w:t>分包号：</w:t>
      </w:r>
      <w:r>
        <w:rPr>
          <w:rFonts w:ascii="华文楷体" w:eastAsia="华文楷体" w:hAnsi="华文楷体" w:hint="eastAsia"/>
          <w:highlight w:val="none"/>
          <w:u w:val="single"/>
        </w:rPr>
        <w:t xml:space="preserve">     </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u w:val="single"/>
        </w:rPr>
        <w:t xml:space="preserve">         </w:t>
      </w:r>
      <w:r>
        <w:rPr>
          <w:rFonts w:ascii="华文楷体" w:eastAsia="华文楷体" w:hAnsi="华文楷体" w:hint="eastAsia"/>
          <w:b/>
          <w:highlight w:val="none"/>
        </w:rPr>
        <w:t>（保函开具银行名称）</w:t>
      </w:r>
      <w:r>
        <w:rPr>
          <w:rFonts w:ascii="华文楷体" w:eastAsia="华文楷体" w:hAnsi="华文楷体" w:hint="eastAsia"/>
          <w:highlight w:val="none"/>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hint="eastAsia"/>
          <w:highlight w:val="none"/>
          <w:u w:val="single"/>
        </w:rPr>
        <w:t xml:space="preserve">      </w:t>
      </w:r>
      <w:r>
        <w:rPr>
          <w:rFonts w:ascii="华文楷体" w:eastAsia="华文楷体" w:hAnsi="华文楷体" w:hint="eastAsia"/>
          <w:highlight w:val="none"/>
        </w:rPr>
        <w:t>元的保证金：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2、投标人不接受按照招标文件规定的方法对其投标价格算术错误更正的；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3、投标人有违法违规行为给招标人造成损失的；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4、在收到中标通知后30天内，投标人未能与买方签订合同；</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5、在收到中标通知后，投标人未能按规定的时间交纳</w:t>
      </w:r>
      <w:r>
        <w:rPr>
          <w:rFonts w:ascii="华文楷体" w:eastAsia="华文楷体" w:hAnsi="华文楷体" w:hint="eastAsia"/>
          <w:highlight w:val="none"/>
        </w:rPr>
        <w:t>代理服务费</w:t>
      </w:r>
      <w:r>
        <w:rPr>
          <w:rFonts w:ascii="华文楷体" w:eastAsia="华文楷体" w:hAnsi="华文楷体" w:hint="eastAsia"/>
          <w:highlight w:val="none"/>
        </w:rPr>
        <w:t>。</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本保函自开标之日起</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 个日历日内有效，并在贵方和投标人同意延长的有效期内保持有效。延长的有效期只需通知本行即可。贵方有权提前终止或解除本保函。</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出具保函银行名称：_____________________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签字：_____________________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    （印刷字体姓名和职务）</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银行公章： 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联系人姓名：</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银行地址：</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邮编：</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电话：</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传真：</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hAnsi="宋体" w:hint="eastAsia"/>
          <w:highlight w:val="none"/>
        </w:rPr>
      </w:pPr>
    </w:p>
    <w:p>
      <w:pPr>
        <w:tabs>
          <w:tab w:val="left" w:pos="1573"/>
        </w:tabs>
        <w:adjustRightInd w:val="0"/>
        <w:snapToGrid w:val="0"/>
        <w:spacing w:line="360" w:lineRule="auto"/>
        <w:ind w:firstLine="412" w:firstLineChars="196"/>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1.2投标保证金说明函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使用银行信汇、电汇、银行汇票缴纳投标保证金的投标人提供。汇款凭证复印件应作为附件。本项目不要求提交投标保证金的，不提供。</w:t>
      </w:r>
    </w:p>
    <w:p>
      <w:pPr>
        <w:pStyle w:val="a0"/>
        <w:adjustRightInd w:val="0"/>
        <w:snapToGrid w:val="0"/>
        <w:spacing w:line="360" w:lineRule="auto"/>
        <w:ind w:firstLine="420" w:firstLineChars="200"/>
        <w:jc w:val="left"/>
        <w:rPr>
          <w:rFonts w:hAnsi="宋体"/>
          <w:highlight w:val="none"/>
        </w:rPr>
      </w:pP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项目名称：             项目编号：     分包号：（如无分包，请填写“无”）</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l、投标保证金金额人民币(大写) </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元，以 </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（填写：信汇或电汇）</w:t>
      </w:r>
      <w:r>
        <w:rPr>
          <w:rFonts w:ascii="华文楷体" w:eastAsia="华文楷体" w:hAnsi="华文楷体" w:hint="eastAsia"/>
          <w:highlight w:val="none"/>
        </w:rPr>
        <w:t>方式支付。</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2、在担保期内，贵方根据下列事实中的任何一点，即可无条件地扣留保证金。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(2)投标人以他人名义投标、相互串通投标或者以其他方式弄虚作假的，投标人提交的投标文件中提交虚假资料或失实资料的；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(3)中标人不按本招标文件规定与采购人签订合同的；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(4)中标人不按本招标文件的规定提交履约保证金的；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(5)中标人不按本招标文件的规定缴纳</w:t>
      </w:r>
      <w:r>
        <w:rPr>
          <w:rFonts w:ascii="华文楷体" w:eastAsia="华文楷体" w:hAnsi="华文楷体" w:hint="eastAsia"/>
          <w:highlight w:val="none"/>
        </w:rPr>
        <w:t>代理服务费</w:t>
      </w:r>
      <w:r>
        <w:rPr>
          <w:rFonts w:ascii="华文楷体" w:eastAsia="华文楷体" w:hAnsi="华文楷体" w:hint="eastAsia"/>
          <w:highlight w:val="none"/>
        </w:rPr>
        <w:t>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3、保证金自开标之日起生效，至少到投标有效期结束时有效。</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投标人(电子签章)：</w:t>
      </w:r>
      <w:r>
        <w:rPr>
          <w:rFonts w:ascii="华文楷体" w:eastAsia="华文楷体" w:hAnsi="华文楷体" w:hint="eastAsia"/>
          <w:bCs/>
          <w:highlight w:val="none"/>
        </w:rPr>
        <w:t>____________</w:t>
      </w:r>
    </w:p>
    <w:p>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pPr>
        <w:pStyle w:val="PlainText"/>
        <w:adjustRightInd w:val="0"/>
        <w:snapToGrid w:val="0"/>
        <w:spacing w:line="360" w:lineRule="auto"/>
        <w:rPr>
          <w:rFonts w:ascii="华文楷体" w:eastAsia="华文楷体" w:hAnsi="华文楷体"/>
          <w:highlight w:val="none"/>
        </w:rPr>
      </w:pPr>
      <w:r>
        <w:rPr>
          <w:rFonts w:ascii="华文楷体" w:eastAsia="华文楷体" w:hAnsi="华文楷体" w:hint="eastAsia"/>
          <w:highlight w:val="none"/>
        </w:rPr>
        <w:t>附件：银行汇款凭证</w:t>
      </w:r>
    </w:p>
    <w:p>
      <w:pPr>
        <w:rPr>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pStyle w:val="PlainText"/>
        <w:adjustRightInd w:val="0"/>
        <w:snapToGrid w:val="0"/>
        <w:spacing w:line="360" w:lineRule="auto"/>
        <w:ind w:firstLine="412" w:firstLineChars="196"/>
        <w:outlineLvl w:val="3"/>
        <w:rPr>
          <w:rFonts w:hint="eastAsia"/>
          <w:b/>
        </w:rPr>
      </w:pPr>
      <w:r>
        <w:rPr>
          <w:rFonts w:hint="eastAsia"/>
          <w:b/>
        </w:rPr>
        <w:t>2.12述标委托书</w:t>
      </w:r>
    </w:p>
    <w:p>
      <w:pPr>
        <w:pStyle w:val="PlainText"/>
        <w:adjustRightInd w:val="0"/>
        <w:snapToGrid w:val="0"/>
        <w:spacing w:line="360" w:lineRule="auto"/>
        <w:rPr>
          <w:rFonts w:hint="eastAsia"/>
        </w:rPr>
      </w:pPr>
      <w:r>
        <w:rPr>
          <w:rFonts w:hint="eastAsia"/>
        </w:rPr>
        <w:t xml:space="preserve">    本项目需要现场述标时，由代表投标人进行述标的述标人提供。</w:t>
      </w:r>
    </w:p>
    <w:p>
      <w:pPr>
        <w:pStyle w:val="PlainText"/>
        <w:adjustRightInd w:val="0"/>
        <w:snapToGrid w:val="0"/>
        <w:spacing w:line="360" w:lineRule="auto"/>
        <w:rPr>
          <w:rFonts w:hint="eastAsia"/>
        </w:rPr>
      </w:pPr>
    </w:p>
    <w:p>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pPr>
        <w:widowControl/>
        <w:adjustRightInd w:val="0"/>
        <w:snapToGrid w:val="0"/>
        <w:spacing w:line="360" w:lineRule="auto"/>
        <w:ind w:firstLine="420" w:firstLineChars="200"/>
        <w:jc w:val="left"/>
        <w:rPr>
          <w:rFonts w:ascii="华文楷体" w:eastAsia="华文楷体" w:hAnsi="华文楷体" w:cs="Times New Roman"/>
          <w:szCs w:val="21"/>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w:t>
      </w:r>
      <w:r>
        <w:rPr>
          <w:rFonts w:ascii="宋体" w:eastAsia="宋体" w:hAnsi="宋体" w:cs="Times New Roman" w:hint="eastAsia"/>
          <w:b/>
          <w:szCs w:val="21"/>
          <w:lang w:val="en-US" w:eastAsia="zh-CN"/>
        </w:rPr>
        <w:t>3</w:t>
      </w:r>
      <w:r>
        <w:rPr>
          <w:rFonts w:ascii="宋体" w:eastAsia="宋体" w:hAnsi="宋体" w:cs="Times New Roman" w:hint="eastAsia"/>
          <w:b/>
          <w:szCs w:val="20"/>
        </w:rPr>
        <w:t>其他商务文件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照第五章投标人须知专用部分5.13条规定应提交的各种商务文件。</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w:t>
      </w:r>
      <w:r>
        <w:rPr>
          <w:rFonts w:ascii="宋体" w:eastAsia="宋体" w:hAnsi="宋体" w:cs="Times New Roman" w:hint="eastAsia"/>
          <w:b/>
          <w:szCs w:val="20"/>
          <w:lang w:val="en-US" w:eastAsia="zh-CN"/>
        </w:rPr>
        <w:t>4</w:t>
      </w:r>
      <w:r>
        <w:rPr>
          <w:rFonts w:ascii="宋体" w:hAnsi="宋体" w:hint="eastAsia"/>
          <w:b/>
        </w:rPr>
        <w:t>投标人自行编写的商务文件</w:t>
      </w:r>
    </w:p>
    <w:p>
      <w:pPr>
        <w:adjustRightInd w:val="0"/>
        <w:snapToGrid w:val="0"/>
        <w:spacing w:line="360" w:lineRule="auto"/>
        <w:ind w:firstLine="420"/>
        <w:outlineLvl w:val="9"/>
        <w:rPr>
          <w:rFonts w:ascii="宋体" w:eastAsia="宋体" w:hAnsi="宋体" w:cs="Times New Roman"/>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p w:rsidR="00A77B3E"/>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sectPr>
          <w:headerReference w:type="default" r:id="rId4"/>
          <w:footerReference w:type="default" r:id="rId5"/>
          <w:pgSz w:w="11906" w:h="16838"/>
          <w:pgMar w:top="1418" w:right="1418" w:bottom="1418" w:left="1701" w:header="851" w:footer="851" w:gutter="0"/>
          <w:pgNumType w:start="1"/>
          <w:cols w:space="708"/>
          <w:docGrid w:type="linesAndChars" w:linePitch="312"/>
        </w:sectPr>
      </w:pPr>
      <w:bookmarkEnd w:id="8"/>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pPr>
        <w:adjustRightInd w:val="0"/>
        <w:snapToGrid w:val="0"/>
        <w:spacing w:line="360" w:lineRule="auto"/>
        <w:ind w:firstLine="420"/>
        <w:outlineLvl w:val="3"/>
        <w:rPr>
          <w:rFonts w:ascii="宋体" w:eastAsia="宋体" w:hAnsi="宋体" w:cs="Times New Roman"/>
          <w:b/>
          <w:szCs w:val="21"/>
        </w:rPr>
      </w:pPr>
      <w:bookmarkStart w:id="18" w:name="插入_投标文件技术部分"/>
      <w:r>
        <w:rPr>
          <w:rFonts w:ascii="宋体" w:eastAsia="宋体" w:hAnsi="宋体" w:cs="Times New Roman" w:hint="eastAsia"/>
          <w:b/>
          <w:szCs w:val="21"/>
        </w:rPr>
        <w:t>2.15开标一览表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0" w:type="auto"/>
          <w:tblInd w:w="-66" w:type="dxa"/>
          <w:tblLayout w:type="fixed"/>
          <w:tblCellMar>
            <w:top w:w="0" w:type="dxa"/>
            <w:left w:w="0" w:type="dxa"/>
            <w:bottom w:w="0" w:type="dxa"/>
            <w:right w:w="0" w:type="dxa"/>
          </w:tblCellMar>
        </w:tblPrEx>
        <w:trPr>
          <w:cantSplit/>
          <w:trHeight w:val="503"/>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人民币大写（元）</w:t>
            </w:r>
            <w:r>
              <w:rPr>
                <w:rFonts w:ascii="华文楷体" w:eastAsia="华文楷体" w:hAnsi="华文楷体" w:cs="Times New Roman"/>
                <w:szCs w:val="21"/>
              </w:rPr>
              <w:t>：</w:t>
            </w:r>
          </w:p>
        </w:tc>
        <w:tc>
          <w:tcPr>
            <w:tcW w:w="2551" w:type="dxa"/>
            <w:vMerge w:val="restart"/>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r>
        <w:tblPrEx>
          <w:tblW w:w="0" w:type="auto"/>
          <w:tblInd w:w="-66" w:type="dxa"/>
          <w:tblLayout w:type="fixed"/>
          <w:tblCellMar>
            <w:top w:w="0" w:type="dxa"/>
            <w:left w:w="0" w:type="dxa"/>
            <w:bottom w:w="0" w:type="dxa"/>
            <w:right w:w="0" w:type="dxa"/>
          </w:tblCellMar>
        </w:tblPrEx>
        <w:trPr>
          <w:cantSplit/>
          <w:trHeight w:val="415"/>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人民币小写（元）</w:t>
            </w:r>
            <w:r>
              <w:rPr>
                <w:rFonts w:ascii="华文楷体" w:eastAsia="华文楷体" w:hAnsi="华文楷体" w:cs="Times New Roman"/>
                <w:szCs w:val="21"/>
              </w:rPr>
              <w:t>：</w:t>
            </w:r>
          </w:p>
        </w:tc>
        <w:tc>
          <w:tcPr>
            <w:tcW w:w="2551" w:type="dxa"/>
            <w:vMerge/>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rPr>
          <w:rFonts w:ascii="华文楷体" w:eastAsia="华文楷体" w:hAnsi="华文楷体" w:cs="Times New Roman"/>
          <w:szCs w:val="21"/>
        </w:rPr>
      </w:pP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5580"/>
        </w:tabs>
        <w:adjustRightInd w:val="0"/>
        <w:snapToGrid w:val="0"/>
        <w:spacing w:line="360" w:lineRule="auto"/>
        <w:jc w:val="left"/>
        <w:rPr>
          <w:rFonts w:ascii="华文楷体" w:eastAsia="华文楷体" w:hAnsi="华文楷体" w:cs="Times New Roman"/>
          <w:szCs w:val="21"/>
        </w:rPr>
      </w:pPr>
    </w:p>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2.16分</w:t>
      </w:r>
      <w:r>
        <w:rPr>
          <w:rFonts w:ascii="宋体" w:hAnsi="宋体" w:hint="eastAsia"/>
          <w:b/>
          <w:szCs w:val="21"/>
        </w:rPr>
        <w:t>项报价表</w:t>
      </w:r>
    </w:p>
    <w:p>
      <w:pPr>
        <w:adjustRightInd w:val="0"/>
        <w:snapToGrid w:val="0"/>
        <w:spacing w:line="360" w:lineRule="auto"/>
        <w:jc w:val="center"/>
        <w:rPr>
          <w:rFonts w:ascii="华文楷体" w:eastAsia="华文楷体" w:hAnsi="华文楷体"/>
          <w:b/>
          <w:szCs w:val="21"/>
        </w:rPr>
      </w:pPr>
      <w:r>
        <w:rPr>
          <w:rFonts w:ascii="华文楷体" w:eastAsia="华文楷体" w:hAnsi="华文楷体" w:hint="eastAsia"/>
          <w:b/>
          <w:szCs w:val="21"/>
        </w:rPr>
        <w:t xml:space="preserve">   分项报价表</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 xml:space="preserve">                                                                单位：元</w:t>
      </w:r>
    </w:p>
    <w:tbl>
      <w:tblPr>
        <w:tblStyle w:val="TableNormal"/>
        <w:tblW w:w="8240" w:type="dxa"/>
        <w:tblInd w:w="93" w:type="dxa"/>
        <w:tblLayout w:type="fixed"/>
        <w:tblCellMar>
          <w:top w:w="0" w:type="dxa"/>
          <w:left w:w="108" w:type="dxa"/>
          <w:bottom w:w="0" w:type="dxa"/>
          <w:right w:w="108" w:type="dxa"/>
        </w:tblCellMar>
      </w:tblPr>
      <w:tblGrid>
        <w:gridCol w:w="441"/>
        <w:gridCol w:w="874"/>
        <w:gridCol w:w="761"/>
        <w:gridCol w:w="529"/>
        <w:gridCol w:w="561"/>
        <w:gridCol w:w="713"/>
        <w:gridCol w:w="608"/>
        <w:gridCol w:w="466"/>
        <w:gridCol w:w="416"/>
        <w:gridCol w:w="450"/>
        <w:gridCol w:w="450"/>
        <w:gridCol w:w="416"/>
        <w:gridCol w:w="482"/>
        <w:gridCol w:w="434"/>
        <w:gridCol w:w="639"/>
      </w:tblGrid>
      <w:tr>
        <w:tblPrEx>
          <w:tblW w:w="8240" w:type="dxa"/>
          <w:tblInd w:w="93" w:type="dxa"/>
          <w:tblLayout w:type="fixed"/>
          <w:tblCellMar>
            <w:top w:w="0" w:type="dxa"/>
            <w:left w:w="108" w:type="dxa"/>
            <w:bottom w:w="0" w:type="dxa"/>
            <w:right w:w="108" w:type="dxa"/>
          </w:tblCellMar>
        </w:tblPrEx>
        <w:trPr>
          <w:trHeight w:val="560"/>
        </w:trPr>
        <w:tc>
          <w:tcPr>
            <w:tcW w:w="44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序号</w:t>
            </w:r>
          </w:p>
        </w:tc>
        <w:tc>
          <w:tcPr>
            <w:tcW w:w="87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采购人名称</w:t>
            </w:r>
          </w:p>
        </w:tc>
        <w:tc>
          <w:tcPr>
            <w:tcW w:w="7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货物（服务）名称</w:t>
            </w:r>
          </w:p>
        </w:tc>
        <w:tc>
          <w:tcPr>
            <w:tcW w:w="52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是否核心产品</w:t>
            </w:r>
          </w:p>
        </w:tc>
        <w:tc>
          <w:tcPr>
            <w:tcW w:w="5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品牌及型号、产地</w:t>
            </w:r>
          </w:p>
        </w:tc>
        <w:tc>
          <w:tcPr>
            <w:tcW w:w="2203" w:type="dxa"/>
            <w:gridSpan w:val="4"/>
            <w:tcBorders>
              <w:top w:val="single" w:sz="4" w:space="0" w:color="auto"/>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货物部件（具体服务）</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16"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折扣</w:t>
            </w:r>
          </w:p>
        </w:tc>
        <w:tc>
          <w:tcPr>
            <w:tcW w:w="482"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设备运费及保险费</w:t>
            </w:r>
          </w:p>
        </w:tc>
        <w:tc>
          <w:tcPr>
            <w:tcW w:w="43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报价</w:t>
            </w:r>
          </w:p>
        </w:tc>
        <w:tc>
          <w:tcPr>
            <w:tcW w:w="63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针对采购人的总报</w:t>
            </w:r>
            <w:r>
              <w:rPr>
                <w:rFonts w:ascii="宋体" w:hAnsi="宋体" w:cs="宋体" w:hint="eastAsia"/>
                <w:kern w:val="0"/>
                <w:sz w:val="20"/>
              </w:rPr>
              <w:t>价</w:t>
            </w:r>
          </w:p>
        </w:tc>
      </w:tr>
      <w:tr>
        <w:tblPrEx>
          <w:tblW w:w="8240" w:type="dxa"/>
          <w:tblInd w:w="93" w:type="dxa"/>
          <w:tblLayout w:type="fixed"/>
          <w:tblCellMar>
            <w:top w:w="0" w:type="dxa"/>
            <w:left w:w="108" w:type="dxa"/>
            <w:bottom w:w="0" w:type="dxa"/>
            <w:right w:w="108" w:type="dxa"/>
          </w:tblCellMar>
        </w:tblPrEx>
        <w:trPr>
          <w:trHeight w:val="990"/>
        </w:trPr>
        <w:tc>
          <w:tcPr>
            <w:tcW w:w="44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名称</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简要描述</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single" w:sz="4" w:space="0" w:color="auto"/>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项</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3</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4</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5</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6</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7</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8</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9</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10</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11</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12</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13</w:t>
            </w:r>
          </w:p>
        </w:tc>
        <w:tc>
          <w:tcPr>
            <w:tcW w:w="63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14</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87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hint="eastAsia"/>
                <w:kern w:val="0"/>
                <w:sz w:val="18"/>
                <w:szCs w:val="18"/>
              </w:rPr>
              <w:t>采购人1</w:t>
            </w: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货物1</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val="restart"/>
            <w:tcBorders>
              <w:top w:val="nil"/>
              <w:left w:val="single" w:sz="4" w:space="0" w:color="auto"/>
              <w:bottom w:val="single" w:sz="4" w:space="0" w:color="000000"/>
              <w:right w:val="single" w:sz="4" w:space="0" w:color="auto"/>
            </w:tcBorders>
            <w:shd w:val="clear" w:color="auto" w:fill="auto"/>
            <w:noWrap/>
            <w:vAlign w:val="center"/>
          </w:tcPr>
          <w:p>
            <w:pPr>
              <w:widowControl/>
              <w:jc w:val="center"/>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货物2</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kern w:val="0"/>
                <w:sz w:val="18"/>
                <w:szCs w:val="18"/>
              </w:rPr>
              <w:t>……</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52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采购人2</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bl>
    <w:p>
      <w:pPr>
        <w:adjustRightInd w:val="0"/>
        <w:snapToGrid w:val="0"/>
        <w:spacing w:line="360" w:lineRule="auto"/>
        <w:rPr>
          <w:rFonts w:ascii="华文楷体" w:eastAsia="华文楷体" w:hAnsi="华文楷体" w:hint="eastAsia"/>
          <w:szCs w:val="21"/>
        </w:rPr>
      </w:pPr>
    </w:p>
    <w:p>
      <w:pPr>
        <w:adjustRightInd w:val="0"/>
        <w:snapToGrid w:val="0"/>
        <w:spacing w:line="360" w:lineRule="auto"/>
        <w:jc w:val="left"/>
        <w:rPr>
          <w:rFonts w:ascii="华文楷体" w:eastAsia="华文楷体" w:hAnsi="华文楷体" w:hint="eastAsia"/>
          <w:szCs w:val="21"/>
        </w:rPr>
      </w:pPr>
      <w:r>
        <w:rPr>
          <w:rFonts w:ascii="华文楷体" w:eastAsia="华文楷体" w:hAnsi="华文楷体" w:hint="eastAsia"/>
          <w:szCs w:val="21"/>
        </w:rPr>
        <w:t>说明</w:t>
      </w:r>
      <w:r>
        <w:rPr>
          <w:rFonts w:ascii="华文楷体" w:eastAsia="华文楷体" w:hAnsi="华文楷体"/>
          <w:szCs w:val="21"/>
        </w:rPr>
        <w:t>:</w:t>
      </w:r>
      <w:r>
        <w:rPr>
          <w:rFonts w:ascii="华文楷体" w:eastAsia="华文楷体" w:hAnsi="华文楷体" w:hint="eastAsia"/>
          <w:szCs w:val="21"/>
        </w:rPr>
        <w:t xml:space="preserve"> </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1、如货物（服务）不拆分的，项5可按项2填列，项7同项9，项8同项10。</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2、如货物（服务）需拆分的，项5按拆分后的具体部件、具体服务名称等填列，针对某货物（服务）的项7×项8 之和应等于该货物（服务）项9。</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示例：如“货物1”拆分为“部件1”和“部件2”，则“货物1”项9“单价”=“部件1”项7“单价”×项8“数量”+“部件2”项7“单价”×项8“数量”</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3、项14应等于某采购人所有货物（服务）报价之和。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示例：如“采购人1”采购“货物1”和“货物2”，则“采购人1”项14“针对采购人的总报价单价”=“货物1”项13+“货物2”项13</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4、开标一览表中“投标总价”应等于所有采购人项14“针对采购人的总报价”之和。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示例：有“采购人1”和“采购人2”共两个采购人，则开标一览表中“投标总价”=“采购人1”项14+“采购人2”项14。</w:t>
      </w:r>
    </w:p>
    <w:p>
      <w:pPr>
        <w:adjustRightInd w:val="0"/>
        <w:snapToGrid w:val="0"/>
        <w:spacing w:line="360" w:lineRule="auto"/>
        <w:ind w:firstLine="105" w:firstLineChars="50"/>
        <w:jc w:val="left"/>
      </w:pPr>
      <w:r>
        <w:rPr>
          <w:rFonts w:ascii="华文楷体" w:eastAsia="华文楷体" w:hAnsi="华文楷体"/>
          <w:szCs w:val="21"/>
        </w:rPr>
        <w:t xml:space="preserve"> </w:t>
      </w:r>
      <w:r>
        <w:rPr>
          <w:rFonts w:ascii="华文楷体" w:eastAsia="华文楷体" w:hAnsi="华文楷体" w:hint="eastAsia"/>
          <w:szCs w:val="21"/>
        </w:rPr>
        <w:t xml:space="preserve">  </w:t>
      </w:r>
      <w:r>
        <w:rPr>
          <w:rFonts w:ascii="华文楷体" w:eastAsia="华文楷体" w:hAnsi="华文楷体"/>
          <w:szCs w:val="21"/>
        </w:rPr>
        <w:t xml:space="preserve"> </w:t>
      </w:r>
      <w:r>
        <w:rPr>
          <w:rFonts w:ascii="华文楷体" w:eastAsia="华文楷体" w:hAnsi="华文楷体" w:hint="eastAsia"/>
          <w:szCs w:val="21"/>
        </w:rPr>
        <w:t>5、投标人如认为还有需要提供的内容可另列表说明。</w:t>
      </w:r>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2.17技术要求偏离表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招标文件技术要求</w:t>
            </w:r>
          </w:p>
        </w:tc>
        <w:tc>
          <w:tcPr>
            <w:tcW w:w="70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vAlign w:val="center"/>
          </w:tcPr>
          <w:p>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bl>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投标人所提供的货物，应符合招标文件中采购需求提出的质量、技术要求，如对技术要求提出合理建议或更改，应在技术要求偏离表中注明。此部分不能简单填写“满足”，必须按要求附上相应证明材料，只填写“满足”而不能提供相关证明材料的或相关材料不符合要求的，不作为评审依据。</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2、采购需求标注为*的实质性条款应逐条应答，其余可填写完全满足招标文件的全部要求；</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3、“偏差”栏只能填写“正”、“无”或“负”。</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4、“投标文件的页码范围”填写应答内容所在电子文档的文件名称及对应页码。</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示例：如某应答内容在投标人自行编制的技术文件10-13页，则填列“投标人自行编制的技术文件10-13页”。</w:t>
      </w:r>
    </w:p>
    <w:p/>
    <w:p>
      <w:pPr>
        <w:adjustRightInd w:val="0"/>
        <w:snapToGrid w:val="0"/>
        <w:spacing w:line="360" w:lineRule="auto"/>
        <w:ind w:firstLine="420"/>
        <w:outlineLvl w:val="3"/>
        <w:rPr>
          <w:rFonts w:ascii="宋体" w:eastAsia="宋体" w:hAnsi="宋体" w:cs="Times New Roman"/>
          <w:b/>
          <w:szCs w:val="21"/>
        </w:rPr>
      </w:pPr>
      <w:bookmarkStart w:id="19" w:name="_Ref462505472"/>
      <w:r>
        <w:rPr>
          <w:rFonts w:ascii="宋体" w:eastAsia="宋体" w:hAnsi="宋体" w:cs="Times New Roman" w:hint="eastAsia"/>
          <w:b/>
          <w:szCs w:val="21"/>
        </w:rPr>
        <w:t>2.18主要标的信息表</w:t>
      </w:r>
      <w:bookmarkEnd w:id="19"/>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w:t>
      </w:r>
    </w:p>
    <w:tbl>
      <w:tblPr>
        <w:tblStyle w:val="TableNormal"/>
        <w:tblW w:w="5000" w:type="pct"/>
        <w:tblInd w:w="0" w:type="dxa"/>
        <w:tblCellMar>
          <w:top w:w="0" w:type="dxa"/>
          <w:left w:w="108" w:type="dxa"/>
          <w:bottom w:w="0" w:type="dxa"/>
          <w:right w:w="108" w:type="dxa"/>
        </w:tblCellMar>
      </w:tblPr>
      <w:tblGrid>
        <w:gridCol w:w="995"/>
        <w:gridCol w:w="1594"/>
        <w:gridCol w:w="1362"/>
        <w:gridCol w:w="1454"/>
        <w:gridCol w:w="1454"/>
        <w:gridCol w:w="1663"/>
      </w:tblGrid>
      <w:tr>
        <w:tblPrEx>
          <w:tblW w:w="5000" w:type="pct"/>
          <w:tblInd w:w="0" w:type="dxa"/>
          <w:tblCellMar>
            <w:top w:w="0" w:type="dxa"/>
            <w:left w:w="108" w:type="dxa"/>
            <w:bottom w:w="0" w:type="dxa"/>
            <w:right w:w="108" w:type="dxa"/>
          </w:tblCellMar>
        </w:tblPrEx>
        <w:tc>
          <w:tcPr>
            <w:tcW w:w="584"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5"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799"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853"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853"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6"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tblPrEx>
          <w:tblW w:w="5000" w:type="pct"/>
          <w:tblInd w:w="0" w:type="dxa"/>
          <w:tblCellMar>
            <w:top w:w="0" w:type="dxa"/>
            <w:left w:w="108" w:type="dxa"/>
            <w:bottom w:w="0" w:type="dxa"/>
            <w:right w:w="108" w:type="dxa"/>
          </w:tblCellMar>
        </w:tblPrEx>
        <w:trPr>
          <w:trHeight w:val="350"/>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bl>
    <w:p>
      <w:r>
        <w:rPr>
          <w:rFonts w:ascii="宋体" w:eastAsia="宋体" w:hAnsi="宋体" w:cs="Times New Roman" w:hint="eastAsia"/>
          <w:szCs w:val="21"/>
        </w:rPr>
        <w:t>注：必须按此格式填写，用途是用来发布中标公告时按照中国政府采购网格式公布供应商的主要标的信息。</w:t>
      </w:r>
    </w:p>
    <w:p>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w:t>
      </w:r>
      <w:r>
        <w:rPr>
          <w:rFonts w:ascii="宋体" w:eastAsia="宋体" w:hAnsi="宋体" w:cs="Times New Roman" w:hint="eastAsia"/>
          <w:b/>
          <w:szCs w:val="21"/>
          <w:lang w:val="en-US" w:eastAsia="zh-CN"/>
        </w:rPr>
        <w:t>9</w:t>
      </w:r>
      <w:r>
        <w:rPr>
          <w:rFonts w:ascii="宋体" w:hAnsi="宋体" w:hint="eastAsia"/>
          <w:b/>
          <w:szCs w:val="21"/>
        </w:rPr>
        <w:t>投标人项目实施和售后服务方案</w:t>
      </w:r>
    </w:p>
    <w:p>
      <w:pPr>
        <w:adjustRightInd w:val="0"/>
        <w:snapToGrid w:val="0"/>
        <w:spacing w:line="360" w:lineRule="auto"/>
        <w:ind w:firstLine="420" w:firstLineChars="200"/>
        <w:rPr>
          <w:rFonts w:ascii="宋体" w:eastAsia="宋体" w:hAnsi="宋体" w:cs="Times New Roman"/>
          <w:szCs w:val="20"/>
        </w:rPr>
      </w:pPr>
      <w:r>
        <w:rPr>
          <w:rFonts w:ascii="宋体" w:hAnsi="宋体" w:hint="eastAsia"/>
        </w:rPr>
        <w:t>服务方案包括但不限于可能涉及的运行维护、升级更新、备品备件、耗材等后续采购，以及其他相关情况。格式由投标人自拟。</w:t>
      </w:r>
    </w:p>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w:t>
      </w:r>
      <w:r>
        <w:rPr>
          <w:rFonts w:ascii="宋体" w:eastAsia="宋体" w:hAnsi="宋体" w:cs="Times New Roman" w:hint="eastAsia"/>
          <w:b/>
          <w:szCs w:val="21"/>
          <w:lang w:val="en-US" w:eastAsia="zh-CN"/>
        </w:rPr>
        <w:t>20</w:t>
      </w:r>
      <w:r>
        <w:rPr>
          <w:rFonts w:ascii="宋体" w:eastAsia="宋体" w:hAnsi="宋体" w:cs="Times New Roman" w:hint="eastAsia"/>
          <w:b/>
          <w:szCs w:val="21"/>
        </w:rPr>
        <w:t>其他技术文件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照第五章投标人须知专用部分5.13条规定应提交的各种技术文件。如招标文件第七章采购需求等章节中有专门格式要求，按专门格式编写。如无专门格式要求，由投标人自拟格式编写。</w:t>
      </w:r>
    </w:p>
    <w:p/>
    <w:p w:rsidR="00AB56BB" w:rsidRPr="00A61158" w:rsidP="00AB56BB">
      <w:pPr>
        <w:adjustRightInd w:val="0"/>
        <w:snapToGrid w:val="0"/>
        <w:spacing w:line="360" w:lineRule="auto"/>
        <w:ind w:firstLine="420"/>
        <w:outlineLvl w:val="3"/>
        <w:rPr>
          <w:rFonts w:ascii="宋体" w:hAnsi="宋体"/>
          <w:b/>
          <w:szCs w:val="21"/>
        </w:rPr>
      </w:pPr>
      <w:r>
        <w:rPr>
          <w:rFonts w:ascii="宋体" w:hAnsi="宋体" w:hint="eastAsia"/>
          <w:b/>
          <w:szCs w:val="21"/>
        </w:rPr>
        <w:t>2</w:t>
      </w:r>
      <w:r w:rsidRPr="00A61158">
        <w:rPr>
          <w:rFonts w:ascii="宋体" w:hAnsi="宋体" w:hint="eastAsia"/>
          <w:b/>
          <w:szCs w:val="21"/>
        </w:rPr>
        <w:t>.2</w:t>
      </w:r>
      <w:r>
        <w:rPr>
          <w:rFonts w:ascii="宋体" w:hAnsi="宋体" w:hint="eastAsia"/>
          <w:b/>
          <w:szCs w:val="21"/>
        </w:rPr>
        <w:t>1</w:t>
      </w:r>
      <w:r>
        <w:rPr>
          <w:rFonts w:ascii="宋体" w:hAnsi="宋体" w:hint="eastAsia"/>
          <w:b/>
          <w:szCs w:val="21"/>
        </w:rPr>
        <w:t>投标人自行编写的技术文件</w:t>
      </w:r>
    </w:p>
    <w:p w:rsidR="00D14861" w:rsidP="00AB56BB">
      <w:pPr>
        <w:ind w:firstLine="420" w:firstLineChars="200"/>
      </w:pPr>
      <w:r w:rsidRPr="003F7497">
        <w:rPr>
          <w:rFonts w:hint="eastAsia"/>
        </w:rPr>
        <w:t>投标人</w:t>
      </w:r>
      <w:r w:rsidRPr="00117062">
        <w:rPr>
          <w:rFonts w:ascii="宋体" w:hAnsi="宋体" w:hint="eastAsia"/>
        </w:rPr>
        <w:t>按</w:t>
      </w:r>
      <w:r w:rsidRPr="00117062">
        <w:rPr>
          <w:rFonts w:hint="eastAsia"/>
          <w:b/>
        </w:rPr>
        <w:t>第一章投标人须知通用部分</w:t>
      </w:r>
      <w:r w:rsidRPr="00117062">
        <w:rPr>
          <w:rFonts w:ascii="宋体" w:hAnsi="宋体" w:hint="eastAsia"/>
        </w:rPr>
        <w:t>以及</w:t>
      </w:r>
      <w:r>
        <w:rPr>
          <w:rFonts w:hint="eastAsia"/>
          <w:b/>
        </w:rPr>
        <w:t>第五章</w:t>
      </w:r>
      <w:r w:rsidRPr="00117062">
        <w:rPr>
          <w:rFonts w:hint="eastAsia"/>
          <w:b/>
        </w:rPr>
        <w:t>投标人须知专用部分</w:t>
      </w:r>
      <w:r w:rsidRPr="00117062">
        <w:rPr>
          <w:rFonts w:ascii="宋体" w:hAnsi="宋体" w:hint="eastAsia"/>
        </w:rPr>
        <w:t>的规定以及招标文件</w:t>
      </w:r>
      <w:r>
        <w:rPr>
          <w:rFonts w:hint="eastAsia"/>
          <w:b/>
          <w:bCs/>
        </w:rPr>
        <w:t>第七章</w:t>
      </w:r>
      <w:r w:rsidRPr="00C9619F">
        <w:rPr>
          <w:rFonts w:hint="eastAsia"/>
          <w:b/>
          <w:bCs/>
        </w:rPr>
        <w:t>采购需求</w:t>
      </w:r>
      <w:r w:rsidRPr="00C9619F">
        <w:rPr>
          <w:rFonts w:ascii="宋体" w:hAnsi="宋体" w:hint="eastAsia"/>
        </w:rPr>
        <w:t>中的要求自行编写，包括投标人认为需要提供的其它说明和资料。详尽、易于理解、评审和富于建设性的技术方案将在评审时具有优势。</w:t>
      </w:r>
    </w:p>
    <w:p w:rsidR="00A77B3E"/>
    <w:p>
      <w:pPr>
        <w:adjustRightInd w:val="0"/>
        <w:snapToGrid w:val="0"/>
        <w:spacing w:line="360" w:lineRule="auto"/>
        <w:ind w:firstLine="420"/>
        <w:outlineLvl w:val="3"/>
        <w:rPr>
          <w:rFonts w:ascii="宋体" w:eastAsia="宋体" w:hAnsi="宋体" w:cs="Times New Roman"/>
          <w:b/>
          <w:szCs w:val="21"/>
        </w:rPr>
        <w:sectPr>
          <w:pgSz w:w="11906" w:h="16838"/>
          <w:pgMar w:top="1418" w:right="1418" w:bottom="1418" w:left="1701" w:header="851" w:footer="851" w:gutter="0"/>
          <w:pgNumType w:start="59"/>
          <w:cols w:space="708"/>
          <w:docGrid w:type="linesAndChars" w:linePitch="312"/>
        </w:sectPr>
      </w:pPr>
      <w:bookmarkEnd w:id="18"/>
    </w:p>
    <w:p>
      <w:pPr>
        <w:adjustRightInd w:val="0"/>
        <w:snapToGrid w:val="0"/>
        <w:spacing w:line="360" w:lineRule="auto"/>
        <w:ind w:firstLine="600" w:firstLineChars="200"/>
        <w:jc w:val="center"/>
        <w:outlineLvl w:val="1"/>
        <w:rPr>
          <w:b/>
          <w:bCs/>
          <w:sz w:val="30"/>
          <w:szCs w:val="30"/>
        </w:rPr>
      </w:pPr>
      <w:bookmarkEnd w:id="7"/>
      <w:r>
        <w:rPr>
          <w:rFonts w:hint="eastAsia"/>
          <w:b/>
          <w:bCs/>
          <w:sz w:val="30"/>
          <w:szCs w:val="30"/>
        </w:rPr>
        <w:t>第三章  投标被拒绝条款通用部分</w:t>
      </w:r>
    </w:p>
    <w:p>
      <w:pPr>
        <w:spacing w:line="360" w:lineRule="auto"/>
        <w:ind w:firstLine="420" w:firstLineChars="200"/>
        <w:jc w:val="left"/>
        <w:rPr>
          <w:szCs w:val="21"/>
        </w:rPr>
      </w:pPr>
      <w:r>
        <w:rPr>
          <w:rFonts w:hint="eastAsia"/>
          <w:szCs w:val="21"/>
        </w:rPr>
        <w:t>本项目投标被拒绝通用条款详见下表。除下表及</w:t>
      </w:r>
      <w:r>
        <w:rPr>
          <w:rFonts w:ascii="黑体" w:eastAsia="黑体" w:hAnsi="黑体" w:hint="eastAsia"/>
          <w:b/>
          <w:bCs/>
          <w:szCs w:val="21"/>
        </w:rPr>
        <w:t>第八章投标被拒绝条款专用部分</w:t>
      </w:r>
      <w:r>
        <w:rPr>
          <w:rFonts w:hint="eastAsia"/>
          <w:szCs w:val="21"/>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4"/>
        <w:gridCol w:w="850"/>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63"/>
        </w:trPr>
        <w:tc>
          <w:tcPr>
            <w:tcW w:w="534" w:type="dxa"/>
            <w:vAlign w:val="center"/>
          </w:tcPr>
          <w:p>
            <w:pPr>
              <w:jc w:val="left"/>
              <w:rPr>
                <w:sz w:val="18"/>
                <w:szCs w:val="18"/>
              </w:rPr>
            </w:pPr>
            <w:r>
              <w:rPr>
                <w:rFonts w:hint="eastAsia"/>
                <w:sz w:val="18"/>
                <w:szCs w:val="18"/>
              </w:rPr>
              <w:t>序号</w:t>
            </w:r>
          </w:p>
        </w:tc>
        <w:tc>
          <w:tcPr>
            <w:tcW w:w="850" w:type="dxa"/>
            <w:vAlign w:val="center"/>
          </w:tcPr>
          <w:p>
            <w:pPr>
              <w:jc w:val="center"/>
              <w:rPr>
                <w:sz w:val="18"/>
                <w:szCs w:val="18"/>
              </w:rPr>
            </w:pPr>
            <w:r>
              <w:rPr>
                <w:rFonts w:hint="eastAsia"/>
                <w:sz w:val="18"/>
                <w:szCs w:val="18"/>
              </w:rPr>
              <w:t>对应</w:t>
            </w:r>
          </w:p>
          <w:p>
            <w:pPr>
              <w:jc w:val="center"/>
              <w:rPr>
                <w:sz w:val="18"/>
                <w:szCs w:val="18"/>
              </w:rPr>
            </w:pPr>
            <w:r>
              <w:rPr>
                <w:rFonts w:hint="eastAsia"/>
                <w:sz w:val="18"/>
                <w:szCs w:val="18"/>
              </w:rPr>
              <w:t>条款号</w:t>
            </w:r>
          </w:p>
        </w:tc>
        <w:tc>
          <w:tcPr>
            <w:tcW w:w="7723" w:type="dxa"/>
            <w:vAlign w:val="center"/>
          </w:tcPr>
          <w:p>
            <w:pPr>
              <w:jc w:val="center"/>
              <w:rPr>
                <w:sz w:val="18"/>
                <w:szCs w:val="18"/>
              </w:rPr>
            </w:pPr>
            <w:r>
              <w:rPr>
                <w:rFonts w:hint="eastAsia"/>
                <w:sz w:val="18"/>
                <w:szCs w:val="18"/>
              </w:rPr>
              <w:t>内 容</w:t>
            </w:r>
          </w:p>
        </w:tc>
      </w:tr>
      <w:tr>
        <w:tblPrEx>
          <w:tblW w:w="9107" w:type="dxa"/>
          <w:tblLayout w:type="fixed"/>
          <w:tblCellMar>
            <w:top w:w="0" w:type="dxa"/>
            <w:left w:w="108" w:type="dxa"/>
            <w:bottom w:w="0" w:type="dxa"/>
            <w:right w:w="108" w:type="dxa"/>
          </w:tblCellMar>
          <w:tblLook w:val="0000"/>
        </w:tblPrEx>
        <w:trPr>
          <w:cantSplit/>
        </w:trPr>
        <w:tc>
          <w:tcPr>
            <w:tcW w:w="9107" w:type="dxa"/>
            <w:gridSpan w:val="3"/>
            <w:vAlign w:val="center"/>
          </w:tcPr>
          <w:p>
            <w:pPr>
              <w:jc w:val="center"/>
              <w:rPr>
                <w:b/>
                <w:sz w:val="18"/>
                <w:szCs w:val="18"/>
              </w:rPr>
            </w:pPr>
            <w:r>
              <w:rPr>
                <w:rFonts w:hint="eastAsia"/>
                <w:b/>
                <w:sz w:val="18"/>
                <w:szCs w:val="18"/>
              </w:rPr>
              <w:t>第一章 投标人须知通用部分</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1.3.1</w:t>
            </w:r>
          </w:p>
        </w:tc>
        <w:tc>
          <w:tcPr>
            <w:tcW w:w="7723" w:type="dxa"/>
            <w:vAlign w:val="center"/>
          </w:tcPr>
          <w:p>
            <w:pPr>
              <w:tabs>
                <w:tab w:val="left" w:pos="8460"/>
              </w:tabs>
              <w:adjustRightInd w:val="0"/>
              <w:snapToGrid w:val="0"/>
              <w:spacing w:line="360" w:lineRule="auto"/>
              <w:jc w:val="left"/>
              <w:rPr>
                <w:rFonts w:ascii="宋体" w:hAnsi="宋体"/>
                <w:sz w:val="18"/>
                <w:szCs w:val="18"/>
              </w:rPr>
            </w:pPr>
            <w:r>
              <w:rPr>
                <w:rFonts w:ascii="宋体" w:hAnsi="宋体" w:hint="eastAsia"/>
                <w:sz w:val="18"/>
                <w:szCs w:val="18"/>
              </w:rPr>
              <w:t>为本项目提供整体设计、规范编制或者项目管理、监理、检测等服务的供应商，或者</w:t>
            </w:r>
            <w:r>
              <w:rPr>
                <w:rFonts w:hint="eastAsia"/>
                <w:sz w:val="18"/>
                <w:szCs w:val="18"/>
              </w:rPr>
              <w:t>未在</w:t>
            </w:r>
            <w:r>
              <w:rPr>
                <w:sz w:val="18"/>
                <w:szCs w:val="18"/>
              </w:rPr>
              <w:t>中国气象局政府采购中心登记并领取</w:t>
            </w:r>
            <w:r>
              <w:rPr>
                <w:rFonts w:hint="eastAsia"/>
                <w:sz w:val="18"/>
                <w:szCs w:val="18"/>
              </w:rPr>
              <w:t>或购买招标文件的投标人将被拒绝。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1.3.2</w:t>
            </w:r>
          </w:p>
        </w:tc>
        <w:tc>
          <w:tcPr>
            <w:tcW w:w="7723" w:type="dxa"/>
            <w:vAlign w:val="center"/>
          </w:tcPr>
          <w:p>
            <w:pPr>
              <w:tabs>
                <w:tab w:val="left" w:pos="8460"/>
              </w:tabs>
              <w:adjustRightInd w:val="0"/>
              <w:snapToGrid w:val="0"/>
              <w:spacing w:line="360" w:lineRule="auto"/>
              <w:jc w:val="left"/>
              <w:rPr>
                <w:sz w:val="18"/>
                <w:szCs w:val="18"/>
              </w:rPr>
            </w:pPr>
            <w:r>
              <w:rPr>
                <w:rFonts w:hint="eastAsia"/>
                <w:sz w:val="18"/>
                <w:szCs w:val="18"/>
              </w:rPr>
              <w:t>不符合《中华人民共和国政府采购法》第二十二条规定条件的投标人将被拒绝。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sz w:val="18"/>
                <w:szCs w:val="18"/>
              </w:rPr>
            </w:pPr>
            <w:r>
              <w:rPr>
                <w:rFonts w:ascii="宋体" w:hAnsi="宋体" w:hint="eastAsia"/>
                <w:sz w:val="18"/>
                <w:szCs w:val="18"/>
              </w:rPr>
              <w:t>1.3.3</w:t>
            </w:r>
          </w:p>
        </w:tc>
        <w:tc>
          <w:tcPr>
            <w:tcW w:w="7723" w:type="dxa"/>
            <w:vAlign w:val="center"/>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rPr>
            </w:pPr>
            <w:r>
              <w:rPr>
                <w:rFonts w:hint="eastAsia"/>
                <w:bCs/>
                <w:sz w:val="18"/>
                <w:szCs w:val="18"/>
              </w:rPr>
              <w:t>具有</w:t>
            </w:r>
            <w:r>
              <w:rPr>
                <w:rFonts w:hint="eastAsia"/>
                <w:b/>
                <w:bCs/>
                <w:sz w:val="18"/>
                <w:szCs w:val="18"/>
              </w:rPr>
              <w:t>第五章投标人须知专用部分5.2条</w:t>
            </w:r>
            <w:r>
              <w:rPr>
                <w:rFonts w:hint="eastAsia"/>
                <w:bCs/>
                <w:sz w:val="18"/>
                <w:szCs w:val="18"/>
              </w:rPr>
              <w:t>规定的且至投标截止日仍有效的特殊资质条件，否则投</w:t>
            </w:r>
          </w:p>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rPr>
            </w:pPr>
            <w:r>
              <w:rPr>
                <w:rFonts w:hint="eastAsia"/>
                <w:bCs/>
                <w:sz w:val="18"/>
                <w:szCs w:val="18"/>
              </w:rPr>
              <w:t>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sz w:val="18"/>
                <w:szCs w:val="18"/>
              </w:rPr>
            </w:pPr>
            <w:r>
              <w:rPr>
                <w:rFonts w:ascii="宋体" w:hAnsi="宋体" w:hint="eastAsia"/>
                <w:sz w:val="18"/>
                <w:szCs w:val="18"/>
              </w:rPr>
              <w:t>1.3.4</w:t>
            </w:r>
          </w:p>
        </w:tc>
        <w:tc>
          <w:tcPr>
            <w:tcW w:w="7723" w:type="dxa"/>
            <w:vAlign w:val="center"/>
          </w:tcPr>
          <w:p>
            <w:pPr>
              <w:pStyle w:val="10"/>
              <w:numPr>
                <w:ilvl w:val="0"/>
                <w:numId w:val="0"/>
              </w:numPr>
              <w:tabs>
                <w:tab w:val="left" w:pos="709"/>
                <w:tab w:val="left" w:pos="1573"/>
              </w:tabs>
              <w:adjustRightInd w:val="0"/>
              <w:snapToGrid w:val="0"/>
              <w:spacing w:line="360" w:lineRule="auto"/>
              <w:rPr>
                <w:rFonts w:hint="eastAsia"/>
                <w:sz w:val="18"/>
                <w:szCs w:val="18"/>
              </w:rPr>
            </w:pPr>
            <w:r>
              <w:rPr>
                <w:rFonts w:hint="eastAsia"/>
                <w:bCs/>
                <w:sz w:val="18"/>
                <w:szCs w:val="18"/>
              </w:rPr>
              <w:t>本次招标是否允许代理商（指投标人提供的货物不是自己制造的，下同）投标，以及进口产品代理商投标应</w:t>
            </w:r>
            <w:r>
              <w:rPr>
                <w:rFonts w:hint="eastAsia"/>
                <w:sz w:val="18"/>
                <w:szCs w:val="18"/>
              </w:rPr>
              <w:t>提交的资料详见</w:t>
            </w:r>
            <w:r>
              <w:rPr>
                <w:rFonts w:hint="eastAsia"/>
                <w:b/>
                <w:sz w:val="18"/>
                <w:szCs w:val="18"/>
              </w:rPr>
              <w:t>第五章投标人须知专用部分</w:t>
            </w:r>
            <w:r>
              <w:rPr>
                <w:rFonts w:hint="eastAsia"/>
                <w:sz w:val="18"/>
                <w:szCs w:val="18"/>
              </w:rPr>
              <w:t>。不符合</w:t>
            </w:r>
            <w:r>
              <w:rPr>
                <w:rFonts w:hint="eastAsia"/>
                <w:b/>
                <w:sz w:val="18"/>
                <w:szCs w:val="18"/>
              </w:rPr>
              <w:t>第五章投标人须知专用部分5.3条</w:t>
            </w:r>
            <w:r>
              <w:rPr>
                <w:rFonts w:hint="eastAsia"/>
                <w:sz w:val="18"/>
                <w:szCs w:val="18"/>
              </w:rPr>
              <w:t>有关代理商投标要求，以及进口产品代理商未按</w:t>
            </w:r>
            <w:r>
              <w:rPr>
                <w:rFonts w:hint="eastAsia"/>
                <w:b/>
                <w:sz w:val="18"/>
                <w:szCs w:val="18"/>
              </w:rPr>
              <w:t>第五章投标人须知专用部分5.4条</w:t>
            </w:r>
            <w:r>
              <w:rPr>
                <w:rFonts w:hint="eastAsia"/>
                <w:sz w:val="18"/>
                <w:szCs w:val="18"/>
              </w:rPr>
              <w:t>提交有关资料的，投标将被拒绝。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1.3.5</w:t>
            </w:r>
          </w:p>
        </w:tc>
        <w:tc>
          <w:tcPr>
            <w:tcW w:w="7723" w:type="dxa"/>
            <w:vAlign w:val="center"/>
          </w:tcPr>
          <w:p>
            <w:pPr>
              <w:rPr>
                <w:rFonts w:ascii="宋体" w:hAnsi="宋体"/>
                <w:sz w:val="18"/>
                <w:szCs w:val="18"/>
              </w:rPr>
            </w:pPr>
            <w:r>
              <w:rPr>
                <w:rFonts w:ascii="宋体" w:hAnsi="宋体" w:hint="eastAsia"/>
                <w:sz w:val="18"/>
                <w:szCs w:val="18"/>
              </w:rPr>
              <w:t>单位负责人为同一人或者存在直接控股、管理关系的不同投标人，不得参加同一分包的政府采购活动，</w:t>
            </w:r>
            <w:r>
              <w:rPr>
                <w:rFonts w:hint="eastAsia"/>
                <w:sz w:val="18"/>
                <w:szCs w:val="18"/>
              </w:rPr>
              <w:t>否则投标将被</w:t>
            </w:r>
            <w:r>
              <w:rPr>
                <w:rFonts w:hint="eastAsia"/>
                <w:b/>
                <w:sz w:val="18"/>
                <w:szCs w:val="18"/>
              </w:rPr>
              <w:t>拒绝</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1.3.6</w:t>
            </w:r>
          </w:p>
        </w:tc>
        <w:tc>
          <w:tcPr>
            <w:tcW w:w="7723" w:type="dxa"/>
            <w:vAlign w:val="center"/>
          </w:tcPr>
          <w:p>
            <w:pPr>
              <w:pStyle w:val="10"/>
              <w:numPr>
                <w:ilvl w:val="0"/>
                <w:numId w:val="0"/>
              </w:numPr>
              <w:tabs>
                <w:tab w:val="left" w:pos="709"/>
                <w:tab w:val="left" w:pos="1573"/>
              </w:tabs>
              <w:adjustRightInd w:val="0"/>
              <w:snapToGrid w:val="0"/>
              <w:spacing w:line="360" w:lineRule="auto"/>
              <w:rPr>
                <w:rFonts w:ascii="Times New Roman" w:hAnsi="Times New Roman"/>
                <w:sz w:val="18"/>
                <w:szCs w:val="18"/>
              </w:rPr>
            </w:pPr>
            <w:r>
              <w:rPr>
                <w:rFonts w:hint="eastAsia"/>
                <w:sz w:val="18"/>
                <w:szCs w:val="18"/>
              </w:rPr>
              <w:t>如果不允许联合体投标，则联合体投标将被拒绝。如果允许联合体投标，其投标被拒绝的情形如下：（1）联合体投标文件未附联合体协议的，其投标将被拒绝。（2）以联合体形式参加投标的，联合体各方均应当符合《中华人民共和国政府采购法》第二十二条第一款规定的条件。否则，其提交的联合投标将被</w:t>
            </w:r>
            <w:r>
              <w:rPr>
                <w:rFonts w:eastAsia="拒绝" w:hint="eastAsia"/>
                <w:b/>
                <w:sz w:val="18"/>
                <w:szCs w:val="18"/>
              </w:rPr>
              <w:t>拒绝</w:t>
            </w:r>
            <w:r>
              <w:rPr>
                <w:rFonts w:hint="eastAsia"/>
                <w:sz w:val="18"/>
                <w:szCs w:val="18"/>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bCs/>
                <w:sz w:val="18"/>
                <w:szCs w:val="18"/>
              </w:rPr>
            </w:pPr>
            <w:r>
              <w:rPr>
                <w:rFonts w:ascii="宋体" w:hAnsi="宋体" w:hint="eastAsia"/>
                <w:bCs/>
                <w:sz w:val="18"/>
                <w:szCs w:val="18"/>
              </w:rPr>
              <w:t>1.3.7</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bCs/>
                <w:sz w:val="18"/>
                <w:szCs w:val="18"/>
              </w:rPr>
            </w:pPr>
            <w:r>
              <w:rPr>
                <w:rFonts w:ascii="宋体" w:hAnsi="宋体" w:hint="eastAsia"/>
                <w:bCs/>
                <w:sz w:val="18"/>
                <w:szCs w:val="18"/>
              </w:rPr>
              <w:t>1.3.8</w:t>
            </w:r>
          </w:p>
        </w:tc>
        <w:tc>
          <w:tcPr>
            <w:tcW w:w="7723" w:type="dxa"/>
            <w:vAlign w:val="center"/>
          </w:tcPr>
          <w:p>
            <w:pPr>
              <w:pStyle w:val="10"/>
              <w:numPr>
                <w:ilvl w:val="0"/>
                <w:numId w:val="0"/>
              </w:numPr>
              <w:tabs>
                <w:tab w:val="clear" w:pos="709"/>
                <w:tab w:val="left" w:pos="1573"/>
              </w:tabs>
              <w:adjustRightInd w:val="0"/>
              <w:snapToGrid w:val="0"/>
              <w:jc w:val="left"/>
              <w:rPr>
                <w:rFonts w:hint="eastAsia"/>
                <w:sz w:val="18"/>
                <w:szCs w:val="18"/>
              </w:rPr>
            </w:pPr>
            <w:r>
              <w:rPr>
                <w:rFonts w:hint="eastAsia"/>
                <w:sz w:val="18"/>
                <w:szCs w:val="18"/>
              </w:rPr>
              <w:t>以投标截止日为基准日，投标人之前三年存在不良信用记录的，其投标将被作为无效投标被拒绝。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bCs/>
                <w:sz w:val="18"/>
                <w:szCs w:val="18"/>
              </w:rPr>
              <w:t>1.3.9</w:t>
            </w:r>
          </w:p>
        </w:tc>
        <w:tc>
          <w:tcPr>
            <w:tcW w:w="7723" w:type="dxa"/>
            <w:vAlign w:val="center"/>
          </w:tcPr>
          <w:p>
            <w:pPr>
              <w:rPr>
                <w:rFonts w:ascii="宋体" w:hAnsi="宋体"/>
                <w:sz w:val="18"/>
                <w:szCs w:val="18"/>
              </w:rPr>
            </w:pPr>
            <w:r>
              <w:rPr>
                <w:rFonts w:ascii="宋体" w:hAnsi="宋体" w:hint="eastAsia"/>
                <w:sz w:val="18"/>
                <w:szCs w:val="18"/>
              </w:rPr>
              <w:t>投标人在投标过程中向采购人和采购中心提供、给予任何有价值的物品。</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bCs/>
                <w:sz w:val="18"/>
                <w:szCs w:val="18"/>
              </w:rPr>
            </w:pPr>
            <w:r>
              <w:rPr>
                <w:rFonts w:ascii="宋体" w:hAnsi="宋体" w:hint="eastAsia"/>
                <w:bCs/>
                <w:sz w:val="18"/>
                <w:szCs w:val="18"/>
              </w:rPr>
              <w:t>1.3.10</w:t>
            </w:r>
          </w:p>
        </w:tc>
        <w:tc>
          <w:tcPr>
            <w:tcW w:w="7723" w:type="dxa"/>
            <w:vAlign w:val="center"/>
          </w:tcPr>
          <w:p>
            <w:pPr>
              <w:tabs>
                <w:tab w:val="left" w:pos="8460"/>
              </w:tabs>
              <w:adjustRightInd w:val="0"/>
              <w:snapToGrid w:val="0"/>
              <w:spacing w:line="360" w:lineRule="auto"/>
              <w:jc w:val="left"/>
              <w:rPr>
                <w:rFonts w:ascii="宋体" w:hAnsi="宋体"/>
                <w:sz w:val="18"/>
                <w:szCs w:val="18"/>
              </w:rPr>
            </w:pPr>
            <w:r>
              <w:rPr>
                <w:rFonts w:ascii="宋体" w:hAnsi="宋体" w:hint="eastAsia"/>
                <w:kern w:val="0"/>
                <w:sz w:val="18"/>
                <w:szCs w:val="18"/>
              </w:rPr>
              <w:t>投标人没有其他不符合</w:t>
            </w:r>
            <w:r>
              <w:rPr>
                <w:rFonts w:ascii="宋体" w:hAnsi="宋体"/>
                <w:kern w:val="0"/>
                <w:sz w:val="18"/>
                <w:szCs w:val="18"/>
              </w:rPr>
              <w:t>国家法律法规的</w:t>
            </w:r>
            <w:r>
              <w:rPr>
                <w:rFonts w:ascii="宋体" w:hAnsi="宋体" w:hint="eastAsia"/>
                <w:kern w:val="0"/>
                <w:sz w:val="18"/>
                <w:szCs w:val="18"/>
              </w:rPr>
              <w:t>不合格</w:t>
            </w:r>
            <w:r>
              <w:rPr>
                <w:rFonts w:ascii="宋体" w:hAnsi="宋体"/>
                <w:kern w:val="0"/>
                <w:sz w:val="18"/>
                <w:szCs w:val="18"/>
              </w:rPr>
              <w:t>投标人的情况</w:t>
            </w:r>
            <w:r>
              <w:rPr>
                <w:rFonts w:ascii="宋体" w:hAnsi="宋体" w:hint="eastAsia"/>
                <w:kern w:val="0"/>
                <w:sz w:val="18"/>
                <w:szCs w:val="18"/>
              </w:rPr>
              <w:t>，以及</w:t>
            </w:r>
            <w:r>
              <w:rPr>
                <w:rFonts w:ascii="宋体" w:hAnsi="宋体"/>
                <w:kern w:val="0"/>
                <w:sz w:val="18"/>
                <w:szCs w:val="18"/>
              </w:rPr>
              <w:t>本招标文件</w:t>
            </w:r>
            <w:r>
              <w:rPr>
                <w:rFonts w:ascii="宋体" w:hAnsi="宋体" w:hint="eastAsia"/>
                <w:kern w:val="0"/>
                <w:sz w:val="18"/>
                <w:szCs w:val="18"/>
              </w:rPr>
              <w:t>所</w:t>
            </w:r>
            <w:r>
              <w:rPr>
                <w:rFonts w:ascii="宋体" w:hAnsi="宋体"/>
                <w:kern w:val="0"/>
                <w:sz w:val="18"/>
                <w:szCs w:val="18"/>
              </w:rPr>
              <w:t>规定的</w:t>
            </w:r>
            <w:r>
              <w:rPr>
                <w:rFonts w:ascii="宋体" w:hAnsi="宋体" w:hint="eastAsia"/>
                <w:kern w:val="0"/>
                <w:sz w:val="18"/>
                <w:szCs w:val="18"/>
              </w:rPr>
              <w:t>不合格</w:t>
            </w:r>
            <w:r>
              <w:rPr>
                <w:rFonts w:ascii="宋体" w:hAnsi="宋体"/>
                <w:kern w:val="0"/>
                <w:sz w:val="18"/>
                <w:szCs w:val="18"/>
              </w:rPr>
              <w:t>投标人的情况</w:t>
            </w:r>
            <w:r>
              <w:rPr>
                <w:rFonts w:ascii="宋体" w:hAnsi="宋体" w:hint="eastAsia"/>
                <w:kern w:val="0"/>
                <w:sz w:val="18"/>
                <w:szCs w:val="18"/>
              </w:rPr>
              <w:t>。否则投标将被拒绝。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bCs/>
                <w:sz w:val="18"/>
                <w:szCs w:val="18"/>
              </w:rPr>
            </w:pPr>
            <w:r>
              <w:rPr>
                <w:rFonts w:ascii="宋体" w:hAnsi="宋体" w:hint="eastAsia"/>
                <w:bCs/>
                <w:sz w:val="18"/>
                <w:szCs w:val="18"/>
              </w:rPr>
              <w:t>1.3.11</w:t>
            </w:r>
          </w:p>
        </w:tc>
        <w:tc>
          <w:tcPr>
            <w:tcW w:w="7723" w:type="dxa"/>
            <w:vAlign w:val="center"/>
          </w:tcPr>
          <w:p>
            <w:pPr>
              <w:tabs>
                <w:tab w:val="left" w:pos="8460"/>
              </w:tabs>
              <w:adjustRightInd w:val="0"/>
              <w:snapToGrid w:val="0"/>
              <w:spacing w:line="360" w:lineRule="auto"/>
              <w:jc w:val="left"/>
              <w:rPr>
                <w:rFonts w:ascii="宋体" w:hAnsi="宋体" w:hint="eastAsia"/>
                <w:kern w:val="0"/>
                <w:sz w:val="18"/>
                <w:szCs w:val="18"/>
              </w:rPr>
            </w:pPr>
            <w:r>
              <w:rPr>
                <w:rFonts w:ascii="宋体" w:hAnsi="宋体" w:hint="eastAsia"/>
                <w:kern w:val="0"/>
                <w:sz w:val="18"/>
                <w:szCs w:val="18"/>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bCs/>
                <w:sz w:val="18"/>
                <w:szCs w:val="18"/>
              </w:rPr>
              <w:t>1.3.12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如投标人授权代表不是法定代表人，须在投标函中具有法定代表人的授权，否则投标将被拒绝。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bCs/>
                <w:sz w:val="18"/>
                <w:szCs w:val="18"/>
              </w:rPr>
            </w:pPr>
            <w:r>
              <w:rPr>
                <w:rFonts w:ascii="宋体" w:hAnsi="宋体" w:hint="eastAsia"/>
                <w:bCs/>
                <w:sz w:val="18"/>
                <w:szCs w:val="18"/>
              </w:rPr>
              <w:t>1.4.1</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本项目是否允许进口产品投标，见</w:t>
            </w:r>
            <w:r>
              <w:rPr>
                <w:rFonts w:ascii="宋体" w:hAnsi="宋体" w:hint="eastAsia"/>
                <w:b/>
                <w:bCs/>
                <w:sz w:val="18"/>
                <w:szCs w:val="18"/>
              </w:rPr>
              <w:t>第五章投标人须知专用部分</w:t>
            </w:r>
            <w:r>
              <w:rPr>
                <w:rFonts w:ascii="宋体" w:hAnsi="宋体" w:hint="eastAsia"/>
                <w:sz w:val="18"/>
                <w:szCs w:val="18"/>
              </w:rPr>
              <w:t>。</w:t>
            </w:r>
            <w:r>
              <w:rPr>
                <w:rFonts w:hint="eastAsia"/>
                <w:sz w:val="18"/>
                <w:szCs w:val="18"/>
              </w:rPr>
              <w:t>不符合</w:t>
            </w:r>
            <w:r>
              <w:rPr>
                <w:rFonts w:hint="eastAsia"/>
                <w:b/>
                <w:sz w:val="18"/>
                <w:szCs w:val="18"/>
              </w:rPr>
              <w:t>第五章投标人须知专用部分</w:t>
            </w:r>
            <w:r>
              <w:rPr>
                <w:rFonts w:hint="eastAsia"/>
                <w:sz w:val="18"/>
                <w:szCs w:val="18"/>
              </w:rPr>
              <w:t>5.8条有关进口产品投标要求的，投标将被拒绝。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bCs/>
                <w:sz w:val="18"/>
                <w:szCs w:val="18"/>
              </w:rPr>
            </w:pPr>
            <w:r>
              <w:rPr>
                <w:rFonts w:ascii="宋体" w:hAnsi="宋体" w:hint="eastAsia"/>
                <w:bCs/>
                <w:sz w:val="18"/>
                <w:szCs w:val="18"/>
              </w:rPr>
              <w:t>1.5.3</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本项目如是预留采购份额面向中小企业采购，投标人应按照</w:t>
            </w:r>
            <w:r>
              <w:rPr>
                <w:rFonts w:ascii="宋体" w:hAnsi="宋体" w:hint="eastAsia"/>
                <w:b/>
                <w:sz w:val="18"/>
                <w:szCs w:val="18"/>
              </w:rPr>
              <w:t>第二章投标文件格式</w:t>
            </w:r>
            <w:r>
              <w:rPr>
                <w:rFonts w:ascii="宋体" w:hAnsi="宋体" w:hint="eastAsia"/>
                <w:sz w:val="18"/>
                <w:szCs w:val="18"/>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rPr>
              <w:t>第二章投标文件格式</w:t>
            </w:r>
            <w:r>
              <w:rPr>
                <w:rFonts w:ascii="宋体" w:hAnsi="宋体" w:hint="eastAsia"/>
                <w:sz w:val="18"/>
                <w:szCs w:val="18"/>
              </w:rPr>
              <w:t>）还应明确中小企业合同金额，且应达到合同总金额的30%以上（小微企业的比例不低于中小企业合同金额的60%），否则投标将被拒绝。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bCs/>
                <w:sz w:val="18"/>
                <w:szCs w:val="18"/>
              </w:rPr>
            </w:pPr>
            <w:r>
              <w:rPr>
                <w:rFonts w:ascii="宋体" w:hAnsi="宋体" w:hint="eastAsia"/>
                <w:bCs/>
                <w:sz w:val="18"/>
                <w:szCs w:val="18"/>
              </w:rPr>
              <w:t>1.6.1</w:t>
            </w:r>
          </w:p>
        </w:tc>
        <w:tc>
          <w:tcPr>
            <w:tcW w:w="7723" w:type="dxa"/>
            <w:vAlign w:val="center"/>
          </w:tcPr>
          <w:p>
            <w:pPr>
              <w:rPr>
                <w:rFonts w:ascii="宋体" w:hAnsi="宋体"/>
                <w:sz w:val="18"/>
                <w:szCs w:val="18"/>
              </w:rPr>
            </w:pPr>
            <w:r>
              <w:rPr>
                <w:rFonts w:ascii="宋体" w:hAnsi="宋体" w:hint="eastAsia"/>
                <w:sz w:val="18"/>
                <w:szCs w:val="18"/>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bCs/>
                <w:sz w:val="18"/>
                <w:szCs w:val="18"/>
              </w:rPr>
              <w:t>1.7.1</w:t>
            </w:r>
          </w:p>
        </w:tc>
        <w:tc>
          <w:tcPr>
            <w:tcW w:w="7723" w:type="dxa"/>
            <w:vAlign w:val="center"/>
          </w:tcPr>
          <w:p>
            <w:pPr>
              <w:tabs>
                <w:tab w:val="left" w:pos="8460"/>
              </w:tabs>
              <w:adjustRightInd w:val="0"/>
              <w:snapToGrid w:val="0"/>
              <w:spacing w:line="360" w:lineRule="auto"/>
              <w:jc w:val="left"/>
              <w:rPr>
                <w:rFonts w:ascii="宋体" w:hAnsi="宋体"/>
                <w:sz w:val="18"/>
                <w:szCs w:val="18"/>
              </w:rPr>
            </w:pPr>
            <w:r>
              <w:rPr>
                <w:rFonts w:ascii="宋体" w:hAnsi="宋体" w:hint="eastAsia"/>
                <w:sz w:val="18"/>
                <w:szCs w:val="18"/>
              </w:rPr>
              <w:t>投标人</w:t>
            </w:r>
            <w:r>
              <w:rPr>
                <w:rFonts w:ascii="宋体" w:hAnsi="宋体" w:hint="eastAsia"/>
                <w:sz w:val="18"/>
                <w:szCs w:val="18"/>
                <w:shd w:val="clear" w:color="auto" w:fill="FFFFFF"/>
              </w:rPr>
              <w:t>有下列情形之一的，属于投标人相互串通投标，按照投标无效处理：</w:t>
            </w:r>
            <w:r>
              <w:rPr>
                <w:rFonts w:ascii="宋体" w:hAnsi="宋体" w:hint="eastAsia"/>
                <w:sz w:val="18"/>
                <w:szCs w:val="18"/>
              </w:rPr>
              <w:t>（1）法定代表人为同一人的投标人，同时参与本次招标相同包的投标；</w:t>
            </w:r>
            <w:r>
              <w:rPr>
                <w:rFonts w:ascii="宋体" w:hAnsi="宋体" w:hint="eastAsia"/>
                <w:sz w:val="18"/>
                <w:szCs w:val="18"/>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rPr>
              <w:t>；（6）</w:t>
            </w:r>
            <w:r>
              <w:rPr>
                <w:rFonts w:ascii="宋体" w:hAnsi="宋体" w:hint="eastAsia"/>
                <w:sz w:val="18"/>
                <w:szCs w:val="18"/>
                <w:shd w:val="clear" w:color="auto" w:fill="FFFFFF"/>
              </w:rPr>
              <w:t>投标人之间为谋取中标或者排斥特定投标人而采取的其他联合行动。</w:t>
            </w:r>
          </w:p>
        </w:tc>
      </w:tr>
      <w:tr>
        <w:tblPrEx>
          <w:tblW w:w="9107" w:type="dxa"/>
          <w:tblLayout w:type="fixed"/>
          <w:tblCellMar>
            <w:top w:w="0" w:type="dxa"/>
            <w:left w:w="108" w:type="dxa"/>
            <w:bottom w:w="0" w:type="dxa"/>
            <w:right w:w="108" w:type="dxa"/>
          </w:tblCellMar>
          <w:tblLook w:val="0000"/>
        </w:tblPrEx>
        <w:trPr>
          <w:cantSplit/>
          <w:trHeight w:val="2274"/>
        </w:trPr>
        <w:tc>
          <w:tcPr>
            <w:tcW w:w="534" w:type="dxa"/>
            <w:vAlign w:val="center"/>
          </w:tcPr>
          <w:p>
            <w:pPr>
              <w:numPr>
                <w:ilvl w:val="0"/>
                <w:numId w:val="3"/>
              </w:numPr>
              <w:spacing w:line="360" w:lineRule="auto"/>
              <w:ind w:left="0" w:firstLine="0"/>
              <w:jc w:val="left"/>
              <w:rPr>
                <w:rFonts w:ascii="宋体" w:hAnsi="宋体"/>
                <w:bCs/>
                <w:sz w:val="18"/>
                <w:szCs w:val="18"/>
              </w:rPr>
            </w:pPr>
          </w:p>
        </w:tc>
        <w:tc>
          <w:tcPr>
            <w:tcW w:w="850" w:type="dxa"/>
            <w:vAlign w:val="center"/>
          </w:tcPr>
          <w:p>
            <w:pPr>
              <w:spacing w:line="360" w:lineRule="auto"/>
              <w:rPr>
                <w:rFonts w:ascii="宋体" w:hAnsi="宋体"/>
                <w:bCs/>
                <w:sz w:val="18"/>
                <w:szCs w:val="18"/>
              </w:rPr>
            </w:pPr>
            <w:r>
              <w:rPr>
                <w:rFonts w:ascii="宋体" w:hAnsi="宋体" w:hint="eastAsia"/>
                <w:bCs/>
                <w:sz w:val="18"/>
                <w:szCs w:val="18"/>
              </w:rPr>
              <w:t>1.7.2</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投标人</w:t>
            </w:r>
            <w:r>
              <w:rPr>
                <w:rFonts w:ascii="宋体" w:hAnsi="宋体" w:hint="eastAsia"/>
                <w:sz w:val="18"/>
                <w:szCs w:val="18"/>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rPr>
              <w:t>（7）不同投标人的投标文件为同一人签字。</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1.7.3</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1.14.2</w:t>
            </w:r>
          </w:p>
        </w:tc>
        <w:tc>
          <w:tcPr>
            <w:tcW w:w="7723" w:type="dxa"/>
            <w:vAlign w:val="center"/>
          </w:tcPr>
          <w:p>
            <w:pPr>
              <w:tabs>
                <w:tab w:val="left" w:pos="5580"/>
              </w:tabs>
              <w:adjustRightInd w:val="0"/>
              <w:snapToGrid w:val="0"/>
              <w:spacing w:line="360" w:lineRule="auto"/>
              <w:jc w:val="left"/>
              <w:rPr>
                <w:rFonts w:ascii="宋体" w:hAnsi="宋体"/>
                <w:sz w:val="18"/>
                <w:szCs w:val="18"/>
              </w:rPr>
            </w:pPr>
            <w:r>
              <w:rPr>
                <w:rFonts w:hint="eastAsia"/>
                <w:sz w:val="18"/>
                <w:szCs w:val="18"/>
              </w:rPr>
              <w:t>投标人未提交全以下商务文件（特别说明除外）：（1）法定代表人身份证明或授权委托书；</w:t>
            </w:r>
            <w:r>
              <w:rPr>
                <w:rFonts w:ascii="宋体" w:hAnsi="宋体" w:hint="eastAsia"/>
                <w:sz w:val="18"/>
                <w:szCs w:val="18"/>
              </w:rPr>
              <w:t>（2）</w:t>
            </w:r>
            <w:r>
              <w:rPr>
                <w:rFonts w:hint="eastAsia"/>
                <w:sz w:val="18"/>
                <w:szCs w:val="18"/>
              </w:rPr>
              <w:t>投标函；</w:t>
            </w:r>
            <w:r>
              <w:rPr>
                <w:rFonts w:ascii="宋体" w:hAnsi="宋体" w:hint="eastAsia"/>
                <w:sz w:val="18"/>
                <w:szCs w:val="18"/>
              </w:rPr>
              <w:t>（</w:t>
            </w:r>
            <w:r>
              <w:rPr>
                <w:rFonts w:hint="eastAsia"/>
                <w:sz w:val="18"/>
                <w:szCs w:val="18"/>
              </w:rPr>
              <w:t>3</w:t>
            </w:r>
            <w:r>
              <w:rPr>
                <w:rFonts w:ascii="宋体" w:hAnsi="宋体" w:hint="eastAsia"/>
                <w:sz w:val="18"/>
                <w:szCs w:val="18"/>
              </w:rPr>
              <w:t>）资格、资信证明文件：</w:t>
            </w:r>
            <w:r>
              <w:rPr>
                <w:rFonts w:ascii="宋体" w:hAnsi="宋体" w:hint="eastAsia"/>
                <w:sz w:val="18"/>
                <w:szCs w:val="18"/>
              </w:rPr>
              <w:t>①</w:t>
            </w:r>
            <w:r>
              <w:rPr>
                <w:rFonts w:ascii="宋体" w:hAnsi="宋体" w:hint="eastAsia"/>
                <w:sz w:val="18"/>
                <w:szCs w:val="18"/>
              </w:rPr>
              <w:t>投标人</w:t>
            </w:r>
            <w:r>
              <w:rPr>
                <w:rFonts w:ascii="宋体" w:hAnsi="宋体"/>
                <w:sz w:val="18"/>
                <w:szCs w:val="18"/>
              </w:rPr>
              <w:t>法人</w:t>
            </w:r>
            <w:r>
              <w:rPr>
                <w:rFonts w:ascii="宋体" w:hAnsi="宋体" w:hint="eastAsia"/>
                <w:sz w:val="18"/>
                <w:szCs w:val="18"/>
              </w:rPr>
              <w:t>资格</w:t>
            </w:r>
            <w:r>
              <w:rPr>
                <w:rFonts w:ascii="宋体" w:hAnsi="宋体"/>
                <w:sz w:val="18"/>
                <w:szCs w:val="18"/>
              </w:rPr>
              <w:t>证明文件</w:t>
            </w:r>
            <w:r>
              <w:rPr>
                <w:rFonts w:hint="eastAsia"/>
                <w:sz w:val="18"/>
                <w:szCs w:val="18"/>
              </w:rPr>
              <w:t>；</w:t>
            </w:r>
            <w:r>
              <w:rPr>
                <w:rFonts w:ascii="宋体" w:hAnsi="宋体" w:hint="eastAsia"/>
                <w:sz w:val="18"/>
                <w:szCs w:val="18"/>
              </w:rPr>
              <w:t>②</w:t>
            </w:r>
            <w:r>
              <w:rPr>
                <w:rFonts w:ascii="宋体" w:hAnsi="宋体" w:hint="eastAsia"/>
                <w:sz w:val="18"/>
                <w:szCs w:val="18"/>
              </w:rPr>
              <w:t>以投标截止日为基准日，近一年内内任何完税凭证或税务部门出具的税收减免证明</w:t>
            </w:r>
            <w:r>
              <w:rPr>
                <w:rFonts w:hint="eastAsia"/>
                <w:sz w:val="18"/>
                <w:szCs w:val="18"/>
              </w:rPr>
              <w:t>；</w:t>
            </w:r>
            <w:r>
              <w:rPr>
                <w:rFonts w:ascii="宋体" w:hAnsi="宋体" w:hint="eastAsia"/>
                <w:sz w:val="18"/>
                <w:szCs w:val="18"/>
              </w:rPr>
              <w:t>③</w:t>
            </w:r>
            <w:r>
              <w:rPr>
                <w:rFonts w:ascii="宋体" w:hAnsi="宋体" w:hint="eastAsia"/>
                <w:sz w:val="18"/>
                <w:szCs w:val="18"/>
              </w:rPr>
              <w:t>以投标截止日为基准日，近一年内的任何一期社会保障资金缴纳凭证</w:t>
            </w:r>
            <w:r>
              <w:rPr>
                <w:rFonts w:hint="eastAsia"/>
                <w:sz w:val="18"/>
                <w:szCs w:val="18"/>
              </w:rPr>
              <w:t>；</w:t>
            </w:r>
            <w:r>
              <w:rPr>
                <w:rFonts w:ascii="宋体" w:hAnsi="宋体" w:hint="eastAsia"/>
                <w:sz w:val="18"/>
                <w:szCs w:val="18"/>
              </w:rPr>
              <w:t>④</w:t>
            </w:r>
            <w:r>
              <w:rPr>
                <w:rFonts w:ascii="宋体" w:hAnsi="宋体" w:hint="eastAsia"/>
                <w:sz w:val="18"/>
                <w:szCs w:val="18"/>
              </w:rPr>
              <w:t>财务状况证明</w:t>
            </w:r>
            <w:r>
              <w:rPr>
                <w:rFonts w:hint="eastAsia"/>
                <w:sz w:val="18"/>
                <w:szCs w:val="18"/>
              </w:rPr>
              <w:t>；</w:t>
            </w:r>
            <w:r>
              <w:rPr>
                <w:rFonts w:ascii="宋体" w:hAnsi="宋体" w:hint="eastAsia"/>
                <w:sz w:val="18"/>
                <w:szCs w:val="18"/>
              </w:rPr>
              <w:t>⑤</w:t>
            </w:r>
            <w:r>
              <w:rPr>
                <w:rFonts w:ascii="宋体" w:hAnsi="宋体" w:hint="eastAsia"/>
                <w:sz w:val="18"/>
                <w:szCs w:val="18"/>
              </w:rPr>
              <w:t>近三年内参加政府采购活动中没有重大违法记录声明</w:t>
            </w:r>
            <w:r>
              <w:rPr>
                <w:rFonts w:hint="eastAsia"/>
                <w:sz w:val="18"/>
                <w:szCs w:val="18"/>
              </w:rPr>
              <w:t>；</w:t>
            </w:r>
            <w:r>
              <w:rPr>
                <w:rFonts w:ascii="宋体" w:hAnsi="宋体" w:hint="eastAsia"/>
                <w:sz w:val="18"/>
                <w:szCs w:val="18"/>
              </w:rPr>
              <w:t>⑥</w:t>
            </w:r>
            <w:r>
              <w:rPr>
                <w:rFonts w:ascii="宋体" w:hAnsi="宋体" w:hint="eastAsia"/>
                <w:bCs/>
                <w:sz w:val="18"/>
                <w:szCs w:val="18"/>
              </w:rPr>
              <w:t>投标货物的《</w:t>
            </w:r>
            <w:r>
              <w:rPr>
                <w:rFonts w:hint="eastAsia"/>
                <w:sz w:val="18"/>
                <w:szCs w:val="18"/>
              </w:rPr>
              <w:t>气象专用技术装备使用许可证》</w:t>
            </w:r>
            <w:r>
              <w:rPr>
                <w:rFonts w:ascii="宋体" w:hAnsi="宋体" w:hint="eastAsia"/>
                <w:sz w:val="18"/>
                <w:szCs w:val="18"/>
              </w:rPr>
              <w:t>（投标</w:t>
            </w:r>
            <w:r>
              <w:rPr>
                <w:rFonts w:hint="eastAsia"/>
                <w:sz w:val="18"/>
                <w:szCs w:val="18"/>
              </w:rPr>
              <w:t>货物不必须取得《气象专用技术装备使用许可证》的，可以不提供）</w:t>
            </w:r>
            <w:r>
              <w:rPr>
                <w:rFonts w:ascii="宋体" w:hAnsi="宋体" w:hint="eastAsia"/>
                <w:sz w:val="18"/>
                <w:szCs w:val="18"/>
              </w:rPr>
              <w:t>；</w:t>
            </w:r>
            <w:r>
              <w:rPr>
                <w:rFonts w:ascii="宋体" w:hAnsi="宋体" w:hint="eastAsia"/>
                <w:sz w:val="18"/>
                <w:szCs w:val="18"/>
              </w:rPr>
              <w:t>⑦</w:t>
            </w:r>
            <w:r>
              <w:rPr>
                <w:rFonts w:ascii="宋体" w:hAnsi="宋体" w:hint="eastAsia"/>
                <w:sz w:val="18"/>
                <w:szCs w:val="18"/>
              </w:rPr>
              <w:t>进口产品制造商授权书（投标货物不是进口产品的，不提供）；</w:t>
            </w:r>
            <w:r>
              <w:rPr>
                <w:rFonts w:ascii="宋体" w:hAnsi="宋体" w:hint="eastAsia"/>
                <w:bCs/>
                <w:sz w:val="18"/>
                <w:szCs w:val="18"/>
              </w:rPr>
              <w:t>⑧</w:t>
            </w:r>
            <w:r>
              <w:rPr>
                <w:rFonts w:ascii="宋体" w:hAnsi="宋体" w:hint="eastAsia"/>
                <w:sz w:val="18"/>
                <w:szCs w:val="18"/>
              </w:rPr>
              <w:t>中小</w:t>
            </w:r>
            <w:r>
              <w:rPr>
                <w:rFonts w:ascii="宋体" w:hAnsi="宋体"/>
                <w:sz w:val="18"/>
                <w:szCs w:val="18"/>
              </w:rPr>
              <w:t>企业声明函</w:t>
            </w:r>
            <w:r>
              <w:rPr>
                <w:rFonts w:ascii="宋体" w:hAnsi="宋体" w:hint="eastAsia"/>
                <w:sz w:val="18"/>
                <w:szCs w:val="18"/>
              </w:rPr>
              <w:t>或残疾人福利</w:t>
            </w:r>
            <w:r>
              <w:rPr>
                <w:rFonts w:hint="eastAsia"/>
                <w:bCs/>
                <w:sz w:val="18"/>
                <w:szCs w:val="18"/>
              </w:rPr>
              <w:t>性单位声明函或监狱企业证明文件（不是预留采购份额面向中小企业采购的项目，可以不提供，但不能享受可能的价格扣除优惠）；</w:t>
            </w:r>
            <w:r>
              <w:rPr>
                <w:rFonts w:ascii="宋体" w:hAnsi="宋体" w:hint="eastAsia"/>
                <w:sz w:val="18"/>
                <w:szCs w:val="18"/>
              </w:rPr>
              <w:t>⑨</w:t>
            </w:r>
            <w:r>
              <w:rPr>
                <w:rFonts w:ascii="宋体" w:hAnsi="宋体" w:hint="eastAsia"/>
                <w:sz w:val="18"/>
                <w:szCs w:val="18"/>
              </w:rPr>
              <w:t>联合体协议（如有）；</w:t>
            </w:r>
            <w:r>
              <w:rPr>
                <w:rFonts w:ascii="微软雅黑" w:eastAsia="微软雅黑" w:hAnsi="微软雅黑" w:hint="eastAsia"/>
                <w:sz w:val="18"/>
                <w:szCs w:val="18"/>
              </w:rPr>
              <w:t>⑩</w:t>
            </w:r>
            <w:r>
              <w:rPr>
                <w:rFonts w:ascii="宋体" w:hAnsi="宋体" w:hint="eastAsia"/>
                <w:sz w:val="18"/>
                <w:szCs w:val="18"/>
              </w:rPr>
              <w:t>分包意向协议（如有）；</w:t>
            </w:r>
            <w:r>
              <w:rPr>
                <w:rFonts w:ascii="宋体" w:hAnsi="宋体"/>
                <w:sz w:val="18"/>
                <w:szCs w:val="18"/>
              </w:rPr>
              <w:fldChar w:fldCharType="begin"/>
            </w:r>
            <w:r>
              <w:rPr>
                <w:rFonts w:ascii="宋体" w:hAnsi="宋体"/>
                <w:sz w:val="18"/>
                <w:szCs w:val="18"/>
              </w:rPr>
              <w:instrText xml:space="preserve"> </w:instrText>
            </w:r>
            <w:r>
              <w:rPr>
                <w:rFonts w:ascii="宋体" w:hAnsi="宋体" w:hint="eastAsia"/>
                <w:sz w:val="18"/>
                <w:szCs w:val="18"/>
              </w:rPr>
              <w:instrText>eq \o\ac(</w:instrText>
            </w:r>
            <w:r>
              <w:rPr>
                <w:rFonts w:ascii="宋体" w:hAnsi="宋体" w:hint="eastAsia"/>
                <w:sz w:val="18"/>
                <w:szCs w:val="18"/>
              </w:rPr>
              <w:instrText>○</w:instrText>
            </w:r>
            <w:r>
              <w:rPr>
                <w:rFonts w:ascii="宋体" w:hAnsi="宋体" w:hint="eastAsia"/>
                <w:sz w:val="18"/>
                <w:szCs w:val="18"/>
              </w:rPr>
              <w:instrText>,</w:instrText>
            </w:r>
            <w:r>
              <w:rPr>
                <w:rFonts w:ascii="微软雅黑" w:hAnsi="宋体" w:hint="eastAsia"/>
                <w:position w:val="3"/>
                <w:sz w:val="6"/>
                <w:szCs w:val="18"/>
              </w:rPr>
              <w:instrText>11</w:instrText>
            </w:r>
            <w:r>
              <w:rPr>
                <w:rFonts w:ascii="宋体" w:hAnsi="宋体" w:hint="eastAsia"/>
                <w:sz w:val="18"/>
                <w:szCs w:val="18"/>
              </w:rPr>
              <w:instrText>)</w:instrText>
            </w:r>
            <w:r>
              <w:rPr>
                <w:rFonts w:ascii="宋体" w:hAnsi="宋体"/>
                <w:sz w:val="18"/>
                <w:szCs w:val="18"/>
              </w:rPr>
              <w:fldChar w:fldCharType="separate"/>
            </w:r>
            <w:r>
              <w:rPr>
                <w:rFonts w:ascii="宋体" w:hAnsi="宋体"/>
                <w:sz w:val="18"/>
                <w:szCs w:val="18"/>
              </w:rPr>
              <w:fldChar w:fldCharType="end"/>
            </w:r>
            <w:r>
              <w:rPr>
                <w:rFonts w:hint="eastAsia"/>
                <w:sz w:val="18"/>
                <w:szCs w:val="18"/>
              </w:rPr>
              <w:t>按照</w:t>
            </w:r>
            <w:r>
              <w:rPr>
                <w:rFonts w:hint="eastAsia"/>
                <w:b/>
                <w:sz w:val="18"/>
                <w:szCs w:val="18"/>
              </w:rPr>
              <w:t>第五章投标人须知专用部分5.2条</w:t>
            </w:r>
            <w:r>
              <w:rPr>
                <w:rFonts w:hint="eastAsia"/>
                <w:sz w:val="18"/>
                <w:szCs w:val="18"/>
              </w:rPr>
              <w:t>规定应提交的特殊资质条件证明文件。</w:t>
            </w:r>
            <w:r>
              <w:rPr>
                <w:rFonts w:ascii="宋体" w:hAnsi="宋体" w:hint="eastAsia"/>
                <w:sz w:val="18"/>
                <w:szCs w:val="18"/>
              </w:rPr>
              <w:t>（4）银行保函或投标保证金说明函（本项目不要求提交投标保证金的不提供）。（5）</w:t>
            </w:r>
            <w:r>
              <w:rPr>
                <w:rFonts w:hint="eastAsia"/>
                <w:sz w:val="18"/>
                <w:szCs w:val="18"/>
              </w:rPr>
              <w:t>按照</w:t>
            </w:r>
            <w:r>
              <w:rPr>
                <w:rFonts w:hint="eastAsia"/>
                <w:b/>
                <w:sz w:val="18"/>
                <w:szCs w:val="18"/>
              </w:rPr>
              <w:t>第五章投标人须知专用部分5.13条</w:t>
            </w:r>
            <w:r>
              <w:rPr>
                <w:rFonts w:hint="eastAsia"/>
                <w:sz w:val="18"/>
                <w:szCs w:val="18"/>
              </w:rPr>
              <w:t>规定应提交的其他商务文件。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1.14.3</w:t>
            </w:r>
          </w:p>
        </w:tc>
        <w:tc>
          <w:tcPr>
            <w:tcW w:w="7723" w:type="dxa"/>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sz w:val="18"/>
                <w:szCs w:val="18"/>
              </w:rPr>
            </w:pPr>
            <w:r>
              <w:rPr>
                <w:rFonts w:hint="eastAsia"/>
                <w:sz w:val="18"/>
                <w:szCs w:val="18"/>
              </w:rPr>
              <w:t>投标人未提交全以下技术文件：1、开标一览表；2、分项报价表；3、技术要求偏离表；4、</w:t>
            </w:r>
          </w:p>
          <w:p>
            <w:pPr>
              <w:pStyle w:val="10"/>
              <w:numPr>
                <w:ilvl w:val="0"/>
                <w:numId w:val="0"/>
              </w:numPr>
              <w:tabs>
                <w:tab w:val="left" w:pos="709"/>
                <w:tab w:val="left" w:pos="1573"/>
              </w:tabs>
              <w:adjustRightInd w:val="0"/>
              <w:snapToGrid w:val="0"/>
              <w:spacing w:line="360" w:lineRule="auto"/>
              <w:ind w:left="707" w:hanging="707" w:hangingChars="393"/>
              <w:jc w:val="left"/>
              <w:rPr>
                <w:sz w:val="18"/>
                <w:szCs w:val="18"/>
              </w:rPr>
            </w:pPr>
            <w:r>
              <w:rPr>
                <w:rFonts w:hint="eastAsia"/>
                <w:sz w:val="18"/>
                <w:szCs w:val="18"/>
              </w:rPr>
              <w:t>按照</w:t>
            </w:r>
            <w:r>
              <w:rPr>
                <w:rFonts w:hint="eastAsia"/>
                <w:b/>
                <w:sz w:val="18"/>
                <w:szCs w:val="18"/>
              </w:rPr>
              <w:t>第五章投标人须知专用部分5.13条</w:t>
            </w:r>
            <w:r>
              <w:rPr>
                <w:rFonts w:hint="eastAsia"/>
                <w:sz w:val="18"/>
                <w:szCs w:val="18"/>
              </w:rPr>
              <w:t>规定应提交的其他技术文件。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sz w:val="18"/>
                <w:szCs w:val="18"/>
              </w:rPr>
            </w:pPr>
            <w:r>
              <w:rPr>
                <w:rFonts w:ascii="宋体" w:hAnsi="宋体" w:hint="eastAsia"/>
                <w:sz w:val="18"/>
                <w:szCs w:val="18"/>
              </w:rPr>
              <w:t>1.15.2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rFonts w:hint="eastAsia"/>
                <w:sz w:val="18"/>
                <w:szCs w:val="18"/>
              </w:rPr>
            </w:pPr>
            <w:r>
              <w:rPr>
                <w:rFonts w:hint="eastAsia"/>
                <w:sz w:val="18"/>
                <w:szCs w:val="18"/>
              </w:rPr>
              <w:t>投标文件的盖章、签字等签署要求见1.2.8条。其中</w:t>
            </w:r>
            <w:r>
              <w:rPr>
                <w:rFonts w:hint="eastAsia"/>
                <w:sz w:val="18"/>
                <w:szCs w:val="18"/>
              </w:rPr>
              <w:t>“</w:t>
            </w:r>
            <w:r>
              <w:rPr>
                <w:rFonts w:hint="eastAsia"/>
                <w:sz w:val="18"/>
                <w:szCs w:val="18"/>
              </w:rPr>
              <w:t>投标函</w:t>
            </w:r>
            <w:r>
              <w:rPr>
                <w:rFonts w:hint="eastAsia"/>
                <w:sz w:val="18"/>
                <w:szCs w:val="18"/>
              </w:rPr>
              <w:t>”</w:t>
            </w:r>
            <w:r>
              <w:rPr>
                <w:rFonts w:hint="eastAsia"/>
                <w:sz w:val="18"/>
                <w:szCs w:val="18"/>
              </w:rPr>
              <w:t>及</w:t>
            </w:r>
            <w:r>
              <w:rPr>
                <w:rFonts w:hint="eastAsia"/>
                <w:sz w:val="18"/>
                <w:szCs w:val="18"/>
              </w:rPr>
              <w:t>“</w:t>
            </w:r>
            <w:r>
              <w:rPr>
                <w:rFonts w:hint="eastAsia"/>
                <w:sz w:val="18"/>
                <w:szCs w:val="18"/>
              </w:rPr>
              <w:t>法定代表人授权委托书</w:t>
            </w:r>
            <w:r>
              <w:rPr>
                <w:rFonts w:hint="eastAsia"/>
                <w:sz w:val="18"/>
                <w:szCs w:val="18"/>
              </w:rPr>
              <w:t>”</w:t>
            </w:r>
            <w:r>
              <w:rPr>
                <w:rFonts w:hint="eastAsia"/>
                <w:sz w:val="18"/>
                <w:szCs w:val="18"/>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在进行电子签章。不符合规定的文件将被</w:t>
            </w:r>
            <w:r>
              <w:rPr>
                <w:rFonts w:eastAsia="拒绝"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1.16.3</w:t>
            </w:r>
          </w:p>
        </w:tc>
        <w:tc>
          <w:tcPr>
            <w:tcW w:w="7723" w:type="dxa"/>
            <w:vAlign w:val="center"/>
          </w:tcPr>
          <w:p>
            <w:pPr>
              <w:tabs>
                <w:tab w:val="left" w:pos="1573"/>
              </w:tabs>
              <w:adjustRightInd w:val="0"/>
              <w:snapToGrid w:val="0"/>
              <w:spacing w:line="360" w:lineRule="auto"/>
              <w:rPr>
                <w:rFonts w:ascii="宋体" w:hAnsi="宋体"/>
                <w:sz w:val="18"/>
                <w:szCs w:val="18"/>
              </w:rPr>
            </w:pPr>
            <w:r>
              <w:rPr>
                <w:rFonts w:ascii="宋体" w:hAnsi="宋体" w:hint="eastAsia"/>
                <w:bCs/>
                <w:sz w:val="18"/>
                <w:szCs w:val="18"/>
              </w:rPr>
              <w:t>如本项目</w:t>
            </w:r>
            <w:r>
              <w:rPr>
                <w:rFonts w:ascii="宋体" w:hAnsi="宋体" w:hint="eastAsia"/>
                <w:sz w:val="18"/>
                <w:szCs w:val="18"/>
              </w:rPr>
              <w:t>要求投标人提供投标保证金，</w:t>
            </w:r>
            <w:r>
              <w:rPr>
                <w:rFonts w:hint="eastAsia"/>
                <w:sz w:val="18"/>
                <w:szCs w:val="18"/>
              </w:rPr>
              <w:t>投标人未提供，或者</w:t>
            </w:r>
            <w:r>
              <w:rPr>
                <w:rFonts w:ascii="宋体" w:hAnsi="宋体" w:hint="eastAsia"/>
                <w:sz w:val="18"/>
                <w:szCs w:val="18"/>
              </w:rPr>
              <w:t>提交的投标保证金的有效期限少于投标有效期，或所提交保证金金额小于本项目应提供投标保证金额</w:t>
            </w:r>
            <w:r>
              <w:rPr>
                <w:rFonts w:ascii="宋体" w:hAnsi="宋体" w:hint="eastAsia"/>
                <w:bCs/>
                <w:sz w:val="18"/>
                <w:szCs w:val="18"/>
              </w:rPr>
              <w:t>的</w:t>
            </w:r>
            <w:r>
              <w:rPr>
                <w:rFonts w:ascii="宋体" w:hAnsi="宋体" w:hint="eastAsia"/>
                <w:sz w:val="18"/>
                <w:szCs w:val="18"/>
              </w:rPr>
              <w:t>投标人，其投标将被</w:t>
            </w:r>
            <w:r>
              <w:rPr>
                <w:rFonts w:ascii="宋体" w:hAnsi="宋体" w:hint="eastAsia"/>
                <w:b/>
                <w:sz w:val="18"/>
                <w:szCs w:val="18"/>
              </w:rPr>
              <w:t>拒绝</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1.17.2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sz w:val="18"/>
                <w:szCs w:val="18"/>
              </w:rPr>
            </w:pPr>
            <w:r>
              <w:rPr>
                <w:rFonts w:hint="eastAsia"/>
                <w:sz w:val="18"/>
                <w:szCs w:val="18"/>
              </w:rPr>
              <w:t>本项目的采购预算（或最高限价）详见</w:t>
            </w:r>
            <w:r>
              <w:rPr>
                <w:rFonts w:hint="eastAsia"/>
                <w:b/>
                <w:bCs/>
                <w:sz w:val="18"/>
                <w:szCs w:val="18"/>
              </w:rPr>
              <w:t>第五章投标人须知专用部分。</w:t>
            </w:r>
            <w:r>
              <w:rPr>
                <w:rFonts w:hint="eastAsia"/>
                <w:bCs/>
                <w:sz w:val="18"/>
                <w:szCs w:val="18"/>
              </w:rPr>
              <w:t>投标人应有明确报价，</w:t>
            </w:r>
            <w:r>
              <w:rPr>
                <w:rFonts w:hint="eastAsia"/>
                <w:sz w:val="18"/>
                <w:szCs w:val="18"/>
              </w:rPr>
              <w:t>不接受无报价投标和有选择的报价以及有条件的优惠报价，且</w:t>
            </w:r>
            <w:r>
              <w:rPr>
                <w:rFonts w:hint="eastAsia"/>
                <w:bCs/>
                <w:sz w:val="18"/>
                <w:szCs w:val="18"/>
              </w:rPr>
              <w:t>报价未超过采购预算（或最高限价），否则投标将被</w:t>
            </w:r>
            <w:r>
              <w:rPr>
                <w:rFonts w:hint="eastAsia"/>
                <w:b/>
                <w:bCs/>
                <w:sz w:val="18"/>
                <w:szCs w:val="18"/>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1.17.4</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开标一览表有以下情况之一的，将导致投标被</w:t>
            </w:r>
            <w:r>
              <w:rPr>
                <w:rFonts w:ascii="宋体" w:hAnsi="宋体" w:hint="eastAsia"/>
                <w:b/>
                <w:sz w:val="18"/>
                <w:szCs w:val="18"/>
              </w:rPr>
              <w:t>拒绝</w:t>
            </w:r>
            <w:r>
              <w:rPr>
                <w:rFonts w:ascii="宋体" w:hAnsi="宋体" w:hint="eastAsia"/>
                <w:sz w:val="18"/>
                <w:szCs w:val="18"/>
              </w:rPr>
              <w:t>且不允许在开标后补正：（1）投标人投报多包时，未按包分别填写开标一览表的；（2）未填写投标总价的；（3）未填写投标总价大写金额的。</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1.18</w:t>
            </w:r>
          </w:p>
        </w:tc>
        <w:tc>
          <w:tcPr>
            <w:tcW w:w="7723" w:type="dxa"/>
            <w:vAlign w:val="center"/>
          </w:tcPr>
          <w:p>
            <w:pPr>
              <w:tabs>
                <w:tab w:val="left" w:pos="1480"/>
              </w:tabs>
              <w:adjustRightInd w:val="0"/>
              <w:snapToGrid w:val="0"/>
              <w:spacing w:line="360" w:lineRule="auto"/>
              <w:rPr>
                <w:rFonts w:ascii="宋体" w:hAnsi="宋体"/>
                <w:sz w:val="18"/>
                <w:szCs w:val="18"/>
                <w:lang w:val="zh-CN"/>
              </w:rPr>
            </w:pPr>
            <w:r>
              <w:rPr>
                <w:rFonts w:ascii="宋体" w:hAnsi="宋体" w:hint="eastAsia"/>
                <w:sz w:val="18"/>
                <w:szCs w:val="18"/>
              </w:rPr>
              <w:t>本项目是否允许投标人将项目的非主体、非关键性工作交由他人完成详见</w:t>
            </w:r>
            <w:r>
              <w:rPr>
                <w:rFonts w:ascii="宋体" w:hAnsi="宋体" w:hint="eastAsia"/>
                <w:b/>
                <w:bCs/>
                <w:sz w:val="18"/>
                <w:szCs w:val="18"/>
              </w:rPr>
              <w:t>第五章投标人须知专用部分</w:t>
            </w:r>
            <w:r>
              <w:rPr>
                <w:rFonts w:ascii="宋体" w:hAnsi="宋体" w:hint="eastAsia"/>
                <w:sz w:val="18"/>
                <w:szCs w:val="18"/>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lang w:val="zh-CN"/>
              </w:rPr>
              <w:t>不符合招标文件中有关分包规定的，其投标将被</w:t>
            </w:r>
            <w:r>
              <w:rPr>
                <w:rFonts w:ascii="宋体" w:hAnsi="宋体" w:hint="eastAsia"/>
                <w:b/>
                <w:sz w:val="18"/>
                <w:szCs w:val="18"/>
                <w:lang w:val="zh-CN"/>
              </w:rPr>
              <w:t>拒绝</w:t>
            </w:r>
            <w:r>
              <w:rPr>
                <w:rFonts w:ascii="宋体" w:hAnsi="宋体" w:hint="eastAsia"/>
                <w:sz w:val="18"/>
                <w:szCs w:val="18"/>
                <w:lang w:val="zh-CN"/>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1.20.1</w:t>
            </w:r>
          </w:p>
        </w:tc>
        <w:tc>
          <w:tcPr>
            <w:tcW w:w="7723" w:type="dxa"/>
            <w:vAlign w:val="center"/>
          </w:tcPr>
          <w:p>
            <w:pPr>
              <w:rPr>
                <w:rFonts w:ascii="宋体" w:hAnsi="宋体"/>
                <w:sz w:val="18"/>
                <w:szCs w:val="18"/>
              </w:rPr>
            </w:pPr>
            <w:r>
              <w:rPr>
                <w:rFonts w:ascii="宋体" w:hAnsi="宋体" w:hint="eastAsia"/>
                <w:sz w:val="18"/>
                <w:szCs w:val="18"/>
              </w:rPr>
              <w:t>本项目投标有效期详见</w:t>
            </w:r>
            <w:r>
              <w:rPr>
                <w:rFonts w:ascii="宋体" w:hAnsi="宋体" w:cs="Arial" w:hint="eastAsia"/>
                <w:b/>
                <w:sz w:val="18"/>
                <w:szCs w:val="18"/>
              </w:rPr>
              <w:t>第五章投标人须知专用部分</w:t>
            </w:r>
            <w:r>
              <w:rPr>
                <w:rFonts w:ascii="宋体" w:hAnsi="宋体" w:hint="eastAsia"/>
                <w:sz w:val="18"/>
                <w:szCs w:val="18"/>
              </w:rPr>
              <w:t>。有效期短于该规定期限的投标将被拒绝。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sz w:val="18"/>
                <w:szCs w:val="18"/>
              </w:rPr>
            </w:pPr>
            <w:r>
              <w:rPr>
                <w:rFonts w:ascii="宋体" w:hAnsi="宋体" w:hint="eastAsia"/>
                <w:sz w:val="18"/>
                <w:szCs w:val="18"/>
              </w:rPr>
              <w:t>1.26.5</w:t>
            </w:r>
          </w:p>
        </w:tc>
        <w:tc>
          <w:tcPr>
            <w:tcW w:w="7723" w:type="dxa"/>
            <w:vAlign w:val="center"/>
          </w:tcPr>
          <w:p>
            <w:pPr>
              <w:rPr>
                <w:rFonts w:ascii="宋体" w:hAnsi="宋体" w:hint="eastAsia"/>
                <w:sz w:val="18"/>
                <w:szCs w:val="18"/>
                <w:lang w:val="zh-CN"/>
              </w:rPr>
            </w:pPr>
            <w:r>
              <w:rPr>
                <w:rFonts w:hint="eastAsia"/>
                <w:sz w:val="18"/>
                <w:szCs w:val="18"/>
              </w:rPr>
              <w:t>投标文件实质上没有响应招标文件的要求，评标委员会将予以</w:t>
            </w:r>
            <w:r>
              <w:rPr>
                <w:rFonts w:eastAsia="拒绝"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1.26.8</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1.26.9</w:t>
            </w:r>
          </w:p>
        </w:tc>
        <w:tc>
          <w:tcPr>
            <w:tcW w:w="7723" w:type="dxa"/>
            <w:vAlign w:val="center"/>
          </w:tcPr>
          <w:p>
            <w:pPr>
              <w:adjustRightInd w:val="0"/>
              <w:snapToGrid w:val="0"/>
              <w:spacing w:line="360" w:lineRule="auto"/>
              <w:rPr>
                <w:rFonts w:ascii="宋体" w:hAnsi="宋体"/>
                <w:sz w:val="18"/>
                <w:szCs w:val="18"/>
              </w:rPr>
            </w:pPr>
            <w:r>
              <w:rPr>
                <w:rFonts w:ascii="宋体" w:hAnsi="宋体" w:hint="eastAsia"/>
                <w:sz w:val="18"/>
                <w:szCs w:val="18"/>
              </w:rPr>
              <w:t>如发现下列情况之一的，其投标属于非实质响应招标文件要求，其投标将被</w:t>
            </w:r>
            <w:r>
              <w:rPr>
                <w:rFonts w:ascii="宋体" w:hAnsi="宋体" w:hint="eastAsia"/>
                <w:b/>
                <w:sz w:val="18"/>
                <w:szCs w:val="18"/>
              </w:rPr>
              <w:t>拒绝</w:t>
            </w:r>
            <w:r>
              <w:rPr>
                <w:rFonts w:ascii="宋体" w:hAnsi="宋体" w:hint="eastAsia"/>
                <w:sz w:val="18"/>
                <w:szCs w:val="18"/>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1.27.2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rPr>
              <w:t>拒绝</w:t>
            </w:r>
            <w:r>
              <w:rPr>
                <w:rFonts w:hint="eastAsia"/>
                <w:sz w:val="18"/>
                <w:szCs w:val="18"/>
              </w:rPr>
              <w:t>该投标。</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eastAsia="宋体" w:hAnsi="宋体" w:cs="Times New Roman" w:hint="eastAsia"/>
                <w:kern w:val="2"/>
                <w:sz w:val="18"/>
                <w:szCs w:val="18"/>
                <w:lang w:val="en-US" w:eastAsia="zh-CN" w:bidi="ar-SA"/>
              </w:rPr>
              <w:t>1.27.4</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eastAsia="宋体" w:cs="Times New Roman" w:hint="eastAsia"/>
                <w:sz w:val="18"/>
                <w:szCs w:val="18"/>
              </w:rPr>
              <w:t>评标委员会启动异常低价投标审查后，如相关供应商不能提供书面说明、证明材料，或者提供的书面说明、证明材料不能证明其报价合理性的，评标委员会应当将其作为无效投标处理。</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1.30.1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在评审期间，投标人企图影响采购人、采购中心、评标委员会的任何活动，将导致投标被</w:t>
            </w:r>
            <w:r>
              <w:rPr>
                <w:rFonts w:hint="eastAsia"/>
                <w:b/>
                <w:sz w:val="18"/>
                <w:szCs w:val="18"/>
              </w:rPr>
              <w:t>拒绝</w:t>
            </w:r>
            <w:r>
              <w:rPr>
                <w:rFonts w:hint="eastAsia"/>
                <w:sz w:val="18"/>
                <w:szCs w:val="18"/>
              </w:rPr>
              <w:t>，并由其承担相应的法律责任。</w:t>
            </w:r>
          </w:p>
        </w:tc>
      </w:tr>
      <w:tr>
        <w:tblPrEx>
          <w:tblW w:w="9107" w:type="dxa"/>
          <w:tblLayout w:type="fixed"/>
          <w:tblCellMar>
            <w:top w:w="0" w:type="dxa"/>
            <w:left w:w="108" w:type="dxa"/>
            <w:bottom w:w="0" w:type="dxa"/>
            <w:right w:w="108" w:type="dxa"/>
          </w:tblCellMar>
          <w:tblLook w:val="0000"/>
        </w:tblPrEx>
        <w:trPr>
          <w:cantSplit/>
          <w:trHeight w:val="376"/>
        </w:trPr>
        <w:tc>
          <w:tcPr>
            <w:tcW w:w="9107" w:type="dxa"/>
            <w:gridSpan w:val="3"/>
            <w:vAlign w:val="center"/>
          </w:tcPr>
          <w:p>
            <w:pPr>
              <w:jc w:val="center"/>
              <w:rPr>
                <w:rFonts w:ascii="宋体" w:hAnsi="宋体"/>
                <w:b/>
                <w:sz w:val="18"/>
                <w:szCs w:val="18"/>
                <w:lang w:val="zh-CN"/>
              </w:rPr>
            </w:pPr>
            <w:r>
              <w:rPr>
                <w:rFonts w:ascii="宋体" w:hAnsi="宋体" w:hint="eastAsia"/>
                <w:b/>
                <w:sz w:val="18"/>
                <w:szCs w:val="18"/>
              </w:rPr>
              <w:t>第二章 投标文件格式</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2.6</w:t>
            </w:r>
          </w:p>
        </w:tc>
        <w:tc>
          <w:tcPr>
            <w:tcW w:w="7723" w:type="dxa"/>
            <w:vAlign w:val="center"/>
          </w:tcPr>
          <w:p>
            <w:pPr>
              <w:rPr>
                <w:sz w:val="18"/>
                <w:szCs w:val="18"/>
                <w:lang w:val="zh-CN"/>
              </w:rPr>
            </w:pPr>
            <w:r>
              <w:rPr>
                <w:rFonts w:hint="eastAsia"/>
                <w:b/>
                <w:sz w:val="18"/>
                <w:szCs w:val="18"/>
              </w:rPr>
              <w:t>法定代表人身份证明或授权委托书。</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2.7</w:t>
            </w:r>
          </w:p>
        </w:tc>
        <w:tc>
          <w:tcPr>
            <w:tcW w:w="7723" w:type="dxa"/>
            <w:vAlign w:val="center"/>
          </w:tcPr>
          <w:p>
            <w:pPr>
              <w:rPr>
                <w:sz w:val="18"/>
                <w:szCs w:val="18"/>
              </w:rPr>
            </w:pPr>
            <w:r>
              <w:rPr>
                <w:rFonts w:ascii="宋体" w:hAnsi="宋体" w:hint="eastAsia"/>
                <w:b/>
                <w:sz w:val="18"/>
                <w:szCs w:val="18"/>
              </w:rPr>
              <w:t>投标函。</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2.10.5</w:t>
            </w:r>
          </w:p>
        </w:tc>
        <w:tc>
          <w:tcPr>
            <w:tcW w:w="7723" w:type="dxa"/>
            <w:vAlign w:val="center"/>
          </w:tcPr>
          <w:p>
            <w:pPr>
              <w:pStyle w:val="10"/>
              <w:numPr>
                <w:ilvl w:val="0"/>
                <w:numId w:val="0"/>
              </w:numPr>
              <w:tabs>
                <w:tab w:val="left" w:pos="709"/>
                <w:tab w:val="left" w:pos="1573"/>
              </w:tabs>
              <w:adjustRightInd w:val="0"/>
              <w:snapToGrid w:val="0"/>
              <w:spacing w:line="360" w:lineRule="auto"/>
              <w:jc w:val="left"/>
              <w:rPr>
                <w:b/>
                <w:sz w:val="18"/>
                <w:szCs w:val="18"/>
              </w:rPr>
            </w:pPr>
            <w:r>
              <w:rPr>
                <w:rFonts w:hint="eastAsia"/>
                <w:b/>
                <w:sz w:val="18"/>
                <w:szCs w:val="18"/>
              </w:rPr>
              <w:t>参加政府采购活动前三年内，在经营活动中没有重大违法记录的声明。</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hint="eastAsia"/>
                <w:sz w:val="18"/>
                <w:szCs w:val="18"/>
              </w:rPr>
            </w:pPr>
            <w:r>
              <w:rPr>
                <w:rFonts w:ascii="宋体" w:hAnsi="宋体" w:hint="eastAsia"/>
                <w:sz w:val="18"/>
                <w:szCs w:val="18"/>
              </w:rPr>
              <w:t>2.10.9</w:t>
            </w:r>
          </w:p>
        </w:tc>
        <w:tc>
          <w:tcPr>
            <w:tcW w:w="7723" w:type="dxa"/>
            <w:vAlign w:val="center"/>
          </w:tcPr>
          <w:p>
            <w:pPr>
              <w:pStyle w:val="10"/>
              <w:numPr>
                <w:ilvl w:val="0"/>
                <w:numId w:val="0"/>
              </w:numPr>
              <w:tabs>
                <w:tab w:val="left" w:pos="709"/>
                <w:tab w:val="left" w:pos="1573"/>
              </w:tabs>
              <w:adjustRightInd w:val="0"/>
              <w:snapToGrid w:val="0"/>
              <w:spacing w:line="360" w:lineRule="auto"/>
              <w:jc w:val="left"/>
              <w:outlineLvl w:val="4"/>
              <w:rPr>
                <w:rFonts w:hint="eastAsia"/>
                <w:sz w:val="18"/>
                <w:szCs w:val="18"/>
              </w:rPr>
            </w:pPr>
            <w:r>
              <w:rPr>
                <w:rFonts w:hint="eastAsia"/>
                <w:b/>
                <w:sz w:val="18"/>
                <w:szCs w:val="18"/>
              </w:rPr>
              <w:t>中</w:t>
            </w:r>
            <w:r>
              <w:rPr>
                <w:b/>
                <w:sz w:val="18"/>
                <w:szCs w:val="18"/>
              </w:rPr>
              <w:t>小企业声明函</w:t>
            </w:r>
            <w:r>
              <w:rPr>
                <w:rFonts w:hint="eastAsia"/>
                <w:b/>
                <w:sz w:val="18"/>
                <w:szCs w:val="18"/>
              </w:rPr>
              <w:t>、</w:t>
            </w:r>
            <w:r>
              <w:rPr>
                <w:rFonts w:hint="eastAsia"/>
                <w:b/>
                <w:bCs/>
                <w:sz w:val="18"/>
                <w:szCs w:val="18"/>
              </w:rPr>
              <w:t>残疾人福利性单位声明函。</w:t>
            </w:r>
            <w:r>
              <w:rPr>
                <w:rFonts w:hint="eastAsia"/>
                <w:sz w:val="18"/>
                <w:szCs w:val="18"/>
              </w:rPr>
              <w:t>在《中小企业声明函》、《</w:t>
            </w:r>
            <w:r>
              <w:rPr>
                <w:rFonts w:hint="eastAsia"/>
                <w:bCs/>
                <w:sz w:val="18"/>
                <w:szCs w:val="18"/>
              </w:rPr>
              <w:t>残疾人福利性单位声明函》</w:t>
            </w:r>
            <w:r>
              <w:rPr>
                <w:rFonts w:hint="eastAsia"/>
                <w:sz w:val="18"/>
                <w:szCs w:val="18"/>
              </w:rPr>
              <w:t>格式文本中，除可填报内容外，对内容的任何实质性修改将被视为相关要求未得到响应，从而导致该投标被拒绝或者</w:t>
            </w:r>
            <w:r>
              <w:rPr>
                <w:rFonts w:hint="eastAsia"/>
                <w:bCs/>
                <w:sz w:val="18"/>
                <w:szCs w:val="18"/>
              </w:rPr>
              <w:t>不能享受可能的价格扣除优惠</w:t>
            </w:r>
            <w:r>
              <w:rPr>
                <w:rFonts w:hint="eastAsia"/>
                <w:sz w:val="18"/>
                <w:szCs w:val="18"/>
              </w:rPr>
              <w:t>。</w:t>
            </w:r>
          </w:p>
        </w:tc>
      </w:tr>
    </w:tbl>
    <w:p>
      <w:pPr>
        <w:spacing w:line="360" w:lineRule="auto"/>
        <w:jc w:val="left"/>
        <w:rPr>
          <w:rFonts w:ascii="宋体" w:hAnsi="宋体" w:cs="微软雅黑" w:hint="eastAsia"/>
          <w:b/>
          <w:color w:val="0000FF"/>
          <w:kern w:val="0"/>
          <w:szCs w:val="21"/>
          <w:highlight w:val="none"/>
        </w:rPr>
      </w:pPr>
      <w:r>
        <w:rPr>
          <w:b/>
          <w:bCs/>
          <w:sz w:val="44"/>
          <w:szCs w:val="44"/>
          <w:highlight w:val="none"/>
        </w:rPr>
        <w:br w:type="page"/>
      </w:r>
    </w:p>
    <w:p>
      <w:pPr>
        <w:spacing w:line="360" w:lineRule="auto"/>
        <w:jc w:val="left"/>
        <w:rPr>
          <w:rFonts w:ascii="宋体" w:hAnsi="宋体" w:cs="微软雅黑" w:hint="eastAsia"/>
          <w:b/>
          <w:color w:val="0000FF"/>
          <w:kern w:val="0"/>
          <w:szCs w:val="21"/>
          <w:highlight w:val="none"/>
        </w:rPr>
      </w:pPr>
    </w:p>
    <w:p>
      <w:pPr>
        <w:spacing w:line="360" w:lineRule="auto"/>
        <w:jc w:val="left"/>
        <w:rPr>
          <w:b/>
          <w:bCs/>
          <w:sz w:val="44"/>
          <w:szCs w:val="44"/>
          <w:highlight w:val="none"/>
        </w:rPr>
      </w:pPr>
    </w:p>
    <w:p>
      <w:pPr>
        <w:spacing w:line="360" w:lineRule="auto"/>
        <w:jc w:val="center"/>
        <w:outlineLvl w:val="0"/>
        <w:rPr>
          <w:rFonts w:ascii="宋体" w:hAnsi="宋体"/>
          <w:b/>
          <w:sz w:val="48"/>
          <w:szCs w:val="36"/>
          <w:highlight w:val="none"/>
        </w:rPr>
      </w:pPr>
      <w:r>
        <w:rPr>
          <w:rFonts w:hint="eastAsia"/>
          <w:b/>
          <w:sz w:val="48"/>
          <w:szCs w:val="36"/>
          <w:highlight w:val="none"/>
        </w:rPr>
        <w:t>第二分册：专用部分</w:t>
      </w:r>
    </w:p>
    <w:p>
      <w:pPr>
        <w:spacing w:line="360" w:lineRule="auto"/>
        <w:rPr>
          <w:highlight w:val="none"/>
        </w:rPr>
      </w:pPr>
    </w:p>
    <w:p>
      <w:pPr>
        <w:spacing w:line="360" w:lineRule="auto"/>
        <w:jc w:val="center"/>
        <w:rPr>
          <w:highlight w:val="none"/>
        </w:rPr>
      </w:pPr>
      <w:r>
        <w:rPr>
          <w:rFonts w:hint="eastAsia"/>
          <w:b/>
          <w:bCs/>
          <w:sz w:val="28"/>
          <w:szCs w:val="28"/>
          <w:highlight w:val="none"/>
        </w:rPr>
        <w:t>目    录</w:t>
      </w:r>
    </w:p>
    <w:p>
      <w:pPr>
        <w:spacing w:line="360" w:lineRule="auto"/>
        <w:rPr>
          <w:b/>
          <w:bCs/>
          <w:szCs w:val="21"/>
          <w:highlight w:val="none"/>
        </w:rPr>
      </w:pPr>
    </w:p>
    <w:p>
      <w:pPr>
        <w:adjustRightInd w:val="0"/>
        <w:snapToGrid w:val="0"/>
        <w:spacing w:line="360" w:lineRule="auto"/>
        <w:ind w:left="2520" w:leftChars="1200"/>
        <w:jc w:val="left"/>
        <w:rPr>
          <w:b/>
          <w:bCs/>
          <w:szCs w:val="21"/>
          <w:highlight w:val="none"/>
        </w:rPr>
      </w:pPr>
      <w:r>
        <w:rPr>
          <w:rFonts w:hint="eastAsia"/>
          <w:b/>
          <w:bCs/>
          <w:szCs w:val="21"/>
          <w:highlight w:val="none"/>
        </w:rPr>
        <w:t>第四章  投标邀请书</w:t>
      </w:r>
    </w:p>
    <w:p>
      <w:pPr>
        <w:adjustRightInd w:val="0"/>
        <w:snapToGrid w:val="0"/>
        <w:spacing w:line="360" w:lineRule="auto"/>
        <w:ind w:left="2520" w:leftChars="1200"/>
        <w:jc w:val="left"/>
        <w:rPr>
          <w:b/>
          <w:bCs/>
          <w:szCs w:val="21"/>
          <w:highlight w:val="none"/>
        </w:rPr>
      </w:pPr>
      <w:r>
        <w:rPr>
          <w:rFonts w:hint="eastAsia"/>
          <w:b/>
          <w:bCs/>
          <w:szCs w:val="21"/>
          <w:highlight w:val="none"/>
        </w:rPr>
        <w:t>第五章  投标人须知专用部分</w:t>
      </w:r>
    </w:p>
    <w:p>
      <w:pPr>
        <w:adjustRightInd w:val="0"/>
        <w:snapToGrid w:val="0"/>
        <w:spacing w:line="360" w:lineRule="auto"/>
        <w:ind w:left="2520" w:leftChars="1200"/>
        <w:jc w:val="left"/>
        <w:rPr>
          <w:b/>
          <w:bCs/>
          <w:szCs w:val="21"/>
          <w:highlight w:val="none"/>
        </w:rPr>
      </w:pPr>
      <w:r>
        <w:rPr>
          <w:rFonts w:hint="eastAsia"/>
          <w:b/>
          <w:bCs/>
          <w:szCs w:val="21"/>
          <w:highlight w:val="none"/>
        </w:rPr>
        <w:t>第六章  评标方法和评标标准</w:t>
      </w:r>
    </w:p>
    <w:p>
      <w:pPr>
        <w:adjustRightInd w:val="0"/>
        <w:snapToGrid w:val="0"/>
        <w:spacing w:line="360" w:lineRule="auto"/>
        <w:ind w:left="2520" w:leftChars="1200"/>
        <w:jc w:val="left"/>
        <w:rPr>
          <w:b/>
          <w:bCs/>
          <w:szCs w:val="21"/>
          <w:highlight w:val="none"/>
        </w:rPr>
      </w:pPr>
      <w:r>
        <w:rPr>
          <w:rFonts w:hint="eastAsia"/>
          <w:b/>
          <w:bCs/>
          <w:szCs w:val="21"/>
          <w:highlight w:val="none"/>
        </w:rPr>
        <w:t>第七章  采购需求</w:t>
      </w:r>
    </w:p>
    <w:p>
      <w:pPr>
        <w:adjustRightInd w:val="0"/>
        <w:snapToGrid w:val="0"/>
        <w:spacing w:line="360" w:lineRule="auto"/>
        <w:ind w:left="2520" w:leftChars="1200"/>
        <w:jc w:val="left"/>
        <w:rPr>
          <w:b/>
          <w:bCs/>
          <w:szCs w:val="21"/>
          <w:highlight w:val="none"/>
        </w:rPr>
      </w:pPr>
      <w:r>
        <w:rPr>
          <w:rFonts w:hint="eastAsia"/>
          <w:b/>
          <w:bCs/>
          <w:szCs w:val="21"/>
          <w:highlight w:val="none"/>
        </w:rPr>
        <w:t>第八章  投标被拒绝条款专用部分</w:t>
      </w:r>
    </w:p>
    <w:p>
      <w:pPr>
        <w:adjustRightInd w:val="0"/>
        <w:snapToGrid w:val="0"/>
        <w:spacing w:line="360" w:lineRule="auto"/>
        <w:ind w:left="2520" w:leftChars="1200"/>
        <w:jc w:val="left"/>
        <w:rPr>
          <w:b/>
          <w:bCs/>
          <w:szCs w:val="21"/>
          <w:highlight w:val="none"/>
        </w:rPr>
      </w:pPr>
      <w:r>
        <w:rPr>
          <w:b/>
          <w:bCs/>
          <w:szCs w:val="21"/>
          <w:highlight w:val="none"/>
        </w:rPr>
        <w:br w:type="page"/>
      </w:r>
    </w:p>
    <w:p>
      <w:pPr>
        <w:adjustRightInd w:val="0"/>
        <w:snapToGrid w:val="0"/>
        <w:spacing w:line="360" w:lineRule="auto"/>
        <w:ind w:firstLine="600" w:firstLineChars="200"/>
        <w:jc w:val="center"/>
        <w:outlineLvl w:val="1"/>
        <w:rPr>
          <w:b/>
          <w:bCs/>
          <w:sz w:val="30"/>
          <w:szCs w:val="30"/>
          <w:highlight w:val="none"/>
        </w:rPr>
      </w:pPr>
      <w:r>
        <w:rPr>
          <w:rFonts w:hint="eastAsia"/>
          <w:b/>
          <w:bCs/>
          <w:sz w:val="30"/>
          <w:szCs w:val="30"/>
          <w:highlight w:val="none"/>
        </w:rPr>
        <w:t>第四章  投标邀请书</w:t>
      </w:r>
    </w:p>
    <w:p>
      <w:pPr>
        <w:spacing w:line="360" w:lineRule="auto"/>
        <w:jc w:val="center"/>
        <w:rPr>
          <w:b/>
          <w:bCs/>
          <w:sz w:val="28"/>
          <w:szCs w:val="28"/>
          <w:highlight w:val="none"/>
        </w:rPr>
      </w:pPr>
    </w:p>
    <w:p>
      <w:pPr>
        <w:spacing w:line="360" w:lineRule="auto"/>
        <w:ind w:firstLine="630" w:firstLineChars="300"/>
        <w:rPr>
          <w:rFonts w:ascii="宋体" w:hAnsi="宋体" w:hint="eastAsia"/>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0" w:name="采购人_recorderOrgName"/>
      <w:r>
        <w:rPr>
          <w:rFonts w:ascii="宋体" w:hAnsi="宋体" w:cs="微软雅黑"/>
          <w:b/>
          <w:color w:val="0000FF"/>
          <w:kern w:val="0"/>
          <w:szCs w:val="21"/>
          <w:highlight w:val="none"/>
        </w:rPr>
        <w:t>河北省气象局</w:t>
      </w:r>
      <w:bookmarkEnd w:id="20"/>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1" w:name="项目名称_taskName"/>
      <w:r>
        <w:rPr>
          <w:rFonts w:ascii="宋体" w:hAnsi="宋体" w:cs="微软雅黑"/>
          <w:b/>
          <w:color w:val="0000FF"/>
          <w:kern w:val="0"/>
          <w:szCs w:val="21"/>
          <w:highlight w:val="none"/>
        </w:rPr>
        <w:t>河北66mm人工影响天气火箭弹采购</w:t>
      </w:r>
      <w:bookmarkEnd w:id="21"/>
      <w:r>
        <w:rPr>
          <w:rFonts w:ascii="宋体" w:hAnsi="宋体" w:cs="宋体" w:hint="eastAsia"/>
          <w:b/>
          <w:bCs/>
          <w:szCs w:val="21"/>
          <w:highlight w:val="none"/>
        </w:rPr>
        <w:t>。</w:t>
      </w:r>
    </w:p>
    <w:p>
      <w:pPr>
        <w:spacing w:line="360" w:lineRule="auto"/>
        <w:ind w:firstLine="420" w:firstLineChars="200"/>
        <w:rPr>
          <w:rFonts w:ascii="宋体" w:hAnsi="宋体" w:cs="宋体" w:hint="eastAsia"/>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2" w:name="封面_projectNo_2"/>
      <w:r>
        <w:rPr>
          <w:rFonts w:ascii="宋体" w:hAnsi="宋体" w:cs="微软雅黑" w:hint="eastAsia"/>
          <w:b/>
          <w:color w:val="0000FF"/>
          <w:kern w:val="0"/>
          <w:szCs w:val="21"/>
          <w:highlight w:val="none"/>
        </w:rPr>
        <w:t>ZQCD-26173</w:t>
      </w:r>
      <w:bookmarkEnd w:id="22"/>
      <w:r>
        <w:rPr>
          <w:rFonts w:ascii="宋体" w:hAnsi="宋体" w:cs="宋体" w:hint="eastAsia"/>
          <w:b/>
          <w:bCs/>
          <w:szCs w:val="21"/>
          <w:highlight w:val="none"/>
        </w:rPr>
        <w:t>。</w:t>
      </w:r>
    </w:p>
    <w:p>
      <w:pPr>
        <w:spacing w:line="360" w:lineRule="auto"/>
        <w:ind w:firstLine="420" w:firstLineChars="200"/>
        <w:rPr>
          <w:rFonts w:ascii="宋体" w:hAnsi="宋体" w:hint="eastAsia"/>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pPr>
        <w:adjustRightInd w:val="0"/>
        <w:snapToGrid w:val="0"/>
        <w:spacing w:line="360" w:lineRule="auto"/>
        <w:ind w:firstLine="420" w:firstLineChars="200"/>
        <w:rPr>
          <w:rFonts w:ascii="宋体" w:hAnsi="宋体" w:cs="宋体" w:hint="eastAsia"/>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3" w:name="包数量_packageCount"/>
      <w:r>
        <w:rPr>
          <w:rFonts w:ascii="宋体" w:hAnsi="宋体" w:cs="微软雅黑" w:hint="eastAsia"/>
          <w:color w:val="0000FF"/>
          <w:kern w:val="0"/>
          <w:szCs w:val="21"/>
          <w:highlight w:val="none"/>
        </w:rPr>
        <w:t>1</w:t>
      </w:r>
      <w:bookmarkEnd w:id="23"/>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上述货物的供应、运输、安装调试、培训及售后服务。</w:t>
      </w:r>
    </w:p>
    <w:p>
      <w:pPr>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具体采购范围及所应达到的具体要求，以本采购文件中第七章</w:t>
      </w:r>
      <w:r>
        <w:rPr>
          <w:rFonts w:ascii="宋体" w:hAnsi="宋体" w:hint="eastAsia"/>
          <w:bCs/>
          <w:szCs w:val="21"/>
          <w:highlight w:val="none"/>
        </w:rPr>
        <w:t>“</w:t>
      </w:r>
      <w:r>
        <w:rPr>
          <w:rFonts w:ascii="宋体" w:hAnsi="宋体" w:hint="eastAsia"/>
          <w:bCs/>
          <w:szCs w:val="21"/>
          <w:highlight w:val="none"/>
        </w:rPr>
        <w:t>采购需求</w:t>
      </w:r>
      <w:r>
        <w:rPr>
          <w:rFonts w:ascii="宋体" w:hAnsi="宋体" w:hint="eastAsia"/>
          <w:bCs/>
          <w:szCs w:val="21"/>
          <w:highlight w:val="none"/>
        </w:rPr>
        <w:t>”</w:t>
      </w:r>
      <w:r>
        <w:rPr>
          <w:rFonts w:ascii="宋体" w:hAnsi="宋体" w:hint="eastAsia"/>
          <w:bCs/>
          <w:szCs w:val="21"/>
          <w:highlight w:val="none"/>
        </w:rPr>
        <w:t>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pPr>
        <w:adjustRightInd w:val="0"/>
        <w:snapToGrid w:val="0"/>
        <w:spacing w:line="360" w:lineRule="auto"/>
        <w:ind w:firstLine="420" w:firstLineChars="200"/>
        <w:rPr>
          <w:rFonts w:ascii="宋体" w:hAnsi="宋体" w:cs="宋体"/>
          <w:b/>
          <w:szCs w:val="21"/>
          <w:highlight w:val="none"/>
          <w:u w:val="single"/>
        </w:rPr>
      </w:pPr>
      <w:r>
        <w:rPr>
          <w:rFonts w:ascii="宋体" w:hAnsi="宋体" w:hint="eastAsia"/>
          <w:bCs/>
          <w:szCs w:val="21"/>
          <w:highlight w:val="none"/>
        </w:rPr>
        <w:t>4、履约时间：</w:t>
      </w:r>
      <w:bookmarkStart w:id="24" w:name="合同履约期限_contractPerformancePeriod"/>
      <w:r>
        <w:rPr>
          <w:rFonts w:ascii="宋体" w:hAnsi="宋体" w:cs="微软雅黑" w:hint="eastAsia"/>
          <w:b/>
          <w:color w:val="0000FF"/>
          <w:kern w:val="0"/>
          <w:szCs w:val="21"/>
          <w:highlight w:val="none"/>
        </w:rPr>
        <w:t>合同签订后30天内交货</w:t>
      </w:r>
      <w:bookmarkEnd w:id="24"/>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5" w:name="合同履约期限_performanceAddress"/>
      <w:r>
        <w:rPr>
          <w:rFonts w:ascii="宋体" w:hAnsi="宋体" w:cs="微软雅黑" w:hint="eastAsia"/>
          <w:b/>
          <w:color w:val="0000FF"/>
          <w:kern w:val="0"/>
          <w:szCs w:val="21"/>
          <w:highlight w:val="none"/>
        </w:rPr>
        <w:t>出厂验收合格后，中标供应商负责将产品运输到河北省气象局指定的地点，运输过程应当遵守国 家有关武器装备、爆炸物品管理的法律、法规。</w:t>
      </w:r>
      <w:bookmarkEnd w:id="25"/>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hint="eastAsia"/>
          <w:bCs/>
          <w:szCs w:val="21"/>
          <w:highlight w:val="none"/>
        </w:rPr>
      </w:pPr>
      <w:r>
        <w:rPr>
          <w:rFonts w:ascii="宋体" w:hAnsi="宋体" w:cs="宋体" w:hint="eastAsia"/>
          <w:b/>
          <w:szCs w:val="21"/>
          <w:highlight w:val="none"/>
        </w:rPr>
        <w:t>四、</w:t>
      </w:r>
      <w:r>
        <w:rPr>
          <w:rFonts w:ascii="宋体" w:hAnsi="宋体" w:hint="eastAsia"/>
          <w:b/>
          <w:szCs w:val="24"/>
          <w:highlight w:val="none"/>
        </w:rPr>
        <w:t>招标文件获取</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w:t>
      </w:r>
      <w:r>
        <w:rPr>
          <w:rFonts w:ascii="宋体" w:hAnsi="宋体" w:hint="eastAsia"/>
          <w:szCs w:val="21"/>
          <w:highlight w:val="none"/>
        </w:rPr>
        <w:t>“</w:t>
      </w:r>
      <w:r>
        <w:rPr>
          <w:rFonts w:ascii="宋体" w:hAnsi="宋体" w:hint="eastAsia"/>
          <w:szCs w:val="21"/>
          <w:highlight w:val="none"/>
        </w:rPr>
        <w:t>供应商专栏</w:t>
      </w:r>
      <w:r>
        <w:rPr>
          <w:rFonts w:ascii="宋体" w:hAnsi="宋体" w:hint="eastAsia"/>
          <w:szCs w:val="21"/>
          <w:highlight w:val="none"/>
        </w:rPr>
        <w:t>”</w:t>
      </w:r>
      <w:r>
        <w:rPr>
          <w:rFonts w:ascii="宋体" w:hAnsi="宋体" w:hint="eastAsia"/>
          <w:szCs w:val="21"/>
          <w:highlight w:val="none"/>
        </w:rPr>
        <w:t>中的《供应商注册地址及流程手册》并进行注册。</w:t>
      </w:r>
    </w:p>
    <w:p>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6" w:name="项目公告_signUpFirstTime"/>
      <w:r>
        <w:rPr>
          <w:rFonts w:ascii="宋体" w:hint="eastAsia"/>
          <w:szCs w:val="21"/>
          <w:highlight w:val="none"/>
        </w:rPr>
        <w:t>2026年08月27日 00:00:00</w:t>
      </w:r>
      <w:bookmarkEnd w:id="26"/>
      <w:r>
        <w:rPr>
          <w:rFonts w:ascii="宋体" w:hint="eastAsia"/>
          <w:szCs w:val="21"/>
          <w:highlight w:val="none"/>
        </w:rPr>
        <w:t>至</w:t>
      </w:r>
      <w:bookmarkStart w:id="27" w:name="项目公告_signUpLastTime"/>
      <w:r>
        <w:rPr>
          <w:rFonts w:ascii="宋体" w:hint="eastAsia"/>
          <w:szCs w:val="21"/>
          <w:highlight w:val="none"/>
        </w:rPr>
        <w:t>2026年09月03日 23:59:59</w:t>
      </w:r>
      <w:bookmarkEnd w:id="27"/>
      <w:r>
        <w:rPr>
          <w:rFonts w:ascii="宋体" w:hAnsi="宋体" w:hint="eastAsia"/>
          <w:szCs w:val="21"/>
          <w:highlight w:val="none"/>
        </w:rPr>
        <w:t>（北京时间）。请潜在供应商务必在网上报名截止时间前进行报名并按包号下载招标文件，超过报名截止时间的将无法报名。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pPr>
        <w:adjustRightInd w:val="0"/>
        <w:snapToGrid w:val="0"/>
        <w:spacing w:line="360" w:lineRule="auto"/>
        <w:ind w:firstLine="420" w:firstLineChars="200"/>
        <w:rPr>
          <w:rFonts w:ascii="宋体" w:eastAsia="宋体" w:hAnsi="宋体" w:cs="Times New Roman" w:hint="eastAsia"/>
          <w:b/>
          <w:bCs/>
          <w:i w:val="0"/>
          <w:iCs w:val="0"/>
          <w:caps w:val="0"/>
          <w:spacing w:val="0"/>
          <w:sz w:val="21"/>
          <w:szCs w:val="21"/>
          <w:shd w:val="clear" w:color="auto" w:fill="auto"/>
        </w:rPr>
      </w:pPr>
      <w:r>
        <w:rPr>
          <w:rFonts w:ascii="宋体" w:hint="eastAsia"/>
          <w:b/>
          <w:bCs/>
          <w:szCs w:val="21"/>
          <w:highlight w:val="none"/>
        </w:rPr>
        <w:t>五、</w:t>
      </w:r>
      <w:r>
        <w:rPr>
          <w:rFonts w:ascii="宋体" w:eastAsia="宋体" w:hAnsi="宋体" w:cs="Times New Roman" w:hint="eastAsia"/>
          <w:b/>
          <w:bCs/>
          <w:i w:val="0"/>
          <w:iCs w:val="0"/>
          <w:caps w:val="0"/>
          <w:spacing w:val="0"/>
          <w:sz w:val="21"/>
          <w:szCs w:val="21"/>
          <w:shd w:val="clear" w:color="auto" w:fill="auto"/>
        </w:rPr>
        <w:t>投标截止时间、投标方式及开标时间</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1、</w:t>
      </w:r>
      <w:r>
        <w:rPr>
          <w:rFonts w:ascii="宋体" w:eastAsia="宋体" w:hAnsi="Times New Roman" w:cs="Times New Roman" w:hint="eastAsia"/>
          <w:b w:val="0"/>
          <w:bCs w:val="0"/>
          <w:i w:val="0"/>
          <w:iCs w:val="0"/>
          <w:caps w:val="0"/>
          <w:spacing w:val="0"/>
          <w:sz w:val="21"/>
          <w:szCs w:val="21"/>
          <w:shd w:val="clear" w:color="auto" w:fill="auto"/>
        </w:rPr>
        <w:t>投标</w:t>
      </w:r>
      <w:r>
        <w:rPr>
          <w:rFonts w:ascii="宋体" w:eastAsia="宋体" w:hAnsi="Times New Roman" w:cs="Times New Roman" w:hint="eastAsia"/>
          <w:b w:val="0"/>
          <w:bCs w:val="0"/>
          <w:i w:val="0"/>
          <w:iCs w:val="0"/>
          <w:caps w:val="0"/>
          <w:spacing w:val="0"/>
          <w:sz w:val="21"/>
          <w:szCs w:val="21"/>
          <w:shd w:val="clear" w:color="auto" w:fill="auto"/>
          <w:lang w:val="en-US" w:eastAsia="zh-CN"/>
        </w:rPr>
        <w:t>文件提交</w:t>
      </w:r>
      <w:r>
        <w:rPr>
          <w:rFonts w:ascii="宋体" w:eastAsia="宋体" w:hAnsi="Times New Roman" w:cs="Times New Roman" w:hint="eastAsia"/>
          <w:b w:val="0"/>
          <w:bCs w:val="0"/>
          <w:i w:val="0"/>
          <w:iCs w:val="0"/>
          <w:caps w:val="0"/>
          <w:spacing w:val="0"/>
          <w:sz w:val="21"/>
          <w:szCs w:val="21"/>
          <w:shd w:val="clear" w:color="auto" w:fill="auto"/>
        </w:rPr>
        <w:t>截止时间及开标时间</w:t>
      </w:r>
      <w:r>
        <w:rPr>
          <w:rFonts w:ascii="宋体" w:hint="eastAsia"/>
          <w:szCs w:val="21"/>
          <w:highlight w:val="none"/>
        </w:rPr>
        <w:t>：</w:t>
      </w:r>
      <w:bookmarkStart w:id="28" w:name="项目公告_openBidTime"/>
      <w:r>
        <w:rPr>
          <w:rFonts w:ascii="宋体" w:hAnsi="宋体" w:hint="eastAsia"/>
          <w:bCs/>
          <w:szCs w:val="21"/>
          <w:highlight w:val="none"/>
        </w:rPr>
        <w:t>2026年09月17日 09:00:00</w:t>
      </w:r>
      <w:bookmarkEnd w:id="28"/>
      <w:r>
        <w:rPr>
          <w:rFonts w:ascii="宋体" w:hint="eastAsia"/>
          <w:bCs/>
          <w:szCs w:val="21"/>
          <w:highlight w:val="none"/>
        </w:rPr>
        <w:t>（北京时间）</w:t>
      </w:r>
      <w:r>
        <w:rPr>
          <w:rFonts w:ascii="宋体" w:hint="eastAsia"/>
          <w:szCs w:val="21"/>
          <w:highlight w:val="none"/>
        </w:rPr>
        <w:t>。</w:t>
      </w:r>
    </w:p>
    <w:p>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pPr>
        <w:autoSpaceDN w:val="0"/>
        <w:spacing w:line="360" w:lineRule="auto"/>
        <w:ind w:firstLine="420" w:firstLineChars="200"/>
        <w:rPr>
          <w:rFonts w:ascii="宋体" w:cs="微软雅黑" w:hint="eastAsia"/>
          <w:szCs w:val="21"/>
        </w:rPr>
      </w:pPr>
      <w:r>
        <w:rPr>
          <w:rFonts w:ascii="宋体" w:hint="eastAsia"/>
          <w:szCs w:val="21"/>
        </w:rPr>
        <w:t>3、请符合投标条件的投标人安装投标（响应）工具，完成投标文件编制后于投标文件提交截止时间前上传加密的投标文件，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rPr>
        <w:t>供应商在投标过程中，涉及系统平台操作的技术问题，可致电采购中心技术支持电话。</w:t>
      </w:r>
    </w:p>
    <w:p>
      <w:pPr>
        <w:tabs>
          <w:tab w:val="left" w:pos="1573"/>
        </w:tabs>
        <w:adjustRightInd w:val="0"/>
        <w:snapToGrid w:val="0"/>
        <w:spacing w:line="360" w:lineRule="auto"/>
        <w:ind w:firstLine="412" w:firstLineChars="196"/>
        <w:rPr>
          <w:rFonts w:ascii="宋体" w:hAnsi="宋体" w:hint="eastAsia"/>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pPr>
        <w:tabs>
          <w:tab w:val="left" w:pos="1573"/>
        </w:tabs>
        <w:adjustRightInd w:val="0"/>
        <w:snapToGrid w:val="0"/>
        <w:spacing w:line="360" w:lineRule="auto"/>
        <w:ind w:firstLine="412" w:firstLineChars="196"/>
        <w:rPr>
          <w:rFonts w:ascii="宋体" w:hAnsi="宋体" w:hint="eastAsia"/>
          <w:bCs/>
          <w:szCs w:val="21"/>
          <w:highlight w:val="none"/>
        </w:rPr>
      </w:pPr>
      <w:bookmarkStart w:id="29" w:name="开标地点_openArddress"/>
      <w:r>
        <w:rPr>
          <w:rFonts w:ascii="宋体" w:hAnsi="宋体" w:hint="eastAsia"/>
          <w:b/>
          <w:szCs w:val="21"/>
          <w:highlight w:val="none"/>
          <w:u w:val="single"/>
        </w:rPr>
        <w:t>北京市海淀区中关村南大街46号中国气象局北区7号楼2层小会议室，届时投标人的法定代表人或其授权的投标人授权代表可到场参加。</w:t>
      </w:r>
      <w:bookmarkEnd w:id="29"/>
    </w:p>
    <w:p>
      <w:pPr>
        <w:tabs>
          <w:tab w:val="left" w:pos="1573"/>
        </w:tabs>
        <w:adjustRightInd w:val="0"/>
        <w:snapToGrid w:val="0"/>
        <w:spacing w:line="360" w:lineRule="auto"/>
        <w:ind w:firstLine="412" w:firstLineChars="196"/>
        <w:rPr>
          <w:rFonts w:ascii="宋体" w:hAnsi="宋体" w:hint="eastAsia"/>
          <w:b/>
          <w:bCs/>
          <w:szCs w:val="21"/>
          <w:highlight w:val="none"/>
        </w:rPr>
      </w:pPr>
      <w:r>
        <w:rPr>
          <w:rFonts w:ascii="宋体" w:hAnsi="宋体" w:hint="eastAsia"/>
          <w:b/>
          <w:bCs/>
          <w:szCs w:val="21"/>
          <w:highlight w:val="none"/>
        </w:rPr>
        <w:t>七、信息发布</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本项目采购公告已在</w:t>
      </w:r>
      <w:r>
        <w:rPr>
          <w:rFonts w:ascii="宋体" w:hAnsi="宋体" w:hint="eastAsia"/>
          <w:bCs/>
          <w:szCs w:val="21"/>
          <w:highlight w:val="none"/>
        </w:rPr>
        <w:t>“</w:t>
      </w:r>
      <w:r>
        <w:rPr>
          <w:rFonts w:ascii="宋体" w:hAnsi="宋体" w:hint="eastAsia"/>
          <w:bCs/>
          <w:szCs w:val="21"/>
          <w:highlight w:val="none"/>
        </w:rPr>
        <w:t>中国政府采购网</w:t>
      </w:r>
      <w:r>
        <w:rPr>
          <w:rFonts w:ascii="宋体" w:hAnsi="宋体" w:hint="eastAsia"/>
          <w:bCs/>
          <w:szCs w:val="21"/>
          <w:highlight w:val="none"/>
        </w:rPr>
        <w:t>”</w:t>
      </w:r>
      <w:r>
        <w:rPr>
          <w:rFonts w:ascii="宋体" w:hAnsi="宋体" w:hint="eastAsia"/>
          <w:bCs/>
          <w:szCs w:val="21"/>
          <w:highlight w:val="none"/>
        </w:rPr>
        <w:t>等媒体上发布。</w:t>
      </w:r>
    </w:p>
    <w:p>
      <w:pPr>
        <w:tabs>
          <w:tab w:val="left" w:pos="943"/>
          <w:tab w:val="left" w:pos="1573"/>
        </w:tabs>
        <w:adjustRightInd w:val="0"/>
        <w:snapToGrid w:val="0"/>
        <w:spacing w:line="360" w:lineRule="auto"/>
        <w:ind w:firstLine="420" w:firstLineChars="200"/>
        <w:rPr>
          <w:rFonts w:ascii="宋体" w:hAnsi="宋体" w:hint="eastAsia"/>
          <w:b/>
          <w:szCs w:val="21"/>
          <w:highlight w:val="none"/>
        </w:rPr>
      </w:pPr>
      <w:r>
        <w:rPr>
          <w:rFonts w:ascii="宋体" w:hAnsi="宋体" w:hint="eastAsia"/>
          <w:b/>
          <w:szCs w:val="21"/>
          <w:highlight w:val="none"/>
        </w:rPr>
        <w:t>八、联系方式</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0" w:name="contactName"/>
      <w:r>
        <w:rPr>
          <w:rFonts w:ascii="宋体" w:hAnsi="宋体" w:cs="微软雅黑"/>
          <w:b/>
          <w:color w:val="0000FF"/>
          <w:kern w:val="0"/>
          <w:szCs w:val="21"/>
          <w:highlight w:val="none"/>
        </w:rPr>
        <w:t>杜建君</w:t>
      </w:r>
      <w:bookmarkEnd w:id="30"/>
    </w:p>
    <w:p>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1" w:name="contactPhone"/>
      <w:r>
        <w:rPr>
          <w:rFonts w:ascii="宋体" w:hAnsi="宋体" w:cs="微软雅黑"/>
          <w:b/>
          <w:color w:val="0000FF"/>
          <w:kern w:val="0"/>
          <w:szCs w:val="21"/>
          <w:highlight w:val="none"/>
        </w:rPr>
        <w:t>01058995155</w:t>
      </w:r>
      <w:bookmarkEnd w:id="31"/>
    </w:p>
    <w:p>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2" w:name="采购人1_recorderOrgName"/>
      <w:r>
        <w:rPr>
          <w:rFonts w:ascii="宋体" w:hAnsi="宋体" w:cs="微软雅黑"/>
          <w:b/>
          <w:color w:val="0000FF"/>
          <w:kern w:val="0"/>
          <w:szCs w:val="21"/>
          <w:highlight w:val="none"/>
        </w:rPr>
        <w:t>河北省气象局</w:t>
      </w:r>
      <w:bookmarkEnd w:id="32"/>
    </w:p>
    <w:p>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3" w:name="采购项目负责人_contactsName"/>
      <w:r>
        <w:rPr>
          <w:rFonts w:ascii="宋体" w:hAnsi="宋体" w:cs="微软雅黑"/>
          <w:b/>
          <w:color w:val="0000FF"/>
          <w:kern w:val="0"/>
          <w:szCs w:val="21"/>
          <w:highlight w:val="none"/>
        </w:rPr>
        <w:t>顾夏天</w:t>
      </w:r>
      <w:bookmarkEnd w:id="33"/>
    </w:p>
    <w:p>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4" w:name="采购项目负责人办公电话_contactsTel"/>
      <w:r>
        <w:rPr>
          <w:rFonts w:ascii="宋体" w:hAnsi="宋体" w:cs="微软雅黑"/>
          <w:b/>
          <w:color w:val="0000FF"/>
          <w:kern w:val="0"/>
          <w:szCs w:val="21"/>
          <w:highlight w:val="none"/>
        </w:rPr>
        <w:t>0311-67108010</w:t>
      </w:r>
      <w:bookmarkEnd w:id="34"/>
    </w:p>
    <w:p>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5" w:name="采购单位所在地址_recorderOrgAddress"/>
      <w:r>
        <w:rPr>
          <w:rFonts w:ascii="宋体" w:hAnsi="宋体" w:cs="微软雅黑"/>
          <w:b/>
          <w:color w:val="0000FF"/>
          <w:kern w:val="0"/>
          <w:szCs w:val="21"/>
          <w:highlight w:val="none"/>
        </w:rPr>
        <w:t>石家庄</w:t>
      </w:r>
      <w:bookmarkEnd w:id="35"/>
    </w:p>
    <w:p>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6" w:name="技术电话_technicalSupportPhoneNumber"/>
      <w:r>
        <w:rPr>
          <w:rFonts w:ascii="宋体" w:hAnsi="宋体" w:cs="宋体" w:hint="eastAsia"/>
          <w:szCs w:val="21"/>
          <w:highlight w:val="none"/>
        </w:rPr>
        <w:t>010-68406701</w:t>
      </w:r>
      <w:bookmarkEnd w:id="36"/>
    </w:p>
    <w:p>
      <w:pPr>
        <w:spacing w:line="360" w:lineRule="auto"/>
        <w:jc w:val="center"/>
        <w:outlineLvl w:val="1"/>
        <w:rPr>
          <w:b/>
          <w:sz w:val="30"/>
          <w:szCs w:val="30"/>
          <w:highlight w:val="none"/>
        </w:rPr>
      </w:pPr>
      <w:r>
        <w:rPr>
          <w:b/>
          <w:bCs/>
          <w:szCs w:val="21"/>
          <w:highlight w:val="none"/>
        </w:rPr>
        <w:br w:type="page"/>
      </w:r>
      <w:bookmarkStart w:id="37" w:name="投标人须知专用部分_TBXZ"/>
      <w:r>
        <w:rPr>
          <w:rFonts w:hint="eastAsia"/>
          <w:b/>
          <w:sz w:val="30"/>
          <w:szCs w:val="30"/>
          <w:highlight w:val="none"/>
        </w:rPr>
        <w:t>第五章  投标人须知专用部分</w:t>
      </w:r>
    </w:p>
    <w:p>
      <w:pPr>
        <w:spacing w:line="360" w:lineRule="auto"/>
        <w:jc w:val="left"/>
        <w:rPr>
          <w:rFonts w:ascii="黑体" w:eastAsia="黑体" w:hAnsi="黑体"/>
          <w:kern w:val="44"/>
          <w:szCs w:val="28"/>
          <w:highlight w:val="none"/>
        </w:rPr>
      </w:pPr>
      <w:r>
        <w:rPr>
          <w:rFonts w:ascii="黑体" w:eastAsia="黑体" w:hAnsi="黑体" w:hint="eastAsia"/>
          <w:kern w:val="44"/>
          <w:szCs w:val="28"/>
          <w:highlight w:val="none"/>
        </w:rPr>
        <w:t xml:space="preserve">    </w:t>
      </w:r>
    </w:p>
    <w:p>
      <w:pPr>
        <w:adjustRightInd w:val="0"/>
        <w:snapToGrid w:val="0"/>
        <w:spacing w:line="360" w:lineRule="auto"/>
        <w:ind w:firstLine="420" w:firstLineChars="200"/>
        <w:rPr>
          <w:rFonts w:ascii="宋体" w:hAnsi="宋体"/>
          <w:szCs w:val="21"/>
          <w:highlight w:val="none"/>
        </w:rPr>
      </w:pPr>
      <w:r>
        <w:rPr>
          <w:rFonts w:hint="eastAsia"/>
          <w:bCs/>
          <w:kern w:val="44"/>
          <w:szCs w:val="28"/>
          <w:highlight w:val="none"/>
        </w:rPr>
        <w:t>投标人须知专用部分</w:t>
      </w:r>
      <w:r>
        <w:rPr>
          <w:rFonts w:hint="eastAsia"/>
          <w:szCs w:val="21"/>
          <w:highlight w:val="none"/>
        </w:rPr>
        <w:t>表格中要求事项已列入第三章、第八章投标被拒绝条款的，若有缺失或无效，将导致投标被拒绝且不允许在开标后补正</w:t>
      </w:r>
      <w:r>
        <w:rPr>
          <w:rFonts w:ascii="宋体" w:hAnsi="宋体" w:hint="eastAsia"/>
          <w:szCs w:val="21"/>
          <w:highlight w:val="none"/>
        </w:rPr>
        <w:t>。投标人须知通用部分或招标文件其余部分与本表不一致的，以本表要求为准。</w:t>
      </w:r>
    </w:p>
    <w:p>
      <w:pPr>
        <w:adjustRightInd w:val="0"/>
        <w:snapToGrid w:val="0"/>
        <w:spacing w:line="360" w:lineRule="auto"/>
        <w:ind w:firstLine="420" w:firstLineChars="200"/>
        <w:rPr>
          <w:szCs w:val="21"/>
          <w:highlight w:val="none"/>
        </w:r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pPr>
              <w:jc w:val="center"/>
              <w:rPr>
                <w:b/>
                <w:szCs w:val="21"/>
                <w:highlight w:val="none"/>
              </w:rPr>
            </w:pPr>
            <w:r>
              <w:rPr>
                <w:rFonts w:hint="eastAsia"/>
                <w:b/>
                <w:szCs w:val="21"/>
                <w:highlight w:val="none"/>
              </w:rPr>
              <w:t>序号</w:t>
            </w:r>
          </w:p>
        </w:tc>
        <w:tc>
          <w:tcPr>
            <w:tcW w:w="1418" w:type="dxa"/>
            <w:noWrap w:val="0"/>
            <w:vAlign w:val="center"/>
          </w:tcPr>
          <w:p>
            <w:pPr>
              <w:jc w:val="center"/>
              <w:rPr>
                <w:b/>
                <w:szCs w:val="21"/>
                <w:highlight w:val="none"/>
              </w:rPr>
            </w:pPr>
            <w:r>
              <w:rPr>
                <w:rFonts w:hint="eastAsia"/>
                <w:b/>
                <w:szCs w:val="21"/>
                <w:highlight w:val="none"/>
              </w:rPr>
              <w:t>对应投标人须知通用部分的条款</w:t>
            </w:r>
          </w:p>
        </w:tc>
        <w:tc>
          <w:tcPr>
            <w:tcW w:w="1701" w:type="dxa"/>
            <w:noWrap w:val="0"/>
            <w:vAlign w:val="center"/>
          </w:tcPr>
          <w:p>
            <w:pPr>
              <w:jc w:val="center"/>
              <w:rPr>
                <w:b/>
                <w:szCs w:val="21"/>
                <w:highlight w:val="none"/>
              </w:rPr>
            </w:pPr>
            <w:r>
              <w:rPr>
                <w:rFonts w:hint="eastAsia"/>
                <w:b/>
                <w:szCs w:val="21"/>
                <w:highlight w:val="none"/>
              </w:rPr>
              <w:t>内容</w:t>
            </w:r>
          </w:p>
        </w:tc>
        <w:tc>
          <w:tcPr>
            <w:tcW w:w="5209" w:type="dxa"/>
            <w:noWrap w:val="0"/>
            <w:vAlign w:val="center"/>
          </w:tcPr>
          <w:p>
            <w:pPr>
              <w:jc w:val="center"/>
              <w:rPr>
                <w:b/>
                <w:szCs w:val="21"/>
                <w:highlight w:val="none"/>
              </w:rPr>
            </w:pPr>
            <w:r>
              <w:rPr>
                <w:rFonts w:hint="eastAsia"/>
                <w:b/>
                <w:szCs w:val="21"/>
                <w:highlight w:val="none"/>
              </w:rPr>
              <w:t>说明与要求</w:t>
            </w:r>
          </w:p>
        </w:tc>
      </w:tr>
      <w:tr>
        <w:tblPrEx>
          <w:tblW w:w="0" w:type="auto"/>
          <w:tblInd w:w="0" w:type="dxa"/>
          <w:tblLayout w:type="fixed"/>
          <w:tblCellMar>
            <w:top w:w="0" w:type="dxa"/>
            <w:left w:w="108" w:type="dxa"/>
            <w:bottom w:w="0" w:type="dxa"/>
            <w:right w:w="108" w:type="dxa"/>
          </w:tblCellMar>
        </w:tblPrEx>
        <w:trPr>
          <w:trHeight w:val="302"/>
        </w:trPr>
        <w:tc>
          <w:tcPr>
            <w:tcW w:w="675" w:type="dxa"/>
            <w:noWrap w:val="0"/>
            <w:vAlign w:val="center"/>
          </w:tcPr>
          <w:p>
            <w:pPr>
              <w:rPr>
                <w:szCs w:val="21"/>
                <w:highlight w:val="none"/>
              </w:rPr>
            </w:pPr>
            <w:r>
              <w:rPr>
                <w:rFonts w:hint="eastAsia"/>
                <w:szCs w:val="21"/>
                <w:highlight w:val="none"/>
              </w:rPr>
              <w:t>5.1</w:t>
            </w:r>
          </w:p>
        </w:tc>
        <w:tc>
          <w:tcPr>
            <w:tcW w:w="1418" w:type="dxa"/>
            <w:noWrap w:val="0"/>
            <w:vAlign w:val="center"/>
          </w:tcPr>
          <w:p>
            <w:pPr>
              <w:rPr>
                <w:szCs w:val="21"/>
                <w:highlight w:val="none"/>
              </w:rPr>
            </w:pPr>
            <w:r>
              <w:rPr>
                <w:rFonts w:hint="eastAsia"/>
                <w:szCs w:val="21"/>
                <w:highlight w:val="none"/>
              </w:rPr>
              <w:t>1.2.1</w:t>
            </w:r>
          </w:p>
        </w:tc>
        <w:tc>
          <w:tcPr>
            <w:tcW w:w="1701" w:type="dxa"/>
            <w:noWrap w:val="0"/>
            <w:vAlign w:val="center"/>
          </w:tcPr>
          <w:p>
            <w:pPr>
              <w:rPr>
                <w:szCs w:val="21"/>
                <w:highlight w:val="none"/>
              </w:rPr>
            </w:pPr>
            <w:r>
              <w:rPr>
                <w:rFonts w:hint="eastAsia"/>
                <w:szCs w:val="21"/>
                <w:highlight w:val="none"/>
              </w:rPr>
              <w:t>采购人名称</w:t>
            </w:r>
          </w:p>
        </w:tc>
        <w:tc>
          <w:tcPr>
            <w:tcW w:w="5209" w:type="dxa"/>
            <w:noWrap w:val="0"/>
            <w:vAlign w:val="center"/>
          </w:tcPr>
          <w:p>
            <w:pPr>
              <w:rPr>
                <w:szCs w:val="21"/>
                <w:highlight w:val="none"/>
              </w:rPr>
            </w:pPr>
            <w:bookmarkStart w:id="38" w:name="采购人2_recorderOrgName"/>
            <w:r>
              <w:rPr>
                <w:rFonts w:ascii="宋体" w:hAnsi="宋体" w:cs="微软雅黑" w:hint="eastAsia"/>
                <w:kern w:val="0"/>
                <w:szCs w:val="21"/>
                <w:highlight w:val="none"/>
              </w:rPr>
              <w:t>河北省气象局</w:t>
            </w:r>
            <w:bookmarkEnd w:id="38"/>
          </w:p>
        </w:tc>
      </w:tr>
      <w:tr>
        <w:tblPrEx>
          <w:tblW w:w="0" w:type="auto"/>
          <w:tblInd w:w="0" w:type="dxa"/>
          <w:tblLayout w:type="fixed"/>
          <w:tblCellMar>
            <w:top w:w="0" w:type="dxa"/>
            <w:left w:w="108" w:type="dxa"/>
            <w:bottom w:w="0" w:type="dxa"/>
            <w:right w:w="108" w:type="dxa"/>
          </w:tblCellMar>
        </w:tblPrEx>
        <w:trPr>
          <w:trHeight w:val="449"/>
        </w:trPr>
        <w:tc>
          <w:tcPr>
            <w:tcW w:w="675" w:type="dxa"/>
            <w:noWrap w:val="0"/>
            <w:vAlign w:val="center"/>
          </w:tcPr>
          <w:p>
            <w:pPr>
              <w:rPr>
                <w:szCs w:val="21"/>
                <w:highlight w:val="none"/>
              </w:rPr>
            </w:pPr>
            <w:r>
              <w:rPr>
                <w:rFonts w:hint="eastAsia"/>
                <w:szCs w:val="21"/>
                <w:highlight w:val="none"/>
              </w:rPr>
              <w:t>5.2</w:t>
            </w:r>
          </w:p>
        </w:tc>
        <w:tc>
          <w:tcPr>
            <w:tcW w:w="1418" w:type="dxa"/>
            <w:noWrap w:val="0"/>
            <w:vAlign w:val="center"/>
          </w:tcPr>
          <w:p>
            <w:pPr>
              <w:rPr>
                <w:szCs w:val="21"/>
                <w:highlight w:val="none"/>
              </w:rPr>
            </w:pPr>
            <w:r>
              <w:rPr>
                <w:rFonts w:hint="eastAsia"/>
                <w:szCs w:val="21"/>
                <w:highlight w:val="none"/>
              </w:rPr>
              <w:t>1.3.3、1.14.2</w:t>
            </w:r>
          </w:p>
        </w:tc>
        <w:tc>
          <w:tcPr>
            <w:tcW w:w="1701" w:type="dxa"/>
            <w:noWrap w:val="0"/>
            <w:vAlign w:val="center"/>
          </w:tcPr>
          <w:p>
            <w:pPr>
              <w:rPr>
                <w:szCs w:val="21"/>
                <w:highlight w:val="none"/>
              </w:rPr>
            </w:pPr>
            <w:r>
              <w:rPr>
                <w:rFonts w:hint="eastAsia"/>
                <w:szCs w:val="21"/>
                <w:highlight w:val="none"/>
              </w:rPr>
              <w:t>投标人特殊资质条件</w:t>
            </w:r>
          </w:p>
        </w:tc>
        <w:tc>
          <w:tcPr>
            <w:tcW w:w="5209" w:type="dxa"/>
            <w:noWrap w:val="0"/>
            <w:vAlign w:val="center"/>
          </w:tcPr>
          <w:p>
            <w:pPr>
              <w:rPr>
                <w:kern w:val="0"/>
                <w:szCs w:val="21"/>
                <w:highlight w:val="none"/>
              </w:rPr>
            </w:pPr>
            <w:r>
              <w:rPr>
                <w:rFonts w:cs="微软雅黑" w:hint="eastAsia"/>
                <w:kern w:val="0"/>
                <w:szCs w:val="21"/>
                <w:highlight w:val="none"/>
              </w:rPr>
              <w:t>投标人应具有以下有效期超过投标截止日的资质：</w:t>
            </w:r>
            <w:bookmarkStart w:id="39" w:name="资_bidderQualificationValidBeyondDeadline"/>
            <w:r>
              <w:rPr>
                <w:rFonts w:ascii="宋体" w:hAnsi="宋体" w:cs="微软雅黑" w:hint="eastAsia"/>
                <w:kern w:val="0"/>
                <w:szCs w:val="21"/>
                <w:highlight w:val="none"/>
              </w:rPr>
              <w:t>无</w:t>
            </w:r>
            <w:bookmarkEnd w:id="39"/>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5.3</w:t>
            </w:r>
          </w:p>
        </w:tc>
        <w:tc>
          <w:tcPr>
            <w:tcW w:w="1418" w:type="dxa"/>
            <w:noWrap w:val="0"/>
            <w:vAlign w:val="center"/>
          </w:tcPr>
          <w:p>
            <w:pPr>
              <w:rPr>
                <w:szCs w:val="21"/>
                <w:highlight w:val="none"/>
              </w:rPr>
            </w:pPr>
            <w:r>
              <w:rPr>
                <w:rFonts w:hint="eastAsia"/>
                <w:szCs w:val="21"/>
                <w:highlight w:val="none"/>
              </w:rPr>
              <w:t>1.3.4</w:t>
            </w:r>
          </w:p>
        </w:tc>
        <w:tc>
          <w:tcPr>
            <w:tcW w:w="1701" w:type="dxa"/>
            <w:noWrap w:val="0"/>
            <w:vAlign w:val="center"/>
          </w:tcPr>
          <w:p>
            <w:pPr>
              <w:rPr>
                <w:szCs w:val="21"/>
                <w:highlight w:val="none"/>
              </w:rPr>
            </w:pPr>
            <w:r>
              <w:rPr>
                <w:rFonts w:hint="eastAsia"/>
                <w:szCs w:val="21"/>
                <w:highlight w:val="none"/>
              </w:rPr>
              <w:t>是否允许代理商投标</w:t>
            </w:r>
          </w:p>
        </w:tc>
        <w:tc>
          <w:tcPr>
            <w:tcW w:w="5209" w:type="dxa"/>
            <w:noWrap w:val="0"/>
            <w:vAlign w:val="center"/>
          </w:tcPr>
          <w:p>
            <w:pPr>
              <w:rPr>
                <w:rFonts w:asciiTheme="minorEastAsia" w:hAnsiTheme="minorEastAsia" w:cstheme="minorEastAsia" w:hint="eastAsia"/>
                <w:kern w:val="0"/>
                <w:szCs w:val="21"/>
                <w:highlight w:val="none"/>
              </w:rPr>
            </w:pPr>
            <w:bookmarkStart w:id="40" w:name="代理商投标_agentFlagText"/>
            <w:r>
              <w:rPr>
                <w:rFonts w:asciiTheme="minorEastAsia" w:eastAsiaTheme="minorEastAsia" w:hAnsiTheme="minorEastAsia" w:cstheme="minorEastAsia" w:hint="eastAsia"/>
                <w:kern w:val="0"/>
                <w:szCs w:val="21"/>
                <w:highlight w:val="none"/>
              </w:rPr>
              <w:t>不允许（仅针对以下产品：所有标的不允许代理商投标）</w:t>
            </w:r>
            <w:bookmarkEnd w:id="40"/>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rFonts w:hint="eastAsia"/>
                <w:szCs w:val="21"/>
                <w:highlight w:val="none"/>
              </w:rPr>
            </w:pPr>
            <w:r>
              <w:rPr>
                <w:rFonts w:hint="eastAsia"/>
                <w:szCs w:val="21"/>
                <w:highlight w:val="none"/>
              </w:rPr>
              <w:t>5.4</w:t>
            </w:r>
          </w:p>
        </w:tc>
        <w:tc>
          <w:tcPr>
            <w:tcW w:w="1418" w:type="dxa"/>
            <w:noWrap w:val="0"/>
            <w:vAlign w:val="center"/>
          </w:tcPr>
          <w:p>
            <w:pPr>
              <w:rPr>
                <w:rFonts w:hint="eastAsia"/>
                <w:szCs w:val="21"/>
                <w:highlight w:val="none"/>
              </w:rPr>
            </w:pPr>
            <w:r>
              <w:rPr>
                <w:rFonts w:hint="eastAsia"/>
                <w:szCs w:val="21"/>
                <w:highlight w:val="none"/>
              </w:rPr>
              <w:t>1.3.4</w:t>
            </w:r>
          </w:p>
        </w:tc>
        <w:tc>
          <w:tcPr>
            <w:tcW w:w="1701" w:type="dxa"/>
            <w:noWrap w:val="0"/>
            <w:vAlign w:val="center"/>
          </w:tcPr>
          <w:p>
            <w:pPr>
              <w:rPr>
                <w:rFonts w:hint="eastAsia"/>
                <w:szCs w:val="21"/>
                <w:highlight w:val="none"/>
              </w:rPr>
            </w:pPr>
            <w:r>
              <w:rPr>
                <w:rFonts w:hint="eastAsia"/>
                <w:szCs w:val="21"/>
                <w:highlight w:val="none"/>
              </w:rPr>
              <w:t>进口产品代理商应提交资料</w:t>
            </w:r>
          </w:p>
        </w:tc>
        <w:tc>
          <w:tcPr>
            <w:tcW w:w="5209" w:type="dxa"/>
            <w:noWrap w:val="0"/>
            <w:vAlign w:val="center"/>
          </w:tcPr>
          <w:p>
            <w:pPr>
              <w:rPr>
                <w:rFonts w:ascii="宋体" w:hAnsi="宋体" w:cs="微软雅黑"/>
                <w:kern w:val="0"/>
                <w:szCs w:val="21"/>
                <w:highlight w:val="none"/>
              </w:rPr>
            </w:pPr>
            <w:bookmarkStart w:id="41" w:name="进口产品_agentMaterials"/>
            <w:r>
              <w:rPr>
                <w:rFonts w:ascii="宋体" w:hAnsi="宋体" w:cs="微软雅黑" w:hint="eastAsia"/>
                <w:kern w:val="0"/>
                <w:szCs w:val="21"/>
                <w:highlight w:val="none"/>
              </w:rPr>
              <w:t>无</w:t>
            </w:r>
            <w:bookmarkEnd w:id="41"/>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5.5</w:t>
            </w:r>
          </w:p>
        </w:tc>
        <w:tc>
          <w:tcPr>
            <w:tcW w:w="1418" w:type="dxa"/>
            <w:noWrap w:val="0"/>
            <w:vAlign w:val="center"/>
          </w:tcPr>
          <w:p>
            <w:pPr>
              <w:rPr>
                <w:szCs w:val="21"/>
                <w:highlight w:val="none"/>
              </w:rPr>
            </w:pPr>
            <w:r>
              <w:rPr>
                <w:rFonts w:hint="eastAsia"/>
                <w:szCs w:val="21"/>
                <w:highlight w:val="none"/>
              </w:rPr>
              <w:t>1.3.4，1.28.4</w:t>
            </w:r>
          </w:p>
        </w:tc>
        <w:tc>
          <w:tcPr>
            <w:tcW w:w="1701" w:type="dxa"/>
            <w:noWrap w:val="0"/>
            <w:vAlign w:val="center"/>
          </w:tcPr>
          <w:p>
            <w:pPr>
              <w:rPr>
                <w:szCs w:val="21"/>
                <w:highlight w:val="none"/>
              </w:rPr>
            </w:pPr>
            <w:r>
              <w:rPr>
                <w:rFonts w:hint="eastAsia"/>
                <w:szCs w:val="21"/>
                <w:highlight w:val="none"/>
              </w:rPr>
              <w:t>是否设有核心产品</w:t>
            </w:r>
          </w:p>
        </w:tc>
        <w:tc>
          <w:tcPr>
            <w:tcW w:w="5209" w:type="dxa"/>
            <w:noWrap w:val="0"/>
            <w:vAlign w:val="center"/>
          </w:tcPr>
          <w:p>
            <w:pPr>
              <w:rPr>
                <w:rFonts w:asciiTheme="minorEastAsia" w:hAnsiTheme="minorEastAsia" w:cstheme="minorEastAsia" w:hint="eastAsia"/>
                <w:kern w:val="0"/>
                <w:szCs w:val="21"/>
                <w:highlight w:val="none"/>
              </w:rPr>
            </w:pPr>
            <w:bookmarkStart w:id="42" w:name="是否设有核心产品_coreFlagText"/>
            <w:r>
              <w:rPr>
                <w:rFonts w:asciiTheme="minorEastAsia" w:eastAsiaTheme="minorEastAsia" w:hAnsiTheme="minorEastAsia" w:cstheme="minorEastAsia" w:hint="eastAsia"/>
                <w:kern w:val="0"/>
                <w:szCs w:val="21"/>
                <w:highlight w:val="none"/>
              </w:rPr>
              <w:t>不设有</w:t>
            </w:r>
            <w:bookmarkEnd w:id="42"/>
          </w:p>
        </w:tc>
      </w:tr>
      <w:tr>
        <w:tblPrEx>
          <w:tblW w:w="0" w:type="auto"/>
          <w:tblInd w:w="0" w:type="dxa"/>
          <w:tblLayout w:type="fixed"/>
          <w:tblCellMar>
            <w:top w:w="0" w:type="dxa"/>
            <w:left w:w="108" w:type="dxa"/>
            <w:bottom w:w="0" w:type="dxa"/>
            <w:right w:w="108" w:type="dxa"/>
          </w:tblCellMar>
        </w:tblPrEx>
        <w:trPr>
          <w:trHeight w:val="609"/>
        </w:trPr>
        <w:tc>
          <w:tcPr>
            <w:tcW w:w="675" w:type="dxa"/>
            <w:noWrap w:val="0"/>
            <w:vAlign w:val="center"/>
          </w:tcPr>
          <w:p>
            <w:pPr>
              <w:rPr>
                <w:szCs w:val="21"/>
                <w:highlight w:val="none"/>
              </w:rPr>
            </w:pPr>
            <w:r>
              <w:rPr>
                <w:rFonts w:hint="eastAsia"/>
                <w:szCs w:val="21"/>
                <w:highlight w:val="none"/>
              </w:rPr>
              <w:t>5.6</w:t>
            </w:r>
          </w:p>
        </w:tc>
        <w:tc>
          <w:tcPr>
            <w:tcW w:w="1418" w:type="dxa"/>
            <w:noWrap w:val="0"/>
            <w:vAlign w:val="center"/>
          </w:tcPr>
          <w:p>
            <w:pPr>
              <w:rPr>
                <w:szCs w:val="21"/>
                <w:highlight w:val="none"/>
              </w:rPr>
            </w:pPr>
            <w:r>
              <w:rPr>
                <w:rFonts w:hint="eastAsia"/>
                <w:szCs w:val="21"/>
                <w:highlight w:val="none"/>
              </w:rPr>
              <w:t>1.3.6</w:t>
            </w:r>
          </w:p>
        </w:tc>
        <w:tc>
          <w:tcPr>
            <w:tcW w:w="1701" w:type="dxa"/>
            <w:noWrap w:val="0"/>
            <w:vAlign w:val="center"/>
          </w:tcPr>
          <w:p>
            <w:pPr>
              <w:rPr>
                <w:szCs w:val="21"/>
                <w:highlight w:val="none"/>
              </w:rPr>
            </w:pPr>
            <w:r>
              <w:rPr>
                <w:rFonts w:hint="eastAsia"/>
                <w:szCs w:val="21"/>
                <w:highlight w:val="none"/>
              </w:rPr>
              <w:t>是否允许联合体投标</w:t>
            </w:r>
          </w:p>
        </w:tc>
        <w:tc>
          <w:tcPr>
            <w:tcW w:w="5209" w:type="dxa"/>
            <w:noWrap w:val="0"/>
            <w:vAlign w:val="center"/>
          </w:tcPr>
          <w:p>
            <w:pPr>
              <w:rPr>
                <w:rFonts w:ascii="宋体" w:hAnsi="宋体" w:cs="微软雅黑" w:hint="eastAsia"/>
                <w:kern w:val="0"/>
                <w:szCs w:val="21"/>
                <w:highlight w:val="none"/>
              </w:rPr>
            </w:pPr>
            <w:bookmarkStart w:id="43" w:name="联合体投标_jointFlagText"/>
            <w:r>
              <w:rPr>
                <w:rFonts w:ascii="宋体" w:hAnsi="宋体" w:cs="微软雅黑" w:hint="eastAsia"/>
                <w:kern w:val="0"/>
                <w:szCs w:val="21"/>
                <w:highlight w:val="none"/>
              </w:rPr>
              <w:t>不允许</w:t>
            </w:r>
            <w:bookmarkEnd w:id="43"/>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5.7</w:t>
            </w:r>
          </w:p>
        </w:tc>
        <w:tc>
          <w:tcPr>
            <w:tcW w:w="1418" w:type="dxa"/>
            <w:noWrap w:val="0"/>
            <w:vAlign w:val="center"/>
          </w:tcPr>
          <w:p>
            <w:pPr>
              <w:rPr>
                <w:szCs w:val="21"/>
                <w:highlight w:val="none"/>
              </w:rPr>
            </w:pPr>
            <w:r>
              <w:rPr>
                <w:rFonts w:hint="eastAsia"/>
                <w:szCs w:val="21"/>
                <w:highlight w:val="none"/>
              </w:rPr>
              <w:t>1.3.7</w:t>
            </w:r>
          </w:p>
        </w:tc>
        <w:tc>
          <w:tcPr>
            <w:tcW w:w="1701" w:type="dxa"/>
            <w:noWrap w:val="0"/>
            <w:vAlign w:val="center"/>
          </w:tcPr>
          <w:p>
            <w:pPr>
              <w:rPr>
                <w:szCs w:val="21"/>
                <w:highlight w:val="none"/>
              </w:rPr>
            </w:pPr>
            <w:r>
              <w:rPr>
                <w:rFonts w:hint="eastAsia"/>
                <w:szCs w:val="21"/>
                <w:highlight w:val="none"/>
              </w:rPr>
              <w:t>投标的货物，是否必须取得《气象专用技术装备使用许可证》</w:t>
            </w:r>
          </w:p>
        </w:tc>
        <w:tc>
          <w:tcPr>
            <w:tcW w:w="5209" w:type="dxa"/>
            <w:noWrap w:val="0"/>
            <w:vAlign w:val="center"/>
          </w:tcPr>
          <w:p>
            <w:pPr>
              <w:rPr>
                <w:rFonts w:asciiTheme="minorEastAsia" w:hAnsiTheme="minorEastAsia" w:cstheme="minorEastAsia" w:hint="eastAsia"/>
                <w:kern w:val="0"/>
                <w:szCs w:val="21"/>
                <w:highlight w:val="none"/>
              </w:rPr>
            </w:pPr>
            <w:bookmarkStart w:id="44" w:name="许可证_exclusiveLicenseFlagText"/>
            <w:r>
              <w:rPr>
                <w:rFonts w:asciiTheme="minorEastAsia" w:eastAsiaTheme="minorEastAsia" w:hAnsiTheme="minorEastAsia" w:cstheme="minorEastAsia" w:hint="eastAsia"/>
                <w:kern w:val="0"/>
                <w:szCs w:val="21"/>
                <w:highlight w:val="none"/>
              </w:rPr>
              <w:t>不必须</w:t>
            </w:r>
            <w:bookmarkEnd w:id="4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szCs w:val="21"/>
                <w:highlight w:val="none"/>
              </w:rPr>
            </w:pPr>
            <w:r>
              <w:rPr>
                <w:rFonts w:hint="eastAsia"/>
                <w:szCs w:val="21"/>
                <w:highlight w:val="none"/>
              </w:rPr>
              <w:t>5.8</w:t>
            </w:r>
          </w:p>
        </w:tc>
        <w:tc>
          <w:tcPr>
            <w:tcW w:w="1418" w:type="dxa"/>
            <w:noWrap w:val="0"/>
            <w:vAlign w:val="center"/>
          </w:tcPr>
          <w:p>
            <w:pPr>
              <w:rPr>
                <w:szCs w:val="21"/>
                <w:highlight w:val="none"/>
              </w:rPr>
            </w:pPr>
            <w:r>
              <w:rPr>
                <w:rFonts w:hint="eastAsia"/>
                <w:szCs w:val="21"/>
                <w:highlight w:val="none"/>
              </w:rPr>
              <w:t>1.4.1</w:t>
            </w:r>
          </w:p>
        </w:tc>
        <w:tc>
          <w:tcPr>
            <w:tcW w:w="1701" w:type="dxa"/>
            <w:noWrap w:val="0"/>
            <w:vAlign w:val="center"/>
          </w:tcPr>
          <w:p>
            <w:pPr>
              <w:rPr>
                <w:szCs w:val="21"/>
                <w:highlight w:val="none"/>
              </w:rPr>
            </w:pPr>
            <w:r>
              <w:rPr>
                <w:rFonts w:hint="eastAsia"/>
                <w:szCs w:val="21"/>
                <w:highlight w:val="none"/>
              </w:rPr>
              <w:t>是否允许进口产品投标</w:t>
            </w:r>
          </w:p>
        </w:tc>
        <w:tc>
          <w:tcPr>
            <w:tcW w:w="5209" w:type="dxa"/>
            <w:noWrap w:val="0"/>
            <w:vAlign w:val="center"/>
          </w:tcPr>
          <w:p>
            <w:pPr>
              <w:rPr>
                <w:rFonts w:asciiTheme="minorEastAsia" w:hAnsiTheme="minorEastAsia" w:cstheme="minorEastAsia" w:hint="eastAsia"/>
                <w:kern w:val="0"/>
                <w:szCs w:val="21"/>
                <w:highlight w:val="none"/>
              </w:rPr>
            </w:pPr>
            <w:bookmarkStart w:id="45" w:name="进口产品投标_entranceFlagText"/>
            <w:r>
              <w:rPr>
                <w:rFonts w:asciiTheme="minorEastAsia" w:eastAsiaTheme="minorEastAsia" w:hAnsiTheme="minorEastAsia" w:cstheme="minorEastAsia" w:hint="eastAsia"/>
                <w:kern w:val="0"/>
                <w:szCs w:val="21"/>
                <w:highlight w:val="none"/>
              </w:rPr>
              <w:t>不允许</w:t>
            </w:r>
            <w:bookmarkEnd w:id="45"/>
          </w:p>
        </w:tc>
      </w:tr>
      <w:tr>
        <w:tblPrEx>
          <w:tblW w:w="0" w:type="auto"/>
          <w:tblInd w:w="0" w:type="dxa"/>
          <w:tblLayout w:type="fixed"/>
          <w:tblCellMar>
            <w:top w:w="0" w:type="dxa"/>
            <w:left w:w="108" w:type="dxa"/>
            <w:bottom w:w="0" w:type="dxa"/>
            <w:right w:w="108" w:type="dxa"/>
          </w:tblCellMar>
        </w:tblPrEx>
        <w:trPr>
          <w:trHeight w:val="1009"/>
        </w:trPr>
        <w:tc>
          <w:tcPr>
            <w:tcW w:w="675" w:type="dxa"/>
            <w:noWrap w:val="0"/>
            <w:vAlign w:val="center"/>
          </w:tcPr>
          <w:p>
            <w:pPr>
              <w:rPr>
                <w:rFonts w:hint="eastAsia"/>
                <w:szCs w:val="21"/>
                <w:highlight w:val="none"/>
              </w:rPr>
            </w:pPr>
            <w:r>
              <w:rPr>
                <w:rFonts w:hint="eastAsia"/>
                <w:szCs w:val="21"/>
                <w:highlight w:val="none"/>
              </w:rPr>
              <w:t>5.9</w:t>
            </w:r>
          </w:p>
        </w:tc>
        <w:tc>
          <w:tcPr>
            <w:tcW w:w="1418" w:type="dxa"/>
            <w:noWrap w:val="0"/>
            <w:vAlign w:val="center"/>
          </w:tcPr>
          <w:p>
            <w:pPr>
              <w:rPr>
                <w:rFonts w:hint="eastAsia"/>
                <w:szCs w:val="21"/>
                <w:highlight w:val="none"/>
              </w:rPr>
            </w:pPr>
            <w:r>
              <w:rPr>
                <w:rFonts w:hint="eastAsia"/>
                <w:szCs w:val="21"/>
                <w:highlight w:val="none"/>
              </w:rPr>
              <w:t>1.5.1</w:t>
            </w:r>
          </w:p>
        </w:tc>
        <w:tc>
          <w:tcPr>
            <w:tcW w:w="1701" w:type="dxa"/>
            <w:noWrap w:val="0"/>
            <w:vAlign w:val="center"/>
          </w:tcPr>
          <w:p>
            <w:pPr>
              <w:rPr>
                <w:rFonts w:hint="eastAsia"/>
                <w:szCs w:val="21"/>
                <w:highlight w:val="none"/>
              </w:rPr>
            </w:pPr>
            <w:r>
              <w:rPr>
                <w:rFonts w:hint="eastAsia"/>
                <w:szCs w:val="21"/>
                <w:highlight w:val="none"/>
              </w:rPr>
              <w:t>采购标的对应的中小企业划分标准所属行业</w:t>
            </w:r>
          </w:p>
        </w:tc>
        <w:tc>
          <w:tcPr>
            <w:tcW w:w="5209" w:type="dxa"/>
            <w:noWrap w:val="0"/>
            <w:vAlign w:val="center"/>
          </w:tcPr>
          <w:p>
            <w:pPr>
              <w:rPr>
                <w:rFonts w:ascii="Calibri" w:hAnsi="Calibri" w:hint="eastAsia"/>
                <w:highlight w:val="none"/>
              </w:rPr>
            </w:pPr>
            <w:r>
              <w:rPr>
                <w:rFonts w:ascii="Calibri" w:hAnsi="Calibri" w:hint="eastAsia"/>
                <w:szCs w:val="22"/>
                <w:highlight w:val="none"/>
              </w:rPr>
              <w:t>所属行业划分标准为：《关于印发中小企业划型标准规定的通知》（工信部联企业〔2011〕300号）</w:t>
            </w:r>
          </w:p>
          <w:p>
            <w:pPr>
              <w:rPr>
                <w:rFonts w:ascii="宋体" w:hAnsi="宋体" w:cs="微软雅黑" w:hint="eastAsia"/>
                <w:kern w:val="0"/>
                <w:szCs w:val="21"/>
                <w:highlight w:val="none"/>
              </w:rPr>
            </w:pPr>
            <w:bookmarkStart w:id="46" w:name="行业_smeIndustryClassification"/>
            <w:r>
              <w:rPr>
                <w:rFonts w:ascii="宋体" w:hAnsi="宋体" w:cs="微软雅黑" w:hint="eastAsia"/>
                <w:kern w:val="0"/>
                <w:szCs w:val="21"/>
                <w:highlight w:val="none"/>
              </w:rPr>
              <w:t>（1）标的：火箭弹    ，属于 工业 行业；</w:t>
            </w:r>
            <w:bookmarkEnd w:id="46"/>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rFonts w:hint="eastAsia"/>
                <w:szCs w:val="21"/>
                <w:highlight w:val="none"/>
              </w:rPr>
            </w:pPr>
            <w:r>
              <w:rPr>
                <w:rFonts w:hint="eastAsia"/>
                <w:szCs w:val="21"/>
                <w:highlight w:val="none"/>
              </w:rPr>
              <w:t>5.10</w:t>
            </w:r>
          </w:p>
        </w:tc>
        <w:tc>
          <w:tcPr>
            <w:tcW w:w="1418" w:type="dxa"/>
            <w:noWrap w:val="0"/>
            <w:vAlign w:val="center"/>
          </w:tcPr>
          <w:p>
            <w:pPr>
              <w:jc w:val="left"/>
              <w:rPr>
                <w:rFonts w:hint="eastAsia"/>
                <w:szCs w:val="21"/>
                <w:highlight w:val="none"/>
              </w:rPr>
            </w:pPr>
            <w:r>
              <w:rPr>
                <w:rFonts w:hint="eastAsia"/>
                <w:szCs w:val="21"/>
                <w:highlight w:val="none"/>
              </w:rPr>
              <w:t>1.5.3</w:t>
            </w:r>
          </w:p>
        </w:tc>
        <w:tc>
          <w:tcPr>
            <w:tcW w:w="1701" w:type="dxa"/>
            <w:noWrap w:val="0"/>
            <w:vAlign w:val="center"/>
          </w:tcPr>
          <w:p>
            <w:pPr>
              <w:rPr>
                <w:rFonts w:hint="eastAsia"/>
                <w:szCs w:val="21"/>
                <w:highlight w:val="none"/>
              </w:rPr>
            </w:pPr>
            <w:r>
              <w:rPr>
                <w:rFonts w:hint="eastAsia"/>
                <w:szCs w:val="21"/>
                <w:highlight w:val="none"/>
              </w:rPr>
              <w:t>是否预留采购份额面向中小企业采购</w:t>
            </w:r>
          </w:p>
        </w:tc>
        <w:tc>
          <w:tcPr>
            <w:tcW w:w="5209" w:type="dxa"/>
            <w:noWrap w:val="0"/>
            <w:vAlign w:val="center"/>
          </w:tcPr>
          <w:p>
            <w:pPr>
              <w:rPr>
                <w:rFonts w:ascii="宋体" w:hAnsi="宋体" w:cs="微软雅黑" w:hint="eastAsia"/>
                <w:kern w:val="0"/>
                <w:szCs w:val="21"/>
                <w:highlight w:val="none"/>
              </w:rPr>
            </w:pPr>
            <w:bookmarkStart w:id="47" w:name="中小企业_minorEnterprisesFlagText"/>
            <w:r>
              <w:rPr>
                <w:rFonts w:ascii="Wingdings 2" w:hAnsi="Wingdings 2" w:cs="微软雅黑" w:hint="eastAsia"/>
                <w:kern w:val="0"/>
                <w:szCs w:val="21"/>
                <w:highlight w:val="none"/>
                <w:lang w:eastAsia="zh-CN"/>
              </w:rPr>
              <w:t>否</w:t>
            </w:r>
            <w:bookmarkEnd w:id="47"/>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5.11</w:t>
            </w:r>
          </w:p>
        </w:tc>
        <w:tc>
          <w:tcPr>
            <w:tcW w:w="1418" w:type="dxa"/>
            <w:noWrap w:val="0"/>
            <w:vAlign w:val="center"/>
          </w:tcPr>
          <w:p>
            <w:pPr>
              <w:rPr>
                <w:szCs w:val="21"/>
                <w:highlight w:val="none"/>
              </w:rPr>
            </w:pPr>
            <w:r>
              <w:rPr>
                <w:rFonts w:hint="eastAsia"/>
                <w:szCs w:val="21"/>
                <w:highlight w:val="none"/>
              </w:rPr>
              <w:t>1.9.2</w:t>
            </w:r>
          </w:p>
        </w:tc>
        <w:tc>
          <w:tcPr>
            <w:tcW w:w="1701" w:type="dxa"/>
            <w:noWrap w:val="0"/>
            <w:vAlign w:val="center"/>
          </w:tcPr>
          <w:p>
            <w:pPr>
              <w:rPr>
                <w:szCs w:val="21"/>
                <w:highlight w:val="none"/>
              </w:rPr>
            </w:pPr>
            <w:r>
              <w:rPr>
                <w:rFonts w:hint="eastAsia"/>
                <w:szCs w:val="21"/>
                <w:highlight w:val="none"/>
              </w:rPr>
              <w:t>中标人是否需要交纳代理服务费</w:t>
            </w:r>
          </w:p>
        </w:tc>
        <w:tc>
          <w:tcPr>
            <w:tcW w:w="5209" w:type="dxa"/>
            <w:noWrap w:val="0"/>
            <w:vAlign w:val="center"/>
          </w:tcPr>
          <w:p>
            <w:pPr>
              <w:rPr>
                <w:rFonts w:hint="eastAsia"/>
                <w:highlight w:val="none"/>
              </w:rPr>
            </w:pPr>
            <w:bookmarkStart w:id="48" w:name="中标服务费_finalAmountText"/>
            <w:r>
              <w:rPr>
                <w:rFonts w:hint="eastAsia"/>
                <w:highlight w:val="none"/>
                <w:lang w:eastAsia="zh-CN"/>
              </w:rPr>
              <w:t>是，中标服务费：3.2万元。</w:t>
            </w:r>
            <w:bookmarkEnd w:id="48"/>
            <w:r>
              <w:rPr>
                <w:rFonts w:ascii="宋体" w:hAnsi="宋体" w:cs="微软雅黑" w:hint="eastAsia"/>
                <w:kern w:val="0"/>
                <w:szCs w:val="21"/>
                <w:highlight w:val="none"/>
              </w:rPr>
              <w:t xml:space="preserve"> </w:t>
            </w:r>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5.12</w:t>
            </w:r>
          </w:p>
        </w:tc>
        <w:tc>
          <w:tcPr>
            <w:tcW w:w="1418" w:type="dxa"/>
            <w:noWrap w:val="0"/>
            <w:vAlign w:val="center"/>
          </w:tcPr>
          <w:p>
            <w:pPr>
              <w:rPr>
                <w:szCs w:val="21"/>
                <w:highlight w:val="none"/>
              </w:rPr>
            </w:pPr>
            <w:r>
              <w:rPr>
                <w:rFonts w:hint="eastAsia"/>
                <w:szCs w:val="21"/>
                <w:highlight w:val="none"/>
              </w:rPr>
              <w:t>1.12.7</w:t>
            </w:r>
          </w:p>
        </w:tc>
        <w:tc>
          <w:tcPr>
            <w:tcW w:w="1701" w:type="dxa"/>
            <w:noWrap w:val="0"/>
            <w:vAlign w:val="center"/>
          </w:tcPr>
          <w:p>
            <w:pPr>
              <w:rPr>
                <w:szCs w:val="21"/>
                <w:highlight w:val="none"/>
              </w:rPr>
            </w:pPr>
            <w:r>
              <w:rPr>
                <w:rFonts w:hint="eastAsia"/>
                <w:szCs w:val="21"/>
                <w:highlight w:val="none"/>
              </w:rPr>
              <w:t>是否组织现场考察或开标前答疑会</w:t>
            </w:r>
          </w:p>
        </w:tc>
        <w:tc>
          <w:tcPr>
            <w:tcW w:w="5209" w:type="dxa"/>
            <w:noWrap w:val="0"/>
            <w:vAlign w:val="center"/>
          </w:tcPr>
          <w:p>
            <w:pPr>
              <w:rPr>
                <w:rFonts w:ascii="宋体" w:hAnsi="宋体" w:cs="微软雅黑" w:hint="eastAsia"/>
                <w:kern w:val="0"/>
                <w:szCs w:val="21"/>
                <w:highlight w:val="none"/>
              </w:rPr>
            </w:pPr>
            <w:bookmarkStart w:id="49" w:name="答疑会_answeringQuestionFlagText"/>
            <w:r>
              <w:rPr>
                <w:rFonts w:ascii="宋体" w:hAnsi="宋体" w:cs="微软雅黑" w:hint="eastAsia"/>
                <w:kern w:val="0"/>
                <w:szCs w:val="21"/>
                <w:highlight w:val="none"/>
              </w:rPr>
              <w:t>否</w:t>
            </w:r>
            <w:bookmarkEnd w:id="49"/>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5.13</w:t>
            </w:r>
          </w:p>
        </w:tc>
        <w:tc>
          <w:tcPr>
            <w:tcW w:w="1418" w:type="dxa"/>
            <w:noWrap w:val="0"/>
            <w:vAlign w:val="center"/>
          </w:tcPr>
          <w:p>
            <w:pPr>
              <w:rPr>
                <w:szCs w:val="21"/>
                <w:highlight w:val="none"/>
              </w:rPr>
            </w:pPr>
            <w:r>
              <w:rPr>
                <w:rFonts w:hint="eastAsia"/>
                <w:szCs w:val="21"/>
                <w:highlight w:val="none"/>
              </w:rPr>
              <w:t>1.14.2、1.14.3</w:t>
            </w:r>
          </w:p>
        </w:tc>
        <w:tc>
          <w:tcPr>
            <w:tcW w:w="1701" w:type="dxa"/>
            <w:noWrap w:val="0"/>
            <w:vAlign w:val="center"/>
          </w:tcPr>
          <w:p>
            <w:pPr>
              <w:rPr>
                <w:szCs w:val="21"/>
                <w:highlight w:val="none"/>
              </w:rPr>
            </w:pPr>
            <w:r>
              <w:rPr>
                <w:rFonts w:hint="eastAsia"/>
                <w:szCs w:val="21"/>
                <w:highlight w:val="none"/>
              </w:rPr>
              <w:t>投标人应提交其他商务文件和技术文件</w:t>
            </w:r>
          </w:p>
        </w:tc>
        <w:tc>
          <w:tcPr>
            <w:tcW w:w="5209" w:type="dxa"/>
            <w:noWrap w:val="0"/>
            <w:vAlign w:val="center"/>
          </w:tcPr>
          <w:p>
            <w:pPr>
              <w:rPr>
                <w:rFonts w:ascii="宋体" w:hAnsi="宋体" w:cs="微软雅黑" w:hint="eastAsia"/>
                <w:kern w:val="0"/>
                <w:szCs w:val="21"/>
                <w:highlight w:val="none"/>
              </w:rPr>
            </w:pPr>
            <w:r>
              <w:rPr>
                <w:rFonts w:ascii="宋体" w:hAnsi="宋体" w:cs="微软雅黑" w:hint="eastAsia"/>
                <w:kern w:val="0"/>
                <w:szCs w:val="21"/>
                <w:highlight w:val="none"/>
              </w:rPr>
              <w:t>除通用册投标人须知要求提交的商务和技术文件外，投标人还应提交下列商务和技术文件：</w:t>
            </w:r>
          </w:p>
          <w:p>
            <w:pPr>
              <w:rPr>
                <w:rFonts w:hint="default"/>
                <w:kern w:val="0"/>
                <w:szCs w:val="21"/>
                <w:highlight w:val="none"/>
              </w:rPr>
            </w:pPr>
            <w:r>
              <w:rPr>
                <w:rFonts w:hint="eastAsia"/>
                <w:kern w:val="0"/>
                <w:szCs w:val="21"/>
                <w:highlight w:val="none"/>
                <w:lang w:val="en-US" w:eastAsia="zh-CN"/>
              </w:rPr>
              <w:t>无</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5.14</w:t>
            </w:r>
          </w:p>
        </w:tc>
        <w:tc>
          <w:tcPr>
            <w:tcW w:w="1418" w:type="dxa"/>
            <w:noWrap w:val="0"/>
            <w:vAlign w:val="center"/>
          </w:tcPr>
          <w:p>
            <w:pPr>
              <w:rPr>
                <w:szCs w:val="21"/>
                <w:highlight w:val="none"/>
              </w:rPr>
            </w:pPr>
            <w:r>
              <w:rPr>
                <w:rFonts w:hint="eastAsia"/>
                <w:szCs w:val="21"/>
                <w:highlight w:val="none"/>
              </w:rPr>
              <w:t>1.16.1</w:t>
            </w:r>
          </w:p>
        </w:tc>
        <w:tc>
          <w:tcPr>
            <w:tcW w:w="1701" w:type="dxa"/>
            <w:noWrap w:val="0"/>
            <w:vAlign w:val="center"/>
          </w:tcPr>
          <w:p>
            <w:pPr>
              <w:rPr>
                <w:szCs w:val="21"/>
                <w:highlight w:val="none"/>
              </w:rPr>
            </w:pPr>
            <w:r>
              <w:rPr>
                <w:rFonts w:hint="eastAsia"/>
                <w:szCs w:val="21"/>
                <w:highlight w:val="none"/>
              </w:rPr>
              <w:t>本次招标是否需要提交投标保证金</w:t>
            </w:r>
          </w:p>
        </w:tc>
        <w:tc>
          <w:tcPr>
            <w:tcW w:w="5209" w:type="dxa"/>
            <w:noWrap w:val="0"/>
            <w:vAlign w:val="center"/>
          </w:tcPr>
          <w:p>
            <w:pPr>
              <w:rPr>
                <w:rFonts w:asciiTheme="minorEastAsia" w:hAnsiTheme="minorEastAsia" w:cstheme="minorEastAsia" w:hint="eastAsia"/>
                <w:kern w:val="0"/>
                <w:szCs w:val="21"/>
                <w:highlight w:val="none"/>
              </w:rPr>
            </w:pPr>
            <w:bookmarkStart w:id="50" w:name="标保证金_bailFlagText"/>
            <w:r>
              <w:rPr>
                <w:rFonts w:asciiTheme="minorEastAsia" w:eastAsiaTheme="minorEastAsia" w:hAnsiTheme="minorEastAsia" w:cstheme="minorEastAsia" w:hint="eastAsia"/>
                <w:kern w:val="0"/>
                <w:szCs w:val="21"/>
                <w:highlight w:val="none"/>
              </w:rPr>
              <w:t>否</w:t>
            </w:r>
            <w:bookmarkEnd w:id="50"/>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rFonts w:hint="eastAsia"/>
                <w:szCs w:val="21"/>
                <w:highlight w:val="none"/>
              </w:rPr>
            </w:pPr>
            <w:r>
              <w:rPr>
                <w:rFonts w:hint="eastAsia"/>
                <w:szCs w:val="21"/>
                <w:highlight w:val="none"/>
              </w:rPr>
              <w:t>5.15</w:t>
            </w:r>
          </w:p>
        </w:tc>
        <w:tc>
          <w:tcPr>
            <w:tcW w:w="1418" w:type="dxa"/>
            <w:noWrap w:val="0"/>
            <w:vAlign w:val="center"/>
          </w:tcPr>
          <w:p>
            <w:pPr>
              <w:rPr>
                <w:rFonts w:hint="eastAsia"/>
                <w:szCs w:val="21"/>
                <w:highlight w:val="none"/>
              </w:rPr>
            </w:pPr>
            <w:r>
              <w:rPr>
                <w:rFonts w:hint="eastAsia"/>
                <w:szCs w:val="21"/>
                <w:highlight w:val="none"/>
              </w:rPr>
              <w:t>1.17.2</w:t>
            </w:r>
          </w:p>
        </w:tc>
        <w:tc>
          <w:tcPr>
            <w:tcW w:w="1701" w:type="dxa"/>
            <w:noWrap w:val="0"/>
            <w:vAlign w:val="center"/>
          </w:tcPr>
          <w:p>
            <w:pPr>
              <w:rPr>
                <w:rFonts w:hint="eastAsia"/>
                <w:szCs w:val="21"/>
                <w:highlight w:val="none"/>
              </w:rPr>
            </w:pPr>
            <w:r>
              <w:rPr>
                <w:rFonts w:hint="eastAsia"/>
                <w:szCs w:val="21"/>
                <w:highlight w:val="none"/>
              </w:rPr>
              <w:t>项目预算</w:t>
            </w:r>
          </w:p>
        </w:tc>
        <w:tc>
          <w:tcPr>
            <w:tcW w:w="5209" w:type="dxa"/>
            <w:noWrap w:val="0"/>
            <w:vAlign w:val="center"/>
          </w:tcPr>
          <w:p>
            <w:pPr>
              <w:rPr>
                <w:rFonts w:ascii="宋体" w:hAnsi="宋体" w:cs="微软雅黑"/>
                <w:kern w:val="0"/>
                <w:szCs w:val="21"/>
                <w:highlight w:val="none"/>
              </w:rPr>
            </w:pPr>
            <w:r>
              <w:rPr>
                <w:rFonts w:hint="eastAsia"/>
                <w:szCs w:val="21"/>
                <w:highlight w:val="none"/>
              </w:rPr>
              <w:t>本项目采购预算（或最高限价）为人民币</w:t>
            </w:r>
            <w:r>
              <w:rPr>
                <w:rFonts w:ascii="宋体" w:hAnsi="宋体" w:cs="微软雅黑" w:hint="eastAsia"/>
                <w:kern w:val="0"/>
                <w:szCs w:val="21"/>
                <w:highlight w:val="none"/>
              </w:rPr>
              <w:t xml:space="preserve">  </w:t>
            </w:r>
            <w:bookmarkStart w:id="51" w:name="预算金额_budgetAmount"/>
            <w:r>
              <w:rPr>
                <w:rFonts w:ascii="宋体" w:hAnsi="宋体" w:cs="微软雅黑" w:hint="eastAsia"/>
                <w:kern w:val="0"/>
                <w:szCs w:val="21"/>
                <w:highlight w:val="none"/>
              </w:rPr>
              <w:t>310.660000</w:t>
            </w:r>
            <w:bookmarkEnd w:id="51"/>
            <w:r>
              <w:rPr>
                <w:rFonts w:ascii="宋体" w:hAnsi="宋体" w:cs="微软雅黑" w:hint="eastAsia"/>
                <w:kern w:val="0"/>
                <w:szCs w:val="21"/>
                <w:highlight w:val="none"/>
              </w:rPr>
              <w:t>万元</w:t>
            </w:r>
            <w:bookmarkStart w:id="52" w:name="预算明细_packMoneyDetail"/>
            <w:r>
              <w:rPr>
                <w:rFonts w:hint="eastAsia"/>
                <w:szCs w:val="21"/>
                <w:highlight w:val="none"/>
              </w:rPr>
              <w:t>,包 1 采购预算(或最高限价)为人民币 310.660000 万元</w:t>
            </w:r>
            <w:bookmarkEnd w:id="52"/>
            <w:r>
              <w:rPr>
                <w:rFonts w:hint="eastAsia"/>
                <w:szCs w:val="21"/>
                <w:highlight w:val="none"/>
              </w:rPr>
              <w:t>。</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5.16</w:t>
            </w:r>
          </w:p>
        </w:tc>
        <w:tc>
          <w:tcPr>
            <w:tcW w:w="1418" w:type="dxa"/>
            <w:noWrap w:val="0"/>
            <w:vAlign w:val="center"/>
          </w:tcPr>
          <w:p>
            <w:pPr>
              <w:rPr>
                <w:szCs w:val="21"/>
                <w:highlight w:val="none"/>
              </w:rPr>
            </w:pPr>
            <w:r>
              <w:rPr>
                <w:rFonts w:hint="eastAsia"/>
                <w:szCs w:val="21"/>
                <w:highlight w:val="none"/>
              </w:rPr>
              <w:t>1.18.1</w:t>
            </w:r>
          </w:p>
        </w:tc>
        <w:tc>
          <w:tcPr>
            <w:tcW w:w="1701" w:type="dxa"/>
            <w:noWrap w:val="0"/>
            <w:vAlign w:val="center"/>
          </w:tcPr>
          <w:p>
            <w:pPr>
              <w:rPr>
                <w:szCs w:val="21"/>
                <w:highlight w:val="none"/>
              </w:rPr>
            </w:pPr>
            <w:r>
              <w:rPr>
                <w:rFonts w:hint="eastAsia"/>
                <w:szCs w:val="21"/>
                <w:highlight w:val="none"/>
              </w:rPr>
              <w:t>是否允许投标人将项目非主体、非关键性工作交由他人完成</w:t>
            </w:r>
          </w:p>
        </w:tc>
        <w:tc>
          <w:tcPr>
            <w:tcW w:w="5209" w:type="dxa"/>
            <w:noWrap w:val="0"/>
            <w:vAlign w:val="center"/>
          </w:tcPr>
          <w:p>
            <w:pPr>
              <w:rPr>
                <w:rFonts w:ascii="宋体" w:hAnsi="宋体" w:cs="微软雅黑" w:hint="eastAsia"/>
                <w:kern w:val="0"/>
                <w:szCs w:val="21"/>
                <w:highlight w:val="none"/>
              </w:rPr>
            </w:pPr>
            <w:bookmarkStart w:id="53" w:name="关键性工作_entrustingOthersFlagText"/>
            <w:r>
              <w:rPr>
                <w:rFonts w:ascii="Wingdings 2" w:hAnsi="Wingdings 2" w:cs="微软雅黑"/>
                <w:kern w:val="0"/>
                <w:szCs w:val="21"/>
                <w:highlight w:val="none"/>
              </w:rPr>
              <w:t>不允许</w:t>
            </w:r>
            <w:bookmarkEnd w:id="53"/>
          </w:p>
        </w:tc>
      </w:tr>
      <w:tr>
        <w:tblPrEx>
          <w:tblW w:w="0" w:type="auto"/>
          <w:tblInd w:w="0" w:type="dxa"/>
          <w:tblLayout w:type="fixed"/>
          <w:tblCellMar>
            <w:top w:w="0" w:type="dxa"/>
            <w:left w:w="108" w:type="dxa"/>
            <w:bottom w:w="0" w:type="dxa"/>
            <w:right w:w="108" w:type="dxa"/>
          </w:tblCellMar>
        </w:tblPrEx>
        <w:trPr>
          <w:trHeight w:val="556"/>
        </w:trPr>
        <w:tc>
          <w:tcPr>
            <w:tcW w:w="675" w:type="dxa"/>
            <w:noWrap w:val="0"/>
            <w:vAlign w:val="center"/>
          </w:tcPr>
          <w:p>
            <w:pPr>
              <w:rPr>
                <w:szCs w:val="21"/>
                <w:highlight w:val="none"/>
              </w:rPr>
            </w:pPr>
            <w:r>
              <w:rPr>
                <w:rFonts w:hint="eastAsia"/>
                <w:szCs w:val="21"/>
                <w:highlight w:val="none"/>
              </w:rPr>
              <w:t>5.17</w:t>
            </w:r>
          </w:p>
        </w:tc>
        <w:tc>
          <w:tcPr>
            <w:tcW w:w="1418" w:type="dxa"/>
            <w:noWrap w:val="0"/>
            <w:vAlign w:val="center"/>
          </w:tcPr>
          <w:p>
            <w:pPr>
              <w:rPr>
                <w:szCs w:val="21"/>
                <w:highlight w:val="none"/>
              </w:rPr>
            </w:pPr>
            <w:r>
              <w:rPr>
                <w:rFonts w:hint="eastAsia"/>
                <w:szCs w:val="21"/>
                <w:highlight w:val="none"/>
              </w:rPr>
              <w:t>1.20.1</w:t>
            </w:r>
          </w:p>
        </w:tc>
        <w:tc>
          <w:tcPr>
            <w:tcW w:w="1701" w:type="dxa"/>
            <w:noWrap w:val="0"/>
            <w:vAlign w:val="center"/>
          </w:tcPr>
          <w:p>
            <w:pPr>
              <w:rPr>
                <w:szCs w:val="21"/>
                <w:highlight w:val="none"/>
              </w:rPr>
            </w:pPr>
            <w:r>
              <w:rPr>
                <w:rFonts w:hint="eastAsia"/>
                <w:szCs w:val="21"/>
                <w:highlight w:val="none"/>
              </w:rPr>
              <w:t>投标有效期</w:t>
            </w:r>
          </w:p>
        </w:tc>
        <w:tc>
          <w:tcPr>
            <w:tcW w:w="5209" w:type="dxa"/>
            <w:noWrap w:val="0"/>
            <w:vAlign w:val="center"/>
          </w:tcPr>
          <w:p>
            <w:pPr>
              <w:rPr>
                <w:szCs w:val="21"/>
                <w:highlight w:val="none"/>
              </w:rPr>
            </w:pPr>
            <w:bookmarkStart w:id="54" w:name="投标有效期_bidExpirationDate"/>
            <w:r>
              <w:rPr>
                <w:rFonts w:ascii="宋体" w:hAnsi="宋体" w:cs="微软雅黑" w:hint="eastAsia"/>
                <w:kern w:val="0"/>
                <w:szCs w:val="21"/>
                <w:highlight w:val="none"/>
              </w:rPr>
              <w:t>120日历天</w:t>
            </w:r>
            <w:bookmarkEnd w:id="5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rFonts w:hint="eastAsia"/>
                <w:szCs w:val="21"/>
                <w:highlight w:val="none"/>
              </w:rPr>
            </w:pPr>
            <w:r>
              <w:rPr>
                <w:rFonts w:hint="eastAsia"/>
                <w:szCs w:val="21"/>
              </w:rPr>
              <w:t>5.18</w:t>
            </w:r>
          </w:p>
        </w:tc>
        <w:tc>
          <w:tcPr>
            <w:tcW w:w="1418" w:type="dxa"/>
            <w:noWrap w:val="0"/>
            <w:vAlign w:val="center"/>
          </w:tcPr>
          <w:p>
            <w:pPr>
              <w:rPr>
                <w:rFonts w:hint="eastAsia"/>
                <w:szCs w:val="21"/>
                <w:highlight w:val="none"/>
              </w:rPr>
            </w:pPr>
            <w:r>
              <w:rPr>
                <w:rFonts w:hint="eastAsia"/>
                <w:szCs w:val="21"/>
              </w:rPr>
              <w:t>1.22</w:t>
            </w:r>
          </w:p>
        </w:tc>
        <w:tc>
          <w:tcPr>
            <w:tcW w:w="1701" w:type="dxa"/>
            <w:noWrap w:val="0"/>
            <w:vAlign w:val="center"/>
          </w:tcPr>
          <w:p>
            <w:pPr>
              <w:rPr>
                <w:rFonts w:hint="eastAsia"/>
                <w:szCs w:val="21"/>
                <w:highlight w:val="none"/>
              </w:rPr>
            </w:pPr>
            <w:r>
              <w:rPr>
                <w:rFonts w:hint="eastAsia"/>
                <w:szCs w:val="21"/>
              </w:rPr>
              <w:t>投标文件递交</w:t>
            </w:r>
          </w:p>
        </w:tc>
        <w:tc>
          <w:tcPr>
            <w:tcW w:w="5209" w:type="dxa"/>
            <w:noWrap w:val="0"/>
            <w:vAlign w:val="center"/>
          </w:tcPr>
          <w:p>
            <w:pPr>
              <w:adjustRightInd w:val="0"/>
              <w:snapToGrid w:val="0"/>
              <w:spacing w:line="360" w:lineRule="auto"/>
              <w:jc w:val="left"/>
              <w:rPr>
                <w:rFonts w:hint="eastAsia"/>
                <w:szCs w:val="21"/>
                <w:highlight w:val="none"/>
              </w:rPr>
            </w:pPr>
            <w:r>
              <w:rPr>
                <w:rFonts w:ascii="宋体" w:hAnsi="宋体" w:hint="eastAsia"/>
                <w:bCs/>
                <w:szCs w:val="21"/>
              </w:rPr>
              <w:t>通过系统</w:t>
            </w:r>
            <w:r>
              <w:rPr>
                <w:rFonts w:ascii="宋体" w:cs="微软雅黑" w:hint="eastAsia"/>
                <w:szCs w:val="21"/>
              </w:rPr>
              <w:t>上传加密的电子投标文件</w:t>
            </w:r>
            <w:bookmarkStart w:id="55" w:name="_GoBack"/>
            <w:bookmarkEnd w:id="55"/>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szCs w:val="21"/>
                <w:highlight w:val="none"/>
              </w:rPr>
            </w:pPr>
            <w:r>
              <w:rPr>
                <w:rFonts w:hint="eastAsia"/>
                <w:szCs w:val="21"/>
                <w:highlight w:val="none"/>
              </w:rPr>
              <w:t>5.19</w:t>
            </w:r>
          </w:p>
        </w:tc>
        <w:tc>
          <w:tcPr>
            <w:tcW w:w="1418" w:type="dxa"/>
            <w:noWrap w:val="0"/>
            <w:vAlign w:val="center"/>
          </w:tcPr>
          <w:p>
            <w:pPr>
              <w:rPr>
                <w:szCs w:val="21"/>
                <w:highlight w:val="none"/>
              </w:rPr>
            </w:pPr>
            <w:r>
              <w:rPr>
                <w:rFonts w:hint="eastAsia"/>
                <w:szCs w:val="21"/>
                <w:highlight w:val="none"/>
              </w:rPr>
              <w:t>1.26.2</w:t>
            </w:r>
          </w:p>
        </w:tc>
        <w:tc>
          <w:tcPr>
            <w:tcW w:w="1701" w:type="dxa"/>
            <w:noWrap w:val="0"/>
            <w:vAlign w:val="center"/>
          </w:tcPr>
          <w:p>
            <w:pPr>
              <w:rPr>
                <w:szCs w:val="21"/>
                <w:highlight w:val="none"/>
              </w:rPr>
            </w:pPr>
            <w:r>
              <w:rPr>
                <w:rFonts w:hint="eastAsia"/>
                <w:szCs w:val="21"/>
                <w:highlight w:val="none"/>
              </w:rPr>
              <w:t>是否进行述标</w:t>
            </w:r>
          </w:p>
        </w:tc>
        <w:tc>
          <w:tcPr>
            <w:tcW w:w="5209" w:type="dxa"/>
            <w:noWrap w:val="0"/>
            <w:vAlign w:val="center"/>
          </w:tcPr>
          <w:p>
            <w:pPr>
              <w:rPr>
                <w:rFonts w:ascii="宋体" w:hAnsi="宋体" w:cs="微软雅黑" w:hint="eastAsia"/>
                <w:kern w:val="0"/>
                <w:szCs w:val="21"/>
                <w:highlight w:val="none"/>
              </w:rPr>
            </w:pPr>
            <w:bookmarkStart w:id="56" w:name="进行述标_describeStandardFlagText"/>
            <w:r>
              <w:rPr>
                <w:rFonts w:ascii="宋体" w:hAnsi="宋体" w:cs="微软雅黑" w:hint="eastAsia"/>
                <w:kern w:val="0"/>
                <w:szCs w:val="21"/>
                <w:highlight w:val="none"/>
              </w:rPr>
              <w:t>否</w:t>
            </w:r>
            <w:bookmarkEnd w:id="56"/>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5.20</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采购资金的支付方式、时间、条件</w:t>
            </w:r>
          </w:p>
        </w:tc>
        <w:tc>
          <w:tcPr>
            <w:tcW w:w="5209" w:type="dxa"/>
            <w:noWrap w:val="0"/>
            <w:vAlign w:val="center"/>
          </w:tcPr>
          <w:p>
            <w:pPr>
              <w:rPr>
                <w:rFonts w:ascii="宋体" w:hAnsi="宋体" w:hint="eastAsia"/>
                <w:szCs w:val="21"/>
                <w:highlight w:val="none"/>
              </w:rPr>
            </w:pPr>
            <w:r>
              <w:rPr>
                <w:rFonts w:ascii="宋体" w:hAnsi="宋体" w:hint="eastAsia"/>
                <w:szCs w:val="21"/>
                <w:highlight w:val="none"/>
              </w:rPr>
              <w:t>详见第九章采购合同</w:t>
            </w:r>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5.21</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其他事项</w:t>
            </w:r>
          </w:p>
        </w:tc>
        <w:tc>
          <w:tcPr>
            <w:tcW w:w="5209" w:type="dxa"/>
            <w:noWrap w:val="0"/>
            <w:vAlign w:val="center"/>
          </w:tcPr>
          <w:p>
            <w:pPr>
              <w:rPr>
                <w:rFonts w:ascii="宋体" w:hAnsi="宋体" w:hint="eastAsia"/>
                <w:szCs w:val="21"/>
                <w:highlight w:val="none"/>
              </w:rPr>
            </w:pPr>
            <w:bookmarkStart w:id="57" w:name="其他事项_ottherReemarks"/>
            <w:r>
              <w:rPr>
                <w:rFonts w:ascii="宋体" w:hAnsi="宋体" w:hint="eastAsia"/>
                <w:szCs w:val="21"/>
                <w:highlight w:val="none"/>
              </w:rPr>
              <w:t>根据本项目实际情况，招标文件1.27.3第1项至第3项启动异常低价投标审查的数值标准为65%。</w:t>
            </w:r>
            <w:bookmarkEnd w:id="57"/>
          </w:p>
        </w:tc>
      </w:tr>
    </w:tbl>
    <w:p>
      <w:pPr>
        <w:rPr>
          <w:highlight w:val="none"/>
        </w:rPr>
      </w:pPr>
    </w:p>
    <w:p w:rsidR="00A77B3E"/>
    <w:p>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space="708"/>
          <w:docGrid w:type="linesAndChars" w:linePitch="312"/>
        </w:sectPr>
      </w:pPr>
      <w:bookmarkEnd w:id="37"/>
    </w:p>
    <w:p>
      <w:pPr>
        <w:spacing w:before="156" w:beforeLines="50" w:line="360" w:lineRule="auto"/>
        <w:ind w:firstLine="300" w:firstLineChars="100"/>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pPr>
        <w:spacing w:line="360" w:lineRule="auto"/>
        <w:ind w:firstLine="412" w:firstLineChars="196"/>
        <w:jc w:val="left"/>
        <w:rPr>
          <w:highlight w:val="none"/>
        </w:rPr>
      </w:pPr>
      <w:r>
        <w:rPr>
          <w:rFonts w:ascii="宋体" w:hAnsi="宋体" w:hint="eastAsia"/>
          <w:b/>
          <w:szCs w:val="21"/>
          <w:highlight w:val="none"/>
        </w:rPr>
        <w:t>一、评标方法：</w:t>
      </w:r>
      <w:r>
        <w:rPr>
          <w:highlight w:val="none"/>
        </w:rPr>
        <w:t xml:space="preserve"> </w:t>
      </w:r>
    </w:p>
    <w:p>
      <w:pPr>
        <w:spacing w:line="360" w:lineRule="auto"/>
        <w:ind w:firstLine="412" w:firstLineChars="196"/>
        <w:jc w:val="left"/>
        <w:rPr>
          <w:rFonts w:ascii="宋体" w:hAnsi="宋体"/>
          <w:szCs w:val="21"/>
          <w:highlight w:val="none"/>
        </w:rPr>
      </w:pP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pPr>
        <w:spacing w:line="360" w:lineRule="auto"/>
        <w:ind w:firstLine="420" w:firstLineChars="200"/>
        <w:rPr>
          <w:rFonts w:ascii="宋体" w:hAnsi="宋体"/>
          <w:b/>
          <w:bCs/>
          <w:szCs w:val="21"/>
          <w:highlight w:val="none"/>
        </w:rPr>
      </w:pPr>
      <w:r>
        <w:rPr>
          <w:rFonts w:ascii="宋体" w:hAnsi="宋体" w:hint="eastAsia"/>
          <w:b/>
          <w:bCs/>
          <w:szCs w:val="21"/>
          <w:highlight w:val="none"/>
        </w:rPr>
        <w:t>二、评分标准：</w:t>
      </w:r>
    </w:p>
    <w:p>
      <w:pPr>
        <w:spacing w:line="360" w:lineRule="auto"/>
        <w:ind w:firstLine="420" w:firstLineChars="200"/>
        <w:jc w:val="left"/>
        <w:rPr>
          <w:rFonts w:hint="eastAsia"/>
          <w:highlight w:val="none"/>
        </w:rPr>
      </w:pPr>
      <w:r>
        <w:rPr>
          <w:rFonts w:ascii="宋体" w:hAnsi="宋体" w:hint="eastAsia"/>
          <w:szCs w:val="21"/>
          <w:highlight w:val="none"/>
        </w:rPr>
        <w:t>评分标准见下表</w:t>
      </w:r>
      <w:r>
        <w:rPr>
          <w:rFonts w:hint="eastAsia"/>
          <w:highlight w:val="none"/>
        </w:rPr>
        <w:t>。</w:t>
      </w:r>
    </w:p>
    <w:p>
      <w:pPr>
        <w:ind w:firstLine="420" w:firstLineChars="200"/>
        <w:rPr>
          <w:rFonts w:ascii="Calibri" w:hAnsi="Calibri"/>
          <w:b/>
          <w:szCs w:val="22"/>
          <w:highlight w:val="none"/>
        </w:rPr>
      </w:pPr>
    </w:p>
    <w:p w:rsidR="00A77B3E">
      <w:bookmarkStart w:id="58"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54"/>
        <w:gridCol w:w="253"/>
        <w:gridCol w:w="1288"/>
        <w:gridCol w:w="253"/>
        <w:gridCol w:w="7055"/>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(30)</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4、投标产品满足招标文件小微企业、本国产品有关政策优惠条件，投标价格将给予扣除。</w:t>
              <w:cr/>
              <w:t>5、按上述公式计算出每个投标单位的投标报价得分，保留小数点后二位，小数点后第三位四舍五入。</w:t>
              <w:cr/>
              <w:t>6、评审委员会根据《关于推动解决政府采购异常低价问题的通知》（财库[2026]2号）规定启动异常低价投标（响应）审查程序后，如相关供应商不能提供书面说明、证明材料，或者提供的书面说明、证明材料不能证明其报价合理性的，评审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生产厂家、投标人、投标产品非强制资质要求（客观分）</w:t>
            </w:r>
          </w:p>
        </w:tc>
        <w:tc>
          <w:tcPr/>
          <w:p>
            <w:r>
              <w:t>勾选打分</w:t>
            </w:r>
            <w:r>
              <w:t>(3)</w:t>
            </w:r>
          </w:p>
        </w:tc>
        <w:tc>
          <w:tcPr/>
          <w:p>
            <w:r>
              <w:t>评审标准：</w:t>
            </w:r>
          </w:p>
          <w:p>
            <w:r>
              <w:t>投标人具有 ISO9000系列或GJB9001B质量管理体系认证，得3分。否则不得分。</w:t>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投标人业绩（客观分）</w:t>
            </w:r>
          </w:p>
        </w:tc>
        <w:tc>
          <w:tcPr/>
          <w:p>
            <w:r>
              <w:t>勾选打分</w:t>
            </w:r>
            <w:r>
              <w:t>(5)</w:t>
            </w:r>
          </w:p>
        </w:tc>
        <w:tc>
          <w:tcPr/>
          <w:p>
            <w:r>
              <w:t>评审标准：</w:t>
            </w:r>
          </w:p>
          <w:p>
            <w:r>
              <w:t>销售合同必须包括66毫米火箭弹，每提供1份合同得1分，最多得5分。否则不得分。</w:t>
            </w:r>
          </w:p>
          <w:p>
            <w:r>
              <w:t>评审标准说明：</w:t>
            </w:r>
          </w:p>
          <w:p>
            <w:r>
              <w:t>1、需提供投标人的销售合同（必须包括合同首页、金额页、标的页、签字盖章页）复印件并加盖投标人公章。</w:t>
              <w:cr/>
              <w:t>2、合同签署日期为投标截止日前三年内。如合同无签署日期无效。</w:t>
              <w:cr/>
              <w:t>3、合同标的必须包括该项评审标准中要求的标的。</w:t>
              <w:cr/>
              <w:t>4、合同签字盖章页必须有甲乙双方的签字和盖章。</w:t>
              <w:cr/>
              <w:t>5、所有复印件应清晰，不得有任何涂改、遮挡。</w:t>
              <w:cr/>
              <w:t>提供的材料不符合以上1-5要求的无效。</w:t>
            </w:r>
          </w:p>
          <w:p/>
        </w:tc>
      </w:tr>
      <w:tr>
        <w:tblPrEx>
          <w:tblW w:w="5000" w:type="pct"/>
          <w:tblCellMar>
            <w:left w:w="108" w:type="dxa"/>
            <w:right w:w="108" w:type="dxa"/>
          </w:tblCellMar>
        </w:tblPrEx>
        <w:tc>
          <w:tcPr/>
          <w:p>
            <w:r>
              <w:t>4</w:t>
            </w:r>
          </w:p>
        </w:tc>
        <w:tc>
          <w:tcPr>
            <w:vMerge w:val="restart"/>
          </w:tcPr>
          <w:p>
            <w:r>
              <w:t>服务部分</w:t>
            </w:r>
          </w:p>
        </w:tc>
        <w:tc>
          <w:tcPr/>
          <w:p>
            <w:r>
              <w:t>售后服务（主观分）</w:t>
            </w:r>
          </w:p>
        </w:tc>
        <w:tc>
          <w:tcPr/>
          <w:p>
            <w:r>
              <w:t>勾选打分</w:t>
            </w:r>
            <w:r>
              <w:t>(2)</w:t>
            </w:r>
          </w:p>
        </w:tc>
        <w:tc>
          <w:tcPr/>
          <w:p>
            <w:r>
              <w:t>评审标准：</w:t>
            </w:r>
          </w:p>
          <w:p>
            <w:r>
              <w:t>一档0分</w:t>
              <w:cr/>
              <w:t>二档0.5分</w:t>
              <w:cr/>
              <w:t>三档1分</w:t>
              <w:cr/>
              <w:t>四档2分</w:t>
            </w:r>
          </w:p>
          <w:p>
            <w:r>
              <w:t>评审标准说明：</w:t>
            </w:r>
          </w:p>
          <w:p>
            <w:r>
              <w:t>根据投标人提供售后服务方案进行评分。售后服务方案应包括售后服务响应速度、售后服务承诺、技术支持服务、售后人员配置等。具体评分标准如下：</w:t>
              <w:cr/>
              <w:t>一档：未提供售后服务方案；</w:t>
              <w:cr/>
              <w:t>二档：售后服务方案不完整（指缺失售后服务响应速度、售后服务承诺、技术支持服务、售后人员配置中任一项内容）；</w:t>
              <w:cr/>
              <w:t>三档：售后服务方案较完整，但针对性一般，没有建立合理的技术支持机构或技术支持小组，技术支持内容不明确；或者未提供质保期内的7×24小时电话技术支持和保修的承诺。</w:t>
              <w:cr/>
              <w:t>四档：售后服务方案完整，针对性强，建立合理的技术支持机构或技术支持小组，技术支持内容明确；书面承诺提供质保期内的7×24小时电话技术支持和保修，电话支持无法解决的问题必须提供现场技术支持，并应采购人服务保障要求，开展现场保障。完全满足采购文件需求。</w:t>
            </w:r>
          </w:p>
          <w:p/>
        </w:tc>
      </w:tr>
      <w:tr>
        <w:tblPrEx>
          <w:tblW w:w="5000" w:type="pct"/>
          <w:tblCellMar>
            <w:left w:w="108" w:type="dxa"/>
            <w:right w:w="108" w:type="dxa"/>
          </w:tblCellMar>
        </w:tblPrEx>
        <w:tc>
          <w:tcPr/>
          <w:p>
            <w:r>
              <w:t>5</w:t>
            </w:r>
          </w:p>
        </w:tc>
        <w:tc>
          <w:tcPr>
            <w:vMerge/>
          </w:tcPr>
          <w:p>
            <w:r>
              <w:t>服务部分</w:t>
            </w:r>
          </w:p>
        </w:tc>
        <w:tc>
          <w:tcPr/>
          <w:p>
            <w:r>
              <w:t>质保服务方案（主观分）</w:t>
            </w:r>
          </w:p>
        </w:tc>
        <w:tc>
          <w:tcPr/>
          <w:p>
            <w:r>
              <w:t>勾选打分</w:t>
            </w:r>
            <w:r>
              <w:t>(4)</w:t>
            </w:r>
          </w:p>
        </w:tc>
        <w:tc>
          <w:tcPr/>
          <w:p>
            <w:r>
              <w:t>评审标准：</w:t>
            </w:r>
          </w:p>
          <w:p>
            <w:r>
              <w:t>一档0分</w:t>
              <w:cr/>
              <w:t>二档1分</w:t>
              <w:cr/>
              <w:t>三档2分</w:t>
              <w:cr/>
              <w:t>四档4分</w:t>
            </w:r>
          </w:p>
          <w:p>
            <w:r>
              <w:t>评审标准说明：</w:t>
            </w:r>
          </w:p>
          <w:p>
            <w:r>
              <w:t>根据投标人提供的质保方案进行评分。具体评分标准如下：</w:t>
              <w:cr/>
              <w:t xml:space="preserve">一档：未提供质保方案。 </w:t>
              <w:cr/>
              <w:t xml:space="preserve">二档：质保方案能按照招标文件的要求进行响应，方案结构不清晰，缺乏系统性。 </w:t>
              <w:cr/>
              <w:t xml:space="preserve">三档：质保方案基本能按照招标文件的要求进行响应，有一定针对性，基本满足采购文件的需求。 </w:t>
              <w:cr/>
              <w:t>四档：质保方案能按照招标文件的要求进行响应，详细具体，针对性强，与项目实际情况相契合，完全满足采购文件的需求。</w:t>
            </w:r>
          </w:p>
          <w:p/>
        </w:tc>
      </w:tr>
      <w:tr>
        <w:tblPrEx>
          <w:tblW w:w="5000" w:type="pct"/>
          <w:tblCellMar>
            <w:left w:w="108" w:type="dxa"/>
            <w:right w:w="108" w:type="dxa"/>
          </w:tblCellMar>
        </w:tblPrEx>
        <w:tc>
          <w:tcPr/>
          <w:p>
            <w:r>
              <w:t>6</w:t>
            </w:r>
          </w:p>
        </w:tc>
        <w:tc>
          <w:tcPr>
            <w:vMerge/>
          </w:tcPr>
          <w:p>
            <w:r>
              <w:t>服务部分</w:t>
            </w:r>
          </w:p>
        </w:tc>
        <w:tc>
          <w:tcPr/>
          <w:p>
            <w:r>
              <w:t>培训承诺及方案（主观分）</w:t>
            </w:r>
          </w:p>
        </w:tc>
        <w:tc>
          <w:tcPr/>
          <w:p>
            <w:r>
              <w:t>勾选打分</w:t>
            </w:r>
            <w:r>
              <w:t>(2)</w:t>
            </w:r>
          </w:p>
        </w:tc>
        <w:tc>
          <w:tcPr/>
          <w:p>
            <w:r>
              <w:t>评审标准：</w:t>
            </w:r>
          </w:p>
          <w:p>
            <w:r>
              <w:t>一档0分</w:t>
              <w:cr/>
              <w:t>二档0.5分</w:t>
              <w:cr/>
              <w:t>三档1分</w:t>
              <w:cr/>
              <w:t>四档2分</w:t>
            </w:r>
          </w:p>
          <w:p>
            <w:r>
              <w:t>评审标准说明：</w:t>
            </w:r>
          </w:p>
          <w:p>
            <w:r>
              <w:t>投标人应提供培训方案。具体标准评分如下：</w:t>
              <w:cr/>
              <w:t>一档：未提供培训方案；</w:t>
              <w:cr/>
              <w:t>二档：培训方案不完整（指缺失培训计划、培训材料（讲义）、培训课表、主要授课教师介绍任意一项）；</w:t>
              <w:cr/>
              <w:t>三档：培训方案完整，但课程设计重点不突出或针对性不强，基本满足采购文件需求；</w:t>
              <w:cr/>
              <w:t>四档：培训方案完整，课程设计重点突出、针对性强，完全满足采购文件需求。</w:t>
            </w:r>
          </w:p>
          <w:p/>
        </w:tc>
      </w:tr>
      <w:tr>
        <w:tblPrEx>
          <w:tblW w:w="5000" w:type="pct"/>
          <w:tblCellMar>
            <w:left w:w="108" w:type="dxa"/>
            <w:right w:w="108" w:type="dxa"/>
          </w:tblCellMar>
        </w:tblPrEx>
        <w:tc>
          <w:tcPr/>
          <w:p>
            <w:r>
              <w:t>7</w:t>
            </w:r>
          </w:p>
        </w:tc>
        <w:tc>
          <w:tcPr>
            <w:vMerge/>
          </w:tcPr>
          <w:p>
            <w:r>
              <w:t>服务部分</w:t>
            </w:r>
          </w:p>
        </w:tc>
        <w:tc>
          <w:tcPr/>
          <w:p>
            <w:r>
              <w:t>交货期保证（客观分）</w:t>
            </w:r>
          </w:p>
        </w:tc>
        <w:tc>
          <w:tcPr/>
          <w:p>
            <w:r>
              <w:t>勾选打分</w:t>
            </w:r>
            <w:r>
              <w:t>(1)</w:t>
            </w:r>
          </w:p>
        </w:tc>
        <w:tc>
          <w:tcPr/>
          <w:p>
            <w:r>
              <w:t>评审标准：</w:t>
            </w:r>
          </w:p>
          <w:p>
            <w:r>
              <w:t>针对本项目采购的66毫米火箭弹，承诺每提前10天交货的得1分。否则不得分。</w:t>
            </w:r>
          </w:p>
          <w:p>
            <w:r>
              <w:t>评审标准说明：</w:t>
            </w:r>
          </w:p>
          <w:p>
            <w:r>
              <w:t>投标人应提供交货时间承诺。评审标准中所指提前交货天数，是指比本采购文件第四章和第七章规定的相关标的交货期提前的天数。</w:t>
            </w:r>
          </w:p>
          <w:p/>
        </w:tc>
      </w:tr>
      <w:tr>
        <w:tblPrEx>
          <w:tblW w:w="5000" w:type="pct"/>
          <w:tblCellMar>
            <w:left w:w="108" w:type="dxa"/>
            <w:right w:w="108" w:type="dxa"/>
          </w:tblCellMar>
        </w:tblPrEx>
        <w:tc>
          <w:tcPr/>
          <w:p>
            <w:r>
              <w:t>8</w:t>
            </w:r>
          </w:p>
        </w:tc>
        <w:tc>
          <w:tcPr>
            <w:vMerge/>
          </w:tcPr>
          <w:p>
            <w:r>
              <w:t>服务部分</w:t>
            </w:r>
          </w:p>
        </w:tc>
        <w:tc>
          <w:tcPr/>
          <w:p>
            <w:r>
              <w:t>用户满意度证明（客观分）</w:t>
            </w:r>
          </w:p>
        </w:tc>
        <w:tc>
          <w:tcPr/>
          <w:p>
            <w:r>
              <w:t>勾选打分</w:t>
            </w:r>
            <w:r>
              <w:t>(3)</w:t>
            </w:r>
          </w:p>
        </w:tc>
        <w:tc>
          <w:tcPr/>
          <w:p>
            <w:r>
              <w:t>评审标准：</w:t>
            </w:r>
          </w:p>
          <w:p>
            <w:r>
              <w:t>针对66毫米火箭弹，每提供 1份用户证明材料得1 分，最多得3分。否则不得分。</w:t>
            </w:r>
          </w:p>
          <w:p>
            <w:r>
              <w:t>评审标准说明：</w:t>
            </w:r>
          </w:p>
          <w:p>
            <w:r>
              <w:t>针对该项评审标准中所指标的，提供用户在投标截止日前三年内出具的，涵盖稳定运行、实际应用情况等内容且用户评价为正面或满意的用户证明（含用户单位联系人、联系方式），并加盖投标人公章。</w:t>
            </w:r>
          </w:p>
          <w:p/>
        </w:tc>
      </w:tr>
      <w:tr>
        <w:tblPrEx>
          <w:tblW w:w="5000" w:type="pct"/>
          <w:tblCellMar>
            <w:left w:w="108" w:type="dxa"/>
            <w:right w:w="108" w:type="dxa"/>
          </w:tblCellMar>
        </w:tblPrEx>
        <w:tc>
          <w:tcPr/>
          <w:p>
            <w:r>
              <w:t>9</w:t>
            </w:r>
          </w:p>
        </w:tc>
        <w:tc>
          <w:tcPr>
            <w:vMerge/>
          </w:tcPr>
          <w:p>
            <w:r>
              <w:t>服务部分</w:t>
            </w:r>
          </w:p>
        </w:tc>
        <w:tc>
          <w:tcPr/>
          <w:p>
            <w:r>
              <w:t>服务团队（客观分）</w:t>
            </w:r>
          </w:p>
        </w:tc>
        <w:tc>
          <w:tcPr/>
          <w:p>
            <w:r>
              <w:t>勾选打分</w:t>
            </w:r>
            <w:r>
              <w:t>(6)</w:t>
            </w:r>
          </w:p>
        </w:tc>
        <w:tc>
          <w:tcPr/>
          <w:p>
            <w:r>
              <w:t>评审标准：</w:t>
            </w:r>
          </w:p>
          <w:p>
            <w:r>
              <w:t xml:space="preserve">1、投标人为本项目拟派的服务团队中项目经理应具有3年以上相关工作经验的得3分； </w:t>
              <w:cr/>
              <w:t>2、投标人为本项目拟派的服务团队中，除项目经理外至少5人具有2年及以上相关工作经验得3分；至少3人具有1年及以上相关工作经验得1分；其他不得分。</w:t>
            </w:r>
          </w:p>
          <w:p>
            <w:r>
              <w:t>评审标准说明：</w:t>
            </w:r>
          </w:p>
          <w:p>
            <w: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以上材料需加盖投标人公章。</w:t>
            </w:r>
          </w:p>
          <w:p/>
        </w:tc>
      </w:tr>
      <w:tr>
        <w:tblPrEx>
          <w:tblW w:w="5000" w:type="pct"/>
          <w:tblCellMar>
            <w:left w:w="108" w:type="dxa"/>
            <w:right w:w="108" w:type="dxa"/>
          </w:tblCellMar>
        </w:tblPrEx>
        <w:tc>
          <w:tcPr/>
          <w:p>
            <w:r>
              <w:t>10</w:t>
            </w:r>
          </w:p>
        </w:tc>
        <w:tc>
          <w:tcPr>
            <w:vMerge w:val="restart"/>
          </w:tcPr>
          <w:p>
            <w:r>
              <w:t>技术部分</w:t>
            </w:r>
          </w:p>
        </w:tc>
        <w:tc>
          <w:tcPr/>
          <w:p>
            <w:r>
              <w:t>投标产品重要技术指标（客观分）</w:t>
            </w:r>
          </w:p>
        </w:tc>
        <w:tc>
          <w:tcPr/>
          <w:p>
            <w:r>
              <w:t>区间打分</w:t>
            </w:r>
            <w:r>
              <w:t>(36)</w:t>
            </w:r>
          </w:p>
        </w:tc>
        <w:tc>
          <w:tcPr/>
          <w:p>
            <w:r>
              <w:t>评审标准：</w:t>
            </w:r>
          </w:p>
          <w:p>
            <w:r>
              <w:t>标注#的重要指标共9项，每满足1项（如有多个下级指标，则每个下级指标均应满足）得4分，满分36分。</w:t>
            </w:r>
          </w:p>
          <w:p>
            <w:r>
              <w:t>评审标准说明：</w:t>
            </w:r>
          </w:p>
          <w:p>
            <w:r>
              <w:t>需提供技术文档。响应且满足招标文件第七章详细技术指标要求，标注#的重要指标需提供第三方出具的并加盖投标人公章的测试报告作为证明材料。</w:t>
            </w:r>
          </w:p>
          <w:p/>
        </w:tc>
      </w:tr>
      <w:tr>
        <w:tblPrEx>
          <w:tblW w:w="5000" w:type="pct"/>
          <w:tblCellMar>
            <w:left w:w="108" w:type="dxa"/>
            <w:right w:w="108" w:type="dxa"/>
          </w:tblCellMar>
        </w:tblPrEx>
        <w:tc>
          <w:tcPr/>
          <w:p>
            <w:r>
              <w:t>11</w:t>
            </w:r>
          </w:p>
        </w:tc>
        <w:tc>
          <w:tcPr>
            <w:vMerge/>
          </w:tcPr>
          <w:p>
            <w:r>
              <w:t>技术部分</w:t>
            </w:r>
          </w:p>
        </w:tc>
        <w:tc>
          <w:tcPr/>
          <w:p>
            <w:r>
              <w:t>投标产品技术方案及综合性能（主观分）</w:t>
            </w:r>
          </w:p>
        </w:tc>
        <w:tc>
          <w:tcPr/>
          <w:p>
            <w:r>
              <w:t>勾选打分</w:t>
            </w:r>
            <w:r>
              <w:t>(4)</w:t>
            </w:r>
          </w:p>
        </w:tc>
        <w:tc>
          <w:tcPr/>
          <w:p>
            <w:r>
              <w:t>评审标准：</w:t>
            </w:r>
          </w:p>
          <w:p>
            <w:r>
              <w:t>一档0分</w:t>
              <w:cr/>
              <w:t>二档1分</w:t>
              <w:cr/>
              <w:t>三档2分</w:t>
              <w:cr/>
              <w:t>四档4分</w:t>
            </w:r>
          </w:p>
          <w:p>
            <w:r>
              <w:t>评审标准说明：</w:t>
            </w:r>
          </w:p>
          <w:p>
            <w:r>
              <w:t>根据投标人提供的技术方案和能证明投标产品技术性能的第三方测试报告进行评分，具体评分标准如下：</w:t>
              <w:cr/>
              <w:t>一档：未提供技术方案，或者投标产品综合技术性能不能满足采购文件要求。</w:t>
              <w:cr/>
              <w:t>二档：技术方案能按照招标文件的格式进行响应，技术响应比较浅显，缺乏针对性，投标产品综合技术性能满足采购文件要求。</w:t>
              <w:cr/>
              <w:t xml:space="preserve">三档：技术方案基本能按照招标文件的要求进行响应，有一定针对性，基本满足采购文件的需求，投标产品综合技术性能满足且部分优于采购文件要求。 </w:t>
              <w:cr/>
              <w:t>四档：技术方案能按照招标文件的要求进行响应，详细具体，针对性强，与项目实际情况相契合，完全满足采购文件的需求，投标产品综合技术性能满足且总体上优于采购文件要求。</w:t>
              <w:cr/>
              <w:t>注：应提供能证明投标产品技术性能的第三方测试报告（包括测试内容、测试方法、测试结论等），并加盖投标人公章。其中，测试内容应包括但不限于标注#的重要指标。综合技术性能由评审委员会根据技术性能指标，主观综合评判。</w:t>
            </w:r>
          </w:p>
          <w:p/>
        </w:tc>
      </w:tr>
      <w:tr>
        <w:tblPrEx>
          <w:tblW w:w="5000" w:type="pct"/>
          <w:tblCellMar>
            <w:left w:w="108" w:type="dxa"/>
            <w:right w:w="108" w:type="dxa"/>
          </w:tblCellMar>
        </w:tblPrEx>
        <w:tc>
          <w:tcPr/>
          <w:p>
            <w:r>
              <w:t>12</w:t>
            </w:r>
          </w:p>
        </w:tc>
        <w:tc>
          <w:tcPr>
            <w:vMerge/>
          </w:tcPr>
          <w:p>
            <w:r>
              <w:t>技术部分</w:t>
            </w:r>
          </w:p>
        </w:tc>
        <w:tc>
          <w:tcPr/>
          <w:p>
            <w:r>
              <w:t>实施方案（主观分）</w:t>
            </w:r>
          </w:p>
        </w:tc>
        <w:tc>
          <w:tcPr/>
          <w:p>
            <w:r>
              <w:t>勾选打分</w:t>
            </w:r>
            <w:r>
              <w:t>(4)</w:t>
            </w:r>
          </w:p>
        </w:tc>
        <w:tc>
          <w:tcPr/>
          <w:p>
            <w:r>
              <w:t>评审标准：</w:t>
            </w:r>
          </w:p>
          <w:p>
            <w:r>
              <w:t>一档0分</w:t>
              <w:cr/>
              <w:t>二档1分</w:t>
              <w:cr/>
              <w:t>三档2分</w:t>
              <w:cr/>
              <w:t>四档4分</w:t>
            </w:r>
          </w:p>
          <w:p>
            <w:r>
              <w:t>评审标准说明：</w:t>
            </w:r>
          </w:p>
          <w:p>
            <w:r>
              <w:t>根据投标人提供实施方案进行评分。具体如下：实施方案应结合采购需求，包括投标产品的生产、运输、安装、调试及试运行等。具体评分标准如下：</w:t>
              <w:cr/>
              <w:t>一档：未提供实施方案。</w:t>
              <w:cr/>
              <w:t>二档：实施方案不完整（指缺失投标产品的生产、运输、安装、调试及试运行的任意一项内容）；</w:t>
              <w:cr/>
              <w:t>三档：实施方案完整，但没有专门针对本项目的措施，或者有关措施不合理、不可行、不具体；</w:t>
              <w:cr/>
              <w:t>四档：实施方案完整，且有专门针对本项目的合理、可行、具体、详实的措施，能满足采购文件需求。</w:t>
            </w:r>
          </w:p>
          <w:p/>
        </w:tc>
      </w:tr>
    </w:tbl>
    <w:p w:rsidR="00A77B3E">
      <w:r>
        <w:t xml:space="preserve">      </w:t>
      </w:r>
    </w:p>
    <w:p w:rsidR="00A77B3E"/>
    <w:p w:rsidR="00A77B3E">
      <w:bookmarkEnd w:id="58"/>
    </w:p>
    <w:p>
      <w:pPr>
        <w:spacing w:before="156" w:beforeLines="50" w:line="360" w:lineRule="auto"/>
        <w:jc w:val="center"/>
        <w:outlineLvl w:val="1"/>
        <w:rPr>
          <w:rFonts w:ascii="宋体" w:hAnsi="宋体"/>
          <w:b/>
          <w:sz w:val="30"/>
          <w:szCs w:val="30"/>
        </w:rPr>
      </w:pPr>
      <w:r>
        <w:rPr>
          <w:bCs/>
          <w:szCs w:val="21"/>
          <w:highlight w:val="none"/>
        </w:rPr>
        <w:br w:type="page"/>
      </w:r>
      <w:bookmarkStart w:id="59" w:name="插入_采购需求书"/>
      <w:r>
        <w:rPr>
          <w:rFonts w:ascii="宋体" w:hAnsi="宋体" w:hint="eastAsia"/>
          <w:b/>
          <w:sz w:val="30"/>
          <w:szCs w:val="30"/>
        </w:rPr>
        <w:t>第七章  采购需求</w:t>
      </w:r>
    </w:p>
    <w:p>
      <w:pPr>
        <w:spacing w:line="360" w:lineRule="auto"/>
        <w:ind w:firstLine="420" w:firstLineChars="200"/>
        <w:rPr>
          <w:rFonts w:ascii="宋体" w:hAnsi="宋体"/>
          <w:szCs w:val="21"/>
        </w:rPr>
      </w:pPr>
      <w:r>
        <w:rPr>
          <w:rFonts w:ascii="宋体" w:hAnsi="宋体" w:hint="eastAsia"/>
          <w:szCs w:val="21"/>
        </w:rPr>
        <w:t>一、项目概况及总体要求</w:t>
      </w:r>
    </w:p>
    <w:p>
      <w:pPr>
        <w:pStyle w:val="BodyText"/>
        <w:spacing w:line="408" w:lineRule="auto"/>
        <w:ind w:left="119" w:right="166" w:firstLine="422"/>
        <w:jc w:val="both"/>
        <w:rPr>
          <w:rFonts w:ascii="Calibri" w:eastAsia="Calibri" w:hAnsi="Calibri"/>
          <w:color w:val="000000"/>
          <w:kern w:val="2"/>
          <w:szCs w:val="21"/>
          <w:lang w:val="en-US"/>
        </w:rPr>
      </w:pPr>
      <w:r>
        <w:rPr>
          <w:rFonts w:ascii="宋体" w:eastAsia="宋体" w:hAnsi="宋体" w:cs="宋体" w:hint="eastAsia"/>
          <w:color w:val="000000"/>
          <w:kern w:val="2"/>
          <w:szCs w:val="21"/>
          <w:lang w:val="en-US"/>
        </w:rPr>
        <w:t>本项目所招产品为河北省</w:t>
      </w:r>
      <w:r>
        <w:rPr>
          <w:rFonts w:ascii="宋体" w:eastAsia="宋体" w:hAnsi="宋体" w:cs="宋体"/>
          <w:color w:val="000000"/>
          <w:kern w:val="2"/>
          <w:szCs w:val="21"/>
          <w:lang w:val="en-US"/>
        </w:rPr>
        <w:t>气象局</w:t>
      </w:r>
      <w:r>
        <w:rPr>
          <w:rFonts w:ascii="宋体" w:eastAsia="宋体" w:hAnsi="宋体" w:cs="宋体" w:hint="eastAsia"/>
          <w:color w:val="000000"/>
          <w:kern w:val="2"/>
          <w:szCs w:val="21"/>
          <w:lang w:val="en-US"/>
        </w:rPr>
        <w:t>人影用火箭弹，根据中国气象局关于人工影响天气作业的安全管理要求，结合近年来各地出现的相关人影作业事故案例，本项目所招产品必须完全满足配套河北省</w:t>
      </w:r>
      <w:r>
        <w:rPr>
          <w:rFonts w:ascii="宋体" w:eastAsia="宋体" w:hAnsi="宋体" w:cs="宋体"/>
          <w:color w:val="000000"/>
          <w:kern w:val="2"/>
          <w:szCs w:val="21"/>
          <w:lang w:val="en-US"/>
        </w:rPr>
        <w:t>气象局</w:t>
      </w:r>
      <w:r>
        <w:rPr>
          <w:rFonts w:ascii="宋体" w:eastAsia="宋体" w:hAnsi="宋体" w:cs="宋体" w:hint="eastAsia"/>
          <w:color w:val="000000"/>
          <w:kern w:val="2"/>
          <w:szCs w:val="21"/>
          <w:lang w:val="en-US"/>
        </w:rPr>
        <w:t xml:space="preserve">现有火箭发射系统使用条件，以保证火箭作业的稳定性、安全性，出现事故后能够及时解决。 </w:t>
      </w:r>
    </w:p>
    <w:p>
      <w:pPr>
        <w:spacing w:line="360" w:lineRule="auto"/>
        <w:ind w:firstLine="420" w:firstLineChars="200"/>
        <w:rPr>
          <w:rFonts w:ascii="宋体" w:hAnsi="宋体"/>
          <w:szCs w:val="21"/>
        </w:rPr>
      </w:pPr>
      <w:r>
        <w:rPr>
          <w:rFonts w:ascii="宋体" w:hAnsi="宋体" w:hint="eastAsia"/>
          <w:szCs w:val="21"/>
        </w:rPr>
        <w:t>二、设备需求一览表（见第七章 采购需求 附表）</w:t>
      </w:r>
    </w:p>
    <w:p>
      <w:pPr>
        <w:spacing w:line="360" w:lineRule="auto"/>
        <w:ind w:firstLine="420" w:firstLineChars="200"/>
        <w:rPr>
          <w:rFonts w:ascii="宋体" w:hAnsi="宋体"/>
          <w:szCs w:val="21"/>
        </w:rPr>
      </w:pPr>
      <w:r>
        <w:rPr>
          <w:rFonts w:ascii="宋体" w:hAnsi="宋体" w:hint="eastAsia"/>
          <w:szCs w:val="21"/>
        </w:rPr>
        <w:t>三、技术性能指标</w:t>
      </w:r>
    </w:p>
    <w:tbl>
      <w:tblPr>
        <w:tblStyle w:val="TableNormal"/>
        <w:tblW w:w="831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Pr>
      <w:tblGrid>
        <w:gridCol w:w="2485"/>
        <w:gridCol w:w="3284"/>
        <w:gridCol w:w="2541"/>
      </w:tblGrid>
      <w:tr>
        <w:tblPrEx>
          <w:tblW w:w="831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PrEx>
        <w:trPr>
          <w:trHeight w:hRule="exact" w:val="568"/>
          <w:jc w:val="center"/>
        </w:trPr>
        <w:tc>
          <w:tcPr>
            <w:tcW w:w="2485" w:type="dxa"/>
            <w:tcBorders>
              <w:top w:val="single" w:sz="4" w:space="0" w:color="000000"/>
              <w:left w:val="single" w:sz="4" w:space="0" w:color="000000"/>
              <w:bottom w:val="single" w:sz="4" w:space="0" w:color="000000"/>
              <w:right w:val="single" w:sz="4" w:space="0" w:color="000000"/>
            </w:tcBorders>
            <w:vAlign w:val="center"/>
          </w:tcPr>
          <w:p>
            <w:pPr>
              <w:pStyle w:val="BodyText"/>
              <w:adjustRightInd w:val="0"/>
              <w:snapToGrid w:val="0"/>
              <w:spacing w:after="0" w:line="240" w:lineRule="exact"/>
              <w:ind w:left="542"/>
              <w:jc w:val="center"/>
              <w:rPr>
                <w:color w:val="000000"/>
                <w:szCs w:val="21"/>
              </w:rPr>
            </w:pPr>
            <w:r>
              <w:rPr>
                <w:color w:val="000000"/>
                <w:szCs w:val="21"/>
              </w:rPr>
              <w:t>项目</w:t>
            </w:r>
          </w:p>
        </w:tc>
        <w:tc>
          <w:tcPr>
            <w:tcW w:w="3284" w:type="dxa"/>
            <w:tcBorders>
              <w:top w:val="single" w:sz="4" w:space="0" w:color="000000"/>
              <w:left w:val="single" w:sz="4" w:space="0" w:color="000000"/>
              <w:bottom w:val="single" w:sz="4" w:space="0" w:color="000000"/>
              <w:right w:val="single" w:sz="4" w:space="0" w:color="000000"/>
            </w:tcBorders>
            <w:vAlign w:val="center"/>
          </w:tcPr>
          <w:p>
            <w:pPr>
              <w:pStyle w:val="BodyText"/>
              <w:adjustRightInd w:val="0"/>
              <w:snapToGrid w:val="0"/>
              <w:spacing w:after="0" w:line="240" w:lineRule="exact"/>
              <w:ind w:left="542"/>
              <w:jc w:val="center"/>
              <w:rPr>
                <w:color w:val="000000"/>
                <w:szCs w:val="21"/>
              </w:rPr>
            </w:pPr>
            <w:r>
              <w:rPr>
                <w:color w:val="000000"/>
                <w:szCs w:val="21"/>
              </w:rPr>
              <w:t>性能参数描述</w:t>
            </w:r>
          </w:p>
        </w:tc>
        <w:tc>
          <w:tcPr>
            <w:tcW w:w="2541" w:type="dxa"/>
            <w:tcBorders>
              <w:top w:val="single" w:sz="4" w:space="0" w:color="000000"/>
              <w:left w:val="single" w:sz="4" w:space="0" w:color="000000"/>
              <w:bottom w:val="single" w:sz="4" w:space="0" w:color="000000"/>
              <w:right w:val="single" w:sz="4" w:space="0" w:color="000000"/>
            </w:tcBorders>
            <w:vAlign w:val="center"/>
          </w:tcPr>
          <w:p>
            <w:pPr>
              <w:pStyle w:val="BodyText"/>
              <w:adjustRightInd w:val="0"/>
              <w:snapToGrid w:val="0"/>
              <w:spacing w:after="0" w:line="240" w:lineRule="exact"/>
              <w:ind w:left="542"/>
              <w:jc w:val="center"/>
              <w:rPr>
                <w:color w:val="000000"/>
                <w:szCs w:val="21"/>
              </w:rPr>
            </w:pPr>
            <w:r>
              <w:rPr>
                <w:rFonts w:hint="eastAsia"/>
                <w:color w:val="000000"/>
                <w:szCs w:val="21"/>
              </w:rPr>
              <w:t>说明</w:t>
            </w:r>
          </w:p>
        </w:tc>
      </w:tr>
      <w:tr>
        <w:tblPrEx>
          <w:tblW w:w="8310" w:type="dxa"/>
          <w:jc w:val="center"/>
          <w:tblLayout w:type="fixed"/>
          <w:tblCellMar>
            <w:top w:w="0" w:type="dxa"/>
            <w:left w:w="0" w:type="dxa"/>
            <w:bottom w:w="0" w:type="dxa"/>
            <w:right w:w="0" w:type="dxa"/>
          </w:tblCellMar>
        </w:tblPrEx>
        <w:trPr>
          <w:trHeight w:hRule="exact" w:val="551"/>
          <w:jc w:val="center"/>
        </w:trPr>
        <w:tc>
          <w:tcPr>
            <w:tcW w:w="2485" w:type="dxa"/>
            <w:tcBorders>
              <w:top w:val="single" w:sz="4" w:space="0" w:color="000000"/>
              <w:left w:val="single" w:sz="4" w:space="0" w:color="000000"/>
              <w:bottom w:val="single" w:sz="4" w:space="0" w:color="000000"/>
              <w:right w:val="single" w:sz="4" w:space="0" w:color="000000"/>
            </w:tcBorders>
            <w:vAlign w:val="center"/>
          </w:tcPr>
          <w:p>
            <w:pPr>
              <w:pStyle w:val="BodyText"/>
              <w:adjustRightInd w:val="0"/>
              <w:snapToGrid w:val="0"/>
              <w:spacing w:after="0" w:line="240" w:lineRule="exact"/>
              <w:ind w:left="542"/>
              <w:jc w:val="center"/>
              <w:rPr>
                <w:color w:val="000000"/>
                <w:szCs w:val="21"/>
              </w:rPr>
            </w:pPr>
            <w:r>
              <w:rPr>
                <w:color w:val="000000"/>
                <w:szCs w:val="21"/>
              </w:rPr>
              <w:t>配套类型</w:t>
            </w:r>
          </w:p>
        </w:tc>
        <w:tc>
          <w:tcPr>
            <w:tcW w:w="3284" w:type="dxa"/>
            <w:tcBorders>
              <w:top w:val="single" w:sz="4" w:space="0" w:color="000000"/>
              <w:left w:val="single" w:sz="4" w:space="0" w:color="000000"/>
              <w:bottom w:val="single" w:sz="4" w:space="0" w:color="000000"/>
              <w:right w:val="single" w:sz="4" w:space="0" w:color="000000"/>
            </w:tcBorders>
            <w:vAlign w:val="center"/>
          </w:tcPr>
          <w:p>
            <w:pPr>
              <w:pStyle w:val="BodyText"/>
              <w:adjustRightInd w:val="0"/>
              <w:snapToGrid w:val="0"/>
              <w:spacing w:after="0" w:line="240" w:lineRule="exact"/>
              <w:ind w:left="544"/>
              <w:jc w:val="center"/>
              <w:rPr>
                <w:color w:val="000000"/>
                <w:szCs w:val="21"/>
              </w:rPr>
            </w:pPr>
            <w:r>
              <w:rPr>
                <w:color w:val="000000"/>
                <w:szCs w:val="21"/>
              </w:rPr>
              <w:t>适用于</w:t>
            </w:r>
            <w:r>
              <w:rPr>
                <w:rFonts w:hint="eastAsia"/>
                <w:color w:val="000000"/>
                <w:szCs w:val="21"/>
              </w:rPr>
              <w:t>采购人</w:t>
            </w:r>
            <w:r>
              <w:rPr>
                <w:color w:val="000000"/>
                <w:szCs w:val="21"/>
              </w:rPr>
              <w:t>现有</w:t>
            </w:r>
            <w:r>
              <w:rPr>
                <w:rFonts w:hint="eastAsia"/>
                <w:color w:val="000000"/>
                <w:szCs w:val="21"/>
                <w:lang w:val="en-US"/>
              </w:rPr>
              <w:t>火箭</w:t>
            </w:r>
            <w:r>
              <w:rPr>
                <w:color w:val="000000"/>
                <w:szCs w:val="21"/>
              </w:rPr>
              <w:t>发射架，安全有保障</w:t>
            </w:r>
          </w:p>
        </w:tc>
        <w:tc>
          <w:tcPr>
            <w:tcW w:w="2541" w:type="dxa"/>
            <w:vMerge w:val="restart"/>
            <w:tcBorders>
              <w:top w:val="single" w:sz="4" w:space="0" w:color="000000"/>
              <w:left w:val="single" w:sz="4" w:space="0" w:color="000000"/>
              <w:right w:val="single" w:sz="4" w:space="0" w:color="000000"/>
            </w:tcBorders>
            <w:vAlign w:val="center"/>
          </w:tcPr>
          <w:p>
            <w:pPr>
              <w:pStyle w:val="BodyText"/>
              <w:adjustRightInd w:val="0"/>
              <w:snapToGrid w:val="0"/>
              <w:spacing w:after="0" w:line="240" w:lineRule="exact"/>
              <w:ind w:left="544"/>
              <w:jc w:val="center"/>
              <w:rPr>
                <w:color w:val="000000"/>
                <w:szCs w:val="21"/>
              </w:rPr>
            </w:pPr>
            <w:r>
              <w:rPr>
                <w:rFonts w:hint="eastAsia"/>
                <w:color w:val="0000FF"/>
                <w:szCs w:val="21"/>
              </w:rPr>
              <w:t>需证明材料</w:t>
            </w:r>
          </w:p>
        </w:tc>
      </w:tr>
      <w:tr>
        <w:tblPrEx>
          <w:tblW w:w="8310" w:type="dxa"/>
          <w:jc w:val="center"/>
          <w:tblLayout w:type="fixed"/>
          <w:tblCellMar>
            <w:top w:w="0" w:type="dxa"/>
            <w:left w:w="0" w:type="dxa"/>
            <w:bottom w:w="0" w:type="dxa"/>
            <w:right w:w="0" w:type="dxa"/>
          </w:tblCellMar>
        </w:tblPrEx>
        <w:trPr>
          <w:trHeight w:hRule="exact" w:val="568"/>
          <w:jc w:val="center"/>
        </w:trPr>
        <w:tc>
          <w:tcPr>
            <w:tcW w:w="2485" w:type="dxa"/>
            <w:tcBorders>
              <w:top w:val="single" w:sz="4" w:space="0" w:color="000000"/>
              <w:left w:val="single" w:sz="4" w:space="0" w:color="000000"/>
              <w:bottom w:val="single" w:sz="4" w:space="0" w:color="000000"/>
              <w:right w:val="single" w:sz="4" w:space="0" w:color="000000"/>
            </w:tcBorders>
            <w:vAlign w:val="center"/>
          </w:tcPr>
          <w:p>
            <w:pPr>
              <w:pStyle w:val="BodyText"/>
              <w:adjustRightInd w:val="0"/>
              <w:snapToGrid w:val="0"/>
              <w:spacing w:after="0" w:line="240" w:lineRule="exact"/>
              <w:ind w:left="542"/>
              <w:jc w:val="center"/>
              <w:rPr>
                <w:color w:val="000000" w:themeColor="text1"/>
                <w:szCs w:val="21"/>
              </w:rPr>
            </w:pPr>
            <w:r>
              <w:rPr>
                <w:rFonts w:ascii="Arial" w:hAnsi="Arial" w:cs="Arial"/>
                <w:color w:val="000000"/>
                <w:szCs w:val="21"/>
              </w:rPr>
              <w:t>＃</w:t>
            </w:r>
            <w:r>
              <w:rPr>
                <w:rFonts w:hint="eastAsia"/>
                <w:color w:val="000000" w:themeColor="text1"/>
              </w:rPr>
              <w:t>弹径</w:t>
            </w:r>
          </w:p>
        </w:tc>
        <w:tc>
          <w:tcPr>
            <w:tcW w:w="3284" w:type="dxa"/>
            <w:tcBorders>
              <w:top w:val="single" w:sz="4" w:space="0" w:color="000000"/>
              <w:left w:val="single" w:sz="4" w:space="0" w:color="000000"/>
              <w:bottom w:val="single" w:sz="4" w:space="0" w:color="000000"/>
              <w:right w:val="single" w:sz="4" w:space="0" w:color="000000"/>
            </w:tcBorders>
            <w:vAlign w:val="center"/>
          </w:tcPr>
          <w:p>
            <w:pPr>
              <w:pStyle w:val="BodyText"/>
              <w:adjustRightInd w:val="0"/>
              <w:snapToGrid w:val="0"/>
              <w:spacing w:after="0" w:line="240" w:lineRule="exact"/>
              <w:ind w:left="542"/>
              <w:jc w:val="center"/>
              <w:rPr>
                <w:color w:val="000000" w:themeColor="text1"/>
                <w:szCs w:val="21"/>
              </w:rPr>
            </w:pPr>
            <w:r>
              <w:rPr>
                <w:rFonts w:hint="eastAsia"/>
                <w:color w:val="000000" w:themeColor="text1"/>
                <w:lang w:val="en-US"/>
              </w:rPr>
              <w:t>66</w:t>
            </w:r>
            <w:r>
              <w:rPr>
                <w:rFonts w:hint="eastAsia"/>
                <w:color w:val="000000" w:themeColor="text1"/>
              </w:rPr>
              <w:t>mm</w:t>
            </w:r>
          </w:p>
        </w:tc>
        <w:tc>
          <w:tcPr>
            <w:tcW w:w="2541" w:type="dxa"/>
            <w:vMerge/>
            <w:tcBorders>
              <w:left w:val="single" w:sz="4" w:space="0" w:color="000000"/>
              <w:right w:val="single" w:sz="4" w:space="0" w:color="000000"/>
            </w:tcBorders>
            <w:vAlign w:val="center"/>
          </w:tcPr>
          <w:p>
            <w:pPr>
              <w:pStyle w:val="BodyText"/>
              <w:adjustRightInd w:val="0"/>
              <w:snapToGrid w:val="0"/>
              <w:spacing w:after="0" w:line="240" w:lineRule="exact"/>
              <w:ind w:left="542"/>
              <w:jc w:val="center"/>
              <w:rPr>
                <w:color w:val="000000"/>
                <w:szCs w:val="21"/>
              </w:rPr>
            </w:pPr>
          </w:p>
        </w:tc>
      </w:tr>
      <w:tr>
        <w:tblPrEx>
          <w:tblW w:w="8310" w:type="dxa"/>
          <w:jc w:val="center"/>
          <w:tblLayout w:type="fixed"/>
          <w:tblCellMar>
            <w:top w:w="0" w:type="dxa"/>
            <w:left w:w="0" w:type="dxa"/>
            <w:bottom w:w="0" w:type="dxa"/>
            <w:right w:w="0" w:type="dxa"/>
          </w:tblCellMar>
        </w:tblPrEx>
        <w:trPr>
          <w:trHeight w:hRule="exact" w:val="568"/>
          <w:jc w:val="center"/>
        </w:trPr>
        <w:tc>
          <w:tcPr>
            <w:tcW w:w="2485" w:type="dxa"/>
            <w:tcBorders>
              <w:top w:val="single" w:sz="4" w:space="0" w:color="000000"/>
              <w:left w:val="single" w:sz="4" w:space="0" w:color="000000"/>
              <w:bottom w:val="single" w:sz="4" w:space="0" w:color="000000"/>
              <w:right w:val="single" w:sz="4" w:space="0" w:color="000000"/>
            </w:tcBorders>
            <w:vAlign w:val="center"/>
          </w:tcPr>
          <w:p>
            <w:pPr>
              <w:pStyle w:val="BodyText"/>
              <w:adjustRightInd w:val="0"/>
              <w:snapToGrid w:val="0"/>
              <w:spacing w:after="0" w:line="240" w:lineRule="exact"/>
              <w:ind w:left="542"/>
              <w:jc w:val="center"/>
              <w:rPr>
                <w:color w:val="000000" w:themeColor="text1"/>
                <w:szCs w:val="21"/>
              </w:rPr>
            </w:pPr>
            <w:r>
              <w:rPr>
                <w:rFonts w:ascii="Arial" w:hAnsi="Arial" w:cs="Arial"/>
                <w:color w:val="000000"/>
                <w:szCs w:val="21"/>
              </w:rPr>
              <w:t>＃</w:t>
            </w:r>
            <w:r>
              <w:rPr>
                <w:rFonts w:hint="eastAsia"/>
                <w:color w:val="000000" w:themeColor="text1"/>
              </w:rPr>
              <w:t>箭长</w:t>
            </w:r>
          </w:p>
        </w:tc>
        <w:tc>
          <w:tcPr>
            <w:tcW w:w="3284" w:type="dxa"/>
            <w:tcBorders>
              <w:top w:val="single" w:sz="4" w:space="0" w:color="000000"/>
              <w:left w:val="single" w:sz="4" w:space="0" w:color="000000"/>
              <w:bottom w:val="single" w:sz="4" w:space="0" w:color="000000"/>
              <w:right w:val="single" w:sz="4" w:space="0" w:color="000000"/>
            </w:tcBorders>
            <w:vAlign w:val="center"/>
          </w:tcPr>
          <w:p>
            <w:pPr>
              <w:pStyle w:val="BodyText"/>
              <w:adjustRightInd w:val="0"/>
              <w:snapToGrid w:val="0"/>
              <w:spacing w:after="0" w:line="240" w:lineRule="exact"/>
              <w:ind w:left="542"/>
              <w:jc w:val="center"/>
              <w:rPr>
                <w:color w:val="000000" w:themeColor="text1"/>
                <w:szCs w:val="21"/>
              </w:rPr>
            </w:pPr>
            <w:r>
              <w:rPr>
                <w:rFonts w:hint="eastAsia"/>
                <w:color w:val="000000" w:themeColor="text1"/>
              </w:rPr>
              <w:t>1</w:t>
            </w:r>
            <w:r>
              <w:rPr>
                <w:rFonts w:hint="eastAsia"/>
                <w:color w:val="000000" w:themeColor="text1"/>
                <w:lang w:val="en-US"/>
              </w:rPr>
              <w:t>3</w:t>
            </w:r>
            <w:r>
              <w:rPr>
                <w:rFonts w:hint="eastAsia"/>
                <w:color w:val="000000" w:themeColor="text1"/>
              </w:rPr>
              <w:t>50±5mm</w:t>
            </w:r>
          </w:p>
        </w:tc>
        <w:tc>
          <w:tcPr>
            <w:tcW w:w="2541" w:type="dxa"/>
            <w:vMerge/>
            <w:tcBorders>
              <w:left w:val="single" w:sz="4" w:space="0" w:color="000000"/>
              <w:right w:val="single" w:sz="4" w:space="0" w:color="000000"/>
            </w:tcBorders>
            <w:vAlign w:val="center"/>
          </w:tcPr>
          <w:p>
            <w:pPr>
              <w:pStyle w:val="BodyText"/>
              <w:adjustRightInd w:val="0"/>
              <w:snapToGrid w:val="0"/>
              <w:spacing w:after="0" w:line="240" w:lineRule="exact"/>
              <w:ind w:left="542"/>
              <w:jc w:val="center"/>
              <w:rPr>
                <w:color w:val="000000"/>
                <w:szCs w:val="21"/>
              </w:rPr>
            </w:pPr>
          </w:p>
        </w:tc>
      </w:tr>
      <w:tr>
        <w:tblPrEx>
          <w:tblW w:w="8310" w:type="dxa"/>
          <w:jc w:val="center"/>
          <w:tblLayout w:type="fixed"/>
          <w:tblCellMar>
            <w:top w:w="0" w:type="dxa"/>
            <w:left w:w="0" w:type="dxa"/>
            <w:bottom w:w="0" w:type="dxa"/>
            <w:right w:w="0" w:type="dxa"/>
          </w:tblCellMar>
        </w:tblPrEx>
        <w:trPr>
          <w:trHeight w:hRule="exact" w:val="568"/>
          <w:jc w:val="center"/>
        </w:trPr>
        <w:tc>
          <w:tcPr>
            <w:tcW w:w="2485" w:type="dxa"/>
            <w:tcBorders>
              <w:top w:val="single" w:sz="4" w:space="0" w:color="000000"/>
              <w:left w:val="single" w:sz="4" w:space="0" w:color="000000"/>
              <w:bottom w:val="single" w:sz="4" w:space="0" w:color="000000"/>
              <w:right w:val="single" w:sz="4" w:space="0" w:color="000000"/>
            </w:tcBorders>
            <w:vAlign w:val="center"/>
          </w:tcPr>
          <w:p>
            <w:pPr>
              <w:pStyle w:val="BodyText"/>
              <w:adjustRightInd w:val="0"/>
              <w:snapToGrid w:val="0"/>
              <w:spacing w:after="0" w:line="240" w:lineRule="exact"/>
              <w:ind w:left="542"/>
              <w:jc w:val="center"/>
              <w:rPr>
                <w:color w:val="000000" w:themeColor="text1"/>
                <w:szCs w:val="21"/>
              </w:rPr>
            </w:pPr>
            <w:r>
              <w:rPr>
                <w:rFonts w:ascii="Arial" w:hAnsi="Arial" w:cs="Arial"/>
                <w:color w:val="000000"/>
                <w:szCs w:val="21"/>
              </w:rPr>
              <w:t>＃</w:t>
            </w:r>
            <w:r>
              <w:rPr>
                <w:rFonts w:hint="eastAsia"/>
                <w:color w:val="000000" w:themeColor="text1"/>
              </w:rPr>
              <w:t>最大射高（85°）</w:t>
            </w:r>
          </w:p>
        </w:tc>
        <w:tc>
          <w:tcPr>
            <w:tcW w:w="3284" w:type="dxa"/>
            <w:tcBorders>
              <w:top w:val="single" w:sz="4" w:space="0" w:color="000000"/>
              <w:left w:val="single" w:sz="4" w:space="0" w:color="000000"/>
              <w:bottom w:val="single" w:sz="4" w:space="0" w:color="000000"/>
              <w:right w:val="single" w:sz="4" w:space="0" w:color="000000"/>
            </w:tcBorders>
            <w:vAlign w:val="center"/>
          </w:tcPr>
          <w:p>
            <w:pPr>
              <w:pStyle w:val="BodyText"/>
              <w:adjustRightInd w:val="0"/>
              <w:snapToGrid w:val="0"/>
              <w:spacing w:after="0" w:line="240" w:lineRule="exact"/>
              <w:ind w:left="542"/>
              <w:jc w:val="center"/>
              <w:rPr>
                <w:color w:val="000000" w:themeColor="text1"/>
                <w:szCs w:val="21"/>
              </w:rPr>
            </w:pPr>
            <w:r>
              <w:rPr>
                <w:rFonts w:ascii="Times New Roman" w:eastAsia="宋体" w:hAnsi="Times New Roman" w:hint="eastAsia"/>
                <w:b/>
                <w:bCs/>
                <w:sz w:val="24"/>
              </w:rPr>
              <w:t>≥6</w:t>
            </w:r>
            <w:r>
              <w:rPr>
                <w:rFonts w:ascii="Times New Roman" w:eastAsia="宋体" w:hAnsi="Times New Roman" w:hint="eastAsia"/>
                <w:b/>
                <w:bCs/>
                <w:sz w:val="24"/>
                <w:lang w:val="en-US"/>
              </w:rPr>
              <w:t>.</w:t>
            </w:r>
            <w:r>
              <w:rPr>
                <w:rFonts w:ascii="Times New Roman" w:eastAsia="宋体" w:hAnsi="Times New Roman" w:hint="eastAsia"/>
                <w:b/>
                <w:bCs/>
                <w:sz w:val="24"/>
              </w:rPr>
              <w:t>3</w:t>
            </w:r>
            <w:r>
              <w:rPr>
                <w:rFonts w:hint="eastAsia"/>
                <w:color w:val="000000" w:themeColor="text1"/>
              </w:rPr>
              <w:t>km</w:t>
            </w:r>
          </w:p>
        </w:tc>
        <w:tc>
          <w:tcPr>
            <w:tcW w:w="2541" w:type="dxa"/>
            <w:vMerge/>
            <w:tcBorders>
              <w:left w:val="single" w:sz="4" w:space="0" w:color="000000"/>
              <w:right w:val="single" w:sz="4" w:space="0" w:color="000000"/>
            </w:tcBorders>
            <w:vAlign w:val="center"/>
          </w:tcPr>
          <w:p>
            <w:pPr>
              <w:pStyle w:val="BodyText"/>
              <w:adjustRightInd w:val="0"/>
              <w:snapToGrid w:val="0"/>
              <w:spacing w:after="0" w:line="240" w:lineRule="exact"/>
              <w:ind w:left="542"/>
              <w:jc w:val="center"/>
              <w:rPr>
                <w:color w:val="000000"/>
                <w:szCs w:val="21"/>
              </w:rPr>
            </w:pPr>
          </w:p>
        </w:tc>
      </w:tr>
      <w:tr>
        <w:tblPrEx>
          <w:tblW w:w="8310" w:type="dxa"/>
          <w:jc w:val="center"/>
          <w:tblLayout w:type="fixed"/>
          <w:tblCellMar>
            <w:top w:w="0" w:type="dxa"/>
            <w:left w:w="0" w:type="dxa"/>
            <w:bottom w:w="0" w:type="dxa"/>
            <w:right w:w="0" w:type="dxa"/>
          </w:tblCellMar>
        </w:tblPrEx>
        <w:trPr>
          <w:trHeight w:hRule="exact" w:val="568"/>
          <w:jc w:val="center"/>
        </w:trPr>
        <w:tc>
          <w:tcPr>
            <w:tcW w:w="2485" w:type="dxa"/>
            <w:tcBorders>
              <w:top w:val="single" w:sz="4" w:space="0" w:color="000000"/>
              <w:left w:val="single" w:sz="4" w:space="0" w:color="000000"/>
              <w:bottom w:val="single" w:sz="4" w:space="0" w:color="000000"/>
              <w:right w:val="single" w:sz="4" w:space="0" w:color="000000"/>
            </w:tcBorders>
            <w:vAlign w:val="center"/>
          </w:tcPr>
          <w:p>
            <w:pPr>
              <w:pStyle w:val="BodyText"/>
              <w:adjustRightInd w:val="0"/>
              <w:snapToGrid w:val="0"/>
              <w:spacing w:after="0" w:line="240" w:lineRule="exact"/>
              <w:ind w:left="542"/>
              <w:jc w:val="center"/>
              <w:rPr>
                <w:color w:val="000000" w:themeColor="text1"/>
                <w:szCs w:val="21"/>
              </w:rPr>
            </w:pPr>
            <w:r>
              <w:rPr>
                <w:rFonts w:ascii="Arial" w:hAnsi="Arial" w:cs="Arial"/>
                <w:color w:val="000000"/>
                <w:szCs w:val="21"/>
              </w:rPr>
              <w:t>＃</w:t>
            </w:r>
            <w:r>
              <w:rPr>
                <w:color w:val="000000" w:themeColor="text1"/>
                <w:szCs w:val="21"/>
              </w:rPr>
              <w:t>焰剂携带量</w:t>
            </w:r>
          </w:p>
        </w:tc>
        <w:tc>
          <w:tcPr>
            <w:tcW w:w="3284" w:type="dxa"/>
            <w:tcBorders>
              <w:top w:val="single" w:sz="4" w:space="0" w:color="000000"/>
              <w:left w:val="single" w:sz="4" w:space="0" w:color="000000"/>
              <w:bottom w:val="single" w:sz="4" w:space="0" w:color="000000"/>
              <w:right w:val="single" w:sz="4" w:space="0" w:color="000000"/>
            </w:tcBorders>
            <w:vAlign w:val="center"/>
          </w:tcPr>
          <w:p>
            <w:pPr>
              <w:pStyle w:val="BodyText"/>
              <w:adjustRightInd w:val="0"/>
              <w:snapToGrid w:val="0"/>
              <w:spacing w:after="0" w:line="240" w:lineRule="exact"/>
              <w:ind w:left="542"/>
              <w:jc w:val="center"/>
              <w:rPr>
                <w:color w:val="000000" w:themeColor="text1"/>
                <w:szCs w:val="21"/>
              </w:rPr>
            </w:pPr>
            <w:r>
              <w:rPr>
                <w:rFonts w:hint="eastAsia"/>
                <w:color w:val="000000" w:themeColor="text1"/>
              </w:rPr>
              <w:t>≥50</w:t>
            </w:r>
            <w:r>
              <w:rPr>
                <w:rFonts w:hint="eastAsia"/>
                <w:color w:val="000000" w:themeColor="text1"/>
                <w:lang w:val="en-US"/>
              </w:rPr>
              <w:t>0</w:t>
            </w:r>
            <w:r>
              <w:rPr>
                <w:rFonts w:hint="eastAsia"/>
                <w:color w:val="000000" w:themeColor="text1"/>
              </w:rPr>
              <w:t>±5</w:t>
            </w:r>
            <w:r>
              <w:rPr>
                <w:rFonts w:hint="eastAsia"/>
                <w:color w:val="000000" w:themeColor="text1"/>
                <w:lang w:val="en-US"/>
              </w:rPr>
              <w:t>0</w:t>
            </w:r>
            <w:r>
              <w:rPr>
                <w:rFonts w:hint="eastAsia"/>
                <w:color w:val="000000" w:themeColor="text1"/>
              </w:rPr>
              <w:t>g/枚</w:t>
            </w:r>
          </w:p>
        </w:tc>
        <w:tc>
          <w:tcPr>
            <w:tcW w:w="2541" w:type="dxa"/>
            <w:vMerge/>
            <w:tcBorders>
              <w:left w:val="single" w:sz="4" w:space="0" w:color="000000"/>
              <w:right w:val="single" w:sz="4" w:space="0" w:color="000000"/>
            </w:tcBorders>
            <w:vAlign w:val="center"/>
          </w:tcPr>
          <w:p>
            <w:pPr>
              <w:pStyle w:val="BodyText"/>
              <w:adjustRightInd w:val="0"/>
              <w:snapToGrid w:val="0"/>
              <w:spacing w:after="0" w:line="240" w:lineRule="exact"/>
              <w:ind w:left="542"/>
              <w:jc w:val="center"/>
              <w:rPr>
                <w:color w:val="000000"/>
                <w:szCs w:val="21"/>
              </w:rPr>
            </w:pPr>
          </w:p>
        </w:tc>
      </w:tr>
      <w:tr>
        <w:tblPrEx>
          <w:tblW w:w="8310" w:type="dxa"/>
          <w:jc w:val="center"/>
          <w:tblLayout w:type="fixed"/>
          <w:tblCellMar>
            <w:top w:w="0" w:type="dxa"/>
            <w:left w:w="0" w:type="dxa"/>
            <w:bottom w:w="0" w:type="dxa"/>
            <w:right w:w="0" w:type="dxa"/>
          </w:tblCellMar>
        </w:tblPrEx>
        <w:trPr>
          <w:trHeight w:hRule="exact" w:val="568"/>
          <w:jc w:val="center"/>
        </w:trPr>
        <w:tc>
          <w:tcPr>
            <w:tcW w:w="2485" w:type="dxa"/>
            <w:tcBorders>
              <w:top w:val="single" w:sz="4" w:space="0" w:color="000000"/>
              <w:left w:val="single" w:sz="4" w:space="0" w:color="000000"/>
              <w:bottom w:val="single" w:sz="4" w:space="0" w:color="000000"/>
              <w:right w:val="single" w:sz="4" w:space="0" w:color="000000"/>
            </w:tcBorders>
            <w:vAlign w:val="center"/>
          </w:tcPr>
          <w:p>
            <w:pPr>
              <w:pStyle w:val="BodyText"/>
              <w:adjustRightInd w:val="0"/>
              <w:snapToGrid w:val="0"/>
              <w:spacing w:after="0" w:line="240" w:lineRule="exact"/>
              <w:ind w:left="542"/>
              <w:jc w:val="center"/>
              <w:rPr>
                <w:color w:val="000000" w:themeColor="text1"/>
                <w:szCs w:val="21"/>
              </w:rPr>
            </w:pPr>
            <w:r>
              <w:rPr>
                <w:rFonts w:ascii="Arial" w:hAnsi="Arial" w:cs="Arial"/>
                <w:color w:val="000000"/>
                <w:szCs w:val="21"/>
              </w:rPr>
              <w:t>＃</w:t>
            </w:r>
            <w:r>
              <w:rPr>
                <w:rFonts w:hint="eastAsia"/>
                <w:color w:val="000000" w:themeColor="text1"/>
              </w:rPr>
              <w:t>碘化银成核率：</w:t>
            </w:r>
          </w:p>
        </w:tc>
        <w:tc>
          <w:tcPr>
            <w:tcW w:w="3284" w:type="dxa"/>
            <w:tcBorders>
              <w:top w:val="single" w:sz="4" w:space="0" w:color="000000"/>
              <w:left w:val="single" w:sz="4" w:space="0" w:color="000000"/>
              <w:bottom w:val="single" w:sz="4" w:space="0" w:color="000000"/>
              <w:right w:val="single" w:sz="4" w:space="0" w:color="000000"/>
            </w:tcBorders>
            <w:vAlign w:val="center"/>
          </w:tcPr>
          <w:p>
            <w:pPr>
              <w:pStyle w:val="BodyText"/>
              <w:adjustRightInd w:val="0"/>
              <w:snapToGrid w:val="0"/>
              <w:spacing w:after="0" w:line="240" w:lineRule="exact"/>
              <w:ind w:left="542"/>
              <w:jc w:val="center"/>
              <w:rPr>
                <w:color w:val="000000" w:themeColor="text1"/>
                <w:szCs w:val="21"/>
              </w:rPr>
            </w:pPr>
            <w:r>
              <w:rPr>
                <w:rFonts w:hint="eastAsia"/>
                <w:color w:val="000000" w:themeColor="text1"/>
              </w:rPr>
              <w:t>1.</w:t>
            </w:r>
            <w:r>
              <w:rPr>
                <w:rFonts w:hint="eastAsia"/>
                <w:color w:val="000000" w:themeColor="text1"/>
                <w:lang w:val="en-US"/>
              </w:rPr>
              <w:t>03</w:t>
            </w:r>
            <w:r>
              <w:rPr>
                <w:rFonts w:hint="eastAsia"/>
                <w:color w:val="000000" w:themeColor="text1"/>
              </w:rPr>
              <w:t>×10</w:t>
            </w:r>
            <w:r>
              <w:rPr>
                <w:rFonts w:hint="eastAsia"/>
                <w:color w:val="000000" w:themeColor="text1"/>
                <w:vertAlign w:val="superscript"/>
              </w:rPr>
              <w:t>15</w:t>
            </w:r>
            <w:r>
              <w:rPr>
                <w:rFonts w:hint="eastAsia"/>
                <w:color w:val="000000" w:themeColor="text1"/>
              </w:rPr>
              <w:t>个/g AgI</w:t>
            </w:r>
          </w:p>
        </w:tc>
        <w:tc>
          <w:tcPr>
            <w:tcW w:w="2541" w:type="dxa"/>
            <w:vMerge/>
            <w:tcBorders>
              <w:left w:val="single" w:sz="4" w:space="0" w:color="000000"/>
              <w:right w:val="single" w:sz="4" w:space="0" w:color="000000"/>
            </w:tcBorders>
            <w:vAlign w:val="center"/>
          </w:tcPr>
          <w:p>
            <w:pPr>
              <w:pStyle w:val="BodyText"/>
              <w:adjustRightInd w:val="0"/>
              <w:snapToGrid w:val="0"/>
              <w:spacing w:after="0" w:line="240" w:lineRule="exact"/>
              <w:ind w:left="542"/>
              <w:jc w:val="center"/>
              <w:rPr>
                <w:color w:val="000000"/>
                <w:szCs w:val="21"/>
              </w:rPr>
            </w:pPr>
          </w:p>
        </w:tc>
      </w:tr>
      <w:tr>
        <w:tblPrEx>
          <w:tblW w:w="8310" w:type="dxa"/>
          <w:jc w:val="center"/>
          <w:tblLayout w:type="fixed"/>
          <w:tblCellMar>
            <w:top w:w="0" w:type="dxa"/>
            <w:left w:w="0" w:type="dxa"/>
            <w:bottom w:w="0" w:type="dxa"/>
            <w:right w:w="0" w:type="dxa"/>
          </w:tblCellMar>
        </w:tblPrEx>
        <w:trPr>
          <w:trHeight w:hRule="exact" w:val="568"/>
          <w:jc w:val="center"/>
        </w:trPr>
        <w:tc>
          <w:tcPr>
            <w:tcW w:w="2485" w:type="dxa"/>
            <w:tcBorders>
              <w:top w:val="single" w:sz="4" w:space="0" w:color="000000"/>
              <w:left w:val="single" w:sz="4" w:space="0" w:color="000000"/>
              <w:bottom w:val="single" w:sz="4" w:space="0" w:color="000000"/>
              <w:right w:val="single" w:sz="4" w:space="0" w:color="000000"/>
            </w:tcBorders>
            <w:vAlign w:val="center"/>
          </w:tcPr>
          <w:p>
            <w:pPr>
              <w:pStyle w:val="BodyText"/>
              <w:adjustRightInd w:val="0"/>
              <w:snapToGrid w:val="0"/>
              <w:spacing w:after="0" w:line="240" w:lineRule="exact"/>
              <w:ind w:left="542"/>
              <w:jc w:val="center"/>
              <w:rPr>
                <w:color w:val="000000" w:themeColor="text1"/>
                <w:szCs w:val="21"/>
              </w:rPr>
            </w:pPr>
            <w:r>
              <w:rPr>
                <w:rFonts w:ascii="Arial" w:hAnsi="Arial" w:cs="Arial"/>
                <w:color w:val="000000"/>
                <w:szCs w:val="21"/>
              </w:rPr>
              <w:t>＃</w:t>
            </w:r>
            <w:r>
              <w:rPr>
                <w:rFonts w:hint="eastAsia"/>
                <w:color w:val="000000" w:themeColor="text1"/>
              </w:rPr>
              <w:t>降落方式</w:t>
            </w:r>
          </w:p>
        </w:tc>
        <w:tc>
          <w:tcPr>
            <w:tcW w:w="3284" w:type="dxa"/>
            <w:tcBorders>
              <w:top w:val="single" w:sz="4" w:space="0" w:color="000000"/>
              <w:left w:val="single" w:sz="4" w:space="0" w:color="000000"/>
              <w:bottom w:val="single" w:sz="4" w:space="0" w:color="000000"/>
              <w:right w:val="single" w:sz="4" w:space="0" w:color="000000"/>
            </w:tcBorders>
            <w:vAlign w:val="center"/>
          </w:tcPr>
          <w:p>
            <w:pPr>
              <w:pStyle w:val="BodyText"/>
              <w:adjustRightInd w:val="0"/>
              <w:snapToGrid w:val="0"/>
              <w:spacing w:after="0" w:line="240" w:lineRule="exact"/>
              <w:ind w:left="542"/>
              <w:jc w:val="center"/>
              <w:rPr>
                <w:color w:val="000000" w:themeColor="text1"/>
                <w:szCs w:val="21"/>
              </w:rPr>
            </w:pPr>
            <w:r>
              <w:rPr>
                <w:rFonts w:hint="eastAsia"/>
                <w:color w:val="000000" w:themeColor="text1"/>
              </w:rPr>
              <w:t>伞降</w:t>
            </w:r>
          </w:p>
        </w:tc>
        <w:tc>
          <w:tcPr>
            <w:tcW w:w="2541" w:type="dxa"/>
            <w:vMerge/>
            <w:tcBorders>
              <w:left w:val="single" w:sz="4" w:space="0" w:color="000000"/>
              <w:right w:val="single" w:sz="4" w:space="0" w:color="000000"/>
            </w:tcBorders>
            <w:vAlign w:val="center"/>
          </w:tcPr>
          <w:p>
            <w:pPr>
              <w:pStyle w:val="BodyText"/>
              <w:adjustRightInd w:val="0"/>
              <w:snapToGrid w:val="0"/>
              <w:spacing w:after="0" w:line="240" w:lineRule="exact"/>
              <w:ind w:left="542"/>
              <w:jc w:val="center"/>
              <w:rPr>
                <w:color w:val="000000"/>
                <w:szCs w:val="21"/>
              </w:rPr>
            </w:pPr>
          </w:p>
        </w:tc>
      </w:tr>
      <w:tr>
        <w:tblPrEx>
          <w:tblW w:w="8310" w:type="dxa"/>
          <w:jc w:val="center"/>
          <w:tblLayout w:type="fixed"/>
          <w:tblCellMar>
            <w:top w:w="0" w:type="dxa"/>
            <w:left w:w="0" w:type="dxa"/>
            <w:bottom w:w="0" w:type="dxa"/>
            <w:right w:w="0" w:type="dxa"/>
          </w:tblCellMar>
        </w:tblPrEx>
        <w:trPr>
          <w:trHeight w:hRule="exact" w:val="568"/>
          <w:jc w:val="center"/>
        </w:trPr>
        <w:tc>
          <w:tcPr>
            <w:tcW w:w="2485" w:type="dxa"/>
            <w:tcBorders>
              <w:top w:val="single" w:sz="4" w:space="0" w:color="000000"/>
              <w:left w:val="single" w:sz="4" w:space="0" w:color="000000"/>
              <w:bottom w:val="single" w:sz="4" w:space="0" w:color="000000"/>
              <w:right w:val="single" w:sz="4" w:space="0" w:color="000000"/>
            </w:tcBorders>
            <w:vAlign w:val="center"/>
          </w:tcPr>
          <w:p>
            <w:pPr>
              <w:pStyle w:val="BodyText"/>
              <w:adjustRightInd w:val="0"/>
              <w:snapToGrid w:val="0"/>
              <w:spacing w:after="0" w:line="240" w:lineRule="exact"/>
              <w:ind w:left="542"/>
              <w:jc w:val="center"/>
              <w:rPr>
                <w:color w:val="000000" w:themeColor="text1"/>
                <w:szCs w:val="21"/>
              </w:rPr>
            </w:pPr>
            <w:r>
              <w:rPr>
                <w:rFonts w:ascii="Arial" w:hAnsi="Arial" w:cs="Arial"/>
                <w:color w:val="000000"/>
                <w:szCs w:val="21"/>
              </w:rPr>
              <w:t>＃</w:t>
            </w:r>
            <w:r>
              <w:rPr>
                <w:rFonts w:hint="eastAsia"/>
                <w:color w:val="000000" w:themeColor="text1"/>
              </w:rPr>
              <w:t>残骸落地速度</w:t>
            </w:r>
          </w:p>
        </w:tc>
        <w:tc>
          <w:tcPr>
            <w:tcW w:w="3284" w:type="dxa"/>
            <w:tcBorders>
              <w:top w:val="single" w:sz="4" w:space="0" w:color="000000"/>
              <w:left w:val="single" w:sz="4" w:space="0" w:color="000000"/>
              <w:bottom w:val="single" w:sz="4" w:space="0" w:color="000000"/>
              <w:right w:val="single" w:sz="4" w:space="0" w:color="000000"/>
            </w:tcBorders>
            <w:vAlign w:val="center"/>
          </w:tcPr>
          <w:p>
            <w:pPr>
              <w:pStyle w:val="BodyText"/>
              <w:adjustRightInd w:val="0"/>
              <w:snapToGrid w:val="0"/>
              <w:spacing w:after="0" w:line="240" w:lineRule="exact"/>
              <w:ind w:left="542"/>
              <w:jc w:val="center"/>
              <w:rPr>
                <w:color w:val="000000" w:themeColor="text1"/>
                <w:szCs w:val="21"/>
              </w:rPr>
            </w:pPr>
            <w:r>
              <w:rPr>
                <w:rFonts w:hint="eastAsia"/>
                <w:color w:val="000000" w:themeColor="text1"/>
              </w:rPr>
              <w:t>≤8m/s</w:t>
            </w:r>
          </w:p>
        </w:tc>
        <w:tc>
          <w:tcPr>
            <w:tcW w:w="2541" w:type="dxa"/>
            <w:vMerge/>
            <w:tcBorders>
              <w:left w:val="single" w:sz="4" w:space="0" w:color="000000"/>
              <w:right w:val="single" w:sz="4" w:space="0" w:color="000000"/>
            </w:tcBorders>
            <w:vAlign w:val="center"/>
          </w:tcPr>
          <w:p>
            <w:pPr>
              <w:pStyle w:val="BodyText"/>
              <w:adjustRightInd w:val="0"/>
              <w:snapToGrid w:val="0"/>
              <w:spacing w:after="0" w:line="240" w:lineRule="exact"/>
              <w:ind w:left="542"/>
              <w:jc w:val="center"/>
              <w:rPr>
                <w:color w:val="000000"/>
                <w:szCs w:val="21"/>
              </w:rPr>
            </w:pPr>
          </w:p>
        </w:tc>
      </w:tr>
      <w:tr>
        <w:tblPrEx>
          <w:tblW w:w="8310" w:type="dxa"/>
          <w:jc w:val="center"/>
          <w:tblLayout w:type="fixed"/>
          <w:tblCellMar>
            <w:top w:w="0" w:type="dxa"/>
            <w:left w:w="0" w:type="dxa"/>
            <w:bottom w:w="0" w:type="dxa"/>
            <w:right w:w="0" w:type="dxa"/>
          </w:tblCellMar>
        </w:tblPrEx>
        <w:trPr>
          <w:trHeight w:hRule="exact" w:val="568"/>
          <w:jc w:val="center"/>
        </w:trPr>
        <w:tc>
          <w:tcPr>
            <w:tcW w:w="2485" w:type="dxa"/>
            <w:tcBorders>
              <w:top w:val="single" w:sz="4" w:space="0" w:color="000000"/>
              <w:left w:val="single" w:sz="4" w:space="0" w:color="000000"/>
              <w:bottom w:val="single" w:sz="4" w:space="0" w:color="000000"/>
              <w:right w:val="single" w:sz="4" w:space="0" w:color="000000"/>
            </w:tcBorders>
            <w:vAlign w:val="center"/>
          </w:tcPr>
          <w:p>
            <w:pPr>
              <w:pStyle w:val="BodyText"/>
              <w:adjustRightInd w:val="0"/>
              <w:snapToGrid w:val="0"/>
              <w:spacing w:after="0" w:line="240" w:lineRule="exact"/>
              <w:ind w:left="542"/>
              <w:jc w:val="center"/>
              <w:rPr>
                <w:color w:val="000000" w:themeColor="text1"/>
                <w:szCs w:val="21"/>
              </w:rPr>
            </w:pPr>
            <w:r>
              <w:rPr>
                <w:rFonts w:ascii="Arial" w:hAnsi="Arial" w:cs="Arial"/>
                <w:color w:val="000000"/>
                <w:szCs w:val="21"/>
              </w:rPr>
              <w:t>＃</w:t>
            </w:r>
            <w:r>
              <w:rPr>
                <w:rFonts w:hint="eastAsia"/>
                <w:color w:val="000000" w:themeColor="text1"/>
                <w:szCs w:val="21"/>
              </w:rPr>
              <w:t>贮存期</w:t>
            </w:r>
          </w:p>
        </w:tc>
        <w:tc>
          <w:tcPr>
            <w:tcW w:w="3284" w:type="dxa"/>
            <w:tcBorders>
              <w:top w:val="single" w:sz="4" w:space="0" w:color="000000"/>
              <w:left w:val="single" w:sz="4" w:space="0" w:color="000000"/>
              <w:bottom w:val="single" w:sz="4" w:space="0" w:color="000000"/>
              <w:right w:val="single" w:sz="4" w:space="0" w:color="000000"/>
            </w:tcBorders>
            <w:vAlign w:val="center"/>
          </w:tcPr>
          <w:p>
            <w:pPr>
              <w:pStyle w:val="BodyText"/>
              <w:adjustRightInd w:val="0"/>
              <w:snapToGrid w:val="0"/>
              <w:spacing w:after="0" w:line="240" w:lineRule="exact"/>
              <w:ind w:left="542"/>
              <w:jc w:val="center"/>
              <w:rPr>
                <w:color w:val="000000" w:themeColor="text1"/>
              </w:rPr>
            </w:pPr>
            <w:r>
              <w:rPr>
                <w:rFonts w:hint="eastAsia"/>
                <w:color w:val="000000" w:themeColor="text1"/>
                <w:szCs w:val="21"/>
              </w:rPr>
              <w:t>3年</w:t>
            </w:r>
          </w:p>
        </w:tc>
        <w:tc>
          <w:tcPr>
            <w:tcW w:w="2541" w:type="dxa"/>
            <w:vMerge/>
            <w:tcBorders>
              <w:left w:val="single" w:sz="4" w:space="0" w:color="000000"/>
              <w:right w:val="single" w:sz="4" w:space="0" w:color="000000"/>
            </w:tcBorders>
            <w:vAlign w:val="center"/>
          </w:tcPr>
          <w:p>
            <w:pPr>
              <w:pStyle w:val="BodyText"/>
              <w:adjustRightInd w:val="0"/>
              <w:snapToGrid w:val="0"/>
              <w:spacing w:after="0" w:line="240" w:lineRule="exact"/>
              <w:ind w:left="542"/>
              <w:jc w:val="center"/>
              <w:rPr>
                <w:color w:val="000000"/>
                <w:szCs w:val="21"/>
              </w:rPr>
            </w:pPr>
          </w:p>
        </w:tc>
      </w:tr>
      <w:tr>
        <w:tblPrEx>
          <w:tblW w:w="8310" w:type="dxa"/>
          <w:jc w:val="center"/>
          <w:tblLayout w:type="fixed"/>
          <w:tblCellMar>
            <w:top w:w="0" w:type="dxa"/>
            <w:left w:w="0" w:type="dxa"/>
            <w:bottom w:w="0" w:type="dxa"/>
            <w:right w:w="0" w:type="dxa"/>
          </w:tblCellMar>
        </w:tblPrEx>
        <w:trPr>
          <w:trHeight w:hRule="exact" w:val="568"/>
          <w:jc w:val="center"/>
        </w:trPr>
        <w:tc>
          <w:tcPr>
            <w:tcW w:w="2485" w:type="dxa"/>
            <w:tcBorders>
              <w:top w:val="single" w:sz="4" w:space="0" w:color="000000"/>
              <w:left w:val="single" w:sz="4" w:space="0" w:color="000000"/>
              <w:bottom w:val="single" w:sz="4" w:space="0" w:color="000000"/>
              <w:right w:val="single" w:sz="4" w:space="0" w:color="000000"/>
            </w:tcBorders>
            <w:vAlign w:val="center"/>
          </w:tcPr>
          <w:p>
            <w:pPr>
              <w:pStyle w:val="BodyText"/>
              <w:adjustRightInd w:val="0"/>
              <w:snapToGrid w:val="0"/>
              <w:spacing w:after="0" w:line="240" w:lineRule="exact"/>
              <w:ind w:left="542"/>
              <w:jc w:val="center"/>
              <w:rPr>
                <w:color w:val="000000" w:themeColor="text1"/>
                <w:szCs w:val="21"/>
              </w:rPr>
            </w:pPr>
            <w:r>
              <w:rPr>
                <w:rFonts w:ascii="Arial" w:hAnsi="Arial" w:cs="Arial"/>
                <w:color w:val="000000"/>
                <w:szCs w:val="21"/>
              </w:rPr>
              <w:t>＃</w:t>
            </w:r>
            <w:r>
              <w:rPr>
                <w:color w:val="000000" w:themeColor="text1"/>
                <w:szCs w:val="21"/>
              </w:rPr>
              <w:t>使用温度</w:t>
            </w:r>
          </w:p>
        </w:tc>
        <w:tc>
          <w:tcPr>
            <w:tcW w:w="3284" w:type="dxa"/>
            <w:tcBorders>
              <w:top w:val="single" w:sz="4" w:space="0" w:color="000000"/>
              <w:left w:val="single" w:sz="4" w:space="0" w:color="000000"/>
              <w:bottom w:val="single" w:sz="4" w:space="0" w:color="000000"/>
              <w:right w:val="single" w:sz="4" w:space="0" w:color="000000"/>
            </w:tcBorders>
            <w:vAlign w:val="center"/>
          </w:tcPr>
          <w:p>
            <w:pPr>
              <w:pStyle w:val="BodyText"/>
              <w:adjustRightInd w:val="0"/>
              <w:snapToGrid w:val="0"/>
              <w:spacing w:after="0" w:line="240" w:lineRule="exact"/>
              <w:ind w:left="542"/>
              <w:jc w:val="center"/>
              <w:rPr>
                <w:color w:val="000000" w:themeColor="text1"/>
                <w:szCs w:val="21"/>
              </w:rPr>
            </w:pPr>
            <w:r>
              <w:rPr>
                <w:rFonts w:hint="eastAsia"/>
                <w:color w:val="000000" w:themeColor="text1"/>
                <w:szCs w:val="21"/>
              </w:rPr>
              <w:t>-</w:t>
            </w:r>
            <w:r>
              <w:rPr>
                <w:rFonts w:hint="eastAsia"/>
                <w:color w:val="000000" w:themeColor="text1"/>
                <w:szCs w:val="21"/>
                <w:lang w:val="en-US"/>
              </w:rPr>
              <w:t>20</w:t>
            </w:r>
            <w:r>
              <w:rPr>
                <w:rFonts w:hint="eastAsia"/>
                <w:color w:val="000000" w:themeColor="text1"/>
                <w:szCs w:val="21"/>
              </w:rPr>
              <w:t>~+45℃</w:t>
            </w:r>
          </w:p>
        </w:tc>
        <w:tc>
          <w:tcPr>
            <w:tcW w:w="2541" w:type="dxa"/>
            <w:vMerge/>
            <w:tcBorders>
              <w:left w:val="single" w:sz="4" w:space="0" w:color="000000"/>
              <w:bottom w:val="single" w:sz="4" w:space="0" w:color="000000"/>
              <w:right w:val="single" w:sz="4" w:space="0" w:color="000000"/>
            </w:tcBorders>
            <w:vAlign w:val="center"/>
          </w:tcPr>
          <w:p>
            <w:pPr>
              <w:pStyle w:val="BodyText"/>
              <w:adjustRightInd w:val="0"/>
              <w:snapToGrid w:val="0"/>
              <w:spacing w:after="0" w:line="240" w:lineRule="exact"/>
              <w:ind w:left="542"/>
              <w:jc w:val="center"/>
              <w:rPr>
                <w:color w:val="000000"/>
                <w:szCs w:val="21"/>
              </w:rPr>
            </w:pPr>
          </w:p>
        </w:tc>
      </w:tr>
    </w:tbl>
    <w:p>
      <w:pPr>
        <w:spacing w:line="360" w:lineRule="auto"/>
        <w:rPr>
          <w:rFonts w:ascii="宋体" w:hAnsi="宋体"/>
          <w:szCs w:val="21"/>
        </w:rPr>
      </w:pPr>
    </w:p>
    <w:p>
      <w:pPr>
        <w:pStyle w:val="BodyText"/>
        <w:spacing w:before="66"/>
        <w:ind w:firstLine="420" w:firstLineChars="200"/>
        <w:rPr>
          <w:rFonts w:ascii="宋体" w:eastAsia="宋体" w:hAnsi="宋体" w:cs="宋体"/>
          <w:color w:val="000000"/>
          <w:kern w:val="2"/>
          <w:szCs w:val="21"/>
          <w:lang w:val="en-US"/>
        </w:rPr>
      </w:pPr>
      <w:r>
        <w:rPr>
          <w:rFonts w:ascii="宋体" w:eastAsia="宋体" w:hAnsi="宋体" w:cs="宋体" w:hint="eastAsia"/>
          <w:color w:val="000000"/>
          <w:kern w:val="2"/>
          <w:szCs w:val="21"/>
          <w:lang w:val="en-US"/>
        </w:rPr>
        <w:t xml:space="preserve">四、验收 </w:t>
      </w:r>
    </w:p>
    <w:p>
      <w:pPr>
        <w:adjustRightInd w:val="0"/>
        <w:snapToGrid w:val="0"/>
        <w:spacing w:line="360" w:lineRule="auto"/>
        <w:ind w:firstLine="420" w:firstLineChars="200"/>
        <w:rPr>
          <w:rFonts w:ascii="宋体" w:hAnsi="宋体" w:cs="宋体"/>
          <w:color w:val="000000"/>
          <w:szCs w:val="21"/>
        </w:rPr>
      </w:pPr>
      <w:r>
        <w:rPr>
          <w:rFonts w:ascii="宋体" w:hAnsi="宋体" w:cs="宋体" w:hint="eastAsia"/>
          <w:color w:val="000000"/>
          <w:szCs w:val="21"/>
        </w:rPr>
        <w:t>1、合同签订后30天内交货，产品质量达到设计要求。</w:t>
      </w:r>
    </w:p>
    <w:p>
      <w:pPr>
        <w:pStyle w:val="BodyText"/>
        <w:spacing w:before="66" w:line="360" w:lineRule="auto"/>
        <w:ind w:firstLine="420" w:firstLineChars="200"/>
        <w:rPr>
          <w:rFonts w:ascii="宋体" w:eastAsia="宋体" w:hAnsi="宋体" w:cs="宋体"/>
          <w:color w:val="000000"/>
          <w:kern w:val="2"/>
          <w:szCs w:val="21"/>
          <w:lang w:val="en-US"/>
        </w:rPr>
      </w:pPr>
      <w:r>
        <w:rPr>
          <w:rFonts w:ascii="宋体" w:eastAsia="宋体" w:hAnsi="宋体" w:cs="宋体" w:hint="eastAsia"/>
          <w:color w:val="000000"/>
          <w:szCs w:val="21"/>
        </w:rPr>
        <w:t>2、到货验收。到货后用户检查包装并核对货物品种、数量以及完好性。未通过验收</w:t>
      </w:r>
      <w:r>
        <w:rPr>
          <w:rFonts w:ascii="宋体" w:eastAsia="宋体" w:hAnsi="宋体" w:cs="宋体" w:hint="eastAsia"/>
          <w:color w:val="000000"/>
          <w:kern w:val="2"/>
          <w:szCs w:val="21"/>
          <w:lang w:val="en-US"/>
        </w:rPr>
        <w:t xml:space="preserve">的货物，将不予接受。 </w:t>
      </w:r>
    </w:p>
    <w:p>
      <w:pPr>
        <w:pStyle w:val="BodyText"/>
        <w:spacing w:before="66"/>
        <w:ind w:firstLine="420" w:firstLineChars="200"/>
        <w:rPr>
          <w:rFonts w:ascii="宋体" w:eastAsia="宋体" w:hAnsi="宋体" w:cs="宋体"/>
          <w:color w:val="000000"/>
          <w:kern w:val="2"/>
          <w:szCs w:val="21"/>
          <w:lang w:val="en-US"/>
        </w:rPr>
      </w:pPr>
      <w:r>
        <w:rPr>
          <w:rFonts w:ascii="宋体" w:eastAsia="宋体" w:hAnsi="宋体" w:cs="宋体" w:hint="eastAsia"/>
          <w:color w:val="000000"/>
          <w:kern w:val="2"/>
          <w:szCs w:val="21"/>
          <w:lang w:val="en-US"/>
        </w:rPr>
        <w:t xml:space="preserve">五、包装和运输 </w:t>
      </w:r>
    </w:p>
    <w:p>
      <w:pPr>
        <w:pStyle w:val="BodyText"/>
        <w:spacing w:after="0" w:line="360" w:lineRule="auto"/>
        <w:ind w:firstLine="420" w:firstLineChars="200"/>
        <w:rPr>
          <w:rFonts w:ascii="宋体" w:eastAsia="宋体" w:hAnsi="宋体" w:cs="宋体"/>
          <w:color w:val="000000"/>
          <w:kern w:val="2"/>
          <w:szCs w:val="21"/>
          <w:lang w:val="en-US"/>
        </w:rPr>
      </w:pPr>
      <w:r>
        <w:rPr>
          <w:rFonts w:ascii="宋体" w:eastAsia="宋体" w:hAnsi="宋体" w:cs="宋体" w:hint="eastAsia"/>
          <w:color w:val="000000"/>
          <w:kern w:val="2"/>
          <w:szCs w:val="21"/>
          <w:lang w:val="en-US"/>
        </w:rPr>
        <w:t xml:space="preserve">1、包装 </w:t>
      </w:r>
    </w:p>
    <w:p>
      <w:pPr>
        <w:pStyle w:val="BodyText"/>
        <w:spacing w:after="0" w:line="360" w:lineRule="auto"/>
        <w:ind w:firstLine="420" w:firstLineChars="200"/>
        <w:rPr>
          <w:rFonts w:ascii="宋体" w:eastAsia="宋体" w:hAnsi="宋体" w:cs="宋体"/>
          <w:color w:val="000000"/>
          <w:kern w:val="2"/>
          <w:szCs w:val="21"/>
          <w:lang w:val="en-US"/>
        </w:rPr>
      </w:pPr>
      <w:r>
        <w:rPr>
          <w:rFonts w:ascii="宋体" w:eastAsia="宋体" w:hAnsi="宋体" w:cs="宋体" w:hint="eastAsia"/>
          <w:color w:val="000000"/>
          <w:kern w:val="2"/>
          <w:szCs w:val="21"/>
          <w:lang w:val="en-US"/>
        </w:rPr>
        <w:t xml:space="preserve">应按相关包装规范或者其他相关规定进行包装。 </w:t>
      </w:r>
    </w:p>
    <w:p>
      <w:pPr>
        <w:pStyle w:val="BodyText"/>
        <w:spacing w:after="0" w:line="360" w:lineRule="auto"/>
        <w:ind w:firstLine="420" w:firstLineChars="200"/>
        <w:rPr>
          <w:rFonts w:ascii="宋体" w:eastAsia="宋体" w:hAnsi="宋体" w:cs="宋体"/>
          <w:color w:val="000000"/>
          <w:kern w:val="2"/>
          <w:szCs w:val="21"/>
          <w:lang w:val="en-US"/>
        </w:rPr>
      </w:pPr>
      <w:r>
        <w:rPr>
          <w:rFonts w:ascii="宋体" w:eastAsia="宋体" w:hAnsi="宋体" w:cs="宋体" w:hint="eastAsia"/>
          <w:color w:val="000000"/>
          <w:kern w:val="2"/>
          <w:szCs w:val="21"/>
          <w:lang w:val="en-US"/>
        </w:rPr>
        <w:t xml:space="preserve">2、运输 </w:t>
      </w:r>
    </w:p>
    <w:p>
      <w:pPr>
        <w:pStyle w:val="BodyText"/>
        <w:spacing w:after="0" w:line="360" w:lineRule="auto"/>
        <w:ind w:firstLine="420" w:firstLineChars="200"/>
        <w:rPr>
          <w:rFonts w:ascii="宋体" w:eastAsia="宋体" w:hAnsi="宋体" w:cs="宋体"/>
          <w:color w:val="auto"/>
          <w:kern w:val="2"/>
          <w:szCs w:val="21"/>
          <w:lang w:val="en-US"/>
        </w:rPr>
      </w:pPr>
      <w:r>
        <w:rPr>
          <w:rFonts w:ascii="宋体" w:eastAsia="宋体" w:hAnsi="宋体" w:cs="宋体" w:hint="eastAsia"/>
          <w:color w:val="000000"/>
          <w:kern w:val="2"/>
          <w:szCs w:val="21"/>
          <w:lang w:val="en-US"/>
        </w:rPr>
        <w:t>出厂验收合格后，中标供应商负责用专用车辆将产品运输到用户指定的地点，运输过程应当遵守国家有关管理的法律、法规</w:t>
      </w:r>
      <w:r>
        <w:rPr>
          <w:rFonts w:ascii="宋体" w:eastAsia="宋体" w:hAnsi="宋体" w:cs="宋体" w:hint="eastAsia"/>
          <w:color w:val="auto"/>
          <w:kern w:val="2"/>
          <w:szCs w:val="21"/>
          <w:lang w:val="en-US"/>
        </w:rPr>
        <w:t>，</w:t>
      </w:r>
      <w:r>
        <w:rPr>
          <w:rFonts w:ascii="宋体" w:eastAsia="宋体" w:hAnsi="宋体" w:cs="宋体" w:hint="eastAsia"/>
          <w:color w:val="0000FF"/>
          <w:kern w:val="2"/>
          <w:szCs w:val="21"/>
          <w:lang w:val="en-US"/>
        </w:rPr>
        <w:t>运输费用由中标供应商承担</w:t>
      </w:r>
      <w:r>
        <w:rPr>
          <w:rFonts w:ascii="宋体" w:eastAsia="宋体" w:hAnsi="宋体" w:cs="宋体" w:hint="eastAsia"/>
          <w:color w:val="auto"/>
          <w:kern w:val="2"/>
          <w:szCs w:val="21"/>
          <w:lang w:val="en-US"/>
        </w:rPr>
        <w:t>。</w:t>
      </w:r>
    </w:p>
    <w:p>
      <w:pPr>
        <w:pStyle w:val="BodyText"/>
        <w:spacing w:after="0" w:line="360" w:lineRule="auto"/>
        <w:ind w:firstLine="420" w:firstLineChars="200"/>
        <w:rPr>
          <w:rFonts w:ascii="宋体" w:eastAsia="宋体" w:hAnsi="宋体" w:cs="宋体"/>
          <w:color w:val="000000"/>
          <w:kern w:val="2"/>
          <w:szCs w:val="21"/>
          <w:lang w:val="en-US"/>
        </w:rPr>
      </w:pPr>
      <w:r>
        <w:rPr>
          <w:rFonts w:ascii="宋体" w:eastAsia="宋体" w:hAnsi="宋体" w:cs="宋体" w:hint="eastAsia"/>
          <w:color w:val="000000"/>
          <w:kern w:val="2"/>
          <w:szCs w:val="21"/>
          <w:lang w:val="en-US"/>
        </w:rPr>
        <w:t xml:space="preserve">六、技术服务和质保期服务要求 </w:t>
      </w:r>
    </w:p>
    <w:p>
      <w:pPr>
        <w:pStyle w:val="BodyText"/>
        <w:spacing w:after="0" w:line="360" w:lineRule="auto"/>
        <w:ind w:firstLine="420" w:firstLineChars="200"/>
        <w:rPr>
          <w:rFonts w:ascii="宋体" w:eastAsia="宋体" w:hAnsi="宋体" w:cs="宋体"/>
          <w:color w:val="000000"/>
          <w:kern w:val="2"/>
          <w:szCs w:val="21"/>
          <w:lang w:val="en-US"/>
        </w:rPr>
      </w:pPr>
      <w:r>
        <w:rPr>
          <w:rFonts w:ascii="宋体" w:eastAsia="宋体" w:hAnsi="宋体" w:cs="宋体" w:hint="eastAsia"/>
          <w:color w:val="000000"/>
          <w:kern w:val="2"/>
          <w:szCs w:val="21"/>
          <w:lang w:val="en-US"/>
        </w:rPr>
        <w:t xml:space="preserve">1、培训 </w:t>
      </w:r>
    </w:p>
    <w:p>
      <w:pPr>
        <w:pStyle w:val="BodyText"/>
        <w:spacing w:after="0" w:line="360" w:lineRule="auto"/>
        <w:ind w:firstLine="420" w:firstLineChars="200"/>
        <w:rPr>
          <w:rFonts w:ascii="宋体" w:eastAsia="宋体" w:hAnsi="宋体" w:cs="宋体"/>
          <w:color w:val="000000"/>
          <w:kern w:val="2"/>
          <w:szCs w:val="21"/>
          <w:lang w:val="en-US"/>
        </w:rPr>
      </w:pPr>
      <w:r>
        <w:rPr>
          <w:rFonts w:ascii="宋体" w:eastAsia="宋体" w:hAnsi="宋体" w:cs="宋体" w:hint="eastAsia"/>
          <w:color w:val="000000"/>
          <w:kern w:val="2"/>
          <w:szCs w:val="21"/>
          <w:lang w:val="en-US"/>
        </w:rPr>
        <w:t xml:space="preserve">中标供应商应负责对采购单位人员进行专业培训，直至能完全操作。 </w:t>
      </w:r>
    </w:p>
    <w:p>
      <w:pPr>
        <w:pStyle w:val="BodyText"/>
        <w:spacing w:after="0" w:line="360" w:lineRule="auto"/>
        <w:ind w:firstLine="420" w:firstLineChars="200"/>
        <w:rPr>
          <w:rFonts w:ascii="宋体" w:eastAsia="宋体" w:hAnsi="宋体" w:cs="宋体"/>
          <w:color w:val="000000"/>
          <w:kern w:val="2"/>
          <w:szCs w:val="21"/>
          <w:lang w:val="en-US"/>
        </w:rPr>
      </w:pPr>
      <w:r>
        <w:rPr>
          <w:rFonts w:ascii="宋体" w:eastAsia="宋体" w:hAnsi="宋体" w:cs="宋体" w:hint="eastAsia"/>
          <w:color w:val="000000"/>
          <w:kern w:val="2"/>
          <w:szCs w:val="21"/>
          <w:lang w:val="en-US"/>
        </w:rPr>
        <w:t xml:space="preserve">2、技术支持 </w:t>
      </w:r>
    </w:p>
    <w:p>
      <w:pPr>
        <w:pStyle w:val="BodyText"/>
        <w:spacing w:after="0" w:line="360" w:lineRule="auto"/>
        <w:ind w:firstLine="420" w:firstLineChars="200"/>
        <w:rPr>
          <w:rFonts w:ascii="宋体" w:eastAsia="宋体" w:hAnsi="宋体" w:cs="宋体"/>
          <w:color w:val="000000"/>
          <w:kern w:val="2"/>
          <w:szCs w:val="21"/>
          <w:lang w:val="en-US"/>
        </w:rPr>
      </w:pPr>
      <w:r>
        <w:rPr>
          <w:rFonts w:ascii="宋体" w:eastAsia="宋体" w:hAnsi="宋体" w:cs="宋体" w:hint="eastAsia"/>
          <w:color w:val="000000"/>
          <w:kern w:val="2"/>
          <w:szCs w:val="21"/>
          <w:lang w:val="en-US"/>
        </w:rPr>
        <w:t xml:space="preserve">中标供应商提供服务电话、保障服务货物收发联系部门及人员的名称和联系方式。产品的更换按照采购单位要求在约定时间内完成。 </w:t>
      </w:r>
    </w:p>
    <w:p>
      <w:pPr>
        <w:pStyle w:val="BodyText"/>
        <w:spacing w:after="0" w:line="360" w:lineRule="auto"/>
        <w:ind w:firstLine="420" w:firstLineChars="200"/>
        <w:rPr>
          <w:rFonts w:ascii="宋体" w:eastAsia="宋体" w:hAnsi="宋体" w:cs="宋体"/>
          <w:color w:val="000000"/>
          <w:kern w:val="2"/>
          <w:szCs w:val="21"/>
          <w:lang w:val="en-US"/>
        </w:rPr>
      </w:pPr>
      <w:r>
        <w:rPr>
          <w:rFonts w:ascii="宋体" w:eastAsia="宋体" w:hAnsi="宋体" w:cs="宋体" w:hint="eastAsia"/>
          <w:color w:val="000000"/>
          <w:kern w:val="2"/>
          <w:szCs w:val="21"/>
          <w:lang w:val="en-US"/>
        </w:rPr>
        <w:t xml:space="preserve">3、技术资料 </w:t>
      </w:r>
    </w:p>
    <w:p>
      <w:pPr>
        <w:pStyle w:val="BodyText"/>
        <w:spacing w:after="0" w:line="360" w:lineRule="auto"/>
        <w:ind w:firstLine="420" w:firstLineChars="200"/>
        <w:rPr>
          <w:rFonts w:ascii="宋体" w:eastAsia="宋体" w:hAnsi="宋体" w:cs="宋体"/>
          <w:color w:val="000000"/>
          <w:kern w:val="2"/>
          <w:szCs w:val="21"/>
          <w:lang w:val="en-US"/>
        </w:rPr>
      </w:pPr>
      <w:r>
        <w:rPr>
          <w:rFonts w:ascii="宋体" w:eastAsia="宋体" w:hAnsi="宋体" w:cs="宋体" w:hint="eastAsia"/>
          <w:color w:val="000000"/>
          <w:kern w:val="2"/>
          <w:szCs w:val="21"/>
          <w:lang w:val="en-US"/>
        </w:rPr>
        <w:t xml:space="preserve">提供完整的技术资料，包括：性能参数、存储、运输、使用等安全保障手册；使用说明书及合同中要求的其他文件资料。 </w:t>
      </w:r>
    </w:p>
    <w:p>
      <w:pPr>
        <w:pStyle w:val="BodyText"/>
        <w:spacing w:after="0" w:line="360" w:lineRule="auto"/>
        <w:ind w:firstLine="420" w:firstLineChars="200"/>
        <w:rPr>
          <w:rFonts w:ascii="宋体" w:eastAsia="宋体" w:hAnsi="宋体" w:cs="宋体"/>
          <w:color w:val="000000"/>
          <w:kern w:val="2"/>
          <w:szCs w:val="21"/>
          <w:lang w:val="en-US"/>
        </w:rPr>
      </w:pPr>
      <w:r>
        <w:rPr>
          <w:rFonts w:ascii="宋体" w:eastAsia="宋体" w:hAnsi="宋体" w:cs="宋体" w:hint="eastAsia"/>
          <w:color w:val="000000"/>
          <w:kern w:val="2"/>
          <w:szCs w:val="21"/>
          <w:lang w:val="en-US"/>
        </w:rPr>
        <w:t xml:space="preserve">4、质保期内服务内容 </w:t>
      </w:r>
    </w:p>
    <w:p>
      <w:pPr>
        <w:pStyle w:val="BodyText"/>
        <w:spacing w:after="0" w:line="360" w:lineRule="auto"/>
        <w:ind w:firstLine="420" w:firstLineChars="200"/>
        <w:rPr>
          <w:rFonts w:ascii="宋体" w:eastAsia="宋体" w:hAnsi="宋体" w:cs="宋体"/>
          <w:color w:val="000000"/>
          <w:kern w:val="2"/>
          <w:szCs w:val="21"/>
          <w:lang w:val="en-US"/>
        </w:rPr>
      </w:pPr>
      <w:r>
        <w:rPr>
          <w:rFonts w:ascii="宋体" w:eastAsia="宋体" w:hAnsi="宋体" w:cs="宋体" w:hint="eastAsia"/>
          <w:color w:val="000000"/>
          <w:kern w:val="2"/>
          <w:szCs w:val="21"/>
          <w:lang w:val="en-US"/>
        </w:rPr>
        <w:t>（1）质保期为出厂验收后 3 年；</w:t>
      </w:r>
    </w:p>
    <w:p>
      <w:pPr>
        <w:pStyle w:val="BodyText"/>
        <w:spacing w:after="0" w:line="360" w:lineRule="auto"/>
        <w:ind w:firstLine="420" w:firstLineChars="200"/>
        <w:rPr>
          <w:rFonts w:ascii="宋体" w:eastAsia="宋体" w:hAnsi="宋体" w:cs="宋体"/>
          <w:color w:val="000000"/>
          <w:kern w:val="2"/>
          <w:szCs w:val="21"/>
          <w:lang w:val="en-US"/>
        </w:rPr>
      </w:pPr>
      <w:r>
        <w:rPr>
          <w:rFonts w:ascii="宋体" w:eastAsia="宋体" w:hAnsi="宋体" w:cs="宋体" w:hint="eastAsia"/>
          <w:color w:val="000000"/>
          <w:kern w:val="2"/>
          <w:szCs w:val="21"/>
          <w:lang w:val="en-US"/>
        </w:rPr>
        <w:t>（2）因产品质量问题所造成的直接或间接损失由中标供应商负责，并且中标供应商应负责免费更换合格品；</w:t>
      </w:r>
    </w:p>
    <w:p>
      <w:pPr>
        <w:pStyle w:val="BodyText"/>
        <w:spacing w:after="0" w:line="360" w:lineRule="auto"/>
        <w:ind w:firstLine="420" w:firstLineChars="200"/>
        <w:rPr>
          <w:rFonts w:ascii="宋体" w:eastAsia="宋体" w:hAnsi="宋体" w:cs="宋体"/>
          <w:color w:val="000000"/>
          <w:kern w:val="2"/>
          <w:szCs w:val="21"/>
          <w:lang w:val="en-US"/>
        </w:rPr>
      </w:pPr>
      <w:r>
        <w:rPr>
          <w:rFonts w:ascii="宋体" w:eastAsia="宋体" w:hAnsi="宋体" w:cs="宋体" w:hint="eastAsia"/>
          <w:color w:val="000000"/>
          <w:kern w:val="2"/>
          <w:szCs w:val="21"/>
          <w:lang w:val="en-US"/>
        </w:rPr>
        <w:t xml:space="preserve">（3）因产品质量原因造成人员伤亡等事故时，中标供应商应迅速赶赴现场，协助当地有关部门分析事故原因，承担应有的责任，并将产品质量原因分析报告报国务院气象主管机构。 </w:t>
      </w:r>
    </w:p>
    <w:p>
      <w:pPr>
        <w:pStyle w:val="BodyText"/>
        <w:spacing w:after="0" w:line="360" w:lineRule="auto"/>
        <w:ind w:left="4" w:firstLine="540" w:firstLineChars="257"/>
        <w:rPr>
          <w:rFonts w:ascii="宋体" w:eastAsia="宋体" w:hAnsi="宋体" w:cs="宋体"/>
          <w:color w:val="0000FF"/>
          <w:kern w:val="2"/>
          <w:szCs w:val="21"/>
          <w:lang w:val="en-US"/>
        </w:rPr>
      </w:pPr>
      <w:r>
        <w:rPr>
          <w:rFonts w:ascii="宋体" w:eastAsia="宋体" w:hAnsi="宋体" w:cs="宋体" w:hint="eastAsia"/>
          <w:color w:val="000000"/>
          <w:kern w:val="2"/>
          <w:szCs w:val="21"/>
          <w:lang w:val="en-US"/>
        </w:rPr>
        <w:t>（4）所供商品在使用过程中出现单批次故障率达千分之五时，中标供应商要立即召回该批次火箭弹，并于准运证批复24小时内完成该商品换新配送，</w:t>
      </w:r>
      <w:r>
        <w:rPr>
          <w:rFonts w:ascii="宋体" w:eastAsia="宋体" w:hAnsi="宋体" w:cs="宋体" w:hint="eastAsia"/>
          <w:color w:val="0000FF"/>
          <w:kern w:val="2"/>
          <w:szCs w:val="21"/>
          <w:lang w:val="en-US"/>
        </w:rPr>
        <w:t>同时次年该商品采购价优惠10%，每新增一批次故障则优惠额度累加5%。</w:t>
      </w:r>
    </w:p>
    <w:p>
      <w:pPr>
        <w:pStyle w:val="BodyText"/>
        <w:spacing w:after="0" w:line="360" w:lineRule="auto"/>
        <w:ind w:firstLine="420" w:firstLineChars="200"/>
        <w:rPr>
          <w:rFonts w:ascii="宋体" w:eastAsia="宋体" w:hAnsi="宋体" w:cs="宋体"/>
          <w:color w:val="000000"/>
          <w:kern w:val="2"/>
          <w:szCs w:val="21"/>
          <w:lang w:val="en-US"/>
        </w:rPr>
      </w:pPr>
    </w:p>
    <w:p>
      <w:pPr>
        <w:spacing w:line="360" w:lineRule="auto"/>
        <w:ind w:firstLine="600" w:firstLineChars="200"/>
        <w:rPr>
          <w:rFonts w:ascii="宋体" w:hAnsi="宋体"/>
          <w:szCs w:val="21"/>
        </w:rPr>
      </w:pPr>
      <w:r>
        <w:rPr>
          <w:b/>
          <w:sz w:val="30"/>
          <w:szCs w:val="30"/>
        </w:rPr>
        <w:br w:type="page"/>
      </w:r>
    </w:p>
    <w:p>
      <w:pPr>
        <w:spacing w:line="360" w:lineRule="auto"/>
        <w:ind w:firstLine="420" w:firstLineChars="200"/>
        <w:rPr>
          <w:rFonts w:ascii="宋体" w:hAnsi="宋体"/>
          <w:szCs w:val="21"/>
        </w:rPr>
      </w:pPr>
    </w:p>
    <w:p>
      <w:pPr>
        <w:spacing w:line="360" w:lineRule="auto"/>
        <w:rPr>
          <w:rFonts w:ascii="宋体" w:hAnsi="宋体"/>
          <w:szCs w:val="21"/>
        </w:rPr>
      </w:pPr>
      <w:r>
        <w:rPr>
          <w:rFonts w:ascii="宋体" w:hAnsi="宋体" w:hint="eastAsia"/>
          <w:szCs w:val="21"/>
        </w:rPr>
        <w:t>第七章 采购需求 附表</w:t>
      </w:r>
    </w:p>
    <w:p>
      <w:pPr>
        <w:spacing w:line="360" w:lineRule="auto"/>
        <w:ind w:firstLine="420" w:firstLineChars="200"/>
        <w:rPr>
          <w:rFonts w:ascii="宋体" w:hAnsi="宋体"/>
          <w:szCs w:val="21"/>
        </w:rPr>
      </w:pPr>
    </w:p>
    <w:p>
      <w:pPr>
        <w:spacing w:line="360" w:lineRule="auto"/>
        <w:ind w:firstLine="420" w:firstLineChars="200"/>
        <w:rPr>
          <w:rFonts w:ascii="宋体" w:hAnsi="宋体"/>
          <w:szCs w:val="21"/>
        </w:rPr>
      </w:pPr>
    </w:p>
    <w:p/>
    <w:p/>
    <w:p>
      <w:pPr>
        <w:spacing w:line="360" w:lineRule="auto"/>
        <w:jc w:val="center"/>
        <w:rPr>
          <w:rFonts w:ascii="宋体" w:eastAsia="宋体" w:hAnsi="宋体" w:cs="Times New Roman" w:hint="eastAsia"/>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设备需求总表</w:t>
      </w:r>
    </w:p>
    <w:tbl>
      <w:tblPr>
        <w:tblStyle w:val="TableGrid"/>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668"/>
        <w:gridCol w:w="1496"/>
        <w:gridCol w:w="1082"/>
        <w:gridCol w:w="1496"/>
        <w:gridCol w:w="1706"/>
        <w:gridCol w:w="1104"/>
        <w:gridCol w:w="772"/>
      </w:tblGrid>
      <w:tr>
        <w:tblPrEx>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647" w:type="dxa"/>
          </w:tcPr>
          <w:p>
            <w:pPr>
              <w:autoSpaceDE w:val="0"/>
              <w:jc w:val="center"/>
              <w:rPr>
                <w:rFonts w:asciiTheme="minorEastAsia" w:hAnsiTheme="minorEastAsia" w:cstheme="minorEastAsia"/>
                <w:kern w:val="0"/>
                <w:szCs w:val="21"/>
              </w:rPr>
            </w:pPr>
            <w:bookmarkStart w:id="60" w:name="货物一览表_index"/>
            <w:r>
              <w:rPr>
                <w:rFonts w:asciiTheme="minorEastAsia" w:eastAsiaTheme="minorEastAsia" w:hAnsiTheme="minorEastAsia" w:cstheme="minorEastAsia" w:hint="eastAsia"/>
                <w:kern w:val="0"/>
                <w:szCs w:val="21"/>
              </w:rPr>
              <w:t>序号</w:t>
            </w:r>
            <w:bookmarkEnd w:id="60"/>
          </w:p>
        </w:tc>
        <w:tc>
          <w:tcPr>
            <w:tcW w:w="1135" w:type="dxa"/>
          </w:tcPr>
          <w:p>
            <w:pPr>
              <w:autoSpaceDE w:val="0"/>
              <w:jc w:val="center"/>
              <w:rPr>
                <w:rFonts w:asciiTheme="minorEastAsia" w:hAnsiTheme="minorEastAsia" w:cstheme="minorEastAsia"/>
                <w:kern w:val="0"/>
                <w:szCs w:val="21"/>
              </w:rPr>
            </w:pPr>
            <w:bookmarkStart w:id="61" w:name="货物一览表_goodsName"/>
            <w:r>
              <w:rPr>
                <w:rFonts w:asciiTheme="minorEastAsia" w:eastAsiaTheme="minorEastAsia" w:hAnsiTheme="minorEastAsia" w:cstheme="minorEastAsia" w:hint="eastAsia"/>
                <w:kern w:val="0"/>
                <w:szCs w:val="21"/>
              </w:rPr>
              <w:t>设备名称</w:t>
            </w:r>
            <w:bookmarkEnd w:id="61"/>
          </w:p>
        </w:tc>
        <w:tc>
          <w:tcPr>
            <w:tcW w:w="965" w:type="dxa"/>
          </w:tcPr>
          <w:p>
            <w:pPr>
              <w:autoSpaceDE w:val="0"/>
              <w:jc w:val="center"/>
              <w:rPr>
                <w:rFonts w:asciiTheme="minorEastAsia" w:hAnsiTheme="minorEastAsia" w:cstheme="minorEastAsia"/>
                <w:kern w:val="0"/>
                <w:szCs w:val="21"/>
              </w:rPr>
            </w:pPr>
            <w:bookmarkStart w:id="62" w:name="货物一览表_nums"/>
            <w:r>
              <w:rPr>
                <w:rFonts w:asciiTheme="minorEastAsia" w:eastAsiaTheme="minorEastAsia" w:hAnsiTheme="minorEastAsia" w:cstheme="minorEastAsia" w:hint="eastAsia"/>
                <w:kern w:val="0"/>
                <w:szCs w:val="21"/>
              </w:rPr>
              <w:t>采购数量</w:t>
            </w:r>
            <w:bookmarkEnd w:id="62"/>
          </w:p>
        </w:tc>
        <w:tc>
          <w:tcPr>
            <w:tcW w:w="1062" w:type="dxa"/>
          </w:tcPr>
          <w:p>
            <w:pPr>
              <w:autoSpaceDE w:val="0"/>
              <w:jc w:val="center"/>
              <w:rPr>
                <w:rFonts w:asciiTheme="minorEastAsia" w:hAnsiTheme="minorEastAsia" w:cstheme="minorEastAsia"/>
                <w:kern w:val="0"/>
                <w:szCs w:val="21"/>
              </w:rPr>
            </w:pPr>
            <w:bookmarkStart w:id="63" w:name="货物一览表_units"/>
            <w:r>
              <w:rPr>
                <w:rFonts w:asciiTheme="minorEastAsia" w:eastAsiaTheme="minorEastAsia" w:hAnsiTheme="minorEastAsia" w:cstheme="minorEastAsia" w:hint="eastAsia"/>
                <w:kern w:val="0"/>
                <w:szCs w:val="21"/>
              </w:rPr>
              <w:t>计量单位</w:t>
            </w:r>
            <w:bookmarkEnd w:id="63"/>
          </w:p>
        </w:tc>
        <w:tc>
          <w:tcPr>
            <w:tcW w:w="1220" w:type="dxa"/>
          </w:tcPr>
          <w:p>
            <w:pPr>
              <w:autoSpaceDE w:val="0"/>
              <w:jc w:val="center"/>
              <w:rPr>
                <w:rFonts w:asciiTheme="minorEastAsia" w:hAnsiTheme="minorEastAsia" w:cstheme="minorEastAsia"/>
                <w:kern w:val="0"/>
                <w:szCs w:val="21"/>
              </w:rPr>
            </w:pPr>
            <w:bookmarkStart w:id="64" w:name="货物一览表_procurementBudget"/>
            <w:r>
              <w:rPr>
                <w:rFonts w:asciiTheme="minorEastAsia" w:eastAsiaTheme="minorEastAsia" w:hAnsiTheme="minorEastAsia" w:cstheme="minorEastAsia" w:hint="eastAsia"/>
                <w:kern w:val="0"/>
                <w:szCs w:val="21"/>
              </w:rPr>
              <w:t>采购预算（元）</w:t>
            </w:r>
            <w:bookmarkEnd w:id="64"/>
          </w:p>
        </w:tc>
        <w:tc>
          <w:tcPr>
            <w:tcW w:w="1329" w:type="dxa"/>
          </w:tcPr>
          <w:p>
            <w:pPr>
              <w:autoSpaceDE w:val="0"/>
              <w:jc w:val="center"/>
              <w:rPr>
                <w:rFonts w:asciiTheme="minorEastAsia" w:hAnsiTheme="minorEastAsia" w:cstheme="minorEastAsia" w:hint="eastAsia"/>
                <w:kern w:val="0"/>
                <w:szCs w:val="21"/>
              </w:rPr>
            </w:pPr>
            <w:bookmarkStart w:id="65" w:name="货物一览表_supplyMaterialDate"/>
            <w:r>
              <w:rPr>
                <w:rFonts w:asciiTheme="minorEastAsia" w:eastAsiaTheme="minorEastAsia" w:hAnsiTheme="minorEastAsia" w:cstheme="minorEastAsia" w:hint="eastAsia"/>
                <w:kern w:val="0"/>
                <w:szCs w:val="21"/>
              </w:rPr>
              <w:t>交货</w:t>
            </w:r>
            <w:r>
              <w:rPr>
                <w:rFonts w:asciiTheme="minorEastAsia" w:eastAsiaTheme="minorEastAsia" w:hAnsiTheme="minorEastAsia" w:cstheme="minorEastAsia" w:hint="eastAsia"/>
                <w:kern w:val="0"/>
                <w:szCs w:val="21"/>
                <w:lang w:val="en-US" w:eastAsia="zh-CN"/>
              </w:rPr>
              <w:t>期（天）</w:t>
            </w:r>
            <w:bookmarkEnd w:id="65"/>
          </w:p>
        </w:tc>
        <w:tc>
          <w:tcPr>
            <w:tcW w:w="2673" w:type="dxa"/>
            <w:shd w:val="clear" w:color="auto" w:fill="auto"/>
          </w:tcPr>
          <w:p>
            <w:pPr>
              <w:autoSpaceDE w:val="0"/>
              <w:autoSpaceDN w:val="0"/>
              <w:adjustRightInd w:val="0"/>
              <w:spacing w:before="48"/>
              <w:ind w:right="-20"/>
              <w:jc w:val="center"/>
              <w:rPr>
                <w:rFonts w:asciiTheme="minorEastAsia" w:hAnsiTheme="minorEastAsia" w:cstheme="minorEastAsia"/>
                <w:kern w:val="0"/>
                <w:szCs w:val="21"/>
              </w:rPr>
            </w:pPr>
            <w:bookmarkStart w:id="66" w:name="货物一览表_remark"/>
            <w:r>
              <w:rPr>
                <w:rFonts w:asciiTheme="minorEastAsia" w:eastAsiaTheme="minorEastAsia" w:hAnsiTheme="minorEastAsia" w:cstheme="minorEastAsia" w:hint="eastAsia"/>
                <w:kern w:val="0"/>
                <w:szCs w:val="21"/>
              </w:rPr>
              <w:t>备注</w:t>
            </w:r>
            <w:bookmarkEnd w:id="66"/>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增雨防雹火箭</w:t>
            </w:r>
          </w:p>
        </w:tc>
        <w:tc>
          <w:tcPr/>
          <w:p>
            <w:pPr>
              <w:autoSpaceDE w:val="0"/>
              <w:jc w:val="center"/>
              <w:rPr>
                <w:rFonts w:asciiTheme="minorEastAsia" w:hAnsiTheme="minorEastAsia" w:cstheme="minorEastAsia"/>
                <w:kern w:val="0"/>
                <w:szCs w:val="21"/>
              </w:rPr>
            </w:pPr>
            <w:r>
              <w:t>1569</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3,106,600.00</w:t>
            </w:r>
          </w:p>
        </w:tc>
        <w:tc>
          <w:tcPr/>
          <w:p>
            <w:pPr>
              <w:autoSpaceDE w:val="0"/>
              <w:jc w:val="center"/>
              <w:rPr>
                <w:rFonts w:asciiTheme="minorEastAsia" w:hAnsiTheme="minorEastAsia" w:cstheme="minorEastAsia" w:hint="eastAsia"/>
                <w:kern w:val="0"/>
                <w:szCs w:val="21"/>
              </w:rPr>
            </w:pPr>
            <w:r>
              <w:t>30</w:t>
            </w:r>
          </w:p>
        </w:tc>
        <w:tc>
          <w:tcPr/>
          <w:p>
            <w:pPr>
              <w:autoSpaceDE w:val="0"/>
              <w:autoSpaceDN w:val="0"/>
              <w:adjustRightInd w:val="0"/>
              <w:spacing w:before="48"/>
              <w:ind w:right="-20"/>
              <w:jc w:val="center"/>
              <w:rPr>
                <w:rFonts w:asciiTheme="minorEastAsia" w:hAnsiTheme="minorEastAsia" w:cstheme="minorEastAsia"/>
                <w:kern w:val="0"/>
                <w:szCs w:val="21"/>
              </w:rPr>
            </w:pP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合计</w:t>
            </w:r>
          </w:p>
        </w:tc>
        <w:tc>
          <w:tcPr>
            <w:gridSpan w:val="6"/>
          </w:tcPr>
          <w:p>
            <w:pPr>
              <w:autoSpaceDE w:val="0"/>
              <w:jc w:val="center"/>
              <w:rPr>
                <w:rFonts w:asciiTheme="minorEastAsia" w:hAnsiTheme="minorEastAsia" w:cstheme="minorEastAsia"/>
                <w:kern w:val="0"/>
                <w:szCs w:val="21"/>
              </w:rPr>
            </w:pPr>
            <w:r>
              <w:t>3,106,600.00</w:t>
            </w:r>
          </w:p>
        </w:tc>
      </w:tr>
    </w:tbl>
    <w:p>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注：交货期从采购合同签订之日起计算。</w:t>
      </w:r>
    </w:p>
    <w:p>
      <w:pPr>
        <w:spacing w:line="360" w:lineRule="auto"/>
        <w:ind w:firstLine="420" w:firstLineChars="200"/>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设备需求明细表</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581"/>
        <w:gridCol w:w="2068"/>
        <w:gridCol w:w="1325"/>
        <w:gridCol w:w="586"/>
        <w:gridCol w:w="1325"/>
        <w:gridCol w:w="1104"/>
        <w:gridCol w:w="953"/>
        <w:gridCol w:w="580"/>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bookmarkStart w:id="67" w:name="插入_设备需求"/>
            <w:r>
              <w:t>序号</w:t>
            </w:r>
          </w:p>
        </w:tc>
        <w:tc>
          <w:tcPr/>
          <w:p>
            <w:r>
              <w:t>采购人(甲方)</w:t>
            </w:r>
          </w:p>
        </w:tc>
        <w:tc>
          <w:tcPr/>
          <w:p>
            <w:r>
              <w:t>设备名称</w:t>
            </w:r>
          </w:p>
        </w:tc>
        <w:tc>
          <w:tcPr/>
          <w:p>
            <w:r>
              <w:t>数量</w:t>
            </w:r>
          </w:p>
        </w:tc>
        <w:tc>
          <w:tcPr/>
          <w:p>
            <w:r>
              <w:t>采购预算(元)</w:t>
            </w:r>
          </w:p>
        </w:tc>
        <w:tc>
          <w:tcPr/>
          <w:p>
            <w:r>
              <w:t>合计(元)</w:t>
            </w:r>
          </w:p>
        </w:tc>
        <w:tc>
          <w:tcPr/>
          <w:p>
            <w:r>
              <w:t>交货地点</w:t>
            </w:r>
          </w:p>
        </w:tc>
        <w:tc>
          <w:tcPr/>
          <w:p>
            <w:r>
              <w:t>备注</w:t>
            </w:r>
          </w:p>
        </w:tc>
      </w:tr>
      <w:tr>
        <w:tblPrEx>
          <w:tblW w:w="5000" w:type="pct"/>
          <w:tblCellMar>
            <w:left w:w="108" w:type="dxa"/>
            <w:right w:w="108" w:type="dxa"/>
          </w:tblCellMar>
        </w:tblPrEx>
        <w:tc>
          <w:tcPr/>
          <w:p>
            <w:r>
              <w:t>1</w:t>
            </w:r>
          </w:p>
        </w:tc>
        <w:tc>
          <w:tcPr/>
          <w:p>
            <w:r>
              <w:t>河北省气象局(001015)</w:t>
            </w:r>
          </w:p>
        </w:tc>
        <w:tc>
          <w:tcPr/>
          <w:p>
            <w:r>
              <w:t>增雨防雹火箭</w:t>
            </w:r>
          </w:p>
        </w:tc>
        <w:tc>
          <w:tcPr/>
          <w:p>
            <w:r>
              <w:t>1569</w:t>
            </w:r>
          </w:p>
        </w:tc>
        <w:tc>
          <w:tcPr/>
          <w:p>
            <w:r>
              <w:t>3106600.00</w:t>
            </w:r>
          </w:p>
        </w:tc>
        <w:tc>
          <w:tcPr/>
          <w:p>
            <w:r>
              <w:t xml:space="preserve">3106600.00  </w:t>
            </w:r>
          </w:p>
        </w:tc>
        <w:tc>
          <w:tcPr/>
          <w:p/>
        </w:tc>
        <w:tc>
          <w:tcPr/>
          <w:p/>
        </w:tc>
      </w:tr>
    </w:tbl>
    <w:p w:rsidR="00A77B3E"/>
    <w:p>
      <w:pPr>
        <w:spacing w:line="360" w:lineRule="auto"/>
        <w:rPr>
          <w:rFonts w:ascii="宋体" w:hAnsi="宋体"/>
          <w:szCs w:val="21"/>
        </w:rPr>
      </w:pPr>
      <w:bookmarkEnd w:id="67"/>
    </w:p>
    <w:p>
      <w:pPr>
        <w:spacing w:line="360" w:lineRule="auto"/>
        <w:jc w:val="center"/>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（以上设备需求总表及明细表无须填列，由系统自动生成）</w:t>
      </w:r>
    </w:p>
    <w:p>
      <w:pPr>
        <w:spacing w:line="360" w:lineRule="auto"/>
        <w:ind w:firstLine="420" w:firstLineChars="200"/>
        <w:rPr>
          <w:rFonts w:ascii="宋体" w:eastAsia="宋体" w:hAnsi="宋体" w:cs="Times New Roman"/>
          <w:szCs w:val="21"/>
        </w:rPr>
      </w:pPr>
    </w:p>
    <w:p/>
    <w:p w:rsidR="00A77B3E"/>
    <w:p w:rsidR="00EE2E52">
      <w:pPr>
        <w:spacing w:before="156" w:beforeLines="50" w:line="360" w:lineRule="auto"/>
        <w:jc w:val="center"/>
        <w:outlineLvl w:val="1"/>
        <w:rPr>
          <w:rFonts w:ascii="宋体" w:hAnsi="宋体"/>
          <w:b/>
          <w:sz w:val="30"/>
          <w:szCs w:val="30"/>
        </w:rPr>
        <w:sectPr>
          <w:pgSz w:w="11906" w:h="16838"/>
          <w:pgMar w:top="1418" w:right="1418" w:bottom="1418" w:left="1701" w:header="851" w:footer="851" w:gutter="0"/>
          <w:cols w:space="708"/>
          <w:docGrid w:type="linesAndChars" w:linePitch="312"/>
        </w:sectPr>
      </w:pPr>
      <w:bookmarkEnd w:id="59"/>
    </w:p>
    <w:p>
      <w:pPr>
        <w:tabs>
          <w:tab w:val="left" w:pos="1573"/>
        </w:tabs>
        <w:adjustRightInd w:val="0"/>
        <w:snapToGrid w:val="0"/>
        <w:spacing w:line="360" w:lineRule="auto"/>
        <w:jc w:val="center"/>
        <w:outlineLvl w:val="1"/>
        <w:rPr>
          <w:b/>
          <w:bCs/>
          <w:sz w:val="30"/>
          <w:szCs w:val="30"/>
          <w:highlight w:val="none"/>
        </w:rPr>
      </w:pPr>
      <w:bookmarkStart w:id="68" w:name="投标被拒绝条款专用部分_JJTK"/>
      <w:r>
        <w:rPr>
          <w:rFonts w:hint="eastAsia"/>
          <w:b/>
          <w:sz w:val="30"/>
          <w:szCs w:val="30"/>
          <w:highlight w:val="none"/>
        </w:rPr>
        <w:t>第八章  投标被拒绝条款专用部分</w:t>
      </w:r>
    </w:p>
    <w:p>
      <w:pPr>
        <w:adjustRightInd w:val="0"/>
        <w:snapToGrid w:val="0"/>
        <w:spacing w:before="156" w:beforeLines="50" w:line="360" w:lineRule="auto"/>
        <w:ind w:firstLine="420"/>
        <w:rPr>
          <w:rFonts w:ascii="宋体" w:hAnsi="宋体" w:hint="eastAsia"/>
          <w:szCs w:val="21"/>
          <w:highlight w:val="none"/>
        </w:rPr>
      </w:pPr>
      <w:r>
        <w:rPr>
          <w:rFonts w:ascii="宋体" w:hAnsi="宋体" w:hint="eastAsia"/>
          <w:szCs w:val="21"/>
          <w:highlight w:val="none"/>
        </w:rPr>
        <w:t>本项目投标被拒绝专用条款详见下表。除下表及</w:t>
      </w:r>
      <w:r>
        <w:rPr>
          <w:rFonts w:ascii="黑体" w:eastAsia="黑体" w:hAnsi="黑体" w:hint="eastAsia"/>
          <w:b/>
          <w:bCs/>
          <w:szCs w:val="21"/>
          <w:highlight w:val="none"/>
        </w:rPr>
        <w:t>第三章投标被拒绝条款通用部分</w:t>
      </w:r>
      <w:r>
        <w:rPr>
          <w:rFonts w:ascii="宋体" w:hAnsi="宋体" w:hint="eastAsia"/>
          <w:szCs w:val="21"/>
          <w:highlight w:val="none"/>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544"/>
        <w:gridCol w:w="898"/>
        <w:gridCol w:w="7347"/>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cantSplit/>
          <w:trHeight w:val="746"/>
        </w:trPr>
        <w:tc>
          <w:tcPr>
            <w:tcW w:w="544" w:type="dxa"/>
            <w:noWrap w:val="0"/>
            <w:vAlign w:val="center"/>
          </w:tcPr>
          <w:p>
            <w:pPr>
              <w:rPr>
                <w:rFonts w:hint="eastAsia"/>
                <w:sz w:val="18"/>
                <w:szCs w:val="18"/>
                <w:highlight w:val="none"/>
              </w:rPr>
            </w:pPr>
            <w:r>
              <w:rPr>
                <w:rFonts w:hint="eastAsia"/>
                <w:sz w:val="18"/>
                <w:szCs w:val="18"/>
                <w:highlight w:val="none"/>
              </w:rPr>
              <w:t>序号</w:t>
            </w:r>
          </w:p>
        </w:tc>
        <w:tc>
          <w:tcPr>
            <w:tcW w:w="898" w:type="dxa"/>
            <w:noWrap w:val="0"/>
            <w:vAlign w:val="center"/>
          </w:tcPr>
          <w:p>
            <w:pPr>
              <w:jc w:val="center"/>
              <w:rPr>
                <w:rFonts w:hint="eastAsia"/>
                <w:sz w:val="18"/>
                <w:szCs w:val="18"/>
                <w:highlight w:val="none"/>
              </w:rPr>
            </w:pPr>
            <w:r>
              <w:rPr>
                <w:rFonts w:hint="eastAsia"/>
                <w:sz w:val="18"/>
                <w:szCs w:val="18"/>
                <w:highlight w:val="none"/>
              </w:rPr>
              <w:t>对应</w:t>
            </w:r>
          </w:p>
          <w:p>
            <w:pPr>
              <w:jc w:val="center"/>
              <w:rPr>
                <w:rFonts w:hint="eastAsia"/>
                <w:sz w:val="18"/>
                <w:szCs w:val="18"/>
                <w:highlight w:val="none"/>
              </w:rPr>
            </w:pPr>
            <w:r>
              <w:rPr>
                <w:rFonts w:hint="eastAsia"/>
                <w:sz w:val="18"/>
                <w:szCs w:val="18"/>
                <w:highlight w:val="none"/>
              </w:rPr>
              <w:t>条款号</w:t>
            </w:r>
          </w:p>
        </w:tc>
        <w:tc>
          <w:tcPr>
            <w:tcW w:w="7347" w:type="dxa"/>
            <w:noWrap w:val="0"/>
            <w:vAlign w:val="center"/>
          </w:tcPr>
          <w:p>
            <w:pPr>
              <w:jc w:val="center"/>
              <w:rPr>
                <w:rFonts w:hint="eastAsia"/>
                <w:sz w:val="18"/>
                <w:szCs w:val="18"/>
                <w:highlight w:val="none"/>
              </w:rPr>
            </w:pPr>
            <w:r>
              <w:rPr>
                <w:rFonts w:hint="eastAsia"/>
                <w:sz w:val="18"/>
                <w:szCs w:val="18"/>
                <w:highlight w:val="none"/>
              </w:rPr>
              <w:t>内 容</w:t>
            </w:r>
          </w:p>
        </w:tc>
      </w:tr>
      <w:tr>
        <w:tblPrEx>
          <w:tblW w:w="0" w:type="auto"/>
          <w:tblInd w:w="0" w:type="dxa"/>
          <w:tblLayout w:type="fixed"/>
          <w:tblCellMar>
            <w:top w:w="0" w:type="dxa"/>
            <w:left w:w="108" w:type="dxa"/>
            <w:bottom w:w="0" w:type="dxa"/>
            <w:right w:w="108" w:type="dxa"/>
          </w:tblCellMar>
        </w:tblPrEx>
        <w:trPr>
          <w:cantSplit/>
        </w:trPr>
        <w:tc>
          <w:tcPr>
            <w:tcW w:w="8789" w:type="dxa"/>
            <w:gridSpan w:val="3"/>
            <w:noWrap w:val="0"/>
            <w:vAlign w:val="center"/>
          </w:tcPr>
          <w:p>
            <w:pPr>
              <w:jc w:val="center"/>
              <w:rPr>
                <w:rFonts w:hint="eastAsia"/>
                <w:b/>
                <w:sz w:val="18"/>
                <w:szCs w:val="18"/>
                <w:highlight w:val="none"/>
              </w:rPr>
            </w:pPr>
            <w:r>
              <w:rPr>
                <w:rFonts w:hint="eastAsia"/>
                <w:b/>
                <w:sz w:val="18"/>
                <w:szCs w:val="18"/>
                <w:highlight w:val="none"/>
              </w:rPr>
              <w:t>第五章 投标人须知专用部分</w:t>
            </w:r>
          </w:p>
        </w:tc>
      </w:tr>
      <w:tr>
        <w:tblPrEx>
          <w:tblW w:w="0" w:type="auto"/>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13"/>
              </w:numPr>
              <w:rPr>
                <w:rFonts w:ascii="宋体" w:hAnsi="宋体" w:hint="eastAsia"/>
                <w:sz w:val="18"/>
                <w:szCs w:val="18"/>
                <w:highlight w:val="none"/>
              </w:rPr>
            </w:pPr>
          </w:p>
        </w:tc>
        <w:tc>
          <w:tcPr>
            <w:tcW w:w="898" w:type="dxa"/>
            <w:noWrap w:val="0"/>
            <w:vAlign w:val="center"/>
          </w:tcPr>
          <w:p>
            <w:pPr>
              <w:jc w:val="center"/>
              <w:rPr>
                <w:rFonts w:ascii="宋体" w:hAnsi="宋体" w:hint="eastAsia"/>
                <w:sz w:val="18"/>
                <w:szCs w:val="18"/>
                <w:highlight w:val="none"/>
              </w:rPr>
            </w:pPr>
            <w:r>
              <w:rPr>
                <w:rFonts w:ascii="宋体" w:hAnsi="宋体" w:hint="eastAsia"/>
                <w:sz w:val="18"/>
                <w:szCs w:val="18"/>
                <w:highlight w:val="none"/>
              </w:rPr>
              <w:t>5</w:t>
            </w:r>
            <w:r>
              <w:rPr>
                <w:rFonts w:ascii="宋体" w:hAnsi="宋体"/>
                <w:sz w:val="18"/>
                <w:szCs w:val="18"/>
                <w:highlight w:val="none"/>
              </w:rPr>
              <w:t>.2</w:t>
            </w:r>
          </w:p>
        </w:tc>
        <w:tc>
          <w:tcPr>
            <w:tcW w:w="7347" w:type="dxa"/>
            <w:noWrap w:val="0"/>
            <w:vAlign w:val="top"/>
          </w:tcPr>
          <w:p>
            <w:pPr>
              <w:tabs>
                <w:tab w:val="left" w:pos="709"/>
              </w:tabs>
              <w:spacing w:line="360" w:lineRule="auto"/>
              <w:jc w:val="left"/>
              <w:rPr>
                <w:rFonts w:ascii="宋体" w:hAnsi="宋体" w:cs="微软雅黑" w:hint="eastAsia"/>
                <w:b/>
                <w:color w:val="0000FF"/>
                <w:kern w:val="0"/>
                <w:sz w:val="18"/>
                <w:szCs w:val="18"/>
                <w:highlight w:val="none"/>
              </w:rPr>
            </w:pPr>
            <w:r>
              <w:rPr>
                <w:rFonts w:ascii="宋体" w:hAnsi="宋体" w:cs="微软雅黑" w:hint="eastAsia"/>
                <w:b/>
                <w:color w:val="0000FF"/>
                <w:kern w:val="0"/>
                <w:sz w:val="18"/>
                <w:szCs w:val="18"/>
                <w:highlight w:val="none"/>
              </w:rPr>
              <w:t>投标人应具有以下到投标截止日仍在有效期内的资质：1、xxxxxx；2、xxxxxx</w:t>
            </w:r>
          </w:p>
        </w:tc>
      </w:tr>
      <w:tr>
        <w:tblPrEx>
          <w:tblW w:w="0" w:type="auto"/>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13"/>
              </w:numPr>
              <w:rPr>
                <w:rFonts w:ascii="宋体" w:hAnsi="宋体" w:hint="eastAsia"/>
                <w:sz w:val="18"/>
                <w:szCs w:val="18"/>
                <w:highlight w:val="none"/>
              </w:rPr>
            </w:pPr>
          </w:p>
        </w:tc>
        <w:tc>
          <w:tcPr>
            <w:tcW w:w="898" w:type="dxa"/>
            <w:noWrap w:val="0"/>
            <w:vAlign w:val="center"/>
          </w:tcPr>
          <w:p>
            <w:pPr>
              <w:jc w:val="center"/>
              <w:rPr>
                <w:rFonts w:ascii="宋体" w:hAnsi="宋体" w:hint="eastAsia"/>
                <w:sz w:val="18"/>
                <w:szCs w:val="18"/>
                <w:highlight w:val="none"/>
              </w:rPr>
            </w:pPr>
            <w:r>
              <w:rPr>
                <w:rFonts w:ascii="宋体" w:hAnsi="宋体"/>
                <w:sz w:val="18"/>
                <w:szCs w:val="18"/>
                <w:highlight w:val="none"/>
              </w:rPr>
              <w:t>……</w:t>
            </w:r>
          </w:p>
        </w:tc>
        <w:tc>
          <w:tcPr>
            <w:tcW w:w="7347" w:type="dxa"/>
            <w:noWrap w:val="0"/>
            <w:vAlign w:val="center"/>
          </w:tcPr>
          <w:p>
            <w:pPr>
              <w:rPr>
                <w:rFonts w:cs="微软雅黑" w:hint="eastAsia"/>
                <w:b/>
                <w:color w:val="0000FF"/>
                <w:kern w:val="0"/>
                <w:sz w:val="18"/>
                <w:szCs w:val="18"/>
                <w:highlight w:val="none"/>
              </w:rPr>
            </w:pPr>
            <w:r>
              <w:rPr>
                <w:rFonts w:cs="微软雅黑"/>
                <w:b/>
                <w:color w:val="0000FF"/>
                <w:kern w:val="0"/>
                <w:sz w:val="18"/>
                <w:szCs w:val="18"/>
                <w:highlight w:val="none"/>
              </w:rPr>
              <w:t>……</w:t>
            </w:r>
          </w:p>
        </w:tc>
      </w:tr>
      <w:tr>
        <w:tblPrEx>
          <w:tblW w:w="0" w:type="auto"/>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13"/>
              </w:numPr>
              <w:rPr>
                <w:rFonts w:ascii="宋体" w:hAnsi="宋体" w:hint="eastAsia"/>
                <w:sz w:val="18"/>
                <w:szCs w:val="18"/>
                <w:highlight w:val="none"/>
              </w:rPr>
            </w:pPr>
          </w:p>
        </w:tc>
        <w:tc>
          <w:tcPr>
            <w:tcW w:w="898" w:type="dxa"/>
            <w:noWrap w:val="0"/>
            <w:vAlign w:val="center"/>
          </w:tcPr>
          <w:p>
            <w:pPr>
              <w:jc w:val="center"/>
              <w:rPr>
                <w:rFonts w:ascii="宋体" w:hAnsi="宋体" w:hint="eastAsia"/>
                <w:sz w:val="18"/>
                <w:szCs w:val="18"/>
                <w:highlight w:val="none"/>
              </w:rPr>
            </w:pPr>
            <w:r>
              <w:rPr>
                <w:rFonts w:ascii="宋体" w:hAnsi="宋体"/>
                <w:sz w:val="18"/>
                <w:szCs w:val="18"/>
                <w:highlight w:val="none"/>
              </w:rPr>
              <w:t>……</w:t>
            </w:r>
          </w:p>
        </w:tc>
        <w:tc>
          <w:tcPr>
            <w:tcW w:w="7347" w:type="dxa"/>
            <w:noWrap w:val="0"/>
            <w:vAlign w:val="center"/>
          </w:tcPr>
          <w:p>
            <w:pPr>
              <w:tabs>
                <w:tab w:val="left" w:pos="709"/>
              </w:tabs>
              <w:spacing w:line="360" w:lineRule="auto"/>
              <w:jc w:val="left"/>
              <w:rPr>
                <w:rFonts w:ascii="宋体" w:hAnsi="宋体" w:cs="微软雅黑" w:hint="eastAsia"/>
                <w:b/>
                <w:color w:val="0000FF"/>
                <w:kern w:val="0"/>
                <w:sz w:val="18"/>
                <w:szCs w:val="18"/>
                <w:highlight w:val="none"/>
              </w:rPr>
            </w:pPr>
            <w:r>
              <w:rPr>
                <w:rFonts w:ascii="宋体" w:hAnsi="宋体" w:cs="微软雅黑"/>
                <w:b/>
                <w:color w:val="0000FF"/>
                <w:kern w:val="0"/>
                <w:sz w:val="18"/>
                <w:szCs w:val="18"/>
                <w:highlight w:val="none"/>
              </w:rPr>
              <w:t>……</w:t>
            </w:r>
          </w:p>
        </w:tc>
      </w:tr>
      <w:tr>
        <w:tblPrEx>
          <w:tblW w:w="0" w:type="auto"/>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13"/>
              </w:numPr>
              <w:rPr>
                <w:rFonts w:ascii="宋体" w:hAnsi="宋体" w:hint="eastAsia"/>
                <w:sz w:val="18"/>
                <w:szCs w:val="18"/>
                <w:highlight w:val="none"/>
              </w:rPr>
            </w:pPr>
          </w:p>
        </w:tc>
        <w:tc>
          <w:tcPr>
            <w:tcW w:w="898" w:type="dxa"/>
            <w:noWrap w:val="0"/>
            <w:vAlign w:val="center"/>
          </w:tcPr>
          <w:p>
            <w:pPr>
              <w:jc w:val="center"/>
              <w:rPr>
                <w:rFonts w:ascii="宋体" w:hAnsi="宋体" w:hint="eastAsia"/>
                <w:sz w:val="18"/>
                <w:szCs w:val="18"/>
                <w:highlight w:val="none"/>
              </w:rPr>
            </w:pPr>
            <w:r>
              <w:rPr>
                <w:rFonts w:ascii="宋体" w:hAnsi="宋体"/>
                <w:sz w:val="18"/>
                <w:szCs w:val="18"/>
                <w:highlight w:val="none"/>
              </w:rPr>
              <w:t>……</w:t>
            </w:r>
          </w:p>
        </w:tc>
        <w:tc>
          <w:tcPr>
            <w:tcW w:w="7347" w:type="dxa"/>
            <w:noWrap w:val="0"/>
            <w:vAlign w:val="center"/>
          </w:tcPr>
          <w:p>
            <w:pPr>
              <w:tabs>
                <w:tab w:val="left" w:pos="709"/>
              </w:tabs>
              <w:spacing w:line="360" w:lineRule="auto"/>
              <w:jc w:val="left"/>
              <w:rPr>
                <w:rFonts w:ascii="宋体" w:hAnsi="宋体" w:cs="微软雅黑" w:hint="eastAsia"/>
                <w:b/>
                <w:color w:val="0000FF"/>
                <w:kern w:val="0"/>
                <w:sz w:val="18"/>
                <w:szCs w:val="18"/>
                <w:highlight w:val="none"/>
              </w:rPr>
            </w:pPr>
            <w:r>
              <w:rPr>
                <w:rFonts w:ascii="宋体" w:hAnsi="宋体" w:cs="微软雅黑"/>
                <w:b/>
                <w:color w:val="0000FF"/>
                <w:kern w:val="0"/>
                <w:sz w:val="18"/>
                <w:szCs w:val="18"/>
                <w:highlight w:val="none"/>
              </w:rPr>
              <w:t>……</w:t>
            </w:r>
          </w:p>
        </w:tc>
      </w:tr>
      <w:tr>
        <w:tblPrEx>
          <w:tblW w:w="0" w:type="auto"/>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13"/>
              </w:numPr>
              <w:rPr>
                <w:rFonts w:ascii="宋体" w:hAnsi="宋体" w:hint="eastAsia"/>
                <w:sz w:val="18"/>
                <w:szCs w:val="18"/>
                <w:highlight w:val="none"/>
              </w:rPr>
            </w:pPr>
          </w:p>
        </w:tc>
        <w:tc>
          <w:tcPr>
            <w:tcW w:w="898" w:type="dxa"/>
            <w:noWrap w:val="0"/>
            <w:vAlign w:val="center"/>
          </w:tcPr>
          <w:p>
            <w:pPr>
              <w:jc w:val="center"/>
              <w:rPr>
                <w:rFonts w:ascii="宋体" w:hAnsi="宋体" w:hint="eastAsia"/>
                <w:sz w:val="18"/>
                <w:szCs w:val="18"/>
                <w:highlight w:val="none"/>
              </w:rPr>
            </w:pPr>
            <w:r>
              <w:rPr>
                <w:rFonts w:ascii="宋体" w:hAnsi="宋体"/>
                <w:sz w:val="18"/>
                <w:szCs w:val="18"/>
                <w:highlight w:val="none"/>
              </w:rPr>
              <w:t>……</w:t>
            </w:r>
          </w:p>
        </w:tc>
        <w:tc>
          <w:tcPr>
            <w:tcW w:w="7347" w:type="dxa"/>
            <w:noWrap w:val="0"/>
            <w:vAlign w:val="center"/>
          </w:tcPr>
          <w:p>
            <w:pPr>
              <w:tabs>
                <w:tab w:val="left" w:pos="709"/>
              </w:tabs>
              <w:spacing w:line="360" w:lineRule="auto"/>
              <w:jc w:val="left"/>
              <w:rPr>
                <w:rFonts w:ascii="宋体" w:hAnsi="宋体" w:cs="微软雅黑" w:hint="eastAsia"/>
                <w:b/>
                <w:color w:val="0000FF"/>
                <w:kern w:val="0"/>
                <w:sz w:val="18"/>
                <w:szCs w:val="18"/>
                <w:highlight w:val="none"/>
              </w:rPr>
            </w:pPr>
            <w:r>
              <w:rPr>
                <w:rFonts w:ascii="宋体" w:hAnsi="宋体" w:cs="微软雅黑" w:hint="eastAsia"/>
                <w:b/>
                <w:color w:val="0000FF"/>
                <w:kern w:val="0"/>
                <w:sz w:val="18"/>
                <w:szCs w:val="18"/>
                <w:highlight w:val="none"/>
              </w:rPr>
              <w:t>……</w:t>
            </w:r>
            <w:r>
              <w:rPr>
                <w:rFonts w:ascii="宋体" w:hAnsi="宋体" w:cs="微软雅黑"/>
                <w:b/>
                <w:color w:val="0000FF"/>
                <w:kern w:val="0"/>
                <w:sz w:val="18"/>
                <w:szCs w:val="18"/>
                <w:highlight w:val="none"/>
              </w:rPr>
              <w:t xml:space="preserve">      ……            ……</w:t>
            </w:r>
          </w:p>
        </w:tc>
      </w:tr>
      <w:tr>
        <w:tblPrEx>
          <w:tblW w:w="0" w:type="auto"/>
          <w:tblInd w:w="0" w:type="dxa"/>
          <w:tblLayout w:type="fixed"/>
          <w:tblCellMar>
            <w:top w:w="0" w:type="dxa"/>
            <w:left w:w="108" w:type="dxa"/>
            <w:bottom w:w="0" w:type="dxa"/>
            <w:right w:w="108" w:type="dxa"/>
          </w:tblCellMar>
        </w:tblPrEx>
        <w:trPr>
          <w:cantSplit/>
        </w:trPr>
        <w:tc>
          <w:tcPr>
            <w:tcW w:w="8789" w:type="dxa"/>
            <w:gridSpan w:val="3"/>
            <w:noWrap w:val="0"/>
            <w:vAlign w:val="center"/>
          </w:tcPr>
          <w:p>
            <w:pPr>
              <w:jc w:val="center"/>
              <w:rPr>
                <w:rFonts w:hint="eastAsia"/>
                <w:sz w:val="18"/>
                <w:szCs w:val="18"/>
                <w:highlight w:val="none"/>
              </w:rPr>
            </w:pPr>
            <w:r>
              <w:rPr>
                <w:rFonts w:hint="eastAsia"/>
                <w:b/>
                <w:sz w:val="18"/>
                <w:szCs w:val="18"/>
                <w:highlight w:val="none"/>
              </w:rPr>
              <w:t>第七章  采购需求</w:t>
            </w:r>
          </w:p>
        </w:tc>
      </w:tr>
      <w:tr>
        <w:tblPrEx>
          <w:tblW w:w="0" w:type="auto"/>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13"/>
              </w:numPr>
              <w:rPr>
                <w:rFonts w:ascii="宋体" w:hAnsi="宋体" w:hint="eastAsia"/>
                <w:sz w:val="18"/>
                <w:szCs w:val="18"/>
                <w:highlight w:val="none"/>
              </w:rPr>
            </w:pPr>
          </w:p>
        </w:tc>
        <w:tc>
          <w:tcPr>
            <w:tcW w:w="898" w:type="dxa"/>
            <w:noWrap w:val="0"/>
            <w:vAlign w:val="center"/>
          </w:tcPr>
          <w:p>
            <w:pPr>
              <w:jc w:val="center"/>
              <w:rPr>
                <w:rFonts w:ascii="宋体" w:hAnsi="宋体" w:hint="eastAsia"/>
                <w:sz w:val="18"/>
                <w:szCs w:val="18"/>
                <w:highlight w:val="none"/>
              </w:rPr>
            </w:pPr>
            <w:r>
              <w:rPr>
                <w:rFonts w:ascii="宋体" w:hAnsi="宋体"/>
                <w:sz w:val="18"/>
                <w:szCs w:val="18"/>
                <w:highlight w:val="none"/>
              </w:rPr>
              <w:t>……</w:t>
            </w:r>
          </w:p>
        </w:tc>
        <w:tc>
          <w:tcPr>
            <w:tcW w:w="7347" w:type="dxa"/>
            <w:noWrap w:val="0"/>
            <w:vAlign w:val="center"/>
          </w:tcPr>
          <w:p>
            <w:pPr>
              <w:tabs>
                <w:tab w:val="left" w:pos="709"/>
              </w:tabs>
              <w:spacing w:line="360" w:lineRule="auto"/>
              <w:jc w:val="left"/>
              <w:rPr>
                <w:rFonts w:ascii="宋体" w:hAnsi="宋体" w:hint="eastAsia"/>
                <w:sz w:val="18"/>
                <w:szCs w:val="18"/>
                <w:highlight w:val="none"/>
              </w:rPr>
            </w:pPr>
            <w:r>
              <w:rPr>
                <w:rFonts w:ascii="宋体" w:hAnsi="宋体" w:cs="微软雅黑" w:hint="eastAsia"/>
                <w:b/>
                <w:color w:val="0000FF"/>
                <w:kern w:val="0"/>
                <w:sz w:val="18"/>
                <w:szCs w:val="18"/>
                <w:highlight w:val="none"/>
              </w:rPr>
              <w:t>……</w:t>
            </w:r>
            <w:r>
              <w:rPr>
                <w:rFonts w:ascii="宋体" w:hAnsi="宋体" w:cs="微软雅黑"/>
                <w:b/>
                <w:color w:val="0000FF"/>
                <w:kern w:val="0"/>
                <w:sz w:val="18"/>
                <w:szCs w:val="18"/>
                <w:highlight w:val="none"/>
              </w:rPr>
              <w:t xml:space="preserve">      ……            ……</w:t>
            </w:r>
          </w:p>
        </w:tc>
      </w:tr>
    </w:tbl>
    <w:p>
      <w:pPr>
        <w:spacing w:before="156" w:beforeLines="50" w:line="360" w:lineRule="auto"/>
        <w:ind w:firstLine="420"/>
        <w:rPr>
          <w:highlight w:val="none"/>
        </w:rPr>
      </w:pPr>
      <w:r>
        <w:rPr>
          <w:rFonts w:ascii="宋体" w:hAnsi="宋体" w:hint="eastAsia"/>
          <w:szCs w:val="21"/>
          <w:highlight w:val="none"/>
        </w:rPr>
        <w:t>注：根据项目具体情况，</w:t>
      </w:r>
      <w:r>
        <w:rPr>
          <w:rFonts w:ascii="宋体" w:hAnsi="宋体" w:hint="eastAsia"/>
          <w:szCs w:val="21"/>
          <w:highlight w:val="none"/>
        </w:rPr>
        <w:t>对投标人有具体要求，且投标人必须遵守的，逐条列出</w:t>
      </w:r>
      <w:r>
        <w:rPr>
          <w:rFonts w:ascii="宋体" w:hAnsi="宋体" w:hint="eastAsia"/>
          <w:szCs w:val="21"/>
          <w:highlight w:val="none"/>
        </w:rPr>
        <w:t>。</w:t>
      </w:r>
    </w:p>
    <w:p w:rsidR="00A77B3E"/>
    <w:p>
      <w:pPr>
        <w:tabs>
          <w:tab w:val="left" w:pos="1573"/>
        </w:tabs>
        <w:adjustRightInd w:val="0"/>
        <w:snapToGrid w:val="0"/>
        <w:spacing w:line="360" w:lineRule="auto"/>
        <w:jc w:val="center"/>
        <w:outlineLvl w:val="1"/>
        <w:rPr>
          <w:b/>
          <w:bCs/>
          <w:sz w:val="30"/>
          <w:szCs w:val="30"/>
          <w:highlight w:val="none"/>
        </w:rPr>
        <w:sectPr>
          <w:headerReference w:type="default" r:id="rId6"/>
          <w:footerReference w:type="default" r:id="rId7"/>
          <w:pgSz w:w="11906" w:h="16838"/>
          <w:pgMar w:top="1440" w:right="1800" w:bottom="1440" w:left="1800" w:header="851" w:footer="992" w:gutter="0"/>
          <w:cols w:space="708"/>
          <w:docGrid w:type="lines" w:linePitch="312"/>
        </w:sectPr>
      </w:pPr>
      <w:bookmarkEnd w:id="68"/>
    </w:p>
    <w:p>
      <w:pPr>
        <w:spacing w:line="360" w:lineRule="auto"/>
        <w:jc w:val="center"/>
        <w:outlineLvl w:val="0"/>
        <w:rPr>
          <w:b/>
          <w:sz w:val="48"/>
          <w:szCs w:val="36"/>
          <w:highlight w:val="none"/>
        </w:rPr>
      </w:pPr>
      <w:r>
        <w:rPr>
          <w:rFonts w:hint="eastAsia"/>
          <w:b/>
          <w:sz w:val="48"/>
          <w:szCs w:val="36"/>
          <w:highlight w:val="none"/>
        </w:rPr>
        <w:t>第三分册：采购合同</w:t>
      </w:r>
    </w:p>
    <w:p>
      <w:pPr>
        <w:spacing w:line="360" w:lineRule="auto"/>
        <w:rPr>
          <w:b/>
          <w:bCs/>
          <w:sz w:val="28"/>
          <w:szCs w:val="28"/>
          <w:highlight w:val="none"/>
        </w:rPr>
      </w:pPr>
    </w:p>
    <w:p>
      <w:pPr>
        <w:numPr>
          <w:ilvl w:val="0"/>
          <w:numId w:val="4"/>
        </w:numPr>
        <w:spacing w:line="360" w:lineRule="auto"/>
        <w:ind w:firstLine="3066" w:firstLineChars="1460"/>
        <w:jc w:val="left"/>
        <w:rPr>
          <w:rFonts w:hint="eastAsia"/>
          <w:b/>
          <w:bCs/>
          <w:szCs w:val="21"/>
          <w:highlight w:val="none"/>
        </w:rPr>
      </w:pPr>
      <w:bookmarkStart w:id="69" w:name="采购公告合同部分_ZBGGHT"/>
      <w:r>
        <w:rPr>
          <w:rFonts w:hint="eastAsia"/>
          <w:b/>
          <w:bCs/>
          <w:szCs w:val="21"/>
          <w:highlight w:val="none"/>
        </w:rPr>
        <w:t xml:space="preserve"> 采购合同</w:t>
      </w:r>
    </w:p>
    <w:p>
      <w:pPr>
        <w:numPr>
          <w:numId w:val="0"/>
        </w:numPr>
        <w:spacing w:line="360" w:lineRule="auto"/>
        <w:ind w:left="1680" w:firstLine="420" w:leftChars="0" w:firstLineChars="0"/>
        <w:jc w:val="left"/>
        <w:rPr>
          <w:rFonts w:hint="eastAsia"/>
          <w:b/>
          <w:bCs/>
          <w:szCs w:val="21"/>
          <w:highlight w:val="none"/>
        </w:rPr>
      </w:pPr>
      <w:r>
        <w:rPr>
          <w:rFonts w:hint="eastAsia"/>
          <w:b/>
          <w:bCs/>
          <w:szCs w:val="21"/>
          <w:highlight w:val="none"/>
        </w:rPr>
        <w:t>必须明确合同金额支付条件及支付比例</w:t>
      </w:r>
    </w:p>
    <w:p>
      <w:pPr>
        <w:pStyle w:val="BodyText"/>
        <w:spacing w:after="0"/>
        <w:jc w:val="center"/>
        <w:rPr>
          <w:rFonts w:ascii="宋体" w:hAnsi="宋体" w:cs="宋体"/>
          <w:b/>
          <w:bCs/>
          <w:spacing w:val="-20"/>
          <w:kern w:val="44"/>
          <w:sz w:val="48"/>
          <w:szCs w:val="48"/>
          <w:highlight w:val="none"/>
        </w:rPr>
      </w:pPr>
      <w:r>
        <w:rPr>
          <w:b/>
          <w:bCs/>
          <w:szCs w:val="21"/>
          <w:highlight w:val="none"/>
        </w:rPr>
        <w:br w:type="page"/>
      </w:r>
      <w:bookmarkStart w:id="70" w:name="_Toc3995"/>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r>
        <w:rPr>
          <w:rFonts w:ascii="宋体" w:hAnsi="宋体" w:cs="宋体" w:hint="eastAsia"/>
          <w:b/>
          <w:bCs/>
          <w:spacing w:val="-20"/>
          <w:kern w:val="44"/>
          <w:sz w:val="48"/>
          <w:szCs w:val="48"/>
          <w:highlight w:val="none"/>
        </w:rPr>
        <w:t>政府采购货物买卖合同</w:t>
      </w:r>
    </w:p>
    <w:p>
      <w:pPr>
        <w:pStyle w:val="BodyText"/>
        <w:spacing w:after="0"/>
        <w:jc w:val="center"/>
        <w:rPr>
          <w:rFonts w:ascii="宋体" w:hAnsi="宋体" w:cs="宋体"/>
          <w:b/>
          <w:bCs/>
          <w:spacing w:val="-20"/>
          <w:kern w:val="44"/>
          <w:sz w:val="48"/>
          <w:szCs w:val="48"/>
          <w:highlight w:val="none"/>
        </w:rPr>
      </w:pPr>
      <w:r>
        <w:rPr>
          <w:rFonts w:ascii="宋体" w:hAnsi="宋体" w:cs="宋体" w:hint="eastAsia"/>
          <w:b/>
          <w:bCs/>
          <w:spacing w:val="-20"/>
          <w:kern w:val="44"/>
          <w:sz w:val="48"/>
          <w:szCs w:val="48"/>
          <w:highlight w:val="none"/>
        </w:rPr>
        <w:t>（试行）</w:t>
      </w:r>
    </w:p>
    <w:p>
      <w:pPr>
        <w:rPr>
          <w:rFonts w:ascii="宋体" w:hAnsi="宋体" w:cs="宋体"/>
          <w:b/>
          <w:bCs/>
          <w:spacing w:val="-20"/>
          <w:kern w:val="44"/>
          <w:sz w:val="40"/>
          <w:szCs w:val="40"/>
          <w:highlight w:val="none"/>
        </w:rPr>
      </w:pPr>
    </w:p>
    <w:p>
      <w:pPr>
        <w:rPr>
          <w:rFonts w:ascii="宋体" w:hAnsi="宋体" w:cs="宋体"/>
          <w:b/>
          <w:bCs/>
          <w:spacing w:val="-20"/>
          <w:kern w:val="44"/>
          <w:sz w:val="40"/>
          <w:szCs w:val="40"/>
          <w:highlight w:val="none"/>
        </w:rPr>
      </w:pPr>
    </w:p>
    <w:p>
      <w:pPr>
        <w:rPr>
          <w:rFonts w:ascii="宋体" w:hAnsi="宋体" w:cs="宋体"/>
          <w:b/>
          <w:bCs/>
          <w:spacing w:val="-20"/>
          <w:kern w:val="44"/>
          <w:sz w:val="40"/>
          <w:szCs w:val="40"/>
          <w:highlight w:val="none"/>
        </w:rPr>
      </w:pPr>
    </w:p>
    <w:p>
      <w:pPr>
        <w:spacing w:line="360" w:lineRule="auto"/>
        <w:ind w:left="420" w:leftChars="200"/>
        <w:rPr>
          <w:sz w:val="32"/>
          <w:szCs w:val="32"/>
          <w:highlight w:val="none"/>
        </w:rPr>
      </w:pPr>
      <w:r>
        <w:rPr>
          <w:rFonts w:ascii="宋体" w:hAnsi="宋体" w:cs="宋体" w:hint="eastAsia"/>
          <w:kern w:val="0"/>
          <w:sz w:val="32"/>
          <w:szCs w:val="32"/>
          <w:highlight w:val="none"/>
        </w:rPr>
        <w:t>项目名称：</w:t>
      </w:r>
      <w:r>
        <w:rPr>
          <w:rFonts w:hint="eastAsia"/>
          <w:sz w:val="32"/>
          <w:szCs w:val="32"/>
          <w:highlight w:val="none"/>
          <w:u w:val="single"/>
        </w:rPr>
        <w:t xml:space="preserve">                             </w:t>
      </w:r>
    </w:p>
    <w:p>
      <w:pPr>
        <w:spacing w:line="360" w:lineRule="auto"/>
        <w:ind w:left="420" w:leftChars="200"/>
        <w:rPr>
          <w:sz w:val="32"/>
          <w:szCs w:val="32"/>
          <w:highlight w:val="none"/>
          <w:u w:val="single"/>
        </w:rPr>
      </w:pPr>
      <w:r>
        <w:rPr>
          <w:rFonts w:hint="eastAsia"/>
          <w:sz w:val="32"/>
          <w:szCs w:val="32"/>
          <w:highlight w:val="none"/>
        </w:rPr>
        <w:t>合同编号：</w:t>
      </w:r>
      <w:r>
        <w:rPr>
          <w:rFonts w:hint="eastAsia"/>
          <w:sz w:val="32"/>
          <w:szCs w:val="32"/>
          <w:highlight w:val="none"/>
          <w:u w:val="single"/>
        </w:rPr>
        <w:t xml:space="preserve">                             </w:t>
      </w:r>
    </w:p>
    <w:p>
      <w:pPr>
        <w:spacing w:line="360" w:lineRule="auto"/>
        <w:ind w:left="420" w:leftChars="200"/>
        <w:rPr>
          <w:sz w:val="32"/>
          <w:szCs w:val="32"/>
          <w:highlight w:val="none"/>
        </w:rPr>
      </w:pPr>
      <w:r>
        <w:rPr>
          <w:rFonts w:hint="eastAsia"/>
          <w:sz w:val="32"/>
          <w:szCs w:val="32"/>
          <w:highlight w:val="none"/>
        </w:rPr>
        <w:t>甲    方：</w:t>
      </w:r>
      <w:r>
        <w:rPr>
          <w:rFonts w:hint="eastAsia"/>
          <w:sz w:val="32"/>
          <w:szCs w:val="32"/>
          <w:highlight w:val="none"/>
          <w:u w:val="single"/>
        </w:rPr>
        <w:t xml:space="preserve">                             </w:t>
      </w:r>
    </w:p>
    <w:p>
      <w:pPr>
        <w:spacing w:line="360" w:lineRule="auto"/>
        <w:ind w:left="420" w:leftChars="200"/>
        <w:rPr>
          <w:sz w:val="32"/>
          <w:szCs w:val="32"/>
          <w:highlight w:val="none"/>
          <w:u w:val="single"/>
        </w:rPr>
      </w:pPr>
      <w:r>
        <w:rPr>
          <w:rFonts w:hint="eastAsia"/>
          <w:sz w:val="32"/>
          <w:szCs w:val="32"/>
          <w:highlight w:val="none"/>
        </w:rPr>
        <w:t>乙    方：</w:t>
      </w:r>
      <w:r>
        <w:rPr>
          <w:rFonts w:hint="eastAsia"/>
          <w:sz w:val="32"/>
          <w:szCs w:val="32"/>
          <w:highlight w:val="none"/>
          <w:u w:val="single"/>
        </w:rPr>
        <w:t xml:space="preserve">                             </w:t>
      </w:r>
    </w:p>
    <w:p>
      <w:pPr>
        <w:spacing w:line="360" w:lineRule="auto"/>
        <w:ind w:left="420" w:leftChars="200"/>
        <w:rPr>
          <w:sz w:val="32"/>
          <w:szCs w:val="32"/>
          <w:highlight w:val="none"/>
        </w:rPr>
      </w:pPr>
      <w:r>
        <w:rPr>
          <w:rFonts w:hint="eastAsia"/>
          <w:sz w:val="32"/>
          <w:szCs w:val="32"/>
          <w:highlight w:val="none"/>
        </w:rPr>
        <w:t>签订时间：</w:t>
      </w:r>
      <w:r>
        <w:rPr>
          <w:rFonts w:hint="eastAsia"/>
          <w:sz w:val="32"/>
          <w:szCs w:val="32"/>
          <w:highlight w:val="none"/>
          <w:u w:val="single"/>
        </w:rPr>
        <w:t xml:space="preserve">      </w:t>
      </w:r>
      <w:r>
        <w:rPr>
          <w:sz w:val="32"/>
          <w:szCs w:val="32"/>
          <w:highlight w:val="none"/>
          <w:u w:val="single"/>
        </w:rPr>
        <w:t xml:space="preserve">           </w:t>
      </w:r>
      <w:r>
        <w:rPr>
          <w:rFonts w:hint="eastAsia"/>
          <w:sz w:val="32"/>
          <w:szCs w:val="32"/>
          <w:highlight w:val="none"/>
          <w:u w:val="single"/>
        </w:rPr>
        <w:t xml:space="preserve">            </w:t>
      </w:r>
    </w:p>
    <w:p>
      <w:pPr>
        <w:rPr>
          <w:highlight w:val="none"/>
        </w:rPr>
      </w:pPr>
    </w:p>
    <w:p>
      <w:pPr>
        <w:rPr>
          <w:rFonts w:eastAsia="黑体"/>
          <w:sz w:val="44"/>
          <w:szCs w:val="44"/>
          <w:highlight w:val="none"/>
        </w:rPr>
      </w:pPr>
      <w:r>
        <w:rPr>
          <w:rFonts w:eastAsia="黑体"/>
          <w:sz w:val="44"/>
          <w:szCs w:val="44"/>
          <w:highlight w:val="none"/>
        </w:rPr>
        <w:br w:type="page"/>
      </w:r>
    </w:p>
    <w:p>
      <w:pPr>
        <w:rPr>
          <w:rFonts w:eastAsia="黑体"/>
          <w:sz w:val="44"/>
          <w:szCs w:val="44"/>
          <w:highlight w:val="none"/>
        </w:rPr>
      </w:pPr>
    </w:p>
    <w:p>
      <w:pPr>
        <w:rPr>
          <w:rFonts w:eastAsia="黑体"/>
          <w:sz w:val="44"/>
          <w:szCs w:val="44"/>
          <w:highlight w:val="none"/>
        </w:rPr>
      </w:pPr>
    </w:p>
    <w:p>
      <w:pPr>
        <w:jc w:val="center"/>
        <w:rPr>
          <w:rFonts w:eastAsia="黑体"/>
          <w:sz w:val="44"/>
          <w:szCs w:val="44"/>
          <w:highlight w:val="none"/>
        </w:rPr>
      </w:pPr>
      <w:r>
        <w:rPr>
          <w:rFonts w:eastAsia="黑体" w:hint="eastAsia"/>
          <w:sz w:val="44"/>
          <w:szCs w:val="44"/>
          <w:highlight w:val="none"/>
        </w:rPr>
        <w:t>使 用 说 明</w:t>
      </w:r>
    </w:p>
    <w:p>
      <w:pPr>
        <w:ind w:firstLine="640" w:firstLineChars="200"/>
        <w:rPr>
          <w:rFonts w:ascii="仿宋_GB2312" w:eastAsia="仿宋_GB2312" w:hAnsi="仿宋_GB2312" w:cs="仿宋_GB2312"/>
          <w:sz w:val="32"/>
          <w:szCs w:val="32"/>
          <w:highlight w:val="none"/>
        </w:rPr>
      </w:pPr>
    </w:p>
    <w:p>
      <w:pPr>
        <w:ind w:firstLine="640" w:firstLineChars="200"/>
        <w:rPr>
          <w:rFonts w:ascii="仿宋_GB2312" w:eastAsia="仿宋_GB2312" w:hAnsi="仿宋_GB2312" w:cs="仿宋_GB2312"/>
          <w:sz w:val="32"/>
          <w:szCs w:val="32"/>
          <w:highlight w:val="none"/>
        </w:rPr>
      </w:pPr>
      <w:r>
        <w:rPr>
          <w:rFonts w:ascii="仿宋_GB2312" w:eastAsia="仿宋_GB2312" w:hAnsi="仿宋_GB2312" w:cs="仿宋_GB2312" w:hint="eastAsia"/>
          <w:sz w:val="32"/>
          <w:szCs w:val="32"/>
          <w:highlight w:val="none"/>
        </w:rPr>
        <w:t>1.本合同标准文本适用于购买现成货物的采购项目，不包括需要供应商定制开发、创新研发的货物采购项目。</w:t>
      </w:r>
    </w:p>
    <w:p>
      <w:pPr>
        <w:rPr>
          <w:rFonts w:eastAsia="黑体"/>
          <w:sz w:val="44"/>
          <w:szCs w:val="44"/>
          <w:highlight w:val="none"/>
        </w:rPr>
      </w:pPr>
      <w:r>
        <w:rPr>
          <w:rFonts w:eastAsia="黑体" w:hint="eastAsia"/>
          <w:sz w:val="44"/>
          <w:szCs w:val="44"/>
          <w:highlight w:val="none"/>
        </w:rPr>
        <w:t xml:space="preserve">   </w:t>
      </w:r>
      <w:r>
        <w:rPr>
          <w:rFonts w:ascii="仿宋_GB2312" w:eastAsia="仿宋_GB2312" w:hAnsi="仿宋_GB2312" w:cs="仿宋_GB2312" w:hint="eastAsia"/>
          <w:sz w:val="32"/>
          <w:szCs w:val="32"/>
          <w:highlight w:val="none"/>
        </w:rPr>
        <w:t>2.本合同标准文本为政府采购货物买卖合同编制提供参考，可以结合采购项目具体情况，对文本作必要的调整修订后使用。</w:t>
      </w:r>
    </w:p>
    <w:p>
      <w:pPr>
        <w:ind w:firstLine="640" w:firstLineChars="200"/>
        <w:rPr>
          <w:rFonts w:ascii="仿宋_GB2312" w:eastAsia="仿宋_GB2312" w:hAnsi="仿宋_GB2312" w:cs="仿宋_GB2312"/>
          <w:sz w:val="32"/>
          <w:szCs w:val="32"/>
          <w:highlight w:val="none"/>
        </w:rPr>
      </w:pPr>
      <w:r>
        <w:rPr>
          <w:rFonts w:ascii="仿宋_GB2312" w:eastAsia="仿宋_GB2312" w:hAnsi="仿宋_GB2312" w:cs="仿宋_GB2312" w:hint="eastAsia"/>
          <w:sz w:val="32"/>
          <w:szCs w:val="32"/>
          <w:highlight w:val="none"/>
        </w:rPr>
        <w:t>3.本合同标准文本各条款中，如涉及填写多家供应商、制造商，多种采购标的、分包主要内容等信息的，可根据采购项目具体情况添加信息项。</w:t>
      </w:r>
    </w:p>
    <w:p>
      <w:pPr>
        <w:ind w:firstLine="0" w:firstLineChars="0"/>
        <w:rPr>
          <w:rFonts w:eastAsia="黑体"/>
          <w:sz w:val="44"/>
          <w:szCs w:val="44"/>
          <w:highlight w:val="none"/>
        </w:rPr>
        <w:sectPr>
          <w:pgSz w:w="11906" w:h="16838"/>
          <w:pgMar w:top="1440" w:right="1800" w:bottom="1440" w:left="1800" w:header="851" w:footer="992" w:gutter="0"/>
          <w:cols w:num="1" w:space="425"/>
          <w:docGrid w:type="lines" w:linePitch="312" w:charSpace="0"/>
        </w:sectPr>
      </w:pPr>
    </w:p>
    <w:bookmarkEnd w:id="70"/>
    <w:p>
      <w:pPr>
        <w:pStyle w:val="Heading2"/>
        <w:numPr>
          <w:ilvl w:val="0"/>
          <w:numId w:val="0"/>
        </w:numPr>
        <w:adjustRightInd w:val="0"/>
        <w:snapToGrid w:val="0"/>
        <w:spacing w:line="400" w:lineRule="exact"/>
        <w:jc w:val="center"/>
        <w:rPr>
          <w:rFonts w:ascii="黑体" w:hAnsi="华文中宋"/>
          <w:b w:val="0"/>
          <w:bCs w:val="0"/>
          <w:sz w:val="28"/>
          <w:szCs w:val="28"/>
          <w:highlight w:val="none"/>
        </w:rPr>
      </w:pPr>
      <w:bookmarkStart w:id="71" w:name="_Toc22209"/>
      <w:r>
        <w:rPr>
          <w:rFonts w:ascii="黑体" w:hAnsi="黑体" w:hint="eastAsia"/>
          <w:b w:val="0"/>
          <w:bCs w:val="0"/>
          <w:sz w:val="28"/>
          <w:szCs w:val="28"/>
          <w:highlight w:val="none"/>
        </w:rPr>
        <w:t xml:space="preserve">第一节 </w:t>
      </w:r>
      <w:r>
        <w:rPr>
          <w:rFonts w:ascii="黑体" w:hAnsi="华文中宋" w:hint="eastAsia"/>
          <w:b w:val="0"/>
          <w:bCs w:val="0"/>
          <w:sz w:val="28"/>
          <w:szCs w:val="28"/>
          <w:highlight w:val="none"/>
        </w:rPr>
        <w:t>政府采购合同协议书</w:t>
      </w:r>
      <w:bookmarkEnd w:id="71"/>
    </w:p>
    <w:p>
      <w:pPr>
        <w:adjustRightInd w:val="0"/>
        <w:snapToGrid w:val="0"/>
        <w:spacing w:line="400" w:lineRule="exact"/>
        <w:rPr>
          <w:rFonts w:ascii="宋体" w:hAnsi="宋体"/>
          <w:szCs w:val="21"/>
          <w:highlight w:val="none"/>
        </w:rPr>
      </w:pPr>
      <w:r>
        <w:rPr>
          <w:rFonts w:ascii="宋体" w:hAnsi="宋体" w:hint="eastAsia"/>
          <w:szCs w:val="21"/>
          <w:highlight w:val="none"/>
        </w:rPr>
        <w:t>甲方（全称）：</w:t>
      </w:r>
      <w:r>
        <w:rPr>
          <w:rFonts w:ascii="宋体" w:hAnsi="宋体" w:hint="eastAsia"/>
          <w:szCs w:val="21"/>
          <w:highlight w:val="none"/>
          <w:u w:val="single"/>
        </w:rPr>
        <w:t xml:space="preserve">                        </w:t>
      </w:r>
      <w:r>
        <w:rPr>
          <w:rFonts w:ascii="宋体" w:hAnsi="宋体" w:hint="eastAsia"/>
          <w:szCs w:val="21"/>
          <w:highlight w:val="none"/>
        </w:rPr>
        <w:t>（采购人、受采购人委托签订合同的单位或采购</w:t>
      </w:r>
      <w:r>
        <w:rPr>
          <w:rFonts w:ascii="宋体" w:hAnsi="宋体" w:hint="eastAsia"/>
          <w:szCs w:val="21"/>
          <w:highlight w:val="none"/>
        </w:rPr>
        <w:tab/>
      </w:r>
      <w:r>
        <w:rPr>
          <w:rFonts w:ascii="宋体" w:hAnsi="宋体" w:hint="eastAsia"/>
          <w:szCs w:val="21"/>
          <w:highlight w:val="none"/>
        </w:rPr>
        <w:t xml:space="preserve">                                   文件约定的合同甲方）</w:t>
      </w:r>
    </w:p>
    <w:p>
      <w:pPr>
        <w:adjustRightInd w:val="0"/>
        <w:snapToGrid w:val="0"/>
        <w:spacing w:line="400" w:lineRule="exact"/>
        <w:rPr>
          <w:rFonts w:ascii="宋体" w:hAnsi="宋体"/>
          <w:szCs w:val="21"/>
          <w:highlight w:val="none"/>
        </w:rPr>
      </w:pPr>
      <w:r>
        <w:rPr>
          <w:rFonts w:ascii="宋体" w:hAnsi="宋体" w:hint="eastAsia"/>
          <w:szCs w:val="21"/>
          <w:highlight w:val="none"/>
        </w:rPr>
        <w:t>乙方1（全称）：</w:t>
      </w:r>
      <w:r>
        <w:rPr>
          <w:rFonts w:ascii="宋体" w:hAnsi="宋体" w:hint="eastAsia"/>
          <w:szCs w:val="21"/>
          <w:highlight w:val="none"/>
          <w:u w:val="single"/>
        </w:rPr>
        <w:t xml:space="preserve">                       </w:t>
      </w:r>
      <w:r>
        <w:rPr>
          <w:rFonts w:ascii="宋体" w:hAnsi="宋体" w:hint="eastAsia"/>
          <w:szCs w:val="21"/>
          <w:highlight w:val="none"/>
        </w:rPr>
        <w:t>（供应商）</w:t>
      </w:r>
    </w:p>
    <w:p>
      <w:pPr>
        <w:adjustRightInd w:val="0"/>
        <w:snapToGrid w:val="0"/>
        <w:spacing w:line="400" w:lineRule="exact"/>
        <w:rPr>
          <w:rFonts w:ascii="宋体" w:hAnsi="宋体"/>
          <w:szCs w:val="21"/>
          <w:highlight w:val="none"/>
        </w:rPr>
      </w:pPr>
      <w:r>
        <w:rPr>
          <w:rFonts w:ascii="宋体" w:hAnsi="宋体" w:hint="eastAsia"/>
          <w:szCs w:val="21"/>
          <w:highlight w:val="none"/>
        </w:rPr>
        <w:t>乙方2（全称）：</w:t>
      </w:r>
      <w:r>
        <w:rPr>
          <w:rFonts w:ascii="宋体" w:hAnsi="宋体" w:hint="eastAsia"/>
          <w:szCs w:val="21"/>
          <w:highlight w:val="none"/>
          <w:u w:val="single"/>
        </w:rPr>
        <w:t xml:space="preserve">                        </w:t>
      </w:r>
      <w:r>
        <w:rPr>
          <w:rFonts w:ascii="宋体" w:hAnsi="宋体" w:hint="eastAsia"/>
          <w:szCs w:val="21"/>
          <w:highlight w:val="none"/>
        </w:rPr>
        <w:t>（联合体成员供应商或其他合同主体）（如有）</w:t>
      </w:r>
    </w:p>
    <w:p>
      <w:pPr>
        <w:adjustRightInd w:val="0"/>
        <w:snapToGrid w:val="0"/>
        <w:spacing w:line="400" w:lineRule="exact"/>
        <w:rPr>
          <w:rFonts w:ascii="宋体" w:hAnsi="宋体"/>
          <w:szCs w:val="21"/>
          <w:highlight w:val="none"/>
        </w:rPr>
      </w:pPr>
      <w:r>
        <w:rPr>
          <w:rFonts w:hint="eastAsia"/>
          <w:highlight w:val="none"/>
        </w:rPr>
        <w:t>乙方</w:t>
      </w:r>
      <w:r>
        <w:rPr>
          <w:rFonts w:ascii="宋体" w:hAnsi="宋体" w:hint="eastAsia"/>
          <w:szCs w:val="21"/>
          <w:highlight w:val="none"/>
        </w:rPr>
        <w:t>3</w:t>
      </w:r>
      <w:r>
        <w:rPr>
          <w:rFonts w:hint="eastAsia"/>
          <w:highlight w:val="none"/>
        </w:rPr>
        <w:t>（全称）</w:t>
      </w:r>
      <w:r>
        <w:rPr>
          <w:rFonts w:ascii="宋体" w:hAnsi="宋体" w:hint="eastAsia"/>
          <w:szCs w:val="21"/>
          <w:highlight w:val="none"/>
          <w:u w:val="single"/>
        </w:rPr>
        <w:t xml:space="preserve">                          </w:t>
      </w:r>
      <w:r>
        <w:rPr>
          <w:rFonts w:ascii="宋体" w:hAnsi="宋体" w:hint="eastAsia"/>
          <w:szCs w:val="21"/>
          <w:highlight w:val="none"/>
        </w:rPr>
        <w:t>（联合体成员供应商或其他合同主体）（如有）</w:t>
      </w:r>
    </w:p>
    <w:p>
      <w:pPr>
        <w:spacing w:line="400" w:lineRule="exact"/>
        <w:rPr>
          <w:highlight w:val="none"/>
        </w:rPr>
      </w:pPr>
    </w:p>
    <w:p>
      <w:pPr>
        <w:pStyle w:val="BodyTextIndent"/>
        <w:adjustRightInd w:val="0"/>
        <w:snapToGrid w:val="0"/>
        <w:spacing w:after="0" w:line="400" w:lineRule="exact"/>
        <w:ind w:left="0" w:firstLine="420" w:leftChars="0" w:firstLineChars="200"/>
        <w:rPr>
          <w:rFonts w:ascii="宋体" w:hAnsi="宋体"/>
          <w:szCs w:val="21"/>
          <w:highlight w:val="none"/>
        </w:rPr>
      </w:pPr>
      <w:r>
        <w:rPr>
          <w:rFonts w:ascii="宋体" w:hAnsi="宋体" w:hint="eastAsia"/>
          <w:szCs w:val="21"/>
          <w:highlight w:val="none"/>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pPr>
        <w:numPr>
          <w:ilvl w:val="0"/>
          <w:numId w:val="5"/>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项目信息</w:t>
      </w:r>
    </w:p>
    <w:p>
      <w:pPr>
        <w:pStyle w:val="BodyTextIndent"/>
        <w:numPr>
          <w:ilvl w:val="0"/>
          <w:numId w:val="6"/>
        </w:numPr>
        <w:adjustRightInd w:val="0"/>
        <w:snapToGrid w:val="0"/>
        <w:spacing w:after="0" w:line="400" w:lineRule="exact"/>
        <w:ind w:left="0" w:firstLine="420" w:leftChars="0" w:firstLineChars="200"/>
        <w:rPr>
          <w:rFonts w:ascii="宋体" w:hAnsi="宋体"/>
          <w:szCs w:val="21"/>
          <w:highlight w:val="none"/>
          <w:u w:val="single"/>
        </w:rPr>
      </w:pPr>
      <w:r>
        <w:rPr>
          <w:rFonts w:ascii="宋体" w:hAnsi="宋体" w:hint="eastAsia"/>
          <w:szCs w:val="21"/>
          <w:highlight w:val="none"/>
        </w:rPr>
        <w:t>采购项目名称：</w:t>
      </w:r>
      <w:r>
        <w:rPr>
          <w:rFonts w:ascii="宋体" w:hAnsi="宋体"/>
          <w:szCs w:val="21"/>
          <w:highlight w:val="none"/>
          <w:u w:val="single"/>
        </w:rPr>
        <w:t xml:space="preserve">                                          </w:t>
      </w:r>
    </w:p>
    <w:p>
      <w:pPr>
        <w:pStyle w:val="BodyTextIndent"/>
        <w:numPr>
          <w:ilvl w:val="0"/>
          <w:numId w:val="0"/>
        </w:numPr>
        <w:tabs>
          <w:tab w:val="left" w:pos="999"/>
        </w:tabs>
        <w:adjustRightInd w:val="0"/>
        <w:snapToGrid w:val="0"/>
        <w:spacing w:after="0" w:line="400" w:lineRule="exact"/>
        <w:rPr>
          <w:rFonts w:ascii="宋体" w:hAnsi="宋体"/>
          <w:szCs w:val="21"/>
          <w:highlight w:val="none"/>
        </w:rPr>
      </w:pPr>
      <w:r>
        <w:rPr>
          <w:rFonts w:ascii="宋体" w:hAnsi="宋体" w:hint="eastAsia"/>
          <w:szCs w:val="21"/>
          <w:highlight w:val="none"/>
        </w:rPr>
        <w:t xml:space="preserve">         采购项目编号：</w:t>
      </w:r>
      <w:r>
        <w:rPr>
          <w:rFonts w:ascii="宋体" w:hAnsi="宋体"/>
          <w:szCs w:val="21"/>
          <w:highlight w:val="none"/>
          <w:u w:val="single"/>
        </w:rPr>
        <w:t xml:space="preserve">                                          </w:t>
      </w:r>
    </w:p>
    <w:p>
      <w:pPr>
        <w:pStyle w:val="BodyTextIndent"/>
        <w:adjustRightInd w:val="0"/>
        <w:snapToGrid w:val="0"/>
        <w:spacing w:after="0" w:line="400" w:lineRule="exact"/>
        <w:ind w:left="0" w:firstLine="420" w:leftChars="0" w:firstLineChars="200"/>
        <w:rPr>
          <w:rFonts w:ascii="宋体" w:hAnsi="宋体"/>
          <w:szCs w:val="21"/>
          <w:highlight w:val="none"/>
        </w:rPr>
      </w:pPr>
      <w:r>
        <w:rPr>
          <w:rFonts w:ascii="宋体" w:hAnsi="宋体" w:hint="eastAsia"/>
          <w:szCs w:val="21"/>
          <w:highlight w:val="none"/>
        </w:rPr>
        <w:t>（2）采购计划编号：</w:t>
      </w:r>
      <w:r>
        <w:rPr>
          <w:rFonts w:ascii="宋体" w:hAnsi="宋体"/>
          <w:szCs w:val="21"/>
          <w:highlight w:val="none"/>
          <w:u w:val="single"/>
        </w:rPr>
        <w:t xml:space="preserve">                     </w:t>
      </w:r>
      <w:r>
        <w:rPr>
          <w:rFonts w:ascii="宋体" w:hAnsi="宋体" w:hint="eastAsia"/>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 xml:space="preserve"> </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（3）项目内容：</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 xml:space="preserve">     采购标的及数量（台/套</w:t>
      </w:r>
      <w:r>
        <w:rPr>
          <w:rFonts w:ascii="宋体" w:hAnsi="宋体"/>
          <w:szCs w:val="21"/>
          <w:highlight w:val="none"/>
          <w:lang w:val="en"/>
        </w:rPr>
        <w:t>/</w:t>
      </w:r>
      <w:r>
        <w:rPr>
          <w:rFonts w:ascii="宋体" w:hAnsi="宋体" w:hint="eastAsia"/>
          <w:szCs w:val="21"/>
          <w:highlight w:val="none"/>
          <w:lang w:val="en"/>
        </w:rPr>
        <w:t>个</w:t>
      </w:r>
      <w:r>
        <w:rPr>
          <w:rFonts w:ascii="宋体" w:hAnsi="宋体"/>
          <w:szCs w:val="21"/>
          <w:highlight w:val="none"/>
          <w:lang w:val="en"/>
        </w:rPr>
        <w:t>/</w:t>
      </w:r>
      <w:r>
        <w:rPr>
          <w:rFonts w:ascii="宋体" w:hAnsi="宋体" w:hint="eastAsia"/>
          <w:szCs w:val="21"/>
          <w:highlight w:val="none"/>
          <w:lang w:val="en"/>
        </w:rPr>
        <w:t>架</w:t>
      </w:r>
      <w:r>
        <w:rPr>
          <w:rFonts w:ascii="宋体" w:hAnsi="宋体"/>
          <w:szCs w:val="21"/>
          <w:highlight w:val="none"/>
          <w:lang w:val="en"/>
        </w:rPr>
        <w:t>/</w:t>
      </w:r>
      <w:r>
        <w:rPr>
          <w:rFonts w:ascii="宋体" w:hAnsi="宋体" w:hint="eastAsia"/>
          <w:szCs w:val="21"/>
          <w:highlight w:val="none"/>
          <w:lang w:val="en"/>
        </w:rPr>
        <w:t>组等</w:t>
      </w:r>
      <w:r>
        <w:rPr>
          <w:rFonts w:ascii="宋体" w:hAnsi="宋体" w:hint="eastAsia"/>
          <w:szCs w:val="21"/>
          <w:highlight w:val="none"/>
        </w:rPr>
        <w:t>）：</w:t>
      </w:r>
      <w:r>
        <w:rPr>
          <w:rFonts w:ascii="宋体" w:hAnsi="宋体" w:hint="eastAsia"/>
          <w:szCs w:val="21"/>
          <w:highlight w:val="none"/>
          <w:u w:val="single"/>
        </w:rPr>
        <w:t xml:space="preserve">                       </w:t>
      </w:r>
      <w:r>
        <w:rPr>
          <w:rFonts w:ascii="宋体" w:hAnsi="宋体" w:hint="eastAsia"/>
          <w:szCs w:val="21"/>
          <w:highlight w:val="none"/>
        </w:rPr>
        <w:t xml:space="preserve">            </w:t>
      </w:r>
      <w:r>
        <w:rPr>
          <w:rFonts w:ascii="宋体" w:hAnsi="宋体" w:hint="eastAsia"/>
          <w:szCs w:val="21"/>
          <w:highlight w:val="none"/>
          <w:u w:val="single"/>
        </w:rPr>
        <w:t xml:space="preserve">                  </w:t>
      </w:r>
      <w:r>
        <w:rPr>
          <w:rFonts w:ascii="宋体" w:hAnsi="宋体" w:hint="eastAsia"/>
          <w:szCs w:val="21"/>
          <w:highlight w:val="none"/>
        </w:rPr>
        <w:t xml:space="preserve"> </w:t>
      </w:r>
    </w:p>
    <w:p>
      <w:pPr>
        <w:numPr>
          <w:ilvl w:val="0"/>
          <w:numId w:val="0"/>
        </w:numPr>
        <w:adjustRightInd w:val="0"/>
        <w:snapToGrid w:val="0"/>
        <w:spacing w:line="400" w:lineRule="exact"/>
        <w:ind w:firstLine="420" w:firstLineChars="200"/>
        <w:rPr>
          <w:rFonts w:ascii="宋体" w:hAnsi="宋体" w:cs="宋体"/>
          <w:szCs w:val="21"/>
          <w:highlight w:val="none"/>
          <w:lang w:val="en"/>
        </w:rPr>
      </w:pPr>
      <w:r>
        <w:rPr>
          <w:rFonts w:ascii="宋体" w:hAnsi="宋体" w:hint="eastAsia"/>
          <w:szCs w:val="21"/>
          <w:highlight w:val="none"/>
        </w:rPr>
        <w:t xml:space="preserve">     </w:t>
      </w:r>
      <w:r>
        <w:rPr>
          <w:rFonts w:ascii="宋体" w:hAnsi="宋体" w:cs="宋体" w:hint="eastAsia"/>
          <w:szCs w:val="21"/>
          <w:highlight w:val="none"/>
        </w:rPr>
        <w:t>品牌：</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lang w:val="en"/>
        </w:rPr>
        <w:t xml:space="preserve">     </w:t>
      </w:r>
      <w:r>
        <w:rPr>
          <w:rFonts w:ascii="宋体" w:hAnsi="宋体" w:cs="宋体" w:hint="eastAsia"/>
          <w:szCs w:val="21"/>
          <w:highlight w:val="none"/>
        </w:rPr>
        <w:t>规格型号：</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p>
    <w:p>
      <w:pPr>
        <w:adjustRightInd w:val="0"/>
        <w:snapToGrid w:val="0"/>
        <w:spacing w:line="400" w:lineRule="exact"/>
        <w:ind w:firstLine="945" w:firstLineChars="450"/>
        <w:rPr>
          <w:rFonts w:ascii="宋体" w:hAnsi="宋体"/>
          <w:szCs w:val="21"/>
          <w:highlight w:val="none"/>
          <w:u w:val="single"/>
        </w:rPr>
      </w:pPr>
      <w:r>
        <w:rPr>
          <w:rFonts w:ascii="宋体" w:hAnsi="宋体" w:hint="eastAsia"/>
          <w:szCs w:val="21"/>
          <w:highlight w:val="none"/>
        </w:rPr>
        <w:t>采购标的的技术要求、商务要求具体见附件。</w:t>
      </w:r>
    </w:p>
    <w:p>
      <w:pPr>
        <w:numPr>
          <w:ilvl w:val="0"/>
          <w:numId w:val="0"/>
        </w:numPr>
        <w:adjustRightInd w:val="0"/>
        <w:snapToGrid w:val="0"/>
        <w:spacing w:line="400" w:lineRule="exact"/>
        <w:ind w:firstLine="945" w:firstLineChars="450"/>
        <w:rPr>
          <w:rFonts w:ascii="宋体" w:hAnsi="宋体" w:cs="宋体"/>
          <w:szCs w:val="21"/>
          <w:highlight w:val="none"/>
        </w:rPr>
      </w:pPr>
      <w:r>
        <w:rPr>
          <w:rFonts w:ascii="汉仪书宋二S" w:eastAsia="汉仪书宋二S" w:hAnsi="汉仪书宋二S" w:cs="汉仪书宋二S" w:hint="eastAsia"/>
          <w:szCs w:val="21"/>
          <w:highlight w:val="none"/>
        </w:rPr>
        <w:t>①</w:t>
      </w:r>
      <w:r>
        <w:rPr>
          <w:rFonts w:ascii="宋体" w:hAnsi="宋体" w:cs="宋体" w:hint="eastAsia"/>
          <w:szCs w:val="21"/>
          <w:highlight w:val="none"/>
        </w:rPr>
        <w:t>涉及信息类产品，请填写该产品关键部件的品牌、型号：</w:t>
      </w:r>
    </w:p>
    <w:p>
      <w:pPr>
        <w:numPr>
          <w:ilvl w:val="0"/>
          <w:numId w:val="0"/>
        </w:numPr>
        <w:adjustRightInd w:val="0"/>
        <w:snapToGrid w:val="0"/>
        <w:spacing w:line="400" w:lineRule="exact"/>
        <w:ind w:firstLine="420" w:firstLineChars="200"/>
        <w:rPr>
          <w:rFonts w:ascii="宋体" w:hAnsi="宋体" w:cs="宋体"/>
          <w:kern w:val="0"/>
          <w:szCs w:val="21"/>
          <w:highlight w:val="none"/>
          <w:u w:val="single"/>
        </w:rPr>
      </w:pPr>
      <w:r>
        <w:rPr>
          <w:rFonts w:ascii="宋体" w:hAnsi="宋体" w:cs="宋体" w:hint="eastAsia"/>
          <w:szCs w:val="21"/>
          <w:highlight w:val="none"/>
        </w:rPr>
        <w:t xml:space="preserve">     标的名称：</w:t>
      </w:r>
      <w:r>
        <w:rPr>
          <w:rFonts w:ascii="宋体" w:hAnsi="宋体" w:cs="宋体" w:hint="eastAsia"/>
          <w:kern w:val="0"/>
          <w:szCs w:val="21"/>
          <w:highlight w:val="none"/>
          <w:u w:val="single"/>
        </w:rPr>
        <w:t xml:space="preserve">      </w:t>
      </w:r>
      <w:r>
        <w:rPr>
          <w:rFonts w:ascii="宋体" w:hAnsi="宋体" w:cs="宋体"/>
          <w:kern w:val="0"/>
          <w:szCs w:val="21"/>
          <w:highlight w:val="none"/>
          <w:u w:val="single"/>
          <w:lang w:val="en"/>
        </w:rPr>
        <w:t xml:space="preserve">               </w:t>
      </w:r>
      <w:r>
        <w:rPr>
          <w:rFonts w:ascii="宋体" w:hAnsi="宋体" w:cs="宋体" w:hint="eastAsia"/>
          <w:kern w:val="0"/>
          <w:szCs w:val="21"/>
          <w:highlight w:val="none"/>
          <w:u w:val="single"/>
        </w:rPr>
        <w:t xml:space="preserve">    </w:t>
      </w:r>
    </w:p>
    <w:p>
      <w:pPr>
        <w:numPr>
          <w:ilvl w:val="0"/>
          <w:numId w:val="0"/>
        </w:num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 xml:space="preserve">     关键部件：</w:t>
      </w:r>
      <w:r>
        <w:rPr>
          <w:rFonts w:ascii="宋体" w:hAnsi="宋体" w:cs="宋体" w:hint="eastAsia"/>
          <w:kern w:val="0"/>
          <w:szCs w:val="21"/>
          <w:highlight w:val="none"/>
          <w:u w:val="single"/>
        </w:rPr>
        <w:t xml:space="preserve">          </w:t>
      </w:r>
      <w:r>
        <w:rPr>
          <w:rFonts w:ascii="宋体" w:hAnsi="宋体" w:cs="宋体" w:hint="eastAsia"/>
          <w:kern w:val="0"/>
          <w:szCs w:val="21"/>
          <w:highlight w:val="none"/>
        </w:rPr>
        <w:t xml:space="preserve"> </w:t>
      </w:r>
      <w:r>
        <w:rPr>
          <w:rFonts w:ascii="宋体" w:hAnsi="宋体" w:cs="宋体" w:hint="eastAsia"/>
          <w:szCs w:val="21"/>
          <w:highlight w:val="none"/>
        </w:rPr>
        <w:t>品牌：</w:t>
      </w:r>
      <w:r>
        <w:rPr>
          <w:rFonts w:ascii="宋体" w:hAnsi="宋体" w:cs="宋体" w:hint="eastAsia"/>
          <w:szCs w:val="21"/>
          <w:highlight w:val="none"/>
          <w:u w:val="single"/>
        </w:rPr>
        <w:t xml:space="preserve">        </w:t>
      </w:r>
      <w:r>
        <w:rPr>
          <w:rFonts w:ascii="宋体" w:hAnsi="宋体" w:cs="宋体" w:hint="eastAsia"/>
          <w:szCs w:val="21"/>
          <w:highlight w:val="none"/>
        </w:rPr>
        <w:t xml:space="preserve"> 型号：</w:t>
      </w:r>
      <w:r>
        <w:rPr>
          <w:rFonts w:ascii="宋体" w:hAnsi="宋体" w:cs="宋体" w:hint="eastAsia"/>
          <w:szCs w:val="21"/>
          <w:highlight w:val="none"/>
          <w:u w:val="single"/>
        </w:rPr>
        <w:t xml:space="preserve">       </w:t>
      </w:r>
      <w:r>
        <w:rPr>
          <w:rFonts w:ascii="宋体" w:hAnsi="宋体" w:cs="宋体" w:hint="eastAsia"/>
          <w:szCs w:val="21"/>
          <w:highlight w:val="non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w:t>
      </w:r>
      <w:r>
        <w:rPr>
          <w:rFonts w:ascii="宋体" w:eastAsia="宋体" w:hAnsi="宋体" w:cs="宋体" w:hint="eastAsia"/>
          <w:kern w:val="2"/>
          <w:sz w:val="21"/>
          <w:highlight w:val="none"/>
        </w:rPr>
        <w:t>关键部件</w:t>
      </w:r>
      <w:r>
        <w:rPr>
          <w:rFonts w:ascii="宋体" w:eastAsia="宋体" w:hAnsi="宋体" w:cs="宋体" w:hint="eastAsia"/>
          <w:sz w:val="21"/>
          <w:highlight w:val="none"/>
        </w:rPr>
        <w:t>：</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品牌：</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型号：</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关键部件：</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品牌：</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型号：</w:t>
      </w:r>
      <w:r>
        <w:rPr>
          <w:rFonts w:ascii="宋体" w:eastAsia="宋体" w:hAnsi="宋体" w:cs="宋体" w:hint="eastAsia"/>
          <w:sz w:val="21"/>
          <w:highlight w:val="none"/>
          <w:u w:val="single"/>
        </w:rPr>
        <w:t xml:space="preserve">       </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（注：关键部件是指财政部会同有关部门发布的政府采购需求标准规定的需要通过国家有关部门指定的测评机构开展的安全可靠测评的软硬件，如CPU芯片、操作系统、数据库等。）</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汉仪书宋二S" w:eastAsia="汉仪书宋二S" w:hAnsi="汉仪书宋二S" w:cs="汉仪书宋二S" w:hint="eastAsia"/>
          <w:sz w:val="21"/>
          <w:highlight w:val="none"/>
        </w:rPr>
        <w:t>②</w:t>
      </w:r>
      <w:r>
        <w:rPr>
          <w:rFonts w:ascii="宋体" w:eastAsia="宋体" w:hAnsi="宋体" w:cs="宋体" w:hint="eastAsia"/>
          <w:sz w:val="21"/>
          <w:highlight w:val="none"/>
        </w:rPr>
        <w:t>涉及车辆采购，请填写是否属于新能源汽车：</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是，《政府采购品目分类目录》底级品目名称：</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数量：</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金额：</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否</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宋体" w:eastAsia="宋体" w:hAnsi="宋体" w:cs="宋体"/>
          <w:sz w:val="21"/>
          <w:highlight w:val="none"/>
          <w:lang w:val="en"/>
        </w:rPr>
        <w:t>4</w:t>
      </w:r>
      <w:r>
        <w:rPr>
          <w:rFonts w:ascii="宋体" w:eastAsia="宋体" w:hAnsi="宋体" w:cs="宋体" w:hint="eastAsia"/>
          <w:sz w:val="21"/>
          <w:highlight w:val="none"/>
        </w:rPr>
        <w:t>）政府采购组织形式：</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政府集中采购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部门集中采购  </w:t>
      </w:r>
      <w:r>
        <w:rPr>
          <w:rFonts w:ascii="Wingdings" w:eastAsia="宋体" w:hAnsi="Wingdings" w:cs="宋体"/>
          <w:sz w:val="21"/>
          <w:highlight w:val="none"/>
        </w:rPr>
        <w:sym w:font="Wingdings" w:char="F0A8"/>
      </w:r>
      <w:r>
        <w:rPr>
          <w:rFonts w:ascii="宋体" w:eastAsia="宋体" w:hAnsi="宋体" w:cs="宋体" w:hint="eastAsia"/>
          <w:sz w:val="21"/>
          <w:highlight w:val="none"/>
        </w:rPr>
        <w:t>分散采购</w:t>
      </w:r>
    </w:p>
    <w:p>
      <w:pPr>
        <w:pStyle w:val="AONormal"/>
        <w:numPr>
          <w:ilvl w:val="0"/>
          <w:numId w:val="0"/>
        </w:numPr>
        <w:snapToGrid w:val="0"/>
        <w:ind w:firstLine="420"/>
        <w:rPr>
          <w:rFonts w:ascii="宋体" w:eastAsia="宋体" w:hAnsi="宋体" w:cs="宋体"/>
          <w:sz w:val="21"/>
          <w:highlight w:val="none"/>
        </w:rPr>
      </w:pPr>
      <w:r>
        <w:rPr>
          <w:rFonts w:ascii="宋体" w:eastAsia="宋体" w:hAnsi="宋体" w:cs="宋体" w:hint="eastAsia"/>
          <w:sz w:val="21"/>
          <w:highlight w:val="none"/>
        </w:rPr>
        <w:t>（</w:t>
      </w:r>
      <w:r>
        <w:rPr>
          <w:rFonts w:ascii="宋体" w:eastAsia="宋体" w:hAnsi="宋体" w:cs="宋体"/>
          <w:sz w:val="21"/>
          <w:highlight w:val="none"/>
          <w:lang w:val="en"/>
        </w:rPr>
        <w:t>5</w:t>
      </w:r>
      <w:r>
        <w:rPr>
          <w:rFonts w:ascii="宋体" w:eastAsia="宋体" w:hAnsi="宋体" w:cs="宋体" w:hint="eastAsia"/>
          <w:sz w:val="21"/>
          <w:highlight w:val="none"/>
        </w:rPr>
        <w:t>）政府采购方式：</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公开招标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邀请招标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竞争性谈判 </w:t>
      </w:r>
      <w:r>
        <w:rPr>
          <w:rFonts w:ascii="Wingdings" w:eastAsia="宋体" w:hAnsi="Wingdings" w:cs="宋体"/>
          <w:sz w:val="21"/>
          <w:highlight w:val="none"/>
        </w:rPr>
        <w:sym w:font="Wingdings" w:char="F0A8"/>
      </w:r>
      <w:r>
        <w:rPr>
          <w:rFonts w:ascii="宋体" w:eastAsia="宋体" w:hAnsi="宋体" w:cs="宋体" w:hint="eastAsia"/>
          <w:sz w:val="21"/>
          <w:highlight w:val="none"/>
        </w:rPr>
        <w:t>竞争性磋商</w:t>
      </w:r>
    </w:p>
    <w:p>
      <w:pPr>
        <w:pStyle w:val="AONormal"/>
        <w:numPr>
          <w:ilvl w:val="0"/>
          <w:numId w:val="0"/>
        </w:numPr>
        <w:snapToGrid w:val="0"/>
        <w:ind w:firstLine="420"/>
        <w:rPr>
          <w:rFonts w:ascii="宋体" w:eastAsia="宋体" w:hAnsi="宋体" w:cs="宋体"/>
          <w:sz w:val="21"/>
          <w:highlight w:val="none"/>
          <w:u w:val="single"/>
        </w:rPr>
      </w:pPr>
      <w:r>
        <w:rPr>
          <w:rFonts w:ascii="宋体" w:hAnsi="宋体" w:cs="宋体" w:hint="eastAsia"/>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询价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单一来源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框架协议 </w:t>
      </w:r>
      <w:r>
        <w:rPr>
          <w:rFonts w:ascii="Wingdings" w:eastAsia="宋体" w:hAnsi="Wingdings" w:cs="宋体"/>
          <w:sz w:val="21"/>
          <w:highlight w:val="none"/>
        </w:rPr>
        <w:sym w:font="Wingdings" w:char="F0A8"/>
      </w:r>
      <w:r>
        <w:rPr>
          <w:rFonts w:ascii="宋体" w:eastAsia="宋体" w:hAnsi="宋体" w:cs="宋体" w:hint="eastAsia"/>
          <w:sz w:val="21"/>
          <w:highlight w:val="none"/>
        </w:rPr>
        <w:t>其他：</w:t>
      </w:r>
      <w:r>
        <w:rPr>
          <w:rFonts w:ascii="宋体" w:eastAsia="宋体" w:hAnsi="宋体" w:cs="宋体" w:hint="eastAsia"/>
          <w:sz w:val="21"/>
          <w:highlight w:val="none"/>
          <w:u w:val="single"/>
        </w:rPr>
        <w:t xml:space="preserve">          </w:t>
      </w:r>
    </w:p>
    <w:p>
      <w:pPr>
        <w:pStyle w:val="AONormal"/>
        <w:numPr>
          <w:ilvl w:val="0"/>
          <w:numId w:val="0"/>
        </w:numPr>
        <w:snapToGrid w:val="0"/>
        <w:ind w:firstLine="420"/>
        <w:rPr>
          <w:rFonts w:ascii="宋体" w:eastAsia="宋体" w:hAnsi="宋体" w:cs="宋体"/>
          <w:sz w:val="21"/>
          <w:highlight w:val="none"/>
        </w:rPr>
      </w:pPr>
      <w:r>
        <w:rPr>
          <w:rFonts w:ascii="宋体" w:eastAsia="宋体" w:hAnsi="宋体" w:cs="宋体" w:hint="eastAsia"/>
          <w:sz w:val="21"/>
          <w:highlight w:val="none"/>
        </w:rPr>
        <w:t>（注：在框架协议采购的第二阶段，可选择使用该合同文本）</w:t>
      </w:r>
    </w:p>
    <w:p>
      <w:pPr>
        <w:pStyle w:val="AONormal"/>
        <w:numPr>
          <w:ilvl w:val="0"/>
          <w:numId w:val="0"/>
        </w:numPr>
        <w:snapToGrid w:val="0"/>
        <w:ind w:firstLine="220" w:firstLineChars="100"/>
        <w:rPr>
          <w:rFonts w:ascii="宋体" w:eastAsia="宋体" w:hAnsi="宋体" w:cs="Times New Roman"/>
          <w:kern w:val="2"/>
          <w:sz w:val="21"/>
          <w:highlight w:val="none"/>
        </w:rPr>
      </w:pPr>
      <w:r>
        <w:rPr>
          <w:rFonts w:ascii="宋体" w:hAnsi="宋体" w:hint="eastAsia"/>
          <w:highlight w:val="none"/>
        </w:rPr>
        <w:t xml:space="preserve"> （</w:t>
      </w:r>
      <w:r>
        <w:rPr>
          <w:rFonts w:ascii="宋体" w:hAnsi="宋体"/>
          <w:highlight w:val="none"/>
          <w:lang w:val="en"/>
        </w:rPr>
        <w:t>6</w:t>
      </w:r>
      <w:r>
        <w:rPr>
          <w:rFonts w:ascii="宋体" w:hAnsi="宋体" w:hint="eastAsia"/>
          <w:highlight w:val="none"/>
        </w:rPr>
        <w:t>）</w:t>
      </w:r>
      <w:r>
        <w:rPr>
          <w:rFonts w:ascii="宋体" w:eastAsia="宋体" w:hAnsi="宋体" w:cs="Times New Roman" w:hint="eastAsia"/>
          <w:kern w:val="2"/>
          <w:sz w:val="21"/>
          <w:highlight w:val="none"/>
        </w:rPr>
        <w:t>中标（成交）采购标的制造商是否为中小企业：</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 xml:space="preserve">是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否</w:t>
      </w:r>
    </w:p>
    <w:p>
      <w:pPr>
        <w:numPr>
          <w:ilvl w:val="0"/>
          <w:numId w:val="0"/>
        </w:numPr>
        <w:adjustRightInd w:val="0"/>
        <w:snapToGrid w:val="0"/>
        <w:spacing w:line="400" w:lineRule="exact"/>
        <w:rPr>
          <w:rFonts w:ascii="宋体" w:hAnsi="宋体"/>
          <w:iCs/>
          <w:szCs w:val="21"/>
          <w:highlight w:val="none"/>
        </w:rPr>
      </w:pPr>
      <w:r>
        <w:rPr>
          <w:rFonts w:ascii="宋体" w:hAnsi="宋体" w:hint="eastAsia"/>
          <w:szCs w:val="21"/>
          <w:highlight w:val="none"/>
        </w:rPr>
        <w:t xml:space="preserve">         本合同是否为专门面向中小企业的采购合同（中小企业预留合同）：</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numPr>
          <w:ilvl w:val="0"/>
          <w:numId w:val="0"/>
        </w:numPr>
        <w:adjustRightInd w:val="0"/>
        <w:snapToGrid w:val="0"/>
        <w:spacing w:line="400" w:lineRule="exact"/>
        <w:rPr>
          <w:rFonts w:ascii="宋体" w:hAnsi="宋体"/>
          <w:iCs/>
          <w:szCs w:val="21"/>
          <w:highlight w:val="none"/>
        </w:rPr>
      </w:pPr>
      <w:r>
        <w:rPr>
          <w:rFonts w:hint="eastAsia"/>
          <w:highlight w:val="none"/>
        </w:rPr>
        <w:t xml:space="preserve">         若本项目不专门面向中小企业采购，是否给予小微企业评审优惠：</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numPr>
          <w:ilvl w:val="0"/>
          <w:numId w:val="0"/>
        </w:numPr>
        <w:adjustRightInd w:val="0"/>
        <w:snapToGrid w:val="0"/>
        <w:spacing w:line="400" w:lineRule="exact"/>
        <w:rPr>
          <w:rFonts w:ascii="宋体" w:hAnsi="宋体"/>
          <w:iCs/>
          <w:szCs w:val="21"/>
          <w:highlight w:val="none"/>
        </w:rPr>
      </w:pPr>
      <w:r>
        <w:rPr>
          <w:rFonts w:hint="eastAsia"/>
          <w:highlight w:val="none"/>
        </w:rPr>
        <w:t xml:space="preserve">         中标（成交）采购标的制造商是否为残疾人福利性单位：</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snapToGrid w:val="0"/>
        <w:spacing w:line="400" w:lineRule="exact"/>
        <w:rPr>
          <w:highlight w:val="none"/>
        </w:rPr>
      </w:pPr>
      <w:r>
        <w:rPr>
          <w:rFonts w:hint="eastAsia"/>
          <w:highlight w:val="none"/>
        </w:rPr>
        <w:t xml:space="preserve">         中标（成交）采购标的制造商是否为监狱企业：</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w:t>
      </w:r>
      <w:r>
        <w:rPr>
          <w:rFonts w:ascii="宋体" w:hAnsi="宋体"/>
          <w:szCs w:val="21"/>
          <w:highlight w:val="none"/>
          <w:lang w:val="en"/>
        </w:rPr>
        <w:t>7</w:t>
      </w:r>
      <w:r>
        <w:rPr>
          <w:rFonts w:ascii="宋体" w:hAnsi="宋体" w:hint="eastAsia"/>
          <w:szCs w:val="21"/>
          <w:highlight w:val="none"/>
        </w:rPr>
        <w:t>）合同是否分包：</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adjustRightInd w:val="0"/>
        <w:snapToGrid w:val="0"/>
        <w:spacing w:line="400" w:lineRule="exact"/>
        <w:ind w:firstLine="840" w:firstLineChars="400"/>
        <w:rPr>
          <w:rFonts w:ascii="宋体" w:hAnsi="宋体"/>
          <w:szCs w:val="21"/>
          <w:highlight w:val="none"/>
          <w:u w:val="single"/>
        </w:rPr>
      </w:pPr>
      <w:r>
        <w:rPr>
          <w:rFonts w:ascii="宋体" w:hAnsi="宋体" w:hint="eastAsia"/>
          <w:szCs w:val="21"/>
          <w:highlight w:val="none"/>
        </w:rPr>
        <w:t xml:space="preserve"> 分包主要内容：</w:t>
      </w:r>
      <w:r>
        <w:rPr>
          <w:rFonts w:ascii="宋体" w:hAnsi="宋体" w:hint="eastAsia"/>
          <w:szCs w:val="21"/>
          <w:highlight w:val="none"/>
          <w:u w:val="singl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分包供应商/制造商名称（如供应商和制造商不同，请分别填写）：</w:t>
      </w:r>
    </w:p>
    <w:p>
      <w:pPr>
        <w:adjustRightInd w:val="0"/>
        <w:snapToGrid w:val="0"/>
        <w:spacing w:line="400" w:lineRule="exact"/>
        <w:ind w:firstLine="840" w:firstLineChars="400"/>
        <w:rPr>
          <w:rFonts w:ascii="宋体" w:hAnsi="宋体"/>
          <w:szCs w:val="21"/>
          <w:highlight w:val="none"/>
          <w:u w:val="single"/>
        </w:rPr>
      </w:pPr>
      <w:r>
        <w:rPr>
          <w:rFonts w:ascii="宋体" w:hAnsi="宋体" w:hint="eastAsia"/>
          <w:szCs w:val="21"/>
          <w:highlight w:val="none"/>
        </w:rPr>
        <w:t xml:space="preserve"> </w:t>
      </w:r>
      <w:r>
        <w:rPr>
          <w:rFonts w:ascii="宋体" w:hAnsi="宋体" w:hint="eastAsia"/>
          <w:szCs w:val="21"/>
          <w:highlight w:val="none"/>
          <w:u w:val="singl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分包供应商/制造商类型（如果供应商和制造商不同，只填写制造商类型）：</w:t>
      </w:r>
    </w:p>
    <w:p>
      <w:pPr>
        <w:adjustRightInd w:val="0"/>
        <w:snapToGrid w:val="0"/>
        <w:spacing w:line="400" w:lineRule="exact"/>
        <w:ind w:firstLine="840" w:firstLineChars="400"/>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大型企业  </w:t>
      </w:r>
      <w:r>
        <w:rPr>
          <w:rFonts w:ascii="Wingdings" w:hAnsi="Wingdings"/>
          <w:iCs/>
          <w:szCs w:val="21"/>
          <w:highlight w:val="none"/>
        </w:rPr>
        <w:sym w:font="Wingdings" w:char="F0A8"/>
      </w:r>
      <w:r>
        <w:rPr>
          <w:rFonts w:ascii="宋体" w:hAnsi="宋体" w:hint="eastAsia"/>
          <w:iCs/>
          <w:szCs w:val="21"/>
          <w:highlight w:val="none"/>
        </w:rPr>
        <w:t xml:space="preserve">中型企业  </w:t>
      </w:r>
      <w:r>
        <w:rPr>
          <w:rFonts w:ascii="Wingdings" w:hAnsi="Wingdings"/>
          <w:iCs/>
          <w:szCs w:val="21"/>
          <w:highlight w:val="none"/>
        </w:rPr>
        <w:sym w:font="Wingdings" w:char="F0A8"/>
      </w:r>
      <w:r>
        <w:rPr>
          <w:rFonts w:ascii="宋体" w:hAnsi="宋体" w:hint="eastAsia"/>
          <w:iCs/>
          <w:szCs w:val="21"/>
          <w:highlight w:val="none"/>
        </w:rPr>
        <w:t xml:space="preserve">小微型企业  </w:t>
      </w:r>
    </w:p>
    <w:p>
      <w:pPr>
        <w:adjustRightInd w:val="0"/>
        <w:snapToGrid w:val="0"/>
        <w:spacing w:line="400" w:lineRule="exact"/>
        <w:ind w:firstLine="840" w:firstLineChars="400"/>
        <w:rPr>
          <w:rFonts w:eastAsia="华文楷体"/>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残疾人福利性单位 </w:t>
      </w:r>
      <w:r>
        <w:rPr>
          <w:rFonts w:ascii="Wingdings" w:hAnsi="Wingdings"/>
          <w:iCs/>
          <w:szCs w:val="21"/>
          <w:highlight w:val="none"/>
        </w:rPr>
        <w:sym w:font="Wingdings" w:char="F0A8"/>
      </w:r>
      <w:r>
        <w:rPr>
          <w:rFonts w:ascii="宋体" w:hAnsi="宋体" w:hint="eastAsia"/>
          <w:iCs/>
          <w:szCs w:val="21"/>
          <w:highlight w:val="none"/>
        </w:rPr>
        <w:t xml:space="preserve">监狱企业 </w:t>
      </w:r>
      <w:r>
        <w:rPr>
          <w:rFonts w:ascii="Wingdings" w:hAnsi="Wingdings"/>
          <w:iCs/>
          <w:szCs w:val="21"/>
          <w:highlight w:val="none"/>
        </w:rPr>
        <w:sym w:font="Wingdings" w:char="F0A8"/>
      </w:r>
      <w:r>
        <w:rPr>
          <w:rFonts w:ascii="宋体" w:hAnsi="宋体" w:hint="eastAsia"/>
          <w:iCs/>
          <w:szCs w:val="21"/>
          <w:highlight w:val="none"/>
        </w:rPr>
        <w:t>其他</w:t>
      </w:r>
    </w:p>
    <w:p>
      <w:pPr>
        <w:numPr>
          <w:ilvl w:val="0"/>
          <w:numId w:val="0"/>
        </w:numPr>
        <w:adjustRightInd w:val="0"/>
        <w:snapToGrid w:val="0"/>
        <w:spacing w:line="400" w:lineRule="exact"/>
        <w:rPr>
          <w:rFonts w:ascii="宋体" w:hAnsi="宋体" w:cs="宋体"/>
          <w:iCs/>
          <w:szCs w:val="21"/>
          <w:highlight w:val="none"/>
        </w:rPr>
      </w:pPr>
      <w:r>
        <w:rPr>
          <w:rFonts w:ascii="宋体" w:hAnsi="宋体" w:hint="eastAsia"/>
          <w:szCs w:val="21"/>
          <w:highlight w:val="none"/>
        </w:rPr>
        <w:t xml:space="preserve">    </w:t>
      </w:r>
      <w:r>
        <w:rPr>
          <w:rFonts w:ascii="宋体" w:hAnsi="宋体" w:cs="宋体" w:hint="eastAsia"/>
          <w:szCs w:val="21"/>
          <w:highlight w:val="none"/>
        </w:rPr>
        <w:t>（</w:t>
      </w:r>
      <w:r>
        <w:rPr>
          <w:rFonts w:ascii="宋体" w:hAnsi="宋体" w:cs="宋体"/>
          <w:szCs w:val="21"/>
          <w:highlight w:val="none"/>
          <w:lang w:val="en"/>
        </w:rPr>
        <w:t>8</w:t>
      </w:r>
      <w:r>
        <w:rPr>
          <w:rFonts w:ascii="宋体" w:hAnsi="宋体" w:cs="宋体" w:hint="eastAsia"/>
          <w:szCs w:val="21"/>
          <w:highlight w:val="none"/>
        </w:rPr>
        <w:t>）中标（成交）供应商是否为外商投资企业：</w:t>
      </w:r>
      <w:r>
        <w:rPr>
          <w:rFonts w:ascii="Wingdings" w:hAnsi="Wingdings" w:cs="宋体"/>
          <w:iCs/>
          <w:szCs w:val="21"/>
          <w:highlight w:val="none"/>
        </w:rPr>
        <w:sym w:font="Wingdings" w:char="F0A8"/>
      </w:r>
      <w:r>
        <w:rPr>
          <w:rFonts w:ascii="宋体" w:hAnsi="宋体" w:cs="宋体" w:hint="eastAsia"/>
          <w:iCs/>
          <w:szCs w:val="21"/>
          <w:highlight w:val="none"/>
        </w:rPr>
        <w:t xml:space="preserve">是       </w:t>
      </w:r>
      <w:r>
        <w:rPr>
          <w:rFonts w:ascii="Wingdings" w:hAnsi="Wingdings" w:cs="宋体"/>
          <w:iCs/>
          <w:szCs w:val="21"/>
          <w:highlight w:val="none"/>
        </w:rPr>
        <w:sym w:font="Wingdings" w:char="F0A8"/>
      </w:r>
      <w:r>
        <w:rPr>
          <w:rFonts w:ascii="宋体" w:hAnsi="宋体" w:cs="宋体" w:hint="eastAsia"/>
          <w:iCs/>
          <w:szCs w:val="21"/>
          <w:highlight w:val="none"/>
        </w:rPr>
        <w:t>否</w:t>
      </w:r>
    </w:p>
    <w:p>
      <w:pPr>
        <w:pStyle w:val="AONormal"/>
        <w:tabs>
          <w:tab w:val="left" w:pos="1340"/>
        </w:tabs>
        <w:ind w:firstLine="420"/>
        <w:rPr>
          <w:rFonts w:ascii="宋体" w:eastAsia="宋体" w:hAnsi="宋体" w:cs="宋体"/>
          <w:sz w:val="21"/>
          <w:highlight w:val="none"/>
          <w:u w:val="single"/>
        </w:rPr>
      </w:pPr>
      <w:r>
        <w:rPr>
          <w:rFonts w:ascii="宋体" w:eastAsia="宋体" w:hAnsi="宋体" w:cs="宋体" w:hint="eastAsia"/>
          <w:sz w:val="21"/>
          <w:highlight w:val="none"/>
        </w:rPr>
        <w:t xml:space="preserve">     外商投资企业类型：</w:t>
      </w:r>
      <w:r>
        <w:rPr>
          <w:rFonts w:ascii="Wingdings" w:eastAsia="宋体" w:hAnsi="Wingdings" w:cs="宋体"/>
          <w:iCs/>
          <w:sz w:val="21"/>
          <w:highlight w:val="none"/>
        </w:rPr>
        <w:sym w:font="Wingdings" w:char="F0A8"/>
      </w:r>
      <w:r>
        <w:rPr>
          <w:rFonts w:ascii="宋体" w:eastAsia="宋体" w:hAnsi="宋体" w:cs="宋体" w:hint="eastAsia"/>
          <w:sz w:val="21"/>
          <w:highlight w:val="none"/>
        </w:rPr>
        <w:t xml:space="preserve">全部由外国投资者投资  </w:t>
      </w:r>
      <w:r>
        <w:rPr>
          <w:rFonts w:ascii="Wingdings" w:eastAsia="宋体" w:hAnsi="Wingdings" w:cs="宋体"/>
          <w:iCs/>
          <w:sz w:val="21"/>
          <w:highlight w:val="none"/>
        </w:rPr>
        <w:sym w:font="Wingdings" w:char="F0A8"/>
      </w:r>
      <w:r>
        <w:rPr>
          <w:rFonts w:ascii="宋体" w:eastAsia="宋体" w:hAnsi="宋体" w:cs="宋体" w:hint="eastAsia"/>
          <w:iCs/>
          <w:sz w:val="21"/>
          <w:highlight w:val="none"/>
        </w:rPr>
        <w:t>部分由外国投资者投资</w:t>
      </w:r>
    </w:p>
    <w:p>
      <w:pPr>
        <w:numPr>
          <w:ilvl w:val="0"/>
          <w:numId w:val="0"/>
        </w:num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w:t>
      </w:r>
      <w:r>
        <w:rPr>
          <w:rFonts w:ascii="宋体" w:hAnsi="宋体" w:cs="宋体"/>
          <w:szCs w:val="21"/>
          <w:highlight w:val="none"/>
          <w:lang w:val="en"/>
        </w:rPr>
        <w:t>9</w:t>
      </w:r>
      <w:r>
        <w:rPr>
          <w:rFonts w:ascii="宋体" w:hAnsi="宋体" w:cs="宋体" w:hint="eastAsia"/>
          <w:szCs w:val="21"/>
          <w:highlight w:val="none"/>
        </w:rPr>
        <w:t>）是否涉及进口产品：</w:t>
      </w:r>
    </w:p>
    <w:p>
      <w:pPr>
        <w:numPr>
          <w:ilvl w:val="0"/>
          <w:numId w:val="0"/>
        </w:numPr>
        <w:adjustRightInd w:val="0"/>
        <w:snapToGrid w:val="0"/>
        <w:spacing w:line="400" w:lineRule="exact"/>
        <w:ind w:firstLine="840" w:firstLineChars="400"/>
        <w:rPr>
          <w:rFonts w:ascii="宋体" w:hAnsi="宋体" w:cs="宋体"/>
          <w:szCs w:val="21"/>
          <w:highlight w:val="none"/>
          <w:u w:val="single"/>
        </w:rPr>
      </w:pPr>
      <w:r>
        <w:rPr>
          <w:rFonts w:ascii="宋体" w:hAnsi="宋体" w:cs="宋体" w:hint="eastAsia"/>
          <w:szCs w:val="21"/>
          <w:highlight w:val="none"/>
        </w:rPr>
        <w:t xml:space="preserve"> </w:t>
      </w:r>
      <w:r>
        <w:rPr>
          <w:rFonts w:ascii="Wingdings" w:hAnsi="Wingdings" w:cs="宋体"/>
          <w:szCs w:val="21"/>
          <w:highlight w:val="none"/>
        </w:rPr>
        <w:sym w:font="Wingdings" w:char="F0A8"/>
      </w:r>
      <w:r>
        <w:rPr>
          <w:rFonts w:ascii="宋体" w:hAnsi="宋体" w:cs="宋体" w:hint="eastAsia"/>
          <w:szCs w:val="21"/>
          <w:highlight w:val="none"/>
        </w:rPr>
        <w:t>是，《政府采购品目分类目录》底级品目名称：</w:t>
      </w:r>
      <w:r>
        <w:rPr>
          <w:rFonts w:ascii="宋体" w:hAnsi="宋体" w:cs="宋体" w:hint="eastAsia"/>
          <w:szCs w:val="21"/>
          <w:highlight w:val="none"/>
          <w:u w:val="single"/>
        </w:rPr>
        <w:t xml:space="preserve">         </w:t>
      </w:r>
      <w:r>
        <w:rPr>
          <w:rFonts w:ascii="宋体" w:hAnsi="宋体" w:cs="宋体" w:hint="eastAsia"/>
          <w:szCs w:val="21"/>
          <w:highlight w:val="none"/>
        </w:rPr>
        <w:t xml:space="preserve"> 金额：</w:t>
      </w:r>
      <w:r>
        <w:rPr>
          <w:rFonts w:ascii="宋体" w:hAnsi="宋体" w:cs="宋体" w:hint="eastAsia"/>
          <w:szCs w:val="21"/>
          <w:highlight w:val="none"/>
          <w:u w:val="single"/>
        </w:rPr>
        <w:t xml:space="preserve">        </w:t>
      </w:r>
    </w:p>
    <w:p>
      <w:pPr>
        <w:numPr>
          <w:ilvl w:val="0"/>
          <w:numId w:val="0"/>
        </w:numPr>
        <w:adjustRightInd w:val="0"/>
        <w:snapToGrid w:val="0"/>
        <w:spacing w:line="400" w:lineRule="exact"/>
        <w:ind w:firstLine="840" w:firstLineChars="400"/>
        <w:rPr>
          <w:rFonts w:ascii="宋体" w:hAnsi="宋体"/>
          <w:szCs w:val="21"/>
          <w:highlight w:val="none"/>
        </w:rPr>
      </w:pPr>
      <w:r>
        <w:rPr>
          <w:rFonts w:ascii="宋体" w:hAnsi="宋体" w:cs="宋体" w:hint="eastAsia"/>
          <w:szCs w:val="21"/>
          <w:highlight w:val="none"/>
        </w:rPr>
        <w:t xml:space="preserve">        国别：</w:t>
      </w:r>
      <w:r>
        <w:rPr>
          <w:rFonts w:ascii="宋体" w:hAnsi="宋体" w:cs="宋体" w:hint="eastAsia"/>
          <w:szCs w:val="21"/>
          <w:highlight w:val="none"/>
          <w:u w:val="single"/>
        </w:rPr>
        <w:t xml:space="preserve">        </w:t>
      </w:r>
      <w:r>
        <w:rPr>
          <w:rFonts w:ascii="宋体" w:hAnsi="宋体" w:cs="宋体" w:hint="eastAsia"/>
          <w:szCs w:val="21"/>
          <w:highlight w:val="none"/>
        </w:rPr>
        <w:t xml:space="preserve"> 品牌：</w:t>
      </w:r>
      <w:r>
        <w:rPr>
          <w:rFonts w:ascii="宋体" w:hAnsi="宋体" w:cs="宋体" w:hint="eastAsia"/>
          <w:szCs w:val="21"/>
          <w:highlight w:val="none"/>
          <w:u w:val="single"/>
        </w:rPr>
        <w:t xml:space="preserve">        </w:t>
      </w:r>
      <w:r>
        <w:rPr>
          <w:rFonts w:ascii="宋体" w:hAnsi="宋体" w:cs="宋体" w:hint="eastAsia"/>
          <w:szCs w:val="21"/>
          <w:highlight w:val="none"/>
        </w:rPr>
        <w:t xml:space="preserve"> 规格型号：</w:t>
      </w:r>
      <w:r>
        <w:rPr>
          <w:rFonts w:ascii="宋体" w:hAnsi="宋体" w:cs="宋体" w:hint="eastAsia"/>
          <w:szCs w:val="21"/>
          <w:highlight w:val="none"/>
          <w:u w:val="single"/>
        </w:rPr>
        <w:t xml:space="preserve">        </w:t>
      </w:r>
      <w:r>
        <w:rPr>
          <w:rFonts w:ascii="宋体" w:hAnsi="宋体" w:hint="eastAsia"/>
          <w:szCs w:val="21"/>
          <w:highlight w:val="non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（1</w:t>
      </w:r>
      <w:r>
        <w:rPr>
          <w:rFonts w:ascii="宋体" w:hAnsi="宋体"/>
          <w:szCs w:val="21"/>
          <w:highlight w:val="none"/>
          <w:lang w:val="en"/>
        </w:rPr>
        <w:t>0</w:t>
      </w:r>
      <w:r>
        <w:rPr>
          <w:rFonts w:ascii="宋体" w:hAnsi="宋体" w:hint="eastAsia"/>
          <w:szCs w:val="21"/>
          <w:highlight w:val="none"/>
        </w:rPr>
        <w:t>）是否涉及节能产品：</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是，《节能产品政府采购品目清单》的底级品目名称：</w:t>
      </w:r>
      <w:r>
        <w:rPr>
          <w:rFonts w:ascii="宋体" w:hAnsi="宋体" w:hint="eastAsia"/>
          <w:szCs w:val="21"/>
          <w:highlight w:val="none"/>
          <w:u w:val="single"/>
        </w:rPr>
        <w:t xml:space="preserve">         </w:t>
      </w:r>
      <w:r>
        <w:rPr>
          <w:rFonts w:ascii="宋体" w:hAnsi="宋体" w:hint="eastAsia"/>
          <w:iCs/>
          <w:szCs w:val="21"/>
          <w:highlight w:val="non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iCs/>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是否涉及环境标志产品：</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是，《环境标志产品政府采购品目清单》的底级品目名称：</w:t>
      </w:r>
      <w:r>
        <w:rPr>
          <w:rFonts w:ascii="宋体" w:hAnsi="宋体" w:hint="eastAsia"/>
          <w:szCs w:val="21"/>
          <w:highlight w:val="none"/>
          <w:u w:val="single"/>
        </w:rPr>
        <w:t xml:space="preserve">         </w:t>
      </w:r>
      <w:r>
        <w:rPr>
          <w:rFonts w:ascii="宋体" w:hAnsi="宋体" w:hint="eastAsia"/>
          <w:iCs/>
          <w:szCs w:val="21"/>
          <w:highlight w:val="non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iCs/>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pStyle w:val="AONormal"/>
        <w:numPr>
          <w:ilvl w:val="0"/>
          <w:numId w:val="0"/>
        </w:numPr>
        <w:snapToGrid w:val="0"/>
        <w:rPr>
          <w:rFonts w:ascii="宋体" w:eastAsia="宋体" w:hAnsi="宋体" w:cs="Times New Roman"/>
          <w:kern w:val="2"/>
          <w:sz w:val="21"/>
          <w:highlight w:val="none"/>
        </w:rPr>
      </w:pPr>
      <w:r>
        <w:rPr>
          <w:rFonts w:ascii="宋体" w:hAnsi="宋体" w:hint="eastAsia"/>
          <w:sz w:val="21"/>
          <w:highlight w:val="none"/>
        </w:rPr>
        <w:t xml:space="preserve">          </w:t>
      </w:r>
      <w:r>
        <w:rPr>
          <w:rFonts w:ascii="宋体" w:eastAsia="宋体" w:hAnsi="宋体" w:cs="Times New Roman" w:hint="eastAsia"/>
          <w:kern w:val="2"/>
          <w:sz w:val="21"/>
          <w:highlight w:val="none"/>
        </w:rPr>
        <w:t xml:space="preserve">是否涉及绿色产品： </w:t>
      </w:r>
    </w:p>
    <w:p>
      <w:pPr>
        <w:pStyle w:val="AONormal"/>
        <w:ind w:firstLine="420" w:firstLineChars="0"/>
        <w:rPr>
          <w:rFonts w:ascii="宋体" w:eastAsia="宋体" w:hAnsi="宋体"/>
          <w:highlight w:val="none"/>
          <w:u w:val="single"/>
        </w:rPr>
      </w:pPr>
      <w:r>
        <w:rPr>
          <w:rFonts w:ascii="宋体" w:eastAsia="宋体" w:hAnsi="宋体" w:cs="Times New Roman" w:hint="eastAsia"/>
          <w:kern w:val="2"/>
          <w:sz w:val="21"/>
          <w:highlight w:val="none"/>
        </w:rPr>
        <w:t xml:space="preserve">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是，绿色产品政府采购相关政策确定的底级品目名称：</w:t>
      </w:r>
      <w:r>
        <w:rPr>
          <w:rFonts w:ascii="宋体" w:eastAsia="宋体" w:hAnsi="宋体" w:hint="eastAsia"/>
          <w:highlight w:val="none"/>
          <w:u w:val="singl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pStyle w:val="AONormal"/>
        <w:ind w:firstLine="420" w:firstLineChars="0"/>
        <w:rPr>
          <w:rFonts w:ascii="宋体" w:hAnsi="宋体"/>
          <w:sz w:val="21"/>
          <w:highlight w:val="none"/>
        </w:rPr>
      </w:pPr>
      <w:r>
        <w:rPr>
          <w:rFonts w:ascii="宋体" w:eastAsia="宋体" w:hAnsi="宋体" w:cs="Times New Roman" w:hint="eastAsia"/>
          <w:kern w:val="2"/>
          <w:sz w:val="21"/>
          <w:highlight w:val="none"/>
        </w:rPr>
        <w:t xml:space="preserve">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否</w:t>
      </w:r>
    </w:p>
    <w:p>
      <w:pPr>
        <w:numPr>
          <w:ilvl w:val="0"/>
          <w:numId w:val="0"/>
        </w:numPr>
        <w:adjustRightInd w:val="0"/>
        <w:snapToGrid w:val="0"/>
        <w:spacing w:line="400" w:lineRule="exact"/>
        <w:rPr>
          <w:rFonts w:ascii="宋体" w:hAnsi="宋体"/>
          <w:szCs w:val="21"/>
          <w:highlight w:val="none"/>
        </w:rPr>
      </w:pPr>
      <w:r>
        <w:rPr>
          <w:rFonts w:ascii="宋体" w:hAnsi="宋体" w:hint="eastAsia"/>
          <w:szCs w:val="21"/>
          <w:highlight w:val="none"/>
        </w:rPr>
        <w:t xml:space="preserve">    （1</w:t>
      </w:r>
      <w:r>
        <w:rPr>
          <w:rFonts w:ascii="宋体" w:hAnsi="宋体"/>
          <w:szCs w:val="21"/>
          <w:highlight w:val="none"/>
          <w:lang w:val="en"/>
        </w:rPr>
        <w:t>1</w:t>
      </w:r>
      <w:r>
        <w:rPr>
          <w:rFonts w:ascii="宋体" w:hAnsi="宋体" w:hint="eastAsia"/>
          <w:szCs w:val="21"/>
          <w:highlight w:val="none"/>
        </w:rPr>
        <w:t>）涉及商品包装和快递包装的，是否参考《商品包装政府采购需求标准（试行）》、《快递包装政府采购需求标准（试行）》明确产品及相关快递服务的具体包装要求：</w:t>
      </w:r>
    </w:p>
    <w:p>
      <w:pPr>
        <w:numPr>
          <w:ilvl w:val="0"/>
          <w:numId w:val="0"/>
        </w:numPr>
        <w:adjustRightInd w:val="0"/>
        <w:snapToGrid w:val="0"/>
        <w:spacing w:line="400" w:lineRule="exact"/>
        <w:ind w:firstLine="840" w:firstLineChars="400"/>
        <w:rPr>
          <w:rFonts w:ascii="宋体" w:hAnsi="宋体"/>
          <w:szCs w:val="21"/>
          <w:highlight w:val="none"/>
        </w:rPr>
      </w:pPr>
      <w:r>
        <w:rPr>
          <w:rFonts w:ascii="Wingdings" w:hAnsi="Wingdings"/>
          <w:szCs w:val="21"/>
          <w:highlight w:val="none"/>
        </w:rPr>
        <w:sym w:font="Wingdings" w:char="F0A8"/>
      </w:r>
      <w:r>
        <w:rPr>
          <w:rFonts w:ascii="宋体" w:hAnsi="宋体" w:hint="eastAsia"/>
          <w:szCs w:val="21"/>
          <w:highlight w:val="none"/>
        </w:rPr>
        <w:t xml:space="preserve">是       </w:t>
      </w:r>
      <w:r>
        <w:rPr>
          <w:rFonts w:ascii="Wingdings" w:hAnsi="Wingdings"/>
          <w:szCs w:val="21"/>
          <w:highlight w:val="none"/>
        </w:rPr>
        <w:sym w:font="Wingdings" w:char="F0A8"/>
      </w:r>
      <w:r>
        <w:rPr>
          <w:rFonts w:ascii="宋体" w:hAnsi="宋体" w:hint="eastAsia"/>
          <w:szCs w:val="21"/>
          <w:highlight w:val="none"/>
        </w:rPr>
        <w:t xml:space="preserve">否      </w:t>
      </w:r>
      <w:r>
        <w:rPr>
          <w:rFonts w:ascii="Wingdings" w:hAnsi="Wingdings"/>
          <w:szCs w:val="21"/>
          <w:highlight w:val="none"/>
        </w:rPr>
        <w:sym w:font="Wingdings" w:char="F0A8"/>
      </w:r>
      <w:r>
        <w:rPr>
          <w:rFonts w:ascii="宋体" w:hAnsi="宋体" w:hint="eastAsia"/>
          <w:szCs w:val="21"/>
          <w:highlight w:val="none"/>
        </w:rPr>
        <w:t>不涉及</w:t>
      </w:r>
    </w:p>
    <w:p>
      <w:pPr>
        <w:numPr>
          <w:ilvl w:val="0"/>
          <w:numId w:val="5"/>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合同金额</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（1）合同金额小写：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u w:val="single"/>
        </w:rPr>
      </w:pPr>
      <w:r>
        <w:rPr>
          <w:rFonts w:ascii="宋体" w:hAnsi="宋体" w:hint="eastAsia"/>
          <w:szCs w:val="21"/>
          <w:highlight w:val="none"/>
        </w:rPr>
        <w:t xml:space="preserve">                 大写：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rPr>
      </w:pPr>
      <w:r>
        <w:rPr>
          <w:rFonts w:ascii="宋体" w:hAnsi="宋体" w:hint="eastAsia"/>
          <w:szCs w:val="21"/>
          <w:highlight w:val="none"/>
        </w:rPr>
        <w:t xml:space="preserve">         分包金额（如有）小写：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u w:val="single"/>
        </w:rPr>
      </w:pPr>
      <w:r>
        <w:rPr>
          <w:rFonts w:ascii="宋体" w:hAnsi="宋体" w:hint="eastAsia"/>
          <w:szCs w:val="21"/>
          <w:highlight w:val="none"/>
        </w:rPr>
        <w:t xml:space="preserve">                     大写：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rPr>
      </w:pPr>
      <w:r>
        <w:rPr>
          <w:rFonts w:ascii="宋体" w:hAnsi="宋体" w:hint="eastAsia"/>
          <w:szCs w:val="21"/>
          <w:highlight w:val="none"/>
        </w:rPr>
        <w:t xml:space="preserve">    （注：固定单价合同应填写单价和最高限价）</w:t>
      </w:r>
    </w:p>
    <w:p>
      <w:pPr>
        <w:numPr>
          <w:ilvl w:val="0"/>
          <w:numId w:val="0"/>
        </w:numPr>
        <w:adjustRightInd w:val="0"/>
        <w:snapToGrid w:val="0"/>
        <w:spacing w:line="400" w:lineRule="exact"/>
        <w:rPr>
          <w:rFonts w:ascii="宋体" w:hAnsi="宋体"/>
          <w:szCs w:val="21"/>
          <w:highlight w:val="none"/>
        </w:rPr>
      </w:pPr>
      <w:r>
        <w:rPr>
          <w:rFonts w:ascii="宋体" w:hAnsi="宋体" w:hint="eastAsia"/>
          <w:szCs w:val="21"/>
          <w:highlight w:val="none"/>
        </w:rPr>
        <w:t xml:space="preserve">    （2）合同定价方式（采用组合定价方式的，可以勾选多项）：</w:t>
      </w:r>
    </w:p>
    <w:p>
      <w:pPr>
        <w:adjustRightInd w:val="0"/>
        <w:snapToGrid w:val="0"/>
        <w:spacing w:line="400" w:lineRule="exact"/>
        <w:ind w:firstLine="420" w:firstLineChars="200"/>
        <w:rPr>
          <w:rFonts w:ascii="宋体" w:hAnsi="宋体"/>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固定总价 </w:t>
      </w:r>
      <w:r>
        <w:rPr>
          <w:rFonts w:ascii="Wingdings" w:hAnsi="Wingdings"/>
          <w:iCs/>
          <w:szCs w:val="21"/>
          <w:highlight w:val="none"/>
        </w:rPr>
        <w:sym w:font="Wingdings" w:char="F0A8"/>
      </w:r>
      <w:r>
        <w:rPr>
          <w:rFonts w:ascii="宋体" w:hAnsi="宋体" w:hint="eastAsia"/>
          <w:iCs/>
          <w:szCs w:val="21"/>
          <w:highlight w:val="none"/>
        </w:rPr>
        <w:t xml:space="preserve">固定单价 </w:t>
      </w:r>
      <w:r>
        <w:rPr>
          <w:rFonts w:ascii="Wingdings" w:hAnsi="Wingdings"/>
          <w:iCs/>
          <w:szCs w:val="21"/>
          <w:highlight w:val="none"/>
        </w:rPr>
        <w:sym w:font="Wingdings" w:char="F0A8"/>
      </w:r>
      <w:r>
        <w:rPr>
          <w:rFonts w:ascii="宋体" w:hAnsi="宋体" w:hint="eastAsia"/>
          <w:iCs/>
          <w:szCs w:val="21"/>
          <w:highlight w:val="none"/>
        </w:rPr>
        <w:t xml:space="preserve">固定费率 </w:t>
      </w:r>
      <w:r>
        <w:rPr>
          <w:rFonts w:ascii="Wingdings" w:hAnsi="Wingdings"/>
          <w:iCs/>
          <w:szCs w:val="21"/>
          <w:highlight w:val="none"/>
        </w:rPr>
        <w:sym w:font="Wingdings" w:char="F0A8"/>
      </w:r>
      <w:r>
        <w:rPr>
          <w:rFonts w:ascii="宋体" w:hAnsi="宋体" w:hint="eastAsia"/>
          <w:iCs/>
          <w:szCs w:val="21"/>
          <w:highlight w:val="none"/>
        </w:rPr>
        <w:t xml:space="preserve">成本补偿 </w:t>
      </w:r>
      <w:r>
        <w:rPr>
          <w:rFonts w:ascii="Wingdings" w:hAnsi="Wingdings"/>
          <w:iCs/>
          <w:szCs w:val="21"/>
          <w:highlight w:val="none"/>
        </w:rPr>
        <w:sym w:font="Wingdings" w:char="F0A8"/>
      </w:r>
      <w:r>
        <w:rPr>
          <w:rFonts w:ascii="宋体" w:hAnsi="宋体" w:hint="eastAsia"/>
          <w:iCs/>
          <w:szCs w:val="21"/>
          <w:highlight w:val="none"/>
        </w:rPr>
        <w:t xml:space="preserve">绩效激励 </w:t>
      </w:r>
      <w:r>
        <w:rPr>
          <w:rFonts w:ascii="Wingdings" w:hAnsi="Wingdings"/>
          <w:iCs/>
          <w:szCs w:val="21"/>
          <w:highlight w:val="none"/>
        </w:rPr>
        <w:sym w:font="Wingdings" w:char="F0A8"/>
      </w:r>
      <w:r>
        <w:rPr>
          <w:rFonts w:ascii="宋体" w:hAnsi="宋体" w:hint="eastAsia"/>
          <w:iCs/>
          <w:szCs w:val="21"/>
          <w:highlight w:val="none"/>
        </w:rPr>
        <w:t>其他</w:t>
      </w:r>
      <w:r>
        <w:rPr>
          <w:rFonts w:ascii="宋体" w:hAnsi="宋体" w:hint="eastAsia"/>
          <w:szCs w:val="21"/>
          <w:highlight w:val="none"/>
          <w:u w:val="single"/>
        </w:rPr>
        <w:t xml:space="preserve">       </w:t>
      </w:r>
    </w:p>
    <w:p>
      <w:pPr>
        <w:pStyle w:val="12"/>
        <w:spacing w:line="400" w:lineRule="exact"/>
        <w:rPr>
          <w:highlight w:val="none"/>
        </w:rPr>
      </w:pPr>
      <w:r>
        <w:rPr>
          <w:rFonts w:ascii="宋体" w:hAnsi="宋体" w:hint="eastAsia"/>
          <w:highlight w:val="none"/>
        </w:rPr>
        <w:t>（3）付款方式（按项目实际勾选填写）：</w:t>
      </w:r>
    </w:p>
    <w:p>
      <w:pPr>
        <w:adjustRightInd w:val="0"/>
        <w:snapToGrid w:val="0"/>
        <w:spacing w:line="400" w:lineRule="exact"/>
        <w:ind w:firstLine="630" w:firstLineChars="300"/>
        <w:rPr>
          <w:rFonts w:ascii="宋体" w:hAnsi="宋体"/>
          <w:szCs w:val="21"/>
          <w:highlight w:val="none"/>
          <w:u w:val="single"/>
        </w:rPr>
      </w:pPr>
      <w:r>
        <w:rPr>
          <w:rFonts w:ascii="Wingdings" w:hAnsi="Wingdings"/>
          <w:szCs w:val="21"/>
          <w:highlight w:val="none"/>
        </w:rPr>
        <w:sym w:font="Wingdings" w:char="F0A8"/>
      </w:r>
      <w:r>
        <w:rPr>
          <w:rFonts w:ascii="宋体" w:hAnsi="宋体" w:hint="eastAsia"/>
          <w:szCs w:val="21"/>
          <w:highlight w:val="none"/>
        </w:rPr>
        <w:t>全额付款：</w:t>
      </w:r>
      <w:r>
        <w:rPr>
          <w:rFonts w:ascii="宋体" w:hAnsi="宋体" w:hint="eastAsia"/>
          <w:szCs w:val="21"/>
          <w:highlight w:val="none"/>
          <w:u w:val="single"/>
        </w:rPr>
        <w:t xml:space="preserve">     （应明确一次性支付合同款项的条件）                    </w:t>
      </w:r>
    </w:p>
    <w:p>
      <w:pPr>
        <w:snapToGrid w:val="0"/>
        <w:spacing w:line="400" w:lineRule="exact"/>
        <w:ind w:firstLine="630" w:firstLineChars="300"/>
        <w:rPr>
          <w:highlight w:val="none"/>
        </w:rPr>
      </w:pPr>
      <w:r>
        <w:rPr>
          <w:rFonts w:ascii="Wingdings" w:hAnsi="Wingdings"/>
          <w:szCs w:val="21"/>
          <w:highlight w:val="none"/>
        </w:rPr>
        <w:sym w:font="Wingdings" w:char="F0A8"/>
      </w:r>
      <w:r>
        <w:rPr>
          <w:rFonts w:ascii="宋体" w:hAnsi="宋体" w:hint="eastAsia"/>
          <w:szCs w:val="21"/>
          <w:highlight w:val="none"/>
        </w:rPr>
        <w:t>分期付款：</w:t>
      </w:r>
      <w:r>
        <w:rPr>
          <w:rFonts w:ascii="宋体" w:hAnsi="宋体" w:hint="eastAsia"/>
          <w:szCs w:val="21"/>
          <w:highlight w:val="none"/>
          <w:u w:val="single"/>
        </w:rPr>
        <w:t xml:space="preserve">  （应明确分期支付合同款项的各期比例和支付条件，各期支付条件应与分期履约验收情况挂钩） </w:t>
      </w:r>
      <w:r>
        <w:rPr>
          <w:rFonts w:ascii="宋体" w:hAnsi="宋体" w:hint="eastAsia"/>
          <w:szCs w:val="21"/>
          <w:highlight w:val="none"/>
        </w:rPr>
        <w:t>，其中涉及预付款的：</w:t>
      </w:r>
      <w:r>
        <w:rPr>
          <w:rFonts w:ascii="宋体" w:hAnsi="宋体" w:hint="eastAsia"/>
          <w:szCs w:val="21"/>
          <w:highlight w:val="none"/>
          <w:u w:val="single"/>
        </w:rPr>
        <w:t xml:space="preserve"> （应明确预付款的支付比例和支付条件） </w:t>
      </w:r>
    </w:p>
    <w:p>
      <w:pPr>
        <w:adjustRightInd w:val="0"/>
        <w:snapToGrid w:val="0"/>
        <w:spacing w:line="400" w:lineRule="exact"/>
        <w:ind w:firstLine="630" w:firstLineChars="300"/>
        <w:rPr>
          <w:rFonts w:ascii="宋体" w:hAnsi="宋体"/>
          <w:szCs w:val="21"/>
          <w:highlight w:val="none"/>
          <w:u w:val="single"/>
        </w:rPr>
      </w:pPr>
      <w:r>
        <w:rPr>
          <w:rFonts w:ascii="Wingdings" w:hAnsi="Wingdings"/>
          <w:szCs w:val="21"/>
          <w:highlight w:val="none"/>
        </w:rPr>
        <w:sym w:font="Wingdings" w:char="F0A8"/>
      </w:r>
      <w:r>
        <w:rPr>
          <w:rFonts w:ascii="宋体" w:hAnsi="宋体" w:hint="eastAsia"/>
          <w:szCs w:val="21"/>
          <w:highlight w:val="none"/>
        </w:rPr>
        <w:t>成本补偿：</w:t>
      </w:r>
      <w:r>
        <w:rPr>
          <w:rFonts w:ascii="宋体" w:hAnsi="宋体" w:hint="eastAsia"/>
          <w:szCs w:val="21"/>
          <w:highlight w:val="none"/>
          <w:u w:val="single"/>
        </w:rPr>
        <w:t xml:space="preserve">      （应明确按照成本补偿方式的支付方式和支付条件）   </w:t>
      </w:r>
    </w:p>
    <w:p>
      <w:pPr>
        <w:adjustRightInd w:val="0"/>
        <w:snapToGrid w:val="0"/>
        <w:spacing w:line="400" w:lineRule="exact"/>
        <w:ind w:firstLine="630" w:firstLineChars="300"/>
        <w:rPr>
          <w:rFonts w:ascii="宋体" w:hAnsi="宋体"/>
          <w:szCs w:val="21"/>
          <w:highlight w:val="none"/>
        </w:rPr>
      </w:pPr>
      <w:r>
        <w:rPr>
          <w:rFonts w:ascii="Wingdings" w:hAnsi="Wingdings"/>
          <w:szCs w:val="21"/>
          <w:highlight w:val="none"/>
        </w:rPr>
        <w:sym w:font="Wingdings" w:char="F0A8"/>
      </w:r>
      <w:r>
        <w:rPr>
          <w:rFonts w:ascii="宋体" w:hAnsi="宋体" w:hint="eastAsia"/>
          <w:szCs w:val="21"/>
          <w:highlight w:val="none"/>
        </w:rPr>
        <w:t>绩效激励：</w:t>
      </w:r>
      <w:r>
        <w:rPr>
          <w:rFonts w:ascii="宋体" w:hAnsi="宋体" w:hint="eastAsia"/>
          <w:szCs w:val="21"/>
          <w:highlight w:val="none"/>
          <w:u w:val="single"/>
        </w:rPr>
        <w:t xml:space="preserve">      （应明确按照绩效激励方式的支付方式和支付条件）   </w:t>
      </w:r>
    </w:p>
    <w:p>
      <w:pPr>
        <w:numPr>
          <w:ilvl w:val="0"/>
          <w:numId w:val="5"/>
        </w:numPr>
        <w:adjustRightInd w:val="0"/>
        <w:snapToGrid w:val="0"/>
        <w:spacing w:line="400" w:lineRule="exact"/>
        <w:ind w:firstLine="420" w:firstLineChars="200"/>
        <w:rPr>
          <w:rFonts w:ascii="宋体" w:hAnsi="宋体"/>
          <w:b/>
          <w:szCs w:val="21"/>
          <w:highlight w:val="none"/>
          <w:u w:val="single"/>
        </w:rPr>
      </w:pPr>
      <w:r>
        <w:rPr>
          <w:rFonts w:ascii="宋体" w:hAnsi="宋体" w:hint="eastAsia"/>
          <w:b/>
          <w:szCs w:val="21"/>
          <w:highlight w:val="none"/>
        </w:rPr>
        <w:t>合同履行</w:t>
      </w:r>
    </w:p>
    <w:p>
      <w:p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（1）起始日期：</w:t>
      </w:r>
      <w:r>
        <w:rPr>
          <w:rFonts w:ascii="宋体" w:hAnsi="宋体" w:cs="宋体" w:hint="eastAsia"/>
          <w:szCs w:val="21"/>
          <w:highlight w:val="none"/>
          <w:u w:val="single"/>
        </w:rPr>
        <w:t xml:space="preserve">    </w:t>
      </w:r>
      <w:r>
        <w:rPr>
          <w:rFonts w:ascii="宋体" w:hAnsi="宋体" w:cs="宋体" w:hint="eastAsia"/>
          <w:szCs w:val="21"/>
          <w:highlight w:val="none"/>
        </w:rPr>
        <w:t>年</w:t>
      </w:r>
      <w:r>
        <w:rPr>
          <w:rFonts w:ascii="宋体" w:hAnsi="宋体" w:cs="宋体" w:hint="eastAsia"/>
          <w:szCs w:val="21"/>
          <w:highlight w:val="none"/>
          <w:u w:val="single"/>
        </w:rPr>
        <w:t xml:space="preserve">   </w:t>
      </w:r>
      <w:r>
        <w:rPr>
          <w:rFonts w:ascii="宋体" w:hAnsi="宋体" w:cs="宋体" w:hint="eastAsia"/>
          <w:szCs w:val="21"/>
          <w:highlight w:val="none"/>
        </w:rPr>
        <w:t>月</w:t>
      </w:r>
      <w:r>
        <w:rPr>
          <w:rFonts w:ascii="宋体" w:hAnsi="宋体" w:cs="宋体" w:hint="eastAsia"/>
          <w:szCs w:val="21"/>
          <w:highlight w:val="none"/>
          <w:u w:val="single"/>
        </w:rPr>
        <w:t xml:space="preserve">   </w:t>
      </w:r>
      <w:r>
        <w:rPr>
          <w:rFonts w:ascii="宋体" w:hAnsi="宋体" w:cs="宋体" w:hint="eastAsia"/>
          <w:szCs w:val="21"/>
          <w:highlight w:val="none"/>
        </w:rPr>
        <w:t>日，完成日期：</w:t>
      </w:r>
      <w:r>
        <w:rPr>
          <w:rFonts w:ascii="宋体" w:hAnsi="宋体" w:cs="宋体" w:hint="eastAsia"/>
          <w:szCs w:val="21"/>
          <w:highlight w:val="none"/>
          <w:u w:val="single"/>
        </w:rPr>
        <w:t xml:space="preserve">    </w:t>
      </w:r>
      <w:r>
        <w:rPr>
          <w:rFonts w:ascii="宋体" w:hAnsi="宋体" w:cs="宋体" w:hint="eastAsia"/>
          <w:szCs w:val="21"/>
          <w:highlight w:val="none"/>
        </w:rPr>
        <w:t>年</w:t>
      </w:r>
      <w:r>
        <w:rPr>
          <w:rFonts w:ascii="宋体" w:hAnsi="宋体" w:cs="宋体" w:hint="eastAsia"/>
          <w:szCs w:val="21"/>
          <w:highlight w:val="none"/>
          <w:u w:val="single"/>
        </w:rPr>
        <w:t xml:space="preserve">   </w:t>
      </w:r>
      <w:r>
        <w:rPr>
          <w:rFonts w:ascii="宋体" w:hAnsi="宋体" w:cs="宋体" w:hint="eastAsia"/>
          <w:szCs w:val="21"/>
          <w:highlight w:val="none"/>
        </w:rPr>
        <w:t>月</w:t>
      </w:r>
      <w:r>
        <w:rPr>
          <w:rFonts w:ascii="宋体" w:hAnsi="宋体" w:cs="宋体" w:hint="eastAsia"/>
          <w:szCs w:val="21"/>
          <w:highlight w:val="none"/>
          <w:u w:val="single"/>
        </w:rPr>
        <w:t xml:space="preserve">   </w:t>
      </w:r>
      <w:r>
        <w:rPr>
          <w:rFonts w:ascii="宋体" w:hAnsi="宋体" w:cs="宋体" w:hint="eastAsia"/>
          <w:szCs w:val="21"/>
          <w:highlight w:val="none"/>
        </w:rPr>
        <w:t>日。</w:t>
      </w:r>
    </w:p>
    <w:p>
      <w:pPr>
        <w:adjustRightInd w:val="0"/>
        <w:snapToGrid w:val="0"/>
        <w:spacing w:line="400" w:lineRule="exact"/>
        <w:ind w:firstLine="420" w:firstLineChars="200"/>
        <w:rPr>
          <w:rFonts w:ascii="宋体" w:hAnsi="宋体" w:cs="宋体"/>
          <w:szCs w:val="21"/>
          <w:highlight w:val="none"/>
          <w:u w:val="single"/>
        </w:rPr>
      </w:pPr>
      <w:r>
        <w:rPr>
          <w:rFonts w:ascii="宋体" w:hAnsi="宋体" w:cs="宋体" w:hint="eastAsia"/>
          <w:szCs w:val="21"/>
          <w:highlight w:val="none"/>
        </w:rPr>
        <w:t>（2）履约地点</w:t>
      </w:r>
      <w:r>
        <w:rPr>
          <w:rFonts w:ascii="宋体" w:hAnsi="宋体" w:cs="宋体" w:hint="eastAsia"/>
          <w:bCs/>
          <w:szCs w:val="21"/>
          <w:highlight w:val="none"/>
        </w:rPr>
        <w:t>：</w:t>
      </w:r>
      <w:r>
        <w:rPr>
          <w:rFonts w:ascii="宋体" w:hAnsi="宋体" w:cs="宋体" w:hint="eastAsia"/>
          <w:szCs w:val="21"/>
          <w:highlight w:val="none"/>
          <w:u w:val="single"/>
        </w:rPr>
        <w:t xml:space="preserve">                             </w:t>
      </w:r>
    </w:p>
    <w:p>
      <w:pPr>
        <w:adjustRightInd w:val="0"/>
        <w:snapToGrid w:val="0"/>
        <w:spacing w:line="400" w:lineRule="exact"/>
        <w:ind w:firstLine="420" w:firstLineChars="200"/>
        <w:rPr>
          <w:rFonts w:ascii="宋体" w:hAnsi="宋体" w:cs="宋体"/>
          <w:szCs w:val="21"/>
          <w:highlight w:val="none"/>
        </w:rPr>
      </w:pPr>
      <w:r>
        <w:rPr>
          <w:rFonts w:ascii="宋体" w:hAnsi="宋体" w:cs="宋体" w:hint="eastAsia"/>
          <w:bCs/>
          <w:szCs w:val="21"/>
          <w:highlight w:val="none"/>
        </w:rPr>
        <w:t>（3）履约担保：</w:t>
      </w:r>
      <w:r>
        <w:rPr>
          <w:rFonts w:ascii="宋体" w:hAnsi="宋体" w:cs="宋体" w:hint="eastAsia"/>
          <w:highlight w:val="none"/>
        </w:rPr>
        <w:t>是否收取履约保证金：</w:t>
      </w:r>
      <w:r>
        <w:rPr>
          <w:rFonts w:ascii="Wingdings" w:hAnsi="Wingdings" w:cs="宋体"/>
          <w:szCs w:val="21"/>
          <w:highlight w:val="none"/>
        </w:rPr>
        <w:sym w:font="Wingdings" w:char="F0A8"/>
      </w:r>
      <w:r>
        <w:rPr>
          <w:rFonts w:ascii="宋体" w:hAnsi="宋体" w:cs="宋体" w:hint="eastAsia"/>
          <w:szCs w:val="21"/>
          <w:highlight w:val="none"/>
        </w:rPr>
        <w:t xml:space="preserve">是    </w:t>
      </w:r>
      <w:r>
        <w:rPr>
          <w:rFonts w:ascii="Wingdings" w:hAnsi="Wingdings" w:cs="宋体"/>
          <w:szCs w:val="21"/>
          <w:highlight w:val="none"/>
        </w:rPr>
        <w:sym w:font="Wingdings" w:char="F0A8"/>
      </w:r>
      <w:r>
        <w:rPr>
          <w:rFonts w:ascii="宋体" w:hAnsi="宋体" w:cs="宋体" w:hint="eastAsia"/>
          <w:szCs w:val="21"/>
          <w:highlight w:val="none"/>
        </w:rPr>
        <w:t>否</w:t>
      </w:r>
    </w:p>
    <w:p>
      <w:pPr>
        <w:pStyle w:val="AONormal"/>
        <w:rPr>
          <w:rFonts w:ascii="宋体" w:eastAsia="宋体" w:hAnsi="宋体" w:cs="宋体"/>
          <w:sz w:val="21"/>
          <w:highlight w:val="none"/>
        </w:rPr>
      </w:pPr>
      <w:r>
        <w:rPr>
          <w:rFonts w:ascii="宋体" w:hAnsi="宋体" w:cs="宋体" w:hint="eastAsia"/>
          <w:bCs/>
          <w:highlight w:val="none"/>
        </w:rPr>
        <w:t xml:space="preserve">  </w:t>
      </w:r>
      <w:r>
        <w:rPr>
          <w:rFonts w:ascii="宋体" w:eastAsia="宋体" w:hAnsi="宋体" w:cs="宋体" w:hint="eastAsia"/>
          <w:sz w:val="21"/>
          <w:highlight w:val="none"/>
        </w:rPr>
        <w:t xml:space="preserve">  收取履约保证金形式：</w:t>
      </w:r>
      <w:r>
        <w:rPr>
          <w:rFonts w:ascii="宋体" w:eastAsia="宋体" w:hAnsi="宋体" w:cs="宋体" w:hint="eastAsia"/>
          <w:bCs/>
          <w:sz w:val="21"/>
          <w:highlight w:val="none"/>
          <w:u w:val="singl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收取履约保证金金额：</w:t>
      </w:r>
      <w:r>
        <w:rPr>
          <w:rFonts w:ascii="宋体" w:eastAsia="宋体" w:hAnsi="宋体" w:cs="宋体" w:hint="eastAsia"/>
          <w:bCs/>
          <w:sz w:val="21"/>
          <w:highlight w:val="none"/>
          <w:u w:val="single"/>
        </w:rPr>
        <w:t xml:space="preserve">                            </w:t>
      </w:r>
    </w:p>
    <w:p>
      <w:pPr>
        <w:snapToGrid w:val="0"/>
        <w:spacing w:line="400" w:lineRule="exact"/>
        <w:ind w:firstLine="420" w:firstLineChars="200"/>
        <w:rPr>
          <w:rFonts w:ascii="宋体" w:hAnsi="宋体" w:cs="宋体"/>
          <w:highlight w:val="none"/>
        </w:rPr>
      </w:pPr>
      <w:r>
        <w:rPr>
          <w:rFonts w:ascii="宋体" w:hAnsi="宋体" w:cs="宋体" w:hint="eastAsia"/>
          <w:bCs/>
          <w:szCs w:val="21"/>
          <w:highlight w:val="none"/>
        </w:rPr>
        <w:t xml:space="preserve">    履约担保期限：</w:t>
      </w:r>
      <w:r>
        <w:rPr>
          <w:rFonts w:ascii="宋体" w:hAnsi="宋体" w:cs="宋体" w:hint="eastAsia"/>
          <w:bCs/>
          <w:szCs w:val="21"/>
          <w:highlight w:val="none"/>
          <w:u w:val="single"/>
        </w:rPr>
        <w:t xml:space="preserve">                                  </w:t>
      </w:r>
    </w:p>
    <w:p>
      <w:pPr>
        <w:adjustRightInd w:val="0"/>
        <w:snapToGrid w:val="0"/>
        <w:spacing w:line="400" w:lineRule="exact"/>
        <w:ind w:firstLine="420" w:firstLineChars="200"/>
        <w:rPr>
          <w:rFonts w:ascii="宋体" w:hAnsi="宋体" w:cs="宋体"/>
          <w:bCs/>
          <w:szCs w:val="21"/>
          <w:highlight w:val="none"/>
        </w:rPr>
      </w:pPr>
      <w:r>
        <w:rPr>
          <w:rFonts w:ascii="宋体" w:hAnsi="宋体" w:cs="宋体" w:hint="eastAsia"/>
          <w:bCs/>
          <w:szCs w:val="21"/>
          <w:highlight w:val="none"/>
        </w:rPr>
        <w:t>（4）分期履行要求：</w:t>
      </w:r>
      <w:r>
        <w:rPr>
          <w:rFonts w:ascii="宋体" w:hAnsi="宋体" w:cs="宋体" w:hint="eastAsia"/>
          <w:bCs/>
          <w:szCs w:val="21"/>
          <w:highlight w:val="none"/>
          <w:u w:val="single"/>
        </w:rPr>
        <w:t xml:space="preserve">                                                        </w:t>
      </w:r>
    </w:p>
    <w:p>
      <w:pPr>
        <w:adjustRightInd w:val="0"/>
        <w:snapToGrid w:val="0"/>
        <w:spacing w:line="400" w:lineRule="exact"/>
        <w:ind w:firstLine="420" w:firstLineChars="200"/>
        <w:rPr>
          <w:rFonts w:ascii="宋体" w:hAnsi="宋体" w:cs="宋体"/>
          <w:szCs w:val="21"/>
          <w:highlight w:val="none"/>
          <w:u w:val="single"/>
        </w:rPr>
      </w:pPr>
      <w:r>
        <w:rPr>
          <w:rFonts w:ascii="宋体" w:hAnsi="宋体" w:cs="宋体" w:hint="eastAsia"/>
          <w:bCs/>
          <w:szCs w:val="21"/>
          <w:highlight w:val="none"/>
        </w:rPr>
        <w:t>（5）风险处置措施和替代方案：</w:t>
      </w:r>
      <w:r>
        <w:rPr>
          <w:rFonts w:ascii="宋体" w:hAnsi="宋体" w:cs="宋体" w:hint="eastAsia"/>
          <w:color w:val="0000FF"/>
          <w:szCs w:val="21"/>
          <w:highlight w:val="none"/>
          <w:u w:val="single"/>
        </w:rPr>
        <w:t xml:space="preserve"> </w:t>
      </w:r>
      <w:r>
        <w:rPr>
          <w:rFonts w:ascii="宋体" w:hAnsi="宋体" w:cs="宋体" w:hint="eastAsia"/>
          <w:color w:val="000000"/>
          <w:szCs w:val="21"/>
          <w:highlight w:val="none"/>
          <w:u w:val="single"/>
        </w:rPr>
        <w:t xml:space="preserve">              </w:t>
      </w:r>
      <w:r>
        <w:rPr>
          <w:rFonts w:ascii="宋体" w:hAnsi="宋体" w:cs="宋体" w:hint="eastAsia"/>
          <w:szCs w:val="21"/>
          <w:highlight w:val="none"/>
          <w:u w:val="single"/>
        </w:rPr>
        <w:t xml:space="preserve">                                                </w:t>
      </w:r>
    </w:p>
    <w:p>
      <w:pPr>
        <w:numPr>
          <w:ilvl w:val="0"/>
          <w:numId w:val="5"/>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合同验收</w:t>
      </w:r>
    </w:p>
    <w:p>
      <w:pPr>
        <w:numPr>
          <w:ilvl w:val="0"/>
          <w:numId w:val="7"/>
        </w:num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验收组织方式：</w:t>
      </w:r>
      <w:r>
        <w:rPr>
          <w:rFonts w:ascii="Wingdings" w:hAnsi="Wingdings" w:cs="宋体"/>
          <w:szCs w:val="21"/>
          <w:highlight w:val="none"/>
        </w:rPr>
        <w:sym w:font="Wingdings" w:char="F0A8"/>
      </w:r>
      <w:r>
        <w:rPr>
          <w:rFonts w:ascii="宋体" w:hAnsi="宋体" w:hint="eastAsia"/>
          <w:bCs/>
          <w:szCs w:val="21"/>
          <w:highlight w:val="none"/>
        </w:rPr>
        <w:t xml:space="preserve">自行组织 </w:t>
      </w:r>
      <w:r>
        <w:rPr>
          <w:rFonts w:ascii="Wingdings" w:hAnsi="Wingdings" w:cs="宋体"/>
          <w:szCs w:val="21"/>
          <w:highlight w:val="none"/>
        </w:rPr>
        <w:sym w:font="Wingdings" w:char="F0A8"/>
      </w:r>
      <w:r>
        <w:rPr>
          <w:rFonts w:ascii="宋体" w:hAnsi="宋体" w:hint="eastAsia"/>
          <w:bCs/>
          <w:szCs w:val="21"/>
          <w:highlight w:val="none"/>
        </w:rPr>
        <w:t>委托第三方组织</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验收主体：</w:t>
      </w:r>
      <w:r>
        <w:rPr>
          <w:rFonts w:ascii="宋体" w:hAnsi="宋体" w:hint="eastAsia"/>
          <w:bCs/>
          <w:szCs w:val="21"/>
          <w:highlight w:val="none"/>
          <w:u w:val="single"/>
        </w:rPr>
        <w:t xml:space="preserve">                  </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是否邀请本项目的其他供应商参加验收：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是否邀请专家参加验收：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是否邀请服务对象参加验收：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是否邀请第三方检测机构参加验收：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是否进行抽查检测：</w:t>
      </w:r>
      <w:r>
        <w:rPr>
          <w:rFonts w:ascii="Wingdings" w:hAnsi="Wingdings" w:cs="宋体"/>
          <w:szCs w:val="21"/>
          <w:highlight w:val="none"/>
        </w:rPr>
        <w:sym w:font="Wingdings" w:char="F0A8"/>
      </w:r>
      <w:r>
        <w:rPr>
          <w:rFonts w:ascii="宋体" w:hAnsi="宋体" w:hint="eastAsia"/>
          <w:bCs/>
          <w:szCs w:val="21"/>
          <w:highlight w:val="none"/>
        </w:rPr>
        <w:t>是，抽查比例：</w:t>
      </w:r>
      <w:r>
        <w:rPr>
          <w:rFonts w:ascii="宋体" w:hAnsi="宋体" w:hint="eastAsia"/>
          <w:bCs/>
          <w:szCs w:val="21"/>
          <w:highlight w:val="none"/>
          <w:u w:val="single"/>
        </w:rPr>
        <w:t xml:space="preserve">        </w:t>
      </w: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u w:val="single"/>
        </w:rPr>
      </w:pPr>
      <w:r>
        <w:rPr>
          <w:rFonts w:ascii="宋体" w:hAnsi="宋体" w:hint="eastAsia"/>
          <w:bCs/>
          <w:szCs w:val="21"/>
          <w:highlight w:val="none"/>
        </w:rPr>
        <w:t>是否存在破坏性检测：</w:t>
      </w:r>
      <w:r>
        <w:rPr>
          <w:rFonts w:ascii="Wingdings" w:hAnsi="Wingdings" w:cs="宋体"/>
          <w:szCs w:val="21"/>
          <w:highlight w:val="none"/>
        </w:rPr>
        <w:sym w:font="Wingdings" w:char="F0A8"/>
      </w:r>
      <w:r>
        <w:rPr>
          <w:rFonts w:ascii="宋体" w:hAnsi="宋体" w:hint="eastAsia"/>
          <w:bCs/>
          <w:szCs w:val="21"/>
          <w:highlight w:val="none"/>
        </w:rPr>
        <w:t>是，</w:t>
      </w:r>
      <w:r>
        <w:rPr>
          <w:rFonts w:ascii="宋体" w:hAnsi="宋体" w:hint="eastAsia"/>
          <w:bCs/>
          <w:szCs w:val="21"/>
          <w:highlight w:val="none"/>
          <w:u w:val="single"/>
        </w:rPr>
        <w:t>（应明确对被破坏的检测产品的处理方式）</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u w:val="single"/>
        </w:rPr>
      </w:pPr>
      <w:r>
        <w:rPr>
          <w:rFonts w:ascii="宋体" w:hAnsi="宋体" w:hint="eastAsia"/>
          <w:bCs/>
          <w:szCs w:val="21"/>
          <w:highlight w:val="none"/>
        </w:rPr>
        <w:t>验收组织的其他事项：</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（2）履约验收时间：</w:t>
      </w:r>
      <w:r>
        <w:rPr>
          <w:rFonts w:ascii="宋体" w:hAnsi="宋体" w:hint="eastAsia"/>
          <w:bCs/>
          <w:szCs w:val="21"/>
          <w:highlight w:val="none"/>
          <w:u w:val="single"/>
        </w:rPr>
        <w:t xml:space="preserve">（计划于何时验收/供应商提出验收申请之日起   日内组织验收） </w:t>
      </w:r>
    </w:p>
    <w:p>
      <w:p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（3）履约验收方式：</w:t>
      </w:r>
      <w:r>
        <w:rPr>
          <w:rFonts w:ascii="Wingdings" w:hAnsi="Wingdings" w:cs="宋体"/>
          <w:szCs w:val="21"/>
          <w:highlight w:val="none"/>
        </w:rPr>
        <w:sym w:font="Wingdings" w:char="F0A8"/>
      </w:r>
      <w:r>
        <w:rPr>
          <w:rFonts w:ascii="宋体" w:hAnsi="宋体" w:hint="eastAsia"/>
          <w:bCs/>
          <w:szCs w:val="21"/>
          <w:highlight w:val="none"/>
        </w:rPr>
        <w:t xml:space="preserve">一次性验收         </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分期/分项验收：</w:t>
      </w:r>
      <w:r>
        <w:rPr>
          <w:rFonts w:ascii="宋体" w:hAnsi="宋体" w:hint="eastAsia"/>
          <w:bCs/>
          <w:szCs w:val="21"/>
          <w:highlight w:val="none"/>
          <w:u w:val="single"/>
        </w:rPr>
        <w:t xml:space="preserve"> （应明确分期</w:t>
      </w:r>
      <w:r>
        <w:rPr>
          <w:rFonts w:ascii="宋体" w:hAnsi="宋体"/>
          <w:bCs/>
          <w:szCs w:val="21"/>
          <w:highlight w:val="none"/>
          <w:u w:val="single"/>
          <w:lang w:val="en"/>
        </w:rPr>
        <w:t>/</w:t>
      </w:r>
      <w:r>
        <w:rPr>
          <w:rFonts w:ascii="宋体" w:hAnsi="宋体" w:hint="eastAsia"/>
          <w:bCs/>
          <w:szCs w:val="21"/>
          <w:highlight w:val="none"/>
          <w:u w:val="single"/>
          <w:lang w:val="en"/>
        </w:rPr>
        <w:t>分项验收的工作安排</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（4）履约验收程序：</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（5）履约验收的内容：</w:t>
      </w:r>
      <w:r>
        <w:rPr>
          <w:rFonts w:ascii="宋体" w:hAnsi="宋体" w:hint="eastAsia"/>
          <w:bCs/>
          <w:szCs w:val="21"/>
          <w:highlight w:val="none"/>
          <w:u w:val="single"/>
        </w:rPr>
        <w:t xml:space="preserve"> （应当包括每一项技术和商务要求的履约情况，特别是落实政府采购扶持中小企业，支持绿色发展和乡村振兴等政策情况）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（6）履约验收标准：</w:t>
      </w:r>
      <w:r>
        <w:rPr>
          <w:rFonts w:ascii="宋体" w:hAnsi="宋体" w:hint="eastAsia"/>
          <w:bCs/>
          <w:szCs w:val="21"/>
          <w:highlight w:val="none"/>
          <w:u w:val="single"/>
        </w:rPr>
        <w:t xml:space="preserve">                                         </w:t>
      </w:r>
    </w:p>
    <w:p>
      <w:pPr>
        <w:pStyle w:val="AONormal"/>
        <w:ind w:firstLine="420"/>
        <w:rPr>
          <w:rFonts w:ascii="宋体" w:eastAsia="宋体" w:hAnsi="宋体" w:cs="宋体"/>
          <w:sz w:val="21"/>
          <w:highlight w:val="none"/>
        </w:rPr>
      </w:pPr>
      <w:r>
        <w:rPr>
          <w:rFonts w:ascii="宋体" w:eastAsia="宋体" w:hAnsi="宋体" w:cs="宋体" w:hint="eastAsia"/>
          <w:bCs/>
          <w:sz w:val="21"/>
          <w:highlight w:val="none"/>
        </w:rPr>
        <w:t>（7）是否以采购活动中供应商提供的样品作为参考：</w:t>
      </w:r>
      <w:r>
        <w:rPr>
          <w:rFonts w:ascii="Wingdings" w:eastAsia="宋体" w:hAnsi="Wingdings" w:cs="宋体"/>
          <w:sz w:val="21"/>
          <w:highlight w:val="none"/>
        </w:rPr>
        <w:sym w:font="Wingdings" w:char="F0A8"/>
      </w:r>
      <w:r>
        <w:rPr>
          <w:rFonts w:ascii="宋体" w:eastAsia="宋体" w:hAnsi="宋体" w:cs="宋体" w:hint="eastAsia"/>
          <w:bCs/>
          <w:sz w:val="21"/>
          <w:highlight w:val="none"/>
        </w:rPr>
        <w:t xml:space="preserve">是  </w:t>
      </w:r>
      <w:r>
        <w:rPr>
          <w:rFonts w:ascii="Wingdings" w:eastAsia="宋体" w:hAnsi="Wingdings" w:cs="宋体"/>
          <w:sz w:val="21"/>
          <w:highlight w:val="none"/>
        </w:rPr>
        <w:sym w:font="Wingdings" w:char="F0A8"/>
      </w:r>
      <w:r>
        <w:rPr>
          <w:rFonts w:ascii="宋体" w:eastAsia="宋体" w:hAnsi="宋体" w:cs="宋体" w:hint="eastAsia"/>
          <w:bCs/>
          <w:sz w:val="21"/>
          <w:highlight w:val="none"/>
        </w:rPr>
        <w:t>否</w:t>
      </w:r>
    </w:p>
    <w:p>
      <w:pPr>
        <w:adjustRightInd w:val="0"/>
        <w:snapToGrid w:val="0"/>
        <w:spacing w:line="400" w:lineRule="exact"/>
        <w:ind w:firstLine="420" w:firstLineChars="200"/>
        <w:rPr>
          <w:rFonts w:ascii="宋体" w:hAnsi="宋体" w:cs="宋体"/>
          <w:bCs/>
          <w:szCs w:val="21"/>
          <w:highlight w:val="none"/>
          <w:u w:val="single"/>
        </w:rPr>
      </w:pPr>
      <w:r>
        <w:rPr>
          <w:rFonts w:ascii="宋体" w:hAnsi="宋体" w:cs="宋体" w:hint="eastAsia"/>
          <w:bCs/>
          <w:szCs w:val="21"/>
          <w:highlight w:val="none"/>
        </w:rPr>
        <w:t>（8）履约验收其他事项：</w:t>
      </w:r>
      <w:r>
        <w:rPr>
          <w:rFonts w:ascii="宋体" w:hAnsi="宋体" w:cs="宋体" w:hint="eastAsia"/>
          <w:bCs/>
          <w:szCs w:val="21"/>
          <w:highlight w:val="none"/>
          <w:u w:val="single"/>
        </w:rPr>
        <w:t xml:space="preserve">      （产权过户登记等）          </w:t>
      </w:r>
    </w:p>
    <w:p>
      <w:pPr>
        <w:numPr>
          <w:ilvl w:val="0"/>
          <w:numId w:val="5"/>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组成合同的文件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本协议书与下列文件一起构成合同文件，如下述文件之间有任何抵触、矛盾或歧义，应按以下顺序解释：</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（1）政府采购合同协议书及其变更、补充协议</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（2）政府采购合同专用条款</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（3）政府采购合同通用条款</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（4）中标（成交）通知书</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（5）投标（响应）文件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（6）采购文件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（7）有关技术文件，图纸</w:t>
      </w:r>
    </w:p>
    <w:p>
      <w:pPr>
        <w:pStyle w:val="AONormal"/>
        <w:ind w:firstLine="420"/>
        <w:rPr>
          <w:rFonts w:ascii="宋体" w:eastAsia="宋体" w:hAnsi="宋体" w:cs="宋体"/>
          <w:kern w:val="2"/>
          <w:sz w:val="21"/>
          <w:highlight w:val="none"/>
        </w:rPr>
      </w:pPr>
      <w:r>
        <w:rPr>
          <w:rFonts w:ascii="宋体" w:eastAsia="宋体" w:hAnsi="宋体" w:cs="宋体" w:hint="eastAsia"/>
          <w:sz w:val="21"/>
          <w:highlight w:val="none"/>
        </w:rPr>
        <w:t>（8）</w:t>
      </w:r>
      <w:r>
        <w:rPr>
          <w:rFonts w:ascii="宋体" w:eastAsia="宋体" w:hAnsi="宋体" w:cs="宋体" w:hint="eastAsia"/>
          <w:color w:val="000000"/>
          <w:kern w:val="2"/>
          <w:sz w:val="21"/>
          <w:highlight w:val="none"/>
        </w:rPr>
        <w:t>国家法律、行政法规和规章制度规定或合同约定的作为合同组成部分的其他文件</w:t>
      </w:r>
    </w:p>
    <w:p>
      <w:pPr>
        <w:numPr>
          <w:ilvl w:val="0"/>
          <w:numId w:val="5"/>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合同生效</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本合同自</w:t>
      </w:r>
      <w:r>
        <w:rPr>
          <w:rFonts w:ascii="宋体" w:hAnsi="宋体" w:hint="eastAsia"/>
          <w:szCs w:val="21"/>
          <w:highlight w:val="none"/>
          <w:u w:val="single"/>
        </w:rPr>
        <w:t xml:space="preserve">                             </w:t>
      </w:r>
      <w:r>
        <w:rPr>
          <w:rFonts w:ascii="宋体" w:hAnsi="宋体" w:hint="eastAsia"/>
          <w:szCs w:val="21"/>
          <w:highlight w:val="none"/>
        </w:rPr>
        <w:t>生效。</w:t>
      </w:r>
    </w:p>
    <w:p>
      <w:pPr>
        <w:numPr>
          <w:ilvl w:val="0"/>
          <w:numId w:val="5"/>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合同份数</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本合同一式</w:t>
      </w:r>
      <w:r>
        <w:rPr>
          <w:rFonts w:ascii="宋体" w:hAnsi="宋体" w:hint="eastAsia"/>
          <w:szCs w:val="21"/>
          <w:highlight w:val="none"/>
          <w:u w:val="single"/>
        </w:rPr>
        <w:t xml:space="preserve">    </w:t>
      </w:r>
      <w:r>
        <w:rPr>
          <w:rFonts w:ascii="宋体" w:hAnsi="宋体" w:hint="eastAsia"/>
          <w:szCs w:val="21"/>
          <w:highlight w:val="none"/>
        </w:rPr>
        <w:t>份，甲方执</w:t>
      </w:r>
      <w:r>
        <w:rPr>
          <w:rFonts w:ascii="宋体" w:hAnsi="宋体" w:hint="eastAsia"/>
          <w:szCs w:val="21"/>
          <w:highlight w:val="none"/>
          <w:u w:val="single"/>
        </w:rPr>
        <w:t xml:space="preserve">    </w:t>
      </w:r>
      <w:r>
        <w:rPr>
          <w:rFonts w:ascii="宋体" w:hAnsi="宋体" w:hint="eastAsia"/>
          <w:szCs w:val="21"/>
          <w:highlight w:val="none"/>
        </w:rPr>
        <w:t>份，乙方执</w:t>
      </w:r>
      <w:r>
        <w:rPr>
          <w:rFonts w:ascii="宋体" w:hAnsi="宋体" w:hint="eastAsia"/>
          <w:szCs w:val="21"/>
          <w:highlight w:val="none"/>
          <w:u w:val="single"/>
        </w:rPr>
        <w:t xml:space="preserve">    </w:t>
      </w:r>
      <w:r>
        <w:rPr>
          <w:rFonts w:ascii="宋体" w:hAnsi="宋体" w:hint="eastAsia"/>
          <w:szCs w:val="21"/>
          <w:highlight w:val="none"/>
        </w:rPr>
        <w:t>份，均具有同等法律效力。</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合同订立时间：</w:t>
      </w:r>
      <w:r>
        <w:rPr>
          <w:rFonts w:ascii="宋体" w:hAnsi="宋体" w:hint="eastAsia"/>
          <w:szCs w:val="21"/>
          <w:highlight w:val="none"/>
          <w:u w:val="single"/>
        </w:rPr>
        <w:t xml:space="preserve">         </w:t>
      </w:r>
      <w:r>
        <w:rPr>
          <w:rFonts w:ascii="宋体" w:hAnsi="宋体" w:hint="eastAsia"/>
          <w:szCs w:val="21"/>
          <w:highlight w:val="none"/>
        </w:rPr>
        <w:t>年</w:t>
      </w:r>
      <w:r>
        <w:rPr>
          <w:rFonts w:ascii="宋体" w:hAnsi="宋体" w:hint="eastAsia"/>
          <w:szCs w:val="21"/>
          <w:highlight w:val="none"/>
          <w:u w:val="single"/>
        </w:rPr>
        <w:t xml:space="preserve">      </w:t>
      </w:r>
      <w:r>
        <w:rPr>
          <w:rFonts w:ascii="宋体" w:hAnsi="宋体" w:hint="eastAsia"/>
          <w:szCs w:val="21"/>
          <w:highlight w:val="none"/>
        </w:rPr>
        <w:t>月</w:t>
      </w:r>
      <w:r>
        <w:rPr>
          <w:rFonts w:ascii="宋体" w:hAnsi="宋体" w:hint="eastAsia"/>
          <w:szCs w:val="21"/>
          <w:highlight w:val="none"/>
          <w:u w:val="single"/>
        </w:rPr>
        <w:t xml:space="preserve">      </w:t>
      </w:r>
      <w:r>
        <w:rPr>
          <w:rFonts w:ascii="宋体" w:hAnsi="宋体" w:hint="eastAsia"/>
          <w:szCs w:val="21"/>
          <w:highlight w:val="none"/>
        </w:rPr>
        <w:t>日</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合同订立地点：</w:t>
      </w:r>
      <w:r>
        <w:rPr>
          <w:rFonts w:ascii="宋体" w:hAnsi="宋体" w:hint="eastAsia"/>
          <w:szCs w:val="21"/>
          <w:highlight w:val="none"/>
          <w:u w:val="single"/>
        </w:rPr>
        <w:t xml:space="preserve">                           </w:t>
      </w:r>
    </w:p>
    <w:p>
      <w:pPr>
        <w:adjustRightInd w:val="0"/>
        <w:snapToGrid w:val="0"/>
        <w:spacing w:line="400" w:lineRule="exact"/>
        <w:ind w:firstLine="420" w:firstLineChars="200"/>
        <w:rPr>
          <w:highlight w:val="none"/>
        </w:rPr>
      </w:pPr>
      <w:r>
        <w:rPr>
          <w:rFonts w:ascii="宋体" w:hAnsi="宋体" w:hint="eastAsia"/>
          <w:szCs w:val="21"/>
          <w:highlight w:val="none"/>
        </w:rPr>
        <w:t>附件：具体标的及其技术要求和商务要求、联合协议、分包意向协议等。</w:t>
      </w:r>
    </w:p>
    <w:p>
      <w:pPr>
        <w:rPr>
          <w:highlight w:val="none"/>
        </w:rPr>
      </w:pPr>
      <w:r>
        <w:rPr>
          <w:rFonts w:hint="eastAsia"/>
          <w:highlight w:val="none"/>
        </w:rPr>
        <w:br w:type="page"/>
      </w:r>
    </w:p>
    <w:p>
      <w:pPr>
        <w:pStyle w:val="12"/>
        <w:rPr>
          <w:highlight w:val="none"/>
        </w:rPr>
      </w:pPr>
    </w:p>
    <w:tbl>
      <w:tblPr>
        <w:tblStyle w:val="TableNormal"/>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
      <w:tblGrid>
        <w:gridCol w:w="1891"/>
        <w:gridCol w:w="2412"/>
        <w:gridCol w:w="1978"/>
        <w:gridCol w:w="2117"/>
      </w:tblGrid>
      <w:tr>
        <w:tblPrEx>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Ex>
        <w:trPr>
          <w:trHeight w:val="490"/>
        </w:trPr>
        <w:tc>
          <w:tcPr>
            <w:tcW w:w="2562" w:type="pct"/>
            <w:gridSpan w:val="2"/>
            <w:tcBorders>
              <w:bottom w:val="single" w:sz="2" w:space="0" w:color="auto"/>
              <w:right w:val="single" w:sz="2" w:space="0" w:color="auto"/>
            </w:tcBorders>
            <w:noWrap w:val="0"/>
            <w:vAlign w:val="center"/>
          </w:tcPr>
          <w:p>
            <w:pPr>
              <w:adjustRightInd w:val="0"/>
              <w:snapToGrid w:val="0"/>
              <w:spacing w:line="300" w:lineRule="exact"/>
              <w:jc w:val="center"/>
              <w:rPr>
                <w:highlight w:val="none"/>
              </w:rPr>
            </w:pPr>
            <w:r>
              <w:rPr>
                <w:szCs w:val="21"/>
                <w:highlight w:val="none"/>
              </w:rPr>
              <w:t>甲方</w:t>
            </w:r>
            <w:r>
              <w:rPr>
                <w:rFonts w:hint="eastAsia"/>
                <w:szCs w:val="21"/>
                <w:highlight w:val="none"/>
              </w:rPr>
              <w:t>（采购人</w:t>
            </w:r>
            <w:r>
              <w:rPr>
                <w:rFonts w:ascii="宋体" w:hAnsi="宋体" w:hint="eastAsia"/>
                <w:szCs w:val="21"/>
                <w:highlight w:val="none"/>
              </w:rPr>
              <w:t>、受采购人委托签订合同的单位或</w:t>
            </w:r>
            <w:r>
              <w:rPr>
                <w:rFonts w:hint="eastAsia"/>
                <w:szCs w:val="21"/>
                <w:highlight w:val="none"/>
              </w:rPr>
              <w:t>采购文件约定的合同甲方）</w:t>
            </w:r>
          </w:p>
        </w:tc>
        <w:tc>
          <w:tcPr>
            <w:tcW w:w="2437" w:type="pct"/>
            <w:gridSpan w:val="2"/>
            <w:tcBorders>
              <w:left w:val="single" w:sz="2" w:space="0" w:color="auto"/>
              <w:bottom w:val="single" w:sz="2" w:space="0" w:color="auto"/>
            </w:tcBorders>
            <w:noWrap w:val="0"/>
            <w:vAlign w:val="center"/>
          </w:tcPr>
          <w:p>
            <w:pPr>
              <w:adjustRightInd w:val="0"/>
              <w:snapToGrid w:val="0"/>
              <w:spacing w:line="300" w:lineRule="exact"/>
              <w:jc w:val="center"/>
              <w:rPr>
                <w:highlight w:val="none"/>
              </w:rPr>
            </w:pPr>
            <w:r>
              <w:rPr>
                <w:szCs w:val="21"/>
                <w:highlight w:val="none"/>
              </w:rPr>
              <w:t>乙方</w:t>
            </w:r>
            <w:r>
              <w:rPr>
                <w:rFonts w:hint="eastAsia"/>
                <w:szCs w:val="21"/>
                <w:highlight w:val="none"/>
              </w:rPr>
              <w:t>（供应商）</w:t>
            </w:r>
          </w:p>
        </w:tc>
      </w:tr>
      <w:tr>
        <w:tblPrEx>
          <w:tblW w:w="4927" w:type="pct"/>
          <w:tblInd w:w="0" w:type="dxa"/>
          <w:tblCellMar>
            <w:top w:w="0" w:type="dxa"/>
            <w:left w:w="108" w:type="dxa"/>
            <w:bottom w:w="0" w:type="dxa"/>
            <w:right w:w="108" w:type="dxa"/>
          </w:tblCellMar>
        </w:tblPrEx>
        <w:trPr>
          <w:trHeight w:val="917"/>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单位名称</w:t>
            </w:r>
            <w:r>
              <w:rPr>
                <w:rFonts w:hint="eastAsia"/>
                <w:szCs w:val="21"/>
                <w:highlight w:val="none"/>
              </w:rPr>
              <w:t>（公章或合同章）</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单位名称</w:t>
            </w:r>
            <w:r>
              <w:rPr>
                <w:rFonts w:hint="eastAsia"/>
                <w:szCs w:val="21"/>
                <w:highlight w:val="none"/>
              </w:rPr>
              <w:t>（公章或合同章）</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1171"/>
        </w:trPr>
        <w:tc>
          <w:tcPr>
            <w:tcW w:w="1126" w:type="pct"/>
            <w:vMerge w:val="restart"/>
            <w:tcBorders>
              <w:top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法定代表人</w:t>
            </w:r>
          </w:p>
          <w:p>
            <w:pPr>
              <w:adjustRightInd w:val="0"/>
              <w:snapToGrid w:val="0"/>
              <w:spacing w:line="300" w:lineRule="exact"/>
              <w:ind w:firstLine="101" w:firstLineChars="48"/>
              <w:jc w:val="center"/>
              <w:rPr>
                <w:szCs w:val="21"/>
                <w:highlight w:val="none"/>
              </w:rPr>
            </w:pPr>
            <w:r>
              <w:rPr>
                <w:rFonts w:hint="eastAsia"/>
                <w:szCs w:val="21"/>
                <w:highlight w:val="none"/>
              </w:rPr>
              <w:t>或其</w:t>
            </w:r>
            <w:r>
              <w:rPr>
                <w:szCs w:val="21"/>
                <w:highlight w:val="none"/>
              </w:rPr>
              <w:t>委托代理人</w:t>
            </w:r>
            <w:r>
              <w:rPr>
                <w:rFonts w:hint="eastAsia"/>
                <w:szCs w:val="21"/>
                <w:highlight w:val="none"/>
              </w:rPr>
              <w:t>（签章）</w:t>
            </w:r>
          </w:p>
        </w:tc>
        <w:tc>
          <w:tcPr>
            <w:tcW w:w="1436" w:type="pct"/>
            <w:vMerge w:val="restart"/>
            <w:tcBorders>
              <w:top w:val="single" w:sz="2" w:space="0" w:color="auto"/>
              <w:left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法定代表人</w:t>
            </w:r>
          </w:p>
          <w:p>
            <w:pPr>
              <w:adjustRightInd w:val="0"/>
              <w:snapToGrid w:val="0"/>
              <w:spacing w:line="300" w:lineRule="exact"/>
              <w:jc w:val="center"/>
              <w:rPr>
                <w:szCs w:val="21"/>
                <w:highlight w:val="none"/>
              </w:rPr>
            </w:pPr>
            <w:r>
              <w:rPr>
                <w:rFonts w:hint="eastAsia"/>
                <w:szCs w:val="21"/>
                <w:highlight w:val="none"/>
              </w:rPr>
              <w:t>或其</w:t>
            </w:r>
            <w:r>
              <w:rPr>
                <w:szCs w:val="21"/>
                <w:highlight w:val="none"/>
              </w:rPr>
              <w:t>委托代理人</w:t>
            </w:r>
            <w:r>
              <w:rPr>
                <w:rFonts w:hint="eastAsia"/>
                <w:szCs w:val="21"/>
                <w:highlight w:val="none"/>
              </w:rPr>
              <w:t>（签章）</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vMerge/>
            <w:tcBorders>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vMerge/>
            <w:tcBorders>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拥有者性别</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住  所</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住  所</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 系 人</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 系 人</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联系电话</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联系电话</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通信地址</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通信地址</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邮政编码</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邮政编码</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电子邮箱</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电子邮箱</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统一社会信用代码</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统一社会信用代码</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开户名称</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开户银行</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银行账号</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586"/>
        </w:trPr>
        <w:tc>
          <w:tcPr>
            <w:tcW w:w="5000" w:type="pct"/>
            <w:gridSpan w:val="4"/>
            <w:tcBorders>
              <w:top w:val="single" w:sz="2" w:space="0" w:color="auto"/>
            </w:tcBorders>
            <w:noWrap w:val="0"/>
            <w:vAlign w:val="center"/>
          </w:tcPr>
          <w:p>
            <w:pPr>
              <w:pStyle w:val="BodyTextIndent"/>
              <w:adjustRightInd w:val="0"/>
              <w:snapToGrid w:val="0"/>
              <w:spacing w:before="156" w:beforeLines="50" w:after="0" w:line="360" w:lineRule="auto"/>
              <w:ind w:left="0" w:leftChars="0"/>
              <w:jc w:val="left"/>
              <w:rPr>
                <w:spacing w:val="20"/>
                <w:szCs w:val="21"/>
                <w:highlight w:val="none"/>
              </w:rPr>
            </w:pPr>
            <w:r>
              <w:rPr>
                <w:rFonts w:ascii="宋体" w:hAnsi="宋体" w:hint="eastAsia"/>
                <w:szCs w:val="21"/>
                <w:highlight w:val="none"/>
              </w:rPr>
              <w:t>注：涉及联合体或其他合同主体的信息应按上表格式加列。</w:t>
            </w:r>
          </w:p>
        </w:tc>
      </w:tr>
    </w:tbl>
    <w:p>
      <w:pPr>
        <w:pStyle w:val="Heading2"/>
        <w:numPr>
          <w:ilvl w:val="0"/>
          <w:numId w:val="0"/>
        </w:numPr>
        <w:adjustRightInd w:val="0"/>
        <w:snapToGrid w:val="0"/>
        <w:spacing w:before="156" w:beforeLines="50"/>
        <w:jc w:val="center"/>
        <w:rPr>
          <w:rFonts w:ascii="黑体" w:hAnsi="黑体"/>
          <w:sz w:val="28"/>
          <w:szCs w:val="28"/>
          <w:highlight w:val="none"/>
        </w:rPr>
      </w:pPr>
      <w:r>
        <w:rPr>
          <w:rFonts w:ascii="宋体" w:hAnsi="宋体"/>
          <w:sz w:val="21"/>
          <w:szCs w:val="21"/>
          <w:highlight w:val="none"/>
          <w:u w:val="single"/>
        </w:rPr>
        <w:br w:type="page"/>
      </w:r>
      <w:bookmarkStart w:id="72" w:name="_Toc27624"/>
      <w:r>
        <w:rPr>
          <w:rFonts w:ascii="黑体" w:hAnsi="黑体" w:hint="eastAsia"/>
          <w:b w:val="0"/>
          <w:bCs w:val="0"/>
          <w:sz w:val="28"/>
          <w:szCs w:val="28"/>
          <w:highlight w:val="none"/>
        </w:rPr>
        <w:t>第二节 政府采购合同通用条款</w:t>
      </w:r>
      <w:bookmarkEnd w:id="72"/>
    </w:p>
    <w:p>
      <w:pPr>
        <w:tabs>
          <w:tab w:val="left" w:pos="8820"/>
          <w:tab w:val="left" w:pos="9345"/>
          <w:tab w:val="left" w:pos="9765"/>
        </w:tabs>
        <w:adjustRightInd w:val="0"/>
        <w:snapToGrid w:val="0"/>
        <w:spacing w:line="400" w:lineRule="exact"/>
        <w:jc w:val="left"/>
        <w:rPr>
          <w:rFonts w:ascii="宋体" w:hAnsi="宋体"/>
          <w:b/>
          <w:bCs/>
          <w:highlight w:val="none"/>
        </w:rPr>
      </w:pPr>
      <w:r>
        <w:rPr>
          <w:rFonts w:ascii="宋体" w:hAnsi="宋体" w:hint="eastAsia"/>
          <w:b/>
          <w:sz w:val="24"/>
          <w:highlight w:val="none"/>
        </w:rPr>
        <w:t xml:space="preserve">1. </w:t>
      </w:r>
      <w:r>
        <w:rPr>
          <w:rFonts w:ascii="宋体" w:hAnsi="宋体" w:hint="eastAsia"/>
          <w:b/>
          <w:bCs/>
          <w:sz w:val="24"/>
          <w:highlight w:val="none"/>
        </w:rPr>
        <w:t>定义</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1.1合同当事人</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（1）采购人（以下称甲方）是指使用财政性资金，通过政府采购方式向供应商购买货物及其相关服务的国家机关、事业单位、团体组织。</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（2）供应商（以下称乙方）是指参加政府采购活动并且中标（成交），向采购人提供合同约定的货物及其相关服务的法人、非法人组织或者自然人。</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（3）其他合同主体是指除采购人和供应商以外，</w:t>
      </w:r>
      <w:r>
        <w:rPr>
          <w:rFonts w:ascii="宋体" w:hAnsi="宋体" w:cs="宋体" w:hint="eastAsia"/>
          <w:bCs/>
          <w:color w:val="000000"/>
          <w:szCs w:val="21"/>
          <w:highlight w:val="none"/>
        </w:rPr>
        <w:t>依法参与合同缔结或履行，享有权利、承担义务的合同当事人</w:t>
      </w:r>
      <w:r>
        <w:rPr>
          <w:rFonts w:ascii="宋体" w:hAnsi="宋体" w:hint="eastAsia"/>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1.2本合同下列术语应解释为：</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（1）“合同”系指</w:t>
      </w:r>
      <w:r>
        <w:rPr>
          <w:rFonts w:ascii="宋体" w:hAnsi="宋体" w:cs="宋体" w:hint="eastAsia"/>
          <w:bCs/>
          <w:color w:val="000000"/>
          <w:szCs w:val="21"/>
          <w:highlight w:val="none"/>
        </w:rPr>
        <w:t>合同当事人意思表示达成一致的任何协议，包括签署的</w:t>
      </w:r>
      <w:r>
        <w:rPr>
          <w:rFonts w:ascii="宋体" w:hAnsi="宋体" w:hint="eastAsia"/>
          <w:szCs w:val="21"/>
          <w:highlight w:val="none"/>
        </w:rPr>
        <w:t>政府采购合同协议书及其变更、补充协议，政府采购合同专用条款，政府采购合同通用条款，中标（成交）通知书，投标（响应）文件，采购文件，有关技术文件和图纸，以及</w:t>
      </w:r>
      <w:r>
        <w:rPr>
          <w:rFonts w:ascii="宋体" w:hAnsi="宋体" w:cs="宋体" w:hint="eastAsia"/>
          <w:color w:val="000000"/>
          <w:szCs w:val="21"/>
          <w:highlight w:val="none"/>
        </w:rPr>
        <w:t>国家法律、行政法规和规章制度规定或合同约定的作为合同组成部分的其他文件</w:t>
      </w:r>
      <w:r>
        <w:rPr>
          <w:rFonts w:ascii="宋体" w:hAnsi="宋体" w:hint="eastAsia"/>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（2）“合同价款”系指根据本合同规定乙方在全面履行合同义务后甲方应支付给乙方的价款。</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szCs w:val="21"/>
          <w:highlight w:val="none"/>
        </w:rPr>
        <w:t>（3）“货物”系指乙方根据本合同规定须向甲方提供的各种形态和种类的物品，包括原材料、设备、产品（</w:t>
      </w:r>
      <w:r>
        <w:rPr>
          <w:rFonts w:ascii="宋体" w:hAnsi="宋体" w:hint="eastAsia"/>
          <w:color w:val="000000"/>
          <w:szCs w:val="21"/>
          <w:highlight w:val="none"/>
        </w:rPr>
        <w:t>包括软件）及相关的其备品备件、工具、手册及</w:t>
      </w:r>
      <w:r>
        <w:rPr>
          <w:rFonts w:ascii="宋体" w:hAnsi="宋体"/>
          <w:color w:val="000000"/>
          <w:szCs w:val="21"/>
          <w:highlight w:val="none"/>
          <w:lang w:val="en"/>
        </w:rPr>
        <w:t>其他</w:t>
      </w:r>
      <w:r>
        <w:rPr>
          <w:rFonts w:ascii="宋体" w:hAnsi="宋体" w:hint="eastAsia"/>
          <w:color w:val="000000"/>
          <w:szCs w:val="21"/>
          <w:highlight w:val="none"/>
        </w:rPr>
        <w:t>技术资料和材料等。</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w:t>
      </w:r>
      <w:r>
        <w:rPr>
          <w:rFonts w:ascii="宋体" w:hAnsi="宋体" w:hint="eastAsia"/>
          <w:szCs w:val="21"/>
          <w:highlight w:val="none"/>
        </w:rPr>
        <w:t>相关</w:t>
      </w:r>
      <w:r>
        <w:rPr>
          <w:rFonts w:ascii="宋体" w:hAnsi="宋体" w:hint="eastAsia"/>
          <w:color w:val="000000"/>
          <w:szCs w:val="21"/>
          <w:highlight w:val="none"/>
        </w:rPr>
        <w:t>服务”系指根据合同规定，乙方应提供的与货物有关的技术、管理和</w:t>
      </w:r>
      <w:r>
        <w:rPr>
          <w:rFonts w:ascii="宋体" w:hAnsi="宋体"/>
          <w:color w:val="000000"/>
          <w:szCs w:val="21"/>
          <w:highlight w:val="none"/>
          <w:lang w:val="en"/>
        </w:rPr>
        <w:t>其他</w:t>
      </w:r>
      <w:r>
        <w:rPr>
          <w:rFonts w:ascii="宋体" w:hAnsi="宋体" w:hint="eastAsia"/>
          <w:color w:val="000000"/>
          <w:szCs w:val="21"/>
          <w:highlight w:val="none"/>
        </w:rPr>
        <w:t>服务，包括但不限于：管理和质量保证、运输、保险、检验、现场准备、安装、集成、调试、培训、维修、废弃处置、技术支持等以及合同中规定乙方应承担的</w:t>
      </w:r>
      <w:r>
        <w:rPr>
          <w:rFonts w:ascii="宋体" w:hAnsi="宋体"/>
          <w:color w:val="000000"/>
          <w:szCs w:val="21"/>
          <w:highlight w:val="none"/>
          <w:lang w:val="en"/>
        </w:rPr>
        <w:t>其他</w:t>
      </w:r>
      <w:r>
        <w:rPr>
          <w:rFonts w:ascii="宋体" w:hAnsi="宋体" w:hint="eastAsia"/>
          <w:color w:val="000000"/>
          <w:szCs w:val="21"/>
          <w:highlight w:val="none"/>
        </w:rPr>
        <w:t>义务。</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（5）“分包”系指中标（成交）供应商按采购文件、投标（响应）文件的规定，根据分包意向协议，将中标（成交）项目中的部分履约内容，分给具有相应资质条件的供应商履行合同的行为。</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（6）</w:t>
      </w:r>
      <w:r>
        <w:rPr>
          <w:rFonts w:ascii="宋体" w:hAnsi="宋体" w:hint="eastAsia"/>
          <w:szCs w:val="21"/>
          <w:highlight w:val="none"/>
        </w:rPr>
        <w:t>“联合体”系指由两个以上的自然人、法人或者非法人组织组成，以一个供应商的身份共同参加政府采购的主体</w:t>
      </w:r>
      <w:r>
        <w:rPr>
          <w:rFonts w:ascii="宋体" w:hAnsi="宋体" w:hint="eastAsia"/>
          <w:color w:val="000000"/>
          <w:szCs w:val="21"/>
          <w:highlight w:val="none"/>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hAnsi="宋体" w:hint="eastAsia"/>
          <w:b/>
          <w:bCs/>
          <w:color w:val="000000"/>
          <w:szCs w:val="21"/>
          <w:highlight w:val="none"/>
        </w:rPr>
        <w:t>政府采购合同专用条款</w:t>
      </w:r>
      <w:r>
        <w:rPr>
          <w:rFonts w:ascii="宋体" w:hAnsi="宋体" w:hint="eastAsia"/>
          <w:color w:val="000000"/>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（7）其他术语解释，见【</w:t>
      </w:r>
      <w:r>
        <w:rPr>
          <w:rFonts w:ascii="宋体" w:hAnsi="宋体" w:hint="eastAsia"/>
          <w:b/>
          <w:bCs/>
          <w:color w:val="000000"/>
          <w:szCs w:val="21"/>
          <w:highlight w:val="none"/>
        </w:rPr>
        <w:t>政府采购合同专用条款</w:t>
      </w:r>
      <w:r>
        <w:rPr>
          <w:rFonts w:ascii="宋体" w:hAnsi="宋体" w:hint="eastAsia"/>
          <w:color w:val="000000"/>
          <w:szCs w:val="21"/>
          <w:highlight w:val="none"/>
        </w:rPr>
        <w:t>】。</w:t>
      </w:r>
    </w:p>
    <w:p>
      <w:pPr>
        <w:numPr>
          <w:ilvl w:val="0"/>
          <w:numId w:val="8"/>
        </w:num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color w:val="000000"/>
          <w:sz w:val="24"/>
          <w:highlight w:val="none"/>
        </w:rPr>
        <w:t>合同标的及金额</w:t>
      </w:r>
    </w:p>
    <w:p>
      <w:pPr>
        <w:autoSpaceDE w:val="0"/>
        <w:autoSpaceDN w:val="0"/>
        <w:adjustRightInd w:val="0"/>
        <w:snapToGrid w:val="0"/>
        <w:spacing w:line="400" w:lineRule="exact"/>
        <w:ind w:firstLine="420" w:firstLineChars="200"/>
        <w:jc w:val="left"/>
        <w:rPr>
          <w:rFonts w:ascii="宋体" w:hAnsi="宋体"/>
          <w:b/>
          <w:bCs/>
          <w:i/>
          <w:iCs/>
          <w:color w:val="000000"/>
          <w:szCs w:val="21"/>
          <w:highlight w:val="none"/>
        </w:rPr>
      </w:pPr>
      <w:r>
        <w:rPr>
          <w:rFonts w:ascii="宋体" w:hAnsi="宋体" w:hint="eastAsia"/>
          <w:color w:val="000000"/>
          <w:szCs w:val="21"/>
          <w:highlight w:val="none"/>
        </w:rPr>
        <w:t>2.1 合同标的及金额应与中标（成交）结果一致。乙方为履行本合同而发生的所有费用均应包含在合同价款中，甲方不再另行支付</w:t>
      </w:r>
      <w:r>
        <w:rPr>
          <w:rFonts w:ascii="宋体" w:hAnsi="宋体"/>
          <w:color w:val="000000"/>
          <w:szCs w:val="21"/>
          <w:highlight w:val="none"/>
          <w:lang w:val="en"/>
        </w:rPr>
        <w:t>其他</w:t>
      </w:r>
      <w:r>
        <w:rPr>
          <w:rFonts w:ascii="宋体" w:hAnsi="宋体" w:hint="eastAsia"/>
          <w:color w:val="000000"/>
          <w:szCs w:val="21"/>
          <w:highlight w:val="none"/>
        </w:rPr>
        <w:t>任何费用。</w:t>
      </w:r>
    </w:p>
    <w:p>
      <w:pPr>
        <w:adjustRightInd w:val="0"/>
        <w:snapToGrid w:val="0"/>
        <w:spacing w:line="400" w:lineRule="exact"/>
        <w:jc w:val="left"/>
        <w:rPr>
          <w:rFonts w:ascii="宋体" w:hAnsi="宋体"/>
          <w:b/>
          <w:color w:val="000000"/>
          <w:highlight w:val="none"/>
        </w:rPr>
      </w:pPr>
      <w:r>
        <w:rPr>
          <w:rFonts w:ascii="宋体" w:hAnsi="宋体" w:hint="eastAsia"/>
          <w:b/>
          <w:color w:val="000000"/>
          <w:sz w:val="24"/>
          <w:highlight w:val="none"/>
        </w:rPr>
        <w:t>3. 履行合同的时间、地点和方式</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3.1 </w:t>
      </w:r>
      <w:r>
        <w:rPr>
          <w:rFonts w:ascii="宋体" w:hAnsi="宋体" w:cs="宋体" w:hint="eastAsia"/>
          <w:szCs w:val="21"/>
          <w:highlight w:val="none"/>
        </w:rPr>
        <w:t>乙方应当在约定的时间、地点，按照约定方式履行合同。</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4. 甲方的权利和义务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4.1</w:t>
      </w:r>
      <w:r>
        <w:rPr>
          <w:rFonts w:ascii="宋体" w:hAnsi="宋体"/>
          <w:color w:val="000000"/>
          <w:szCs w:val="21"/>
          <w:highlight w:val="none"/>
        </w:rPr>
        <w:t xml:space="preserve"> 签署合同后，甲方</w:t>
      </w:r>
      <w:r>
        <w:rPr>
          <w:rFonts w:ascii="宋体" w:hAnsi="宋体" w:hint="eastAsia"/>
          <w:color w:val="000000"/>
          <w:szCs w:val="21"/>
          <w:highlight w:val="none"/>
        </w:rPr>
        <w:t>应</w:t>
      </w:r>
      <w:r>
        <w:rPr>
          <w:rFonts w:ascii="宋体" w:hAnsi="宋体"/>
          <w:color w:val="000000"/>
          <w:szCs w:val="21"/>
          <w:highlight w:val="none"/>
        </w:rPr>
        <w:t>确定</w:t>
      </w:r>
      <w:r>
        <w:rPr>
          <w:rFonts w:ascii="宋体" w:hAnsi="宋体" w:hint="eastAsia"/>
          <w:color w:val="000000"/>
          <w:szCs w:val="21"/>
          <w:highlight w:val="none"/>
        </w:rPr>
        <w:t>项目负责人（或项目联系人）</w:t>
      </w:r>
      <w:r>
        <w:rPr>
          <w:rFonts w:ascii="宋体" w:hAnsi="宋体"/>
          <w:color w:val="000000"/>
          <w:szCs w:val="21"/>
          <w:highlight w:val="none"/>
        </w:rPr>
        <w:t>，负责与本合同有关的事务。</w:t>
      </w:r>
      <w:r>
        <w:rPr>
          <w:rFonts w:ascii="宋体" w:hAnsi="宋体" w:hint="eastAsia"/>
          <w:color w:val="000000"/>
          <w:szCs w:val="21"/>
          <w:highlight w:val="none"/>
        </w:rPr>
        <w:t>甲方有权对乙方的履约行为进行检查，并</w:t>
      </w:r>
      <w:r>
        <w:rPr>
          <w:rFonts w:ascii="宋体" w:hAnsi="宋体"/>
          <w:color w:val="000000"/>
          <w:szCs w:val="21"/>
          <w:highlight w:val="none"/>
        </w:rPr>
        <w:t>及时确认乙方提交的事项</w:t>
      </w:r>
      <w:r>
        <w:rPr>
          <w:rFonts w:ascii="宋体" w:hAnsi="宋体" w:hint="eastAsia"/>
          <w:color w:val="000000"/>
          <w:szCs w:val="21"/>
          <w:highlight w:val="none"/>
        </w:rPr>
        <w:t>。甲方应当</w:t>
      </w:r>
      <w:r>
        <w:rPr>
          <w:rFonts w:ascii="宋体" w:hAnsi="宋体"/>
          <w:color w:val="000000"/>
          <w:szCs w:val="21"/>
          <w:highlight w:val="none"/>
        </w:rPr>
        <w:t>配合乙方完成</w:t>
      </w:r>
      <w:r>
        <w:rPr>
          <w:rFonts w:ascii="宋体" w:hAnsi="宋体" w:hint="eastAsia"/>
          <w:color w:val="000000"/>
          <w:szCs w:val="21"/>
          <w:highlight w:val="none"/>
        </w:rPr>
        <w:t>相关项目</w:t>
      </w:r>
      <w:r>
        <w:rPr>
          <w:rFonts w:ascii="宋体" w:hAnsi="宋体"/>
          <w:color w:val="000000"/>
          <w:szCs w:val="21"/>
          <w:highlight w:val="none"/>
        </w:rPr>
        <w:t>实施工作。</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4.2 </w:t>
      </w:r>
      <w:r>
        <w:rPr>
          <w:rFonts w:ascii="宋体" w:hAnsi="宋体"/>
          <w:color w:val="000000"/>
          <w:szCs w:val="21"/>
          <w:highlight w:val="none"/>
        </w:rPr>
        <w:t>甲方有权要求乙方按时提交各阶段有关</w:t>
      </w:r>
      <w:r>
        <w:rPr>
          <w:rFonts w:ascii="宋体" w:hAnsi="宋体" w:hint="eastAsia"/>
          <w:color w:val="000000"/>
          <w:szCs w:val="21"/>
          <w:highlight w:val="none"/>
        </w:rPr>
        <w:t>安排计划</w:t>
      </w:r>
      <w:r>
        <w:rPr>
          <w:rFonts w:ascii="宋体" w:hAnsi="宋体"/>
          <w:color w:val="000000"/>
          <w:szCs w:val="21"/>
          <w:highlight w:val="none"/>
        </w:rPr>
        <w:t>，并有权</w:t>
      </w:r>
      <w:r>
        <w:rPr>
          <w:rFonts w:ascii="宋体" w:hAnsi="宋体" w:hint="eastAsia"/>
          <w:color w:val="000000"/>
          <w:szCs w:val="21"/>
          <w:highlight w:val="none"/>
        </w:rPr>
        <w:t>定期核对乙方提供货物数量、规格、质量等内容。甲方</w:t>
      </w:r>
      <w:r>
        <w:rPr>
          <w:rFonts w:ascii="宋体" w:hAnsi="宋体"/>
          <w:color w:val="000000"/>
          <w:szCs w:val="21"/>
          <w:highlight w:val="none"/>
        </w:rPr>
        <w:t>有权督促乙方工作并要求乙方</w:t>
      </w:r>
      <w:r>
        <w:rPr>
          <w:rFonts w:ascii="宋体" w:hAnsi="宋体" w:hint="eastAsia"/>
          <w:color w:val="000000"/>
          <w:szCs w:val="21"/>
          <w:highlight w:val="none"/>
        </w:rPr>
        <w:t>更</w:t>
      </w:r>
      <w:r>
        <w:rPr>
          <w:rFonts w:ascii="宋体" w:hAnsi="宋体"/>
          <w:color w:val="000000"/>
          <w:szCs w:val="21"/>
          <w:highlight w:val="none"/>
        </w:rPr>
        <w:t>换不符合要求的</w:t>
      </w:r>
      <w:r>
        <w:rPr>
          <w:rFonts w:ascii="宋体" w:hAnsi="宋体" w:hint="eastAsia"/>
          <w:color w:val="000000"/>
          <w:szCs w:val="21"/>
          <w:highlight w:val="none"/>
        </w:rPr>
        <w:t>货物</w:t>
      </w:r>
      <w:r>
        <w:rPr>
          <w:rFonts w:ascii="宋体" w:hAnsi="宋体"/>
          <w:color w:val="000000"/>
          <w:szCs w:val="21"/>
          <w:highlight w:val="none"/>
        </w:rPr>
        <w:t>。</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w:t>
      </w:r>
      <w:r>
        <w:rPr>
          <w:rFonts w:ascii="宋体" w:hAnsi="宋体"/>
          <w:color w:val="000000"/>
          <w:szCs w:val="21"/>
          <w:highlight w:val="none"/>
        </w:rPr>
        <w:t>3</w:t>
      </w:r>
      <w:r>
        <w:rPr>
          <w:rFonts w:ascii="宋体" w:hAnsi="宋体" w:hint="eastAsia"/>
          <w:color w:val="000000"/>
          <w:szCs w:val="21"/>
          <w:highlight w:val="none"/>
        </w:rPr>
        <w:t xml:space="preserve"> </w:t>
      </w:r>
      <w:r>
        <w:rPr>
          <w:rFonts w:ascii="宋体" w:hAnsi="宋体"/>
          <w:color w:val="000000"/>
          <w:szCs w:val="21"/>
          <w:highlight w:val="none"/>
        </w:rPr>
        <w:t>甲方</w:t>
      </w:r>
      <w:r>
        <w:rPr>
          <w:rFonts w:ascii="宋体" w:hAnsi="宋体" w:hint="eastAsia"/>
          <w:color w:val="000000"/>
          <w:szCs w:val="21"/>
          <w:highlight w:val="none"/>
        </w:rPr>
        <w:t>有权要求乙方对缺陷部分予以修复，并按合同约定享有货物保修及其他合同约定的权利。</w:t>
      </w:r>
    </w:p>
    <w:p>
      <w:pPr>
        <w:snapToGrid w:val="0"/>
        <w:spacing w:line="400" w:lineRule="exact"/>
        <w:ind w:firstLine="420" w:firstLineChars="200"/>
        <w:rPr>
          <w:rFonts w:eastAsia="华文楷体"/>
          <w:highlight w:val="none"/>
        </w:rPr>
      </w:pPr>
      <w:r>
        <w:rPr>
          <w:rFonts w:ascii="宋体" w:hAnsi="宋体"/>
          <w:color w:val="000000"/>
          <w:szCs w:val="21"/>
          <w:highlight w:val="none"/>
        </w:rPr>
        <w:t>4.4 甲方应当按照合同约定及时对交付的货物进行验收</w:t>
      </w:r>
      <w:r>
        <w:rPr>
          <w:rFonts w:ascii="宋体" w:hAnsi="宋体" w:hint="eastAsia"/>
          <w:color w:val="000000"/>
          <w:szCs w:val="21"/>
          <w:highlight w:val="none"/>
        </w:rPr>
        <w:t>，</w:t>
      </w:r>
      <w:r>
        <w:rPr>
          <w:rFonts w:ascii="宋体" w:hAnsi="宋体" w:cs="宋体" w:hint="eastAsia"/>
          <w:szCs w:val="21"/>
          <w:highlight w:val="none"/>
        </w:rPr>
        <w:t>未</w:t>
      </w:r>
      <w:r>
        <w:rPr>
          <w:rFonts w:ascii="宋体" w:hAnsi="宋体" w:hint="eastAsia"/>
          <w:color w:val="000000"/>
          <w:szCs w:val="21"/>
          <w:highlight w:val="none"/>
        </w:rPr>
        <w:t>在</w:t>
      </w:r>
      <w:r>
        <w:rPr>
          <w:rFonts w:ascii="宋体" w:hAnsi="宋体" w:cs="宋体" w:hint="eastAsia"/>
          <w:b/>
          <w:bCs/>
          <w:szCs w:val="21"/>
          <w:highlight w:val="none"/>
        </w:rPr>
        <w:t>【政府采购合同专用条款】</w:t>
      </w:r>
      <w:r>
        <w:rPr>
          <w:rFonts w:ascii="宋体" w:hAnsi="宋体" w:cs="宋体" w:hint="eastAsia"/>
          <w:szCs w:val="21"/>
          <w:highlight w:val="none"/>
        </w:rPr>
        <w:t>约定的期限内对乙方履约提出任何异议或者向乙方作出任何说明的，</w:t>
      </w:r>
      <w:r>
        <w:rPr>
          <w:rFonts w:ascii="宋体" w:hAnsi="宋体" w:hint="eastAsia"/>
          <w:color w:val="000000"/>
          <w:szCs w:val="21"/>
          <w:highlight w:val="none"/>
        </w:rPr>
        <w:t>视为验收通过。</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color w:val="000000"/>
          <w:szCs w:val="21"/>
          <w:highlight w:val="none"/>
        </w:rPr>
        <w:t>4</w:t>
      </w:r>
      <w:r>
        <w:rPr>
          <w:rFonts w:ascii="宋体" w:hAnsi="宋体" w:hint="eastAsia"/>
          <w:color w:val="000000"/>
          <w:szCs w:val="21"/>
          <w:highlight w:val="none"/>
        </w:rPr>
        <w:t>.</w:t>
      </w:r>
      <w:r>
        <w:rPr>
          <w:rFonts w:ascii="宋体" w:hAnsi="宋体"/>
          <w:color w:val="000000"/>
          <w:szCs w:val="21"/>
          <w:highlight w:val="none"/>
        </w:rPr>
        <w:t xml:space="preserve">5 </w:t>
      </w:r>
      <w:r>
        <w:rPr>
          <w:rFonts w:ascii="宋体" w:hAnsi="宋体" w:hint="eastAsia"/>
          <w:color w:val="000000"/>
          <w:szCs w:val="21"/>
          <w:highlight w:val="none"/>
        </w:rPr>
        <w:t>甲方应当根据合同约定及时向乙方支付合同价款</w:t>
      </w:r>
      <w:r>
        <w:rPr>
          <w:rFonts w:ascii="宋体" w:hAnsi="宋体"/>
          <w:color w:val="000000"/>
          <w:szCs w:val="21"/>
          <w:highlight w:val="none"/>
        </w:rPr>
        <w:t>，不得以内部人员变更、履行内部付款流程等为由，拒绝或迟延支付。</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4.6</w:t>
      </w:r>
      <w:r>
        <w:rPr>
          <w:rFonts w:ascii="宋体" w:hAnsi="宋体"/>
          <w:color w:val="000000"/>
          <w:szCs w:val="21"/>
          <w:highlight w:val="none"/>
        </w:rPr>
        <w:t xml:space="preserve"> </w:t>
      </w:r>
      <w:r>
        <w:rPr>
          <w:rFonts w:ascii="宋体" w:hAnsi="宋体" w:hint="eastAsia"/>
          <w:color w:val="000000"/>
          <w:szCs w:val="21"/>
          <w:highlight w:val="none"/>
        </w:rPr>
        <w:t>国家法律法规规定及</w:t>
      </w:r>
      <w:r>
        <w:rPr>
          <w:rFonts w:ascii="宋体" w:hAnsi="宋体" w:cs="宋体" w:hint="eastAsia"/>
          <w:b/>
          <w:bCs/>
          <w:szCs w:val="21"/>
          <w:highlight w:val="none"/>
        </w:rPr>
        <w:t>【政府采购合同专用条款】</w:t>
      </w:r>
      <w:r>
        <w:rPr>
          <w:rFonts w:ascii="宋体" w:hAnsi="宋体" w:hint="eastAsia"/>
          <w:color w:val="000000"/>
          <w:szCs w:val="21"/>
          <w:highlight w:val="none"/>
        </w:rPr>
        <w:t>约定应由甲方承担的其他义务和责任。</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5. 乙方的权利和义务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5.1 </w:t>
      </w:r>
      <w:r>
        <w:rPr>
          <w:rFonts w:ascii="宋体" w:hAnsi="宋体"/>
          <w:color w:val="000000"/>
          <w:szCs w:val="21"/>
          <w:highlight w:val="none"/>
        </w:rPr>
        <w:t>签署合同后，乙方</w:t>
      </w:r>
      <w:r>
        <w:rPr>
          <w:rFonts w:ascii="宋体" w:hAnsi="宋体" w:hint="eastAsia"/>
          <w:color w:val="000000"/>
          <w:szCs w:val="21"/>
          <w:highlight w:val="none"/>
        </w:rPr>
        <w:t>应</w:t>
      </w:r>
      <w:r>
        <w:rPr>
          <w:rFonts w:ascii="宋体" w:hAnsi="宋体"/>
          <w:color w:val="000000"/>
          <w:szCs w:val="21"/>
          <w:highlight w:val="none"/>
        </w:rPr>
        <w:t>确定</w:t>
      </w:r>
      <w:r>
        <w:rPr>
          <w:rFonts w:ascii="宋体" w:hAnsi="宋体" w:hint="eastAsia"/>
          <w:color w:val="000000"/>
          <w:szCs w:val="21"/>
          <w:highlight w:val="none"/>
        </w:rPr>
        <w:t>项目负责人（或项目联系人）</w:t>
      </w:r>
      <w:r>
        <w:rPr>
          <w:rFonts w:ascii="宋体" w:hAnsi="宋体"/>
          <w:color w:val="000000"/>
          <w:szCs w:val="21"/>
          <w:highlight w:val="none"/>
        </w:rPr>
        <w:t>，负责与本合同有关的事务。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2 乙方应按照合同要求</w:t>
      </w:r>
      <w:r>
        <w:rPr>
          <w:rFonts w:ascii="宋体" w:hAnsi="宋体" w:hint="eastAsia"/>
          <w:color w:val="000000"/>
          <w:szCs w:val="21"/>
          <w:highlight w:val="none"/>
        </w:rPr>
        <w:t>履约</w:t>
      </w:r>
      <w:r>
        <w:rPr>
          <w:rFonts w:ascii="宋体" w:hAnsi="宋体"/>
          <w:color w:val="000000"/>
          <w:szCs w:val="21"/>
          <w:highlight w:val="none"/>
        </w:rPr>
        <w:t>，充分合理安排，确保</w:t>
      </w:r>
      <w:r>
        <w:rPr>
          <w:rFonts w:ascii="宋体" w:hAnsi="宋体" w:hint="eastAsia"/>
          <w:color w:val="000000"/>
          <w:szCs w:val="21"/>
          <w:highlight w:val="none"/>
        </w:rPr>
        <w:t>提供的货物及相关服务符合合同有关</w:t>
      </w:r>
      <w:r>
        <w:rPr>
          <w:rFonts w:ascii="宋体" w:hAnsi="宋体"/>
          <w:color w:val="000000"/>
          <w:szCs w:val="21"/>
          <w:highlight w:val="none"/>
        </w:rPr>
        <w:t>要求</w:t>
      </w:r>
      <w:r>
        <w:rPr>
          <w:rFonts w:ascii="宋体" w:hAnsi="宋体" w:hint="eastAsia"/>
          <w:color w:val="000000"/>
          <w:szCs w:val="21"/>
          <w:highlight w:val="none"/>
        </w:rPr>
        <w:t>。接受项目行业管理部门及政府有关部门的指导，配合甲方的履约检查及验收，并</w:t>
      </w:r>
      <w:r>
        <w:rPr>
          <w:rFonts w:ascii="宋体" w:hAnsi="宋体"/>
          <w:color w:val="000000"/>
          <w:szCs w:val="21"/>
          <w:highlight w:val="none"/>
        </w:rPr>
        <w:t>负责项目实施过程中的所有协调工作。</w:t>
      </w:r>
    </w:p>
    <w:p>
      <w:pPr>
        <w:pStyle w:val="BodyText"/>
        <w:spacing w:after="0" w:line="400" w:lineRule="exact"/>
        <w:ind w:firstLine="370" w:firstLineChars="176"/>
        <w:rPr>
          <w:rFonts w:ascii="宋体" w:hAnsi="宋体" w:cs="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3</w:t>
      </w:r>
      <w:r>
        <w:rPr>
          <w:rFonts w:ascii="宋体" w:hAnsi="宋体" w:hint="eastAsia"/>
          <w:color w:val="000000"/>
          <w:szCs w:val="21"/>
          <w:highlight w:val="none"/>
        </w:rPr>
        <w:t>乙方有权</w:t>
      </w:r>
      <w:r>
        <w:rPr>
          <w:rFonts w:ascii="宋体" w:hAnsi="宋体" w:cs="宋体" w:hint="eastAsia"/>
          <w:color w:val="000000"/>
          <w:szCs w:val="21"/>
          <w:highlight w:val="none"/>
        </w:rPr>
        <w:t>根据合同约定向甲方收取合同价款。</w:t>
      </w:r>
    </w:p>
    <w:p>
      <w:pPr>
        <w:pStyle w:val="BodyText"/>
        <w:spacing w:after="0" w:line="400" w:lineRule="exact"/>
        <w:ind w:firstLine="370" w:firstLineChars="176"/>
        <w:rPr>
          <w:rFonts w:ascii="宋体" w:hAnsi="宋体" w:cs="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4</w:t>
      </w:r>
      <w:r>
        <w:rPr>
          <w:rFonts w:ascii="宋体" w:hAnsi="宋体" w:cs="宋体" w:hint="eastAsia"/>
          <w:color w:val="000000"/>
          <w:szCs w:val="21"/>
          <w:highlight w:val="none"/>
        </w:rPr>
        <w:t>国家法律法规规定</w:t>
      </w:r>
      <w:r>
        <w:rPr>
          <w:rFonts w:ascii="宋体" w:hAnsi="宋体" w:hint="eastAsia"/>
          <w:color w:val="000000"/>
          <w:szCs w:val="21"/>
          <w:highlight w:val="none"/>
        </w:rPr>
        <w:t>及</w:t>
      </w:r>
      <w:r>
        <w:rPr>
          <w:rFonts w:ascii="宋体" w:eastAsia="宋体" w:hAnsi="宋体" w:cs="宋体" w:hint="eastAsia"/>
          <w:b/>
          <w:bCs/>
          <w:szCs w:val="21"/>
          <w:highlight w:val="none"/>
        </w:rPr>
        <w:t>【政府采购合同专用条款】</w:t>
      </w:r>
      <w:r>
        <w:rPr>
          <w:rFonts w:ascii="宋体" w:hAnsi="宋体" w:cs="宋体" w:hint="eastAsia"/>
          <w:szCs w:val="21"/>
          <w:highlight w:val="none"/>
        </w:rPr>
        <w:t>约定应</w:t>
      </w:r>
      <w:r>
        <w:rPr>
          <w:rFonts w:ascii="宋体" w:hAnsi="宋体" w:cs="宋体" w:hint="eastAsia"/>
          <w:color w:val="000000"/>
          <w:szCs w:val="21"/>
          <w:highlight w:val="none"/>
        </w:rPr>
        <w:t>由乙方承担的其他义务和责任。</w:t>
      </w:r>
    </w:p>
    <w:p>
      <w:pPr>
        <w:numPr>
          <w:ilvl w:val="0"/>
          <w:numId w:val="9"/>
        </w:num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合同履行</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6.1 甲乙双方应当按照</w:t>
      </w:r>
      <w:r>
        <w:rPr>
          <w:rFonts w:ascii="宋体" w:hAnsi="宋体" w:cs="宋体" w:hint="eastAsia"/>
          <w:b/>
          <w:bCs/>
          <w:szCs w:val="21"/>
          <w:highlight w:val="none"/>
        </w:rPr>
        <w:t>【政府采购合同专用条款】</w:t>
      </w:r>
      <w:r>
        <w:rPr>
          <w:rFonts w:ascii="宋体" w:hAnsi="宋体" w:hint="eastAsia"/>
          <w:color w:val="000000"/>
          <w:szCs w:val="21"/>
          <w:highlight w:val="none"/>
        </w:rPr>
        <w:t>约定顺序履行合同义务；如果没有先后顺序的，应当同时履行。</w:t>
      </w:r>
    </w:p>
    <w:p>
      <w:pPr>
        <w:autoSpaceDE w:val="0"/>
        <w:autoSpaceDN w:val="0"/>
        <w:adjustRightInd w:val="0"/>
        <w:snapToGrid w:val="0"/>
        <w:spacing w:line="400" w:lineRule="exact"/>
        <w:ind w:firstLine="420" w:firstLineChars="200"/>
        <w:jc w:val="left"/>
        <w:rPr>
          <w:highlight w:val="none"/>
        </w:rPr>
      </w:pPr>
      <w:r>
        <w:rPr>
          <w:rFonts w:ascii="宋体" w:hAnsi="宋体" w:hint="eastAsia"/>
          <w:color w:val="000000"/>
          <w:szCs w:val="21"/>
          <w:highlight w:val="none"/>
        </w:rPr>
        <w:t>6.2 甲乙双方按照合同约定顺序履行合同义务时，应当先履行一方未履行的，后履行一方有权拒绝其履行请求。先履行一方履行不符合约定的，后履行一方有权拒绝其相应的履行请求。</w:t>
      </w:r>
    </w:p>
    <w:p>
      <w:pPr>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7. 货物包装、运输、保险和交付要求</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7.1 本合同</w:t>
      </w:r>
      <w:r>
        <w:rPr>
          <w:rFonts w:ascii="宋体" w:hAnsi="宋体" w:hint="eastAsia"/>
          <w:bCs/>
          <w:color w:val="000000"/>
          <w:szCs w:val="21"/>
          <w:highlight w:val="none"/>
        </w:rPr>
        <w:t>涉及商品包装、快递包装的，</w:t>
      </w:r>
      <w:r>
        <w:rPr>
          <w:rFonts w:ascii="宋体" w:hAnsi="宋体" w:hint="eastAsia"/>
          <w:color w:val="000000"/>
          <w:szCs w:val="21"/>
          <w:highlight w:val="none"/>
        </w:rPr>
        <w:t>除</w:t>
      </w:r>
      <w:r>
        <w:rPr>
          <w:rFonts w:ascii="宋体" w:hAnsi="宋体" w:hint="eastAsia"/>
          <w:b/>
          <w:color w:val="000000"/>
          <w:szCs w:val="21"/>
          <w:highlight w:val="none"/>
        </w:rPr>
        <w:t>【政府采购合同专用条款】</w:t>
      </w:r>
      <w:r>
        <w:rPr>
          <w:rFonts w:ascii="宋体" w:hAnsi="宋体" w:hint="eastAsia"/>
          <w:bCs/>
          <w:color w:val="000000"/>
          <w:szCs w:val="21"/>
          <w:highlight w:val="none"/>
        </w:rPr>
        <w:t>另有约定外，</w:t>
      </w:r>
      <w:r>
        <w:rPr>
          <w:rFonts w:ascii="宋体" w:hAnsi="宋体" w:hint="eastAsia"/>
          <w:color w:val="000000"/>
          <w:szCs w:val="21"/>
          <w:highlight w:val="none"/>
        </w:rPr>
        <w:t>包装应适应远距离运输、防潮、防震、防锈和防野蛮装卸等要求，确保货物安全无损地运抵</w:t>
      </w:r>
      <w:r>
        <w:rPr>
          <w:rFonts w:ascii="宋体" w:hAnsi="宋体" w:hint="eastAsia"/>
          <w:b/>
          <w:color w:val="000000"/>
          <w:szCs w:val="21"/>
          <w:highlight w:val="none"/>
        </w:rPr>
        <w:t>【政府采购合同专用条款】</w:t>
      </w:r>
      <w:r>
        <w:rPr>
          <w:rFonts w:ascii="宋体" w:hAnsi="宋体" w:hint="eastAsia"/>
          <w:bCs/>
          <w:color w:val="000000"/>
          <w:szCs w:val="21"/>
          <w:highlight w:val="none"/>
        </w:rPr>
        <w:t>约定的</w:t>
      </w:r>
      <w:r>
        <w:rPr>
          <w:rFonts w:ascii="宋体" w:hAnsi="宋体" w:hint="eastAsia"/>
          <w:color w:val="000000"/>
          <w:szCs w:val="21"/>
          <w:highlight w:val="none"/>
        </w:rPr>
        <w:t>指定现场。</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7.2 除</w:t>
      </w:r>
      <w:r>
        <w:rPr>
          <w:rFonts w:ascii="宋体" w:hAnsi="宋体" w:hint="eastAsia"/>
          <w:b/>
          <w:color w:val="000000"/>
          <w:szCs w:val="21"/>
          <w:highlight w:val="none"/>
        </w:rPr>
        <w:t>【政府采购合同专用条款】</w:t>
      </w:r>
      <w:r>
        <w:rPr>
          <w:rFonts w:ascii="宋体" w:hAnsi="宋体" w:hint="eastAsia"/>
          <w:bCs/>
          <w:color w:val="000000"/>
          <w:szCs w:val="21"/>
          <w:highlight w:val="none"/>
        </w:rPr>
        <w:t>另有约定外，</w:t>
      </w:r>
      <w:r>
        <w:rPr>
          <w:rFonts w:ascii="宋体" w:hAnsi="宋体" w:hint="eastAsia"/>
          <w:color w:val="000000"/>
          <w:szCs w:val="21"/>
          <w:highlight w:val="none"/>
        </w:rPr>
        <w:t>乙方负责办理将货物运抵本合同规定的交货地点，并装卸、交付至甲方的一切运输事项，相关费用应包含在合同价款中。</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7.3 货物保险要求按</w:t>
      </w:r>
      <w:r>
        <w:rPr>
          <w:rFonts w:ascii="宋体" w:hAnsi="宋体" w:hint="eastAsia"/>
          <w:b/>
          <w:color w:val="000000"/>
          <w:szCs w:val="21"/>
          <w:highlight w:val="none"/>
        </w:rPr>
        <w:t>【政府采购合同专用条款】</w:t>
      </w:r>
      <w:r>
        <w:rPr>
          <w:rFonts w:ascii="宋体" w:hAnsi="宋体" w:hint="eastAsia"/>
          <w:bCs/>
          <w:color w:val="000000"/>
          <w:szCs w:val="21"/>
          <w:highlight w:val="none"/>
        </w:rPr>
        <w:t>规定执行</w:t>
      </w:r>
      <w:r>
        <w:rPr>
          <w:rFonts w:ascii="宋体" w:hAnsi="宋体" w:hint="eastAsia"/>
          <w:color w:val="000000"/>
          <w:szCs w:val="21"/>
          <w:highlight w:val="none"/>
        </w:rPr>
        <w:t>。</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7.5 </w:t>
      </w:r>
      <w:r>
        <w:rPr>
          <w:rFonts w:ascii="宋体" w:hAnsi="宋体" w:cs="宋体" w:hint="eastAsia"/>
          <w:color w:val="000000"/>
          <w:szCs w:val="21"/>
          <w:highlight w:val="none"/>
        </w:rPr>
        <w:t>乙方在运输到达之前应提前通知甲方，并提示货物运输装卸的注意事项，甲方配合乙方做好货物的接收工作。</w:t>
      </w:r>
    </w:p>
    <w:p>
      <w:pPr>
        <w:pStyle w:val="AONormal"/>
        <w:ind w:firstLine="420"/>
        <w:rPr>
          <w:sz w:val="21"/>
          <w:highlight w:val="none"/>
        </w:rPr>
      </w:pPr>
      <w:r>
        <w:rPr>
          <w:rFonts w:ascii="宋体" w:eastAsia="宋体" w:hAnsi="宋体" w:cs="Times New Roman" w:hint="eastAsia"/>
          <w:color w:val="000000"/>
          <w:kern w:val="2"/>
          <w:sz w:val="21"/>
          <w:highlight w:val="none"/>
        </w:rPr>
        <w:t>7.6 如因包装、运输问题导致货物损毁、丢失或者品质下降，甲方有权要求降价、换货、拒收部分或整批货物，由此产生的费用和损失，均由乙方承担。</w:t>
      </w:r>
    </w:p>
    <w:p>
      <w:pPr>
        <w:adjustRightInd w:val="0"/>
        <w:snapToGrid w:val="0"/>
        <w:spacing w:line="400" w:lineRule="exact"/>
        <w:jc w:val="left"/>
        <w:rPr>
          <w:rFonts w:ascii="宋体" w:hAnsi="宋体"/>
          <w:b/>
          <w:highlight w:val="none"/>
        </w:rPr>
      </w:pPr>
      <w:r>
        <w:rPr>
          <w:rFonts w:ascii="宋体" w:hAnsi="宋体" w:hint="eastAsia"/>
          <w:b/>
          <w:color w:val="000000"/>
          <w:sz w:val="24"/>
          <w:highlight w:val="none"/>
        </w:rPr>
        <w:t xml:space="preserve">8. </w:t>
      </w:r>
      <w:r>
        <w:rPr>
          <w:rFonts w:ascii="宋体" w:hAnsi="宋体" w:hint="eastAsia"/>
          <w:b/>
          <w:sz w:val="24"/>
          <w:highlight w:val="none"/>
        </w:rPr>
        <w:t>质量标准和保证</w:t>
      </w:r>
    </w:p>
    <w:p>
      <w:pPr>
        <w:pStyle w:val="PlainText"/>
        <w:adjustRightInd w:val="0"/>
        <w:snapToGrid w:val="0"/>
        <w:spacing w:line="400" w:lineRule="exact"/>
        <w:ind w:firstLine="420" w:firstLineChars="200"/>
        <w:jc w:val="left"/>
        <w:rPr>
          <w:rFonts w:hAnsi="宋体"/>
          <w:b/>
          <w:highlight w:val="none"/>
        </w:rPr>
      </w:pPr>
      <w:r>
        <w:rPr>
          <w:rFonts w:hAnsi="宋体" w:hint="eastAsia"/>
          <w:highlight w:val="none"/>
        </w:rPr>
        <w:t>8.1 质量标准</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（1）本合同下提供的货物应符合合同</w:t>
      </w:r>
      <w:r>
        <w:rPr>
          <w:rFonts w:ascii="宋体" w:hAnsi="宋体" w:cs="宋体" w:hint="eastAsia"/>
          <w:color w:val="000000"/>
          <w:szCs w:val="21"/>
          <w:highlight w:val="none"/>
        </w:rPr>
        <w:t>约定的</w:t>
      </w:r>
      <w:r>
        <w:rPr>
          <w:rFonts w:ascii="宋体" w:hAnsi="宋体" w:cs="宋体" w:hint="eastAsia"/>
          <w:szCs w:val="21"/>
          <w:highlight w:val="none"/>
        </w:rPr>
        <w:t>品牌、规格型号、技术性能、配置、质量、数量等要求。</w:t>
      </w:r>
      <w:r>
        <w:rPr>
          <w:rFonts w:ascii="宋体" w:hAnsi="宋体" w:hint="eastAsia"/>
          <w:szCs w:val="21"/>
          <w:highlight w:val="none"/>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pPr>
        <w:pStyle w:val="PlainText"/>
        <w:adjustRightInd w:val="0"/>
        <w:snapToGrid w:val="0"/>
        <w:spacing w:line="400" w:lineRule="exact"/>
        <w:ind w:firstLine="420" w:firstLineChars="200"/>
        <w:jc w:val="left"/>
        <w:rPr>
          <w:rFonts w:hAnsi="宋体"/>
          <w:highlight w:val="none"/>
        </w:rPr>
      </w:pPr>
      <w:r>
        <w:rPr>
          <w:rFonts w:hAnsi="宋体" w:hint="eastAsia"/>
          <w:highlight w:val="none"/>
        </w:rPr>
        <w:t>（2）采用中华人民共和国法定计量单位。</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（3）乙方所提供的货物应符合国家有关安全、环保、卫生的规定。</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（4）乙方应向甲方提交所提供货物的技术文件，包括相应的中文技术文件，如：产品目录、图纸、操作手册、使用说明、维护手册或服务指南等。上述文件应包装好随货物一同发运。</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8.2 保证</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（1）乙方应保证提供的货物完全符合合同规定的质量、规格和性能要求。乙方应保证货物在正确安装、正常使用和保养条件下，</w:t>
      </w:r>
      <w:r>
        <w:rPr>
          <w:rFonts w:ascii="宋体" w:hAnsi="宋体" w:cs="宋体" w:hint="eastAsia"/>
          <w:szCs w:val="21"/>
          <w:highlight w:val="none"/>
        </w:rPr>
        <w:t>在其使用寿命期内具备合同约定的性能</w:t>
      </w:r>
      <w:r>
        <w:rPr>
          <w:rFonts w:ascii="宋体" w:hAnsi="宋体" w:hint="eastAsia"/>
          <w:szCs w:val="21"/>
          <w:highlight w:val="none"/>
        </w:rPr>
        <w:t>。存在质量保证期的，货物最终交付验收合格后在</w:t>
      </w:r>
      <w:r>
        <w:rPr>
          <w:rFonts w:ascii="宋体" w:hAnsi="宋体" w:hint="eastAsia"/>
          <w:b/>
          <w:szCs w:val="21"/>
          <w:highlight w:val="none"/>
        </w:rPr>
        <w:t>【政府采购合同专用条款】</w:t>
      </w:r>
      <w:r>
        <w:rPr>
          <w:rFonts w:ascii="宋体" w:hAnsi="宋体" w:hint="eastAsia"/>
          <w:szCs w:val="21"/>
          <w:highlight w:val="none"/>
        </w:rPr>
        <w:t>规定或乙方书面承诺（两者以较长的为准）的质量保证期内，本保证保持有效。</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（2）在质量保证期内所发现的缺陷，甲方应尽快以书面形式通知乙方。</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（3）乙方收到通知后，应在</w:t>
      </w:r>
      <w:r>
        <w:rPr>
          <w:rFonts w:ascii="宋体" w:hAnsi="宋体" w:hint="eastAsia"/>
          <w:b/>
          <w:szCs w:val="21"/>
          <w:highlight w:val="none"/>
        </w:rPr>
        <w:t>【政府采购合同专用条款】</w:t>
      </w:r>
      <w:r>
        <w:rPr>
          <w:rFonts w:ascii="宋体" w:hAnsi="宋体" w:hint="eastAsia"/>
          <w:szCs w:val="21"/>
          <w:highlight w:val="none"/>
        </w:rPr>
        <w:t>规定的响应时间内以合理的速度免费维修或更换有缺陷的货物或部件。</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（4）在质量保证期内，如果货物的质量或规格与合同不符，或证实货物是有缺陷的，包括潜在的缺陷或使用不符合要求的材料等，甲方可以根据本合同第1</w:t>
      </w:r>
      <w:r>
        <w:rPr>
          <w:rFonts w:ascii="宋体" w:hAnsi="宋体" w:hint="eastAsia"/>
          <w:color w:val="000000"/>
          <w:szCs w:val="21"/>
          <w:highlight w:val="none"/>
        </w:rPr>
        <w:t>5</w:t>
      </w:r>
      <w:r>
        <w:rPr>
          <w:rFonts w:ascii="宋体" w:hAnsi="宋体" w:hint="eastAsia"/>
          <w:szCs w:val="21"/>
          <w:highlight w:val="none"/>
        </w:rPr>
        <w:t>.1条规定以书面形式</w:t>
      </w:r>
      <w:r>
        <w:rPr>
          <w:rFonts w:ascii="宋体" w:hAnsi="宋体" w:hint="eastAsia"/>
          <w:color w:val="000000"/>
          <w:szCs w:val="21"/>
          <w:highlight w:val="none"/>
        </w:rPr>
        <w:t>追究</w:t>
      </w:r>
      <w:r>
        <w:rPr>
          <w:rFonts w:ascii="宋体" w:hAnsi="宋体" w:hint="eastAsia"/>
          <w:szCs w:val="21"/>
          <w:highlight w:val="none"/>
        </w:rPr>
        <w:t>乙方</w:t>
      </w:r>
      <w:r>
        <w:rPr>
          <w:rFonts w:ascii="宋体" w:hAnsi="宋体" w:hint="eastAsia"/>
          <w:color w:val="000000"/>
          <w:szCs w:val="21"/>
          <w:highlight w:val="none"/>
        </w:rPr>
        <w:t>的违约责任</w:t>
      </w:r>
      <w:r>
        <w:rPr>
          <w:rFonts w:ascii="宋体" w:hAnsi="宋体" w:hint="eastAsia"/>
          <w:szCs w:val="21"/>
          <w:highlight w:val="none"/>
        </w:rPr>
        <w:t>。</w:t>
      </w:r>
    </w:p>
    <w:p>
      <w:pPr>
        <w:adjustRightInd w:val="0"/>
        <w:snapToGrid w:val="0"/>
        <w:spacing w:line="400" w:lineRule="exact"/>
        <w:ind w:firstLine="420" w:firstLineChars="200"/>
        <w:jc w:val="left"/>
        <w:rPr>
          <w:highlight w:val="none"/>
        </w:rPr>
      </w:pPr>
      <w:r>
        <w:rPr>
          <w:rFonts w:ascii="宋体" w:hAnsi="宋体" w:hint="eastAsia"/>
          <w:szCs w:val="21"/>
          <w:highlight w:val="none"/>
        </w:rPr>
        <w:t>（5）乙方在约定的时间内未能弥补缺陷，甲方可采取必要的补救措施，但其风险和费用将由乙方承担，甲方根据合同约定对乙方行使的其他权利不受影响。</w:t>
      </w:r>
    </w:p>
    <w:p>
      <w:pPr>
        <w:adjustRightInd w:val="0"/>
        <w:snapToGrid w:val="0"/>
        <w:spacing w:line="400" w:lineRule="exact"/>
        <w:jc w:val="left"/>
        <w:rPr>
          <w:rFonts w:ascii="宋体" w:hAnsi="宋体"/>
          <w:b/>
          <w:bCs/>
          <w:highlight w:val="none"/>
        </w:rPr>
      </w:pPr>
      <w:r>
        <w:rPr>
          <w:rFonts w:ascii="宋体" w:hAnsi="宋体" w:hint="eastAsia"/>
          <w:b/>
          <w:bCs/>
          <w:color w:val="000000"/>
          <w:sz w:val="24"/>
          <w:highlight w:val="none"/>
        </w:rPr>
        <w:t>9</w:t>
      </w:r>
      <w:r>
        <w:rPr>
          <w:rFonts w:ascii="宋体" w:hAnsi="宋体" w:hint="eastAsia"/>
          <w:b/>
          <w:bCs/>
          <w:sz w:val="24"/>
          <w:highlight w:val="none"/>
        </w:rPr>
        <w:t>.</w:t>
      </w:r>
      <w:r>
        <w:rPr>
          <w:rFonts w:ascii="宋体" w:hAnsi="宋体" w:hint="eastAsia"/>
          <w:b/>
          <w:bCs/>
          <w:color w:val="000000"/>
          <w:sz w:val="24"/>
          <w:highlight w:val="none"/>
        </w:rPr>
        <w:t xml:space="preserve"> </w:t>
      </w:r>
      <w:r>
        <w:rPr>
          <w:rFonts w:ascii="宋体" w:hAnsi="宋体" w:hint="eastAsia"/>
          <w:b/>
          <w:bCs/>
          <w:sz w:val="24"/>
          <w:highlight w:val="none"/>
        </w:rPr>
        <w:t>权利瑕疵担保</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9.1 乙方保证对其出售的货物享有合法的权利。</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9.2 </w:t>
      </w:r>
      <w:r>
        <w:rPr>
          <w:rFonts w:ascii="宋体" w:hAnsi="宋体" w:cs="宋体" w:hint="eastAsia"/>
          <w:szCs w:val="15"/>
          <w:highlight w:val="none"/>
        </w:rPr>
        <w:t>乙方保证在交付的货物上不存在抵押权等担保物权。</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9.3 如甲方使用上述货物构成对第三人侵权的，则由乙方承担全部责任。</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10. 知识产权保护</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color w:val="000000"/>
          <w:szCs w:val="21"/>
          <w:highlight w:val="none"/>
        </w:rPr>
        <w:t>10.1 乙方对其所销售的货物应当享有知识产权或经权利人合法授权，保证没有侵犯任</w:t>
      </w:r>
      <w:r>
        <w:rPr>
          <w:rFonts w:ascii="宋体" w:hAnsi="宋体" w:hint="eastAsia"/>
          <w:szCs w:val="21"/>
          <w:highlight w:val="none"/>
        </w:rPr>
        <w:t>何第三人的知识产权等权利。</w:t>
      </w:r>
      <w:bookmarkStart w:id="73" w:name="_Hlk163047038"/>
      <w:r>
        <w:rPr>
          <w:rFonts w:ascii="宋体" w:hAnsi="宋体" w:cs="宋体" w:hint="eastAsia"/>
          <w:szCs w:val="15"/>
          <w:highlight w:val="none"/>
        </w:rPr>
        <w:t>因违反前述约定对第三人构成侵权的，应当由乙方向第三人承担法律责任；甲方依法向第三人赔偿后，有权向乙方追偿。甲方有其他损失的，乙方应当赔偿</w:t>
      </w:r>
      <w:bookmarkEnd w:id="73"/>
      <w:r>
        <w:rPr>
          <w:rFonts w:ascii="宋体" w:hAnsi="宋体" w:hint="eastAsia"/>
          <w:szCs w:val="21"/>
          <w:highlight w:val="none"/>
        </w:rPr>
        <w:t>。</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11. 保密义务</w:t>
      </w:r>
    </w:p>
    <w:p>
      <w:pPr>
        <w:autoSpaceDE w:val="0"/>
        <w:autoSpaceDN w:val="0"/>
        <w:adjustRightInd w:val="0"/>
        <w:snapToGrid w:val="0"/>
        <w:spacing w:line="400" w:lineRule="exact"/>
        <w:ind w:firstLine="420" w:firstLineChars="200"/>
        <w:jc w:val="left"/>
        <w:rPr>
          <w:rFonts w:ascii="宋体" w:hAnsi="宋体" w:cs="宋体"/>
          <w:szCs w:val="15"/>
          <w:highlight w:val="none"/>
        </w:rPr>
      </w:pPr>
      <w:r>
        <w:rPr>
          <w:rFonts w:ascii="宋体" w:hAnsi="宋体" w:cs="宋体" w:hint="eastAsia"/>
          <w:szCs w:val="15"/>
          <w:highlight w:val="none"/>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hAnsi="宋体" w:cs="宋体" w:hint="eastAsia"/>
          <w:b/>
          <w:bCs/>
          <w:szCs w:val="15"/>
          <w:highlight w:val="none"/>
        </w:rPr>
        <w:t>【政府采购合同专用条款】</w:t>
      </w:r>
      <w:r>
        <w:rPr>
          <w:rFonts w:ascii="宋体" w:hAnsi="宋体" w:cs="宋体" w:hint="eastAsia"/>
          <w:szCs w:val="15"/>
          <w:highlight w:val="none"/>
        </w:rPr>
        <w:t>中约定。</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12. 合同价款支付</w:t>
      </w:r>
    </w:p>
    <w:p>
      <w:pPr>
        <w:numPr>
          <w:ilvl w:val="1"/>
          <w:numId w:val="10"/>
        </w:numPr>
        <w:adjustRightInd w:val="0"/>
        <w:snapToGrid w:val="0"/>
        <w:spacing w:line="400" w:lineRule="exact"/>
        <w:jc w:val="left"/>
        <w:rPr>
          <w:rFonts w:ascii="宋体" w:hAnsi="宋体"/>
          <w:szCs w:val="21"/>
          <w:highlight w:val="none"/>
        </w:rPr>
      </w:pPr>
      <w:r>
        <w:rPr>
          <w:rFonts w:ascii="宋体" w:hAnsi="宋体" w:hint="eastAsia"/>
          <w:szCs w:val="21"/>
          <w:highlight w:val="none"/>
        </w:rPr>
        <w:t>合同价款支付按照国库集中支付制度及财政管理相关规定执行。</w:t>
      </w:r>
    </w:p>
    <w:p>
      <w:pPr>
        <w:numPr>
          <w:ilvl w:val="0"/>
          <w:numId w:val="0"/>
        </w:numPr>
        <w:spacing w:line="400" w:lineRule="exact"/>
        <w:ind w:firstLine="420" w:firstLineChars="200"/>
        <w:outlineLvl w:val="9"/>
        <w:rPr>
          <w:highlight w:val="none"/>
        </w:rPr>
      </w:pPr>
      <w:r>
        <w:rPr>
          <w:rFonts w:ascii="宋体" w:hAnsi="宋体" w:hint="eastAsia"/>
          <w:b w:val="0"/>
          <w:bCs w:val="0"/>
          <w:sz w:val="21"/>
          <w:szCs w:val="21"/>
          <w:highlight w:val="none"/>
        </w:rPr>
        <w:t xml:space="preserve">12.2 </w:t>
      </w:r>
      <w:r>
        <w:rPr>
          <w:rFonts w:ascii="宋体" w:eastAsia="宋体" w:hAnsi="宋体" w:hint="eastAsia"/>
          <w:b w:val="0"/>
          <w:bCs w:val="0"/>
          <w:sz w:val="21"/>
          <w:szCs w:val="21"/>
          <w:highlight w:val="none"/>
        </w:rPr>
        <w:t>对于满足合同约定支付条件的，甲方原则上应当自收到发票后10个工作日内将资金支付到合同约定的</w:t>
      </w:r>
      <w:r>
        <w:rPr>
          <w:rFonts w:ascii="宋体" w:hAnsi="宋体" w:hint="eastAsia"/>
          <w:b w:val="0"/>
          <w:bCs w:val="0"/>
          <w:sz w:val="21"/>
          <w:szCs w:val="21"/>
          <w:highlight w:val="none"/>
        </w:rPr>
        <w:t>乙方</w:t>
      </w:r>
      <w:r>
        <w:rPr>
          <w:rFonts w:ascii="宋体" w:eastAsia="宋体" w:hAnsi="宋体" w:hint="eastAsia"/>
          <w:b w:val="0"/>
          <w:bCs w:val="0"/>
          <w:sz w:val="21"/>
          <w:szCs w:val="21"/>
          <w:highlight w:val="none"/>
        </w:rPr>
        <w:t>账户，不得以机构变动、人员更替、政策调整等为由迟延付款，不得将采购文件和合同中未规定的义务作为向乙方付款的条件。具体合同价款支付时间在【</w:t>
      </w:r>
      <w:r>
        <w:rPr>
          <w:rFonts w:ascii="宋体" w:eastAsia="宋体" w:hAnsi="宋体" w:hint="eastAsia"/>
          <w:sz w:val="21"/>
          <w:szCs w:val="21"/>
          <w:highlight w:val="none"/>
        </w:rPr>
        <w:t>政府采购合同专用条款</w:t>
      </w:r>
      <w:r>
        <w:rPr>
          <w:rFonts w:ascii="宋体" w:eastAsia="宋体" w:hAnsi="宋体" w:hint="eastAsia"/>
          <w:b w:val="0"/>
          <w:bCs w:val="0"/>
          <w:sz w:val="21"/>
          <w:szCs w:val="21"/>
          <w:highlight w:val="none"/>
        </w:rPr>
        <w:t>】中</w:t>
      </w:r>
      <w:r>
        <w:rPr>
          <w:rFonts w:ascii="宋体" w:hAnsi="宋体" w:hint="eastAsia"/>
          <w:b w:val="0"/>
          <w:bCs w:val="0"/>
          <w:sz w:val="21"/>
          <w:szCs w:val="21"/>
          <w:highlight w:val="none"/>
        </w:rPr>
        <w:t>约</w:t>
      </w:r>
      <w:r>
        <w:rPr>
          <w:rFonts w:ascii="宋体" w:eastAsia="宋体" w:hAnsi="宋体" w:hint="eastAsia"/>
          <w:b w:val="0"/>
          <w:bCs w:val="0"/>
          <w:sz w:val="21"/>
          <w:szCs w:val="21"/>
          <w:highlight w:val="none"/>
        </w:rPr>
        <w:t>定。</w:t>
      </w:r>
    </w:p>
    <w:p>
      <w:pPr>
        <w:pStyle w:val="BodyText"/>
        <w:spacing w:after="0" w:line="400" w:lineRule="exact"/>
        <w:rPr>
          <w:rFonts w:ascii="宋体" w:hAnsi="宋体"/>
          <w:b/>
          <w:bCs/>
          <w:sz w:val="24"/>
          <w:szCs w:val="24"/>
          <w:highlight w:val="none"/>
        </w:rPr>
      </w:pPr>
      <w:r>
        <w:rPr>
          <w:rFonts w:ascii="宋体" w:hAnsi="宋体" w:hint="eastAsia"/>
          <w:b/>
          <w:bCs/>
          <w:color w:val="auto"/>
          <w:sz w:val="24"/>
          <w:szCs w:val="24"/>
          <w:highlight w:val="none"/>
        </w:rPr>
        <w:t>13.</w:t>
      </w:r>
      <w:r>
        <w:rPr>
          <w:rFonts w:ascii="宋体" w:hAnsi="宋体" w:hint="eastAsia"/>
          <w:b/>
          <w:bCs/>
          <w:color w:val="auto"/>
          <w:sz w:val="24"/>
          <w:szCs w:val="24"/>
          <w:highlight w:val="none"/>
          <w:lang w:val="en-US"/>
        </w:rPr>
        <w:t xml:space="preserve"> </w:t>
      </w:r>
      <w:r>
        <w:rPr>
          <w:rFonts w:ascii="宋体" w:hAnsi="宋体" w:hint="eastAsia"/>
          <w:b/>
          <w:bCs/>
          <w:color w:val="auto"/>
          <w:sz w:val="24"/>
          <w:szCs w:val="24"/>
          <w:highlight w:val="none"/>
        </w:rPr>
        <w:t>履约保证金</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 xml:space="preserve">13.1 </w:t>
      </w:r>
      <w:r>
        <w:rPr>
          <w:rFonts w:ascii="宋体" w:hAnsi="宋体" w:cs="宋体" w:hint="eastAsia"/>
          <w:szCs w:val="15"/>
          <w:highlight w:val="none"/>
        </w:rPr>
        <w:t>乙方应当以支票、汇票、本票或者金融机构、担保机构出具的保函等非现金形式提交。</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13.2 如果乙方出现</w:t>
      </w:r>
      <w:r>
        <w:rPr>
          <w:rFonts w:ascii="宋体" w:hAnsi="宋体" w:cs="宋体" w:hint="eastAsia"/>
          <w:b/>
          <w:bCs/>
          <w:szCs w:val="15"/>
          <w:highlight w:val="none"/>
        </w:rPr>
        <w:t>【政府采购合同专用条款】</w:t>
      </w:r>
      <w:r>
        <w:rPr>
          <w:rFonts w:ascii="宋体" w:hAnsi="宋体" w:cs="宋体" w:hint="eastAsia"/>
          <w:szCs w:val="15"/>
          <w:highlight w:val="none"/>
        </w:rPr>
        <w:t>约定情形的</w:t>
      </w:r>
      <w:r>
        <w:rPr>
          <w:rFonts w:ascii="宋体" w:hAnsi="宋体" w:hint="eastAsia"/>
          <w:szCs w:val="21"/>
          <w:highlight w:val="none"/>
        </w:rPr>
        <w:t>，履约保证金不予退还；如果乙方未能按合同约定全面履行义务，甲方有权从履约保证金中取得补偿或赔偿，且不影响甲方要求乙方承担合同约定的超过履约保证金的违约责任的权利。</w:t>
      </w:r>
    </w:p>
    <w:p>
      <w:pPr>
        <w:spacing w:line="400" w:lineRule="exact"/>
        <w:ind w:firstLine="420"/>
        <w:rPr>
          <w:highlight w:val="none"/>
        </w:rPr>
      </w:pPr>
      <w:r>
        <w:rPr>
          <w:rFonts w:ascii="宋体" w:hAnsi="宋体" w:hint="eastAsia"/>
          <w:szCs w:val="21"/>
          <w:highlight w:val="none"/>
        </w:rPr>
        <w:t>13.3 甲方在项目通过验收后按照</w:t>
      </w:r>
      <w:r>
        <w:rPr>
          <w:rFonts w:ascii="宋体" w:hAnsi="宋体" w:hint="eastAsia"/>
          <w:b/>
          <w:szCs w:val="21"/>
          <w:highlight w:val="none"/>
        </w:rPr>
        <w:t>【政府采购合同专用条款】</w:t>
      </w:r>
      <w:r>
        <w:rPr>
          <w:rFonts w:ascii="宋体" w:hAnsi="宋体" w:hint="eastAsia"/>
          <w:szCs w:val="21"/>
          <w:highlight w:val="none"/>
        </w:rPr>
        <w:t>规定的时间内将履约保证金退还乙方；逾期退还的，乙方可要求甲方支付违约金，违约金按照</w:t>
      </w:r>
      <w:r>
        <w:rPr>
          <w:rFonts w:ascii="宋体" w:hAnsi="宋体" w:hint="eastAsia"/>
          <w:b/>
          <w:szCs w:val="21"/>
          <w:highlight w:val="none"/>
        </w:rPr>
        <w:t>【政府采购合同专用条款】</w:t>
      </w:r>
      <w:r>
        <w:rPr>
          <w:rFonts w:ascii="宋体" w:hAnsi="宋体" w:hint="eastAsia"/>
          <w:szCs w:val="21"/>
          <w:highlight w:val="none"/>
        </w:rPr>
        <w:t>规定支付。</w:t>
      </w:r>
    </w:p>
    <w:p>
      <w:pPr>
        <w:autoSpaceDE w:val="0"/>
        <w:autoSpaceDN w:val="0"/>
        <w:adjustRightInd w:val="0"/>
        <w:snapToGrid w:val="0"/>
        <w:spacing w:line="400" w:lineRule="exact"/>
        <w:jc w:val="left"/>
        <w:rPr>
          <w:rFonts w:ascii="宋体" w:hAnsi="宋体"/>
          <w:b/>
          <w:highlight w:val="none"/>
        </w:rPr>
      </w:pPr>
      <w:r>
        <w:rPr>
          <w:rFonts w:ascii="宋体" w:hAnsi="宋体" w:hint="eastAsia"/>
          <w:b/>
          <w:bCs/>
          <w:sz w:val="24"/>
          <w:highlight w:val="none"/>
        </w:rPr>
        <w:t xml:space="preserve">14. </w:t>
      </w:r>
      <w:r>
        <w:rPr>
          <w:rFonts w:hint="eastAsia"/>
          <w:b/>
          <w:sz w:val="24"/>
          <w:highlight w:val="none"/>
        </w:rPr>
        <w:t>售后</w:t>
      </w:r>
      <w:r>
        <w:rPr>
          <w:rFonts w:ascii="宋体" w:hAnsi="宋体" w:hint="eastAsia"/>
          <w:b/>
          <w:sz w:val="24"/>
          <w:highlight w:val="none"/>
        </w:rPr>
        <w:t>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14.1 除项目不涉及或采购活动中明确约定无须承担外，乙方还应提供下列服务：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（1）货物的现场移动、安装、调试、启动监督及技术支持；</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（2）提供货物组装和维修所需的专用工具和辅助材料；</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（3）在</w:t>
      </w:r>
      <w:r>
        <w:rPr>
          <w:rFonts w:ascii="宋体" w:hAnsi="宋体" w:cs="宋体" w:hint="eastAsia"/>
          <w:b/>
          <w:bCs/>
          <w:szCs w:val="15"/>
          <w:highlight w:val="none"/>
        </w:rPr>
        <w:t>【政府采购合同专用条款】</w:t>
      </w:r>
      <w:r>
        <w:rPr>
          <w:rFonts w:ascii="宋体" w:hAnsi="宋体" w:hint="eastAsia"/>
          <w:szCs w:val="21"/>
          <w:highlight w:val="none"/>
        </w:rPr>
        <w:t>约定的期限内对所有的货物实施运行监督、维修，但前提条件是该服务并不能免除乙方在质量保证期内所承担的义务；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（4）在制造商所在地或指定现场就货物的安装、启动、运营、维护、废弃处置等对甲方操作人员进行培训</w:t>
      </w:r>
      <w:r>
        <w:rPr>
          <w:rFonts w:ascii="宋体" w:hAnsi="宋体" w:cs="宋体" w:hint="eastAsia"/>
          <w:szCs w:val="15"/>
          <w:highlight w:val="none"/>
        </w:rPr>
        <w:t>；</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（5）依照法律、行政法规的规定或者按照</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约定，货物在有效使用年限届满后应予回收的，乙方负有自行或者委托第三人对货物予以回收的义务；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（6）</w:t>
      </w:r>
      <w:r>
        <w:rPr>
          <w:rFonts w:ascii="宋体" w:hAnsi="宋体" w:hint="eastAsia"/>
          <w:b/>
          <w:szCs w:val="21"/>
          <w:highlight w:val="none"/>
        </w:rPr>
        <w:t>【政府采购合同专用条款】</w:t>
      </w:r>
      <w:r>
        <w:rPr>
          <w:rFonts w:ascii="宋体" w:hAnsi="宋体" w:hint="eastAsia"/>
          <w:szCs w:val="21"/>
          <w:highlight w:val="none"/>
        </w:rPr>
        <w:t>规定由乙方提供的其他服务。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14.2 乙方提供的售后服务的费用已包含在合同价款中，甲方不再另行支付。</w:t>
      </w:r>
    </w:p>
    <w:p>
      <w:pPr>
        <w:adjustRightInd w:val="0"/>
        <w:snapToGrid w:val="0"/>
        <w:spacing w:line="400" w:lineRule="exact"/>
        <w:jc w:val="left"/>
        <w:rPr>
          <w:rFonts w:ascii="宋体" w:hAnsi="宋体"/>
          <w:b/>
          <w:bCs/>
          <w:highlight w:val="none"/>
        </w:rPr>
      </w:pPr>
      <w:r>
        <w:rPr>
          <w:rFonts w:ascii="宋体" w:hAnsi="宋体" w:hint="eastAsia"/>
          <w:b/>
          <w:bCs/>
          <w:sz w:val="24"/>
          <w:highlight w:val="none"/>
        </w:rPr>
        <w:t>15. 违约责任</w:t>
      </w:r>
    </w:p>
    <w:p>
      <w:pPr>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15.1质量瑕疵的违约责任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乙方提供的产品不符合合同约定的质量标准或存在产品质量缺陷，甲方有权要求乙方根据</w:t>
      </w:r>
      <w:r>
        <w:rPr>
          <w:rFonts w:ascii="宋体" w:hAnsi="宋体" w:hint="eastAsia"/>
          <w:b/>
          <w:szCs w:val="21"/>
          <w:highlight w:val="none"/>
        </w:rPr>
        <w:t>【政府采购合同专用条款】</w:t>
      </w:r>
      <w:r>
        <w:rPr>
          <w:rFonts w:ascii="宋体" w:hAnsi="宋体" w:hint="eastAsia"/>
          <w:bCs/>
          <w:szCs w:val="21"/>
          <w:highlight w:val="none"/>
        </w:rPr>
        <w:t>要求</w:t>
      </w:r>
      <w:r>
        <w:rPr>
          <w:rFonts w:ascii="宋体" w:hAnsi="宋体" w:hint="eastAsia"/>
          <w:szCs w:val="21"/>
          <w:highlight w:val="none"/>
        </w:rPr>
        <w:t>及时修理、重作、更换，并承担由此给甲方造成的损失。</w:t>
      </w:r>
    </w:p>
    <w:p>
      <w:pPr>
        <w:autoSpaceDE w:val="0"/>
        <w:autoSpaceDN w:val="0"/>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15.2 迟延交货的违约责任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（2）如果乙方没有按照合同规定的时间交货和提供相关服务，甲方有权从货款中扣除误期赔偿费而不影响合同项下的其他补救方法，赔偿费按</w:t>
      </w:r>
      <w:r>
        <w:rPr>
          <w:rFonts w:ascii="宋体" w:hAnsi="宋体" w:hint="eastAsia"/>
          <w:b/>
          <w:szCs w:val="21"/>
          <w:highlight w:val="none"/>
        </w:rPr>
        <w:t>【政府采购合同专用条款】</w:t>
      </w:r>
      <w:r>
        <w:rPr>
          <w:rFonts w:ascii="宋体" w:hAnsi="宋体" w:hint="eastAsia"/>
          <w:szCs w:val="21"/>
          <w:highlight w:val="none"/>
        </w:rPr>
        <w:t>规定执行。如果涉及公共利益，且赔偿金额无法弥补公共利益损失，甲方可要求继续履行或者采取其他补救措施。</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15.3 迟延支付的违约责任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甲方存在迟延支付乙方合同款项的，应当承担</w:t>
      </w:r>
      <w:r>
        <w:rPr>
          <w:rFonts w:ascii="宋体" w:hAnsi="宋体" w:hint="eastAsia"/>
          <w:b/>
          <w:bCs/>
          <w:szCs w:val="21"/>
          <w:highlight w:val="none"/>
        </w:rPr>
        <w:t>【政府采购合同专用条款】</w:t>
      </w:r>
      <w:r>
        <w:rPr>
          <w:rFonts w:ascii="宋体" w:hAnsi="宋体" w:hint="eastAsia"/>
          <w:szCs w:val="21"/>
          <w:highlight w:val="none"/>
        </w:rPr>
        <w:t>规定的逾期付款利息。</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bCs/>
          <w:szCs w:val="21"/>
          <w:highlight w:val="none"/>
        </w:rPr>
        <w:t>15.4其他违约责任根据项目实际需要按</w:t>
      </w:r>
      <w:r>
        <w:rPr>
          <w:rFonts w:ascii="宋体" w:hAnsi="宋体" w:hint="eastAsia"/>
          <w:b/>
          <w:bCs/>
          <w:szCs w:val="21"/>
          <w:highlight w:val="none"/>
        </w:rPr>
        <w:t>【政府采购合同专用条款】</w:t>
      </w:r>
      <w:r>
        <w:rPr>
          <w:rFonts w:ascii="宋体" w:hAnsi="宋体" w:hint="eastAsia"/>
          <w:szCs w:val="21"/>
          <w:highlight w:val="none"/>
        </w:rPr>
        <w:t>规定执行。</w:t>
      </w:r>
    </w:p>
    <w:p>
      <w:pPr>
        <w:numPr>
          <w:ilvl w:val="0"/>
          <w:numId w:val="11"/>
        </w:num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合同变更、中止与终止</w:t>
      </w:r>
    </w:p>
    <w:p>
      <w:pPr>
        <w:adjustRightInd w:val="0"/>
        <w:snapToGrid w:val="0"/>
        <w:spacing w:line="400" w:lineRule="exact"/>
        <w:jc w:val="left"/>
        <w:rPr>
          <w:rFonts w:ascii="宋体" w:hAnsi="宋体"/>
          <w:szCs w:val="21"/>
          <w:highlight w:val="none"/>
        </w:rPr>
      </w:pPr>
      <w:r>
        <w:rPr>
          <w:rFonts w:ascii="宋体" w:hAnsi="宋体" w:hint="eastAsia"/>
          <w:szCs w:val="21"/>
          <w:highlight w:val="none"/>
        </w:rPr>
        <w:t xml:space="preserve">    16.1合同的变更</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政府采购合同履行中，在不改变合同其他条款的前提下，甲方可以在合同价款10%的范围内追加与合同标的相同的货物，并就此与乙方协商一致后签订补充协议。</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16.2合同的中止</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（1）合同履行过程中因供应商就采购文件、采购过程或结果提起投诉的，甲方认为有必要的，可以中止合同的履行。</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pPr>
        <w:pStyle w:val="AONormal"/>
        <w:ind w:firstLine="420"/>
        <w:jc w:val="both"/>
        <w:rPr>
          <w:sz w:val="21"/>
          <w:highlight w:val="none"/>
        </w:rPr>
      </w:pPr>
      <w:r>
        <w:rPr>
          <w:rFonts w:ascii="宋体" w:eastAsia="宋体" w:hAnsi="宋体" w:cs="宋体" w:hint="eastAsia"/>
          <w:sz w:val="21"/>
          <w:highlight w:val="none"/>
        </w:rPr>
        <w:t>（3）乙方分立、合并或者变更住所的，应当及时以书面形式告知甲方。乙方没有及时告知甲方，致使合同履行发生困难的，甲方可以中止合同履行并要求乙方承担由此给甲方造成的损失。</w:t>
      </w:r>
    </w:p>
    <w:p>
      <w:pPr>
        <w:snapToGrid w:val="0"/>
        <w:spacing w:line="400" w:lineRule="exact"/>
        <w:ind w:firstLine="420" w:firstLineChars="200"/>
        <w:jc w:val="left"/>
        <w:rPr>
          <w:highlight w:val="none"/>
        </w:rPr>
      </w:pPr>
      <w:r>
        <w:rPr>
          <w:rFonts w:ascii="宋体" w:hAnsi="宋体" w:hint="eastAsia"/>
          <w:szCs w:val="21"/>
          <w:highlight w:val="none"/>
        </w:rPr>
        <w:t>（4）甲方不得以行政区划调整、政府换届、机构或者职能调整以及相关责任人更替为由中止合同。</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16.3合同的终止</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（1）合同因有效期限届满而终止；</w:t>
      </w:r>
    </w:p>
    <w:p>
      <w:pPr>
        <w:snapToGrid w:val="0"/>
        <w:spacing w:line="400" w:lineRule="exact"/>
        <w:ind w:firstLine="420" w:firstLineChars="200"/>
        <w:rPr>
          <w:rFonts w:ascii="宋体" w:hAnsi="宋体" w:cs="宋体"/>
          <w:szCs w:val="21"/>
          <w:highlight w:val="none"/>
        </w:rPr>
      </w:pPr>
      <w:r>
        <w:rPr>
          <w:rFonts w:ascii="宋体" w:hAnsi="宋体" w:hint="eastAsia"/>
          <w:szCs w:val="21"/>
          <w:highlight w:val="none"/>
        </w:rPr>
        <w:t>（2）乙方未按合同约定履行，构成根本性违约的，甲方有权终止合同，</w:t>
      </w:r>
      <w:r>
        <w:rPr>
          <w:rFonts w:ascii="宋体" w:hAnsi="宋体" w:cs="宋体" w:hint="eastAsia"/>
          <w:szCs w:val="21"/>
          <w:highlight w:val="none"/>
        </w:rPr>
        <w:t>并追究乙方的违约责任</w:t>
      </w:r>
      <w:r>
        <w:rPr>
          <w:rFonts w:ascii="宋体" w:hAnsi="宋体" w:hint="eastAsia"/>
          <w:szCs w:val="21"/>
          <w:highlight w:val="none"/>
        </w:rPr>
        <w:t>。</w:t>
      </w:r>
    </w:p>
    <w:p>
      <w:pPr>
        <w:pStyle w:val="AONormal"/>
        <w:rPr>
          <w:rFonts w:ascii="宋体" w:hAnsi="宋体"/>
          <w:highlight w:val="none"/>
        </w:rPr>
      </w:pPr>
      <w:r>
        <w:rPr>
          <w:rFonts w:ascii="宋体" w:hAnsi="宋体" w:hint="eastAsia"/>
          <w:highlight w:val="none"/>
        </w:rPr>
        <w:t xml:space="preserve">16.4 </w:t>
      </w:r>
      <w:r>
        <w:rPr>
          <w:rFonts w:ascii="宋体" w:eastAsia="宋体" w:hAnsi="宋体" w:cs="Times New Roman" w:hint="eastAsia"/>
          <w:kern w:val="2"/>
          <w:sz w:val="21"/>
          <w:highlight w:val="none"/>
        </w:rPr>
        <w:t>涉及国家利益、社会公共利益的情形</w:t>
      </w:r>
    </w:p>
    <w:p>
      <w:pPr>
        <w:pStyle w:val="AONormal"/>
        <w:ind w:firstLine="420"/>
        <w:jc w:val="both"/>
        <w:rPr>
          <w:sz w:val="21"/>
          <w:highlight w:val="none"/>
        </w:rPr>
      </w:pPr>
      <w:r>
        <w:rPr>
          <w:rFonts w:ascii="宋体" w:eastAsia="宋体" w:hAnsi="宋体" w:cs="宋体" w:hint="eastAsia"/>
          <w:sz w:val="21"/>
          <w:highlight w:val="none"/>
        </w:rPr>
        <w:t>政府采购合同继续履行将损害国家利益和社会公共利益的，双方当事人应当变更、中止或者终止合同。有过错的一方应当承担赔偿责任，双方都有过错的，各自承担相应的责任。</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17. 合同分包</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17.1 乙方不得将合同转包给其他供应商。涉及合同分包的，乙方应根据采购文件和投标（响应）文件规定进行合同分包。</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17.2 乙方执行政府采购政策向中小企业依法分包的，乙方应当按采购文件和投标（响应）文件签订分包意向协议，分包意向协议属于本合同组成部分。</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18. 不可抗力</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18.1 不可抗力是指合同双方不能预见、不能避免且不能克服的客观情况。</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18.2 任何一方对由于不可抗力造成的部分或全部不能履行合同不承担违约责任。但迟延履行后发生不可抗力的，不能免除责任。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19. 解决争议的方法</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19.1 因本合同及合同有关事项发生的争议，由甲乙双方友好协商解决。协商不成时，可以向有关组织申请调解。合同一方或双方不愿调解或调解不成的，可以通过仲裁或诉讼的方式解决争议。</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19.2 选择仲裁的，应在</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中明确仲裁机构及仲裁地；通过诉讼方式解决的，可以在</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中进一步约定选择与争议有实际联系的地点的人民法院管辖，但管辖法院的约定不得违反级别管辖和专属管辖的规定。</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19.3 如甲乙双方有争议的事项不影响合同其他部分的履行，在争议解决期间，合同其他部分应当继续履行。</w:t>
      </w:r>
    </w:p>
    <w:p>
      <w:pPr>
        <w:autoSpaceDE w:val="0"/>
        <w:autoSpaceDN w:val="0"/>
        <w:adjustRightInd w:val="0"/>
        <w:snapToGrid w:val="0"/>
        <w:spacing w:line="400" w:lineRule="exact"/>
        <w:jc w:val="left"/>
        <w:rPr>
          <w:rFonts w:ascii="宋体" w:hAnsi="宋体"/>
          <w:highlight w:val="none"/>
        </w:rPr>
      </w:pPr>
      <w:r>
        <w:rPr>
          <w:rFonts w:ascii="宋体" w:hAnsi="宋体" w:hint="eastAsia"/>
          <w:b/>
          <w:sz w:val="24"/>
          <w:highlight w:val="none"/>
        </w:rPr>
        <w:t>20. 政府采购政策</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 xml:space="preserve">20.1 </w:t>
      </w:r>
      <w:r>
        <w:rPr>
          <w:rFonts w:ascii="宋体" w:hAnsi="宋体" w:cs="宋体" w:hint="eastAsia"/>
          <w:highlight w:val="none"/>
          <w:lang w:val="en-GB"/>
        </w:rPr>
        <w:t>本合同应当按照规定执行政府采购政策。</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szCs w:val="21"/>
          <w:highlight w:val="none"/>
        </w:rPr>
        <w:t>2</w:t>
      </w:r>
      <w:r>
        <w:rPr>
          <w:rFonts w:ascii="宋体" w:hAnsi="宋体" w:hint="eastAsia"/>
          <w:szCs w:val="21"/>
          <w:highlight w:val="none"/>
        </w:rPr>
        <w:t>0.2 本合同依法执行政府采购政策的方式和内容，属于合同履约验收的范围。</w:t>
      </w:r>
      <w:r>
        <w:rPr>
          <w:rFonts w:ascii="宋体" w:hAnsi="宋体" w:cs="宋体" w:hint="eastAsia"/>
          <w:highlight w:val="none"/>
        </w:rPr>
        <w:t>甲乙双方</w:t>
      </w:r>
      <w:r>
        <w:rPr>
          <w:rFonts w:ascii="宋体" w:hAnsi="宋体" w:cs="宋体" w:hint="eastAsia"/>
          <w:highlight w:val="none"/>
          <w:lang w:val="en-GB"/>
        </w:rPr>
        <w:t>未按规定要求执行政府采购政策造成损失的</w:t>
      </w:r>
      <w:r>
        <w:rPr>
          <w:rFonts w:ascii="宋体" w:hAnsi="宋体" w:hint="eastAsia"/>
          <w:szCs w:val="21"/>
          <w:highlight w:val="none"/>
        </w:rPr>
        <w:t>，有过错的一方应当承担赔偿责任，双方都有过错的，各自承担相应的责任。</w:t>
      </w:r>
    </w:p>
    <w:p>
      <w:pPr>
        <w:pStyle w:val="BodyText"/>
        <w:spacing w:after="0" w:line="400" w:lineRule="exact"/>
        <w:ind w:firstLine="420" w:firstLineChars="200"/>
        <w:rPr>
          <w:highlight w:val="none"/>
        </w:rPr>
      </w:pPr>
      <w:r>
        <w:rPr>
          <w:rFonts w:ascii="宋体" w:hAnsi="宋体"/>
          <w:color w:val="auto"/>
          <w:szCs w:val="21"/>
          <w:highlight w:val="none"/>
        </w:rPr>
        <w:t>2</w:t>
      </w:r>
      <w:r>
        <w:rPr>
          <w:rFonts w:ascii="宋体" w:hAnsi="宋体" w:hint="eastAsia"/>
          <w:color w:val="auto"/>
          <w:szCs w:val="21"/>
          <w:highlight w:val="none"/>
          <w:lang w:val="en-US"/>
        </w:rPr>
        <w:t>0</w:t>
      </w:r>
      <w:r>
        <w:rPr>
          <w:rFonts w:ascii="宋体" w:hAnsi="宋体" w:hint="eastAsia"/>
          <w:color w:val="auto"/>
          <w:szCs w:val="21"/>
          <w:highlight w:val="none"/>
        </w:rPr>
        <w:t>.</w:t>
      </w:r>
      <w:r>
        <w:rPr>
          <w:rFonts w:ascii="宋体" w:hAnsi="宋体" w:hint="eastAsia"/>
          <w:color w:val="auto"/>
          <w:szCs w:val="21"/>
          <w:highlight w:val="none"/>
          <w:lang w:val="en-US"/>
        </w:rPr>
        <w:t>3</w:t>
      </w:r>
      <w:r>
        <w:rPr>
          <w:rFonts w:ascii="宋体" w:hAnsi="宋体" w:hint="eastAsia"/>
          <w:color w:val="auto"/>
          <w:szCs w:val="21"/>
          <w:highlight w:val="none"/>
        </w:rPr>
        <w:t xml:space="preserve">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p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21. 法律适用</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21.1 本合同的订立、生效、解释、履行及与本合同有关的争议解决，均适用法律、行政法规。</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21.2 本合同条款与法律、行政法规的强制性规定不一致的，双方当事人应按照法律、行政法规的强制性规定修改本合同的相关条款。</w:t>
      </w:r>
    </w:p>
    <w:p>
      <w:pPr>
        <w:numPr>
          <w:ilvl w:val="0"/>
          <w:numId w:val="0"/>
        </w:num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22. 通知</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22.1 本合同任何一方向对方发出的通知、信件、数据电文等，应当发送至本合同第一部分《政府采购合同协议书》所约定的通讯地址、联系人、联系电话或电子邮箱。</w:t>
      </w:r>
    </w:p>
    <w:p>
      <w:pPr>
        <w:pStyle w:val="AONormal"/>
        <w:ind w:firstLine="0" w:firstLineChars="0"/>
        <w:jc w:val="both"/>
        <w:rPr>
          <w:sz w:val="21"/>
          <w:highlight w:val="none"/>
        </w:rPr>
      </w:pPr>
      <w:r>
        <w:rPr>
          <w:rFonts w:ascii="宋体" w:eastAsia="宋体" w:hAnsi="宋体" w:cs="宋体" w:hint="eastAsia"/>
          <w:sz w:val="21"/>
          <w:highlight w:val="none"/>
        </w:rPr>
        <w:t xml:space="preserve">    22.2 一方当事人变更名称、住所、联系人、联系电话或电子邮箱等信息的，应当在变更后3日内及时书面通知对方，对方实际收到变更通知前的送达仍为有效送达。</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22.3本合同一方给另一方的通知均应采用书面形式，传真或快递送到本合同中规定的对方的地址和办理签收手续。</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22.4通知以送达之日或通知书中规定的生效之日起生效，两者中以较迟之日为准。</w:t>
      </w:r>
    </w:p>
    <w:p>
      <w:pPr>
        <w:numPr>
          <w:ilvl w:val="0"/>
          <w:numId w:val="12"/>
        </w:numPr>
        <w:adjustRightInd w:val="0"/>
        <w:snapToGrid w:val="0"/>
        <w:spacing w:line="400" w:lineRule="exact"/>
        <w:jc w:val="left"/>
        <w:rPr>
          <w:rFonts w:ascii="宋体" w:hAnsi="宋体"/>
          <w:b/>
          <w:bCs/>
          <w:highlight w:val="none"/>
        </w:rPr>
      </w:pPr>
      <w:r>
        <w:rPr>
          <w:rFonts w:ascii="宋体" w:hAnsi="宋体" w:hint="eastAsia"/>
          <w:b/>
          <w:bCs/>
          <w:sz w:val="24"/>
          <w:highlight w:val="none"/>
        </w:rPr>
        <w:t>合同未尽事项</w:t>
      </w:r>
    </w:p>
    <w:p>
      <w:pPr>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23.1合同未尽事项见</w:t>
      </w:r>
      <w:r>
        <w:rPr>
          <w:rFonts w:ascii="宋体" w:hAnsi="宋体" w:hint="eastAsia"/>
          <w:b/>
          <w:szCs w:val="21"/>
          <w:highlight w:val="none"/>
        </w:rPr>
        <w:t>【政府采购合同专用条款】</w:t>
      </w:r>
      <w:r>
        <w:rPr>
          <w:rFonts w:ascii="宋体" w:hAnsi="宋体" w:hint="eastAsia"/>
          <w:bCs/>
          <w:szCs w:val="21"/>
          <w:highlight w:val="none"/>
        </w:rPr>
        <w:t>。</w:t>
      </w:r>
    </w:p>
    <w:p>
      <w:pPr>
        <w:adjustRightInd w:val="0"/>
        <w:snapToGrid w:val="0"/>
        <w:spacing w:line="400" w:lineRule="exact"/>
        <w:jc w:val="left"/>
        <w:rPr>
          <w:rFonts w:ascii="黑体" w:eastAsia="黑体" w:hAnsi="华文中宋"/>
          <w:sz w:val="28"/>
          <w:szCs w:val="28"/>
          <w:highlight w:val="none"/>
        </w:rPr>
      </w:pPr>
      <w:r>
        <w:rPr>
          <w:rFonts w:ascii="宋体" w:hAnsi="宋体" w:hint="eastAsia"/>
          <w:bCs/>
          <w:szCs w:val="21"/>
          <w:highlight w:val="none"/>
        </w:rPr>
        <w:t xml:space="preserve">    23.2 合同附件与合同正文具有同等的法律效力。</w:t>
      </w:r>
      <w:bookmarkStart w:id="74" w:name="_Toc20313"/>
    </w:p>
    <w:p>
      <w:pPr>
        <w:adjustRightInd w:val="0"/>
        <w:snapToGrid w:val="0"/>
        <w:jc w:val="center"/>
        <w:rPr>
          <w:rFonts w:ascii="黑体" w:eastAsia="黑体" w:hAnsi="华文中宋"/>
          <w:sz w:val="28"/>
          <w:szCs w:val="28"/>
          <w:highlight w:val="none"/>
        </w:rPr>
      </w:pPr>
      <w:r>
        <w:rPr>
          <w:rFonts w:ascii="黑体" w:eastAsia="黑体" w:hAnsi="华文中宋" w:hint="eastAsia"/>
          <w:sz w:val="28"/>
          <w:szCs w:val="28"/>
          <w:highlight w:val="none"/>
        </w:rPr>
        <w:br w:type="page"/>
      </w:r>
    </w:p>
    <w:p>
      <w:pPr>
        <w:pStyle w:val="Heading2"/>
        <w:numPr>
          <w:ilvl w:val="0"/>
          <w:numId w:val="0"/>
        </w:numPr>
        <w:adjustRightInd w:val="0"/>
        <w:snapToGrid w:val="0"/>
        <w:jc w:val="center"/>
        <w:rPr>
          <w:rFonts w:ascii="黑体" w:hAnsi="华文中宋"/>
          <w:b w:val="0"/>
          <w:bCs w:val="0"/>
          <w:sz w:val="28"/>
          <w:szCs w:val="28"/>
          <w:highlight w:val="none"/>
        </w:rPr>
      </w:pPr>
      <w:r>
        <w:rPr>
          <w:rFonts w:ascii="黑体" w:hAnsi="华文中宋" w:hint="eastAsia"/>
          <w:b w:val="0"/>
          <w:bCs w:val="0"/>
          <w:sz w:val="28"/>
          <w:szCs w:val="28"/>
          <w:highlight w:val="none"/>
        </w:rPr>
        <w:t>第三节 政府采购合同专用条款</w:t>
      </w:r>
      <w:bookmarkEnd w:id="74"/>
    </w:p>
    <w:tbl>
      <w:tblPr>
        <w:tblStyle w:val="TableNormal"/>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
      <w:tblGrid>
        <w:gridCol w:w="1607"/>
        <w:gridCol w:w="1742"/>
        <w:gridCol w:w="5170"/>
      </w:tblGrid>
      <w:tr>
        <w:tblPrEx>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第1.2（6）项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联合体具体要求</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0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第1.2（7）项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其他术语解释</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第4.4款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履约验收中甲方提出异议或作出说明的期限</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第4.6款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约定甲方承担的其他义务和责任</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snapToGrid w:val="0"/>
              <w:jc w:val="center"/>
              <w:rPr>
                <w:highlight w:val="none"/>
              </w:rPr>
            </w:pPr>
            <w:r>
              <w:rPr>
                <w:rFonts w:ascii="宋体" w:hAnsi="宋体" w:hint="eastAsia"/>
                <w:szCs w:val="21"/>
                <w:highlight w:val="none"/>
              </w:rPr>
              <w:t>第5.4款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约定乙方承担的其他义务和责任</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snapToGrid w:val="0"/>
              <w:jc w:val="center"/>
              <w:rPr>
                <w:rFonts w:ascii="宋体" w:hAnsi="宋体"/>
                <w:szCs w:val="21"/>
                <w:highlight w:val="none"/>
              </w:rPr>
            </w:pPr>
            <w:r>
              <w:rPr>
                <w:rFonts w:ascii="宋体" w:hAnsi="宋体" w:hint="eastAsia"/>
                <w:szCs w:val="21"/>
                <w:highlight w:val="none"/>
              </w:rPr>
              <w:t>第6.1款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履行合同义务的顺序</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vMerge w:val="restart"/>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包装特殊要求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vMerge/>
            <w:noWrap w:val="0"/>
            <w:vAlign w:val="center"/>
          </w:tcPr>
          <w:p>
            <w:pPr>
              <w:adjustRightInd w:val="0"/>
              <w:snapToGrid w:val="0"/>
              <w:jc w:val="center"/>
              <w:rPr>
                <w:rFonts w:ascii="宋体" w:hAnsi="宋体"/>
                <w:szCs w:val="21"/>
                <w:highlight w:val="none"/>
              </w:rPr>
            </w:pP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指定现场</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772"/>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运输特殊要求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保险要求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第8.2（1）项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质量保证期</w:t>
            </w:r>
          </w:p>
        </w:tc>
        <w:tc>
          <w:tcPr>
            <w:tcW w:w="5170" w:type="dxa"/>
            <w:noWrap w:val="0"/>
            <w:vAlign w:val="center"/>
          </w:tcPr>
          <w:p>
            <w:pPr>
              <w:autoSpaceDE w:val="0"/>
              <w:autoSpaceDN w:val="0"/>
              <w:adjustRightInd w:val="0"/>
              <w:snapToGrid w:val="0"/>
              <w:ind w:firstLine="420" w:firstLineChars="20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第8.2（3）项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货物质量缺陷</w:t>
            </w:r>
          </w:p>
          <w:p>
            <w:pPr>
              <w:adjustRightInd w:val="0"/>
              <w:snapToGrid w:val="0"/>
              <w:jc w:val="left"/>
              <w:rPr>
                <w:rFonts w:ascii="宋体" w:hAnsi="宋体"/>
                <w:szCs w:val="21"/>
                <w:highlight w:val="none"/>
              </w:rPr>
            </w:pPr>
            <w:r>
              <w:rPr>
                <w:rFonts w:ascii="宋体" w:hAnsi="宋体" w:hint="eastAsia"/>
                <w:szCs w:val="21"/>
                <w:highlight w:val="none"/>
              </w:rPr>
              <w:t>响应时间</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snapToGrid w:val="0"/>
              <w:jc w:val="center"/>
              <w:rPr>
                <w:rFonts w:ascii="宋体" w:hAnsi="宋体" w:cs="宋体"/>
                <w:szCs w:val="21"/>
                <w:highlight w:val="none"/>
              </w:rPr>
            </w:pPr>
            <w:r>
              <w:rPr>
                <w:rFonts w:ascii="宋体" w:hAnsi="宋体" w:cs="宋体" w:hint="eastAsia"/>
                <w:szCs w:val="21"/>
                <w:highlight w:val="none"/>
              </w:rPr>
              <w:t>第二节</w:t>
            </w:r>
          </w:p>
          <w:p>
            <w:pPr>
              <w:pStyle w:val="AONormal"/>
              <w:ind w:firstLine="0" w:firstLineChars="0"/>
              <w:jc w:val="center"/>
              <w:rPr>
                <w:highlight w:val="none"/>
              </w:rPr>
            </w:pPr>
            <w:r>
              <w:rPr>
                <w:rFonts w:ascii="宋体" w:eastAsia="宋体" w:hAnsi="宋体" w:cs="宋体" w:hint="eastAsia"/>
                <w:highlight w:val="none"/>
              </w:rPr>
              <w:t>第11.1款</w:t>
            </w:r>
          </w:p>
        </w:tc>
        <w:tc>
          <w:tcPr>
            <w:tcW w:w="1742" w:type="dxa"/>
            <w:noWrap w:val="0"/>
            <w:vAlign w:val="center"/>
          </w:tcPr>
          <w:p>
            <w:pPr>
              <w:adjustRightInd w:val="0"/>
              <w:snapToGrid w:val="0"/>
              <w:rPr>
                <w:rFonts w:ascii="宋体" w:hAnsi="宋体"/>
                <w:szCs w:val="21"/>
                <w:highlight w:val="none"/>
              </w:rPr>
            </w:pPr>
            <w:r>
              <w:rPr>
                <w:rFonts w:ascii="宋体" w:hAnsi="宋体" w:hint="eastAsia"/>
                <w:szCs w:val="21"/>
                <w:highlight w:val="none"/>
              </w:rPr>
              <w:t>其他应当保密的信息</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9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合同价款支付时间</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9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第13.2款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履约保证金不予退还的情形</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第13.3款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履约保证金退还时间及逾期退还的违约金</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8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第14.1（3）项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运行监督、维修期限</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8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第14.1（5）项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货物回收的约定</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第14.1（6）项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乙方提供的其他服务</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修理、重作、更换相关具体规定</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第15.2（2）项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迟延交货赔偿费</w:t>
            </w:r>
          </w:p>
        </w:tc>
        <w:tc>
          <w:tcPr>
            <w:tcW w:w="5170" w:type="dxa"/>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逾期付款利息</w:t>
            </w:r>
          </w:p>
        </w:tc>
        <w:tc>
          <w:tcPr>
            <w:tcW w:w="5170" w:type="dxa"/>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876"/>
        </w:trPr>
        <w:tc>
          <w:tcPr>
            <w:tcW w:w="1607" w:type="dxa"/>
            <w:tcBorders>
              <w:bottom w:val="single" w:sz="2" w:space="0" w:color="auto"/>
              <w:right w:val="single" w:sz="2" w:space="0" w:color="auto"/>
            </w:tcBorders>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第15.4款</w:t>
            </w:r>
          </w:p>
        </w:tc>
        <w:tc>
          <w:tcPr>
            <w:tcW w:w="1742" w:type="dxa"/>
            <w:tcBorders>
              <w:left w:val="single" w:sz="2" w:space="0" w:color="auto"/>
              <w:bottom w:val="single" w:sz="2" w:space="0" w:color="auto"/>
              <w:right w:val="single" w:sz="2" w:space="0" w:color="auto"/>
            </w:tcBorders>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其他违约责任</w:t>
            </w:r>
          </w:p>
        </w:tc>
        <w:tc>
          <w:tcPr>
            <w:tcW w:w="5170" w:type="dxa"/>
            <w:tcBorders>
              <w:left w:val="single" w:sz="2" w:space="0" w:color="auto"/>
              <w:bottom w:val="single" w:sz="2" w:space="0" w:color="auto"/>
            </w:tcBorders>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90"/>
        </w:trPr>
        <w:tc>
          <w:tcPr>
            <w:tcW w:w="1607" w:type="dxa"/>
            <w:tcBorders>
              <w:top w:val="single" w:sz="2" w:space="0" w:color="auto"/>
              <w:right w:val="single" w:sz="2" w:space="0" w:color="auto"/>
            </w:tcBorders>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第19.2款</w:t>
            </w:r>
          </w:p>
        </w:tc>
        <w:tc>
          <w:tcPr>
            <w:tcW w:w="1742" w:type="dxa"/>
            <w:tcBorders>
              <w:top w:val="single" w:sz="2" w:space="0" w:color="auto"/>
              <w:left w:val="single" w:sz="2" w:space="0" w:color="auto"/>
              <w:right w:val="single" w:sz="2" w:space="0" w:color="auto"/>
            </w:tcBorders>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解决争议的方法</w:t>
            </w:r>
          </w:p>
        </w:tc>
        <w:tc>
          <w:tcPr>
            <w:tcW w:w="5170" w:type="dxa"/>
            <w:tcBorders>
              <w:top w:val="single" w:sz="2" w:space="0" w:color="auto"/>
              <w:left w:val="single" w:sz="2" w:space="0" w:color="auto"/>
            </w:tcBorders>
            <w:noWrap w:val="0"/>
            <w:vAlign w:val="center"/>
          </w:tcPr>
          <w:p>
            <w:pPr>
              <w:autoSpaceDE w:val="0"/>
              <w:autoSpaceDN w:val="0"/>
              <w:adjustRightInd w:val="0"/>
              <w:snapToGrid w:val="0"/>
              <w:spacing w:line="400" w:lineRule="exact"/>
              <w:jc w:val="left"/>
              <w:rPr>
                <w:rFonts w:ascii="宋体" w:hAnsi="宋体" w:cs="宋体"/>
                <w:iCs/>
                <w:szCs w:val="21"/>
                <w:highlight w:val="none"/>
              </w:rPr>
            </w:pPr>
            <w:r>
              <w:rPr>
                <w:rFonts w:ascii="宋体" w:hAnsi="宋体" w:cs="宋体" w:hint="eastAsia"/>
                <w:iCs/>
                <w:szCs w:val="21"/>
                <w:highlight w:val="none"/>
              </w:rPr>
              <w:t>因本合同及合同有关事项发生的争议，按下列第</w:t>
            </w:r>
            <w:r>
              <w:rPr>
                <w:rFonts w:ascii="宋体" w:hAnsi="宋体" w:cs="宋体" w:hint="eastAsia"/>
                <w:iCs/>
                <w:szCs w:val="21"/>
                <w:highlight w:val="none"/>
                <w:u w:val="single"/>
              </w:rPr>
              <w:t xml:space="preserve">   </w:t>
            </w:r>
            <w:r>
              <w:rPr>
                <w:rFonts w:ascii="宋体" w:hAnsi="宋体" w:cs="宋体" w:hint="eastAsia"/>
                <w:iCs/>
                <w:szCs w:val="21"/>
                <w:highlight w:val="none"/>
              </w:rPr>
              <w:t>种方式解决：</w:t>
            </w:r>
          </w:p>
          <w:p>
            <w:pPr>
              <w:autoSpaceDE w:val="0"/>
              <w:autoSpaceDN w:val="0"/>
              <w:adjustRightInd w:val="0"/>
              <w:snapToGrid w:val="0"/>
              <w:spacing w:line="400" w:lineRule="exact"/>
              <w:jc w:val="left"/>
              <w:rPr>
                <w:rFonts w:ascii="宋体" w:hAnsi="宋体" w:cs="宋体"/>
                <w:iCs/>
                <w:szCs w:val="21"/>
                <w:highlight w:val="none"/>
              </w:rPr>
            </w:pPr>
            <w:r>
              <w:rPr>
                <w:rFonts w:ascii="宋体" w:hAnsi="宋体" w:cs="宋体" w:hint="eastAsia"/>
                <w:iCs/>
                <w:szCs w:val="21"/>
                <w:highlight w:val="none"/>
              </w:rPr>
              <w:t>（1）向</w:t>
            </w:r>
            <w:r>
              <w:rPr>
                <w:rFonts w:ascii="宋体" w:hAnsi="宋体" w:cs="宋体" w:hint="eastAsia"/>
                <w:iCs/>
                <w:szCs w:val="21"/>
                <w:highlight w:val="none"/>
                <w:u w:val="single"/>
              </w:rPr>
              <w:t xml:space="preserve">                    </w:t>
            </w:r>
            <w:r>
              <w:rPr>
                <w:rFonts w:ascii="宋体" w:hAnsi="宋体" w:cs="宋体" w:hint="eastAsia"/>
                <w:iCs/>
                <w:szCs w:val="21"/>
                <w:highlight w:val="none"/>
              </w:rPr>
              <w:t>仲裁委员会申请仲裁，仲裁地点为</w:t>
            </w:r>
            <w:r>
              <w:rPr>
                <w:rFonts w:ascii="宋体" w:hAnsi="宋体" w:cs="宋体" w:hint="eastAsia"/>
                <w:iCs/>
                <w:szCs w:val="21"/>
                <w:highlight w:val="none"/>
                <w:u w:val="single"/>
              </w:rPr>
              <w:t xml:space="preserve">           </w:t>
            </w:r>
            <w:r>
              <w:rPr>
                <w:rFonts w:ascii="宋体" w:hAnsi="宋体" w:cs="宋体" w:hint="eastAsia"/>
                <w:iCs/>
                <w:szCs w:val="21"/>
                <w:highlight w:val="none"/>
              </w:rPr>
              <w:t>；</w:t>
            </w:r>
          </w:p>
          <w:p>
            <w:pPr>
              <w:adjustRightInd w:val="0"/>
              <w:snapToGrid w:val="0"/>
              <w:jc w:val="left"/>
              <w:rPr>
                <w:rFonts w:ascii="宋体" w:hAnsi="宋体"/>
                <w:szCs w:val="21"/>
                <w:highlight w:val="none"/>
                <w:u w:val="single"/>
              </w:rPr>
            </w:pPr>
            <w:r>
              <w:rPr>
                <w:rFonts w:ascii="宋体" w:hAnsi="宋体" w:cs="宋体" w:hint="eastAsia"/>
                <w:iCs/>
                <w:szCs w:val="21"/>
                <w:highlight w:val="none"/>
              </w:rPr>
              <w:t>（2）向</w:t>
            </w:r>
            <w:r>
              <w:rPr>
                <w:rFonts w:ascii="宋体" w:hAnsi="宋体" w:cs="宋体" w:hint="eastAsia"/>
                <w:iCs/>
                <w:szCs w:val="21"/>
                <w:highlight w:val="none"/>
                <w:u w:val="single"/>
              </w:rPr>
              <w:t xml:space="preserve">                    </w:t>
            </w:r>
            <w:r>
              <w:rPr>
                <w:rFonts w:ascii="宋体" w:hAnsi="宋体" w:cs="宋体" w:hint="eastAsia"/>
                <w:iCs/>
                <w:szCs w:val="21"/>
                <w:highlight w:val="none"/>
              </w:rPr>
              <w:t>人民法院起诉。</w:t>
            </w:r>
          </w:p>
        </w:tc>
      </w:tr>
      <w:tr>
        <w:tblPrEx>
          <w:tblW w:w="8519" w:type="dxa"/>
          <w:tblInd w:w="108" w:type="dxa"/>
          <w:tblLayout w:type="fixed"/>
          <w:tblCellMar>
            <w:top w:w="0" w:type="dxa"/>
            <w:left w:w="108" w:type="dxa"/>
            <w:bottom w:w="0" w:type="dxa"/>
            <w:right w:w="108" w:type="dxa"/>
          </w:tblCellMar>
        </w:tblPrEx>
        <w:trPr>
          <w:trHeight w:val="770"/>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第23.1款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bCs/>
                <w:szCs w:val="21"/>
                <w:highlight w:val="none"/>
              </w:rPr>
              <w:t>其他专用条款</w:t>
            </w:r>
          </w:p>
        </w:tc>
        <w:tc>
          <w:tcPr>
            <w:tcW w:w="5170" w:type="dxa"/>
            <w:noWrap w:val="0"/>
            <w:vAlign w:val="center"/>
          </w:tcPr>
          <w:p>
            <w:pPr>
              <w:adjustRightInd w:val="0"/>
              <w:snapToGrid w:val="0"/>
              <w:jc w:val="left"/>
              <w:rPr>
                <w:rFonts w:ascii="宋体" w:hAnsi="宋体"/>
                <w:szCs w:val="21"/>
                <w:highlight w:val="none"/>
              </w:rPr>
            </w:pPr>
          </w:p>
        </w:tc>
      </w:tr>
    </w:tbl>
    <w:p>
      <w:pPr>
        <w:rPr>
          <w:highlight w:val="none"/>
        </w:rPr>
      </w:pPr>
    </w:p>
    <w:p>
      <w:pPr>
        <w:rPr>
          <w:b/>
          <w:bCs/>
          <w:sz w:val="44"/>
          <w:szCs w:val="44"/>
          <w:highlight w:val="none"/>
        </w:rPr>
      </w:pPr>
    </w:p>
    <w:p>
      <w:pPr>
        <w:rPr>
          <w:highlight w:val="none"/>
        </w:rPr>
      </w:pPr>
    </w:p>
    <w:p w:rsidR="00A77B3E"/>
    <w:p>
      <w:pPr>
        <w:numPr>
          <w:ilvl w:val="0"/>
          <w:numId w:val="4"/>
        </w:numPr>
        <w:spacing w:line="360" w:lineRule="auto"/>
        <w:ind w:firstLine="3066" w:firstLineChars="1460"/>
        <w:jc w:val="left"/>
        <w:rPr>
          <w:rFonts w:hint="eastAsia"/>
          <w:b/>
          <w:bCs/>
          <w:szCs w:val="21"/>
          <w:highlight w:val="none"/>
        </w:rPr>
      </w:pPr>
      <w:bookmarkEnd w:id="69"/>
    </w:p>
    <w:sectPr>
      <w:pgSz w:w="11906" w:h="16838"/>
      <w:pgMar w:top="1440" w:right="1800" w:bottom="1440" w:left="1800" w:header="851" w:footer="992" w:gutter="0"/>
      <w:cols w:num="1" w:space="425"/>
      <w:docGrid w:type="lines" w:linePitch="312" w:charSpace="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40001" w:csb1="00000000"/>
  </w:font>
  <w:font w:name="Arial">
    <w:panose1 w:val="020B0604020202020204"/>
    <w:charset w:val="01"/>
    <w:family w:val="swiss"/>
    <w:pitch w:val="variable"/>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ambria">
    <w:altName w:val="Noto Sans Syriac Eastern"/>
    <w:panose1 w:val="02040503050406030204"/>
    <w:charset w:val="00"/>
    <w:family w:val="roman"/>
    <w:pitch w:val="variable"/>
    <w:sig w:usb0="E00006FF" w:usb1="420024FF" w:usb2="02000000" w:usb3="00000000" w:csb0="2000019F" w:csb1="00000000"/>
  </w:font>
  <w:font w:name="微软雅黑">
    <w:altName w:val="黑体"/>
    <w:panose1 w:val="020B0503020204020204"/>
    <w:charset w:val="86"/>
    <w:family w:val="swiss"/>
    <w:pitch w:val="variable"/>
    <w:sig w:usb0="80000287" w:usb1="2ACF3C50" w:usb2="00000016" w:usb3="00000000" w:csb0="0004001F" w:csb1="00000000"/>
  </w:font>
  <w:font w:name="Courier New">
    <w:panose1 w:val="02070309020205020404"/>
    <w:charset w:val="01"/>
    <w:family w:val="modern"/>
    <w:pitch w:val="default"/>
    <w:sig w:usb0="E0002EFF" w:usb1="C0007843" w:usb2="00000009" w:usb3="00000000" w:csb0="400001FF" w:csb1="FFFF0000"/>
  </w:font>
  <w:font w:name="Calibri">
    <w:altName w:val="DejaVu Sans"/>
    <w:panose1 w:val="020F0502020204030204"/>
    <w:charset w:val="00"/>
    <w:family w:val="swiss"/>
    <w:pitch w:val="variable"/>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华文楷体">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modern"/>
    <w:pitch w:val="default"/>
    <w:sig w:usb0="00000001" w:usb1="080E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default"/>
    <w:sig w:usb0="00000000" w:usb1="00000000" w:usb2="00000000" w:usb3="00000000" w:csb0="80000000" w:csb1="00000000"/>
  </w:font>
  <w:font w:name="Wingdings 2">
    <w:panose1 w:val="05020102010507070707"/>
    <w:charset w:val="02"/>
    <w:family w:val="roman"/>
    <w:pitch w:val="default"/>
    <w:sig w:usb0="00000000" w:usb1="0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楷体">
    <w:panose1 w:val="02010609060101010101"/>
    <w:charset w:val="86"/>
    <w:family w:val="modern"/>
    <w:pitch w:val="default"/>
    <w:sig w:usb0="800002BF" w:usb1="38CF7CFA" w:usb2="00000016" w:usb3="00000000" w:csb0="00040001" w:csb1="00000000"/>
  </w:font>
  <w:font w:name="华文中宋">
    <w:panose1 w:val="02010600040101010101"/>
    <w:charset w:val="86"/>
    <w:family w:val="auto"/>
    <w:pitch w:val="default"/>
    <w:sig w:usb0="00000287" w:usb1="080F0000" w:usb2="00000000" w:usb3="00000000" w:csb0="0004009F" w:csb1="DFD70000"/>
  </w:font>
  <w:font w:name="汉仪书宋二S">
    <w:altName w:val="Times New Roman"/>
    <w:panose1 w:val="00000000000000000000"/>
    <w:charset w:val="00"/>
    <w:family w:val="auto"/>
    <w:pitch w:val="default"/>
    <w:sig w:usb0="00000000" w:usb1="00000000" w:usb2="00000000" w:usb3="00000000" w:csb0="00000001" w:csb1="00000000"/>
  </w:font>
  <w:font w:name="Microsoft YaHei UI">
    <w:panose1 w:val="020B0503020204020204"/>
    <w:charset w:val="86"/>
    <w:family w:val="auto"/>
    <w:pitch w:val="default"/>
    <w:sig w:usb0="80000287" w:usb1="2ACF3C50" w:usb2="00000016" w:usb3="00000000" w:csb0="0004001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71</w:t>
    </w:r>
    <w:r>
      <w:fldChar w:fldCharType="end"/>
    </w:r>
  </w:p>
  <w:p>
    <w:pPr>
      <w:pStyle w:val="Footer"/>
      <w:tabs>
        <w:tab w:val="center" w:pos="4153"/>
        <w:tab w:val="right" w:pos="8306"/>
      </w:tabs>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6" o:spid="_x0000_s2049" type="#_x0000_t136" style="width:567.75pt;height:51.6pt;margin-top:0;margin-left:0;mso-position-horizontal:center;mso-position-horizontal-relative:margin;mso-position-vertical:center;mso-position-vertical-relative:margin;mso-wrap-style:square;position:absolute;rotation:315;z-index:-251658240" o:allowincell="f" filled="t" fillcolor="silver" stroked="f">
          <v:fill opacity="0.5"/>
          <v:stroke linestyle="single"/>
          <v:textpath style="font-family:宋体;font-size:8pt" string="中国气象局政府采购中心"/>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50" type="#_x0000_t136" style="width:567.75pt;height:51.6pt;margin-top:0;margin-left:0;mso-position-horizontal:center;mso-position-horizontal-relative:margin;mso-position-vertical:center;mso-position-vertical-relative:margin;mso-wrap-style:square;position:absolute;rotation:315;z-index:-251657216" o:allowincell="f" filled="t" fillcolor="silver" stroked="f">
          <v:fill opacity="0.5"/>
          <v:stroke linestyle="single"/>
          <v:textpath style="font-family:宋体;font-size:8pt" string="中国气象局政府采购中心"/>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BF6BC116"/>
    <w:multiLevelType w:val="singleLevel"/>
    <w:tmpl w:val="BF6BC116"/>
    <w:lvl w:ilvl="0">
      <w:start w:val="16"/>
      <w:numFmt w:val="decimal"/>
      <w:suff w:val="space"/>
      <w:lvlText w:val="%1."/>
      <w:lvlJc w:val="left"/>
    </w:lvl>
  </w:abstractNum>
  <w:abstractNum w:abstractNumId="1">
    <w:nsid w:val="CFE7C3F8"/>
    <w:multiLevelType w:val="singleLevel"/>
    <w:tmpl w:val="CFE7C3F8"/>
    <w:lvl w:ilvl="0">
      <w:start w:val="1"/>
      <w:numFmt w:val="decimal"/>
      <w:suff w:val="nothing"/>
      <w:lvlText w:val="（%1）"/>
      <w:lvlJc w:val="left"/>
    </w:lvl>
  </w:abstractNum>
  <w:abstractNum w:abstractNumId="2">
    <w:nsid w:val="DDECD3BC"/>
    <w:multiLevelType w:val="singleLevel"/>
    <w:tmpl w:val="DDECD3BC"/>
    <w:lvl w:ilvl="0">
      <w:start w:val="6"/>
      <w:numFmt w:val="decimal"/>
      <w:suff w:val="space"/>
      <w:lvlText w:val="%1."/>
      <w:lvlJc w:val="left"/>
    </w:lvl>
  </w:abstractNum>
  <w:abstractNum w:abstractNumId="3">
    <w:nsid w:val="DE759F4B"/>
    <w:multiLevelType w:val="singleLevel"/>
    <w:tmpl w:val="DE759F4B"/>
    <w:lvl w:ilvl="0">
      <w:start w:val="2"/>
      <w:numFmt w:val="decimal"/>
      <w:suff w:val="space"/>
      <w:lvlText w:val="%1."/>
      <w:lvlJc w:val="left"/>
    </w:lvl>
  </w:abstractNum>
  <w:abstractNum w:abstractNumId="4">
    <w:nsid w:val="DEABE1DB"/>
    <w:multiLevelType w:val="singleLevel"/>
    <w:tmpl w:val="DEABE1DB"/>
    <w:lvl w:ilvl="0">
      <w:start w:val="23"/>
      <w:numFmt w:val="decimal"/>
      <w:suff w:val="space"/>
      <w:lvlText w:val="%1."/>
      <w:lvlJc w:val="left"/>
    </w:lvl>
  </w:abstractNum>
  <w:abstractNum w:abstractNumId="5">
    <w:nsid w:val="FFEFC674"/>
    <w:multiLevelType w:val="singleLevel"/>
    <w:tmpl w:val="FFEFC674"/>
    <w:lvl w:ilvl="0">
      <w:start w:val="1"/>
      <w:numFmt w:val="decimal"/>
      <w:suff w:val="nothing"/>
      <w:lvlText w:val="（%1）"/>
      <w:lvlJc w:val="left"/>
    </w:lvl>
  </w:abstractNum>
  <w:abstractNum w:abstractNumId="6">
    <w:nsid w:val="00000003"/>
    <w:multiLevelType w:val="multilevel"/>
    <w:tmpl w:val="00000003"/>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7">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8">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0">
    <w:nsid w:val="3A08072B"/>
    <w:multiLevelType w:val="multilevel"/>
    <w:tmpl w:val="3A08072B"/>
    <w:lvl w:ilvl="0">
      <w:start w:val="12"/>
      <w:numFmt w:val="decimal"/>
      <w:lvlText w:val="%1"/>
      <w:lvlJc w:val="left"/>
      <w:pPr>
        <w:ind w:left="440" w:hanging="440"/>
      </w:pPr>
      <w:rPr>
        <w:rFonts w:hint="default"/>
      </w:rPr>
    </w:lvl>
    <w:lvl w:ilvl="1">
      <w:start w:val="1"/>
      <w:numFmt w:val="decimal"/>
      <w:lvlText w:val="%1.%2"/>
      <w:lvlJc w:val="left"/>
      <w:pPr>
        <w:ind w:left="1140" w:hanging="7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3120" w:hanging="1440"/>
      </w:pPr>
      <w:rPr>
        <w:rFonts w:hint="default"/>
      </w:rPr>
    </w:lvl>
    <w:lvl w:ilvl="5">
      <w:start w:val="1"/>
      <w:numFmt w:val="decimal"/>
      <w:lvlText w:val="%1.%2.%3.%4.%5.%6"/>
      <w:lvlJc w:val="left"/>
      <w:pPr>
        <w:ind w:left="3900" w:hanging="1800"/>
      </w:pPr>
      <w:rPr>
        <w:rFonts w:hint="default"/>
      </w:rPr>
    </w:lvl>
    <w:lvl w:ilvl="6">
      <w:start w:val="1"/>
      <w:numFmt w:val="decimal"/>
      <w:lvlText w:val="%1.%2.%3.%4.%5.%6.%7"/>
      <w:lvlJc w:val="left"/>
      <w:pPr>
        <w:ind w:left="4320" w:hanging="1800"/>
      </w:pPr>
      <w:rPr>
        <w:rFonts w:hint="default"/>
      </w:rPr>
    </w:lvl>
    <w:lvl w:ilvl="7">
      <w:start w:val="1"/>
      <w:numFmt w:val="decimal"/>
      <w:lvlText w:val="%1.%2.%3.%4.%5.%6.%7.%8"/>
      <w:lvlJc w:val="left"/>
      <w:pPr>
        <w:ind w:left="5100" w:hanging="2160"/>
      </w:pPr>
      <w:rPr>
        <w:rFonts w:hint="default"/>
      </w:rPr>
    </w:lvl>
    <w:lvl w:ilvl="8">
      <w:start w:val="1"/>
      <w:numFmt w:val="decimal"/>
      <w:lvlText w:val="%1.%2.%3.%4.%5.%6.%7.%8.%9"/>
      <w:lvlJc w:val="left"/>
      <w:pPr>
        <w:ind w:left="5880" w:hanging="2520"/>
      </w:pPr>
      <w:rPr>
        <w:rFonts w:hint="default"/>
      </w:rPr>
    </w:lvl>
  </w:abstractNum>
  <w:abstractNum w:abstractNumId="11">
    <w:nsid w:val="53A08313"/>
    <w:multiLevelType w:val="singleLevel"/>
    <w:tmpl w:val="53A08313"/>
    <w:lvl w:ilvl="0">
      <w:start w:val="9"/>
      <w:numFmt w:val="chineseCounting"/>
      <w:suff w:val="space"/>
      <w:lvlText w:val="第%1章"/>
      <w:lvlJc w:val="left"/>
      <w:rPr>
        <w:rFonts w:hint="eastAsia"/>
      </w:rPr>
    </w:lvl>
  </w:abstractNum>
  <w:abstractNum w:abstractNumId="12">
    <w:nsid w:val="7A0F6431"/>
    <w:multiLevelType w:val="singleLevel"/>
    <w:tmpl w:val="7A0F6431"/>
    <w:lvl w:ilvl="0">
      <w:start w:val="1"/>
      <w:numFmt w:val="decimal"/>
      <w:suff w:val="space"/>
      <w:lvlText w:val="%1."/>
      <w:lvlJc w:val="left"/>
    </w:lvl>
  </w:abstractNum>
  <w:num w:numId="1">
    <w:abstractNumId w:val="7"/>
  </w:num>
  <w:num w:numId="2">
    <w:abstractNumId w:val="6"/>
  </w:num>
  <w:num w:numId="3">
    <w:abstractNumId w:val="8"/>
  </w:num>
  <w:num w:numId="4">
    <w:abstractNumId w:val="11"/>
  </w:num>
  <w:num w:numId="5">
    <w:abstractNumId w:val="12"/>
  </w:num>
  <w:num w:numId="6">
    <w:abstractNumId w:val="1"/>
  </w:num>
  <w:num w:numId="7">
    <w:abstractNumId w:val="5"/>
  </w:num>
  <w:num w:numId="8">
    <w:abstractNumId w:val="3"/>
  </w:num>
  <w:num w:numId="9">
    <w:abstractNumId w:val="2"/>
  </w:num>
  <w:num w:numId="10">
    <w:abstractNumId w:val="10"/>
  </w:num>
  <w:num w:numId="11">
    <w:abstractNumId w:val="0"/>
  </w:num>
  <w:num w:numId="12">
    <w:abstractNumId w:val="4"/>
  </w:num>
  <w:num w:numId="13">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2"/>
  <w:stylePaneFormatFilter w:val="3F01"/>
  <w:documentProtection w:edit="trackedChanges" w:enforcement="0"/>
  <w:defaultTabStop w:val="420"/>
  <w:drawingGridHorizontalSpacing w:val="105"/>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WrapTextWithPunct/>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0593"/>
    <w:rsid w:val="00004504"/>
    <w:rsid w:val="00006B42"/>
    <w:rsid w:val="00007B85"/>
    <w:rsid w:val="000117CF"/>
    <w:rsid w:val="000121B3"/>
    <w:rsid w:val="00012E11"/>
    <w:rsid w:val="00013C5A"/>
    <w:rsid w:val="00014327"/>
    <w:rsid w:val="00015560"/>
    <w:rsid w:val="00016973"/>
    <w:rsid w:val="00020DDE"/>
    <w:rsid w:val="000215F3"/>
    <w:rsid w:val="00021705"/>
    <w:rsid w:val="00023804"/>
    <w:rsid w:val="00023CD4"/>
    <w:rsid w:val="00024755"/>
    <w:rsid w:val="000259A3"/>
    <w:rsid w:val="00025F7F"/>
    <w:rsid w:val="0002730D"/>
    <w:rsid w:val="00027E31"/>
    <w:rsid w:val="00030872"/>
    <w:rsid w:val="0003488A"/>
    <w:rsid w:val="00035D1E"/>
    <w:rsid w:val="00036680"/>
    <w:rsid w:val="00036F94"/>
    <w:rsid w:val="00037AB2"/>
    <w:rsid w:val="000400B8"/>
    <w:rsid w:val="00040983"/>
    <w:rsid w:val="00040E58"/>
    <w:rsid w:val="000410F1"/>
    <w:rsid w:val="00041207"/>
    <w:rsid w:val="00043FC9"/>
    <w:rsid w:val="0004417E"/>
    <w:rsid w:val="000442F7"/>
    <w:rsid w:val="00044ACA"/>
    <w:rsid w:val="00045B72"/>
    <w:rsid w:val="00047C9E"/>
    <w:rsid w:val="00047E72"/>
    <w:rsid w:val="00050460"/>
    <w:rsid w:val="00050E8F"/>
    <w:rsid w:val="00051C61"/>
    <w:rsid w:val="00052FCE"/>
    <w:rsid w:val="000535E9"/>
    <w:rsid w:val="00055171"/>
    <w:rsid w:val="00057BAF"/>
    <w:rsid w:val="00057D9E"/>
    <w:rsid w:val="00062949"/>
    <w:rsid w:val="000640D5"/>
    <w:rsid w:val="00066022"/>
    <w:rsid w:val="00066DC2"/>
    <w:rsid w:val="00070389"/>
    <w:rsid w:val="0007158E"/>
    <w:rsid w:val="00071F38"/>
    <w:rsid w:val="00072169"/>
    <w:rsid w:val="00072B31"/>
    <w:rsid w:val="0007427D"/>
    <w:rsid w:val="00074B9A"/>
    <w:rsid w:val="00074BB7"/>
    <w:rsid w:val="00074F53"/>
    <w:rsid w:val="0007651E"/>
    <w:rsid w:val="00077A69"/>
    <w:rsid w:val="00080619"/>
    <w:rsid w:val="0008172E"/>
    <w:rsid w:val="00084233"/>
    <w:rsid w:val="000868CE"/>
    <w:rsid w:val="00087892"/>
    <w:rsid w:val="00087F70"/>
    <w:rsid w:val="00090BE3"/>
    <w:rsid w:val="00091254"/>
    <w:rsid w:val="000920D6"/>
    <w:rsid w:val="00092756"/>
    <w:rsid w:val="00092A4D"/>
    <w:rsid w:val="00093FB7"/>
    <w:rsid w:val="0009416F"/>
    <w:rsid w:val="0009659F"/>
    <w:rsid w:val="000A184C"/>
    <w:rsid w:val="000A1C4A"/>
    <w:rsid w:val="000A33F0"/>
    <w:rsid w:val="000A402C"/>
    <w:rsid w:val="000A46E6"/>
    <w:rsid w:val="000A4D7D"/>
    <w:rsid w:val="000A4DE5"/>
    <w:rsid w:val="000A5194"/>
    <w:rsid w:val="000A565D"/>
    <w:rsid w:val="000A571B"/>
    <w:rsid w:val="000A63F4"/>
    <w:rsid w:val="000B012A"/>
    <w:rsid w:val="000B06DC"/>
    <w:rsid w:val="000B1286"/>
    <w:rsid w:val="000B2214"/>
    <w:rsid w:val="000B35F1"/>
    <w:rsid w:val="000B38B5"/>
    <w:rsid w:val="000B3D4F"/>
    <w:rsid w:val="000B56B6"/>
    <w:rsid w:val="000B57D4"/>
    <w:rsid w:val="000B5C61"/>
    <w:rsid w:val="000B5D49"/>
    <w:rsid w:val="000B6095"/>
    <w:rsid w:val="000B66A1"/>
    <w:rsid w:val="000B6C38"/>
    <w:rsid w:val="000B79AB"/>
    <w:rsid w:val="000C0778"/>
    <w:rsid w:val="000C107D"/>
    <w:rsid w:val="000C13B1"/>
    <w:rsid w:val="000C21AB"/>
    <w:rsid w:val="000C535A"/>
    <w:rsid w:val="000C641B"/>
    <w:rsid w:val="000C6538"/>
    <w:rsid w:val="000D002E"/>
    <w:rsid w:val="000D00CE"/>
    <w:rsid w:val="000D09ED"/>
    <w:rsid w:val="000D144C"/>
    <w:rsid w:val="000D15B4"/>
    <w:rsid w:val="000D2A80"/>
    <w:rsid w:val="000D564F"/>
    <w:rsid w:val="000D5E72"/>
    <w:rsid w:val="000D6464"/>
    <w:rsid w:val="000E022A"/>
    <w:rsid w:val="000E6D58"/>
    <w:rsid w:val="000E7D35"/>
    <w:rsid w:val="000E7D37"/>
    <w:rsid w:val="000F1BC9"/>
    <w:rsid w:val="000F4445"/>
    <w:rsid w:val="000F646B"/>
    <w:rsid w:val="000F750E"/>
    <w:rsid w:val="000F75E8"/>
    <w:rsid w:val="00100624"/>
    <w:rsid w:val="0010098C"/>
    <w:rsid w:val="001037D1"/>
    <w:rsid w:val="00103847"/>
    <w:rsid w:val="00104E6A"/>
    <w:rsid w:val="00105108"/>
    <w:rsid w:val="00105728"/>
    <w:rsid w:val="00110637"/>
    <w:rsid w:val="00110D05"/>
    <w:rsid w:val="001125B5"/>
    <w:rsid w:val="00112919"/>
    <w:rsid w:val="00112977"/>
    <w:rsid w:val="00113AF1"/>
    <w:rsid w:val="00114489"/>
    <w:rsid w:val="001147F2"/>
    <w:rsid w:val="00114ACA"/>
    <w:rsid w:val="001164D1"/>
    <w:rsid w:val="00116547"/>
    <w:rsid w:val="00117062"/>
    <w:rsid w:val="00117190"/>
    <w:rsid w:val="00117AC2"/>
    <w:rsid w:val="001206E4"/>
    <w:rsid w:val="00121962"/>
    <w:rsid w:val="00122027"/>
    <w:rsid w:val="001223E2"/>
    <w:rsid w:val="0012363A"/>
    <w:rsid w:val="00124CC2"/>
    <w:rsid w:val="001264E0"/>
    <w:rsid w:val="00126E8B"/>
    <w:rsid w:val="00127129"/>
    <w:rsid w:val="001306FB"/>
    <w:rsid w:val="00130D3D"/>
    <w:rsid w:val="00131B4E"/>
    <w:rsid w:val="00133834"/>
    <w:rsid w:val="001341D7"/>
    <w:rsid w:val="00142DAE"/>
    <w:rsid w:val="00143DFD"/>
    <w:rsid w:val="001459A1"/>
    <w:rsid w:val="001465EB"/>
    <w:rsid w:val="00146E29"/>
    <w:rsid w:val="00147122"/>
    <w:rsid w:val="00151022"/>
    <w:rsid w:val="0015119F"/>
    <w:rsid w:val="0015178A"/>
    <w:rsid w:val="001517DA"/>
    <w:rsid w:val="00152CC6"/>
    <w:rsid w:val="00153B3D"/>
    <w:rsid w:val="00153F91"/>
    <w:rsid w:val="001541F5"/>
    <w:rsid w:val="001550E5"/>
    <w:rsid w:val="00156328"/>
    <w:rsid w:val="00160055"/>
    <w:rsid w:val="001601FC"/>
    <w:rsid w:val="00160FB7"/>
    <w:rsid w:val="00162088"/>
    <w:rsid w:val="00163306"/>
    <w:rsid w:val="001654AF"/>
    <w:rsid w:val="00165DCF"/>
    <w:rsid w:val="00166FE0"/>
    <w:rsid w:val="00167730"/>
    <w:rsid w:val="001705C0"/>
    <w:rsid w:val="00170CAE"/>
    <w:rsid w:val="0017208C"/>
    <w:rsid w:val="00172A27"/>
    <w:rsid w:val="0017351E"/>
    <w:rsid w:val="00173C95"/>
    <w:rsid w:val="00174751"/>
    <w:rsid w:val="001760EC"/>
    <w:rsid w:val="00176937"/>
    <w:rsid w:val="00177D5E"/>
    <w:rsid w:val="00180577"/>
    <w:rsid w:val="0018106A"/>
    <w:rsid w:val="00181482"/>
    <w:rsid w:val="001814EA"/>
    <w:rsid w:val="00182442"/>
    <w:rsid w:val="00184A52"/>
    <w:rsid w:val="001873F2"/>
    <w:rsid w:val="00191879"/>
    <w:rsid w:val="00191A11"/>
    <w:rsid w:val="00192921"/>
    <w:rsid w:val="00193464"/>
    <w:rsid w:val="00194F97"/>
    <w:rsid w:val="001958F4"/>
    <w:rsid w:val="001A10C3"/>
    <w:rsid w:val="001A14C0"/>
    <w:rsid w:val="001A14D4"/>
    <w:rsid w:val="001A1941"/>
    <w:rsid w:val="001A64DC"/>
    <w:rsid w:val="001A68F2"/>
    <w:rsid w:val="001B0500"/>
    <w:rsid w:val="001B0FCC"/>
    <w:rsid w:val="001B116D"/>
    <w:rsid w:val="001B31D1"/>
    <w:rsid w:val="001B47AA"/>
    <w:rsid w:val="001B66AE"/>
    <w:rsid w:val="001C0ADA"/>
    <w:rsid w:val="001C0E16"/>
    <w:rsid w:val="001C0F75"/>
    <w:rsid w:val="001C0FC7"/>
    <w:rsid w:val="001C22D8"/>
    <w:rsid w:val="001C2D00"/>
    <w:rsid w:val="001C36AD"/>
    <w:rsid w:val="001C3E92"/>
    <w:rsid w:val="001C422B"/>
    <w:rsid w:val="001C4622"/>
    <w:rsid w:val="001C5A8A"/>
    <w:rsid w:val="001C5E86"/>
    <w:rsid w:val="001D04D6"/>
    <w:rsid w:val="001D0F36"/>
    <w:rsid w:val="001D3AE5"/>
    <w:rsid w:val="001D4479"/>
    <w:rsid w:val="001D449B"/>
    <w:rsid w:val="001D51D1"/>
    <w:rsid w:val="001D62A9"/>
    <w:rsid w:val="001D6BB1"/>
    <w:rsid w:val="001D6EFF"/>
    <w:rsid w:val="001D7356"/>
    <w:rsid w:val="001D757B"/>
    <w:rsid w:val="001E02B4"/>
    <w:rsid w:val="001E1371"/>
    <w:rsid w:val="001E146B"/>
    <w:rsid w:val="001E278E"/>
    <w:rsid w:val="001E2B59"/>
    <w:rsid w:val="001E3022"/>
    <w:rsid w:val="001E3BD6"/>
    <w:rsid w:val="001E4C1A"/>
    <w:rsid w:val="001E4C68"/>
    <w:rsid w:val="001E4F86"/>
    <w:rsid w:val="001E5C5B"/>
    <w:rsid w:val="001E7631"/>
    <w:rsid w:val="001E767B"/>
    <w:rsid w:val="001F066A"/>
    <w:rsid w:val="001F357A"/>
    <w:rsid w:val="001F50EE"/>
    <w:rsid w:val="001F7408"/>
    <w:rsid w:val="001F778B"/>
    <w:rsid w:val="0020092B"/>
    <w:rsid w:val="00200BC9"/>
    <w:rsid w:val="0020156D"/>
    <w:rsid w:val="00201E82"/>
    <w:rsid w:val="0020256A"/>
    <w:rsid w:val="002025CF"/>
    <w:rsid w:val="00203B17"/>
    <w:rsid w:val="00205AEA"/>
    <w:rsid w:val="0020700E"/>
    <w:rsid w:val="00211BAB"/>
    <w:rsid w:val="002139CC"/>
    <w:rsid w:val="00213CC4"/>
    <w:rsid w:val="00213F8E"/>
    <w:rsid w:val="002148F2"/>
    <w:rsid w:val="00214CCA"/>
    <w:rsid w:val="00215AB5"/>
    <w:rsid w:val="00216BDA"/>
    <w:rsid w:val="00217991"/>
    <w:rsid w:val="00221D24"/>
    <w:rsid w:val="00223413"/>
    <w:rsid w:val="00223DAC"/>
    <w:rsid w:val="00223EA7"/>
    <w:rsid w:val="0022674B"/>
    <w:rsid w:val="002267A7"/>
    <w:rsid w:val="00227402"/>
    <w:rsid w:val="0022769C"/>
    <w:rsid w:val="00227B55"/>
    <w:rsid w:val="00230D95"/>
    <w:rsid w:val="002311D0"/>
    <w:rsid w:val="00231EF6"/>
    <w:rsid w:val="0023247D"/>
    <w:rsid w:val="00233646"/>
    <w:rsid w:val="00233E72"/>
    <w:rsid w:val="002343C4"/>
    <w:rsid w:val="00234A0E"/>
    <w:rsid w:val="002367D2"/>
    <w:rsid w:val="00236CEF"/>
    <w:rsid w:val="00240213"/>
    <w:rsid w:val="002421C4"/>
    <w:rsid w:val="0024276F"/>
    <w:rsid w:val="0024486D"/>
    <w:rsid w:val="00244B6B"/>
    <w:rsid w:val="00244E24"/>
    <w:rsid w:val="00244FFE"/>
    <w:rsid w:val="00245C74"/>
    <w:rsid w:val="00246AD2"/>
    <w:rsid w:val="00250541"/>
    <w:rsid w:val="00251D82"/>
    <w:rsid w:val="0025229B"/>
    <w:rsid w:val="00253187"/>
    <w:rsid w:val="002532DB"/>
    <w:rsid w:val="00253E7D"/>
    <w:rsid w:val="00255D12"/>
    <w:rsid w:val="00256110"/>
    <w:rsid w:val="00257963"/>
    <w:rsid w:val="00257CD4"/>
    <w:rsid w:val="00263533"/>
    <w:rsid w:val="00265320"/>
    <w:rsid w:val="00267220"/>
    <w:rsid w:val="0027386F"/>
    <w:rsid w:val="002746D6"/>
    <w:rsid w:val="00274906"/>
    <w:rsid w:val="00274D1F"/>
    <w:rsid w:val="002758FB"/>
    <w:rsid w:val="00275B5D"/>
    <w:rsid w:val="00280D59"/>
    <w:rsid w:val="002816DD"/>
    <w:rsid w:val="00283285"/>
    <w:rsid w:val="00285A93"/>
    <w:rsid w:val="0029011E"/>
    <w:rsid w:val="002905EE"/>
    <w:rsid w:val="00290E23"/>
    <w:rsid w:val="00291ECC"/>
    <w:rsid w:val="002921DC"/>
    <w:rsid w:val="00292315"/>
    <w:rsid w:val="00292BFB"/>
    <w:rsid w:val="00293227"/>
    <w:rsid w:val="002945BB"/>
    <w:rsid w:val="00295225"/>
    <w:rsid w:val="00295561"/>
    <w:rsid w:val="0029629F"/>
    <w:rsid w:val="00297198"/>
    <w:rsid w:val="002A0C63"/>
    <w:rsid w:val="002A1C12"/>
    <w:rsid w:val="002A48ED"/>
    <w:rsid w:val="002A5D00"/>
    <w:rsid w:val="002A67F0"/>
    <w:rsid w:val="002A7711"/>
    <w:rsid w:val="002B03EC"/>
    <w:rsid w:val="002B099F"/>
    <w:rsid w:val="002B2FE3"/>
    <w:rsid w:val="002B41FC"/>
    <w:rsid w:val="002B49BC"/>
    <w:rsid w:val="002B61E5"/>
    <w:rsid w:val="002B71B4"/>
    <w:rsid w:val="002B72BC"/>
    <w:rsid w:val="002C0552"/>
    <w:rsid w:val="002C05B2"/>
    <w:rsid w:val="002C0DEA"/>
    <w:rsid w:val="002C160C"/>
    <w:rsid w:val="002C35BA"/>
    <w:rsid w:val="002C5F3F"/>
    <w:rsid w:val="002C66C3"/>
    <w:rsid w:val="002C6A84"/>
    <w:rsid w:val="002C6A8D"/>
    <w:rsid w:val="002C729D"/>
    <w:rsid w:val="002D01BD"/>
    <w:rsid w:val="002D0303"/>
    <w:rsid w:val="002D0B28"/>
    <w:rsid w:val="002D1340"/>
    <w:rsid w:val="002D1852"/>
    <w:rsid w:val="002D39A1"/>
    <w:rsid w:val="002D4502"/>
    <w:rsid w:val="002D5AEE"/>
    <w:rsid w:val="002D60C2"/>
    <w:rsid w:val="002E1E83"/>
    <w:rsid w:val="002E2238"/>
    <w:rsid w:val="002E239D"/>
    <w:rsid w:val="002E2F72"/>
    <w:rsid w:val="002E3A13"/>
    <w:rsid w:val="002E5428"/>
    <w:rsid w:val="002E57D6"/>
    <w:rsid w:val="002E677C"/>
    <w:rsid w:val="002E776D"/>
    <w:rsid w:val="002F0E73"/>
    <w:rsid w:val="002F1BC8"/>
    <w:rsid w:val="002F2531"/>
    <w:rsid w:val="002F325A"/>
    <w:rsid w:val="002F3E2B"/>
    <w:rsid w:val="002F50C6"/>
    <w:rsid w:val="002F770C"/>
    <w:rsid w:val="002F77A6"/>
    <w:rsid w:val="002F7ADB"/>
    <w:rsid w:val="002F7B63"/>
    <w:rsid w:val="002F7E2E"/>
    <w:rsid w:val="003025E4"/>
    <w:rsid w:val="00302948"/>
    <w:rsid w:val="00304E48"/>
    <w:rsid w:val="00311663"/>
    <w:rsid w:val="0031243A"/>
    <w:rsid w:val="0031359D"/>
    <w:rsid w:val="003137A3"/>
    <w:rsid w:val="00314CA2"/>
    <w:rsid w:val="003166DB"/>
    <w:rsid w:val="00316867"/>
    <w:rsid w:val="00320185"/>
    <w:rsid w:val="00320BAD"/>
    <w:rsid w:val="00321484"/>
    <w:rsid w:val="003226E8"/>
    <w:rsid w:val="003237A6"/>
    <w:rsid w:val="003253AC"/>
    <w:rsid w:val="0032658C"/>
    <w:rsid w:val="00326F4D"/>
    <w:rsid w:val="00327470"/>
    <w:rsid w:val="00327FF7"/>
    <w:rsid w:val="00332013"/>
    <w:rsid w:val="0033521B"/>
    <w:rsid w:val="003372D2"/>
    <w:rsid w:val="00337666"/>
    <w:rsid w:val="0034068E"/>
    <w:rsid w:val="003410BA"/>
    <w:rsid w:val="0034156A"/>
    <w:rsid w:val="00344A3D"/>
    <w:rsid w:val="0034628F"/>
    <w:rsid w:val="00350A59"/>
    <w:rsid w:val="00351EF1"/>
    <w:rsid w:val="003521F9"/>
    <w:rsid w:val="00352FB4"/>
    <w:rsid w:val="003537FC"/>
    <w:rsid w:val="00353CA0"/>
    <w:rsid w:val="00353F83"/>
    <w:rsid w:val="0035468C"/>
    <w:rsid w:val="00354943"/>
    <w:rsid w:val="00355CE3"/>
    <w:rsid w:val="0035798A"/>
    <w:rsid w:val="00360252"/>
    <w:rsid w:val="00360577"/>
    <w:rsid w:val="00360D2F"/>
    <w:rsid w:val="00361DBD"/>
    <w:rsid w:val="003624BE"/>
    <w:rsid w:val="00362B7F"/>
    <w:rsid w:val="0036376B"/>
    <w:rsid w:val="003637AF"/>
    <w:rsid w:val="0036384D"/>
    <w:rsid w:val="00366679"/>
    <w:rsid w:val="00367607"/>
    <w:rsid w:val="00367952"/>
    <w:rsid w:val="003702A0"/>
    <w:rsid w:val="00370D9E"/>
    <w:rsid w:val="00371BF3"/>
    <w:rsid w:val="00371C65"/>
    <w:rsid w:val="00372F79"/>
    <w:rsid w:val="00373B0C"/>
    <w:rsid w:val="00374B78"/>
    <w:rsid w:val="003750FC"/>
    <w:rsid w:val="00375BE2"/>
    <w:rsid w:val="003772EF"/>
    <w:rsid w:val="0037762A"/>
    <w:rsid w:val="003776A3"/>
    <w:rsid w:val="00377915"/>
    <w:rsid w:val="00377CA2"/>
    <w:rsid w:val="00377D03"/>
    <w:rsid w:val="00380531"/>
    <w:rsid w:val="003819B8"/>
    <w:rsid w:val="00381AE0"/>
    <w:rsid w:val="00382002"/>
    <w:rsid w:val="00382BF1"/>
    <w:rsid w:val="003840DC"/>
    <w:rsid w:val="0038761B"/>
    <w:rsid w:val="00387B71"/>
    <w:rsid w:val="003901FF"/>
    <w:rsid w:val="003919BC"/>
    <w:rsid w:val="003955E2"/>
    <w:rsid w:val="003962B8"/>
    <w:rsid w:val="0039748A"/>
    <w:rsid w:val="00397C86"/>
    <w:rsid w:val="003A111C"/>
    <w:rsid w:val="003A30B5"/>
    <w:rsid w:val="003A4338"/>
    <w:rsid w:val="003A4FAE"/>
    <w:rsid w:val="003A5FFE"/>
    <w:rsid w:val="003A661F"/>
    <w:rsid w:val="003A718A"/>
    <w:rsid w:val="003A7464"/>
    <w:rsid w:val="003A7A2D"/>
    <w:rsid w:val="003B175C"/>
    <w:rsid w:val="003B2A16"/>
    <w:rsid w:val="003B3431"/>
    <w:rsid w:val="003B489F"/>
    <w:rsid w:val="003B6D1E"/>
    <w:rsid w:val="003C1C24"/>
    <w:rsid w:val="003C3435"/>
    <w:rsid w:val="003C49DD"/>
    <w:rsid w:val="003C5FB5"/>
    <w:rsid w:val="003C67B5"/>
    <w:rsid w:val="003C7FC8"/>
    <w:rsid w:val="003D0F8D"/>
    <w:rsid w:val="003D133D"/>
    <w:rsid w:val="003D1D6E"/>
    <w:rsid w:val="003D2AB9"/>
    <w:rsid w:val="003D31B2"/>
    <w:rsid w:val="003D4D4D"/>
    <w:rsid w:val="003D5FB0"/>
    <w:rsid w:val="003D606B"/>
    <w:rsid w:val="003D63D8"/>
    <w:rsid w:val="003D6453"/>
    <w:rsid w:val="003E03AD"/>
    <w:rsid w:val="003E0CB8"/>
    <w:rsid w:val="003E21C6"/>
    <w:rsid w:val="003E3AEC"/>
    <w:rsid w:val="003E4700"/>
    <w:rsid w:val="003E4A91"/>
    <w:rsid w:val="003E5042"/>
    <w:rsid w:val="003E579F"/>
    <w:rsid w:val="003F124D"/>
    <w:rsid w:val="003F2009"/>
    <w:rsid w:val="003F2123"/>
    <w:rsid w:val="003F3B21"/>
    <w:rsid w:val="003F3EAC"/>
    <w:rsid w:val="003F4F83"/>
    <w:rsid w:val="003F6D95"/>
    <w:rsid w:val="003F7497"/>
    <w:rsid w:val="003F7D42"/>
    <w:rsid w:val="00400538"/>
    <w:rsid w:val="00400934"/>
    <w:rsid w:val="0040299D"/>
    <w:rsid w:val="00403479"/>
    <w:rsid w:val="00403547"/>
    <w:rsid w:val="00404BDC"/>
    <w:rsid w:val="00404D00"/>
    <w:rsid w:val="004058B6"/>
    <w:rsid w:val="0040769F"/>
    <w:rsid w:val="0041228B"/>
    <w:rsid w:val="00412C66"/>
    <w:rsid w:val="0041320D"/>
    <w:rsid w:val="0041455B"/>
    <w:rsid w:val="00414602"/>
    <w:rsid w:val="004159D8"/>
    <w:rsid w:val="00415A5A"/>
    <w:rsid w:val="004177DF"/>
    <w:rsid w:val="004200C4"/>
    <w:rsid w:val="00422399"/>
    <w:rsid w:val="00423DE8"/>
    <w:rsid w:val="00424688"/>
    <w:rsid w:val="0042562F"/>
    <w:rsid w:val="004274CB"/>
    <w:rsid w:val="0043030B"/>
    <w:rsid w:val="0043054A"/>
    <w:rsid w:val="00431168"/>
    <w:rsid w:val="00432ECA"/>
    <w:rsid w:val="0043391F"/>
    <w:rsid w:val="00437D7F"/>
    <w:rsid w:val="0044165A"/>
    <w:rsid w:val="0044281E"/>
    <w:rsid w:val="004432CC"/>
    <w:rsid w:val="00443C6A"/>
    <w:rsid w:val="00445A44"/>
    <w:rsid w:val="00447411"/>
    <w:rsid w:val="004505C0"/>
    <w:rsid w:val="0045096D"/>
    <w:rsid w:val="0045101E"/>
    <w:rsid w:val="00451CE9"/>
    <w:rsid w:val="00452440"/>
    <w:rsid w:val="00453059"/>
    <w:rsid w:val="00453D42"/>
    <w:rsid w:val="00454FD3"/>
    <w:rsid w:val="004552C2"/>
    <w:rsid w:val="00456A4B"/>
    <w:rsid w:val="00456DB4"/>
    <w:rsid w:val="004575E7"/>
    <w:rsid w:val="00457B7E"/>
    <w:rsid w:val="004619DE"/>
    <w:rsid w:val="00462B14"/>
    <w:rsid w:val="00466764"/>
    <w:rsid w:val="00466B27"/>
    <w:rsid w:val="00467BDF"/>
    <w:rsid w:val="00471179"/>
    <w:rsid w:val="00471B75"/>
    <w:rsid w:val="004768CE"/>
    <w:rsid w:val="00480B5E"/>
    <w:rsid w:val="00480E76"/>
    <w:rsid w:val="00482FA5"/>
    <w:rsid w:val="0048315A"/>
    <w:rsid w:val="00483B84"/>
    <w:rsid w:val="004859C9"/>
    <w:rsid w:val="00485BFE"/>
    <w:rsid w:val="00486B2F"/>
    <w:rsid w:val="004870B2"/>
    <w:rsid w:val="00491895"/>
    <w:rsid w:val="00492043"/>
    <w:rsid w:val="0049254D"/>
    <w:rsid w:val="004925E2"/>
    <w:rsid w:val="00493B03"/>
    <w:rsid w:val="00494BBB"/>
    <w:rsid w:val="00496871"/>
    <w:rsid w:val="0049769A"/>
    <w:rsid w:val="00497908"/>
    <w:rsid w:val="00497C48"/>
    <w:rsid w:val="00497EE8"/>
    <w:rsid w:val="004A04EF"/>
    <w:rsid w:val="004A241E"/>
    <w:rsid w:val="004A3115"/>
    <w:rsid w:val="004A37AA"/>
    <w:rsid w:val="004A4053"/>
    <w:rsid w:val="004A44A7"/>
    <w:rsid w:val="004A502E"/>
    <w:rsid w:val="004A5895"/>
    <w:rsid w:val="004A59C0"/>
    <w:rsid w:val="004A6892"/>
    <w:rsid w:val="004A6B04"/>
    <w:rsid w:val="004A6BD2"/>
    <w:rsid w:val="004B02E0"/>
    <w:rsid w:val="004B129F"/>
    <w:rsid w:val="004B1505"/>
    <w:rsid w:val="004B2660"/>
    <w:rsid w:val="004B28BA"/>
    <w:rsid w:val="004B56BB"/>
    <w:rsid w:val="004B695E"/>
    <w:rsid w:val="004B6A6E"/>
    <w:rsid w:val="004B7FB0"/>
    <w:rsid w:val="004C006C"/>
    <w:rsid w:val="004C054B"/>
    <w:rsid w:val="004C1218"/>
    <w:rsid w:val="004C2CC4"/>
    <w:rsid w:val="004C30A6"/>
    <w:rsid w:val="004C449E"/>
    <w:rsid w:val="004C69BE"/>
    <w:rsid w:val="004C732F"/>
    <w:rsid w:val="004D0479"/>
    <w:rsid w:val="004D0645"/>
    <w:rsid w:val="004D25A4"/>
    <w:rsid w:val="004D2FBE"/>
    <w:rsid w:val="004D3C99"/>
    <w:rsid w:val="004D5387"/>
    <w:rsid w:val="004D59A9"/>
    <w:rsid w:val="004D6D3B"/>
    <w:rsid w:val="004E07BA"/>
    <w:rsid w:val="004E12AB"/>
    <w:rsid w:val="004E3683"/>
    <w:rsid w:val="004E3A2F"/>
    <w:rsid w:val="004E5358"/>
    <w:rsid w:val="004F14D3"/>
    <w:rsid w:val="004F1C42"/>
    <w:rsid w:val="004F3AC6"/>
    <w:rsid w:val="004F3B4F"/>
    <w:rsid w:val="004F4357"/>
    <w:rsid w:val="0050052D"/>
    <w:rsid w:val="00500EBB"/>
    <w:rsid w:val="005011B3"/>
    <w:rsid w:val="00502D74"/>
    <w:rsid w:val="00503A5C"/>
    <w:rsid w:val="00503CBF"/>
    <w:rsid w:val="00504EF6"/>
    <w:rsid w:val="00506AD1"/>
    <w:rsid w:val="00507748"/>
    <w:rsid w:val="00507C00"/>
    <w:rsid w:val="0051053E"/>
    <w:rsid w:val="005117FA"/>
    <w:rsid w:val="005132DC"/>
    <w:rsid w:val="00514553"/>
    <w:rsid w:val="00515742"/>
    <w:rsid w:val="00515CE4"/>
    <w:rsid w:val="00516000"/>
    <w:rsid w:val="00517D62"/>
    <w:rsid w:val="00521878"/>
    <w:rsid w:val="0052492E"/>
    <w:rsid w:val="00524BA1"/>
    <w:rsid w:val="00524ED9"/>
    <w:rsid w:val="005264FE"/>
    <w:rsid w:val="00526CA1"/>
    <w:rsid w:val="00527678"/>
    <w:rsid w:val="00527753"/>
    <w:rsid w:val="005277A2"/>
    <w:rsid w:val="005302F5"/>
    <w:rsid w:val="00530718"/>
    <w:rsid w:val="00530BC2"/>
    <w:rsid w:val="00531C9B"/>
    <w:rsid w:val="00532428"/>
    <w:rsid w:val="00536909"/>
    <w:rsid w:val="00540056"/>
    <w:rsid w:val="00540483"/>
    <w:rsid w:val="005428B5"/>
    <w:rsid w:val="00542A08"/>
    <w:rsid w:val="00543D29"/>
    <w:rsid w:val="0054537B"/>
    <w:rsid w:val="0054594F"/>
    <w:rsid w:val="00545BE3"/>
    <w:rsid w:val="00546596"/>
    <w:rsid w:val="00547A46"/>
    <w:rsid w:val="00550885"/>
    <w:rsid w:val="005511D3"/>
    <w:rsid w:val="005512F7"/>
    <w:rsid w:val="00551586"/>
    <w:rsid w:val="00551E9F"/>
    <w:rsid w:val="00552395"/>
    <w:rsid w:val="00552D50"/>
    <w:rsid w:val="00554590"/>
    <w:rsid w:val="00556AF3"/>
    <w:rsid w:val="00560135"/>
    <w:rsid w:val="00560F1E"/>
    <w:rsid w:val="005624FD"/>
    <w:rsid w:val="0056446E"/>
    <w:rsid w:val="0056479F"/>
    <w:rsid w:val="00566647"/>
    <w:rsid w:val="00570E15"/>
    <w:rsid w:val="00573490"/>
    <w:rsid w:val="00573B18"/>
    <w:rsid w:val="005740E0"/>
    <w:rsid w:val="00574702"/>
    <w:rsid w:val="00574EB7"/>
    <w:rsid w:val="00575266"/>
    <w:rsid w:val="00575E3F"/>
    <w:rsid w:val="005769FC"/>
    <w:rsid w:val="00580D99"/>
    <w:rsid w:val="00581712"/>
    <w:rsid w:val="00583CF7"/>
    <w:rsid w:val="00585A7A"/>
    <w:rsid w:val="005862CE"/>
    <w:rsid w:val="00586D16"/>
    <w:rsid w:val="005877E3"/>
    <w:rsid w:val="0058799B"/>
    <w:rsid w:val="0059015D"/>
    <w:rsid w:val="005902D6"/>
    <w:rsid w:val="00591A71"/>
    <w:rsid w:val="00592087"/>
    <w:rsid w:val="005921B8"/>
    <w:rsid w:val="0059331C"/>
    <w:rsid w:val="00593BFB"/>
    <w:rsid w:val="00594353"/>
    <w:rsid w:val="0059476B"/>
    <w:rsid w:val="005949A8"/>
    <w:rsid w:val="00595FCB"/>
    <w:rsid w:val="00596885"/>
    <w:rsid w:val="00596E1E"/>
    <w:rsid w:val="005A0079"/>
    <w:rsid w:val="005A0B14"/>
    <w:rsid w:val="005A18FE"/>
    <w:rsid w:val="005A7311"/>
    <w:rsid w:val="005A7D7F"/>
    <w:rsid w:val="005B107B"/>
    <w:rsid w:val="005B4C0E"/>
    <w:rsid w:val="005B512A"/>
    <w:rsid w:val="005B6517"/>
    <w:rsid w:val="005C026B"/>
    <w:rsid w:val="005C1832"/>
    <w:rsid w:val="005C241B"/>
    <w:rsid w:val="005C2AE9"/>
    <w:rsid w:val="005C419D"/>
    <w:rsid w:val="005C5A30"/>
    <w:rsid w:val="005C6084"/>
    <w:rsid w:val="005C68B9"/>
    <w:rsid w:val="005C6FC9"/>
    <w:rsid w:val="005D1D6D"/>
    <w:rsid w:val="005D2178"/>
    <w:rsid w:val="005D387D"/>
    <w:rsid w:val="005D48CE"/>
    <w:rsid w:val="005D5B37"/>
    <w:rsid w:val="005D6684"/>
    <w:rsid w:val="005D6A20"/>
    <w:rsid w:val="005E18A2"/>
    <w:rsid w:val="005E2BFF"/>
    <w:rsid w:val="005E312F"/>
    <w:rsid w:val="005E42B6"/>
    <w:rsid w:val="005F17C9"/>
    <w:rsid w:val="005F1907"/>
    <w:rsid w:val="005F20FA"/>
    <w:rsid w:val="005F32A4"/>
    <w:rsid w:val="005F4843"/>
    <w:rsid w:val="005F5B4C"/>
    <w:rsid w:val="005F6416"/>
    <w:rsid w:val="00600F9B"/>
    <w:rsid w:val="006015A1"/>
    <w:rsid w:val="00602F8F"/>
    <w:rsid w:val="006030F7"/>
    <w:rsid w:val="00603919"/>
    <w:rsid w:val="00604394"/>
    <w:rsid w:val="006067CE"/>
    <w:rsid w:val="006109C1"/>
    <w:rsid w:val="00610DC7"/>
    <w:rsid w:val="00611AD3"/>
    <w:rsid w:val="0061303E"/>
    <w:rsid w:val="00613444"/>
    <w:rsid w:val="00614891"/>
    <w:rsid w:val="006179A5"/>
    <w:rsid w:val="006179F1"/>
    <w:rsid w:val="00617B0E"/>
    <w:rsid w:val="00622203"/>
    <w:rsid w:val="00622272"/>
    <w:rsid w:val="0062705C"/>
    <w:rsid w:val="00631D2E"/>
    <w:rsid w:val="00632EE5"/>
    <w:rsid w:val="00637553"/>
    <w:rsid w:val="006401E4"/>
    <w:rsid w:val="00640213"/>
    <w:rsid w:val="00640E3B"/>
    <w:rsid w:val="00642D25"/>
    <w:rsid w:val="00642D9B"/>
    <w:rsid w:val="0064443D"/>
    <w:rsid w:val="00644497"/>
    <w:rsid w:val="00644F52"/>
    <w:rsid w:val="00645735"/>
    <w:rsid w:val="0064655C"/>
    <w:rsid w:val="0064683C"/>
    <w:rsid w:val="006478EE"/>
    <w:rsid w:val="00650AFB"/>
    <w:rsid w:val="00652549"/>
    <w:rsid w:val="00652C5F"/>
    <w:rsid w:val="00652EBD"/>
    <w:rsid w:val="0065664C"/>
    <w:rsid w:val="00656B46"/>
    <w:rsid w:val="00661089"/>
    <w:rsid w:val="006624D8"/>
    <w:rsid w:val="006628CC"/>
    <w:rsid w:val="00662B73"/>
    <w:rsid w:val="00663788"/>
    <w:rsid w:val="00663865"/>
    <w:rsid w:val="00665215"/>
    <w:rsid w:val="0066689A"/>
    <w:rsid w:val="00670C3A"/>
    <w:rsid w:val="0067132F"/>
    <w:rsid w:val="006716C6"/>
    <w:rsid w:val="006725B7"/>
    <w:rsid w:val="006736FC"/>
    <w:rsid w:val="0067421A"/>
    <w:rsid w:val="00675155"/>
    <w:rsid w:val="00676887"/>
    <w:rsid w:val="00676A53"/>
    <w:rsid w:val="0068090B"/>
    <w:rsid w:val="00680DB0"/>
    <w:rsid w:val="00681995"/>
    <w:rsid w:val="006821AD"/>
    <w:rsid w:val="006832E4"/>
    <w:rsid w:val="00684032"/>
    <w:rsid w:val="00684696"/>
    <w:rsid w:val="00686982"/>
    <w:rsid w:val="00686D66"/>
    <w:rsid w:val="0068754E"/>
    <w:rsid w:val="006904AE"/>
    <w:rsid w:val="00691B74"/>
    <w:rsid w:val="00692D03"/>
    <w:rsid w:val="00696938"/>
    <w:rsid w:val="006973FA"/>
    <w:rsid w:val="006979AF"/>
    <w:rsid w:val="00697B81"/>
    <w:rsid w:val="006A08B1"/>
    <w:rsid w:val="006A0AB1"/>
    <w:rsid w:val="006A1BC7"/>
    <w:rsid w:val="006A1C8F"/>
    <w:rsid w:val="006A2C18"/>
    <w:rsid w:val="006A5528"/>
    <w:rsid w:val="006A5F07"/>
    <w:rsid w:val="006A72C6"/>
    <w:rsid w:val="006A7D0B"/>
    <w:rsid w:val="006B058C"/>
    <w:rsid w:val="006B4961"/>
    <w:rsid w:val="006B6041"/>
    <w:rsid w:val="006C0C12"/>
    <w:rsid w:val="006C1CD8"/>
    <w:rsid w:val="006C40BE"/>
    <w:rsid w:val="006C46BB"/>
    <w:rsid w:val="006C4F28"/>
    <w:rsid w:val="006C5D99"/>
    <w:rsid w:val="006C6D4E"/>
    <w:rsid w:val="006C71C9"/>
    <w:rsid w:val="006C7835"/>
    <w:rsid w:val="006D062B"/>
    <w:rsid w:val="006D111D"/>
    <w:rsid w:val="006D122A"/>
    <w:rsid w:val="006D22A5"/>
    <w:rsid w:val="006D2817"/>
    <w:rsid w:val="006D2DE3"/>
    <w:rsid w:val="006D3E00"/>
    <w:rsid w:val="006D5E7E"/>
    <w:rsid w:val="006E063C"/>
    <w:rsid w:val="006E3119"/>
    <w:rsid w:val="006E4BF7"/>
    <w:rsid w:val="006E7057"/>
    <w:rsid w:val="006E7CC0"/>
    <w:rsid w:val="006F0783"/>
    <w:rsid w:val="006F07B1"/>
    <w:rsid w:val="006F086A"/>
    <w:rsid w:val="006F0FDD"/>
    <w:rsid w:val="006F1827"/>
    <w:rsid w:val="006F1923"/>
    <w:rsid w:val="006F3BDD"/>
    <w:rsid w:val="006F4261"/>
    <w:rsid w:val="006F4570"/>
    <w:rsid w:val="006F5844"/>
    <w:rsid w:val="006F6F6C"/>
    <w:rsid w:val="007001E3"/>
    <w:rsid w:val="007018A9"/>
    <w:rsid w:val="00702EE2"/>
    <w:rsid w:val="00703317"/>
    <w:rsid w:val="007051CD"/>
    <w:rsid w:val="007060C7"/>
    <w:rsid w:val="00706F91"/>
    <w:rsid w:val="00707132"/>
    <w:rsid w:val="00707973"/>
    <w:rsid w:val="00710193"/>
    <w:rsid w:val="0071019B"/>
    <w:rsid w:val="00713436"/>
    <w:rsid w:val="00713C37"/>
    <w:rsid w:val="00714594"/>
    <w:rsid w:val="00714E37"/>
    <w:rsid w:val="00715AC4"/>
    <w:rsid w:val="00716C89"/>
    <w:rsid w:val="007178C5"/>
    <w:rsid w:val="0072135C"/>
    <w:rsid w:val="007222A9"/>
    <w:rsid w:val="00723060"/>
    <w:rsid w:val="00723F7E"/>
    <w:rsid w:val="00723FAE"/>
    <w:rsid w:val="00724593"/>
    <w:rsid w:val="00724D95"/>
    <w:rsid w:val="00724E9F"/>
    <w:rsid w:val="0072761A"/>
    <w:rsid w:val="00727A1D"/>
    <w:rsid w:val="007318BD"/>
    <w:rsid w:val="0073370F"/>
    <w:rsid w:val="00733C06"/>
    <w:rsid w:val="00734673"/>
    <w:rsid w:val="00734CAF"/>
    <w:rsid w:val="0073550F"/>
    <w:rsid w:val="00735C31"/>
    <w:rsid w:val="007371C5"/>
    <w:rsid w:val="00740D25"/>
    <w:rsid w:val="007420B7"/>
    <w:rsid w:val="00743B25"/>
    <w:rsid w:val="00745452"/>
    <w:rsid w:val="007462F2"/>
    <w:rsid w:val="007464CE"/>
    <w:rsid w:val="00746DF5"/>
    <w:rsid w:val="0074775A"/>
    <w:rsid w:val="00747A4A"/>
    <w:rsid w:val="00747D27"/>
    <w:rsid w:val="007501D8"/>
    <w:rsid w:val="0075321E"/>
    <w:rsid w:val="007533F9"/>
    <w:rsid w:val="0075472F"/>
    <w:rsid w:val="00754CF2"/>
    <w:rsid w:val="007551AB"/>
    <w:rsid w:val="00757B72"/>
    <w:rsid w:val="00760A21"/>
    <w:rsid w:val="0076138D"/>
    <w:rsid w:val="00761D31"/>
    <w:rsid w:val="00762765"/>
    <w:rsid w:val="00762B65"/>
    <w:rsid w:val="00762D23"/>
    <w:rsid w:val="00763B2E"/>
    <w:rsid w:val="00764198"/>
    <w:rsid w:val="0076467B"/>
    <w:rsid w:val="00764DC9"/>
    <w:rsid w:val="00764F2C"/>
    <w:rsid w:val="00764FD2"/>
    <w:rsid w:val="00765311"/>
    <w:rsid w:val="00766477"/>
    <w:rsid w:val="00766651"/>
    <w:rsid w:val="00770890"/>
    <w:rsid w:val="00770BCE"/>
    <w:rsid w:val="007728D4"/>
    <w:rsid w:val="0077346A"/>
    <w:rsid w:val="00773627"/>
    <w:rsid w:val="007742DF"/>
    <w:rsid w:val="007751E9"/>
    <w:rsid w:val="00776128"/>
    <w:rsid w:val="00776BBB"/>
    <w:rsid w:val="00776BFD"/>
    <w:rsid w:val="00780140"/>
    <w:rsid w:val="007820A1"/>
    <w:rsid w:val="0078212E"/>
    <w:rsid w:val="00782A58"/>
    <w:rsid w:val="00783749"/>
    <w:rsid w:val="007840D3"/>
    <w:rsid w:val="00784F37"/>
    <w:rsid w:val="00786994"/>
    <w:rsid w:val="007913C4"/>
    <w:rsid w:val="007913ED"/>
    <w:rsid w:val="00791750"/>
    <w:rsid w:val="00791D4B"/>
    <w:rsid w:val="00792011"/>
    <w:rsid w:val="00792494"/>
    <w:rsid w:val="00792D88"/>
    <w:rsid w:val="00794EEF"/>
    <w:rsid w:val="007951D2"/>
    <w:rsid w:val="00795B65"/>
    <w:rsid w:val="00796304"/>
    <w:rsid w:val="00796361"/>
    <w:rsid w:val="007A0429"/>
    <w:rsid w:val="007A0451"/>
    <w:rsid w:val="007A0943"/>
    <w:rsid w:val="007A2619"/>
    <w:rsid w:val="007A4100"/>
    <w:rsid w:val="007A70F0"/>
    <w:rsid w:val="007A7166"/>
    <w:rsid w:val="007A74A3"/>
    <w:rsid w:val="007B28EA"/>
    <w:rsid w:val="007B2BEB"/>
    <w:rsid w:val="007B6E13"/>
    <w:rsid w:val="007B75A3"/>
    <w:rsid w:val="007B798F"/>
    <w:rsid w:val="007B7E2A"/>
    <w:rsid w:val="007C0E85"/>
    <w:rsid w:val="007C19C1"/>
    <w:rsid w:val="007C349D"/>
    <w:rsid w:val="007C56FB"/>
    <w:rsid w:val="007C685E"/>
    <w:rsid w:val="007C78C9"/>
    <w:rsid w:val="007C7AFC"/>
    <w:rsid w:val="007C7C49"/>
    <w:rsid w:val="007C7D9B"/>
    <w:rsid w:val="007D12B9"/>
    <w:rsid w:val="007D138C"/>
    <w:rsid w:val="007D1574"/>
    <w:rsid w:val="007D174D"/>
    <w:rsid w:val="007D18A9"/>
    <w:rsid w:val="007D2903"/>
    <w:rsid w:val="007D30EC"/>
    <w:rsid w:val="007D503A"/>
    <w:rsid w:val="007D5FA4"/>
    <w:rsid w:val="007D6C6A"/>
    <w:rsid w:val="007D73CC"/>
    <w:rsid w:val="007D7AE3"/>
    <w:rsid w:val="007E1E43"/>
    <w:rsid w:val="007E235A"/>
    <w:rsid w:val="007E283D"/>
    <w:rsid w:val="007E2DB0"/>
    <w:rsid w:val="007E30C9"/>
    <w:rsid w:val="007E3521"/>
    <w:rsid w:val="007E48D9"/>
    <w:rsid w:val="007E53E8"/>
    <w:rsid w:val="007E673E"/>
    <w:rsid w:val="007E6A46"/>
    <w:rsid w:val="007E6B1D"/>
    <w:rsid w:val="007E7D06"/>
    <w:rsid w:val="007F043B"/>
    <w:rsid w:val="007F2129"/>
    <w:rsid w:val="007F273F"/>
    <w:rsid w:val="007F33AD"/>
    <w:rsid w:val="007F3805"/>
    <w:rsid w:val="007F4135"/>
    <w:rsid w:val="007F4BE4"/>
    <w:rsid w:val="007F5E9F"/>
    <w:rsid w:val="007F6665"/>
    <w:rsid w:val="007F6E2E"/>
    <w:rsid w:val="007F7005"/>
    <w:rsid w:val="007F7AC8"/>
    <w:rsid w:val="00800551"/>
    <w:rsid w:val="00802228"/>
    <w:rsid w:val="00804B4F"/>
    <w:rsid w:val="00810223"/>
    <w:rsid w:val="00811B69"/>
    <w:rsid w:val="0081219B"/>
    <w:rsid w:val="00812861"/>
    <w:rsid w:val="00812DB4"/>
    <w:rsid w:val="00813A9C"/>
    <w:rsid w:val="00813B62"/>
    <w:rsid w:val="00813BF8"/>
    <w:rsid w:val="00814BA5"/>
    <w:rsid w:val="0081551C"/>
    <w:rsid w:val="00815B15"/>
    <w:rsid w:val="0081715F"/>
    <w:rsid w:val="0081774B"/>
    <w:rsid w:val="008178BD"/>
    <w:rsid w:val="00820A69"/>
    <w:rsid w:val="00821BDB"/>
    <w:rsid w:val="00821D8A"/>
    <w:rsid w:val="008227E7"/>
    <w:rsid w:val="00822A75"/>
    <w:rsid w:val="00823268"/>
    <w:rsid w:val="00824139"/>
    <w:rsid w:val="00825034"/>
    <w:rsid w:val="00825C33"/>
    <w:rsid w:val="008264CB"/>
    <w:rsid w:val="00826A04"/>
    <w:rsid w:val="008301FF"/>
    <w:rsid w:val="0083069C"/>
    <w:rsid w:val="00830C9A"/>
    <w:rsid w:val="00831F54"/>
    <w:rsid w:val="00832041"/>
    <w:rsid w:val="00832070"/>
    <w:rsid w:val="00832451"/>
    <w:rsid w:val="008341C1"/>
    <w:rsid w:val="00834916"/>
    <w:rsid w:val="008356EB"/>
    <w:rsid w:val="00835B82"/>
    <w:rsid w:val="008403F4"/>
    <w:rsid w:val="008423F1"/>
    <w:rsid w:val="008429B9"/>
    <w:rsid w:val="00842B59"/>
    <w:rsid w:val="00844C59"/>
    <w:rsid w:val="00845DB7"/>
    <w:rsid w:val="008467AA"/>
    <w:rsid w:val="00850131"/>
    <w:rsid w:val="0085043D"/>
    <w:rsid w:val="008535FF"/>
    <w:rsid w:val="008542A6"/>
    <w:rsid w:val="008545F0"/>
    <w:rsid w:val="008563CD"/>
    <w:rsid w:val="008579AC"/>
    <w:rsid w:val="00864D38"/>
    <w:rsid w:val="008659E9"/>
    <w:rsid w:val="00866156"/>
    <w:rsid w:val="00867AE4"/>
    <w:rsid w:val="008701D4"/>
    <w:rsid w:val="0087197E"/>
    <w:rsid w:val="008728D7"/>
    <w:rsid w:val="008732A8"/>
    <w:rsid w:val="00874BD5"/>
    <w:rsid w:val="00876AE1"/>
    <w:rsid w:val="00877EB5"/>
    <w:rsid w:val="00880B8B"/>
    <w:rsid w:val="00881FA2"/>
    <w:rsid w:val="008831A9"/>
    <w:rsid w:val="00883620"/>
    <w:rsid w:val="00885E4F"/>
    <w:rsid w:val="0088618B"/>
    <w:rsid w:val="00890AE7"/>
    <w:rsid w:val="00890C3A"/>
    <w:rsid w:val="00890C3C"/>
    <w:rsid w:val="008923A1"/>
    <w:rsid w:val="0089269E"/>
    <w:rsid w:val="00892DB5"/>
    <w:rsid w:val="00896A96"/>
    <w:rsid w:val="008A06FA"/>
    <w:rsid w:val="008A11DA"/>
    <w:rsid w:val="008A21E1"/>
    <w:rsid w:val="008A21F8"/>
    <w:rsid w:val="008A3C1B"/>
    <w:rsid w:val="008A6045"/>
    <w:rsid w:val="008A760C"/>
    <w:rsid w:val="008A78B6"/>
    <w:rsid w:val="008B0B4F"/>
    <w:rsid w:val="008B0ED4"/>
    <w:rsid w:val="008B16B2"/>
    <w:rsid w:val="008B2C10"/>
    <w:rsid w:val="008B30AB"/>
    <w:rsid w:val="008B3E43"/>
    <w:rsid w:val="008B4AF8"/>
    <w:rsid w:val="008B510E"/>
    <w:rsid w:val="008B5E8F"/>
    <w:rsid w:val="008B78C6"/>
    <w:rsid w:val="008B7D86"/>
    <w:rsid w:val="008B7FBB"/>
    <w:rsid w:val="008C3032"/>
    <w:rsid w:val="008C3454"/>
    <w:rsid w:val="008C3D80"/>
    <w:rsid w:val="008C4CF2"/>
    <w:rsid w:val="008C5CE5"/>
    <w:rsid w:val="008D2129"/>
    <w:rsid w:val="008D2544"/>
    <w:rsid w:val="008D42BD"/>
    <w:rsid w:val="008D43BA"/>
    <w:rsid w:val="008D4E7E"/>
    <w:rsid w:val="008E0768"/>
    <w:rsid w:val="008E114C"/>
    <w:rsid w:val="008E268D"/>
    <w:rsid w:val="008E462A"/>
    <w:rsid w:val="008E5891"/>
    <w:rsid w:val="008E6491"/>
    <w:rsid w:val="008E6914"/>
    <w:rsid w:val="008F1F6D"/>
    <w:rsid w:val="008F25F5"/>
    <w:rsid w:val="008F2626"/>
    <w:rsid w:val="008F3FDE"/>
    <w:rsid w:val="008F4BB1"/>
    <w:rsid w:val="008F540C"/>
    <w:rsid w:val="008F55BE"/>
    <w:rsid w:val="008F58F5"/>
    <w:rsid w:val="008F61CD"/>
    <w:rsid w:val="008F694D"/>
    <w:rsid w:val="008F6FDA"/>
    <w:rsid w:val="008F71C8"/>
    <w:rsid w:val="00900B94"/>
    <w:rsid w:val="00900D18"/>
    <w:rsid w:val="00901757"/>
    <w:rsid w:val="00901F45"/>
    <w:rsid w:val="00907AB3"/>
    <w:rsid w:val="00910BF2"/>
    <w:rsid w:val="0091255C"/>
    <w:rsid w:val="00912955"/>
    <w:rsid w:val="00915024"/>
    <w:rsid w:val="00915F1C"/>
    <w:rsid w:val="009223A1"/>
    <w:rsid w:val="009235D9"/>
    <w:rsid w:val="009241D3"/>
    <w:rsid w:val="00925071"/>
    <w:rsid w:val="00926996"/>
    <w:rsid w:val="00926D8E"/>
    <w:rsid w:val="009300BA"/>
    <w:rsid w:val="00931119"/>
    <w:rsid w:val="00931B02"/>
    <w:rsid w:val="00931BDF"/>
    <w:rsid w:val="00932AA9"/>
    <w:rsid w:val="009340D3"/>
    <w:rsid w:val="009343E8"/>
    <w:rsid w:val="00934BBB"/>
    <w:rsid w:val="00934EAF"/>
    <w:rsid w:val="0093513C"/>
    <w:rsid w:val="00935564"/>
    <w:rsid w:val="00936FA6"/>
    <w:rsid w:val="00947A10"/>
    <w:rsid w:val="00947DB8"/>
    <w:rsid w:val="00950668"/>
    <w:rsid w:val="00951883"/>
    <w:rsid w:val="00952D47"/>
    <w:rsid w:val="00952FAD"/>
    <w:rsid w:val="00953647"/>
    <w:rsid w:val="009537DC"/>
    <w:rsid w:val="0095488F"/>
    <w:rsid w:val="00954A8E"/>
    <w:rsid w:val="00954BDA"/>
    <w:rsid w:val="00955040"/>
    <w:rsid w:val="00955F83"/>
    <w:rsid w:val="009569EB"/>
    <w:rsid w:val="00957D9B"/>
    <w:rsid w:val="009604DD"/>
    <w:rsid w:val="00960522"/>
    <w:rsid w:val="0096067E"/>
    <w:rsid w:val="0096183C"/>
    <w:rsid w:val="00962099"/>
    <w:rsid w:val="00963772"/>
    <w:rsid w:val="00963946"/>
    <w:rsid w:val="00964A9F"/>
    <w:rsid w:val="00965A89"/>
    <w:rsid w:val="00966267"/>
    <w:rsid w:val="00967C04"/>
    <w:rsid w:val="00971029"/>
    <w:rsid w:val="0097127D"/>
    <w:rsid w:val="00972801"/>
    <w:rsid w:val="009731A1"/>
    <w:rsid w:val="00973B3C"/>
    <w:rsid w:val="0097491B"/>
    <w:rsid w:val="00974FF5"/>
    <w:rsid w:val="0097578A"/>
    <w:rsid w:val="00975848"/>
    <w:rsid w:val="00976D1B"/>
    <w:rsid w:val="00977517"/>
    <w:rsid w:val="0098150E"/>
    <w:rsid w:val="0098171B"/>
    <w:rsid w:val="00983B70"/>
    <w:rsid w:val="009864C6"/>
    <w:rsid w:val="00987562"/>
    <w:rsid w:val="00987E6B"/>
    <w:rsid w:val="00990D2A"/>
    <w:rsid w:val="00990D5E"/>
    <w:rsid w:val="009916CB"/>
    <w:rsid w:val="0099254B"/>
    <w:rsid w:val="00992960"/>
    <w:rsid w:val="00992CC6"/>
    <w:rsid w:val="00993F39"/>
    <w:rsid w:val="009950BE"/>
    <w:rsid w:val="00996230"/>
    <w:rsid w:val="009963D6"/>
    <w:rsid w:val="00996541"/>
    <w:rsid w:val="0099753F"/>
    <w:rsid w:val="00997623"/>
    <w:rsid w:val="00997BAC"/>
    <w:rsid w:val="00997D94"/>
    <w:rsid w:val="009A084C"/>
    <w:rsid w:val="009A25E6"/>
    <w:rsid w:val="009A3790"/>
    <w:rsid w:val="009A3D2F"/>
    <w:rsid w:val="009A3EC5"/>
    <w:rsid w:val="009A4409"/>
    <w:rsid w:val="009A4C60"/>
    <w:rsid w:val="009A4D47"/>
    <w:rsid w:val="009A65F1"/>
    <w:rsid w:val="009A68A3"/>
    <w:rsid w:val="009B01AB"/>
    <w:rsid w:val="009B02B0"/>
    <w:rsid w:val="009B0AAE"/>
    <w:rsid w:val="009B1FAD"/>
    <w:rsid w:val="009B22F2"/>
    <w:rsid w:val="009B2CC7"/>
    <w:rsid w:val="009B4434"/>
    <w:rsid w:val="009B589E"/>
    <w:rsid w:val="009B5D61"/>
    <w:rsid w:val="009C0C6D"/>
    <w:rsid w:val="009C28E8"/>
    <w:rsid w:val="009C2C92"/>
    <w:rsid w:val="009C36F6"/>
    <w:rsid w:val="009C607E"/>
    <w:rsid w:val="009C63E6"/>
    <w:rsid w:val="009C66A8"/>
    <w:rsid w:val="009C66D3"/>
    <w:rsid w:val="009C6BD9"/>
    <w:rsid w:val="009C7280"/>
    <w:rsid w:val="009D1F60"/>
    <w:rsid w:val="009D3EF5"/>
    <w:rsid w:val="009D4CA7"/>
    <w:rsid w:val="009D5263"/>
    <w:rsid w:val="009D566D"/>
    <w:rsid w:val="009D57B1"/>
    <w:rsid w:val="009D5920"/>
    <w:rsid w:val="009E00E0"/>
    <w:rsid w:val="009E0E87"/>
    <w:rsid w:val="009E0EE1"/>
    <w:rsid w:val="009E2D4A"/>
    <w:rsid w:val="009E3518"/>
    <w:rsid w:val="009E4434"/>
    <w:rsid w:val="009E5147"/>
    <w:rsid w:val="009E6B66"/>
    <w:rsid w:val="009E6CA9"/>
    <w:rsid w:val="009E70A2"/>
    <w:rsid w:val="009F2F88"/>
    <w:rsid w:val="009F3562"/>
    <w:rsid w:val="009F4633"/>
    <w:rsid w:val="009F52C5"/>
    <w:rsid w:val="009F5998"/>
    <w:rsid w:val="009F6CE0"/>
    <w:rsid w:val="00A00D3A"/>
    <w:rsid w:val="00A012F7"/>
    <w:rsid w:val="00A01EEE"/>
    <w:rsid w:val="00A03505"/>
    <w:rsid w:val="00A0358D"/>
    <w:rsid w:val="00A03DD4"/>
    <w:rsid w:val="00A055DB"/>
    <w:rsid w:val="00A05F0E"/>
    <w:rsid w:val="00A06255"/>
    <w:rsid w:val="00A06B1F"/>
    <w:rsid w:val="00A07012"/>
    <w:rsid w:val="00A0774E"/>
    <w:rsid w:val="00A10255"/>
    <w:rsid w:val="00A1182C"/>
    <w:rsid w:val="00A1187E"/>
    <w:rsid w:val="00A11B12"/>
    <w:rsid w:val="00A11FD6"/>
    <w:rsid w:val="00A13A0A"/>
    <w:rsid w:val="00A14BF2"/>
    <w:rsid w:val="00A15BD0"/>
    <w:rsid w:val="00A1629B"/>
    <w:rsid w:val="00A1629C"/>
    <w:rsid w:val="00A1758A"/>
    <w:rsid w:val="00A20A4D"/>
    <w:rsid w:val="00A21F28"/>
    <w:rsid w:val="00A2228B"/>
    <w:rsid w:val="00A22FAA"/>
    <w:rsid w:val="00A23864"/>
    <w:rsid w:val="00A2786A"/>
    <w:rsid w:val="00A30154"/>
    <w:rsid w:val="00A30E42"/>
    <w:rsid w:val="00A31149"/>
    <w:rsid w:val="00A31DDF"/>
    <w:rsid w:val="00A32D0F"/>
    <w:rsid w:val="00A36E6B"/>
    <w:rsid w:val="00A373BC"/>
    <w:rsid w:val="00A3775E"/>
    <w:rsid w:val="00A404C9"/>
    <w:rsid w:val="00A40D1C"/>
    <w:rsid w:val="00A42270"/>
    <w:rsid w:val="00A4349B"/>
    <w:rsid w:val="00A469C8"/>
    <w:rsid w:val="00A476A5"/>
    <w:rsid w:val="00A51B54"/>
    <w:rsid w:val="00A5453E"/>
    <w:rsid w:val="00A55188"/>
    <w:rsid w:val="00A566E1"/>
    <w:rsid w:val="00A56E09"/>
    <w:rsid w:val="00A61158"/>
    <w:rsid w:val="00A619D0"/>
    <w:rsid w:val="00A63016"/>
    <w:rsid w:val="00A6314D"/>
    <w:rsid w:val="00A635C3"/>
    <w:rsid w:val="00A66E58"/>
    <w:rsid w:val="00A66EAB"/>
    <w:rsid w:val="00A678FE"/>
    <w:rsid w:val="00A70492"/>
    <w:rsid w:val="00A71E82"/>
    <w:rsid w:val="00A7233E"/>
    <w:rsid w:val="00A73439"/>
    <w:rsid w:val="00A74848"/>
    <w:rsid w:val="00A74C47"/>
    <w:rsid w:val="00A77B3E"/>
    <w:rsid w:val="00A805F8"/>
    <w:rsid w:val="00A82BA5"/>
    <w:rsid w:val="00A82D6A"/>
    <w:rsid w:val="00A83BF4"/>
    <w:rsid w:val="00A846E4"/>
    <w:rsid w:val="00A84966"/>
    <w:rsid w:val="00A87B37"/>
    <w:rsid w:val="00A87EC4"/>
    <w:rsid w:val="00A910E7"/>
    <w:rsid w:val="00A91CC3"/>
    <w:rsid w:val="00A9225D"/>
    <w:rsid w:val="00A95729"/>
    <w:rsid w:val="00A96395"/>
    <w:rsid w:val="00AA1282"/>
    <w:rsid w:val="00AA2238"/>
    <w:rsid w:val="00AA25DA"/>
    <w:rsid w:val="00AA3160"/>
    <w:rsid w:val="00AA3EBE"/>
    <w:rsid w:val="00AA4670"/>
    <w:rsid w:val="00AA493B"/>
    <w:rsid w:val="00AB079C"/>
    <w:rsid w:val="00AB23FC"/>
    <w:rsid w:val="00AB56BB"/>
    <w:rsid w:val="00AB6EAB"/>
    <w:rsid w:val="00AC0C39"/>
    <w:rsid w:val="00AC12D7"/>
    <w:rsid w:val="00AC1BDB"/>
    <w:rsid w:val="00AC33CC"/>
    <w:rsid w:val="00AC345A"/>
    <w:rsid w:val="00AC3920"/>
    <w:rsid w:val="00AC3C0F"/>
    <w:rsid w:val="00AC4B03"/>
    <w:rsid w:val="00AC4B5C"/>
    <w:rsid w:val="00AC4C4C"/>
    <w:rsid w:val="00AC7373"/>
    <w:rsid w:val="00AC78A4"/>
    <w:rsid w:val="00AD0326"/>
    <w:rsid w:val="00AD2218"/>
    <w:rsid w:val="00AD382E"/>
    <w:rsid w:val="00AD3C8D"/>
    <w:rsid w:val="00AD470C"/>
    <w:rsid w:val="00AD4C21"/>
    <w:rsid w:val="00AD6F48"/>
    <w:rsid w:val="00AD71C8"/>
    <w:rsid w:val="00AD7540"/>
    <w:rsid w:val="00AE04AE"/>
    <w:rsid w:val="00AE0CDC"/>
    <w:rsid w:val="00AE165B"/>
    <w:rsid w:val="00AE2C60"/>
    <w:rsid w:val="00AE32AB"/>
    <w:rsid w:val="00AE3F24"/>
    <w:rsid w:val="00AE3F91"/>
    <w:rsid w:val="00AE4E18"/>
    <w:rsid w:val="00AE54F6"/>
    <w:rsid w:val="00AE5742"/>
    <w:rsid w:val="00AE588B"/>
    <w:rsid w:val="00AE5A45"/>
    <w:rsid w:val="00AE77F8"/>
    <w:rsid w:val="00AF00F0"/>
    <w:rsid w:val="00AF2D30"/>
    <w:rsid w:val="00AF4FF3"/>
    <w:rsid w:val="00AF588F"/>
    <w:rsid w:val="00AF6C93"/>
    <w:rsid w:val="00B006F1"/>
    <w:rsid w:val="00B00E0B"/>
    <w:rsid w:val="00B0160A"/>
    <w:rsid w:val="00B01F0A"/>
    <w:rsid w:val="00B02BB6"/>
    <w:rsid w:val="00B04762"/>
    <w:rsid w:val="00B04976"/>
    <w:rsid w:val="00B04A99"/>
    <w:rsid w:val="00B04FA9"/>
    <w:rsid w:val="00B06427"/>
    <w:rsid w:val="00B06CC5"/>
    <w:rsid w:val="00B11087"/>
    <w:rsid w:val="00B11C19"/>
    <w:rsid w:val="00B12421"/>
    <w:rsid w:val="00B13A6C"/>
    <w:rsid w:val="00B14C24"/>
    <w:rsid w:val="00B14C7F"/>
    <w:rsid w:val="00B15EB9"/>
    <w:rsid w:val="00B162D5"/>
    <w:rsid w:val="00B16817"/>
    <w:rsid w:val="00B17887"/>
    <w:rsid w:val="00B17931"/>
    <w:rsid w:val="00B22599"/>
    <w:rsid w:val="00B22D06"/>
    <w:rsid w:val="00B23229"/>
    <w:rsid w:val="00B24FAA"/>
    <w:rsid w:val="00B2536B"/>
    <w:rsid w:val="00B310E8"/>
    <w:rsid w:val="00B330EE"/>
    <w:rsid w:val="00B33298"/>
    <w:rsid w:val="00B33309"/>
    <w:rsid w:val="00B33743"/>
    <w:rsid w:val="00B33D5B"/>
    <w:rsid w:val="00B365A8"/>
    <w:rsid w:val="00B367EA"/>
    <w:rsid w:val="00B36AA6"/>
    <w:rsid w:val="00B37C5B"/>
    <w:rsid w:val="00B42857"/>
    <w:rsid w:val="00B432B5"/>
    <w:rsid w:val="00B43E6E"/>
    <w:rsid w:val="00B4422F"/>
    <w:rsid w:val="00B4468F"/>
    <w:rsid w:val="00B45673"/>
    <w:rsid w:val="00B500AC"/>
    <w:rsid w:val="00B507D2"/>
    <w:rsid w:val="00B51156"/>
    <w:rsid w:val="00B52495"/>
    <w:rsid w:val="00B528E4"/>
    <w:rsid w:val="00B530D4"/>
    <w:rsid w:val="00B56675"/>
    <w:rsid w:val="00B56C48"/>
    <w:rsid w:val="00B5722F"/>
    <w:rsid w:val="00B57AD6"/>
    <w:rsid w:val="00B603B3"/>
    <w:rsid w:val="00B61CEF"/>
    <w:rsid w:val="00B626B0"/>
    <w:rsid w:val="00B641CF"/>
    <w:rsid w:val="00B641FD"/>
    <w:rsid w:val="00B6445E"/>
    <w:rsid w:val="00B65FD2"/>
    <w:rsid w:val="00B66472"/>
    <w:rsid w:val="00B66CAB"/>
    <w:rsid w:val="00B67883"/>
    <w:rsid w:val="00B711A5"/>
    <w:rsid w:val="00B7554B"/>
    <w:rsid w:val="00B77648"/>
    <w:rsid w:val="00B77A18"/>
    <w:rsid w:val="00B77E30"/>
    <w:rsid w:val="00B80661"/>
    <w:rsid w:val="00B812E0"/>
    <w:rsid w:val="00B817DB"/>
    <w:rsid w:val="00B8193A"/>
    <w:rsid w:val="00B8213F"/>
    <w:rsid w:val="00B82279"/>
    <w:rsid w:val="00B82A15"/>
    <w:rsid w:val="00B847FF"/>
    <w:rsid w:val="00B8502E"/>
    <w:rsid w:val="00B85D5B"/>
    <w:rsid w:val="00B868FD"/>
    <w:rsid w:val="00B87DF6"/>
    <w:rsid w:val="00B90828"/>
    <w:rsid w:val="00B91FDF"/>
    <w:rsid w:val="00B95B7D"/>
    <w:rsid w:val="00BA0B6D"/>
    <w:rsid w:val="00BA1ED1"/>
    <w:rsid w:val="00BA21A2"/>
    <w:rsid w:val="00BA3CBC"/>
    <w:rsid w:val="00BA6416"/>
    <w:rsid w:val="00BA7DB7"/>
    <w:rsid w:val="00BA7FAF"/>
    <w:rsid w:val="00BB16AE"/>
    <w:rsid w:val="00BB313F"/>
    <w:rsid w:val="00BB51CA"/>
    <w:rsid w:val="00BB59FB"/>
    <w:rsid w:val="00BB63FB"/>
    <w:rsid w:val="00BB776F"/>
    <w:rsid w:val="00BB79E3"/>
    <w:rsid w:val="00BC1527"/>
    <w:rsid w:val="00BC49B9"/>
    <w:rsid w:val="00BC49CB"/>
    <w:rsid w:val="00BC4EF0"/>
    <w:rsid w:val="00BC4F48"/>
    <w:rsid w:val="00BC51DC"/>
    <w:rsid w:val="00BC72A0"/>
    <w:rsid w:val="00BD05A0"/>
    <w:rsid w:val="00BD0898"/>
    <w:rsid w:val="00BD0DBE"/>
    <w:rsid w:val="00BD2169"/>
    <w:rsid w:val="00BD2D4E"/>
    <w:rsid w:val="00BD5498"/>
    <w:rsid w:val="00BD76A1"/>
    <w:rsid w:val="00BD7D0E"/>
    <w:rsid w:val="00BE0907"/>
    <w:rsid w:val="00BE3C18"/>
    <w:rsid w:val="00BE3D49"/>
    <w:rsid w:val="00BE46DA"/>
    <w:rsid w:val="00BE500B"/>
    <w:rsid w:val="00BE58BA"/>
    <w:rsid w:val="00BE6FF3"/>
    <w:rsid w:val="00BF0758"/>
    <w:rsid w:val="00BF0811"/>
    <w:rsid w:val="00BF1386"/>
    <w:rsid w:val="00BF1B32"/>
    <w:rsid w:val="00BF20F4"/>
    <w:rsid w:val="00BF23FD"/>
    <w:rsid w:val="00BF4B8F"/>
    <w:rsid w:val="00BF4BBB"/>
    <w:rsid w:val="00BF4E11"/>
    <w:rsid w:val="00BF57CB"/>
    <w:rsid w:val="00BF66DD"/>
    <w:rsid w:val="00BF6CF4"/>
    <w:rsid w:val="00BF7D35"/>
    <w:rsid w:val="00C0149F"/>
    <w:rsid w:val="00C01D14"/>
    <w:rsid w:val="00C0313C"/>
    <w:rsid w:val="00C031A0"/>
    <w:rsid w:val="00C03760"/>
    <w:rsid w:val="00C03D2F"/>
    <w:rsid w:val="00C03FEE"/>
    <w:rsid w:val="00C0454F"/>
    <w:rsid w:val="00C066B1"/>
    <w:rsid w:val="00C07F89"/>
    <w:rsid w:val="00C119A6"/>
    <w:rsid w:val="00C1252F"/>
    <w:rsid w:val="00C13C17"/>
    <w:rsid w:val="00C147E6"/>
    <w:rsid w:val="00C1532A"/>
    <w:rsid w:val="00C16233"/>
    <w:rsid w:val="00C16CDC"/>
    <w:rsid w:val="00C20A23"/>
    <w:rsid w:val="00C217D1"/>
    <w:rsid w:val="00C236FD"/>
    <w:rsid w:val="00C259AE"/>
    <w:rsid w:val="00C27FEC"/>
    <w:rsid w:val="00C30E21"/>
    <w:rsid w:val="00C34611"/>
    <w:rsid w:val="00C34E6B"/>
    <w:rsid w:val="00C355C7"/>
    <w:rsid w:val="00C3637F"/>
    <w:rsid w:val="00C36B3B"/>
    <w:rsid w:val="00C3737E"/>
    <w:rsid w:val="00C40F91"/>
    <w:rsid w:val="00C40FF3"/>
    <w:rsid w:val="00C43D93"/>
    <w:rsid w:val="00C4455D"/>
    <w:rsid w:val="00C44980"/>
    <w:rsid w:val="00C45223"/>
    <w:rsid w:val="00C464CC"/>
    <w:rsid w:val="00C470E0"/>
    <w:rsid w:val="00C4746A"/>
    <w:rsid w:val="00C509B8"/>
    <w:rsid w:val="00C5160B"/>
    <w:rsid w:val="00C52345"/>
    <w:rsid w:val="00C5329B"/>
    <w:rsid w:val="00C548B6"/>
    <w:rsid w:val="00C55237"/>
    <w:rsid w:val="00C5698D"/>
    <w:rsid w:val="00C56E03"/>
    <w:rsid w:val="00C5738D"/>
    <w:rsid w:val="00C601CC"/>
    <w:rsid w:val="00C605E5"/>
    <w:rsid w:val="00C6351C"/>
    <w:rsid w:val="00C640EA"/>
    <w:rsid w:val="00C656D8"/>
    <w:rsid w:val="00C65875"/>
    <w:rsid w:val="00C66260"/>
    <w:rsid w:val="00C6677A"/>
    <w:rsid w:val="00C672D6"/>
    <w:rsid w:val="00C70673"/>
    <w:rsid w:val="00C70C7E"/>
    <w:rsid w:val="00C70E2C"/>
    <w:rsid w:val="00C71726"/>
    <w:rsid w:val="00C71E32"/>
    <w:rsid w:val="00C71F25"/>
    <w:rsid w:val="00C7484E"/>
    <w:rsid w:val="00C75A6E"/>
    <w:rsid w:val="00C76CCA"/>
    <w:rsid w:val="00C825D9"/>
    <w:rsid w:val="00C8385D"/>
    <w:rsid w:val="00C83D71"/>
    <w:rsid w:val="00C869CE"/>
    <w:rsid w:val="00C909C1"/>
    <w:rsid w:val="00C94C23"/>
    <w:rsid w:val="00C94E7A"/>
    <w:rsid w:val="00C9619F"/>
    <w:rsid w:val="00C9790E"/>
    <w:rsid w:val="00C97D85"/>
    <w:rsid w:val="00CA1268"/>
    <w:rsid w:val="00CA27EA"/>
    <w:rsid w:val="00CA446C"/>
    <w:rsid w:val="00CA46FC"/>
    <w:rsid w:val="00CA725C"/>
    <w:rsid w:val="00CA74D8"/>
    <w:rsid w:val="00CB06E4"/>
    <w:rsid w:val="00CB080F"/>
    <w:rsid w:val="00CB58FD"/>
    <w:rsid w:val="00CB5925"/>
    <w:rsid w:val="00CB66BB"/>
    <w:rsid w:val="00CB6767"/>
    <w:rsid w:val="00CB7157"/>
    <w:rsid w:val="00CC6077"/>
    <w:rsid w:val="00CD1AF8"/>
    <w:rsid w:val="00CD1B4C"/>
    <w:rsid w:val="00CD3815"/>
    <w:rsid w:val="00CD505A"/>
    <w:rsid w:val="00CD5E80"/>
    <w:rsid w:val="00CD6154"/>
    <w:rsid w:val="00CD6A99"/>
    <w:rsid w:val="00CD78A7"/>
    <w:rsid w:val="00CE2EA9"/>
    <w:rsid w:val="00CE370A"/>
    <w:rsid w:val="00CE4056"/>
    <w:rsid w:val="00CE4F70"/>
    <w:rsid w:val="00CF167D"/>
    <w:rsid w:val="00CF21F6"/>
    <w:rsid w:val="00CF2E83"/>
    <w:rsid w:val="00CF32B5"/>
    <w:rsid w:val="00CF382C"/>
    <w:rsid w:val="00CF4EA8"/>
    <w:rsid w:val="00CF65CF"/>
    <w:rsid w:val="00CF69C7"/>
    <w:rsid w:val="00CF72B6"/>
    <w:rsid w:val="00CF75DD"/>
    <w:rsid w:val="00CF78B1"/>
    <w:rsid w:val="00D01242"/>
    <w:rsid w:val="00D0142C"/>
    <w:rsid w:val="00D017A1"/>
    <w:rsid w:val="00D0299D"/>
    <w:rsid w:val="00D0407B"/>
    <w:rsid w:val="00D05648"/>
    <w:rsid w:val="00D05808"/>
    <w:rsid w:val="00D067F2"/>
    <w:rsid w:val="00D11FF9"/>
    <w:rsid w:val="00D12199"/>
    <w:rsid w:val="00D13F96"/>
    <w:rsid w:val="00D14861"/>
    <w:rsid w:val="00D14B8E"/>
    <w:rsid w:val="00D157FC"/>
    <w:rsid w:val="00D15E34"/>
    <w:rsid w:val="00D176E3"/>
    <w:rsid w:val="00D20885"/>
    <w:rsid w:val="00D20C25"/>
    <w:rsid w:val="00D20CD2"/>
    <w:rsid w:val="00D20E2A"/>
    <w:rsid w:val="00D21986"/>
    <w:rsid w:val="00D22B69"/>
    <w:rsid w:val="00D23158"/>
    <w:rsid w:val="00D23C42"/>
    <w:rsid w:val="00D24EED"/>
    <w:rsid w:val="00D25F48"/>
    <w:rsid w:val="00D26084"/>
    <w:rsid w:val="00D27A89"/>
    <w:rsid w:val="00D27C9E"/>
    <w:rsid w:val="00D27DE6"/>
    <w:rsid w:val="00D31106"/>
    <w:rsid w:val="00D32700"/>
    <w:rsid w:val="00D335D1"/>
    <w:rsid w:val="00D336D1"/>
    <w:rsid w:val="00D36069"/>
    <w:rsid w:val="00D362C9"/>
    <w:rsid w:val="00D36EE6"/>
    <w:rsid w:val="00D402A9"/>
    <w:rsid w:val="00D40796"/>
    <w:rsid w:val="00D4115F"/>
    <w:rsid w:val="00D441A5"/>
    <w:rsid w:val="00D44AF4"/>
    <w:rsid w:val="00D505F0"/>
    <w:rsid w:val="00D512D1"/>
    <w:rsid w:val="00D530BF"/>
    <w:rsid w:val="00D547CC"/>
    <w:rsid w:val="00D554AC"/>
    <w:rsid w:val="00D556A2"/>
    <w:rsid w:val="00D6052D"/>
    <w:rsid w:val="00D60E31"/>
    <w:rsid w:val="00D6111B"/>
    <w:rsid w:val="00D6135C"/>
    <w:rsid w:val="00D61DCA"/>
    <w:rsid w:val="00D6222F"/>
    <w:rsid w:val="00D627DE"/>
    <w:rsid w:val="00D630AB"/>
    <w:rsid w:val="00D640D3"/>
    <w:rsid w:val="00D642A1"/>
    <w:rsid w:val="00D6462C"/>
    <w:rsid w:val="00D674B3"/>
    <w:rsid w:val="00D67E54"/>
    <w:rsid w:val="00D70123"/>
    <w:rsid w:val="00D70EF5"/>
    <w:rsid w:val="00D72886"/>
    <w:rsid w:val="00D72B01"/>
    <w:rsid w:val="00D72C63"/>
    <w:rsid w:val="00D7398B"/>
    <w:rsid w:val="00D752F4"/>
    <w:rsid w:val="00D7615F"/>
    <w:rsid w:val="00D76A54"/>
    <w:rsid w:val="00D77133"/>
    <w:rsid w:val="00D77A30"/>
    <w:rsid w:val="00D81FB1"/>
    <w:rsid w:val="00D82ACE"/>
    <w:rsid w:val="00D82AD9"/>
    <w:rsid w:val="00D861AD"/>
    <w:rsid w:val="00D86626"/>
    <w:rsid w:val="00D86FB1"/>
    <w:rsid w:val="00D907D9"/>
    <w:rsid w:val="00D918D2"/>
    <w:rsid w:val="00D919C3"/>
    <w:rsid w:val="00D93AAE"/>
    <w:rsid w:val="00D93BC5"/>
    <w:rsid w:val="00D93DFC"/>
    <w:rsid w:val="00D940A9"/>
    <w:rsid w:val="00D952AE"/>
    <w:rsid w:val="00D96EB1"/>
    <w:rsid w:val="00D97BF3"/>
    <w:rsid w:val="00DA0C72"/>
    <w:rsid w:val="00DA1A78"/>
    <w:rsid w:val="00DA2420"/>
    <w:rsid w:val="00DA3348"/>
    <w:rsid w:val="00DA36F9"/>
    <w:rsid w:val="00DA5850"/>
    <w:rsid w:val="00DA6901"/>
    <w:rsid w:val="00DA6BC7"/>
    <w:rsid w:val="00DB0B04"/>
    <w:rsid w:val="00DB0F7D"/>
    <w:rsid w:val="00DB2702"/>
    <w:rsid w:val="00DB27C1"/>
    <w:rsid w:val="00DB2898"/>
    <w:rsid w:val="00DB4874"/>
    <w:rsid w:val="00DB5448"/>
    <w:rsid w:val="00DB5592"/>
    <w:rsid w:val="00DB5BC6"/>
    <w:rsid w:val="00DB5F04"/>
    <w:rsid w:val="00DB6D52"/>
    <w:rsid w:val="00DC09D4"/>
    <w:rsid w:val="00DC11B9"/>
    <w:rsid w:val="00DC20F3"/>
    <w:rsid w:val="00DC213D"/>
    <w:rsid w:val="00DC2446"/>
    <w:rsid w:val="00DC4277"/>
    <w:rsid w:val="00DC5BF6"/>
    <w:rsid w:val="00DC5CB6"/>
    <w:rsid w:val="00DD026C"/>
    <w:rsid w:val="00DD02D6"/>
    <w:rsid w:val="00DD055D"/>
    <w:rsid w:val="00DD0803"/>
    <w:rsid w:val="00DD10A1"/>
    <w:rsid w:val="00DD1D9B"/>
    <w:rsid w:val="00DD25F8"/>
    <w:rsid w:val="00DD29FC"/>
    <w:rsid w:val="00DD52C5"/>
    <w:rsid w:val="00DD5FFC"/>
    <w:rsid w:val="00DE07A7"/>
    <w:rsid w:val="00DE1515"/>
    <w:rsid w:val="00DE2312"/>
    <w:rsid w:val="00DE250C"/>
    <w:rsid w:val="00DE5106"/>
    <w:rsid w:val="00DE6997"/>
    <w:rsid w:val="00DE72DD"/>
    <w:rsid w:val="00DE7C7A"/>
    <w:rsid w:val="00DF1304"/>
    <w:rsid w:val="00DF1A6B"/>
    <w:rsid w:val="00DF67FE"/>
    <w:rsid w:val="00DF6DFE"/>
    <w:rsid w:val="00DF6E18"/>
    <w:rsid w:val="00DF703C"/>
    <w:rsid w:val="00DF72CF"/>
    <w:rsid w:val="00DF7F6C"/>
    <w:rsid w:val="00E00513"/>
    <w:rsid w:val="00E034F7"/>
    <w:rsid w:val="00E0413E"/>
    <w:rsid w:val="00E06AA3"/>
    <w:rsid w:val="00E06D3A"/>
    <w:rsid w:val="00E0783A"/>
    <w:rsid w:val="00E101A9"/>
    <w:rsid w:val="00E10352"/>
    <w:rsid w:val="00E10CE0"/>
    <w:rsid w:val="00E11BD2"/>
    <w:rsid w:val="00E12C31"/>
    <w:rsid w:val="00E12D13"/>
    <w:rsid w:val="00E12E96"/>
    <w:rsid w:val="00E1344E"/>
    <w:rsid w:val="00E13657"/>
    <w:rsid w:val="00E140A3"/>
    <w:rsid w:val="00E14B60"/>
    <w:rsid w:val="00E20134"/>
    <w:rsid w:val="00E2058C"/>
    <w:rsid w:val="00E2156C"/>
    <w:rsid w:val="00E223C9"/>
    <w:rsid w:val="00E226FD"/>
    <w:rsid w:val="00E228EE"/>
    <w:rsid w:val="00E24013"/>
    <w:rsid w:val="00E26F47"/>
    <w:rsid w:val="00E301D6"/>
    <w:rsid w:val="00E30CCB"/>
    <w:rsid w:val="00E32DA9"/>
    <w:rsid w:val="00E33252"/>
    <w:rsid w:val="00E346D4"/>
    <w:rsid w:val="00E3496D"/>
    <w:rsid w:val="00E349E3"/>
    <w:rsid w:val="00E3521D"/>
    <w:rsid w:val="00E3583D"/>
    <w:rsid w:val="00E35BF4"/>
    <w:rsid w:val="00E35FFE"/>
    <w:rsid w:val="00E36E49"/>
    <w:rsid w:val="00E37500"/>
    <w:rsid w:val="00E37FCD"/>
    <w:rsid w:val="00E401E9"/>
    <w:rsid w:val="00E40220"/>
    <w:rsid w:val="00E40772"/>
    <w:rsid w:val="00E416FE"/>
    <w:rsid w:val="00E42CC1"/>
    <w:rsid w:val="00E44245"/>
    <w:rsid w:val="00E44654"/>
    <w:rsid w:val="00E45E96"/>
    <w:rsid w:val="00E5003E"/>
    <w:rsid w:val="00E5088E"/>
    <w:rsid w:val="00E50B76"/>
    <w:rsid w:val="00E518A3"/>
    <w:rsid w:val="00E52801"/>
    <w:rsid w:val="00E538DF"/>
    <w:rsid w:val="00E55C6F"/>
    <w:rsid w:val="00E6178A"/>
    <w:rsid w:val="00E632BD"/>
    <w:rsid w:val="00E634A5"/>
    <w:rsid w:val="00E66025"/>
    <w:rsid w:val="00E67BB6"/>
    <w:rsid w:val="00E73293"/>
    <w:rsid w:val="00E732DA"/>
    <w:rsid w:val="00E7351D"/>
    <w:rsid w:val="00E73620"/>
    <w:rsid w:val="00E74E32"/>
    <w:rsid w:val="00E754DE"/>
    <w:rsid w:val="00E7682F"/>
    <w:rsid w:val="00E807E8"/>
    <w:rsid w:val="00E80A8F"/>
    <w:rsid w:val="00E80B9E"/>
    <w:rsid w:val="00E81EED"/>
    <w:rsid w:val="00E827B0"/>
    <w:rsid w:val="00E83689"/>
    <w:rsid w:val="00E83A9C"/>
    <w:rsid w:val="00E84A05"/>
    <w:rsid w:val="00E850BD"/>
    <w:rsid w:val="00E8535F"/>
    <w:rsid w:val="00E86082"/>
    <w:rsid w:val="00E87B8A"/>
    <w:rsid w:val="00E90CB8"/>
    <w:rsid w:val="00E9127A"/>
    <w:rsid w:val="00E91379"/>
    <w:rsid w:val="00E92E43"/>
    <w:rsid w:val="00E93F3F"/>
    <w:rsid w:val="00E94E09"/>
    <w:rsid w:val="00E95123"/>
    <w:rsid w:val="00E95693"/>
    <w:rsid w:val="00E95878"/>
    <w:rsid w:val="00E96DD3"/>
    <w:rsid w:val="00EA1111"/>
    <w:rsid w:val="00EA123B"/>
    <w:rsid w:val="00EA1573"/>
    <w:rsid w:val="00EA20FF"/>
    <w:rsid w:val="00EA2917"/>
    <w:rsid w:val="00EA2A2E"/>
    <w:rsid w:val="00EA2AE9"/>
    <w:rsid w:val="00EA42BE"/>
    <w:rsid w:val="00EA4D70"/>
    <w:rsid w:val="00EA7104"/>
    <w:rsid w:val="00EA79E6"/>
    <w:rsid w:val="00EB024A"/>
    <w:rsid w:val="00EB0C0A"/>
    <w:rsid w:val="00EB0E71"/>
    <w:rsid w:val="00EB1C97"/>
    <w:rsid w:val="00EB2F72"/>
    <w:rsid w:val="00EB41D2"/>
    <w:rsid w:val="00EB4FB3"/>
    <w:rsid w:val="00EB6A1B"/>
    <w:rsid w:val="00EB771B"/>
    <w:rsid w:val="00EB7E96"/>
    <w:rsid w:val="00EC013A"/>
    <w:rsid w:val="00EC01FF"/>
    <w:rsid w:val="00EC076C"/>
    <w:rsid w:val="00EC0A4E"/>
    <w:rsid w:val="00EC0C9D"/>
    <w:rsid w:val="00EC0CED"/>
    <w:rsid w:val="00EC1EE6"/>
    <w:rsid w:val="00EC2E4B"/>
    <w:rsid w:val="00EC45FA"/>
    <w:rsid w:val="00EC493B"/>
    <w:rsid w:val="00EC4B18"/>
    <w:rsid w:val="00ED007B"/>
    <w:rsid w:val="00ED10A4"/>
    <w:rsid w:val="00ED2D44"/>
    <w:rsid w:val="00ED3084"/>
    <w:rsid w:val="00ED327A"/>
    <w:rsid w:val="00ED37EE"/>
    <w:rsid w:val="00ED3D7D"/>
    <w:rsid w:val="00ED40AA"/>
    <w:rsid w:val="00ED4E3B"/>
    <w:rsid w:val="00ED643F"/>
    <w:rsid w:val="00ED7A01"/>
    <w:rsid w:val="00EE2725"/>
    <w:rsid w:val="00EE2E52"/>
    <w:rsid w:val="00EE3389"/>
    <w:rsid w:val="00EE453F"/>
    <w:rsid w:val="00EE4CB2"/>
    <w:rsid w:val="00EE5177"/>
    <w:rsid w:val="00EE5C42"/>
    <w:rsid w:val="00EE6139"/>
    <w:rsid w:val="00EE6266"/>
    <w:rsid w:val="00EE6CF3"/>
    <w:rsid w:val="00EE73FB"/>
    <w:rsid w:val="00EF08F6"/>
    <w:rsid w:val="00EF20BF"/>
    <w:rsid w:val="00EF4671"/>
    <w:rsid w:val="00EF57CF"/>
    <w:rsid w:val="00EF5E1A"/>
    <w:rsid w:val="00F0002B"/>
    <w:rsid w:val="00F00E46"/>
    <w:rsid w:val="00F01E99"/>
    <w:rsid w:val="00F028B2"/>
    <w:rsid w:val="00F03E21"/>
    <w:rsid w:val="00F105BE"/>
    <w:rsid w:val="00F1089D"/>
    <w:rsid w:val="00F138F8"/>
    <w:rsid w:val="00F148A8"/>
    <w:rsid w:val="00F15851"/>
    <w:rsid w:val="00F15CC8"/>
    <w:rsid w:val="00F1605A"/>
    <w:rsid w:val="00F17105"/>
    <w:rsid w:val="00F202FF"/>
    <w:rsid w:val="00F20342"/>
    <w:rsid w:val="00F230E3"/>
    <w:rsid w:val="00F233F0"/>
    <w:rsid w:val="00F2349E"/>
    <w:rsid w:val="00F2405D"/>
    <w:rsid w:val="00F25247"/>
    <w:rsid w:val="00F26C53"/>
    <w:rsid w:val="00F26F75"/>
    <w:rsid w:val="00F305F9"/>
    <w:rsid w:val="00F30C15"/>
    <w:rsid w:val="00F336B2"/>
    <w:rsid w:val="00F34477"/>
    <w:rsid w:val="00F34F76"/>
    <w:rsid w:val="00F3670A"/>
    <w:rsid w:val="00F3750B"/>
    <w:rsid w:val="00F401C7"/>
    <w:rsid w:val="00F40F76"/>
    <w:rsid w:val="00F41DFA"/>
    <w:rsid w:val="00F42F16"/>
    <w:rsid w:val="00F43319"/>
    <w:rsid w:val="00F4395D"/>
    <w:rsid w:val="00F43BBF"/>
    <w:rsid w:val="00F450C8"/>
    <w:rsid w:val="00F45C77"/>
    <w:rsid w:val="00F4757C"/>
    <w:rsid w:val="00F47803"/>
    <w:rsid w:val="00F5059C"/>
    <w:rsid w:val="00F5093E"/>
    <w:rsid w:val="00F53CDC"/>
    <w:rsid w:val="00F53EDD"/>
    <w:rsid w:val="00F54A09"/>
    <w:rsid w:val="00F54B0C"/>
    <w:rsid w:val="00F54C4C"/>
    <w:rsid w:val="00F5745D"/>
    <w:rsid w:val="00F57B3C"/>
    <w:rsid w:val="00F6237E"/>
    <w:rsid w:val="00F63596"/>
    <w:rsid w:val="00F66AB3"/>
    <w:rsid w:val="00F674C0"/>
    <w:rsid w:val="00F67834"/>
    <w:rsid w:val="00F67ECC"/>
    <w:rsid w:val="00F7492E"/>
    <w:rsid w:val="00F75730"/>
    <w:rsid w:val="00F761D5"/>
    <w:rsid w:val="00F76E9B"/>
    <w:rsid w:val="00F77080"/>
    <w:rsid w:val="00F80262"/>
    <w:rsid w:val="00F81809"/>
    <w:rsid w:val="00F818FB"/>
    <w:rsid w:val="00F82E49"/>
    <w:rsid w:val="00F82E9F"/>
    <w:rsid w:val="00F83203"/>
    <w:rsid w:val="00F8450A"/>
    <w:rsid w:val="00F86793"/>
    <w:rsid w:val="00F90331"/>
    <w:rsid w:val="00F91158"/>
    <w:rsid w:val="00F924B8"/>
    <w:rsid w:val="00F937D3"/>
    <w:rsid w:val="00F949B8"/>
    <w:rsid w:val="00F9528A"/>
    <w:rsid w:val="00F9574A"/>
    <w:rsid w:val="00F97389"/>
    <w:rsid w:val="00F97CFA"/>
    <w:rsid w:val="00FA0F55"/>
    <w:rsid w:val="00FA138A"/>
    <w:rsid w:val="00FA26A6"/>
    <w:rsid w:val="00FA3C3D"/>
    <w:rsid w:val="00FA4761"/>
    <w:rsid w:val="00FA7DA7"/>
    <w:rsid w:val="00FB3A27"/>
    <w:rsid w:val="00FB47AE"/>
    <w:rsid w:val="00FB47E1"/>
    <w:rsid w:val="00FB59F4"/>
    <w:rsid w:val="00FB7E7D"/>
    <w:rsid w:val="00FC03B5"/>
    <w:rsid w:val="00FC19B1"/>
    <w:rsid w:val="00FC2956"/>
    <w:rsid w:val="00FC308E"/>
    <w:rsid w:val="00FC5864"/>
    <w:rsid w:val="00FC5F03"/>
    <w:rsid w:val="00FC6FB3"/>
    <w:rsid w:val="00FC7C64"/>
    <w:rsid w:val="00FD0069"/>
    <w:rsid w:val="00FD065B"/>
    <w:rsid w:val="00FD0EF2"/>
    <w:rsid w:val="00FD0FCE"/>
    <w:rsid w:val="00FD13AB"/>
    <w:rsid w:val="00FD152E"/>
    <w:rsid w:val="00FD1DC8"/>
    <w:rsid w:val="00FD4F15"/>
    <w:rsid w:val="00FD51D0"/>
    <w:rsid w:val="00FD5F50"/>
    <w:rsid w:val="00FD65C6"/>
    <w:rsid w:val="00FD6F90"/>
    <w:rsid w:val="00FE01CA"/>
    <w:rsid w:val="00FE022E"/>
    <w:rsid w:val="00FE1190"/>
    <w:rsid w:val="00FE1893"/>
    <w:rsid w:val="00FE3225"/>
    <w:rsid w:val="00FE3FA2"/>
    <w:rsid w:val="00FE419B"/>
    <w:rsid w:val="00FF02CC"/>
    <w:rsid w:val="00FF0FE5"/>
    <w:rsid w:val="00FF1D50"/>
    <w:rsid w:val="00FF219C"/>
    <w:rsid w:val="00FF260D"/>
    <w:rsid w:val="00FF2CF2"/>
    <w:rsid w:val="00FF39F3"/>
    <w:rsid w:val="00FF3FD4"/>
    <w:rsid w:val="00FF41E9"/>
    <w:rsid w:val="00FF5342"/>
    <w:rsid w:val="00FF6C98"/>
    <w:rsid w:val="00FF7AB3"/>
    <w:rsid w:val="022573A2"/>
    <w:rsid w:val="02DA63DE"/>
    <w:rsid w:val="0370400A"/>
    <w:rsid w:val="0B007F63"/>
    <w:rsid w:val="10DD43F2"/>
    <w:rsid w:val="17F14845"/>
    <w:rsid w:val="1CFF3931"/>
    <w:rsid w:val="1D8B3641"/>
    <w:rsid w:val="2269191D"/>
    <w:rsid w:val="26A51916"/>
    <w:rsid w:val="27D72482"/>
    <w:rsid w:val="2C524B24"/>
    <w:rsid w:val="3068343B"/>
    <w:rsid w:val="30901049"/>
    <w:rsid w:val="30FA7AC8"/>
    <w:rsid w:val="325C2291"/>
    <w:rsid w:val="35B53FBD"/>
    <w:rsid w:val="3653693B"/>
    <w:rsid w:val="38D40889"/>
    <w:rsid w:val="390D2D52"/>
    <w:rsid w:val="3AC23405"/>
    <w:rsid w:val="3BAE7045"/>
    <w:rsid w:val="450656E4"/>
    <w:rsid w:val="478D4909"/>
    <w:rsid w:val="48F46997"/>
    <w:rsid w:val="4E754480"/>
    <w:rsid w:val="4ED765AF"/>
    <w:rsid w:val="510E299D"/>
    <w:rsid w:val="5AE70CB8"/>
    <w:rsid w:val="5BAD110F"/>
    <w:rsid w:val="5CBB779A"/>
    <w:rsid w:val="5DF92D4C"/>
    <w:rsid w:val="62F85366"/>
    <w:rsid w:val="63161C90"/>
    <w:rsid w:val="79ED357D"/>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iPriority="0" w:unhideWhenUsed="0" w:qFormat="1"/>
    <w:lsdException w:name="footer" w:semiHidden="0" w:uiPriority="0" w:unhideWhenUsed="0" w:qFormat="1"/>
    <w:lsdException w:name="caption" w:uiPriority="35" w:qFormat="1"/>
    <w:lsdException w:name="annotation reference" w:semiHidden="0" w:uiPriority="0" w:unhideWhenUsed="0" w:qFormat="1"/>
    <w:lsdException w:name="page number" w:semiHidden="0" w:uiPriority="0" w:unhideWhenUsed="0"/>
    <w:lsdException w:name="Title" w:semiHidden="0" w:uiPriority="0" w:unhideWhenUsed="0" w:qFormat="1"/>
    <w:lsdException w:name="Default Paragraph Font" w:semiHidden="0" w:uiPriority="1"/>
    <w:lsdException w:name="Body Text" w:semiHidden="0" w:uiPriority="0" w:qFormat="1"/>
    <w:lsdException w:name="Body Text Indent" w:semiHidden="0" w:uiPriority="0" w:unhideWhenUsed="0" w:qFormat="1"/>
    <w:lsdException w:name="Subtitle" w:semiHidden="0" w:uiPriority="11" w:unhideWhenUsed="0" w:qFormat="1"/>
    <w:lsdException w:name="Date" w:semiHidden="0" w:uiPriority="0" w:unhideWhenUsed="0"/>
    <w:lsdException w:name="Hyperlink" w:semiHidden="0"/>
    <w:lsdException w:name="Strong" w:semiHidden="0" w:uiPriority="0" w:unhideWhenUsed="0" w:qFormat="1"/>
    <w:lsdException w:name="Emphasis" w:semiHidden="0" w:uiPriority="20" w:unhideWhenUsed="0" w:qFormat="1"/>
    <w:lsdException w:name="Document Map" w:semiHidden="0"/>
    <w:lsdException w:name="Plain Text" w:semiHidden="0" w:uiPriority="0" w:unhideWhenUsed="0" w:qFormat="1"/>
    <w:lsdException w:name="Normal (Web)" w:semiHidden="0" w:uiPriority="0" w:unhideWhenUsed="0" w:qFormat="1"/>
    <w:lsdException w:name="Normal Table" w:semiHidden="0"/>
    <w:lsdException w:name="annotation subject" w:semiHidden="0" w:uiPriority="0" w:unhideWhenUsed="0"/>
    <w:lsdException w:name="Balloon Text" w:semiHidden="0" w:uiPriority="0" w:unhideWhenUsed="0"/>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paragraph" w:styleId="BodyTextIndent">
    <w:name w:val="Body Text Indent"/>
    <w:basedOn w:val="Normal"/>
    <w:link w:val="Char2"/>
    <w:qFormat/>
    <w:pPr>
      <w:spacing w:after="120"/>
      <w:ind w:left="420" w:leftChars="200"/>
    </w:pPr>
    <w:rPr>
      <w:szCs w:val="24"/>
    </w:rPr>
  </w:style>
  <w:style w:type="character" w:customStyle="1" w:styleId="Char2">
    <w:name w:val="正文文本缩进 Char"/>
    <w:link w:val="BodyTextIndent"/>
    <w:rPr>
      <w:kern w:val="2"/>
      <w:sz w:val="21"/>
      <w:szCs w:val="24"/>
    </w:rPr>
  </w:style>
  <w:style w:type="paragraph" w:styleId="PlainText">
    <w:name w:val="Plain Text"/>
    <w:basedOn w:val="Normal"/>
    <w:link w:val="Char3"/>
    <w:qFormat/>
    <w:rPr>
      <w:rFonts w:ascii="宋体" w:hAnsi="Courier New"/>
      <w:szCs w:val="21"/>
    </w:rPr>
  </w:style>
  <w:style w:type="character" w:customStyle="1" w:styleId="Char3">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4"/>
    <w:rPr>
      <w:sz w:val="18"/>
      <w:szCs w:val="18"/>
    </w:rPr>
  </w:style>
  <w:style w:type="character" w:customStyle="1" w:styleId="Char4">
    <w:name w:val="批注框文本 Char"/>
    <w:link w:val="BalloonText"/>
    <w:rPr>
      <w:kern w:val="2"/>
      <w:sz w:val="18"/>
      <w:szCs w:val="18"/>
    </w:rPr>
  </w:style>
  <w:style w:type="paragraph" w:styleId="Footer">
    <w:name w:val="footer"/>
    <w:basedOn w:val="Normal"/>
    <w:link w:val="Char5"/>
    <w:qFormat/>
    <w:pPr>
      <w:tabs>
        <w:tab w:val="center" w:pos="4153"/>
        <w:tab w:val="right" w:pos="8306"/>
      </w:tabs>
      <w:snapToGrid w:val="0"/>
      <w:jc w:val="left"/>
    </w:pPr>
    <w:rPr>
      <w:sz w:val="18"/>
    </w:rPr>
  </w:style>
  <w:style w:type="character" w:customStyle="1" w:styleId="Char5">
    <w:name w:val="页脚 Char"/>
    <w:link w:val="Footer"/>
    <w:uiPriority w:val="99"/>
    <w:rPr>
      <w:kern w:val="2"/>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1">
    <w:name w:val="toc 1"/>
    <w:basedOn w:val="Normal"/>
    <w:next w:val="Normal"/>
    <w:rPr>
      <w:szCs w:val="24"/>
    </w:rPr>
  </w:style>
  <w:style w:type="paragraph" w:styleId="NormalWeb">
    <w:name w:val="Normal (Web)"/>
    <w:basedOn w:val="Normal"/>
    <w:qFormat/>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table" w:styleId="TableGrid">
    <w:name w:val="Table Grid"/>
    <w:basedOn w:val="TableNormal"/>
    <w:uiPriority w:val="59"/>
    <w:qFormat/>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qFormat/>
    <w:rPr>
      <w:b/>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qFormat/>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ilvl w:val="0"/>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99"/>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lang w:val="en-US" w:eastAsia="zh-CN" w:bidi="ar-SA"/>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lang w:val="en-US" w:eastAsia="zh-CN" w:bidi="ar-SA"/>
    </w:rPr>
  </w:style>
  <w:style w:type="table" w:customStyle="1" w:styleId="13">
    <w:name w:val="网格型1"/>
    <w:basedOn w:val="TableNormal"/>
    <w:uiPriority w:val="59"/>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ONormal">
    <w:name w:val="AONormal"/>
    <w:qFormat/>
    <w:pPr>
      <w:autoSpaceDE w:val="0"/>
      <w:autoSpaceDN w:val="0"/>
      <w:adjustRightInd w:val="0"/>
      <w:spacing w:line="400" w:lineRule="exact"/>
      <w:ind w:firstLine="440" w:firstLineChars="200"/>
    </w:pPr>
    <w:rPr>
      <w:rFonts w:ascii="华文楷体" w:eastAsia="华文楷体" w:hAnsi="华文楷体" w:cs="华文楷体"/>
      <w:sz w:val="22"/>
      <w:szCs w:val="21"/>
      <w:lang w:val="en-US" w:eastAsia="zh-CN" w:bidi="ar-SA"/>
    </w:rPr>
  </w:style>
  <w:style w:type="paragraph" w:customStyle="1" w:styleId="53">
    <w:name w:val="目录 53"/>
    <w:next w:val="Normal"/>
    <w:qFormat/>
    <w:pPr>
      <w:wordWrap w:val="0"/>
      <w:ind w:left="1275"/>
      <w:jc w:val="both"/>
    </w:pPr>
    <w:rPr>
      <w:sz w:val="21"/>
      <w:lang w:val="en-US" w:eastAsia="zh-CN" w:bidi="ar-SA"/>
    </w:rPr>
  </w:style>
  <w:style w:type="character" w:styleId="Emphasis">
    <w:name w:val="Emphasis"/>
    <w:qFormat/>
    <w:rPr>
      <w:i/>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theme" Target="theme/theme1.xml" /><Relationship Id="rId9" Type="http://schemas.openxmlformats.org/officeDocument/2006/relationships/numbering" Target="numbering.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0</TotalTime>
  <Pages>38</Pages>
  <Words>17971</Words>
  <Characters>19012</Characters>
  <Application>Microsoft Office Word</Application>
  <DocSecurity>0</DocSecurity>
  <Lines>209</Lines>
  <Paragraphs>59</Paragraphs>
  <ScaleCrop>false</ScaleCrop>
  <Company>中国气象局</Company>
  <LinksUpToDate>false</LinksUpToDate>
  <CharactersWithSpaces>19110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2023-10-16T02:37:00Z</dcterms:created>
  <dcterms:modified xsi:type="dcterms:W3CDTF">2026-07-20T07:56:42Z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8D62CCBBDACA4EB9B2C46F68A96DA926_13</vt:lpwstr>
  </property>
  <property fmtid="{D5CDD505-2E9C-101B-9397-08002B2CF9AE}" pid="3" name="KSOProductBuildVer">
    <vt:lpwstr>2052-12.1.0.26895</vt:lpwstr>
  </property>
  <property fmtid="{D5CDD505-2E9C-101B-9397-08002B2CF9AE}" pid="4" name="KSOTemplateDocerSaveRecord">
    <vt:lpwstr>eyJoZGlkIjoiM2FkMjdjNjAxZjdmYjI5MjMyNmE5MTA5ZjJkMDM4NmEiLCJ1c2VySWQiOiI0MTI2MjIxMDYifQ==</vt:lpwstr>
  </property>
</Properties>
</file>