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2025年计量能力提升和观测能力提升-低空经济气象观测示范研究（广东）</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广东省气象数据中心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2025年计量能力提升和观测能力提升-低空经济气象观测示范研究（广东）</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广东省内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2025年10月23日 00:00:00</w:t>
      </w:r>
      <w:bookmarkEnd w:id="26"/>
      <w:r>
        <w:rPr>
          <w:rFonts w:ascii="宋体" w:hint="eastAsia"/>
          <w:szCs w:val="21"/>
          <w:highlight w:val="none"/>
        </w:rPr>
        <w:t>至</w:t>
      </w:r>
      <w:bookmarkStart w:id="27" w:name="项目公告_signUpLastTime"/>
      <w:r>
        <w:rPr>
          <w:rFonts w:ascii="宋体" w:hint="eastAsia"/>
          <w:szCs w:val="21"/>
          <w:highlight w:val="none"/>
        </w:rPr>
        <w:t>2025年11月10日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广东省气象数据中心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020-39456583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广东省广州市越秀区福今路6号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广东省气象数据中心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允许（仅针对以下产品：地面智能气象观测系统、数据采集与处理系统允许代理商投标）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设有，核心产品为地面智能气象观测系统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必须，以下产品需要提供至投标截止日仍有效的《气象专用技术装备使用许可证》：智能气温测量仪、智能湿度测量仪、智能风测量仪、智能翻斗式测量仪、智能气压测量仪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销售合同必须包括本项目类似的自动气象站，每提供1份合同得1分，最多得5分。否则不得分。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针对本项目采购的全部标的，承诺每提前10天交货的得1分，最多得1分。否则不得分。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针对地面智能气象观测系统，每提供 1份用户证明材料得1分，最多得2分。否则不得分。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针对地面智能气象观测系统，测试报告应涵盖高低温测试、盐雾测试、电磁环境测试等内容，每包含一项得1分，最多得3分。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(3)</w:t>
            </w:r>
          </w:p>
        </w:tc>
        <w:tc>
          <w:tcPr/>
          <w:p>
            <w:r>
              <w:t>评审标准：</w:t>
            </w:r>
          </w:p>
          <w:p>
            <w:r>
              <w:t>地面智能气象观测系统兼容性强，观测数据能接入采购人现有气象数据平台的得3分，否则不得分。</w:t>
              <w:cr/>
            </w:r>
          </w:p>
          <w:p>
            <w:r>
              <w:t>评审标准说明：</w:t>
            </w:r>
          </w:p>
          <w:p>
            <w:r>
              <w:t>需同时提供用户证明和详细可行的接入方案。</w:t>
            </w:r>
          </w:p>
          <w:p/>
        </w:tc>
      </w:tr>
    </w:tbl>
    <w:p w:rsidR="00A77B3E">
      <w:r>
        <w:t xml:space="preserve">      </w:t>
      </w:r>
    </w:p>
    <w:p w:rsidR="00A77B3E"/>
    <w:p w:rsidR="00A77B3E">
      <w:bookmarkEnd w:id="58"/>
    </w:p>
    <w:p w:rsidR="006053F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6053FF" w:rsidRPr="0011450A" w:rsidP="0011450A">
      <w:pPr>
        <w:spacing w:line="360" w:lineRule="auto"/>
        <w:ind w:firstLine="420" w:firstLineChars="200"/>
        <w:rPr>
          <w:rFonts w:ascii="宋体" w:hAnsi="宋体"/>
          <w:b/>
          <w:szCs w:val="21"/>
        </w:rPr>
      </w:pPr>
      <w:r w:rsidRPr="0011450A">
        <w:rPr>
          <w:rFonts w:ascii="宋体" w:hAnsi="宋体" w:hint="eastAsia"/>
          <w:b/>
          <w:szCs w:val="21"/>
        </w:rPr>
        <w:t>一、项目概况及总体要求</w:t>
      </w:r>
    </w:p>
    <w:p w:rsidR="0011450A" w:rsidRPr="0011450A" w:rsidP="0011450A">
      <w:pPr>
        <w:spacing w:line="360" w:lineRule="auto"/>
        <w:ind w:firstLine="420" w:firstLineChars="200"/>
        <w:rPr>
          <w:rFonts w:ascii="宋体" w:hAnsi="宋体"/>
          <w:szCs w:val="21"/>
        </w:rPr>
      </w:pPr>
      <w:r w:rsidRPr="0011450A">
        <w:rPr>
          <w:rFonts w:ascii="宋体" w:hAnsi="宋体" w:hint="eastAsia"/>
          <w:szCs w:val="21"/>
        </w:rPr>
        <w:t>本项目在广东省广州市大型的集散起降点（具体以实际选点为准）建设1套地面智能气象观测系统、购置1套数据采集与处理系统和开发1套广东低空气象监测网络系统软件平台。</w:t>
      </w:r>
    </w:p>
    <w:p w:rsidR="006053FF" w:rsidP="0011450A">
      <w:pPr>
        <w:spacing w:line="360" w:lineRule="auto"/>
        <w:ind w:firstLine="420" w:firstLineChars="200"/>
        <w:rPr>
          <w:rFonts w:ascii="宋体" w:hAnsi="宋体" w:hint="eastAsia"/>
          <w:szCs w:val="21"/>
        </w:rPr>
      </w:pPr>
      <w:r w:rsidRPr="0011450A">
        <w:rPr>
          <w:rFonts w:ascii="宋体" w:hAnsi="宋体" w:hint="eastAsia"/>
          <w:szCs w:val="21"/>
        </w:rPr>
        <w:t>本项目通过开展广东低空飞行关键气象要素多源探测布局、监测网络建设和观测试验，初步构建集气象数据采集、质控与共享为一体的低空气象监测网络，为</w:t>
      </w:r>
      <w:r w:rsidRPr="0011450A">
        <w:rPr>
          <w:rFonts w:ascii="宋体" w:hAnsi="宋体" w:hint="eastAsia"/>
          <w:szCs w:val="21"/>
        </w:rPr>
        <w:t>低空经济</w:t>
      </w:r>
      <w:r w:rsidRPr="0011450A">
        <w:rPr>
          <w:rFonts w:ascii="宋体" w:hAnsi="宋体" w:hint="eastAsia"/>
          <w:szCs w:val="21"/>
        </w:rPr>
        <w:t>提供安全的气象保障。</w:t>
      </w:r>
    </w:p>
    <w:p w:rsidR="00C20FFF" w:rsidRPr="00C20FFF" w:rsidP="0011450A">
      <w:pPr>
        <w:spacing w:line="360" w:lineRule="auto"/>
        <w:ind w:firstLine="420" w:firstLineChars="200"/>
        <w:rPr>
          <w:rFonts w:ascii="宋体" w:hAnsi="宋体"/>
          <w:szCs w:val="21"/>
        </w:rPr>
      </w:pPr>
      <w:r w:rsidRPr="00C20FFF">
        <w:rPr>
          <w:rFonts w:ascii="宋体" w:hAnsi="宋体" w:hint="eastAsia"/>
          <w:szCs w:val="21"/>
        </w:rPr>
        <w:t>本项目为交钥匙项目，包括但不限于设备供货、安装调试、土建、售后、检定、验收、维修、维持、软件升级、培训、通讯费用等。</w:t>
      </w:r>
    </w:p>
    <w:p w:rsidR="006053FF" w:rsidRPr="0011450A" w:rsidP="0011450A">
      <w:pPr>
        <w:spacing w:line="360" w:lineRule="auto"/>
        <w:ind w:firstLine="420" w:firstLineChars="200"/>
        <w:rPr>
          <w:rFonts w:ascii="宋体" w:hAnsi="宋体"/>
          <w:b/>
          <w:szCs w:val="21"/>
        </w:rPr>
      </w:pPr>
      <w:r w:rsidRPr="0011450A">
        <w:rPr>
          <w:rFonts w:ascii="宋体" w:hAnsi="宋体" w:hint="eastAsia"/>
          <w:b/>
          <w:szCs w:val="21"/>
        </w:rPr>
        <w:t>二、设备需求一览表（见第七章 采购需求 附表）</w:t>
      </w:r>
    </w:p>
    <w:p w:rsidR="006053FF" w:rsidRPr="0011450A" w:rsidP="0011450A">
      <w:pPr>
        <w:spacing w:line="360" w:lineRule="auto"/>
        <w:ind w:firstLine="420" w:firstLineChars="200"/>
        <w:rPr>
          <w:rFonts w:ascii="宋体" w:hAnsi="宋体"/>
          <w:b/>
          <w:szCs w:val="21"/>
        </w:rPr>
      </w:pPr>
      <w:r w:rsidRPr="0011450A">
        <w:rPr>
          <w:rFonts w:ascii="宋体" w:hAnsi="宋体" w:hint="eastAsia"/>
          <w:b/>
          <w:szCs w:val="21"/>
        </w:rPr>
        <w:t>三、技术性能指标</w:t>
      </w:r>
    </w:p>
    <w:p w:rsidR="0011450A" w:rsidRPr="0011450A" w:rsidP="0011450A">
      <w:pPr>
        <w:spacing w:line="560" w:lineRule="exact"/>
        <w:ind w:firstLine="420" w:firstLineChars="200"/>
        <w:rPr>
          <w:rFonts w:asciiTheme="minorEastAsia" w:hAnsiTheme="minorEastAsia" w:cs="仿宋"/>
          <w:szCs w:val="21"/>
        </w:rPr>
      </w:pPr>
      <w:r w:rsidRPr="0011450A">
        <w:rPr>
          <w:rFonts w:asciiTheme="minorEastAsia" w:hAnsiTheme="minorEastAsia" w:cs="仿宋" w:hint="eastAsia"/>
          <w:szCs w:val="21"/>
        </w:rPr>
        <w:t>地面智能气象观测系统是建设一套具备温度、湿度、气压、雨量、云高、能见度等气象观测要素的智能自动气象站。</w:t>
      </w:r>
    </w:p>
    <w:p w:rsidR="0011450A" w:rsidRPr="0011450A" w:rsidP="0011450A">
      <w:pPr>
        <w:spacing w:line="560" w:lineRule="exact"/>
        <w:ind w:firstLine="420" w:firstLineChars="200"/>
        <w:rPr>
          <w:rFonts w:asciiTheme="minorEastAsia" w:hAnsiTheme="minorEastAsia" w:cs="仿宋"/>
          <w:szCs w:val="21"/>
        </w:rPr>
      </w:pPr>
      <w:r w:rsidRPr="0011450A">
        <w:rPr>
          <w:rFonts w:asciiTheme="minorEastAsia" w:hAnsiTheme="minorEastAsia" w:cs="仿宋" w:hint="eastAsia"/>
          <w:szCs w:val="21"/>
        </w:rPr>
        <w:t>智能自动气象站</w:t>
      </w:r>
      <w:r w:rsidRPr="0011450A">
        <w:rPr>
          <w:rFonts w:asciiTheme="minorEastAsia" w:hAnsiTheme="minorEastAsia" w:cs="仿宋" w:hint="eastAsia"/>
          <w:szCs w:val="21"/>
        </w:rPr>
        <w:t>基于端边</w:t>
      </w:r>
      <w:r w:rsidRPr="0011450A">
        <w:rPr>
          <w:rFonts w:asciiTheme="minorEastAsia" w:hAnsiTheme="minorEastAsia" w:cs="仿宋" w:hint="eastAsia"/>
          <w:szCs w:val="21"/>
        </w:rPr>
        <w:t>云一体化智能架构设计，深度融合终端智能感知、边缘实时处理与云端全局协同能力，构建起全域气象观测的智能中枢系统。该架构通过终端</w:t>
      </w:r>
      <w:r w:rsidRPr="0011450A">
        <w:rPr>
          <w:rFonts w:asciiTheme="minorEastAsia" w:hAnsiTheme="minorEastAsia" w:cs="仿宋" w:hint="eastAsia"/>
          <w:szCs w:val="21"/>
        </w:rPr>
        <w:t>层部署</w:t>
      </w:r>
      <w:r w:rsidRPr="0011450A">
        <w:rPr>
          <w:rFonts w:asciiTheme="minorEastAsia" w:hAnsiTheme="minorEastAsia" w:cs="仿宋" w:hint="eastAsia"/>
          <w:szCs w:val="21"/>
        </w:rPr>
        <w:t>的智能传感器实现气象要素精准采集与自适应观测，边缘层依托嵌入式</w:t>
      </w:r>
      <w:r w:rsidRPr="0011450A">
        <w:rPr>
          <w:rFonts w:asciiTheme="minorEastAsia" w:hAnsiTheme="minorEastAsia" w:cs="仿宋" w:hint="eastAsia"/>
          <w:szCs w:val="21"/>
        </w:rPr>
        <w:t>算力完成</w:t>
      </w:r>
      <w:r w:rsidRPr="0011450A">
        <w:rPr>
          <w:rFonts w:asciiTheme="minorEastAsia" w:hAnsiTheme="minorEastAsia" w:cs="仿宋" w:hint="eastAsia"/>
          <w:szCs w:val="21"/>
        </w:rPr>
        <w:t>本地化数据预处理、实时质控与快速响应，云端层则承担全域资源集约化管理、海量数据深度挖掘与业务全局协同调度，形成 “终端感知 - 边缘决策 - 云端优化” 的闭环体系。</w:t>
      </w:r>
    </w:p>
    <w:p w:rsidR="0011450A" w:rsidRPr="0011450A" w:rsidP="0011450A">
      <w:pPr>
        <w:spacing w:line="560" w:lineRule="exact"/>
        <w:ind w:firstLine="420" w:firstLineChars="200"/>
        <w:rPr>
          <w:rFonts w:asciiTheme="minorEastAsia" w:hAnsiTheme="minorEastAsia" w:cs="仿宋"/>
          <w:szCs w:val="21"/>
        </w:rPr>
      </w:pPr>
      <w:r w:rsidRPr="0011450A">
        <w:rPr>
          <w:rFonts w:asciiTheme="minorEastAsia" w:hAnsiTheme="minorEastAsia" w:cs="仿宋" w:hint="eastAsia"/>
          <w:szCs w:val="21"/>
        </w:rPr>
        <w:t>智能自动气象站各智能测量仪与集成处理器之间建立基于工业Wi-Fi技术的通信方式，实现设备灵活扩展、即插即用和</w:t>
      </w:r>
      <w:r w:rsidRPr="0011450A">
        <w:rPr>
          <w:rFonts w:asciiTheme="minorEastAsia" w:hAnsiTheme="minorEastAsia" w:cs="仿宋" w:hint="eastAsia"/>
          <w:szCs w:val="21"/>
        </w:rPr>
        <w:t>可</w:t>
      </w:r>
      <w:r w:rsidRPr="0011450A">
        <w:rPr>
          <w:rFonts w:asciiTheme="minorEastAsia" w:hAnsiTheme="minorEastAsia" w:cs="仿宋" w:hint="eastAsia"/>
          <w:szCs w:val="21"/>
        </w:rPr>
        <w:t>扩展实景图像、云图片、滴谱等大数据产品上传和应用。台站状态数据、元数据、控制指令与云平台之间进行加密上传和指令下达。数据采集、加工、处理信息流程如图1所示。</w:t>
      </w:r>
    </w:p>
    <w:p w:rsidR="0011450A" w:rsidRPr="0011450A" w:rsidP="0011450A">
      <w:pPr>
        <w:spacing w:line="360" w:lineRule="auto"/>
        <w:ind w:left="247" w:hanging="717" w:leftChars="-224" w:hangingChars="224"/>
        <w:jc w:val="center"/>
        <w:rPr>
          <w:rFonts w:ascii="仿宋_GB2312" w:eastAsia="仿宋_GB2312" w:hAnsi="Times New Roman" w:cs="Times New Roman"/>
          <w:sz w:val="32"/>
          <w:szCs w:val="32"/>
        </w:rPr>
      </w:pPr>
      <w:r>
        <w:rPr>
          <w:rFonts w:ascii="仿宋_GB2312" w:eastAsia="仿宋_GB2312" w:hAnsi="仿宋_GB2312" w:cs="仿宋_GB2312" w:hint="eastAsia"/>
          <w:noProof/>
          <w:color w:val="000000"/>
          <w:sz w:val="32"/>
          <w:szCs w:val="32"/>
        </w:rPr>
        <w:drawing>
          <wp:inline distT="0" distB="0" distL="0" distR="0">
            <wp:extent cx="5548630" cy="31007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5548630" cy="3100705"/>
                    </a:xfrm>
                    <a:prstGeom prst="rect">
                      <a:avLst/>
                    </a:prstGeom>
                    <a:noFill/>
                    <a:ln>
                      <a:noFill/>
                    </a:ln>
                  </pic:spPr>
                </pic:pic>
              </a:graphicData>
            </a:graphic>
          </wp:inline>
        </w:drawing>
      </w:r>
    </w:p>
    <w:p w:rsidR="0011450A" w:rsidRPr="0011450A" w:rsidP="0011450A">
      <w:pPr>
        <w:spacing w:line="360" w:lineRule="auto"/>
        <w:ind w:left="0" w:hanging="470" w:leftChars="-224" w:hangingChars="224"/>
        <w:jc w:val="center"/>
        <w:rPr>
          <w:rFonts w:ascii="宋体" w:eastAsia="宋体" w:hAnsi="宋体" w:cs="宋体"/>
          <w:b/>
          <w:szCs w:val="21"/>
        </w:rPr>
      </w:pPr>
      <w:r w:rsidRPr="0011450A">
        <w:rPr>
          <w:rFonts w:ascii="宋体" w:eastAsia="宋体" w:hAnsi="宋体" w:cs="宋体" w:hint="eastAsia"/>
          <w:b/>
          <w:szCs w:val="21"/>
        </w:rPr>
        <w:t>图</w:t>
      </w:r>
      <w:r w:rsidRPr="0011450A">
        <w:rPr>
          <w:rFonts w:ascii="宋体" w:eastAsia="宋体" w:hAnsi="宋体" w:cs="宋体"/>
          <w:b/>
          <w:szCs w:val="21"/>
        </w:rPr>
        <w:t xml:space="preserve">1 </w:t>
      </w:r>
      <w:r w:rsidRPr="0011450A">
        <w:rPr>
          <w:rFonts w:ascii="宋体" w:eastAsia="宋体" w:hAnsi="宋体" w:cs="宋体" w:hint="eastAsia"/>
          <w:b/>
          <w:szCs w:val="21"/>
        </w:rPr>
        <w:t>信息流程图（测量仪种类以项目具体建设要求所需的观测要素为准）</w:t>
      </w:r>
    </w:p>
    <w:p w:rsidR="0011450A" w:rsidP="0011450A">
      <w:pPr>
        <w:spacing w:line="360" w:lineRule="auto"/>
        <w:ind w:left="0" w:hanging="470" w:leftChars="-224" w:hangingChars="224"/>
        <w:jc w:val="center"/>
        <w:rPr>
          <w:rFonts w:ascii="宋体" w:eastAsia="宋体" w:hAnsi="宋体" w:cs="宋体"/>
          <w:b/>
          <w:szCs w:val="21"/>
        </w:rPr>
      </w:pPr>
    </w:p>
    <w:p w:rsidR="0011450A" w:rsidRPr="0011450A" w:rsidP="0011450A">
      <w:pPr>
        <w:spacing w:line="360" w:lineRule="auto"/>
        <w:ind w:left="0" w:hanging="470" w:leftChars="-224" w:hangingChars="224"/>
        <w:jc w:val="center"/>
        <w:rPr>
          <w:rFonts w:ascii="宋体" w:eastAsia="宋体" w:hAnsi="宋体" w:cs="宋体"/>
          <w:b/>
          <w:szCs w:val="21"/>
        </w:rPr>
      </w:pPr>
      <w:r w:rsidRPr="0011450A">
        <w:rPr>
          <w:rFonts w:ascii="宋体" w:eastAsia="宋体" w:hAnsi="宋体" w:cs="宋体" w:hint="eastAsia"/>
          <w:b/>
          <w:szCs w:val="21"/>
        </w:rPr>
        <w:t>系统组件列表</w:t>
      </w:r>
    </w:p>
    <w:tbl>
      <w:tblPr>
        <w:tblStyle w:val="TableNormal"/>
        <w:tblW w:w="77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3118"/>
        <w:gridCol w:w="1559"/>
      </w:tblGrid>
      <w:tr w:rsidTr="00B71A18">
        <w:tblPrEx>
          <w:tblW w:w="77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63"/>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b/>
                <w:szCs w:val="21"/>
              </w:rPr>
            </w:pPr>
            <w:r w:rsidRPr="0011450A">
              <w:rPr>
                <w:rFonts w:asciiTheme="minorEastAsia" w:hAnsiTheme="minorEastAsia" w:cs="宋体" w:hint="eastAsia"/>
                <w:b/>
                <w:szCs w:val="21"/>
              </w:rPr>
              <w:t>类别</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b/>
                <w:szCs w:val="21"/>
              </w:rPr>
            </w:pPr>
            <w:r w:rsidRPr="00B71A18">
              <w:rPr>
                <w:rFonts w:asciiTheme="minorEastAsia" w:hAnsiTheme="minorEastAsia" w:cs="宋体" w:hint="eastAsia"/>
                <w:b/>
                <w:szCs w:val="21"/>
              </w:rPr>
              <w:t>要素</w:t>
            </w:r>
            <w:r w:rsidRPr="0011450A">
              <w:rPr>
                <w:rFonts w:asciiTheme="minorEastAsia" w:hAnsiTheme="minorEastAsia" w:cs="宋体" w:hint="eastAsia"/>
                <w:b/>
                <w:szCs w:val="21"/>
              </w:rPr>
              <w:t>名称</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b/>
                <w:szCs w:val="21"/>
              </w:rPr>
            </w:pPr>
            <w:r w:rsidRPr="0011450A">
              <w:rPr>
                <w:rFonts w:asciiTheme="minorEastAsia" w:hAnsiTheme="minorEastAsia" w:cs="宋体" w:hint="eastAsia"/>
                <w:b/>
                <w:szCs w:val="21"/>
              </w:rPr>
              <w:t>数量/单位</w:t>
            </w:r>
          </w:p>
        </w:tc>
      </w:tr>
      <w:tr w:rsidTr="00B71A18">
        <w:tblPrEx>
          <w:tblW w:w="7796" w:type="dxa"/>
          <w:tblInd w:w="250" w:type="dxa"/>
          <w:tblLook w:val="0000"/>
        </w:tblPrEx>
        <w:trPr>
          <w:trHeight w:val="364"/>
          <w:tblHeader/>
        </w:trPr>
        <w:tc>
          <w:tcPr>
            <w:tcW w:w="7796" w:type="dxa"/>
            <w:gridSpan w:val="3"/>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b/>
                <w:bCs/>
                <w:szCs w:val="21"/>
              </w:rPr>
            </w:pPr>
            <w:r w:rsidRPr="0011450A">
              <w:rPr>
                <w:rFonts w:asciiTheme="minorEastAsia" w:hAnsiTheme="minorEastAsia" w:cs="宋体" w:hint="eastAsia"/>
                <w:szCs w:val="21"/>
              </w:rPr>
              <w:t>一、地面智能气象观测系统</w:t>
            </w:r>
          </w:p>
        </w:tc>
      </w:tr>
      <w:tr w:rsidTr="00B71A18">
        <w:tblPrEx>
          <w:tblW w:w="7796" w:type="dxa"/>
          <w:tblInd w:w="250" w:type="dxa"/>
          <w:tblLook w:val="0000"/>
        </w:tblPrEx>
        <w:trPr>
          <w:trHeight w:val="364"/>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left"/>
              <w:rPr>
                <w:rFonts w:asciiTheme="minorEastAsia" w:hAnsiTheme="minorEastAsia" w:cs="宋体"/>
                <w:szCs w:val="21"/>
              </w:rPr>
            </w:pPr>
            <w:r w:rsidRPr="0011450A">
              <w:rPr>
                <w:rFonts w:asciiTheme="minorEastAsia" w:hAnsiTheme="minorEastAsia" w:cs="宋体" w:hint="eastAsia"/>
                <w:szCs w:val="21"/>
              </w:rPr>
              <w:t>智能集成处理器（主备）</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b/>
                <w:bCs/>
                <w:szCs w:val="21"/>
              </w:rPr>
            </w:pPr>
            <w:r w:rsidRPr="0011450A">
              <w:rPr>
                <w:rFonts w:asciiTheme="minorEastAsia" w:hAnsiTheme="minorEastAsia" w:cs="宋体" w:hint="eastAsia"/>
                <w:b/>
                <w:bCs/>
                <w:szCs w:val="21"/>
              </w:rPr>
              <w:t>2套</w:t>
            </w:r>
          </w:p>
        </w:tc>
      </w:tr>
      <w:tr w:rsidTr="00B71A18">
        <w:tblPrEx>
          <w:tblW w:w="7796" w:type="dxa"/>
          <w:tblInd w:w="250" w:type="dxa"/>
          <w:tblLook w:val="0000"/>
        </w:tblPrEx>
        <w:trPr>
          <w:trHeight w:val="363"/>
          <w:tblHeader/>
        </w:trPr>
        <w:tc>
          <w:tcPr>
            <w:tcW w:w="3119"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left"/>
              <w:rPr>
                <w:rFonts w:asciiTheme="minorEastAsia" w:hAnsiTheme="minorEastAsia" w:cs="宋体"/>
                <w:szCs w:val="21"/>
              </w:rPr>
            </w:pPr>
            <w:r w:rsidRPr="0011450A">
              <w:rPr>
                <w:rFonts w:asciiTheme="minorEastAsia" w:hAnsiTheme="minorEastAsia" w:cs="宋体" w:hint="eastAsia"/>
                <w:szCs w:val="21"/>
              </w:rPr>
              <w:t>智能测量仪</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气温</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1支</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强制通风气温</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3支</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湿度</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1支</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机械风</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超声波风</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气压</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1只</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翻斗雨（0.1mm）</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90"/>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翻斗雨（0.2mm）</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红外温度</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能见度</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455"/>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降水现象</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总辐射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散辐射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反辐射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大气长波辐射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地面长波辐射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紫外A辐射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紫外B辐射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直接辐射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光合有效辐射</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全天空成像</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557"/>
          <w:tblHeader/>
        </w:trPr>
        <w:tc>
          <w:tcPr>
            <w:tcW w:w="3119" w:type="dxa"/>
            <w:vMerge/>
            <w:tcBorders>
              <w:top w:val="single" w:sz="4" w:space="0" w:color="auto"/>
              <w:left w:val="single" w:sz="4" w:space="0" w:color="auto"/>
              <w:bottom w:val="single" w:sz="4" w:space="0" w:color="auto"/>
              <w:right w:val="single" w:sz="4" w:space="0" w:color="auto"/>
            </w:tcBorders>
            <w:vAlign w:val="center"/>
          </w:tcPr>
          <w:p w:rsidR="0011450A" w:rsidRPr="0011450A" w:rsidP="0011450A">
            <w:pPr>
              <w:widowControl/>
              <w:spacing w:line="400" w:lineRule="exact"/>
              <w:jc w:val="center"/>
              <w:rPr>
                <w:rFonts w:asciiTheme="minorEastAsia" w:hAnsiTheme="minorEastAsia" w:cs="宋体"/>
                <w:szCs w:val="21"/>
              </w:rPr>
            </w:pP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单站雷暴</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szCs w:val="21"/>
              </w:rPr>
            </w:pPr>
            <w:r w:rsidRPr="0011450A">
              <w:rPr>
                <w:rFonts w:asciiTheme="minorEastAsia" w:hAnsiTheme="minorEastAsia" w:cs="宋体" w:hint="eastAsia"/>
                <w:szCs w:val="21"/>
              </w:rPr>
              <w:t>智能供电系统</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szCs w:val="21"/>
              </w:rPr>
            </w:pPr>
            <w:r w:rsidRPr="0011450A">
              <w:rPr>
                <w:rFonts w:asciiTheme="minorEastAsia" w:hAnsiTheme="minorEastAsia" w:cs="宋体" w:hint="eastAsia"/>
                <w:szCs w:val="21"/>
              </w:rPr>
              <w:t>智能实景监控系统</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7796" w:type="dxa"/>
            <w:gridSpan w:val="3"/>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szCs w:val="21"/>
              </w:rPr>
            </w:pPr>
            <w:r w:rsidRPr="0011450A">
              <w:rPr>
                <w:rFonts w:asciiTheme="minorEastAsia" w:hAnsiTheme="minorEastAsia" w:cs="宋体" w:hint="eastAsia"/>
                <w:szCs w:val="21"/>
              </w:rPr>
              <w:t>二、数据采集与处理系统</w:t>
            </w:r>
          </w:p>
        </w:tc>
      </w:tr>
      <w:tr w:rsidTr="00B71A18">
        <w:tblPrEx>
          <w:tblW w:w="7796" w:type="dxa"/>
          <w:tblInd w:w="250" w:type="dxa"/>
          <w:tblLook w:val="0000"/>
        </w:tblPrEx>
        <w:trPr>
          <w:trHeight w:val="363"/>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szCs w:val="21"/>
              </w:rPr>
            </w:pPr>
            <w:r w:rsidRPr="0011450A">
              <w:rPr>
                <w:rFonts w:asciiTheme="minorEastAsia" w:hAnsiTheme="minorEastAsia" w:cs="宋体" w:hint="eastAsia"/>
                <w:szCs w:val="21"/>
              </w:rPr>
              <w:t>数据采集与处理系统</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r w:rsidTr="00B71A18">
        <w:tblPrEx>
          <w:tblW w:w="7796" w:type="dxa"/>
          <w:tblInd w:w="250" w:type="dxa"/>
          <w:tblLook w:val="0000"/>
        </w:tblPrEx>
        <w:trPr>
          <w:trHeight w:val="363"/>
          <w:tblHeader/>
        </w:trPr>
        <w:tc>
          <w:tcPr>
            <w:tcW w:w="7796" w:type="dxa"/>
            <w:gridSpan w:val="3"/>
            <w:tcBorders>
              <w:top w:val="single" w:sz="4" w:space="0" w:color="auto"/>
              <w:left w:val="single" w:sz="4" w:space="0" w:color="auto"/>
              <w:bottom w:val="single" w:sz="4" w:space="0" w:color="auto"/>
              <w:right w:val="single" w:sz="4" w:space="0" w:color="auto"/>
            </w:tcBorders>
          </w:tcPr>
          <w:p w:rsidR="0011450A" w:rsidRPr="0011450A" w:rsidP="0011450A">
            <w:pPr>
              <w:spacing w:line="400" w:lineRule="exact"/>
              <w:jc w:val="left"/>
              <w:rPr>
                <w:rFonts w:asciiTheme="minorEastAsia" w:hAnsiTheme="minorEastAsia" w:cs="宋体"/>
                <w:szCs w:val="21"/>
              </w:rPr>
            </w:pPr>
            <w:r w:rsidRPr="0011450A">
              <w:rPr>
                <w:rFonts w:asciiTheme="minorEastAsia" w:hAnsiTheme="minorEastAsia" w:cs="宋体" w:hint="eastAsia"/>
                <w:szCs w:val="21"/>
              </w:rPr>
              <w:t>三、广东低空气象监测网络系统软件平台</w:t>
            </w:r>
          </w:p>
        </w:tc>
      </w:tr>
      <w:tr w:rsidTr="00B71A18">
        <w:tblPrEx>
          <w:tblW w:w="7796" w:type="dxa"/>
          <w:tblInd w:w="250" w:type="dxa"/>
          <w:tblLook w:val="0000"/>
        </w:tblPrEx>
        <w:trPr>
          <w:trHeight w:val="363"/>
          <w:tblHeader/>
        </w:trPr>
        <w:tc>
          <w:tcPr>
            <w:tcW w:w="311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rPr>
                <w:rFonts w:asciiTheme="minorEastAsia" w:hAnsiTheme="minorEastAsia" w:cs="宋体"/>
                <w:szCs w:val="21"/>
              </w:rPr>
            </w:pPr>
            <w:r w:rsidRPr="0011450A">
              <w:rPr>
                <w:rFonts w:asciiTheme="minorEastAsia" w:hAnsiTheme="minorEastAsia" w:cs="宋体" w:hint="eastAsia"/>
                <w:szCs w:val="21"/>
              </w:rPr>
              <w:t>广东低空气象监测网络系统软件平台</w:t>
            </w:r>
          </w:p>
        </w:tc>
        <w:tc>
          <w:tcPr>
            <w:tcW w:w="3118"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rsidR="0011450A" w:rsidRPr="0011450A" w:rsidP="0011450A">
            <w:pPr>
              <w:spacing w:line="400" w:lineRule="exact"/>
              <w:jc w:val="center"/>
              <w:rPr>
                <w:rFonts w:asciiTheme="minorEastAsia" w:hAnsiTheme="minorEastAsia" w:cs="宋体"/>
                <w:szCs w:val="21"/>
              </w:rPr>
            </w:pPr>
            <w:r w:rsidRPr="0011450A">
              <w:rPr>
                <w:rFonts w:asciiTheme="minorEastAsia" w:hAnsiTheme="minorEastAsia" w:cs="宋体" w:hint="eastAsia"/>
                <w:szCs w:val="21"/>
              </w:rPr>
              <w:t>1套</w:t>
            </w:r>
          </w:p>
        </w:tc>
      </w:tr>
    </w:tbl>
    <w:p w:rsidR="0011450A" w:rsidRPr="0011450A" w:rsidP="0011450A">
      <w:pPr>
        <w:spacing w:line="560" w:lineRule="exact"/>
        <w:ind w:firstLine="560" w:firstLineChars="200"/>
        <w:rPr>
          <w:rFonts w:ascii="仿宋" w:eastAsia="仿宋" w:hAnsi="仿宋" w:cs="仿宋"/>
          <w:sz w:val="28"/>
          <w:szCs w:val="20"/>
        </w:rPr>
      </w:pPr>
    </w:p>
    <w:p w:rsidR="0011450A" w:rsidRPr="0011450A" w:rsidP="00B71A18">
      <w:pPr>
        <w:spacing w:line="560" w:lineRule="exact"/>
        <w:ind w:firstLine="420" w:firstLineChars="200"/>
        <w:rPr>
          <w:rFonts w:asciiTheme="minorEastAsia" w:hAnsiTheme="minorEastAsia" w:cs="仿宋"/>
          <w:szCs w:val="21"/>
        </w:rPr>
      </w:pPr>
      <w:r>
        <w:rPr>
          <w:rFonts w:asciiTheme="minorEastAsia" w:hAnsiTheme="minorEastAsia" w:cs="仿宋" w:hint="eastAsia"/>
          <w:szCs w:val="21"/>
        </w:rPr>
        <w:t>1、</w:t>
      </w:r>
      <w:r w:rsidRPr="0011450A">
        <w:rPr>
          <w:rFonts w:asciiTheme="minorEastAsia" w:hAnsiTheme="minorEastAsia" w:cs="仿宋" w:hint="eastAsia"/>
          <w:szCs w:val="21"/>
        </w:rPr>
        <w:t>本次采购的主要</w:t>
      </w:r>
      <w:r w:rsidR="00B71A18">
        <w:rPr>
          <w:rFonts w:asciiTheme="minorEastAsia" w:hAnsiTheme="minorEastAsia" w:cs="仿宋" w:hint="eastAsia"/>
          <w:szCs w:val="21"/>
        </w:rPr>
        <w:t>标的</w:t>
      </w:r>
      <w:r w:rsidRPr="0011450A">
        <w:rPr>
          <w:rFonts w:asciiTheme="minorEastAsia" w:hAnsiTheme="minorEastAsia" w:cs="仿宋" w:hint="eastAsia"/>
          <w:szCs w:val="21"/>
        </w:rPr>
        <w:t>技术指标如下：</w:t>
      </w:r>
    </w:p>
    <w:tbl>
      <w:tblPr>
        <w:tblStyle w:val="TableNormal"/>
        <w:tblW w:w="8457" w:type="dxa"/>
        <w:jc w:val="center"/>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4"/>
        <w:gridCol w:w="1694"/>
        <w:gridCol w:w="5829"/>
      </w:tblGrid>
      <w:tr w:rsidTr="00B71A18">
        <w:tblPrEx>
          <w:tblW w:w="8457" w:type="dxa"/>
          <w:jc w:val="center"/>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63"/>
          <w:tblHeader/>
          <w:jc w:val="center"/>
        </w:trPr>
        <w:tc>
          <w:tcPr>
            <w:tcW w:w="93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类别</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Pr>
                <w:rFonts w:asciiTheme="minorEastAsia" w:hAnsiTheme="minorEastAsia" w:cs="宋体" w:hint="eastAsia"/>
                <w:szCs w:val="21"/>
              </w:rPr>
              <w:t>要素</w:t>
            </w:r>
            <w:r w:rsidRPr="0011450A">
              <w:rPr>
                <w:rFonts w:asciiTheme="minorEastAsia" w:hAnsiTheme="minorEastAsia" w:cs="宋体" w:hint="eastAsia"/>
                <w:szCs w:val="21"/>
              </w:rPr>
              <w:t>名称</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指标要求/功能要求</w:t>
            </w:r>
          </w:p>
        </w:tc>
      </w:tr>
      <w:tr w:rsidTr="00B71A18">
        <w:tblPrEx>
          <w:tblW w:w="8457" w:type="dxa"/>
          <w:jc w:val="center"/>
          <w:tblInd w:w="358" w:type="dxa"/>
          <w:tblLook w:val="0000"/>
        </w:tblPrEx>
        <w:trPr>
          <w:trHeight w:val="364"/>
          <w:jc w:val="center"/>
        </w:trPr>
        <w:tc>
          <w:tcPr>
            <w:tcW w:w="8457" w:type="dxa"/>
            <w:gridSpan w:val="3"/>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一、地面智能气象观测系统</w:t>
            </w:r>
          </w:p>
        </w:tc>
      </w:tr>
      <w:tr w:rsidTr="00B71A18">
        <w:tblPrEx>
          <w:tblW w:w="8457" w:type="dxa"/>
          <w:jc w:val="center"/>
          <w:tblInd w:w="358" w:type="dxa"/>
          <w:tblLook w:val="0000"/>
        </w:tblPrEx>
        <w:trPr>
          <w:trHeight w:val="364"/>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智能集成处理器（主备）</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硬件系统</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满足硬件功能规格需求书要求</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（1）具备主处理器及核心器件国产化设计方案。</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（2）具备分别用于WiFi、气象专网和公网的三个独立网关，其中气象专网接口为千兆RJ45</w:t>
            </w:r>
            <w:r w:rsidRPr="0011450A">
              <w:rPr>
                <w:rFonts w:asciiTheme="minorEastAsia" w:hAnsiTheme="minorEastAsia" w:cs="宋体" w:hint="eastAsia"/>
                <w:szCs w:val="21"/>
              </w:rPr>
              <w:t>网络电口和</w:t>
            </w:r>
            <w:r w:rsidRPr="0011450A">
              <w:rPr>
                <w:rFonts w:asciiTheme="minorEastAsia" w:hAnsiTheme="minorEastAsia" w:cs="宋体" w:hint="eastAsia"/>
                <w:szCs w:val="21"/>
              </w:rPr>
              <w:t>千兆单模光纤SC接口，公网为百兆以上RJ45网络电口。</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（3）3个RS232串口（Linux控制台、气压、预留），1个USB接口，用于系统状态监控、功能扩展和数据导入导出。</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（4）1个供电接口，用于集成处理器供电。</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（5）1个数字电平光电隔离输入状态接口，用于机箱门开关检测。</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（6）1个WiFi天线接口，当集成器处于特殊环境信号弱时，增加外置天线。</w:t>
            </w:r>
          </w:p>
          <w:p w:rsidR="0011450A" w:rsidRPr="0011450A" w:rsidP="00B71A18">
            <w:pPr>
              <w:spacing w:line="400" w:lineRule="exact"/>
              <w:rPr>
                <w:rFonts w:asciiTheme="minorEastAsia" w:hAnsiTheme="minorEastAsia" w:cs="宋体"/>
                <w:b/>
                <w:bCs/>
                <w:szCs w:val="21"/>
              </w:rPr>
            </w:pPr>
            <w:r w:rsidRPr="0011450A">
              <w:rPr>
                <w:rFonts w:asciiTheme="minorEastAsia" w:hAnsiTheme="minorEastAsia" w:cs="宋体" w:hint="eastAsia"/>
                <w:szCs w:val="21"/>
              </w:rPr>
              <w:t>（7）具备1个PCIe扩展槽，用于存储扩展。</w:t>
            </w:r>
          </w:p>
        </w:tc>
      </w:tr>
      <w:tr w:rsidTr="00B71A18">
        <w:tblPrEx>
          <w:tblW w:w="8457" w:type="dxa"/>
          <w:jc w:val="center"/>
          <w:tblInd w:w="358" w:type="dxa"/>
          <w:tblLook w:val="0000"/>
        </w:tblPrEx>
        <w:trPr>
          <w:trHeight w:val="364"/>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嵌入式软件</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满足嵌入式软件功能规格需求书</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（1）具备高性能处理器，可完成复杂算法的运行实施。要求</w:t>
            </w:r>
            <w:r w:rsidRPr="0011450A">
              <w:rPr>
                <w:rFonts w:asciiTheme="minorEastAsia" w:hAnsiTheme="minorEastAsia" w:cs="宋体" w:hint="eastAsia"/>
                <w:szCs w:val="21"/>
              </w:rPr>
              <w:t>主处理器具备4</w:t>
            </w:r>
            <w:r w:rsidRPr="0011450A">
              <w:rPr>
                <w:rFonts w:asciiTheme="minorEastAsia" w:hAnsiTheme="minorEastAsia" w:cs="宋体" w:hint="eastAsia"/>
                <w:szCs w:val="21"/>
              </w:rPr>
              <w:t>核以上</w:t>
            </w:r>
            <w:r w:rsidRPr="0011450A">
              <w:rPr>
                <w:rFonts w:asciiTheme="minorEastAsia" w:hAnsiTheme="minorEastAsia" w:cs="宋体" w:hint="eastAsia"/>
                <w:szCs w:val="21"/>
              </w:rPr>
              <w:t>ARMv8架构64位处理器，单核1GHz以上工作频率，内存要求4GB及以上，</w:t>
            </w:r>
            <w:r w:rsidRPr="0011450A">
              <w:rPr>
                <w:rFonts w:asciiTheme="minorEastAsia" w:hAnsiTheme="minorEastAsia" w:cs="宋体" w:hint="eastAsia"/>
                <w:szCs w:val="21"/>
              </w:rPr>
              <w:t>板载</w:t>
            </w:r>
            <w:r w:rsidRPr="0011450A">
              <w:rPr>
                <w:rFonts w:asciiTheme="minorEastAsia" w:hAnsiTheme="minorEastAsia" w:cs="宋体" w:hint="eastAsia"/>
                <w:szCs w:val="21"/>
              </w:rPr>
              <w:t>EMMC存储要求不低于64GB。</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（2）支持64位Linux操作系统。</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（3）支持嵌入式数据库。</w:t>
            </w:r>
          </w:p>
          <w:p w:rsidR="0011450A" w:rsidRPr="0011450A" w:rsidP="00B71A18">
            <w:pPr>
              <w:spacing w:line="400" w:lineRule="exact"/>
              <w:rPr>
                <w:rFonts w:asciiTheme="minorEastAsia" w:hAnsiTheme="minorEastAsia" w:cs="宋体"/>
                <w:b/>
                <w:bCs/>
                <w:szCs w:val="21"/>
              </w:rPr>
            </w:pPr>
            <w:r w:rsidRPr="0011450A">
              <w:rPr>
                <w:rFonts w:asciiTheme="minorEastAsia" w:hAnsiTheme="minorEastAsia" w:cs="宋体" w:hint="eastAsia"/>
                <w:szCs w:val="21"/>
              </w:rPr>
              <w:t>（4）具备深度学习能力。具有NPU协处理器，2.0TOPS及以上算力。</w:t>
            </w:r>
          </w:p>
        </w:tc>
      </w:tr>
      <w:tr w:rsidTr="00B71A18">
        <w:tblPrEx>
          <w:tblW w:w="8457" w:type="dxa"/>
          <w:jc w:val="center"/>
          <w:tblInd w:w="358" w:type="dxa"/>
          <w:tblLook w:val="0000"/>
        </w:tblPrEx>
        <w:trPr>
          <w:trHeight w:val="363"/>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测量仪性能指标</w:t>
            </w:r>
          </w:p>
          <w:p w:rsidR="0011450A" w:rsidRPr="0011450A" w:rsidP="00B71A18">
            <w:pPr>
              <w:spacing w:line="400" w:lineRule="exac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气温</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测量范围：-50℃～50℃；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分辨力：0.01℃；</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最大允许误差：±0.1℃</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强制通风气温</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测量范围：-50℃～50℃；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分辨力：0.01℃；</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最大允许误差：±0.1℃</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湿度</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测量范围：5%～100%；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分辨力：1%；</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最大允许误差：±2%RH（≤80%RH），</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±3%RH（＞80%RH）</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机械风</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风向测量范围：0～360°；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风向分辨力：3°；</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风向最大允许误差：±5°</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风速测量范围：0～60m/s</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风速分辨力：0.1m/s</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风速最大允许误差：±（0.5 m/s+0.03V）</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超声波风</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风向测量范围：0～360°；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风向分辨力：1°；</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风向最大允许误差：±2°</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风速测量范围：0～60m/s</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风速分辨力：0.1m/s</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风速最大允许误差：±0.1 m/s(≤5 m/s)，±2％（＞5 m/s）</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气压</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测量范围：800hPa～1100hPa（基本型）；</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分辨力：0.1hPa；</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最大允许误差：±0.2hPa</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翻斗雨（0.1mm）</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w:t>
            </w:r>
            <w:r w:rsidRPr="0011450A">
              <w:rPr>
                <w:rFonts w:asciiTheme="minorEastAsia" w:hAnsiTheme="minorEastAsia" w:cs="宋体" w:hint="eastAsia"/>
                <w:szCs w:val="21"/>
              </w:rPr>
              <w:t>雨强0～4</w:t>
            </w:r>
            <w:r w:rsidRPr="0011450A">
              <w:rPr>
                <w:rFonts w:asciiTheme="minorEastAsia" w:hAnsiTheme="minorEastAsia" w:cs="宋体" w:hint="eastAsia"/>
                <w:szCs w:val="21"/>
              </w:rPr>
              <w:t>mm/min；</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分辨力：0.1mm；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highlight w:val="yellow"/>
              </w:rPr>
              <w:t>#</w:t>
            </w:r>
            <w:r w:rsidRPr="0011450A">
              <w:rPr>
                <w:rFonts w:asciiTheme="minorEastAsia" w:hAnsiTheme="minorEastAsia" w:cs="宋体" w:hint="eastAsia"/>
                <w:szCs w:val="21"/>
              </w:rPr>
              <w:t>最大允许误差：±0.4 mm（≤10 mm）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±4％（＞10 mm）</w:t>
            </w:r>
          </w:p>
        </w:tc>
      </w:tr>
      <w:tr w:rsidTr="00B71A18">
        <w:tblPrEx>
          <w:tblW w:w="8457" w:type="dxa"/>
          <w:jc w:val="center"/>
          <w:tblInd w:w="358" w:type="dxa"/>
          <w:tblLook w:val="0000"/>
        </w:tblPrEx>
        <w:trPr>
          <w:trHeight w:val="1915"/>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翻斗雨（0.2mm）</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w:t>
            </w:r>
            <w:r w:rsidRPr="0011450A">
              <w:rPr>
                <w:rFonts w:asciiTheme="minorEastAsia" w:hAnsiTheme="minorEastAsia" w:cs="宋体" w:hint="eastAsia"/>
                <w:szCs w:val="21"/>
              </w:rPr>
              <w:t>雨强0～4</w:t>
            </w:r>
            <w:r w:rsidRPr="0011450A">
              <w:rPr>
                <w:rFonts w:asciiTheme="minorEastAsia" w:hAnsiTheme="minorEastAsia" w:cs="宋体" w:hint="eastAsia"/>
                <w:szCs w:val="21"/>
              </w:rPr>
              <w:t>mm/min；</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分辨力：0.2mm；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最大允许误差：±0.4 mm（≤10 mm）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±4％（＞10 mm）</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红外温度</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测量范围：-50℃～80℃；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分辨力：0.1℃；</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最大允许误差：±0.3 ℃（－50 ℃～50 ℃）</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±0.5 ℃（50 ℃～80 ℃）</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能见度</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测量范围：10～30000m；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分辨力：1m；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最大允许误差：±10%（≤1500m）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±20%（＞1500m）</w:t>
            </w:r>
          </w:p>
        </w:tc>
      </w:tr>
      <w:tr w:rsidTr="00B71A18">
        <w:tblPrEx>
          <w:tblW w:w="8457" w:type="dxa"/>
          <w:jc w:val="center"/>
          <w:tblInd w:w="358" w:type="dxa"/>
          <w:tblLook w:val="0000"/>
        </w:tblPrEx>
        <w:trPr>
          <w:trHeight w:val="636"/>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降水现象</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识别准确率：≥90%；</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总辐射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测量范围：0～2000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分辨力：5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散辐射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测量范围：0～2000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分辨力：5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反辐射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测量范围：0～2000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分辨力：5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大气长波辐射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测量范围：0～1200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分辨力：1W/m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地面长波辐射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测量范围：0～1200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分辨力：1W/m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紫外A辐射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测量范围：0～200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分辨力：0.1W/m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紫外B辐射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测量范围：0～200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分辨力：0.1W/m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最大允许误差：±5%（日累计）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直接辐射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测量范围：0～1400 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 1W/m</w:t>
            </w:r>
            <w:r w:rsidRPr="0011450A">
              <w:rPr>
                <w:rFonts w:asciiTheme="minorEastAsia" w:hAnsiTheme="minorEastAsia" w:cs="宋体" w:hint="eastAsia"/>
                <w:szCs w:val="21"/>
                <w:vertAlign w:val="superscript"/>
              </w:rPr>
              <w:t>2</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最大允许误差：±1%（日累计）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光合有效辐射</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测量范围：0～9000</w:t>
            </w:r>
            <w:r w:rsidRPr="00B71A18">
              <w:rPr>
                <w:rFonts w:asciiTheme="minorEastAsia" w:hAnsiTheme="minorEastAsia" w:cs="宋体" w:hint="eastAsia"/>
                <w:szCs w:val="21"/>
              </w:rPr>
              <w:t>µmol m</w:t>
            </w:r>
            <w:r w:rsidRPr="00B71A18">
              <w:rPr>
                <w:rFonts w:asciiTheme="minorEastAsia" w:hAnsiTheme="minorEastAsia" w:cs="宋体" w:hint="eastAsia"/>
                <w:szCs w:val="21"/>
                <w:vertAlign w:val="superscript"/>
              </w:rPr>
              <w:t>-2</w:t>
            </w:r>
            <w:r w:rsidRPr="00B71A18">
              <w:rPr>
                <w:rFonts w:asciiTheme="minorEastAsia" w:hAnsiTheme="minorEastAsia" w:cs="宋体" w:hint="eastAsia"/>
                <w:szCs w:val="21"/>
              </w:rPr>
              <w:t xml:space="preserve"> s</w:t>
            </w:r>
            <w:r w:rsidRPr="00B71A18">
              <w:rPr>
                <w:rFonts w:asciiTheme="minorEastAsia" w:hAnsiTheme="minorEastAsia" w:cs="宋体" w:hint="eastAsia"/>
                <w:szCs w:val="21"/>
                <w:vertAlign w:val="superscript"/>
              </w:rPr>
              <w:t>-1</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分辨力：1</w:t>
            </w:r>
            <w:r w:rsidRPr="00B71A18">
              <w:rPr>
                <w:rFonts w:asciiTheme="minorEastAsia" w:hAnsiTheme="minorEastAsia" w:cs="宋体" w:hint="eastAsia"/>
                <w:szCs w:val="21"/>
              </w:rPr>
              <w:t>µmol m</w:t>
            </w:r>
            <w:r w:rsidRPr="00B71A18">
              <w:rPr>
                <w:rFonts w:asciiTheme="minorEastAsia" w:hAnsiTheme="minorEastAsia" w:cs="宋体" w:hint="eastAsia"/>
                <w:szCs w:val="21"/>
                <w:vertAlign w:val="superscript"/>
              </w:rPr>
              <w:t>-2</w:t>
            </w:r>
            <w:r w:rsidRPr="00B71A18">
              <w:rPr>
                <w:rFonts w:asciiTheme="minorEastAsia" w:hAnsiTheme="minorEastAsia" w:cs="宋体" w:hint="eastAsia"/>
                <w:szCs w:val="21"/>
              </w:rPr>
              <w:t xml:space="preserve"> s</w:t>
            </w:r>
            <w:r w:rsidRPr="00B71A18">
              <w:rPr>
                <w:rFonts w:asciiTheme="minorEastAsia" w:hAnsiTheme="minorEastAsia" w:cs="宋体" w:hint="eastAsia"/>
                <w:szCs w:val="21"/>
                <w:vertAlign w:val="superscript"/>
              </w:rPr>
              <w:t>-1</w:t>
            </w:r>
            <w:r w:rsidRPr="0011450A">
              <w:rPr>
                <w:rFonts w:asciiTheme="minorEastAsia" w:hAnsiTheme="minorEastAsia" w:cs="宋体" w:hint="eastAsia"/>
                <w:szCs w:val="21"/>
              </w:rPr>
              <w:t>；</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最大允许误差：±10%（日累计）</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全天空成像</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云量：分辨力1%，最大允许误差：在水平能见度≥2km条件下，±20%；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云状：按照GB/T 35222-2017的29类云、视程障碍现象引起的云状无法辨明和无云共31类识别，准确率：≥70%；</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云高：最大允许误差：在水平能见度≥2km条件下，满足如下要求：云高＜1km时，＜±200m，</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云高≥1km时，＜±20%</w:t>
            </w:r>
          </w:p>
        </w:tc>
      </w:tr>
      <w:tr w:rsidTr="00B71A18">
        <w:tblPrEx>
          <w:tblW w:w="8457" w:type="dxa"/>
          <w:jc w:val="center"/>
          <w:tblInd w:w="358" w:type="dxa"/>
          <w:tblLook w:val="0000"/>
        </w:tblPrEx>
        <w:trPr>
          <w:trHeight w:val="557"/>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单站雷暴</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8方位云闪、地闪，雷暴范围0~50km</w:t>
            </w:r>
          </w:p>
        </w:tc>
      </w:tr>
      <w:tr w:rsidTr="00B71A18">
        <w:tblPrEx>
          <w:tblW w:w="8457" w:type="dxa"/>
          <w:jc w:val="center"/>
          <w:tblInd w:w="358" w:type="dxa"/>
          <w:tblLook w:val="0000"/>
        </w:tblPrEx>
        <w:trPr>
          <w:trHeight w:val="363"/>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功能指标</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传输方式</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支持专网传输</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支持4G传输</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支持卫星通信传输</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观测数据</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状态数据</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元数据</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站内设备扩展性</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灵活添加删除设备</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标准化</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所有装备可相互替换</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计量信息</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测量</w:t>
            </w:r>
            <w:r w:rsidRPr="0011450A">
              <w:rPr>
                <w:rFonts w:asciiTheme="minorEastAsia" w:hAnsiTheme="minorEastAsia" w:cs="宋体" w:hint="eastAsia"/>
                <w:szCs w:val="21"/>
              </w:rPr>
              <w:t>仪支持</w:t>
            </w:r>
            <w:r w:rsidRPr="0011450A">
              <w:rPr>
                <w:rFonts w:asciiTheme="minorEastAsia" w:hAnsiTheme="minorEastAsia" w:cs="宋体" w:hint="eastAsia"/>
                <w:szCs w:val="21"/>
              </w:rPr>
              <w:t>计量信息的录入和读取</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网络安全</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云端交互</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展示功能</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支持大屏展示</w:t>
            </w:r>
          </w:p>
        </w:tc>
      </w:tr>
      <w:tr w:rsidTr="00B71A18">
        <w:tblPrEx>
          <w:tblW w:w="8457" w:type="dxa"/>
          <w:jc w:val="center"/>
          <w:tblInd w:w="358" w:type="dxa"/>
          <w:tblLook w:val="0000"/>
        </w:tblPrEx>
        <w:trPr>
          <w:trHeight w:val="363"/>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组网方式</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模式</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云+端</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站内连接</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无线(WiFi)</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站---服务器连接</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光纤/4G/北斗</w:t>
            </w:r>
          </w:p>
        </w:tc>
      </w:tr>
      <w:tr w:rsidTr="00B71A18">
        <w:tblPrEx>
          <w:tblW w:w="8457" w:type="dxa"/>
          <w:jc w:val="center"/>
          <w:tblInd w:w="358" w:type="dxa"/>
          <w:tblLook w:val="0000"/>
        </w:tblPrEx>
        <w:trPr>
          <w:trHeight w:val="363"/>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智能供电系统</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发电系统</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绿色能源（光电互补）</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储能系统</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锂电池/高质量胶体电池</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hint="eastAsia"/>
                <w:szCs w:val="21"/>
              </w:rPr>
              <w:t>铅晶电池</w:t>
            </w:r>
            <w:r w:rsidRPr="0011450A">
              <w:rPr>
                <w:rFonts w:asciiTheme="minorEastAsia" w:hAnsiTheme="minorEastAsia" w:cs="宋体" w:hint="eastAsia"/>
                <w:szCs w:val="21"/>
              </w:rPr>
              <w:t>/铅酸蓄电池</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控制器</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智能管理</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供电信息</w:t>
            </w:r>
          </w:p>
        </w:tc>
      </w:tr>
      <w:tr w:rsidTr="00B71A18">
        <w:tblPrEx>
          <w:tblW w:w="8457" w:type="dxa"/>
          <w:jc w:val="center"/>
          <w:tblInd w:w="358" w:type="dxa"/>
          <w:tblLook w:val="0000"/>
        </w:tblPrEx>
        <w:trPr>
          <w:trHeight w:val="363"/>
          <w:jc w:val="center"/>
        </w:trPr>
        <w:tc>
          <w:tcPr>
            <w:tcW w:w="934" w:type="dxa"/>
            <w:vMerge w:val="restart"/>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智能实景监控系统</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探测环境</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仪器巡检</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934" w:type="dxa"/>
            <w:vMerge/>
            <w:tcBorders>
              <w:top w:val="single" w:sz="4" w:space="0" w:color="auto"/>
              <w:left w:val="single" w:sz="4" w:space="0" w:color="auto"/>
              <w:bottom w:val="single" w:sz="4" w:space="0" w:color="auto"/>
              <w:right w:val="single" w:sz="4" w:space="0" w:color="auto"/>
            </w:tcBorders>
            <w:vAlign w:val="center"/>
          </w:tcPr>
          <w:p w:rsidR="0011450A" w:rsidRPr="0011450A" w:rsidP="00B71A18">
            <w:pPr>
              <w:widowControl/>
              <w:spacing w:line="400" w:lineRule="exact"/>
              <w:jc w:val="lef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观测场安防</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w:t>
            </w:r>
          </w:p>
        </w:tc>
      </w:tr>
      <w:tr w:rsidTr="00B71A18">
        <w:tblPrEx>
          <w:tblW w:w="8457" w:type="dxa"/>
          <w:jc w:val="center"/>
          <w:tblInd w:w="358" w:type="dxa"/>
          <w:tblLook w:val="0000"/>
        </w:tblPrEx>
        <w:trPr>
          <w:trHeight w:val="363"/>
          <w:jc w:val="center"/>
        </w:trPr>
        <w:tc>
          <w:tcPr>
            <w:tcW w:w="8457" w:type="dxa"/>
            <w:gridSpan w:val="3"/>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二、数据采集与处理系统</w:t>
            </w:r>
          </w:p>
        </w:tc>
      </w:tr>
      <w:tr w:rsidTr="00B71A18">
        <w:tblPrEx>
          <w:tblW w:w="8457" w:type="dxa"/>
          <w:jc w:val="center"/>
          <w:tblInd w:w="358" w:type="dxa"/>
          <w:tblLook w:val="0000"/>
        </w:tblPrEx>
        <w:trPr>
          <w:trHeight w:val="363"/>
          <w:jc w:val="center"/>
        </w:trPr>
        <w:tc>
          <w:tcPr>
            <w:tcW w:w="93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数据采集与处理系统</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含服务器、交换机、工作站等</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支持12代酷</w:t>
            </w:r>
            <w:r w:rsidRPr="0011450A">
              <w:rPr>
                <w:rFonts w:asciiTheme="minorEastAsia" w:hAnsiTheme="minorEastAsia" w:cs="宋体" w:hint="eastAsia"/>
                <w:szCs w:val="21"/>
              </w:rPr>
              <w:t>睿</w:t>
            </w:r>
            <w:r w:rsidRPr="0011450A">
              <w:rPr>
                <w:rFonts w:asciiTheme="minorEastAsia" w:hAnsiTheme="minorEastAsia" w:cs="宋体" w:hint="eastAsia"/>
                <w:szCs w:val="21"/>
              </w:rPr>
              <w:t>i5-12500/16G/256G+1T/T400-4G</w:t>
            </w:r>
          </w:p>
        </w:tc>
      </w:tr>
      <w:tr w:rsidTr="00B71A18">
        <w:tblPrEx>
          <w:tblW w:w="8457" w:type="dxa"/>
          <w:jc w:val="center"/>
          <w:tblInd w:w="358" w:type="dxa"/>
          <w:tblLook w:val="0000"/>
        </w:tblPrEx>
        <w:trPr>
          <w:trHeight w:val="363"/>
          <w:jc w:val="center"/>
        </w:trPr>
        <w:tc>
          <w:tcPr>
            <w:tcW w:w="8457" w:type="dxa"/>
            <w:gridSpan w:val="3"/>
            <w:tcBorders>
              <w:top w:val="single" w:sz="4" w:space="0" w:color="auto"/>
              <w:left w:val="single" w:sz="4" w:space="0" w:color="auto"/>
              <w:right w:val="single" w:sz="4" w:space="0" w:color="auto"/>
            </w:tcBorders>
            <w:vAlign w:val="center"/>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三、广东低空气象监测网络系统软件平台</w:t>
            </w:r>
          </w:p>
        </w:tc>
      </w:tr>
      <w:tr w:rsidTr="00B71A18">
        <w:tblPrEx>
          <w:tblW w:w="8457" w:type="dxa"/>
          <w:jc w:val="center"/>
          <w:tblInd w:w="358" w:type="dxa"/>
          <w:tblLook w:val="0000"/>
        </w:tblPrEx>
        <w:trPr>
          <w:trHeight w:val="363"/>
          <w:jc w:val="center"/>
        </w:trPr>
        <w:tc>
          <w:tcPr>
            <w:tcW w:w="934" w:type="dxa"/>
            <w:tcBorders>
              <w:top w:val="single" w:sz="4" w:space="0" w:color="auto"/>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数据处理和分析模块功能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1）数据清洗和校正：对原始数据进行处理，剔除噪声和异常值，确保数据的准确性。</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（2</w:t>
            </w:r>
            <w:r w:rsidRPr="0011450A">
              <w:rPr>
                <w:rFonts w:asciiTheme="minorEastAsia" w:hAnsiTheme="minorEastAsia" w:cs="宋体"/>
                <w:szCs w:val="21"/>
              </w:rPr>
              <w:t>）气象数据分析：运用统计分析、机器学习等技术对气象数据进行分析，识别趋势、规律和异常。</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3）模型预测：基于气象模型进行短期和长期的气象预测。</w:t>
            </w:r>
          </w:p>
        </w:tc>
      </w:tr>
      <w:tr w:rsidTr="00B71A18">
        <w:tblPrEx>
          <w:tblW w:w="8457" w:type="dxa"/>
          <w:jc w:val="center"/>
          <w:tblInd w:w="358" w:type="dxa"/>
          <w:tblLook w:val="0000"/>
        </w:tblPrEx>
        <w:trPr>
          <w:trHeight w:val="363"/>
          <w:jc w:val="center"/>
        </w:trPr>
        <w:tc>
          <w:tcPr>
            <w:tcW w:w="934" w:type="dxa"/>
            <w:tcBorders>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气象可视化模块功能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1）数据图形化展示：通过图表、曲线、地图等形式展示气象数据，方便用户理解和分析。</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2）动态风场可视化：实时显示低空风场变化，帮助用户识别和判断气象条件。</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3）天气预报图层：结合气象预报信息提供未来天气变化的可视化表达。</w:t>
            </w:r>
          </w:p>
        </w:tc>
      </w:tr>
      <w:tr w:rsidTr="00B71A18">
        <w:tblPrEx>
          <w:tblW w:w="8457" w:type="dxa"/>
          <w:jc w:val="center"/>
          <w:tblInd w:w="358" w:type="dxa"/>
          <w:tblLook w:val="0000"/>
        </w:tblPrEx>
        <w:trPr>
          <w:trHeight w:val="363"/>
          <w:jc w:val="center"/>
        </w:trPr>
        <w:tc>
          <w:tcPr>
            <w:tcW w:w="934" w:type="dxa"/>
            <w:tcBorders>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预警与决策支持模块功能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（1</w:t>
            </w:r>
            <w:r w:rsidRPr="0011450A">
              <w:rPr>
                <w:rFonts w:asciiTheme="minorEastAsia" w:hAnsiTheme="minorEastAsia" w:cs="宋体"/>
                <w:szCs w:val="21"/>
              </w:rPr>
              <w:t>）气象灾害预警：及时发布气象灾害（如雷暴、强风雹等）的预警信息。</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2）决策支持工具：为用户（如无人机操作者、航线规划者等）提供基于气象数据的决策支持建议。</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3）风险评估：分析低空飞行过程中可能面临的气象风险等。</w:t>
            </w:r>
          </w:p>
        </w:tc>
      </w:tr>
      <w:tr w:rsidTr="00B71A18">
        <w:tblPrEx>
          <w:tblW w:w="8457" w:type="dxa"/>
          <w:jc w:val="center"/>
          <w:tblInd w:w="358" w:type="dxa"/>
          <w:tblLook w:val="0000"/>
        </w:tblPrEx>
        <w:trPr>
          <w:trHeight w:val="363"/>
          <w:jc w:val="center"/>
        </w:trPr>
        <w:tc>
          <w:tcPr>
            <w:tcW w:w="934" w:type="dxa"/>
            <w:tcBorders>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数据管理与存</w:t>
            </w:r>
            <w:r w:rsidRPr="0011450A">
              <w:rPr>
                <w:rFonts w:asciiTheme="minorEastAsia" w:hAnsiTheme="minorEastAsia" w:cs="宋体"/>
                <w:szCs w:val="21"/>
              </w:rPr>
              <w:t>储模块功能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1）历史数据存储：对采集的气象数据进行长期存储，方便后续查询和分析。</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2）数据共享接口：提供API接口，方便其他系统或应用程序访问气象数据。</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3）权限管理：控制用户对数据的访问权限，确保信息安全。</w:t>
            </w:r>
          </w:p>
        </w:tc>
      </w:tr>
      <w:tr w:rsidTr="00B71A18">
        <w:tblPrEx>
          <w:tblW w:w="8457" w:type="dxa"/>
          <w:jc w:val="center"/>
          <w:tblInd w:w="358" w:type="dxa"/>
          <w:tblLook w:val="0000"/>
        </w:tblPrEx>
        <w:trPr>
          <w:trHeight w:val="363"/>
          <w:jc w:val="center"/>
        </w:trPr>
        <w:tc>
          <w:tcPr>
            <w:tcW w:w="934" w:type="dxa"/>
            <w:tcBorders>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用户管理与服务模块功能</w:t>
            </w:r>
          </w:p>
          <w:p w:rsidR="0011450A" w:rsidRPr="0011450A" w:rsidP="00B71A18">
            <w:pPr>
              <w:spacing w:line="400" w:lineRule="exact"/>
              <w:rPr>
                <w:rFonts w:asciiTheme="minorEastAsia" w:hAnsiTheme="minorEastAsia" w:cs="宋体"/>
                <w:szCs w:val="21"/>
              </w:rPr>
            </w:pP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1）用户注册与认证：为不同类型的用户提供注册、登录和身份认证功能。</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2）个性化服务配置：根据用户需求，提供个性化的气象服务和数据推送。</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3）在线帮助与支持：为用户提供操作指南、常见问题解答等支持服务。</w:t>
            </w:r>
          </w:p>
        </w:tc>
      </w:tr>
      <w:tr w:rsidTr="00B71A18">
        <w:tblPrEx>
          <w:tblW w:w="8457" w:type="dxa"/>
          <w:jc w:val="center"/>
          <w:tblInd w:w="358" w:type="dxa"/>
          <w:tblLook w:val="0000"/>
        </w:tblPrEx>
        <w:trPr>
          <w:trHeight w:val="363"/>
          <w:jc w:val="center"/>
        </w:trPr>
        <w:tc>
          <w:tcPr>
            <w:tcW w:w="934" w:type="dxa"/>
            <w:tcBorders>
              <w:left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系统监测与维护模块功能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1）系统运行状态监测：实时监测系统的运行状态，包括数据接入情况、系统性能等。</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2）故障报警与日志管理：对系统故障进行报警，记录操作日志以便排查问题。</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3）软件更新与版本管理：定期更新系统软件，确保平台的稳定性和安全性。</w:t>
            </w:r>
          </w:p>
        </w:tc>
      </w:tr>
      <w:tr w:rsidTr="00B71A18">
        <w:tblPrEx>
          <w:tblW w:w="8457" w:type="dxa"/>
          <w:jc w:val="center"/>
          <w:tblInd w:w="358" w:type="dxa"/>
          <w:tblLook w:val="0000"/>
        </w:tblPrEx>
        <w:trPr>
          <w:trHeight w:val="363"/>
          <w:jc w:val="center"/>
        </w:trPr>
        <w:tc>
          <w:tcPr>
            <w:tcW w:w="934" w:type="dxa"/>
            <w:tcBorders>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szCs w:val="21"/>
              </w:rPr>
              <w:t>报告生成模块功能</w:t>
            </w:r>
          </w:p>
        </w:tc>
        <w:tc>
          <w:tcPr>
            <w:tcW w:w="1694" w:type="dxa"/>
            <w:tcBorders>
              <w:top w:val="single" w:sz="4" w:space="0" w:color="auto"/>
              <w:left w:val="single" w:sz="4" w:space="0" w:color="auto"/>
              <w:bottom w:val="single" w:sz="4" w:space="0" w:color="auto"/>
              <w:right w:val="single" w:sz="4" w:space="0" w:color="auto"/>
            </w:tcBorders>
            <w:vAlign w:val="center"/>
          </w:tcPr>
          <w:p w:rsidR="0011450A" w:rsidRPr="0011450A" w:rsidP="00B71A18">
            <w:pPr>
              <w:spacing w:line="400" w:lineRule="exact"/>
              <w:jc w:val="center"/>
              <w:rPr>
                <w:rFonts w:asciiTheme="minorEastAsia" w:hAnsiTheme="minorEastAsia" w:cs="宋体"/>
                <w:szCs w:val="21"/>
              </w:rPr>
            </w:pPr>
            <w:r w:rsidRPr="0011450A">
              <w:rPr>
                <w:rFonts w:asciiTheme="minorEastAsia" w:hAnsiTheme="minorEastAsia" w:cs="宋体" w:hint="eastAsia"/>
                <w:szCs w:val="21"/>
              </w:rPr>
              <w:t>/</w:t>
            </w:r>
          </w:p>
        </w:tc>
        <w:tc>
          <w:tcPr>
            <w:tcW w:w="5829" w:type="dxa"/>
            <w:tcBorders>
              <w:top w:val="single" w:sz="4" w:space="0" w:color="auto"/>
              <w:left w:val="single" w:sz="4" w:space="0" w:color="auto"/>
              <w:bottom w:val="single" w:sz="4" w:space="0" w:color="auto"/>
              <w:right w:val="single" w:sz="4" w:space="0" w:color="auto"/>
            </w:tcBorders>
          </w:tcPr>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1）气象报告生成：定期生成气象监测报告，包括数据摘要、天气状况、预报等信息。</w:t>
            </w:r>
          </w:p>
          <w:p w:rsidR="0011450A" w:rsidRPr="0011450A" w:rsidP="00B71A18">
            <w:pPr>
              <w:spacing w:line="400" w:lineRule="exact"/>
              <w:rPr>
                <w:rFonts w:asciiTheme="minorEastAsia" w:hAnsiTheme="minorEastAsia" w:cs="宋体"/>
                <w:szCs w:val="21"/>
              </w:rPr>
            </w:pPr>
            <w:r w:rsidRPr="0011450A">
              <w:rPr>
                <w:rFonts w:asciiTheme="minorEastAsia" w:hAnsiTheme="minorEastAsia" w:cs="宋体" w:hint="eastAsia"/>
                <w:szCs w:val="21"/>
              </w:rPr>
              <w:t>（</w:t>
            </w:r>
            <w:r w:rsidRPr="0011450A">
              <w:rPr>
                <w:rFonts w:asciiTheme="minorEastAsia" w:hAnsiTheme="minorEastAsia" w:cs="宋体"/>
                <w:szCs w:val="21"/>
              </w:rPr>
              <w:t>2）用户定制报表：支持用户根据需求自定义生成特定格式的气象报表。</w:t>
            </w:r>
          </w:p>
        </w:tc>
      </w:tr>
    </w:tbl>
    <w:p w:rsidR="0011450A" w:rsidRPr="0011450A" w:rsidP="00B71A18">
      <w:pPr>
        <w:spacing w:line="400" w:lineRule="exact"/>
        <w:ind w:firstLine="630" w:firstLineChars="300"/>
        <w:rPr>
          <w:rFonts w:asciiTheme="minorEastAsia" w:hAnsiTheme="minorEastAsia" w:cs="仿宋"/>
          <w:szCs w:val="21"/>
        </w:rPr>
      </w:pPr>
      <w:r>
        <w:rPr>
          <w:rFonts w:asciiTheme="minorEastAsia" w:hAnsiTheme="minorEastAsia" w:cs="仿宋" w:hint="eastAsia"/>
          <w:szCs w:val="21"/>
        </w:rPr>
        <w:t>2、</w:t>
      </w:r>
      <w:r w:rsidRPr="0011450A">
        <w:rPr>
          <w:rFonts w:asciiTheme="minorEastAsia" w:hAnsiTheme="minorEastAsia" w:cs="仿宋" w:hint="eastAsia"/>
          <w:szCs w:val="21"/>
        </w:rPr>
        <w:t>配套设施、基础设施建设及设备安装、集成</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（1）防雷设施</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新建、改建观测场场地防雷工程建设，符合《地面气象观测场（室）防雷技术规范》（GB/T 31162-2014）、《自动气象站场室雷电防护技术规范》（QX/T 30-2021）要求；观测场防雷系统接地电阻应≤4Ω；</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观测场地平整以及地沟、小路、仪器基础等配套基础设施建设，满足智能站各类仪器设施安装条件；</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（2）轨道</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---采用标准化轨道进行设备布设</w:t>
      </w:r>
      <w:r w:rsidRPr="0011450A">
        <w:rPr>
          <w:rFonts w:asciiTheme="minorEastAsia" w:hAnsiTheme="minorEastAsia" w:cs="仿宋" w:hint="eastAsia"/>
          <w:szCs w:val="21"/>
        </w:rPr>
        <w:t>，</w:t>
      </w:r>
      <w:r w:rsidRPr="0011450A">
        <w:rPr>
          <w:rFonts w:asciiTheme="minorEastAsia" w:hAnsiTheme="minorEastAsia" w:cs="仿宋"/>
          <w:szCs w:val="21"/>
        </w:rPr>
        <w:t>轨道下方整体浇筑水泥地基，用于固定轨道，轨道安装后露出地面不超过5cm，</w:t>
      </w:r>
      <w:r w:rsidRPr="0011450A">
        <w:rPr>
          <w:rFonts w:asciiTheme="minorEastAsia" w:hAnsiTheme="minorEastAsia" w:cs="仿宋" w:hint="eastAsia"/>
          <w:szCs w:val="21"/>
        </w:rPr>
        <w:t>轨道总宽度建议为</w:t>
      </w:r>
      <w:r w:rsidRPr="0011450A">
        <w:rPr>
          <w:rFonts w:asciiTheme="minorEastAsia" w:hAnsiTheme="minorEastAsia" w:cs="仿宋"/>
          <w:szCs w:val="21"/>
        </w:rPr>
        <w:t>325</w:t>
      </w:r>
      <w:r w:rsidRPr="0011450A">
        <w:rPr>
          <w:rFonts w:asciiTheme="minorEastAsia" w:hAnsiTheme="minorEastAsia" w:cs="仿宋" w:hint="eastAsia"/>
          <w:szCs w:val="21"/>
        </w:rPr>
        <w:t>mm</w:t>
      </w:r>
      <w:r w:rsidRPr="0011450A">
        <w:rPr>
          <w:rFonts w:asciiTheme="minorEastAsia" w:hAnsiTheme="minorEastAsia" w:cs="仿宋"/>
          <w:szCs w:val="21"/>
        </w:rPr>
        <w:t>±30mm。</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轨道内具备防水、</w:t>
      </w:r>
      <w:r w:rsidRPr="0011450A">
        <w:rPr>
          <w:rFonts w:asciiTheme="minorEastAsia" w:hAnsiTheme="minorEastAsia" w:cs="仿宋"/>
          <w:szCs w:val="21"/>
        </w:rPr>
        <w:t>防鼠</w:t>
      </w:r>
      <w:r w:rsidRPr="0011450A">
        <w:rPr>
          <w:rFonts w:asciiTheme="minorEastAsia" w:hAnsiTheme="minorEastAsia" w:cs="仿宋" w:hint="eastAsia"/>
          <w:szCs w:val="21"/>
        </w:rPr>
        <w:t>等功能</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---轨道具备较好的承重能力，上方安装设备稳定。轨道顶部可安装通用设备</w:t>
      </w:r>
      <w:r w:rsidRPr="0011450A">
        <w:rPr>
          <w:rFonts w:asciiTheme="minorEastAsia" w:hAnsiTheme="minorEastAsia" w:cs="仿宋" w:hint="eastAsia"/>
          <w:szCs w:val="21"/>
        </w:rPr>
        <w:t>转接</w:t>
      </w:r>
      <w:r w:rsidRPr="0011450A">
        <w:rPr>
          <w:rFonts w:asciiTheme="minorEastAsia" w:hAnsiTheme="minorEastAsia" w:cs="仿宋"/>
          <w:szCs w:val="21"/>
        </w:rPr>
        <w:t>板，配备轨道盖板</w:t>
      </w:r>
      <w:r w:rsidRPr="0011450A">
        <w:rPr>
          <w:rFonts w:asciiTheme="minorEastAsia" w:hAnsiTheme="minorEastAsia" w:cs="仿宋" w:hint="eastAsia"/>
          <w:szCs w:val="21"/>
        </w:rPr>
        <w:t>并</w:t>
      </w:r>
      <w:r w:rsidRPr="0011450A">
        <w:rPr>
          <w:rFonts w:asciiTheme="minorEastAsia" w:hAnsiTheme="minorEastAsia" w:cs="仿宋"/>
          <w:szCs w:val="21"/>
        </w:rPr>
        <w:t>方便拆装。</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---单节轨道长度不超过4m、重量不超过120kg。轨道表面防腐处理（满足中性盐雾</w:t>
      </w:r>
      <w:r w:rsidRPr="0011450A">
        <w:rPr>
          <w:rFonts w:asciiTheme="minorEastAsia" w:hAnsiTheme="minorEastAsia" w:cs="仿宋"/>
          <w:szCs w:val="21"/>
        </w:rPr>
        <w:t>试验时间48h以上），表面哑光处理。</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---转接板厚度≥10mm，并设置4个φ12安装孔，中心孔距200mm×200mm。轨道盖板使用树脂材质或304不锈钢，如采用不锈钢盖板，其厚度≥1.5mm。</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bookmarkStart w:id="60" w:name="OLE_LINK19"/>
      <w:r w:rsidRPr="0011450A">
        <w:rPr>
          <w:rFonts w:asciiTheme="minorEastAsia" w:hAnsiTheme="minorEastAsia" w:cs="仿宋"/>
          <w:szCs w:val="21"/>
        </w:rPr>
        <w:t>转接板及轨道盖板颜色为海军灰</w:t>
      </w:r>
      <w:bookmarkEnd w:id="60"/>
      <w:r w:rsidRPr="0011450A">
        <w:rPr>
          <w:rFonts w:asciiTheme="minorEastAsia" w:hAnsiTheme="minorEastAsia" w:cs="仿宋"/>
          <w:szCs w:val="21"/>
        </w:rPr>
        <w:t>（色号RAL 7031），轨道上安装的设备立柱亚光白色（RAL 9003）。轨道材质、水平厚度、垂直厚度、垂直高度及轨道盖板等要求</w:t>
      </w:r>
      <w:r w:rsidRPr="0011450A">
        <w:rPr>
          <w:rFonts w:asciiTheme="minorEastAsia" w:hAnsiTheme="minorEastAsia" w:cs="仿宋" w:hint="eastAsia"/>
          <w:szCs w:val="21"/>
        </w:rPr>
        <w:t>满足《智能自动气象站建设指南》要求。</w:t>
      </w:r>
    </w:p>
    <w:p w:rsidR="0011450A" w:rsidRPr="0011450A" w:rsidP="00B71A18">
      <w:pPr>
        <w:spacing w:line="400" w:lineRule="exact"/>
        <w:ind w:firstLine="630" w:firstLineChars="300"/>
        <w:rPr>
          <w:rFonts w:asciiTheme="minorEastAsia" w:hAnsiTheme="minorEastAsia" w:cs="仿宋"/>
          <w:szCs w:val="21"/>
        </w:rPr>
      </w:pPr>
      <w:r w:rsidRPr="0011450A">
        <w:rPr>
          <w:rFonts w:asciiTheme="minorEastAsia" w:hAnsiTheme="minorEastAsia" w:cs="仿宋" w:hint="eastAsia"/>
          <w:szCs w:val="21"/>
        </w:rPr>
        <w:t>（3）风塔（可选）</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按《广东省地面气象观测场规范化建设图册》附图01-1新建，或者采用以下方案：</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单管螺旋</w:t>
      </w:r>
      <w:r w:rsidRPr="0011450A">
        <w:rPr>
          <w:rFonts w:asciiTheme="minorEastAsia" w:hAnsiTheme="minorEastAsia" w:cs="仿宋" w:hint="eastAsia"/>
          <w:szCs w:val="21"/>
        </w:rPr>
        <w:t>步梯风塔</w:t>
      </w:r>
      <w:r w:rsidRPr="0011450A">
        <w:rPr>
          <w:rFonts w:asciiTheme="minorEastAsia" w:hAnsiTheme="minorEastAsia" w:cs="仿宋" w:hint="eastAsia"/>
          <w:szCs w:val="21"/>
        </w:rPr>
        <w:t>，塔体总高为 10.2 米（不含避雷针）。</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风塔塔体采用 Q235 钢材，中心柱直径为φ500mm，管壁厚度不小于 8mm，长度为 9m。</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风塔顶部平台直径为 2m，避雷针总长度为4.7m。爬梯宽度为 650mm，每片扇面角度约为 22.5°。</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风</w:t>
      </w:r>
      <w:r w:rsidRPr="0011450A">
        <w:rPr>
          <w:rFonts w:asciiTheme="minorEastAsia" w:hAnsiTheme="minorEastAsia" w:cs="仿宋" w:hint="eastAsia"/>
          <w:szCs w:val="21"/>
        </w:rPr>
        <w:t>塔所有</w:t>
      </w:r>
      <w:r w:rsidRPr="0011450A">
        <w:rPr>
          <w:rFonts w:asciiTheme="minorEastAsia" w:hAnsiTheme="minorEastAsia" w:cs="仿宋" w:hint="eastAsia"/>
          <w:szCs w:val="21"/>
        </w:rPr>
        <w:t>构件表面采用热镀锌防腐，外部喷塑处理。主体颜色为 RAL9003 亚光白；爬梯扶手、平台底圈和支撑颜色为 7PB06 淡（</w:t>
      </w:r>
      <w:r w:rsidRPr="0011450A">
        <w:rPr>
          <w:rFonts w:asciiTheme="minorEastAsia" w:hAnsiTheme="minorEastAsia" w:cs="仿宋" w:hint="eastAsia"/>
          <w:szCs w:val="21"/>
        </w:rPr>
        <w:t>酞</w:t>
      </w:r>
      <w:r w:rsidRPr="0011450A">
        <w:rPr>
          <w:rFonts w:asciiTheme="minorEastAsia" w:hAnsiTheme="minorEastAsia" w:cs="仿宋" w:hint="eastAsia"/>
          <w:szCs w:val="21"/>
        </w:rPr>
        <w:t xml:space="preserve">）蓝。 </w:t>
      </w:r>
    </w:p>
    <w:p w:rsidR="0011450A" w:rsidRPr="0011450A" w:rsidP="00B71A18">
      <w:pPr>
        <w:spacing w:line="400" w:lineRule="exact"/>
        <w:ind w:firstLine="420" w:firstLineChars="200"/>
        <w:rPr>
          <w:rFonts w:asciiTheme="minorEastAsia" w:hAnsiTheme="minorEastAsia" w:cs="仿宋"/>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仿宋" w:hint="eastAsia"/>
          <w:szCs w:val="21"/>
        </w:rPr>
        <w:t>设计寿命：20 年；结构安全等级：二级；抗风强度为：75 米/秒； 抗震烈度：8°；</w:t>
      </w:r>
      <w:r w:rsidRPr="0011450A">
        <w:rPr>
          <w:rFonts w:asciiTheme="minorEastAsia" w:hAnsiTheme="minorEastAsia" w:cs="仿宋" w:hint="eastAsia"/>
          <w:szCs w:val="21"/>
        </w:rPr>
        <w:t>覆</w:t>
      </w:r>
      <w:r w:rsidRPr="0011450A">
        <w:rPr>
          <w:rFonts w:asciiTheme="minorEastAsia" w:hAnsiTheme="minorEastAsia" w:cs="仿宋" w:hint="eastAsia"/>
          <w:szCs w:val="21"/>
        </w:rPr>
        <w:t>冰厚度：8mm；温度范围：-50℃～+55℃。</w:t>
      </w:r>
    </w:p>
    <w:p w:rsidR="0011450A" w:rsidRPr="0011450A" w:rsidP="00B71A18">
      <w:pPr>
        <w:spacing w:line="400" w:lineRule="exact"/>
        <w:ind w:firstLine="630" w:firstLineChars="300"/>
        <w:rPr>
          <w:rFonts w:asciiTheme="minorEastAsia" w:hAnsiTheme="minorEastAsia" w:cs="宋体"/>
          <w:szCs w:val="21"/>
        </w:rPr>
      </w:pPr>
      <w:r w:rsidRPr="0011450A">
        <w:rPr>
          <w:rFonts w:asciiTheme="minorEastAsia" w:hAnsiTheme="minorEastAsia" w:cs="仿宋" w:hint="eastAsia"/>
          <w:szCs w:val="21"/>
        </w:rPr>
        <w:t>（4）基础设施建设</w:t>
      </w:r>
    </w:p>
    <w:p w:rsidR="0011450A" w:rsidRPr="0011450A" w:rsidP="00B71A18">
      <w:pPr>
        <w:spacing w:line="400" w:lineRule="exact"/>
        <w:ind w:firstLine="420" w:firstLineChars="200"/>
        <w:rPr>
          <w:rFonts w:asciiTheme="minorEastAsia" w:hAnsiTheme="minorEastAsia" w:cs="Calibri"/>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Calibri" w:hint="eastAsia"/>
          <w:szCs w:val="21"/>
        </w:rPr>
        <w:t>新建、改建观测场场地平整以及地沟、小路等建设，设备安装完成后场地恢复、绿化等；</w:t>
      </w:r>
    </w:p>
    <w:p w:rsidR="0011450A" w:rsidRPr="0011450A" w:rsidP="00B71A18">
      <w:pPr>
        <w:spacing w:line="400" w:lineRule="exact"/>
        <w:ind w:firstLine="630" w:firstLineChars="300"/>
        <w:rPr>
          <w:rFonts w:asciiTheme="minorEastAsia" w:hAnsiTheme="minorEastAsia" w:cs="Calibri"/>
          <w:szCs w:val="21"/>
        </w:rPr>
      </w:pPr>
      <w:r w:rsidRPr="0011450A">
        <w:rPr>
          <w:rFonts w:asciiTheme="minorEastAsia" w:hAnsiTheme="minorEastAsia" w:cs="仿宋" w:hint="eastAsia"/>
          <w:szCs w:val="21"/>
        </w:rPr>
        <w:t>（5）设备安装</w:t>
      </w:r>
    </w:p>
    <w:p w:rsidR="0011450A" w:rsidP="00B71A18">
      <w:pPr>
        <w:spacing w:line="400" w:lineRule="exact"/>
        <w:ind w:firstLine="420" w:firstLineChars="200"/>
        <w:rPr>
          <w:rFonts w:asciiTheme="minorEastAsia" w:hAnsiTheme="minorEastAsia" w:cs="仿宋" w:hint="eastAsia"/>
          <w:szCs w:val="21"/>
        </w:rPr>
      </w:pPr>
      <w:r w:rsidRPr="0011450A">
        <w:rPr>
          <w:rFonts w:asciiTheme="minorEastAsia" w:hAnsiTheme="minorEastAsia" w:cs="仿宋" w:hint="eastAsia"/>
          <w:szCs w:val="21"/>
        </w:rPr>
        <w:t>-</w:t>
      </w:r>
      <w:r w:rsidRPr="0011450A">
        <w:rPr>
          <w:rFonts w:asciiTheme="minorEastAsia" w:hAnsiTheme="minorEastAsia" w:cs="仿宋"/>
          <w:szCs w:val="21"/>
        </w:rPr>
        <w:t>---</w:t>
      </w:r>
      <w:r w:rsidRPr="0011450A">
        <w:rPr>
          <w:rFonts w:asciiTheme="minorEastAsia" w:hAnsiTheme="minorEastAsia" w:cs="Calibri" w:hint="eastAsia"/>
          <w:szCs w:val="21"/>
        </w:rPr>
        <w:t>设备安装</w:t>
      </w:r>
      <w:r w:rsidRPr="0011450A">
        <w:rPr>
          <w:rFonts w:asciiTheme="minorEastAsia" w:hAnsiTheme="minorEastAsia" w:cs="仿宋" w:hint="eastAsia"/>
          <w:szCs w:val="21"/>
        </w:rPr>
        <w:t>符合《智能自动气象站建设指南》要求。</w:t>
      </w:r>
    </w:p>
    <w:p w:rsidR="00C20FFF" w:rsidRPr="00C20FFF" w:rsidP="00C20FFF">
      <w:pPr>
        <w:spacing w:line="400" w:lineRule="exact"/>
        <w:ind w:firstLine="420" w:firstLineChars="200"/>
        <w:rPr>
          <w:rFonts w:asciiTheme="minorEastAsia" w:hAnsiTheme="minorEastAsia" w:cs="仿宋" w:hint="eastAsia"/>
          <w:szCs w:val="21"/>
        </w:rPr>
      </w:pPr>
      <w:r>
        <w:rPr>
          <w:rFonts w:asciiTheme="minorEastAsia" w:hAnsiTheme="minorEastAsia" w:cs="仿宋" w:hint="eastAsia"/>
          <w:szCs w:val="21"/>
        </w:rPr>
        <w:t>3、</w:t>
      </w:r>
      <w:r w:rsidRPr="00C20FFF">
        <w:rPr>
          <w:rFonts w:asciiTheme="minorEastAsia" w:hAnsiTheme="minorEastAsia" w:cs="仿宋" w:hint="eastAsia"/>
          <w:szCs w:val="21"/>
        </w:rPr>
        <w:t>地面智能气象观测系统兼容性要求</w:t>
      </w:r>
    </w:p>
    <w:p w:rsidR="00C20FFF" w:rsidRPr="0011450A" w:rsidP="00C20FFF">
      <w:pPr>
        <w:spacing w:line="400" w:lineRule="exact"/>
        <w:ind w:firstLine="420" w:firstLineChars="200"/>
        <w:rPr>
          <w:rFonts w:asciiTheme="minorEastAsia" w:hAnsiTheme="minorEastAsia" w:cs="仿宋"/>
          <w:szCs w:val="21"/>
        </w:rPr>
      </w:pPr>
      <w:r w:rsidRPr="00C20FFF">
        <w:rPr>
          <w:rFonts w:asciiTheme="minorEastAsia" w:hAnsiTheme="minorEastAsia" w:cs="仿宋" w:hint="eastAsia"/>
          <w:szCs w:val="21"/>
        </w:rPr>
        <w:t>测量</w:t>
      </w:r>
      <w:r w:rsidRPr="00C20FFF">
        <w:rPr>
          <w:rFonts w:asciiTheme="minorEastAsia" w:hAnsiTheme="minorEastAsia" w:cs="仿宋" w:hint="eastAsia"/>
          <w:szCs w:val="21"/>
        </w:rPr>
        <w:t>仪支持</w:t>
      </w:r>
      <w:r w:rsidRPr="00C20FFF">
        <w:rPr>
          <w:rFonts w:asciiTheme="minorEastAsia" w:hAnsiTheme="minorEastAsia" w:cs="仿宋" w:hint="eastAsia"/>
          <w:szCs w:val="21"/>
        </w:rPr>
        <w:t>SM2加密传输的WI-FI协议，可无缝接入观测网络无线系统；集成处理器安装气象业务软件，实现与气象专网系统、业务平台的无缝接入，完全符合甲方相关要求和规范，保证其系统的兼容性和功能的完整性。</w:t>
      </w:r>
    </w:p>
    <w:p w:rsidR="006053FF" w:rsidRPr="00B71A18" w:rsidP="00B71A18">
      <w:pPr>
        <w:spacing w:line="360" w:lineRule="auto"/>
        <w:ind w:firstLine="420" w:firstLineChars="200"/>
        <w:rPr>
          <w:rFonts w:ascii="宋体" w:hAnsi="宋体"/>
          <w:b/>
          <w:szCs w:val="21"/>
        </w:rPr>
      </w:pPr>
      <w:r w:rsidRPr="00B71A18">
        <w:rPr>
          <w:rFonts w:ascii="宋体" w:hAnsi="宋体" w:hint="eastAsia"/>
          <w:b/>
          <w:szCs w:val="21"/>
        </w:rPr>
        <w:t>四、检验考核要求</w:t>
      </w:r>
    </w:p>
    <w:p w:rsidR="006053FF">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1、设备出厂前，采购人有权派人到设备生产场所进行检验，中标人应在设备出厂前提供出厂检验项目指标测试程序和检验方法，供采购人参考，采购人可根据需要进行补充和修改。采购人委托有关部门</w:t>
      </w:r>
      <w:r>
        <w:rPr>
          <w:rFonts w:ascii="宋体" w:eastAsia="宋体" w:hAnsi="宋体" w:cs="Times New Roman" w:hint="eastAsia"/>
          <w:szCs w:val="21"/>
        </w:rPr>
        <w:t>赴生产</w:t>
      </w:r>
      <w:r>
        <w:rPr>
          <w:rFonts w:ascii="宋体" w:eastAsia="宋体" w:hAnsi="宋体" w:cs="Times New Roman" w:hint="eastAsia"/>
          <w:szCs w:val="21"/>
        </w:rPr>
        <w:t>厂家按验收规程做出厂验收，这种验收不能降低中标人的责任。所有的测试设备应满足测试要求并在计量检定有效期内。</w:t>
      </w:r>
    </w:p>
    <w:p w:rsidR="000E6280">
      <w:pPr>
        <w:spacing w:line="360" w:lineRule="auto"/>
        <w:ind w:firstLine="420" w:firstLineChars="200"/>
        <w:rPr>
          <w:rFonts w:ascii="宋体" w:hAnsi="宋体"/>
          <w:szCs w:val="21"/>
        </w:rPr>
      </w:pPr>
      <w:r>
        <w:rPr>
          <w:rFonts w:ascii="宋体" w:hAnsi="宋体" w:hint="eastAsia"/>
          <w:szCs w:val="21"/>
        </w:rPr>
        <w:t>2、</w:t>
      </w:r>
      <w:r w:rsidRPr="000266DC">
        <w:rPr>
          <w:rFonts w:ascii="宋体" w:hAnsi="宋体" w:hint="eastAsia"/>
          <w:szCs w:val="21"/>
        </w:rPr>
        <w:t>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w:t>
      </w:r>
      <w:r w:rsidRPr="000266DC">
        <w:rPr>
          <w:rFonts w:ascii="宋体" w:hAnsi="宋体" w:hint="eastAsia"/>
          <w:szCs w:val="21"/>
        </w:rPr>
        <w:t>作为验收依据。验收测试合格后，双方签署初验合格协议，设备进入试运行期。</w:t>
      </w:r>
    </w:p>
    <w:p w:rsidR="000266DC" w:rsidP="000266DC">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3、全部标的经过3个月试运行期，满足合同要求时，可进行合同验收。在试运行期间，由于设备质量等造成某些指标达不到要求，允许中标人更换或进行修复。</w:t>
      </w:r>
    </w:p>
    <w:p w:rsidR="000266DC" w:rsidP="000266DC">
      <w:pPr>
        <w:widowControl/>
        <w:spacing w:line="360" w:lineRule="auto"/>
        <w:ind w:firstLine="420" w:firstLineChars="200"/>
        <w:jc w:val="left"/>
        <w:rPr>
          <w:rFonts w:ascii="宋体" w:hAnsi="宋体"/>
          <w:szCs w:val="21"/>
        </w:rPr>
      </w:pPr>
      <w:r>
        <w:rPr>
          <w:rFonts w:ascii="宋体" w:eastAsia="宋体" w:hAnsi="宋体" w:cs="Times New Roman" w:hint="eastAsia"/>
          <w:szCs w:val="21"/>
        </w:rPr>
        <w:t>4、设备安装调试和试运行结束后，采购人组织合同验收。当满足以下条件时，采购人确认验收合格：</w:t>
      </w:r>
    </w:p>
    <w:p w:rsidR="000266DC" w:rsidP="000266DC">
      <w:pPr>
        <w:widowControl/>
        <w:spacing w:line="360" w:lineRule="auto"/>
        <w:ind w:firstLine="420" w:firstLineChars="200"/>
        <w:jc w:val="left"/>
        <w:rPr>
          <w:rFonts w:ascii="宋体" w:hAnsi="宋体"/>
          <w:szCs w:val="21"/>
        </w:rPr>
      </w:pPr>
      <w:r>
        <w:rPr>
          <w:rFonts w:ascii="宋体" w:eastAsia="宋体" w:hAnsi="宋体" w:cs="Times New Roman" w:hint="eastAsia"/>
          <w:szCs w:val="21"/>
        </w:rPr>
        <w:t>中标人已提供合同中签署的全部标的及</w:t>
      </w:r>
      <w:r>
        <w:rPr>
          <w:rFonts w:ascii="宋体" w:eastAsia="宋体" w:hAnsi="宋体" w:cs="Times New Roman" w:hint="eastAsia"/>
          <w:szCs w:val="21"/>
        </w:rPr>
        <w:t>完整技术</w:t>
      </w:r>
      <w:r>
        <w:rPr>
          <w:rFonts w:ascii="宋体" w:eastAsia="宋体" w:hAnsi="宋体" w:cs="Times New Roman" w:hint="eastAsia"/>
          <w:szCs w:val="21"/>
        </w:rPr>
        <w:t>资料；</w:t>
      </w:r>
    </w:p>
    <w:p w:rsidR="000266DC" w:rsidP="000266DC">
      <w:pPr>
        <w:widowControl/>
        <w:spacing w:line="360" w:lineRule="auto"/>
        <w:ind w:firstLine="420" w:firstLineChars="200"/>
        <w:jc w:val="left"/>
        <w:rPr>
          <w:rFonts w:ascii="宋体" w:hAnsi="宋体"/>
          <w:szCs w:val="21"/>
        </w:rPr>
      </w:pPr>
      <w:r>
        <w:rPr>
          <w:rFonts w:ascii="宋体" w:eastAsia="宋体" w:hAnsi="宋体" w:cs="Times New Roman" w:hint="eastAsia"/>
          <w:szCs w:val="21"/>
        </w:rPr>
        <w:t>中标人交付全部标的达到招标文件的技术性能指标要求；</w:t>
      </w:r>
    </w:p>
    <w:p w:rsidR="000266DC" w:rsidRPr="000266DC" w:rsidP="000266DC">
      <w:pPr>
        <w:widowControl/>
        <w:spacing w:line="360" w:lineRule="auto"/>
        <w:ind w:firstLine="420" w:firstLineChars="200"/>
        <w:jc w:val="left"/>
        <w:rPr>
          <w:rFonts w:ascii="宋体" w:hAnsi="宋体"/>
          <w:szCs w:val="21"/>
        </w:rPr>
      </w:pPr>
      <w:r>
        <w:rPr>
          <w:rFonts w:ascii="宋体" w:eastAsia="宋体" w:hAnsi="宋体" w:cs="Times New Roman" w:hint="eastAsia"/>
          <w:szCs w:val="21"/>
        </w:rPr>
        <w:t>安装工程符合技术要求，系统性能满足要求，设备正常运行。</w:t>
      </w:r>
    </w:p>
    <w:p w:rsidR="006053FF" w:rsidRPr="000266DC" w:rsidP="000266DC">
      <w:pPr>
        <w:spacing w:line="360" w:lineRule="auto"/>
        <w:ind w:firstLine="420" w:firstLineChars="200"/>
        <w:rPr>
          <w:rFonts w:ascii="宋体" w:hAnsi="宋体"/>
          <w:b/>
          <w:szCs w:val="21"/>
        </w:rPr>
      </w:pPr>
      <w:r w:rsidRPr="000266DC">
        <w:rPr>
          <w:rFonts w:ascii="宋体" w:hAnsi="宋体" w:hint="eastAsia"/>
          <w:b/>
          <w:szCs w:val="21"/>
        </w:rPr>
        <w:t>五、</w:t>
      </w:r>
      <w:r w:rsidR="00C20FFF">
        <w:rPr>
          <w:rFonts w:ascii="宋体" w:hAnsi="宋体" w:hint="eastAsia"/>
          <w:b/>
          <w:szCs w:val="21"/>
        </w:rPr>
        <w:t>售后</w:t>
      </w:r>
      <w:r w:rsidRPr="000266DC">
        <w:rPr>
          <w:rFonts w:ascii="宋体" w:hAnsi="宋体" w:hint="eastAsia"/>
          <w:b/>
          <w:szCs w:val="21"/>
        </w:rPr>
        <w:t>服务和</w:t>
      </w:r>
      <w:r w:rsidR="00C20FFF">
        <w:rPr>
          <w:rFonts w:ascii="宋体" w:hAnsi="宋体" w:hint="eastAsia"/>
          <w:b/>
          <w:szCs w:val="21"/>
        </w:rPr>
        <w:t>培训</w:t>
      </w:r>
      <w:r w:rsidRPr="000266DC">
        <w:rPr>
          <w:rFonts w:ascii="宋体" w:hAnsi="宋体" w:hint="eastAsia"/>
          <w:b/>
          <w:szCs w:val="21"/>
        </w:rPr>
        <w:t>要求</w:t>
      </w:r>
    </w:p>
    <w:p w:rsidR="000266DC" w:rsidRPr="000266DC" w:rsidP="000266DC">
      <w:pPr>
        <w:spacing w:line="360" w:lineRule="auto"/>
        <w:ind w:firstLine="420" w:firstLineChars="200"/>
        <w:rPr>
          <w:rFonts w:ascii="宋体" w:hAnsi="宋体"/>
          <w:szCs w:val="21"/>
        </w:rPr>
      </w:pPr>
      <w:r>
        <w:rPr>
          <w:rFonts w:ascii="宋体" w:hAnsi="宋体" w:hint="eastAsia"/>
          <w:szCs w:val="21"/>
        </w:rPr>
        <w:t>1</w:t>
      </w:r>
      <w:r w:rsidRPr="000266DC">
        <w:rPr>
          <w:rFonts w:ascii="宋体" w:hAnsi="宋体" w:hint="eastAsia"/>
          <w:szCs w:val="21"/>
        </w:rPr>
        <w:t>、售后服务要求</w:t>
      </w:r>
    </w:p>
    <w:p w:rsidR="000266DC" w:rsidRPr="000266DC" w:rsidP="000266DC">
      <w:pPr>
        <w:spacing w:line="360" w:lineRule="auto"/>
        <w:ind w:firstLine="420" w:firstLineChars="200"/>
        <w:rPr>
          <w:rFonts w:ascii="宋体" w:hAnsi="宋体"/>
          <w:szCs w:val="21"/>
        </w:rPr>
      </w:pPr>
      <w:r w:rsidRPr="000266DC">
        <w:rPr>
          <w:rFonts w:ascii="宋体" w:hAnsi="宋体" w:hint="eastAsia"/>
          <w:szCs w:val="21"/>
        </w:rPr>
        <w:t>设备供应商需提供详细售后服务方案，包括设备售后服务组织机构、人员组成、技术支持文档等。其中，售后服务组织机构设置合理，人员技术能力强，技术文档内容全面。</w:t>
      </w:r>
    </w:p>
    <w:p w:rsidR="000266DC" w:rsidRPr="000266DC" w:rsidP="000266DC">
      <w:pPr>
        <w:spacing w:line="360" w:lineRule="auto"/>
        <w:ind w:firstLine="420" w:firstLineChars="200"/>
        <w:rPr>
          <w:rFonts w:ascii="宋体" w:hAnsi="宋体"/>
          <w:szCs w:val="21"/>
        </w:rPr>
      </w:pPr>
      <w:r w:rsidRPr="000266DC">
        <w:rPr>
          <w:rFonts w:ascii="宋体" w:hAnsi="宋体" w:hint="eastAsia"/>
          <w:szCs w:val="21"/>
        </w:rPr>
        <w:t>项目正式交付运行，并通过合同验收次日起质保期为</w:t>
      </w:r>
      <w:r w:rsidRPr="00D93FBA">
        <w:rPr>
          <w:rFonts w:ascii="宋体" w:hAnsi="宋体" w:hint="eastAsia"/>
          <w:szCs w:val="21"/>
          <w:highlight w:val="yellow"/>
        </w:rPr>
        <w:t>8 年</w:t>
      </w:r>
      <w:r w:rsidRPr="00D93FBA" w:rsidR="00D93FBA">
        <w:rPr>
          <w:rFonts w:ascii="宋体" w:hAnsi="宋体" w:hint="eastAsia"/>
          <w:szCs w:val="21"/>
          <w:highlight w:val="yellow"/>
        </w:rPr>
        <w:t>*</w:t>
      </w:r>
      <w:r w:rsidRPr="000266DC">
        <w:rPr>
          <w:rFonts w:ascii="宋体" w:hAnsi="宋体" w:hint="eastAsia"/>
          <w:szCs w:val="21"/>
        </w:rPr>
        <w:t>。</w:t>
      </w:r>
      <w:r w:rsidRPr="000266DC">
        <w:rPr>
          <w:rFonts w:ascii="宋体" w:hAnsi="宋体" w:hint="eastAsia"/>
          <w:szCs w:val="21"/>
        </w:rPr>
        <w:t>维保包括</w:t>
      </w:r>
      <w:r w:rsidRPr="000266DC">
        <w:rPr>
          <w:rFonts w:ascii="宋体" w:hAnsi="宋体" w:hint="eastAsia"/>
          <w:szCs w:val="21"/>
        </w:rPr>
        <w:t>设备维护维修、相关附属软件及附属设备维护维修，保证每年至少1次的现场巡检和4次远程维护检查，设备发生故障时在业务规定时间内完成维修、维护保障或更换组件，广东低空气象监测网络系统软件平台的迭代升级。</w:t>
      </w:r>
    </w:p>
    <w:p w:rsidR="000266DC" w:rsidP="000266DC">
      <w:pPr>
        <w:spacing w:line="360" w:lineRule="auto"/>
        <w:ind w:firstLine="420" w:firstLineChars="200"/>
        <w:rPr>
          <w:rFonts w:ascii="宋体" w:hAnsi="宋体" w:hint="eastAsia"/>
          <w:szCs w:val="21"/>
        </w:rPr>
      </w:pPr>
      <w:r w:rsidRPr="000266DC">
        <w:rPr>
          <w:rFonts w:ascii="宋体" w:hAnsi="宋体" w:hint="eastAsia"/>
          <w:szCs w:val="21"/>
        </w:rPr>
        <w:t>投标人应提供 7（天）×24（小时）技术支持热线电话，在发生故障的情况下，中标方应承诺在8个小时内响应。</w:t>
      </w:r>
    </w:p>
    <w:p w:rsidR="00C20FFF" w:rsidRPr="000266DC" w:rsidP="00C20FFF">
      <w:pPr>
        <w:spacing w:line="360" w:lineRule="auto"/>
        <w:ind w:firstLine="420" w:firstLineChars="200"/>
        <w:rPr>
          <w:rFonts w:ascii="宋体" w:hAnsi="宋体"/>
          <w:szCs w:val="21"/>
        </w:rPr>
      </w:pPr>
      <w:r w:rsidRPr="00C20FFF">
        <w:rPr>
          <w:rFonts w:ascii="宋体" w:hAnsi="宋体" w:hint="eastAsia"/>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0266DC" w:rsidRPr="000266DC" w:rsidP="000266DC">
      <w:pPr>
        <w:spacing w:line="360" w:lineRule="auto"/>
        <w:ind w:firstLine="420" w:firstLineChars="200"/>
        <w:rPr>
          <w:rFonts w:ascii="宋体" w:hAnsi="宋体"/>
          <w:szCs w:val="21"/>
        </w:rPr>
      </w:pPr>
      <w:r>
        <w:rPr>
          <w:rFonts w:ascii="宋体" w:hAnsi="宋体" w:hint="eastAsia"/>
          <w:szCs w:val="21"/>
        </w:rPr>
        <w:t>2</w:t>
      </w:r>
      <w:r w:rsidRPr="000266DC">
        <w:rPr>
          <w:rFonts w:ascii="宋体" w:hAnsi="宋体" w:hint="eastAsia"/>
          <w:szCs w:val="21"/>
        </w:rPr>
        <w:t>、培训要求</w:t>
      </w:r>
    </w:p>
    <w:p w:rsidR="000266DC" w:rsidRPr="000266DC" w:rsidP="000266DC">
      <w:pPr>
        <w:spacing w:line="360" w:lineRule="auto"/>
        <w:ind w:firstLine="420" w:firstLineChars="200"/>
        <w:rPr>
          <w:rFonts w:ascii="宋体" w:hAnsi="宋体"/>
          <w:szCs w:val="21"/>
        </w:rPr>
      </w:pPr>
      <w:r w:rsidRPr="000266DC">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6053FF" w:rsidP="000266DC">
      <w:pPr>
        <w:spacing w:line="360" w:lineRule="auto"/>
        <w:ind w:firstLine="420" w:firstLineChars="200"/>
        <w:rPr>
          <w:rFonts w:ascii="宋体" w:hAnsi="宋体"/>
          <w:szCs w:val="21"/>
        </w:rPr>
      </w:pPr>
      <w:r w:rsidRPr="000266DC">
        <w:rPr>
          <w:rFonts w:ascii="宋体" w:hAnsi="宋体" w:hint="eastAsia"/>
          <w:szCs w:val="21"/>
        </w:rPr>
        <w:t>设备供应商对每套投标产品提供至少2次技术培训，培训课时不少于5个课时，培训人数不少于5人。培训内容包括设备安装、使用、日常维护、观测原理及产品应用，培训时间</w:t>
      </w:r>
      <w:r w:rsidRPr="000266DC">
        <w:rPr>
          <w:rFonts w:ascii="宋体" w:hAnsi="宋体" w:hint="eastAsia"/>
          <w:szCs w:val="21"/>
        </w:rPr>
        <w:t>及地点双方协商确定。</w:t>
      </w:r>
    </w:p>
    <w:p w:rsidR="009A06C1" w:rsidRPr="009A06C1" w:rsidP="009A06C1">
      <w:pPr>
        <w:spacing w:line="360" w:lineRule="auto"/>
        <w:ind w:firstLine="420" w:firstLineChars="200"/>
        <w:rPr>
          <w:rFonts w:ascii="宋体" w:hAnsi="宋体"/>
          <w:b/>
          <w:szCs w:val="21"/>
        </w:rPr>
      </w:pPr>
      <w:r w:rsidRPr="009A06C1">
        <w:rPr>
          <w:rFonts w:ascii="宋体" w:hAnsi="宋体" w:hint="eastAsia"/>
          <w:b/>
          <w:szCs w:val="21"/>
        </w:rPr>
        <w:t>六、供货要求</w:t>
      </w:r>
    </w:p>
    <w:p w:rsidR="009A06C1" w:rsidRPr="009A06C1" w:rsidP="009A06C1">
      <w:pPr>
        <w:spacing w:line="360" w:lineRule="auto"/>
        <w:ind w:firstLine="420" w:firstLineChars="200"/>
        <w:rPr>
          <w:rFonts w:ascii="宋体" w:hAnsi="宋体"/>
          <w:szCs w:val="21"/>
        </w:rPr>
      </w:pPr>
      <w:r w:rsidRPr="009A06C1">
        <w:rPr>
          <w:rFonts w:ascii="宋体" w:hAnsi="宋体" w:hint="eastAsia"/>
          <w:szCs w:val="21"/>
        </w:rPr>
        <w:t>中标供应商将所有设备运送至招标方指定地点，并负责安装调试。</w:t>
      </w:r>
    </w:p>
    <w:p w:rsidR="009A06C1" w:rsidRPr="009A06C1" w:rsidP="009A06C1">
      <w:pPr>
        <w:spacing w:line="360" w:lineRule="auto"/>
        <w:ind w:firstLine="420" w:firstLineChars="200"/>
        <w:rPr>
          <w:rFonts w:ascii="宋体" w:hAnsi="宋体"/>
          <w:szCs w:val="21"/>
        </w:rPr>
      </w:pPr>
      <w:r w:rsidRPr="009A06C1">
        <w:rPr>
          <w:rFonts w:ascii="宋体" w:hAnsi="宋体" w:hint="eastAsia"/>
          <w:szCs w:val="21"/>
        </w:rPr>
        <w:t>合同签订后270天内完成交货、设备安装调试并具备现场验收条件（含3个月试运行），现场验收通过后30天内完成合同验收。</w:t>
      </w:r>
    </w:p>
    <w:p w:rsidR="009A06C1" w:rsidP="009A06C1">
      <w:pPr>
        <w:spacing w:line="360" w:lineRule="auto"/>
        <w:ind w:firstLine="420" w:firstLineChars="200"/>
        <w:rPr>
          <w:rFonts w:ascii="宋体" w:hAnsi="宋体"/>
          <w:szCs w:val="21"/>
        </w:rPr>
      </w:pPr>
      <w:r w:rsidRPr="009A06C1">
        <w:rPr>
          <w:rFonts w:ascii="宋体" w:hAnsi="宋体" w:hint="eastAsia"/>
          <w:szCs w:val="21"/>
        </w:rPr>
        <w:t>履约地点：广东省内。</w:t>
      </w:r>
    </w:p>
    <w:p w:rsidR="009A06C1" w:rsidRPr="009A06C1" w:rsidP="009A06C1">
      <w:pPr>
        <w:spacing w:line="360" w:lineRule="auto"/>
        <w:ind w:firstLine="420" w:firstLineChars="200"/>
        <w:rPr>
          <w:rFonts w:ascii="宋体" w:hAnsi="宋体"/>
          <w:b/>
          <w:szCs w:val="21"/>
        </w:rPr>
      </w:pPr>
      <w:r w:rsidRPr="009A06C1">
        <w:rPr>
          <w:rFonts w:ascii="宋体" w:hAnsi="宋体" w:hint="eastAsia"/>
          <w:b/>
          <w:szCs w:val="21"/>
        </w:rPr>
        <w:t>七、验收要求</w:t>
      </w:r>
    </w:p>
    <w:p w:rsidR="009A06C1" w:rsidRPr="009A06C1" w:rsidP="009A06C1">
      <w:pPr>
        <w:spacing w:line="360" w:lineRule="auto"/>
        <w:ind w:firstLine="420" w:firstLineChars="200"/>
        <w:rPr>
          <w:rFonts w:ascii="宋体" w:hAnsi="宋体"/>
          <w:szCs w:val="21"/>
        </w:rPr>
      </w:pPr>
      <w:r w:rsidRPr="009A06C1">
        <w:rPr>
          <w:rFonts w:ascii="宋体" w:hAnsi="宋体" w:hint="eastAsia"/>
          <w:szCs w:val="21"/>
        </w:rPr>
        <w:t>参考《气象部门综合观测类重点工程项目建设管理实施细则（试行）》。</w:t>
      </w:r>
    </w:p>
    <w:p w:rsidR="009A06C1" w:rsidRPr="009A06C1" w:rsidP="009A06C1">
      <w:pPr>
        <w:spacing w:line="360" w:lineRule="auto"/>
        <w:ind w:firstLine="420" w:firstLineChars="200"/>
        <w:rPr>
          <w:rFonts w:ascii="宋体" w:hAnsi="宋体"/>
          <w:szCs w:val="21"/>
        </w:rPr>
      </w:pPr>
      <w:r>
        <w:rPr>
          <w:rFonts w:ascii="宋体" w:hAnsi="宋体" w:hint="eastAsia"/>
          <w:szCs w:val="21"/>
        </w:rPr>
        <w:t>1、</w:t>
      </w:r>
      <w:r w:rsidRPr="009A06C1">
        <w:rPr>
          <w:rFonts w:ascii="宋体" w:hAnsi="宋体" w:hint="eastAsia"/>
          <w:szCs w:val="21"/>
        </w:rPr>
        <w:t xml:space="preserve">出厂验收：中标方准备好所有相关材料，书面向采购方提出验收申请，采购方接到申请后 10 </w:t>
      </w:r>
      <w:r w:rsidRPr="009A06C1">
        <w:rPr>
          <w:rFonts w:ascii="宋体" w:hAnsi="宋体" w:hint="eastAsia"/>
          <w:szCs w:val="21"/>
        </w:rPr>
        <w:t>个</w:t>
      </w:r>
      <w:r w:rsidRPr="009A06C1">
        <w:rPr>
          <w:rFonts w:ascii="宋体" w:hAnsi="宋体" w:hint="eastAsia"/>
          <w:szCs w:val="21"/>
        </w:rPr>
        <w:t>工作日内，组织相关专家对项目进行验收，设备需按照《智能自动气象站设备出厂及现场测试验收大纲》进行测试，并在 10个工作日内出具项目验收报告，验收合格后，开展后续建设、安装、调试工作。</w:t>
      </w:r>
    </w:p>
    <w:p w:rsidR="009A06C1" w:rsidRPr="009A06C1" w:rsidP="009A06C1">
      <w:pPr>
        <w:spacing w:line="360" w:lineRule="auto"/>
        <w:ind w:firstLine="420" w:firstLineChars="200"/>
        <w:rPr>
          <w:rFonts w:ascii="宋体" w:hAnsi="宋体"/>
          <w:szCs w:val="21"/>
        </w:rPr>
      </w:pPr>
      <w:r>
        <w:rPr>
          <w:rFonts w:ascii="宋体" w:hAnsi="宋体" w:hint="eastAsia"/>
          <w:szCs w:val="21"/>
        </w:rPr>
        <w:t>2、</w:t>
      </w:r>
      <w:r w:rsidRPr="009A06C1">
        <w:rPr>
          <w:rFonts w:ascii="宋体" w:hAnsi="宋体" w:hint="eastAsia"/>
          <w:szCs w:val="21"/>
        </w:rPr>
        <w:t>现场验收：设备现场安装架设、调试正常后，开展现场安装后测试，根据《测试大纲》开展现场安装后测试，测试满足要求后启动试运行。试运行满3个月，开展现场验收，根据《测试大纲》对建设完成度、安装规范性和设备运行情况进行现场验收。</w:t>
      </w:r>
    </w:p>
    <w:p w:rsidR="009A06C1" w:rsidRPr="009A06C1" w:rsidP="009A06C1">
      <w:pPr>
        <w:spacing w:line="360" w:lineRule="auto"/>
        <w:ind w:firstLine="420" w:firstLineChars="200"/>
        <w:rPr>
          <w:rFonts w:ascii="宋体" w:hAnsi="宋体"/>
          <w:szCs w:val="21"/>
        </w:rPr>
      </w:pPr>
      <w:r>
        <w:rPr>
          <w:rFonts w:ascii="宋体" w:hAnsi="宋体" w:hint="eastAsia"/>
          <w:szCs w:val="21"/>
        </w:rPr>
        <w:t>3、</w:t>
      </w:r>
      <w:r w:rsidRPr="009A06C1">
        <w:rPr>
          <w:rFonts w:ascii="宋体" w:hAnsi="宋体" w:hint="eastAsia"/>
          <w:szCs w:val="21"/>
        </w:rPr>
        <w:t>合同验收：现场验收完成后可申请合同验收，采购方组织专家根据合同条款进行验收。</w:t>
      </w:r>
    </w:p>
    <w:p w:rsidR="009A06C1" w:rsidRPr="009A06C1" w:rsidP="009A06C1">
      <w:pPr>
        <w:spacing w:line="360" w:lineRule="auto"/>
        <w:ind w:firstLine="420" w:firstLineChars="200"/>
        <w:rPr>
          <w:rFonts w:ascii="宋体" w:hAnsi="宋体"/>
          <w:szCs w:val="21"/>
        </w:rPr>
      </w:pPr>
      <w:r w:rsidRPr="009A06C1">
        <w:rPr>
          <w:rFonts w:ascii="宋体" w:hAnsi="宋体" w:hint="eastAsia"/>
          <w:szCs w:val="21"/>
        </w:rPr>
        <w:t>如因第三方不可控原因导致工期延迟，中标方可视情况向采购方书面递交延期申请，采购方批复同意后，方可延期。</w:t>
      </w:r>
    </w:p>
    <w:p w:rsidR="009A06C1" w:rsidRPr="000266DC" w:rsidP="009A06C1">
      <w:pPr>
        <w:spacing w:line="360" w:lineRule="auto"/>
        <w:ind w:firstLine="420" w:firstLineChars="200"/>
        <w:rPr>
          <w:rFonts w:ascii="宋体" w:hAnsi="宋体"/>
          <w:szCs w:val="21"/>
        </w:rPr>
      </w:pPr>
    </w:p>
    <w:p w:rsidR="006053FF">
      <w:pPr>
        <w:spacing w:line="360" w:lineRule="auto"/>
        <w:ind w:firstLine="420" w:firstLineChars="200"/>
        <w:rPr>
          <w:rFonts w:ascii="宋体" w:eastAsia="宋体" w:hAnsi="宋体" w:cs="Times New Roman"/>
          <w:szCs w:val="21"/>
        </w:rPr>
      </w:pPr>
    </w:p>
    <w:p w:rsidR="006053FF">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6053FF">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1"/>
        <w:gridCol w:w="2196"/>
        <w:gridCol w:w="657"/>
        <w:gridCol w:w="913"/>
        <w:gridCol w:w="1042"/>
        <w:gridCol w:w="657"/>
        <w:gridCol w:w="269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地面智能气象观测系统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1,710,000.00</w:t>
            </w:r>
          </w:p>
        </w:tc>
        <w:tc>
          <w:tcPr/>
          <w:p>
            <w:pPr>
              <w:autoSpaceDE w:val="0"/>
              <w:jc w:val="center"/>
              <w:rPr>
                <w:rFonts w:asciiTheme="minorEastAsia" w:hAnsiTheme="minorEastAsia" w:cstheme="minorEastAsia" w:hint="eastAsia"/>
                <w:kern w:val="0"/>
                <w:szCs w:val="21"/>
              </w:rPr>
            </w:pPr>
            <w:r>
              <w:t>270</w:t>
            </w:r>
          </w:p>
        </w:tc>
        <w:tc>
          <w:tcPr/>
          <w:p>
            <w:pPr>
              <w:autoSpaceDE w:val="0"/>
              <w:autoSpaceDN w:val="0"/>
              <w:adjustRightInd w:val="0"/>
              <w:spacing w:before="48"/>
              <w:ind w:right="-20"/>
              <w:jc w:val="center"/>
              <w:rPr>
                <w:rFonts w:asciiTheme="minorEastAsia" w:hAnsiTheme="minorEastAsia" w:cstheme="minorEastAsia"/>
                <w:kern w:val="0"/>
                <w:szCs w:val="21"/>
              </w:rPr>
            </w:pPr>
            <w:r>
              <w:t>含配套设施、基础设施建设及设备安装、集成</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数据采集与处理系统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w:t>
            </w:r>
          </w:p>
        </w:tc>
        <w:tc>
          <w:tcPr/>
          <w:p>
            <w:pPr>
              <w:autoSpaceDE w:val="0"/>
              <w:jc w:val="center"/>
              <w:rPr>
                <w:rFonts w:asciiTheme="minorEastAsia" w:hAnsiTheme="minorEastAsia" w:cstheme="minorEastAsia" w:hint="eastAsia"/>
                <w:kern w:val="0"/>
                <w:szCs w:val="21"/>
              </w:rPr>
            </w:pPr>
            <w:r>
              <w:t>270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广东低空气象监测网络系统软件平台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w:t>
            </w:r>
          </w:p>
        </w:tc>
        <w:tc>
          <w:tcPr/>
          <w:p>
            <w:pPr>
              <w:autoSpaceDE w:val="0"/>
              <w:jc w:val="center"/>
              <w:rPr>
                <w:rFonts w:asciiTheme="minorEastAsia" w:hAnsiTheme="minorEastAsia" w:cstheme="minorEastAsia" w:hint="eastAsia"/>
                <w:kern w:val="0"/>
                <w:szCs w:val="21"/>
              </w:rPr>
            </w:pPr>
            <w:r>
              <w:t>270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0"/>
        <w:gridCol w:w="1293"/>
        <w:gridCol w:w="2084"/>
        <w:gridCol w:w="380"/>
        <w:gridCol w:w="867"/>
        <w:gridCol w:w="723"/>
        <w:gridCol w:w="624"/>
        <w:gridCol w:w="217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数据中心(001048005)</w:t>
            </w:r>
          </w:p>
        </w:tc>
        <w:tc>
          <w:tcPr/>
          <w:p>
            <w:r>
              <w:t>地面智能气象观测系统</w:t>
            </w:r>
          </w:p>
        </w:tc>
        <w:tc>
          <w:tcPr/>
          <w:p>
            <w:r>
              <w:t>1</w:t>
            </w:r>
          </w:p>
        </w:tc>
        <w:tc>
          <w:tcPr/>
          <w:p>
            <w:r>
              <w:t>1710000.00</w:t>
            </w:r>
          </w:p>
        </w:tc>
        <w:tc>
          <w:tcPr>
            <w:vMerge w:val="restart"/>
          </w:tcPr>
          <w:p>
            <w:r>
              <w:t xml:space="preserve">1920000.00  </w:t>
            </w:r>
          </w:p>
        </w:tc>
        <w:tc>
          <w:tcPr/>
          <w:p>
            <w:r>
              <w:t>广东省内</w:t>
            </w:r>
          </w:p>
        </w:tc>
        <w:tc>
          <w:tcPr/>
          <w:p>
            <w:r>
              <w:t>1套地面智能气象观测系统，含配套设施、基础设施建设及设备安装、集成</w:t>
            </w:r>
          </w:p>
        </w:tc>
      </w:tr>
      <w:tr>
        <w:tblPrEx>
          <w:tblW w:w="5000" w:type="pct"/>
          <w:tblCellMar>
            <w:left w:w="108" w:type="dxa"/>
            <w:right w:w="108" w:type="dxa"/>
          </w:tblCellMar>
        </w:tblPrEx>
        <w:tc>
          <w:tcPr/>
          <w:p>
            <w:r>
              <w:t>2</w:t>
            </w:r>
          </w:p>
        </w:tc>
        <w:tc>
          <w:tcPr>
            <w:vMerge/>
          </w:tcPr>
          <w:p>
            <w:r>
              <w:t>数据中心(001048005)</w:t>
            </w:r>
          </w:p>
        </w:tc>
        <w:tc>
          <w:tcPr/>
          <w:p>
            <w:r>
              <w:t>广东低空气象监测网络系统软件平台</w:t>
            </w:r>
          </w:p>
        </w:tc>
        <w:tc>
          <w:tcPr/>
          <w:p>
            <w:r>
              <w:t>1</w:t>
            </w:r>
          </w:p>
        </w:tc>
        <w:tc>
          <w:tcPr/>
          <w:p>
            <w:r>
              <w:t>150000.00</w:t>
            </w:r>
          </w:p>
        </w:tc>
        <w:tc>
          <w:tcPr>
            <w:vMerge/>
          </w:tcPr>
          <w:p>
            <w:r>
              <w:t xml:space="preserve">1920000.00  </w:t>
            </w:r>
          </w:p>
        </w:tc>
        <w:tc>
          <w:tcPr/>
          <w:p>
            <w:r>
              <w:t>广东省内</w:t>
            </w:r>
          </w:p>
        </w:tc>
        <w:tc>
          <w:tcPr/>
          <w:p/>
        </w:tc>
      </w:tr>
      <w:tr>
        <w:tblPrEx>
          <w:tblW w:w="5000" w:type="pct"/>
          <w:tblCellMar>
            <w:left w:w="108" w:type="dxa"/>
            <w:right w:w="108" w:type="dxa"/>
          </w:tblCellMar>
        </w:tblPrEx>
        <w:tc>
          <w:tcPr/>
          <w:p>
            <w:r>
              <w:t>3</w:t>
            </w:r>
          </w:p>
        </w:tc>
        <w:tc>
          <w:tcPr>
            <w:vMerge/>
          </w:tcPr>
          <w:p>
            <w:r>
              <w:t>数据中心(001048005)</w:t>
            </w:r>
          </w:p>
        </w:tc>
        <w:tc>
          <w:tcPr/>
          <w:p>
            <w:r>
              <w:t>数据采集与处理系统</w:t>
            </w:r>
          </w:p>
        </w:tc>
        <w:tc>
          <w:tcPr/>
          <w:p>
            <w:r>
              <w:t>1</w:t>
            </w:r>
          </w:p>
        </w:tc>
        <w:tc>
          <w:tcPr/>
          <w:p>
            <w:r>
              <w:t>60000.00</w:t>
            </w:r>
          </w:p>
        </w:tc>
        <w:tc>
          <w:tcPr>
            <w:vMerge/>
          </w:tcPr>
          <w:p>
            <w:r>
              <w:t xml:space="preserve">1920000.00  </w:t>
            </w:r>
          </w:p>
        </w:tc>
        <w:tc>
          <w:tcPr/>
          <w:p>
            <w:r>
              <w:t>广东省内</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6053FF">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lang w:val="en-US" w:eastAsia="zh-CN"/>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针对以下货物必须取得《气象专用技术装备使用许可证》：</w:t>
            </w:r>
          </w:p>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智能气温测量仪、智能湿度测量</w:t>
            </w:r>
            <w:r>
              <w:rPr>
                <w:rFonts w:ascii="宋体" w:hAnsi="宋体" w:cs="微软雅黑" w:hint="eastAsia"/>
                <w:b/>
                <w:color w:val="0000FF"/>
                <w:kern w:val="0"/>
                <w:sz w:val="18"/>
                <w:szCs w:val="18"/>
              </w:rPr>
              <w:t>仪、智能风测量仪、智能翻斗式雨量测量仪、智能地温测量仪。</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正式交付运行，并通过合同验收次日起维保期为 8 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6011D" w:rsidP="00FB50E6">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96011D">
      <w:pPr>
        <w:pStyle w:val="BodyText"/>
        <w:spacing w:after="0"/>
        <w:jc w:val="center"/>
        <w:rPr>
          <w:rFonts w:ascii="宋体" w:hAnsi="宋体" w:cs="宋体"/>
          <w:b/>
          <w:bCs/>
          <w:spacing w:val="-20"/>
          <w:kern w:val="44"/>
          <w:sz w:val="48"/>
          <w:szCs w:val="48"/>
        </w:rPr>
      </w:pPr>
      <w:bookmarkStart w:id="71" w:name="_Toc3995"/>
    </w:p>
    <w:p w:rsidR="0096011D">
      <w:pPr>
        <w:pStyle w:val="BodyText"/>
        <w:spacing w:after="0"/>
        <w:jc w:val="center"/>
        <w:rPr>
          <w:rFonts w:ascii="宋体" w:hAnsi="宋体" w:cs="宋体"/>
          <w:b/>
          <w:bCs/>
          <w:spacing w:val="-20"/>
          <w:kern w:val="44"/>
          <w:sz w:val="48"/>
          <w:szCs w:val="48"/>
        </w:rPr>
      </w:pPr>
    </w:p>
    <w:p w:rsidR="0096011D">
      <w:pPr>
        <w:pStyle w:val="BodyText"/>
        <w:spacing w:after="0"/>
        <w:jc w:val="center"/>
        <w:rPr>
          <w:rFonts w:ascii="宋体" w:hAnsi="宋体" w:cs="宋体"/>
          <w:b/>
          <w:bCs/>
          <w:spacing w:val="-20"/>
          <w:kern w:val="44"/>
          <w:sz w:val="48"/>
          <w:szCs w:val="48"/>
        </w:rPr>
      </w:pPr>
    </w:p>
    <w:p w:rsidR="0096011D">
      <w:pPr>
        <w:pStyle w:val="BodyText"/>
        <w:spacing w:after="0"/>
        <w:jc w:val="center"/>
        <w:rPr>
          <w:rFonts w:ascii="宋体" w:hAnsi="宋体" w:cs="宋体"/>
          <w:b/>
          <w:bCs/>
          <w:spacing w:val="-20"/>
          <w:kern w:val="44"/>
          <w:sz w:val="48"/>
          <w:szCs w:val="48"/>
        </w:rPr>
      </w:pPr>
    </w:p>
    <w:p w:rsidR="0096011D">
      <w:pPr>
        <w:pStyle w:val="BodyText"/>
        <w:spacing w:after="0"/>
        <w:jc w:val="center"/>
        <w:rPr>
          <w:rFonts w:ascii="宋体" w:hAnsi="宋体" w:cs="宋体"/>
          <w:b/>
          <w:bCs/>
          <w:spacing w:val="-20"/>
          <w:kern w:val="44"/>
          <w:sz w:val="48"/>
          <w:szCs w:val="48"/>
        </w:rPr>
      </w:pPr>
    </w:p>
    <w:p w:rsidR="0096011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96011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96011D">
      <w:pPr>
        <w:rPr>
          <w:rFonts w:ascii="宋体" w:hAnsi="宋体" w:cs="宋体"/>
          <w:b/>
          <w:bCs/>
          <w:spacing w:val="-20"/>
          <w:kern w:val="44"/>
          <w:sz w:val="40"/>
          <w:szCs w:val="40"/>
        </w:rPr>
      </w:pPr>
    </w:p>
    <w:p w:rsidR="0096011D">
      <w:pPr>
        <w:rPr>
          <w:rFonts w:ascii="宋体" w:hAnsi="宋体" w:cs="宋体"/>
          <w:b/>
          <w:bCs/>
          <w:spacing w:val="-20"/>
          <w:kern w:val="44"/>
          <w:sz w:val="40"/>
          <w:szCs w:val="40"/>
        </w:rPr>
      </w:pPr>
    </w:p>
    <w:p w:rsidR="0096011D">
      <w:pPr>
        <w:rPr>
          <w:rFonts w:ascii="宋体" w:hAnsi="宋体" w:cs="宋体"/>
          <w:b/>
          <w:bCs/>
          <w:spacing w:val="-20"/>
          <w:kern w:val="44"/>
          <w:sz w:val="40"/>
          <w:szCs w:val="40"/>
        </w:rPr>
      </w:pPr>
    </w:p>
    <w:p w:rsidR="0096011D">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96011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96011D">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96011D">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96011D">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96011D"/>
    <w:p w:rsidR="0096011D">
      <w:pPr>
        <w:rPr>
          <w:rFonts w:eastAsia="黑体"/>
          <w:sz w:val="44"/>
          <w:szCs w:val="44"/>
        </w:rPr>
      </w:pPr>
      <w:r>
        <w:rPr>
          <w:rFonts w:eastAsia="黑体"/>
          <w:sz w:val="44"/>
          <w:szCs w:val="44"/>
        </w:rPr>
        <w:br w:type="page"/>
      </w:r>
    </w:p>
    <w:p w:rsidR="0096011D">
      <w:pPr>
        <w:rPr>
          <w:rFonts w:eastAsia="黑体"/>
          <w:sz w:val="44"/>
          <w:szCs w:val="44"/>
        </w:rPr>
      </w:pPr>
    </w:p>
    <w:p w:rsidR="0096011D">
      <w:pPr>
        <w:rPr>
          <w:rFonts w:eastAsia="黑体"/>
          <w:sz w:val="44"/>
          <w:szCs w:val="44"/>
        </w:rPr>
      </w:pPr>
    </w:p>
    <w:p w:rsidR="0096011D">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96011D">
      <w:pPr>
        <w:ind w:firstLine="640" w:firstLineChars="200"/>
        <w:rPr>
          <w:rFonts w:ascii="仿宋_GB2312" w:eastAsia="仿宋_GB2312" w:hAnsi="仿宋_GB2312" w:cs="仿宋_GB2312"/>
          <w:sz w:val="32"/>
          <w:szCs w:val="32"/>
        </w:rPr>
      </w:pPr>
    </w:p>
    <w:p w:rsidR="0096011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96011D">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96011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96011D">
      <w:pPr>
        <w:rPr>
          <w:rFonts w:eastAsia="黑体"/>
          <w:sz w:val="44"/>
          <w:szCs w:val="44"/>
        </w:rPr>
        <w:sectPr>
          <w:pgSz w:w="11906" w:h="16838"/>
          <w:pgMar w:top="1440" w:right="1800" w:bottom="1440" w:left="1800" w:header="851" w:footer="992" w:gutter="0"/>
          <w:cols w:space="425"/>
          <w:docGrid w:type="lines" w:linePitch="312"/>
        </w:sectPr>
      </w:pPr>
    </w:p>
    <w:p w:rsidR="0096011D">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96011D">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96011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96011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6011D">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6011D">
      <w:pPr>
        <w:spacing w:line="400" w:lineRule="exact"/>
      </w:pPr>
    </w:p>
    <w:p w:rsidR="0096011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96011D">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96011D">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96011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96011D">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96011D">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96011D">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96011D">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96011D">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96011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6011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96011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96011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96011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6011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96011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96011D">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96011D">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96011D">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96011D">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6011D">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011D">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011D">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011D">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011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96011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96011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96011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96011D">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96011D">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96011D">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96011D">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96011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96011D">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96011D">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96011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96011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96011D">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96011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011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6011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96011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96011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011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6011D">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96011D">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96011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011D">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6011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96011D">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96011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6011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96011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6011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96011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96011D">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96011D">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96011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FB50E6" w:rsidRPr="00FB50E6" w:rsidP="00FB50E6">
      <w:pPr>
        <w:snapToGrid w:val="0"/>
        <w:spacing w:line="400" w:lineRule="exact"/>
        <w:ind w:firstLine="630" w:firstLineChars="300"/>
        <w:rPr>
          <w:rFonts w:ascii="宋体" w:hAnsi="宋体"/>
          <w:szCs w:val="21"/>
          <w:highlight w:val="yellow"/>
          <w:u w:val="single"/>
        </w:rPr>
      </w:pPr>
      <w:r w:rsidRPr="00FB50E6">
        <w:rPr>
          <w:rFonts w:ascii="Wingdings 2" w:hAnsi="Wingdings 2"/>
          <w:szCs w:val="21"/>
          <w:highlight w:val="yellow"/>
        </w:rPr>
        <w:sym w:font="Wingdings 2" w:char="F052"/>
      </w:r>
      <w:r w:rsidRPr="00FB50E6">
        <w:rPr>
          <w:rFonts w:ascii="宋体" w:hAnsi="宋体" w:hint="eastAsia"/>
          <w:szCs w:val="21"/>
          <w:highlight w:val="yellow"/>
        </w:rPr>
        <w:t>分期付款：</w:t>
      </w:r>
      <w:r w:rsidRPr="00FB50E6">
        <w:rPr>
          <w:rFonts w:ascii="宋体" w:hAnsi="宋体" w:hint="eastAsia"/>
          <w:szCs w:val="21"/>
          <w:highlight w:val="yellow"/>
          <w:u w:val="single"/>
        </w:rPr>
        <w:t>合同生效后付款：签订合同后，甲方在收到乙方提供的合同总额95%的等额正式增值税普通发票之日起10个工作日内向乙方支付合同总价的95%。</w:t>
      </w:r>
    </w:p>
    <w:p w:rsidR="00FB50E6" w:rsidRPr="00FB50E6" w:rsidP="00FB50E6">
      <w:pPr>
        <w:snapToGrid w:val="0"/>
        <w:spacing w:line="400" w:lineRule="exact"/>
        <w:ind w:firstLine="630" w:firstLineChars="300"/>
        <w:rPr>
          <w:rFonts w:ascii="宋体" w:hAnsi="宋体"/>
          <w:szCs w:val="21"/>
          <w:highlight w:val="yellow"/>
          <w:u w:val="single"/>
        </w:rPr>
      </w:pPr>
      <w:r w:rsidRPr="00FB50E6">
        <w:rPr>
          <w:rFonts w:ascii="宋体" w:hAnsi="宋体" w:hint="eastAsia"/>
          <w:szCs w:val="21"/>
          <w:highlight w:val="yellow"/>
          <w:u w:val="single"/>
        </w:rPr>
        <w:t>到货后付款：设备到货、签收后，凭验收合格单或验收合格报告，乙方向甲方提交合同总额5%的等额正式增值税普通发票，甲方在10个工作日内向乙方支付合同总价的5%。</w:t>
      </w:r>
    </w:p>
    <w:p w:rsidR="0096011D" w:rsidP="00FB50E6">
      <w:pPr>
        <w:snapToGrid w:val="0"/>
        <w:spacing w:line="400" w:lineRule="exact"/>
        <w:ind w:firstLine="630" w:firstLineChars="300"/>
      </w:pPr>
      <w:r w:rsidRPr="00FB50E6">
        <w:rPr>
          <w:rFonts w:ascii="宋体" w:hAnsi="宋体" w:hint="eastAsia"/>
          <w:szCs w:val="21"/>
          <w:highlight w:val="yellow"/>
        </w:rPr>
        <w:t>其中涉及预付款的：</w:t>
      </w:r>
      <w:r w:rsidRPr="00FB50E6">
        <w:rPr>
          <w:rFonts w:ascii="宋体" w:hAnsi="宋体" w:hint="eastAsia"/>
          <w:szCs w:val="21"/>
          <w:highlight w:val="yellow"/>
          <w:u w:val="single"/>
        </w:rPr>
        <w:t>签订合同后，甲方在收到乙方提供的合同总额95%的等额正式增值税普通发票之日起10个工作日内向乙方支付合同总价的95%。</w:t>
      </w:r>
    </w:p>
    <w:p w:rsidR="0096011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96011D">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96011D" w:rsidP="00FB50E6">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96011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96011D">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96011D">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FB50E6" w:rsidRPr="00FB50E6" w:rsidP="00FB50E6">
      <w:pPr>
        <w:pStyle w:val="AONormal"/>
        <w:rPr>
          <w:rFonts w:ascii="宋体" w:eastAsia="宋体" w:hAnsi="宋体" w:cs="宋体"/>
          <w:sz w:val="21"/>
          <w:highlight w:val="yellow"/>
        </w:rPr>
      </w:pPr>
      <w:r>
        <w:rPr>
          <w:rFonts w:ascii="宋体" w:hAnsi="宋体" w:cs="宋体" w:hint="eastAsia"/>
          <w:bCs/>
        </w:rPr>
        <w:t xml:space="preserve">  </w:t>
      </w:r>
      <w:r>
        <w:rPr>
          <w:rFonts w:ascii="宋体" w:eastAsia="宋体" w:hAnsi="宋体" w:cs="宋体" w:hint="eastAsia"/>
          <w:sz w:val="21"/>
        </w:rPr>
        <w:t xml:space="preserve">  </w:t>
      </w:r>
      <w:r w:rsidRPr="00FB50E6">
        <w:rPr>
          <w:rFonts w:ascii="宋体" w:eastAsia="宋体" w:hAnsi="宋体" w:cs="宋体" w:hint="eastAsia"/>
          <w:sz w:val="21"/>
          <w:highlight w:val="yellow"/>
        </w:rPr>
        <w:t>收取履约保证金形式：</w:t>
      </w:r>
      <w:r w:rsidRPr="00FB50E6">
        <w:rPr>
          <w:rFonts w:ascii="宋体" w:eastAsia="宋体" w:hAnsi="宋体" w:cs="宋体" w:hint="eastAsia"/>
          <w:sz w:val="21"/>
          <w:highlight w:val="yellow"/>
          <w:u w:val="single"/>
        </w:rPr>
        <w:t>银行</w:t>
      </w:r>
      <w:r w:rsidRPr="00FB50E6">
        <w:rPr>
          <w:rFonts w:ascii="宋体" w:eastAsia="宋体" w:hAnsi="宋体" w:cs="宋体" w:hint="eastAsia"/>
          <w:bCs/>
          <w:sz w:val="21"/>
          <w:highlight w:val="yellow"/>
          <w:u w:val="single"/>
        </w:rPr>
        <w:t>履约保函</w:t>
      </w:r>
    </w:p>
    <w:p w:rsidR="00FB50E6" w:rsidRPr="00FB50E6" w:rsidP="00FB50E6">
      <w:pPr>
        <w:pStyle w:val="AONormal"/>
        <w:ind w:firstLine="420"/>
        <w:rPr>
          <w:rFonts w:ascii="宋体" w:eastAsia="宋体" w:hAnsi="宋体" w:cs="宋体"/>
          <w:sz w:val="21"/>
          <w:highlight w:val="yellow"/>
        </w:rPr>
      </w:pPr>
      <w:r w:rsidRPr="00FB50E6">
        <w:rPr>
          <w:rFonts w:ascii="宋体" w:eastAsia="宋体" w:hAnsi="宋体" w:cs="宋体" w:hint="eastAsia"/>
          <w:sz w:val="21"/>
          <w:highlight w:val="yellow"/>
        </w:rPr>
        <w:t xml:space="preserve">    收取履约保证金金额：</w:t>
      </w:r>
      <w:r w:rsidRPr="00FB50E6">
        <w:rPr>
          <w:rFonts w:ascii="宋体" w:eastAsia="宋体" w:hAnsi="宋体" w:cs="宋体" w:hint="eastAsia"/>
          <w:bCs/>
          <w:sz w:val="21"/>
          <w:highlight w:val="yellow"/>
          <w:u w:val="single"/>
        </w:rPr>
        <w:t>合同金额的10%。</w:t>
      </w:r>
    </w:p>
    <w:p w:rsidR="0096011D" w:rsidRPr="00FB50E6" w:rsidP="00FB50E6">
      <w:pPr>
        <w:pStyle w:val="AONormal"/>
        <w:ind w:left="210" w:hanging="210" w:hangingChars="100"/>
        <w:rPr>
          <w:rFonts w:asciiTheme="minorEastAsia" w:eastAsiaTheme="minorEastAsia" w:hAnsiTheme="minorEastAsia" w:cs="宋体"/>
          <w:sz w:val="21"/>
        </w:rPr>
      </w:pPr>
      <w:r w:rsidRPr="00FB50E6">
        <w:rPr>
          <w:rFonts w:asciiTheme="minorEastAsia" w:eastAsiaTheme="minorEastAsia" w:hAnsiTheme="minorEastAsia" w:cs="宋体" w:hint="eastAsia"/>
          <w:bCs/>
          <w:sz w:val="21"/>
          <w:highlight w:val="yellow"/>
        </w:rPr>
        <w:t xml:space="preserve">    </w:t>
      </w:r>
      <w:r w:rsidRPr="00FB50E6">
        <w:rPr>
          <w:rFonts w:asciiTheme="minorEastAsia" w:eastAsiaTheme="minorEastAsia" w:hAnsiTheme="minorEastAsia" w:cs="宋体" w:hint="eastAsia"/>
          <w:bCs/>
          <w:sz w:val="21"/>
          <w:highlight w:val="yellow"/>
        </w:rPr>
        <w:t xml:space="preserve">    </w:t>
      </w:r>
      <w:r w:rsidRPr="00FB50E6">
        <w:rPr>
          <w:rFonts w:asciiTheme="minorEastAsia" w:eastAsiaTheme="minorEastAsia" w:hAnsiTheme="minorEastAsia" w:cs="宋体" w:hint="eastAsia"/>
          <w:bCs/>
          <w:sz w:val="21"/>
          <w:highlight w:val="yellow"/>
        </w:rPr>
        <w:t>履约担保期限：</w:t>
      </w:r>
      <w:r w:rsidRPr="00FB50E6">
        <w:rPr>
          <w:rFonts w:asciiTheme="minorEastAsia" w:eastAsiaTheme="minorEastAsia" w:hAnsiTheme="minorEastAsia" w:cs="宋体" w:hint="eastAsia"/>
          <w:bCs/>
          <w:sz w:val="21"/>
          <w:highlight w:val="yellow"/>
          <w:u w:val="single"/>
        </w:rPr>
        <w:t>本项目乙方在签订合同后30个工作日内按合同金额的10%向甲方缴纳为期2年的银行标准格式履约保函。</w:t>
      </w:r>
    </w:p>
    <w:p w:rsidR="0096011D">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96011D">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96011D">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96011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96011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96011D">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011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96011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96011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96011D">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96011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96011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96011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96011D">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96011D">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96011D">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96011D" w:rsidP="00FB50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6011D">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96011D">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96011D">
      <w:r>
        <w:rPr>
          <w:rFonts w:hint="eastAsia"/>
        </w:rPr>
        <w:br w:type="page"/>
      </w:r>
    </w:p>
    <w:p w:rsidR="0096011D">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96011D">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96011D">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法定代表人</w:t>
            </w:r>
          </w:p>
          <w:p w:rsidR="0096011D">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法定代表人</w:t>
            </w:r>
          </w:p>
          <w:p w:rsidR="0096011D">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011D">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96011D">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96011D">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96011D">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96011D">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96011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96011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96011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96011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96011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96011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96011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96011D">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96011D">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96011D">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96011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96011D">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96011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96011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96011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96011D">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96011D">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96011D">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96011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96011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96011D">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96011D">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96011D">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6011D">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96011D">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96011D">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96011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96011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96011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96011D">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96011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96011D">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96011D">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96011D">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6011D">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96011D">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96011D">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96011D">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96011D">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96011D">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96011D">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96011D">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96011D">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96011D">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96011D">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96011D">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96011D">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96011D">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96011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96011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96011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96011D">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96011D">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96011D">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96011D">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96011D">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96011D">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96011D">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96011D">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96011D">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96011D">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96011D">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96011D">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96011D">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96011D"/>
        </w:tc>
      </w:tr>
      <w:tr>
        <w:tblPrEx>
          <w:tblW w:w="8519" w:type="dxa"/>
          <w:tblInd w:w="108" w:type="dxa"/>
          <w:tblLayout w:type="fixed"/>
          <w:tblLook w:val="04A0"/>
        </w:tblPrEx>
        <w:trPr>
          <w:trHeight w:val="667"/>
        </w:trPr>
        <w:tc>
          <w:tcPr>
            <w:tcW w:w="1607" w:type="dxa"/>
            <w:vMerge/>
            <w:vAlign w:val="center"/>
          </w:tcPr>
          <w:p w:rsidR="0096011D">
            <w:pPr>
              <w:adjustRightInd w:val="0"/>
              <w:snapToGrid w:val="0"/>
              <w:jc w:val="center"/>
              <w:rPr>
                <w:rFonts w:ascii="宋体" w:hAnsi="宋体"/>
                <w:szCs w:val="21"/>
              </w:rPr>
            </w:pPr>
          </w:p>
        </w:tc>
        <w:tc>
          <w:tcPr>
            <w:tcW w:w="1742" w:type="dxa"/>
            <w:vAlign w:val="center"/>
          </w:tcPr>
          <w:p w:rsidR="0096011D">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96011D"/>
        </w:tc>
      </w:tr>
      <w:tr>
        <w:tblPrEx>
          <w:tblW w:w="8519" w:type="dxa"/>
          <w:tblInd w:w="108" w:type="dxa"/>
          <w:tblLayout w:type="fixed"/>
          <w:tblLook w:val="04A0"/>
        </w:tblPrEx>
        <w:trPr>
          <w:trHeight w:val="772"/>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96011D"/>
        </w:tc>
      </w:tr>
      <w:tr>
        <w:tblPrEx>
          <w:tblW w:w="8519" w:type="dxa"/>
          <w:tblInd w:w="108" w:type="dxa"/>
          <w:tblLayout w:type="fixed"/>
          <w:tblLook w:val="04A0"/>
        </w:tblPrEx>
        <w:trPr>
          <w:trHeight w:val="667"/>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96011D"/>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96011D">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货物质量缺陷</w:t>
            </w:r>
          </w:p>
          <w:p w:rsidR="0096011D">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snapToGrid w:val="0"/>
              <w:jc w:val="center"/>
              <w:rPr>
                <w:rFonts w:ascii="宋体" w:hAnsi="宋体" w:cs="宋体"/>
                <w:szCs w:val="21"/>
              </w:rPr>
            </w:pPr>
            <w:r>
              <w:rPr>
                <w:rFonts w:ascii="宋体" w:hAnsi="宋体" w:cs="宋体" w:hint="eastAsia"/>
                <w:szCs w:val="21"/>
              </w:rPr>
              <w:t>第二节</w:t>
            </w:r>
          </w:p>
          <w:p w:rsidR="0096011D">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96011D">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96011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96011D">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96011D">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96011D">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96011D">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96011D">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96011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96011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96011D">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96011D">
            <w:pPr>
              <w:adjustRightInd w:val="0"/>
              <w:snapToGrid w:val="0"/>
              <w:jc w:val="center"/>
              <w:rPr>
                <w:rFonts w:ascii="宋体" w:hAnsi="宋体"/>
                <w:szCs w:val="21"/>
              </w:rPr>
            </w:pPr>
            <w:r>
              <w:rPr>
                <w:rFonts w:ascii="宋体" w:hAnsi="宋体" w:hint="eastAsia"/>
                <w:szCs w:val="21"/>
              </w:rPr>
              <w:t>第二节</w:t>
            </w:r>
          </w:p>
          <w:p w:rsidR="0096011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96011D">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96011D">
            <w:pPr>
              <w:adjustRightInd w:val="0"/>
              <w:snapToGrid w:val="0"/>
              <w:jc w:val="left"/>
              <w:rPr>
                <w:rFonts w:ascii="宋体" w:hAnsi="宋体"/>
                <w:szCs w:val="21"/>
              </w:rPr>
            </w:pPr>
          </w:p>
        </w:tc>
      </w:tr>
    </w:tbl>
    <w:p w:rsidR="0096011D"/>
    <w:p w:rsidR="0096011D">
      <w:pPr>
        <w:rPr>
          <w:b/>
          <w:bCs/>
          <w:sz w:val="44"/>
          <w:szCs w:val="44"/>
        </w:rPr>
      </w:pPr>
    </w:p>
    <w:p w:rsidR="0096011D"/>
    <w:p w:rsidR="00A77B3E"/>
    <w:p w:rsidR="0096011D" w:rsidP="00FB50E6">
      <w:pPr>
        <w:numPr>
          <w:ilvl w:val="0"/>
          <w:numId w:val="4"/>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66DC"/>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280"/>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50A"/>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53FF"/>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11D"/>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6C1"/>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1A18"/>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0FFF"/>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3FBA"/>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0E6"/>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