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bookmarkStart w:id="0" w:name="_GoBack"/>
      <w:bookmarkEnd w:id="0"/>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2025年站网雷达工程西藏3套自动水电解制氢设备采购（单一来源）</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ZQCD-26016</w:t>
      </w:r>
      <w:bookmarkEnd w:id="2"/>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2026年02月</w:t>
      </w:r>
      <w:bookmarkEnd w:id="3"/>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4"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4"/>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5"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5"/>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2"/>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905C75D">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2.16主要标的信息表</w:t>
      </w:r>
      <w:bookmarkEnd w:id="20"/>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9"/>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西藏自治区大气探测技术与装备保障中心</w:t>
      </w:r>
      <w:bookmarkEnd w:id="21"/>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2025年站网雷达工程西藏3套自动水电解制氢设备采购（单一来源）</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ZQCD-26016</w:t>
      </w:r>
      <w:bookmarkEnd w:id="23"/>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5" w:name="合同履约期限_contractPerformancePeriod"/>
      <w:r>
        <w:rPr>
          <w:rFonts w:ascii="宋体" w:hAnsi="宋体" w:cs="微软雅黑" w:hint="eastAsia"/>
          <w:b/>
          <w:color w:val="0000FF"/>
          <w:kern w:val="0"/>
          <w:szCs w:val="21"/>
        </w:rPr>
        <w:t>合同签订后80天内交货，安装调试并具备验收条件</w:t>
      </w:r>
      <w:bookmarkEnd w:id="25"/>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西藏自治区昌都市气象局、林芝市气象局、日喀则市定日县气象局</w:t>
      </w:r>
      <w:bookmarkEnd w:id="26"/>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7" w:name="项目公告_openBidTime"/>
      <w:r>
        <w:rPr>
          <w:rFonts w:asciiTheme="minorEastAsia" w:eastAsiaTheme="minorEastAsia" w:hAnsiTheme="minorEastAsia" w:hint="eastAsia"/>
          <w:bCs/>
          <w:szCs w:val="21"/>
          <w:highlight w:val="none"/>
        </w:rPr>
        <w:t>2026年02月13日 09:30:00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陈龙光</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010-58995155</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西藏自治区大气探测技术与装备保障中心</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沈旭</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0891-6336571</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西藏自治区拉萨市城关区林廓北路2号</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西藏自治区大气探测技术与装备保障中心</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必须，以下产品需要提供至响应截止日仍有效的《气象专用技术装备使用许可证》：自动水电解制氢设备</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标的： 自动水电解制氢设备，属于工业行业；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是，中标服务费：2.4万元。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rPr>
              <w:t>261.000000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261.000000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14:paraId="049A5E75">
      <w:pPr>
        <w:spacing w:line="560" w:lineRule="exact"/>
        <w:jc w:val="center"/>
        <w:rPr>
          <w:rFonts w:ascii="仿宋" w:eastAsia="仿宋" w:hAnsi="仿宋" w:cs="仿宋" w:hint="eastAsia"/>
          <w:b/>
          <w:szCs w:val="32"/>
        </w:rPr>
      </w:pPr>
      <w:bookmarkStart w:id="48" w:name="插入_采购需求书"/>
      <w:bookmarkStart w:id="49" w:name="插入_采购需求标题"/>
      <w:r>
        <w:rPr>
          <w:rFonts w:ascii="仿宋" w:eastAsia="仿宋" w:hAnsi="仿宋" w:cs="仿宋" w:hint="eastAsia"/>
          <w:b/>
          <w:szCs w:val="32"/>
        </w:rPr>
        <w:t>第六章  采购需求</w:t>
      </w:r>
      <w:bookmarkEnd w:id="49"/>
    </w:p>
    <w:p w14:paraId="23EC3EFA">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w:t>
      </w:r>
      <w:r>
        <w:rPr>
          <w:rFonts w:ascii="仿宋" w:eastAsia="仿宋" w:hAnsi="仿宋" w:cs="仿宋" w:hint="eastAsia"/>
          <w:sz w:val="28"/>
          <w:szCs w:val="20"/>
          <w:lang w:eastAsia="zh-CN"/>
        </w:rPr>
        <w:t>要求</w:t>
      </w:r>
      <w:r>
        <w:rPr>
          <w:rFonts w:ascii="仿宋" w:eastAsia="仿宋" w:hAnsi="仿宋" w:cs="仿宋" w:hint="eastAsia"/>
          <w:sz w:val="28"/>
          <w:szCs w:val="20"/>
        </w:rPr>
        <w:t>）</w:t>
      </w:r>
    </w:p>
    <w:p w14:paraId="23D273C6">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14:paraId="703BC3A7">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14:paraId="6D07F030">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89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15"/>
        <w:gridCol w:w="2488"/>
        <w:gridCol w:w="1652"/>
        <w:gridCol w:w="1748"/>
        <w:gridCol w:w="2114"/>
      </w:tblGrid>
      <w:tr w14:paraId="35EC169B">
        <w:tblPrEx>
          <w:tblW w:w="89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7"/>
          <w:tblHeader/>
        </w:trPr>
        <w:tc>
          <w:tcPr>
            <w:tcW w:w="915" w:type="dxa"/>
            <w:vAlign w:val="center"/>
          </w:tcPr>
          <w:p w14:paraId="1628A284">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2488" w:type="dxa"/>
            <w:vAlign w:val="center"/>
          </w:tcPr>
          <w:p w14:paraId="20E3C67E">
            <w:pPr>
              <w:widowControl/>
              <w:jc w:val="center"/>
              <w:rPr>
                <w:rFonts w:ascii="仿宋" w:eastAsia="仿宋" w:hAnsi="仿宋" w:cs="仿宋" w:hint="eastAsia"/>
                <w:b/>
                <w:kern w:val="0"/>
              </w:rPr>
            </w:pPr>
            <w:r>
              <w:rPr>
                <w:rFonts w:ascii="仿宋" w:eastAsia="仿宋" w:hAnsi="仿宋" w:cs="仿宋" w:hint="eastAsia"/>
                <w:b/>
                <w:kern w:val="0"/>
                <w:sz w:val="24"/>
              </w:rPr>
              <w:t>名称</w:t>
            </w:r>
          </w:p>
        </w:tc>
        <w:tc>
          <w:tcPr>
            <w:tcW w:w="1652" w:type="dxa"/>
            <w:vAlign w:val="center"/>
          </w:tcPr>
          <w:p w14:paraId="2A18F430">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1748" w:type="dxa"/>
            <w:vAlign w:val="center"/>
          </w:tcPr>
          <w:p w14:paraId="21B6A315">
            <w:pPr>
              <w:widowControl/>
              <w:jc w:val="center"/>
              <w:rPr>
                <w:rFonts w:ascii="仿宋" w:eastAsia="仿宋" w:hAnsi="仿宋" w:cs="仿宋" w:hint="eastAsia"/>
                <w:b/>
                <w:kern w:val="0"/>
              </w:rPr>
            </w:pPr>
            <w:r>
              <w:rPr>
                <w:rFonts w:ascii="仿宋" w:eastAsia="仿宋" w:hAnsi="仿宋" w:cs="仿宋" w:hint="eastAsia"/>
                <w:b/>
                <w:kern w:val="0"/>
                <w:sz w:val="24"/>
              </w:rPr>
              <w:t>性能指标</w:t>
            </w:r>
          </w:p>
        </w:tc>
        <w:tc>
          <w:tcPr>
            <w:tcW w:w="2114" w:type="dxa"/>
            <w:vAlign w:val="center"/>
          </w:tcPr>
          <w:p w14:paraId="3EDA32C1">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14:paraId="60DF21AA">
        <w:tblPrEx>
          <w:tblW w:w="8917" w:type="dxa"/>
          <w:tblInd w:w="0" w:type="dxa"/>
          <w:tblCellMar>
            <w:top w:w="0" w:type="dxa"/>
            <w:left w:w="108" w:type="dxa"/>
            <w:bottom w:w="0" w:type="dxa"/>
            <w:right w:w="108" w:type="dxa"/>
          </w:tblCellMar>
        </w:tblPrEx>
        <w:trPr>
          <w:trHeight w:val="57"/>
          <w:tblHeader/>
        </w:trPr>
        <w:tc>
          <w:tcPr>
            <w:tcW w:w="915" w:type="dxa"/>
            <w:vAlign w:val="center"/>
          </w:tcPr>
          <w:p w14:paraId="7A9BE7D8">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2488" w:type="dxa"/>
            <w:vAlign w:val="center"/>
          </w:tcPr>
          <w:p w14:paraId="6CB2C06C">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#氢气产量</w:t>
            </w:r>
          </w:p>
        </w:tc>
        <w:tc>
          <w:tcPr>
            <w:tcW w:w="1652" w:type="dxa"/>
            <w:vAlign w:val="center"/>
          </w:tcPr>
          <w:p w14:paraId="1BF668B2">
            <w:pPr>
              <w:widowControl/>
              <w:jc w:val="center"/>
              <w:rPr>
                <w:rFonts w:ascii="仿宋" w:eastAsia="仿宋" w:hAnsi="仿宋" w:cs="仿宋" w:hint="eastAsia"/>
                <w:bCs/>
                <w:kern w:val="0"/>
              </w:rPr>
            </w:pPr>
            <w:r>
              <w:rPr>
                <w:rFonts w:ascii="仿宋" w:eastAsia="仿宋" w:hAnsi="仿宋" w:cs="仿宋" w:hint="eastAsia"/>
                <w:bCs/>
                <w:kern w:val="0"/>
                <w:sz w:val="24"/>
              </w:rPr>
              <w:t>m</w:t>
            </w:r>
            <w:r>
              <w:rPr>
                <w:rFonts w:ascii="仿宋" w:eastAsia="仿宋" w:hAnsi="仿宋" w:cs="仿宋" w:hint="eastAsia"/>
                <w:bCs/>
                <w:kern w:val="0"/>
                <w:sz w:val="24"/>
                <w:vertAlign w:val="superscript"/>
              </w:rPr>
              <w:t>2</w:t>
            </w:r>
          </w:p>
        </w:tc>
        <w:tc>
          <w:tcPr>
            <w:tcW w:w="1748" w:type="dxa"/>
            <w:vAlign w:val="center"/>
          </w:tcPr>
          <w:p w14:paraId="119FF590">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2114" w:type="dxa"/>
            <w:vAlign w:val="center"/>
          </w:tcPr>
          <w:p w14:paraId="18037430">
            <w:pPr>
              <w:widowControl/>
              <w:jc w:val="center"/>
              <w:rPr>
                <w:rFonts w:ascii="仿宋" w:eastAsia="仿宋" w:hAnsi="仿宋" w:cs="仿宋" w:hint="eastAsia"/>
                <w:bCs/>
                <w:kern w:val="0"/>
              </w:rPr>
            </w:pPr>
            <w:r>
              <w:rPr>
                <w:rFonts w:ascii="仿宋" w:eastAsia="仿宋" w:hAnsi="仿宋" w:cs="仿宋" w:hint="eastAsia"/>
                <w:bCs/>
                <w:kern w:val="0"/>
                <w:sz w:val="24"/>
              </w:rPr>
              <w:t>标准状态下</w:t>
            </w:r>
          </w:p>
        </w:tc>
      </w:tr>
      <w:tr w14:paraId="1566ADEC">
        <w:tblPrEx>
          <w:tblW w:w="8917" w:type="dxa"/>
          <w:tblInd w:w="0" w:type="dxa"/>
          <w:tblCellMar>
            <w:top w:w="0" w:type="dxa"/>
            <w:left w:w="108" w:type="dxa"/>
            <w:bottom w:w="0" w:type="dxa"/>
            <w:right w:w="108" w:type="dxa"/>
          </w:tblCellMar>
        </w:tblPrEx>
        <w:trPr>
          <w:trHeight w:val="57"/>
          <w:tblHeader/>
        </w:trPr>
        <w:tc>
          <w:tcPr>
            <w:tcW w:w="915" w:type="dxa"/>
            <w:vAlign w:val="center"/>
          </w:tcPr>
          <w:p w14:paraId="345935B1">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2488" w:type="dxa"/>
            <w:vAlign w:val="center"/>
          </w:tcPr>
          <w:p w14:paraId="07D065C5">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#氧气产量</w:t>
            </w:r>
          </w:p>
        </w:tc>
        <w:tc>
          <w:tcPr>
            <w:tcW w:w="1652" w:type="dxa"/>
            <w:vAlign w:val="center"/>
          </w:tcPr>
          <w:p w14:paraId="42EEA817">
            <w:pPr>
              <w:widowControl/>
              <w:jc w:val="center"/>
              <w:rPr>
                <w:rFonts w:ascii="仿宋" w:eastAsia="仿宋" w:hAnsi="仿宋" w:cs="仿宋" w:hint="eastAsia"/>
                <w:bCs/>
                <w:kern w:val="0"/>
              </w:rPr>
            </w:pPr>
            <w:r>
              <w:rPr>
                <w:rFonts w:ascii="仿宋" w:eastAsia="仿宋" w:hAnsi="仿宋" w:cs="仿宋" w:hint="eastAsia"/>
                <w:bCs/>
                <w:kern w:val="0"/>
                <w:sz w:val="24"/>
              </w:rPr>
              <w:t>m</w:t>
            </w:r>
            <w:r>
              <w:rPr>
                <w:rFonts w:ascii="仿宋" w:eastAsia="仿宋" w:hAnsi="仿宋" w:cs="仿宋" w:hint="eastAsia"/>
                <w:bCs/>
                <w:kern w:val="0"/>
                <w:sz w:val="24"/>
                <w:vertAlign w:val="superscript"/>
              </w:rPr>
              <w:t>2</w:t>
            </w:r>
          </w:p>
        </w:tc>
        <w:tc>
          <w:tcPr>
            <w:tcW w:w="1748" w:type="dxa"/>
            <w:vAlign w:val="center"/>
          </w:tcPr>
          <w:p w14:paraId="2E44CE36">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2114" w:type="dxa"/>
            <w:vAlign w:val="center"/>
          </w:tcPr>
          <w:p w14:paraId="36ADA281">
            <w:pPr>
              <w:widowControl/>
              <w:jc w:val="center"/>
              <w:rPr>
                <w:rFonts w:ascii="仿宋" w:eastAsia="仿宋" w:hAnsi="仿宋" w:cs="仿宋" w:hint="eastAsia"/>
                <w:bCs/>
                <w:kern w:val="0"/>
              </w:rPr>
            </w:pPr>
            <w:r>
              <w:rPr>
                <w:rFonts w:ascii="仿宋" w:eastAsia="仿宋" w:hAnsi="仿宋" w:cs="仿宋" w:hint="eastAsia"/>
                <w:bCs/>
                <w:kern w:val="0"/>
                <w:sz w:val="24"/>
              </w:rPr>
              <w:t>标准状态下</w:t>
            </w:r>
          </w:p>
        </w:tc>
      </w:tr>
      <w:tr w14:paraId="4475DC0A">
        <w:tblPrEx>
          <w:tblW w:w="8917" w:type="dxa"/>
          <w:tblInd w:w="0" w:type="dxa"/>
          <w:tblCellMar>
            <w:top w:w="0" w:type="dxa"/>
            <w:left w:w="108" w:type="dxa"/>
            <w:bottom w:w="0" w:type="dxa"/>
            <w:right w:w="108" w:type="dxa"/>
          </w:tblCellMar>
        </w:tblPrEx>
        <w:trPr>
          <w:trHeight w:val="57"/>
          <w:tblHeader/>
        </w:trPr>
        <w:tc>
          <w:tcPr>
            <w:tcW w:w="915" w:type="dxa"/>
            <w:vAlign w:val="center"/>
          </w:tcPr>
          <w:p w14:paraId="36ABF31F">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2488" w:type="dxa"/>
            <w:vAlign w:val="center"/>
          </w:tcPr>
          <w:p w14:paraId="7BC47FB1">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#氢气纯度</w:t>
            </w:r>
          </w:p>
        </w:tc>
        <w:tc>
          <w:tcPr>
            <w:tcW w:w="1652" w:type="dxa"/>
            <w:vAlign w:val="center"/>
          </w:tcPr>
          <w:p w14:paraId="29B31FE3">
            <w:pPr>
              <w:widowControl/>
              <w:jc w:val="center"/>
              <w:rPr>
                <w:rFonts w:ascii="仿宋" w:eastAsia="仿宋" w:hAnsi="仿宋" w:cs="仿宋" w:hint="eastAsia"/>
                <w:bCs/>
                <w:kern w:val="0"/>
              </w:rPr>
            </w:pPr>
            <w:r>
              <w:rPr>
                <w:rFonts w:ascii="仿宋" w:eastAsia="仿宋" w:hAnsi="仿宋" w:cs="仿宋" w:hint="eastAsia"/>
                <w:bCs/>
                <w:kern w:val="0"/>
                <w:sz w:val="24"/>
              </w:rPr>
              <w:t>%</w:t>
            </w:r>
          </w:p>
        </w:tc>
        <w:tc>
          <w:tcPr>
            <w:tcW w:w="1748" w:type="dxa"/>
            <w:vAlign w:val="center"/>
          </w:tcPr>
          <w:p w14:paraId="6665754A">
            <w:pPr>
              <w:widowControl/>
              <w:jc w:val="center"/>
              <w:rPr>
                <w:rFonts w:ascii="仿宋" w:eastAsia="仿宋" w:hAnsi="仿宋" w:cs="仿宋" w:hint="eastAsia"/>
                <w:bCs/>
                <w:kern w:val="0"/>
              </w:rPr>
            </w:pPr>
            <w:r>
              <w:rPr>
                <w:rFonts w:ascii="仿宋" w:eastAsia="仿宋" w:hAnsi="仿宋" w:cs="仿宋" w:hint="eastAsia"/>
                <w:bCs/>
                <w:kern w:val="0"/>
                <w:sz w:val="24"/>
              </w:rPr>
              <w:t>≥气纯度下</w:t>
            </w:r>
          </w:p>
        </w:tc>
        <w:tc>
          <w:tcPr>
            <w:tcW w:w="2114" w:type="dxa"/>
            <w:vAlign w:val="center"/>
          </w:tcPr>
          <w:p w14:paraId="1232E626">
            <w:pPr>
              <w:widowControl/>
              <w:jc w:val="center"/>
              <w:rPr>
                <w:rFonts w:ascii="仿宋" w:eastAsia="仿宋" w:hAnsi="仿宋" w:cs="仿宋" w:hint="eastAsia"/>
                <w:bCs/>
                <w:kern w:val="0"/>
              </w:rPr>
            </w:pPr>
            <w:r>
              <w:rPr>
                <w:rFonts w:ascii="仿宋" w:eastAsia="仿宋" w:hAnsi="仿宋" w:cs="仿宋" w:hint="eastAsia"/>
                <w:bCs/>
                <w:kern w:val="0"/>
                <w:sz w:val="24"/>
              </w:rPr>
              <w:t>体积比</w:t>
            </w:r>
          </w:p>
        </w:tc>
      </w:tr>
      <w:tr w14:paraId="445A0381">
        <w:tblPrEx>
          <w:tblW w:w="8917" w:type="dxa"/>
          <w:tblInd w:w="0" w:type="dxa"/>
          <w:tblCellMar>
            <w:top w:w="0" w:type="dxa"/>
            <w:left w:w="108" w:type="dxa"/>
            <w:bottom w:w="0" w:type="dxa"/>
            <w:right w:w="108" w:type="dxa"/>
          </w:tblCellMar>
        </w:tblPrEx>
        <w:trPr>
          <w:trHeight w:val="57"/>
          <w:tblHeader/>
        </w:trPr>
        <w:tc>
          <w:tcPr>
            <w:tcW w:w="915" w:type="dxa"/>
            <w:vAlign w:val="center"/>
          </w:tcPr>
          <w:p w14:paraId="3AC3194C">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2488" w:type="dxa"/>
            <w:vAlign w:val="center"/>
          </w:tcPr>
          <w:p w14:paraId="4DF84704">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#氢气供气压力</w:t>
            </w:r>
          </w:p>
        </w:tc>
        <w:tc>
          <w:tcPr>
            <w:tcW w:w="1652" w:type="dxa"/>
            <w:vAlign w:val="center"/>
          </w:tcPr>
          <w:p w14:paraId="1FB0CBFF">
            <w:pPr>
              <w:widowControl/>
              <w:jc w:val="center"/>
              <w:rPr>
                <w:rFonts w:ascii="仿宋" w:eastAsia="仿宋" w:hAnsi="仿宋" w:cs="仿宋" w:hint="eastAsia"/>
                <w:bCs/>
                <w:kern w:val="0"/>
              </w:rPr>
            </w:pPr>
            <w:r>
              <w:rPr>
                <w:rFonts w:ascii="仿宋" w:eastAsia="仿宋" w:hAnsi="仿宋" w:cs="仿宋" w:hint="eastAsia"/>
                <w:bCs/>
                <w:kern w:val="0"/>
                <w:sz w:val="24"/>
              </w:rPr>
              <w:t>MPa</w:t>
            </w:r>
          </w:p>
        </w:tc>
        <w:tc>
          <w:tcPr>
            <w:tcW w:w="1748" w:type="dxa"/>
            <w:vAlign w:val="center"/>
          </w:tcPr>
          <w:p w14:paraId="20B30CFF">
            <w:pPr>
              <w:widowControl/>
              <w:jc w:val="center"/>
              <w:rPr>
                <w:rFonts w:ascii="仿宋" w:eastAsia="仿宋" w:hAnsi="仿宋" w:cs="仿宋" w:hint="eastAsia"/>
                <w:bCs/>
                <w:kern w:val="0"/>
              </w:rPr>
            </w:pPr>
            <w:r>
              <w:rPr>
                <w:rFonts w:ascii="仿宋" w:eastAsia="仿宋" w:hAnsi="仿宋" w:cs="仿宋" w:hint="eastAsia"/>
                <w:bCs/>
                <w:kern w:val="0"/>
                <w:sz w:val="24"/>
              </w:rPr>
              <w:t>0～1.0</w:t>
            </w:r>
          </w:p>
        </w:tc>
        <w:tc>
          <w:tcPr>
            <w:tcW w:w="2114" w:type="dxa"/>
            <w:vAlign w:val="center"/>
          </w:tcPr>
          <w:p w14:paraId="7E33ECF4">
            <w:pPr>
              <w:widowControl/>
              <w:jc w:val="center"/>
              <w:rPr>
                <w:rFonts w:ascii="仿宋" w:eastAsia="仿宋" w:hAnsi="仿宋" w:cs="仿宋" w:hint="eastAsia"/>
                <w:bCs/>
                <w:kern w:val="0"/>
              </w:rPr>
            </w:pPr>
            <w:r>
              <w:rPr>
                <w:rFonts w:ascii="仿宋" w:eastAsia="仿宋" w:hAnsi="仿宋" w:cs="仿宋" w:hint="eastAsia"/>
                <w:bCs/>
                <w:kern w:val="0"/>
                <w:sz w:val="24"/>
              </w:rPr>
              <w:t>无级可调</w:t>
            </w:r>
          </w:p>
        </w:tc>
      </w:tr>
      <w:tr w14:paraId="7959ACEF">
        <w:tblPrEx>
          <w:tblW w:w="8917" w:type="dxa"/>
          <w:tblInd w:w="0" w:type="dxa"/>
          <w:tblCellMar>
            <w:top w:w="0" w:type="dxa"/>
            <w:left w:w="108" w:type="dxa"/>
            <w:bottom w:w="0" w:type="dxa"/>
            <w:right w:w="108" w:type="dxa"/>
          </w:tblCellMar>
        </w:tblPrEx>
        <w:trPr>
          <w:trHeight w:val="57"/>
          <w:tblHeader/>
        </w:trPr>
        <w:tc>
          <w:tcPr>
            <w:tcW w:w="915" w:type="dxa"/>
            <w:vAlign w:val="center"/>
          </w:tcPr>
          <w:p w14:paraId="569824B4">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2488" w:type="dxa"/>
            <w:vAlign w:val="center"/>
          </w:tcPr>
          <w:p w14:paraId="28D1CA8B">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#额定电流</w:t>
            </w:r>
          </w:p>
        </w:tc>
        <w:tc>
          <w:tcPr>
            <w:tcW w:w="1652" w:type="dxa"/>
            <w:vAlign w:val="center"/>
          </w:tcPr>
          <w:p w14:paraId="7819B072">
            <w:pPr>
              <w:widowControl/>
              <w:jc w:val="center"/>
              <w:rPr>
                <w:rFonts w:ascii="仿宋" w:eastAsia="仿宋" w:hAnsi="仿宋" w:cs="仿宋" w:hint="eastAsia"/>
                <w:bCs/>
                <w:kern w:val="0"/>
              </w:rPr>
            </w:pPr>
            <w:r>
              <w:rPr>
                <w:rFonts w:ascii="仿宋" w:eastAsia="仿宋" w:hAnsi="仿宋" w:cs="仿宋" w:hint="eastAsia"/>
                <w:bCs/>
                <w:kern w:val="0"/>
                <w:sz w:val="24"/>
              </w:rPr>
              <w:t>A</w:t>
            </w:r>
          </w:p>
        </w:tc>
        <w:tc>
          <w:tcPr>
            <w:tcW w:w="1748" w:type="dxa"/>
            <w:vAlign w:val="center"/>
          </w:tcPr>
          <w:p w14:paraId="7FEF3622">
            <w:pPr>
              <w:widowControl/>
              <w:jc w:val="center"/>
              <w:rPr>
                <w:rFonts w:ascii="仿宋" w:eastAsia="仿宋" w:hAnsi="仿宋" w:cs="仿宋" w:hint="eastAsia"/>
                <w:bCs/>
                <w:kern w:val="0"/>
              </w:rPr>
            </w:pPr>
            <w:r>
              <w:rPr>
                <w:rFonts w:ascii="仿宋" w:eastAsia="仿宋" w:hAnsi="仿宋" w:cs="仿宋" w:hint="eastAsia"/>
                <w:bCs/>
                <w:kern w:val="0"/>
                <w:sz w:val="24"/>
              </w:rPr>
              <w:t>161</w:t>
            </w:r>
          </w:p>
        </w:tc>
        <w:tc>
          <w:tcPr>
            <w:tcW w:w="2114" w:type="dxa"/>
            <w:vAlign w:val="center"/>
          </w:tcPr>
          <w:p w14:paraId="09D6F395">
            <w:pPr>
              <w:widowControl/>
              <w:jc w:val="center"/>
              <w:rPr>
                <w:rFonts w:ascii="仿宋" w:eastAsia="仿宋" w:hAnsi="仿宋" w:cs="仿宋" w:hint="eastAsia"/>
                <w:bCs/>
                <w:kern w:val="0"/>
              </w:rPr>
            </w:pPr>
            <w:r>
              <w:rPr>
                <w:rFonts w:ascii="仿宋" w:eastAsia="仿宋" w:hAnsi="仿宋" w:cs="仿宋" w:hint="eastAsia"/>
                <w:bCs/>
                <w:kern w:val="0"/>
                <w:sz w:val="24"/>
              </w:rPr>
              <w:t>直流</w:t>
            </w:r>
          </w:p>
        </w:tc>
      </w:tr>
      <w:tr w14:paraId="59D82EC9">
        <w:tblPrEx>
          <w:tblW w:w="8917" w:type="dxa"/>
          <w:tblInd w:w="0" w:type="dxa"/>
          <w:tblCellMar>
            <w:top w:w="0" w:type="dxa"/>
            <w:left w:w="108" w:type="dxa"/>
            <w:bottom w:w="0" w:type="dxa"/>
            <w:right w:w="108" w:type="dxa"/>
          </w:tblCellMar>
        </w:tblPrEx>
        <w:trPr>
          <w:trHeight w:val="57"/>
          <w:tblHeader/>
        </w:trPr>
        <w:tc>
          <w:tcPr>
            <w:tcW w:w="915" w:type="dxa"/>
            <w:vAlign w:val="center"/>
          </w:tcPr>
          <w:p w14:paraId="27F0AAF2">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2488" w:type="dxa"/>
            <w:vAlign w:val="center"/>
          </w:tcPr>
          <w:p w14:paraId="077954E6">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#额定电压</w:t>
            </w:r>
          </w:p>
        </w:tc>
        <w:tc>
          <w:tcPr>
            <w:tcW w:w="1652" w:type="dxa"/>
            <w:vAlign w:val="center"/>
          </w:tcPr>
          <w:p w14:paraId="1BCCF1F1">
            <w:pPr>
              <w:widowControl/>
              <w:jc w:val="center"/>
              <w:rPr>
                <w:rFonts w:ascii="仿宋" w:eastAsia="仿宋" w:hAnsi="仿宋" w:cs="仿宋" w:hint="eastAsia"/>
                <w:bCs/>
                <w:kern w:val="0"/>
              </w:rPr>
            </w:pPr>
            <w:r>
              <w:rPr>
                <w:rFonts w:ascii="仿宋" w:eastAsia="仿宋" w:hAnsi="仿宋" w:cs="仿宋" w:hint="eastAsia"/>
                <w:bCs/>
                <w:kern w:val="0"/>
                <w:sz w:val="24"/>
              </w:rPr>
              <w:t>V</w:t>
            </w:r>
          </w:p>
        </w:tc>
        <w:tc>
          <w:tcPr>
            <w:tcW w:w="1748" w:type="dxa"/>
            <w:vAlign w:val="center"/>
          </w:tcPr>
          <w:p w14:paraId="0688C7F1">
            <w:pPr>
              <w:widowControl/>
              <w:jc w:val="center"/>
              <w:rPr>
                <w:rFonts w:ascii="仿宋" w:eastAsia="仿宋" w:hAnsi="仿宋" w:cs="仿宋" w:hint="eastAsia"/>
                <w:bCs/>
                <w:kern w:val="0"/>
              </w:rPr>
            </w:pPr>
            <w:r>
              <w:rPr>
                <w:rFonts w:ascii="仿宋" w:eastAsia="仿宋" w:hAnsi="仿宋" w:cs="仿宋" w:hint="eastAsia"/>
                <w:bCs/>
                <w:kern w:val="0"/>
                <w:sz w:val="24"/>
              </w:rPr>
              <w:t>57～63</w:t>
            </w:r>
          </w:p>
        </w:tc>
        <w:tc>
          <w:tcPr>
            <w:tcW w:w="2114" w:type="dxa"/>
            <w:vAlign w:val="center"/>
          </w:tcPr>
          <w:p w14:paraId="69FBB656">
            <w:pPr>
              <w:widowControl/>
              <w:jc w:val="center"/>
              <w:rPr>
                <w:rFonts w:ascii="仿宋" w:eastAsia="仿宋" w:hAnsi="仿宋" w:cs="仿宋" w:hint="eastAsia"/>
                <w:bCs/>
                <w:kern w:val="0"/>
              </w:rPr>
            </w:pPr>
            <w:r>
              <w:rPr>
                <w:rFonts w:ascii="仿宋" w:eastAsia="仿宋" w:hAnsi="仿宋" w:cs="仿宋" w:hint="eastAsia"/>
                <w:bCs/>
                <w:kern w:val="0"/>
                <w:sz w:val="24"/>
              </w:rPr>
              <w:t>直流</w:t>
            </w:r>
          </w:p>
        </w:tc>
      </w:tr>
      <w:tr w14:paraId="3F2B61DE">
        <w:tblPrEx>
          <w:tblW w:w="8917" w:type="dxa"/>
          <w:tblInd w:w="0" w:type="dxa"/>
          <w:tblCellMar>
            <w:top w:w="0" w:type="dxa"/>
            <w:left w:w="108" w:type="dxa"/>
            <w:bottom w:w="0" w:type="dxa"/>
            <w:right w:w="108" w:type="dxa"/>
          </w:tblCellMar>
        </w:tblPrEx>
        <w:trPr>
          <w:trHeight w:val="57"/>
          <w:tblHeader/>
        </w:trPr>
        <w:tc>
          <w:tcPr>
            <w:tcW w:w="915" w:type="dxa"/>
            <w:vAlign w:val="center"/>
          </w:tcPr>
          <w:p w14:paraId="4B2E5BD0">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2488" w:type="dxa"/>
            <w:vAlign w:val="center"/>
          </w:tcPr>
          <w:p w14:paraId="3F8133CE">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#额定总功率</w:t>
            </w:r>
          </w:p>
        </w:tc>
        <w:tc>
          <w:tcPr>
            <w:tcW w:w="1652" w:type="dxa"/>
            <w:vAlign w:val="center"/>
          </w:tcPr>
          <w:p w14:paraId="50E6365D">
            <w:pPr>
              <w:widowControl/>
              <w:jc w:val="center"/>
              <w:rPr>
                <w:rFonts w:ascii="仿宋" w:eastAsia="仿宋" w:hAnsi="仿宋" w:cs="仿宋" w:hint="eastAsia"/>
                <w:bCs/>
                <w:kern w:val="0"/>
              </w:rPr>
            </w:pPr>
            <w:r>
              <w:rPr>
                <w:rFonts w:ascii="仿宋" w:eastAsia="仿宋" w:hAnsi="仿宋" w:cs="仿宋" w:hint="eastAsia"/>
                <w:bCs/>
                <w:kern w:val="0"/>
                <w:sz w:val="24"/>
              </w:rPr>
              <w:t>kWh</w:t>
            </w:r>
          </w:p>
        </w:tc>
        <w:tc>
          <w:tcPr>
            <w:tcW w:w="1748" w:type="dxa"/>
            <w:vAlign w:val="center"/>
          </w:tcPr>
          <w:p w14:paraId="557CC721">
            <w:pPr>
              <w:widowControl/>
              <w:jc w:val="center"/>
              <w:rPr>
                <w:rFonts w:ascii="仿宋" w:eastAsia="仿宋" w:hAnsi="仿宋" w:cs="仿宋" w:hint="eastAsia"/>
                <w:bCs/>
                <w:kern w:val="0"/>
              </w:rPr>
            </w:pPr>
            <w:r>
              <w:rPr>
                <w:rFonts w:ascii="仿宋" w:eastAsia="仿宋" w:hAnsi="仿宋" w:cs="仿宋" w:hint="eastAsia"/>
                <w:bCs/>
                <w:kern w:val="0"/>
                <w:sz w:val="24"/>
              </w:rPr>
              <w:t>10.5</w:t>
            </w:r>
          </w:p>
        </w:tc>
        <w:tc>
          <w:tcPr>
            <w:tcW w:w="2114" w:type="dxa"/>
            <w:vAlign w:val="center"/>
          </w:tcPr>
          <w:p w14:paraId="248D6C0D">
            <w:pPr>
              <w:widowControl/>
              <w:jc w:val="center"/>
              <w:rPr>
                <w:rFonts w:ascii="仿宋" w:eastAsia="仿宋" w:hAnsi="仿宋" w:cs="仿宋" w:hint="eastAsia"/>
                <w:bCs/>
                <w:kern w:val="0"/>
              </w:rPr>
            </w:pPr>
            <w:r>
              <w:rPr>
                <w:rFonts w:ascii="仿宋" w:eastAsia="仿宋" w:hAnsi="仿宋" w:cs="仿宋" w:hint="eastAsia"/>
                <w:bCs/>
                <w:kern w:val="0"/>
                <w:sz w:val="24"/>
              </w:rPr>
              <w:t>　</w:t>
            </w:r>
          </w:p>
        </w:tc>
      </w:tr>
      <w:tr w14:paraId="0EE92C5C">
        <w:tblPrEx>
          <w:tblW w:w="8917" w:type="dxa"/>
          <w:tblInd w:w="0" w:type="dxa"/>
          <w:tblCellMar>
            <w:top w:w="0" w:type="dxa"/>
            <w:left w:w="108" w:type="dxa"/>
            <w:bottom w:w="0" w:type="dxa"/>
            <w:right w:w="108" w:type="dxa"/>
          </w:tblCellMar>
        </w:tblPrEx>
        <w:trPr>
          <w:trHeight w:val="57"/>
          <w:tblHeader/>
        </w:trPr>
        <w:tc>
          <w:tcPr>
            <w:tcW w:w="915" w:type="dxa"/>
            <w:vAlign w:val="center"/>
          </w:tcPr>
          <w:p w14:paraId="4E4D18E6">
            <w:pPr>
              <w:widowControl/>
              <w:jc w:val="center"/>
              <w:rPr>
                <w:rFonts w:ascii="仿宋" w:eastAsia="仿宋" w:hAnsi="仿宋" w:cs="仿宋" w:hint="eastAsia"/>
                <w:bCs/>
                <w:kern w:val="0"/>
              </w:rPr>
            </w:pPr>
            <w:r>
              <w:rPr>
                <w:rFonts w:ascii="仿宋" w:eastAsia="仿宋" w:hAnsi="仿宋" w:cs="仿宋" w:hint="eastAsia"/>
                <w:bCs/>
                <w:kern w:val="0"/>
                <w:sz w:val="24"/>
              </w:rPr>
              <w:t>8</w:t>
            </w:r>
          </w:p>
        </w:tc>
        <w:tc>
          <w:tcPr>
            <w:tcW w:w="2488" w:type="dxa"/>
            <w:vAlign w:val="center"/>
          </w:tcPr>
          <w:p w14:paraId="10507ACF">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#小室电压</w:t>
            </w:r>
          </w:p>
        </w:tc>
        <w:tc>
          <w:tcPr>
            <w:tcW w:w="1652" w:type="dxa"/>
            <w:vAlign w:val="center"/>
          </w:tcPr>
          <w:p w14:paraId="049341F5">
            <w:pPr>
              <w:widowControl/>
              <w:jc w:val="center"/>
              <w:rPr>
                <w:rFonts w:ascii="仿宋" w:eastAsia="仿宋" w:hAnsi="仿宋" w:cs="仿宋" w:hint="eastAsia"/>
                <w:bCs/>
                <w:kern w:val="0"/>
              </w:rPr>
            </w:pPr>
            <w:r>
              <w:rPr>
                <w:rFonts w:ascii="仿宋" w:eastAsia="仿宋" w:hAnsi="仿宋" w:cs="仿宋" w:hint="eastAsia"/>
                <w:bCs/>
                <w:kern w:val="0"/>
                <w:sz w:val="24"/>
              </w:rPr>
              <w:t>V</w:t>
            </w:r>
          </w:p>
        </w:tc>
        <w:tc>
          <w:tcPr>
            <w:tcW w:w="1748" w:type="dxa"/>
            <w:vAlign w:val="center"/>
          </w:tcPr>
          <w:p w14:paraId="68ACE672">
            <w:pPr>
              <w:widowControl/>
              <w:jc w:val="center"/>
              <w:rPr>
                <w:rFonts w:ascii="仿宋" w:eastAsia="仿宋" w:hAnsi="仿宋" w:cs="仿宋" w:hint="eastAsia"/>
                <w:bCs/>
                <w:kern w:val="0"/>
              </w:rPr>
            </w:pPr>
            <w:r>
              <w:rPr>
                <w:rFonts w:ascii="仿宋" w:eastAsia="仿宋" w:hAnsi="仿宋" w:cs="仿宋" w:hint="eastAsia"/>
                <w:bCs/>
                <w:kern w:val="0"/>
                <w:sz w:val="24"/>
              </w:rPr>
              <w:t>＜2.2</w:t>
            </w:r>
          </w:p>
        </w:tc>
        <w:tc>
          <w:tcPr>
            <w:tcW w:w="2114" w:type="dxa"/>
            <w:vAlign w:val="center"/>
          </w:tcPr>
          <w:p w14:paraId="562B5AC3">
            <w:pPr>
              <w:widowControl/>
              <w:jc w:val="center"/>
              <w:rPr>
                <w:rFonts w:ascii="仿宋" w:eastAsia="仿宋" w:hAnsi="仿宋" w:cs="仿宋" w:hint="eastAsia"/>
                <w:bCs/>
                <w:kern w:val="0"/>
              </w:rPr>
            </w:pPr>
            <w:r>
              <w:rPr>
                <w:rFonts w:ascii="仿宋" w:eastAsia="仿宋" w:hAnsi="仿宋" w:cs="仿宋" w:hint="eastAsia"/>
                <w:bCs/>
                <w:kern w:val="0"/>
                <w:sz w:val="24"/>
              </w:rPr>
              <w:t>　</w:t>
            </w:r>
          </w:p>
        </w:tc>
      </w:tr>
      <w:tr w14:paraId="268EBA20">
        <w:tblPrEx>
          <w:tblW w:w="8917" w:type="dxa"/>
          <w:tblInd w:w="0" w:type="dxa"/>
          <w:tblCellMar>
            <w:top w:w="0" w:type="dxa"/>
            <w:left w:w="108" w:type="dxa"/>
            <w:bottom w:w="0" w:type="dxa"/>
            <w:right w:w="108" w:type="dxa"/>
          </w:tblCellMar>
        </w:tblPrEx>
        <w:trPr>
          <w:trHeight w:val="57"/>
          <w:tblHeader/>
        </w:trPr>
        <w:tc>
          <w:tcPr>
            <w:tcW w:w="915" w:type="dxa"/>
            <w:vAlign w:val="center"/>
          </w:tcPr>
          <w:p w14:paraId="0931F055">
            <w:pPr>
              <w:widowControl/>
              <w:jc w:val="center"/>
              <w:rPr>
                <w:rFonts w:ascii="仿宋" w:eastAsia="仿宋" w:hAnsi="仿宋" w:cs="仿宋" w:hint="eastAsia"/>
                <w:bCs/>
                <w:kern w:val="0"/>
              </w:rPr>
            </w:pPr>
            <w:r>
              <w:rPr>
                <w:rFonts w:ascii="仿宋" w:eastAsia="仿宋" w:hAnsi="仿宋" w:cs="仿宋" w:hint="eastAsia"/>
                <w:bCs/>
                <w:kern w:val="0"/>
                <w:sz w:val="24"/>
              </w:rPr>
              <w:t>9</w:t>
            </w:r>
          </w:p>
        </w:tc>
        <w:tc>
          <w:tcPr>
            <w:tcW w:w="2488" w:type="dxa"/>
            <w:vAlign w:val="center"/>
          </w:tcPr>
          <w:p w14:paraId="2D669AF7">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#工作温度</w:t>
            </w:r>
          </w:p>
        </w:tc>
        <w:tc>
          <w:tcPr>
            <w:tcW w:w="1652" w:type="dxa"/>
            <w:vAlign w:val="center"/>
          </w:tcPr>
          <w:p w14:paraId="277CAA2D">
            <w:pPr>
              <w:widowControl/>
              <w:jc w:val="center"/>
              <w:rPr>
                <w:rFonts w:ascii="仿宋" w:eastAsia="仿宋" w:hAnsi="仿宋" w:cs="仿宋" w:hint="eastAsia"/>
                <w:bCs/>
                <w:kern w:val="0"/>
              </w:rPr>
            </w:pPr>
            <w:r>
              <w:rPr>
                <w:rFonts w:ascii="仿宋" w:eastAsia="仿宋" w:hAnsi="仿宋" w:cs="仿宋" w:hint="eastAsia"/>
                <w:bCs/>
                <w:kern w:val="0"/>
                <w:sz w:val="24"/>
              </w:rPr>
              <w:t>℃</w:t>
            </w:r>
          </w:p>
        </w:tc>
        <w:tc>
          <w:tcPr>
            <w:tcW w:w="1748" w:type="dxa"/>
            <w:vAlign w:val="center"/>
          </w:tcPr>
          <w:p w14:paraId="27F5AEFC">
            <w:pPr>
              <w:widowControl/>
              <w:jc w:val="center"/>
              <w:rPr>
                <w:rFonts w:ascii="仿宋" w:eastAsia="仿宋" w:hAnsi="仿宋" w:cs="仿宋" w:hint="eastAsia"/>
                <w:bCs/>
                <w:kern w:val="0"/>
              </w:rPr>
            </w:pPr>
            <w:r>
              <w:rPr>
                <w:rFonts w:ascii="仿宋" w:eastAsia="仿宋" w:hAnsi="仿宋" w:cs="仿宋" w:hint="eastAsia"/>
                <w:bCs/>
                <w:kern w:val="0"/>
                <w:sz w:val="24"/>
              </w:rPr>
              <w:t>70温度率</w:t>
            </w:r>
          </w:p>
        </w:tc>
        <w:tc>
          <w:tcPr>
            <w:tcW w:w="2114" w:type="dxa"/>
            <w:vAlign w:val="center"/>
          </w:tcPr>
          <w:p w14:paraId="3B999592">
            <w:pPr>
              <w:widowControl/>
              <w:jc w:val="center"/>
              <w:rPr>
                <w:rFonts w:ascii="仿宋" w:eastAsia="仿宋" w:hAnsi="仿宋" w:cs="仿宋" w:hint="eastAsia"/>
                <w:bCs/>
                <w:kern w:val="0"/>
              </w:rPr>
            </w:pPr>
            <w:r>
              <w:rPr>
                <w:rFonts w:ascii="仿宋" w:eastAsia="仿宋" w:hAnsi="仿宋" w:cs="仿宋" w:hint="eastAsia"/>
                <w:bCs/>
                <w:kern w:val="0"/>
                <w:sz w:val="24"/>
              </w:rPr>
              <w:t>　</w:t>
            </w:r>
          </w:p>
        </w:tc>
      </w:tr>
      <w:tr w14:paraId="6484A1C6">
        <w:tblPrEx>
          <w:tblW w:w="8917" w:type="dxa"/>
          <w:tblInd w:w="0" w:type="dxa"/>
          <w:tblCellMar>
            <w:top w:w="0" w:type="dxa"/>
            <w:left w:w="108" w:type="dxa"/>
            <w:bottom w:w="0" w:type="dxa"/>
            <w:right w:w="108" w:type="dxa"/>
          </w:tblCellMar>
        </w:tblPrEx>
        <w:trPr>
          <w:trHeight w:val="57"/>
          <w:tblHeader/>
        </w:trPr>
        <w:tc>
          <w:tcPr>
            <w:tcW w:w="915" w:type="dxa"/>
            <w:vAlign w:val="center"/>
          </w:tcPr>
          <w:p w14:paraId="3D9556F5">
            <w:pPr>
              <w:widowControl/>
              <w:jc w:val="center"/>
              <w:rPr>
                <w:rFonts w:ascii="仿宋" w:eastAsia="仿宋" w:hAnsi="仿宋" w:cs="仿宋" w:hint="eastAsia"/>
                <w:bCs/>
                <w:kern w:val="0"/>
              </w:rPr>
            </w:pPr>
            <w:r>
              <w:rPr>
                <w:rFonts w:ascii="仿宋" w:eastAsia="仿宋" w:hAnsi="仿宋" w:cs="仿宋" w:hint="eastAsia"/>
                <w:bCs/>
                <w:kern w:val="0"/>
                <w:sz w:val="24"/>
              </w:rPr>
              <w:t>10</w:t>
            </w:r>
          </w:p>
        </w:tc>
        <w:tc>
          <w:tcPr>
            <w:tcW w:w="2488" w:type="dxa"/>
            <w:vAlign w:val="center"/>
          </w:tcPr>
          <w:p w14:paraId="1154A1DA">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#工作压力</w:t>
            </w:r>
          </w:p>
        </w:tc>
        <w:tc>
          <w:tcPr>
            <w:tcW w:w="1652" w:type="dxa"/>
            <w:vAlign w:val="center"/>
          </w:tcPr>
          <w:p w14:paraId="63230871">
            <w:pPr>
              <w:widowControl/>
              <w:jc w:val="center"/>
              <w:rPr>
                <w:rFonts w:ascii="仿宋" w:eastAsia="仿宋" w:hAnsi="仿宋" w:cs="仿宋" w:hint="eastAsia"/>
                <w:bCs/>
                <w:kern w:val="0"/>
              </w:rPr>
            </w:pPr>
            <w:r>
              <w:rPr>
                <w:rFonts w:ascii="仿宋" w:eastAsia="仿宋" w:hAnsi="仿宋" w:cs="仿宋" w:hint="eastAsia"/>
                <w:bCs/>
                <w:kern w:val="0"/>
                <w:sz w:val="24"/>
              </w:rPr>
              <w:t>MPa</w:t>
            </w:r>
          </w:p>
        </w:tc>
        <w:tc>
          <w:tcPr>
            <w:tcW w:w="1748" w:type="dxa"/>
            <w:vAlign w:val="center"/>
          </w:tcPr>
          <w:p w14:paraId="2165DFCC">
            <w:pPr>
              <w:widowControl/>
              <w:jc w:val="center"/>
              <w:rPr>
                <w:rFonts w:ascii="仿宋" w:eastAsia="仿宋" w:hAnsi="仿宋" w:cs="仿宋" w:hint="eastAsia"/>
                <w:bCs/>
                <w:kern w:val="0"/>
              </w:rPr>
            </w:pPr>
            <w:r>
              <w:rPr>
                <w:rFonts w:ascii="仿宋" w:eastAsia="仿宋" w:hAnsi="仿宋" w:cs="仿宋" w:hint="eastAsia"/>
                <w:bCs/>
                <w:kern w:val="0"/>
                <w:sz w:val="24"/>
              </w:rPr>
              <w:t>0～1.1</w:t>
            </w:r>
          </w:p>
        </w:tc>
        <w:tc>
          <w:tcPr>
            <w:tcW w:w="2114" w:type="dxa"/>
            <w:vAlign w:val="center"/>
          </w:tcPr>
          <w:p w14:paraId="244D6E50">
            <w:pPr>
              <w:widowControl/>
              <w:jc w:val="center"/>
              <w:rPr>
                <w:rFonts w:ascii="仿宋" w:eastAsia="仿宋" w:hAnsi="仿宋" w:cs="仿宋" w:hint="eastAsia"/>
                <w:bCs/>
                <w:kern w:val="0"/>
              </w:rPr>
            </w:pPr>
            <w:r>
              <w:rPr>
                <w:rFonts w:ascii="仿宋" w:eastAsia="仿宋" w:hAnsi="仿宋" w:cs="仿宋" w:hint="eastAsia"/>
                <w:bCs/>
                <w:kern w:val="0"/>
                <w:sz w:val="24"/>
              </w:rPr>
              <w:t>无级可调</w:t>
            </w:r>
          </w:p>
        </w:tc>
      </w:tr>
      <w:tr w14:paraId="6BBB095C">
        <w:tblPrEx>
          <w:tblW w:w="8917" w:type="dxa"/>
          <w:tblInd w:w="0" w:type="dxa"/>
          <w:tblCellMar>
            <w:top w:w="0" w:type="dxa"/>
            <w:left w:w="108" w:type="dxa"/>
            <w:bottom w:w="0" w:type="dxa"/>
            <w:right w:w="108" w:type="dxa"/>
          </w:tblCellMar>
        </w:tblPrEx>
        <w:trPr>
          <w:trHeight w:val="57"/>
          <w:tblHeader/>
        </w:trPr>
        <w:tc>
          <w:tcPr>
            <w:tcW w:w="915" w:type="dxa"/>
            <w:vAlign w:val="center"/>
          </w:tcPr>
          <w:p w14:paraId="692DAB7E">
            <w:pPr>
              <w:widowControl/>
              <w:jc w:val="center"/>
              <w:rPr>
                <w:rFonts w:ascii="仿宋" w:eastAsia="仿宋" w:hAnsi="仿宋" w:cs="仿宋" w:hint="eastAsia"/>
                <w:bCs/>
                <w:kern w:val="0"/>
              </w:rPr>
            </w:pPr>
            <w:r>
              <w:rPr>
                <w:rFonts w:ascii="仿宋" w:eastAsia="仿宋" w:hAnsi="仿宋" w:cs="仿宋" w:hint="eastAsia"/>
                <w:bCs/>
                <w:kern w:val="0"/>
                <w:sz w:val="24"/>
              </w:rPr>
              <w:t>11</w:t>
            </w:r>
          </w:p>
        </w:tc>
        <w:tc>
          <w:tcPr>
            <w:tcW w:w="2488" w:type="dxa"/>
            <w:vAlign w:val="center"/>
          </w:tcPr>
          <w:p w14:paraId="436DF66A">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#氢气电耗</w:t>
            </w:r>
          </w:p>
        </w:tc>
        <w:tc>
          <w:tcPr>
            <w:tcW w:w="1652" w:type="dxa"/>
            <w:vAlign w:val="center"/>
          </w:tcPr>
          <w:p w14:paraId="72FF056E">
            <w:pPr>
              <w:widowControl/>
              <w:jc w:val="center"/>
              <w:rPr>
                <w:rFonts w:ascii="仿宋" w:eastAsia="仿宋" w:hAnsi="仿宋" w:cs="仿宋" w:hint="eastAsia"/>
                <w:bCs/>
                <w:kern w:val="0"/>
              </w:rPr>
            </w:pPr>
            <w:r>
              <w:rPr>
                <w:rFonts w:ascii="仿宋" w:eastAsia="仿宋" w:hAnsi="仿宋" w:cs="仿宋" w:hint="eastAsia"/>
                <w:bCs/>
                <w:kern w:val="0"/>
                <w:sz w:val="24"/>
              </w:rPr>
              <w:t>kWh/Nm2</w:t>
            </w:r>
          </w:p>
        </w:tc>
        <w:tc>
          <w:tcPr>
            <w:tcW w:w="1748" w:type="dxa"/>
            <w:vAlign w:val="center"/>
          </w:tcPr>
          <w:p w14:paraId="67859E83">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2114" w:type="dxa"/>
            <w:vAlign w:val="center"/>
          </w:tcPr>
          <w:p w14:paraId="3A95C96D">
            <w:pPr>
              <w:widowControl/>
              <w:jc w:val="center"/>
              <w:rPr>
                <w:rFonts w:ascii="仿宋" w:eastAsia="仿宋" w:hAnsi="仿宋" w:cs="仿宋" w:hint="eastAsia"/>
                <w:bCs/>
                <w:kern w:val="0"/>
              </w:rPr>
            </w:pPr>
            <w:r>
              <w:rPr>
                <w:rFonts w:ascii="仿宋" w:eastAsia="仿宋" w:hAnsi="仿宋" w:cs="仿宋" w:hint="eastAsia"/>
                <w:bCs/>
                <w:kern w:val="0"/>
                <w:sz w:val="24"/>
              </w:rPr>
              <w:t>　</w:t>
            </w:r>
          </w:p>
        </w:tc>
      </w:tr>
      <w:tr w14:paraId="3092BB5D">
        <w:tblPrEx>
          <w:tblW w:w="8917" w:type="dxa"/>
          <w:tblInd w:w="0" w:type="dxa"/>
          <w:tblCellMar>
            <w:top w:w="0" w:type="dxa"/>
            <w:left w:w="108" w:type="dxa"/>
            <w:bottom w:w="0" w:type="dxa"/>
            <w:right w:w="108" w:type="dxa"/>
          </w:tblCellMar>
        </w:tblPrEx>
        <w:trPr>
          <w:trHeight w:val="57"/>
          <w:tblHeader/>
        </w:trPr>
        <w:tc>
          <w:tcPr>
            <w:tcW w:w="915" w:type="dxa"/>
            <w:vAlign w:val="center"/>
          </w:tcPr>
          <w:p w14:paraId="099419A2">
            <w:pPr>
              <w:widowControl/>
              <w:jc w:val="center"/>
              <w:rPr>
                <w:rFonts w:ascii="仿宋" w:eastAsia="仿宋" w:hAnsi="仿宋" w:cs="仿宋" w:hint="eastAsia"/>
                <w:bCs/>
                <w:kern w:val="0"/>
              </w:rPr>
            </w:pPr>
            <w:r>
              <w:rPr>
                <w:rFonts w:ascii="仿宋" w:eastAsia="仿宋" w:hAnsi="仿宋" w:cs="仿宋" w:hint="eastAsia"/>
                <w:bCs/>
                <w:kern w:val="0"/>
                <w:sz w:val="24"/>
              </w:rPr>
              <w:t>12</w:t>
            </w:r>
          </w:p>
        </w:tc>
        <w:tc>
          <w:tcPr>
            <w:tcW w:w="2488" w:type="dxa"/>
            <w:vAlign w:val="center"/>
          </w:tcPr>
          <w:p w14:paraId="6A37180D">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#氢氧液位差</w:t>
            </w:r>
          </w:p>
        </w:tc>
        <w:tc>
          <w:tcPr>
            <w:tcW w:w="1652" w:type="dxa"/>
            <w:vAlign w:val="center"/>
          </w:tcPr>
          <w:p w14:paraId="066AF61D">
            <w:pPr>
              <w:widowControl/>
              <w:jc w:val="center"/>
              <w:rPr>
                <w:rFonts w:ascii="仿宋" w:eastAsia="仿宋" w:hAnsi="仿宋" w:cs="仿宋" w:hint="eastAsia"/>
                <w:bCs/>
                <w:kern w:val="0"/>
              </w:rPr>
            </w:pPr>
            <w:r>
              <w:rPr>
                <w:rFonts w:ascii="仿宋" w:eastAsia="仿宋" w:hAnsi="仿宋" w:cs="仿宋" w:hint="eastAsia"/>
                <w:bCs/>
                <w:kern w:val="0"/>
                <w:sz w:val="24"/>
              </w:rPr>
              <w:t>mm</w:t>
            </w:r>
          </w:p>
        </w:tc>
        <w:tc>
          <w:tcPr>
            <w:tcW w:w="1748" w:type="dxa"/>
            <w:vAlign w:val="center"/>
          </w:tcPr>
          <w:p w14:paraId="2D723B2E">
            <w:pPr>
              <w:widowControl/>
              <w:jc w:val="center"/>
              <w:rPr>
                <w:rFonts w:ascii="仿宋" w:eastAsia="仿宋" w:hAnsi="仿宋" w:cs="仿宋" w:hint="eastAsia"/>
                <w:bCs/>
                <w:kern w:val="0"/>
              </w:rPr>
            </w:pPr>
            <w:r>
              <w:rPr>
                <w:rFonts w:ascii="仿宋" w:eastAsia="仿宋" w:hAnsi="仿宋" w:cs="仿宋" w:hint="eastAsia"/>
                <w:bCs/>
                <w:kern w:val="0"/>
                <w:sz w:val="24"/>
              </w:rPr>
              <w:t>＜20</w:t>
            </w:r>
          </w:p>
        </w:tc>
        <w:tc>
          <w:tcPr>
            <w:tcW w:w="2114" w:type="dxa"/>
            <w:vAlign w:val="center"/>
          </w:tcPr>
          <w:p w14:paraId="179CAA52">
            <w:pPr>
              <w:widowControl/>
              <w:jc w:val="center"/>
              <w:rPr>
                <w:rFonts w:ascii="仿宋" w:eastAsia="仿宋" w:hAnsi="仿宋" w:cs="仿宋" w:hint="eastAsia"/>
                <w:bCs/>
                <w:kern w:val="0"/>
              </w:rPr>
            </w:pPr>
            <w:r>
              <w:rPr>
                <w:rFonts w:ascii="仿宋" w:eastAsia="仿宋" w:hAnsi="仿宋" w:cs="仿宋" w:hint="eastAsia"/>
                <w:bCs/>
                <w:kern w:val="0"/>
                <w:sz w:val="24"/>
              </w:rPr>
              <w:t>　</w:t>
            </w:r>
          </w:p>
        </w:tc>
      </w:tr>
      <w:tr w14:paraId="2B15E8C7">
        <w:tblPrEx>
          <w:tblW w:w="8917" w:type="dxa"/>
          <w:tblInd w:w="0" w:type="dxa"/>
          <w:tblCellMar>
            <w:top w:w="0" w:type="dxa"/>
            <w:left w:w="108" w:type="dxa"/>
            <w:bottom w:w="0" w:type="dxa"/>
            <w:right w:w="108" w:type="dxa"/>
          </w:tblCellMar>
        </w:tblPrEx>
        <w:trPr>
          <w:trHeight w:val="57"/>
          <w:tblHeader/>
        </w:trPr>
        <w:tc>
          <w:tcPr>
            <w:tcW w:w="915" w:type="dxa"/>
            <w:vAlign w:val="center"/>
          </w:tcPr>
          <w:p w14:paraId="7A1BD5E6">
            <w:pPr>
              <w:widowControl/>
              <w:jc w:val="center"/>
              <w:rPr>
                <w:rFonts w:ascii="仿宋" w:eastAsia="仿宋" w:hAnsi="仿宋" w:cs="仿宋" w:hint="eastAsia"/>
                <w:bCs/>
                <w:kern w:val="0"/>
              </w:rPr>
            </w:pPr>
            <w:r>
              <w:rPr>
                <w:rFonts w:ascii="仿宋" w:eastAsia="仿宋" w:hAnsi="仿宋" w:cs="仿宋" w:hint="eastAsia"/>
                <w:bCs/>
                <w:kern w:val="0"/>
                <w:sz w:val="24"/>
              </w:rPr>
              <w:t>13</w:t>
            </w:r>
          </w:p>
        </w:tc>
        <w:tc>
          <w:tcPr>
            <w:tcW w:w="2488" w:type="dxa"/>
            <w:vAlign w:val="center"/>
          </w:tcPr>
          <w:p w14:paraId="2804503D">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#电解液浓度</w:t>
            </w:r>
          </w:p>
        </w:tc>
        <w:tc>
          <w:tcPr>
            <w:tcW w:w="1652" w:type="dxa"/>
            <w:vAlign w:val="center"/>
          </w:tcPr>
          <w:p w14:paraId="3CCC6CCD">
            <w:pPr>
              <w:widowControl/>
              <w:jc w:val="center"/>
              <w:rPr>
                <w:rFonts w:ascii="仿宋" w:eastAsia="仿宋" w:hAnsi="仿宋" w:cs="仿宋" w:hint="eastAsia"/>
                <w:bCs/>
                <w:kern w:val="0"/>
              </w:rPr>
            </w:pPr>
            <w:r>
              <w:rPr>
                <w:rFonts w:ascii="仿宋" w:eastAsia="仿宋" w:hAnsi="仿宋" w:cs="仿宋" w:hint="eastAsia"/>
                <w:bCs/>
                <w:kern w:val="0"/>
                <w:sz w:val="24"/>
              </w:rPr>
              <w:t>%</w:t>
            </w:r>
          </w:p>
        </w:tc>
        <w:tc>
          <w:tcPr>
            <w:tcW w:w="1748" w:type="dxa"/>
            <w:vAlign w:val="center"/>
          </w:tcPr>
          <w:p w14:paraId="781367CF">
            <w:pPr>
              <w:widowControl/>
              <w:jc w:val="center"/>
              <w:rPr>
                <w:rFonts w:ascii="仿宋" w:eastAsia="仿宋" w:hAnsi="仿宋" w:cs="仿宋" w:hint="eastAsia"/>
                <w:bCs/>
                <w:kern w:val="0"/>
              </w:rPr>
            </w:pPr>
            <w:r>
              <w:rPr>
                <w:rFonts w:ascii="仿宋" w:eastAsia="仿宋" w:hAnsi="仿宋" w:cs="仿宋" w:hint="eastAsia"/>
                <w:bCs/>
                <w:kern w:val="0"/>
                <w:sz w:val="24"/>
              </w:rPr>
              <w:t>30</w:t>
            </w:r>
          </w:p>
        </w:tc>
        <w:tc>
          <w:tcPr>
            <w:tcW w:w="2114" w:type="dxa"/>
            <w:vAlign w:val="center"/>
          </w:tcPr>
          <w:p w14:paraId="34A85729">
            <w:pPr>
              <w:widowControl/>
              <w:jc w:val="center"/>
              <w:rPr>
                <w:rFonts w:ascii="仿宋" w:eastAsia="仿宋" w:hAnsi="仿宋" w:cs="仿宋" w:hint="eastAsia"/>
                <w:bCs/>
                <w:kern w:val="0"/>
              </w:rPr>
            </w:pPr>
            <w:r>
              <w:rPr>
                <w:rFonts w:ascii="仿宋" w:eastAsia="仿宋" w:hAnsi="仿宋" w:cs="仿宋" w:hint="eastAsia"/>
                <w:bCs/>
                <w:kern w:val="0"/>
                <w:sz w:val="24"/>
              </w:rPr>
              <w:t>30%KOH</w:t>
            </w:r>
          </w:p>
        </w:tc>
      </w:tr>
      <w:tr w14:paraId="03CFFDEB">
        <w:tblPrEx>
          <w:tblW w:w="8917" w:type="dxa"/>
          <w:tblInd w:w="0" w:type="dxa"/>
          <w:tblCellMar>
            <w:top w:w="0" w:type="dxa"/>
            <w:left w:w="108" w:type="dxa"/>
            <w:bottom w:w="0" w:type="dxa"/>
            <w:right w:w="108" w:type="dxa"/>
          </w:tblCellMar>
        </w:tblPrEx>
        <w:trPr>
          <w:trHeight w:val="57"/>
          <w:tblHeader/>
        </w:trPr>
        <w:tc>
          <w:tcPr>
            <w:tcW w:w="915" w:type="dxa"/>
            <w:vAlign w:val="center"/>
          </w:tcPr>
          <w:p w14:paraId="55A40464">
            <w:pPr>
              <w:widowControl/>
              <w:jc w:val="center"/>
              <w:rPr>
                <w:rFonts w:ascii="仿宋" w:eastAsia="仿宋" w:hAnsi="仿宋" w:cs="仿宋" w:hint="eastAsia"/>
                <w:bCs/>
                <w:kern w:val="0"/>
              </w:rPr>
            </w:pPr>
            <w:r>
              <w:rPr>
                <w:rFonts w:ascii="仿宋" w:eastAsia="仿宋" w:hAnsi="仿宋" w:cs="仿宋" w:hint="eastAsia"/>
                <w:bCs/>
                <w:kern w:val="0"/>
                <w:sz w:val="24"/>
              </w:rPr>
              <w:t>14</w:t>
            </w:r>
          </w:p>
        </w:tc>
        <w:tc>
          <w:tcPr>
            <w:tcW w:w="2488" w:type="dxa"/>
            <w:vAlign w:val="center"/>
          </w:tcPr>
          <w:p w14:paraId="25A22A18">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#蒸馏水用量</w:t>
            </w:r>
          </w:p>
        </w:tc>
        <w:tc>
          <w:tcPr>
            <w:tcW w:w="1652" w:type="dxa"/>
            <w:vAlign w:val="center"/>
          </w:tcPr>
          <w:p w14:paraId="440E13B5">
            <w:pPr>
              <w:widowControl/>
              <w:jc w:val="center"/>
              <w:rPr>
                <w:rFonts w:ascii="仿宋" w:eastAsia="仿宋" w:hAnsi="仿宋" w:cs="仿宋" w:hint="eastAsia"/>
                <w:bCs/>
                <w:kern w:val="0"/>
              </w:rPr>
            </w:pPr>
            <w:r>
              <w:rPr>
                <w:rFonts w:ascii="仿宋" w:eastAsia="仿宋" w:hAnsi="仿宋" w:cs="仿宋" w:hint="eastAsia"/>
                <w:bCs/>
                <w:kern w:val="0"/>
                <w:sz w:val="24"/>
              </w:rPr>
              <w:t>L/h</w:t>
            </w:r>
          </w:p>
        </w:tc>
        <w:tc>
          <w:tcPr>
            <w:tcW w:w="1748" w:type="dxa"/>
            <w:vAlign w:val="center"/>
          </w:tcPr>
          <w:p w14:paraId="627C8F90">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2114" w:type="dxa"/>
            <w:vAlign w:val="center"/>
          </w:tcPr>
          <w:p w14:paraId="71A7B898">
            <w:pPr>
              <w:widowControl/>
              <w:jc w:val="center"/>
              <w:rPr>
                <w:rFonts w:ascii="仿宋" w:eastAsia="仿宋" w:hAnsi="仿宋" w:cs="仿宋" w:hint="eastAsia"/>
                <w:bCs/>
                <w:kern w:val="0"/>
              </w:rPr>
            </w:pPr>
            <w:r>
              <w:rPr>
                <w:rFonts w:ascii="仿宋" w:eastAsia="仿宋" w:hAnsi="仿宋" w:cs="仿宋" w:hint="eastAsia"/>
                <w:bCs/>
                <w:kern w:val="0"/>
                <w:sz w:val="24"/>
              </w:rPr>
              <w:t>　</w:t>
            </w:r>
          </w:p>
        </w:tc>
      </w:tr>
      <w:tr w14:paraId="14589BE6">
        <w:tblPrEx>
          <w:tblW w:w="8917" w:type="dxa"/>
          <w:tblInd w:w="0" w:type="dxa"/>
          <w:tblCellMar>
            <w:top w:w="0" w:type="dxa"/>
            <w:left w:w="108" w:type="dxa"/>
            <w:bottom w:w="0" w:type="dxa"/>
            <w:right w:w="108" w:type="dxa"/>
          </w:tblCellMar>
        </w:tblPrEx>
        <w:trPr>
          <w:trHeight w:val="57"/>
          <w:tblHeader/>
        </w:trPr>
        <w:tc>
          <w:tcPr>
            <w:tcW w:w="915" w:type="dxa"/>
            <w:vAlign w:val="center"/>
          </w:tcPr>
          <w:p w14:paraId="431B0AA7">
            <w:pPr>
              <w:widowControl/>
              <w:jc w:val="center"/>
              <w:rPr>
                <w:rFonts w:ascii="仿宋" w:eastAsia="仿宋" w:hAnsi="仿宋" w:cs="仿宋"/>
                <w:bCs/>
                <w:kern w:val="0"/>
              </w:rPr>
            </w:pPr>
            <w:r>
              <w:rPr>
                <w:rFonts w:ascii="仿宋" w:eastAsia="仿宋" w:hAnsi="仿宋" w:cs="仿宋" w:hint="eastAsia"/>
                <w:bCs/>
                <w:kern w:val="0"/>
                <w:sz w:val="24"/>
              </w:rPr>
              <w:t>15</w:t>
            </w:r>
          </w:p>
        </w:tc>
        <w:tc>
          <w:tcPr>
            <w:tcW w:w="2488" w:type="dxa"/>
            <w:vAlign w:val="center"/>
          </w:tcPr>
          <w:p w14:paraId="6E4FAB23">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#整流控制器输出电压</w:t>
            </w:r>
          </w:p>
        </w:tc>
        <w:tc>
          <w:tcPr>
            <w:tcW w:w="1652" w:type="dxa"/>
            <w:vAlign w:val="center"/>
          </w:tcPr>
          <w:p w14:paraId="491E7D2E">
            <w:pPr>
              <w:widowControl/>
              <w:jc w:val="center"/>
              <w:rPr>
                <w:rFonts w:ascii="仿宋" w:eastAsia="仿宋" w:hAnsi="仿宋" w:cs="仿宋" w:hint="eastAsia"/>
                <w:bCs/>
                <w:kern w:val="0"/>
              </w:rPr>
            </w:pPr>
            <w:r>
              <w:rPr>
                <w:rFonts w:ascii="仿宋" w:eastAsia="仿宋" w:hAnsi="仿宋" w:cs="仿宋" w:hint="eastAsia"/>
                <w:bCs/>
                <w:kern w:val="0"/>
                <w:sz w:val="24"/>
              </w:rPr>
              <w:t>V</w:t>
            </w:r>
          </w:p>
        </w:tc>
        <w:tc>
          <w:tcPr>
            <w:tcW w:w="1748" w:type="dxa"/>
            <w:vAlign w:val="center"/>
          </w:tcPr>
          <w:p w14:paraId="112B8000">
            <w:pPr>
              <w:widowControl/>
              <w:jc w:val="center"/>
              <w:rPr>
                <w:rFonts w:ascii="仿宋" w:eastAsia="仿宋" w:hAnsi="仿宋" w:cs="仿宋" w:hint="eastAsia"/>
                <w:bCs/>
                <w:kern w:val="0"/>
              </w:rPr>
            </w:pPr>
            <w:r>
              <w:rPr>
                <w:rFonts w:ascii="仿宋" w:eastAsia="仿宋" w:hAnsi="仿宋" w:cs="仿宋" w:hint="eastAsia"/>
                <w:bCs/>
                <w:kern w:val="0"/>
                <w:sz w:val="24"/>
              </w:rPr>
              <w:t>0～72</w:t>
            </w:r>
          </w:p>
        </w:tc>
        <w:tc>
          <w:tcPr>
            <w:tcW w:w="2114" w:type="dxa"/>
            <w:vAlign w:val="center"/>
          </w:tcPr>
          <w:p w14:paraId="350C93CE">
            <w:pPr>
              <w:widowControl/>
              <w:jc w:val="center"/>
              <w:rPr>
                <w:rFonts w:ascii="仿宋" w:eastAsia="仿宋" w:hAnsi="仿宋" w:cs="仿宋" w:hint="eastAsia"/>
                <w:bCs/>
                <w:kern w:val="0"/>
              </w:rPr>
            </w:pPr>
            <w:r>
              <w:rPr>
                <w:rFonts w:ascii="仿宋" w:eastAsia="仿宋" w:hAnsi="仿宋" w:cs="仿宋" w:hint="eastAsia"/>
                <w:bCs/>
                <w:kern w:val="0"/>
                <w:sz w:val="24"/>
              </w:rPr>
              <w:t>　</w:t>
            </w:r>
          </w:p>
        </w:tc>
      </w:tr>
      <w:tr w14:paraId="29F41DD0">
        <w:tblPrEx>
          <w:tblW w:w="8917" w:type="dxa"/>
          <w:tblInd w:w="0" w:type="dxa"/>
          <w:tblCellMar>
            <w:top w:w="0" w:type="dxa"/>
            <w:left w:w="108" w:type="dxa"/>
            <w:bottom w:w="0" w:type="dxa"/>
            <w:right w:w="108" w:type="dxa"/>
          </w:tblCellMar>
        </w:tblPrEx>
        <w:trPr>
          <w:trHeight w:val="57"/>
          <w:tblHeader/>
        </w:trPr>
        <w:tc>
          <w:tcPr>
            <w:tcW w:w="915" w:type="dxa"/>
            <w:vAlign w:val="center"/>
          </w:tcPr>
          <w:p w14:paraId="61453D80">
            <w:pPr>
              <w:widowControl/>
              <w:jc w:val="center"/>
              <w:rPr>
                <w:rFonts w:ascii="仿宋" w:eastAsia="仿宋" w:hAnsi="仿宋" w:cs="仿宋" w:hint="eastAsia"/>
                <w:bCs/>
                <w:kern w:val="0"/>
              </w:rPr>
            </w:pPr>
            <w:r>
              <w:rPr>
                <w:rFonts w:ascii="仿宋" w:eastAsia="仿宋" w:hAnsi="仿宋" w:cs="仿宋" w:hint="eastAsia"/>
                <w:bCs/>
                <w:kern w:val="0"/>
                <w:sz w:val="24"/>
              </w:rPr>
              <w:t>16</w:t>
            </w:r>
          </w:p>
        </w:tc>
        <w:tc>
          <w:tcPr>
            <w:tcW w:w="2488" w:type="dxa"/>
            <w:vAlign w:val="center"/>
          </w:tcPr>
          <w:p w14:paraId="6DFEC182">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#整流控制器输出电流</w:t>
            </w:r>
          </w:p>
        </w:tc>
        <w:tc>
          <w:tcPr>
            <w:tcW w:w="1652" w:type="dxa"/>
            <w:vAlign w:val="center"/>
          </w:tcPr>
          <w:p w14:paraId="4E2491FB">
            <w:pPr>
              <w:widowControl/>
              <w:jc w:val="center"/>
              <w:rPr>
                <w:rFonts w:ascii="仿宋" w:eastAsia="仿宋" w:hAnsi="仿宋" w:cs="仿宋" w:hint="eastAsia"/>
                <w:bCs/>
                <w:kern w:val="0"/>
              </w:rPr>
            </w:pPr>
            <w:r>
              <w:rPr>
                <w:rFonts w:ascii="仿宋" w:eastAsia="仿宋" w:hAnsi="仿宋" w:cs="仿宋" w:hint="eastAsia"/>
                <w:bCs/>
                <w:kern w:val="0"/>
                <w:sz w:val="24"/>
              </w:rPr>
              <w:t>A</w:t>
            </w:r>
          </w:p>
        </w:tc>
        <w:tc>
          <w:tcPr>
            <w:tcW w:w="1748" w:type="dxa"/>
            <w:vAlign w:val="center"/>
          </w:tcPr>
          <w:p w14:paraId="05F70CDF">
            <w:pPr>
              <w:widowControl/>
              <w:jc w:val="center"/>
              <w:rPr>
                <w:rFonts w:ascii="仿宋" w:eastAsia="仿宋" w:hAnsi="仿宋" w:cs="仿宋" w:hint="eastAsia"/>
                <w:bCs/>
                <w:kern w:val="0"/>
              </w:rPr>
            </w:pPr>
            <w:r>
              <w:rPr>
                <w:rFonts w:ascii="仿宋" w:eastAsia="仿宋" w:hAnsi="仿宋" w:cs="仿宋" w:hint="eastAsia"/>
                <w:bCs/>
                <w:kern w:val="0"/>
                <w:sz w:val="24"/>
              </w:rPr>
              <w:t>0～200</w:t>
            </w:r>
          </w:p>
        </w:tc>
        <w:tc>
          <w:tcPr>
            <w:tcW w:w="2114" w:type="dxa"/>
            <w:vAlign w:val="center"/>
          </w:tcPr>
          <w:p w14:paraId="2FC81A23">
            <w:pPr>
              <w:widowControl/>
              <w:jc w:val="center"/>
              <w:rPr>
                <w:rFonts w:ascii="仿宋" w:eastAsia="仿宋" w:hAnsi="仿宋" w:cs="仿宋" w:hint="eastAsia"/>
                <w:bCs/>
                <w:kern w:val="0"/>
              </w:rPr>
            </w:pPr>
            <w:r>
              <w:rPr>
                <w:rFonts w:ascii="仿宋" w:eastAsia="仿宋" w:hAnsi="仿宋" w:cs="仿宋" w:hint="eastAsia"/>
                <w:bCs/>
                <w:kern w:val="0"/>
                <w:sz w:val="24"/>
              </w:rPr>
              <w:t>　</w:t>
            </w:r>
          </w:p>
        </w:tc>
      </w:tr>
    </w:tbl>
    <w:p w14:paraId="137F2DBD">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14:paraId="7184858C">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正式交付运行，并通过合同验收次日起质保期为8年*。</w:t>
      </w:r>
      <w:r>
        <w:rPr>
          <w:rFonts w:ascii="仿宋" w:eastAsia="仿宋" w:hAnsi="仿宋" w:cs="仿宋" w:hint="eastAsia"/>
          <w:sz w:val="28"/>
          <w:szCs w:val="20"/>
        </w:rPr>
        <w:t>维保包括设备维护维修、相关附属软件及附属设备维护维修，保证每年至少1次的现场巡检和4次远程维护检查，设备发生故障时在业务规定时间内完成维修、维护保障或更换组件。</w:t>
      </w:r>
    </w:p>
    <w:p w14:paraId="72400281">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投标人应提供7（天）×24（小时）技术支持热线电话，在发生故障的情况下，中标方应承诺在8个小时内响应。</w:t>
      </w:r>
    </w:p>
    <w:p w14:paraId="24A5BB33">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14:paraId="2EE2A94C">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10个工作日内，组织相关专家对项目进行验收，设备需按照《全自动水电解制氢设备测试评估大纲》进行测试，并在10个工作日内出具项目验收报告，验收合格后，开展后续建设、安装、调试工作。</w:t>
      </w:r>
    </w:p>
    <w:p w14:paraId="478B6B67">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14:paraId="632B9581">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14:paraId="6E396285">
      <w:pPr>
        <w:spacing w:line="560" w:lineRule="exact"/>
        <w:ind w:firstLine="560" w:firstLineChars="200"/>
        <w:rPr>
          <w:rFonts w:ascii="楷体_GB2312" w:eastAsia="楷体_GB2312" w:hAnsi="楷体_GB2312" w:cs="楷体_GB2312" w:hint="eastAsia"/>
          <w:b w:val="0"/>
          <w:bCs w:val="0"/>
          <w:sz w:val="28"/>
          <w:szCs w:val="20"/>
        </w:rPr>
      </w:pPr>
      <w:r>
        <w:rPr>
          <w:rFonts w:ascii="楷体_GB2312" w:eastAsia="楷体_GB2312" w:hAnsi="楷体_GB2312" w:cs="楷体_GB2312" w:hint="eastAsia"/>
          <w:b w:val="0"/>
          <w:bCs w:val="0"/>
          <w:sz w:val="28"/>
          <w:szCs w:val="20"/>
          <w:lang w:val="en-US" w:eastAsia="zh-CN"/>
        </w:rPr>
        <w:t xml:space="preserve">6.1 </w:t>
      </w:r>
      <w:r>
        <w:rPr>
          <w:rFonts w:ascii="楷体_GB2312" w:eastAsia="楷体_GB2312" w:hAnsi="楷体_GB2312" w:cs="楷体_GB2312" w:hint="eastAsia"/>
          <w:b w:val="0"/>
          <w:bCs w:val="0"/>
          <w:sz w:val="28"/>
          <w:szCs w:val="20"/>
        </w:rPr>
        <w:t>项目概况及总体要求</w:t>
      </w:r>
    </w:p>
    <w:p w14:paraId="67182034">
      <w:pPr>
        <w:ind w:firstLine="560" w:firstLineChars="200"/>
        <w:rPr>
          <w:rFonts w:ascii="仿宋" w:eastAsia="仿宋" w:hAnsi="仿宋" w:cs="仿宋"/>
          <w:sz w:val="28"/>
          <w:szCs w:val="20"/>
        </w:rPr>
      </w:pPr>
      <w:r>
        <w:rPr>
          <w:rFonts w:ascii="仿宋" w:eastAsia="仿宋" w:hAnsi="仿宋" w:cs="仿宋" w:hint="eastAsia"/>
          <w:sz w:val="28"/>
          <w:szCs w:val="20"/>
        </w:rPr>
        <w:t>本项目在西藏建设3个电解水制氢设备，通过电解水制氢设备的更新，实现高空气象观测站电解水制氢业务的正常运行，彻底根除高空气象观测站电解水制氢系统的安全隐患，提高设备的性能，完全满足台站探空业务使用的各项要求，为探空业务制氢、用氢、探空加密观测等工作提供强有力保证。为北斗探空系统的垂直探测能力提供支撑，增强以上省份地区的探空观测能力，与现有的高空气象观测系统等多种观测设备协同观测、优势互补，切实增强气象灾害监测预报预警服务能力，切实发挥气象防灾减灾第一道防线作用，从而推动气象事业高质量发展。</w:t>
      </w:r>
    </w:p>
    <w:p w14:paraId="2A8DEC16">
      <w:pPr>
        <w:spacing w:line="560" w:lineRule="exact"/>
        <w:ind w:firstLine="560" w:firstLineChars="200"/>
        <w:rPr>
          <w:rFonts w:ascii="楷体_GB2312" w:eastAsia="楷体_GB2312" w:hAnsi="楷体_GB2312" w:cs="楷体_GB2312" w:hint="eastAsia"/>
          <w:b w:val="0"/>
          <w:bCs w:val="0"/>
          <w:sz w:val="28"/>
          <w:szCs w:val="20"/>
        </w:rPr>
      </w:pPr>
      <w:r>
        <w:rPr>
          <w:rFonts w:ascii="楷体_GB2312" w:eastAsia="楷体_GB2312" w:hAnsi="楷体_GB2312" w:cs="楷体_GB2312" w:hint="eastAsia"/>
          <w:b w:val="0"/>
          <w:bCs w:val="0"/>
          <w:sz w:val="28"/>
          <w:szCs w:val="20"/>
          <w:lang w:val="en-US" w:eastAsia="zh-CN"/>
        </w:rPr>
        <w:t xml:space="preserve">6.2 </w:t>
      </w:r>
      <w:r>
        <w:rPr>
          <w:rFonts w:ascii="楷体_GB2312" w:eastAsia="楷体_GB2312" w:hAnsi="楷体_GB2312" w:cs="楷体_GB2312" w:hint="eastAsia"/>
          <w:b w:val="0"/>
          <w:bCs w:val="0"/>
          <w:sz w:val="28"/>
          <w:szCs w:val="20"/>
        </w:rPr>
        <w:t>售后服务要求</w:t>
      </w:r>
    </w:p>
    <w:p w14:paraId="765192FC">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64D9AD24">
      <w:pPr>
        <w:spacing w:line="560" w:lineRule="exact"/>
        <w:ind w:firstLine="560" w:firstLineChars="200"/>
        <w:rPr>
          <w:rFonts w:ascii="楷体_GB2312" w:eastAsia="楷体_GB2312" w:hAnsi="楷体_GB2312" w:cs="楷体_GB2312" w:hint="eastAsia"/>
          <w:b w:val="0"/>
          <w:bCs w:val="0"/>
          <w:sz w:val="28"/>
          <w:szCs w:val="20"/>
        </w:rPr>
      </w:pPr>
      <w:r>
        <w:rPr>
          <w:rFonts w:ascii="楷体_GB2312" w:eastAsia="楷体_GB2312" w:hAnsi="楷体_GB2312" w:cs="楷体_GB2312" w:hint="eastAsia"/>
          <w:b w:val="0"/>
          <w:bCs w:val="0"/>
          <w:sz w:val="28"/>
          <w:szCs w:val="20"/>
          <w:lang w:val="en-US" w:eastAsia="zh-CN"/>
        </w:rPr>
        <w:t xml:space="preserve">6.3 </w:t>
      </w:r>
      <w:r>
        <w:rPr>
          <w:rFonts w:ascii="楷体_GB2312" w:eastAsia="楷体_GB2312" w:hAnsi="楷体_GB2312" w:cs="楷体_GB2312" w:hint="eastAsia"/>
          <w:b w:val="0"/>
          <w:bCs w:val="0"/>
          <w:sz w:val="28"/>
          <w:szCs w:val="20"/>
        </w:rPr>
        <w:t>培训要求</w:t>
      </w:r>
    </w:p>
    <w:p w14:paraId="5106985C">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722BD5D9">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14:paraId="4F975822">
      <w:pPr>
        <w:spacing w:line="560" w:lineRule="exact"/>
        <w:ind w:firstLine="560" w:firstLineChars="200"/>
        <w:rPr>
          <w:rFonts w:ascii="楷体_GB2312" w:eastAsia="楷体_GB2312" w:hAnsi="楷体_GB2312" w:cs="楷体_GB2312" w:hint="eastAsia"/>
          <w:b w:val="0"/>
          <w:bCs w:val="0"/>
          <w:sz w:val="28"/>
          <w:szCs w:val="20"/>
        </w:rPr>
      </w:pPr>
      <w:r>
        <w:rPr>
          <w:rFonts w:ascii="楷体_GB2312" w:eastAsia="楷体_GB2312" w:hAnsi="楷体_GB2312" w:cs="楷体_GB2312" w:hint="eastAsia"/>
          <w:b w:val="0"/>
          <w:bCs w:val="0"/>
          <w:sz w:val="28"/>
          <w:szCs w:val="20"/>
          <w:lang w:val="en-US" w:eastAsia="zh-CN"/>
        </w:rPr>
        <w:t>6.4</w:t>
      </w:r>
      <w:r>
        <w:rPr>
          <w:rFonts w:ascii="楷体_GB2312" w:eastAsia="楷体_GB2312" w:hAnsi="楷体_GB2312" w:cs="楷体_GB2312" w:hint="eastAsia"/>
          <w:b w:val="0"/>
          <w:bCs w:val="0"/>
          <w:sz w:val="28"/>
          <w:szCs w:val="20"/>
        </w:rPr>
        <w:t>交货要求及履约地点</w:t>
      </w:r>
    </w:p>
    <w:p w14:paraId="2EFFAD9A">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中标供应商将所有设备运送至西藏自治区昌都市气象局、林芝市气象局、日喀则市定日县气象局（运输相关费用由供应商负责），并负责安装调试。</w:t>
      </w:r>
    </w:p>
    <w:p w14:paraId="1E526FFF">
      <w:pPr>
        <w:ind w:left="559" w:leftChars="266"/>
        <w:rPr>
          <w:rFonts w:ascii="仿宋" w:eastAsia="仿宋" w:hAnsi="仿宋" w:cs="仿宋" w:hint="eastAsia"/>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80天</w:t>
      </w:r>
      <w:r>
        <w:rPr>
          <w:rFonts w:ascii="仿宋" w:eastAsia="仿宋" w:hAnsi="仿宋" w:cs="仿宋" w:hint="eastAsia"/>
          <w:sz w:val="28"/>
          <w:szCs w:val="20"/>
        </w:rPr>
        <w:t>内完成供货、安装调试并具备验收条件。</w:t>
      </w:r>
    </w:p>
    <w:p w14:paraId="1CC8838D">
      <w:pPr>
        <w:spacing w:line="560" w:lineRule="exact"/>
        <w:ind w:firstLine="560" w:firstLineChars="200"/>
        <w:rPr>
          <w:rFonts w:ascii="楷体_GB2312" w:eastAsia="楷体_GB2312" w:hAnsi="楷体_GB2312" w:cs="楷体_GB2312" w:hint="eastAsia"/>
          <w:b w:val="0"/>
          <w:bCs w:val="0"/>
          <w:sz w:val="28"/>
          <w:szCs w:val="20"/>
        </w:rPr>
      </w:pPr>
      <w:r>
        <w:rPr>
          <w:rFonts w:ascii="楷体_GB2312" w:eastAsia="楷体_GB2312" w:hAnsi="楷体_GB2312" w:cs="楷体_GB2312" w:hint="eastAsia"/>
          <w:b w:val="0"/>
          <w:bCs w:val="0"/>
          <w:sz w:val="28"/>
          <w:szCs w:val="20"/>
          <w:lang w:val="en-US" w:eastAsia="zh-CN"/>
        </w:rPr>
        <w:t>6.5服务团队要求</w:t>
      </w:r>
    </w:p>
    <w:p w14:paraId="4F0739E4">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3DDB7647">
      <w:pPr>
        <w:spacing w:line="560" w:lineRule="exact"/>
        <w:ind w:firstLine="560" w:firstLineChars="200"/>
        <w:rPr>
          <w:rFonts w:ascii="楷体_GB2312" w:eastAsia="楷体_GB2312" w:hAnsi="楷体_GB2312" w:cs="楷体_GB2312" w:hint="eastAsia"/>
          <w:b w:val="0"/>
          <w:bCs w:val="0"/>
          <w:sz w:val="28"/>
          <w:szCs w:val="20"/>
        </w:rPr>
      </w:pPr>
      <w:r>
        <w:rPr>
          <w:rFonts w:ascii="楷体_GB2312" w:eastAsia="楷体_GB2312" w:hAnsi="楷体_GB2312" w:cs="楷体_GB2312" w:hint="eastAsia"/>
          <w:b w:val="0"/>
          <w:bCs w:val="0"/>
          <w:sz w:val="28"/>
          <w:szCs w:val="20"/>
          <w:lang w:val="en-US" w:eastAsia="zh-CN"/>
        </w:rPr>
        <w:t>6.6 投标产品软件兼容性要求</w:t>
      </w:r>
    </w:p>
    <w:p w14:paraId="53970E57">
      <w:pPr>
        <w:ind w:firstLine="560" w:firstLineChars="200"/>
        <w:rPr>
          <w:rFonts w:ascii="仿宋" w:eastAsia="仿宋" w:hAnsi="仿宋" w:cs="仿宋"/>
          <w:sz w:val="28"/>
          <w:szCs w:val="20"/>
        </w:rPr>
      </w:pPr>
      <w:r>
        <w:rPr>
          <w:rFonts w:ascii="仿宋" w:eastAsia="仿宋" w:hAnsi="仿宋" w:cs="仿宋" w:hint="eastAsia"/>
          <w:sz w:val="28"/>
          <w:szCs w:val="20"/>
        </w:rPr>
        <w:t>设备支持中国气象局和省气象局气象数据传输协议，可无缝接入气象业务网络系统，实现与中国气象局和省气象局网络系统、天擎平台无缝接入，完全符合甲方相关要求和规范，保证其系统的兼容性和功能的完整性。</w:t>
      </w:r>
    </w:p>
    <w:p w14:paraId="6FB32B3B">
      <w:pPr>
        <w:spacing w:line="560" w:lineRule="exact"/>
        <w:ind w:firstLine="560" w:firstLineChars="200"/>
        <w:rPr>
          <w:rFonts w:ascii="楷体_GB2312" w:eastAsia="楷体_GB2312" w:hAnsi="楷体_GB2312" w:cs="楷体_GB2312" w:hint="eastAsia"/>
          <w:b w:val="0"/>
          <w:bCs w:val="0"/>
          <w:sz w:val="28"/>
          <w:szCs w:val="20"/>
        </w:rPr>
      </w:pPr>
      <w:r>
        <w:rPr>
          <w:rFonts w:ascii="楷体_GB2312" w:eastAsia="楷体_GB2312" w:hAnsi="楷体_GB2312" w:cs="楷体_GB2312" w:hint="eastAsia"/>
          <w:b w:val="0"/>
          <w:bCs w:val="0"/>
          <w:sz w:val="28"/>
          <w:szCs w:val="20"/>
          <w:lang w:val="en-US" w:eastAsia="zh-CN"/>
        </w:rPr>
        <w:t>6.7 其他</w:t>
      </w:r>
    </w:p>
    <w:p w14:paraId="73A39A18">
      <w:pPr>
        <w:ind w:firstLine="560" w:firstLineChars="200"/>
        <w:rPr>
          <w:rFonts w:ascii="仿宋" w:eastAsia="仿宋" w:hAnsi="仿宋" w:cs="仿宋" w:hint="eastAsia"/>
          <w:sz w:val="28"/>
          <w:szCs w:val="20"/>
        </w:rPr>
        <w:sectPr>
          <w:pgSz w:w="11906" w:h="16838"/>
          <w:pgMar w:top="2154" w:right="1474" w:bottom="2041" w:left="1587" w:header="709" w:footer="1417" w:gutter="0"/>
          <w:cols w:num="1" w:space="708"/>
          <w:docGrid w:type="linesAndChars" w:linePitch="579" w:charSpace="-849"/>
        </w:sectPr>
      </w:pPr>
      <w:r>
        <w:rPr>
          <w:rFonts w:ascii="仿宋" w:eastAsia="仿宋" w:hAnsi="仿宋" w:cs="仿宋" w:hint="eastAsia"/>
          <w:sz w:val="28"/>
          <w:szCs w:val="20"/>
        </w:rPr>
        <w:t>正式交付运行，并通过合同验收次日起质保期为8年。</w:t>
      </w:r>
    </w:p>
    <w:p w14:paraId="14BEBD7B">
      <w:pPr>
        <w:spacing w:line="560" w:lineRule="exact"/>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采购需求 附表</w:t>
      </w:r>
    </w:p>
    <w:p w14:paraId="02F58DB5">
      <w:pPr>
        <w:spacing w:line="560" w:lineRule="exact"/>
        <w:jc w:val="both"/>
        <w:outlineLvl w:val="1"/>
        <w:rPr>
          <w:rFonts w:ascii="黑体" w:eastAsia="黑体" w:hAnsi="黑体" w:hint="eastAsia"/>
          <w:bCs/>
          <w:snapToGrid w:val="0"/>
          <w:kern w:val="0"/>
          <w:sz w:val="44"/>
          <w:szCs w:val="44"/>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2075"/>
        <w:gridCol w:w="1050"/>
        <w:gridCol w:w="1460"/>
        <w:gridCol w:w="1665"/>
        <w:gridCol w:w="1050"/>
        <w:gridCol w:w="621"/>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0" w:name="货物一览表_index"/>
            <w:r>
              <w:rPr>
                <w:rFonts w:asciiTheme="minorEastAsia" w:eastAsiaTheme="minorEastAsia" w:hAnsiTheme="minorEastAsia" w:cstheme="minorEastAsia" w:hint="eastAsia"/>
                <w:kern w:val="0"/>
                <w:szCs w:val="21"/>
              </w:rPr>
              <w:t>序号</w:t>
            </w:r>
            <w:bookmarkEnd w:id="50"/>
          </w:p>
        </w:tc>
        <w:tc>
          <w:tcPr>
            <w:tcW w:w="1135" w:type="dxa"/>
          </w:tcPr>
          <w:p w14:paraId="6B7F00AC">
            <w:pPr>
              <w:autoSpaceDE w:val="0"/>
              <w:jc w:val="center"/>
              <w:rPr>
                <w:rFonts w:asciiTheme="minorEastAsia" w:hAnsiTheme="minorEastAsia" w:cstheme="minorEastAsia"/>
                <w:kern w:val="0"/>
                <w:szCs w:val="21"/>
              </w:rPr>
            </w:pPr>
            <w:bookmarkStart w:id="51" w:name="货物一览表_goodsName"/>
            <w:r>
              <w:rPr>
                <w:rFonts w:asciiTheme="minorEastAsia" w:eastAsiaTheme="minorEastAsia" w:hAnsiTheme="minorEastAsia" w:cstheme="minorEastAsia" w:hint="eastAsia"/>
                <w:kern w:val="0"/>
                <w:szCs w:val="21"/>
              </w:rPr>
              <w:t>设备名称</w:t>
            </w:r>
            <w:bookmarkEnd w:id="51"/>
          </w:p>
        </w:tc>
        <w:tc>
          <w:tcPr>
            <w:tcW w:w="965" w:type="dxa"/>
          </w:tcPr>
          <w:p w14:paraId="7B8390AF">
            <w:pPr>
              <w:autoSpaceDE w:val="0"/>
              <w:jc w:val="center"/>
              <w:rPr>
                <w:rFonts w:asciiTheme="minorEastAsia" w:hAnsiTheme="minorEastAsia" w:cstheme="minorEastAsia"/>
                <w:kern w:val="0"/>
                <w:szCs w:val="21"/>
              </w:rPr>
            </w:pPr>
            <w:bookmarkStart w:id="52" w:name="货物一览表_nums"/>
            <w:r>
              <w:rPr>
                <w:rFonts w:asciiTheme="minorEastAsia" w:eastAsiaTheme="minorEastAsia" w:hAnsiTheme="minorEastAsia" w:cstheme="minorEastAsia" w:hint="eastAsia"/>
                <w:kern w:val="0"/>
                <w:szCs w:val="21"/>
              </w:rPr>
              <w:t>采购数量</w:t>
            </w:r>
            <w:bookmarkEnd w:id="52"/>
          </w:p>
        </w:tc>
        <w:tc>
          <w:tcPr>
            <w:tcW w:w="1062" w:type="dxa"/>
          </w:tcPr>
          <w:p w14:paraId="72F33D6D">
            <w:pPr>
              <w:autoSpaceDE w:val="0"/>
              <w:jc w:val="center"/>
              <w:rPr>
                <w:rFonts w:asciiTheme="minorEastAsia" w:hAnsiTheme="minorEastAsia" w:cstheme="minorEastAsia"/>
                <w:kern w:val="0"/>
                <w:szCs w:val="21"/>
              </w:rPr>
            </w:pPr>
            <w:bookmarkStart w:id="53" w:name="货物一览表_units"/>
            <w:r>
              <w:rPr>
                <w:rFonts w:asciiTheme="minorEastAsia" w:eastAsiaTheme="minorEastAsia" w:hAnsiTheme="minorEastAsia" w:cstheme="minorEastAsia" w:hint="eastAsia"/>
                <w:kern w:val="0"/>
                <w:szCs w:val="21"/>
              </w:rPr>
              <w:t>计量单位</w:t>
            </w:r>
            <w:bookmarkEnd w:id="53"/>
          </w:p>
        </w:tc>
        <w:tc>
          <w:tcPr>
            <w:tcW w:w="1220" w:type="dxa"/>
          </w:tcPr>
          <w:p w14:paraId="24892D20">
            <w:pPr>
              <w:autoSpaceDE w:val="0"/>
              <w:jc w:val="center"/>
              <w:rPr>
                <w:rFonts w:asciiTheme="minorEastAsia" w:hAnsiTheme="minorEastAsia" w:cstheme="minorEastAsia"/>
                <w:kern w:val="0"/>
                <w:szCs w:val="21"/>
              </w:rPr>
            </w:pPr>
            <w:bookmarkStart w:id="54" w:name="货物一览表_procurementBudget"/>
            <w:r>
              <w:rPr>
                <w:rFonts w:asciiTheme="minorEastAsia" w:eastAsiaTheme="minorEastAsia" w:hAnsiTheme="minorEastAsia" w:cstheme="minorEastAsia" w:hint="eastAsia"/>
                <w:kern w:val="0"/>
                <w:szCs w:val="21"/>
              </w:rPr>
              <w:t>采购预算（元）</w:t>
            </w:r>
            <w:bookmarkEnd w:id="54"/>
          </w:p>
        </w:tc>
        <w:tc>
          <w:tcPr>
            <w:tcW w:w="1329" w:type="dxa"/>
          </w:tcPr>
          <w:p w14:paraId="27138270">
            <w:pPr>
              <w:autoSpaceDE w:val="0"/>
              <w:jc w:val="center"/>
              <w:rPr>
                <w:rFonts w:asciiTheme="minorEastAsia" w:hAnsiTheme="minorEastAsia" w:cstheme="minorEastAsia" w:hint="eastAsia"/>
                <w:kern w:val="0"/>
                <w:szCs w:val="21"/>
              </w:rPr>
            </w:pPr>
            <w:bookmarkStart w:id="5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6" w:name="货物一览表_remark"/>
            <w:r>
              <w:rPr>
                <w:rFonts w:asciiTheme="minorEastAsia" w:eastAsiaTheme="minorEastAsia" w:hAnsiTheme="minorEastAsia" w:cstheme="minorEastAsia" w:hint="eastAsia"/>
                <w:kern w:val="0"/>
                <w:szCs w:val="21"/>
              </w:rPr>
              <w:t>备注</w:t>
            </w:r>
            <w:bookmarkEnd w:id="5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气象水电解制氢设备</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2,610,000.00</w:t>
            </w:r>
          </w:p>
        </w:tc>
        <w:tc>
          <w:tcPr/>
          <w:p>
            <w:pPr>
              <w:autoSpaceDE w:val="0"/>
              <w:jc w:val="center"/>
              <w:rPr>
                <w:rFonts w:asciiTheme="minorEastAsia" w:hAnsiTheme="minorEastAsia" w:cstheme="minorEastAsia" w:hint="eastAsia"/>
                <w:kern w:val="0"/>
                <w:szCs w:val="21"/>
              </w:rPr>
            </w:pPr>
            <w:r>
              <w:t>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2,610,000.00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53"/>
        <w:gridCol w:w="1062"/>
        <w:gridCol w:w="819"/>
        <w:gridCol w:w="253"/>
        <w:gridCol w:w="577"/>
        <w:gridCol w:w="481"/>
        <w:gridCol w:w="2438"/>
        <w:gridCol w:w="263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技术保障科(001054014003)</w:t>
            </w:r>
          </w:p>
        </w:tc>
        <w:tc>
          <w:tcPr/>
          <w:p>
            <w:r>
              <w:t>气象水电解制氢设备</w:t>
            </w:r>
          </w:p>
        </w:tc>
        <w:tc>
          <w:tcPr/>
          <w:p>
            <w:r>
              <w:t>3</w:t>
            </w:r>
          </w:p>
        </w:tc>
        <w:tc>
          <w:tcPr/>
          <w:p>
            <w:r>
              <w:t>2610000.00</w:t>
            </w:r>
          </w:p>
        </w:tc>
        <w:tc>
          <w:tcPr/>
          <w:p>
            <w:r>
              <w:t xml:space="preserve">2610000.00  </w:t>
            </w:r>
          </w:p>
        </w:tc>
        <w:tc>
          <w:tcPr/>
          <w:p>
            <w:r>
              <w:t>西藏自治区昌都市气象局、林芝市气象局、日喀则市定日县气象局</w:t>
            </w:r>
          </w:p>
        </w:tc>
        <w:tc>
          <w:tcPr/>
          <w:p>
            <w:r>
              <w:t>杨兴国，18989047641、姜瑛子，15348940818、罗桑曲珍，18408921269</w:t>
            </w:r>
          </w:p>
        </w:tc>
      </w:tr>
    </w:tbl>
    <w:p w:rsidR="00A77B3E"/>
    <w:p w14:paraId="51954372">
      <w:pPr>
        <w:spacing w:line="360" w:lineRule="auto"/>
        <w:rPr>
          <w:rFonts w:ascii="宋体" w:hAnsi="宋体"/>
          <w:szCs w:val="21"/>
        </w:rPr>
      </w:pPr>
      <w:bookmarkEnd w:id="5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pPr>
        <w:spacing w:line="560" w:lineRule="exact"/>
        <w:jc w:val="center"/>
        <w:rPr>
          <w:rFonts w:ascii="仿宋" w:eastAsia="仿宋" w:hAnsi="仿宋" w:cs="仿宋" w:hint="eastAsia"/>
          <w:b/>
          <w:szCs w:val="32"/>
        </w:rPr>
        <w:sectPr>
          <w:pgSz w:w="11906" w:h="16838"/>
          <w:pgMar w:top="2154" w:right="1474" w:bottom="2041" w:left="1587" w:header="709" w:footer="1417" w:gutter="0"/>
          <w:cols w:num="1" w:space="708"/>
          <w:docGrid w:type="linesAndChars" w:linePitch="579" w:charSpace="-849"/>
        </w:sectPr>
      </w:pPr>
      <w:bookmarkEnd w:id="48"/>
    </w:p>
    <w:p w14:paraId="1022FF2A">
      <w:pPr>
        <w:tabs>
          <w:tab w:val="left" w:pos="1573"/>
        </w:tabs>
        <w:adjustRightInd w:val="0"/>
        <w:snapToGrid w:val="0"/>
        <w:spacing w:line="360" w:lineRule="auto"/>
        <w:jc w:val="center"/>
        <w:outlineLvl w:val="1"/>
        <w:rPr>
          <w:b/>
          <w:bCs/>
          <w:sz w:val="30"/>
          <w:szCs w:val="30"/>
        </w:rPr>
      </w:pPr>
      <w:bookmarkStart w:id="58" w:name="投标被拒绝条款专用部分_JJTK"/>
      <w:r>
        <w:rPr>
          <w:rFonts w:hint="eastAsia"/>
          <w:b/>
          <w:sz w:val="30"/>
          <w:szCs w:val="30"/>
        </w:rPr>
        <w:t>第</w:t>
      </w:r>
      <w:r>
        <w:rPr>
          <w:rFonts w:hint="eastAsia"/>
          <w:b/>
          <w:sz w:val="30"/>
          <w:szCs w:val="30"/>
          <w:lang w:val="en-US" w:eastAsia="zh-CN"/>
        </w:rPr>
        <w:t>七</w:t>
      </w:r>
      <w:r>
        <w:rPr>
          <w:rFonts w:hint="eastAsia"/>
          <w:b/>
          <w:sz w:val="30"/>
          <w:szCs w:val="30"/>
        </w:rPr>
        <w:t>章  投标被拒绝条款专用部分</w:t>
      </w:r>
    </w:p>
    <w:p w14:paraId="165385BB">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16B4C844">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4AF0FAD6">
            <w:pPr>
              <w:rPr>
                <w:sz w:val="18"/>
                <w:szCs w:val="18"/>
              </w:rPr>
            </w:pPr>
            <w:r>
              <w:rPr>
                <w:rFonts w:hint="eastAsia"/>
                <w:sz w:val="18"/>
                <w:szCs w:val="18"/>
              </w:rPr>
              <w:t>序号</w:t>
            </w:r>
          </w:p>
        </w:tc>
        <w:tc>
          <w:tcPr>
            <w:tcW w:w="898" w:type="dxa"/>
            <w:vAlign w:val="center"/>
          </w:tcPr>
          <w:p w14:paraId="6CC0A4A5">
            <w:pPr>
              <w:jc w:val="center"/>
              <w:rPr>
                <w:sz w:val="18"/>
                <w:szCs w:val="18"/>
              </w:rPr>
            </w:pPr>
            <w:r>
              <w:rPr>
                <w:rFonts w:hint="eastAsia"/>
                <w:sz w:val="18"/>
                <w:szCs w:val="18"/>
              </w:rPr>
              <w:t>对应</w:t>
            </w:r>
          </w:p>
          <w:p w14:paraId="7FB4F758">
            <w:pPr>
              <w:jc w:val="center"/>
              <w:rPr>
                <w:sz w:val="18"/>
                <w:szCs w:val="18"/>
              </w:rPr>
            </w:pPr>
            <w:r>
              <w:rPr>
                <w:rFonts w:hint="eastAsia"/>
                <w:sz w:val="18"/>
                <w:szCs w:val="18"/>
              </w:rPr>
              <w:t>条款号</w:t>
            </w:r>
          </w:p>
        </w:tc>
        <w:tc>
          <w:tcPr>
            <w:tcW w:w="7347" w:type="dxa"/>
            <w:vAlign w:val="center"/>
          </w:tcPr>
          <w:p w14:paraId="105C7531">
            <w:pPr>
              <w:jc w:val="center"/>
              <w:rPr>
                <w:sz w:val="18"/>
                <w:szCs w:val="18"/>
              </w:rPr>
            </w:pPr>
            <w:r>
              <w:rPr>
                <w:rFonts w:hint="eastAsia"/>
                <w:sz w:val="18"/>
                <w:szCs w:val="18"/>
              </w:rPr>
              <w:t>内 容</w:t>
            </w:r>
          </w:p>
        </w:tc>
      </w:tr>
      <w:tr w14:paraId="29337187">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4EE961FE">
            <w:pPr>
              <w:jc w:val="center"/>
              <w:rPr>
                <w:b/>
                <w:sz w:val="18"/>
                <w:szCs w:val="18"/>
              </w:rPr>
            </w:pPr>
            <w:r>
              <w:rPr>
                <w:rFonts w:hint="eastAsia"/>
                <w:b/>
                <w:sz w:val="18"/>
                <w:szCs w:val="18"/>
              </w:rPr>
              <w:t>第五章 投标人须知专用部分</w:t>
            </w:r>
          </w:p>
        </w:tc>
      </w:tr>
      <w:tr w14:paraId="7DE8E53F">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34A25355">
            <w:pPr>
              <w:numPr>
                <w:ilvl w:val="0"/>
                <w:numId w:val="11"/>
              </w:numPr>
              <w:rPr>
                <w:rFonts w:ascii="宋体" w:hAnsi="宋体"/>
                <w:sz w:val="18"/>
                <w:szCs w:val="18"/>
              </w:rPr>
            </w:pPr>
          </w:p>
        </w:tc>
        <w:tc>
          <w:tcPr>
            <w:tcW w:w="898" w:type="dxa"/>
            <w:vAlign w:val="center"/>
          </w:tcPr>
          <w:p w14:paraId="594BA991">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14:paraId="0EB04103">
            <w:pPr>
              <w:tabs>
                <w:tab w:val="left" w:pos="709"/>
              </w:tabs>
              <w:spacing w:line="360" w:lineRule="auto"/>
              <w:jc w:val="left"/>
              <w:rPr>
                <w:rFonts w:ascii="宋体" w:hAnsi="宋体" w:cs="微软雅黑"/>
                <w:b/>
                <w:color w:val="0000FF"/>
                <w:kern w:val="0"/>
                <w:sz w:val="18"/>
                <w:szCs w:val="18"/>
              </w:rPr>
            </w:pPr>
            <w:r>
              <w:rPr>
                <w:rFonts w:ascii="微软雅黑" w:eastAsia="微软雅黑" w:hAnsi="微软雅黑" w:hint="eastAsia"/>
                <w:szCs w:val="21"/>
                <w:shd w:val="clear" w:color="auto" w:fill="FFFFFF"/>
              </w:rPr>
              <w:t>针对以下货物必须取得《气象专用技术装备使用许可证》：</w:t>
            </w:r>
            <w:r>
              <w:rPr>
                <w:rFonts w:ascii="宋体" w:hAnsi="宋体" w:cs="微软雅黑" w:hint="eastAsia"/>
                <w:b/>
                <w:color w:val="0000FF"/>
                <w:kern w:val="0"/>
                <w:sz w:val="18"/>
                <w:szCs w:val="18"/>
              </w:rPr>
              <w:t>电解水制氢列装许可证</w:t>
            </w:r>
          </w:p>
        </w:tc>
      </w:tr>
      <w:tr w14:paraId="263653A9">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53D5C133">
            <w:pPr>
              <w:jc w:val="center"/>
              <w:rPr>
                <w:sz w:val="18"/>
                <w:szCs w:val="18"/>
              </w:rPr>
            </w:pPr>
            <w:r>
              <w:rPr>
                <w:rFonts w:hint="eastAsia"/>
                <w:b/>
                <w:sz w:val="18"/>
                <w:szCs w:val="18"/>
              </w:rPr>
              <w:t>第</w:t>
            </w:r>
            <w:r>
              <w:rPr>
                <w:rFonts w:hint="eastAsia"/>
                <w:b/>
                <w:sz w:val="18"/>
                <w:szCs w:val="18"/>
                <w:lang w:val="en-US" w:eastAsia="zh-CN"/>
              </w:rPr>
              <w:t>六</w:t>
            </w:r>
            <w:r>
              <w:rPr>
                <w:rFonts w:hint="eastAsia"/>
                <w:b/>
                <w:sz w:val="18"/>
                <w:szCs w:val="18"/>
              </w:rPr>
              <w:t>章  采购需求</w:t>
            </w:r>
          </w:p>
        </w:tc>
      </w:tr>
      <w:tr w14:paraId="365CE603">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32315AF1">
            <w:pPr>
              <w:numPr>
                <w:ilvl w:val="0"/>
                <w:numId w:val="11"/>
              </w:numPr>
              <w:rPr>
                <w:rFonts w:ascii="宋体" w:hAnsi="宋体"/>
                <w:sz w:val="18"/>
                <w:szCs w:val="18"/>
              </w:rPr>
            </w:pPr>
          </w:p>
        </w:tc>
        <w:tc>
          <w:tcPr>
            <w:tcW w:w="898" w:type="dxa"/>
            <w:vAlign w:val="center"/>
          </w:tcPr>
          <w:p w14:paraId="2D77B305">
            <w:pPr>
              <w:jc w:val="center"/>
              <w:rPr>
                <w:rFonts w:ascii="宋体" w:hAnsi="宋体" w:hint="default"/>
                <w:sz w:val="18"/>
                <w:szCs w:val="18"/>
              </w:rPr>
            </w:pPr>
            <w:r>
              <w:rPr>
                <w:rFonts w:ascii="宋体" w:hAnsi="宋体" w:hint="eastAsia"/>
                <w:sz w:val="18"/>
                <w:szCs w:val="18"/>
                <w:lang w:val="en-US" w:eastAsia="zh-CN"/>
              </w:rPr>
              <w:t>6.7</w:t>
            </w:r>
          </w:p>
        </w:tc>
        <w:tc>
          <w:tcPr>
            <w:tcW w:w="7347" w:type="dxa"/>
            <w:vAlign w:val="center"/>
          </w:tcPr>
          <w:p w14:paraId="5A3F9F6B">
            <w:pPr>
              <w:tabs>
                <w:tab w:val="left" w:pos="709"/>
              </w:tabs>
              <w:spacing w:line="240" w:lineRule="auto"/>
              <w:jc w:val="left"/>
              <w:rPr>
                <w:rFonts w:ascii="宋体" w:hAnsi="宋体"/>
                <w:sz w:val="18"/>
                <w:szCs w:val="18"/>
              </w:rPr>
            </w:pPr>
            <w:r>
              <w:rPr>
                <w:rFonts w:ascii="微软雅黑" w:eastAsia="微软雅黑" w:hAnsi="微软雅黑" w:cs="Times New Roman" w:hint="eastAsia"/>
                <w:szCs w:val="21"/>
                <w:shd w:val="clear" w:color="auto" w:fill="FFFFFF"/>
              </w:rPr>
              <w:t>2025年站网雷达工程电解水制氢（西藏3套自动水电解制氢设备采购）-1采购需求书</w:t>
            </w:r>
            <w:r>
              <w:rPr>
                <w:rFonts w:ascii="微软雅黑" w:eastAsia="微软雅黑" w:hAnsi="微软雅黑" w:cs="Times New Roman" w:hint="eastAsia"/>
                <w:szCs w:val="21"/>
                <w:shd w:val="clear" w:color="auto" w:fill="FFFFFF"/>
                <w:lang w:val="en-US" w:eastAsia="zh-CN"/>
              </w:rPr>
              <w:t>中</w:t>
            </w:r>
            <w:r>
              <w:rPr>
                <w:rFonts w:ascii="微软雅黑" w:eastAsia="微软雅黑" w:hAnsi="微软雅黑" w:cs="Times New Roman" w:hint="eastAsia"/>
                <w:szCs w:val="21"/>
                <w:shd w:val="clear" w:color="auto" w:fill="FFFFFF"/>
              </w:rPr>
              <w:t>六、其他要求</w:t>
            </w:r>
            <w:r>
              <w:rPr>
                <w:rFonts w:ascii="微软雅黑" w:eastAsia="微软雅黑" w:hAnsi="微软雅黑" w:cs="Times New Roman" w:hint="eastAsia"/>
                <w:szCs w:val="21"/>
                <w:shd w:val="clear" w:color="auto" w:fill="FFFFFF"/>
                <w:lang w:val="en-US" w:eastAsia="zh-CN"/>
              </w:rPr>
              <w:t>下的6.7其他</w:t>
            </w:r>
            <w:r>
              <w:rPr>
                <w:rFonts w:ascii="微软雅黑" w:eastAsia="微软雅黑" w:hAnsi="微软雅黑" w:cs="Times New Roman" w:hint="eastAsia"/>
                <w:szCs w:val="21"/>
                <w:shd w:val="clear" w:color="auto" w:fill="FFFFFF"/>
                <w:lang w:val="en-US" w:eastAsia="zh-CN"/>
              </w:rPr>
              <w:t>内容：</w:t>
            </w:r>
            <w:r>
              <w:rPr>
                <w:rFonts w:ascii="微软雅黑" w:eastAsia="微软雅黑" w:hAnsi="微软雅黑" w:cs="Times New Roman" w:hint="eastAsia"/>
                <w:szCs w:val="21"/>
                <w:shd w:val="clear" w:color="auto" w:fill="FFFFFF"/>
              </w:rPr>
              <w:t>正式交付运行，并通过合同验收次日起质保期为8年。</w:t>
            </w:r>
          </w:p>
        </w:tc>
      </w:tr>
    </w:tbl>
    <w:p w14:paraId="16AF68D6">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8"/>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pPr>
        <w:spacing w:line="360" w:lineRule="auto"/>
        <w:ind w:firstLine="3066" w:firstLineChars="1460"/>
        <w:jc w:val="left"/>
        <w:rPr>
          <w:rFonts w:ascii="Times New Roman" w:eastAsia="宋体" w:hAnsi="Times New Roman" w:cs="Times New Roman"/>
          <w:b/>
          <w:bCs/>
          <w:szCs w:val="21"/>
        </w:rPr>
      </w:pPr>
      <w:bookmarkStart w:id="59" w:name="采购公告合同部分_ZBGGHT"/>
      <w:r>
        <w:rPr>
          <w:rFonts w:ascii="Times New Roman" w:eastAsia="宋体" w:hAnsi="Times New Roman" w:cs="Times New Roman" w:hint="eastAsia"/>
          <w:b/>
          <w:bCs/>
          <w:szCs w:val="21"/>
        </w:rPr>
        <w:t>第八章  采购合同</w:t>
      </w:r>
    </w:p>
    <w:p>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pPr>
        <w:widowControl/>
        <w:jc w:val="center"/>
        <w:rPr>
          <w:rFonts w:ascii="宋体" w:eastAsia="微软雅黑" w:hAnsi="宋体" w:cs="宋体"/>
          <w:b/>
          <w:bCs/>
          <w:color w:val="595959"/>
          <w:spacing w:val="-20"/>
          <w:kern w:val="44"/>
          <w:sz w:val="48"/>
          <w:szCs w:val="48"/>
          <w:lang w:val="zh-CN"/>
        </w:rPr>
      </w:pP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pPr>
        <w:rPr>
          <w:rFonts w:ascii="Times New Roman" w:eastAsia="宋体" w:hAnsi="Times New Roman" w:cs="Times New Roman"/>
          <w:szCs w:val="20"/>
        </w:rPr>
      </w:pPr>
    </w:p>
    <w:p>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pPr>
        <w:rPr>
          <w:rFonts w:ascii="Times New Roman" w:eastAsia="黑体" w:hAnsi="Times New Roman" w:cs="Times New Roman"/>
          <w:sz w:val="44"/>
          <w:szCs w:val="44"/>
        </w:rPr>
      </w:pPr>
    </w:p>
    <w:p>
      <w:pPr>
        <w:rPr>
          <w:rFonts w:ascii="Times New Roman" w:eastAsia="黑体" w:hAnsi="Times New Roman" w:cs="Times New Roman"/>
          <w:sz w:val="44"/>
          <w:szCs w:val="44"/>
        </w:rPr>
      </w:pPr>
    </w:p>
    <w:p>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0"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0"/>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spacing w:line="400" w:lineRule="exact"/>
        <w:rPr>
          <w:rFonts w:ascii="Times New Roman" w:eastAsia="宋体" w:hAnsi="Times New Roman" w:cs="Times New Roman"/>
          <w:szCs w:val="20"/>
        </w:rPr>
      </w:pP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pPr>
        <w:adjustRightInd w:val="0"/>
        <w:snapToGrid w:val="0"/>
        <w:spacing w:line="400" w:lineRule="exact"/>
        <w:ind w:firstLine="630" w:firstLineChars="300"/>
        <w:rPr>
          <w:rFonts w:ascii="宋体" w:hAnsi="宋体" w:hint="eastAsia"/>
          <w:szCs w:val="21"/>
          <w:highlight w:val="none"/>
          <w:u w:val="single"/>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Pr>
          <w:rFonts w:ascii="宋体" w:hAnsi="宋体" w:hint="eastAsia"/>
          <w:szCs w:val="21"/>
          <w:highlight w:val="none"/>
          <w:u w:val="single"/>
        </w:rPr>
        <w:t>双方签署合同生效后，在甲方</w:t>
      </w:r>
      <w:r>
        <w:rPr>
          <w:rFonts w:ascii="宋体" w:hAnsi="宋体" w:hint="eastAsia"/>
          <w:szCs w:val="21"/>
          <w:highlight w:val="none"/>
          <w:u w:val="single"/>
          <w:lang w:val="en-US" w:eastAsia="zh-CN"/>
        </w:rPr>
        <w:t>结转</w:t>
      </w:r>
      <w:r>
        <w:rPr>
          <w:rFonts w:ascii="宋体" w:hAnsi="宋体" w:hint="eastAsia"/>
          <w:szCs w:val="21"/>
          <w:highlight w:val="none"/>
          <w:u w:val="single"/>
        </w:rPr>
        <w:t>经费下达且甲方财务部门具备支付条件后</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乙方向甲方开具合同总金额的90%发票，甲方在</w:t>
      </w:r>
      <w:r>
        <w:rPr>
          <w:rFonts w:ascii="宋体" w:hAnsi="宋体" w:hint="eastAsia"/>
          <w:szCs w:val="21"/>
          <w:highlight w:val="none"/>
          <w:u w:val="single"/>
        </w:rPr>
        <w:t>15个工作日内</w:t>
      </w:r>
      <w:r>
        <w:rPr>
          <w:rFonts w:ascii="宋体" w:hAnsi="宋体" w:hint="eastAsia"/>
          <w:szCs w:val="21"/>
          <w:highlight w:val="none"/>
          <w:u w:val="single"/>
        </w:rPr>
        <w:t xml:space="preserve">向乙方支付合同总金额的90%；设备到货、完成安装调试、合同验收通过后的15个工作日内，甲方向乙方支付合同总金额的10% </w:t>
      </w:r>
    </w:p>
    <w:p>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pPr>
        <w:rPr>
          <w:rFonts w:ascii="Times New Roman" w:eastAsia="宋体" w:hAnsi="Times New Roman" w:cs="Times New Roman"/>
          <w:szCs w:val="20"/>
        </w:rPr>
      </w:pPr>
      <w:r>
        <w:rPr>
          <w:rFonts w:ascii="Times New Roman" w:eastAsia="宋体" w:hAnsi="Times New Roman" w:cs="Times New Roman" w:hint="eastAsia"/>
          <w:szCs w:val="20"/>
        </w:rPr>
        <w:br w:type="page"/>
      </w:r>
    </w:p>
    <w:p>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1" w:name="_Toc27624"/>
      <w:r>
        <w:rPr>
          <w:rFonts w:ascii="黑体" w:eastAsia="黑体" w:hAnsi="黑体" w:cs="Times New Roman" w:hint="eastAsia"/>
          <w:sz w:val="28"/>
          <w:szCs w:val="28"/>
        </w:rPr>
        <w:t>第二节 政府采购合同通用条款</w:t>
      </w:r>
      <w:bookmarkEnd w:id="61"/>
    </w:p>
    <w:p>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2"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2"/>
      <w:r>
        <w:rPr>
          <w:rFonts w:ascii="宋体" w:eastAsia="宋体" w:hAnsi="宋体" w:cs="Times New Roman" w:hint="eastAsia"/>
          <w:szCs w:val="21"/>
        </w:rPr>
        <w:t>。</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pPr>
        <w:numPr>
          <w:ilvl w:val="1"/>
          <w:numId w:val="8"/>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63" w:name="_Toc20313"/>
    </w:p>
    <w:p>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6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eastAsia="宋体" w:hAnsi="宋体" w:cs="Times New Roman"/>
                <w:szCs w:val="21"/>
              </w:rPr>
            </w:pP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eastAsia="宋体" w:hAnsi="宋体" w:cs="宋体"/>
                <w:szCs w:val="21"/>
              </w:rPr>
            </w:pPr>
            <w:r>
              <w:rPr>
                <w:rFonts w:ascii="宋体" w:eastAsia="宋体" w:hAnsi="宋体" w:cs="宋体" w:hint="eastAsia"/>
                <w:szCs w:val="21"/>
              </w:rPr>
              <w:t>第二节</w:t>
            </w:r>
          </w:p>
          <w:p>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pPr>
              <w:adjustRightInd w:val="0"/>
              <w:snapToGrid w:val="0"/>
              <w:jc w:val="left"/>
              <w:rPr>
                <w:rFonts w:ascii="宋体" w:eastAsia="宋体" w:hAnsi="宋体" w:cs="Times New Roman"/>
                <w:szCs w:val="21"/>
              </w:rPr>
            </w:pPr>
          </w:p>
        </w:tc>
      </w:tr>
    </w:tbl>
    <w:p>
      <w:pPr>
        <w:rPr>
          <w:rFonts w:ascii="Times New Roman" w:eastAsia="宋体" w:hAnsi="Times New Roman" w:cs="Times New Roman"/>
          <w:szCs w:val="20"/>
        </w:rPr>
      </w:pPr>
    </w:p>
    <w:p>
      <w:pPr>
        <w:rPr>
          <w:rFonts w:ascii="Times New Roman" w:eastAsia="宋体" w:hAnsi="Times New Roman" w:cs="Times New Roman"/>
          <w:b/>
          <w:bCs/>
          <w:sz w:val="44"/>
          <w:szCs w:val="44"/>
        </w:rPr>
      </w:pPr>
    </w:p>
    <w:p>
      <w:pPr>
        <w:spacing w:before="156" w:beforeLines="50" w:line="360" w:lineRule="auto"/>
        <w:ind w:firstLine="420"/>
        <w:rPr>
          <w:rFonts w:ascii="宋体" w:eastAsia="宋体" w:hAnsi="宋体" w:cs="Times New Roman"/>
          <w:szCs w:val="21"/>
        </w:rPr>
      </w:pPr>
    </w:p>
    <w:p/>
    <w:p w:rsidR="00A77B3E"/>
    <w:p>
      <w:pPr>
        <w:spacing w:line="360" w:lineRule="auto"/>
        <w:ind w:firstLine="3066" w:firstLineChars="1460"/>
        <w:jc w:val="left"/>
        <w:rPr>
          <w:rFonts w:ascii="Times New Roman" w:eastAsia="宋体" w:hAnsi="Times New Roman" w:cs="Times New Roman"/>
          <w:b/>
          <w:bCs/>
          <w:szCs w:val="21"/>
        </w:rPr>
      </w:pPr>
      <w:bookmarkEnd w:id="59"/>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微软雅黑"/>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altName w:val="noto sans thai"/>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noto sans thai">
    <w:panose1 w:val="020B0502040504020204"/>
    <w:charset w:val="00"/>
    <w:family w:val="auto"/>
    <w:pitch w:val="default"/>
    <w:sig w:usb0="81000063" w:usb1="00002000" w:usb2="00000000" w:usb3="00000000" w:csb0="00010001" w:csb1="00000000"/>
  </w:font>
  <w:font w:name="Verdana">
    <w:altName w:val="DejaVu Sans"/>
    <w:panose1 w:val="020B0604030504040204"/>
    <w:charset w:val="00"/>
    <w:family w:val="swiss"/>
    <w:pitch w:val="default"/>
    <w:sig w:usb0="00000000" w:usb1="00000000" w:usb2="00000010" w:usb3="00000000" w:csb0="2000019F" w:csb1="00000000"/>
  </w:font>
  <w:font w:name="Microsoft YaHei">
    <w:panose1 w:val="020B0503020204020204"/>
    <w:charset w:val="86"/>
    <w:family w:val="auto"/>
    <w:pitch w:val="default"/>
    <w:sig w:usb0="80000287" w:usb1="280F3C52" w:usb2="00000016" w:usb3="00000000" w:csb0="0004001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2026-02-02T10:36:11Z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