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短时临近智能数字预报系统建设项目—核心框架与智网2.0算法改造与新增</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ZQCD-26001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短时临近智能数字预报系统建设项目—核心框架与智网2.0算法改造与新增</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ZQCD-26001</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详见第七章采购需求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2026年01月06日 00:00:00</w:t>
      </w:r>
      <w:bookmarkEnd w:id="27"/>
      <w:r>
        <w:rPr>
          <w:rFonts w:ascii="宋体" w:hint="eastAsia"/>
          <w:szCs w:val="21"/>
          <w:highlight w:val="none"/>
        </w:rPr>
        <w:t>至</w:t>
      </w:r>
      <w:bookmarkStart w:id="28" w:name="项目公告_signUpLastTime"/>
      <w:r>
        <w:rPr>
          <w:rFonts w:ascii="宋体" w:hint="eastAsia"/>
          <w:szCs w:val="21"/>
          <w:highlight w:val="none"/>
        </w:rPr>
        <w:t>2026年01月13日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2026年01月28日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王妍</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010-68406642</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胡海川</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010-58994198</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北京市海淀区中关村南大街46号国家气象中心</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9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软件和信息技术服务业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是，代理服务费：7.5万元。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1,212.380000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1,212.380000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4"/>
        <w:gridCol w:w="285"/>
        <w:gridCol w:w="897"/>
        <w:gridCol w:w="285"/>
        <w:gridCol w:w="688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(8)</w:t>
            </w:r>
          </w:p>
        </w:tc>
        <w:tc>
          <w:tcPr/>
          <w:p>
            <w:r>
              <w:t>评审标准：</w:t>
            </w:r>
          </w:p>
          <w:p>
            <w:r>
              <w:t>1、投标人具有 ISO9000系列或GJB9001B质量管理体系认证;</w:t>
              <w:cr/>
              <w:t xml:space="preserve">2、投标人具有信息系统建设和服务能力等级证书; </w:t>
              <w:cr/>
              <w:t xml:space="preserve">3、投标人具有ISO27001信息安全管理体系认证; </w:t>
              <w:cr/>
              <w:t xml:space="preserve">4、投标人具有信息技术服务管理体系认证;  </w:t>
              <w:cr/>
              <w:t>以上每有一个证书得2分，满分8分。否则不得分。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提供近3年承接的与本项目类似的项目，每提供一份合同得2分，最多得10分。否则不得分。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5</w:t>
            </w:r>
          </w:p>
        </w:tc>
        <w:tc>
          <w:tcPr>
            <w:vMerge w:val="restart"/>
          </w:tcPr>
          <w:p>
            <w:r>
              <w:t>服务部分</w:t>
            </w:r>
          </w:p>
        </w:tc>
        <w:tc>
          <w:tcPr/>
          <w:p>
            <w:r>
              <w:t>服务团队（客观分）</w:t>
            </w:r>
          </w:p>
        </w:tc>
        <w:tc>
          <w:tcPr/>
          <w:p>
            <w:r>
              <w:t>区间打分</w:t>
            </w:r>
            <w:r>
              <w:t>(19)</w:t>
            </w:r>
          </w:p>
        </w:tc>
        <w:tc>
          <w:tcPr/>
          <w:p>
            <w:r>
              <w:t>评审标准：</w:t>
            </w:r>
          </w:p>
          <w:p>
            <w:r>
              <w:t xml:space="preserve">投标人应组成本项目开发服务团队，团队组织结构清晰，应设服务团队负责人（项目经理）、技术负责人、系统架构师、软件工程师、测试工程师等，人员专业背景齐全。具体如下： </w:t>
              <w:cr/>
              <w:t>1、团队人数至少9人，其中驻场人员至少5人。完全满足得3分，否则不得分;</w:t>
              <w:cr/>
              <w:t xml:space="preserve">2、团队负责人（项目经理）具有软件工程相关专业背景，5年以上与本项目类似项目的工作经验。完全满足得3分，否则不得分; </w:t>
              <w:cr/>
              <w:t>3、技术负责人（除项目经理外）具有计算机科学或软件工程相关专业背景，且具有软件设计证书，5年以上与本项目类似项目的设计/开发/集成经验。完全满足得2分，否则不得分;</w:t>
              <w:cr/>
              <w:t>4、系统架构师具有计算机科学或软件工程相关专业背景，3年以上与本项目类似项目的设计/开发/集成经验。完全满足得2分，否则不得分;</w:t>
              <w:cr/>
              <w:t>5、团队其他成员每有1人具有计算机科学或软件工程相关专业背景，以及2年以上与本项目类似项目的开发经历，得1分，最多得9分。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 xml:space="preserve">投标人应提供培训方案。具体标准评分如下： </w:t>
              <w:cr/>
              <w:t xml:space="preserve">一档：未提供培训方案； </w:t>
              <w:cr/>
              <w:t xml:space="preserve">二档：培训方案不完整（指缺失培训计划、培训课时、培训内容任意一项）； </w:t>
              <w:cr/>
              <w:t xml:space="preserve">三档：培训方案完整，但课程设计重点不突出或针对性不强，基本满足采购文件需求； </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8</w:t>
            </w:r>
          </w:p>
        </w:tc>
        <w:tc>
          <w:tcPr>
            <w:vMerge/>
          </w:tcPr>
          <w:p>
            <w:r>
              <w:t>服务部分</w:t>
            </w:r>
          </w:p>
        </w:tc>
        <w:tc>
          <w:tcPr/>
          <w:p>
            <w:r>
              <w:t>质量保障与实施方案（主观分）</w:t>
            </w:r>
          </w:p>
        </w:tc>
        <w:tc>
          <w:tcPr/>
          <w:p>
            <w:r>
              <w:t>勾选打分</w:t>
            </w:r>
            <w:r>
              <w:t>(1)</w:t>
            </w:r>
          </w:p>
        </w:tc>
        <w:tc>
          <w:tcPr/>
          <w:p>
            <w:r>
              <w:t>评审标准：</w:t>
            </w:r>
          </w:p>
          <w:p>
            <w:r>
              <w:t>一档0分</w:t>
              <w:cr/>
              <w:t>二档0.5分</w:t>
              <w:cr/>
              <w:t>三档0.75分</w:t>
              <w:cr/>
              <w:t>四档1分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9</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10</w:t>
            </w:r>
          </w:p>
        </w:tc>
        <w:tc>
          <w:tcPr>
            <w:vMerge/>
          </w:tcPr>
          <w:p>
            <w:r>
              <w:t>技术部分</w:t>
            </w:r>
          </w:p>
        </w:tc>
        <w:tc>
          <w:tcPr/>
          <w:p>
            <w:r>
              <w:t>软件功能开发需求分析（主观分）</w:t>
            </w:r>
          </w:p>
        </w:tc>
        <w:tc>
          <w:tcPr/>
          <w:p>
            <w:r>
              <w:t>勾选打分</w:t>
            </w:r>
            <w:r>
              <w:t>(2)</w:t>
            </w:r>
          </w:p>
        </w:tc>
        <w:tc>
          <w:tcPr/>
          <w:p>
            <w:r>
              <w:t>评审标准：</w:t>
            </w:r>
          </w:p>
          <w:p>
            <w:r>
              <w:t>一档0分</w:t>
              <w:cr/>
              <w:t>二档1分</w:t>
              <w:cr/>
              <w:t>三档2分</w:t>
            </w:r>
          </w:p>
          <w:p>
            <w:r>
              <w:t>评审标准说明：</w:t>
            </w:r>
          </w:p>
          <w:p>
            <w:r>
              <w:t xml:space="preserve">提供软件系统各模块功能需求分析。具体评分标准如下： </w:t>
              <w:cr/>
              <w:t xml:space="preserve">一档：无软件功能开发需求分析； </w:t>
              <w:cr/>
              <w:t xml:space="preserve">二档：软件功能开发需求分析不完整，未对软件系统各模块进行功能需求拆分，分析不具体、不充分、不详细； </w:t>
              <w:cr/>
              <w:t>三档：软件功能开发需求分析完整，对软件系统各模块进行功能需求拆分，并对各个功能点用图表结合的方式进行详细功能需求分析，完全覆盖招标文件功能要求，需求分析完整详细合理。</w:t>
            </w:r>
          </w:p>
          <w:p/>
        </w:tc>
      </w:tr>
      <w:tr>
        <w:tblPrEx>
          <w:tblW w:w="5000" w:type="pct"/>
          <w:tblCellMar>
            <w:left w:w="108" w:type="dxa"/>
            <w:right w:w="108" w:type="dxa"/>
          </w:tblCellMar>
        </w:tblPrEx>
        <w:tc>
          <w:tcPr/>
          <w:p>
            <w:r>
              <w:t>11</w:t>
            </w:r>
          </w:p>
        </w:tc>
        <w:tc>
          <w:tcPr>
            <w:vMerge/>
          </w:tcPr>
          <w:p>
            <w:r>
              <w:t>技术部分</w:t>
            </w:r>
          </w:p>
        </w:tc>
        <w:tc>
          <w:tcPr/>
          <w:p>
            <w:r>
              <w:t>软件非功能需求分析（主观分）</w:t>
            </w:r>
          </w:p>
        </w:tc>
        <w:tc>
          <w:tcPr/>
          <w:p>
            <w:r>
              <w:t>勾选打分</w:t>
            </w:r>
            <w:r>
              <w:t>(1)</w:t>
            </w:r>
          </w:p>
        </w:tc>
        <w:tc>
          <w:tcPr/>
          <w:p>
            <w:r>
              <w:t>评审标准：</w:t>
            </w:r>
          </w:p>
          <w:p>
            <w:r>
              <w:t>一档0分</w:t>
              <w:cr/>
              <w:t>二档0.5分</w:t>
              <w:cr/>
              <w:t>三档1分</w:t>
            </w:r>
          </w:p>
          <w:p>
            <w:r>
              <w:t>评审标准说明：</w:t>
            </w:r>
          </w:p>
          <w:p>
            <w:r>
              <w:t xml:space="preserve">提供软件系统非功能及性能需求分析，具体评分标准如下： </w:t>
              <w:cr/>
              <w:t xml:space="preserve">一档：无软件非功能及性能开发需求分析； </w:t>
              <w:cr/>
              <w:t>二档：软件非功能及性能分析不完整、不具体，合理性一般；</w:t>
              <w:cr/>
              <w:t>三档：软件非功能及性能开发需求分析完整、具体、合理，分析充分详细，完全覆盖招标文件要求。</w:t>
            </w:r>
          </w:p>
          <w:p/>
        </w:tc>
      </w:tr>
      <w:tr>
        <w:tblPrEx>
          <w:tblW w:w="5000" w:type="pct"/>
          <w:tblCellMar>
            <w:left w:w="108" w:type="dxa"/>
            <w:right w:w="108" w:type="dxa"/>
          </w:tblCellMar>
        </w:tblPrEx>
        <w:tc>
          <w:tcPr/>
          <w:p>
            <w:r>
              <w:t>12</w:t>
            </w:r>
          </w:p>
        </w:tc>
        <w:tc>
          <w:tcPr>
            <w:vMerge/>
          </w:tcPr>
          <w:p>
            <w:r>
              <w:t>技术部分</w:t>
            </w:r>
          </w:p>
        </w:tc>
        <w:tc>
          <w:tcPr/>
          <w:p>
            <w:r>
              <w:t>软件接口需求分析（主观分）</w:t>
            </w:r>
          </w:p>
        </w:tc>
        <w:tc>
          <w:tcPr/>
          <w:p>
            <w:r>
              <w:t>勾选打分</w:t>
            </w:r>
            <w:r>
              <w:t>(1)</w:t>
            </w:r>
          </w:p>
        </w:tc>
        <w:tc>
          <w:tcPr/>
          <w:p>
            <w:r>
              <w:t>评审标准：</w:t>
            </w:r>
          </w:p>
          <w:p>
            <w:r>
              <w:t>一档0分</w:t>
              <w:cr/>
              <w:t>二档0.5分</w:t>
              <w:cr/>
              <w:t>三档0.75分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13</w:t>
            </w:r>
          </w:p>
        </w:tc>
        <w:tc>
          <w:tcPr>
            <w:vMerge/>
          </w:tcPr>
          <w:p>
            <w:r>
              <w:t>技术部分</w:t>
            </w:r>
          </w:p>
        </w:tc>
        <w:tc>
          <w:tcPr/>
          <w:p>
            <w:r>
              <w:t>系统整体架构技术方案（主观分）</w:t>
            </w:r>
          </w:p>
        </w:tc>
        <w:tc>
          <w:tcPr/>
          <w:p>
            <w:r>
              <w:t>勾选打分</w:t>
            </w:r>
            <w:r>
              <w:t>(3)</w:t>
            </w:r>
          </w:p>
        </w:tc>
        <w:tc>
          <w:tcPr/>
          <w:p>
            <w:r>
              <w:t>评审标准：</w:t>
            </w:r>
          </w:p>
          <w:p>
            <w:r>
              <w:t>一档0分</w:t>
              <w:cr/>
              <w:t>二档1分</w:t>
              <w:cr/>
              <w:t>三档2分</w:t>
              <w:cr/>
              <w:t>四档3分</w:t>
            </w:r>
          </w:p>
          <w:p>
            <w:r>
              <w:t>评审标准说明：</w:t>
            </w:r>
          </w:p>
          <w:p>
            <w:r>
              <w:t>根据提交的系统整体架构设计技术方案评分：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14</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15</w:t>
            </w:r>
          </w:p>
        </w:tc>
        <w:tc>
          <w:tcPr>
            <w:vMerge/>
          </w:tcPr>
          <w:p>
            <w:r>
              <w:t>技术部分</w:t>
            </w:r>
          </w:p>
        </w:tc>
        <w:tc>
          <w:tcPr/>
          <w:p>
            <w:r>
              <w:t>模块设计技术方案（主观分）</w:t>
            </w:r>
          </w:p>
        </w:tc>
        <w:tc>
          <w:tcPr/>
          <w:p>
            <w:r>
              <w:t>区间打分</w:t>
            </w:r>
            <w:r>
              <w:t>(28)</w:t>
            </w:r>
          </w:p>
        </w:tc>
        <w:tc>
          <w:tcPr/>
          <w:p>
            <w:r>
              <w:t>评审标准：</w:t>
            </w:r>
          </w:p>
          <w:p>
            <w:r>
              <w:t>提供 1).NIMM框架建设、2).短时预报算法优化与新增、3).全要素预报算法改进与多模式融合技术提升、4).智能数字预报一体化检验算法完善、5）台风强对流检验示范计划5个子系统方案，具体评分如下：</w:t>
              <w:cr/>
              <w:t>1).NIMM框架建设</w:t>
              <w:cr/>
              <w:t>一档0分</w:t>
              <w:cr/>
              <w:t>二档2分</w:t>
              <w:cr/>
              <w:t>三档4分</w:t>
              <w:cr/>
              <w:t>四档6分</w:t>
              <w:cr/>
              <w:t>2).短时预报算法优化与新增</w:t>
              <w:cr/>
              <w:t>一档0分</w:t>
              <w:cr/>
              <w:t>二档2分</w:t>
              <w:cr/>
              <w:t>三档4分</w:t>
              <w:cr/>
              <w:t>四档6分</w:t>
              <w:cr/>
              <w:t>3).全要素预报算法改进与多模式融合技术提升</w:t>
              <w:cr/>
              <w:t>一档0分</w:t>
              <w:cr/>
              <w:t>二档2分</w:t>
              <w:cr/>
              <w:t>三档4分</w:t>
              <w:cr/>
              <w:t>四档6分</w:t>
              <w:cr/>
              <w:t>4).智能数字预报一体化检验算法完善</w:t>
              <w:cr/>
              <w:t>一档0分</w:t>
              <w:cr/>
              <w:t>二档2分</w:t>
              <w:cr/>
              <w:t>三档4分</w:t>
              <w:cr/>
              <w:t>四档6分</w:t>
              <w:cr/>
              <w:t>5).台风强对流检验示范计划</w:t>
              <w:cr/>
              <w:t>一档0分</w:t>
              <w:cr/>
              <w:t>二档1分</w:t>
              <w:cr/>
              <w:t>三档2分</w:t>
              <w:cr/>
              <w:t>四档4分</w:t>
              <w:cr/>
              <w:t xml:space="preserve">以上共计5个子系统，满分28分。 </w:t>
            </w:r>
          </w:p>
          <w:p>
            <w:r>
              <w:t>评审标准说明：</w:t>
            </w:r>
          </w:p>
          <w:p>
            <w:r>
              <w:t>考察投标人对全部5个子系统的功能模块部分设计的响应情况，根据其功能完备性、先进性、合理性和可扩展性进行评分。 每个子系统功能模块的评分标准为：</w:t>
              <w:cr/>
              <w:t>一档：未提供功能设计方案；</w:t>
              <w:cr/>
              <w:t xml:space="preserve">二档：模块设计方案技术差、可扩展性差、未提供业务流程图或数据流程图、功能阐述不完整； </w:t>
              <w:cr/>
              <w:t xml:space="preserve">三档：模块设计方案技术一般、可扩展性一般、提供的业务流程图和数据流程图基本满足要求、功能阐述较完整； </w:t>
              <w:cr/>
              <w:t>四档：模块设计方案技术先进、合理可行、功能完备、可扩展性好、提供清晰、明了、准确的业务流程图和数据流程图，对功能和操作流程阐述完整，性能和响应指标定义清晰；</w:t>
            </w:r>
          </w:p>
          <w:p/>
        </w:tc>
      </w:tr>
      <w:tr>
        <w:tblPrEx>
          <w:tblW w:w="5000" w:type="pct"/>
          <w:tblCellMar>
            <w:left w:w="108" w:type="dxa"/>
            <w:right w:w="108" w:type="dxa"/>
          </w:tblCellMar>
        </w:tblPrEx>
        <w:tc>
          <w:tcPr/>
          <w:p>
            <w:r>
              <w:t>16</w:t>
            </w:r>
          </w:p>
        </w:tc>
        <w:tc>
          <w:tcPr>
            <w:vMerge/>
          </w:tcPr>
          <w:p>
            <w:r>
              <w:t>技术部分</w:t>
            </w:r>
          </w:p>
        </w:tc>
        <w:tc>
          <w:tcPr/>
          <w:p>
            <w:r>
              <w:t>风险管理方案（主观分）</w:t>
            </w:r>
          </w:p>
        </w:tc>
        <w:tc>
          <w:tcPr/>
          <w:p>
            <w:r>
              <w:t>勾选打分</w:t>
            </w:r>
            <w:r>
              <w:t>(1)</w:t>
            </w:r>
          </w:p>
        </w:tc>
        <w:tc>
          <w:tcPr/>
          <w:p>
            <w:r>
              <w:t>评审标准：</w:t>
            </w:r>
          </w:p>
          <w:p>
            <w:r>
              <w:t>一档0分</w:t>
              <w:cr/>
              <w:t>二档0.5分</w:t>
              <w:cr/>
              <w:t>三档0.75分</w:t>
              <w:cr/>
              <w:t>四档1分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pPr>
        <w:numPr>
          <w:ilvl w:val="0"/>
          <w:numId w:val="4"/>
        </w:numPr>
        <w:spacing w:line="240" w:lineRule="auto"/>
        <w:ind w:firstLine="0" w:firstLineChars="0"/>
        <w:jc w:val="center"/>
        <w:rPr>
          <w:rFonts w:ascii="宋体" w:hAnsi="宋体" w:cs="宋体" w:hint="default"/>
          <w:b/>
          <w:sz w:val="30"/>
          <w:szCs w:val="30"/>
          <w:u w:val="none"/>
        </w:rPr>
      </w:pPr>
      <w:r>
        <w:rPr>
          <w:bCs/>
          <w:szCs w:val="21"/>
          <w:highlight w:val="none"/>
        </w:rPr>
        <w:br w:type="page"/>
      </w:r>
      <w:bookmarkStart w:id="60" w:name="插入_采购需求书"/>
      <w:r>
        <w:rPr>
          <w:rFonts w:ascii="宋体" w:eastAsia="宋体" w:hAnsi="宋体" w:cs="宋体" w:hint="eastAsia"/>
          <w:b/>
          <w:sz w:val="30"/>
          <w:szCs w:val="30"/>
          <w:u w:val="none"/>
          <w:lang w:val="en-US" w:eastAsia="zh-CN"/>
        </w:rPr>
        <w:t>采购需求</w:t>
      </w:r>
    </w:p>
    <w:p>
      <w:pPr>
        <w:numPr>
          <w:numId w:val="0"/>
        </w:numPr>
        <w:spacing w:line="240" w:lineRule="auto"/>
        <w:jc w:val="both"/>
        <w:rPr>
          <w:rFonts w:ascii="宋体" w:hAnsi="宋体" w:cs="宋体" w:hint="eastAsia"/>
          <w:b/>
          <w:sz w:val="30"/>
          <w:szCs w:val="30"/>
          <w:u w:val="none"/>
        </w:rPr>
      </w:pPr>
    </w:p>
    <w:p>
      <w:pPr>
        <w:numPr>
          <w:numId w:val="0"/>
        </w:numPr>
        <w:spacing w:line="240" w:lineRule="auto"/>
        <w:jc w:val="center"/>
        <w:rPr>
          <w:rFonts w:ascii="宋体" w:hAnsi="宋体" w:cs="宋体" w:hint="eastAsia"/>
          <w:b/>
          <w:sz w:val="30"/>
          <w:szCs w:val="30"/>
          <w:u w:val="none"/>
        </w:rPr>
      </w:pPr>
      <w:r>
        <w:rPr>
          <w:rFonts w:ascii="宋体" w:eastAsia="宋体" w:hAnsi="宋体" w:cs="宋体" w:hint="eastAsia"/>
          <w:b/>
          <w:sz w:val="30"/>
          <w:szCs w:val="30"/>
          <w:u w:val="none"/>
          <w:lang w:val="en-US" w:eastAsia="zh-CN"/>
        </w:rPr>
        <w:t>短时临近智能数字预报系统建设项目</w:t>
      </w:r>
    </w:p>
    <w:p>
      <w:pPr>
        <w:numPr>
          <w:numId w:val="0"/>
        </w:numPr>
        <w:spacing w:line="240" w:lineRule="auto"/>
        <w:jc w:val="center"/>
        <w:rPr>
          <w:rFonts w:ascii="宋体" w:hAnsi="宋体" w:cs="宋体" w:hint="eastAsia"/>
          <w:b/>
          <w:sz w:val="30"/>
          <w:szCs w:val="30"/>
          <w:u w:val="none"/>
        </w:rPr>
      </w:pPr>
      <w:r>
        <w:rPr>
          <w:rFonts w:ascii="宋体" w:eastAsia="宋体" w:hAnsi="宋体" w:cs="宋体" w:hint="eastAsia"/>
          <w:b/>
          <w:sz w:val="30"/>
          <w:szCs w:val="30"/>
          <w:u w:val="none"/>
          <w:lang w:val="en-US" w:eastAsia="zh-CN"/>
        </w:rPr>
        <w:t>-核心框架与智网2.0算法</w:t>
      </w:r>
      <w:r>
        <w:rPr>
          <w:rFonts w:ascii="宋体" w:eastAsia="宋体" w:hAnsi="宋体" w:cs="宋体" w:hint="eastAsia"/>
          <w:b/>
          <w:sz w:val="30"/>
          <w:szCs w:val="30"/>
          <w:u w:val="none"/>
          <w:lang w:val="en-US" w:eastAsia="zh-CN"/>
        </w:rPr>
        <w:t>改造与新增</w:t>
      </w:r>
      <w:r>
        <w:rPr>
          <w:rFonts w:ascii="宋体" w:eastAsia="宋体" w:hAnsi="宋体" w:cs="宋体" w:hint="eastAsia"/>
          <w:b/>
          <w:sz w:val="30"/>
          <w:szCs w:val="30"/>
          <w:u w:val="none"/>
          <w:lang w:val="en-US" w:eastAsia="zh-CN"/>
        </w:rPr>
        <w:t>建设</w:t>
      </w:r>
    </w:p>
    <w:p>
      <w:pPr>
        <w:numPr>
          <w:numId w:val="0"/>
        </w:numPr>
        <w:spacing w:line="240" w:lineRule="auto"/>
        <w:jc w:val="center"/>
        <w:rPr>
          <w:rFonts w:ascii="宋体" w:hAnsi="宋体" w:cs="宋体" w:hint="default"/>
          <w:b/>
          <w:sz w:val="30"/>
          <w:szCs w:val="30"/>
          <w:u w:val="none"/>
        </w:rPr>
      </w:pPr>
      <w:r>
        <w:rPr>
          <w:rFonts w:ascii="宋体" w:eastAsia="宋体" w:hAnsi="宋体" w:cs="宋体" w:hint="eastAsia"/>
          <w:b/>
          <w:sz w:val="30"/>
          <w:szCs w:val="30"/>
          <w:u w:val="none"/>
          <w:lang w:val="en-US" w:eastAsia="zh-CN"/>
        </w:rPr>
        <w:t>项目</w:t>
      </w:r>
      <w:r>
        <w:rPr>
          <w:rFonts w:ascii="宋体" w:hAnsi="宋体" w:cs="宋体" w:hint="eastAsia"/>
          <w:b/>
          <w:sz w:val="30"/>
          <w:szCs w:val="30"/>
          <w:u w:val="none"/>
          <w:lang w:val="en-US" w:eastAsia="zh-CN"/>
        </w:rPr>
        <w:t>采购需求书</w:t>
      </w:r>
    </w:p>
    <w:p>
      <w:pPr>
        <w:ind w:firstLine="560"/>
        <w:jc w:val="center"/>
      </w:pPr>
    </w:p>
    <w:p>
      <w:pPr>
        <w:ind w:firstLine="560"/>
      </w:pPr>
    </w:p>
    <w:p>
      <w:pPr>
        <w:ind w:firstLine="560"/>
      </w:pPr>
    </w:p>
    <w:p>
      <w:pPr>
        <w:ind w:firstLine="560"/>
      </w:pPr>
    </w:p>
    <w:p>
      <w:pPr>
        <w:ind w:firstLine="560"/>
      </w:pPr>
    </w:p>
    <w:p>
      <w:pPr>
        <w:ind w:firstLine="560"/>
      </w:pPr>
    </w:p>
    <w:p>
      <w:pPr>
        <w:ind w:firstLine="560"/>
      </w:pPr>
    </w:p>
    <w:p>
      <w:pPr>
        <w:ind w:firstLine="560"/>
      </w:pPr>
    </w:p>
    <w:p>
      <w:pPr>
        <w:ind w:firstLine="560"/>
        <w:sectPr>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num="1" w:space="425"/>
          <w:docGrid w:type="lines" w:linePitch="312" w:charSpace="0"/>
        </w:sectPr>
      </w:pPr>
    </w:p>
    <w:p>
      <w:pPr>
        <w:pStyle w:val="Heading1"/>
        <w:pageBreakBefore/>
        <w:numPr>
          <w:ilvl w:val="0"/>
          <w:numId w:val="5"/>
        </w:numPr>
        <w:ind w:left="0" w:firstLine="0"/>
        <w:rPr>
          <w:rFonts w:hint="eastAsia"/>
          <w:lang w:val="zh-CN"/>
        </w:rPr>
      </w:pPr>
      <w:bookmarkStart w:id="61" w:name="_Toc172191736"/>
      <w:r>
        <w:rPr>
          <w:rFonts w:hint="eastAsia"/>
          <w:lang w:val="zh-CN"/>
        </w:rPr>
        <w:t>项目概述</w:t>
      </w:r>
      <w:bookmarkEnd w:id="61"/>
    </w:p>
    <w:p>
      <w:pPr>
        <w:pStyle w:val="Heading2"/>
        <w:numPr>
          <w:ilvl w:val="1"/>
          <w:numId w:val="6"/>
        </w:numPr>
        <w:rPr>
          <w:rFonts w:ascii="宋体" w:hAnsi="宋体" w:hint="eastAsia"/>
          <w:lang w:val="zh-CN"/>
        </w:rPr>
      </w:pPr>
      <w:bookmarkStart w:id="62" w:name="_Toc172191737"/>
      <w:r>
        <w:rPr>
          <w:rFonts w:ascii="宋体" w:hAnsi="宋体" w:hint="eastAsia"/>
          <w:lang w:val="zh-CN"/>
        </w:rPr>
        <w:t>项目名称</w:t>
      </w:r>
      <w:bookmarkEnd w:id="62"/>
    </w:p>
    <w:p>
      <w:pPr>
        <w:ind w:firstLine="560"/>
        <w:rPr>
          <w:lang w:val="zh-CN"/>
        </w:rPr>
      </w:pPr>
      <w:r>
        <w:rPr>
          <w:rFonts w:hint="eastAsia"/>
          <w:lang w:val="zh-CN"/>
        </w:rPr>
        <w:t>短时临近智能数字预报系统建设项目-核心框架与智网2.0算法改造与新增</w:t>
      </w:r>
    </w:p>
    <w:p>
      <w:pPr>
        <w:pStyle w:val="Heading2"/>
        <w:numPr>
          <w:ilvl w:val="1"/>
          <w:numId w:val="6"/>
        </w:numPr>
        <w:rPr>
          <w:rFonts w:ascii="宋体" w:hAnsi="宋体" w:hint="eastAsia"/>
          <w:lang w:val="zh-CN"/>
        </w:rPr>
      </w:pPr>
      <w:bookmarkStart w:id="63" w:name="_Toc137459465"/>
      <w:bookmarkStart w:id="64" w:name="_Toc172191738"/>
      <w:r>
        <w:rPr>
          <w:rFonts w:ascii="宋体" w:hAnsi="宋体"/>
          <w:lang w:val="zh-CN"/>
        </w:rPr>
        <w:t>实施地点</w:t>
      </w:r>
      <w:bookmarkEnd w:id="63"/>
      <w:bookmarkEnd w:id="64"/>
    </w:p>
    <w:p>
      <w:pPr>
        <w:ind w:firstLine="560"/>
        <w:rPr>
          <w:lang w:val="zh-CN"/>
        </w:rPr>
      </w:pPr>
      <w:r>
        <w:rPr>
          <w:rFonts w:hint="eastAsia"/>
          <w:lang w:val="zh-CN"/>
        </w:rPr>
        <w:t>国家气象中心</w:t>
      </w:r>
    </w:p>
    <w:p>
      <w:pPr>
        <w:pStyle w:val="Heading2"/>
        <w:numPr>
          <w:ilvl w:val="1"/>
          <w:numId w:val="6"/>
        </w:numPr>
        <w:rPr>
          <w:rFonts w:ascii="宋体" w:hAnsi="宋体" w:hint="eastAsia"/>
          <w:lang w:val="zh-CN"/>
        </w:rPr>
      </w:pPr>
      <w:bookmarkStart w:id="65" w:name="_Toc172191739"/>
      <w:r>
        <w:rPr>
          <w:rFonts w:ascii="宋体" w:hAnsi="宋体" w:hint="eastAsia"/>
          <w:lang w:val="zh-CN"/>
        </w:rPr>
        <w:t>建设内容</w:t>
      </w:r>
      <w:bookmarkEnd w:id="65"/>
    </w:p>
    <w:p>
      <w:pPr>
        <w:ind w:firstLine="560"/>
      </w:pPr>
      <w:r>
        <w:rPr>
          <w:rFonts w:hint="eastAsia"/>
        </w:rPr>
        <w:t>本项目建设包括NIMM框架建设、短时预报算法优化与新增、全要素预报算法改进与多模式融合技术提升、智能数字预报一体化检验算法完善和台风强对流检验示范计划5个部分。</w:t>
      </w:r>
    </w:p>
    <w:p>
      <w:pPr>
        <w:ind w:firstLine="560"/>
      </w:pPr>
      <w:r>
        <w:rPr>
          <w:rFonts w:hint="eastAsia"/>
        </w:rPr>
        <w:t>NIMM框架建设</w:t>
      </w:r>
      <w:r>
        <w:t>实现统计后处理，涵盖订正、多源融合、概率预报及降尺度等；完成数据预处理、单模式订正、多模式集成（确定+概率）、时空精细化等基础功能，为国省统筹客观算法提供支撑，促进优秀后处理算法适配与复用。为国家级智能网格系统提供统一底层算法底座，提升算法的集约运行效率，满足国省统筹客观算法改造、检验评估和中试评审准入等流程的性能需求，保障国家级短时和短中期相关算法的统一改造和平行部署测试的顺利进行。</w:t>
      </w:r>
    </w:p>
    <w:p>
      <w:pPr>
        <w:ind w:firstLine="560"/>
      </w:pPr>
      <w:r>
        <w:rPr>
          <w:rFonts w:hint="eastAsia"/>
        </w:rPr>
        <w:t>短时预报算法优化与新增实现</w:t>
      </w:r>
      <w:r>
        <w:t>对短时滚动预报算法进行深度改造，优化算法逻辑和流程，以提升预报的时效性和准确性，同时完善基于 NIMM 框架的短时数据接口在天擎环境下的统一算法开发，确保不同数据源的数据能高效接入与处理，实现数据的标准化和规范化。采用动态垂直变率降尺度技术与决策树的集成学习、kalman 滤波相结合的方式构建一体化预报方案，综合多种技术优势提高气象要素预报精度。在此基础上，开发了云量和地面气压等要素 1km 极值滚动预报产品，实现精细化、动态化预报，满足高分辨率气象数据需求；</w:t>
      </w:r>
      <w:r>
        <w:rPr>
          <w:rFonts w:hint="eastAsia"/>
        </w:rPr>
        <w:t>同时，新增全球短时滚动更新预报产品，重点针对气温、风、相对湿度和气压等近地面要素，提高短时时效预报与最新观测的一致性及其预报准确率，提升全球智能数字预报的时间无缝隙程度和预报服务能力；</w:t>
      </w:r>
      <w:r>
        <w:t>开发大风、冻雨等概率预报产品，为用户提供气象灾害发生可能性的量化评估；针对积雪厚度、积冰厚度以及雨雪相态等开发短时预报产品，为交通、能源、农业等行业提供针对性气象服务；开发全国智能网格分级雷暴大风客观预报算法产品，实现对雷暴大风的客观精准预报；开展基于一体化标准的短时、短期时效雷暴、冰雹、短时强降水、雷暴大风等分类强对流客观预报算法的升级和适应性改造及应用，提升对强对流天气的预报能力。这些技术创新带来了显著的性能提升，通过一体化预报方案和算法优化，云量和地面气压等要素 1km 极值滚动预报产品的准确率提升 2 - 3%，提高了气象预报的可靠性；实现对多要素的精细化预报，提升了预报精细化程度；概率预报产品为灾害概率评估提供支持，助力制定防灾减灾策略；强对流客观预报算法的升级增强了对强对流天气的预报能力，提前预警灾害风险，保障人民生命财产安全。</w:t>
      </w:r>
    </w:p>
    <w:p>
      <w:pPr>
        <w:ind w:firstLine="560"/>
      </w:pPr>
      <w:r>
        <w:rPr>
          <w:rFonts w:hint="eastAsia"/>
        </w:rPr>
        <w:t>全要素预报算法改进与多模式融合技术提升实现</w:t>
      </w:r>
      <w:r>
        <w:t>将公里级 10m 风场、阵风风速的订正算法从统一建模转变为分段建模，以此精准捕捉不同下垫面条件对不同区域风速预报的影响，提升风速预报的准确性。开发多模式集成算法，对温度、相对湿度、风速、</w:t>
      </w:r>
      <w:r>
        <w:rPr>
          <w:rFonts w:hint="eastAsia"/>
        </w:rPr>
        <w:t>海雾、海浪</w:t>
      </w:r>
      <w:r>
        <w:t>等预报产品的订正融合框架进行优化，综合多种模式的优势，提高预报产品的整体精度。对 NIMM 算法接口和数据标准进行兼容性改造，确保各模块之间数据传输的稳定与高效，提升公里级预报产品的运行稳定性。通过分段建模的风速订正算法，有效考虑下垫面因素，使风速预报能够更贴合不同区域的实际情况，显著提高风速预报的准确性，减少误差。多模式集成算法优化了订正融合框架，使温度、相对湿度、风速等多种气象要素的预报产品准确率得到提升，为用户提供更可靠的气象信息。完成 NIMM 算法接口和数据标准的兼容性改造后，公里级预报产品在运行过程中更加稳定，减少因接口不兼容或数据标准不一致导致的系统故障和数据错误，保障气象预报业务的持续、稳定运行。同时，扩展产品预报范围及预报时效，对不同用户提供气象信息支撑。</w:t>
      </w:r>
    </w:p>
    <w:p>
      <w:pPr>
        <w:ind w:firstLine="560"/>
      </w:pPr>
      <w:r>
        <w:rPr>
          <w:rFonts w:hint="eastAsia"/>
        </w:rPr>
        <w:t>智能数字预报一体化检验算法实现完善</w:t>
      </w:r>
      <w:r>
        <w:t>业务检验、天气学检验及实时检验后端检验算法融入新一代气象信息综合处理系统，前端检验结果展示综合集成。形成算法集约运行，框架开放，流程协同，左右贯通国省上下联动新型检验业务。满足面向国省两级业务预报检验考核，实时监测预报质量、开展业务预报诊断分析的检验评估需求，加强对国家级省级核心业务的检验支撑力度。在性能方面，一体化检验算法具备高效性和准确性，能够快速处理大量的预报数据和观测数据，生成客观、准确的检验结果。通过优化算法和系统架构，提高系统的稳定性和扩展性，确保能够适应不断增长的业务需求。</w:t>
      </w:r>
    </w:p>
    <w:p>
      <w:pPr>
        <w:ind w:firstLine="560"/>
        <w:rPr>
          <w:lang w:val="zh-CN"/>
        </w:rPr>
      </w:pPr>
      <w:r>
        <w:rPr>
          <w:rFonts w:hint="eastAsia"/>
        </w:rPr>
        <w:t>台风强对流检验示范计划实现</w:t>
      </w:r>
      <w:r>
        <w:t>对台风和强对流天气进行全面、精细化的检验评估，包括对台风路径、强度、结构，以及强对流风暴类型、发生区域等关键要素的检验。同时，可深入分析台风与强对流天气的相互关联，为预报技术改进提供有力依据。性能上，该计划采用先进的技术手段，能高效处理海量的气象数据，确保检验结果准确可靠，且具备快速响应能力，及时为预报业务提供反馈，提升台风和强对流天气预报的精准度与时效性，为防灾减灾提供强有力的支持。</w:t>
      </w:r>
    </w:p>
    <w:p>
      <w:pPr>
        <w:pStyle w:val="Heading1"/>
        <w:pageBreakBefore/>
        <w:numPr>
          <w:ilvl w:val="0"/>
          <w:numId w:val="5"/>
        </w:numPr>
        <w:ind w:left="0" w:firstLine="0"/>
        <w:rPr>
          <w:rFonts w:hint="eastAsia"/>
          <w:lang w:val="zh-CN"/>
        </w:rPr>
      </w:pPr>
      <w:bookmarkStart w:id="66" w:name="_Toc137459468"/>
      <w:bookmarkStart w:id="67" w:name="_Toc172191740"/>
      <w:r>
        <w:rPr>
          <w:rFonts w:hint="eastAsia"/>
          <w:lang w:val="zh-CN"/>
        </w:rPr>
        <w:t>技术规格要求</w:t>
      </w:r>
      <w:bookmarkEnd w:id="66"/>
      <w:bookmarkEnd w:id="67"/>
    </w:p>
    <w:p>
      <w:pPr>
        <w:pStyle w:val="Heading2"/>
        <w:numPr>
          <w:ilvl w:val="1"/>
          <w:numId w:val="7"/>
        </w:numPr>
        <w:rPr>
          <w:rFonts w:ascii="宋体" w:hAnsi="宋体" w:hint="eastAsia"/>
        </w:rPr>
      </w:pPr>
      <w:bookmarkStart w:id="68" w:name="_Toc137459469"/>
      <w:bookmarkStart w:id="69" w:name="_Toc172191741"/>
      <w:r>
        <w:rPr>
          <w:rFonts w:ascii="宋体" w:hAnsi="宋体" w:hint="eastAsia"/>
        </w:rPr>
        <w:t>功能性要求</w:t>
      </w:r>
      <w:bookmarkEnd w:id="68"/>
      <w:bookmarkEnd w:id="69"/>
    </w:p>
    <w:p>
      <w:pPr>
        <w:pStyle w:val="Heading3"/>
        <w:numPr>
          <w:ilvl w:val="2"/>
          <w:numId w:val="7"/>
        </w:numPr>
        <w:rPr>
          <w:rFonts w:ascii="宋体" w:hAnsi="宋体" w:hint="eastAsia"/>
        </w:rPr>
      </w:pPr>
      <w:r>
        <w:rPr>
          <w:rFonts w:ascii="宋体" w:hAnsi="宋体" w:hint="eastAsia"/>
        </w:rPr>
        <w:t>NIMM框架建设</w:t>
      </w:r>
    </w:p>
    <w:p>
      <w:pPr>
        <w:pStyle w:val="Heading4"/>
        <w:numPr>
          <w:ilvl w:val="3"/>
          <w:numId w:val="7"/>
        </w:numPr>
        <w:rPr>
          <w:rFonts w:hint="eastAsia"/>
        </w:rPr>
      </w:pPr>
      <w:r>
        <w:rPr>
          <w:rFonts w:ascii="宋体" w:hAnsi="宋体" w:hint="eastAsia"/>
        </w:rPr>
        <w:t>基于天擎统一的站点实况大数据环境建设模块</w:t>
      </w:r>
    </w:p>
    <w:p>
      <w:pPr>
        <w:ind w:firstLine="560"/>
      </w:pPr>
      <w:r>
        <w:rPr>
          <w:rFonts w:hint="eastAsia"/>
        </w:rPr>
        <w:t>通过接口、挂载目录和API获取站点实况数据，支持国家站、区域站等数据的整合与质量控制，输出不同格式的数据文件。</w:t>
      </w:r>
    </w:p>
    <w:p>
      <w:pPr>
        <w:pStyle w:val="Heading4"/>
        <w:numPr>
          <w:ilvl w:val="3"/>
          <w:numId w:val="7"/>
        </w:numPr>
        <w:rPr>
          <w:rFonts w:hint="eastAsia"/>
        </w:rPr>
      </w:pPr>
      <w:r>
        <w:rPr>
          <w:rFonts w:ascii="宋体" w:hAnsi="宋体" w:hint="eastAsia"/>
        </w:rPr>
        <w:t>基于天擎统一的格点实况大数据环境建设模块</w:t>
      </w:r>
    </w:p>
    <w:p>
      <w:pPr>
        <w:ind w:firstLine="560"/>
      </w:pPr>
      <w:r>
        <w:rPr>
          <w:rFonts w:hint="eastAsia"/>
        </w:rPr>
        <w:t>获取格点实况数据，支持自定义要素种类、层级高度等功能，输出不同格式的数据文件</w:t>
      </w:r>
    </w:p>
    <w:p>
      <w:pPr>
        <w:pStyle w:val="Heading4"/>
        <w:numPr>
          <w:ilvl w:val="3"/>
          <w:numId w:val="7"/>
        </w:numPr>
        <w:rPr>
          <w:rFonts w:hint="eastAsia"/>
        </w:rPr>
      </w:pPr>
      <w:r>
        <w:rPr>
          <w:rFonts w:ascii="宋体" w:hAnsi="宋体" w:hint="eastAsia"/>
        </w:rPr>
        <w:t>基于天擎统一的格点预报大数据环境建设模块</w:t>
      </w:r>
    </w:p>
    <w:p>
      <w:pPr>
        <w:ind w:firstLine="560"/>
      </w:pPr>
      <w:r>
        <w:rPr>
          <w:rFonts w:hint="eastAsia"/>
        </w:rPr>
        <w:t>解析获取模式格点预报数据，支持要素种类、起报时次等解析控制，实时监控目标数据目录，输出不同格式的数据文件。</w:t>
      </w:r>
    </w:p>
    <w:p>
      <w:pPr>
        <w:pStyle w:val="Heading4"/>
        <w:numPr>
          <w:ilvl w:val="3"/>
          <w:numId w:val="7"/>
        </w:numPr>
        <w:rPr>
          <w:rFonts w:hint="eastAsia"/>
        </w:rPr>
      </w:pPr>
      <w:r>
        <w:rPr>
          <w:rFonts w:ascii="宋体" w:hAnsi="宋体" w:hint="eastAsia"/>
        </w:rPr>
        <w:t>一体化预报算法NIMM统一数据结构优化及部署模块模块</w:t>
      </w:r>
    </w:p>
    <w:p>
      <w:pPr>
        <w:ind w:firstLine="560"/>
      </w:pPr>
      <w:r>
        <w:rPr>
          <w:rFonts w:hint="eastAsia"/>
        </w:rPr>
        <w:t>构建基于站点的STDA数据格式和基于格点的CUBE数据格式，作为算法库的统一数据结构</w:t>
      </w:r>
    </w:p>
    <w:p>
      <w:pPr>
        <w:pStyle w:val="Heading4"/>
        <w:numPr>
          <w:ilvl w:val="3"/>
          <w:numId w:val="7"/>
        </w:numPr>
        <w:rPr>
          <w:rFonts w:ascii="宋体" w:hAnsi="宋体" w:hint="eastAsia"/>
        </w:rPr>
      </w:pPr>
      <w:r>
        <w:rPr>
          <w:rFonts w:ascii="宋体" w:hAnsi="宋体" w:hint="eastAsia"/>
        </w:rPr>
        <w:t>基于meteva_base库的通用数据处理环境建设模块</w:t>
      </w:r>
    </w:p>
    <w:p>
      <w:pPr>
        <w:ind w:firstLine="560"/>
      </w:pPr>
      <w:r>
        <w:rPr>
          <w:rFonts w:hint="eastAsia"/>
        </w:rPr>
        <w:t>调用数据处理方法函数，对数据进行合并、诊断、插值等处理操作，支持通用数据处理方法。</w:t>
      </w:r>
    </w:p>
    <w:p>
      <w:pPr>
        <w:pStyle w:val="Heading4"/>
        <w:numPr>
          <w:ilvl w:val="3"/>
          <w:numId w:val="7"/>
        </w:numPr>
        <w:rPr>
          <w:rFonts w:ascii="宋体" w:hAnsi="宋体" w:hint="eastAsia"/>
        </w:rPr>
      </w:pPr>
      <w:r>
        <w:rPr>
          <w:rFonts w:ascii="宋体" w:hAnsi="宋体" w:hint="eastAsia"/>
        </w:rPr>
        <w:t>深度学习及统一算法库长序列数据集回算模块</w:t>
      </w:r>
    </w:p>
    <w:p>
      <w:pPr>
        <w:ind w:firstLine="560"/>
      </w:pPr>
      <w:r>
        <w:rPr>
          <w:rFonts w:hint="eastAsia"/>
        </w:rPr>
        <w:t>处理制作应用于深度学习框架及统一算法库的长序列数据集，实现高效回算。</w:t>
      </w:r>
    </w:p>
    <w:p>
      <w:pPr>
        <w:pStyle w:val="Heading4"/>
        <w:numPr>
          <w:ilvl w:val="3"/>
          <w:numId w:val="7"/>
        </w:numPr>
        <w:rPr>
          <w:rFonts w:ascii="宋体" w:hAnsi="宋体" w:hint="eastAsia"/>
        </w:rPr>
      </w:pPr>
      <w:r>
        <w:rPr>
          <w:rFonts w:ascii="宋体" w:hAnsi="宋体" w:hint="eastAsia"/>
        </w:rPr>
        <w:t>插件式模块化设计及并行框架构建模块</w:t>
      </w:r>
    </w:p>
    <w:p>
      <w:pPr>
        <w:ind w:firstLine="560"/>
      </w:pPr>
      <w:r>
        <w:rPr>
          <w:rFonts w:hint="eastAsia"/>
        </w:rPr>
        <w:t>采用插件式模块设计，支持多线程和多进程并行，提高后处理实时训练预测的时效性。</w:t>
      </w:r>
    </w:p>
    <w:p>
      <w:pPr>
        <w:pStyle w:val="Heading4"/>
        <w:numPr>
          <w:ilvl w:val="3"/>
          <w:numId w:val="7"/>
        </w:numPr>
        <w:rPr>
          <w:rFonts w:ascii="宋体" w:hAnsi="宋体" w:hint="eastAsia"/>
        </w:rPr>
      </w:pPr>
      <w:r>
        <w:rPr>
          <w:rFonts w:ascii="宋体" w:hAnsi="宋体" w:hint="eastAsia"/>
        </w:rPr>
        <w:t>单模式订正算法接口建设模块</w:t>
      </w:r>
    </w:p>
    <w:p>
      <w:pPr>
        <w:ind w:firstLine="560"/>
      </w:pPr>
      <w:r>
        <w:rPr>
          <w:rFonts w:hint="eastAsia"/>
        </w:rPr>
        <w:t>集成多种单模式订正算法，通过接口调用实现对单个模式预报结果的订正。</w:t>
      </w:r>
    </w:p>
    <w:p>
      <w:pPr>
        <w:pStyle w:val="Heading4"/>
        <w:numPr>
          <w:ilvl w:val="3"/>
          <w:numId w:val="7"/>
        </w:numPr>
        <w:rPr>
          <w:rFonts w:ascii="宋体" w:hAnsi="宋体" w:hint="eastAsia"/>
        </w:rPr>
      </w:pPr>
      <w:r>
        <w:rPr>
          <w:rFonts w:ascii="宋体" w:hAnsi="宋体" w:hint="eastAsia"/>
        </w:rPr>
        <w:t>时空精细化算法接口建设模块</w:t>
      </w:r>
    </w:p>
    <w:p>
      <w:pPr>
        <w:ind w:firstLine="560"/>
      </w:pPr>
      <w:r>
        <w:rPr>
          <w:rFonts w:hint="eastAsia"/>
        </w:rPr>
        <w:t>集成多种时空精细化算法，通过接口调用实现数据的时空精细化处理。</w:t>
      </w:r>
    </w:p>
    <w:p>
      <w:pPr>
        <w:pStyle w:val="Heading4"/>
        <w:numPr>
          <w:ilvl w:val="3"/>
          <w:numId w:val="7"/>
        </w:numPr>
        <w:rPr>
          <w:rFonts w:ascii="宋体" w:hAnsi="宋体" w:hint="eastAsia"/>
        </w:rPr>
      </w:pPr>
      <w:r>
        <w:rPr>
          <w:rFonts w:ascii="宋体" w:hAnsi="宋体" w:hint="eastAsia"/>
        </w:rPr>
        <w:t>多源融合后处理算法接口建设模块</w:t>
      </w:r>
    </w:p>
    <w:p>
      <w:pPr>
        <w:ind w:firstLine="560"/>
      </w:pPr>
      <w:r>
        <w:rPr>
          <w:rFonts w:hint="eastAsia"/>
        </w:rPr>
        <w:t>集成多种多源融合后处理方法，通过接口调用实现多源数据的融合后处理。</w:t>
      </w:r>
    </w:p>
    <w:p>
      <w:pPr>
        <w:pStyle w:val="Heading4"/>
        <w:numPr>
          <w:ilvl w:val="3"/>
          <w:numId w:val="7"/>
        </w:numPr>
        <w:rPr>
          <w:rFonts w:ascii="宋体" w:hAnsi="宋体" w:hint="eastAsia"/>
        </w:rPr>
      </w:pPr>
      <w:r>
        <w:rPr>
          <w:rFonts w:ascii="宋体" w:hAnsi="宋体" w:hint="eastAsia"/>
        </w:rPr>
        <w:t>分钟级外推算法接口建设模块</w:t>
      </w:r>
    </w:p>
    <w:p>
      <w:pPr>
        <w:ind w:firstLine="560"/>
      </w:pPr>
      <w:r>
        <w:rPr>
          <w:rFonts w:hint="eastAsia"/>
        </w:rPr>
        <w:t>集成多种针对不同天气要素的分钟级外推算法，通过接口调用实现分钟级外推算法的调用及产品生成。</w:t>
      </w:r>
    </w:p>
    <w:p>
      <w:pPr>
        <w:pStyle w:val="Heading4"/>
        <w:numPr>
          <w:ilvl w:val="3"/>
          <w:numId w:val="7"/>
        </w:numPr>
        <w:rPr>
          <w:rFonts w:ascii="宋体" w:hAnsi="宋体" w:hint="eastAsia"/>
        </w:rPr>
      </w:pPr>
      <w:r>
        <w:rPr>
          <w:rFonts w:ascii="宋体" w:hAnsi="宋体" w:hint="eastAsia"/>
        </w:rPr>
        <w:t>基于地形的邻域概率预报算法接口建设模块</w:t>
      </w:r>
    </w:p>
    <w:p>
      <w:pPr>
        <w:ind w:firstLine="560"/>
      </w:pPr>
      <w:r>
        <w:rPr>
          <w:rFonts w:hint="eastAsia"/>
        </w:rPr>
        <w:t>改进邻域过程中海拔要素对结果的影响，基于海拔高度进行邻域概率预报。</w:t>
      </w:r>
    </w:p>
    <w:p>
      <w:pPr>
        <w:pStyle w:val="Heading4"/>
        <w:numPr>
          <w:ilvl w:val="3"/>
          <w:numId w:val="7"/>
        </w:numPr>
        <w:rPr>
          <w:rFonts w:ascii="宋体" w:hAnsi="宋体" w:hint="eastAsia"/>
        </w:rPr>
      </w:pPr>
      <w:r>
        <w:rPr>
          <w:rFonts w:ascii="宋体" w:hAnsi="宋体" w:hint="eastAsia"/>
        </w:rPr>
        <w:t>集约化算法库算法上传模块</w:t>
      </w:r>
    </w:p>
    <w:p>
      <w:pPr>
        <w:ind w:firstLine="560"/>
      </w:pPr>
      <w:r>
        <w:rPr>
          <w:rFonts w:hint="eastAsia"/>
        </w:rPr>
        <w:t>对上传的算法插件进行分类、代码合规性修改、单元测试等，并进行审核管理。</w:t>
      </w:r>
    </w:p>
    <w:p>
      <w:pPr>
        <w:pStyle w:val="Heading4"/>
        <w:numPr>
          <w:ilvl w:val="3"/>
          <w:numId w:val="7"/>
        </w:numPr>
        <w:rPr>
          <w:rFonts w:hint="eastAsia"/>
        </w:rPr>
      </w:pPr>
      <w:r>
        <w:rPr>
          <w:rFonts w:ascii="宋体" w:hAnsi="宋体" w:hint="eastAsia"/>
        </w:rPr>
        <w:t>集约化算法库版本管理模块</w:t>
      </w:r>
    </w:p>
    <w:p>
      <w:pPr>
        <w:ind w:firstLine="560"/>
      </w:pPr>
      <w:r>
        <w:rPr>
          <w:rFonts w:hint="eastAsia"/>
        </w:rPr>
        <w:t>提供统一的版本控制和管理机制，确保算法组件能够顺利集成、测试和发布。</w:t>
      </w:r>
    </w:p>
    <w:p>
      <w:pPr>
        <w:pStyle w:val="Heading4"/>
        <w:numPr>
          <w:ilvl w:val="3"/>
          <w:numId w:val="7"/>
        </w:numPr>
        <w:rPr>
          <w:rFonts w:ascii="宋体" w:hAnsi="宋体" w:hint="eastAsia"/>
        </w:rPr>
      </w:pPr>
      <w:r>
        <w:rPr>
          <w:rFonts w:ascii="宋体" w:hAnsi="宋体" w:hint="eastAsia"/>
        </w:rPr>
        <w:t>基于docker的NIMM基础环境构建和落地模块</w:t>
      </w:r>
    </w:p>
    <w:p>
      <w:pPr>
        <w:ind w:firstLine="560"/>
      </w:pPr>
      <w:r>
        <w:rPr>
          <w:rFonts w:hint="eastAsia"/>
        </w:rPr>
        <w:t>基于docker技术进行NIMM基础镜像构建、环境配置等，确保依赖项和工具正确安装。</w:t>
      </w:r>
    </w:p>
    <w:p>
      <w:pPr>
        <w:pStyle w:val="Heading4"/>
        <w:numPr>
          <w:ilvl w:val="3"/>
          <w:numId w:val="7"/>
        </w:numPr>
        <w:rPr>
          <w:rFonts w:ascii="宋体" w:hAnsi="宋体" w:hint="eastAsia"/>
        </w:rPr>
      </w:pPr>
      <w:r>
        <w:rPr>
          <w:rFonts w:ascii="宋体" w:hAnsi="宋体" w:hint="eastAsia"/>
        </w:rPr>
        <w:t>基于NIMM框架的短时降水多源融合预报模块</w:t>
      </w:r>
    </w:p>
    <w:p>
      <w:pPr>
        <w:ind w:firstLine="560"/>
      </w:pPr>
      <w:r>
        <w:rPr>
          <w:rFonts w:hint="eastAsia"/>
        </w:rPr>
        <w:t>利用NIMM框架实现短时降水多源融合预报，提高预报精度。</w:t>
      </w:r>
    </w:p>
    <w:p>
      <w:pPr>
        <w:pStyle w:val="Heading4"/>
        <w:numPr>
          <w:ilvl w:val="3"/>
          <w:numId w:val="7"/>
        </w:numPr>
        <w:rPr>
          <w:rFonts w:ascii="宋体" w:hAnsi="宋体" w:hint="eastAsia"/>
        </w:rPr>
      </w:pPr>
      <w:r>
        <w:rPr>
          <w:rFonts w:ascii="宋体" w:hAnsi="宋体" w:hint="eastAsia"/>
        </w:rPr>
        <w:t>概率预报功能完善模块</w:t>
      </w:r>
    </w:p>
    <w:p>
      <w:pPr>
        <w:ind w:firstLine="560"/>
      </w:pPr>
      <w:r>
        <w:rPr>
          <w:rFonts w:hint="eastAsia"/>
        </w:rPr>
        <w:t>完善概率预报模型，增加对更多气象要素的概率预报功能，优化表达方式。</w:t>
      </w:r>
    </w:p>
    <w:p>
      <w:pPr>
        <w:pStyle w:val="Heading4"/>
        <w:numPr>
          <w:ilvl w:val="3"/>
          <w:numId w:val="7"/>
        </w:numPr>
        <w:rPr>
          <w:rFonts w:ascii="宋体" w:hAnsi="宋体" w:hint="eastAsia"/>
        </w:rPr>
      </w:pPr>
      <w:r>
        <w:rPr>
          <w:rFonts w:ascii="宋体" w:hAnsi="宋体" w:hint="eastAsia"/>
        </w:rPr>
        <w:t>降尺度技术改进模块</w:t>
      </w:r>
    </w:p>
    <w:p>
      <w:pPr>
        <w:ind w:firstLine="560"/>
      </w:pPr>
      <w:r>
        <w:rPr>
          <w:rFonts w:hint="eastAsia"/>
        </w:rPr>
        <w:t>改进降尺度技术，提高大尺度气象数据向小尺度精细化数据转换的精度。</w:t>
      </w:r>
    </w:p>
    <w:p>
      <w:pPr>
        <w:pStyle w:val="Heading4"/>
        <w:numPr>
          <w:ilvl w:val="3"/>
          <w:numId w:val="7"/>
        </w:numPr>
        <w:rPr>
          <w:rFonts w:ascii="宋体" w:hAnsi="宋体" w:hint="eastAsia"/>
        </w:rPr>
      </w:pPr>
      <w:r>
        <w:rPr>
          <w:rFonts w:ascii="宋体" w:hAnsi="宋体" w:hint="eastAsia"/>
        </w:rPr>
        <w:t>时空精细化基础功能增强模块</w:t>
      </w:r>
    </w:p>
    <w:p>
      <w:pPr>
        <w:ind w:firstLine="560"/>
      </w:pPr>
      <w:r>
        <w:rPr>
          <w:rFonts w:hint="eastAsia"/>
        </w:rPr>
        <w:t>引入更先进的时空插值算法和数据融合技术，提高气象数据的时空分辨率和精度。</w:t>
      </w:r>
    </w:p>
    <w:p>
      <w:pPr>
        <w:pStyle w:val="Heading4"/>
        <w:numPr>
          <w:ilvl w:val="3"/>
          <w:numId w:val="7"/>
        </w:numPr>
        <w:rPr>
          <w:rFonts w:hint="eastAsia"/>
        </w:rPr>
      </w:pPr>
      <w:r>
        <w:rPr>
          <w:rFonts w:ascii="宋体" w:hAnsi="宋体" w:hint="eastAsia"/>
        </w:rPr>
        <w:t>国省统筹客观算法改造支持模块</w:t>
      </w:r>
    </w:p>
    <w:p>
      <w:pPr>
        <w:ind w:firstLine="560"/>
      </w:pPr>
      <w:r>
        <w:rPr>
          <w:rFonts w:hint="eastAsia"/>
        </w:rPr>
        <w:t>为国省统筹客观算法的改造提供技术支持、资源协调等，确保改造工作顺利推进。</w:t>
      </w:r>
    </w:p>
    <w:p>
      <w:pPr>
        <w:pStyle w:val="Heading4"/>
        <w:numPr>
          <w:ilvl w:val="3"/>
          <w:numId w:val="7"/>
        </w:numPr>
        <w:rPr>
          <w:rFonts w:ascii="宋体" w:hAnsi="宋体" w:hint="eastAsia"/>
        </w:rPr>
      </w:pPr>
      <w:r>
        <w:rPr>
          <w:rFonts w:ascii="宋体" w:hAnsi="宋体" w:hint="eastAsia"/>
        </w:rPr>
        <w:t>国省优秀后处理算法适配与复用模块</w:t>
      </w:r>
    </w:p>
    <w:p>
      <w:pPr>
        <w:ind w:firstLine="560"/>
      </w:pPr>
      <w:r>
        <w:rPr>
          <w:rFonts w:hint="eastAsia"/>
        </w:rPr>
        <w:t>开发适配NIMM框架的接口和工具，建立算法复用库，提高算法的利用效率和业务应用水平。</w:t>
      </w:r>
    </w:p>
    <w:p>
      <w:pPr>
        <w:pStyle w:val="Heading4"/>
        <w:numPr>
          <w:ilvl w:val="3"/>
          <w:numId w:val="7"/>
        </w:numPr>
        <w:rPr>
          <w:rFonts w:ascii="宋体" w:hAnsi="宋体" w:hint="eastAsia"/>
        </w:rPr>
      </w:pPr>
      <w:r>
        <w:rPr>
          <w:rFonts w:ascii="宋体" w:hAnsi="宋体" w:hint="eastAsia"/>
        </w:rPr>
        <w:t>国家级短时和短中期算法统一改造模块</w:t>
      </w:r>
    </w:p>
    <w:p>
      <w:pPr>
        <w:ind w:firstLine="560"/>
      </w:pPr>
      <w:r>
        <w:rPr>
          <w:rFonts w:hint="eastAsia"/>
        </w:rPr>
        <w:t>对国家级短时和短中期相关算法进行统一改造，提高算法的准确性、时效性和稳定性。</w:t>
      </w:r>
    </w:p>
    <w:p>
      <w:pPr>
        <w:pStyle w:val="Heading4"/>
        <w:numPr>
          <w:ilvl w:val="3"/>
          <w:numId w:val="7"/>
        </w:numPr>
        <w:rPr>
          <w:rFonts w:ascii="宋体" w:hAnsi="宋体" w:hint="eastAsia"/>
        </w:rPr>
      </w:pPr>
      <w:r>
        <w:rPr>
          <w:rFonts w:ascii="宋体" w:hAnsi="宋体" w:hint="eastAsia"/>
        </w:rPr>
        <w:t>国家级短时和短中期算法平行部署测试模块</w:t>
      </w:r>
    </w:p>
    <w:p>
      <w:pPr>
        <w:ind w:firstLine="560"/>
      </w:pPr>
      <w:r>
        <w:rPr>
          <w:rFonts w:hint="eastAsia"/>
        </w:rPr>
        <w:t>搭建平行部署测试环境，对改造后的算法进行全面测试，确保算法能够安全、可靠地应用于实际气象业务中。</w:t>
      </w:r>
    </w:p>
    <w:p>
      <w:pPr>
        <w:pStyle w:val="Heading3"/>
        <w:numPr>
          <w:ilvl w:val="2"/>
          <w:numId w:val="7"/>
        </w:numPr>
        <w:rPr>
          <w:rFonts w:ascii="宋体" w:hAnsi="宋体" w:hint="eastAsia"/>
        </w:rPr>
      </w:pPr>
      <w:r>
        <w:rPr>
          <w:rFonts w:ascii="宋体" w:hAnsi="宋体" w:hint="eastAsia"/>
        </w:rPr>
        <w:t>短时预报算法优化与新增</w:t>
      </w:r>
    </w:p>
    <w:p>
      <w:pPr>
        <w:pStyle w:val="Heading4"/>
        <w:numPr>
          <w:ilvl w:val="3"/>
          <w:numId w:val="7"/>
        </w:numPr>
        <w:rPr>
          <w:rFonts w:ascii="宋体" w:hAnsi="宋体" w:hint="eastAsia"/>
        </w:rPr>
      </w:pPr>
      <w:r>
        <w:rPr>
          <w:rFonts w:ascii="宋体" w:hAnsi="宋体" w:hint="eastAsia"/>
        </w:rPr>
        <w:t>NIMM 框架下短时滚动预报算法逻辑优化模块</w:t>
      </w:r>
    </w:p>
    <w:p>
      <w:pPr>
        <w:ind w:firstLine="560"/>
      </w:pPr>
      <w:r>
        <w:rPr>
          <w:rFonts w:hint="eastAsia"/>
        </w:rPr>
        <w:t>深入分析现有短时滚动预报算法逻辑，依据 NIMM 框架进行针对性优化，使其与气象数据的时间序列特征更匹配，提升预报时效性。</w:t>
      </w:r>
    </w:p>
    <w:p>
      <w:pPr>
        <w:pStyle w:val="Heading4"/>
        <w:numPr>
          <w:ilvl w:val="3"/>
          <w:numId w:val="7"/>
        </w:numPr>
        <w:rPr>
          <w:rFonts w:ascii="宋体" w:hAnsi="宋体" w:hint="eastAsia"/>
        </w:rPr>
      </w:pPr>
      <w:r>
        <w:rPr>
          <w:rFonts w:ascii="宋体" w:hAnsi="宋体" w:hint="eastAsia"/>
        </w:rPr>
        <w:t>NIMM 框架下短时滚动预报算法流程简化模块</w:t>
      </w:r>
    </w:p>
    <w:p>
      <w:pPr>
        <w:ind w:firstLine="560"/>
      </w:pPr>
      <w:r>
        <w:rPr>
          <w:rFonts w:hint="eastAsia"/>
        </w:rPr>
        <w:t>梳理算法流程，去除冗余步骤，基于 NIMM 框架重新设计高效流程，加快运算速度，增强预报及时性。</w:t>
      </w:r>
    </w:p>
    <w:p>
      <w:pPr>
        <w:pStyle w:val="Heading4"/>
        <w:numPr>
          <w:ilvl w:val="3"/>
          <w:numId w:val="7"/>
        </w:numPr>
        <w:rPr>
          <w:rFonts w:hint="eastAsia"/>
        </w:rPr>
      </w:pPr>
      <w:r>
        <w:rPr>
          <w:rFonts w:ascii="宋体" w:hAnsi="宋体"/>
        </w:rPr>
        <w:t xml:space="preserve">NIMM </w:t>
      </w:r>
      <w:r>
        <w:rPr>
          <w:rFonts w:ascii="宋体" w:hAnsi="宋体" w:hint="eastAsia"/>
        </w:rPr>
        <w:t>框架短时数据接口算法适配模块</w:t>
      </w:r>
    </w:p>
    <w:p>
      <w:pPr>
        <w:ind w:firstLine="560"/>
      </w:pPr>
      <w:r>
        <w:rPr>
          <w:rFonts w:hint="eastAsia"/>
        </w:rPr>
        <w:t>对天擎环境下不同数据源，开发适配算法，确保基于</w:t>
      </w:r>
      <w:r>
        <w:t xml:space="preserve"> NIMM </w:t>
      </w:r>
      <w:r>
        <w:rPr>
          <w:rFonts w:hint="eastAsia"/>
        </w:rPr>
        <w:t>框架的短时数据接口能稳定、高效地接入各类气象数据。</w:t>
      </w:r>
      <w:r>
        <w:rPr>
          <w:rFonts w:ascii="Times New Roman" w:hAnsi="Times New Roman" w:cs="Times New Roman"/>
        </w:rPr>
        <w:t>​</w:t>
      </w:r>
    </w:p>
    <w:p>
      <w:pPr>
        <w:pStyle w:val="Heading4"/>
        <w:numPr>
          <w:ilvl w:val="3"/>
          <w:numId w:val="7"/>
        </w:numPr>
        <w:rPr>
          <w:rFonts w:ascii="宋体" w:hAnsi="宋体" w:hint="eastAsia"/>
        </w:rPr>
      </w:pPr>
      <w:r>
        <w:rPr>
          <w:rFonts w:ascii="宋体" w:hAnsi="宋体"/>
        </w:rPr>
        <w:t xml:space="preserve">NIMM </w:t>
      </w:r>
      <w:r>
        <w:rPr>
          <w:rFonts w:ascii="宋体" w:hAnsi="宋体" w:hint="eastAsia"/>
        </w:rPr>
        <w:t>框架短时数据接口算法标准化模块</w:t>
      </w:r>
    </w:p>
    <w:p>
      <w:pPr>
        <w:ind w:firstLine="560"/>
      </w:pPr>
      <w:r>
        <w:rPr>
          <w:rFonts w:hint="eastAsia"/>
        </w:rPr>
        <w:t>制定基于</w:t>
      </w:r>
      <w:r>
        <w:t xml:space="preserve"> NIMM </w:t>
      </w:r>
      <w:r>
        <w:rPr>
          <w:rFonts w:hint="eastAsia"/>
        </w:rPr>
        <w:t>框架的短时数据接口算法标准，统一不同数据源接入算法的规范，实现数据处理的规范化。</w:t>
      </w:r>
      <w:r>
        <w:rPr>
          <w:rFonts w:ascii="Times New Roman" w:hAnsi="Times New Roman" w:cs="Times New Roman"/>
        </w:rPr>
        <w:t>​</w:t>
      </w:r>
    </w:p>
    <w:p>
      <w:pPr>
        <w:pStyle w:val="Heading4"/>
        <w:numPr>
          <w:ilvl w:val="3"/>
          <w:numId w:val="7"/>
        </w:numPr>
        <w:rPr>
          <w:rFonts w:ascii="宋体" w:hAnsi="宋体" w:hint="eastAsia"/>
        </w:rPr>
      </w:pPr>
      <w:r>
        <w:rPr>
          <w:rFonts w:ascii="宋体" w:hAnsi="宋体" w:hint="eastAsia"/>
        </w:rPr>
        <w:t>动态垂直变率降尺度算法核心优化模块</w:t>
      </w:r>
    </w:p>
    <w:p>
      <w:pPr>
        <w:ind w:firstLine="560"/>
      </w:pPr>
      <w:r>
        <w:rPr>
          <w:rFonts w:hint="eastAsia"/>
        </w:rPr>
        <w:t>对动态垂直变率降尺度算法的核心计算部分进行优化，提升其对气象数据空间分辨率的处理能力，为生成</w:t>
      </w:r>
      <w:r>
        <w:t xml:space="preserve"> 1km </w:t>
      </w:r>
      <w:r>
        <w:rPr>
          <w:rFonts w:hint="eastAsia"/>
        </w:rPr>
        <w:t>极值滚动预报产品提供更优质的数据基础。</w:t>
      </w:r>
    </w:p>
    <w:p>
      <w:pPr>
        <w:pStyle w:val="Heading4"/>
        <w:numPr>
          <w:ilvl w:val="3"/>
          <w:numId w:val="7"/>
        </w:numPr>
        <w:rPr>
          <w:rFonts w:ascii="宋体" w:hAnsi="宋体" w:hint="eastAsia"/>
        </w:rPr>
      </w:pPr>
      <w:r>
        <w:rPr>
          <w:rFonts w:ascii="宋体" w:hAnsi="宋体" w:hint="eastAsia"/>
        </w:rPr>
        <w:t>动态垂直变率降尺度算法边界条件优化模块</w:t>
      </w:r>
    </w:p>
    <w:p>
      <w:pPr>
        <w:ind w:firstLine="560"/>
      </w:pPr>
      <w:r>
        <w:rPr>
          <w:rFonts w:hint="eastAsia"/>
        </w:rPr>
        <w:t>针对动态垂直变率降尺度算法在不同气象边界条件下的应用，进行针对性优化，确保算法在复杂气象环境中的稳定性。</w:t>
      </w:r>
    </w:p>
    <w:p>
      <w:pPr>
        <w:pStyle w:val="Heading4"/>
        <w:numPr>
          <w:ilvl w:val="3"/>
          <w:numId w:val="7"/>
        </w:numPr>
        <w:rPr>
          <w:rFonts w:ascii="宋体" w:hAnsi="宋体" w:hint="eastAsia"/>
        </w:rPr>
      </w:pPr>
      <w:r>
        <w:rPr>
          <w:rFonts w:ascii="宋体" w:hAnsi="宋体" w:hint="eastAsia"/>
        </w:rPr>
        <w:t>决策树集成学习算法结构改进模块</w:t>
      </w:r>
    </w:p>
    <w:p>
      <w:pPr>
        <w:ind w:firstLine="560"/>
      </w:pPr>
      <w:r>
        <w:rPr>
          <w:rFonts w:hint="eastAsia"/>
        </w:rPr>
        <w:t>改进决策树集成学习算法的结构，增强其对气象要素复杂关系的挖掘能力，使其在一体化预报方案中发挥更大作用。</w:t>
      </w:r>
    </w:p>
    <w:p>
      <w:pPr>
        <w:pStyle w:val="Heading4"/>
        <w:numPr>
          <w:ilvl w:val="3"/>
          <w:numId w:val="7"/>
        </w:numPr>
        <w:rPr>
          <w:rFonts w:hint="eastAsia"/>
        </w:rPr>
      </w:pPr>
      <w:r>
        <w:rPr>
          <w:rFonts w:ascii="宋体" w:hAnsi="宋体" w:hint="eastAsia"/>
        </w:rPr>
        <w:t>决策树集成学习算法参数调整模块</w:t>
      </w:r>
    </w:p>
    <w:p>
      <w:pPr>
        <w:ind w:firstLine="560"/>
      </w:pPr>
      <w:r>
        <w:rPr>
          <w:rFonts w:hint="eastAsia"/>
        </w:rPr>
        <w:t>对决策树集成学习算法的参数进行动态调整，根据不同气象场景和数据特征，优化算法性能。</w:t>
      </w:r>
    </w:p>
    <w:p>
      <w:pPr>
        <w:pStyle w:val="Heading4"/>
        <w:numPr>
          <w:ilvl w:val="3"/>
          <w:numId w:val="7"/>
        </w:numPr>
        <w:rPr>
          <w:rFonts w:ascii="宋体" w:hAnsi="宋体" w:hint="eastAsia"/>
        </w:rPr>
      </w:pPr>
      <w:r>
        <w:rPr>
          <w:rFonts w:ascii="宋体" w:hAnsi="宋体"/>
        </w:rPr>
        <w:t xml:space="preserve">Kalman </w:t>
      </w:r>
      <w:r>
        <w:rPr>
          <w:rFonts w:ascii="宋体" w:hAnsi="宋体" w:hint="eastAsia"/>
        </w:rPr>
        <w:t>滤波算法自适应参数调整模块</w:t>
      </w:r>
    </w:p>
    <w:p>
      <w:pPr>
        <w:ind w:firstLine="560"/>
      </w:pPr>
      <w:r>
        <w:rPr>
          <w:rFonts w:hint="eastAsia"/>
        </w:rPr>
        <w:t>根据气象数据的实时变化，实现</w:t>
      </w:r>
      <w:r>
        <w:t xml:space="preserve"> Kalman </w:t>
      </w:r>
      <w:r>
        <w:rPr>
          <w:rFonts w:hint="eastAsia"/>
        </w:rPr>
        <w:t>滤波算法参数的自适应调整，提高对气象数据的实时修正能力。</w:t>
      </w:r>
    </w:p>
    <w:p>
      <w:pPr>
        <w:pStyle w:val="Heading4"/>
        <w:numPr>
          <w:ilvl w:val="3"/>
          <w:numId w:val="7"/>
        </w:numPr>
        <w:rPr>
          <w:rFonts w:ascii="宋体" w:hAnsi="宋体" w:hint="eastAsia"/>
        </w:rPr>
      </w:pPr>
      <w:r>
        <w:rPr>
          <w:rFonts w:ascii="宋体" w:hAnsi="宋体"/>
        </w:rPr>
        <w:t xml:space="preserve">Kalman </w:t>
      </w:r>
      <w:r>
        <w:rPr>
          <w:rFonts w:ascii="宋体" w:hAnsi="宋体" w:hint="eastAsia"/>
        </w:rPr>
        <w:t>滤波算法误差修正模块</w:t>
      </w:r>
    </w:p>
    <w:p>
      <w:pPr>
        <w:ind w:firstLine="560"/>
      </w:pPr>
      <w:r>
        <w:rPr>
          <w:rFonts w:hint="eastAsia"/>
        </w:rPr>
        <w:t>建立</w:t>
      </w:r>
      <w:r>
        <w:t xml:space="preserve"> Kalman </w:t>
      </w:r>
      <w:r>
        <w:rPr>
          <w:rFonts w:hint="eastAsia"/>
        </w:rPr>
        <w:t>滤波算法的误差修正机制，对滤波过程中产生的误差进行实时监测和修正，提升数据处理精度。</w:t>
      </w:r>
    </w:p>
    <w:p>
      <w:pPr>
        <w:pStyle w:val="Heading4"/>
        <w:numPr>
          <w:ilvl w:val="3"/>
          <w:numId w:val="7"/>
        </w:numPr>
        <w:rPr>
          <w:rFonts w:ascii="宋体" w:hAnsi="宋体" w:hint="eastAsia"/>
        </w:rPr>
      </w:pPr>
      <w:r>
        <w:rPr>
          <w:rFonts w:ascii="宋体" w:hAnsi="宋体" w:hint="eastAsia"/>
        </w:rPr>
        <w:t>多算法融合策略优化模块</w:t>
      </w:r>
    </w:p>
    <w:p>
      <w:pPr>
        <w:ind w:firstLine="560"/>
      </w:pPr>
      <w:r>
        <w:rPr>
          <w:rFonts w:hint="eastAsia"/>
        </w:rPr>
        <w:t>优化动态垂直变率降尺度技术、决策树集成学习和</w:t>
      </w:r>
      <w:r>
        <w:t xml:space="preserve"> Kalman </w:t>
      </w:r>
      <w:r>
        <w:rPr>
          <w:rFonts w:hint="eastAsia"/>
        </w:rPr>
        <w:t>滤波相结合的一体化预报方案中的算法融合策略，实现优势互补。</w:t>
      </w:r>
    </w:p>
    <w:p>
      <w:pPr>
        <w:pStyle w:val="Heading4"/>
        <w:numPr>
          <w:ilvl w:val="3"/>
          <w:numId w:val="7"/>
        </w:numPr>
        <w:rPr>
          <w:rFonts w:ascii="宋体" w:hAnsi="宋体" w:hint="eastAsia"/>
        </w:rPr>
      </w:pPr>
      <w:r>
        <w:rPr>
          <w:rFonts w:ascii="宋体" w:hAnsi="宋体" w:hint="eastAsia"/>
        </w:rPr>
        <w:t>多算法融合效果评估模块</w:t>
      </w:r>
    </w:p>
    <w:p>
      <w:pPr>
        <w:ind w:firstLine="560"/>
      </w:pPr>
      <w:r>
        <w:rPr>
          <w:rFonts w:hint="eastAsia"/>
        </w:rPr>
        <w:t>定期评估多算法融合后的预报效果，根据评估结果调整融合策略，持续提升预报精度。</w:t>
      </w:r>
    </w:p>
    <w:p>
      <w:pPr>
        <w:pStyle w:val="Heading4"/>
        <w:numPr>
          <w:ilvl w:val="3"/>
          <w:numId w:val="7"/>
        </w:numPr>
        <w:rPr>
          <w:rFonts w:ascii="宋体" w:hAnsi="宋体" w:hint="eastAsia"/>
        </w:rPr>
      </w:pPr>
      <w:r>
        <w:rPr>
          <w:rFonts w:ascii="宋体" w:hAnsi="宋体" w:hint="eastAsia"/>
        </w:rPr>
        <w:t>云量和地面气压 1km 极值滚动预报模型架构搭建模块</w:t>
      </w:r>
    </w:p>
    <w:p>
      <w:pPr>
        <w:ind w:firstLine="560"/>
      </w:pPr>
      <w:r>
        <w:rPr>
          <w:rFonts w:hint="eastAsia"/>
        </w:rPr>
        <w:t>基于一体化预报方案，搭建专门用于云量和地面气压等要素 1km 极值滚动预报的模型架构，充分考虑要素的时空变化特征。</w:t>
      </w:r>
    </w:p>
    <w:p>
      <w:pPr>
        <w:pStyle w:val="Heading4"/>
        <w:numPr>
          <w:ilvl w:val="3"/>
          <w:numId w:val="7"/>
        </w:numPr>
        <w:rPr>
          <w:rFonts w:ascii="宋体" w:hAnsi="宋体" w:hint="eastAsia"/>
        </w:rPr>
      </w:pPr>
      <w:r>
        <w:rPr>
          <w:rFonts w:ascii="宋体" w:hAnsi="宋体" w:hint="eastAsia"/>
        </w:rPr>
        <w:t>云量和地面气压 1km 极值滚动预报模型训练模块</w:t>
      </w:r>
    </w:p>
    <w:p>
      <w:pPr>
        <w:ind w:firstLine="560"/>
      </w:pPr>
      <w:r>
        <w:rPr>
          <w:rFonts w:hint="eastAsia"/>
        </w:rPr>
        <w:t>基于多种数据，对云量和地面气压1km滚动预报模型进行训练。</w:t>
      </w:r>
    </w:p>
    <w:p>
      <w:pPr>
        <w:pStyle w:val="Heading4"/>
        <w:numPr>
          <w:ilvl w:val="3"/>
          <w:numId w:val="7"/>
        </w:numPr>
        <w:rPr>
          <w:rFonts w:hint="eastAsia"/>
        </w:rPr>
      </w:pPr>
      <w:r>
        <w:rPr>
          <w:rFonts w:ascii="宋体" w:hAnsi="宋体" w:hint="eastAsia"/>
        </w:rPr>
        <w:t>云量和地面气压 1km 极值滚动预报模型参数初始化模块</w:t>
      </w:r>
    </w:p>
    <w:p>
      <w:pPr>
        <w:ind w:firstLine="560"/>
      </w:pPr>
      <w:r>
        <w:rPr>
          <w:rFonts w:hint="eastAsia"/>
        </w:rPr>
        <w:t>对搭建好的模型进行参数初始化，确保模型在训练初始阶段的稳定性和合理性。</w:t>
      </w:r>
    </w:p>
    <w:p>
      <w:pPr>
        <w:pStyle w:val="Heading4"/>
        <w:numPr>
          <w:ilvl w:val="3"/>
          <w:numId w:val="7"/>
        </w:numPr>
        <w:rPr>
          <w:rFonts w:ascii="宋体" w:hAnsi="宋体" w:hint="eastAsia"/>
        </w:rPr>
      </w:pPr>
      <w:r>
        <w:rPr>
          <w:rFonts w:ascii="宋体" w:hAnsi="宋体" w:hint="eastAsia"/>
        </w:rPr>
        <w:t>模型训练数据筛选与预处理模块</w:t>
      </w:r>
    </w:p>
    <w:p>
      <w:pPr>
        <w:ind w:firstLine="560"/>
      </w:pPr>
      <w:r>
        <w:rPr>
          <w:rFonts w:hint="eastAsia"/>
        </w:rPr>
        <w:t>对用于训练云量和地面气压等要素预报模型的数据进行筛选，去除异常值，并进行标准化等预处理，提高训练数据质量。</w:t>
      </w:r>
    </w:p>
    <w:p>
      <w:pPr>
        <w:pStyle w:val="Heading4"/>
        <w:numPr>
          <w:ilvl w:val="3"/>
          <w:numId w:val="7"/>
        </w:numPr>
        <w:rPr>
          <w:rFonts w:ascii="宋体" w:hAnsi="宋体" w:hint="eastAsia"/>
        </w:rPr>
      </w:pPr>
      <w:r>
        <w:rPr>
          <w:rFonts w:ascii="宋体" w:hAnsi="宋体" w:hint="eastAsia"/>
        </w:rPr>
        <w:t>模型训练数据扩充模块</w:t>
      </w:r>
    </w:p>
    <w:p>
      <w:pPr>
        <w:ind w:firstLine="560"/>
      </w:pPr>
      <w:r>
        <w:rPr>
          <w:rFonts w:hint="eastAsia"/>
        </w:rPr>
        <w:t>运用数据增强技术，扩充训练数据的多样性，提高模型的泛化能力</w:t>
      </w:r>
    </w:p>
    <w:p>
      <w:pPr>
        <w:pStyle w:val="Heading4"/>
        <w:numPr>
          <w:ilvl w:val="3"/>
          <w:numId w:val="7"/>
        </w:numPr>
        <w:rPr>
          <w:rFonts w:ascii="宋体" w:hAnsi="宋体" w:hint="eastAsia"/>
        </w:rPr>
      </w:pPr>
      <w:r>
        <w:rPr>
          <w:rFonts w:ascii="宋体" w:hAnsi="宋体" w:hint="eastAsia"/>
        </w:rPr>
        <w:t>模型训练过程超参数优化模块</w:t>
      </w:r>
    </w:p>
    <w:p>
      <w:pPr>
        <w:ind w:firstLine="560"/>
      </w:pPr>
      <w:r>
        <w:rPr>
          <w:rFonts w:hint="eastAsia"/>
        </w:rPr>
        <w:t>在云量和地面气压等要素预报模型训练过程中，运用优化算法动态调整超参数，寻找最优参数组合，提升模型性能。</w:t>
      </w:r>
    </w:p>
    <w:p>
      <w:pPr>
        <w:pStyle w:val="Heading4"/>
        <w:numPr>
          <w:ilvl w:val="3"/>
          <w:numId w:val="7"/>
        </w:numPr>
        <w:rPr>
          <w:rFonts w:ascii="宋体" w:hAnsi="宋体" w:hint="eastAsia"/>
        </w:rPr>
      </w:pPr>
      <w:r>
        <w:rPr>
          <w:rFonts w:ascii="宋体" w:hAnsi="宋体" w:hint="eastAsia"/>
        </w:rPr>
        <w:t>模型训练过程可视化监控模块</w:t>
      </w:r>
    </w:p>
    <w:p>
      <w:pPr>
        <w:ind w:firstLine="560"/>
      </w:pPr>
      <w:r>
        <w:rPr>
          <w:rFonts w:hint="eastAsia"/>
        </w:rPr>
        <w:t>实时可视化监控模型训练过程，展示参数变化、损失函数等指标，便于及时发现问题并调整训练策略。</w:t>
      </w:r>
    </w:p>
    <w:p>
      <w:pPr>
        <w:pStyle w:val="Heading4"/>
        <w:numPr>
          <w:ilvl w:val="3"/>
          <w:numId w:val="7"/>
        </w:numPr>
        <w:rPr>
          <w:rFonts w:ascii="宋体" w:hAnsi="宋体" w:hint="eastAsia"/>
        </w:rPr>
      </w:pPr>
      <w:r>
        <w:rPr>
          <w:rFonts w:ascii="宋体" w:hAnsi="宋体" w:hint="eastAsia"/>
        </w:rPr>
        <w:t>模型训练结果评估与反馈模块</w:t>
      </w:r>
    </w:p>
    <w:p>
      <w:pPr>
        <w:ind w:firstLine="560"/>
      </w:pPr>
      <w:r>
        <w:rPr>
          <w:rFonts w:hint="eastAsia"/>
        </w:rPr>
        <w:t>定期评估云量和地面气压等要素预报模型的训练结果，将评估反馈用于优化训练过程，不断提高模型预报准确率。</w:t>
      </w:r>
    </w:p>
    <w:p>
      <w:pPr>
        <w:pStyle w:val="Heading4"/>
        <w:numPr>
          <w:ilvl w:val="3"/>
          <w:numId w:val="7"/>
        </w:numPr>
        <w:rPr>
          <w:rFonts w:ascii="宋体" w:hAnsi="宋体" w:hint="eastAsia"/>
        </w:rPr>
      </w:pPr>
      <w:r>
        <w:rPr>
          <w:rFonts w:ascii="宋体" w:hAnsi="宋体" w:hint="eastAsia"/>
        </w:rPr>
        <w:t>大风概率预报模型开发模块</w:t>
      </w:r>
    </w:p>
    <w:p>
      <w:pPr>
        <w:ind w:firstLine="560"/>
      </w:pPr>
      <w:r>
        <w:rPr>
          <w:rFonts w:hint="eastAsia"/>
        </w:rPr>
        <w:t>结合气象学原理和历史数据，开发大风概率预报模型，准确评估大风灾害发生可能性。</w:t>
      </w:r>
    </w:p>
    <w:p>
      <w:pPr>
        <w:pStyle w:val="Heading4"/>
        <w:numPr>
          <w:ilvl w:val="3"/>
          <w:numId w:val="7"/>
        </w:numPr>
        <w:rPr>
          <w:rFonts w:hint="eastAsia"/>
        </w:rPr>
      </w:pPr>
      <w:r>
        <w:rPr>
          <w:rFonts w:ascii="宋体" w:hAnsi="宋体" w:hint="eastAsia"/>
        </w:rPr>
        <w:t>大风概率预报模型验证与校准模块</w:t>
      </w:r>
    </w:p>
    <w:p>
      <w:pPr>
        <w:ind w:firstLine="560"/>
      </w:pPr>
      <w:r>
        <w:rPr>
          <w:rFonts w:hint="eastAsia"/>
        </w:rPr>
        <w:t>对开发的大风概率预报模型进行验证和校准，确保模型的可靠性和准确性。</w:t>
      </w:r>
    </w:p>
    <w:p>
      <w:pPr>
        <w:pStyle w:val="Heading4"/>
        <w:numPr>
          <w:ilvl w:val="3"/>
          <w:numId w:val="7"/>
        </w:numPr>
        <w:rPr>
          <w:rFonts w:ascii="宋体" w:hAnsi="宋体" w:hint="eastAsia"/>
        </w:rPr>
      </w:pPr>
      <w:r>
        <w:rPr>
          <w:rFonts w:ascii="宋体" w:hAnsi="宋体" w:hint="eastAsia"/>
        </w:rPr>
        <w:t>冻雨概率预报模型开发模块</w:t>
      </w:r>
    </w:p>
    <w:p>
      <w:pPr>
        <w:ind w:firstLine="560"/>
      </w:pPr>
      <w:r>
        <w:rPr>
          <w:rFonts w:hint="eastAsia"/>
        </w:rPr>
        <w:t>针对冻雨形成的复杂气象条件，构建冻雨概率预报模型，为冻雨灾害预警提供技术支持。</w:t>
      </w:r>
    </w:p>
    <w:p>
      <w:pPr>
        <w:pStyle w:val="Heading4"/>
        <w:numPr>
          <w:ilvl w:val="3"/>
          <w:numId w:val="7"/>
        </w:numPr>
        <w:rPr>
          <w:rFonts w:hint="eastAsia"/>
        </w:rPr>
      </w:pPr>
      <w:r>
        <w:rPr>
          <w:rFonts w:ascii="宋体" w:hAnsi="宋体" w:hint="eastAsia"/>
        </w:rPr>
        <w:t>冻雨概率预报模型优化与验证模块</w:t>
      </w:r>
    </w:p>
    <w:p>
      <w:pPr>
        <w:ind w:firstLine="560"/>
      </w:pPr>
      <w:r>
        <w:rPr>
          <w:rFonts w:hint="eastAsia"/>
        </w:rPr>
        <w:t>持续优化冻雨概率预报模型，并通过历史数据和实际观测进行验证，提升模型性能。</w:t>
      </w:r>
    </w:p>
    <w:p>
      <w:pPr>
        <w:pStyle w:val="Heading4"/>
        <w:numPr>
          <w:ilvl w:val="3"/>
          <w:numId w:val="7"/>
        </w:numPr>
        <w:rPr>
          <w:rFonts w:ascii="宋体" w:hAnsi="宋体" w:hint="eastAsia"/>
        </w:rPr>
      </w:pPr>
      <w:r>
        <w:rPr>
          <w:rFonts w:ascii="宋体" w:hAnsi="宋体" w:hint="eastAsia"/>
        </w:rPr>
        <w:t>云量和地面气压 1km 极值滚动预报产品生成模块</w:t>
      </w:r>
    </w:p>
    <w:p>
      <w:pPr>
        <w:ind w:firstLine="560"/>
      </w:pPr>
      <w:r>
        <w:rPr>
          <w:rFonts w:hint="eastAsia"/>
        </w:rPr>
        <w:t>依据优化后的模型和处理后的数据，生成云量和地面气压等要素 1km 极值滚动预报产品，满足用户对高分辨率气象数据的需求。</w:t>
      </w:r>
    </w:p>
    <w:p>
      <w:pPr>
        <w:pStyle w:val="Heading4"/>
        <w:numPr>
          <w:ilvl w:val="3"/>
          <w:numId w:val="7"/>
        </w:numPr>
        <w:rPr>
          <w:rFonts w:ascii="宋体" w:hAnsi="宋体" w:hint="eastAsia"/>
        </w:rPr>
      </w:pPr>
      <w:r>
        <w:rPr>
          <w:rFonts w:ascii="宋体" w:hAnsi="宋体" w:hint="eastAsia"/>
        </w:rPr>
        <w:t>云量和地面气压 1km 极值滚动预报产品可视化模块</w:t>
      </w:r>
    </w:p>
    <w:p>
      <w:pPr>
        <w:ind w:firstLine="560"/>
      </w:pPr>
      <w:r>
        <w:rPr>
          <w:rFonts w:hint="eastAsia"/>
        </w:rPr>
        <w:t>将生成的预报产品进行可视化处理，以直观图表、地图等形式展示，方便用户查看和理解。</w:t>
      </w:r>
    </w:p>
    <w:p>
      <w:pPr>
        <w:pStyle w:val="Heading4"/>
        <w:numPr>
          <w:ilvl w:val="3"/>
          <w:numId w:val="7"/>
        </w:numPr>
        <w:rPr>
          <w:rFonts w:ascii="宋体" w:hAnsi="宋体" w:hint="eastAsia"/>
        </w:rPr>
      </w:pPr>
      <w:r>
        <w:rPr>
          <w:rFonts w:ascii="宋体" w:hAnsi="宋体" w:hint="eastAsia"/>
        </w:rPr>
        <w:t>大风概率预报产品生成模块</w:t>
      </w:r>
    </w:p>
    <w:p>
      <w:pPr>
        <w:ind w:firstLine="560"/>
      </w:pPr>
      <w:r>
        <w:rPr>
          <w:rFonts w:hint="eastAsia"/>
        </w:rPr>
        <w:t>根据大风概率预报模型，生成大风概率预报产品，为用户提供大风灾害的量化评估信息。</w:t>
      </w:r>
    </w:p>
    <w:p>
      <w:pPr>
        <w:pStyle w:val="Heading4"/>
        <w:numPr>
          <w:ilvl w:val="3"/>
          <w:numId w:val="7"/>
        </w:numPr>
        <w:rPr>
          <w:rFonts w:ascii="宋体" w:hAnsi="宋体" w:hint="eastAsia"/>
        </w:rPr>
      </w:pPr>
      <w:r>
        <w:rPr>
          <w:rFonts w:ascii="宋体" w:hAnsi="宋体" w:hint="eastAsia"/>
        </w:rPr>
        <w:t>大风概率预报产品解读与应用指导模块</w:t>
      </w:r>
    </w:p>
    <w:p>
      <w:pPr>
        <w:ind w:firstLine="560"/>
      </w:pPr>
      <w:r>
        <w:rPr>
          <w:rFonts w:hint="eastAsia"/>
        </w:rPr>
        <w:t>为用户解读大风概率预报产品并提供应用指导，帮助用户更好利用预报信息。</w:t>
      </w:r>
    </w:p>
    <w:p>
      <w:pPr>
        <w:pStyle w:val="Heading4"/>
        <w:numPr>
          <w:ilvl w:val="3"/>
          <w:numId w:val="7"/>
        </w:numPr>
        <w:rPr>
          <w:rFonts w:ascii="宋体" w:hAnsi="宋体" w:hint="eastAsia"/>
        </w:rPr>
      </w:pPr>
      <w:r>
        <w:rPr>
          <w:rFonts w:ascii="宋体" w:hAnsi="宋体" w:hint="eastAsia"/>
        </w:rPr>
        <w:t>冻雨概率预报产品生成模块</w:t>
      </w:r>
    </w:p>
    <w:p>
      <w:pPr>
        <w:ind w:firstLine="560"/>
      </w:pPr>
      <w:r>
        <w:rPr>
          <w:rFonts w:hint="eastAsia"/>
        </w:rPr>
        <w:t>基于冻雨概率预报模型，生成冻雨概率预报产品，帮助用户提前做好冻雨灾害防范准备。</w:t>
      </w:r>
    </w:p>
    <w:p>
      <w:pPr>
        <w:pStyle w:val="Heading4"/>
        <w:numPr>
          <w:ilvl w:val="3"/>
          <w:numId w:val="7"/>
        </w:numPr>
        <w:rPr>
          <w:rFonts w:ascii="宋体" w:hAnsi="宋体" w:hint="eastAsia"/>
        </w:rPr>
      </w:pPr>
      <w:r>
        <w:rPr>
          <w:rFonts w:ascii="宋体" w:hAnsi="宋体" w:hint="eastAsia"/>
        </w:rPr>
        <w:t>冻雨概率预报产品优化与反馈模块</w:t>
      </w:r>
    </w:p>
    <w:p>
      <w:pPr>
        <w:ind w:firstLine="560"/>
      </w:pPr>
      <w:r>
        <w:rPr>
          <w:rFonts w:hint="eastAsia"/>
        </w:rPr>
        <w:t>根据用户反馈和实际应用情况，优化冻雨概率预报产品，提升产品质量</w:t>
      </w:r>
    </w:p>
    <w:p>
      <w:pPr>
        <w:pStyle w:val="Heading4"/>
        <w:numPr>
          <w:ilvl w:val="3"/>
          <w:numId w:val="7"/>
        </w:numPr>
        <w:rPr>
          <w:rFonts w:ascii="宋体" w:hAnsi="宋体" w:hint="eastAsia"/>
        </w:rPr>
      </w:pPr>
      <w:r>
        <w:rPr>
          <w:rFonts w:ascii="宋体" w:hAnsi="宋体" w:hint="eastAsia"/>
        </w:rPr>
        <w:t>积雪厚度短时预报产品优化模块</w:t>
      </w:r>
    </w:p>
    <w:p>
      <w:pPr>
        <w:ind w:firstLine="560"/>
      </w:pPr>
      <w:r>
        <w:rPr>
          <w:rFonts w:hint="eastAsia"/>
        </w:rPr>
        <w:t>优化积雪厚度短时预报产品，提高预报的准确性和精细化程度，为交通、农业等行业提供更精准服务。</w:t>
      </w:r>
    </w:p>
    <w:p>
      <w:pPr>
        <w:pStyle w:val="Heading4"/>
        <w:numPr>
          <w:ilvl w:val="3"/>
          <w:numId w:val="7"/>
        </w:numPr>
        <w:rPr>
          <w:rFonts w:ascii="宋体" w:hAnsi="宋体" w:hint="eastAsia"/>
        </w:rPr>
      </w:pPr>
      <w:r>
        <w:rPr>
          <w:rFonts w:ascii="宋体" w:hAnsi="宋体" w:hint="eastAsia"/>
        </w:rPr>
        <w:t>积冰厚度短时预报产品优化模块</w:t>
      </w:r>
    </w:p>
    <w:p>
      <w:pPr>
        <w:ind w:firstLine="560"/>
      </w:pPr>
      <w:r>
        <w:rPr>
          <w:rFonts w:hint="eastAsia"/>
        </w:rPr>
        <w:t>改进积冰厚度短时预报产品的预报算法和模型，提升预报可靠性，满足能源等行业需求。</w:t>
      </w:r>
    </w:p>
    <w:p>
      <w:pPr>
        <w:pStyle w:val="Heading4"/>
        <w:numPr>
          <w:ilvl w:val="3"/>
          <w:numId w:val="7"/>
        </w:numPr>
        <w:rPr>
          <w:rFonts w:ascii="宋体" w:hAnsi="宋体" w:hint="eastAsia"/>
        </w:rPr>
      </w:pPr>
      <w:r>
        <w:rPr>
          <w:rFonts w:ascii="宋体" w:hAnsi="宋体" w:hint="eastAsia"/>
        </w:rPr>
        <w:t>雨雪相态短时预报产品优化模块</w:t>
      </w:r>
    </w:p>
    <w:p>
      <w:pPr>
        <w:ind w:firstLine="560"/>
      </w:pPr>
      <w:r>
        <w:rPr>
          <w:rFonts w:hint="eastAsia"/>
        </w:rPr>
        <w:t>优化雨雪相态短时预报产品，准确判断降水形式，为相关行业提供有价值的气象信息。</w:t>
      </w:r>
    </w:p>
    <w:p>
      <w:pPr>
        <w:pStyle w:val="Heading4"/>
        <w:numPr>
          <w:ilvl w:val="3"/>
          <w:numId w:val="7"/>
        </w:numPr>
        <w:rPr>
          <w:rFonts w:ascii="宋体" w:hAnsi="宋体" w:hint="eastAsia"/>
        </w:rPr>
      </w:pPr>
      <w:r>
        <w:rPr>
          <w:rFonts w:ascii="宋体" w:hAnsi="宋体" w:hint="eastAsia"/>
        </w:rPr>
        <w:t>NIMM 框架与天擎环境集成模块</w:t>
      </w:r>
    </w:p>
    <w:p>
      <w:pPr>
        <w:ind w:firstLine="560"/>
      </w:pPr>
      <w:r>
        <w:rPr>
          <w:rFonts w:hint="eastAsia"/>
        </w:rPr>
        <w:t>实现 NIMM 框架与天擎环境的深度集成，确保基于 NIMM 框架的各类算法和模型在天擎环境下稳定运行。</w:t>
      </w:r>
    </w:p>
    <w:p>
      <w:pPr>
        <w:pStyle w:val="Heading4"/>
        <w:numPr>
          <w:ilvl w:val="3"/>
          <w:numId w:val="7"/>
        </w:numPr>
        <w:rPr>
          <w:rFonts w:ascii="宋体" w:hAnsi="宋体" w:hint="eastAsia"/>
        </w:rPr>
      </w:pPr>
      <w:r>
        <w:rPr>
          <w:rFonts w:ascii="宋体" w:hAnsi="宋体" w:hint="eastAsia"/>
        </w:rPr>
        <w:t>NIMM 框架与天擎环境集成测试模块</w:t>
      </w:r>
    </w:p>
    <w:p>
      <w:pPr>
        <w:ind w:firstLine="560"/>
      </w:pPr>
      <w:r>
        <w:rPr>
          <w:rFonts w:hint="eastAsia"/>
        </w:rPr>
        <w:t>全面测试 NIMM 框架与天擎环境集成下的各类短期预报产品，确保集成的稳定性和可靠性。</w:t>
      </w:r>
    </w:p>
    <w:p>
      <w:pPr>
        <w:pStyle w:val="Heading4"/>
        <w:numPr>
          <w:ilvl w:val="3"/>
          <w:numId w:val="7"/>
        </w:numPr>
        <w:rPr>
          <w:rFonts w:ascii="宋体" w:hAnsi="宋体" w:hint="eastAsia"/>
        </w:rPr>
      </w:pPr>
      <w:r>
        <w:rPr>
          <w:rFonts w:ascii="宋体" w:hAnsi="宋体" w:hint="eastAsia"/>
        </w:rPr>
        <w:t>全球GOWFS智能数字定时预报及实况匹配检索模块</w:t>
      </w:r>
    </w:p>
    <w:p>
      <w:pPr>
        <w:ind w:firstLine="560"/>
      </w:pPr>
      <w:r>
        <w:rPr>
          <w:rFonts w:hint="eastAsia"/>
        </w:rPr>
        <w:t>针对GOWFS预报数据与实况数据，达成数据索引、质量控制、时空匹配及数据预处理等功能。</w:t>
      </w:r>
    </w:p>
    <w:p>
      <w:pPr>
        <w:pStyle w:val="Heading4"/>
        <w:numPr>
          <w:ilvl w:val="3"/>
          <w:numId w:val="7"/>
        </w:numPr>
        <w:rPr>
          <w:rFonts w:hint="eastAsia"/>
        </w:rPr>
      </w:pPr>
      <w:r>
        <w:rPr>
          <w:rFonts w:ascii="宋体" w:hAnsi="宋体" w:hint="eastAsia"/>
        </w:rPr>
        <w:t>全球站点预报短时滚动订正模块</w:t>
      </w:r>
    </w:p>
    <w:p>
      <w:pPr>
        <w:ind w:firstLine="560"/>
      </w:pPr>
      <w:r>
        <w:rPr>
          <w:rFonts w:hint="eastAsia"/>
        </w:rPr>
        <w:t>基于全球GOWFS定时预报数据与最新国际交换站实况数据，智能分析实况天气的升降幅度及变化走向，结合GOWFS最新站点预报偏差开展偏差携带衰减订正，实现对2米温度、风速、相对湿度、气压等气象要素的站点短时预报的实时动态更新。</w:t>
      </w:r>
    </w:p>
    <w:p>
      <w:pPr>
        <w:pStyle w:val="Heading4"/>
        <w:numPr>
          <w:ilvl w:val="3"/>
          <w:numId w:val="7"/>
        </w:numPr>
        <w:rPr>
          <w:rFonts w:ascii="宋体" w:hAnsi="宋体" w:hint="eastAsia"/>
        </w:rPr>
      </w:pPr>
      <w:r>
        <w:rPr>
          <w:rFonts w:ascii="宋体" w:hAnsi="宋体" w:hint="eastAsia"/>
        </w:rPr>
        <w:t>全球网格预报短时滚动订正模块</w:t>
      </w:r>
    </w:p>
    <w:p>
      <w:pPr>
        <w:ind w:firstLine="560"/>
      </w:pPr>
      <w:r>
        <w:rPr>
          <w:rFonts w:hint="eastAsia"/>
        </w:rPr>
        <w:t>基于GOWFS的网格预报数据以及GLDAS网格实况分析数据，通过深度剖析网格实况的变化趋势和幅度，结合GOWFS最新网格预报偏差开展动态衰减偏差订正，实现对2米温度、风速、相对湿度、气压等气象要素的网格短时预报的动态连续更新和性能提升。</w:t>
      </w:r>
    </w:p>
    <w:p>
      <w:pPr>
        <w:pStyle w:val="Heading4"/>
        <w:numPr>
          <w:ilvl w:val="3"/>
          <w:numId w:val="7"/>
        </w:numPr>
        <w:rPr>
          <w:rFonts w:ascii="宋体" w:hAnsi="宋体" w:hint="eastAsia"/>
        </w:rPr>
      </w:pPr>
      <w:r>
        <w:rPr>
          <w:rFonts w:ascii="宋体" w:hAnsi="宋体" w:hint="eastAsia"/>
        </w:rPr>
        <w:t>融合站点预报的全球网格短时预报产品制作模块</w:t>
      </w:r>
    </w:p>
    <w:p>
      <w:pPr>
        <w:ind w:firstLine="560"/>
      </w:pPr>
      <w:r>
        <w:rPr>
          <w:rFonts w:hint="eastAsia"/>
        </w:rPr>
        <w:t>借助站点观测资料的准确性和可靠性优势，利用空间一致性处理技术实现格站融合，将站点短时滚动订正偏差携带至网格订正预报中，进一步提升网格短时滚动订正预报性能，而在站点分布稀疏的区域则发挥多源融合格点分析实况的网格订正效果，最大化挖掘可预报性，生成预报性能良好的逐6h滚动更新的36h内逐1h全球逐5km短时网格预报。</w:t>
      </w:r>
    </w:p>
    <w:p>
      <w:pPr>
        <w:pStyle w:val="Heading4"/>
        <w:numPr>
          <w:ilvl w:val="3"/>
          <w:numId w:val="7"/>
        </w:numPr>
        <w:rPr>
          <w:rFonts w:ascii="宋体" w:hAnsi="宋体" w:hint="eastAsia"/>
        </w:rPr>
      </w:pPr>
      <w:r>
        <w:rPr>
          <w:rFonts w:ascii="宋体" w:hAnsi="宋体" w:hint="eastAsia"/>
        </w:rPr>
        <w:t>全球站点短时天气预报产品制作</w:t>
      </w:r>
    </w:p>
    <w:p>
      <w:pPr>
        <w:ind w:firstLine="560"/>
      </w:pPr>
      <w:r>
        <w:rPr>
          <w:rFonts w:hint="eastAsia"/>
        </w:rPr>
        <w:t>基于任意站点经纬度位置字典文件，综合使用格点预报产品和站点预报产品，从中自动化诊断提取站点精细化预报数据，制作6h滚动更新的36h内逐1h的短时滚动订正站点预报服务产品，为全球公众气象服务和专项保障提供支持。</w:t>
      </w:r>
    </w:p>
    <w:p>
      <w:pPr>
        <w:pStyle w:val="Heading3"/>
        <w:numPr>
          <w:ilvl w:val="2"/>
          <w:numId w:val="7"/>
        </w:numPr>
        <w:rPr>
          <w:rFonts w:ascii="宋体" w:hAnsi="宋体" w:hint="eastAsia"/>
        </w:rPr>
      </w:pPr>
      <w:r>
        <w:rPr>
          <w:rFonts w:ascii="宋体" w:hAnsi="宋体" w:hint="eastAsia"/>
        </w:rPr>
        <w:t>全要素预报算法改进与多模式融合技术提升</w:t>
      </w:r>
    </w:p>
    <w:p>
      <w:pPr>
        <w:pStyle w:val="Heading4"/>
        <w:numPr>
          <w:ilvl w:val="3"/>
          <w:numId w:val="7"/>
        </w:numPr>
        <w:rPr>
          <w:rFonts w:ascii="宋体" w:hAnsi="宋体" w:hint="eastAsia"/>
        </w:rPr>
      </w:pPr>
      <w:r>
        <w:rPr>
          <w:rFonts w:ascii="宋体" w:hAnsi="宋体" w:hint="eastAsia"/>
        </w:rPr>
        <w:t>历史风速数据时间分布分析模块</w:t>
      </w:r>
    </w:p>
    <w:p>
      <w:pPr>
        <w:ind w:firstLine="560"/>
      </w:pPr>
      <w:r>
        <w:rPr>
          <w:rFonts w:hint="eastAsia"/>
        </w:rPr>
        <w:t>计算不同时间尺度下历史风速数据的均值与方差，分析风速随时间的变化趋势，明确其日变化规律、季节变化特征以及长期演变趋势。</w:t>
      </w:r>
    </w:p>
    <w:p>
      <w:pPr>
        <w:pStyle w:val="Heading4"/>
        <w:numPr>
          <w:ilvl w:val="3"/>
          <w:numId w:val="7"/>
        </w:numPr>
        <w:rPr>
          <w:rFonts w:ascii="宋体" w:hAnsi="宋体" w:hint="eastAsia"/>
        </w:rPr>
      </w:pPr>
      <w:r>
        <w:rPr>
          <w:rFonts w:ascii="宋体" w:hAnsi="宋体" w:hint="eastAsia"/>
        </w:rPr>
        <w:t>历史风速数据空间分布分析模块</w:t>
      </w:r>
    </w:p>
    <w:p>
      <w:pPr>
        <w:ind w:firstLine="560"/>
      </w:pPr>
      <w:r>
        <w:rPr>
          <w:rFonts w:hint="eastAsia"/>
        </w:rPr>
        <w:t>运用空间自相关分析、克里金插值等方法，分析不同地理位置上的历史风速分布特征，绘制风速空间分布图，揭示其空间变异性和相关性。</w:t>
      </w:r>
    </w:p>
    <w:p>
      <w:pPr>
        <w:pStyle w:val="Heading4"/>
        <w:numPr>
          <w:ilvl w:val="3"/>
          <w:numId w:val="7"/>
        </w:numPr>
        <w:rPr>
          <w:rFonts w:ascii="宋体" w:hAnsi="宋体" w:hint="eastAsia"/>
        </w:rPr>
      </w:pPr>
      <w:r>
        <w:rPr>
          <w:rFonts w:ascii="宋体" w:hAnsi="宋体" w:hint="eastAsia"/>
        </w:rPr>
        <w:t>分段线性回归模型构建模块</w:t>
      </w:r>
    </w:p>
    <w:p>
      <w:pPr>
        <w:ind w:firstLine="560"/>
      </w:pPr>
      <w:r>
        <w:rPr>
          <w:rFonts w:hint="eastAsia"/>
        </w:rPr>
        <w:t>鉴于风速受下垫面等局地因素影响且与自身相关，以风速为因变量构建分段线性回归模型。</w:t>
      </w:r>
    </w:p>
    <w:p>
      <w:pPr>
        <w:pStyle w:val="Heading4"/>
        <w:numPr>
          <w:ilvl w:val="3"/>
          <w:numId w:val="7"/>
        </w:numPr>
        <w:rPr>
          <w:rFonts w:ascii="宋体" w:hAnsi="宋体" w:hint="eastAsia"/>
        </w:rPr>
      </w:pPr>
      <w:r>
        <w:rPr>
          <w:rFonts w:ascii="宋体" w:hAnsi="宋体" w:hint="eastAsia"/>
        </w:rPr>
        <w:t>神经网络结构设计模块</w:t>
      </w:r>
    </w:p>
    <w:p>
      <w:pPr>
        <w:ind w:firstLine="560"/>
      </w:pPr>
      <w:r>
        <w:rPr>
          <w:rFonts w:hint="eastAsia"/>
        </w:rPr>
        <w:t>确定多层感知器（MLP）神经网络的层数、每层神经元数量及激活函数，构建阵风参数化模型。</w:t>
      </w:r>
    </w:p>
    <w:p>
      <w:pPr>
        <w:pStyle w:val="Heading4"/>
        <w:numPr>
          <w:ilvl w:val="3"/>
          <w:numId w:val="7"/>
        </w:numPr>
        <w:rPr>
          <w:rFonts w:ascii="宋体" w:hAnsi="宋体" w:hint="eastAsia"/>
        </w:rPr>
      </w:pPr>
      <w:r>
        <w:rPr>
          <w:rFonts w:ascii="宋体" w:hAnsi="宋体" w:hint="eastAsia"/>
        </w:rPr>
        <w:t>超参数选取模块</w:t>
      </w:r>
    </w:p>
    <w:p>
      <w:pPr>
        <w:ind w:firstLine="560"/>
      </w:pPr>
      <w:r>
        <w:rPr>
          <w:rFonts w:hint="eastAsia"/>
        </w:rPr>
        <w:t>运用贝叶斯优化与交叉验证算法，选取神经网络模型的超参数，提升模型泛化性与准确性。</w:t>
      </w:r>
    </w:p>
    <w:p>
      <w:pPr>
        <w:pStyle w:val="Heading4"/>
        <w:numPr>
          <w:ilvl w:val="3"/>
          <w:numId w:val="7"/>
        </w:numPr>
        <w:rPr>
          <w:rFonts w:ascii="宋体" w:hAnsi="宋体" w:hint="eastAsia"/>
        </w:rPr>
      </w:pPr>
      <w:r>
        <w:rPr>
          <w:rFonts w:ascii="宋体" w:hAnsi="宋体" w:hint="eastAsia"/>
        </w:rPr>
        <w:t>多模式数据预处理流程细化模块</w:t>
      </w:r>
    </w:p>
    <w:p>
      <w:pPr>
        <w:ind w:firstLine="560"/>
      </w:pPr>
      <w:r>
        <w:rPr>
          <w:rFonts w:hint="eastAsia"/>
        </w:rPr>
        <w:t>统一收集到的数据格式，将不同格式数据转换为标准格式，通过异常值检测算法处理异常值，采用标准化或归一化方法对数据进行归一化。</w:t>
      </w:r>
    </w:p>
    <w:p>
      <w:pPr>
        <w:pStyle w:val="Heading4"/>
        <w:numPr>
          <w:ilvl w:val="3"/>
          <w:numId w:val="7"/>
        </w:numPr>
        <w:rPr>
          <w:rFonts w:ascii="宋体" w:hAnsi="宋体" w:hint="eastAsia"/>
        </w:rPr>
      </w:pPr>
      <w:r>
        <w:rPr>
          <w:rFonts w:ascii="宋体" w:hAnsi="宋体" w:hint="eastAsia"/>
        </w:rPr>
        <w:t>模式初始权重计算模块</w:t>
      </w:r>
    </w:p>
    <w:p>
      <w:pPr>
        <w:ind w:firstLine="560"/>
      </w:pPr>
      <w:r>
        <w:rPr>
          <w:rFonts w:hint="eastAsia"/>
        </w:rPr>
        <w:t>利用相关系数分析，计算各模式预报结果与实际观测数据的相关系数，结合均方根误差等指标评估模式准确性，为各模式分配初始权重。</w:t>
      </w:r>
    </w:p>
    <w:p>
      <w:pPr>
        <w:pStyle w:val="Heading4"/>
        <w:numPr>
          <w:ilvl w:val="3"/>
          <w:numId w:val="7"/>
        </w:numPr>
        <w:rPr>
          <w:rFonts w:ascii="宋体" w:hAnsi="宋体" w:hint="eastAsia"/>
        </w:rPr>
      </w:pPr>
      <w:r>
        <w:rPr>
          <w:rFonts w:ascii="宋体" w:hAnsi="宋体" w:hint="eastAsia"/>
        </w:rPr>
        <w:t>模式权重动态调整策略制定模块</w:t>
      </w:r>
    </w:p>
    <w:p>
      <w:pPr>
        <w:ind w:firstLine="560"/>
      </w:pPr>
      <w:r>
        <w:rPr>
          <w:rFonts w:hint="eastAsia"/>
        </w:rPr>
        <w:t>依据实时预报结果与实际观测数据的对比，采用自适应权重调整算法，动态调整各模式权重，提升多模式集成的准确性。</w:t>
      </w:r>
    </w:p>
    <w:p>
      <w:pPr>
        <w:pStyle w:val="Heading4"/>
        <w:numPr>
          <w:ilvl w:val="3"/>
          <w:numId w:val="7"/>
        </w:numPr>
        <w:rPr>
          <w:rFonts w:hint="eastAsia"/>
        </w:rPr>
      </w:pPr>
      <w:r>
        <w:rPr>
          <w:rFonts w:ascii="宋体" w:hAnsi="宋体" w:hint="eastAsia"/>
        </w:rPr>
        <w:t>多模式集成效果评估指标体系构建模块</w:t>
      </w:r>
    </w:p>
    <w:p>
      <w:pPr>
        <w:ind w:firstLine="560"/>
      </w:pPr>
      <w:r>
        <w:rPr>
          <w:rFonts w:hint="eastAsia"/>
        </w:rPr>
        <w:t>建立全面的评估指标体系，除命中率、虚警率、临界成功指数外，纳入偏差评分、技巧评分等指标，从多维度评估多模式集成效果。</w:t>
      </w:r>
    </w:p>
    <w:p>
      <w:pPr>
        <w:pStyle w:val="Heading4"/>
        <w:numPr>
          <w:ilvl w:val="3"/>
          <w:numId w:val="7"/>
        </w:numPr>
        <w:rPr>
          <w:rFonts w:ascii="宋体" w:hAnsi="宋体" w:hint="eastAsia"/>
        </w:rPr>
      </w:pPr>
      <w:r>
        <w:rPr>
          <w:rFonts w:ascii="宋体" w:hAnsi="宋体" w:hint="eastAsia"/>
        </w:rPr>
        <w:t>温度数据实时订正模块</w:t>
      </w:r>
    </w:p>
    <w:p>
      <w:pPr>
        <w:ind w:firstLine="560"/>
      </w:pPr>
      <w:r>
        <w:rPr>
          <w:rFonts w:hint="eastAsia"/>
        </w:rPr>
        <w:t>运用滑动卡尔曼滤波法，对较长时间跨度的温度历史数据进行处理，为温度客观订正算法提供支撑。</w:t>
      </w:r>
    </w:p>
    <w:p>
      <w:pPr>
        <w:pStyle w:val="Heading4"/>
        <w:numPr>
          <w:ilvl w:val="3"/>
          <w:numId w:val="7"/>
        </w:numPr>
        <w:rPr>
          <w:rFonts w:ascii="宋体" w:hAnsi="宋体" w:hint="eastAsia"/>
        </w:rPr>
      </w:pPr>
      <w:r>
        <w:rPr>
          <w:rFonts w:ascii="宋体" w:hAnsi="宋体" w:hint="eastAsia"/>
        </w:rPr>
        <w:t>相对湿度数据实时订正模块</w:t>
      </w:r>
    </w:p>
    <w:p>
      <w:pPr>
        <w:ind w:firstLine="560"/>
      </w:pPr>
      <w:r>
        <w:rPr>
          <w:rFonts w:hint="eastAsia"/>
        </w:rPr>
        <w:t>运用滑动卡尔曼滤波法，对较长时间跨度的温度历史数据进行处理，为温度客观订正算法提供支撑。</w:t>
      </w:r>
    </w:p>
    <w:p>
      <w:pPr>
        <w:pStyle w:val="Heading4"/>
        <w:numPr>
          <w:ilvl w:val="3"/>
          <w:numId w:val="7"/>
        </w:numPr>
        <w:rPr>
          <w:rFonts w:ascii="宋体" w:hAnsi="宋体" w:hint="eastAsia"/>
        </w:rPr>
      </w:pPr>
      <w:r>
        <w:rPr>
          <w:rFonts w:ascii="宋体" w:hAnsi="宋体" w:hint="eastAsia"/>
        </w:rPr>
        <w:t>降水预报的 NIMM 改造模块</w:t>
      </w:r>
    </w:p>
    <w:p>
      <w:pPr>
        <w:ind w:firstLine="560"/>
      </w:pPr>
      <w:r>
        <w:rPr>
          <w:rFonts w:hint="eastAsia"/>
        </w:rPr>
        <w:t>基于现有降水格点预报产品，在 NIMM 统一框架下进行标准化改造，提升产品运行稳定性与可靠性。</w:t>
      </w:r>
    </w:p>
    <w:p>
      <w:pPr>
        <w:pStyle w:val="Heading4"/>
        <w:numPr>
          <w:ilvl w:val="3"/>
          <w:numId w:val="7"/>
        </w:numPr>
        <w:rPr>
          <w:rFonts w:ascii="宋体" w:hAnsi="宋体" w:hint="eastAsia"/>
        </w:rPr>
      </w:pPr>
      <w:r>
        <w:rPr>
          <w:rFonts w:ascii="宋体" w:hAnsi="宋体" w:hint="eastAsia"/>
        </w:rPr>
        <w:t>平均风场预报 NIMM 改造模块</w:t>
      </w:r>
    </w:p>
    <w:p>
      <w:pPr>
        <w:ind w:firstLine="560"/>
      </w:pPr>
      <w:r>
        <w:rPr>
          <w:rFonts w:hint="eastAsia"/>
        </w:rPr>
        <w:t>在 NIMM 框架下改造平均风场预报算法，优化算法结构，适配 NIMM 的数据接口和计算流程，提高预报效率和准确性，实现无缝集成。</w:t>
      </w:r>
    </w:p>
    <w:p>
      <w:pPr>
        <w:pStyle w:val="Heading4"/>
        <w:numPr>
          <w:ilvl w:val="3"/>
          <w:numId w:val="7"/>
        </w:numPr>
        <w:rPr>
          <w:rFonts w:ascii="宋体" w:hAnsi="宋体" w:hint="eastAsia"/>
        </w:rPr>
      </w:pPr>
      <w:r>
        <w:rPr>
          <w:rFonts w:ascii="宋体" w:hAnsi="宋体" w:hint="eastAsia"/>
        </w:rPr>
        <w:t>阵风风速预报 NIMM 改造模块</w:t>
      </w:r>
    </w:p>
    <w:p>
      <w:pPr>
        <w:ind w:firstLine="560"/>
      </w:pPr>
      <w:r>
        <w:rPr>
          <w:rFonts w:hint="eastAsia"/>
        </w:rPr>
        <w:t>对温度预报产品的生成和输出进行 NIMM 改造，优化数据传输和展示方式，使其符合 NIMM 的数据标准和用户交互要求，提升兼容性和易用性。</w:t>
      </w:r>
    </w:p>
    <w:p>
      <w:pPr>
        <w:pStyle w:val="Heading4"/>
        <w:numPr>
          <w:ilvl w:val="3"/>
          <w:numId w:val="7"/>
        </w:numPr>
        <w:rPr>
          <w:rFonts w:ascii="宋体" w:hAnsi="宋体" w:hint="eastAsia"/>
        </w:rPr>
      </w:pPr>
      <w:r>
        <w:rPr>
          <w:rFonts w:ascii="宋体" w:hAnsi="宋体" w:hint="eastAsia"/>
        </w:rPr>
        <w:t>温度预报产品 NIMM 改造模块</w:t>
      </w:r>
    </w:p>
    <w:p>
      <w:pPr>
        <w:ind w:firstLine="560"/>
      </w:pPr>
      <w:r>
        <w:rPr>
          <w:rFonts w:hint="eastAsia"/>
        </w:rPr>
        <w:t>对温度预报产品的生成和输出进行 NIMM 改造，优化数据传输和展示方式，使其符合 NIMM 的数据标准和用户交互要求，提升兼容性和易用性。</w:t>
      </w:r>
    </w:p>
    <w:p>
      <w:pPr>
        <w:pStyle w:val="Heading4"/>
        <w:numPr>
          <w:ilvl w:val="3"/>
          <w:numId w:val="7"/>
        </w:numPr>
        <w:rPr>
          <w:rFonts w:ascii="宋体" w:hAnsi="宋体" w:hint="eastAsia"/>
        </w:rPr>
      </w:pPr>
      <w:r>
        <w:rPr>
          <w:rFonts w:ascii="宋体" w:hAnsi="宋体" w:hint="eastAsia"/>
        </w:rPr>
        <w:t>相对湿度预报 NIMM 改造模块</w:t>
      </w:r>
    </w:p>
    <w:p>
      <w:pPr>
        <w:ind w:firstLine="560"/>
      </w:pPr>
      <w:r>
        <w:rPr>
          <w:rFonts w:hint="eastAsia"/>
        </w:rPr>
        <w:t>在 NIMM 框架下改造相对湿度预报的模型和流程，利用其数据分析和处理能力，提升预报的可靠性和稳定性，实现与其他模块协同工作。</w:t>
      </w:r>
    </w:p>
    <w:p>
      <w:pPr>
        <w:pStyle w:val="Heading4"/>
        <w:numPr>
          <w:ilvl w:val="3"/>
          <w:numId w:val="7"/>
        </w:numPr>
        <w:rPr>
          <w:rFonts w:hint="eastAsia"/>
        </w:rPr>
      </w:pPr>
      <w:r>
        <w:rPr>
          <w:rFonts w:ascii="宋体" w:hAnsi="宋体" w:hint="eastAsia"/>
        </w:rPr>
        <w:t>海雾监测产品的NIMM改造模块</w:t>
      </w:r>
    </w:p>
    <w:p>
      <w:pPr>
        <w:ind w:firstLine="560"/>
      </w:pPr>
      <w:r>
        <w:rPr>
          <w:rFonts w:hint="eastAsia"/>
        </w:rPr>
        <w:t>将现有基于卫星数据所获得的海雾监测算法进行NIMM框架改造，提升产品运行稳定性与兼容性。</w:t>
      </w:r>
    </w:p>
    <w:p>
      <w:pPr>
        <w:pStyle w:val="Heading4"/>
        <w:numPr>
          <w:ilvl w:val="3"/>
          <w:numId w:val="7"/>
        </w:numPr>
        <w:rPr>
          <w:rFonts w:ascii="宋体" w:hAnsi="宋体" w:hint="eastAsia"/>
        </w:rPr>
      </w:pPr>
      <w:r>
        <w:rPr>
          <w:rFonts w:ascii="宋体" w:hAnsi="宋体" w:hint="eastAsia"/>
        </w:rPr>
        <w:t>海浪格点预报产品的NIMM改造模块</w:t>
      </w:r>
    </w:p>
    <w:p>
      <w:pPr>
        <w:ind w:firstLine="560"/>
      </w:pPr>
      <w:r>
        <w:rPr>
          <w:rFonts w:hint="eastAsia"/>
        </w:rPr>
        <w:t>将海浪格点预报产品代码进行NIMM框架改造，使其融入NIMM之中</w:t>
      </w:r>
    </w:p>
    <w:p>
      <w:pPr>
        <w:pStyle w:val="Heading4"/>
        <w:numPr>
          <w:ilvl w:val="3"/>
          <w:numId w:val="7"/>
        </w:numPr>
        <w:rPr>
          <w:rFonts w:ascii="宋体" w:hAnsi="宋体" w:hint="eastAsia"/>
        </w:rPr>
      </w:pPr>
      <w:r>
        <w:rPr>
          <w:rFonts w:ascii="宋体" w:hAnsi="宋体" w:hint="eastAsia"/>
        </w:rPr>
        <w:t>海上能见度格点预报产品的NIMM改造模块</w:t>
      </w:r>
    </w:p>
    <w:p>
      <w:pPr>
        <w:ind w:firstLine="560"/>
      </w:pPr>
      <w:r>
        <w:rPr>
          <w:rFonts w:hint="eastAsia"/>
        </w:rPr>
        <w:t>将海上能见度格点预报产品代码进行NIMM框架改造，使其融入NIMM之中。</w:t>
      </w:r>
    </w:p>
    <w:p>
      <w:pPr>
        <w:pStyle w:val="Heading4"/>
        <w:numPr>
          <w:ilvl w:val="3"/>
          <w:numId w:val="7"/>
        </w:numPr>
        <w:rPr>
          <w:rFonts w:hint="eastAsia"/>
        </w:rPr>
      </w:pPr>
      <w:r>
        <w:rPr>
          <w:rFonts w:ascii="宋体" w:hAnsi="宋体" w:hint="eastAsia"/>
        </w:rPr>
        <w:t>多模式融合预报产品 NIMM 改造模块</w:t>
      </w:r>
    </w:p>
    <w:p>
      <w:pPr>
        <w:ind w:firstLine="560"/>
      </w:pPr>
      <w:r>
        <w:rPr>
          <w:rFonts w:hint="eastAsia"/>
        </w:rPr>
        <w:t>将多模式融合预报产品整合到 NIMM 系统中，对格式、内容和发布方式进行改造，确保在 NIMM 环境下高效运行和准确展示，提高应用价值和影响力。</w:t>
      </w:r>
    </w:p>
    <w:p>
      <w:pPr>
        <w:pStyle w:val="Heading4"/>
        <w:numPr>
          <w:ilvl w:val="3"/>
          <w:numId w:val="7"/>
        </w:numPr>
        <w:rPr>
          <w:rFonts w:ascii="宋体" w:hAnsi="宋体" w:hint="eastAsia"/>
        </w:rPr>
      </w:pPr>
      <w:r>
        <w:rPr>
          <w:rFonts w:ascii="宋体" w:hAnsi="宋体" w:hint="eastAsia"/>
        </w:rPr>
        <w:t>全球平均风数据融合模块</w:t>
      </w:r>
    </w:p>
    <w:p>
      <w:pPr>
        <w:ind w:firstLine="560"/>
      </w:pPr>
      <w:r>
        <w:rPr>
          <w:rFonts w:hint="eastAsia"/>
        </w:rPr>
        <w:t>融合全球不同来源的平均风数据，确保融合后的数据准确可靠，为后续客观订正提供高质量数据基础。</w:t>
      </w:r>
    </w:p>
    <w:p>
      <w:pPr>
        <w:pStyle w:val="Heading4"/>
        <w:numPr>
          <w:ilvl w:val="3"/>
          <w:numId w:val="7"/>
        </w:numPr>
        <w:rPr>
          <w:rFonts w:ascii="宋体" w:hAnsi="宋体" w:hint="eastAsia"/>
        </w:rPr>
      </w:pPr>
      <w:r>
        <w:rPr>
          <w:rFonts w:ascii="宋体" w:hAnsi="宋体" w:hint="eastAsia"/>
        </w:rPr>
        <w:t>全球阵风特征参数提取与分析模块</w:t>
      </w:r>
    </w:p>
    <w:p>
      <w:pPr>
        <w:ind w:firstLine="560"/>
      </w:pPr>
      <w:r>
        <w:rPr>
          <w:rFonts w:hint="eastAsia"/>
        </w:rPr>
        <w:t>从全球气象数据中提取阵风特征参数，如发生频率、强度极值、持续时间等，运用时空聚类分析其在不同区域的分布规律和变化特征，分析影响因素，为客观订正提供关键依据。</w:t>
      </w:r>
    </w:p>
    <w:p>
      <w:pPr>
        <w:pStyle w:val="Heading4"/>
        <w:numPr>
          <w:ilvl w:val="3"/>
          <w:numId w:val="7"/>
        </w:numPr>
        <w:rPr>
          <w:rFonts w:ascii="宋体" w:hAnsi="宋体" w:hint="eastAsia"/>
        </w:rPr>
      </w:pPr>
      <w:r>
        <w:rPr>
          <w:rFonts w:ascii="宋体" w:hAnsi="宋体" w:hint="eastAsia"/>
        </w:rPr>
        <w:t>全球平均风订正模块</w:t>
      </w:r>
    </w:p>
    <w:p>
      <w:pPr>
        <w:ind w:firstLine="560"/>
      </w:pPr>
      <w:r>
        <w:rPr>
          <w:rFonts w:hint="eastAsia"/>
        </w:rPr>
        <w:t>构建全球平均风的多尺度客观订正模型，结合大尺度环流模式和高分辨率区域模式的结果，提高全球平均风预报的准确性。</w:t>
      </w:r>
    </w:p>
    <w:p>
      <w:pPr>
        <w:pStyle w:val="Heading4"/>
        <w:numPr>
          <w:ilvl w:val="3"/>
          <w:numId w:val="7"/>
        </w:numPr>
        <w:rPr>
          <w:rFonts w:ascii="宋体" w:hAnsi="宋体" w:hint="eastAsia"/>
        </w:rPr>
      </w:pPr>
      <w:r>
        <w:rPr>
          <w:rFonts w:ascii="宋体" w:hAnsi="宋体" w:hint="eastAsia"/>
        </w:rPr>
        <w:t>全球阵风预报订正的不确定性量化模块</w:t>
      </w:r>
    </w:p>
    <w:p>
      <w:pPr>
        <w:ind w:firstLine="560"/>
      </w:pPr>
      <w:r>
        <w:rPr>
          <w:rFonts w:hint="eastAsia"/>
        </w:rPr>
        <w:t>对全球阵风预报的客观订正结果进行不确定性量化，给出不确定性范围，为用户提供更全面可靠的阵风预报信息。</w:t>
      </w:r>
    </w:p>
    <w:p>
      <w:pPr>
        <w:pStyle w:val="Heading4"/>
        <w:numPr>
          <w:ilvl w:val="3"/>
          <w:numId w:val="7"/>
        </w:numPr>
        <w:rPr>
          <w:rFonts w:hint="eastAsia"/>
        </w:rPr>
      </w:pPr>
      <w:r>
        <w:rPr>
          <w:rFonts w:ascii="宋体" w:hAnsi="宋体" w:hint="eastAsia"/>
        </w:rPr>
        <w:t>全球温度订正模型的自适应调整模块</w:t>
      </w:r>
    </w:p>
    <w:p>
      <w:pPr>
        <w:ind w:firstLine="560"/>
      </w:pPr>
      <w:r>
        <w:rPr>
          <w:rFonts w:hint="eastAsia"/>
        </w:rPr>
        <w:t>建立自适应的全球温度订正模型，当出现极端天气事件或气候异常时，模型能快速适应并优化订正策略，提高温度预报的稳定性和准确性。</w:t>
      </w:r>
    </w:p>
    <w:p>
      <w:pPr>
        <w:pStyle w:val="Heading4"/>
        <w:numPr>
          <w:ilvl w:val="3"/>
          <w:numId w:val="7"/>
        </w:numPr>
        <w:rPr>
          <w:rFonts w:ascii="宋体" w:hAnsi="宋体" w:hint="eastAsia"/>
        </w:rPr>
      </w:pPr>
      <w:r>
        <w:rPr>
          <w:rFonts w:ascii="宋体" w:hAnsi="宋体" w:hint="eastAsia"/>
        </w:rPr>
        <w:t>全球及延伸期智能数字预报产品NIMM框架改造</w:t>
      </w:r>
    </w:p>
    <w:p>
      <w:pPr>
        <w:ind w:firstLine="560"/>
      </w:pPr>
      <w:r>
        <w:rPr>
          <w:rFonts w:hint="eastAsia"/>
        </w:rPr>
        <w:t>针对全球及延伸期的智能数字预报产品进行NIMM框架的改造，使其融入到NIMM系统中。</w:t>
      </w:r>
    </w:p>
    <w:p>
      <w:pPr>
        <w:pStyle w:val="Heading4"/>
        <w:numPr>
          <w:ilvl w:val="3"/>
          <w:numId w:val="7"/>
        </w:numPr>
        <w:rPr>
          <w:rFonts w:ascii="宋体" w:hAnsi="宋体" w:hint="eastAsia"/>
        </w:rPr>
      </w:pPr>
      <w:r>
        <w:rPr>
          <w:rFonts w:ascii="宋体" w:hAnsi="宋体" w:hint="eastAsia"/>
        </w:rPr>
        <w:t>多模式异常值协同处理模块</w:t>
      </w:r>
    </w:p>
    <w:p>
      <w:pPr>
        <w:ind w:firstLine="560"/>
      </w:pPr>
      <w:r>
        <w:rPr>
          <w:rFonts w:hint="eastAsia"/>
        </w:rPr>
        <w:t>利用统计学方法，识别多模式数据中的异常值，并协同各模式对异常值进行处理。通过模式间的信息共享和互补，对异常值进行修正或剔除，提高多模式融合数据的质量。</w:t>
      </w:r>
    </w:p>
    <w:p>
      <w:pPr>
        <w:pStyle w:val="Heading4"/>
        <w:numPr>
          <w:ilvl w:val="3"/>
          <w:numId w:val="7"/>
        </w:numPr>
        <w:rPr>
          <w:rFonts w:ascii="宋体" w:hAnsi="宋体" w:hint="eastAsia"/>
        </w:rPr>
      </w:pPr>
      <w:r>
        <w:rPr>
          <w:rFonts w:ascii="宋体" w:hAnsi="宋体" w:hint="eastAsia"/>
        </w:rPr>
        <w:t>多模式空间融合择优模块</w:t>
      </w:r>
    </w:p>
    <w:p>
      <w:pPr>
        <w:ind w:firstLine="560"/>
      </w:pPr>
      <w:r>
        <w:rPr>
          <w:rFonts w:hint="eastAsia"/>
        </w:rPr>
        <w:t>运用地理信息系统技术和空间插值算法，对不同模式的气象数据在空间上进行择优融融合。对风速、降水等气象要素在不同区域的空间分布进行更精准的融合，提升预报产品在空间上的准确性。</w:t>
      </w:r>
    </w:p>
    <w:p>
      <w:pPr>
        <w:pStyle w:val="Heading4"/>
        <w:numPr>
          <w:ilvl w:val="3"/>
          <w:numId w:val="7"/>
        </w:numPr>
        <w:rPr>
          <w:rFonts w:ascii="宋体" w:hAnsi="宋体" w:hint="eastAsia"/>
        </w:rPr>
      </w:pPr>
      <w:r>
        <w:rPr>
          <w:rFonts w:ascii="宋体" w:hAnsi="宋体" w:hint="eastAsia"/>
        </w:rPr>
        <w:t>算法运行资源优化模块</w:t>
      </w:r>
    </w:p>
    <w:p>
      <w:pPr>
        <w:ind w:firstLine="560"/>
      </w:pPr>
      <w:r>
        <w:rPr>
          <w:rFonts w:hint="eastAsia"/>
        </w:rPr>
        <w:t>运用资源调度算法、缓存优化策略等技术，动态分配计算资源，提高算法运行效率，减少计算时间。在处理大规模气象数据时，合理分配内存、CPU 资源，确保系统在资源有限的情况下仍能高效运行。</w:t>
      </w:r>
    </w:p>
    <w:p>
      <w:pPr>
        <w:pStyle w:val="Heading4"/>
        <w:numPr>
          <w:ilvl w:val="3"/>
          <w:numId w:val="7"/>
        </w:numPr>
        <w:rPr>
          <w:rFonts w:ascii="宋体" w:hAnsi="宋体" w:hint="eastAsia"/>
        </w:rPr>
      </w:pPr>
      <w:r>
        <w:rPr>
          <w:rFonts w:ascii="宋体" w:hAnsi="宋体" w:hint="eastAsia"/>
        </w:rPr>
        <w:t>算法稳定性增强模块</w:t>
      </w:r>
    </w:p>
    <w:p>
      <w:pPr>
        <w:ind w:firstLine="560"/>
      </w:pPr>
      <w:r>
        <w:rPr>
          <w:rFonts w:hint="eastAsia"/>
        </w:rPr>
        <w:t>通过算法测试、异常情况模拟等手段，增强多模式融合算法的稳定性。采用冗余设计、容错机制等技术，当出现数据异常、计算错误等情况时，算法能够自动调整并保持稳定运行，避免系统崩溃或产生错误的预报结果。</w:t>
      </w:r>
    </w:p>
    <w:p>
      <w:pPr>
        <w:pStyle w:val="Heading4"/>
        <w:numPr>
          <w:ilvl w:val="3"/>
          <w:numId w:val="7"/>
        </w:numPr>
        <w:rPr>
          <w:rFonts w:hint="eastAsia"/>
        </w:rPr>
      </w:pPr>
      <w:r>
        <w:rPr>
          <w:rFonts w:ascii="宋体" w:hAnsi="宋体" w:hint="eastAsia"/>
        </w:rPr>
        <w:t>预报产品定制化输出模块</w:t>
      </w:r>
    </w:p>
    <w:p>
      <w:pPr>
        <w:ind w:firstLine="560"/>
      </w:pPr>
      <w:r>
        <w:rPr>
          <w:rFonts w:hint="eastAsia"/>
        </w:rPr>
        <w:t>根据不同行业用户的特定需求，开发定制化的预报产品输出格式和内容。</w:t>
      </w:r>
    </w:p>
    <w:p>
      <w:pPr>
        <w:pStyle w:val="Heading3"/>
        <w:numPr>
          <w:ilvl w:val="2"/>
          <w:numId w:val="7"/>
        </w:numPr>
        <w:rPr>
          <w:rFonts w:ascii="宋体" w:hAnsi="宋体" w:hint="eastAsia"/>
        </w:rPr>
      </w:pPr>
      <w:r>
        <w:rPr>
          <w:rFonts w:ascii="宋体" w:hAnsi="宋体" w:hint="eastAsia"/>
        </w:rPr>
        <w:t>智能数字预报一体化检验算法完善</w:t>
      </w:r>
    </w:p>
    <w:p>
      <w:pPr>
        <w:pStyle w:val="Heading4"/>
        <w:numPr>
          <w:ilvl w:val="3"/>
          <w:numId w:val="7"/>
        </w:numPr>
        <w:rPr>
          <w:rFonts w:ascii="宋体" w:hAnsi="宋体" w:hint="eastAsia"/>
        </w:rPr>
      </w:pPr>
      <w:r>
        <w:rPr>
          <w:rFonts w:ascii="宋体" w:hAnsi="宋体" w:hint="eastAsia"/>
        </w:rPr>
        <w:t>检验指标体系构建模块</w:t>
      </w:r>
    </w:p>
    <w:p>
      <w:pPr>
        <w:ind w:firstLine="560"/>
      </w:pPr>
      <w:r>
        <w:rPr>
          <w:rFonts w:hint="eastAsia"/>
        </w:rPr>
        <w:t>依据气象学原理和业务需求，运用统计分析方法，构建包含基本指标和特定指标的全面科学检验评估指标体系。</w:t>
      </w:r>
    </w:p>
    <w:p>
      <w:pPr>
        <w:pStyle w:val="Heading4"/>
        <w:numPr>
          <w:ilvl w:val="3"/>
          <w:numId w:val="7"/>
        </w:numPr>
        <w:rPr>
          <w:rFonts w:ascii="宋体" w:hAnsi="宋体" w:hint="eastAsia"/>
        </w:rPr>
      </w:pPr>
      <w:r>
        <w:rPr>
          <w:rFonts w:ascii="宋体" w:hAnsi="宋体" w:hint="eastAsia"/>
        </w:rPr>
        <w:t>业务检验算法集成模块</w:t>
      </w:r>
    </w:p>
    <w:p>
      <w:pPr>
        <w:ind w:firstLine="560"/>
      </w:pPr>
      <w:r>
        <w:rPr>
          <w:rFonts w:hint="eastAsia"/>
        </w:rPr>
        <w:t>整合现有业务检验算法，针对不同预报产品开发适配算法，确保其在新一代系统高效运行并准确评估预报产品表现。</w:t>
      </w:r>
    </w:p>
    <w:p>
      <w:pPr>
        <w:pStyle w:val="Heading4"/>
        <w:numPr>
          <w:ilvl w:val="3"/>
          <w:numId w:val="7"/>
        </w:numPr>
        <w:rPr>
          <w:rFonts w:ascii="宋体" w:hAnsi="宋体" w:hint="eastAsia"/>
        </w:rPr>
      </w:pPr>
      <w:r>
        <w:rPr>
          <w:rFonts w:ascii="宋体" w:hAnsi="宋体" w:hint="eastAsia"/>
        </w:rPr>
        <w:t>天气学检验算法集成模块</w:t>
      </w:r>
    </w:p>
    <w:p>
      <w:pPr>
        <w:ind w:firstLine="560"/>
      </w:pPr>
      <w:r>
        <w:rPr>
          <w:rFonts w:hint="eastAsia"/>
        </w:rPr>
        <w:t>集成各类天气学检验算法，通过分析气象要素，检验预报产品在天气学原理上的合理性。</w:t>
      </w:r>
    </w:p>
    <w:p>
      <w:pPr>
        <w:pStyle w:val="Heading4"/>
        <w:numPr>
          <w:ilvl w:val="3"/>
          <w:numId w:val="7"/>
        </w:numPr>
        <w:rPr>
          <w:rFonts w:ascii="宋体" w:hAnsi="宋体" w:hint="eastAsia"/>
        </w:rPr>
      </w:pPr>
      <w:r>
        <w:rPr>
          <w:rFonts w:ascii="宋体" w:hAnsi="宋体" w:hint="eastAsia"/>
        </w:rPr>
        <w:t>实时检验算法集成模块</w:t>
      </w:r>
    </w:p>
    <w:p>
      <w:pPr>
        <w:ind w:firstLine="560"/>
      </w:pPr>
      <w:r>
        <w:rPr>
          <w:rFonts w:hint="eastAsia"/>
        </w:rPr>
        <w:t>开发实时数据处理和检验算法，快速检验实时预报数据，及时发现问题并反馈，为预报员提供决策支持。</w:t>
      </w:r>
    </w:p>
    <w:p>
      <w:pPr>
        <w:pStyle w:val="Heading4"/>
        <w:numPr>
          <w:ilvl w:val="3"/>
          <w:numId w:val="7"/>
        </w:numPr>
        <w:rPr>
          <w:rFonts w:ascii="宋体" w:hAnsi="宋体" w:hint="eastAsia"/>
        </w:rPr>
      </w:pPr>
      <w:r>
        <w:rPr>
          <w:rFonts w:ascii="宋体" w:hAnsi="宋体" w:hint="eastAsia"/>
        </w:rPr>
        <w:t>算法协同调度模块</w:t>
      </w:r>
    </w:p>
    <w:p>
      <w:pPr>
        <w:ind w:firstLine="560"/>
      </w:pPr>
      <w:r>
        <w:rPr>
          <w:rFonts w:hint="eastAsia"/>
        </w:rPr>
        <w:t>开发算法集成框架，实现不同检验算法协同运行与结果融合，根据任务和数据特点智能调度算法，提高检验效率。</w:t>
      </w:r>
    </w:p>
    <w:p>
      <w:pPr>
        <w:pStyle w:val="Heading4"/>
        <w:numPr>
          <w:ilvl w:val="3"/>
          <w:numId w:val="7"/>
        </w:numPr>
        <w:rPr>
          <w:rFonts w:ascii="宋体" w:hAnsi="宋体" w:hint="eastAsia"/>
        </w:rPr>
      </w:pPr>
      <w:r>
        <w:rPr>
          <w:rFonts w:ascii="宋体" w:hAnsi="宋体" w:hint="eastAsia"/>
        </w:rPr>
        <w:t>前端展示集成模块</w:t>
      </w:r>
    </w:p>
    <w:p>
      <w:pPr>
        <w:ind w:firstLine="560"/>
      </w:pPr>
      <w:r>
        <w:rPr>
          <w:rFonts w:hint="eastAsia"/>
        </w:rPr>
        <w:t>综合展示各类检验结果，提供直观可视化界面，设计多种展示方式并实现交互功能，方便用户了解和筛选检验结果。</w:t>
      </w:r>
    </w:p>
    <w:p>
      <w:pPr>
        <w:pStyle w:val="Heading4"/>
        <w:numPr>
          <w:ilvl w:val="3"/>
          <w:numId w:val="7"/>
        </w:numPr>
        <w:rPr>
          <w:rFonts w:ascii="宋体" w:hAnsi="宋体" w:hint="eastAsia"/>
        </w:rPr>
      </w:pPr>
      <w:r>
        <w:rPr>
          <w:rFonts w:ascii="宋体" w:hAnsi="宋体" w:hint="eastAsia"/>
        </w:rPr>
        <w:t>国省数据交互模块</w:t>
      </w:r>
    </w:p>
    <w:p>
      <w:pPr>
        <w:ind w:firstLine="560"/>
      </w:pPr>
      <w:r>
        <w:rPr>
          <w:rFonts w:hint="eastAsia"/>
        </w:rPr>
        <w:t>建立国省两级数据交互通道，实现数据实时共享和交换，开发传输和同步机制，对比分析检验结果，为考核提供依据。</w:t>
      </w:r>
    </w:p>
    <w:p>
      <w:pPr>
        <w:pStyle w:val="Heading4"/>
        <w:numPr>
          <w:ilvl w:val="3"/>
          <w:numId w:val="7"/>
        </w:numPr>
        <w:rPr>
          <w:rFonts w:ascii="宋体" w:hAnsi="宋体" w:hint="eastAsia"/>
        </w:rPr>
      </w:pPr>
      <w:r>
        <w:rPr>
          <w:rFonts w:ascii="宋体" w:hAnsi="宋体" w:hint="eastAsia"/>
        </w:rPr>
        <w:t>检验结果存储与管理模块</w:t>
      </w:r>
    </w:p>
    <w:p>
      <w:pPr>
        <w:ind w:firstLine="560"/>
      </w:pPr>
      <w:r>
        <w:rPr>
          <w:rFonts w:hint="eastAsia"/>
        </w:rPr>
        <w:t>设计数据库存储管理检验结果，建立索引和分类机制，方便查询检索，定期备份确保数据安全完整。</w:t>
      </w:r>
    </w:p>
    <w:p>
      <w:pPr>
        <w:pStyle w:val="Heading4"/>
        <w:numPr>
          <w:ilvl w:val="3"/>
          <w:numId w:val="7"/>
        </w:numPr>
        <w:rPr>
          <w:rFonts w:ascii="宋体" w:hAnsi="宋体" w:hint="eastAsia"/>
        </w:rPr>
      </w:pPr>
      <w:r>
        <w:rPr>
          <w:rFonts w:ascii="宋体" w:hAnsi="宋体" w:hint="eastAsia"/>
        </w:rPr>
        <w:t>检验质量监控模块</w:t>
      </w:r>
    </w:p>
    <w:p>
      <w:pPr>
        <w:ind w:firstLine="560"/>
      </w:pPr>
      <w:r>
        <w:rPr>
          <w:rFonts w:hint="eastAsia"/>
        </w:rPr>
        <w:t>实时监控检验过程和结果质量，监测检验算法运行状态及数据准确性和完整性，异常时及时警报处理。</w:t>
      </w:r>
    </w:p>
    <w:p>
      <w:pPr>
        <w:pStyle w:val="Heading4"/>
        <w:numPr>
          <w:ilvl w:val="3"/>
          <w:numId w:val="7"/>
        </w:numPr>
        <w:rPr>
          <w:rFonts w:ascii="宋体" w:hAnsi="宋体" w:hint="eastAsia"/>
        </w:rPr>
      </w:pPr>
      <w:r>
        <w:rPr>
          <w:rFonts w:ascii="宋体" w:hAnsi="宋体" w:hint="eastAsia"/>
        </w:rPr>
        <w:t>业务预报诊断分析模块</w:t>
      </w:r>
    </w:p>
    <w:p>
      <w:pPr>
        <w:ind w:firstLine="560"/>
      </w:pPr>
      <w:r>
        <w:rPr>
          <w:rFonts w:hint="eastAsia"/>
        </w:rPr>
        <w:t>基于检验结果挖掘分析，找出预报问题和不足，为预报员提供改进建议，如分析误差来源和分布规律。</w:t>
      </w:r>
    </w:p>
    <w:p>
      <w:pPr>
        <w:pStyle w:val="Heading4"/>
        <w:numPr>
          <w:ilvl w:val="3"/>
          <w:numId w:val="7"/>
        </w:numPr>
        <w:rPr>
          <w:rFonts w:ascii="宋体" w:hAnsi="宋体" w:hint="eastAsia"/>
        </w:rPr>
      </w:pPr>
      <w:r>
        <w:rPr>
          <w:rFonts w:ascii="宋体" w:hAnsi="宋体" w:hint="eastAsia"/>
        </w:rPr>
        <w:t>系统扩展接口模块</w:t>
      </w:r>
    </w:p>
    <w:p>
      <w:pPr>
        <w:ind w:firstLine="560"/>
      </w:pPr>
      <w:r>
        <w:rPr>
          <w:rFonts w:hint="eastAsia"/>
        </w:rPr>
        <w:t>设计开放接口，制定规范和标准，方便接入新的检验算法和数据来源，提高系统扩展性和适应性。</w:t>
      </w:r>
    </w:p>
    <w:p>
      <w:pPr>
        <w:pStyle w:val="Heading4"/>
        <w:numPr>
          <w:ilvl w:val="3"/>
          <w:numId w:val="7"/>
        </w:numPr>
        <w:rPr>
          <w:rFonts w:ascii="宋体" w:hAnsi="宋体" w:hint="eastAsia"/>
        </w:rPr>
      </w:pPr>
      <w:r>
        <w:rPr>
          <w:rFonts w:ascii="宋体" w:hAnsi="宋体" w:hint="eastAsia"/>
        </w:rPr>
        <w:t>数据可视化定制模块</w:t>
      </w:r>
    </w:p>
    <w:p>
      <w:pPr>
        <w:ind w:firstLine="560"/>
      </w:pPr>
      <w:r>
        <w:rPr>
          <w:rFonts w:hint="eastAsia"/>
        </w:rPr>
        <w:t>根据用户需求，提供数据可视化定制功能，用户可定制个性化展示界面和图表，提高数据可读性和实用性。</w:t>
      </w:r>
    </w:p>
    <w:p>
      <w:pPr>
        <w:pStyle w:val="Heading4"/>
        <w:numPr>
          <w:ilvl w:val="3"/>
          <w:numId w:val="7"/>
        </w:numPr>
        <w:rPr>
          <w:rFonts w:ascii="宋体" w:hAnsi="宋体" w:hint="eastAsia"/>
        </w:rPr>
      </w:pPr>
      <w:r>
        <w:rPr>
          <w:rFonts w:ascii="宋体" w:hAnsi="宋体" w:hint="eastAsia"/>
        </w:rPr>
        <w:t>算法性能优化模块</w:t>
      </w:r>
    </w:p>
    <w:p>
      <w:pPr>
        <w:ind w:firstLine="560"/>
      </w:pPr>
      <w:r>
        <w:rPr>
          <w:rFonts w:hint="eastAsia"/>
        </w:rPr>
        <w:t>定期评估和优化检验算法，根据业务需求和数据变化调整参数与结构，采用先进技术提高运行效率和处理能力。</w:t>
      </w:r>
    </w:p>
    <w:p>
      <w:pPr>
        <w:pStyle w:val="Heading4"/>
        <w:numPr>
          <w:ilvl w:val="3"/>
          <w:numId w:val="7"/>
        </w:numPr>
        <w:rPr>
          <w:rFonts w:hint="eastAsia"/>
        </w:rPr>
      </w:pPr>
      <w:r>
        <w:rPr>
          <w:rFonts w:ascii="宋体" w:hAnsi="宋体" w:hint="eastAsia"/>
        </w:rPr>
        <w:t>异常数据处理模块</w:t>
      </w:r>
    </w:p>
    <w:p>
      <w:pPr>
        <w:ind w:firstLine="560"/>
      </w:pPr>
      <w:r>
        <w:rPr>
          <w:rFonts w:hint="eastAsia"/>
        </w:rPr>
        <w:t>在数据整合和检验中，自动识别和处理异常数据，开发检测算法，采取修复、剔除等措施确保检验结果准确。</w:t>
      </w:r>
    </w:p>
    <w:p>
      <w:pPr>
        <w:pStyle w:val="Heading4"/>
        <w:numPr>
          <w:ilvl w:val="3"/>
          <w:numId w:val="7"/>
        </w:numPr>
        <w:rPr>
          <w:rFonts w:ascii="宋体" w:hAnsi="宋体" w:hint="eastAsia"/>
        </w:rPr>
      </w:pPr>
      <w:r>
        <w:rPr>
          <w:rFonts w:ascii="宋体" w:hAnsi="宋体" w:hint="eastAsia"/>
        </w:rPr>
        <w:t>预报误差归因模块</w:t>
      </w:r>
    </w:p>
    <w:p>
      <w:pPr>
        <w:ind w:firstLine="560"/>
      </w:pPr>
      <w:r>
        <w:rPr>
          <w:rFonts w:hint="eastAsia"/>
        </w:rPr>
        <w:t>深入分析预报误差，从气象数据、预报模型、算法等多方面确定误差原因，为改进预报提供针对性建议。</w:t>
      </w:r>
    </w:p>
    <w:p>
      <w:pPr>
        <w:pStyle w:val="Heading4"/>
        <w:numPr>
          <w:ilvl w:val="3"/>
          <w:numId w:val="7"/>
        </w:numPr>
        <w:rPr>
          <w:rFonts w:ascii="宋体" w:hAnsi="宋体" w:hint="eastAsia"/>
        </w:rPr>
      </w:pPr>
      <w:r>
        <w:rPr>
          <w:rFonts w:ascii="宋体" w:hAnsi="宋体" w:hint="eastAsia"/>
        </w:rPr>
        <w:t>多模式对比检验模块</w:t>
      </w:r>
    </w:p>
    <w:p>
      <w:pPr>
        <w:ind w:firstLine="560"/>
      </w:pPr>
      <w:r>
        <w:rPr>
          <w:rFonts w:hint="eastAsia"/>
        </w:rPr>
        <w:t>对比多种数值预报模式的预报结果，分析各模式优势和不足，为综合应用多模式预报提供参考。</w:t>
      </w:r>
    </w:p>
    <w:p>
      <w:pPr>
        <w:pStyle w:val="Heading4"/>
        <w:numPr>
          <w:ilvl w:val="3"/>
          <w:numId w:val="7"/>
        </w:numPr>
        <w:rPr>
          <w:rFonts w:ascii="宋体" w:hAnsi="宋体" w:hint="eastAsia"/>
        </w:rPr>
      </w:pPr>
      <w:r>
        <w:rPr>
          <w:rFonts w:ascii="宋体" w:hAnsi="宋体" w:hint="eastAsia"/>
        </w:rPr>
        <w:t>检验标准更新模块</w:t>
      </w:r>
    </w:p>
    <w:p>
      <w:pPr>
        <w:ind w:firstLine="560"/>
      </w:pPr>
      <w:r>
        <w:rPr>
          <w:rFonts w:hint="eastAsia"/>
        </w:rPr>
        <w:t>跟踪气象分析成果和业务规范，及时更新检验标准和指标体系，调整检验指标和权重，以适应业务发展。</w:t>
      </w:r>
    </w:p>
    <w:p>
      <w:pPr>
        <w:pStyle w:val="Heading4"/>
        <w:numPr>
          <w:ilvl w:val="3"/>
          <w:numId w:val="7"/>
        </w:numPr>
        <w:rPr>
          <w:rFonts w:ascii="宋体" w:hAnsi="宋体" w:hint="eastAsia"/>
        </w:rPr>
      </w:pPr>
      <w:r>
        <w:rPr>
          <w:rFonts w:ascii="宋体" w:hAnsi="宋体" w:hint="eastAsia"/>
        </w:rPr>
        <w:t>用户反馈处理模块</w:t>
      </w:r>
    </w:p>
    <w:p>
      <w:pPr>
        <w:ind w:firstLine="560"/>
      </w:pPr>
      <w:r>
        <w:rPr>
          <w:rFonts w:hint="eastAsia"/>
        </w:rPr>
        <w:t>收集并分析用户对检验结果和系统功能的反馈，根据需求改进和优化系统，提升用户满意度。</w:t>
      </w:r>
    </w:p>
    <w:p>
      <w:pPr>
        <w:pStyle w:val="Heading4"/>
        <w:numPr>
          <w:ilvl w:val="3"/>
          <w:numId w:val="7"/>
        </w:numPr>
        <w:rPr>
          <w:rFonts w:ascii="宋体" w:hAnsi="宋体" w:hint="eastAsia"/>
        </w:rPr>
      </w:pPr>
      <w:r>
        <w:rPr>
          <w:rFonts w:ascii="宋体" w:hAnsi="宋体" w:hint="eastAsia"/>
        </w:rPr>
        <w:t>智能辅助决策模块</w:t>
      </w:r>
    </w:p>
    <w:p>
      <w:pPr>
        <w:ind w:firstLine="560"/>
      </w:pPr>
      <w:r>
        <w:rPr>
          <w:rFonts w:hint="eastAsia"/>
        </w:rPr>
        <w:t>基于检验结果和诊断分析，开发智能辅助决策功能，通过学习历史数据和案例，为预报员提供决策建议。</w:t>
      </w:r>
    </w:p>
    <w:p>
      <w:pPr>
        <w:pStyle w:val="Heading4"/>
        <w:numPr>
          <w:ilvl w:val="3"/>
          <w:numId w:val="7"/>
        </w:numPr>
        <w:rPr>
          <w:rFonts w:ascii="宋体" w:hAnsi="宋体" w:hint="eastAsia"/>
        </w:rPr>
      </w:pPr>
      <w:r>
        <w:rPr>
          <w:rFonts w:ascii="宋体" w:hAnsi="宋体" w:hint="eastAsia"/>
        </w:rPr>
        <w:t>数据安全保障模块</w:t>
      </w:r>
    </w:p>
    <w:p>
      <w:pPr>
        <w:ind w:firstLine="560"/>
      </w:pPr>
      <w:r>
        <w:rPr>
          <w:rFonts w:hint="eastAsia"/>
        </w:rPr>
        <w:t>采取数据加密、访问控制、防火墙等措施，保护检验数据安全，防止数据泄露和非法访问。</w:t>
      </w:r>
    </w:p>
    <w:p>
      <w:pPr>
        <w:pStyle w:val="Heading4"/>
        <w:numPr>
          <w:ilvl w:val="3"/>
          <w:numId w:val="7"/>
        </w:numPr>
        <w:rPr>
          <w:rFonts w:ascii="宋体" w:hAnsi="宋体" w:hint="eastAsia"/>
        </w:rPr>
      </w:pPr>
      <w:r>
        <w:rPr>
          <w:rFonts w:ascii="宋体" w:hAnsi="宋体" w:hint="eastAsia"/>
        </w:rPr>
        <w:t>检验流程自动化管理模块</w:t>
      </w:r>
    </w:p>
    <w:p>
      <w:pPr>
        <w:ind w:firstLine="560"/>
      </w:pPr>
      <w:r>
        <w:rPr>
          <w:rFonts w:hint="eastAsia"/>
        </w:rPr>
        <w:t>实现检验流程自动化管理，涵盖任务调度、数据处理、结果生成等环节，减少人工操作，提高效率和准确性。</w:t>
      </w:r>
    </w:p>
    <w:p>
      <w:pPr>
        <w:pStyle w:val="Heading4"/>
        <w:numPr>
          <w:ilvl w:val="3"/>
          <w:numId w:val="7"/>
        </w:numPr>
        <w:rPr>
          <w:rFonts w:ascii="宋体" w:hAnsi="宋体" w:hint="eastAsia"/>
        </w:rPr>
      </w:pPr>
      <w:r>
        <w:rPr>
          <w:rFonts w:ascii="宋体" w:hAnsi="宋体" w:hint="eastAsia"/>
        </w:rPr>
        <w:t>系统运维监控模块</w:t>
      </w:r>
    </w:p>
    <w:p>
      <w:pPr>
        <w:ind w:firstLine="560"/>
      </w:pPr>
      <w:r>
        <w:rPr>
          <w:rFonts w:hint="eastAsia"/>
        </w:rPr>
        <w:t>实时监控检验系统运行状态，包括服务器负载、网络状况、软件运行情况等，及时维护优化。</w:t>
      </w:r>
    </w:p>
    <w:p>
      <w:pPr>
        <w:pStyle w:val="Heading4"/>
        <w:numPr>
          <w:ilvl w:val="3"/>
          <w:numId w:val="7"/>
        </w:numPr>
        <w:rPr>
          <w:rFonts w:ascii="宋体" w:hAnsi="宋体" w:hint="eastAsia"/>
        </w:rPr>
      </w:pPr>
      <w:r>
        <w:rPr>
          <w:rFonts w:ascii="宋体" w:hAnsi="宋体" w:hint="eastAsia"/>
        </w:rPr>
        <w:t>预报产品质量跟踪模块</w:t>
      </w:r>
    </w:p>
    <w:p>
      <w:pPr>
        <w:ind w:firstLine="560"/>
      </w:pPr>
      <w:r>
        <w:rPr>
          <w:rFonts w:hint="eastAsia"/>
        </w:rPr>
        <w:t>长期跟踪预报产品质量，建立质量档案，分析质量变化趋势，评估技术改进和系统优化对产品质量的影响。</w:t>
      </w:r>
    </w:p>
    <w:p>
      <w:pPr>
        <w:pStyle w:val="Heading4"/>
        <w:numPr>
          <w:ilvl w:val="3"/>
          <w:numId w:val="7"/>
        </w:numPr>
        <w:rPr>
          <w:rFonts w:ascii="宋体" w:hAnsi="宋体" w:hint="eastAsia"/>
        </w:rPr>
      </w:pPr>
      <w:r>
        <w:rPr>
          <w:rFonts w:ascii="宋体" w:hAnsi="宋体" w:hint="eastAsia"/>
        </w:rPr>
        <w:t>跨区域检验协同模块</w:t>
      </w:r>
    </w:p>
    <w:p>
      <w:pPr>
        <w:ind w:firstLine="560"/>
      </w:pPr>
      <w:r>
        <w:rPr>
          <w:rFonts w:hint="eastAsia"/>
        </w:rPr>
        <w:t>针对跨区域气象预报业务，开展检验协同工作，实现不同地区检验数据共享和协同分析，提高大范围气象灾害预报检验能力。</w:t>
      </w:r>
    </w:p>
    <w:p>
      <w:pPr>
        <w:pStyle w:val="Heading3"/>
        <w:numPr>
          <w:ilvl w:val="2"/>
          <w:numId w:val="7"/>
        </w:numPr>
        <w:rPr>
          <w:rFonts w:ascii="宋体" w:hAnsi="宋体" w:hint="eastAsia"/>
        </w:rPr>
      </w:pPr>
      <w:r>
        <w:rPr>
          <w:rFonts w:ascii="宋体" w:hAnsi="宋体" w:hint="eastAsia"/>
        </w:rPr>
        <w:t>台风强对流检验示范计划</w:t>
      </w:r>
    </w:p>
    <w:p>
      <w:pPr>
        <w:pStyle w:val="Heading4"/>
        <w:numPr>
          <w:ilvl w:val="3"/>
          <w:numId w:val="7"/>
        </w:numPr>
        <w:rPr>
          <w:rFonts w:ascii="宋体" w:hAnsi="宋体" w:hint="eastAsia"/>
        </w:rPr>
      </w:pPr>
      <w:r>
        <w:rPr>
          <w:rFonts w:ascii="宋体" w:hAnsi="宋体" w:hint="eastAsia"/>
        </w:rPr>
        <w:t>台风结构精细化检验模块</w:t>
      </w:r>
    </w:p>
    <w:p>
      <w:pPr>
        <w:ind w:firstLine="560"/>
      </w:pPr>
      <w:r>
        <w:rPr>
          <w:rFonts w:hint="eastAsia"/>
        </w:rPr>
        <w:t>对台风的眼墙、螺旋雨带等内部结构展开精细化检验，以此评估预报产品对台风结构特征的模拟能力，判断预报产品能否精准呈现出台风内部结构。</w:t>
      </w:r>
    </w:p>
    <w:p>
      <w:pPr>
        <w:pStyle w:val="Heading4"/>
        <w:numPr>
          <w:ilvl w:val="3"/>
          <w:numId w:val="7"/>
        </w:numPr>
        <w:rPr>
          <w:rFonts w:ascii="宋体" w:hAnsi="宋体" w:hint="eastAsia"/>
        </w:rPr>
      </w:pPr>
      <w:r>
        <w:rPr>
          <w:rFonts w:ascii="宋体" w:hAnsi="宋体" w:hint="eastAsia"/>
        </w:rPr>
        <w:t>强对流风暴分类检验模块</w:t>
      </w:r>
    </w:p>
    <w:p>
      <w:pPr>
        <w:ind w:firstLine="560"/>
      </w:pPr>
      <w:r>
        <w:rPr>
          <w:rFonts w:hint="eastAsia"/>
        </w:rPr>
        <w:t>针对超级单体、飑线等不同类型的强对流风暴，开发相应的分类检验模块，分别评估预报产品对不同类型风暴的预报效果，明确预报产品在不同强对流风暴预报上的准确性。</w:t>
      </w:r>
    </w:p>
    <w:p>
      <w:pPr>
        <w:pStyle w:val="Heading4"/>
        <w:numPr>
          <w:ilvl w:val="3"/>
          <w:numId w:val="7"/>
        </w:numPr>
        <w:rPr>
          <w:rFonts w:ascii="宋体" w:hAnsi="宋体" w:hint="eastAsia"/>
        </w:rPr>
      </w:pPr>
      <w:r>
        <w:rPr>
          <w:rFonts w:ascii="宋体" w:hAnsi="宋体" w:hint="eastAsia"/>
        </w:rPr>
        <w:t>高分辨率观测数据融合检验模块</w:t>
      </w:r>
    </w:p>
    <w:p>
      <w:pPr>
        <w:ind w:firstLine="560"/>
      </w:pPr>
      <w:r>
        <w:rPr>
          <w:rFonts w:hint="eastAsia"/>
        </w:rPr>
        <w:t>融合雷达的高分辨率反射率数据、卫星的高分辨率红外图像数据等高分辨率观测数据，对台风和强对流预报产品进行融合检验，提高检验精度，使检验结果更贴合实际气象情况。</w:t>
      </w:r>
    </w:p>
    <w:p>
      <w:pPr>
        <w:pStyle w:val="Heading4"/>
        <w:numPr>
          <w:ilvl w:val="3"/>
          <w:numId w:val="7"/>
        </w:numPr>
        <w:rPr>
          <w:rFonts w:ascii="宋体" w:hAnsi="宋体" w:hint="eastAsia"/>
        </w:rPr>
      </w:pPr>
      <w:r>
        <w:rPr>
          <w:rFonts w:ascii="宋体" w:hAnsi="宋体" w:hint="eastAsia"/>
        </w:rPr>
        <w:t>预报产品应用效果反馈模块</w:t>
      </w:r>
    </w:p>
    <w:p>
      <w:pPr>
        <w:ind w:firstLine="560"/>
      </w:pPr>
      <w:r>
        <w:rPr>
          <w:rFonts w:hint="eastAsia"/>
        </w:rPr>
        <w:t>收集台风和强对流预报产品在防灾减灾、应急响应等实际应用中的反馈数据，开发反馈模块，评估预报产品在实际应用中的效果，为预报技术改进提供依据，助力提升预报产品的实用性。</w:t>
      </w:r>
    </w:p>
    <w:p>
      <w:pPr>
        <w:pStyle w:val="Heading4"/>
        <w:numPr>
          <w:ilvl w:val="3"/>
          <w:numId w:val="7"/>
        </w:numPr>
        <w:rPr>
          <w:rFonts w:ascii="宋体" w:hAnsi="宋体" w:hint="eastAsia"/>
        </w:rPr>
      </w:pPr>
      <w:r>
        <w:rPr>
          <w:rFonts w:ascii="宋体" w:hAnsi="宋体" w:hint="eastAsia"/>
        </w:rPr>
        <w:t>台风强对流灾害风险评估模块</w:t>
      </w:r>
    </w:p>
    <w:p>
      <w:pPr>
        <w:ind w:firstLine="560"/>
      </w:pPr>
      <w:r>
        <w:rPr>
          <w:rFonts w:hint="eastAsia"/>
        </w:rPr>
        <w:t>基于预报数据和历史灾害数据，开发评估模块，对不同地区、不同时段的台风强对流灾害风险进行量化评估，为灾害预警和应急决策提供科学依据，增强灾害应对的科学性。</w:t>
      </w:r>
    </w:p>
    <w:p>
      <w:pPr>
        <w:pStyle w:val="Heading4"/>
        <w:numPr>
          <w:ilvl w:val="3"/>
          <w:numId w:val="7"/>
        </w:numPr>
        <w:rPr>
          <w:rFonts w:ascii="宋体" w:hAnsi="宋体" w:hint="eastAsia"/>
        </w:rPr>
      </w:pPr>
      <w:r>
        <w:rPr>
          <w:rFonts w:ascii="宋体" w:hAnsi="宋体" w:hint="eastAsia"/>
        </w:rPr>
        <w:t>多模式台风强对流预报对比模块</w:t>
      </w:r>
    </w:p>
    <w:p>
      <w:pPr>
        <w:ind w:firstLine="560"/>
      </w:pPr>
      <w:r>
        <w:rPr>
          <w:rFonts w:hint="eastAsia"/>
        </w:rPr>
        <w:t>对不同气象模式的台风强对流预报结果进行对比分析，开发对比模块，找出各模式的优势和不足，为综合应用多模式预报提供参考，促进多模式预报的合理运用。</w:t>
      </w:r>
    </w:p>
    <w:p>
      <w:pPr>
        <w:pStyle w:val="Heading4"/>
        <w:numPr>
          <w:ilvl w:val="3"/>
          <w:numId w:val="7"/>
        </w:numPr>
        <w:rPr>
          <w:rFonts w:ascii="宋体" w:hAnsi="宋体" w:hint="eastAsia"/>
        </w:rPr>
      </w:pPr>
      <w:r>
        <w:rPr>
          <w:rFonts w:ascii="宋体" w:hAnsi="宋体" w:hint="eastAsia"/>
        </w:rPr>
        <w:t>台风强对流预警时效评估模块</w:t>
      </w:r>
    </w:p>
    <w:p>
      <w:pPr>
        <w:ind w:firstLine="560"/>
      </w:pPr>
      <w:r>
        <w:rPr>
          <w:rFonts w:hint="eastAsia"/>
        </w:rPr>
        <w:t>评估台风和强对流预警信息的提前发布时间和有效预警时效，开发评估模块，提高预警的及时性和有效性，让预警信息能在最佳时间发挥最大作用。</w:t>
      </w:r>
    </w:p>
    <w:p>
      <w:pPr>
        <w:pStyle w:val="Heading4"/>
        <w:numPr>
          <w:ilvl w:val="3"/>
          <w:numId w:val="7"/>
        </w:numPr>
        <w:rPr>
          <w:rFonts w:hint="eastAsia"/>
        </w:rPr>
      </w:pPr>
      <w:r>
        <w:rPr>
          <w:rFonts w:ascii="宋体" w:hAnsi="宋体" w:hint="eastAsia"/>
        </w:rPr>
        <w:t>台风强对流预报技术协同创新模块</w:t>
      </w:r>
    </w:p>
    <w:p>
      <w:pPr>
        <w:ind w:firstLine="560"/>
      </w:pPr>
      <w:r>
        <w:rPr>
          <w:rFonts w:hint="eastAsia"/>
        </w:rPr>
        <w:t>搭建技术交流平台，组织专家和技术人员研讨合作，整合各种预报技术优势，探索新的预报方法和模型，提高台风强对流天气预报的整体水平，推动预报技术的创新发展。</w:t>
      </w:r>
    </w:p>
    <w:p>
      <w:pPr>
        <w:pStyle w:val="Heading2"/>
        <w:numPr>
          <w:ilvl w:val="1"/>
          <w:numId w:val="7"/>
        </w:numPr>
        <w:rPr>
          <w:rFonts w:hint="eastAsia"/>
        </w:rPr>
      </w:pPr>
      <w:bookmarkStart w:id="70" w:name="_Toc172191749"/>
      <w:r>
        <w:rPr>
          <w:rFonts w:hint="eastAsia"/>
        </w:rPr>
        <w:t>非功能性要求</w:t>
      </w:r>
      <w:bookmarkEnd w:id="70"/>
    </w:p>
    <w:p>
      <w:pPr>
        <w:pStyle w:val="Heading3"/>
        <w:numPr>
          <w:ilvl w:val="2"/>
          <w:numId w:val="8"/>
        </w:numPr>
        <w:tabs>
          <w:tab w:val="left" w:pos="360"/>
        </w:tabs>
        <w:wordWrap/>
        <w:ind w:left="0" w:firstLine="0"/>
        <w:rPr>
          <w:rFonts w:hint="eastAsia"/>
        </w:rPr>
      </w:pPr>
      <w:r>
        <w:rPr>
          <w:rFonts w:hint="eastAsia"/>
        </w:rPr>
        <w:t>稳定性要求</w:t>
      </w:r>
    </w:p>
    <w:p>
      <w:pPr>
        <w:ind w:firstLine="560"/>
      </w:pPr>
      <w:r>
        <w:rPr>
          <w:rFonts w:hint="eastAsia"/>
        </w:rPr>
        <w:t>本系统是一个重要的业务运行系统，在软硬件的设计实现上要考虑系统长期运行的稳定性和可靠性。软件在运行期间，针对任何一个重要操作，都必须具有判断错误的能力，必要时可以进行恢复性操作，否则要发出报警消息，以便于人工干预。</w:t>
      </w:r>
    </w:p>
    <w:p>
      <w:pPr>
        <w:ind w:firstLine="560"/>
      </w:pPr>
      <w:r>
        <w:rPr>
          <w:rFonts w:hint="eastAsia"/>
        </w:rPr>
        <w:t>本系统需要提供</w:t>
      </w:r>
      <w:r>
        <w:t>7</w:t>
      </w:r>
      <w:r>
        <w:rPr>
          <w:rFonts w:hint="eastAsia"/>
        </w:rPr>
        <w:t>×</w:t>
      </w:r>
      <w:r>
        <w:t>24</w:t>
      </w:r>
      <w:r>
        <w:rPr>
          <w:rFonts w:hint="eastAsia"/>
        </w:rPr>
        <w:t>小时不间断服务，因此，无论是计算机硬件系统还是软件系统都必须具有较高的可靠性和故障后快速恢复的能力。具体要求如下：</w:t>
      </w:r>
    </w:p>
    <w:p>
      <w:pPr>
        <w:ind w:firstLine="560"/>
      </w:pPr>
      <w:r>
        <w:rPr>
          <w:rFonts w:hint="eastAsia"/>
        </w:rPr>
        <w:t>（</w:t>
      </w:r>
      <w:r>
        <w:t>1</w:t>
      </w:r>
      <w:r>
        <w:rPr>
          <w:rFonts w:hint="eastAsia"/>
        </w:rPr>
        <w:t>）应用软件开发中严格遵循软件工程国标的开发、测试和集成规范，达到数据服务业务成功率</w:t>
      </w:r>
      <w:r>
        <w:t>99.9%</w:t>
      </w:r>
      <w:r>
        <w:rPr>
          <w:rFonts w:hint="eastAsia"/>
        </w:rPr>
        <w:t>的指标。</w:t>
      </w:r>
    </w:p>
    <w:p>
      <w:pPr>
        <w:ind w:firstLine="560"/>
      </w:pPr>
      <w:r>
        <w:rPr>
          <w:rFonts w:hint="eastAsia"/>
        </w:rPr>
        <w:t>（</w:t>
      </w:r>
      <w:r>
        <w:t>2</w:t>
      </w:r>
      <w:r>
        <w:rPr>
          <w:rFonts w:hint="eastAsia"/>
        </w:rPr>
        <w:t>）在支撑平台可靠性的保证下，关键高可用业务系统在</w:t>
      </w:r>
      <w:r>
        <w:t>30</w:t>
      </w:r>
      <w:r>
        <w:rPr>
          <w:rFonts w:hint="eastAsia"/>
        </w:rPr>
        <w:t>分钟内恢复运行状态。</w:t>
      </w:r>
    </w:p>
    <w:p>
      <w:pPr>
        <w:pStyle w:val="Heading3"/>
        <w:numPr>
          <w:ilvl w:val="2"/>
          <w:numId w:val="8"/>
        </w:numPr>
        <w:tabs>
          <w:tab w:val="left" w:pos="360"/>
        </w:tabs>
        <w:ind w:left="0" w:firstLine="0"/>
        <w:rPr>
          <w:rFonts w:hint="eastAsia"/>
        </w:rPr>
      </w:pPr>
      <w:r>
        <w:rPr>
          <w:rFonts w:hint="eastAsia"/>
        </w:rPr>
        <w:t>标准化要求</w:t>
      </w:r>
    </w:p>
    <w:p>
      <w:pPr>
        <w:ind w:firstLine="560"/>
      </w:pPr>
      <w:r>
        <w:rPr>
          <w:rFonts w:hint="eastAsia"/>
        </w:rPr>
        <w:t>系统软件及平台建设应基本保持与前期版本兼容，保留主要的界面布局和操作方式，简化现有模块向新版本框架移植，基础算法以</w:t>
      </w:r>
      <w:r>
        <w:t>C/Pyhton/Java</w:t>
      </w:r>
      <w:r>
        <w:rPr>
          <w:rFonts w:hint="eastAsia"/>
        </w:rPr>
        <w:t>实现，便于在气象大数据云平台上的快速移植；用户界面及交互操作使用</w:t>
      </w:r>
      <w:r>
        <w:t>HTML5/</w:t>
      </w:r>
      <w:r>
        <w:rPr>
          <w:rFonts w:hint="eastAsia"/>
        </w:rPr>
        <w:t>Java实现，便于利用客户端框架进行功能实现。</w:t>
      </w:r>
    </w:p>
    <w:p>
      <w:pPr>
        <w:pStyle w:val="Heading3"/>
        <w:numPr>
          <w:ilvl w:val="2"/>
          <w:numId w:val="8"/>
        </w:numPr>
        <w:tabs>
          <w:tab w:val="left" w:pos="360"/>
        </w:tabs>
        <w:ind w:left="0" w:firstLine="0"/>
        <w:rPr>
          <w:rFonts w:hint="eastAsia"/>
        </w:rPr>
      </w:pPr>
      <w:r>
        <w:rPr>
          <w:rFonts w:hint="eastAsia"/>
        </w:rPr>
        <w:t>可维护性要求</w:t>
      </w:r>
    </w:p>
    <w:p>
      <w:pPr>
        <w:ind w:firstLine="560"/>
      </w:pPr>
      <w:r>
        <w:rPr>
          <w:rFonts w:hint="eastAsia"/>
        </w:rPr>
        <w:t>系统软件架构设计应便于软件升级，在不对软件进行大幅调整的情况下可以进行在线升级；离线状态下提供补丁包的方式进行升级；系统各模块之间应保持松耦合，便于各部分独立维护和升级。</w:t>
      </w:r>
    </w:p>
    <w:p>
      <w:pPr>
        <w:pStyle w:val="Heading3"/>
        <w:numPr>
          <w:ilvl w:val="2"/>
          <w:numId w:val="8"/>
        </w:numPr>
        <w:tabs>
          <w:tab w:val="left" w:pos="360"/>
        </w:tabs>
        <w:ind w:left="0" w:firstLine="0"/>
        <w:rPr>
          <w:rFonts w:hint="eastAsia"/>
        </w:rPr>
      </w:pPr>
      <w:r>
        <w:rPr>
          <w:rFonts w:hint="eastAsia"/>
        </w:rPr>
        <w:t>集约化要求</w:t>
      </w:r>
    </w:p>
    <w:p>
      <w:pPr>
        <w:ind w:firstLine="560"/>
      </w:pPr>
      <w:r>
        <w:rPr>
          <w:rFonts w:hint="eastAsia"/>
        </w:rPr>
        <w:t>采用“云+端”的技术架构，后台算法、服务、数据由CME、NIMM结合气象大数据云平台统一管理，基础硬件资源由气象大数据云平台、气象虚拟化资源池提供所需的基础资源支撑，系统运行所需要气象数据的存储环境、底层支撑软件、采集调度处理分发、学习训练环境等应用软件，均复用气象信息中心已有成果，不再单独建设。</w:t>
      </w:r>
    </w:p>
    <w:p>
      <w:pPr>
        <w:ind w:firstLine="560"/>
      </w:pPr>
      <w:r>
        <w:rPr>
          <w:rFonts w:hint="eastAsia"/>
        </w:rPr>
        <w:t>本项目建设的各业务分系统需要与CME、NIMM的数据和算法框架进行集约化建设、组件化设计。在系统建设过程中，充分复用气象中心已有的CME、NIMM系统的已有成果，并进行复用功能组件化封装，灵活设计支撑业务应用。</w:t>
      </w:r>
    </w:p>
    <w:p>
      <w:pPr>
        <w:ind w:firstLine="560"/>
      </w:pPr>
      <w:r>
        <w:rPr>
          <w:rFonts w:hint="eastAsia"/>
        </w:rPr>
        <w:t>系统统一设计开放应用框架，通过组件化集成的方式，实现本项目建设的应用支撑；并通过开放性的设计，支持现有业务组件的应用以及新组件的融入。</w:t>
      </w:r>
    </w:p>
    <w:p>
      <w:pPr>
        <w:pStyle w:val="Heading3"/>
        <w:numPr>
          <w:ilvl w:val="2"/>
          <w:numId w:val="8"/>
        </w:numPr>
        <w:tabs>
          <w:tab w:val="left" w:pos="360"/>
        </w:tabs>
        <w:ind w:left="0" w:firstLine="0"/>
        <w:rPr>
          <w:rFonts w:hint="eastAsia"/>
        </w:rPr>
      </w:pPr>
      <w:bookmarkStart w:id="71" w:name="_Toc103845626"/>
      <w:bookmarkStart w:id="72" w:name="_Toc137459480"/>
      <w:r>
        <w:rPr>
          <w:rFonts w:hint="eastAsia"/>
        </w:rPr>
        <w:t>可测试性、可理解性</w:t>
      </w:r>
      <w:bookmarkEnd w:id="71"/>
      <w:bookmarkEnd w:id="72"/>
    </w:p>
    <w:p>
      <w:pPr>
        <w:ind w:firstLine="560"/>
      </w:pPr>
      <w:r>
        <w:rPr>
          <w:rFonts w:hint="eastAsia"/>
        </w:rPr>
        <w:t>可测试性、可理解性，文档、编码与输出的运行日志符合国家气象中心</w:t>
      </w:r>
      <w:r>
        <w:t>CME</w:t>
      </w:r>
      <w:r>
        <w:rPr>
          <w:rFonts w:hint="eastAsia"/>
        </w:rPr>
        <w:t>规范与风格要求。</w:t>
      </w:r>
    </w:p>
    <w:p>
      <w:pPr>
        <w:ind w:firstLine="560"/>
      </w:pPr>
    </w:p>
    <w:p>
      <w:pPr>
        <w:pStyle w:val="Heading3"/>
        <w:numPr>
          <w:ilvl w:val="2"/>
          <w:numId w:val="8"/>
        </w:numPr>
        <w:tabs>
          <w:tab w:val="left" w:pos="360"/>
        </w:tabs>
        <w:ind w:left="0" w:firstLine="0"/>
        <w:rPr>
          <w:rFonts w:hint="eastAsia"/>
        </w:rPr>
      </w:pPr>
      <w:r>
        <w:rPr>
          <w:rFonts w:hint="eastAsia"/>
        </w:rPr>
        <w:t>规范化要求</w:t>
      </w:r>
    </w:p>
    <w:p>
      <w:pPr>
        <w:ind w:firstLine="560"/>
      </w:pPr>
      <w:r>
        <w:rPr>
          <w:rFonts w:hint="eastAsia"/>
        </w:rPr>
        <w:t>在本项目建设中，为确保开发工作的规范性、高效性以及与气象中心一体化平台</w:t>
      </w:r>
      <w:r>
        <w:t xml:space="preserve"> CME </w:t>
      </w:r>
      <w:r>
        <w:rPr>
          <w:rFonts w:hint="eastAsia"/>
        </w:rPr>
        <w:t>的深度融合，需将</w:t>
      </w:r>
      <w:r>
        <w:t>CME</w:t>
      </w:r>
      <w:r>
        <w:rPr>
          <w:rFonts w:hint="eastAsia"/>
        </w:rPr>
        <w:t>开发流程作为重要的开发规范贯穿项目始终。</w:t>
      </w:r>
    </w:p>
    <w:p>
      <w:pPr>
        <w:pStyle w:val="Heading1"/>
        <w:pageBreakBefore/>
        <w:numPr>
          <w:ilvl w:val="0"/>
          <w:numId w:val="5"/>
        </w:numPr>
        <w:ind w:left="0" w:firstLine="0"/>
        <w:rPr>
          <w:rFonts w:hint="eastAsia"/>
          <w:lang w:val="zh-CN"/>
        </w:rPr>
      </w:pPr>
      <w:bookmarkStart w:id="73" w:name="_Toc172191753"/>
      <w:r>
        <w:rPr>
          <w:rFonts w:hint="eastAsia"/>
          <w:lang w:val="zh-CN"/>
        </w:rPr>
        <w:t>其他要求</w:t>
      </w:r>
      <w:bookmarkEnd w:id="73"/>
    </w:p>
    <w:p>
      <w:pPr>
        <w:pStyle w:val="Heading2"/>
        <w:numPr>
          <w:ilvl w:val="1"/>
          <w:numId w:val="9"/>
        </w:numPr>
        <w:tabs>
          <w:tab w:val="left" w:pos="360"/>
        </w:tabs>
        <w:ind w:left="0" w:firstLine="0"/>
        <w:rPr>
          <w:rFonts w:hint="eastAsia"/>
        </w:rPr>
      </w:pPr>
      <w:bookmarkStart w:id="74" w:name="_Toc172191754"/>
      <w:r>
        <w:rPr>
          <w:rFonts w:hint="eastAsia"/>
        </w:rPr>
        <w:t>人员要求</w:t>
      </w:r>
      <w:bookmarkEnd w:id="74"/>
    </w:p>
    <w:p>
      <w:pPr>
        <w:ind w:firstLine="560"/>
      </w:pPr>
      <w:r>
        <w:rPr>
          <w:rFonts w:hint="eastAsia"/>
        </w:rPr>
        <w:t>投标人必须成立合理的组织机构，建立健全保障设计、开发工作顺利实施的各项管理制度和质量保证体系，安排好足够的高素质人才参加本项目工作。</w:t>
      </w:r>
    </w:p>
    <w:p>
      <w:pPr>
        <w:ind w:firstLine="560"/>
      </w:pPr>
      <w:r>
        <w:rPr>
          <w:rFonts w:hint="eastAsia"/>
        </w:rPr>
        <w:t>在组织机构中应明确各岗位的职责、任职资格及成果，确保项目顺利实施，应分别配备有项目经理、技术负责人、系统架构师等承担本项目工作。</w:t>
      </w:r>
    </w:p>
    <w:p>
      <w:pPr>
        <w:ind w:firstLine="560"/>
      </w:pPr>
      <w:r>
        <w:rPr>
          <w:rFonts w:hint="eastAsia"/>
        </w:rPr>
        <w:t>投标人应确保服务于本项目的核心技术人员及主要开发人员稳定，团队人数至少9人，其中驻场人员至少5人，其中至少6人具有至少3年以上气象预报、气象检验、气象应用类软件等开发的经验。未经甲方允许不得调整核心团队成员，甲方有权要求更换投标人项目团队成员。</w:t>
      </w:r>
    </w:p>
    <w:p>
      <w:pPr>
        <w:pStyle w:val="Heading2"/>
        <w:numPr>
          <w:ilvl w:val="1"/>
          <w:numId w:val="9"/>
        </w:numPr>
        <w:tabs>
          <w:tab w:val="left" w:pos="360"/>
        </w:tabs>
        <w:ind w:left="0" w:firstLine="0"/>
        <w:rPr>
          <w:rFonts w:hint="eastAsia"/>
        </w:rPr>
      </w:pPr>
      <w:bookmarkStart w:id="75" w:name="_Toc137459483"/>
      <w:bookmarkStart w:id="76" w:name="_Toc172191755"/>
      <w:r>
        <w:rPr>
          <w:rFonts w:hint="eastAsia"/>
        </w:rPr>
        <w:t>进度要求</w:t>
      </w:r>
      <w:bookmarkEnd w:id="75"/>
      <w:bookmarkEnd w:id="76"/>
    </w:p>
    <w:p>
      <w:pPr>
        <w:ind w:firstLine="560"/>
      </w:pPr>
      <w:r>
        <w:rPr>
          <w:rFonts w:hint="eastAsia"/>
        </w:rPr>
        <w:t>本软件系统的研制要求完全按软件工程的方法和过程实施，其研制过程主要包括需求分析、概要设计、详细设计与编码调试、测试与系统集成、试运行、系统验收六个阶段，研制周期为18个月。</w:t>
      </w:r>
    </w:p>
    <w:p>
      <w:pPr>
        <w:spacing w:before="156" w:beforeLines="50"/>
        <w:ind w:firstLine="480"/>
        <w:jc w:val="center"/>
      </w:pPr>
      <w:r>
        <w:rPr>
          <w:rFonts w:hint="eastAsia"/>
          <w:sz w:val="24"/>
        </w:rPr>
        <w:t>表</w:t>
      </w:r>
      <w:r>
        <w:rPr>
          <w:sz w:val="24"/>
        </w:rPr>
        <w:t>1</w:t>
      </w:r>
      <w:r>
        <w:rPr>
          <w:rFonts w:hint="eastAsia"/>
          <w:sz w:val="24"/>
        </w:rPr>
        <w:t>项目</w:t>
      </w:r>
      <w:r>
        <w:rPr>
          <w:rFonts w:hAnsi="宋体" w:hint="eastAsia"/>
          <w:sz w:val="24"/>
        </w:rPr>
        <w:t>开发进度表</w:t>
      </w:r>
    </w:p>
    <w:tbl>
      <w:tblPr>
        <w:tblStyle w:val="TableNormal"/>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146"/>
        <w:gridCol w:w="1110"/>
        <w:gridCol w:w="5457"/>
      </w:tblGrid>
      <w:tr>
        <w:tblPrEx>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2146" w:type="dxa"/>
            <w:shd w:val="clear" w:color="auto" w:fill="D0CECE"/>
            <w:vAlign w:val="center"/>
          </w:tcPr>
          <w:p>
            <w:pPr>
              <w:snapToGrid w:val="0"/>
              <w:spacing w:before="156" w:beforeLines="50" w:after="156" w:afterLines="50"/>
              <w:ind w:firstLine="0" w:firstLineChars="0"/>
              <w:jc w:val="center"/>
              <w:rPr>
                <w:b/>
                <w:szCs w:val="20"/>
              </w:rPr>
            </w:pPr>
            <w:r>
              <w:rPr>
                <w:rFonts w:hint="eastAsia"/>
                <w:b/>
                <w:sz w:val="24"/>
                <w:szCs w:val="20"/>
              </w:rPr>
              <w:t>软件研发过程</w:t>
            </w:r>
          </w:p>
        </w:tc>
        <w:tc>
          <w:tcPr>
            <w:tcW w:w="1110" w:type="dxa"/>
            <w:shd w:val="clear" w:color="auto" w:fill="D0CECE"/>
            <w:vAlign w:val="center"/>
          </w:tcPr>
          <w:p>
            <w:pPr>
              <w:snapToGrid w:val="0"/>
              <w:spacing w:before="156" w:beforeLines="50" w:after="156" w:afterLines="50"/>
              <w:ind w:firstLine="0" w:firstLineChars="0"/>
              <w:jc w:val="center"/>
              <w:rPr>
                <w:b/>
                <w:szCs w:val="20"/>
              </w:rPr>
            </w:pPr>
            <w:r>
              <w:rPr>
                <w:rFonts w:hint="eastAsia"/>
                <w:b/>
                <w:sz w:val="24"/>
                <w:szCs w:val="20"/>
              </w:rPr>
              <w:t>进度要求</w:t>
            </w:r>
            <w:r>
              <w:rPr>
                <w:b/>
                <w:sz w:val="24"/>
                <w:szCs w:val="20"/>
              </w:rPr>
              <w:t>(</w:t>
            </w:r>
            <w:r>
              <w:rPr>
                <w:rFonts w:hint="eastAsia"/>
                <w:b/>
                <w:sz w:val="24"/>
                <w:szCs w:val="20"/>
              </w:rPr>
              <w:t>月</w:t>
            </w:r>
            <w:r>
              <w:rPr>
                <w:b/>
                <w:sz w:val="24"/>
                <w:szCs w:val="20"/>
              </w:rPr>
              <w:t>)</w:t>
            </w:r>
          </w:p>
        </w:tc>
        <w:tc>
          <w:tcPr>
            <w:tcW w:w="5457" w:type="dxa"/>
            <w:shd w:val="clear" w:color="auto" w:fill="D0CECE"/>
            <w:vAlign w:val="center"/>
          </w:tcPr>
          <w:p>
            <w:pPr>
              <w:snapToGrid w:val="0"/>
              <w:spacing w:before="156" w:beforeLines="50" w:after="156" w:afterLines="50"/>
              <w:ind w:firstLine="0" w:firstLineChars="0"/>
              <w:jc w:val="center"/>
              <w:rPr>
                <w:b/>
                <w:szCs w:val="20"/>
              </w:rPr>
            </w:pPr>
            <w:r>
              <w:rPr>
                <w:rFonts w:hint="eastAsia"/>
                <w:b/>
                <w:sz w:val="24"/>
                <w:szCs w:val="20"/>
              </w:rPr>
              <w:t>基本要求</w:t>
            </w:r>
          </w:p>
        </w:tc>
      </w:tr>
      <w:tr>
        <w:tblPrEx>
          <w:tblW w:w="8713" w:type="dxa"/>
          <w:jc w:val="center"/>
          <w:tblCellMar>
            <w:top w:w="0" w:type="dxa"/>
            <w:left w:w="108" w:type="dxa"/>
            <w:bottom w:w="0" w:type="dxa"/>
            <w:right w:w="108" w:type="dxa"/>
          </w:tblCellMar>
        </w:tblPrEx>
        <w:trPr>
          <w:jc w:val="center"/>
        </w:trPr>
        <w:tc>
          <w:tcPr>
            <w:tcW w:w="2146" w:type="dxa"/>
            <w:vAlign w:val="center"/>
          </w:tcPr>
          <w:p>
            <w:pPr>
              <w:snapToGrid w:val="0"/>
              <w:spacing w:before="156" w:beforeLines="50" w:after="156" w:afterLines="50"/>
              <w:ind w:firstLine="420"/>
              <w:jc w:val="left"/>
              <w:rPr>
                <w:sz w:val="21"/>
                <w:szCs w:val="16"/>
              </w:rPr>
            </w:pPr>
            <w:r>
              <w:rPr>
                <w:rFonts w:hint="eastAsia"/>
                <w:sz w:val="21"/>
                <w:szCs w:val="16"/>
              </w:rPr>
              <w:t>需求分析</w:t>
            </w:r>
          </w:p>
        </w:tc>
        <w:tc>
          <w:tcPr>
            <w:tcW w:w="1110" w:type="dxa"/>
            <w:vAlign w:val="center"/>
          </w:tcPr>
          <w:p>
            <w:pPr>
              <w:snapToGrid w:val="0"/>
              <w:spacing w:before="156" w:beforeLines="50" w:after="156" w:afterLines="50"/>
              <w:ind w:firstLine="420"/>
              <w:jc w:val="left"/>
              <w:rPr>
                <w:sz w:val="21"/>
                <w:szCs w:val="16"/>
              </w:rPr>
            </w:pPr>
            <w:r>
              <w:rPr>
                <w:rFonts w:hint="eastAsia"/>
                <w:sz w:val="21"/>
                <w:szCs w:val="16"/>
              </w:rPr>
              <w:t>2</w:t>
            </w:r>
          </w:p>
        </w:tc>
        <w:tc>
          <w:tcPr>
            <w:tcW w:w="5457" w:type="dxa"/>
            <w:vAlign w:val="center"/>
          </w:tcPr>
          <w:p>
            <w:pPr>
              <w:snapToGrid w:val="0"/>
              <w:spacing w:before="156" w:beforeLines="50" w:after="156" w:afterLines="50"/>
              <w:ind w:firstLine="420"/>
              <w:jc w:val="left"/>
              <w:rPr>
                <w:sz w:val="21"/>
                <w:szCs w:val="16"/>
              </w:rPr>
            </w:pPr>
            <w:r>
              <w:rPr>
                <w:rFonts w:hint="eastAsia"/>
                <w:sz w:val="21"/>
                <w:szCs w:val="16"/>
              </w:rPr>
              <w:t>完成任务书中所有软件功能的分析，提交软件需求阶段应提交的各类文档，通过甲方组织的评审</w:t>
            </w:r>
          </w:p>
        </w:tc>
      </w:tr>
      <w:tr>
        <w:tblPrEx>
          <w:tblW w:w="8713" w:type="dxa"/>
          <w:jc w:val="center"/>
          <w:tblCellMar>
            <w:top w:w="0" w:type="dxa"/>
            <w:left w:w="108" w:type="dxa"/>
            <w:bottom w:w="0" w:type="dxa"/>
            <w:right w:w="108" w:type="dxa"/>
          </w:tblCellMar>
        </w:tblPrEx>
        <w:trPr>
          <w:jc w:val="center"/>
        </w:trPr>
        <w:tc>
          <w:tcPr>
            <w:tcW w:w="2146" w:type="dxa"/>
            <w:vAlign w:val="center"/>
          </w:tcPr>
          <w:p>
            <w:pPr>
              <w:snapToGrid w:val="0"/>
              <w:spacing w:before="156" w:beforeLines="50" w:after="156" w:afterLines="50"/>
              <w:ind w:firstLine="420"/>
              <w:jc w:val="left"/>
              <w:rPr>
                <w:sz w:val="21"/>
                <w:szCs w:val="16"/>
              </w:rPr>
            </w:pPr>
            <w:r>
              <w:rPr>
                <w:rFonts w:hint="eastAsia"/>
                <w:sz w:val="21"/>
                <w:szCs w:val="16"/>
              </w:rPr>
              <w:t>设计与开发</w:t>
            </w:r>
          </w:p>
        </w:tc>
        <w:tc>
          <w:tcPr>
            <w:tcW w:w="1110" w:type="dxa"/>
            <w:vAlign w:val="center"/>
          </w:tcPr>
          <w:p>
            <w:pPr>
              <w:snapToGrid w:val="0"/>
              <w:spacing w:before="156" w:beforeLines="50" w:after="156" w:afterLines="50"/>
              <w:ind w:firstLine="420"/>
              <w:jc w:val="left"/>
              <w:rPr>
                <w:sz w:val="21"/>
                <w:szCs w:val="16"/>
              </w:rPr>
            </w:pPr>
            <w:r>
              <w:rPr>
                <w:rFonts w:hint="eastAsia"/>
                <w:sz w:val="21"/>
                <w:szCs w:val="16"/>
              </w:rPr>
              <w:t>10</w:t>
            </w:r>
          </w:p>
        </w:tc>
        <w:tc>
          <w:tcPr>
            <w:tcW w:w="5457" w:type="dxa"/>
            <w:vAlign w:val="center"/>
          </w:tcPr>
          <w:p>
            <w:pPr>
              <w:snapToGrid w:val="0"/>
              <w:spacing w:before="156" w:beforeLines="50" w:after="156" w:afterLines="50"/>
              <w:ind w:firstLine="420"/>
              <w:jc w:val="left"/>
              <w:rPr>
                <w:sz w:val="21"/>
                <w:szCs w:val="16"/>
              </w:rPr>
            </w:pPr>
            <w:r>
              <w:rPr>
                <w:rFonts w:hint="eastAsia"/>
                <w:sz w:val="21"/>
                <w:szCs w:val="16"/>
              </w:rPr>
              <w:t>完成任务书中所有软件功能的设计，提交设计阶段应提交的各类文档，提供客户端原型设计，通过甲方组织的评审，完成系统开发</w:t>
            </w:r>
          </w:p>
        </w:tc>
      </w:tr>
      <w:tr>
        <w:tblPrEx>
          <w:tblW w:w="8713" w:type="dxa"/>
          <w:jc w:val="center"/>
          <w:tblCellMar>
            <w:top w:w="0" w:type="dxa"/>
            <w:left w:w="108" w:type="dxa"/>
            <w:bottom w:w="0" w:type="dxa"/>
            <w:right w:w="108" w:type="dxa"/>
          </w:tblCellMar>
        </w:tblPrEx>
        <w:trPr>
          <w:jc w:val="center"/>
        </w:trPr>
        <w:tc>
          <w:tcPr>
            <w:tcW w:w="2146" w:type="dxa"/>
            <w:vAlign w:val="center"/>
          </w:tcPr>
          <w:p>
            <w:pPr>
              <w:snapToGrid w:val="0"/>
              <w:spacing w:before="156" w:beforeLines="50" w:after="156" w:afterLines="50"/>
              <w:ind w:firstLine="420"/>
              <w:jc w:val="left"/>
              <w:rPr>
                <w:sz w:val="21"/>
                <w:szCs w:val="16"/>
              </w:rPr>
            </w:pPr>
            <w:r>
              <w:rPr>
                <w:rFonts w:hint="eastAsia"/>
                <w:sz w:val="21"/>
                <w:szCs w:val="16"/>
              </w:rPr>
              <w:t>集成联调测试</w:t>
            </w:r>
          </w:p>
        </w:tc>
        <w:tc>
          <w:tcPr>
            <w:tcW w:w="1110" w:type="dxa"/>
            <w:vAlign w:val="center"/>
          </w:tcPr>
          <w:p>
            <w:pPr>
              <w:snapToGrid w:val="0"/>
              <w:spacing w:before="156" w:beforeLines="50" w:after="156" w:afterLines="50"/>
              <w:ind w:firstLine="420"/>
              <w:jc w:val="left"/>
              <w:rPr>
                <w:sz w:val="21"/>
                <w:szCs w:val="16"/>
              </w:rPr>
            </w:pPr>
            <w:r>
              <w:rPr>
                <w:rFonts w:hint="eastAsia"/>
                <w:sz w:val="21"/>
                <w:szCs w:val="16"/>
              </w:rPr>
              <w:t>2</w:t>
            </w:r>
          </w:p>
        </w:tc>
        <w:tc>
          <w:tcPr>
            <w:tcW w:w="5457" w:type="dxa"/>
            <w:vAlign w:val="center"/>
          </w:tcPr>
          <w:p>
            <w:pPr>
              <w:snapToGrid w:val="0"/>
              <w:spacing w:before="156" w:beforeLines="50" w:after="156" w:afterLines="50"/>
              <w:ind w:firstLine="420"/>
              <w:jc w:val="left"/>
              <w:rPr>
                <w:sz w:val="21"/>
                <w:szCs w:val="16"/>
              </w:rPr>
            </w:pPr>
            <w:r>
              <w:rPr>
                <w:rFonts w:hint="eastAsia"/>
                <w:sz w:val="21"/>
                <w:szCs w:val="16"/>
              </w:rPr>
              <w:t>完成各系统在基础设施资源池中的部署及集成对接和联调测试，开展省级部署及集成对接和联调测试，完成合同初步验收</w:t>
            </w:r>
          </w:p>
        </w:tc>
      </w:tr>
      <w:tr>
        <w:tblPrEx>
          <w:tblW w:w="8713" w:type="dxa"/>
          <w:jc w:val="center"/>
          <w:tblCellMar>
            <w:top w:w="0" w:type="dxa"/>
            <w:left w:w="108" w:type="dxa"/>
            <w:bottom w:w="0" w:type="dxa"/>
            <w:right w:w="108" w:type="dxa"/>
          </w:tblCellMar>
        </w:tblPrEx>
        <w:trPr>
          <w:jc w:val="center"/>
        </w:trPr>
        <w:tc>
          <w:tcPr>
            <w:tcW w:w="2146" w:type="dxa"/>
            <w:vAlign w:val="center"/>
          </w:tcPr>
          <w:p>
            <w:pPr>
              <w:snapToGrid w:val="0"/>
              <w:spacing w:before="156" w:beforeLines="50" w:after="156" w:afterLines="50"/>
              <w:ind w:firstLine="420"/>
              <w:jc w:val="left"/>
              <w:rPr>
                <w:sz w:val="21"/>
                <w:szCs w:val="16"/>
              </w:rPr>
            </w:pPr>
            <w:r>
              <w:rPr>
                <w:rFonts w:hint="eastAsia"/>
                <w:sz w:val="21"/>
                <w:szCs w:val="16"/>
              </w:rPr>
              <w:t>试运行</w:t>
            </w:r>
          </w:p>
        </w:tc>
        <w:tc>
          <w:tcPr>
            <w:tcW w:w="1110" w:type="dxa"/>
            <w:vAlign w:val="center"/>
          </w:tcPr>
          <w:p>
            <w:pPr>
              <w:snapToGrid w:val="0"/>
              <w:spacing w:before="156" w:beforeLines="50" w:after="156" w:afterLines="50"/>
              <w:ind w:firstLine="420"/>
              <w:jc w:val="left"/>
              <w:rPr>
                <w:sz w:val="21"/>
                <w:szCs w:val="16"/>
              </w:rPr>
            </w:pPr>
            <w:r>
              <w:rPr>
                <w:rFonts w:hint="eastAsia"/>
                <w:sz w:val="21"/>
                <w:szCs w:val="16"/>
              </w:rPr>
              <w:t>3</w:t>
            </w:r>
          </w:p>
        </w:tc>
        <w:tc>
          <w:tcPr>
            <w:tcW w:w="5457" w:type="dxa"/>
            <w:vAlign w:val="center"/>
          </w:tcPr>
          <w:p>
            <w:pPr>
              <w:snapToGrid w:val="0"/>
              <w:spacing w:before="156" w:beforeLines="50" w:after="156" w:afterLines="50"/>
              <w:ind w:firstLine="420"/>
              <w:jc w:val="left"/>
              <w:rPr>
                <w:sz w:val="21"/>
                <w:szCs w:val="16"/>
              </w:rPr>
            </w:pPr>
            <w:r>
              <w:rPr>
                <w:rFonts w:hint="eastAsia"/>
                <w:sz w:val="21"/>
                <w:szCs w:val="16"/>
              </w:rPr>
              <w:t>全面投入试运行并进行系统优化改进。</w:t>
            </w:r>
          </w:p>
        </w:tc>
      </w:tr>
      <w:tr>
        <w:tblPrEx>
          <w:tblW w:w="8713" w:type="dxa"/>
          <w:jc w:val="center"/>
          <w:tblCellMar>
            <w:top w:w="0" w:type="dxa"/>
            <w:left w:w="108" w:type="dxa"/>
            <w:bottom w:w="0" w:type="dxa"/>
            <w:right w:w="108" w:type="dxa"/>
          </w:tblCellMar>
        </w:tblPrEx>
        <w:trPr>
          <w:jc w:val="center"/>
        </w:trPr>
        <w:tc>
          <w:tcPr>
            <w:tcW w:w="2146" w:type="dxa"/>
            <w:vAlign w:val="center"/>
          </w:tcPr>
          <w:p>
            <w:pPr>
              <w:snapToGrid w:val="0"/>
              <w:spacing w:before="156" w:beforeLines="50" w:after="156" w:afterLines="50"/>
              <w:ind w:firstLine="420"/>
              <w:jc w:val="left"/>
              <w:rPr>
                <w:sz w:val="21"/>
                <w:szCs w:val="16"/>
              </w:rPr>
            </w:pPr>
            <w:r>
              <w:rPr>
                <w:rFonts w:hint="eastAsia"/>
                <w:sz w:val="21"/>
                <w:szCs w:val="16"/>
              </w:rPr>
              <w:t>系统终验</w:t>
            </w:r>
          </w:p>
        </w:tc>
        <w:tc>
          <w:tcPr>
            <w:tcW w:w="1110" w:type="dxa"/>
            <w:vAlign w:val="center"/>
          </w:tcPr>
          <w:p>
            <w:pPr>
              <w:snapToGrid w:val="0"/>
              <w:spacing w:before="156" w:beforeLines="50" w:after="156" w:afterLines="50"/>
              <w:ind w:firstLine="420"/>
              <w:jc w:val="left"/>
              <w:rPr>
                <w:sz w:val="21"/>
                <w:szCs w:val="16"/>
              </w:rPr>
            </w:pPr>
            <w:r>
              <w:rPr>
                <w:sz w:val="21"/>
                <w:szCs w:val="16"/>
              </w:rPr>
              <w:t>1</w:t>
            </w:r>
          </w:p>
        </w:tc>
        <w:tc>
          <w:tcPr>
            <w:tcW w:w="5457" w:type="dxa"/>
            <w:vAlign w:val="center"/>
          </w:tcPr>
          <w:p>
            <w:pPr>
              <w:snapToGrid w:val="0"/>
              <w:spacing w:before="156" w:beforeLines="50" w:after="156" w:afterLines="50"/>
              <w:ind w:firstLine="420"/>
              <w:jc w:val="left"/>
              <w:rPr>
                <w:sz w:val="21"/>
                <w:szCs w:val="16"/>
              </w:rPr>
            </w:pPr>
            <w:r>
              <w:rPr>
                <w:rFonts w:hint="eastAsia"/>
                <w:sz w:val="21"/>
                <w:szCs w:val="16"/>
              </w:rPr>
              <w:t>完成业务验收测试及项目验收材料的编制，完成项目验收和合同终验，系统正式上线运行。</w:t>
            </w:r>
          </w:p>
        </w:tc>
      </w:tr>
    </w:tbl>
    <w:p>
      <w:pPr>
        <w:ind w:firstLine="149" w:firstLineChars="71"/>
      </w:pPr>
    </w:p>
    <w:p>
      <w:pPr>
        <w:ind w:firstLine="149" w:firstLineChars="71"/>
      </w:pPr>
    </w:p>
    <w:p>
      <w:pPr>
        <w:pStyle w:val="Heading2"/>
        <w:numPr>
          <w:ilvl w:val="1"/>
          <w:numId w:val="9"/>
        </w:numPr>
        <w:tabs>
          <w:tab w:val="left" w:pos="360"/>
        </w:tabs>
        <w:ind w:left="0" w:firstLine="0"/>
        <w:rPr>
          <w:rFonts w:hint="eastAsia"/>
        </w:rPr>
      </w:pPr>
      <w:bookmarkStart w:id="77" w:name="_Toc172191756"/>
      <w:r>
        <w:rPr>
          <w:rFonts w:hint="eastAsia"/>
        </w:rPr>
        <w:t>培训要求</w:t>
      </w:r>
      <w:bookmarkEnd w:id="77"/>
    </w:p>
    <w:p>
      <w:pPr>
        <w:ind w:firstLine="560"/>
        <w:rPr>
          <w:rFonts w:ascii="宋体" w:hAnsi="宋体" w:hint="eastAsia"/>
          <w:color w:val="000000"/>
          <w:szCs w:val="28"/>
        </w:rPr>
      </w:pPr>
      <w:r>
        <w:rPr>
          <w:rFonts w:ascii="宋体" w:hAnsi="宋体" w:hint="eastAsia"/>
          <w:color w:val="000000"/>
          <w:szCs w:val="28"/>
        </w:rPr>
        <w:t>1、投标方应保证提供最有经验的教员，使采购人相关人员在培训后能够独立地对系统进行管理、维护。</w:t>
      </w:r>
    </w:p>
    <w:p>
      <w:pPr>
        <w:ind w:firstLine="560"/>
        <w:rPr>
          <w:rFonts w:ascii="宋体" w:hAnsi="宋体" w:hint="eastAsia"/>
          <w:color w:val="000000"/>
          <w:szCs w:val="28"/>
        </w:rPr>
      </w:pPr>
      <w:r>
        <w:rPr>
          <w:rFonts w:ascii="宋体" w:hAnsi="宋体" w:hint="eastAsia"/>
          <w:color w:val="000000"/>
          <w:szCs w:val="28"/>
        </w:rPr>
        <w:t>2、培训应包括使用培训（针对项目日常维护人员及应用人员）、系统管理培训（针对项目技术管理人员）。</w:t>
      </w:r>
    </w:p>
    <w:p>
      <w:pPr>
        <w:ind w:firstLine="560"/>
        <w:rPr>
          <w:rFonts w:ascii="宋体" w:hAnsi="宋体" w:hint="eastAsia"/>
          <w:color w:val="000000"/>
          <w:szCs w:val="28"/>
        </w:rPr>
      </w:pPr>
      <w:r>
        <w:rPr>
          <w:rFonts w:ascii="宋体" w:hAnsi="宋体" w:hint="eastAsia"/>
          <w:color w:val="000000"/>
          <w:szCs w:val="28"/>
        </w:rPr>
        <w:t>应提供以下材料：</w:t>
      </w:r>
    </w:p>
    <w:p>
      <w:pPr>
        <w:ind w:firstLine="560"/>
        <w:rPr>
          <w:rFonts w:ascii="宋体" w:hAnsi="宋体" w:hint="eastAsia"/>
          <w:color w:val="000000"/>
          <w:szCs w:val="28"/>
        </w:rPr>
      </w:pPr>
      <w:r>
        <w:rPr>
          <w:rFonts w:ascii="宋体" w:hAnsi="宋体" w:hint="eastAsia"/>
          <w:color w:val="000000"/>
          <w:szCs w:val="28"/>
        </w:rPr>
        <w:t>1）培训大纲：其中应注明每次课程的内容和目的。</w:t>
      </w:r>
    </w:p>
    <w:p>
      <w:pPr>
        <w:ind w:firstLine="560"/>
        <w:rPr>
          <w:rFonts w:ascii="宋体" w:hAnsi="宋体" w:hint="eastAsia"/>
          <w:color w:val="000000"/>
          <w:szCs w:val="28"/>
        </w:rPr>
      </w:pPr>
      <w:r>
        <w:rPr>
          <w:rFonts w:ascii="宋体" w:hAnsi="宋体" w:hint="eastAsia"/>
          <w:color w:val="000000"/>
          <w:szCs w:val="28"/>
        </w:rPr>
        <w:t>2）培训计划：包括但不限于培训课程安排、培训师资。</w:t>
      </w:r>
    </w:p>
    <w:p>
      <w:pPr>
        <w:ind w:firstLine="560"/>
        <w:rPr>
          <w:rFonts w:ascii="宋体" w:hAnsi="宋体" w:hint="eastAsia"/>
        </w:rPr>
      </w:pPr>
      <w:r>
        <w:rPr>
          <w:rFonts w:ascii="宋体" w:hAnsi="宋体" w:hint="eastAsia"/>
          <w:color w:val="000000"/>
          <w:szCs w:val="28"/>
        </w:rPr>
        <w:t>3）内容：系统的功能、相关技术原理和操作使用方法，维护管理的技术，实际的操作练习，以及基本的故障诊断与排错。</w:t>
      </w:r>
    </w:p>
    <w:p>
      <w:pPr>
        <w:pStyle w:val="Heading2"/>
        <w:numPr>
          <w:ilvl w:val="1"/>
          <w:numId w:val="9"/>
        </w:numPr>
        <w:tabs>
          <w:tab w:val="left" w:pos="360"/>
        </w:tabs>
        <w:ind w:left="0" w:firstLine="0"/>
        <w:rPr>
          <w:rFonts w:hint="eastAsia"/>
        </w:rPr>
      </w:pPr>
      <w:bookmarkStart w:id="78" w:name="_Toc172191757"/>
      <w:r>
        <w:rPr>
          <w:rFonts w:hint="eastAsia"/>
        </w:rPr>
        <w:t>售后服务要求</w:t>
      </w:r>
      <w:bookmarkEnd w:id="78"/>
    </w:p>
    <w:p>
      <w:pPr>
        <w:ind w:firstLine="560"/>
        <w:rPr>
          <w:rFonts w:ascii="宋体" w:hAnsi="宋体" w:hint="eastAsia"/>
          <w:color w:val="000000"/>
          <w:szCs w:val="28"/>
        </w:rPr>
      </w:pPr>
      <w:r>
        <w:rPr>
          <w:rFonts w:ascii="宋体" w:hAnsi="宋体" w:hint="eastAsia"/>
          <w:color w:val="000000"/>
          <w:szCs w:val="28"/>
        </w:rPr>
        <w:t>项目验收完成后，提供3年免费质保。</w:t>
      </w:r>
      <w:r>
        <w:rPr>
          <w:rFonts w:ascii="宋体" w:hAnsi="宋体"/>
          <w:color w:val="000000"/>
          <w:szCs w:val="28"/>
        </w:rPr>
        <w:t>在合同质保期内，投标人承诺免费响应甲方系统平台优化的要求，工作量不超过原有建设内容20%</w:t>
      </w:r>
      <w:r>
        <w:rPr>
          <w:rFonts w:ascii="宋体" w:hAnsi="宋体" w:hint="eastAsia"/>
          <w:color w:val="000000"/>
          <w:szCs w:val="28"/>
        </w:rPr>
        <w:t>。</w:t>
      </w:r>
    </w:p>
    <w:p>
      <w:pPr>
        <w:ind w:firstLine="560"/>
      </w:pPr>
      <w:r>
        <w:rPr>
          <w:rFonts w:hint="eastAsia"/>
        </w:rPr>
        <w:t>在质保期内，承包人免费提供电话咨询和指导、远程在线支持、现场技术服务及现场培训等技术支持，其中电话技术支持为7*24小时，对于电话支持无法解决的问题，赴现场解决故障的响应时间不超过1小时。</w:t>
      </w:r>
    </w:p>
    <w:p>
      <w:pPr>
        <w:pStyle w:val="Heading2"/>
        <w:numPr>
          <w:ilvl w:val="1"/>
          <w:numId w:val="9"/>
        </w:numPr>
        <w:tabs>
          <w:tab w:val="left" w:pos="360"/>
        </w:tabs>
        <w:ind w:left="0" w:firstLine="0"/>
        <w:rPr>
          <w:rFonts w:hint="eastAsia"/>
        </w:rPr>
      </w:pPr>
      <w:bookmarkStart w:id="79" w:name="_Toc137459487"/>
      <w:bookmarkStart w:id="80" w:name="_Toc172191758"/>
      <w:bookmarkStart w:id="81" w:name="_Toc137275389"/>
      <w:r>
        <w:t>知识产权归属</w:t>
      </w:r>
      <w:bookmarkEnd w:id="79"/>
      <w:bookmarkEnd w:id="80"/>
      <w:bookmarkEnd w:id="81"/>
    </w:p>
    <w:p>
      <w:pPr>
        <w:ind w:firstLine="560"/>
        <w:rPr>
          <w:rFonts w:ascii="宋体" w:hAnsi="宋体" w:hint="eastAsia"/>
          <w:color w:val="000000"/>
          <w:szCs w:val="28"/>
        </w:rPr>
      </w:pPr>
      <w:r>
        <w:rPr>
          <w:rFonts w:ascii="宋体" w:hAnsi="宋体" w:hint="eastAsia"/>
          <w:color w:val="000000"/>
          <w:szCs w:val="28"/>
        </w:rPr>
        <w:t>在本项目实施过程中产生的包括著作权在内的所有知识产权均归甲方所有。</w:t>
      </w:r>
    </w:p>
    <w:p>
      <w:pPr>
        <w:pStyle w:val="Heading2"/>
        <w:numPr>
          <w:ilvl w:val="1"/>
          <w:numId w:val="9"/>
        </w:numPr>
        <w:tabs>
          <w:tab w:val="left" w:pos="360"/>
        </w:tabs>
        <w:ind w:left="0" w:firstLine="0"/>
        <w:rPr>
          <w:rFonts w:hint="eastAsia"/>
        </w:rPr>
      </w:pPr>
      <w:r>
        <w:rPr>
          <w:rFonts w:hint="eastAsia"/>
        </w:rPr>
        <w:t>安全保密要求</w:t>
      </w:r>
    </w:p>
    <w:p>
      <w:pPr>
        <w:ind w:firstLine="560"/>
        <w:rPr>
          <w:rFonts w:ascii="宋体" w:hAnsi="宋体" w:hint="eastAsia"/>
          <w:color w:val="000000"/>
          <w:szCs w:val="28"/>
        </w:rPr>
      </w:pPr>
      <w:r>
        <w:rPr>
          <w:rFonts w:hint="eastAsia"/>
        </w:rPr>
        <w:t>实施方必须对项目技术文件以及由甲方提供的所有内部材料、技术文档和信息予以保密。实施方必须遵守与甲方签订的保密协议，未经甲方书面许可，投标人不得以任何形式向第三方透露本项目标书以及本项目的任何内容。</w:t>
      </w:r>
    </w:p>
    <w:p>
      <w:pPr>
        <w:pStyle w:val="Heading2"/>
        <w:numPr>
          <w:ilvl w:val="1"/>
          <w:numId w:val="9"/>
        </w:numPr>
        <w:tabs>
          <w:tab w:val="left" w:pos="360"/>
        </w:tabs>
        <w:ind w:left="0" w:firstLine="0"/>
        <w:rPr>
          <w:rFonts w:hint="eastAsia"/>
        </w:rPr>
      </w:pPr>
      <w:bookmarkStart w:id="82" w:name="_Toc172191759"/>
      <w:r>
        <w:rPr>
          <w:rFonts w:hint="eastAsia"/>
        </w:rPr>
        <w:t>验收要求</w:t>
      </w:r>
      <w:bookmarkEnd w:id="82"/>
    </w:p>
    <w:p>
      <w:pPr>
        <w:pStyle w:val="ListParagraph"/>
        <w:widowControl w:val="0"/>
        <w:numPr>
          <w:ilvl w:val="0"/>
          <w:numId w:val="10"/>
        </w:numPr>
        <w:spacing w:line="360" w:lineRule="auto"/>
        <w:ind w:left="425" w:firstLine="0" w:firstLineChars="0"/>
        <w:jc w:val="both"/>
        <w:rPr>
          <w:rFonts w:hint="eastAsia"/>
        </w:rPr>
      </w:pPr>
      <w:r>
        <w:rPr>
          <w:rFonts w:hint="eastAsia"/>
        </w:rPr>
        <w:t>实现合同和招标文件中列举的全部功能要求，双方签订合同需包含以上全部技术要求的量化指标，并以此为准进行验收。</w:t>
      </w:r>
    </w:p>
    <w:p>
      <w:pPr>
        <w:pStyle w:val="ListParagraph"/>
        <w:widowControl w:val="0"/>
        <w:numPr>
          <w:ilvl w:val="0"/>
          <w:numId w:val="10"/>
        </w:numPr>
        <w:spacing w:line="360" w:lineRule="auto"/>
        <w:ind w:left="425" w:firstLine="0" w:firstLineChars="0"/>
        <w:jc w:val="both"/>
        <w:rPr>
          <w:rFonts w:hint="eastAsia"/>
        </w:rPr>
      </w:pPr>
      <w:r>
        <w:rPr>
          <w:rFonts w:hint="eastAsia"/>
        </w:rPr>
        <w:t>项目最终验收前，需要提供合同产品的第三方测试评估报告。</w:t>
      </w:r>
    </w:p>
    <w:p>
      <w:pPr>
        <w:pStyle w:val="ListParagraph"/>
        <w:widowControl w:val="0"/>
        <w:numPr>
          <w:ilvl w:val="0"/>
          <w:numId w:val="10"/>
        </w:numPr>
        <w:spacing w:line="360" w:lineRule="auto"/>
        <w:ind w:left="425" w:firstLine="0" w:firstLineChars="0"/>
        <w:jc w:val="both"/>
        <w:rPr>
          <w:rFonts w:hint="eastAsia"/>
        </w:rPr>
      </w:pPr>
      <w:r>
        <w:rPr>
          <w:rFonts w:hint="eastAsia"/>
        </w:rPr>
        <w:t>项目验收时应将软件的源代码及全部有关产品说明书、技术文件、资料、安装、验收报告等文档汇集成册交付使用单位。</w:t>
      </w:r>
    </w:p>
    <w:p>
      <w:pPr>
        <w:ind w:firstLine="560"/>
        <w:rPr>
          <w:rFonts w:ascii="宋体" w:hAnsi="宋体" w:hint="eastAsia"/>
          <w:color w:val="000000"/>
          <w:szCs w:val="28"/>
        </w:rPr>
      </w:pPr>
      <w:r>
        <w:rPr>
          <w:rFonts w:ascii="宋体" w:hAnsi="宋体" w:hint="eastAsia"/>
          <w:color w:val="000000"/>
          <w:szCs w:val="28"/>
        </w:rPr>
        <w:t>。</w:t>
      </w:r>
    </w:p>
    <w:p>
      <w:pPr>
        <w:pStyle w:val="Heading2"/>
        <w:numPr>
          <w:ilvl w:val="1"/>
          <w:numId w:val="10"/>
        </w:numPr>
        <w:ind w:left="0" w:firstLine="0"/>
        <w:rPr>
          <w:rFonts w:hint="eastAsia"/>
        </w:rPr>
      </w:pPr>
      <w:bookmarkStart w:id="83" w:name="_Toc137275386"/>
      <w:bookmarkStart w:id="84" w:name="_Toc172191760"/>
      <w:bookmarkStart w:id="85" w:name="_Toc137459484"/>
      <w:r>
        <w:t>成果要求</w:t>
      </w:r>
      <w:bookmarkEnd w:id="83"/>
      <w:bookmarkEnd w:id="84"/>
      <w:bookmarkEnd w:id="85"/>
    </w:p>
    <w:p>
      <w:pPr>
        <w:ind w:firstLine="560"/>
        <w:rPr>
          <w:rFonts w:ascii="宋体" w:hAnsi="宋体" w:hint="eastAsia"/>
          <w:color w:val="000000"/>
          <w:szCs w:val="28"/>
        </w:rPr>
      </w:pPr>
      <w:r>
        <w:rPr>
          <w:rFonts w:ascii="宋体" w:hAnsi="宋体"/>
          <w:color w:val="000000"/>
          <w:szCs w:val="28"/>
        </w:rPr>
        <w:t>进行需求分析、概要设计、详细设计、技术开发、系统集成，提供源程序、需求分析文档、概要设计文档、详细设计文档、技术报告文档、测试报告、试运行报告、</w:t>
      </w:r>
      <w:r>
        <w:rPr>
          <w:rFonts w:ascii="宋体" w:hAnsi="宋体" w:hint="eastAsia"/>
          <w:color w:val="000000"/>
          <w:szCs w:val="28"/>
        </w:rPr>
        <w:t>维护</w:t>
      </w:r>
      <w:r>
        <w:rPr>
          <w:rFonts w:ascii="宋体" w:hAnsi="宋体"/>
          <w:color w:val="000000"/>
          <w:szCs w:val="28"/>
        </w:rPr>
        <w:t>手册各一份；</w:t>
      </w:r>
    </w:p>
    <w:p>
      <w:pPr>
        <w:ind w:firstLine="560"/>
        <w:rPr>
          <w:rFonts w:ascii="宋体" w:hAnsi="宋体" w:hint="eastAsia"/>
          <w:color w:val="000000"/>
          <w:szCs w:val="28"/>
        </w:rPr>
      </w:pPr>
      <w:r>
        <w:rPr>
          <w:rFonts w:ascii="宋体" w:hAnsi="宋体"/>
          <w:color w:val="000000"/>
          <w:szCs w:val="28"/>
        </w:rPr>
        <w:t>提交纸质技术验收报告1份，电子版2份；</w:t>
      </w:r>
    </w:p>
    <w:p>
      <w:pPr>
        <w:pStyle w:val="Heading2"/>
        <w:numPr>
          <w:ilvl w:val="1"/>
          <w:numId w:val="10"/>
        </w:numPr>
        <w:ind w:left="0" w:firstLine="0"/>
        <w:rPr>
          <w:rFonts w:hint="eastAsia"/>
        </w:rPr>
      </w:pPr>
      <w:bookmarkStart w:id="86" w:name="_Toc137459488"/>
      <w:bookmarkStart w:id="87" w:name="_Toc172191761"/>
      <w:bookmarkStart w:id="88" w:name="_Toc137275390"/>
      <w:r>
        <w:t>其他要求</w:t>
      </w:r>
      <w:bookmarkEnd w:id="86"/>
      <w:bookmarkEnd w:id="87"/>
      <w:bookmarkEnd w:id="88"/>
    </w:p>
    <w:p>
      <w:pPr>
        <w:ind w:firstLine="560"/>
        <w:rPr>
          <w:rFonts w:ascii="宋体" w:hAnsi="宋体" w:hint="eastAsia"/>
          <w:color w:val="000000"/>
          <w:szCs w:val="28"/>
        </w:rPr>
      </w:pPr>
      <w:r>
        <w:rPr>
          <w:rFonts w:ascii="宋体" w:hAnsi="宋体" w:hint="eastAsia"/>
          <w:color w:val="000000"/>
          <w:szCs w:val="28"/>
        </w:rPr>
        <w:t>1、未经采购人许可，中标供应商不得向任何第三方泄露采购方技术资料内容，因中标供应泄露技术资料等内容产生的法律纠纷，所有责任有中标供应商承担。</w:t>
      </w:r>
    </w:p>
    <w:p>
      <w:pPr>
        <w:ind w:firstLine="560"/>
        <w:rPr>
          <w:rFonts w:ascii="宋体" w:hAnsi="宋体" w:hint="eastAsia"/>
          <w:color w:val="000000"/>
          <w:szCs w:val="28"/>
        </w:rPr>
      </w:pPr>
      <w:r>
        <w:rPr>
          <w:rFonts w:ascii="宋体" w:hAnsi="宋体" w:hint="eastAsia"/>
          <w:color w:val="000000"/>
          <w:szCs w:val="28"/>
        </w:rPr>
        <w:t>2、系统后台运行环境支持国产操作系统（比如中标麒麟）或者</w:t>
      </w:r>
      <w:r>
        <w:rPr>
          <w:rFonts w:ascii="宋体" w:hAnsi="宋体"/>
          <w:color w:val="000000"/>
          <w:szCs w:val="28"/>
        </w:rPr>
        <w:t>Ubuntu16.04、Ubuntu18.04、RedHat7.3等系统，部署环境支持气象大数据云平台</w:t>
      </w:r>
    </w:p>
    <w:p w:rsidR="00A77B3E"/>
    <w:p>
      <w:pPr>
        <w:adjustRightInd w:val="0"/>
        <w:snapToGrid w:val="0"/>
        <w:spacing w:line="360" w:lineRule="auto"/>
        <w:jc w:val="center"/>
        <w:rPr>
          <w:rFonts w:ascii="宋体" w:hAnsi="宋体" w:hint="eastAsia"/>
          <w:b/>
          <w:sz w:val="30"/>
          <w:szCs w:val="30"/>
          <w:highlight w:val="none"/>
        </w:rPr>
        <w:sectPr>
          <w:footerReference w:type="default" r:id="rId12"/>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89"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3"/>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3"/>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w:t>
      </w:r>
      <w:r>
        <w:rPr>
          <w:rFonts w:ascii="宋体" w:hAnsi="宋体" w:cs="Times New Roman" w:hint="eastAsia"/>
          <w:szCs w:val="21"/>
          <w:highlight w:val="none"/>
        </w:rPr>
        <w:t>情况，对投标人有具体要求，且投标人必须遵守的，逐条列出。</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13"/>
          <w:footerReference w:type="default" r:id="rId14"/>
          <w:pgSz w:w="11906" w:h="16838"/>
          <w:pgMar w:top="1440" w:right="1800" w:bottom="1440" w:left="1800" w:header="851" w:footer="992" w:gutter="0"/>
          <w:cols w:space="708"/>
          <w:docGrid w:type="lines" w:linePitch="312"/>
        </w:sectPr>
      </w:pPr>
      <w:bookmarkEnd w:id="8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jc w:val="center"/>
        <w:rPr>
          <w:rFonts w:ascii="方正小标宋简体" w:eastAsia="方正小标宋简体" w:hAnsi="方正小标宋简体" w:cs="方正小标宋简体" w:hint="eastAsia"/>
          <w:bCs/>
          <w:sz w:val="44"/>
          <w:szCs w:val="44"/>
        </w:rPr>
      </w:pPr>
      <w:bookmarkStart w:id="90" w:name="采购公告合同部分_ZBGGHT"/>
    </w:p>
    <w:p>
      <w:pPr>
        <w:ind w:right="-210" w:rightChars="-100"/>
        <w:jc w:val="center"/>
        <w:rPr>
          <w:rFonts w:ascii="方正小标宋简体" w:eastAsia="方正小标宋简体" w:hAnsi="方正小标宋简体" w:cs="方正小标宋简体" w:hint="eastAsia"/>
          <w:bCs/>
          <w:sz w:val="44"/>
          <w:szCs w:val="44"/>
        </w:rPr>
      </w:pPr>
    </w:p>
    <w:p>
      <w:pPr>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软件开发合同</w:t>
      </w:r>
    </w:p>
    <w:p>
      <w:pPr>
        <w:ind w:right="-210" w:rightChars="-100"/>
      </w:pPr>
    </w:p>
    <w:p>
      <w:pPr>
        <w:ind w:right="-210" w:rightChars="-100"/>
        <w:rPr>
          <w:rFonts w:hint="eastAsia"/>
        </w:rPr>
      </w:pPr>
    </w:p>
    <w:p>
      <w:pPr>
        <w:ind w:right="-210" w:rightChars="-100"/>
        <w:rPr>
          <w:rFonts w:hint="eastAsia"/>
        </w:rPr>
      </w:pPr>
      <w:r>
        <w:rPr>
          <w:rFonts w:hint="eastAsia"/>
        </w:rPr>
        <w:t>合同编号：</w:t>
      </w:r>
    </w:p>
    <w:p>
      <w:pPr>
        <w:jc w:val="center"/>
      </w:pPr>
    </w:p>
    <w:p>
      <w:pPr>
        <w:jc w:val="center"/>
        <w:rPr>
          <w:rFonts w:hint="eastAsia"/>
          <w:b/>
          <w:sz w:val="28"/>
          <w:szCs w:val="28"/>
        </w:rPr>
      </w:pPr>
      <w:r>
        <w:rPr>
          <w:rFonts w:hint="eastAsia"/>
          <w:b/>
          <w:sz w:val="28"/>
          <w:szCs w:val="28"/>
        </w:rPr>
        <w:t>技术开发（委托）合同</w:t>
      </w:r>
    </w:p>
    <w:p>
      <w:pPr>
        <w:jc w:val="center"/>
      </w:pPr>
    </w:p>
    <w:p>
      <w:pPr>
        <w:jc w:val="center"/>
      </w:pPr>
    </w:p>
    <w:p>
      <w:pPr>
        <w:spacing w:line="600" w:lineRule="auto"/>
        <w:ind w:right="-32" w:firstLine="420" w:rightChars="-15" w:firstLineChars="200"/>
      </w:pPr>
      <w:r>
        <w:rPr>
          <w:rFonts w:hint="eastAsia"/>
          <w:b/>
          <w:bCs/>
        </w:rPr>
        <w:t>项目名称：</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u w:val="single"/>
        </w:rPr>
      </w:pPr>
    </w:p>
    <w:p>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left="-540" w:right="-15" w:firstLine="420" w:firstLineChars="200"/>
        <w:rPr>
          <w:u w:val="single"/>
        </w:rPr>
      </w:pPr>
      <w:r>
        <w:rPr>
          <w:rFonts w:hint="eastAsia"/>
        </w:rPr>
        <w:t xml:space="preserve">                   </w:t>
      </w:r>
    </w:p>
    <w:p>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jc w:val="center"/>
        <w:rPr>
          <w:rFonts w:hint="eastAsia"/>
          <w:b/>
          <w:sz w:val="28"/>
          <w:szCs w:val="28"/>
        </w:rPr>
      </w:pPr>
      <w:r>
        <w:br w:type="page"/>
      </w:r>
      <w:r>
        <w:rPr>
          <w:rFonts w:hint="eastAsia"/>
          <w:b/>
          <w:sz w:val="28"/>
          <w:szCs w:val="28"/>
        </w:rPr>
        <w:t>技术开发合同</w:t>
      </w:r>
    </w:p>
    <w:p>
      <w:pPr>
        <w:ind w:firstLine="1680" w:firstLineChars="800"/>
        <w:rPr>
          <w:rFonts w:hint="eastAsia"/>
        </w:rPr>
      </w:pPr>
    </w:p>
    <w:p>
      <w:pPr>
        <w:spacing w:line="480" w:lineRule="auto"/>
      </w:pPr>
      <w:r>
        <w:rPr>
          <w:rFonts w:hint="eastAsia"/>
        </w:rPr>
        <w:t xml:space="preserve">甲方： </w:t>
      </w:r>
      <w:r>
        <w:rPr>
          <w:rFonts w:hint="eastAsia"/>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乙方：</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spacing w:line="240" w:lineRule="auto"/>
        <w:ind w:firstLine="420" w:firstLineChars="200"/>
        <w:jc w:val="left"/>
        <w:sectPr>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pPr>
        <w:pStyle w:val="Heading2"/>
        <w:numPr>
          <w:ilvl w:val="0"/>
          <w:numId w:val="11"/>
        </w:numPr>
        <w:ind w:hanging="420"/>
        <w:jc w:val="left"/>
        <w:rPr>
          <w:sz w:val="24"/>
          <w:szCs w:val="24"/>
        </w:rPr>
      </w:pPr>
      <w:bookmarkStart w:id="91" w:name="_Toc150439537"/>
      <w:r>
        <w:rPr>
          <w:rFonts w:hint="eastAsia"/>
          <w:sz w:val="24"/>
          <w:szCs w:val="24"/>
        </w:rPr>
        <w:t>项目内容及概况</w:t>
      </w:r>
      <w:bookmarkEnd w:id="91"/>
      <w:r>
        <w:rPr>
          <w:rFonts w:hint="eastAsia"/>
          <w:sz w:val="24"/>
          <w:szCs w:val="24"/>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802"/>
        <w:gridCol w:w="707"/>
        <w:gridCol w:w="750"/>
        <w:gridCol w:w="1420"/>
        <w:gridCol w:w="1421"/>
        <w:gridCol w:w="14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644" w:type="pct"/>
          </w:tcPr>
          <w:p>
            <w:pPr>
              <w:jc w:val="left"/>
            </w:pPr>
            <w:r>
              <w:rPr>
                <w:rFonts w:hint="eastAsia"/>
                <w:sz w:val="24"/>
                <w:szCs w:val="24"/>
              </w:rPr>
              <w:t>名称</w:t>
            </w:r>
          </w:p>
        </w:tc>
        <w:tc>
          <w:tcPr>
            <w:tcW w:w="415" w:type="pct"/>
          </w:tcPr>
          <w:p>
            <w:pPr>
              <w:jc w:val="left"/>
            </w:pPr>
            <w:r>
              <w:rPr>
                <w:rFonts w:hint="eastAsia"/>
                <w:sz w:val="24"/>
                <w:szCs w:val="24"/>
              </w:rPr>
              <w:t>数量</w:t>
            </w:r>
          </w:p>
        </w:tc>
        <w:tc>
          <w:tcPr>
            <w:tcW w:w="440" w:type="pct"/>
          </w:tcPr>
          <w:p>
            <w:pPr>
              <w:jc w:val="left"/>
            </w:pPr>
            <w:r>
              <w:rPr>
                <w:rFonts w:hint="eastAsia"/>
                <w:sz w:val="24"/>
                <w:szCs w:val="24"/>
              </w:rPr>
              <w:t>单位</w:t>
            </w:r>
          </w:p>
        </w:tc>
        <w:tc>
          <w:tcPr>
            <w:tcW w:w="833" w:type="pct"/>
          </w:tcPr>
          <w:p>
            <w:pPr>
              <w:jc w:val="left"/>
            </w:pPr>
            <w:r>
              <w:rPr>
                <w:rFonts w:hint="eastAsia"/>
                <w:sz w:val="24"/>
                <w:szCs w:val="24"/>
              </w:rPr>
              <w:t>单价（元）</w:t>
            </w:r>
          </w:p>
        </w:tc>
        <w:tc>
          <w:tcPr>
            <w:tcW w:w="834" w:type="pct"/>
          </w:tcPr>
          <w:p>
            <w:pPr>
              <w:jc w:val="left"/>
            </w:pPr>
            <w:r>
              <w:rPr>
                <w:rFonts w:hint="eastAsia"/>
                <w:sz w:val="24"/>
                <w:szCs w:val="24"/>
              </w:rPr>
              <w:t>合计（元）</w:t>
            </w:r>
          </w:p>
        </w:tc>
        <w:tc>
          <w:tcPr>
            <w:tcW w:w="834" w:type="pct"/>
          </w:tcPr>
          <w:p>
            <w:pPr>
              <w:jc w:val="left"/>
            </w:pPr>
            <w:r>
              <w:rPr>
                <w:rFonts w:hint="eastAsia"/>
                <w:sz w:val="24"/>
                <w:szCs w:val="24"/>
              </w:rPr>
              <w:t>备注</w:t>
            </w: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5000" w:type="pct"/>
            <w:gridSpan w:val="6"/>
          </w:tcPr>
          <w:p>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pPr>
        <w:ind w:firstLine="480" w:firstLineChars="200"/>
        <w:jc w:val="left"/>
        <w:rPr>
          <w:rFonts w:hint="eastAsia"/>
        </w:rPr>
      </w:pPr>
      <w:r>
        <w:rPr>
          <w:rFonts w:hint="eastAsia"/>
          <w:sz w:val="24"/>
          <w:szCs w:val="24"/>
        </w:rPr>
        <w:t>乙方承担的研究内容：</w:t>
      </w:r>
    </w:p>
    <w:p>
      <w:pPr>
        <w:ind w:firstLine="480" w:firstLineChars="200"/>
        <w:jc w:val="left"/>
        <w:rPr>
          <w:rFonts w:hint="eastAsia"/>
        </w:rPr>
      </w:pPr>
      <w:r>
        <w:rPr>
          <w:rFonts w:hint="eastAsia"/>
          <w:sz w:val="24"/>
          <w:szCs w:val="24"/>
        </w:rPr>
        <w:t>XXXX（技术交底部分）。</w:t>
      </w:r>
    </w:p>
    <w:p>
      <w:pPr>
        <w:ind w:firstLine="480" w:firstLineChars="200"/>
        <w:jc w:val="left"/>
        <w:rPr>
          <w:rFonts w:hint="eastAsia"/>
        </w:rPr>
      </w:pPr>
      <w:r>
        <w:rPr>
          <w:rFonts w:hint="eastAsia"/>
          <w:sz w:val="24"/>
          <w:szCs w:val="24"/>
        </w:rPr>
        <w:t>乙方主要研究人员</w:t>
      </w:r>
    </w:p>
    <w:p>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pPr>
        <w:pStyle w:val="Heading2"/>
        <w:numPr>
          <w:ilvl w:val="0"/>
          <w:numId w:val="11"/>
        </w:numPr>
        <w:ind w:hanging="420"/>
        <w:jc w:val="left"/>
        <w:rPr>
          <w:rFonts w:hint="eastAsia"/>
          <w:sz w:val="24"/>
          <w:szCs w:val="24"/>
        </w:rPr>
      </w:pPr>
      <w:bookmarkStart w:id="92" w:name="_Toc150434187"/>
      <w:bookmarkStart w:id="93" w:name="_Toc150439539"/>
      <w:bookmarkStart w:id="94" w:name="_Toc150434283"/>
      <w:bookmarkStart w:id="95" w:name="_Toc150439540"/>
      <w:bookmarkEnd w:id="92"/>
      <w:bookmarkEnd w:id="93"/>
      <w:bookmarkEnd w:id="94"/>
      <w:r>
        <w:rPr>
          <w:rFonts w:hint="eastAsia"/>
          <w:sz w:val="24"/>
          <w:szCs w:val="24"/>
        </w:rPr>
        <w:t>项目相关标准</w:t>
      </w:r>
      <w:bookmarkEnd w:id="95"/>
    </w:p>
    <w:p>
      <w:pPr>
        <w:numPr>
          <w:ilvl w:val="0"/>
          <w:numId w:val="12"/>
        </w:numPr>
        <w:ind w:left="0" w:firstLine="480" w:firstLineChars="200"/>
        <w:jc w:val="left"/>
      </w:pPr>
      <w:r>
        <w:rPr>
          <w:rFonts w:hint="eastAsia"/>
          <w:sz w:val="24"/>
          <w:szCs w:val="24"/>
        </w:rPr>
        <w:t>技术标准</w:t>
      </w:r>
    </w:p>
    <w:p>
      <w:pPr>
        <w:numPr>
          <w:ilvl w:val="0"/>
          <w:numId w:val="13"/>
        </w:numPr>
        <w:ind w:left="0" w:firstLine="480" w:firstLineChars="200"/>
        <w:jc w:val="left"/>
      </w:pPr>
      <w:r>
        <w:rPr>
          <w:rFonts w:hint="eastAsia"/>
          <w:sz w:val="24"/>
          <w:szCs w:val="24"/>
        </w:rPr>
        <w:t>国家政策文件</w:t>
      </w:r>
    </w:p>
    <w:p>
      <w:pPr>
        <w:numPr>
          <w:ilvl w:val="1"/>
          <w:numId w:val="12"/>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pPr>
        <w:numPr>
          <w:ilvl w:val="1"/>
          <w:numId w:val="12"/>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3"/>
        </w:numPr>
        <w:ind w:left="0" w:firstLine="480" w:firstLineChars="200"/>
        <w:jc w:val="left"/>
      </w:pPr>
      <w:r>
        <w:rPr>
          <w:rFonts w:hint="eastAsia"/>
          <w:sz w:val="24"/>
          <w:szCs w:val="24"/>
        </w:rPr>
        <w:t>省厅政策文件</w:t>
      </w:r>
    </w:p>
    <w:p>
      <w:pPr>
        <w:numPr>
          <w:ilvl w:val="0"/>
          <w:numId w:val="14"/>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4"/>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3"/>
        </w:numPr>
        <w:ind w:left="0" w:firstLine="480" w:firstLineChars="200"/>
        <w:jc w:val="left"/>
      </w:pPr>
      <w:r>
        <w:rPr>
          <w:rFonts w:hint="eastAsia"/>
          <w:sz w:val="24"/>
          <w:szCs w:val="24"/>
        </w:rPr>
        <w:t>地区政策文件</w:t>
      </w:r>
    </w:p>
    <w:p>
      <w:pPr>
        <w:numPr>
          <w:ilvl w:val="1"/>
          <w:numId w:val="13"/>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1"/>
          <w:numId w:val="13"/>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2"/>
        </w:numPr>
        <w:ind w:left="0" w:firstLine="480" w:firstLineChars="200"/>
        <w:jc w:val="left"/>
      </w:pPr>
      <w:r>
        <w:rPr>
          <w:rFonts w:hint="eastAsia"/>
          <w:sz w:val="24"/>
          <w:szCs w:val="24"/>
        </w:rPr>
        <w:t>标准规范</w:t>
      </w:r>
    </w:p>
    <w:p>
      <w:pPr>
        <w:numPr>
          <w:ilvl w:val="0"/>
          <w:numId w:val="15"/>
        </w:numPr>
        <w:ind w:left="0" w:firstLine="480" w:firstLineChars="200"/>
        <w:jc w:val="left"/>
        <w:rPr>
          <w:rFonts w:hint="eastAsia"/>
          <w:u w:val="single"/>
        </w:rPr>
      </w:pPr>
      <w:r>
        <w:rPr>
          <w:rFonts w:hint="eastAsia"/>
          <w:sz w:val="24"/>
          <w:szCs w:val="24"/>
          <w:u w:val="single"/>
        </w:rPr>
        <w:t xml:space="preserve">                     </w:t>
      </w:r>
    </w:p>
    <w:p>
      <w:pPr>
        <w:numPr>
          <w:ilvl w:val="0"/>
          <w:numId w:val="15"/>
        </w:numPr>
        <w:ind w:left="0" w:firstLine="480" w:firstLineChars="200"/>
        <w:jc w:val="left"/>
        <w:rPr>
          <w:rFonts w:hint="eastAsia"/>
          <w:u w:val="single"/>
        </w:rPr>
      </w:pPr>
      <w:r>
        <w:rPr>
          <w:rFonts w:hint="eastAsia"/>
          <w:sz w:val="24"/>
          <w:szCs w:val="24"/>
          <w:u w:val="single"/>
        </w:rPr>
        <w:t xml:space="preserve">                     </w:t>
      </w:r>
    </w:p>
    <w:p>
      <w:pPr>
        <w:numPr>
          <w:ilvl w:val="0"/>
          <w:numId w:val="12"/>
        </w:numPr>
        <w:ind w:left="0" w:firstLine="480" w:firstLineChars="200"/>
        <w:jc w:val="left"/>
      </w:pPr>
      <w:r>
        <w:rPr>
          <w:rFonts w:hint="eastAsia"/>
          <w:sz w:val="24"/>
          <w:szCs w:val="24"/>
        </w:rPr>
        <w:t>国家法律法规</w:t>
      </w:r>
    </w:p>
    <w:p>
      <w:pPr>
        <w:numPr>
          <w:ilvl w:val="0"/>
          <w:numId w:val="16"/>
        </w:numPr>
        <w:ind w:left="0" w:firstLine="480" w:firstLineChars="200"/>
        <w:jc w:val="left"/>
        <w:rPr>
          <w:rFonts w:hint="eastAsia"/>
          <w:u w:val="single"/>
        </w:rPr>
      </w:pPr>
      <w:r>
        <w:rPr>
          <w:rFonts w:hint="eastAsia"/>
          <w:sz w:val="24"/>
          <w:szCs w:val="24"/>
          <w:u w:val="single"/>
        </w:rPr>
        <w:t xml:space="preserve">《中华人民共和国民法典》            </w:t>
      </w:r>
    </w:p>
    <w:p>
      <w:pPr>
        <w:numPr>
          <w:ilvl w:val="0"/>
          <w:numId w:val="16"/>
        </w:numPr>
        <w:ind w:left="0" w:firstLine="480" w:firstLineChars="200"/>
        <w:jc w:val="left"/>
        <w:rPr>
          <w:rFonts w:hint="eastAsia"/>
          <w:u w:val="single"/>
        </w:rPr>
      </w:pPr>
      <w:r>
        <w:rPr>
          <w:rFonts w:hint="eastAsia"/>
          <w:sz w:val="24"/>
          <w:szCs w:val="24"/>
          <w:u w:val="single"/>
        </w:rPr>
        <w:t xml:space="preserve">《中华人民共和国政府采购法》                </w:t>
      </w:r>
    </w:p>
    <w:p>
      <w:pPr>
        <w:numPr>
          <w:ilvl w:val="0"/>
          <w:numId w:val="16"/>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pPr>
        <w:numPr>
          <w:ilvl w:val="0"/>
          <w:numId w:val="12"/>
        </w:numPr>
        <w:ind w:left="0" w:firstLine="480" w:firstLineChars="200"/>
        <w:jc w:val="left"/>
      </w:pPr>
      <w:r>
        <w:rPr>
          <w:rFonts w:hint="eastAsia"/>
          <w:sz w:val="24"/>
          <w:szCs w:val="24"/>
        </w:rPr>
        <w:t>气象部门管理制度</w:t>
      </w:r>
    </w:p>
    <w:p>
      <w:pPr>
        <w:numPr>
          <w:ilvl w:val="0"/>
          <w:numId w:val="17"/>
        </w:numPr>
        <w:ind w:left="0" w:firstLine="480" w:firstLineChars="200"/>
        <w:jc w:val="left"/>
        <w:rPr>
          <w:u w:val="single"/>
        </w:rPr>
      </w:pPr>
      <w:r>
        <w:rPr>
          <w:rFonts w:hint="eastAsia"/>
          <w:sz w:val="24"/>
          <w:szCs w:val="24"/>
          <w:u w:val="single"/>
        </w:rPr>
        <w:t xml:space="preserve">《气象业务软件外包风险监管办法（试行）》（气办发〔2023〕37号） </w:t>
      </w:r>
    </w:p>
    <w:p>
      <w:pPr>
        <w:numPr>
          <w:ilvl w:val="0"/>
          <w:numId w:val="17"/>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pPr>
        <w:numPr>
          <w:ilvl w:val="0"/>
          <w:numId w:val="17"/>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pPr>
        <w:numPr>
          <w:ilvl w:val="0"/>
          <w:numId w:val="17"/>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pPr>
        <w:numPr>
          <w:ilvl w:val="0"/>
          <w:numId w:val="17"/>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pPr>
        <w:numPr>
          <w:ilvl w:val="0"/>
          <w:numId w:val="17"/>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pPr>
        <w:numPr>
          <w:ilvl w:val="0"/>
          <w:numId w:val="17"/>
        </w:numPr>
        <w:ind w:left="0" w:firstLine="480" w:firstLineChars="200"/>
        <w:jc w:val="left"/>
        <w:rPr>
          <w:u w:val="single"/>
        </w:rPr>
      </w:pPr>
      <w:r>
        <w:rPr>
          <w:rFonts w:hint="eastAsia"/>
          <w:sz w:val="24"/>
          <w:szCs w:val="24"/>
          <w:u w:val="single"/>
        </w:rPr>
        <w:t xml:space="preserve">《中国气象局网络安全管理办法（试行）》（气发〔2020〕41号）     </w:t>
      </w:r>
    </w:p>
    <w:p>
      <w:pPr>
        <w:numPr>
          <w:ilvl w:val="0"/>
          <w:numId w:val="17"/>
        </w:numPr>
        <w:ind w:left="0" w:firstLine="480" w:firstLineChars="200"/>
        <w:jc w:val="left"/>
        <w:rPr>
          <w:u w:val="single"/>
        </w:rPr>
      </w:pPr>
      <w:r>
        <w:rPr>
          <w:rFonts w:hint="eastAsia"/>
          <w:sz w:val="24"/>
          <w:szCs w:val="24"/>
          <w:u w:val="single"/>
        </w:rPr>
        <w:t xml:space="preserve">《国家气象中心供应链管理办法（试行）》                                                            </w:t>
      </w:r>
    </w:p>
    <w:p>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pPr>
        <w:pStyle w:val="Heading2"/>
        <w:numPr>
          <w:ilvl w:val="0"/>
          <w:numId w:val="11"/>
        </w:numPr>
        <w:ind w:hanging="420"/>
        <w:jc w:val="left"/>
        <w:rPr>
          <w:rFonts w:hint="eastAsia"/>
          <w:sz w:val="24"/>
          <w:szCs w:val="24"/>
        </w:rPr>
      </w:pPr>
      <w:bookmarkStart w:id="96" w:name="_Toc150439541"/>
      <w:bookmarkStart w:id="97" w:name="_Toc150439542"/>
      <w:bookmarkEnd w:id="96"/>
      <w:r>
        <w:rPr>
          <w:rFonts w:hint="eastAsia"/>
          <w:sz w:val="24"/>
          <w:szCs w:val="24"/>
        </w:rPr>
        <w:t>组成本合同的文件</w:t>
      </w:r>
      <w:bookmarkEnd w:id="97"/>
    </w:p>
    <w:p>
      <w:pPr>
        <w:numPr>
          <w:ilvl w:val="0"/>
          <w:numId w:val="18"/>
        </w:numPr>
        <w:ind w:left="0" w:firstLine="480" w:firstLineChars="200"/>
        <w:jc w:val="left"/>
        <w:rPr>
          <w:rFonts w:hint="eastAsia"/>
        </w:rPr>
      </w:pPr>
      <w:r>
        <w:rPr>
          <w:rFonts w:hint="eastAsia"/>
          <w:sz w:val="24"/>
          <w:szCs w:val="24"/>
        </w:rPr>
        <w:t>本合同；</w:t>
      </w:r>
    </w:p>
    <w:p>
      <w:pPr>
        <w:numPr>
          <w:ilvl w:val="0"/>
          <w:numId w:val="18"/>
        </w:numPr>
        <w:ind w:left="0" w:firstLine="480" w:firstLineChars="200"/>
        <w:jc w:val="left"/>
      </w:pPr>
      <w:r>
        <w:rPr>
          <w:rFonts w:hint="eastAsia"/>
          <w:sz w:val="24"/>
          <w:szCs w:val="24"/>
        </w:rPr>
        <w:t>中标通知书、招标文件、投标文件等；</w:t>
      </w:r>
    </w:p>
    <w:p>
      <w:pPr>
        <w:numPr>
          <w:ilvl w:val="0"/>
          <w:numId w:val="18"/>
        </w:numPr>
        <w:ind w:left="0" w:firstLine="480" w:firstLineChars="200"/>
        <w:jc w:val="left"/>
      </w:pPr>
      <w:r>
        <w:rPr>
          <w:rFonts w:hint="eastAsia"/>
          <w:sz w:val="24"/>
          <w:szCs w:val="24"/>
        </w:rPr>
        <w:t>与履行本合同有关、经双方依法签字盖章确认后的下列技术文件：</w:t>
      </w:r>
    </w:p>
    <w:p>
      <w:pPr>
        <w:numPr>
          <w:ilvl w:val="0"/>
          <w:numId w:val="19"/>
        </w:numPr>
        <w:ind w:hanging="5"/>
        <w:jc w:val="left"/>
        <w:rPr>
          <w:rFonts w:hint="eastAsia"/>
        </w:rPr>
      </w:pPr>
      <w:r>
        <w:rPr>
          <w:rFonts w:hint="eastAsia"/>
          <w:sz w:val="24"/>
          <w:szCs w:val="24"/>
        </w:rPr>
        <w:t>技术背景资料；</w:t>
      </w:r>
    </w:p>
    <w:p>
      <w:pPr>
        <w:numPr>
          <w:ilvl w:val="0"/>
          <w:numId w:val="19"/>
        </w:numPr>
        <w:ind w:hanging="5"/>
        <w:jc w:val="left"/>
        <w:rPr>
          <w:rFonts w:hint="eastAsia"/>
        </w:rPr>
      </w:pPr>
      <w:r>
        <w:rPr>
          <w:rFonts w:hint="eastAsia"/>
          <w:sz w:val="24"/>
          <w:szCs w:val="24"/>
        </w:rPr>
        <w:t>可行性论证报告；</w:t>
      </w:r>
    </w:p>
    <w:p>
      <w:pPr>
        <w:numPr>
          <w:ilvl w:val="0"/>
          <w:numId w:val="19"/>
        </w:numPr>
        <w:ind w:hanging="5"/>
        <w:jc w:val="left"/>
        <w:rPr>
          <w:rFonts w:hint="eastAsia"/>
        </w:rPr>
      </w:pPr>
      <w:r>
        <w:rPr>
          <w:rFonts w:hint="eastAsia"/>
          <w:sz w:val="24"/>
          <w:szCs w:val="24"/>
        </w:rPr>
        <w:t>技术评价报告；</w:t>
      </w:r>
    </w:p>
    <w:p>
      <w:pPr>
        <w:numPr>
          <w:ilvl w:val="0"/>
          <w:numId w:val="19"/>
        </w:numPr>
        <w:ind w:hanging="5"/>
        <w:jc w:val="left"/>
        <w:rPr>
          <w:rFonts w:hint="eastAsia"/>
        </w:rPr>
      </w:pPr>
      <w:r>
        <w:rPr>
          <w:rFonts w:hint="eastAsia"/>
          <w:sz w:val="24"/>
          <w:szCs w:val="24"/>
        </w:rPr>
        <w:t>技术标准和规范；</w:t>
      </w:r>
    </w:p>
    <w:p>
      <w:pPr>
        <w:numPr>
          <w:ilvl w:val="0"/>
          <w:numId w:val="19"/>
        </w:numPr>
        <w:ind w:hanging="5"/>
        <w:jc w:val="left"/>
        <w:rPr>
          <w:rFonts w:hint="eastAsia"/>
        </w:rPr>
      </w:pPr>
      <w:r>
        <w:rPr>
          <w:sz w:val="24"/>
          <w:szCs w:val="24"/>
        </w:rPr>
        <w:t>……</w:t>
      </w:r>
    </w:p>
    <w:p>
      <w:pPr>
        <w:numPr>
          <w:ilvl w:val="0"/>
          <w:numId w:val="18"/>
        </w:numPr>
        <w:ind w:left="0" w:firstLine="480" w:firstLineChars="200"/>
        <w:jc w:val="left"/>
      </w:pPr>
      <w:r>
        <w:rPr>
          <w:rFonts w:hint="eastAsia"/>
          <w:sz w:val="24"/>
          <w:szCs w:val="24"/>
        </w:rPr>
        <w:t>安全保密承诺书（签字盖章）；</w:t>
      </w:r>
    </w:p>
    <w:p>
      <w:pPr>
        <w:numPr>
          <w:ilvl w:val="0"/>
          <w:numId w:val="18"/>
        </w:numPr>
        <w:ind w:left="0" w:firstLine="480" w:firstLineChars="200"/>
        <w:jc w:val="left"/>
      </w:pPr>
      <w:r>
        <w:rPr>
          <w:rFonts w:hint="eastAsia"/>
          <w:sz w:val="24"/>
          <w:szCs w:val="24"/>
        </w:rPr>
        <w:t>安全保密协议（签字盖章）；</w:t>
      </w:r>
    </w:p>
    <w:p>
      <w:pPr>
        <w:numPr>
          <w:ilvl w:val="0"/>
          <w:numId w:val="18"/>
        </w:numPr>
        <w:ind w:left="0" w:firstLine="480" w:firstLineChars="200"/>
        <w:jc w:val="left"/>
      </w:pPr>
      <w:r>
        <w:rPr>
          <w:rFonts w:hint="eastAsia"/>
          <w:sz w:val="24"/>
          <w:szCs w:val="24"/>
        </w:rPr>
        <w:t>乙方就该项目实施情况接受甲方监督检查的承诺书（签字盖章）；</w:t>
      </w:r>
    </w:p>
    <w:p>
      <w:pPr>
        <w:numPr>
          <w:ilvl w:val="0"/>
          <w:numId w:val="18"/>
        </w:numPr>
        <w:ind w:left="0" w:firstLine="480" w:firstLineChars="200"/>
        <w:jc w:val="left"/>
        <w:rPr>
          <w:rFonts w:hint="eastAsia"/>
        </w:rPr>
      </w:pPr>
      <w:r>
        <w:rPr>
          <w:rFonts w:hint="eastAsia"/>
          <w:sz w:val="24"/>
          <w:szCs w:val="24"/>
        </w:rPr>
        <w:t>统筹集约承诺书（签字盖章）；</w:t>
      </w:r>
    </w:p>
    <w:p>
      <w:pPr>
        <w:numPr>
          <w:ilvl w:val="0"/>
          <w:numId w:val="18"/>
        </w:numPr>
        <w:ind w:left="0" w:firstLine="480" w:firstLineChars="200"/>
        <w:jc w:val="left"/>
        <w:rPr>
          <w:rFonts w:hint="eastAsia"/>
        </w:rPr>
      </w:pPr>
      <w:r>
        <w:rPr>
          <w:rFonts w:hint="eastAsia"/>
          <w:sz w:val="24"/>
          <w:szCs w:val="24"/>
        </w:rPr>
        <w:t>供应方风险清单、产品风险清单、人工智能模型风险清单；</w:t>
      </w:r>
    </w:p>
    <w:p>
      <w:pPr>
        <w:numPr>
          <w:ilvl w:val="0"/>
          <w:numId w:val="18"/>
        </w:numPr>
        <w:ind w:firstLine="480" w:firstLineChars="200"/>
        <w:jc w:val="left"/>
        <w:rPr>
          <w:rFonts w:hint="eastAsia"/>
        </w:rPr>
      </w:pPr>
      <w:r>
        <w:rPr>
          <w:rFonts w:hint="eastAsia"/>
          <w:sz w:val="24"/>
          <w:szCs w:val="24"/>
        </w:rPr>
        <w:t>在执行本合同的过程中，所有经双方签署确认的文件（包括会议纪要、补充协议、往来信函）均为本合同的有效组成部分。</w:t>
      </w:r>
    </w:p>
    <w:p>
      <w:pPr>
        <w:pStyle w:val="Heading2"/>
        <w:numPr>
          <w:ilvl w:val="0"/>
          <w:numId w:val="11"/>
        </w:numPr>
        <w:ind w:hanging="420"/>
        <w:jc w:val="left"/>
        <w:rPr>
          <w:rFonts w:hint="eastAsia"/>
          <w:sz w:val="24"/>
          <w:szCs w:val="24"/>
        </w:rPr>
      </w:pPr>
      <w:bookmarkStart w:id="98" w:name="_Toc150439545"/>
      <w:r>
        <w:rPr>
          <w:rFonts w:hint="eastAsia"/>
          <w:sz w:val="24"/>
          <w:szCs w:val="24"/>
        </w:rPr>
        <w:t>合同履行地点、合同服务期</w:t>
      </w:r>
      <w:bookmarkEnd w:id="98"/>
    </w:p>
    <w:p>
      <w:pPr>
        <w:numPr>
          <w:ilvl w:val="0"/>
          <w:numId w:val="20"/>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pPr>
        <w:numPr>
          <w:ilvl w:val="0"/>
          <w:numId w:val="20"/>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pPr>
        <w:pStyle w:val="Heading2"/>
        <w:numPr>
          <w:ilvl w:val="0"/>
          <w:numId w:val="11"/>
        </w:numPr>
        <w:ind w:hanging="420"/>
        <w:rPr>
          <w:rFonts w:hint="eastAsia"/>
          <w:sz w:val="24"/>
          <w:szCs w:val="24"/>
        </w:rPr>
      </w:pPr>
      <w:bookmarkStart w:id="99" w:name="_Toc150439547"/>
      <w:r>
        <w:rPr>
          <w:rFonts w:hint="eastAsia"/>
          <w:sz w:val="24"/>
          <w:szCs w:val="24"/>
        </w:rPr>
        <w:t>服务范围及内容</w:t>
      </w:r>
      <w:bookmarkEnd w:id="99"/>
    </w:p>
    <w:p>
      <w:pPr>
        <w:ind w:firstLine="480" w:firstLineChars="200"/>
      </w:pPr>
      <w:r>
        <w:rPr>
          <w:rFonts w:hint="eastAsia"/>
          <w:sz w:val="24"/>
          <w:szCs w:val="24"/>
        </w:rPr>
        <w:t>本合同研究开发项目的要求如下：</w:t>
      </w:r>
    </w:p>
    <w:p>
      <w:pPr>
        <w:numPr>
          <w:ilvl w:val="0"/>
          <w:numId w:val="21"/>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pPr>
        <w:numPr>
          <w:ilvl w:val="0"/>
          <w:numId w:val="21"/>
        </w:numPr>
        <w:ind w:left="0" w:firstLine="420"/>
        <w:jc w:val="left"/>
      </w:pPr>
      <w:r>
        <w:rPr>
          <w:rFonts w:hint="eastAsia"/>
          <w:sz w:val="24"/>
          <w:szCs w:val="24"/>
        </w:rPr>
        <w:t>技术目标：</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1"/>
        </w:numPr>
        <w:jc w:val="left"/>
      </w:pPr>
      <w:r>
        <w:rPr>
          <w:rFonts w:hint="eastAsia"/>
          <w:sz w:val="24"/>
          <w:szCs w:val="24"/>
        </w:rPr>
        <w:t>技术内容：</w:t>
      </w:r>
    </w:p>
    <w:p>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pPr>
        <w:numPr>
          <w:ilvl w:val="0"/>
          <w:numId w:val="21"/>
        </w:numPr>
        <w:jc w:val="left"/>
      </w:pPr>
      <w:r>
        <w:rPr>
          <w:rFonts w:hint="eastAsia"/>
          <w:sz w:val="24"/>
          <w:szCs w:val="24"/>
        </w:rPr>
        <w:t>技术方法和路线：</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1"/>
        </w:numPr>
        <w:jc w:val="left"/>
      </w:pPr>
      <w:r>
        <w:rPr>
          <w:rFonts w:hint="eastAsia"/>
          <w:sz w:val="24"/>
          <w:szCs w:val="24"/>
        </w:rPr>
        <w:t>服务内容：</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1"/>
        </w:numPr>
        <w:jc w:val="left"/>
      </w:pPr>
      <w:r>
        <w:rPr>
          <w:rFonts w:hint="eastAsia"/>
          <w:sz w:val="24"/>
          <w:szCs w:val="24"/>
        </w:rPr>
        <w:t>服务要求：</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1"/>
        </w:numPr>
      </w:pPr>
      <w:r>
        <w:rPr>
          <w:rFonts w:hint="eastAsia"/>
          <w:sz w:val="24"/>
          <w:szCs w:val="24"/>
        </w:rPr>
        <w:t>进度安排：</w:t>
      </w:r>
    </w:p>
    <w:p>
      <w:pPr>
        <w:ind w:firstLine="480" w:firstLineChars="200"/>
        <w:rPr>
          <w:rFonts w:hint="eastAsia"/>
        </w:rPr>
      </w:pPr>
      <w:r>
        <w:rPr>
          <w:rFonts w:hint="eastAsia"/>
          <w:sz w:val="24"/>
          <w:szCs w:val="24"/>
        </w:rPr>
        <w:t>乙方应按下列进度完成研究开发工作：</w:t>
      </w:r>
    </w:p>
    <w:p>
      <w:pPr>
        <w:numPr>
          <w:ilvl w:val="0"/>
          <w:numId w:val="22"/>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pPr>
        <w:pStyle w:val="Heading2"/>
        <w:numPr>
          <w:ilvl w:val="0"/>
          <w:numId w:val="11"/>
        </w:numPr>
        <w:ind w:hanging="420"/>
        <w:rPr>
          <w:rFonts w:hint="eastAsia"/>
          <w:sz w:val="24"/>
          <w:szCs w:val="24"/>
        </w:rPr>
      </w:pPr>
      <w:bookmarkStart w:id="100" w:name="_Toc150434195"/>
      <w:bookmarkStart w:id="101" w:name="_Toc150434291"/>
      <w:bookmarkStart w:id="102" w:name="_Toc150439548"/>
      <w:bookmarkStart w:id="103" w:name="_Toc150424370"/>
      <w:bookmarkStart w:id="104" w:name="_Toc150439549"/>
      <w:bookmarkEnd w:id="100"/>
      <w:bookmarkEnd w:id="101"/>
      <w:bookmarkEnd w:id="102"/>
      <w:bookmarkEnd w:id="103"/>
      <w:r>
        <w:rPr>
          <w:rFonts w:hint="eastAsia"/>
          <w:sz w:val="24"/>
          <w:szCs w:val="24"/>
        </w:rPr>
        <w:t>乙方的权利与义务</w:t>
      </w:r>
      <w:bookmarkEnd w:id="104"/>
    </w:p>
    <w:p>
      <w:pPr>
        <w:numPr>
          <w:ilvl w:val="0"/>
          <w:numId w:val="23"/>
        </w:numPr>
        <w:ind w:left="0" w:firstLine="480" w:firstLineChars="200"/>
        <w:rPr>
          <w:rFonts w:hint="eastAsia"/>
        </w:rPr>
      </w:pPr>
      <w:r>
        <w:rPr>
          <w:rFonts w:hint="eastAsia"/>
          <w:sz w:val="24"/>
          <w:szCs w:val="24"/>
        </w:rPr>
        <w:t>为保证履行合同，乙方承诺以下事项：</w:t>
      </w:r>
    </w:p>
    <w:p>
      <w:pPr>
        <w:numPr>
          <w:ilvl w:val="0"/>
          <w:numId w:val="24"/>
        </w:numPr>
        <w:ind w:left="0" w:firstLine="480" w:firstLineChars="200"/>
        <w:rPr>
          <w:rFonts w:hint="eastAsia"/>
          <w:u w:val="single"/>
        </w:rPr>
      </w:pPr>
      <w:r>
        <w:rPr>
          <w:rFonts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pPr>
        <w:numPr>
          <w:ilvl w:val="0"/>
          <w:numId w:val="24"/>
        </w:numPr>
        <w:ind w:left="0" w:firstLine="480" w:firstLineChars="200"/>
        <w:rPr>
          <w:rFonts w:hint="eastAsia"/>
          <w:u w:val="single"/>
        </w:rPr>
      </w:pPr>
      <w:r>
        <w:rPr>
          <w:rFonts w:hint="eastAsia"/>
          <w:sz w:val="24"/>
          <w:szCs w:val="24"/>
          <w:u w:val="single"/>
        </w:rPr>
        <w:t xml:space="preserve">开发团队中X人需驻场开发，驻场地址为           ；                       </w:t>
      </w:r>
    </w:p>
    <w:p>
      <w:pPr>
        <w:numPr>
          <w:ilvl w:val="0"/>
          <w:numId w:val="24"/>
        </w:numPr>
        <w:ind w:left="0" w:firstLine="480" w:firstLineChars="200"/>
        <w:rPr>
          <w:rFonts w:hint="eastAsia"/>
          <w:u w:val="single"/>
        </w:rPr>
      </w:pPr>
      <w:r>
        <w:rPr>
          <w:rFonts w:hint="eastAsia"/>
          <w:sz w:val="24"/>
          <w:szCs w:val="24"/>
          <w:u w:val="single"/>
        </w:rPr>
        <w:t xml:space="preserve">投入所必需的XXX等软硬件设施资源及XXX场地；                         </w:t>
      </w:r>
    </w:p>
    <w:p>
      <w:pPr>
        <w:numPr>
          <w:ilvl w:val="0"/>
          <w:numId w:val="24"/>
        </w:numPr>
        <w:ind w:left="0" w:firstLine="480" w:firstLineChars="200"/>
        <w:rPr>
          <w:rFonts w:hint="eastAsia"/>
          <w:u w:val="single"/>
        </w:rPr>
      </w:pPr>
      <w:r>
        <w:rPr>
          <w:rFonts w:hint="eastAsia"/>
          <w:sz w:val="24"/>
          <w:szCs w:val="24"/>
          <w:u w:val="single"/>
        </w:rPr>
        <w:t xml:space="preserve">制定针对本项目的备份恢复措施和应急预案；                             </w:t>
      </w:r>
    </w:p>
    <w:p>
      <w:pPr>
        <w:numPr>
          <w:ilvl w:val="0"/>
          <w:numId w:val="24"/>
        </w:numPr>
        <w:ind w:left="0" w:firstLine="480" w:firstLineChars="200"/>
        <w:rPr>
          <w:rFonts w:hint="eastAsia"/>
          <w:u w:val="single"/>
        </w:rPr>
      </w:pPr>
      <w:r>
        <w:rPr>
          <w:rFonts w:hint="eastAsia"/>
          <w:sz w:val="24"/>
          <w:szCs w:val="24"/>
          <w:u w:val="single"/>
        </w:rPr>
        <w:t xml:space="preserve">具有XXX等内控、保密和管理制度。                                     </w:t>
      </w:r>
    </w:p>
    <w:p>
      <w:pPr>
        <w:numPr>
          <w:ilvl w:val="0"/>
          <w:numId w:val="24"/>
        </w:numPr>
        <w:ind w:left="0" w:firstLine="480" w:firstLineChars="200"/>
        <w:rPr>
          <w:rFonts w:hint="eastAsia"/>
          <w:u w:val="single"/>
        </w:rPr>
      </w:pPr>
      <w:r>
        <w:rPr>
          <w:rFonts w:hint="eastAsia"/>
          <w:sz w:val="24"/>
          <w:szCs w:val="24"/>
          <w:u w:val="single"/>
        </w:rPr>
        <w:t xml:space="preserve">                                                                     </w:t>
      </w:r>
    </w:p>
    <w:p>
      <w:pPr>
        <w:numPr>
          <w:ilvl w:val="0"/>
          <w:numId w:val="23"/>
        </w:numPr>
        <w:ind w:left="0" w:firstLine="480" w:firstLineChars="200"/>
        <w:rPr>
          <w:rFonts w:hint="eastAsia"/>
        </w:rPr>
      </w:pPr>
      <w:r>
        <w:rPr>
          <w:rFonts w:hint="eastAsia"/>
          <w:sz w:val="24"/>
          <w:szCs w:val="24"/>
        </w:rPr>
        <w:t>对非驻场软件开发，乙方承诺以下事项：</w:t>
      </w:r>
    </w:p>
    <w:p>
      <w:pPr>
        <w:numPr>
          <w:ilvl w:val="0"/>
          <w:numId w:val="25"/>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pPr>
        <w:numPr>
          <w:ilvl w:val="0"/>
          <w:numId w:val="25"/>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pPr>
        <w:numPr>
          <w:ilvl w:val="0"/>
          <w:numId w:val="25"/>
        </w:numPr>
        <w:ind w:left="0" w:firstLine="480" w:firstLineChars="200"/>
        <w:rPr>
          <w:rFonts w:hint="eastAsia"/>
          <w:u w:val="single"/>
        </w:rPr>
      </w:pPr>
      <w:r>
        <w:rPr>
          <w:rFonts w:hint="eastAsia"/>
          <w:sz w:val="24"/>
          <w:szCs w:val="24"/>
          <w:u w:val="single"/>
        </w:rPr>
        <w:t xml:space="preserve">不存在规避监管的情形。                                                </w:t>
      </w:r>
    </w:p>
    <w:p>
      <w:pPr>
        <w:numPr>
          <w:ilvl w:val="0"/>
          <w:numId w:val="23"/>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pPr>
        <w:numPr>
          <w:ilvl w:val="0"/>
          <w:numId w:val="23"/>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pPr>
        <w:numPr>
          <w:ilvl w:val="0"/>
          <w:numId w:val="26"/>
        </w:numPr>
        <w:ind w:hanging="5"/>
        <w:jc w:val="left"/>
      </w:pPr>
      <w:r>
        <w:rPr>
          <w:rFonts w:hint="eastAsia"/>
          <w:sz w:val="24"/>
          <w:szCs w:val="24"/>
        </w:rPr>
        <w:t>项目功能清单；</w:t>
      </w:r>
    </w:p>
    <w:p>
      <w:pPr>
        <w:numPr>
          <w:ilvl w:val="0"/>
          <w:numId w:val="26"/>
        </w:numPr>
        <w:ind w:hanging="5"/>
        <w:jc w:val="left"/>
        <w:rPr>
          <w:rFonts w:hint="eastAsia"/>
        </w:rPr>
      </w:pPr>
      <w:r>
        <w:rPr>
          <w:rFonts w:hint="eastAsia"/>
          <w:sz w:val="24"/>
          <w:szCs w:val="24"/>
        </w:rPr>
        <w:t>项目实施方案。</w:t>
      </w:r>
    </w:p>
    <w:p>
      <w:pPr>
        <w:numPr>
          <w:ilvl w:val="0"/>
          <w:numId w:val="23"/>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pPr>
        <w:numPr>
          <w:ilvl w:val="0"/>
          <w:numId w:val="27"/>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pPr>
        <w:numPr>
          <w:ilvl w:val="0"/>
          <w:numId w:val="27"/>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7"/>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pPr>
        <w:numPr>
          <w:ilvl w:val="0"/>
          <w:numId w:val="23"/>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pPr>
        <w:numPr>
          <w:ilvl w:val="0"/>
          <w:numId w:val="23"/>
        </w:numPr>
        <w:ind w:left="0" w:firstLine="480" w:firstLineChars="200"/>
        <w:rPr>
          <w:rFonts w:hint="eastAsia"/>
        </w:rPr>
      </w:pPr>
      <w:r>
        <w:rPr>
          <w:rFonts w:hint="eastAsia"/>
          <w:sz w:val="24"/>
          <w:szCs w:val="24"/>
        </w:rPr>
        <w:t>乙方应接受甲方对本项目执行工作的监督、检查和评价。</w:t>
      </w:r>
    </w:p>
    <w:p>
      <w:pPr>
        <w:numPr>
          <w:ilvl w:val="0"/>
          <w:numId w:val="23"/>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pPr>
        <w:numPr>
          <w:ilvl w:val="0"/>
          <w:numId w:val="23"/>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23"/>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pPr>
        <w:numPr>
          <w:ilvl w:val="0"/>
          <w:numId w:val="23"/>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11"/>
        </w:numPr>
        <w:ind w:left="0" w:firstLine="480" w:firstLineChars="200"/>
        <w:rPr>
          <w:sz w:val="24"/>
          <w:szCs w:val="24"/>
        </w:rPr>
      </w:pPr>
      <w:bookmarkStart w:id="105" w:name="_Toc150434197"/>
      <w:bookmarkStart w:id="106" w:name="_Toc150434293"/>
      <w:bookmarkStart w:id="107" w:name="_Toc150424372"/>
      <w:bookmarkStart w:id="108" w:name="_Toc150439550"/>
      <w:bookmarkStart w:id="109" w:name="_Toc150439565"/>
      <w:bookmarkEnd w:id="105"/>
      <w:bookmarkEnd w:id="106"/>
      <w:bookmarkEnd w:id="107"/>
      <w:bookmarkEnd w:id="108"/>
      <w:r>
        <w:rPr>
          <w:rFonts w:hint="eastAsia"/>
          <w:sz w:val="24"/>
          <w:szCs w:val="24"/>
        </w:rPr>
        <w:t>甲方</w:t>
      </w:r>
      <w:r>
        <w:rPr>
          <w:sz w:val="24"/>
          <w:szCs w:val="24"/>
        </w:rPr>
        <w:t>的权利与义务</w:t>
      </w:r>
      <w:bookmarkEnd w:id="109"/>
    </w:p>
    <w:p>
      <w:pPr>
        <w:numPr>
          <w:ilvl w:val="0"/>
          <w:numId w:val="28"/>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pPr>
        <w:numPr>
          <w:ilvl w:val="0"/>
          <w:numId w:val="29"/>
        </w:numPr>
        <w:tabs>
          <w:tab w:val="left" w:pos="540"/>
        </w:tabs>
        <w:ind w:hanging="5"/>
        <w:rPr>
          <w:u w:val="single"/>
        </w:rPr>
      </w:pPr>
      <w:r>
        <w:rPr>
          <w:rFonts w:hint="eastAsia"/>
          <w:sz w:val="24"/>
          <w:szCs w:val="24"/>
        </w:rPr>
        <w:t>技术资料清单：</w:t>
      </w:r>
    </w:p>
    <w:p>
      <w:pPr>
        <w:tabs>
          <w:tab w:val="left" w:pos="540"/>
        </w:tabs>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9"/>
        </w:numPr>
        <w:ind w:hanging="5"/>
      </w:pPr>
      <w:r>
        <w:rPr>
          <w:rFonts w:hint="eastAsia"/>
          <w:sz w:val="24"/>
          <w:szCs w:val="24"/>
        </w:rPr>
        <w:t>提供时间和方式：</w:t>
      </w:r>
    </w:p>
    <w:p>
      <w:pPr>
        <w:ind w:left="425"/>
        <w:rPr>
          <w:rFonts w:hint="eastAsia"/>
        </w:rPr>
      </w:pP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p>
    <w:p>
      <w:pPr>
        <w:numPr>
          <w:ilvl w:val="0"/>
          <w:numId w:val="29"/>
        </w:numPr>
        <w:ind w:hanging="5"/>
        <w:rPr>
          <w:u w:val="single"/>
        </w:rPr>
      </w:pPr>
      <w:r>
        <w:rPr>
          <w:rFonts w:hint="eastAsia"/>
          <w:sz w:val="24"/>
          <w:szCs w:val="24"/>
        </w:rPr>
        <w:t>其他协作事项：</w:t>
      </w:r>
    </w:p>
    <w:p>
      <w:pPr>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480" w:firstLineChars="200"/>
      </w:pPr>
      <w:r>
        <w:rPr>
          <w:rFonts w:hint="eastAsia"/>
          <w:sz w:val="24"/>
          <w:szCs w:val="24"/>
        </w:rPr>
        <w:t>本合同履行完毕后，上述技术资料按以下方式处理：</w:t>
      </w:r>
    </w:p>
    <w:p>
      <w:pPr>
        <w:ind w:firstLine="480" w:firstLineChars="20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8"/>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pPr>
        <w:numPr>
          <w:ilvl w:val="0"/>
          <w:numId w:val="28"/>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8"/>
        </w:numPr>
        <w:ind w:left="0" w:firstLine="480" w:firstLineChars="200"/>
        <w:rPr>
          <w:spacing w:val="7"/>
        </w:rPr>
      </w:pPr>
      <w:r>
        <w:rPr>
          <w:rFonts w:hint="eastAsia"/>
          <w:sz w:val="24"/>
          <w:szCs w:val="24"/>
        </w:rPr>
        <w:t>甲方必须遵守国家法律法规及气象部门管理制度的要求。</w:t>
      </w:r>
    </w:p>
    <w:p>
      <w:pPr>
        <w:numPr>
          <w:ilvl w:val="0"/>
          <w:numId w:val="28"/>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pPr>
        <w:pStyle w:val="Heading2"/>
        <w:numPr>
          <w:ilvl w:val="0"/>
          <w:numId w:val="11"/>
        </w:numPr>
        <w:ind w:left="0" w:firstLine="480" w:firstLineChars="200"/>
        <w:rPr>
          <w:sz w:val="24"/>
          <w:szCs w:val="24"/>
        </w:rPr>
      </w:pPr>
      <w:r>
        <w:rPr>
          <w:rFonts w:hint="eastAsia"/>
          <w:sz w:val="24"/>
          <w:szCs w:val="24"/>
        </w:rPr>
        <w:t>知识产权归属</w:t>
      </w:r>
    </w:p>
    <w:p>
      <w:pPr>
        <w:numPr>
          <w:ilvl w:val="0"/>
          <w:numId w:val="30"/>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30"/>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pPr>
        <w:numPr>
          <w:ilvl w:val="0"/>
          <w:numId w:val="30"/>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pPr>
        <w:numPr>
          <w:ilvl w:val="0"/>
          <w:numId w:val="30"/>
        </w:numPr>
        <w:ind w:left="0" w:firstLine="480" w:firstLineChars="200"/>
      </w:pPr>
      <w:r>
        <w:rPr>
          <w:sz w:val="24"/>
          <w:szCs w:val="24"/>
        </w:rPr>
        <w:t>乙方利用研究开发经费所购置与研究开发工作有关的设备、器材、资料等财产，归甲方所有。</w:t>
      </w:r>
    </w:p>
    <w:p>
      <w:pPr>
        <w:numPr>
          <w:ilvl w:val="0"/>
          <w:numId w:val="30"/>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pPr>
        <w:numPr>
          <w:ilvl w:val="0"/>
          <w:numId w:val="30"/>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pPr>
        <w:numPr>
          <w:ilvl w:val="0"/>
          <w:numId w:val="30"/>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11"/>
        </w:numPr>
        <w:ind w:left="0" w:firstLine="480" w:firstLineChars="200"/>
        <w:rPr>
          <w:rFonts w:hint="eastAsia"/>
          <w:sz w:val="24"/>
          <w:szCs w:val="24"/>
        </w:rPr>
      </w:pPr>
      <w:r>
        <w:rPr>
          <w:rFonts w:hint="eastAsia"/>
          <w:sz w:val="24"/>
          <w:szCs w:val="24"/>
        </w:rPr>
        <w:t>项目联系人及相关约定</w:t>
      </w:r>
    </w:p>
    <w:p>
      <w:pPr>
        <w:numPr>
          <w:ilvl w:val="0"/>
          <w:numId w:val="31"/>
        </w:numPr>
        <w:ind w:left="0" w:firstLine="480" w:firstLineChars="200"/>
      </w:pPr>
      <w:r>
        <w:rPr>
          <w:rFonts w:hint="eastAsia"/>
          <w:sz w:val="24"/>
          <w:szCs w:val="24"/>
        </w:rPr>
        <w:t>联系人及职责</w:t>
      </w:r>
    </w:p>
    <w:p>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
        <w:rPr>
          <w:rFonts w:hint="eastAsia"/>
          <w:sz w:val="24"/>
          <w:szCs w:val="24"/>
        </w:rPr>
        <w:t>为乙方项目联系人。项目联系人承担以下责任：</w:t>
      </w:r>
      <w:r>
        <w:rPr>
          <w:sz w:val="24"/>
          <w:szCs w:val="24"/>
        </w:rPr>
        <w:t xml:space="preserve"> </w:t>
      </w:r>
    </w:p>
    <w:p>
      <w:pPr>
        <w:numPr>
          <w:ilvl w:val="0"/>
          <w:numId w:val="32"/>
        </w:numPr>
        <w:ind w:hanging="5"/>
        <w:rPr>
          <w:rFonts w:hint="eastAsia"/>
          <w:u w:val="single"/>
        </w:rPr>
      </w:pPr>
      <w:r>
        <w:rPr>
          <w:rFonts w:hint="eastAsia"/>
          <w:sz w:val="24"/>
          <w:szCs w:val="24"/>
          <w:u w:val="single"/>
        </w:rPr>
        <w:t xml:space="preserve">                                                            ；</w:t>
      </w:r>
    </w:p>
    <w:p>
      <w:pPr>
        <w:numPr>
          <w:ilvl w:val="0"/>
          <w:numId w:val="32"/>
        </w:numPr>
        <w:ind w:hanging="5"/>
        <w:rPr>
          <w:rFonts w:hint="eastAsia"/>
          <w:u w:val="single"/>
        </w:rPr>
      </w:pPr>
      <w:r>
        <w:rPr>
          <w:rFonts w:hint="eastAsia"/>
          <w:sz w:val="24"/>
          <w:szCs w:val="24"/>
          <w:u w:val="single"/>
        </w:rPr>
        <w:t xml:space="preserve">                                                            ； </w:t>
      </w:r>
    </w:p>
    <w:p>
      <w:pPr>
        <w:numPr>
          <w:ilvl w:val="0"/>
          <w:numId w:val="32"/>
        </w:numPr>
        <w:ind w:hanging="5"/>
        <w:rPr>
          <w:u w:val="single"/>
        </w:rPr>
      </w:pPr>
      <w:r>
        <w:rPr>
          <w:rFonts w:hint="eastAsia"/>
          <w:sz w:val="24"/>
          <w:szCs w:val="24"/>
          <w:u w:val="single"/>
        </w:rPr>
        <w:t xml:space="preserve">                                                            ；</w:t>
      </w:r>
    </w:p>
    <w:p>
      <w:pPr>
        <w:numPr>
          <w:ilvl w:val="0"/>
          <w:numId w:val="32"/>
        </w:numPr>
        <w:ind w:hanging="5"/>
        <w:rPr>
          <w:rFonts w:hint="eastAsia"/>
          <w:u w:val="single"/>
        </w:rPr>
      </w:pPr>
      <w:r>
        <w:rPr>
          <w:rFonts w:hint="eastAsia"/>
          <w:sz w:val="24"/>
          <w:szCs w:val="24"/>
          <w:u w:val="single"/>
        </w:rPr>
        <w:t xml:space="preserve">                                                            。</w:t>
      </w:r>
    </w:p>
    <w:p>
      <w:pPr>
        <w:numPr>
          <w:ilvl w:val="0"/>
          <w:numId w:val="31"/>
        </w:numPr>
        <w:ind w:left="0" w:firstLine="480" w:firstLineChars="200"/>
        <w:rPr>
          <w:rFonts w:hint="eastAsia"/>
        </w:rPr>
      </w:pPr>
      <w:r>
        <w:rPr>
          <w:rFonts w:hint="eastAsia"/>
          <w:sz w:val="24"/>
          <w:szCs w:val="24"/>
        </w:rPr>
        <w:t>联系人变更约定</w:t>
      </w:r>
    </w:p>
    <w:p>
      <w:pPr>
        <w:numPr>
          <w:ilvl w:val="0"/>
          <w:numId w:val="33"/>
        </w:numPr>
        <w:ind w:left="5" w:firstLine="415"/>
      </w:pPr>
      <w:r>
        <w:rPr>
          <w:sz w:val="24"/>
          <w:szCs w:val="24"/>
        </w:rPr>
        <w:t>一方变更项目联系人的，应当及时以书面形式通知另一方。未及时通知并影响本合同履行或造成损失的，应承担相应的责任。</w:t>
      </w:r>
    </w:p>
    <w:p>
      <w:pPr>
        <w:numPr>
          <w:ilvl w:val="0"/>
          <w:numId w:val="33"/>
        </w:numPr>
        <w:ind w:left="5" w:firstLine="415"/>
      </w:pPr>
      <w:r>
        <w:rPr>
          <w:sz w:val="24"/>
          <w:szCs w:val="24"/>
        </w:rPr>
        <w:t>一方变更项目联系人的，须保证业务连续性及后续运行维护要求，由于人员变动影响本合同履行或造成损失的，应承担相应的责任。</w:t>
      </w:r>
    </w:p>
    <w:p>
      <w:pPr>
        <w:numPr>
          <w:ilvl w:val="0"/>
          <w:numId w:val="33"/>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pPr>
        <w:pStyle w:val="Heading2"/>
        <w:numPr>
          <w:ilvl w:val="0"/>
          <w:numId w:val="11"/>
        </w:numPr>
        <w:ind w:left="0" w:firstLine="480" w:firstLineChars="200"/>
        <w:rPr>
          <w:sz w:val="24"/>
          <w:szCs w:val="24"/>
        </w:rPr>
      </w:pPr>
      <w:bookmarkStart w:id="110" w:name="_Toc150439567"/>
      <w:r>
        <w:rPr>
          <w:rFonts w:hint="eastAsia"/>
          <w:sz w:val="24"/>
          <w:szCs w:val="24"/>
        </w:rPr>
        <w:t>项目交付</w:t>
      </w:r>
      <w:bookmarkEnd w:id="110"/>
    </w:p>
    <w:p>
      <w:pPr>
        <w:numPr>
          <w:ilvl w:val="0"/>
          <w:numId w:val="34"/>
        </w:numPr>
        <w:ind w:left="0" w:firstLine="480" w:firstLineChars="200"/>
        <w:rPr>
          <w:rFonts w:hint="eastAsia"/>
        </w:rPr>
      </w:pPr>
      <w:r>
        <w:rPr>
          <w:rFonts w:hint="eastAsia"/>
          <w:sz w:val="24"/>
          <w:szCs w:val="24"/>
        </w:rPr>
        <w:t>乙方应当按以下方式向甲方交付研究开发成果：</w:t>
      </w:r>
    </w:p>
    <w:p>
      <w:pPr>
        <w:numPr>
          <w:ilvl w:val="0"/>
          <w:numId w:val="35"/>
        </w:numPr>
        <w:ind w:left="0" w:firstLine="480" w:firstLineChars="200"/>
        <w:rPr>
          <w:rFonts w:hint="eastAsia"/>
          <w:u w:val="single"/>
        </w:rPr>
      </w:pPr>
      <w:r>
        <w:rPr>
          <w:rFonts w:hint="eastAsia"/>
          <w:sz w:val="24"/>
          <w:szCs w:val="24"/>
        </w:rPr>
        <w:t>研究开发成果交付内容：</w:t>
      </w:r>
    </w:p>
    <w:p>
      <w:pPr>
        <w:ind w:firstLine="480" w:firstLineChars="200"/>
        <w:rPr>
          <w:u w:val="single"/>
        </w:rPr>
      </w:pPr>
      <w:r>
        <w:rPr>
          <w:rFonts w:hint="eastAsia"/>
          <w:sz w:val="24"/>
          <w:szCs w:val="24"/>
          <w:u w:val="single"/>
        </w:rPr>
        <w:t xml:space="preserve">需求分析、需求规格说明书、系统原型；    </w:t>
      </w:r>
    </w:p>
    <w:p>
      <w:pPr>
        <w:ind w:firstLine="480" w:firstLineChars="200"/>
        <w:rPr>
          <w:u w:val="single"/>
        </w:rPr>
      </w:pPr>
      <w:r>
        <w:rPr>
          <w:rFonts w:hint="eastAsia"/>
          <w:sz w:val="24"/>
          <w:szCs w:val="24"/>
          <w:u w:val="single"/>
        </w:rPr>
        <w:t xml:space="preserve">概要设计、详细设计方案；                </w:t>
      </w:r>
    </w:p>
    <w:p>
      <w:pPr>
        <w:ind w:firstLine="480" w:firstLineChars="200"/>
        <w:rPr>
          <w:u w:val="single"/>
        </w:rPr>
      </w:pPr>
      <w:r>
        <w:rPr>
          <w:rFonts w:hint="eastAsia"/>
          <w:sz w:val="24"/>
          <w:szCs w:val="24"/>
          <w:u w:val="single"/>
        </w:rPr>
        <w:t xml:space="preserve">运行正常的系统；                        </w:t>
      </w:r>
    </w:p>
    <w:p>
      <w:pPr>
        <w:ind w:firstLine="480" w:firstLineChars="200"/>
        <w:rPr>
          <w:rFonts w:hint="eastAsia"/>
          <w:u w:val="single"/>
        </w:rPr>
      </w:pPr>
      <w:r>
        <w:rPr>
          <w:rFonts w:hint="eastAsia"/>
          <w:sz w:val="24"/>
          <w:szCs w:val="24"/>
          <w:u w:val="single"/>
        </w:rPr>
        <w:t>完整的软件源代码、可执行程序、安装程序；</w:t>
      </w:r>
    </w:p>
    <w:p>
      <w:pPr>
        <w:ind w:firstLine="480" w:firstLineChars="200"/>
        <w:rPr>
          <w:u w:val="single"/>
        </w:rPr>
      </w:pPr>
      <w:r>
        <w:rPr>
          <w:rFonts w:hint="eastAsia"/>
          <w:sz w:val="24"/>
          <w:szCs w:val="24"/>
          <w:u w:val="single"/>
        </w:rPr>
        <w:t xml:space="preserve">软件使用手册；                          </w:t>
      </w:r>
    </w:p>
    <w:p>
      <w:pPr>
        <w:ind w:firstLine="480" w:firstLineChars="200"/>
        <w:rPr>
          <w:u w:val="single"/>
        </w:rPr>
      </w:pPr>
      <w:r>
        <w:rPr>
          <w:rFonts w:hint="eastAsia"/>
          <w:sz w:val="24"/>
          <w:szCs w:val="24"/>
          <w:u w:val="single"/>
        </w:rPr>
        <w:t xml:space="preserve">软件技术说明；                          </w:t>
      </w:r>
    </w:p>
    <w:p>
      <w:pPr>
        <w:ind w:firstLine="480" w:firstLineChars="200"/>
        <w:rPr>
          <w:u w:val="single"/>
        </w:rPr>
      </w:pPr>
      <w:r>
        <w:rPr>
          <w:rFonts w:hint="eastAsia"/>
          <w:sz w:val="24"/>
          <w:szCs w:val="24"/>
          <w:u w:val="single"/>
        </w:rPr>
        <w:t xml:space="preserve">软件测试大纲、测试报告（第三方测试报告、代码审计报告）；                </w:t>
      </w:r>
    </w:p>
    <w:p>
      <w:pPr>
        <w:ind w:firstLine="480" w:firstLineChars="200"/>
        <w:rPr>
          <w:rFonts w:hint="eastAsia"/>
          <w:u w:val="single"/>
        </w:rPr>
      </w:pPr>
      <w:r>
        <w:rPr>
          <w:rFonts w:hint="eastAsia"/>
          <w:sz w:val="24"/>
          <w:szCs w:val="24"/>
          <w:u w:val="single"/>
        </w:rPr>
        <w:t xml:space="preserve">产品清单；                               </w:t>
      </w:r>
    </w:p>
    <w:p>
      <w:pPr>
        <w:ind w:firstLine="480" w:firstLineChars="200"/>
        <w:rPr>
          <w:u w:val="single"/>
        </w:rPr>
      </w:pPr>
      <w:r>
        <w:rPr>
          <w:rFonts w:hint="eastAsia"/>
          <w:sz w:val="24"/>
          <w:szCs w:val="24"/>
          <w:u w:val="single"/>
        </w:rPr>
        <w:t xml:space="preserve"> 其他按照《气象软件工程规范》要求的文档。 </w:t>
      </w:r>
    </w:p>
    <w:p>
      <w:pPr>
        <w:ind w:firstLine="480" w:firstLineChars="200"/>
        <w:rPr>
          <w:rFonts w:hint="eastAsia"/>
          <w:u w:val="single"/>
        </w:rPr>
      </w:pPr>
      <w:r>
        <w:rPr>
          <w:rFonts w:hint="eastAsia"/>
          <w:sz w:val="24"/>
          <w:szCs w:val="24"/>
          <w:u w:val="single"/>
        </w:rPr>
        <w:t>（以上文档提供电子版x套，硬拷贝x套）。</w:t>
      </w:r>
    </w:p>
    <w:p>
      <w:pPr>
        <w:numPr>
          <w:ilvl w:val="0"/>
          <w:numId w:val="35"/>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pPr>
        <w:numPr>
          <w:ilvl w:val="0"/>
          <w:numId w:val="35"/>
        </w:numPr>
        <w:ind w:left="0" w:firstLine="480" w:firstLineChars="200"/>
        <w:rPr>
          <w:rFonts w:hint="eastAsia"/>
        </w:rPr>
      </w:pPr>
      <w:r>
        <w:rPr>
          <w:rFonts w:hint="eastAsia"/>
          <w:sz w:val="24"/>
          <w:szCs w:val="24"/>
        </w:rPr>
        <w:t>乙方应向甲方交付的其他文档资料及协作事项如下：</w:t>
      </w:r>
    </w:p>
    <w:p>
      <w:pPr>
        <w:ind w:firstLine="480" w:firstLineChars="200"/>
      </w:pPr>
      <w:r>
        <w:rPr>
          <w:rFonts w:hint="eastAsia"/>
          <w:sz w:val="24"/>
          <w:szCs w:val="24"/>
        </w:rPr>
        <w:t>资料清单:______________________</w:t>
      </w:r>
    </w:p>
    <w:p>
      <w:pPr>
        <w:ind w:firstLine="480" w:firstLineChars="200"/>
        <w:rPr>
          <w:rFonts w:hint="eastAsia"/>
        </w:rPr>
      </w:pPr>
      <w:r>
        <w:rPr>
          <w:rFonts w:hint="eastAsia"/>
          <w:sz w:val="24"/>
          <w:szCs w:val="24"/>
        </w:rPr>
        <w:t>协作事项：</w:t>
      </w:r>
      <w:r>
        <w:rPr>
          <w:rFonts w:hint="eastAsia"/>
          <w:sz w:val="24"/>
          <w:szCs w:val="24"/>
          <w:u w:val="single"/>
        </w:rPr>
        <w:t xml:space="preserve">                      </w:t>
      </w:r>
    </w:p>
    <w:p>
      <w:pPr>
        <w:numPr>
          <w:ilvl w:val="0"/>
          <w:numId w:val="34"/>
        </w:numPr>
        <w:ind w:left="0" w:firstLine="480" w:firstLineChars="200"/>
      </w:pPr>
      <w:r>
        <w:rPr>
          <w:rFonts w:hint="eastAsia"/>
          <w:sz w:val="24"/>
          <w:szCs w:val="24"/>
        </w:rPr>
        <w:t>安装调试</w:t>
      </w:r>
    </w:p>
    <w:p>
      <w:pPr>
        <w:ind w:firstLine="480" w:firstLineChars="200"/>
      </w:pPr>
      <w:r>
        <w:rPr>
          <w:rFonts w:hint="eastAsia"/>
          <w:sz w:val="24"/>
          <w:szCs w:val="24"/>
        </w:rPr>
        <w:t>乙方负责项目系统的安装及调试，内容如下：</w:t>
      </w:r>
    </w:p>
    <w:p>
      <w:pPr>
        <w:numPr>
          <w:ilvl w:val="0"/>
          <w:numId w:val="36"/>
        </w:numPr>
        <w:ind w:left="0" w:firstLine="480" w:firstLineChars="200"/>
        <w:rPr>
          <w:rFonts w:hint="eastAsia"/>
        </w:rPr>
      </w:pPr>
      <w:r>
        <w:rPr>
          <w:rFonts w:hint="eastAsia"/>
          <w:sz w:val="24"/>
          <w:szCs w:val="24"/>
        </w:rPr>
        <w:t>确保达到系统正常运行条件和相关技术标准及业务要求；</w:t>
      </w:r>
    </w:p>
    <w:p>
      <w:pPr>
        <w:numPr>
          <w:ilvl w:val="0"/>
          <w:numId w:val="36"/>
        </w:numPr>
        <w:ind w:left="0" w:firstLine="480" w:firstLineChars="200"/>
        <w:rPr>
          <w:rFonts w:hint="eastAsia"/>
        </w:rPr>
      </w:pPr>
      <w:r>
        <w:rPr>
          <w:rFonts w:hint="eastAsia"/>
          <w:sz w:val="24"/>
          <w:szCs w:val="24"/>
        </w:rPr>
        <w:t>系统数据达到规范要求，运行正常；</w:t>
      </w:r>
    </w:p>
    <w:p>
      <w:pPr>
        <w:numPr>
          <w:ilvl w:val="0"/>
          <w:numId w:val="36"/>
        </w:numPr>
        <w:ind w:left="0" w:firstLine="480" w:firstLineChars="200"/>
        <w:rPr>
          <w:rFonts w:hint="eastAsia"/>
        </w:rPr>
      </w:pPr>
      <w:r>
        <w:rPr>
          <w:rFonts w:hint="eastAsia"/>
          <w:sz w:val="24"/>
          <w:szCs w:val="24"/>
        </w:rPr>
        <w:t>系统运行保证安全稳定；</w:t>
      </w:r>
    </w:p>
    <w:p>
      <w:pPr>
        <w:numPr>
          <w:ilvl w:val="0"/>
          <w:numId w:val="36"/>
        </w:numPr>
        <w:ind w:left="0" w:firstLine="480" w:firstLineChars="200"/>
        <w:rPr>
          <w:rFonts w:hint="eastAsia"/>
        </w:rPr>
      </w:pPr>
      <w:r>
        <w:rPr>
          <w:rFonts w:hint="eastAsia"/>
          <w:sz w:val="24"/>
          <w:szCs w:val="24"/>
        </w:rPr>
        <w:t>平台业务运行机制要完整。</w:t>
      </w:r>
    </w:p>
    <w:p>
      <w:pPr>
        <w:numPr>
          <w:ilvl w:val="0"/>
          <w:numId w:val="34"/>
        </w:numPr>
        <w:ind w:left="0" w:firstLine="480" w:firstLineChars="200"/>
      </w:pPr>
      <w:r>
        <w:rPr>
          <w:rFonts w:hint="eastAsia"/>
          <w:sz w:val="24"/>
          <w:szCs w:val="24"/>
        </w:rPr>
        <w:t>培训</w:t>
      </w:r>
    </w:p>
    <w:p>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pPr>
        <w:ind w:firstLine="480" w:firstLineChars="200"/>
        <w:rPr>
          <w:u w:val="single"/>
        </w:rPr>
      </w:pPr>
      <w:r>
        <w:rPr>
          <w:rFonts w:hint="eastAsia"/>
          <w:sz w:val="24"/>
          <w:szCs w:val="24"/>
        </w:rPr>
        <w:t>技术服务和指导内容：</w:t>
      </w:r>
      <w:r>
        <w:rPr>
          <w:rFonts w:hint="eastAsia"/>
          <w:sz w:val="24"/>
          <w:szCs w:val="24"/>
          <w:u w:val="single"/>
        </w:rPr>
        <w:t xml:space="preserve">                                  </w:t>
      </w:r>
    </w:p>
    <w:p>
      <w:pPr>
        <w:ind w:firstLine="480" w:firstLineChars="200"/>
        <w:rPr>
          <w:rFonts w:hint="eastAsia"/>
          <w:u w:val="single"/>
        </w:rPr>
      </w:pPr>
      <w:r>
        <w:rPr>
          <w:rFonts w:hint="eastAsia"/>
          <w:sz w:val="24"/>
          <w:szCs w:val="24"/>
        </w:rPr>
        <w:t>地点和方式：</w:t>
      </w:r>
      <w:r>
        <w:rPr>
          <w:rFonts w:hint="eastAsia"/>
          <w:sz w:val="24"/>
          <w:szCs w:val="24"/>
          <w:u w:val="single"/>
        </w:rPr>
        <w:t xml:space="preserve">                                          </w:t>
      </w:r>
    </w:p>
    <w:p>
      <w:pPr>
        <w:pStyle w:val="Heading2"/>
        <w:numPr>
          <w:ilvl w:val="0"/>
          <w:numId w:val="11"/>
        </w:numPr>
        <w:ind w:left="0" w:firstLine="480" w:firstLineChars="200"/>
        <w:rPr>
          <w:sz w:val="24"/>
          <w:szCs w:val="24"/>
        </w:rPr>
      </w:pPr>
      <w:r>
        <w:rPr>
          <w:rFonts w:hint="eastAsia"/>
          <w:sz w:val="24"/>
          <w:szCs w:val="24"/>
        </w:rPr>
        <w:t>支付方式</w:t>
      </w:r>
    </w:p>
    <w:p>
      <w:pPr>
        <w:ind w:firstLine="480" w:firstLineChars="200"/>
        <w:rPr>
          <w:rFonts w:hint="eastAsia"/>
        </w:rPr>
      </w:pPr>
      <w:r>
        <w:rPr>
          <w:rFonts w:hint="eastAsia"/>
          <w:sz w:val="24"/>
          <w:szCs w:val="24"/>
        </w:rPr>
        <w:t>甲方应按以下方式支付研究开发经费和报酬：</w:t>
      </w:r>
    </w:p>
    <w:p>
      <w:pPr>
        <w:numPr>
          <w:ilvl w:val="0"/>
          <w:numId w:val="37"/>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pPr>
        <w:numPr>
          <w:ilvl w:val="0"/>
          <w:numId w:val="38"/>
        </w:numPr>
        <w:ind w:hanging="5"/>
        <w:rPr>
          <w:rFonts w:hint="eastAsia"/>
        </w:rPr>
      </w:pPr>
      <w:r>
        <w:rPr>
          <w:rFonts w:hint="eastAsia"/>
          <w:sz w:val="24"/>
          <w:szCs w:val="24"/>
          <w:u w:val="single"/>
        </w:rPr>
        <w:t xml:space="preserve">                                                            </w:t>
      </w:r>
      <w:r>
        <w:rPr>
          <w:rFonts w:hint="eastAsia"/>
          <w:sz w:val="24"/>
          <w:szCs w:val="24"/>
        </w:rPr>
        <w:t>;</w:t>
      </w:r>
    </w:p>
    <w:p>
      <w:pPr>
        <w:numPr>
          <w:ilvl w:val="0"/>
          <w:numId w:val="38"/>
        </w:numPr>
        <w:ind w:hanging="5"/>
        <w:rPr>
          <w:rFonts w:hint="eastAsia"/>
        </w:rPr>
      </w:pPr>
      <w:r>
        <w:rPr>
          <w:rFonts w:hint="eastAsia"/>
          <w:sz w:val="24"/>
          <w:szCs w:val="24"/>
          <w:u w:val="single"/>
        </w:rPr>
        <w:t xml:space="preserve">                                                            </w:t>
      </w:r>
      <w:r>
        <w:rPr>
          <w:rFonts w:hint="eastAsia"/>
          <w:sz w:val="24"/>
          <w:szCs w:val="24"/>
        </w:rPr>
        <w:t>;</w:t>
      </w:r>
    </w:p>
    <w:p>
      <w:pPr>
        <w:numPr>
          <w:ilvl w:val="0"/>
          <w:numId w:val="38"/>
        </w:numPr>
        <w:ind w:hanging="5"/>
        <w:rPr>
          <w:rFonts w:hint="eastAsia"/>
        </w:rPr>
      </w:pPr>
      <w:r>
        <w:rPr>
          <w:rFonts w:hint="eastAsia"/>
          <w:sz w:val="24"/>
          <w:szCs w:val="24"/>
          <w:u w:val="single"/>
        </w:rPr>
        <w:t xml:space="preserve">                                                            </w:t>
      </w:r>
      <w:r>
        <w:rPr>
          <w:rFonts w:hint="eastAsia"/>
          <w:sz w:val="24"/>
          <w:szCs w:val="24"/>
        </w:rPr>
        <w:t>;</w:t>
      </w:r>
    </w:p>
    <w:p>
      <w:pPr>
        <w:numPr>
          <w:ilvl w:val="0"/>
          <w:numId w:val="38"/>
        </w:numPr>
        <w:ind w:hanging="5"/>
        <w:rPr>
          <w:rFonts w:hint="eastAsia"/>
        </w:rPr>
      </w:pPr>
      <w:r>
        <w:rPr>
          <w:rFonts w:hint="eastAsia"/>
          <w:sz w:val="24"/>
          <w:szCs w:val="24"/>
          <w:u w:val="single"/>
        </w:rPr>
        <w:t xml:space="preserve">                                                            。</w:t>
      </w:r>
    </w:p>
    <w:p>
      <w:pPr>
        <w:numPr>
          <w:ilvl w:val="0"/>
          <w:numId w:val="37"/>
        </w:numPr>
        <w:tabs>
          <w:tab w:val="left" w:pos="720"/>
        </w:tabs>
        <w:ind w:left="0" w:firstLine="480" w:firstLineChars="200"/>
      </w:pPr>
      <w:r>
        <w:rPr>
          <w:rFonts w:hint="eastAsia"/>
          <w:sz w:val="24"/>
          <w:szCs w:val="24"/>
        </w:rPr>
        <w:t xml:space="preserve">研究开发经费由甲方分期支付给乙方。具体支付方式和时间如下： </w:t>
      </w:r>
    </w:p>
    <w:p>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80" w:firstLineChars="200"/>
        <w:rPr>
          <w:rFonts w:hint="eastAsia"/>
        </w:rPr>
      </w:pPr>
      <w:r>
        <w:rPr>
          <w:rFonts w:hint="eastAsia"/>
          <w:sz w:val="24"/>
          <w:szCs w:val="24"/>
        </w:rPr>
        <w:t>第一阶段：本合同签订生效后</w:t>
      </w:r>
      <w:r>
        <w:rPr>
          <w:rFonts w:hint="eastAsia"/>
          <w:sz w:val="24"/>
          <w:szCs w:val="24"/>
          <w:u w:val="single"/>
        </w:rPr>
        <w:t>【10  】</w:t>
      </w:r>
      <w:r>
        <w:rPr>
          <w:rFonts w:hint="eastAsia"/>
          <w:sz w:val="24"/>
          <w:szCs w:val="24"/>
        </w:rPr>
        <w:t>个工作日内，甲方向乙方支付本合同首付款至乙方指定账户，首付款为合同总额的</w:t>
      </w:r>
      <w:r>
        <w:rPr>
          <w:rFonts w:hint="eastAsia"/>
          <w:sz w:val="24"/>
          <w:szCs w:val="24"/>
          <w:u w:val="single"/>
        </w:rPr>
        <w:t>45%_</w:t>
      </w:r>
      <w:r>
        <w:rPr>
          <w:rFonts w:hint="eastAsia"/>
          <w:sz w:val="24"/>
          <w:szCs w:val="24"/>
        </w:rPr>
        <w:t>，即：</w:t>
      </w:r>
      <w:r>
        <w:rPr>
          <w:rFonts w:hint="eastAsia"/>
          <w:sz w:val="24"/>
          <w:szCs w:val="24"/>
          <w:u w:val="single"/>
        </w:rPr>
        <w:t>￥    元（大写：人民币    元整）；</w:t>
      </w:r>
    </w:p>
    <w:p>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_50  %</w:t>
      </w:r>
      <w:r>
        <w:rPr>
          <w:rFonts w:hint="eastAsia"/>
          <w:sz w:val="24"/>
          <w:szCs w:val="24"/>
        </w:rPr>
        <w:t>，即：</w:t>
      </w:r>
      <w:r>
        <w:rPr>
          <w:rFonts w:hint="eastAsia"/>
          <w:sz w:val="24"/>
          <w:szCs w:val="24"/>
          <w:u w:val="single"/>
        </w:rPr>
        <w:t>￥     元（大写：人民币     元整）</w:t>
      </w:r>
      <w:r>
        <w:rPr>
          <w:rFonts w:hint="eastAsia"/>
          <w:sz w:val="24"/>
          <w:szCs w:val="24"/>
        </w:rPr>
        <w:t>；</w:t>
      </w:r>
    </w:p>
    <w:p>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pPr>
        <w:numPr>
          <w:ilvl w:val="0"/>
          <w:numId w:val="37"/>
        </w:numPr>
        <w:tabs>
          <w:tab w:val="left" w:pos="720"/>
        </w:tabs>
        <w:ind w:left="0" w:firstLine="480" w:firstLineChars="200"/>
        <w:rPr>
          <w:rFonts w:hint="eastAsia"/>
        </w:rPr>
      </w:pPr>
      <w:r>
        <w:rPr>
          <w:rFonts w:hint="eastAsia"/>
          <w:sz w:val="24"/>
          <w:szCs w:val="24"/>
        </w:rPr>
        <w:t>履约保证金或履约保函</w:t>
      </w:r>
    </w:p>
    <w:p>
      <w:pPr>
        <w:numPr>
          <w:ilvl w:val="0"/>
          <w:numId w:val="39"/>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pPr>
        <w:numPr>
          <w:ilvl w:val="0"/>
          <w:numId w:val="39"/>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pPr>
        <w:numPr>
          <w:ilvl w:val="0"/>
          <w:numId w:val="39"/>
        </w:numPr>
        <w:tabs>
          <w:tab w:val="left" w:pos="720"/>
        </w:tabs>
        <w:ind w:left="0" w:firstLine="420"/>
        <w:rPr>
          <w:rFonts w:hint="eastAsia"/>
        </w:rPr>
      </w:pPr>
      <w:r>
        <w:rPr>
          <w:rFonts w:hint="eastAsia"/>
          <w:sz w:val="24"/>
          <w:szCs w:val="24"/>
        </w:rPr>
        <w:t>履约保证金应用本合同货币。</w:t>
      </w:r>
    </w:p>
    <w:p>
      <w:pPr>
        <w:numPr>
          <w:ilvl w:val="0"/>
          <w:numId w:val="37"/>
        </w:numPr>
        <w:tabs>
          <w:tab w:val="left" w:pos="720"/>
        </w:tabs>
        <w:ind w:left="0" w:firstLine="480" w:firstLineChars="200"/>
      </w:pPr>
      <w:r>
        <w:rPr>
          <w:rFonts w:hint="eastAsia"/>
          <w:sz w:val="24"/>
          <w:szCs w:val="24"/>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甲方开户银行名称、地址和账号为：</w:t>
            </w:r>
          </w:p>
        </w:tc>
        <w:tc>
          <w:tcPr>
            <w:tcW w:w="2500" w:type="pct"/>
          </w:tcPr>
          <w:p>
            <w:pPr>
              <w:tabs>
                <w:tab w:val="left" w:pos="720"/>
              </w:tabs>
              <w:ind w:firstLine="200"/>
              <w:rPr>
                <w:rFonts w:hint="eastAsia"/>
              </w:rPr>
            </w:pPr>
            <w:r>
              <w:rPr>
                <w:rFonts w:hint="eastAsia"/>
                <w:sz w:val="24"/>
                <w:szCs w:val="24"/>
              </w:rPr>
              <w:t>乙方开户银行名称、地址和账号为：</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开户银行：</w:t>
            </w:r>
          </w:p>
        </w:tc>
        <w:tc>
          <w:tcPr>
            <w:tcW w:w="2500" w:type="pct"/>
          </w:tcPr>
          <w:p>
            <w:pPr>
              <w:tabs>
                <w:tab w:val="left" w:pos="720"/>
              </w:tabs>
              <w:ind w:firstLine="200"/>
              <w:rPr>
                <w:rFonts w:hint="eastAsia"/>
              </w:rPr>
            </w:pPr>
            <w:r>
              <w:rPr>
                <w:rFonts w:hint="eastAsia"/>
                <w:sz w:val="24"/>
                <w:szCs w:val="24"/>
              </w:rPr>
              <w:t>开户银行：</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地址：</w:t>
            </w:r>
          </w:p>
        </w:tc>
        <w:tc>
          <w:tcPr>
            <w:tcW w:w="2500" w:type="pct"/>
          </w:tcPr>
          <w:p>
            <w:pPr>
              <w:tabs>
                <w:tab w:val="left" w:pos="720"/>
              </w:tabs>
              <w:ind w:firstLine="200"/>
              <w:rPr>
                <w:rFonts w:hint="eastAsia"/>
              </w:rPr>
            </w:pPr>
            <w:r>
              <w:rPr>
                <w:rFonts w:hint="eastAsia"/>
                <w:sz w:val="24"/>
                <w:szCs w:val="24"/>
              </w:rPr>
              <w:t>地址：</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账号：</w:t>
            </w:r>
          </w:p>
        </w:tc>
        <w:tc>
          <w:tcPr>
            <w:tcW w:w="2500" w:type="pct"/>
          </w:tcPr>
          <w:p>
            <w:pPr>
              <w:tabs>
                <w:tab w:val="left" w:pos="720"/>
              </w:tabs>
              <w:ind w:firstLine="200"/>
              <w:rPr>
                <w:rFonts w:hint="eastAsia"/>
              </w:rPr>
            </w:pPr>
            <w:r>
              <w:rPr>
                <w:rFonts w:hint="eastAsia"/>
                <w:sz w:val="24"/>
                <w:szCs w:val="24"/>
              </w:rPr>
              <w:t>账号：</w:t>
            </w:r>
          </w:p>
        </w:tc>
      </w:tr>
    </w:tbl>
    <w:p>
      <w:pPr>
        <w:numPr>
          <w:ilvl w:val="0"/>
          <w:numId w:val="37"/>
        </w:numPr>
        <w:tabs>
          <w:tab w:val="left" w:pos="720"/>
        </w:tabs>
        <w:ind w:left="0" w:firstLine="480" w:firstLineChars="200"/>
        <w:rPr>
          <w:rFonts w:hint="eastAsia"/>
        </w:rPr>
      </w:pPr>
      <w:r>
        <w:rPr>
          <w:rFonts w:hint="eastAsia"/>
          <w:sz w:val="24"/>
          <w:szCs w:val="24"/>
        </w:rPr>
        <w:t>拒付条件</w:t>
      </w:r>
    </w:p>
    <w:p>
      <w:pPr>
        <w:tabs>
          <w:tab w:val="left" w:pos="720"/>
        </w:tabs>
        <w:ind w:firstLine="480" w:firstLineChars="200"/>
        <w:rPr>
          <w:rFonts w:hint="eastAsia"/>
        </w:rPr>
      </w:pPr>
      <w:r>
        <w:rPr>
          <w:rFonts w:hint="eastAsia"/>
          <w:sz w:val="24"/>
          <w:szCs w:val="24"/>
        </w:rPr>
        <w:t>凡构成下列条件之一，甲方均有权拒付相应后续服务报酬：</w:t>
      </w:r>
    </w:p>
    <w:p>
      <w:pPr>
        <w:numPr>
          <w:ilvl w:val="0"/>
          <w:numId w:val="40"/>
        </w:numPr>
        <w:tabs>
          <w:tab w:val="left" w:pos="720"/>
        </w:tabs>
        <w:ind w:left="0" w:firstLine="420"/>
        <w:rPr>
          <w:rFonts w:hint="eastAsia"/>
        </w:rPr>
      </w:pPr>
      <w:r>
        <w:rPr>
          <w:rFonts w:hint="eastAsia"/>
          <w:sz w:val="24"/>
          <w:szCs w:val="24"/>
        </w:rPr>
        <w:t>乙方丧失继续完成本合同的基本条件或能力时；</w:t>
      </w:r>
    </w:p>
    <w:p>
      <w:pPr>
        <w:numPr>
          <w:ilvl w:val="0"/>
          <w:numId w:val="40"/>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pPr>
        <w:numPr>
          <w:ilvl w:val="0"/>
          <w:numId w:val="40"/>
        </w:numPr>
        <w:tabs>
          <w:tab w:val="left" w:pos="720"/>
        </w:tabs>
        <w:ind w:left="0" w:firstLine="420"/>
        <w:rPr>
          <w:rFonts w:hint="eastAsia"/>
        </w:rPr>
      </w:pPr>
      <w:r>
        <w:rPr>
          <w:rFonts w:hint="eastAsia"/>
          <w:sz w:val="24"/>
          <w:szCs w:val="24"/>
        </w:rPr>
        <w:t>乙方出现严重违约行为时（如擅自更改甲方所规定的技术要求等）；</w:t>
      </w:r>
    </w:p>
    <w:p>
      <w:pPr>
        <w:numPr>
          <w:ilvl w:val="0"/>
          <w:numId w:val="40"/>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pPr>
        <w:pStyle w:val="Heading2"/>
        <w:numPr>
          <w:ilvl w:val="0"/>
          <w:numId w:val="11"/>
        </w:numPr>
        <w:ind w:left="0" w:firstLine="480" w:firstLineChars="200"/>
        <w:rPr>
          <w:sz w:val="24"/>
          <w:szCs w:val="24"/>
        </w:rPr>
      </w:pPr>
      <w:r>
        <w:rPr>
          <w:sz w:val="24"/>
          <w:szCs w:val="24"/>
        </w:rPr>
        <w:t>税务条款</w:t>
      </w:r>
    </w:p>
    <w:p>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11"/>
        </w:numPr>
        <w:ind w:left="0" w:firstLine="480" w:firstLineChars="200"/>
        <w:rPr>
          <w:sz w:val="24"/>
          <w:szCs w:val="24"/>
        </w:rPr>
      </w:pPr>
      <w:bookmarkStart w:id="111" w:name="_Toc150439568"/>
      <w:bookmarkStart w:id="112" w:name="_Toc150434311"/>
      <w:bookmarkStart w:id="113" w:name="_Toc150434215"/>
      <w:bookmarkStart w:id="114" w:name="_Toc150424390"/>
      <w:bookmarkStart w:id="115" w:name="_Toc150439569"/>
      <w:bookmarkEnd w:id="111"/>
      <w:bookmarkEnd w:id="112"/>
      <w:bookmarkEnd w:id="113"/>
      <w:bookmarkEnd w:id="114"/>
      <w:r>
        <w:rPr>
          <w:rFonts w:hint="eastAsia"/>
          <w:sz w:val="24"/>
          <w:szCs w:val="24"/>
        </w:rPr>
        <w:t>项目验收</w:t>
      </w:r>
      <w:bookmarkEnd w:id="115"/>
    </w:p>
    <w:p>
      <w:pPr>
        <w:ind w:firstLine="480" w:firstLineChars="200"/>
      </w:pPr>
      <w:r>
        <w:rPr>
          <w:rFonts w:hint="eastAsia"/>
          <w:sz w:val="24"/>
          <w:szCs w:val="24"/>
        </w:rPr>
        <w:t>1.系统测试</w:t>
      </w:r>
    </w:p>
    <w:p>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pPr>
        <w:numPr>
          <w:ilvl w:val="0"/>
          <w:numId w:val="41"/>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41"/>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pPr>
        <w:numPr>
          <w:ilvl w:val="0"/>
          <w:numId w:val="41"/>
        </w:numPr>
        <w:ind w:left="0" w:firstLine="420"/>
        <w:rPr>
          <w:rFonts w:hint="eastAsia"/>
          <w:u w:val="single"/>
        </w:rPr>
      </w:pPr>
      <w:r>
        <w:rPr>
          <w:rFonts w:hint="eastAsia"/>
          <w:sz w:val="24"/>
          <w:szCs w:val="24"/>
          <w:u w:val="single"/>
        </w:rPr>
        <w:t xml:space="preserve">全部源代码（电子版）及说明；                                   </w:t>
      </w:r>
    </w:p>
    <w:p>
      <w:pPr>
        <w:numPr>
          <w:ilvl w:val="0"/>
          <w:numId w:val="41"/>
        </w:numPr>
        <w:ind w:left="0" w:firstLine="420"/>
        <w:rPr>
          <w:rFonts w:hint="eastAsia"/>
          <w:u w:val="single"/>
        </w:rPr>
      </w:pPr>
      <w:r>
        <w:rPr>
          <w:rFonts w:hint="eastAsia"/>
          <w:sz w:val="24"/>
          <w:szCs w:val="24"/>
          <w:u w:val="single"/>
        </w:rPr>
        <w:t xml:space="preserve">试运行方案、记录、报告、试运行改进报告                         </w:t>
      </w:r>
    </w:p>
    <w:p>
      <w:pPr>
        <w:numPr>
          <w:ilvl w:val="0"/>
          <w:numId w:val="41"/>
        </w:numPr>
        <w:ind w:left="0" w:firstLine="420"/>
        <w:rPr>
          <w:rFonts w:hint="eastAsia"/>
          <w:u w:val="single"/>
        </w:rPr>
      </w:pPr>
      <w:r>
        <w:rPr>
          <w:rFonts w:hint="eastAsia"/>
          <w:sz w:val="24"/>
          <w:szCs w:val="24"/>
          <w:u w:val="single"/>
        </w:rPr>
        <w:t xml:space="preserve">合同验收文件、开发总结报告、交接清单                           </w:t>
      </w:r>
    </w:p>
    <w:p>
      <w:pPr>
        <w:numPr>
          <w:ilvl w:val="0"/>
          <w:numId w:val="41"/>
        </w:numPr>
        <w:ind w:left="0" w:firstLine="420"/>
        <w:rPr>
          <w:rFonts w:hint="eastAsia"/>
          <w:u w:val="single"/>
        </w:rPr>
      </w:pPr>
      <w:r>
        <w:rPr>
          <w:rFonts w:hint="eastAsia"/>
          <w:sz w:val="24"/>
          <w:szCs w:val="24"/>
          <w:u w:val="single"/>
        </w:rPr>
        <w:t xml:space="preserve">                                                                </w:t>
      </w:r>
    </w:p>
    <w:p>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80" w:firstLineChars="200"/>
        <w:rPr>
          <w:rFonts w:hint="eastAsia"/>
        </w:rPr>
      </w:pPr>
      <w:r>
        <w:rPr>
          <w:rFonts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80" w:firstLineChars="200"/>
        <w:rPr>
          <w:rFonts w:hint="eastAsia"/>
        </w:rPr>
      </w:pPr>
      <w:r>
        <w:rPr>
          <w:rFonts w:hint="eastAsia"/>
          <w:sz w:val="24"/>
          <w:szCs w:val="24"/>
        </w:rPr>
        <w:t>确认其符合甲方要求的测试标准后，甲方签字确认。</w:t>
      </w:r>
    </w:p>
    <w:p>
      <w:pPr>
        <w:tabs>
          <w:tab w:val="left" w:pos="720"/>
        </w:tabs>
        <w:ind w:firstLine="480" w:firstLineChars="200"/>
      </w:pPr>
      <w:r>
        <w:rPr>
          <w:rFonts w:hint="eastAsia"/>
          <w:sz w:val="24"/>
          <w:szCs w:val="24"/>
        </w:rPr>
        <w:t>2.项目初验</w:t>
      </w:r>
    </w:p>
    <w:p>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pPr>
        <w:tabs>
          <w:tab w:val="left" w:pos="720"/>
        </w:tabs>
        <w:ind w:firstLine="480" w:firstLineChars="200"/>
      </w:pPr>
      <w:r>
        <w:rPr>
          <w:rFonts w:hint="eastAsia"/>
          <w:sz w:val="24"/>
          <w:szCs w:val="24"/>
        </w:rPr>
        <w:t>3.系统试运行</w:t>
      </w:r>
    </w:p>
    <w:p>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w:t>
      </w:r>
      <w:r>
        <w:rPr>
          <w:rFonts w:hint="eastAsia"/>
          <w:sz w:val="24"/>
          <w:szCs w:val="24"/>
        </w:rPr>
        <w:t xml:space="preserve">个月的试运行权利。试运行期间，乙方应进行全程跟踪，提供全面技术支持服务，及时修改、完善、补充系统功能，确保试运行的顺利进行。   </w:t>
      </w:r>
    </w:p>
    <w:p>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pPr>
        <w:ind w:firstLine="480" w:firstLineChars="200"/>
      </w:pPr>
      <w:r>
        <w:rPr>
          <w:rFonts w:hint="eastAsia"/>
          <w:sz w:val="24"/>
          <w:szCs w:val="24"/>
        </w:rPr>
        <w:t>4.项目终验</w:t>
      </w:r>
    </w:p>
    <w:p>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pPr>
        <w:pStyle w:val="Heading2"/>
        <w:numPr>
          <w:ilvl w:val="0"/>
          <w:numId w:val="11"/>
        </w:numPr>
        <w:ind w:left="0" w:firstLine="480" w:firstLineChars="200"/>
        <w:rPr>
          <w:sz w:val="24"/>
          <w:szCs w:val="24"/>
        </w:rPr>
      </w:pPr>
      <w:bookmarkStart w:id="116" w:name="_Toc150439566"/>
      <w:r>
        <w:rPr>
          <w:rFonts w:hint="eastAsia"/>
          <w:sz w:val="24"/>
          <w:szCs w:val="24"/>
        </w:rPr>
        <w:t>质量保证</w:t>
      </w:r>
      <w:bookmarkEnd w:id="116"/>
    </w:p>
    <w:p>
      <w:pPr>
        <w:ind w:firstLine="480" w:firstLineChars="200"/>
      </w:pPr>
      <w:r>
        <w:rPr>
          <w:rFonts w:hint="eastAsia"/>
          <w:sz w:val="24"/>
          <w:szCs w:val="24"/>
        </w:rPr>
        <w:t>项目通过终验后，软件进入质量保证期。软件质量标准按照国标的软件工程化和质量保证要求执行。</w:t>
      </w:r>
    </w:p>
    <w:p>
      <w:pPr>
        <w:numPr>
          <w:ilvl w:val="0"/>
          <w:numId w:val="42"/>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pPr>
        <w:numPr>
          <w:ilvl w:val="0"/>
          <w:numId w:val="42"/>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pPr>
        <w:numPr>
          <w:ilvl w:val="0"/>
          <w:numId w:val="42"/>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pPr>
        <w:rPr>
          <w:rFonts w:hint="eastAsia"/>
        </w:rPr>
      </w:pPr>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pPr>
        <w:numPr>
          <w:ilvl w:val="0"/>
          <w:numId w:val="42"/>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42"/>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11"/>
        </w:numPr>
        <w:ind w:left="0" w:firstLine="480" w:firstLineChars="200"/>
        <w:rPr>
          <w:sz w:val="24"/>
          <w:szCs w:val="24"/>
        </w:rPr>
      </w:pPr>
      <w:bookmarkStart w:id="117" w:name="_Toc150434250"/>
      <w:bookmarkStart w:id="118" w:name="_Toc150424425"/>
      <w:bookmarkStart w:id="119" w:name="_Toc150439603"/>
      <w:bookmarkStart w:id="120" w:name="_Toc150434346"/>
      <w:bookmarkStart w:id="121" w:name="_Toc150439612"/>
      <w:bookmarkEnd w:id="117"/>
      <w:bookmarkEnd w:id="118"/>
      <w:bookmarkEnd w:id="119"/>
      <w:bookmarkEnd w:id="120"/>
      <w:r>
        <w:rPr>
          <w:rFonts w:hint="eastAsia"/>
          <w:sz w:val="24"/>
          <w:szCs w:val="24"/>
        </w:rPr>
        <w:t>保密条款（保密协议）</w:t>
      </w:r>
      <w:bookmarkEnd w:id="121"/>
    </w:p>
    <w:p>
      <w:pPr>
        <w:ind w:firstLine="480" w:firstLineChars="200"/>
        <w:rPr>
          <w:rFonts w:hint="eastAsia"/>
        </w:rPr>
      </w:pPr>
      <w:r>
        <w:rPr>
          <w:rFonts w:hint="eastAsia"/>
          <w:sz w:val="24"/>
          <w:szCs w:val="24"/>
        </w:rPr>
        <w:t>甲方因履行本合同应遵守的保密义务如下：</w:t>
      </w:r>
    </w:p>
    <w:p>
      <w:pPr>
        <w:numPr>
          <w:ilvl w:val="0"/>
          <w:numId w:val="43"/>
        </w:numPr>
        <w:ind w:left="0" w:firstLine="480" w:firstLineChars="200"/>
        <w:rPr>
          <w:rFonts w:hint="eastAsia"/>
        </w:rPr>
      </w:pPr>
      <w:bookmarkStart w:id="122"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43"/>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pPr>
        <w:numPr>
          <w:ilvl w:val="0"/>
          <w:numId w:val="43"/>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pPr>
        <w:numPr>
          <w:ilvl w:val="0"/>
          <w:numId w:val="43"/>
        </w:numPr>
        <w:ind w:left="0" w:firstLine="480" w:firstLineChars="200"/>
        <w:rPr>
          <w:rFonts w:hint="eastAsia"/>
        </w:rPr>
      </w:pPr>
      <w:r>
        <w:rPr>
          <w:rFonts w:hint="eastAsia"/>
          <w:sz w:val="24"/>
          <w:szCs w:val="24"/>
        </w:rPr>
        <w:t>泄密责任：</w:t>
      </w:r>
      <w:r>
        <w:rPr>
          <w:rFonts w:hint="eastAsia"/>
          <w:sz w:val="24"/>
          <w:szCs w:val="24"/>
          <w:u w:val="single"/>
        </w:rPr>
        <w:t xml:space="preserve">                                                 。</w:t>
      </w:r>
    </w:p>
    <w:p>
      <w:pPr>
        <w:ind w:firstLine="480" w:firstLineChars="200"/>
      </w:pPr>
      <w:bookmarkEnd w:id="122"/>
      <w:r>
        <w:rPr>
          <w:rFonts w:hint="eastAsia"/>
          <w:sz w:val="24"/>
          <w:szCs w:val="24"/>
        </w:rPr>
        <w:t>乙方因履行本合同应遵守的保密义务如下：</w:t>
      </w:r>
    </w:p>
    <w:p>
      <w:pPr>
        <w:numPr>
          <w:ilvl w:val="0"/>
          <w:numId w:val="44"/>
        </w:numPr>
        <w:ind w:left="0" w:firstLine="480" w:firstLineChars="200"/>
        <w:rPr>
          <w:rFonts w:hint="eastAsia"/>
        </w:rPr>
      </w:pPr>
      <w:r>
        <w:rPr>
          <w:rFonts w:hint="eastAsia"/>
          <w:sz w:val="24"/>
          <w:szCs w:val="24"/>
        </w:rPr>
        <w:t>保密内容（包括技术信息和经营信息）：</w:t>
      </w:r>
    </w:p>
    <w:p>
      <w:pPr>
        <w:numPr>
          <w:ilvl w:val="0"/>
          <w:numId w:val="45"/>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pPr>
        <w:numPr>
          <w:ilvl w:val="0"/>
          <w:numId w:val="45"/>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5"/>
        </w:numPr>
        <w:ind w:left="0" w:firstLine="420"/>
        <w:rPr>
          <w:u w:val="single"/>
        </w:rPr>
      </w:pPr>
      <w:r>
        <w:rPr>
          <w:rFonts w:hint="eastAsia"/>
          <w:sz w:val="24"/>
          <w:szCs w:val="24"/>
          <w:u w:val="single"/>
        </w:rPr>
        <w:t xml:space="preserve">涉及国家秘密和安全的 ，依照有关保密规定执行。                          </w:t>
      </w:r>
    </w:p>
    <w:p>
      <w:pPr>
        <w:numPr>
          <w:ilvl w:val="0"/>
          <w:numId w:val="44"/>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pPr>
        <w:numPr>
          <w:ilvl w:val="0"/>
          <w:numId w:val="44"/>
        </w:numPr>
        <w:ind w:left="0" w:firstLine="480" w:firstLineChars="200"/>
        <w:rPr>
          <w:rFonts w:hint="eastAsia"/>
        </w:rPr>
      </w:pPr>
      <w:r>
        <w:rPr>
          <w:rFonts w:hint="eastAsia"/>
          <w:sz w:val="24"/>
          <w:szCs w:val="24"/>
        </w:rPr>
        <w:t>保密期限：</w:t>
      </w:r>
      <w:bookmarkStart w:id="123" w:name="_Hlk150343509"/>
      <w:r>
        <w:rPr>
          <w:rFonts w:hint="eastAsia"/>
          <w:sz w:val="24"/>
          <w:szCs w:val="24"/>
          <w:u w:val="single"/>
        </w:rPr>
        <w:t xml:space="preserve">      本条规定持续有效，不因本合同终止或解除而失效  </w:t>
      </w:r>
      <w:bookmarkEnd w:id="123"/>
    </w:p>
    <w:p>
      <w:pPr>
        <w:numPr>
          <w:ilvl w:val="0"/>
          <w:numId w:val="44"/>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pPr>
        <w:ind w:firstLine="480" w:firstLineChars="200"/>
      </w:pPr>
      <w:r>
        <w:rPr>
          <w:rFonts w:hint="eastAsia"/>
          <w:color w:val="000000"/>
          <w:sz w:val="24"/>
          <w:szCs w:val="24"/>
        </w:rPr>
        <w:t>本合同的解除或终止不免除乙方应承担的保密义务，未经过甲方书面同意，乙方不得向任何第三方透露。</w:t>
      </w:r>
    </w:p>
    <w:p>
      <w:pPr>
        <w:pStyle w:val="Heading2"/>
        <w:numPr>
          <w:ilvl w:val="0"/>
          <w:numId w:val="11"/>
        </w:numPr>
        <w:ind w:left="0" w:firstLine="480" w:firstLineChars="200"/>
        <w:rPr>
          <w:sz w:val="24"/>
          <w:szCs w:val="24"/>
        </w:rPr>
      </w:pPr>
      <w:bookmarkStart w:id="124" w:name="_Toc150439618"/>
      <w:r>
        <w:rPr>
          <w:rFonts w:hint="eastAsia"/>
          <w:sz w:val="24"/>
          <w:szCs w:val="24"/>
        </w:rPr>
        <w:t>违约</w:t>
      </w:r>
      <w:r>
        <w:rPr>
          <w:sz w:val="24"/>
          <w:szCs w:val="24"/>
        </w:rPr>
        <w:t>责任及赔偿</w:t>
      </w:r>
      <w:bookmarkEnd w:id="124"/>
    </w:p>
    <w:p>
      <w:pPr>
        <w:ind w:firstLine="480" w:firstLineChars="200"/>
        <w:rPr>
          <w:rFonts w:hint="eastAsia"/>
        </w:rPr>
      </w:pPr>
      <w:r>
        <w:rPr>
          <w:rFonts w:hint="eastAsia"/>
          <w:sz w:val="24"/>
          <w:szCs w:val="24"/>
        </w:rPr>
        <w:t>任何一方违反本合同约定，造成研究开发工作停滞、延误或失败的，按以下约定承担违约责任：</w:t>
      </w:r>
    </w:p>
    <w:p>
      <w:pPr>
        <w:numPr>
          <w:ilvl w:val="0"/>
          <w:numId w:val="46"/>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pPr>
        <w:numPr>
          <w:ilvl w:val="0"/>
          <w:numId w:val="46"/>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pPr>
        <w:numPr>
          <w:ilvl w:val="0"/>
          <w:numId w:val="46"/>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pPr>
        <w:numPr>
          <w:ilvl w:val="0"/>
          <w:numId w:val="46"/>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pPr>
        <w:numPr>
          <w:ilvl w:val="0"/>
          <w:numId w:val="46"/>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pPr>
        <w:numPr>
          <w:ilvl w:val="0"/>
          <w:numId w:val="46"/>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6"/>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pPr>
        <w:numPr>
          <w:ilvl w:val="0"/>
          <w:numId w:val="46"/>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pPr>
        <w:pStyle w:val="Heading2"/>
        <w:numPr>
          <w:ilvl w:val="0"/>
          <w:numId w:val="11"/>
        </w:numPr>
        <w:ind w:left="0" w:firstLine="480" w:firstLineChars="200"/>
        <w:rPr>
          <w:sz w:val="24"/>
          <w:szCs w:val="24"/>
        </w:rPr>
      </w:pPr>
      <w:bookmarkStart w:id="125" w:name="_Toc150439619"/>
      <w:r>
        <w:rPr>
          <w:rFonts w:hint="eastAsia"/>
          <w:sz w:val="24"/>
          <w:szCs w:val="24"/>
        </w:rPr>
        <w:t>争议的解决</w:t>
      </w:r>
      <w:bookmarkEnd w:id="125"/>
    </w:p>
    <w:p>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pPr>
        <w:pStyle w:val="Heading2"/>
        <w:numPr>
          <w:ilvl w:val="0"/>
          <w:numId w:val="11"/>
        </w:numPr>
        <w:ind w:left="0" w:firstLine="0"/>
        <w:rPr>
          <w:sz w:val="24"/>
          <w:szCs w:val="24"/>
        </w:rPr>
      </w:pPr>
      <w:bookmarkStart w:id="126" w:name="_Toc150439621"/>
      <w:r>
        <w:rPr>
          <w:rFonts w:hint="eastAsia"/>
          <w:sz w:val="24"/>
          <w:szCs w:val="24"/>
        </w:rPr>
        <w:t>不可抗力</w:t>
      </w:r>
      <w:bookmarkEnd w:id="126"/>
    </w:p>
    <w:p>
      <w:pPr>
        <w:numPr>
          <w:ilvl w:val="0"/>
          <w:numId w:val="47"/>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pPr>
        <w:numPr>
          <w:ilvl w:val="0"/>
          <w:numId w:val="48"/>
        </w:numPr>
        <w:ind w:hanging="5"/>
        <w:rPr>
          <w:rFonts w:hint="eastAsia"/>
        </w:rPr>
      </w:pPr>
      <w:r>
        <w:rPr>
          <w:rFonts w:hint="eastAsia"/>
          <w:sz w:val="24"/>
          <w:szCs w:val="24"/>
        </w:rPr>
        <w:t>本合同项目在现有技术水平条件下具有足够的难度；</w:t>
      </w:r>
    </w:p>
    <w:p>
      <w:pPr>
        <w:numPr>
          <w:ilvl w:val="0"/>
          <w:numId w:val="48"/>
        </w:numPr>
        <w:ind w:hanging="5"/>
      </w:pPr>
      <w:r>
        <w:rPr>
          <w:rFonts w:hint="eastAsia"/>
          <w:sz w:val="24"/>
          <w:szCs w:val="24"/>
        </w:rPr>
        <w:t>乙方在主观上无过错且经认定研究开发失败为合理的失败。</w:t>
      </w:r>
    </w:p>
    <w:p>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pPr>
        <w:numPr>
          <w:ilvl w:val="0"/>
          <w:numId w:val="47"/>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pPr>
        <w:numPr>
          <w:ilvl w:val="0"/>
          <w:numId w:val="47"/>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pPr>
        <w:numPr>
          <w:ilvl w:val="0"/>
          <w:numId w:val="49"/>
        </w:numPr>
        <w:ind w:hanging="5"/>
        <w:rPr>
          <w:rFonts w:hint="eastAsia"/>
        </w:rPr>
      </w:pPr>
      <w:r>
        <w:rPr>
          <w:rFonts w:hint="eastAsia"/>
          <w:sz w:val="24"/>
          <w:szCs w:val="24"/>
        </w:rPr>
        <w:t>因发生不可抗力或技术风险；</w:t>
      </w:r>
    </w:p>
    <w:p>
      <w:pPr>
        <w:numPr>
          <w:ilvl w:val="0"/>
          <w:numId w:val="49"/>
        </w:numPr>
        <w:ind w:hanging="5"/>
        <w:rPr>
          <w:rFonts w:hint="eastAsia"/>
        </w:rPr>
      </w:pPr>
      <w:r>
        <w:rPr>
          <w:rFonts w:hint="eastAsia"/>
          <w:sz w:val="24"/>
          <w:szCs w:val="24"/>
        </w:rPr>
        <w:t>因一方未按约定履行合同义务支付款项的；</w:t>
      </w:r>
    </w:p>
    <w:p>
      <w:pPr>
        <w:numPr>
          <w:ilvl w:val="0"/>
          <w:numId w:val="49"/>
        </w:numPr>
        <w:ind w:hanging="5"/>
        <w:rPr>
          <w:rFonts w:hint="eastAsia"/>
        </w:rPr>
      </w:pPr>
      <w:r>
        <w:rPr>
          <w:rFonts w:hint="eastAsia"/>
          <w:sz w:val="24"/>
          <w:szCs w:val="24"/>
        </w:rPr>
        <w:t>因一方未按期完成合同约定的项目开发任务。</w:t>
      </w:r>
    </w:p>
    <w:p>
      <w:pPr>
        <w:pStyle w:val="Heading2"/>
        <w:numPr>
          <w:ilvl w:val="0"/>
          <w:numId w:val="11"/>
        </w:numPr>
        <w:ind w:left="0" w:firstLine="480" w:firstLineChars="200"/>
        <w:rPr>
          <w:rFonts w:hint="eastAsia"/>
          <w:sz w:val="24"/>
          <w:szCs w:val="24"/>
        </w:rPr>
      </w:pPr>
      <w:bookmarkStart w:id="127" w:name="_Toc150439624"/>
      <w:r>
        <w:rPr>
          <w:rFonts w:hint="eastAsia"/>
          <w:sz w:val="24"/>
          <w:szCs w:val="24"/>
        </w:rPr>
        <w:t>本合同的变更</w:t>
      </w:r>
      <w:bookmarkEnd w:id="127"/>
    </w:p>
    <w:p>
      <w:pPr>
        <w:numPr>
          <w:ilvl w:val="0"/>
          <w:numId w:val="50"/>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pPr>
        <w:numPr>
          <w:ilvl w:val="0"/>
          <w:numId w:val="50"/>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pPr>
        <w:pStyle w:val="Heading2"/>
        <w:numPr>
          <w:ilvl w:val="0"/>
          <w:numId w:val="11"/>
        </w:numPr>
        <w:ind w:left="0" w:firstLine="480" w:firstLineChars="200"/>
        <w:rPr>
          <w:sz w:val="24"/>
          <w:szCs w:val="24"/>
        </w:rPr>
      </w:pPr>
      <w:bookmarkStart w:id="128" w:name="_Toc150434362"/>
      <w:bookmarkStart w:id="129" w:name="_Toc150434266"/>
      <w:bookmarkStart w:id="130" w:name="_Toc150424441"/>
      <w:bookmarkStart w:id="131" w:name="_Toc150439622"/>
      <w:bookmarkStart w:id="132" w:name="_Toc150439623"/>
      <w:bookmarkEnd w:id="128"/>
      <w:bookmarkEnd w:id="129"/>
      <w:bookmarkEnd w:id="130"/>
      <w:bookmarkEnd w:id="131"/>
      <w:r>
        <w:rPr>
          <w:rFonts w:hint="eastAsia"/>
          <w:sz w:val="24"/>
          <w:szCs w:val="24"/>
        </w:rPr>
        <w:t>其它</w:t>
      </w:r>
      <w:bookmarkEnd w:id="132"/>
    </w:p>
    <w:p>
      <w:pPr>
        <w:ind w:left="420" w:leftChars="200"/>
      </w:pPr>
      <w:r>
        <w:rPr>
          <w:rFonts w:hint="eastAsia"/>
          <w:sz w:val="24"/>
          <w:szCs w:val="24"/>
        </w:rPr>
        <w:t>本合同未尽事宜，由双方协商后按有关程序办理，并以书面形式进行确定。</w:t>
      </w:r>
    </w:p>
    <w:p>
      <w:pPr>
        <w:pStyle w:val="Heading2"/>
        <w:numPr>
          <w:ilvl w:val="0"/>
          <w:numId w:val="11"/>
        </w:numPr>
        <w:ind w:left="0" w:firstLine="480" w:firstLineChars="200"/>
        <w:rPr>
          <w:rFonts w:hint="eastAsia"/>
          <w:sz w:val="24"/>
          <w:szCs w:val="24"/>
        </w:rPr>
      </w:pPr>
      <w:bookmarkStart w:id="133" w:name="_Toc150439626"/>
      <w:r>
        <w:rPr>
          <w:rFonts w:hint="eastAsia"/>
          <w:sz w:val="24"/>
          <w:szCs w:val="24"/>
        </w:rPr>
        <w:t>合同生效</w:t>
      </w:r>
      <w:bookmarkEnd w:id="133"/>
    </w:p>
    <w:p>
      <w:pPr>
        <w:numPr>
          <w:ilvl w:val="0"/>
          <w:numId w:val="51"/>
        </w:numPr>
        <w:ind w:left="0" w:firstLine="480" w:firstLineChars="200"/>
      </w:pPr>
      <w:r>
        <w:rPr>
          <w:rFonts w:hint="eastAsia"/>
          <w:sz w:val="24"/>
          <w:szCs w:val="24"/>
        </w:rPr>
        <w:t>本合同经双方法定代表人或授权代表签字并加盖公章之日起生效，至质保期结束终止。</w:t>
      </w:r>
    </w:p>
    <w:p>
      <w:pPr>
        <w:numPr>
          <w:ilvl w:val="0"/>
          <w:numId w:val="51"/>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 xml:space="preserve">                                          年     月     日</w:t>
      </w:r>
    </w:p>
    <w:p>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pPr>
        <w:ind w:firstLine="480" w:firstLineChars="200"/>
      </w:pPr>
      <w:r>
        <w:rPr>
          <w:rFonts w:hint="eastAsia"/>
          <w:sz w:val="24"/>
          <w:szCs w:val="24"/>
        </w:rPr>
        <w:t xml:space="preserve">                                          年     月     日</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15pt;height:678.52pt;mso-position-horizontal-relative:page;mso-position-vertical-relative:page;mso-wrap-style:square" filled="f" stroked="f">
            <v:stroke linestyle="single"/>
            <v:imagedata r:id="rId21" o:title=""/>
            <v:path o:extrusionok="f"/>
            <o:lock v:ext="edit" aspectratio="t"/>
          </v:shape>
        </w:pict>
      </w:r>
    </w:p>
    <w:p>
      <w:pPr>
        <w:widowControl/>
        <w:spacing w:line="240" w:lineRule="auto"/>
        <w:jc w:val="left"/>
        <w:rPr>
          <w:rFonts w:hint="eastAsia"/>
          <w:sz w:val="32"/>
          <w:szCs w:val="32"/>
        </w:rPr>
      </w:pPr>
      <w:r>
        <w:rPr>
          <w:rFonts w:hint="eastAsia"/>
        </w:rPr>
        <w:br w:type="page"/>
      </w:r>
      <w:r>
        <w:rPr>
          <w:rFonts w:hint="eastAsia"/>
          <w:sz w:val="32"/>
          <w:szCs w:val="32"/>
        </w:rPr>
        <w:t>附件1</w:t>
      </w:r>
    </w:p>
    <w:p>
      <w:pPr>
        <w:widowControl/>
        <w:spacing w:line="240" w:lineRule="auto"/>
        <w:jc w:val="left"/>
        <w:rPr>
          <w:rFonts w:hint="eastAsia"/>
          <w:sz w:val="32"/>
          <w:szCs w:val="32"/>
        </w:rPr>
      </w:pPr>
    </w:p>
    <w:p>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pPr>
        <w:spacing w:line="480" w:lineRule="exact"/>
        <w:ind w:firstLine="600" w:firstLineChars="200"/>
        <w:rPr>
          <w:rFonts w:hint="eastAsia"/>
          <w:kern w:val="0"/>
          <w:sz w:val="30"/>
          <w:szCs w:val="30"/>
        </w:rPr>
      </w:pPr>
    </w:p>
    <w:p>
      <w:pPr>
        <w:spacing w:line="480" w:lineRule="exact"/>
        <w:rPr>
          <w:rFonts w:hint="eastAsia"/>
          <w:kern w:val="0"/>
        </w:rPr>
      </w:pPr>
      <w:r>
        <w:rPr>
          <w:rFonts w:hint="eastAsia"/>
          <w:kern w:val="0"/>
          <w:sz w:val="24"/>
          <w:szCs w:val="24"/>
        </w:rPr>
        <w:t>甲方：国家气象中心</w:t>
      </w:r>
    </w:p>
    <w:p>
      <w:pPr>
        <w:spacing w:line="480" w:lineRule="exact"/>
        <w:rPr>
          <w:rFonts w:hint="eastAsia"/>
          <w:kern w:val="0"/>
        </w:rPr>
      </w:pPr>
      <w:r>
        <w:rPr>
          <w:rFonts w:hint="eastAsia"/>
          <w:kern w:val="0"/>
          <w:sz w:val="24"/>
          <w:szCs w:val="24"/>
        </w:rPr>
        <w:t>乙方：</w:t>
      </w:r>
    </w:p>
    <w:p>
      <w:pPr>
        <w:spacing w:line="480" w:lineRule="exact"/>
        <w:rPr>
          <w:rFonts w:hint="eastAsia"/>
          <w:kern w:val="0"/>
        </w:rPr>
      </w:pPr>
      <w:r>
        <w:rPr>
          <w:rFonts w:hint="eastAsia"/>
          <w:kern w:val="0"/>
          <w:sz w:val="24"/>
          <w:szCs w:val="24"/>
        </w:rPr>
        <w:t xml:space="preserve">签订地点：　　　　　　　     </w:t>
      </w:r>
    </w:p>
    <w:p>
      <w:pPr>
        <w:spacing w:line="480" w:lineRule="exact"/>
        <w:rPr>
          <w:rFonts w:hint="eastAsia"/>
          <w:kern w:val="0"/>
        </w:rPr>
      </w:pPr>
      <w:r>
        <w:rPr>
          <w:rFonts w:hint="eastAsia"/>
          <w:kern w:val="0"/>
          <w:sz w:val="24"/>
          <w:szCs w:val="24"/>
        </w:rPr>
        <w:t>签订日期：　　年　月   日</w:t>
      </w:r>
    </w:p>
    <w:p>
      <w:pPr>
        <w:spacing w:line="480" w:lineRule="exact"/>
        <w:rPr>
          <w:rFonts w:hint="eastAsia"/>
          <w:kern w:val="0"/>
        </w:rPr>
      </w:pPr>
    </w:p>
    <w:p>
      <w:pPr>
        <w:spacing w:line="400" w:lineRule="exact"/>
        <w:ind w:firstLine="480" w:firstLineChars="200"/>
        <w:rPr>
          <w:rFonts w:hint="eastAsia"/>
          <w:kern w:val="0"/>
        </w:rPr>
      </w:pPr>
      <w:r>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pPr>
        <w:spacing w:line="400" w:lineRule="exact"/>
        <w:ind w:firstLine="480" w:firstLineChars="200"/>
        <w:rPr>
          <w:rFonts w:hint="eastAsia"/>
          <w:kern w:val="0"/>
        </w:rPr>
      </w:pPr>
      <w:r>
        <w:rPr>
          <w:rFonts w:hint="eastAsia"/>
          <w:kern w:val="0"/>
          <w:sz w:val="24"/>
          <w:szCs w:val="24"/>
        </w:rPr>
        <w:t>一、保密信息</w:t>
      </w:r>
    </w:p>
    <w:p>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pPr>
        <w:spacing w:line="400" w:lineRule="exact"/>
        <w:ind w:left="600"/>
        <w:rPr>
          <w:rFonts w:hint="eastAsia"/>
          <w:kern w:val="0"/>
        </w:rPr>
      </w:pPr>
      <w:r>
        <w:rPr>
          <w:rFonts w:hint="eastAsia"/>
          <w:kern w:val="0"/>
          <w:sz w:val="24"/>
          <w:szCs w:val="24"/>
        </w:rPr>
        <w:t>（四）其他甲方合理认为，并告知乙方属于保密的内容。</w:t>
      </w:r>
    </w:p>
    <w:p>
      <w:pPr>
        <w:spacing w:line="400" w:lineRule="exact"/>
        <w:ind w:firstLine="480" w:firstLineChars="200"/>
        <w:rPr>
          <w:rFonts w:hint="eastAsia"/>
          <w:kern w:val="0"/>
        </w:rPr>
      </w:pPr>
      <w:r>
        <w:rPr>
          <w:rFonts w:hint="eastAsia"/>
          <w:kern w:val="0"/>
          <w:sz w:val="24"/>
          <w:szCs w:val="24"/>
        </w:rPr>
        <w:t>二、保密条款</w:t>
      </w:r>
    </w:p>
    <w:p>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pPr>
        <w:spacing w:line="400" w:lineRule="exact"/>
        <w:ind w:firstLine="480" w:firstLineChars="200"/>
        <w:rPr>
          <w:rFonts w:hint="eastAsia"/>
          <w:kern w:val="0"/>
        </w:rPr>
      </w:pPr>
      <w:r>
        <w:rPr>
          <w:rFonts w:hint="eastAsia"/>
          <w:kern w:val="0"/>
          <w:sz w:val="24"/>
          <w:szCs w:val="24"/>
        </w:rPr>
        <w:t xml:space="preserve">三、保密信息的所有权 </w:t>
      </w:r>
    </w:p>
    <w:p>
      <w:pPr>
        <w:spacing w:line="400" w:lineRule="exact"/>
        <w:ind w:firstLine="480" w:firstLineChars="200"/>
        <w:rPr>
          <w:rFonts w:hint="eastAsia"/>
          <w:kern w:val="0"/>
        </w:rPr>
      </w:pPr>
      <w:r>
        <w:rPr>
          <w:rFonts w:hint="eastAsia"/>
          <w:kern w:val="0"/>
          <w:sz w:val="24"/>
          <w:szCs w:val="24"/>
        </w:rPr>
        <w:t xml:space="preserve">以上所提及的保密信息均为甲方所有。 </w:t>
      </w:r>
    </w:p>
    <w:p>
      <w:pPr>
        <w:spacing w:line="400" w:lineRule="exact"/>
        <w:ind w:firstLine="480" w:firstLineChars="200"/>
        <w:rPr>
          <w:rFonts w:hint="eastAsia"/>
          <w:kern w:val="0"/>
        </w:rPr>
      </w:pPr>
      <w:r>
        <w:rPr>
          <w:rFonts w:hint="eastAsia"/>
          <w:kern w:val="0"/>
          <w:sz w:val="24"/>
          <w:szCs w:val="24"/>
        </w:rPr>
        <w:t>四、保密期限</w:t>
      </w:r>
    </w:p>
    <w:p>
      <w:pPr>
        <w:spacing w:line="400" w:lineRule="exact"/>
        <w:ind w:firstLine="480" w:firstLineChars="200"/>
        <w:rPr>
          <w:rFonts w:hint="eastAsia"/>
          <w:kern w:val="0"/>
        </w:rPr>
      </w:pPr>
      <w:r>
        <w:rPr>
          <w:rFonts w:hint="eastAsia"/>
          <w:kern w:val="0"/>
          <w:sz w:val="24"/>
          <w:szCs w:val="24"/>
        </w:rPr>
        <w:t>（一）本协议的保密期限为5年。</w:t>
      </w:r>
    </w:p>
    <w:p>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pPr>
        <w:spacing w:line="400" w:lineRule="exact"/>
        <w:ind w:firstLine="480" w:firstLineChars="200"/>
        <w:rPr>
          <w:rFonts w:hint="eastAsia"/>
          <w:kern w:val="0"/>
        </w:rPr>
      </w:pPr>
      <w:r>
        <w:rPr>
          <w:rFonts w:hint="eastAsia"/>
          <w:kern w:val="0"/>
          <w:sz w:val="24"/>
          <w:szCs w:val="24"/>
        </w:rPr>
        <w:t xml:space="preserve">五、关系限制 </w:t>
      </w:r>
    </w:p>
    <w:p>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pPr>
        <w:spacing w:line="400" w:lineRule="exact"/>
        <w:ind w:firstLine="480" w:firstLineChars="200"/>
        <w:rPr>
          <w:rFonts w:hint="eastAsia"/>
          <w:kern w:val="0"/>
        </w:rPr>
      </w:pPr>
      <w:r>
        <w:rPr>
          <w:rFonts w:hint="eastAsia"/>
          <w:kern w:val="0"/>
          <w:sz w:val="24"/>
          <w:szCs w:val="24"/>
        </w:rPr>
        <w:t>六、违约责任</w:t>
      </w:r>
    </w:p>
    <w:p>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pPr>
        <w:spacing w:line="400" w:lineRule="exact"/>
        <w:ind w:firstLine="480" w:firstLineChars="200"/>
        <w:rPr>
          <w:rFonts w:hint="eastAsia"/>
          <w:kern w:val="0"/>
        </w:rPr>
      </w:pPr>
      <w:r>
        <w:rPr>
          <w:rFonts w:hint="eastAsia"/>
          <w:kern w:val="0"/>
          <w:sz w:val="24"/>
          <w:szCs w:val="24"/>
        </w:rPr>
        <w:t>七、其他事项</w:t>
      </w:r>
    </w:p>
    <w:p>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pPr>
        <w:spacing w:line="400" w:lineRule="exact"/>
        <w:ind w:firstLine="480" w:firstLineChars="200"/>
        <w:rPr>
          <w:rFonts w:hint="eastAsia"/>
          <w:kern w:val="0"/>
        </w:rPr>
      </w:pPr>
      <w:r>
        <w:rPr>
          <w:rFonts w:hint="eastAsia"/>
          <w:kern w:val="0"/>
          <w:sz w:val="24"/>
          <w:szCs w:val="24"/>
        </w:rPr>
        <w:t>（二）本协议未尽事宜，由甲乙双方协商解决。</w:t>
      </w:r>
    </w:p>
    <w:p>
      <w:pPr>
        <w:spacing w:line="400" w:lineRule="exact"/>
        <w:ind w:firstLine="480" w:firstLineChars="200"/>
        <w:rPr>
          <w:rFonts w:hint="eastAsia"/>
          <w:kern w:val="0"/>
        </w:rPr>
      </w:pPr>
      <w:r>
        <w:rPr>
          <w:rFonts w:hint="eastAsia"/>
          <w:kern w:val="0"/>
          <w:sz w:val="24"/>
          <w:szCs w:val="24"/>
        </w:rPr>
        <w:t>（三）本协议自甲、乙双方签字之日起生效。</w:t>
      </w:r>
    </w:p>
    <w:p>
      <w:pPr>
        <w:rPr>
          <w:rFonts w:hint="eastAsia"/>
        </w:rPr>
      </w:pPr>
    </w:p>
    <w:p>
      <w:pPr>
        <w:ind w:left="503" w:hanging="581" w:leftChars="-37" w:hangingChars="242"/>
        <w:rPr>
          <w:rFonts w:hint="eastAsia"/>
        </w:rPr>
      </w:pPr>
      <w:r>
        <w:rPr>
          <w:rFonts w:hint="eastAsia"/>
          <w:sz w:val="24"/>
          <w:szCs w:val="24"/>
        </w:rPr>
        <w:t>甲方：国家气象中心：（盖章）</w:t>
      </w:r>
    </w:p>
    <w:p>
      <w:pPr>
        <w:ind w:left="503" w:hanging="581" w:leftChars="-37" w:hangingChars="242"/>
        <w:rPr>
          <w:rFonts w:hint="eastAsia"/>
        </w:rPr>
      </w:pPr>
      <w:r>
        <w:rPr>
          <w:rFonts w:hint="eastAsia"/>
          <w:sz w:val="24"/>
          <w:szCs w:val="24"/>
        </w:rPr>
        <w:t>责任单位负责人：（签字）</w:t>
      </w:r>
    </w:p>
    <w:p>
      <w:pPr>
        <w:ind w:left="689" w:leftChars="328"/>
        <w:rPr>
          <w:rFonts w:hint="eastAsia"/>
        </w:rPr>
      </w:pPr>
      <w:r>
        <w:rPr>
          <w:rFonts w:hint="eastAsia"/>
          <w:sz w:val="24"/>
          <w:szCs w:val="24"/>
        </w:rPr>
        <w:t>年   月   日</w:t>
      </w:r>
    </w:p>
    <w:p>
      <w:pPr>
        <w:ind w:left="430" w:hanging="508" w:leftChars="-37" w:hangingChars="242"/>
        <w:rPr>
          <w:rFonts w:hint="eastAsia"/>
        </w:rPr>
      </w:pPr>
    </w:p>
    <w:p>
      <w:pPr>
        <w:rPr>
          <w:rFonts w:hint="eastAsia"/>
        </w:rPr>
      </w:pPr>
    </w:p>
    <w:p>
      <w:pPr>
        <w:rPr>
          <w:rFonts w:hint="eastAsia"/>
        </w:rPr>
      </w:pPr>
    </w:p>
    <w:p>
      <w:pPr>
        <w:rPr>
          <w:rFonts w:hint="eastAsia"/>
        </w:rPr>
      </w:pPr>
      <w:r>
        <w:rPr>
          <w:rFonts w:hint="eastAsia"/>
          <w:sz w:val="24"/>
          <w:szCs w:val="24"/>
        </w:rPr>
        <w:t>乙方：                （盖章）</w:t>
      </w:r>
    </w:p>
    <w:p>
      <w:pPr>
        <w:rPr>
          <w:rFonts w:hint="eastAsia"/>
        </w:rPr>
      </w:pPr>
      <w:r>
        <w:rPr>
          <w:rFonts w:hint="eastAsia"/>
          <w:sz w:val="24"/>
          <w:szCs w:val="24"/>
        </w:rPr>
        <w:t>法定代表人或授权委托人：（签字）</w:t>
      </w:r>
    </w:p>
    <w:p>
      <w:pPr>
        <w:tabs>
          <w:tab w:val="left" w:pos="5365"/>
        </w:tabs>
        <w:ind w:firstLine="600" w:firstLineChars="250"/>
        <w:rPr>
          <w:rFonts w:hint="eastAsia"/>
        </w:rPr>
      </w:pPr>
      <w:r>
        <w:rPr>
          <w:rFonts w:hint="eastAsia"/>
          <w:sz w:val="24"/>
          <w:szCs w:val="24"/>
        </w:rPr>
        <w:t>年   月   日</w:t>
      </w:r>
    </w:p>
    <w:p>
      <w:pPr>
        <w:widowControl/>
        <w:spacing w:line="240" w:lineRule="auto"/>
        <w:jc w:val="left"/>
        <w:rPr>
          <w:rFonts w:hint="eastAsia"/>
          <w:sz w:val="32"/>
          <w:szCs w:val="32"/>
        </w:rPr>
      </w:pPr>
      <w:r>
        <w:rPr>
          <w:rFonts w:hint="eastAsia"/>
          <w:sz w:val="32"/>
          <w:szCs w:val="32"/>
        </w:rPr>
        <w:br w:type="page"/>
      </w:r>
      <w:r>
        <w:rPr>
          <w:rFonts w:hint="eastAsia"/>
          <w:sz w:val="32"/>
          <w:szCs w:val="32"/>
        </w:rPr>
        <w:t>附件2</w:t>
      </w:r>
    </w:p>
    <w:p>
      <w:pPr>
        <w:jc w:val="center"/>
        <w:rPr>
          <w:rFonts w:hint="eastAsia"/>
          <w:spacing w:val="-16"/>
          <w:sz w:val="44"/>
          <w:szCs w:val="44"/>
        </w:rPr>
      </w:pPr>
      <w:bookmarkStart w:id="134" w:name="_Hlk99802248"/>
    </w:p>
    <w:p>
      <w:pPr>
        <w:jc w:val="center"/>
        <w:rPr>
          <w:rFonts w:hint="eastAsia"/>
          <w:spacing w:val="-16"/>
          <w:sz w:val="44"/>
          <w:szCs w:val="44"/>
        </w:rPr>
      </w:pPr>
      <w:r>
        <w:rPr>
          <w:rFonts w:hint="eastAsia"/>
          <w:spacing w:val="-16"/>
          <w:sz w:val="44"/>
          <w:szCs w:val="44"/>
        </w:rPr>
        <w:t>安全保密承诺书</w:t>
      </w:r>
      <w:bookmarkEnd w:id="134"/>
    </w:p>
    <w:p>
      <w:pPr>
        <w:jc w:val="center"/>
        <w:rPr>
          <w:rFonts w:hint="eastAsia"/>
          <w:b/>
          <w:spacing w:val="-16"/>
        </w:rPr>
      </w:pPr>
    </w:p>
    <w:p>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pPr>
        <w:spacing w:line="560" w:lineRule="exact"/>
        <w:ind w:firstLine="480" w:firstLineChars="200"/>
        <w:rPr>
          <w:rFonts w:hint="eastAsia"/>
        </w:rPr>
      </w:pPr>
      <w:r>
        <w:rPr>
          <w:rFonts w:hint="eastAsia"/>
          <w:sz w:val="24"/>
          <w:szCs w:val="24"/>
        </w:rPr>
        <w:t>九、本人承诺未经甲方书面许可，不对有关保密信息进行修改、补充、复制。</w:t>
      </w:r>
    </w:p>
    <w:p>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hint="eastAsia"/>
          <w:sz w:val="32"/>
          <w:szCs w:val="32"/>
        </w:rPr>
      </w:pPr>
      <w:r>
        <w:rPr>
          <w:rFonts w:hint="eastAsia"/>
        </w:rPr>
        <w:br w:type="page"/>
      </w:r>
      <w:r>
        <w:rPr>
          <w:rFonts w:hint="eastAsia"/>
          <w:sz w:val="32"/>
          <w:szCs w:val="32"/>
        </w:rPr>
        <w:t>附件3</w:t>
      </w:r>
    </w:p>
    <w:p>
      <w:pPr>
        <w:jc w:val="center"/>
        <w:rPr>
          <w:rFonts w:hint="eastAsia"/>
          <w:spacing w:val="-16"/>
          <w:sz w:val="44"/>
          <w:szCs w:val="44"/>
        </w:rPr>
      </w:pPr>
    </w:p>
    <w:p>
      <w:pPr>
        <w:jc w:val="center"/>
        <w:rPr>
          <w:rFonts w:hint="eastAsia"/>
          <w:spacing w:val="-16"/>
          <w:sz w:val="44"/>
          <w:szCs w:val="44"/>
        </w:rPr>
      </w:pPr>
      <w:r>
        <w:rPr>
          <w:rFonts w:hint="eastAsia"/>
          <w:spacing w:val="-16"/>
          <w:sz w:val="44"/>
          <w:szCs w:val="44"/>
        </w:rPr>
        <w:t>统筹集约承诺书</w:t>
      </w:r>
    </w:p>
    <w:p>
      <w:pPr>
        <w:jc w:val="center"/>
        <w:rPr>
          <w:rFonts w:hint="eastAsia"/>
          <w:b/>
          <w:spacing w:val="-16"/>
        </w:rPr>
      </w:pPr>
    </w:p>
    <w:p>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pPr>
        <w:spacing w:line="560" w:lineRule="exact"/>
        <w:ind w:firstLine="480" w:firstLineChars="200"/>
        <w:rPr>
          <w:rFonts w:hint="eastAsia"/>
        </w:rPr>
      </w:pPr>
      <w:r>
        <w:rPr>
          <w:rFonts w:hint="eastAsia"/>
          <w:sz w:val="24"/>
          <w:szCs w:val="24"/>
        </w:rPr>
        <w:t>五、本人承诺系统基于气象大数据云平台统一软件开发服务环境，采用</w:t>
      </w:r>
      <w:r>
        <w:rPr>
          <w:rFonts w:hint="eastAsia"/>
          <w:sz w:val="24"/>
          <w:szCs w:val="24"/>
        </w:rPr>
        <w:t>“</w:t>
      </w:r>
      <w:r>
        <w:rPr>
          <w:rFonts w:hint="eastAsia"/>
          <w:sz w:val="24"/>
          <w:szCs w:val="24"/>
        </w:rPr>
        <w:t>云+端</w:t>
      </w:r>
      <w:r>
        <w:rPr>
          <w:rFonts w:hint="eastAsia"/>
          <w:sz w:val="24"/>
          <w:szCs w:val="24"/>
        </w:rPr>
        <w:t>”</w:t>
      </w:r>
      <w:r>
        <w:rPr>
          <w:rFonts w:hint="eastAsia"/>
          <w:sz w:val="24"/>
          <w:szCs w:val="24"/>
        </w:rPr>
        <w:t>架构、组件化方式设计，应当最大程度使用已有组件，已有组件不能满足需求的，按照组件统一技术标准规范新建或升级改造已有组件后使用；新建或改造的组件应进行登记备案，并纳入中心统一的组件资产库管理。</w:t>
      </w:r>
    </w:p>
    <w:p>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r>
        <w:rPr>
          <w:rFonts w:hint="eastAsia"/>
          <w:sz w:val="32"/>
          <w:szCs w:val="32"/>
        </w:rPr>
        <w:t>附件4</w:t>
      </w:r>
    </w:p>
    <w:tbl>
      <w:tblPr>
        <w:tblStyle w:val="TableNormal"/>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
      <w:tblGrid>
        <w:gridCol w:w="8431"/>
      </w:tblGrid>
      <w:tr>
        <w:tblPrEx>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Ex>
        <w:trPr>
          <w:trHeight w:val="12418"/>
          <w:jc w:val="center"/>
        </w:trPr>
        <w:tc>
          <w:tcPr>
            <w:tcW w:w="8431" w:type="dxa"/>
            <w:noWrap/>
          </w:tcPr>
          <w:p>
            <w:pPr>
              <w:pStyle w:val="PlainText"/>
              <w:snapToGrid w:val="0"/>
              <w:ind w:firstLine="4140" w:firstLineChars="2300"/>
              <w:rPr>
                <w:rFonts w:ascii="仿宋_GB2312" w:eastAsia="仿宋_GB2312" w:hint="eastAsia"/>
                <w:b/>
                <w:bCs/>
                <w:sz w:val="18"/>
                <w:szCs w:val="18"/>
              </w:rPr>
            </w:pPr>
            <w:r>
              <w:rPr>
                <w:rFonts w:ascii="仿宋_GB2312" w:eastAsia="仿宋_GB2312" w:hint="eastAsia"/>
                <w:b/>
                <w:bCs/>
                <w:sz w:val="18"/>
                <w:szCs w:val="18"/>
              </w:rPr>
              <w:t>供应方风险清单</w:t>
            </w:r>
          </w:p>
          <w:p>
            <w:pPr>
              <w:pStyle w:val="PlainText"/>
              <w:snapToGrid w:val="0"/>
              <w:rPr>
                <w:rFonts w:ascii="仿宋_GB2312" w:eastAsia="仿宋_GB2312" w:hint="eastAsia"/>
                <w:sz w:val="18"/>
                <w:szCs w:val="18"/>
              </w:rPr>
            </w:pPr>
            <w:r>
              <w:rPr>
                <w:rFonts w:ascii="仿宋_GB2312" w:eastAsia="仿宋_GB2312" w:hint="eastAsia"/>
                <w:b/>
                <w:bCs/>
                <w:sz w:val="18"/>
                <w:szCs w:val="18"/>
              </w:rPr>
              <w:t>一、供应方基本信息</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r>
              <w:rPr>
                <w:rFonts w:ascii="仿宋_GB2312" w:eastAsia="仿宋_GB2312" w:hint="eastAsia"/>
                <w:sz w:val="18"/>
                <w:szCs w:val="18"/>
                <w:lang w:val="en-US" w:eastAsia="zh-CN"/>
              </w:rPr>
              <w:t xml:space="preserve">       </w:t>
            </w:r>
            <w:r>
              <w:rPr>
                <w:rFonts w:ascii="仿宋_GB2312" w:eastAsia="仿宋_GB2312" w:hint="eastAsia"/>
                <w:b/>
                <w:bCs/>
                <w:sz w:val="18"/>
                <w:szCs w:val="18"/>
              </w:rPr>
              <w:t>项目</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详情</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供应方名称</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合作项目名称</w:t>
            </w:r>
          </w:p>
          <w:p>
            <w:pPr>
              <w:pStyle w:val="PlainText"/>
              <w:snapToGrid w:val="0"/>
              <w:rPr>
                <w:rFonts w:ascii="仿宋_GB2312" w:eastAsia="仿宋_GB2312" w:hint="eastAsia"/>
                <w:sz w:val="18"/>
                <w:szCs w:val="18"/>
              </w:rPr>
            </w:pPr>
            <w:r>
              <w:rPr>
                <w:rFonts w:ascii="仿宋_GB2312" w:eastAsia="仿宋_GB2312" w:hint="eastAsia"/>
                <w:b/>
                <w:bCs/>
                <w:sz w:val="18"/>
                <w:szCs w:val="18"/>
              </w:rPr>
              <w:t>项目起止时间</w:t>
            </w:r>
          </w:p>
          <w:p>
            <w:pPr>
              <w:pStyle w:val="PlainText"/>
              <w:snapToGrid w:val="0"/>
              <w:rPr>
                <w:rFonts w:ascii="仿宋_GB2312" w:eastAsia="仿宋_GB2312" w:hint="eastAsia"/>
                <w:sz w:val="18"/>
                <w:szCs w:val="18"/>
              </w:rPr>
            </w:pPr>
            <w:r>
              <w:rPr>
                <w:rFonts w:ascii="仿宋_GB2312" w:eastAsia="仿宋_GB2312" w:hint="eastAsia"/>
                <w:b/>
                <w:bCs/>
                <w:sz w:val="18"/>
                <w:szCs w:val="18"/>
              </w:rPr>
              <w:t>二、供应方工作内容</w:t>
            </w:r>
          </w:p>
          <w:p>
            <w:pPr>
              <w:pStyle w:val="PlainText"/>
              <w:snapToGrid w:val="0"/>
              <w:rPr>
                <w:rFonts w:ascii="仿宋_GB2312" w:eastAsia="仿宋_GB2312" w:hint="eastAsia"/>
                <w:sz w:val="18"/>
                <w:szCs w:val="18"/>
              </w:rPr>
            </w:pPr>
            <w:r>
              <w:rPr>
                <w:rFonts w:ascii="仿宋_GB2312" w:eastAsia="仿宋_GB2312" w:hint="eastAsia"/>
                <w:b/>
                <w:bCs/>
                <w:sz w:val="18"/>
                <w:szCs w:val="18"/>
              </w:rPr>
              <w:t>需求分析与设计</w:t>
            </w:r>
            <w:r>
              <w:rPr>
                <w:rFonts w:ascii="仿宋_GB2312" w:eastAsia="仿宋_GB2312" w:hint="eastAsia"/>
                <w:b/>
                <w:bCs/>
                <w:sz w:val="18"/>
                <w:szCs w:val="18"/>
                <w:lang w:val="en-US" w:eastAsia="zh-CN"/>
              </w:rPr>
              <w:t xml:space="preserve">                        </w:t>
            </w:r>
            <w:r>
              <w:rPr>
                <w:rFonts w:ascii="仿宋_GB2312" w:eastAsia="仿宋_GB2312" w:hint="eastAsia"/>
                <w:sz w:val="18"/>
                <w:szCs w:val="18"/>
              </w:rPr>
              <w:t>沟通收集需求，制定架构与技术路线。</w:t>
            </w:r>
          </w:p>
          <w:p>
            <w:pPr>
              <w:pStyle w:val="PlainText"/>
              <w:snapToGrid w:val="0"/>
              <w:rPr>
                <w:rFonts w:ascii="仿宋_GB2312" w:eastAsia="仿宋_GB2312" w:hint="eastAsia"/>
                <w:sz w:val="18"/>
                <w:szCs w:val="18"/>
              </w:rPr>
            </w:pPr>
            <w:r>
              <w:rPr>
                <w:rFonts w:ascii="仿宋_GB2312" w:eastAsia="仿宋_GB2312" w:hint="eastAsia"/>
                <w:b/>
                <w:bCs/>
                <w:sz w:val="18"/>
                <w:szCs w:val="18"/>
              </w:rPr>
              <w:t>开发阶段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按规范写代码、做单元测试、集成系统。</w:t>
            </w:r>
          </w:p>
          <w:p>
            <w:pPr>
              <w:pStyle w:val="PlainText"/>
              <w:snapToGrid w:val="0"/>
              <w:rPr>
                <w:rFonts w:ascii="仿宋_GB2312" w:eastAsia="仿宋_GB2312" w:hint="eastAsia"/>
                <w:sz w:val="18"/>
                <w:szCs w:val="18"/>
              </w:rPr>
            </w:pPr>
            <w:r>
              <w:rPr>
                <w:rFonts w:ascii="仿宋_GB2312" w:eastAsia="仿宋_GB2312" w:hint="eastAsia"/>
                <w:b/>
                <w:bCs/>
                <w:sz w:val="18"/>
                <w:szCs w:val="18"/>
              </w:rPr>
              <w:t>测试阶段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主导集成与协助验收、性能测试。</w:t>
            </w:r>
          </w:p>
          <w:p>
            <w:pPr>
              <w:pStyle w:val="PlainText"/>
              <w:snapToGrid w:val="0"/>
              <w:rPr>
                <w:rFonts w:ascii="仿宋_GB2312" w:eastAsia="仿宋_GB2312" w:hint="eastAsia"/>
                <w:sz w:val="18"/>
                <w:szCs w:val="18"/>
              </w:rPr>
            </w:pPr>
            <w:r>
              <w:rPr>
                <w:rFonts w:ascii="仿宋_GB2312" w:eastAsia="仿宋_GB2312" w:hint="eastAsia"/>
                <w:b/>
                <w:bCs/>
                <w:sz w:val="18"/>
                <w:szCs w:val="18"/>
              </w:rPr>
              <w:t>上线维护</w:t>
            </w:r>
            <w:r>
              <w:rPr>
                <w:rFonts w:ascii="仿宋_GB2312" w:eastAsia="仿宋_GB2312" w:hint="eastAsia"/>
                <w:b/>
                <w:bCs/>
                <w:sz w:val="18"/>
                <w:szCs w:val="18"/>
                <w:lang w:val="en-US" w:eastAsia="zh-CN"/>
              </w:rPr>
              <w:t xml:space="preserve">                                 </w:t>
            </w:r>
            <w:r>
              <w:rPr>
                <w:rFonts w:ascii="仿宋_GB2312" w:eastAsia="仿宋_GB2312" w:hint="eastAsia"/>
                <w:sz w:val="18"/>
                <w:szCs w:val="18"/>
              </w:rPr>
              <w:t>部署软件，提供运维与安全保障。</w:t>
            </w:r>
          </w:p>
          <w:p>
            <w:pPr>
              <w:pStyle w:val="PlainText"/>
              <w:snapToGrid w:val="0"/>
              <w:rPr>
                <w:rFonts w:ascii="仿宋_GB2312" w:eastAsia="仿宋_GB2312" w:hint="eastAsia"/>
                <w:sz w:val="18"/>
                <w:szCs w:val="18"/>
              </w:rPr>
            </w:pPr>
            <w:r>
              <w:rPr>
                <w:rFonts w:ascii="仿宋_GB2312" w:eastAsia="仿宋_GB2312" w:hint="eastAsia"/>
                <w:b/>
                <w:bCs/>
                <w:sz w:val="18"/>
                <w:szCs w:val="18"/>
              </w:rPr>
              <w:t>二、产品类别</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（具体领域说明）</w:t>
            </w:r>
          </w:p>
          <w:p>
            <w:pPr>
              <w:pStyle w:val="PlainText"/>
              <w:snapToGrid w:val="0"/>
              <w:rPr>
                <w:rFonts w:ascii="仿宋_GB2312" w:eastAsia="仿宋_GB2312" w:hint="eastAsia"/>
                <w:sz w:val="18"/>
                <w:szCs w:val="18"/>
              </w:rPr>
            </w:pPr>
            <w:r>
              <w:rPr>
                <w:rFonts w:ascii="仿宋_GB2312" w:eastAsia="仿宋_GB2312" w:hint="eastAsia"/>
                <w:b/>
                <w:bCs/>
                <w:sz w:val="18"/>
                <w:szCs w:val="18"/>
              </w:rPr>
              <w:t>三、产品来源</w:t>
            </w:r>
          </w:p>
          <w:p>
            <w:pPr>
              <w:pStyle w:val="PlainText"/>
              <w:snapToGrid w:val="0"/>
              <w:rPr>
                <w:rFonts w:ascii="仿宋_GB2312" w:eastAsia="仿宋_GB2312" w:hint="eastAsia"/>
                <w:sz w:val="18"/>
                <w:szCs w:val="18"/>
              </w:rPr>
            </w:pPr>
            <w:r>
              <w:rPr>
                <w:rFonts w:ascii="仿宋_GB2312" w:eastAsia="仿宋_GB2312" w:hint="eastAsia"/>
                <w:sz w:val="18"/>
                <w:szCs w:val="18"/>
              </w:rPr>
              <w:t>（是否自研、代理、开源整合情况和团队情况）</w:t>
            </w:r>
          </w:p>
          <w:p>
            <w:pPr>
              <w:pStyle w:val="PlainText"/>
              <w:numPr>
                <w:ilvl w:val="0"/>
                <w:numId w:val="52"/>
              </w:numPr>
              <w:snapToGrid w:val="0"/>
              <w:rPr>
                <w:rFonts w:ascii="仿宋_GB2312" w:eastAsia="仿宋_GB2312" w:hint="eastAsia"/>
                <w:b/>
                <w:bCs/>
                <w:sz w:val="18"/>
                <w:szCs w:val="18"/>
                <w:lang w:val="en-US"/>
              </w:rPr>
            </w:pPr>
            <w:r>
              <w:rPr>
                <w:rFonts w:ascii="仿宋_GB2312" w:eastAsia="仿宋_GB2312" w:hint="eastAsia"/>
                <w:b/>
                <w:bCs/>
                <w:sz w:val="18"/>
                <w:szCs w:val="18"/>
                <w:lang w:val="en-US" w:eastAsia="zh-CN"/>
              </w:rPr>
              <w:t>团队情况</w:t>
            </w:r>
          </w:p>
          <w:p>
            <w:pPr>
              <w:pStyle w:val="PlainText"/>
              <w:numPr>
                <w:ilvl w:val="0"/>
                <w:numId w:val="0"/>
              </w:numPr>
              <w:snapToGrid w:val="0"/>
              <w:rPr>
                <w:rFonts w:ascii="仿宋_GB2312" w:eastAsia="仿宋_GB2312" w:hint="eastAsia"/>
                <w:sz w:val="18"/>
                <w:szCs w:val="18"/>
              </w:rPr>
            </w:pPr>
            <w:r>
              <w:rPr>
                <w:rFonts w:ascii="仿宋_GB2312" w:eastAsia="仿宋_GB2312" w:hint="eastAsia"/>
                <w:b/>
                <w:bCs/>
                <w:sz w:val="18"/>
                <w:szCs w:val="18"/>
              </w:rPr>
              <w:t>五、产品功能</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产品名称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核心功能描述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辅助功能描述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功能完整性评估</w:t>
            </w:r>
          </w:p>
          <w:p>
            <w:pPr>
              <w:pStyle w:val="PlainText"/>
              <w:snapToGrid w:val="0"/>
              <w:rPr>
                <w:rFonts w:ascii="仿宋_GB2312" w:eastAsia="仿宋_GB2312" w:hint="eastAsia"/>
                <w:sz w:val="18"/>
                <w:szCs w:val="18"/>
              </w:rPr>
            </w:pPr>
            <w:r>
              <w:rPr>
                <w:rFonts w:ascii="仿宋_GB2312" w:eastAsia="仿宋_GB2312" w:hint="eastAsia"/>
                <w:sz w:val="18"/>
                <w:szCs w:val="18"/>
              </w:rPr>
              <w:t>[产品 1]</w:t>
            </w:r>
          </w:p>
          <w:p>
            <w:pPr>
              <w:pStyle w:val="PlainText"/>
              <w:snapToGrid w:val="0"/>
              <w:rPr>
                <w:rFonts w:ascii="仿宋_GB2312" w:eastAsia="仿宋_GB2312" w:hint="eastAsia"/>
                <w:sz w:val="18"/>
                <w:szCs w:val="18"/>
              </w:rPr>
            </w:pPr>
            <w:r>
              <w:rPr>
                <w:rFonts w:ascii="仿宋_GB2312" w:eastAsia="仿宋_GB2312" w:hint="eastAsia"/>
                <w:sz w:val="18"/>
                <w:szCs w:val="18"/>
              </w:rPr>
              <w:t>[产品 2]</w:t>
            </w:r>
          </w:p>
          <w:p>
            <w:pPr>
              <w:pStyle w:val="PlainText"/>
              <w:snapToGrid w:val="0"/>
              <w:rPr>
                <w:rFonts w:ascii="仿宋_GB2312" w:eastAsia="仿宋_GB2312" w:hint="eastAsia"/>
                <w:sz w:val="18"/>
                <w:szCs w:val="18"/>
              </w:rPr>
            </w:pPr>
            <w:r>
              <w:rPr>
                <w:rFonts w:ascii="仿宋_GB2312" w:eastAsia="仿宋_GB2312" w:hint="eastAsia"/>
                <w:b/>
                <w:bCs/>
                <w:sz w:val="18"/>
                <w:szCs w:val="18"/>
              </w:rPr>
              <w:t>六、产品成熟度</w:t>
            </w:r>
          </w:p>
          <w:p>
            <w:pPr>
              <w:pStyle w:val="PlainText"/>
              <w:snapToGrid w:val="0"/>
              <w:rPr>
                <w:rFonts w:ascii="仿宋_GB2312" w:eastAsia="仿宋_GB2312" w:hint="eastAsia"/>
                <w:sz w:val="18"/>
                <w:szCs w:val="18"/>
              </w:rPr>
            </w:pPr>
            <w:r>
              <w:rPr>
                <w:rFonts w:ascii="仿宋_GB2312" w:eastAsia="仿宋_GB2312" w:hint="eastAsia"/>
                <w:sz w:val="18"/>
                <w:szCs w:val="18"/>
              </w:rPr>
              <w:t>（是否正式商用、应用数量、反馈情况）</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七、软件开发语言</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八、源代码</w:t>
            </w:r>
          </w:p>
          <w:p>
            <w:pPr>
              <w:pStyle w:val="PlainText"/>
              <w:snapToGrid w:val="0"/>
              <w:rPr>
                <w:rFonts w:ascii="仿宋_GB2312" w:eastAsia="仿宋_GB2312" w:hint="eastAsia"/>
                <w:sz w:val="18"/>
                <w:szCs w:val="18"/>
              </w:rPr>
            </w:pPr>
            <w:r>
              <w:rPr>
                <w:rFonts w:ascii="仿宋_GB2312" w:eastAsia="仿宋_GB2312" w:hint="eastAsia"/>
                <w:sz w:val="18"/>
                <w:szCs w:val="18"/>
              </w:rPr>
              <w:t>（是否开放 、管理情况、 有无审计机制）</w:t>
            </w:r>
          </w:p>
          <w:p>
            <w:pPr>
              <w:pStyle w:val="PlainText"/>
              <w:snapToGrid w:val="0"/>
              <w:rPr>
                <w:rFonts w:ascii="仿宋_GB2312" w:eastAsia="仿宋_GB2312" w:hint="eastAsia"/>
                <w:sz w:val="18"/>
                <w:szCs w:val="18"/>
              </w:rPr>
            </w:pPr>
            <w:r>
              <w:rPr>
                <w:rFonts w:ascii="仿宋_GB2312" w:eastAsia="仿宋_GB2312" w:hint="eastAsia"/>
                <w:b/>
                <w:bCs/>
                <w:sz w:val="18"/>
                <w:szCs w:val="18"/>
              </w:rPr>
              <w:t>九、信息安全方面风险隐患</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序号</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类别</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具体风险</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等级</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应对建议</w:t>
            </w:r>
          </w:p>
          <w:p>
            <w:pPr>
              <w:pStyle w:val="PlainText"/>
              <w:snapToGrid w:val="0"/>
              <w:rPr>
                <w:rFonts w:ascii="仿宋_GB2312" w:eastAsia="仿宋_GB2312" w:hint="eastAsia"/>
                <w:sz w:val="18"/>
                <w:szCs w:val="18"/>
              </w:rPr>
            </w:pPr>
            <w:r>
              <w:rPr>
                <w:rFonts w:ascii="仿宋_GB2312" w:eastAsia="仿宋_GB2312" w:hint="eastAsia"/>
                <w:sz w:val="18"/>
                <w:szCs w:val="18"/>
              </w:rPr>
              <w:t>1</w:t>
            </w:r>
            <w:r>
              <w:rPr>
                <w:rFonts w:ascii="仿宋_GB2312" w:eastAsia="仿宋_GB2312" w:hint="eastAsia"/>
                <w:sz w:val="18"/>
                <w:szCs w:val="18"/>
                <w:lang w:val="en-US" w:eastAsia="zh-CN"/>
              </w:rPr>
              <w:t xml:space="preserve">                      </w:t>
            </w:r>
            <w:r>
              <w:rPr>
                <w:rFonts w:ascii="仿宋_GB2312" w:eastAsia="仿宋_GB2312" w:hint="eastAsia"/>
                <w:sz w:val="18"/>
                <w:szCs w:val="18"/>
              </w:rPr>
              <w:t>代码漏洞</w:t>
            </w:r>
          </w:p>
          <w:p>
            <w:pPr>
              <w:pStyle w:val="PlainText"/>
              <w:snapToGrid w:val="0"/>
              <w:rPr>
                <w:rFonts w:ascii="仿宋_GB2312" w:eastAsia="仿宋_GB2312" w:hint="eastAsia"/>
                <w:sz w:val="18"/>
                <w:szCs w:val="18"/>
              </w:rPr>
            </w:pPr>
            <w:r>
              <w:rPr>
                <w:rFonts w:ascii="仿宋_GB2312" w:eastAsia="仿宋_GB2312" w:hint="eastAsia"/>
                <w:sz w:val="18"/>
                <w:szCs w:val="18"/>
              </w:rPr>
              <w:t>2</w:t>
            </w:r>
            <w:r>
              <w:rPr>
                <w:rFonts w:ascii="仿宋_GB2312" w:eastAsia="仿宋_GB2312" w:hint="eastAsia"/>
                <w:sz w:val="18"/>
                <w:szCs w:val="18"/>
                <w:lang w:val="en-US" w:eastAsia="zh-CN"/>
              </w:rPr>
              <w:t xml:space="preserve">                      </w:t>
            </w:r>
            <w:r>
              <w:rPr>
                <w:rFonts w:ascii="仿宋_GB2312" w:eastAsia="仿宋_GB2312" w:hint="eastAsia"/>
                <w:sz w:val="18"/>
                <w:szCs w:val="18"/>
              </w:rPr>
              <w:t>数据泄露</w:t>
            </w:r>
          </w:p>
          <w:p>
            <w:pPr>
              <w:pStyle w:val="PlainText"/>
              <w:snapToGrid w:val="0"/>
              <w:rPr>
                <w:rFonts w:ascii="仿宋_GB2312" w:eastAsia="仿宋_GB2312" w:hint="eastAsia"/>
                <w:sz w:val="18"/>
                <w:szCs w:val="18"/>
              </w:rPr>
            </w:pPr>
            <w:r>
              <w:rPr>
                <w:rFonts w:ascii="仿宋_GB2312" w:eastAsia="仿宋_GB2312" w:hint="eastAsia"/>
                <w:sz w:val="18"/>
                <w:szCs w:val="18"/>
              </w:rPr>
              <w:t>3</w:t>
            </w:r>
            <w:r>
              <w:rPr>
                <w:rFonts w:ascii="仿宋_GB2312" w:eastAsia="仿宋_GB2312" w:hint="eastAsia"/>
                <w:sz w:val="18"/>
                <w:szCs w:val="18"/>
                <w:lang w:val="en-US" w:eastAsia="zh-CN"/>
              </w:rPr>
              <w:t xml:space="preserve">                      </w:t>
            </w:r>
            <w:r>
              <w:rPr>
                <w:rFonts w:ascii="仿宋_GB2312" w:eastAsia="仿宋_GB2312" w:hint="eastAsia"/>
                <w:sz w:val="18"/>
                <w:szCs w:val="18"/>
              </w:rPr>
              <w:t>外部攻击</w:t>
            </w:r>
          </w:p>
          <w:p>
            <w:pPr>
              <w:pStyle w:val="PlainText"/>
              <w:snapToGrid w:val="0"/>
              <w:rPr>
                <w:rFonts w:ascii="仿宋_GB2312" w:eastAsia="仿宋_GB2312" w:hint="eastAsia"/>
                <w:sz w:val="18"/>
                <w:szCs w:val="18"/>
              </w:rPr>
            </w:pPr>
            <w:r>
              <w:rPr>
                <w:rFonts w:ascii="仿宋_GB2312" w:eastAsia="仿宋_GB2312" w:hint="eastAsia"/>
                <w:sz w:val="18"/>
                <w:szCs w:val="18"/>
              </w:rPr>
              <w:t>4</w:t>
            </w:r>
            <w:r>
              <w:rPr>
                <w:rFonts w:ascii="仿宋_GB2312" w:eastAsia="仿宋_GB2312" w:hint="eastAsia"/>
                <w:sz w:val="18"/>
                <w:szCs w:val="18"/>
                <w:lang w:val="en-US" w:eastAsia="zh-CN"/>
              </w:rPr>
              <w:t xml:space="preserve">                      </w:t>
            </w:r>
            <w:r>
              <w:rPr>
                <w:rFonts w:ascii="仿宋_GB2312" w:eastAsia="仿宋_GB2312" w:hint="eastAsia"/>
                <w:sz w:val="18"/>
                <w:szCs w:val="18"/>
              </w:rPr>
              <w:t>人员权限</w:t>
            </w:r>
          </w:p>
          <w:p>
            <w:pPr>
              <w:pStyle w:val="PlainText"/>
              <w:snapToGrid w:val="0"/>
              <w:rPr>
                <w:rFonts w:ascii="仿宋_GB2312" w:eastAsia="仿宋_GB2312" w:hint="eastAsia"/>
                <w:sz w:val="18"/>
                <w:szCs w:val="18"/>
              </w:rPr>
            </w:pPr>
            <w:r>
              <w:rPr>
                <w:rFonts w:ascii="仿宋_GB2312" w:eastAsia="仿宋_GB2312" w:hint="eastAsia"/>
                <w:sz w:val="18"/>
                <w:szCs w:val="18"/>
              </w:rPr>
              <w:t>5</w:t>
            </w:r>
            <w:r>
              <w:rPr>
                <w:rFonts w:ascii="仿宋_GB2312" w:eastAsia="仿宋_GB2312" w:hint="eastAsia"/>
                <w:sz w:val="18"/>
                <w:szCs w:val="18"/>
                <w:lang w:val="en-US" w:eastAsia="zh-CN"/>
              </w:rPr>
              <w:t xml:space="preserve">                      </w:t>
            </w:r>
            <w:r>
              <w:rPr>
                <w:rFonts w:ascii="仿宋_GB2312" w:eastAsia="仿宋_GB2312" w:hint="eastAsia"/>
                <w:sz w:val="18"/>
                <w:szCs w:val="18"/>
              </w:rPr>
              <w:t>第三方组件</w:t>
            </w:r>
          </w:p>
        </w:tc>
      </w:tr>
    </w:tbl>
    <w:p>
      <w:pPr>
        <w:pStyle w:val="PlainText"/>
        <w:rPr>
          <w:rFonts w:hint="eastAsia"/>
        </w:rPr>
      </w:pPr>
    </w:p>
    <w:p>
      <w:pPr>
        <w:rPr>
          <w:rFonts w:ascii="黑体" w:eastAsia="黑体" w:hAnsi="黑体" w:cs="黑体" w:hint="eastAsia"/>
          <w:sz w:val="32"/>
          <w:szCs w:val="32"/>
        </w:rPr>
        <w:sectPr>
          <w:footerReference w:type="default" r:id="rId22"/>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rPr>
          <w:rFonts w:hint="eastAsia"/>
          <w:sz w:val="32"/>
          <w:szCs w:val="32"/>
        </w:rPr>
      </w:pPr>
      <w:r>
        <w:rPr>
          <w:rFonts w:hint="eastAsia"/>
          <w:sz w:val="32"/>
          <w:szCs w:val="32"/>
          <w:lang w:val="en-US" w:eastAsia="zh-CN"/>
        </w:rPr>
        <w:t>附件5</w:t>
      </w:r>
    </w:p>
    <w:tbl>
      <w:tblPr>
        <w:tblStyle w:val="TableNormal"/>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046"/>
      </w:tblGrid>
      <w:tr>
        <w:tblPrEx>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7373"/>
        </w:trPr>
        <w:tc>
          <w:tcPr>
            <w:tcW w:w="5000" w:type="pct"/>
            <w:noWrap/>
          </w:tcPr>
          <w:p>
            <w:pPr>
              <w:pStyle w:val="BodyText"/>
              <w:spacing w:before="7" w:line="240" w:lineRule="exact"/>
              <w:ind w:firstLine="5600" w:firstLineChars="3500"/>
              <w:rPr>
                <w:rFonts w:ascii="仿宋_GB2312" w:eastAsia="仿宋_GB2312" w:hAnsi="黑体" w:cs="黑体" w:hint="eastAsia"/>
                <w:b/>
                <w:bCs/>
                <w:sz w:val="16"/>
                <w:szCs w:val="16"/>
              </w:rPr>
            </w:pPr>
            <w:r>
              <w:rPr>
                <w:rFonts w:ascii="仿宋_GB2312" w:eastAsia="仿宋_GB2312" w:hAnsi="黑体" w:cs="黑体" w:hint="eastAsia"/>
                <w:b/>
                <w:bCs/>
                <w:sz w:val="16"/>
                <w:szCs w:val="16"/>
              </w:rPr>
              <w:t>产品风险清单</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一、产品基本信息</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960" w:firstLineChars="600"/>
              <w:rPr>
                <w:rFonts w:ascii="仿宋_GB2312" w:eastAsia="仿宋_GB2312" w:hAnsi="黑体" w:cs="黑体" w:hint="eastAsia"/>
                <w:sz w:val="16"/>
                <w:szCs w:val="16"/>
              </w:rPr>
            </w:pPr>
            <w:r>
              <w:rPr>
                <w:rFonts w:ascii="仿宋_GB2312" w:eastAsia="仿宋_GB2312" w:hAnsi="黑体" w:cs="黑体" w:hint="eastAsia"/>
                <w:b/>
                <w:bCs/>
                <w:sz w:val="16"/>
                <w:szCs w:val="16"/>
              </w:rPr>
              <w:t>产品名称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[具体产品名]</w:t>
            </w:r>
          </w:p>
          <w:p>
            <w:pPr>
              <w:pStyle w:val="BodyText"/>
              <w:spacing w:before="7" w:line="240" w:lineRule="exact"/>
              <w:ind w:firstLine="1120" w:firstLineChars="700"/>
              <w:rPr>
                <w:rFonts w:ascii="仿宋_GB2312" w:eastAsia="仿宋_GB2312" w:hAnsi="黑体" w:cs="黑体" w:hint="eastAsia"/>
                <w:sz w:val="16"/>
                <w:szCs w:val="16"/>
              </w:rPr>
            </w:pPr>
            <w:r>
              <w:rPr>
                <w:rFonts w:ascii="仿宋_GB2312" w:eastAsia="仿宋_GB2312" w:hAnsi="黑体" w:cs="黑体" w:hint="eastAsia"/>
                <w:sz w:val="16"/>
                <w:szCs w:val="16"/>
              </w:rPr>
              <w:t>产品类型</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 xml:space="preserve">软件 </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二、软件信息及相关风险</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（一）软件设备</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320" w:firstLineChars="200"/>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软件名</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厂商</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版本</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信息</w:t>
            </w:r>
            <w:r>
              <w:rPr>
                <w:rFonts w:ascii="仿宋_GB2312" w:eastAsia="仿宋_GB2312" w:hAnsi="黑体" w:cs="黑体" w:hint="eastAsia"/>
                <w:b/>
                <w:bCs/>
                <w:sz w:val="16"/>
                <w:szCs w:val="16"/>
                <w:lang w:val="en-US" w:eastAsia="zh-CN"/>
              </w:rPr>
              <w:t xml:space="preserve">回传          </w:t>
            </w:r>
            <w:r>
              <w:rPr>
                <w:rFonts w:ascii="仿宋_GB2312" w:eastAsia="仿宋_GB2312" w:hAnsi="黑体" w:cs="黑体" w:hint="eastAsia"/>
                <w:b/>
                <w:bCs/>
                <w:sz w:val="16"/>
                <w:szCs w:val="16"/>
              </w:rPr>
              <w:t>回传内容</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远程控制</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代码审计风险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组件检查风险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安全测试风险</w:t>
            </w: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1</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操作系统</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[微软等]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系统报错、性能数据等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权限、内存泄漏等漏洞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第三方组件漏洞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多用户并发等异常</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2</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数据库</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[甲骨文等]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连接、性能指标等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注入、数据篡改风险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组件数据一致性等问题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查询性能、认证问题</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3</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业务软件</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[开发方]</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[版本]</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操作记录等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输入校验、逻辑漏洞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前端、API 接口风险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高并发、权限问题</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三、综合风险评估与建议</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等级</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风险概述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建议措施</w:t>
            </w:r>
          </w:p>
          <w:p>
            <w:pPr>
              <w:pStyle w:val="BodyText"/>
              <w:spacing w:before="7" w:line="240" w:lineRule="exact"/>
              <w:ind w:left="5440" w:hanging="5440" w:hangingChars="3400"/>
              <w:rPr>
                <w:rFonts w:ascii="仿宋_GB2312" w:eastAsia="仿宋_GB2312" w:hAnsi="黑体" w:cs="黑体" w:hint="eastAsia"/>
                <w:sz w:val="16"/>
                <w:szCs w:val="16"/>
              </w:rPr>
            </w:pPr>
          </w:p>
          <w:p>
            <w:pPr>
              <w:pStyle w:val="BodyText"/>
              <w:spacing w:before="7" w:line="240" w:lineRule="exact"/>
              <w:ind w:left="5440" w:hanging="5440" w:hangingChars="3400"/>
              <w:rPr>
                <w:rFonts w:ascii="仿宋_GB2312" w:eastAsia="仿宋_GB2312" w:hAnsi="黑体" w:cs="黑体" w:hint="eastAsia"/>
                <w:sz w:val="16"/>
                <w:szCs w:val="16"/>
              </w:rPr>
            </w:pPr>
            <w:r>
              <w:rPr>
                <w:rFonts w:ascii="仿宋_GB2312" w:eastAsia="仿宋_GB2312" w:hAnsi="黑体" w:cs="黑体" w:hint="eastAsia"/>
                <w:sz w:val="16"/>
                <w:szCs w:val="16"/>
              </w:rPr>
              <w:t>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多关键安全漏洞，影响业务、数据安全与稳定</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督促更新，加强防护，完善软件安全机制，审核回传内容，制定应急预案</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中</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有一定风险，积累或遇攻击有严重后果</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关注公告更新，审计代码，强化权限管理，处理回传信息</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低</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少量低风险隐患及小性能问题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关注动态，适时检查更新，持续优化产品</w:t>
            </w:r>
          </w:p>
        </w:tc>
      </w:tr>
    </w:tbl>
    <w:p>
      <w:pPr>
        <w:pStyle w:val="BodyText"/>
        <w:spacing w:before="7"/>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附件6</w:t>
      </w:r>
    </w:p>
    <w:tbl>
      <w:tblPr>
        <w:tblStyle w:val="TableNormal"/>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
      <w:tblGrid>
        <w:gridCol w:w="1685"/>
        <w:gridCol w:w="3090"/>
        <w:gridCol w:w="4128"/>
        <w:gridCol w:w="3429"/>
      </w:tblGrid>
      <w:tr>
        <w:tblPrEx>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ind w:firstLine="3040" w:firstLineChars="1900"/>
              <w:rPr>
                <w:rFonts w:ascii="仿宋_GB2312" w:eastAsia="仿宋_GB2312" w:hAnsi="黑体" w:cs="黑体" w:hint="eastAsia"/>
                <w:b/>
                <w:bCs/>
                <w:sz w:val="16"/>
                <w:szCs w:val="16"/>
              </w:rPr>
            </w:pPr>
            <w:r>
              <w:rPr>
                <w:rFonts w:ascii="仿宋_GB2312" w:eastAsia="仿宋_GB2312" w:hAnsi="黑体" w:cs="黑体" w:hint="eastAsia"/>
                <w:b/>
                <w:bCs/>
                <w:sz w:val="16"/>
                <w:szCs w:val="16"/>
              </w:rPr>
              <w:t>人工智能模型风险清单</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一、产品基本信息</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系统名称</w:t>
            </w:r>
          </w:p>
        </w:tc>
        <w:tc>
          <w:tcPr>
            <w:tcW w:w="3090"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包含人工智能名称</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3090"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二、相关风险评估与建议</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p>
        </w:tc>
        <w:tc>
          <w:tcPr>
            <w:tcW w:w="3090"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风险项</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风险概述</w:t>
            </w:r>
          </w:p>
        </w:tc>
        <w:tc>
          <w:tcPr>
            <w:tcW w:w="3429"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建议措施</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（一）训练数据安全风险</w:t>
            </w:r>
          </w:p>
        </w:tc>
        <w:tc>
          <w:tcPr>
            <w:tcW w:w="4128"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line="240" w:lineRule="auto"/>
              <w:rPr>
                <w:rFonts w:ascii="仿宋_GB2312" w:eastAsia="仿宋_GB2312" w:hAnsi="黑体" w:cs="黑体" w:hint="eastAsia"/>
                <w:sz w:val="16"/>
                <w:szCs w:val="16"/>
              </w:rPr>
            </w:pPr>
            <w:r>
              <w:rPr>
                <w:rFonts w:ascii="仿宋_GB2312" w:eastAsia="仿宋_GB2312" w:hAnsi="黑体" w:cs="黑体" w:hint="eastAsia"/>
                <w:sz w:val="16"/>
                <w:szCs w:val="16"/>
              </w:rPr>
              <w:t>数据投毒风险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恶意篡改训练数据导致模型输出偏差</w:t>
            </w:r>
            <w:r>
              <w:rPr>
                <w:rFonts w:ascii="仿宋_GB2312" w:eastAsia="仿宋_GB2312" w:hAnsi="黑体" w:cs="黑体" w:hint="eastAsia"/>
                <w:sz w:val="16"/>
                <w:szCs w:val="16"/>
              </w:rPr>
              <w:br/>
            </w:r>
            <w:r>
              <w:rPr>
                <w:rFonts w:ascii="仿宋_GB2312" w:eastAsia="仿宋_GB2312" w:hAnsi="黑体" w:cs="黑体" w:hint="eastAsia"/>
                <w:sz w:val="16"/>
                <w:szCs w:val="16"/>
              </w:rPr>
              <w:t>污染数据可增加有害输出</w:t>
            </w:r>
            <w:r>
              <w:rPr>
                <w:rFonts w:ascii="仿宋_GB2312" w:eastAsia="仿宋_GB2312" w:hAnsi="黑体" w:cs="黑体" w:hint="eastAsia"/>
                <w:sz w:val="16"/>
                <w:szCs w:val="16"/>
              </w:rPr>
              <w:br/>
            </w:r>
            <w:r>
              <w:rPr>
                <w:rFonts w:ascii="仿宋_GB2312" w:eastAsia="仿宋_GB2312" w:hAnsi="黑体" w:cs="黑体" w:hint="eastAsia"/>
                <w:sz w:val="16"/>
                <w:szCs w:val="16"/>
              </w:rPr>
              <w:t>递归污染形成错误信息累积</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数据清洗与去噪技术</w:t>
            </w:r>
            <w:r>
              <w:rPr>
                <w:rFonts w:ascii="仿宋_GB2312" w:eastAsia="仿宋_GB2312" w:hAnsi="黑体" w:cs="黑体" w:hint="eastAsia"/>
                <w:sz w:val="16"/>
                <w:szCs w:val="16"/>
              </w:rPr>
              <w:br/>
            </w:r>
            <w:r>
              <w:rPr>
                <w:rFonts w:ascii="仿宋_GB2312" w:eastAsia="仿宋_GB2312" w:hAnsi="黑体" w:cs="黑体" w:hint="eastAsia"/>
                <w:sz w:val="16"/>
                <w:szCs w:val="16"/>
              </w:rPr>
              <w:t>对抗训练增强鲁棒性</w:t>
            </w:r>
            <w:r>
              <w:rPr>
                <w:rFonts w:ascii="仿宋_GB2312" w:eastAsia="仿宋_GB2312" w:hAnsi="黑体" w:cs="黑体" w:hint="eastAsia"/>
                <w:sz w:val="16"/>
                <w:szCs w:val="16"/>
              </w:rPr>
              <w:br/>
            </w:r>
            <w:r>
              <w:rPr>
                <w:rFonts w:ascii="仿宋_GB2312" w:eastAsia="仿宋_GB2312" w:hAnsi="黑体" w:cs="黑体" w:hint="eastAsia"/>
                <w:sz w:val="16"/>
                <w:szCs w:val="16"/>
              </w:rPr>
              <w:t>输入净化预处理</w:t>
            </w:r>
            <w:r>
              <w:rPr>
                <w:rFonts w:ascii="仿宋_GB2312" w:eastAsia="仿宋_GB2312" w:hAnsi="黑体" w:cs="黑体" w:hint="eastAsia"/>
                <w:sz w:val="16"/>
                <w:szCs w:val="16"/>
              </w:rPr>
              <w:br/>
            </w:r>
            <w:r>
              <w:rPr>
                <w:rFonts w:ascii="仿宋_GB2312" w:eastAsia="仿宋_GB2312" w:hAnsi="黑体" w:cs="黑体" w:hint="eastAsia"/>
                <w:sz w:val="16"/>
                <w:szCs w:val="16"/>
              </w:rPr>
              <w:t>递归污染监测机制</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隐私泄露风险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成员推断攻击反推训练数据</w:t>
            </w:r>
            <w:r>
              <w:rPr>
                <w:rFonts w:ascii="仿宋_GB2312" w:eastAsia="仿宋_GB2312" w:hAnsi="黑体" w:cs="黑体" w:hint="eastAsia"/>
                <w:sz w:val="16"/>
                <w:szCs w:val="16"/>
              </w:rPr>
              <w:br/>
            </w:r>
            <w:r>
              <w:rPr>
                <w:rFonts w:ascii="仿宋_GB2312" w:eastAsia="仿宋_GB2312" w:hAnsi="黑体" w:cs="黑体" w:hint="eastAsia"/>
                <w:sz w:val="16"/>
                <w:szCs w:val="16"/>
              </w:rPr>
              <w:t>多模态数据中生物特征泄露</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同态加密与联邦学习</w:t>
            </w:r>
            <w:r>
              <w:rPr>
                <w:rFonts w:ascii="仿宋_GB2312" w:eastAsia="仿宋_GB2312" w:hAnsi="黑体" w:cs="黑体" w:hint="eastAsia"/>
                <w:sz w:val="16"/>
                <w:szCs w:val="16"/>
              </w:rPr>
              <w:br/>
            </w:r>
            <w:r>
              <w:rPr>
                <w:rFonts w:ascii="仿宋_GB2312" w:eastAsia="仿宋_GB2312" w:hAnsi="黑体" w:cs="黑体" w:hint="eastAsia"/>
                <w:sz w:val="16"/>
                <w:szCs w:val="16"/>
              </w:rPr>
              <w:t>动态访问控制</w:t>
            </w:r>
            <w:r>
              <w:rPr>
                <w:rFonts w:ascii="仿宋_GB2312" w:eastAsia="仿宋_GB2312" w:hAnsi="黑体" w:cs="黑体" w:hint="eastAsia"/>
                <w:sz w:val="16"/>
                <w:szCs w:val="16"/>
              </w:rPr>
              <w:br/>
            </w:r>
            <w:r>
              <w:rPr>
                <w:rFonts w:ascii="仿宋_GB2312" w:eastAsia="仿宋_GB2312" w:hAnsi="黑体" w:cs="黑体" w:hint="eastAsia"/>
                <w:sz w:val="16"/>
                <w:szCs w:val="16"/>
              </w:rPr>
              <w:t>数据生命周期管理</w:t>
            </w:r>
            <w:r>
              <w:rPr>
                <w:rFonts w:ascii="仿宋_GB2312" w:eastAsia="仿宋_GB2312" w:hAnsi="黑体" w:cs="黑体" w:hint="eastAsia"/>
                <w:sz w:val="16"/>
                <w:szCs w:val="16"/>
              </w:rPr>
              <w:br/>
            </w:r>
            <w:r>
              <w:rPr>
                <w:rFonts w:ascii="仿宋_GB2312" w:eastAsia="仿宋_GB2312" w:hAnsi="黑体" w:cs="黑体" w:hint="eastAsia"/>
                <w:sz w:val="16"/>
                <w:szCs w:val="16"/>
              </w:rPr>
              <w:t>物理隔离</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4128" w:type="dxa"/>
            <w:gridSpan w:val="2"/>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训练数据合规性风险</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（二）算法鲁棒性风险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对抗样本攻击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val="9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后门植入风险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供应链攻击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（三）解释性与偏见风险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黑箱决策风险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系统性偏见</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价值对齐失效</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（四）模型迭代安全风险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版本退化风险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知识污染风险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评估盲区风险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（五）其他风险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知识产权侵权</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5</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6</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bl>
    <w:p>
      <w:pPr>
        <w:pStyle w:val="BodyText"/>
        <w:spacing w:before="7"/>
        <w:rPr>
          <w:rFonts w:ascii="黑体" w:eastAsia="黑体" w:hAnsi="黑体" w:cs="黑体" w:hint="eastAsia"/>
          <w:sz w:val="32"/>
          <w:szCs w:val="32"/>
        </w:rPr>
      </w:pPr>
    </w:p>
    <w:p>
      <w:pPr>
        <w:sectPr>
          <w:type w:val="nextPage"/>
          <w:pgSz w:w="16838" w:h="11906" w:orient="landscape"/>
          <w:pgMar w:top="1800" w:right="1440" w:bottom="1800" w:left="144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keepNext w:val="0"/>
        <w:keepLines w:val="0"/>
        <w:widowControl/>
        <w:suppressLineNumbers w:val="0"/>
        <w:kinsoku w:val="0"/>
        <w:autoSpaceDE w:val="0"/>
        <w:autoSpaceDN w:val="0"/>
        <w:adjustRightInd w:val="0"/>
        <w:snapToGrid w:val="0"/>
        <w:spacing w:before="0" w:beforeAutospacing="0" w:after="0" w:afterAutospacing="0"/>
        <w:ind w:left="0" w:right="0"/>
        <w:jc w:val="center"/>
        <w:rPr>
          <w:rFonts w:ascii="方正小标宋简体" w:eastAsia="方正小标宋简体" w:hAnsi="方正小标宋简体" w:cs="方正小标宋简体" w:hint="eastAsia"/>
          <w:spacing w:val="-1"/>
          <w:sz w:val="30"/>
          <w:szCs w:val="30"/>
        </w:rPr>
      </w:pPr>
      <w:r>
        <w:rPr>
          <w:rFonts w:ascii="方正小标宋简体" w:eastAsia="方正小标宋简体" w:hAnsi="方正小标宋简体" w:cs="方正小标宋简体" w:hint="eastAsia"/>
          <w:snapToGrid/>
          <w:color w:val="000000"/>
          <w:spacing w:val="-1"/>
          <w:kern w:val="0"/>
          <w:sz w:val="30"/>
          <w:szCs w:val="30"/>
          <w:lang w:val="en-US" w:eastAsia="zh-CN" w:bidi="ar"/>
        </w:rPr>
        <w:t>国家气象中心廉政合同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r>
        <w:rPr>
          <w:rFonts w:ascii="宋体" w:eastAsia="宋体" w:hAnsi="宋体" w:cs="宋体" w:hint="eastAsia"/>
          <w:b/>
          <w:bCs/>
          <w:snapToGrid/>
          <w:color w:val="000000"/>
          <w:spacing w:val="-16"/>
          <w:kern w:val="0"/>
          <w:sz w:val="21"/>
          <w:szCs w:val="21"/>
          <w:lang w:val="en-US" w:eastAsia="zh-CN" w:bidi="ar"/>
        </w:rPr>
        <w:t>主合同名称：                                        合同编号：</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rPr>
      </w:pPr>
      <w:r>
        <w:rPr>
          <w:rFonts w:ascii="宋体" w:eastAsia="宋体" w:hAnsi="宋体" w:cs="宋体" w:hint="eastAsia"/>
          <w:b/>
          <w:bCs/>
          <w:snapToGrid/>
          <w:color w:val="000000"/>
          <w:spacing w:val="2"/>
          <w:kern w:val="0"/>
          <w:sz w:val="21"/>
          <w:szCs w:val="21"/>
          <w:lang w:val="en-US" w:eastAsia="zh-CN" w:bidi="ar"/>
        </w:rPr>
        <w:t>委托人（甲方）: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r>
        <w:rPr>
          <w:rFonts w:ascii="宋体" w:eastAsia="宋体" w:hAnsi="宋体" w:cs="宋体" w:hint="eastAsia"/>
          <w:b/>
          <w:bCs/>
          <w:snapToGrid/>
          <w:color w:val="000000"/>
          <w:spacing w:val="2"/>
          <w:kern w:val="0"/>
          <w:sz w:val="21"/>
          <w:szCs w:val="21"/>
          <w:lang w:val="en-US" w:eastAsia="zh-CN" w:bidi="ar"/>
        </w:rPr>
        <w:t>受托人（乙方）: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kern w:val="0"/>
          <w:sz w:val="21"/>
          <w:szCs w:val="21"/>
          <w:lang w:val="en-US" w:eastAsia="zh-CN" w:bidi="ar"/>
        </w:rPr>
        <w:t>为保护国家、集体和</w:t>
      </w:r>
      <w:r>
        <w:rPr>
          <w:rFonts w:ascii="宋体" w:eastAsia="宋体" w:hAnsi="宋体" w:cs="宋体" w:hint="eastAsia"/>
          <w:snapToGrid/>
          <w:color w:val="000000"/>
          <w:spacing w:val="-1"/>
          <w:kern w:val="0"/>
          <w:sz w:val="21"/>
          <w:szCs w:val="21"/>
          <w:lang w:val="en-US" w:eastAsia="zh-CN" w:bidi="ar"/>
        </w:rPr>
        <w:t>当事人的合法权益，</w:t>
      </w:r>
      <w:r>
        <w:rPr>
          <w:rFonts w:ascii="宋体" w:eastAsia="宋体" w:hAnsi="宋体" w:cs="宋体" w:hint="eastAsia"/>
          <w:snapToGrid/>
          <w:color w:val="000000"/>
          <w:kern w:val="0"/>
          <w:sz w:val="21"/>
          <w:szCs w:val="21"/>
          <w:lang w:val="en-US" w:eastAsia="zh-CN" w:bidi="ar"/>
        </w:rPr>
        <w:t>加强招标采购工作的廉政建设，规范、约束合同双</w:t>
      </w:r>
      <w:r>
        <w:rPr>
          <w:rFonts w:ascii="宋体" w:eastAsia="宋体" w:hAnsi="宋体" w:cs="宋体" w:hint="eastAsia"/>
          <w:snapToGrid/>
          <w:color w:val="000000"/>
          <w:spacing w:val="-1"/>
          <w:kern w:val="0"/>
          <w:sz w:val="21"/>
          <w:szCs w:val="21"/>
          <w:lang w:val="en-US" w:eastAsia="zh-CN" w:bidi="ar"/>
        </w:rPr>
        <w:t>方的行为，防止</w:t>
      </w:r>
      <w:r>
        <w:rPr>
          <w:rFonts w:ascii="宋体" w:eastAsia="宋体" w:hAnsi="宋体" w:cs="宋体" w:hint="eastAsia"/>
          <w:snapToGrid/>
          <w:color w:val="000000"/>
          <w:kern w:val="0"/>
          <w:sz w:val="21"/>
          <w:szCs w:val="21"/>
          <w:lang w:val="en-US" w:eastAsia="zh-CN" w:bidi="ar"/>
        </w:rPr>
        <w:t>发生各种谋取不正当利益的违法违纪行为，</w:t>
      </w:r>
      <w:r>
        <w:rPr>
          <w:rFonts w:ascii="宋体" w:eastAsia="宋体" w:hAnsi="宋体" w:cs="宋体" w:hint="eastAsia"/>
          <w:snapToGrid/>
          <w:color w:val="000000"/>
          <w:spacing w:val="-1"/>
          <w:kern w:val="0"/>
          <w:sz w:val="21"/>
          <w:szCs w:val="21"/>
          <w:lang w:val="en-US" w:eastAsia="zh-CN" w:bidi="ar"/>
        </w:rPr>
        <w:t>根据国家有关法律法规和廉政建设责任制规定，特订立本廉政合同。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spacing w:val="-1"/>
          <w:kern w:val="0"/>
          <w:sz w:val="21"/>
          <w:szCs w:val="21"/>
          <w:lang w:val="en-US" w:eastAsia="zh-CN" w:bidi="ar"/>
        </w:rPr>
        <w:t>本合同适用于《国家气象中心合同管理办法》中规定的重大合同。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rPr>
      </w:pPr>
      <w:r>
        <w:rPr>
          <w:rFonts w:ascii="宋体" w:eastAsia="宋体" w:hAnsi="宋体" w:cs="宋体" w:hint="eastAsia"/>
          <w:b/>
          <w:bCs/>
          <w:snapToGrid/>
          <w:color w:val="000000"/>
          <w:spacing w:val="-1"/>
          <w:kern w:val="0"/>
          <w:sz w:val="21"/>
          <w:szCs w:val="21"/>
          <w:lang w:val="en-US" w:eastAsia="zh-CN" w:bidi="ar"/>
        </w:rPr>
        <w:t>第一条 甲乙双方的责任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（一）应严格遵守国家招标投标、工程建设、合同管理等有关法律法规，以及廉政建设的各项规定。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（二）严格执行双方签订的合同，自觉履行合同规定的权利和义务。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双方的业务活动必须坚持公开、公平、公正、诚信、透明的原则（除法律认定的商业秘密和合同文件另有规定外），不得为获取不正当的利益，损害国家、集体和对方利益，不得违反政府采购法、招投标法、民法典等相关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（四）发现对方在业务活动中可能存在违规、违纪、违法行为的，应及时提醒对方，情节严重的，应向其上级主管部门或纪检监察、司法等有关机关举报。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第二条 甲方的责任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（一）甲方及其工作人员不得向乙方和相关单位索要或接受回扣、礼金、有价证券、贵重物品和好处费、感谢费等。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（二）甲方及其工作人员不得在乙方和相关单位报销任何应由甲方或个人支付的费用。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不得要求、暗示或接受乙方和相关单位为个人提供好处便利，应严格遵守中央八项规定精神及其实施细则。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不得参加有可能影响公正执行公务的乙方和相关单位的宴请、健身、娱乐等活动。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不得向乙方介绍或为配偶、子女、亲属参与同甲方项目合同有关的设备、材料、劳务等经济活动。不得以任何理由向乙方和相关单位推荐分包单位和要求乙方购买项目合同规定以外的材料、设备等。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第三条 乙方的责任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（一）乙方及其工作人员不得以任何理由向甲方及其工作人员索要、接受或赠送礼金、有价证券、贵重物品和回扣、好处费、感谢费等。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（二）乙方及其工作人员不得以任何理由为甲方和相关单位报销应由对方或个人支付的费用。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（三）乙方及其工作人员不得接受或暗示为甲方、相关单位或个人提供好处便利，应严格遵守中央八项规定精神及其实施细则。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（四）乙方及其工作人员不得以任何理由为甲方、相关单位或个人组织有可能影响公正执行公务的宴请、健身、娱乐等活动，不得为甲方单位和个人购置或提供通讯工具、交通工具和高档办公用品等。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（五）乙方及其工作人员应严格按监理规程办事，不得为谋取私利向监理人员非法行贿，私下串通，损害甲方利益。同时必须对监理单位和工程监理人员履行向甲方承诺的上述其他廉政义务。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（六）乙方如果发现甲方工作人员或工程监理人员有违反廉政规定的行为，应向甲方组织或上级单位举报。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第四条 违约责任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（一）甲方工作人员有违反本合同第一、二条责任行为的，按照管理权限，依据有关法律法规和规定给予党纪、政纪处分或组织处理；涉嫌犯罪的，移交司法机关追究刑事责任。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（二）乙方工作人员有违反本合同第一、三条责任行为的，按照管理权限，依据有关法律法规和规定给予党纪、政纪处分或组织处理；涉嫌犯罪的，移交司法机关追究刑事责任。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第五条 </w:t>
      </w:r>
      <w:r>
        <w:rPr>
          <w:rFonts w:ascii="宋体" w:eastAsia="宋体" w:hAnsi="宋体" w:cs="宋体" w:hint="eastAsia"/>
          <w:snapToGrid/>
          <w:color w:val="000000"/>
          <w:kern w:val="0"/>
          <w:sz w:val="21"/>
          <w:szCs w:val="21"/>
          <w:lang w:val="en-US" w:eastAsia="zh-CN" w:bidi="ar"/>
        </w:rPr>
        <w:t>本廉政合同作为xxxx合同的附件，与xxxx合同具有同等法律效力。经双方签署后立即生效。</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第六条 </w:t>
      </w:r>
      <w:r>
        <w:rPr>
          <w:rFonts w:ascii="宋体" w:eastAsia="宋体" w:hAnsi="宋体" w:cs="宋体" w:hint="eastAsia"/>
          <w:snapToGrid/>
          <w:color w:val="000000"/>
          <w:kern w:val="0"/>
          <w:sz w:val="21"/>
          <w:szCs w:val="21"/>
          <w:lang w:val="en-US" w:eastAsia="zh-CN" w:bidi="ar"/>
        </w:rPr>
        <w:t>本合同一式四份，由甲乙双方各执一份，送交甲乙双方的监督单位各一份。</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甲方：                                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项目负责人：                          项目负责人：</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委托代理人：                          委托代理人：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日期：    年   月   日                日期：    年    月    日</w:t>
      </w:r>
    </w:p>
    <w:p/>
    <w:p w:rsidR="00A77B3E"/>
    <w:p>
      <w:pPr>
        <w:spacing w:line="360" w:lineRule="auto"/>
        <w:ind w:firstLine="3066" w:firstLineChars="1460"/>
        <w:jc w:val="left"/>
        <w:rPr>
          <w:b/>
          <w:bCs/>
          <w:szCs w:val="21"/>
          <w:highlight w:val="none"/>
        </w:rPr>
      </w:pPr>
      <w:bookmarkEnd w:id="90"/>
    </w:p>
    <w:p>
      <w:pPr>
        <w:rPr>
          <w:rFonts w:ascii="Calibri" w:hAnsi="Calibri"/>
          <w:szCs w:val="22"/>
          <w:highlight w:val="none"/>
        </w:rPr>
      </w:pPr>
    </w:p>
    <w:p>
      <w:pPr>
        <w:spacing w:line="360" w:lineRule="auto"/>
        <w:jc w:val="left"/>
        <w:rPr>
          <w:b/>
          <w:bCs/>
          <w:sz w:val="44"/>
          <w:szCs w:val="44"/>
          <w:highlight w:val="none"/>
        </w:rPr>
      </w:pPr>
    </w:p>
    <w:sectPr>
      <w:headerReference w:type="even" r:id="rId23"/>
      <w:headerReference w:type="default" r:id="rId24"/>
      <w:footerReference w:type="default" r:id="rId25"/>
      <w:headerReference w:type="first" r:id="rId26"/>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仿宋">
    <w:altName w:val="仿宋"/>
    <w:panose1 w:val="00000000000000000000"/>
    <w:charset w:val="86"/>
    <w:family w:val="script"/>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firstLine="360"/>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2</w:t>
    </w:r>
    <w:r>
      <w:fldChar w:fldCharType="end"/>
    </w:r>
  </w:p>
  <w:p>
    <w:pPr>
      <w:spacing w:line="181" w:lineRule="auto"/>
      <w:ind w:left="7600"/>
      <w:rPr>
        <w:rFonts w:ascii="Times New Roman" w:eastAsia="Times New Roman" w:hAnsi="Times New Roman" w:cs="Times New Roman"/>
        <w:sz w:val="28"/>
        <w:szCs w:val="2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2D6688F"/>
    <w:multiLevelType w:val="multilevel"/>
    <w:tmpl w:val="02D6688F"/>
    <w:lvl w:ilvl="0">
      <w:start w:val="2"/>
      <w:numFmt w:val="decimal"/>
      <w:lvlText w:val="%1."/>
      <w:lvlJc w:val="left"/>
      <w:pPr>
        <w:ind w:left="425" w:hanging="425"/>
      </w:pPr>
      <w:rPr>
        <w:rFonts w:hint="eastAsia"/>
      </w:rPr>
    </w:lvl>
    <w:lvl w:ilvl="1">
      <w:start w:val="2"/>
      <w:numFmt w:val="decimal"/>
      <w:lvlText w:val="%1.%2."/>
      <w:lvlJc w:val="left"/>
      <w:pPr>
        <w:ind w:left="567" w:hanging="567"/>
      </w:pPr>
      <w:rPr>
        <w:rFonts w:hint="eastAsia"/>
      </w:rPr>
    </w:lvl>
    <w:lvl w:ilvl="2">
      <w:start w:val="1"/>
      <w:numFmt w:val="decimal"/>
      <w:lvlText w:val="%1.%2.%3."/>
      <w:lvlJc w:val="left"/>
      <w:pPr>
        <w:ind w:left="709" w:hanging="709"/>
      </w:pPr>
      <w:rPr>
        <w:rFonts w:ascii="Times New Roman" w:hAnsi="Times New Roman" w:cs="Times New Roman" w:hint="default"/>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7">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06866455"/>
    <w:multiLevelType w:val="multilevel"/>
    <w:tmpl w:val="06866455"/>
    <w:lvl w:ilvl="0">
      <w:start w:val="1"/>
      <w:numFmt w:val="decimal"/>
      <w:pStyle w:val="ListParagraph"/>
      <w:lvlText w:val="%1."/>
      <w:lvlJc w:val="left"/>
      <w:pPr>
        <w:ind w:left="425" w:hanging="425"/>
      </w:pPr>
      <w:rPr>
        <w:rFonts w:hint="eastAsia"/>
      </w:rPr>
    </w:lvl>
    <w:lvl w:ilvl="1">
      <w:start w:val="1"/>
      <w:numFmt w:val="decimal"/>
      <w:lvlText w:val="%1.%2."/>
      <w:lvlJc w:val="left"/>
      <w:pPr>
        <w:ind w:left="567" w:hanging="567"/>
      </w:pPr>
      <w:rPr>
        <w:rFonts w:ascii="Times New Roman" w:hAnsi="Times New Roman" w:cs="Times New Roman" w:hint="default"/>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0F251FE"/>
    <w:multiLevelType w:val="multilevel"/>
    <w:tmpl w:val="10F251FE"/>
    <w:lvl w:ilvl="0">
      <w:start w:val="1"/>
      <w:numFmt w:val="decimal"/>
      <w:lvlText w:val="%1."/>
      <w:lvlJc w:val="left"/>
      <w:pPr>
        <w:ind w:left="425" w:hanging="425"/>
      </w:pPr>
    </w:lvl>
    <w:lvl w:ilvl="1">
      <w:start w:val="1"/>
      <w:numFmt w:val="decimal"/>
      <w:lvlText w:val="%1.%2."/>
      <w:lvlJc w:val="left"/>
      <w:pPr>
        <w:ind w:left="567" w:hanging="567"/>
      </w:pPr>
      <w:rPr>
        <w:rFonts w:ascii="Times New Roman" w:hAnsi="Times New Roman" w:cs="Times New Roman" w:hint="default"/>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1">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6002861"/>
    <w:multiLevelType w:val="multilevel"/>
    <w:tmpl w:val="16002861"/>
    <w:lvl w:ilvl="0">
      <w:start w:val="3"/>
      <w:numFmt w:val="decimal"/>
      <w:lvlText w:val="%1."/>
      <w:lvlJc w:val="left"/>
      <w:pPr>
        <w:ind w:left="425" w:hanging="425"/>
      </w:pPr>
      <w:rPr>
        <w:rFonts w:hint="eastAsia"/>
      </w:rPr>
    </w:lvl>
    <w:lvl w:ilvl="1">
      <w:start w:val="1"/>
      <w:numFmt w:val="decimal"/>
      <w:lvlText w:val="%1.%2."/>
      <w:lvlJc w:val="left"/>
      <w:pPr>
        <w:ind w:left="567" w:hanging="567"/>
      </w:pPr>
      <w:rPr>
        <w:rFonts w:ascii="Times New Roman" w:hAnsi="Times New Roman" w:cs="Times New Roman" w:hint="default"/>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5">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nsid w:val="273135A6"/>
    <w:multiLevelType w:val="multilevel"/>
    <w:tmpl w:val="273135A6"/>
    <w:lvl w:ilvl="0">
      <w:start w:val="1"/>
      <w:numFmt w:val="decimal"/>
      <w:lvlText w:val="%1."/>
      <w:lvlJc w:val="left"/>
      <w:pPr>
        <w:ind w:left="2978" w:hanging="425"/>
      </w:pPr>
      <w:rPr>
        <w:rFonts w:ascii="Times New Roman" w:hAnsi="Times New Roman" w:cs="Times New Roman" w:hint="default"/>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30">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1">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5396EFB"/>
    <w:multiLevelType w:val="singleLevel"/>
    <w:tmpl w:val="45396EFB"/>
    <w:lvl w:ilvl="0">
      <w:start w:val="7"/>
      <w:numFmt w:val="chineseCounting"/>
      <w:suff w:val="space"/>
      <w:lvlText w:val="第%1章"/>
      <w:lvlJc w:val="left"/>
      <w:rPr>
        <w:rFonts w:hint="eastAsia"/>
      </w:rPr>
    </w:lvl>
  </w:abstractNum>
  <w:abstractNum w:abstractNumId="33">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4C7A993F"/>
    <w:multiLevelType w:val="singleLevel"/>
    <w:tmpl w:val="4C7A993F"/>
    <w:lvl w:ilvl="0">
      <w:start w:val="1"/>
      <w:numFmt w:val="decimal"/>
      <w:lvlText w:val="%1)"/>
      <w:lvlJc w:val="left"/>
      <w:pPr>
        <w:ind w:left="425" w:hanging="425"/>
      </w:pPr>
      <w:rPr>
        <w:rFonts w:hint="default"/>
      </w:rPr>
    </w:lvl>
  </w:abstractNum>
  <w:abstractNum w:abstractNumId="35">
    <w:nsid w:val="4DE62B29"/>
    <w:multiLevelType w:val="multilevel"/>
    <w:tmpl w:val="4DE62B29"/>
    <w:lvl w:ilvl="0">
      <w:start w:val="2"/>
      <w:numFmt w:val="decimal"/>
      <w:lvlText w:val="%1."/>
      <w:lvlJc w:val="left"/>
      <w:pPr>
        <w:ind w:left="425" w:hanging="425"/>
      </w:pPr>
      <w:rPr>
        <w:rFonts w:hint="eastAsia"/>
      </w:rPr>
    </w:lvl>
    <w:lvl w:ilvl="1">
      <w:start w:val="1"/>
      <w:numFmt w:val="decimal"/>
      <w:lvlText w:val="%1.%2."/>
      <w:lvlJc w:val="left"/>
      <w:pPr>
        <w:ind w:left="567" w:hanging="567"/>
      </w:pPr>
      <w:rPr>
        <w:rFonts w:ascii="Times New Roman" w:eastAsia="宋体" w:hAnsi="Times New Roman" w:cs="Times New Roman" w:hint="default"/>
      </w:rPr>
    </w:lvl>
    <w:lvl w:ilvl="2">
      <w:start w:val="1"/>
      <w:numFmt w:val="decimal"/>
      <w:lvlText w:val="%1.%2.%3."/>
      <w:lvlJc w:val="left"/>
      <w:pPr>
        <w:ind w:left="709" w:hanging="709"/>
      </w:pPr>
      <w:rPr>
        <w:rFonts w:ascii="Times New Roman" w:hAnsi="Times New Roman" w:cs="Times New Roman" w:hint="default"/>
      </w:rPr>
    </w:lvl>
    <w:lvl w:ilvl="3">
      <w:start w:val="1"/>
      <w:numFmt w:val="decimal"/>
      <w:lvlText w:val="%1.%2.%3.%4."/>
      <w:lvlJc w:val="left"/>
      <w:pPr>
        <w:ind w:left="851" w:hanging="851"/>
      </w:pPr>
      <w:rPr>
        <w:rFonts w:ascii="Times New Roman" w:hAnsi="Times New Roman" w:cs="Times New Roman" w:hint="default"/>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6">
    <w:nsid w:val="57FFC18B"/>
    <w:multiLevelType w:val="singleLevel"/>
    <w:tmpl w:val="57FFC18B"/>
    <w:lvl w:ilvl="0">
      <w:start w:val="1"/>
      <w:numFmt w:val="decimal"/>
      <w:lvlText w:val="%1)"/>
      <w:lvlJc w:val="left"/>
      <w:pPr>
        <w:ind w:left="425" w:hanging="425"/>
      </w:pPr>
      <w:rPr>
        <w:rFonts w:hint="default"/>
      </w:rPr>
    </w:lvl>
  </w:abstractNum>
  <w:abstractNum w:abstractNumId="37">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9">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0">
    <w:nsid w:val="64BEBB03"/>
    <w:multiLevelType w:val="singleLevel"/>
    <w:tmpl w:val="64BEBB03"/>
    <w:lvl w:ilvl="0">
      <w:start w:val="4"/>
      <w:numFmt w:val="chineseCounting"/>
      <w:suff w:val="nothing"/>
      <w:lvlText w:val="%1、"/>
      <w:lvlJc w:val="left"/>
      <w:rPr>
        <w:rFonts w:hint="eastAsia"/>
      </w:rPr>
    </w:lvl>
  </w:abstractNum>
  <w:abstractNum w:abstractNumId="41">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4">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7">
    <w:nsid w:val="79F8DDAB"/>
    <w:multiLevelType w:val="singleLevel"/>
    <w:tmpl w:val="79F8DDAB"/>
    <w:lvl w:ilvl="0">
      <w:start w:val="1"/>
      <w:numFmt w:val="decimal"/>
      <w:lvlText w:val="%1)"/>
      <w:lvlJc w:val="left"/>
      <w:pPr>
        <w:ind w:left="425" w:hanging="425"/>
      </w:pPr>
      <w:rPr>
        <w:rFonts w:hint="default"/>
      </w:rPr>
    </w:lvl>
  </w:abstractNum>
  <w:abstractNum w:abstractNumId="48">
    <w:nsid w:val="7BF79D3F"/>
    <w:multiLevelType w:val="singleLevel"/>
    <w:tmpl w:val="7BF79D3F"/>
    <w:lvl w:ilvl="0">
      <w:start w:val="1"/>
      <w:numFmt w:val="decimal"/>
      <w:lvlText w:val="%1)"/>
      <w:lvlJc w:val="left"/>
      <w:pPr>
        <w:ind w:left="425" w:hanging="425"/>
      </w:pPr>
      <w:rPr>
        <w:rFonts w:hint="default"/>
      </w:rPr>
    </w:lvl>
  </w:abstractNum>
  <w:abstractNum w:abstractNumId="49">
    <w:nsid w:val="7FAFA353"/>
    <w:multiLevelType w:val="singleLevel"/>
    <w:tmpl w:val="7FAFA353"/>
    <w:lvl w:ilvl="0">
      <w:start w:val="1"/>
      <w:numFmt w:val="decimal"/>
      <w:lvlText w:val="%1)"/>
      <w:lvlJc w:val="left"/>
      <w:pPr>
        <w:ind w:left="425" w:hanging="425"/>
      </w:pPr>
      <w:rPr>
        <w:rFonts w:hint="default"/>
      </w:rPr>
    </w:lvl>
  </w:abstractNum>
  <w:abstractNum w:abstractNumId="50">
    <w:nsid w:val="7FDAC479"/>
    <w:multiLevelType w:val="singleLevel"/>
    <w:tmpl w:val="7FDAC479"/>
    <w:lvl w:ilvl="0">
      <w:start w:val="1"/>
      <w:numFmt w:val="decimal"/>
      <w:lvlText w:val="%1)"/>
      <w:lvlJc w:val="left"/>
      <w:pPr>
        <w:ind w:left="425" w:hanging="425"/>
      </w:pPr>
      <w:rPr>
        <w:rFonts w:hint="default"/>
      </w:rPr>
    </w:lvl>
  </w:abstractNum>
  <w:abstractNum w:abstractNumId="51">
    <w:nsid w:val="7FF73EAD"/>
    <w:multiLevelType w:val="singleLevel"/>
    <w:tmpl w:val="7FF73EAD"/>
    <w:lvl w:ilvl="0">
      <w:start w:val="1"/>
      <w:numFmt w:val="decimal"/>
      <w:lvlText w:val="%1)"/>
      <w:lvlJc w:val="left"/>
      <w:pPr>
        <w:ind w:left="425" w:hanging="425"/>
      </w:pPr>
      <w:rPr>
        <w:rFonts w:hint="default"/>
      </w:rPr>
    </w:lvl>
  </w:abstractNum>
  <w:abstractNum w:abstractNumId="52">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9"/>
  </w:num>
  <w:num w:numId="4">
    <w:abstractNumId w:val="32"/>
  </w:num>
  <w:num w:numId="5">
    <w:abstractNumId w:val="27"/>
  </w:num>
  <w:num w:numId="6">
    <w:abstractNumId w:val="20"/>
  </w:num>
  <w:num w:numId="7">
    <w:abstractNumId w:val="35"/>
  </w:num>
  <w:num w:numId="8">
    <w:abstractNumId w:val="16"/>
  </w:num>
  <w:num w:numId="9">
    <w:abstractNumId w:val="24"/>
  </w:num>
  <w:num w:numId="10">
    <w:abstractNumId w:val="18"/>
  </w:num>
  <w:num w:numId="11">
    <w:abstractNumId w:val="26"/>
  </w:num>
  <w:num w:numId="12">
    <w:abstractNumId w:val="43"/>
  </w:num>
  <w:num w:numId="13">
    <w:abstractNumId w:val="25"/>
  </w:num>
  <w:num w:numId="14">
    <w:abstractNumId w:val="46"/>
  </w:num>
  <w:num w:numId="15">
    <w:abstractNumId w:val="2"/>
  </w:num>
  <w:num w:numId="16">
    <w:abstractNumId w:val="51"/>
  </w:num>
  <w:num w:numId="17">
    <w:abstractNumId w:val="5"/>
  </w:num>
  <w:num w:numId="18">
    <w:abstractNumId w:val="42"/>
  </w:num>
  <w:num w:numId="19">
    <w:abstractNumId w:val="11"/>
  </w:num>
  <w:num w:numId="20">
    <w:abstractNumId w:val="41"/>
  </w:num>
  <w:num w:numId="21">
    <w:abstractNumId w:val="39"/>
  </w:num>
  <w:num w:numId="22">
    <w:abstractNumId w:val="17"/>
  </w:num>
  <w:num w:numId="23">
    <w:abstractNumId w:val="45"/>
  </w:num>
  <w:num w:numId="24">
    <w:abstractNumId w:val="1"/>
  </w:num>
  <w:num w:numId="25">
    <w:abstractNumId w:val="47"/>
  </w:num>
  <w:num w:numId="26">
    <w:abstractNumId w:val="48"/>
  </w:num>
  <w:num w:numId="27">
    <w:abstractNumId w:val="36"/>
  </w:num>
  <w:num w:numId="28">
    <w:abstractNumId w:val="29"/>
  </w:num>
  <w:num w:numId="29">
    <w:abstractNumId w:val="7"/>
  </w:num>
  <w:num w:numId="30">
    <w:abstractNumId w:val="0"/>
  </w:num>
  <w:num w:numId="31">
    <w:abstractNumId w:val="22"/>
  </w:num>
  <w:num w:numId="32">
    <w:abstractNumId w:val="49"/>
  </w:num>
  <w:num w:numId="33">
    <w:abstractNumId w:val="34"/>
  </w:num>
  <w:num w:numId="34">
    <w:abstractNumId w:val="30"/>
  </w:num>
  <w:num w:numId="35">
    <w:abstractNumId w:val="50"/>
  </w:num>
  <w:num w:numId="36">
    <w:abstractNumId w:val="6"/>
  </w:num>
  <w:num w:numId="37">
    <w:abstractNumId w:val="44"/>
  </w:num>
  <w:num w:numId="38">
    <w:abstractNumId w:val="8"/>
  </w:num>
  <w:num w:numId="39">
    <w:abstractNumId w:val="4"/>
  </w:num>
  <w:num w:numId="40">
    <w:abstractNumId w:val="52"/>
  </w:num>
  <w:num w:numId="41">
    <w:abstractNumId w:val="10"/>
  </w:num>
  <w:num w:numId="42">
    <w:abstractNumId w:val="33"/>
  </w:num>
  <w:num w:numId="43">
    <w:abstractNumId w:val="37"/>
  </w:num>
  <w:num w:numId="44">
    <w:abstractNumId w:val="21"/>
  </w:num>
  <w:num w:numId="45">
    <w:abstractNumId w:val="12"/>
  </w:num>
  <w:num w:numId="46">
    <w:abstractNumId w:val="23"/>
  </w:num>
  <w:num w:numId="47">
    <w:abstractNumId w:val="38"/>
  </w:num>
  <w:num w:numId="48">
    <w:abstractNumId w:val="3"/>
  </w:num>
  <w:num w:numId="49">
    <w:abstractNumId w:val="9"/>
  </w:num>
  <w:num w:numId="50">
    <w:abstractNumId w:val="15"/>
  </w:num>
  <w:num w:numId="51">
    <w:abstractNumId w:val="31"/>
  </w:num>
  <w:num w:numId="52">
    <w:abstractNumId w:val="40"/>
  </w:num>
  <w:num w:numId="5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header" Target="header5.xml" /><Relationship Id="rId14" Type="http://schemas.openxmlformats.org/officeDocument/2006/relationships/footer" Target="footer6.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9.xml" /><Relationship Id="rId21" Type="http://schemas.openxmlformats.org/officeDocument/2006/relationships/image" Target="media/image1.emf" /><Relationship Id="rId22" Type="http://schemas.openxmlformats.org/officeDocument/2006/relationships/footer" Target="footer10.xml" /><Relationship Id="rId23" Type="http://schemas.openxmlformats.org/officeDocument/2006/relationships/header" Target="header9.xml" /><Relationship Id="rId24" Type="http://schemas.openxmlformats.org/officeDocument/2006/relationships/header" Target="header10.xml" /><Relationship Id="rId25" Type="http://schemas.openxmlformats.org/officeDocument/2006/relationships/footer" Target="footer11.xml" /><Relationship Id="rId26" Type="http://schemas.openxmlformats.org/officeDocument/2006/relationships/header" Target="header11.xml" /><Relationship Id="rId27" Type="http://schemas.openxmlformats.org/officeDocument/2006/relationships/theme" Target="theme/theme1.xml" /><Relationship Id="rId28" Type="http://schemas.openxmlformats.org/officeDocument/2006/relationships/numbering" Target="numbering.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header" Target="header3.xml" /><Relationship Id="rId8" Type="http://schemas.openxmlformats.org/officeDocument/2006/relationships/footer" Target="footer2.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