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60C29BD1">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：20250323</w:t>
      </w:r>
    </w:p>
    <w:p w14:paraId="0741B92B">
      <w:pPr>
        <w:spacing w:line="360" w:lineRule="auto"/>
        <w:jc w:val="center"/>
        <w:rPr>
          <w:b/>
          <w:sz w:val="28"/>
          <w:szCs w:val="28"/>
          <w:highlight w:val="none"/>
        </w:rPr>
      </w:pPr>
    </w:p>
    <w:p w14:paraId="5437CEE0">
      <w:pPr>
        <w:spacing w:line="360" w:lineRule="auto"/>
        <w:jc w:val="center"/>
        <w:rPr>
          <w:b/>
          <w:sz w:val="28"/>
          <w:szCs w:val="28"/>
          <w:highlight w:val="none"/>
        </w:rPr>
      </w:pPr>
    </w:p>
    <w:p w14:paraId="6F52FF61">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2CED7BAC">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14:paraId="38B21D96">
      <w:pPr>
        <w:spacing w:line="360" w:lineRule="auto"/>
        <w:jc w:val="center"/>
        <w:rPr>
          <w:sz w:val="24"/>
          <w:szCs w:val="24"/>
          <w:highlight w:val="none"/>
        </w:rPr>
      </w:pPr>
    </w:p>
    <w:p w14:paraId="2C662F92">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青海省人工影响天气中心飞机增雨（雪）作业服务采购采购项目</w:t>
      </w:r>
      <w:bookmarkEnd w:id="0"/>
    </w:p>
    <w:p w14:paraId="2D4BB678">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ZQCD-25008</w:t>
      </w:r>
      <w:bookmarkEnd w:id="1"/>
    </w:p>
    <w:p w14:paraId="708B6EF9">
      <w:pPr>
        <w:adjustRightInd w:val="0"/>
        <w:snapToGrid w:val="0"/>
        <w:spacing w:line="360" w:lineRule="auto"/>
        <w:ind w:firstLine="470" w:firstLineChars="147"/>
        <w:jc w:val="left"/>
        <w:rPr>
          <w:rFonts w:ascii="仿宋_GB2312" w:eastAsia="仿宋_GB2312" w:hAnsi="宋体"/>
          <w:b/>
          <w:sz w:val="32"/>
          <w:szCs w:val="32"/>
          <w:highlight w:val="none"/>
        </w:rPr>
      </w:pPr>
    </w:p>
    <w:p w14:paraId="400A1B1F">
      <w:pPr>
        <w:adjustRightInd w:val="0"/>
        <w:snapToGrid w:val="0"/>
        <w:spacing w:line="360" w:lineRule="auto"/>
        <w:ind w:firstLine="470" w:firstLineChars="147"/>
        <w:jc w:val="left"/>
        <w:rPr>
          <w:rFonts w:ascii="仿宋_GB2312" w:eastAsia="仿宋_GB2312" w:hAnsi="宋体"/>
          <w:b/>
          <w:sz w:val="32"/>
          <w:szCs w:val="32"/>
          <w:highlight w:val="none"/>
        </w:rPr>
      </w:pPr>
    </w:p>
    <w:p w14:paraId="13238379">
      <w:pPr>
        <w:adjustRightInd w:val="0"/>
        <w:snapToGrid w:val="0"/>
        <w:spacing w:line="360" w:lineRule="auto"/>
        <w:ind w:firstLine="470" w:firstLineChars="147"/>
        <w:jc w:val="left"/>
        <w:rPr>
          <w:rFonts w:ascii="仿宋_GB2312" w:eastAsia="仿宋_GB2312" w:hAnsi="宋体"/>
          <w:b/>
          <w:sz w:val="32"/>
          <w:szCs w:val="32"/>
          <w:highlight w:val="none"/>
        </w:rPr>
      </w:pPr>
    </w:p>
    <w:p w14:paraId="7D9C2C76">
      <w:pPr>
        <w:adjustRightInd w:val="0"/>
        <w:snapToGrid w:val="0"/>
        <w:spacing w:line="360" w:lineRule="auto"/>
        <w:ind w:firstLine="470" w:firstLineChars="147"/>
        <w:jc w:val="left"/>
        <w:rPr>
          <w:rFonts w:ascii="仿宋_GB2312" w:eastAsia="仿宋_GB2312" w:hAnsi="宋体"/>
          <w:b/>
          <w:sz w:val="32"/>
          <w:szCs w:val="32"/>
          <w:highlight w:val="none"/>
        </w:rPr>
      </w:pPr>
    </w:p>
    <w:p w14:paraId="61A399C7">
      <w:pPr>
        <w:adjustRightInd w:val="0"/>
        <w:snapToGrid w:val="0"/>
        <w:spacing w:line="360" w:lineRule="auto"/>
        <w:ind w:firstLine="470" w:firstLineChars="147"/>
        <w:jc w:val="left"/>
        <w:rPr>
          <w:rFonts w:ascii="仿宋_GB2312" w:eastAsia="仿宋_GB2312" w:hAnsi="宋体"/>
          <w:b/>
          <w:sz w:val="32"/>
          <w:szCs w:val="32"/>
          <w:highlight w:val="none"/>
        </w:rPr>
      </w:pPr>
    </w:p>
    <w:p w14:paraId="28359CCE">
      <w:pPr>
        <w:adjustRightInd w:val="0"/>
        <w:snapToGrid w:val="0"/>
        <w:spacing w:line="360" w:lineRule="auto"/>
        <w:ind w:firstLine="470" w:firstLineChars="147"/>
        <w:jc w:val="left"/>
        <w:rPr>
          <w:rFonts w:ascii="仿宋_GB2312" w:eastAsia="仿宋_GB2312" w:hAnsi="宋体"/>
          <w:b/>
          <w:sz w:val="32"/>
          <w:szCs w:val="32"/>
          <w:highlight w:val="none"/>
        </w:rPr>
      </w:pPr>
    </w:p>
    <w:p w14:paraId="7F4E55F9">
      <w:pPr>
        <w:adjustRightInd w:val="0"/>
        <w:snapToGrid w:val="0"/>
        <w:spacing w:line="360" w:lineRule="auto"/>
        <w:ind w:firstLine="470" w:firstLineChars="147"/>
        <w:jc w:val="left"/>
        <w:rPr>
          <w:rFonts w:ascii="仿宋_GB2312" w:eastAsia="仿宋_GB2312"/>
          <w:b/>
          <w:sz w:val="32"/>
          <w:szCs w:val="32"/>
          <w:highlight w:val="none"/>
        </w:rPr>
      </w:pPr>
    </w:p>
    <w:p w14:paraId="1FAFE38C">
      <w:pPr>
        <w:adjustRightInd w:val="0"/>
        <w:snapToGrid w:val="0"/>
        <w:spacing w:line="360" w:lineRule="auto"/>
        <w:jc w:val="left"/>
        <w:rPr>
          <w:rFonts w:ascii="仿宋_GB2312" w:eastAsia="仿宋_GB2312"/>
          <w:b/>
          <w:szCs w:val="21"/>
          <w:highlight w:val="none"/>
        </w:rPr>
      </w:pPr>
    </w:p>
    <w:p w14:paraId="6C06D0D1">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1A6551CD">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2025年05月</w:t>
      </w:r>
      <w:bookmarkEnd w:id="2"/>
    </w:p>
    <w:p w14:paraId="7B941F8A">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4FAD076F">
      <w:pPr>
        <w:spacing w:line="360" w:lineRule="auto"/>
        <w:jc w:val="center"/>
        <w:rPr>
          <w:sz w:val="24"/>
          <w:szCs w:val="24"/>
          <w:highlight w:val="none"/>
        </w:rPr>
      </w:pPr>
    </w:p>
    <w:p w14:paraId="49D10A90">
      <w:pPr>
        <w:spacing w:line="360" w:lineRule="auto"/>
        <w:jc w:val="center"/>
        <w:rPr>
          <w:sz w:val="24"/>
          <w:szCs w:val="24"/>
          <w:highlight w:val="none"/>
        </w:rPr>
      </w:pPr>
      <w:r>
        <w:rPr>
          <w:sz w:val="24"/>
          <w:szCs w:val="24"/>
          <w:highlight w:val="none"/>
        </w:rPr>
        <w:br w:type="page"/>
      </w:r>
    </w:p>
    <w:p w14:paraId="3B8C7E15">
      <w:pPr>
        <w:spacing w:line="360" w:lineRule="auto"/>
        <w:jc w:val="center"/>
        <w:rPr>
          <w:sz w:val="24"/>
          <w:szCs w:val="24"/>
          <w:highlight w:val="none"/>
        </w:rPr>
      </w:pPr>
    </w:p>
    <w:p w14:paraId="11677E48">
      <w:pPr>
        <w:spacing w:line="360" w:lineRule="auto"/>
        <w:jc w:val="center"/>
        <w:rPr>
          <w:sz w:val="24"/>
          <w:szCs w:val="24"/>
          <w:highlight w:val="none"/>
        </w:rPr>
      </w:pPr>
    </w:p>
    <w:p w14:paraId="709FB531">
      <w:pPr>
        <w:spacing w:line="360" w:lineRule="auto"/>
        <w:jc w:val="center"/>
        <w:rPr>
          <w:rFonts w:ascii="宋体" w:hAnsi="宋体"/>
          <w:b/>
          <w:bCs/>
          <w:sz w:val="36"/>
          <w:szCs w:val="36"/>
          <w:highlight w:val="none"/>
        </w:rPr>
      </w:pPr>
      <w:r>
        <w:rPr>
          <w:rFonts w:ascii="宋体" w:hAnsi="宋体" w:hint="eastAsia"/>
          <w:b/>
          <w:bCs/>
          <w:sz w:val="36"/>
          <w:szCs w:val="36"/>
          <w:highlight w:val="none"/>
        </w:rPr>
        <w:t>总 目 录</w:t>
      </w:r>
    </w:p>
    <w:p w14:paraId="2377C966">
      <w:pPr>
        <w:spacing w:line="360" w:lineRule="auto"/>
        <w:jc w:val="center"/>
        <w:rPr>
          <w:b/>
          <w:sz w:val="28"/>
          <w:szCs w:val="28"/>
          <w:highlight w:val="none"/>
        </w:rPr>
      </w:pPr>
    </w:p>
    <w:p w14:paraId="4ECFF9D8">
      <w:pPr>
        <w:spacing w:line="360" w:lineRule="auto"/>
        <w:jc w:val="center"/>
        <w:rPr>
          <w:rFonts w:ascii="宋体" w:hAnsi="宋体"/>
          <w:b/>
          <w:sz w:val="28"/>
          <w:szCs w:val="28"/>
          <w:highlight w:val="none"/>
        </w:rPr>
      </w:pPr>
      <w:r>
        <w:rPr>
          <w:rFonts w:ascii="宋体" w:hAnsi="宋体" w:hint="eastAsia"/>
          <w:b/>
          <w:sz w:val="28"/>
          <w:szCs w:val="28"/>
          <w:highlight w:val="none"/>
        </w:rPr>
        <w:t>第一分册   通用部分</w:t>
      </w:r>
    </w:p>
    <w:p w14:paraId="4FAEFCEC">
      <w:pPr>
        <w:spacing w:line="360" w:lineRule="auto"/>
        <w:ind w:left="2517" w:firstLine="420"/>
        <w:jc w:val="left"/>
        <w:rPr>
          <w:b/>
          <w:szCs w:val="21"/>
          <w:highlight w:val="none"/>
        </w:rPr>
      </w:pPr>
      <w:r>
        <w:rPr>
          <w:rFonts w:hint="eastAsia"/>
          <w:b/>
          <w:szCs w:val="21"/>
          <w:highlight w:val="none"/>
        </w:rPr>
        <w:t>第一章  投标人须知通用部分</w:t>
      </w:r>
    </w:p>
    <w:p w14:paraId="51C3DC53">
      <w:pPr>
        <w:spacing w:line="360" w:lineRule="auto"/>
        <w:ind w:left="2517" w:firstLine="420"/>
        <w:jc w:val="left"/>
        <w:rPr>
          <w:b/>
          <w:szCs w:val="21"/>
          <w:highlight w:val="none"/>
        </w:rPr>
      </w:pPr>
      <w:r>
        <w:rPr>
          <w:rFonts w:hint="eastAsia"/>
          <w:b/>
          <w:szCs w:val="21"/>
          <w:highlight w:val="none"/>
        </w:rPr>
        <w:t>第二章  投标文件格式</w:t>
      </w:r>
    </w:p>
    <w:p w14:paraId="67C791B7">
      <w:pPr>
        <w:spacing w:line="360" w:lineRule="auto"/>
        <w:ind w:left="2517" w:firstLine="420"/>
        <w:jc w:val="left"/>
        <w:rPr>
          <w:b/>
          <w:szCs w:val="21"/>
          <w:highlight w:val="none"/>
        </w:rPr>
      </w:pPr>
      <w:r>
        <w:rPr>
          <w:rFonts w:hint="eastAsia"/>
          <w:b/>
          <w:szCs w:val="21"/>
          <w:highlight w:val="none"/>
        </w:rPr>
        <w:t>第三章  投标被拒绝条款通用部分</w:t>
      </w:r>
    </w:p>
    <w:p w14:paraId="0206E17E">
      <w:pPr>
        <w:spacing w:line="360" w:lineRule="auto"/>
        <w:jc w:val="center"/>
        <w:rPr>
          <w:rFonts w:ascii="宋体" w:hAnsi="宋体"/>
          <w:b/>
          <w:sz w:val="28"/>
          <w:szCs w:val="28"/>
          <w:highlight w:val="none"/>
        </w:rPr>
      </w:pPr>
    </w:p>
    <w:p w14:paraId="4C3709A7">
      <w:pPr>
        <w:spacing w:line="360" w:lineRule="auto"/>
        <w:jc w:val="center"/>
        <w:rPr>
          <w:rFonts w:ascii="宋体" w:hAnsi="宋体"/>
          <w:b/>
          <w:sz w:val="28"/>
          <w:szCs w:val="28"/>
          <w:highlight w:val="none"/>
        </w:rPr>
      </w:pPr>
      <w:r>
        <w:rPr>
          <w:rFonts w:ascii="宋体" w:hAnsi="宋体" w:hint="eastAsia"/>
          <w:b/>
          <w:sz w:val="28"/>
          <w:szCs w:val="28"/>
          <w:highlight w:val="none"/>
        </w:rPr>
        <w:t>第二分册   专用部分</w:t>
      </w:r>
    </w:p>
    <w:p w14:paraId="1B43832B">
      <w:pPr>
        <w:spacing w:line="360" w:lineRule="auto"/>
        <w:ind w:left="2520" w:firstLine="420"/>
        <w:jc w:val="left"/>
        <w:rPr>
          <w:b/>
          <w:szCs w:val="21"/>
          <w:highlight w:val="none"/>
        </w:rPr>
      </w:pPr>
      <w:r>
        <w:rPr>
          <w:rFonts w:hint="eastAsia"/>
          <w:b/>
          <w:szCs w:val="21"/>
          <w:highlight w:val="none"/>
        </w:rPr>
        <w:t>第四章  投标邀请书</w:t>
      </w:r>
    </w:p>
    <w:p w14:paraId="55460CD0">
      <w:pPr>
        <w:spacing w:line="360" w:lineRule="auto"/>
        <w:ind w:left="2520" w:firstLine="420"/>
        <w:jc w:val="left"/>
        <w:rPr>
          <w:b/>
          <w:szCs w:val="21"/>
          <w:highlight w:val="none"/>
        </w:rPr>
      </w:pPr>
      <w:r>
        <w:rPr>
          <w:rFonts w:hint="eastAsia"/>
          <w:b/>
          <w:szCs w:val="21"/>
          <w:highlight w:val="none"/>
        </w:rPr>
        <w:t>第五章  投标人须知专用部分</w:t>
      </w:r>
    </w:p>
    <w:p w14:paraId="56A4456E">
      <w:pPr>
        <w:spacing w:line="360" w:lineRule="auto"/>
        <w:ind w:left="2520" w:firstLine="420"/>
        <w:jc w:val="left"/>
        <w:rPr>
          <w:b/>
          <w:szCs w:val="21"/>
          <w:highlight w:val="none"/>
        </w:rPr>
      </w:pPr>
      <w:r>
        <w:rPr>
          <w:rFonts w:hint="eastAsia"/>
          <w:b/>
          <w:szCs w:val="21"/>
          <w:highlight w:val="none"/>
        </w:rPr>
        <w:t>第六章  评标方法和评标标准</w:t>
      </w:r>
    </w:p>
    <w:p w14:paraId="1985E59A">
      <w:pPr>
        <w:spacing w:line="360" w:lineRule="auto"/>
        <w:ind w:left="2520" w:firstLine="420"/>
        <w:jc w:val="left"/>
        <w:rPr>
          <w:b/>
          <w:szCs w:val="21"/>
          <w:highlight w:val="none"/>
        </w:rPr>
      </w:pPr>
      <w:r>
        <w:rPr>
          <w:rFonts w:hint="eastAsia"/>
          <w:b/>
          <w:szCs w:val="21"/>
          <w:highlight w:val="none"/>
        </w:rPr>
        <w:t>第七章  采购需求</w:t>
      </w:r>
    </w:p>
    <w:p w14:paraId="51F4E7E4">
      <w:pPr>
        <w:spacing w:line="360" w:lineRule="auto"/>
        <w:ind w:left="2520" w:firstLine="420"/>
        <w:jc w:val="left"/>
        <w:rPr>
          <w:rFonts w:hint="eastAsia"/>
          <w:b/>
          <w:szCs w:val="21"/>
          <w:highlight w:val="none"/>
        </w:rPr>
      </w:pPr>
      <w:r>
        <w:rPr>
          <w:rFonts w:hint="eastAsia"/>
          <w:b/>
          <w:szCs w:val="21"/>
          <w:highlight w:val="none"/>
        </w:rPr>
        <w:t>第八章  投标被拒绝条款专用部分</w:t>
      </w:r>
    </w:p>
    <w:p w14:paraId="72AAD374">
      <w:pPr>
        <w:spacing w:line="360" w:lineRule="auto"/>
        <w:jc w:val="center"/>
        <w:rPr>
          <w:rFonts w:ascii="宋体" w:hAnsi="宋体"/>
          <w:b/>
          <w:sz w:val="28"/>
          <w:szCs w:val="28"/>
          <w:highlight w:val="none"/>
        </w:rPr>
      </w:pPr>
    </w:p>
    <w:p w14:paraId="064A4D8E">
      <w:pPr>
        <w:spacing w:line="360" w:lineRule="auto"/>
        <w:jc w:val="center"/>
        <w:rPr>
          <w:rFonts w:ascii="宋体" w:hAnsi="宋体"/>
          <w:b/>
          <w:sz w:val="28"/>
          <w:szCs w:val="28"/>
          <w:highlight w:val="none"/>
        </w:rPr>
      </w:pPr>
      <w:r>
        <w:rPr>
          <w:rFonts w:ascii="宋体" w:hAnsi="宋体" w:hint="eastAsia"/>
          <w:b/>
          <w:sz w:val="28"/>
          <w:szCs w:val="28"/>
          <w:highlight w:val="none"/>
        </w:rPr>
        <w:t>第三分册   采购合同</w:t>
      </w:r>
    </w:p>
    <w:p w14:paraId="0B4B4D6E">
      <w:pPr>
        <w:spacing w:line="360" w:lineRule="auto"/>
        <w:ind w:left="2520" w:firstLine="420"/>
        <w:jc w:val="left"/>
        <w:rPr>
          <w:b/>
          <w:szCs w:val="21"/>
          <w:highlight w:val="none"/>
        </w:rPr>
      </w:pPr>
      <w:r>
        <w:rPr>
          <w:rFonts w:hint="eastAsia"/>
          <w:b/>
          <w:szCs w:val="21"/>
          <w:highlight w:val="none"/>
        </w:rPr>
        <w:t>第九章  采购合同</w:t>
      </w:r>
    </w:p>
    <w:p w14:paraId="440A363B">
      <w:pPr>
        <w:spacing w:line="360" w:lineRule="auto"/>
        <w:ind w:left="2520" w:firstLine="420"/>
        <w:jc w:val="left"/>
        <w:rPr>
          <w:b/>
          <w:szCs w:val="21"/>
          <w:highlight w:val="none"/>
        </w:rPr>
      </w:pPr>
    </w:p>
    <w:p w14:paraId="4F8ACA83">
      <w:pPr>
        <w:spacing w:line="360" w:lineRule="auto"/>
        <w:jc w:val="center"/>
        <w:outlineLvl w:val="0"/>
        <w:rPr>
          <w:rFonts w:ascii="黑体" w:eastAsia="黑体" w:hAnsi="黑体"/>
          <w:sz w:val="30"/>
          <w:szCs w:val="24"/>
          <w:highlight w:val="none"/>
        </w:rPr>
      </w:pPr>
      <w:r>
        <w:rPr>
          <w:rFonts w:ascii="黑体" w:eastAsia="黑体" w:hAnsi="黑体" w:hint="eastAsia"/>
          <w:sz w:val="30"/>
          <w:szCs w:val="24"/>
          <w:highlight w:val="none"/>
        </w:rPr>
        <w:br w:type="page"/>
      </w:r>
    </w:p>
    <w:p w14:paraId="1FA66E2F">
      <w:pPr>
        <w:spacing w:line="360" w:lineRule="auto"/>
        <w:jc w:val="center"/>
        <w:outlineLvl w:val="0"/>
        <w:rPr>
          <w:b/>
          <w:sz w:val="48"/>
          <w:szCs w:val="36"/>
          <w:highlight w:val="none"/>
        </w:rPr>
      </w:pPr>
      <w:r>
        <w:rPr>
          <w:rFonts w:hint="eastAsia"/>
          <w:b/>
          <w:sz w:val="48"/>
          <w:szCs w:val="36"/>
          <w:highlight w:val="none"/>
        </w:rPr>
        <w:t>第一分册：通用部分</w:t>
      </w:r>
    </w:p>
    <w:p w14:paraId="28EE7442">
      <w:pPr>
        <w:spacing w:line="360" w:lineRule="auto"/>
        <w:rPr>
          <w:b/>
          <w:bCs/>
          <w:sz w:val="28"/>
          <w:szCs w:val="28"/>
          <w:highlight w:val="none"/>
        </w:rPr>
      </w:pPr>
    </w:p>
    <w:p w14:paraId="59BCE3C8">
      <w:pPr>
        <w:spacing w:line="360" w:lineRule="auto"/>
        <w:jc w:val="center"/>
        <w:rPr>
          <w:b/>
          <w:bCs/>
          <w:sz w:val="28"/>
          <w:szCs w:val="28"/>
          <w:highlight w:val="none"/>
        </w:rPr>
      </w:pPr>
      <w:r>
        <w:rPr>
          <w:rFonts w:hint="eastAsia"/>
          <w:b/>
          <w:bCs/>
          <w:sz w:val="28"/>
          <w:szCs w:val="28"/>
          <w:highlight w:val="none"/>
        </w:rPr>
        <w:t>目    录</w:t>
      </w:r>
    </w:p>
    <w:p w14:paraId="6E67F737">
      <w:pPr>
        <w:spacing w:line="360" w:lineRule="auto"/>
        <w:jc w:val="center"/>
        <w:rPr>
          <w:b/>
          <w:bCs/>
          <w:sz w:val="28"/>
          <w:szCs w:val="28"/>
          <w:highlight w:val="none"/>
        </w:rPr>
      </w:pPr>
    </w:p>
    <w:p w14:paraId="1855FF7A">
      <w:pPr>
        <w:spacing w:line="360" w:lineRule="auto"/>
        <w:ind w:firstLine="2258" w:firstLineChars="1075"/>
        <w:jc w:val="left"/>
        <w:rPr>
          <w:b/>
          <w:bCs/>
          <w:szCs w:val="21"/>
          <w:highlight w:val="none"/>
        </w:rPr>
      </w:pPr>
      <w:r>
        <w:rPr>
          <w:rFonts w:hint="eastAsia"/>
          <w:b/>
          <w:bCs/>
          <w:szCs w:val="21"/>
          <w:highlight w:val="none"/>
        </w:rPr>
        <w:t>第一章  投标人须知通用部分</w:t>
      </w:r>
    </w:p>
    <w:p w14:paraId="34038194">
      <w:pPr>
        <w:spacing w:line="360" w:lineRule="auto"/>
        <w:ind w:firstLine="2258" w:firstLineChars="1075"/>
        <w:jc w:val="left"/>
        <w:rPr>
          <w:b/>
          <w:bCs/>
          <w:szCs w:val="21"/>
          <w:highlight w:val="none"/>
        </w:rPr>
      </w:pPr>
      <w:r>
        <w:rPr>
          <w:rFonts w:hint="eastAsia"/>
          <w:b/>
          <w:bCs/>
          <w:szCs w:val="21"/>
          <w:highlight w:val="none"/>
        </w:rPr>
        <w:t>第二章  投标文件格式</w:t>
      </w:r>
    </w:p>
    <w:p w14:paraId="1B151BF6">
      <w:pPr>
        <w:spacing w:line="360" w:lineRule="auto"/>
        <w:ind w:firstLine="2258" w:firstLineChars="1075"/>
        <w:jc w:val="left"/>
        <w:rPr>
          <w:b/>
          <w:bCs/>
          <w:szCs w:val="21"/>
          <w:highlight w:val="none"/>
        </w:rPr>
      </w:pPr>
      <w:r>
        <w:rPr>
          <w:rFonts w:hint="eastAsia"/>
          <w:b/>
          <w:bCs/>
          <w:szCs w:val="21"/>
          <w:highlight w:val="none"/>
        </w:rPr>
        <w:t>第三章  投标被拒绝条款通用部分</w:t>
      </w:r>
    </w:p>
    <w:p w14:paraId="5F40F4D7">
      <w:pPr>
        <w:jc w:val="center"/>
        <w:outlineLvl w:val="1"/>
        <w:rPr>
          <w:sz w:val="30"/>
          <w:szCs w:val="30"/>
          <w:highlight w:val="none"/>
        </w:rPr>
      </w:pPr>
      <w:bookmarkStart w:id="3" w:name="_Toc86202581"/>
      <w:r>
        <w:rPr>
          <w:highlight w:val="none"/>
        </w:rPr>
        <w:br w:type="page"/>
      </w:r>
      <w:r>
        <w:rPr>
          <w:rFonts w:hint="eastAsia"/>
          <w:b/>
          <w:bCs/>
          <w:sz w:val="30"/>
          <w:szCs w:val="30"/>
          <w:highlight w:val="none"/>
        </w:rPr>
        <w:t>第一章  投标人须知通用部分</w:t>
      </w:r>
    </w:p>
    <w:p w14:paraId="6EFED7F7">
      <w:pPr>
        <w:adjustRightInd w:val="0"/>
        <w:snapToGrid w:val="0"/>
        <w:spacing w:line="360" w:lineRule="auto"/>
        <w:ind w:firstLine="412" w:firstLineChars="196"/>
        <w:outlineLvl w:val="2"/>
        <w:rPr>
          <w:rFonts w:ascii="宋体" w:hAnsi="宋体"/>
          <w:b/>
          <w:szCs w:val="21"/>
          <w:highlight w:val="none"/>
        </w:rPr>
      </w:pPr>
      <w:r>
        <w:rPr>
          <w:rFonts w:ascii="宋体" w:hAnsi="宋体" w:hint="eastAsia"/>
          <w:b/>
          <w:szCs w:val="21"/>
          <w:highlight w:val="none"/>
        </w:rPr>
        <w:t>一、总则</w:t>
      </w:r>
    </w:p>
    <w:p w14:paraId="2413DE89">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1.1适用范围</w:t>
      </w:r>
    </w:p>
    <w:p w14:paraId="5F038520">
      <w:pPr>
        <w:pStyle w:val="10"/>
        <w:numPr>
          <w:ilvl w:val="0"/>
          <w:numId w:val="0"/>
        </w:numPr>
        <w:tabs>
          <w:tab w:val="left" w:pos="1573"/>
        </w:tabs>
        <w:adjustRightInd w:val="0"/>
        <w:snapToGrid w:val="0"/>
        <w:spacing w:line="360" w:lineRule="auto"/>
        <w:ind w:firstLine="420" w:firstLineChars="200"/>
        <w:jc w:val="left"/>
        <w:rPr>
          <w:bCs/>
          <w:highlight w:val="none"/>
        </w:rPr>
      </w:pPr>
      <w:r>
        <w:rPr>
          <w:rFonts w:hint="eastAsia"/>
          <w:bCs/>
          <w:highlight w:val="none"/>
        </w:rPr>
        <w:t>本招标文件适用于本文件</w:t>
      </w:r>
      <w:r>
        <w:rPr>
          <w:rFonts w:hint="eastAsia"/>
          <w:b/>
          <w:bCs/>
          <w:highlight w:val="none"/>
        </w:rPr>
        <w:t>第七章采购需求</w:t>
      </w:r>
      <w:r>
        <w:rPr>
          <w:rFonts w:hint="eastAsia"/>
          <w:bCs/>
          <w:highlight w:val="none"/>
        </w:rPr>
        <w:t>中所述服务及相关货物的招标投标。本项目属性确定为服务类（不含软件开发）采购。</w:t>
      </w:r>
    </w:p>
    <w:p w14:paraId="2B4D6CAA">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1.2定义</w:t>
      </w:r>
    </w:p>
    <w:p w14:paraId="48239F8B">
      <w:pPr>
        <w:pStyle w:val="10"/>
        <w:numPr>
          <w:ilvl w:val="0"/>
          <w:numId w:val="0"/>
        </w:numPr>
        <w:tabs>
          <w:tab w:val="left" w:pos="1573"/>
        </w:tabs>
        <w:adjustRightInd w:val="0"/>
        <w:snapToGrid w:val="0"/>
        <w:spacing w:line="360" w:lineRule="auto"/>
        <w:ind w:firstLine="420" w:firstLineChars="200"/>
        <w:jc w:val="left"/>
        <w:rPr>
          <w:bCs/>
          <w:highlight w:val="none"/>
        </w:rPr>
      </w:pPr>
      <w:r>
        <w:rPr>
          <w:rFonts w:hint="eastAsia"/>
          <w:bCs/>
          <w:highlight w:val="none"/>
        </w:rPr>
        <w:t>1.2.1“采购人”是指本项目的具体采购单位，具体名称详见</w:t>
      </w:r>
      <w:r>
        <w:rPr>
          <w:rFonts w:hint="eastAsia"/>
          <w:b/>
          <w:bCs/>
          <w:highlight w:val="none"/>
        </w:rPr>
        <w:t>第五章投标人须知专用部分</w:t>
      </w:r>
      <w:r>
        <w:rPr>
          <w:rFonts w:hint="eastAsia"/>
          <w:bCs/>
          <w:highlight w:val="none"/>
        </w:rPr>
        <w:t>。</w:t>
      </w:r>
    </w:p>
    <w:p w14:paraId="5D81AA0D">
      <w:pPr>
        <w:pStyle w:val="10"/>
        <w:numPr>
          <w:ilvl w:val="0"/>
          <w:numId w:val="0"/>
        </w:numPr>
        <w:tabs>
          <w:tab w:val="left" w:pos="1573"/>
        </w:tabs>
        <w:adjustRightInd w:val="0"/>
        <w:snapToGrid w:val="0"/>
        <w:spacing w:line="360" w:lineRule="auto"/>
        <w:ind w:firstLine="420" w:firstLineChars="200"/>
        <w:jc w:val="left"/>
        <w:rPr>
          <w:bCs/>
          <w:highlight w:val="none"/>
        </w:rPr>
      </w:pPr>
      <w:r>
        <w:rPr>
          <w:rFonts w:hint="eastAsia"/>
          <w:bCs/>
          <w:highlight w:val="none"/>
        </w:rPr>
        <w:t>1.2.2“采购内容”指本招标文件中</w:t>
      </w:r>
      <w:r>
        <w:rPr>
          <w:rFonts w:hint="eastAsia"/>
          <w:b/>
          <w:bCs/>
          <w:highlight w:val="none"/>
        </w:rPr>
        <w:t>第七章采购需求</w:t>
      </w:r>
      <w:r>
        <w:rPr>
          <w:rFonts w:hint="eastAsia"/>
          <w:bCs/>
          <w:highlight w:val="none"/>
        </w:rPr>
        <w:t>所述所有服务内容、货物</w:t>
      </w:r>
      <w:r>
        <w:rPr>
          <w:rStyle w:val="px10"/>
          <w:rFonts w:hint="eastAsia"/>
          <w:bCs/>
          <w:highlight w:val="none"/>
        </w:rPr>
        <w:t>。</w:t>
      </w:r>
    </w:p>
    <w:p w14:paraId="7121E71C">
      <w:pPr>
        <w:pStyle w:val="10"/>
        <w:numPr>
          <w:ilvl w:val="0"/>
          <w:numId w:val="0"/>
        </w:numPr>
        <w:tabs>
          <w:tab w:val="left" w:pos="1573"/>
        </w:tabs>
        <w:adjustRightInd w:val="0"/>
        <w:snapToGrid w:val="0"/>
        <w:spacing w:line="360" w:lineRule="auto"/>
        <w:ind w:firstLine="420" w:firstLineChars="200"/>
        <w:jc w:val="left"/>
        <w:rPr>
          <w:bCs/>
          <w:highlight w:val="none"/>
        </w:rPr>
      </w:pPr>
      <w:r>
        <w:rPr>
          <w:rStyle w:val="px10"/>
          <w:rFonts w:hint="eastAsia"/>
          <w:bCs/>
          <w:highlight w:val="none"/>
        </w:rPr>
        <w:t>1.2.3“</w:t>
      </w:r>
      <w:r>
        <w:rPr>
          <w:rStyle w:val="px10"/>
          <w:bCs/>
          <w:highlight w:val="none"/>
        </w:rPr>
        <w:t>服务</w:t>
      </w:r>
      <w:r>
        <w:rPr>
          <w:rStyle w:val="px10"/>
          <w:rFonts w:hint="eastAsia"/>
          <w:bCs/>
          <w:highlight w:val="none"/>
        </w:rPr>
        <w:t>”</w:t>
      </w:r>
      <w:r>
        <w:rPr>
          <w:rStyle w:val="px10"/>
          <w:bCs/>
          <w:highlight w:val="none"/>
        </w:rPr>
        <w:t>指</w:t>
      </w:r>
      <w:r>
        <w:rPr>
          <w:rStyle w:val="px10"/>
          <w:rFonts w:hint="eastAsia"/>
          <w:bCs/>
          <w:highlight w:val="none"/>
        </w:rPr>
        <w:t>本招标文件</w:t>
      </w:r>
      <w:r>
        <w:rPr>
          <w:rFonts w:hint="eastAsia"/>
          <w:b/>
          <w:bCs/>
          <w:highlight w:val="none"/>
        </w:rPr>
        <w:t>第七章采购需求</w:t>
      </w:r>
      <w:r>
        <w:rPr>
          <w:rStyle w:val="px10"/>
          <w:rFonts w:hint="eastAsia"/>
          <w:bCs/>
          <w:highlight w:val="none"/>
        </w:rPr>
        <w:t>所述投标人应该履行的</w:t>
      </w:r>
      <w:r>
        <w:rPr>
          <w:rStyle w:val="px10"/>
          <w:bCs/>
          <w:highlight w:val="none"/>
        </w:rPr>
        <w:t>承诺</w:t>
      </w:r>
      <w:r>
        <w:rPr>
          <w:rStyle w:val="px10"/>
          <w:rFonts w:hint="eastAsia"/>
          <w:bCs/>
          <w:highlight w:val="none"/>
        </w:rPr>
        <w:t>和</w:t>
      </w:r>
      <w:r>
        <w:rPr>
          <w:rStyle w:val="px10"/>
          <w:bCs/>
          <w:highlight w:val="none"/>
        </w:rPr>
        <w:t>义务。</w:t>
      </w:r>
      <w:r>
        <w:rPr>
          <w:rStyle w:val="px10"/>
          <w:rFonts w:hint="eastAsia"/>
          <w:bCs/>
          <w:highlight w:val="none"/>
        </w:rPr>
        <w:t>“货物”指本招标文件</w:t>
      </w:r>
      <w:r>
        <w:rPr>
          <w:rFonts w:hint="eastAsia"/>
          <w:b/>
          <w:bCs/>
          <w:highlight w:val="none"/>
        </w:rPr>
        <w:t>第七章采购需求</w:t>
      </w:r>
      <w:r>
        <w:rPr>
          <w:rStyle w:val="px10"/>
          <w:rFonts w:hint="eastAsia"/>
          <w:bCs/>
          <w:highlight w:val="none"/>
        </w:rPr>
        <w:t>所述所有货物（含不需要二次开发的软件），不包括投标人为提供相关服务而购置的所有权属于投标人的货物。</w:t>
      </w:r>
    </w:p>
    <w:p w14:paraId="61DCE4A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1.2.4“潜在投标人”指符合本招标文件各项规定的供应商。</w:t>
      </w:r>
    </w:p>
    <w:p w14:paraId="24CEEB8D">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1.2.5“投标人”，如无特殊说明，指符合本招标文件规定并参加投标的供应商。</w:t>
      </w:r>
    </w:p>
    <w:p w14:paraId="42AE2EA0">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1.2.6本招标文件各部分规定的期间以时、日、月、年计算。期间开始的日，不计算在期间内，而从次日开始计算。期间届满的最后一天是节假日的，以节假日后的第一日为期间届满的日期。</w:t>
      </w:r>
    </w:p>
    <w:p w14:paraId="1FBC01E6">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1.2.7本招标文件所称的复印件，包括原件经扫描或照相后的打印件、影印件等。复印件应清晰。</w:t>
      </w:r>
    </w:p>
    <w:p w14:paraId="4C4BB547">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1.2.8盖章及签字。</w:t>
      </w:r>
    </w:p>
    <w:p w14:paraId="0E92119A">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4786539D">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46B7CF56">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1.3合格投标人的条件</w:t>
      </w:r>
    </w:p>
    <w:p w14:paraId="509169BB">
      <w:pPr>
        <w:pStyle w:val="10"/>
        <w:numPr>
          <w:ilvl w:val="0"/>
          <w:numId w:val="0"/>
        </w:numPr>
        <w:tabs>
          <w:tab w:val="left" w:pos="1573"/>
        </w:tabs>
        <w:adjustRightInd w:val="0"/>
        <w:snapToGrid w:val="0"/>
        <w:spacing w:line="360" w:lineRule="auto"/>
        <w:ind w:firstLine="420" w:firstLineChars="200"/>
        <w:rPr>
          <w:b/>
          <w:bCs/>
          <w:highlight w:val="none"/>
        </w:rPr>
      </w:pPr>
      <w:r>
        <w:rPr>
          <w:rFonts w:hint="eastAsia"/>
          <w:highlight w:val="none"/>
        </w:rPr>
        <w:t>1.3.1具有本项目生产、制造、供应或实施能力，符合、承认并承诺履行本招标文件各项规定的境内供应商均可参加投标</w:t>
      </w:r>
      <w:r>
        <w:rPr>
          <w:rFonts w:hint="eastAsia"/>
          <w:b/>
          <w:bCs/>
          <w:highlight w:val="none"/>
        </w:rPr>
        <w:t>。</w:t>
      </w:r>
      <w:r>
        <w:rPr>
          <w:rFonts w:hint="eastAsia"/>
          <w:bCs/>
          <w:highlight w:val="none"/>
        </w:rPr>
        <w:t>但有下列情况之一的，不得参加投标：</w:t>
      </w:r>
    </w:p>
    <w:p w14:paraId="737A2AE2">
      <w:pPr>
        <w:tabs>
          <w:tab w:val="left" w:pos="846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（1）凡为本项目提供整体设计、规范编制或者项目管理、监理、检测等服务的供应商；</w:t>
      </w:r>
    </w:p>
    <w:p w14:paraId="557A22DA">
      <w:pPr>
        <w:tabs>
          <w:tab w:val="left" w:pos="846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（2）凡未在</w:t>
      </w:r>
      <w:r>
        <w:rPr>
          <w:rFonts w:ascii="宋体" w:hAnsi="宋体"/>
          <w:szCs w:val="21"/>
          <w:highlight w:val="none"/>
        </w:rPr>
        <w:t>中国气象局政府采购中心</w:t>
      </w:r>
      <w:r>
        <w:rPr>
          <w:rFonts w:ascii="宋体" w:hAnsi="宋体" w:hint="eastAsia"/>
          <w:szCs w:val="21"/>
          <w:highlight w:val="none"/>
        </w:rPr>
        <w:t>（以下简称采购中心）</w:t>
      </w:r>
      <w:r>
        <w:rPr>
          <w:rFonts w:ascii="宋体" w:hAnsi="宋体"/>
          <w:szCs w:val="21"/>
          <w:highlight w:val="none"/>
        </w:rPr>
        <w:t>登记并领取</w:t>
      </w:r>
      <w:r>
        <w:rPr>
          <w:rFonts w:ascii="宋体" w:hAnsi="宋体" w:hint="eastAsia"/>
          <w:szCs w:val="21"/>
          <w:highlight w:val="none"/>
        </w:rPr>
        <w:t>或购买招标文件的；</w:t>
      </w:r>
    </w:p>
    <w:p w14:paraId="71EFE033">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1.3.2投标人应遵守《中华人民共和国政府采购法》、《中华人民共和国政府采购法实施条例》等法律法规，并符合《中华人民共和国政府采购法》第二十二条规定的条件，</w:t>
      </w:r>
      <w:r>
        <w:rPr>
          <w:rFonts w:hint="eastAsia"/>
          <w:bCs/>
          <w:highlight w:val="none"/>
        </w:rPr>
        <w:t>否则投标将被拒绝。</w:t>
      </w:r>
    </w:p>
    <w:p w14:paraId="70F6DB57">
      <w:pPr>
        <w:pStyle w:val="10"/>
        <w:numPr>
          <w:ilvl w:val="0"/>
          <w:numId w:val="0"/>
        </w:numPr>
        <w:tabs>
          <w:tab w:val="left" w:pos="1573"/>
        </w:tabs>
        <w:adjustRightInd w:val="0"/>
        <w:snapToGrid w:val="0"/>
        <w:spacing w:line="360" w:lineRule="auto"/>
        <w:ind w:firstLine="420" w:firstLineChars="200"/>
        <w:rPr>
          <w:bCs/>
          <w:highlight w:val="none"/>
        </w:rPr>
      </w:pPr>
      <w:r>
        <w:rPr>
          <w:rFonts w:hint="eastAsia"/>
          <w:highlight w:val="none"/>
        </w:rPr>
        <w:t>1.3.3</w:t>
      </w:r>
      <w:r>
        <w:rPr>
          <w:rFonts w:hint="eastAsia"/>
          <w:bCs/>
          <w:highlight w:val="none"/>
        </w:rPr>
        <w:t>具有</w:t>
      </w:r>
      <w:r>
        <w:rPr>
          <w:rFonts w:hint="eastAsia"/>
          <w:b/>
          <w:bCs/>
          <w:highlight w:val="none"/>
        </w:rPr>
        <w:t>第五章投标人须知专用部分5.2条</w:t>
      </w:r>
      <w:r>
        <w:rPr>
          <w:rFonts w:hint="eastAsia"/>
          <w:bCs/>
          <w:highlight w:val="none"/>
        </w:rPr>
        <w:t>规定的且至投标截止日仍有效的特殊资质条件，否则投标将被拒绝。</w:t>
      </w:r>
    </w:p>
    <w:p w14:paraId="0735C279">
      <w:pPr>
        <w:adjustRightInd w:val="0"/>
        <w:snapToGrid w:val="0"/>
        <w:spacing w:line="360" w:lineRule="auto"/>
        <w:ind w:firstLine="420" w:firstLineChars="200"/>
        <w:rPr>
          <w:highlight w:val="none"/>
        </w:rPr>
      </w:pPr>
      <w:r>
        <w:rPr>
          <w:rFonts w:ascii="宋体" w:hAnsi="宋体" w:hint="eastAsia"/>
          <w:highlight w:val="none"/>
        </w:rPr>
        <w:t>1.3.4单位</w:t>
      </w:r>
      <w:r>
        <w:rPr>
          <w:rFonts w:hint="eastAsia"/>
          <w:highlight w:val="none"/>
        </w:rPr>
        <w:t>负责人为同一人或者存在直接控股、管理关系的不同投标人，不得参加同一分包的政府采购活动，否则投标将被</w:t>
      </w:r>
      <w:r>
        <w:rPr>
          <w:rFonts w:hint="eastAsia"/>
          <w:b/>
          <w:highlight w:val="none"/>
        </w:rPr>
        <w:t>拒绝</w:t>
      </w:r>
      <w:r>
        <w:rPr>
          <w:rFonts w:hint="eastAsia"/>
          <w:highlight w:val="none"/>
        </w:rPr>
        <w:t>。</w:t>
      </w:r>
    </w:p>
    <w:p w14:paraId="349C2D92">
      <w:pPr>
        <w:tabs>
          <w:tab w:val="left" w:pos="1573"/>
        </w:tabs>
        <w:adjustRightInd w:val="0"/>
        <w:snapToGrid w:val="0"/>
        <w:spacing w:line="360" w:lineRule="auto"/>
        <w:ind w:firstLine="420" w:firstLineChars="200"/>
        <w:rPr>
          <w:highlight w:val="none"/>
        </w:rPr>
      </w:pPr>
      <w:r>
        <w:rPr>
          <w:rFonts w:ascii="宋体" w:hAnsi="宋体" w:hint="eastAsia"/>
          <w:highlight w:val="none"/>
        </w:rPr>
        <w:t>1.3.5</w:t>
      </w:r>
      <w:r>
        <w:rPr>
          <w:rFonts w:hint="eastAsia"/>
          <w:highlight w:val="none"/>
        </w:rPr>
        <w:t>本次招标是否允许</w:t>
      </w:r>
      <w:r>
        <w:rPr>
          <w:highlight w:val="none"/>
        </w:rPr>
        <w:t>由</w:t>
      </w:r>
      <w:r>
        <w:rPr>
          <w:rFonts w:hint="eastAsia"/>
          <w:highlight w:val="none"/>
        </w:rPr>
        <w:t>两个或两个以上投标人组成一个联合体以一个投标人身份共同投标，详见</w:t>
      </w:r>
      <w:r>
        <w:rPr>
          <w:rFonts w:hint="eastAsia"/>
          <w:b/>
          <w:bCs/>
          <w:highlight w:val="none"/>
        </w:rPr>
        <w:t>第五章投标人须知专用部分</w:t>
      </w:r>
      <w:r>
        <w:rPr>
          <w:rFonts w:hint="eastAsia"/>
          <w:highlight w:val="none"/>
        </w:rPr>
        <w:t>。如果不允许联合体投标，则联合体投标将被拒绝。如果允许联合体投标，联合体各方除符合上述规定外，还应符合下列要求：</w:t>
      </w:r>
    </w:p>
    <w:p w14:paraId="31278E1C">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（1）联合体应提供“联合体协议”，该协议书对联合体各方均具有法律约束力。联合体文件未附联合体协议的，其投标将被</w:t>
      </w:r>
      <w:r>
        <w:rPr>
          <w:rFonts w:eastAsia="拒绝" w:hint="eastAsia"/>
          <w:b/>
          <w:highlight w:val="none"/>
        </w:rPr>
        <w:t>拒绝</w:t>
      </w:r>
      <w:r>
        <w:rPr>
          <w:rFonts w:hint="eastAsia"/>
          <w:highlight w:val="none"/>
        </w:rPr>
        <w:t>。</w:t>
      </w:r>
    </w:p>
    <w:p w14:paraId="6AB71F8C">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（2）联合体各方均应当符合《中华人民共和国政府采购法》第二十二条第一款规定的条件。否则，其提交的联合投标将被</w:t>
      </w:r>
      <w:r>
        <w:rPr>
          <w:rFonts w:eastAsia="拒绝" w:hint="eastAsia"/>
          <w:b/>
          <w:highlight w:val="none"/>
        </w:rPr>
        <w:t>拒绝</w:t>
      </w:r>
      <w:r>
        <w:rPr>
          <w:rFonts w:hint="eastAsia"/>
          <w:highlight w:val="none"/>
        </w:rPr>
        <w:t>。</w:t>
      </w:r>
    </w:p>
    <w:p w14:paraId="63097CFE">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（3）联合体必须确定其中一方为全权代表参加投标活动，并承担投标及履约活动中的全部责任与义务，且</w:t>
      </w:r>
      <w:r>
        <w:rPr>
          <w:highlight w:val="none"/>
        </w:rPr>
        <w:t>联合</w:t>
      </w:r>
      <w:r>
        <w:rPr>
          <w:rFonts w:hint="eastAsia"/>
          <w:highlight w:val="none"/>
        </w:rPr>
        <w:t>体各方无论是否实际参加、发生的情形怎样，一旦该联合体实际开始投标，</w:t>
      </w:r>
      <w:r>
        <w:rPr>
          <w:highlight w:val="none"/>
        </w:rPr>
        <w:t>联合</w:t>
      </w:r>
      <w:r>
        <w:rPr>
          <w:rFonts w:hint="eastAsia"/>
          <w:highlight w:val="none"/>
        </w:rPr>
        <w:t>体各方均应当就本次采购所引起或相关的任何或所有事项、义务、责任、损失等承担连带责任。</w:t>
      </w:r>
    </w:p>
    <w:p w14:paraId="491D6FDE">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highlight w:val="none"/>
        </w:rPr>
        <w:t>拒绝</w:t>
      </w:r>
      <w:r>
        <w:rPr>
          <w:rFonts w:hint="eastAsia"/>
          <w:highlight w:val="none"/>
        </w:rPr>
        <w:t>。</w:t>
      </w:r>
    </w:p>
    <w:p w14:paraId="40DE0DB7">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（5）</w:t>
      </w:r>
      <w:r>
        <w:rPr>
          <w:highlight w:val="none"/>
        </w:rPr>
        <w:t>联合体中标后，</w:t>
      </w:r>
      <w:r>
        <w:rPr>
          <w:rFonts w:hint="eastAsia"/>
          <w:highlight w:val="none"/>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highlight w:val="none"/>
        </w:rPr>
        <w:t>为履行合同</w:t>
      </w:r>
      <w:r>
        <w:rPr>
          <w:rFonts w:hint="eastAsia"/>
          <w:highlight w:val="none"/>
        </w:rPr>
        <w:t>应</w:t>
      </w:r>
      <w:r>
        <w:rPr>
          <w:highlight w:val="none"/>
        </w:rPr>
        <w:t>向</w:t>
      </w:r>
      <w:r>
        <w:rPr>
          <w:rFonts w:hint="eastAsia"/>
          <w:highlight w:val="none"/>
        </w:rPr>
        <w:t>采购中心与采购人</w:t>
      </w:r>
      <w:r>
        <w:rPr>
          <w:highlight w:val="none"/>
        </w:rPr>
        <w:t>承担连带责任</w:t>
      </w:r>
      <w:r>
        <w:rPr>
          <w:rFonts w:hint="eastAsia"/>
          <w:highlight w:val="none"/>
        </w:rPr>
        <w:t>。</w:t>
      </w:r>
    </w:p>
    <w:p w14:paraId="780D42C9">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0C1B3B16">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3BE3B55E">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（8）联合体</w:t>
      </w:r>
      <w:r>
        <w:rPr>
          <w:highlight w:val="none"/>
        </w:rPr>
        <w:t>各方</w:t>
      </w:r>
      <w:r>
        <w:rPr>
          <w:rFonts w:hint="eastAsia"/>
          <w:highlight w:val="none"/>
        </w:rPr>
        <w:t>均</w:t>
      </w:r>
      <w:r>
        <w:rPr>
          <w:highlight w:val="none"/>
        </w:rPr>
        <w:t>不得</w:t>
      </w:r>
      <w:r>
        <w:rPr>
          <w:rFonts w:hint="eastAsia"/>
          <w:highlight w:val="none"/>
        </w:rPr>
        <w:t>同时</w:t>
      </w:r>
      <w:r>
        <w:rPr>
          <w:highlight w:val="none"/>
        </w:rPr>
        <w:t>再以自己</w:t>
      </w:r>
      <w:r>
        <w:rPr>
          <w:rFonts w:hint="eastAsia"/>
          <w:highlight w:val="none"/>
        </w:rPr>
        <w:t>独立</w:t>
      </w:r>
      <w:r>
        <w:rPr>
          <w:highlight w:val="none"/>
        </w:rPr>
        <w:t>的名义单独投标，也不得</w:t>
      </w:r>
      <w:r>
        <w:rPr>
          <w:rFonts w:hint="eastAsia"/>
          <w:highlight w:val="none"/>
        </w:rPr>
        <w:t>再</w:t>
      </w:r>
      <w:r>
        <w:rPr>
          <w:highlight w:val="none"/>
        </w:rPr>
        <w:t>同时参加</w:t>
      </w:r>
      <w:r>
        <w:rPr>
          <w:rFonts w:hint="eastAsia"/>
          <w:highlight w:val="none"/>
        </w:rPr>
        <w:t>其他</w:t>
      </w:r>
      <w:r>
        <w:rPr>
          <w:highlight w:val="none"/>
        </w:rPr>
        <w:t>的联合体</w:t>
      </w:r>
      <w:r>
        <w:rPr>
          <w:rFonts w:hint="eastAsia"/>
          <w:highlight w:val="none"/>
        </w:rPr>
        <w:t>。若该等情形被发现</w:t>
      </w:r>
      <w:r>
        <w:rPr>
          <w:highlight w:val="none"/>
        </w:rPr>
        <w:t>，其</w:t>
      </w:r>
      <w:r>
        <w:rPr>
          <w:rFonts w:hint="eastAsia"/>
          <w:highlight w:val="none"/>
        </w:rPr>
        <w:t>单独的</w:t>
      </w:r>
      <w:r>
        <w:rPr>
          <w:highlight w:val="none"/>
        </w:rPr>
        <w:t>投标和与此有关的联合体的投标</w:t>
      </w:r>
      <w:r>
        <w:rPr>
          <w:rFonts w:hint="eastAsia"/>
          <w:highlight w:val="none"/>
        </w:rPr>
        <w:t>均</w:t>
      </w:r>
      <w:r>
        <w:rPr>
          <w:highlight w:val="none"/>
        </w:rPr>
        <w:t>将被</w:t>
      </w:r>
      <w:r>
        <w:rPr>
          <w:rFonts w:hint="eastAsia"/>
          <w:highlight w:val="none"/>
        </w:rPr>
        <w:t>一并</w:t>
      </w:r>
      <w:r>
        <w:rPr>
          <w:rFonts w:eastAsia="拒绝"/>
          <w:b/>
          <w:highlight w:val="none"/>
        </w:rPr>
        <w:t>拒绝</w:t>
      </w:r>
      <w:r>
        <w:rPr>
          <w:rFonts w:hint="eastAsia"/>
          <w:highlight w:val="none"/>
        </w:rPr>
        <w:t>。</w:t>
      </w:r>
    </w:p>
    <w:p w14:paraId="5A1F37A4">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1.3.6以投标截止日为基准日，投标人之前三年存在不良信用记录的，其投标将被作为无效投标被</w:t>
      </w:r>
      <w:r>
        <w:rPr>
          <w:rFonts w:eastAsia="拒绝" w:hint="eastAsia"/>
          <w:b/>
          <w:highlight w:val="none"/>
        </w:rPr>
        <w:t>拒绝</w:t>
      </w:r>
      <w:r>
        <w:rPr>
          <w:rFonts w:hint="eastAsia"/>
          <w:highlight w:val="none"/>
        </w:rPr>
        <w:t>。</w:t>
      </w:r>
    </w:p>
    <w:p w14:paraId="3DBEC9EB">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（1）不良信用记录指存在下列情形之一：</w:t>
      </w:r>
    </w:p>
    <w:p w14:paraId="43ACBE8E">
      <w:pPr>
        <w:pStyle w:val="10"/>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1 \* GB3</w:instrText>
      </w:r>
      <w:r>
        <w:rPr>
          <w:highlight w:val="none"/>
        </w:rPr>
        <w:instrText xml:space="preserve"> </w:instrText>
      </w:r>
      <w:r>
        <w:rPr>
          <w:highlight w:val="none"/>
        </w:rPr>
        <w:fldChar w:fldCharType="separate"/>
      </w:r>
      <w:r>
        <w:rPr>
          <w:rFonts w:hint="eastAsia"/>
          <w:highlight w:val="none"/>
        </w:rPr>
        <w:t>①</w:t>
      </w:r>
      <w:r>
        <w:rPr>
          <w:highlight w:val="none"/>
        </w:rPr>
        <w:fldChar w:fldCharType="end"/>
      </w:r>
      <w:r>
        <w:rPr>
          <w:rFonts w:hint="eastAsia"/>
          <w:highlight w:val="none"/>
        </w:rPr>
        <w:t>被列入失信的被执行人；</w:t>
      </w:r>
    </w:p>
    <w:p w14:paraId="38512A00">
      <w:pPr>
        <w:pStyle w:val="10"/>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2 \* GB3</w:instrText>
      </w:r>
      <w:r>
        <w:rPr>
          <w:highlight w:val="none"/>
        </w:rPr>
        <w:instrText xml:space="preserve"> </w:instrText>
      </w:r>
      <w:r>
        <w:rPr>
          <w:highlight w:val="none"/>
        </w:rPr>
        <w:fldChar w:fldCharType="separate"/>
      </w:r>
      <w:r>
        <w:rPr>
          <w:rFonts w:hint="eastAsia"/>
          <w:highlight w:val="none"/>
        </w:rPr>
        <w:t>②</w:t>
      </w:r>
      <w:r>
        <w:rPr>
          <w:highlight w:val="none"/>
        </w:rPr>
        <w:fldChar w:fldCharType="end"/>
      </w:r>
      <w:r>
        <w:rPr>
          <w:rFonts w:hint="eastAsia"/>
          <w:highlight w:val="none"/>
        </w:rPr>
        <w:t>被列入重大税收违法案件当事人名单；</w:t>
      </w:r>
    </w:p>
    <w:p w14:paraId="147187DF">
      <w:pPr>
        <w:pStyle w:val="10"/>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3 \* GB3</w:instrText>
      </w:r>
      <w:r>
        <w:rPr>
          <w:highlight w:val="none"/>
        </w:rPr>
        <w:instrText xml:space="preserve"> </w:instrText>
      </w:r>
      <w:r>
        <w:rPr>
          <w:highlight w:val="none"/>
        </w:rPr>
        <w:fldChar w:fldCharType="separate"/>
      </w:r>
      <w:r>
        <w:rPr>
          <w:rFonts w:hint="eastAsia"/>
          <w:highlight w:val="none"/>
        </w:rPr>
        <w:t>③</w:t>
      </w:r>
      <w:r>
        <w:rPr>
          <w:highlight w:val="none"/>
        </w:rPr>
        <w:fldChar w:fldCharType="end"/>
      </w:r>
      <w:r>
        <w:rPr>
          <w:rFonts w:hint="eastAsia"/>
          <w:highlight w:val="none"/>
        </w:rPr>
        <w:t>被列入政府采购严重违法失信行为记录名单；</w:t>
      </w:r>
    </w:p>
    <w:p w14:paraId="18F08014">
      <w:pPr>
        <w:pStyle w:val="10"/>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4 \* GB3</w:instrText>
      </w:r>
      <w:r>
        <w:rPr>
          <w:highlight w:val="none"/>
        </w:rPr>
        <w:instrText xml:space="preserve"> </w:instrText>
      </w:r>
      <w:r>
        <w:rPr>
          <w:highlight w:val="none"/>
        </w:rPr>
        <w:fldChar w:fldCharType="separate"/>
      </w:r>
      <w:r>
        <w:rPr>
          <w:rFonts w:hint="eastAsia"/>
          <w:highlight w:val="none"/>
        </w:rPr>
        <w:t>④</w:t>
      </w:r>
      <w:r>
        <w:rPr>
          <w:highlight w:val="none"/>
        </w:rPr>
        <w:fldChar w:fldCharType="end"/>
      </w:r>
      <w:r>
        <w:rPr>
          <w:rFonts w:hint="eastAsia"/>
          <w:highlight w:val="none"/>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C83DCAD">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（2）联合体投标的，联合体任何成员存在以上不良信用记录的，视同联合体存在不良信用记录。</w:t>
      </w:r>
    </w:p>
    <w:p w14:paraId="26DB3E7B">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1B9077A5">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1.3.7投标人在投标过程中不得向采购人和采购中心提供、给予任何有价值的物品，一经发现，按照投标无效处理。</w:t>
      </w:r>
    </w:p>
    <w:p w14:paraId="0C67AFE1">
      <w:pPr>
        <w:tabs>
          <w:tab w:val="left" w:pos="8460"/>
        </w:tabs>
        <w:adjustRightInd w:val="0"/>
        <w:snapToGrid w:val="0"/>
        <w:spacing w:line="360" w:lineRule="auto"/>
        <w:ind w:firstLine="420" w:firstLineChars="200"/>
        <w:jc w:val="left"/>
        <w:rPr>
          <w:rFonts w:ascii="宋体" w:hAnsi="宋体" w:hint="eastAsia"/>
          <w:kern w:val="0"/>
          <w:szCs w:val="21"/>
          <w:highlight w:val="none"/>
        </w:rPr>
      </w:pPr>
      <w:r>
        <w:rPr>
          <w:rFonts w:ascii="宋体" w:hAnsi="宋体" w:hint="eastAsia"/>
          <w:kern w:val="0"/>
          <w:szCs w:val="21"/>
          <w:highlight w:val="none"/>
        </w:rPr>
        <w:t>1.3.8投标人没有其他不符合</w:t>
      </w:r>
      <w:r>
        <w:rPr>
          <w:rFonts w:ascii="宋体" w:hAnsi="宋体"/>
          <w:kern w:val="0"/>
          <w:szCs w:val="21"/>
          <w:highlight w:val="none"/>
        </w:rPr>
        <w:t>国家法律法规的</w:t>
      </w:r>
      <w:r>
        <w:rPr>
          <w:rFonts w:ascii="宋体" w:hAnsi="宋体" w:hint="eastAsia"/>
          <w:kern w:val="0"/>
          <w:szCs w:val="21"/>
          <w:highlight w:val="none"/>
        </w:rPr>
        <w:t>不合格</w:t>
      </w:r>
      <w:r>
        <w:rPr>
          <w:rFonts w:ascii="宋体" w:hAnsi="宋体"/>
          <w:kern w:val="0"/>
          <w:szCs w:val="21"/>
          <w:highlight w:val="none"/>
        </w:rPr>
        <w:t>投标人的情况</w:t>
      </w:r>
      <w:r>
        <w:rPr>
          <w:rFonts w:ascii="宋体" w:hAnsi="宋体" w:hint="eastAsia"/>
          <w:kern w:val="0"/>
          <w:szCs w:val="21"/>
          <w:highlight w:val="none"/>
        </w:rPr>
        <w:t>，以及</w:t>
      </w:r>
      <w:r>
        <w:rPr>
          <w:rFonts w:ascii="宋体" w:hAnsi="宋体"/>
          <w:kern w:val="0"/>
          <w:szCs w:val="21"/>
          <w:highlight w:val="none"/>
        </w:rPr>
        <w:t>本招标文件</w:t>
      </w:r>
      <w:r>
        <w:rPr>
          <w:rFonts w:ascii="宋体" w:hAnsi="宋体" w:hint="eastAsia"/>
          <w:kern w:val="0"/>
          <w:szCs w:val="21"/>
          <w:highlight w:val="none"/>
        </w:rPr>
        <w:t>所</w:t>
      </w:r>
      <w:r>
        <w:rPr>
          <w:rFonts w:ascii="宋体" w:hAnsi="宋体"/>
          <w:kern w:val="0"/>
          <w:szCs w:val="21"/>
          <w:highlight w:val="none"/>
        </w:rPr>
        <w:t>规定的</w:t>
      </w:r>
      <w:r>
        <w:rPr>
          <w:rFonts w:ascii="宋体" w:hAnsi="宋体" w:hint="eastAsia"/>
          <w:kern w:val="0"/>
          <w:szCs w:val="21"/>
          <w:highlight w:val="none"/>
        </w:rPr>
        <w:t>不合格</w:t>
      </w:r>
      <w:r>
        <w:rPr>
          <w:rFonts w:ascii="宋体" w:hAnsi="宋体"/>
          <w:kern w:val="0"/>
          <w:szCs w:val="21"/>
          <w:highlight w:val="none"/>
        </w:rPr>
        <w:t>投标人的情况</w:t>
      </w:r>
      <w:r>
        <w:rPr>
          <w:rFonts w:ascii="宋体" w:hAnsi="宋体" w:hint="eastAsia"/>
          <w:kern w:val="0"/>
          <w:szCs w:val="21"/>
          <w:highlight w:val="none"/>
        </w:rPr>
        <w:t>。否则投标将被拒绝。</w:t>
      </w:r>
    </w:p>
    <w:p w14:paraId="1B457775">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kern w:val="0"/>
          <w:highlight w:val="none"/>
        </w:rPr>
        <w:t>1.3.9</w:t>
      </w:r>
      <w:r>
        <w:rPr>
          <w:rFonts w:hint="eastAsia"/>
          <w:highlight w:val="none"/>
        </w:rPr>
        <w:t>如投标人授权代表不是法定代表人，须在投标函中具有法定代表人的授权，否则投标将被拒绝。</w:t>
      </w:r>
    </w:p>
    <w:p w14:paraId="2947944F">
      <w:pPr>
        <w:tabs>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1.4服务团队及驻场</w:t>
      </w:r>
    </w:p>
    <w:p w14:paraId="11B99BAE">
      <w:pPr>
        <w:tabs>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szCs w:val="21"/>
          <w:highlight w:val="none"/>
        </w:rPr>
        <w:t>1.4.1是否</w:t>
      </w:r>
      <w:r>
        <w:rPr>
          <w:rFonts w:ascii="宋体" w:hAnsi="宋体" w:hint="eastAsia"/>
          <w:bCs/>
          <w:szCs w:val="21"/>
          <w:highlight w:val="none"/>
        </w:rPr>
        <w:t>需要投标人组成专门的服务团队完成本项目所采购服务，见</w:t>
      </w:r>
      <w:r>
        <w:rPr>
          <w:rFonts w:ascii="宋体" w:hAnsi="宋体" w:hint="eastAsia"/>
          <w:b/>
          <w:bCs/>
          <w:szCs w:val="21"/>
          <w:highlight w:val="none"/>
        </w:rPr>
        <w:t>第五章投标人须知专用部分。</w:t>
      </w:r>
      <w:r>
        <w:rPr>
          <w:rFonts w:ascii="宋体" w:hAnsi="宋体" w:hint="eastAsia"/>
          <w:bCs/>
          <w:szCs w:val="21"/>
          <w:highlight w:val="none"/>
        </w:rPr>
        <w:t>如需要组成专门的服务团队，</w:t>
      </w:r>
      <w:r>
        <w:rPr>
          <w:rFonts w:ascii="宋体" w:hAnsi="宋体" w:hint="eastAsia"/>
          <w:szCs w:val="21"/>
          <w:highlight w:val="none"/>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highlight w:val="none"/>
        </w:rPr>
        <w:t>拒绝</w:t>
      </w:r>
      <w:r>
        <w:rPr>
          <w:rFonts w:ascii="宋体" w:hAnsi="宋体" w:hint="eastAsia"/>
          <w:szCs w:val="21"/>
          <w:highlight w:val="none"/>
        </w:rPr>
        <w:t>；如服务团队人数以及人员的能力、资质等不符合采购文件要求的，将可能导致评审时被扣除相关分数直至投标被</w:t>
      </w:r>
      <w:r>
        <w:rPr>
          <w:rFonts w:ascii="宋体" w:hAnsi="宋体" w:hint="eastAsia"/>
          <w:b/>
          <w:szCs w:val="21"/>
          <w:highlight w:val="none"/>
        </w:rPr>
        <w:t>拒绝</w:t>
      </w:r>
      <w:r>
        <w:rPr>
          <w:rFonts w:ascii="宋体" w:hAnsi="宋体" w:hint="eastAsia"/>
          <w:szCs w:val="21"/>
          <w:highlight w:val="none"/>
        </w:rPr>
        <w:t>（被拒绝投标的情形见</w:t>
      </w:r>
      <w:r>
        <w:rPr>
          <w:rFonts w:ascii="宋体" w:hAnsi="宋体" w:hint="eastAsia"/>
          <w:b/>
          <w:szCs w:val="21"/>
          <w:highlight w:val="none"/>
        </w:rPr>
        <w:t>第八章</w:t>
      </w:r>
      <w:r>
        <w:rPr>
          <w:rFonts w:hint="eastAsia"/>
          <w:b/>
          <w:szCs w:val="21"/>
          <w:highlight w:val="none"/>
        </w:rPr>
        <w:t>投标被拒绝条款专用部分</w:t>
      </w:r>
      <w:r>
        <w:rPr>
          <w:rFonts w:ascii="宋体" w:hAnsi="宋体" w:hint="eastAsia"/>
          <w:szCs w:val="21"/>
          <w:highlight w:val="none"/>
        </w:rPr>
        <w:t>）。</w:t>
      </w:r>
    </w:p>
    <w:p w14:paraId="7813405E">
      <w:pPr>
        <w:tabs>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Cs/>
          <w:szCs w:val="21"/>
          <w:highlight w:val="none"/>
        </w:rPr>
        <w:t>1.4.2投标人获得本项目采购合同后，在本项目实施过程中应保持服务团队人员特别是</w:t>
      </w:r>
      <w:r>
        <w:rPr>
          <w:rFonts w:ascii="宋体" w:hAnsi="宋体" w:hint="eastAsia"/>
          <w:szCs w:val="21"/>
          <w:highlight w:val="none"/>
        </w:rPr>
        <w:t>项目负责人（项目经理）</w:t>
      </w:r>
      <w:r>
        <w:rPr>
          <w:rFonts w:ascii="宋体" w:hAnsi="宋体" w:hint="eastAsia"/>
          <w:bCs/>
          <w:szCs w:val="21"/>
          <w:highlight w:val="none"/>
        </w:rPr>
        <w:t>的稳定。</w:t>
      </w:r>
      <w:r>
        <w:rPr>
          <w:rFonts w:ascii="宋体" w:hAnsi="宋体" w:hint="eastAsia"/>
          <w:szCs w:val="21"/>
          <w:highlight w:val="none"/>
        </w:rPr>
        <w:t>在本项目实施过程中如需要对</w:t>
      </w:r>
      <w:r>
        <w:rPr>
          <w:rFonts w:ascii="宋体" w:hAnsi="宋体" w:hint="eastAsia"/>
          <w:bCs/>
          <w:szCs w:val="21"/>
          <w:highlight w:val="none"/>
        </w:rPr>
        <w:t>团队人员调整，按以下规则执行：</w:t>
      </w:r>
    </w:p>
    <w:p w14:paraId="15D9035E">
      <w:pPr>
        <w:tabs>
          <w:tab w:val="left" w:pos="1573"/>
        </w:tabs>
        <w:adjustRightInd w:val="0"/>
        <w:snapToGrid w:val="0"/>
        <w:spacing w:line="360" w:lineRule="auto"/>
        <w:ind w:firstLine="315" w:firstLineChars="150"/>
        <w:rPr>
          <w:rFonts w:ascii="宋体" w:hAnsi="宋体" w:hint="eastAsia"/>
          <w:szCs w:val="21"/>
          <w:highlight w:val="none"/>
        </w:rPr>
      </w:pPr>
      <w:r>
        <w:rPr>
          <w:rFonts w:ascii="宋体" w:hAnsi="宋体" w:hint="eastAsia"/>
          <w:szCs w:val="21"/>
          <w:highlight w:val="none"/>
        </w:rPr>
        <w:t>（1）如采购人认为有必要调整团队有关人员，投标人应及时进行调整，并与采购人协商一致后，重新委派相关人员；</w:t>
      </w:r>
    </w:p>
    <w:p w14:paraId="7E21DC92">
      <w:pPr>
        <w:tabs>
          <w:tab w:val="left" w:pos="1573"/>
        </w:tabs>
        <w:adjustRightInd w:val="0"/>
        <w:snapToGrid w:val="0"/>
        <w:spacing w:line="360" w:lineRule="auto"/>
        <w:ind w:firstLine="315" w:firstLineChars="150"/>
        <w:rPr>
          <w:rFonts w:ascii="宋体" w:hAnsi="宋体" w:hint="eastAsia"/>
          <w:szCs w:val="21"/>
          <w:highlight w:val="none"/>
        </w:rPr>
      </w:pPr>
      <w:r>
        <w:rPr>
          <w:rFonts w:ascii="宋体" w:hAnsi="宋体" w:hint="eastAsia"/>
          <w:szCs w:val="21"/>
          <w:highlight w:val="none"/>
        </w:rPr>
        <w:t>（2）投标人未经采购人同意，不得自行调整团队人员；</w:t>
      </w:r>
    </w:p>
    <w:p w14:paraId="438A29F1">
      <w:pPr>
        <w:tabs>
          <w:tab w:val="left" w:pos="1573"/>
        </w:tabs>
        <w:adjustRightInd w:val="0"/>
        <w:snapToGrid w:val="0"/>
        <w:spacing w:line="360" w:lineRule="auto"/>
        <w:ind w:firstLine="315" w:firstLineChars="150"/>
        <w:rPr>
          <w:rFonts w:ascii="宋体" w:hAnsi="宋体" w:hint="eastAsia"/>
          <w:szCs w:val="21"/>
          <w:highlight w:val="none"/>
        </w:rPr>
      </w:pPr>
      <w:r>
        <w:rPr>
          <w:rFonts w:ascii="宋体" w:hAnsi="宋体" w:hint="eastAsia"/>
          <w:szCs w:val="21"/>
          <w:highlight w:val="none"/>
        </w:rPr>
        <w:t>（3）如团队相关人员因离职、伤病等不能继续实施本项目时，投标人应及时通知采购人，并与采购人协商一致后，重新委派相关人员；</w:t>
      </w:r>
    </w:p>
    <w:p w14:paraId="5EB23D9A">
      <w:pPr>
        <w:tabs>
          <w:tab w:val="left" w:pos="1573"/>
        </w:tabs>
        <w:adjustRightInd w:val="0"/>
        <w:snapToGrid w:val="0"/>
        <w:spacing w:line="360" w:lineRule="auto"/>
        <w:ind w:firstLine="315" w:firstLineChars="150"/>
        <w:rPr>
          <w:rFonts w:ascii="宋体" w:hAnsi="宋体" w:hint="eastAsia"/>
          <w:szCs w:val="21"/>
          <w:highlight w:val="none"/>
        </w:rPr>
      </w:pPr>
      <w:r>
        <w:rPr>
          <w:rFonts w:ascii="宋体" w:hAnsi="宋体" w:hint="eastAsia"/>
          <w:szCs w:val="21"/>
          <w:highlight w:val="none"/>
        </w:rPr>
        <w:t>（4）投标人重新委派的人员，其能力、资质、有关工作经历等应不低于原人员。</w:t>
      </w:r>
    </w:p>
    <w:p w14:paraId="1E5826CB">
      <w:pPr>
        <w:tabs>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szCs w:val="21"/>
          <w:highlight w:val="none"/>
        </w:rPr>
        <w:t>1.4.3服务团队是否需要驻场服务</w:t>
      </w:r>
      <w:r>
        <w:rPr>
          <w:rFonts w:ascii="宋体" w:hAnsi="宋体" w:hint="eastAsia"/>
          <w:bCs/>
          <w:szCs w:val="21"/>
          <w:highlight w:val="none"/>
        </w:rPr>
        <w:t>见</w:t>
      </w:r>
      <w:r>
        <w:rPr>
          <w:rFonts w:ascii="宋体" w:hAnsi="宋体" w:hint="eastAsia"/>
          <w:b/>
          <w:bCs/>
          <w:szCs w:val="21"/>
          <w:highlight w:val="none"/>
        </w:rPr>
        <w:t>第五章投标人须知专用部分。</w:t>
      </w:r>
      <w:r>
        <w:rPr>
          <w:rFonts w:ascii="宋体" w:hAnsi="宋体" w:hint="eastAsia"/>
          <w:szCs w:val="21"/>
          <w:highlight w:val="none"/>
        </w:rPr>
        <w:t>如需要驻场服务，但投标人不能提供驻场服务的，投标将被</w:t>
      </w:r>
      <w:r>
        <w:rPr>
          <w:rFonts w:ascii="宋体" w:hAnsi="宋体" w:hint="eastAsia"/>
          <w:b/>
          <w:szCs w:val="21"/>
          <w:highlight w:val="none"/>
        </w:rPr>
        <w:t>拒绝</w:t>
      </w:r>
      <w:r>
        <w:rPr>
          <w:rFonts w:ascii="宋体" w:hAnsi="宋体" w:hint="eastAsia"/>
          <w:szCs w:val="21"/>
          <w:highlight w:val="none"/>
        </w:rPr>
        <w:t>；如驻场服务人数、专业水平等不符合采购文件要求的，将可能导致评审时被扣除相关分数直至投标被</w:t>
      </w:r>
      <w:r>
        <w:rPr>
          <w:rFonts w:ascii="宋体" w:hAnsi="宋体" w:hint="eastAsia"/>
          <w:b/>
          <w:szCs w:val="21"/>
          <w:highlight w:val="none"/>
        </w:rPr>
        <w:t>拒绝</w:t>
      </w:r>
      <w:r>
        <w:rPr>
          <w:rFonts w:ascii="宋体" w:hAnsi="宋体" w:hint="eastAsia"/>
          <w:szCs w:val="21"/>
          <w:highlight w:val="none"/>
        </w:rPr>
        <w:t>（被拒绝投标的情形见</w:t>
      </w:r>
      <w:r>
        <w:rPr>
          <w:rFonts w:ascii="宋体" w:hAnsi="宋体" w:hint="eastAsia"/>
          <w:b/>
          <w:szCs w:val="21"/>
          <w:highlight w:val="none"/>
        </w:rPr>
        <w:t>第八章</w:t>
      </w:r>
      <w:r>
        <w:rPr>
          <w:rFonts w:hint="eastAsia"/>
          <w:b/>
          <w:szCs w:val="21"/>
          <w:highlight w:val="none"/>
        </w:rPr>
        <w:t>投标被拒绝条款专用部分</w:t>
      </w:r>
      <w:r>
        <w:rPr>
          <w:rFonts w:ascii="宋体" w:hAnsi="宋体" w:hint="eastAsia"/>
          <w:szCs w:val="21"/>
          <w:highlight w:val="none"/>
        </w:rPr>
        <w:t>）。</w:t>
      </w:r>
    </w:p>
    <w:p w14:paraId="3540A654">
      <w:pPr>
        <w:tabs>
          <w:tab w:val="left" w:pos="8460"/>
        </w:tabs>
        <w:adjustRightInd w:val="0"/>
        <w:snapToGrid w:val="0"/>
        <w:spacing w:line="360" w:lineRule="auto"/>
        <w:ind w:firstLine="420" w:firstLineChars="200"/>
        <w:jc w:val="left"/>
        <w:rPr>
          <w:rFonts w:ascii="宋体" w:hAnsi="宋体" w:hint="eastAsia"/>
          <w:b/>
          <w:szCs w:val="21"/>
          <w:highlight w:val="none"/>
        </w:rPr>
      </w:pPr>
      <w:r>
        <w:rPr>
          <w:rFonts w:ascii="宋体" w:hAnsi="宋体" w:hint="eastAsia"/>
          <w:b/>
          <w:szCs w:val="21"/>
          <w:highlight w:val="none"/>
        </w:rPr>
        <w:t>1.5采购货物的规定</w:t>
      </w:r>
    </w:p>
    <w:p w14:paraId="5BADC225">
      <w:pPr>
        <w:tabs>
          <w:tab w:val="left" w:pos="8460"/>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本次采购内容是否包括货物见</w:t>
      </w:r>
      <w:r>
        <w:rPr>
          <w:rFonts w:hint="eastAsia"/>
          <w:b/>
          <w:highlight w:val="none"/>
        </w:rPr>
        <w:t>第五章投标人须知专用部分。</w:t>
      </w:r>
      <w:r>
        <w:rPr>
          <w:rFonts w:ascii="宋体" w:hAnsi="宋体" w:hint="eastAsia"/>
          <w:szCs w:val="21"/>
          <w:highlight w:val="none"/>
        </w:rPr>
        <w:t>如本次采购内容包括货物，按以下规则执行：</w:t>
      </w:r>
    </w:p>
    <w:p w14:paraId="683193EC">
      <w:pPr>
        <w:tabs>
          <w:tab w:val="left" w:pos="8460"/>
        </w:tabs>
        <w:adjustRightInd w:val="0"/>
        <w:snapToGrid w:val="0"/>
        <w:spacing w:line="360" w:lineRule="auto"/>
        <w:ind w:firstLine="420" w:firstLineChars="200"/>
        <w:jc w:val="left"/>
        <w:rPr>
          <w:rFonts w:ascii="宋体" w:hAnsi="宋体" w:hint="eastAsia"/>
          <w:kern w:val="0"/>
          <w:szCs w:val="21"/>
          <w:highlight w:val="none"/>
        </w:rPr>
      </w:pPr>
      <w:r>
        <w:rPr>
          <w:rFonts w:ascii="宋体" w:hAnsi="宋体" w:hint="eastAsia"/>
          <w:szCs w:val="21"/>
          <w:highlight w:val="none"/>
        </w:rPr>
        <w:t>1.5.1</w:t>
      </w:r>
      <w:r>
        <w:rPr>
          <w:rFonts w:ascii="宋体" w:hAnsi="宋体" w:hint="eastAsia"/>
          <w:kern w:val="0"/>
          <w:szCs w:val="21"/>
          <w:highlight w:val="none"/>
        </w:rPr>
        <w:t>投标人所投标的货物如是国家法律、法规、政策禁止采购人采购的货物，或者投标人所投标的货物使用了国家法律、法规、政策禁止采购人采购的货物作为零件，投标将被拒绝。</w:t>
      </w:r>
    </w:p>
    <w:p w14:paraId="7F16C33E">
      <w:pPr>
        <w:tabs>
          <w:tab w:val="left" w:pos="8460"/>
        </w:tabs>
        <w:adjustRightInd w:val="0"/>
        <w:snapToGrid w:val="0"/>
        <w:spacing w:line="360" w:lineRule="auto"/>
        <w:ind w:firstLine="420" w:firstLineChars="200"/>
        <w:jc w:val="left"/>
        <w:rPr>
          <w:rFonts w:ascii="宋体" w:hAnsi="宋体" w:hint="eastAsia"/>
          <w:kern w:val="0"/>
          <w:szCs w:val="21"/>
          <w:highlight w:val="none"/>
        </w:rPr>
      </w:pPr>
      <w:r>
        <w:rPr>
          <w:rFonts w:ascii="宋体" w:hAnsi="宋体" w:hint="eastAsia"/>
          <w:highlight w:val="none"/>
        </w:rPr>
        <w:t>1.5.2如投</w:t>
      </w:r>
      <w:r>
        <w:rPr>
          <w:rFonts w:hint="eastAsia"/>
          <w:highlight w:val="none"/>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highlight w:val="none"/>
        </w:rPr>
        <w:t>拒绝。</w:t>
      </w:r>
      <w:r>
        <w:rPr>
          <w:rFonts w:hint="eastAsia"/>
          <w:highlight w:val="none"/>
        </w:rPr>
        <w:t>投标的货物是否必须取得《气象专用技术装备使用许可证》，见</w:t>
      </w:r>
      <w:r>
        <w:rPr>
          <w:rFonts w:hint="eastAsia"/>
          <w:b/>
          <w:highlight w:val="none"/>
        </w:rPr>
        <w:t>第五章投标人须知专用部分。</w:t>
      </w:r>
    </w:p>
    <w:p w14:paraId="733050C4">
      <w:pPr>
        <w:tabs>
          <w:tab w:val="left" w:pos="8460"/>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bCs/>
          <w:szCs w:val="21"/>
          <w:highlight w:val="none"/>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highlight w:val="none"/>
        </w:rPr>
        <w:t>本项目是否允许进口产品投标，见</w:t>
      </w:r>
      <w:r>
        <w:rPr>
          <w:rFonts w:ascii="宋体" w:hAnsi="宋体" w:hint="eastAsia"/>
          <w:b/>
          <w:bCs/>
          <w:szCs w:val="21"/>
          <w:highlight w:val="none"/>
        </w:rPr>
        <w:t>第五章投标人须知专用部分</w:t>
      </w:r>
      <w:r>
        <w:rPr>
          <w:rFonts w:ascii="宋体" w:hAnsi="宋体" w:hint="eastAsia"/>
          <w:szCs w:val="21"/>
          <w:highlight w:val="none"/>
        </w:rPr>
        <w:t>。</w:t>
      </w:r>
      <w:r>
        <w:rPr>
          <w:rFonts w:hint="eastAsia"/>
          <w:highlight w:val="none"/>
        </w:rPr>
        <w:t>不符合</w:t>
      </w:r>
      <w:r>
        <w:rPr>
          <w:rFonts w:hint="eastAsia"/>
          <w:b/>
          <w:highlight w:val="none"/>
        </w:rPr>
        <w:t>第五章投标人须知专用部分</w:t>
      </w:r>
      <w:r>
        <w:rPr>
          <w:rFonts w:hint="eastAsia"/>
          <w:highlight w:val="none"/>
        </w:rPr>
        <w:t>5.6条有关进口产品投标要求的，投标将被拒绝。</w:t>
      </w:r>
    </w:p>
    <w:p w14:paraId="1B9A4E20">
      <w:pPr>
        <w:pStyle w:val="10"/>
        <w:numPr>
          <w:ilvl w:val="0"/>
          <w:numId w:val="0"/>
        </w:numPr>
        <w:tabs>
          <w:tab w:val="left" w:pos="1573"/>
        </w:tabs>
        <w:adjustRightInd w:val="0"/>
        <w:snapToGrid w:val="0"/>
        <w:spacing w:line="360" w:lineRule="auto"/>
        <w:ind w:firstLine="420" w:firstLineChars="200"/>
        <w:rPr>
          <w:rFonts w:hint="eastAsia"/>
          <w:bCs/>
          <w:highlight w:val="none"/>
        </w:rPr>
      </w:pPr>
      <w:r>
        <w:rPr>
          <w:rFonts w:hint="eastAsia"/>
          <w:bCs/>
          <w:highlight w:val="none"/>
        </w:rPr>
        <w:t>1.5.4本次招标是否允许代理商（指投标人提供的货物不是自己制造的，下同）投标，以及进口产品代理商投标应</w:t>
      </w:r>
      <w:r>
        <w:rPr>
          <w:rFonts w:hint="eastAsia"/>
          <w:highlight w:val="none"/>
        </w:rPr>
        <w:t>提交资料详见</w:t>
      </w:r>
      <w:r>
        <w:rPr>
          <w:rFonts w:hint="eastAsia"/>
          <w:b/>
          <w:highlight w:val="none"/>
        </w:rPr>
        <w:t>第五章投标人须知专用部分</w:t>
      </w:r>
      <w:r>
        <w:rPr>
          <w:rFonts w:hint="eastAsia"/>
          <w:highlight w:val="none"/>
        </w:rPr>
        <w:t>。不符合</w:t>
      </w:r>
      <w:r>
        <w:rPr>
          <w:rFonts w:hint="eastAsia"/>
          <w:b/>
          <w:highlight w:val="none"/>
        </w:rPr>
        <w:t>第五章投标人须知专用部分5.6条</w:t>
      </w:r>
      <w:r>
        <w:rPr>
          <w:rFonts w:hint="eastAsia"/>
          <w:highlight w:val="none"/>
        </w:rPr>
        <w:t>有关代理商投标要求，以及进口产品代理商未按</w:t>
      </w:r>
      <w:r>
        <w:rPr>
          <w:rFonts w:hint="eastAsia"/>
          <w:b/>
          <w:highlight w:val="none"/>
        </w:rPr>
        <w:t>第五章投标人须知专用部分5.7条</w:t>
      </w:r>
      <w:r>
        <w:rPr>
          <w:rFonts w:hint="eastAsia"/>
          <w:highlight w:val="none"/>
        </w:rPr>
        <w:t>提交有关资料的，投标将被拒绝。</w:t>
      </w:r>
    </w:p>
    <w:p w14:paraId="0BB16011">
      <w:pPr>
        <w:tabs>
          <w:tab w:val="left" w:pos="846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highlight w:val="none"/>
        </w:rPr>
        <w:t>第六章评标方法和评标标准</w:t>
      </w:r>
      <w:r>
        <w:rPr>
          <w:rFonts w:ascii="宋体" w:hAnsi="宋体" w:hint="eastAsia"/>
          <w:szCs w:val="21"/>
          <w:highlight w:val="none"/>
        </w:rPr>
        <w:t>。</w:t>
      </w:r>
    </w:p>
    <w:p w14:paraId="049DA641">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1.6中小企业</w:t>
      </w:r>
    </w:p>
    <w:p w14:paraId="398C9F98">
      <w:pPr>
        <w:tabs>
          <w:tab w:val="left" w:pos="8460"/>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highlight w:val="none"/>
        </w:rPr>
        <w:t>见</w:t>
      </w:r>
      <w:r>
        <w:rPr>
          <w:rFonts w:hint="eastAsia"/>
          <w:b/>
          <w:highlight w:val="none"/>
        </w:rPr>
        <w:t>第五章投标人须知专用部分</w:t>
      </w:r>
      <w:r>
        <w:rPr>
          <w:rFonts w:ascii="宋体" w:hAnsi="宋体" w:hint="eastAsia"/>
          <w:szCs w:val="21"/>
          <w:highlight w:val="none"/>
        </w:rPr>
        <w:t>）确定的中型企业、小型企业、微型企业，但与大型企业的负责人为同一人，或者与大型企业存在直接控股、管理关系的除外；符合中小企业划分标准的个体工商户，视同中小企业。</w:t>
      </w:r>
    </w:p>
    <w:p w14:paraId="34EAB067">
      <w:pPr>
        <w:tabs>
          <w:tab w:val="left" w:pos="8460"/>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1.6.2以联合体形式参加本次采购活动的，如联合体各方均为中小企业，则联合体视同中小企业，其中联合体各方均为小微企业（小型和微型企业的简称，下同）的，则联合体视同小微企业。</w:t>
      </w:r>
    </w:p>
    <w:p w14:paraId="00E823EC">
      <w:pPr>
        <w:tabs>
          <w:tab w:val="left" w:pos="8460"/>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1.6.3本项目是否预留采购份额面向中小企业采购见</w:t>
      </w:r>
      <w:r>
        <w:rPr>
          <w:rFonts w:ascii="宋体" w:hAnsi="宋体" w:hint="eastAsia"/>
          <w:b/>
          <w:szCs w:val="21"/>
          <w:highlight w:val="none"/>
        </w:rPr>
        <w:t>第五章投标人须知专用部分。</w:t>
      </w:r>
      <w:r>
        <w:rPr>
          <w:rFonts w:ascii="宋体" w:hAnsi="宋体" w:hint="eastAsia"/>
          <w:szCs w:val="21"/>
          <w:highlight w:val="none"/>
        </w:rPr>
        <w:t>如是预留采购份额面向中小企业采购，投标人应按照</w:t>
      </w:r>
      <w:r>
        <w:rPr>
          <w:rFonts w:ascii="宋体" w:hAnsi="宋体" w:hint="eastAsia"/>
          <w:b/>
          <w:szCs w:val="21"/>
          <w:highlight w:val="none"/>
        </w:rPr>
        <w:t>第二章投标文件格式</w:t>
      </w:r>
      <w:r>
        <w:rPr>
          <w:rFonts w:ascii="宋体" w:hAnsi="宋体" w:hint="eastAsia"/>
          <w:szCs w:val="21"/>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highlight w:val="none"/>
        </w:rPr>
        <w:t>第二章投标文件格式</w:t>
      </w:r>
      <w:r>
        <w:rPr>
          <w:rFonts w:ascii="宋体" w:hAnsi="宋体" w:hint="eastAsia"/>
          <w:szCs w:val="21"/>
          <w:highlight w:val="none"/>
        </w:rPr>
        <w:t>）还应明确中小企业合同金额，且应达到合同总金额的30%以上（小微企业的比例不低于中小企业合同金额的60%），否则投标将被拒绝。</w:t>
      </w:r>
    </w:p>
    <w:p w14:paraId="212A1CFF">
      <w:pPr>
        <w:tabs>
          <w:tab w:val="left" w:pos="8460"/>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1.6.4 如本项目不是预留采购份额面向中小企业采购，则价格优惠政策如下：</w:t>
      </w:r>
    </w:p>
    <w:p w14:paraId="6A15478C">
      <w:pPr>
        <w:tabs>
          <w:tab w:val="left" w:pos="8460"/>
        </w:tabs>
        <w:adjustRightInd w:val="0"/>
        <w:snapToGrid w:val="0"/>
        <w:spacing w:line="360" w:lineRule="auto"/>
        <w:ind w:firstLine="420" w:firstLineChars="200"/>
        <w:jc w:val="left"/>
        <w:rPr>
          <w:rFonts w:ascii="宋体" w:hAnsi="宋体" w:cs="宋体" w:hint="eastAsia"/>
          <w:kern w:val="0"/>
          <w:szCs w:val="21"/>
          <w:highlight w:val="none"/>
        </w:rPr>
      </w:pPr>
      <w:r>
        <w:rPr>
          <w:rFonts w:ascii="宋体" w:hAnsi="宋体" w:hint="eastAsia"/>
          <w:szCs w:val="21"/>
          <w:highlight w:val="none"/>
        </w:rPr>
        <w:t>（1）对小微企业的报价，</w:t>
      </w:r>
      <w:r>
        <w:rPr>
          <w:rFonts w:ascii="宋体" w:hAnsi="宋体" w:cs="宋体" w:hint="eastAsia"/>
          <w:kern w:val="0"/>
          <w:szCs w:val="21"/>
          <w:highlight w:val="none"/>
        </w:rPr>
        <w:t>将给予10%的扣除，用扣除后的价格参加评审；</w:t>
      </w:r>
    </w:p>
    <w:p w14:paraId="336127B8">
      <w:pPr>
        <w:tabs>
          <w:tab w:val="left" w:pos="8460"/>
        </w:tabs>
        <w:adjustRightInd w:val="0"/>
        <w:snapToGrid w:val="0"/>
        <w:spacing w:line="360" w:lineRule="auto"/>
        <w:ind w:firstLine="420" w:firstLineChars="200"/>
        <w:jc w:val="left"/>
        <w:rPr>
          <w:rFonts w:ascii="宋体" w:hAnsi="宋体" w:cs="宋体" w:hint="eastAsia"/>
          <w:kern w:val="0"/>
          <w:szCs w:val="21"/>
          <w:highlight w:val="none"/>
        </w:rPr>
      </w:pPr>
      <w:r>
        <w:rPr>
          <w:rFonts w:ascii="宋体" w:hAnsi="宋体" w:cs="宋体" w:hint="eastAsia"/>
          <w:kern w:val="0"/>
          <w:szCs w:val="21"/>
          <w:highlight w:val="none"/>
        </w:rPr>
        <w:t>（2）允许联合体投标的情况下，如投标人是</w:t>
      </w:r>
      <w:r>
        <w:rPr>
          <w:rFonts w:ascii="宋体" w:hAnsi="宋体" w:hint="eastAsia"/>
          <w:szCs w:val="21"/>
          <w:highlight w:val="none"/>
        </w:rPr>
        <w:t>大中型企业与小微企业组成的联合体</w:t>
      </w:r>
      <w:r>
        <w:rPr>
          <w:rFonts w:ascii="宋体" w:hAnsi="宋体" w:cs="宋体" w:hint="eastAsia"/>
          <w:kern w:val="0"/>
          <w:szCs w:val="21"/>
          <w:highlight w:val="none"/>
        </w:rPr>
        <w:t>，</w:t>
      </w:r>
      <w:r>
        <w:rPr>
          <w:rFonts w:ascii="宋体" w:hAnsi="宋体" w:hint="eastAsia"/>
          <w:szCs w:val="21"/>
          <w:highlight w:val="none"/>
        </w:rPr>
        <w:t>且联合体协议约定小微企业的合同份额占到合同总金额30%以上的，</w:t>
      </w:r>
      <w:r>
        <w:rPr>
          <w:rFonts w:ascii="宋体" w:hAnsi="宋体" w:cs="宋体" w:hint="eastAsia"/>
          <w:kern w:val="0"/>
          <w:szCs w:val="21"/>
          <w:highlight w:val="none"/>
        </w:rPr>
        <w:t>将对其投标报价给予4%的扣除，用扣除后的价格参加评审；</w:t>
      </w:r>
    </w:p>
    <w:p w14:paraId="5E445021">
      <w:pPr>
        <w:tabs>
          <w:tab w:val="left" w:pos="8460"/>
        </w:tabs>
        <w:adjustRightInd w:val="0"/>
        <w:snapToGrid w:val="0"/>
        <w:spacing w:line="360" w:lineRule="auto"/>
        <w:ind w:firstLine="420" w:firstLineChars="200"/>
        <w:jc w:val="left"/>
        <w:rPr>
          <w:rFonts w:ascii="宋体" w:hAnsi="宋体" w:cs="宋体" w:hint="eastAsia"/>
          <w:kern w:val="0"/>
          <w:szCs w:val="21"/>
          <w:highlight w:val="none"/>
        </w:rPr>
      </w:pPr>
      <w:r>
        <w:rPr>
          <w:rFonts w:ascii="宋体" w:hAnsi="宋体" w:hint="eastAsia"/>
          <w:szCs w:val="21"/>
          <w:highlight w:val="none"/>
        </w:rPr>
        <w:t>（3）在允许分包的情况下，如</w:t>
      </w:r>
      <w:r>
        <w:rPr>
          <w:rFonts w:ascii="宋体" w:hAnsi="宋体" w:cs="宋体" w:hint="eastAsia"/>
          <w:kern w:val="0"/>
          <w:szCs w:val="21"/>
          <w:highlight w:val="none"/>
        </w:rPr>
        <w:t>投标人是</w:t>
      </w:r>
      <w:r>
        <w:rPr>
          <w:rFonts w:ascii="宋体" w:hAnsi="宋体" w:hint="eastAsia"/>
          <w:szCs w:val="21"/>
          <w:highlight w:val="none"/>
        </w:rPr>
        <w:t>大中型企业并承诺向一家或者多家小微企业分包，且分包意向协议约定小微企业的合同份额占到合同总金额30%以上的，</w:t>
      </w:r>
      <w:r>
        <w:rPr>
          <w:rFonts w:ascii="宋体" w:hAnsi="宋体" w:cs="宋体" w:hint="eastAsia"/>
          <w:kern w:val="0"/>
          <w:szCs w:val="21"/>
          <w:highlight w:val="none"/>
        </w:rPr>
        <w:t>将对其投标报价给予4%的扣除，用扣除后的价格参加评审。</w:t>
      </w:r>
    </w:p>
    <w:p w14:paraId="181D61F9">
      <w:pPr>
        <w:tabs>
          <w:tab w:val="left" w:pos="8460"/>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highlight w:val="none"/>
        </w:rPr>
        <w:t>第二章投标文件格式</w:t>
      </w:r>
      <w:r>
        <w:rPr>
          <w:rFonts w:ascii="宋体" w:hAnsi="宋体" w:hint="eastAsia"/>
          <w:szCs w:val="21"/>
          <w:highlight w:val="none"/>
        </w:rPr>
        <w:t>的要求提供《残疾人福利性单位声明函》并对其真实性负责，在本次采购活动中视同小微企业。</w:t>
      </w:r>
    </w:p>
    <w:p w14:paraId="65F84DE2">
      <w:pPr>
        <w:tabs>
          <w:tab w:val="left" w:pos="8460"/>
        </w:tabs>
        <w:adjustRightInd w:val="0"/>
        <w:snapToGrid w:val="0"/>
        <w:spacing w:line="360" w:lineRule="auto"/>
        <w:ind w:firstLine="420" w:firstLineChars="200"/>
        <w:jc w:val="left"/>
        <w:rPr>
          <w:rFonts w:ascii="宋体" w:hAnsi="宋体" w:cs="宋体" w:hint="eastAsia"/>
          <w:kern w:val="0"/>
          <w:szCs w:val="21"/>
          <w:highlight w:val="none"/>
        </w:rPr>
      </w:pPr>
      <w:r>
        <w:rPr>
          <w:rFonts w:ascii="宋体" w:hAnsi="宋体" w:hint="eastAsia"/>
          <w:szCs w:val="21"/>
          <w:highlight w:val="none"/>
        </w:rPr>
        <w:t>1.6.6享受中小企业扶持政策获得本项目政府采购合同的，小微企业不得将合同分包给大中型企业，中型企业不得将合同分包给大型企业。</w:t>
      </w:r>
    </w:p>
    <w:p w14:paraId="301F14AE">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1.7串通投标</w:t>
      </w:r>
    </w:p>
    <w:p w14:paraId="1F3FAA4B">
      <w:pPr>
        <w:tabs>
          <w:tab w:val="left" w:pos="8460"/>
        </w:tabs>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rPr>
        <w:t>1.7.1</w:t>
      </w:r>
      <w:r>
        <w:rPr>
          <w:rFonts w:ascii="宋体" w:hAnsi="宋体" w:hint="eastAsia"/>
          <w:szCs w:val="21"/>
          <w:highlight w:val="none"/>
          <w:shd w:val="clear" w:color="auto" w:fill="FFFFFF"/>
        </w:rPr>
        <w:t>有下列情形之一的，属于投标人相互串通投标，按照投标无效处理：</w:t>
      </w:r>
    </w:p>
    <w:p w14:paraId="143E4AEC">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（1）法定代表人为同一人的投标人，同时参与本次招标相同包的投标；</w:t>
      </w:r>
    </w:p>
    <w:p w14:paraId="664B316A">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shd w:val="clear" w:color="auto" w:fill="FFFFFF"/>
        </w:rPr>
        <w:t>（2）投标人之间协商投标报价、技术方案等投标文件的实质性内容；</w:t>
      </w:r>
    </w:p>
    <w:p w14:paraId="6FA54A55">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shd w:val="clear" w:color="auto" w:fill="FFFFFF"/>
        </w:rPr>
        <w:t>（3）投标人之间约定中标人；</w:t>
      </w:r>
    </w:p>
    <w:p w14:paraId="089EDBDA">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shd w:val="clear" w:color="auto" w:fill="FFFFFF"/>
        </w:rPr>
        <w:t>（4）投标人之间约定部分投标人放弃投标或者中标；</w:t>
      </w:r>
    </w:p>
    <w:p w14:paraId="123850AC">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shd w:val="clear" w:color="auto" w:fill="FFFFFF"/>
        </w:rPr>
        <w:t>（5）属于同一集团、协会、商会等组织成员的投标人按照该组织要求协同投标</w:t>
      </w:r>
      <w:r>
        <w:rPr>
          <w:rFonts w:ascii="宋体" w:hAnsi="宋体" w:hint="eastAsia"/>
          <w:szCs w:val="21"/>
          <w:highlight w:val="none"/>
        </w:rPr>
        <w:t>；</w:t>
      </w:r>
    </w:p>
    <w:p w14:paraId="42A44006">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rPr>
        <w:t>（6）</w:t>
      </w:r>
      <w:r>
        <w:rPr>
          <w:rFonts w:ascii="宋体" w:hAnsi="宋体" w:hint="eastAsia"/>
          <w:szCs w:val="21"/>
          <w:highlight w:val="none"/>
          <w:shd w:val="clear" w:color="auto" w:fill="FFFFFF"/>
        </w:rPr>
        <w:t>投标人之间为谋取中标或者排斥特定投标人而采取的其他联合行动。</w:t>
      </w:r>
    </w:p>
    <w:p w14:paraId="1018FFE2">
      <w:pPr>
        <w:adjustRightInd w:val="0"/>
        <w:snapToGrid w:val="0"/>
        <w:spacing w:line="360" w:lineRule="auto"/>
        <w:ind w:firstLine="480"/>
        <w:jc w:val="left"/>
        <w:rPr>
          <w:rFonts w:ascii="宋体" w:hAnsi="宋体"/>
          <w:szCs w:val="21"/>
          <w:highlight w:val="none"/>
          <w:shd w:val="clear" w:color="auto" w:fill="FFFFFF"/>
        </w:rPr>
      </w:pPr>
      <w:r>
        <w:rPr>
          <w:rFonts w:ascii="宋体" w:hAnsi="宋体" w:hint="eastAsia"/>
          <w:szCs w:val="21"/>
          <w:highlight w:val="none"/>
        </w:rPr>
        <w:t>1.7.2</w:t>
      </w:r>
      <w:r>
        <w:rPr>
          <w:rFonts w:ascii="宋体" w:hAnsi="宋体" w:hint="eastAsia"/>
          <w:szCs w:val="21"/>
          <w:highlight w:val="none"/>
          <w:shd w:val="clear" w:color="auto" w:fill="FFFFFF"/>
        </w:rPr>
        <w:t>有下列情形之一的，视为投标人相互串通投标，按照投标无效处理：</w:t>
      </w:r>
    </w:p>
    <w:p w14:paraId="7B4888D2">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shd w:val="clear" w:color="auto" w:fill="FFFFFF"/>
        </w:rPr>
        <w:t>（1）不同投标人的投标文件由同一单位或者个人编制；</w:t>
      </w:r>
    </w:p>
    <w:p w14:paraId="05C6D457">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shd w:val="clear" w:color="auto" w:fill="FFFFFF"/>
        </w:rPr>
        <w:t>（2）不同投标人委托同一单位或者个人办理投标事宜；</w:t>
      </w:r>
    </w:p>
    <w:p w14:paraId="494BBFFC">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shd w:val="clear" w:color="auto" w:fill="FFFFFF"/>
        </w:rPr>
        <w:t>（3）不同投标人的投标文件载明的项目管理成员、联系人为同一人。联系电话、传真、电子邮箱等相同的视同为同一人；</w:t>
      </w:r>
    </w:p>
    <w:p w14:paraId="044F3756">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shd w:val="clear" w:color="auto" w:fill="FFFFFF"/>
        </w:rPr>
        <w:t>（4）不同投标人的投标文件异常一致或者投标报价呈规律性差异；</w:t>
      </w:r>
    </w:p>
    <w:p w14:paraId="562E6516">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shd w:val="clear" w:color="auto" w:fill="FFFFFF"/>
        </w:rPr>
        <w:t>（5）不同投标人的投标文件相互混装；</w:t>
      </w:r>
    </w:p>
    <w:p w14:paraId="7764E98F">
      <w:pPr>
        <w:adjustRightInd w:val="0"/>
        <w:snapToGrid w:val="0"/>
        <w:spacing w:line="360" w:lineRule="auto"/>
        <w:ind w:firstLine="420" w:firstLineChars="200"/>
        <w:jc w:val="left"/>
        <w:rPr>
          <w:rFonts w:ascii="宋体" w:hAnsi="宋体"/>
          <w:szCs w:val="21"/>
          <w:highlight w:val="none"/>
          <w:shd w:val="clear" w:color="auto" w:fill="FFFFFF"/>
        </w:rPr>
      </w:pPr>
      <w:r>
        <w:rPr>
          <w:rFonts w:ascii="宋体" w:hAnsi="宋体" w:hint="eastAsia"/>
          <w:szCs w:val="21"/>
          <w:highlight w:val="none"/>
          <w:shd w:val="clear" w:color="auto" w:fill="FFFFFF"/>
        </w:rPr>
        <w:t>（6）不同投标人的投标保证金从同一单位或者同一个人的账户转出；</w:t>
      </w:r>
    </w:p>
    <w:p w14:paraId="3FCBE654">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（7）不同投标人的投标文件为同一人签字。</w:t>
      </w:r>
    </w:p>
    <w:p w14:paraId="6C4A0EE0">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highlight w:val="none"/>
        </w:rPr>
        <w:t>拒绝</w:t>
      </w:r>
      <w:r>
        <w:rPr>
          <w:rFonts w:ascii="宋体" w:hAnsi="宋体" w:hint="eastAsia"/>
          <w:szCs w:val="21"/>
          <w:highlight w:val="none"/>
        </w:rPr>
        <w:t>并不予退还其投标保证金，并视情况依法追究责任。</w:t>
      </w:r>
    </w:p>
    <w:p w14:paraId="1FE18DF8">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1.8采购预算</w:t>
      </w:r>
    </w:p>
    <w:p w14:paraId="7574CC12">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招标公告或投标邀请书中所述的采购人已经落实本次采购标的物的采购</w:t>
      </w:r>
      <w:r>
        <w:rPr>
          <w:rFonts w:ascii="宋体" w:hAnsi="宋体"/>
          <w:szCs w:val="21"/>
          <w:highlight w:val="none"/>
        </w:rPr>
        <w:t>预算</w:t>
      </w:r>
      <w:r>
        <w:rPr>
          <w:rFonts w:ascii="宋体" w:hAnsi="宋体" w:hint="eastAsia"/>
          <w:szCs w:val="21"/>
          <w:highlight w:val="none"/>
        </w:rPr>
        <w:t>。</w:t>
      </w:r>
    </w:p>
    <w:p w14:paraId="7A4A4257">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1.9投标费用</w:t>
      </w:r>
    </w:p>
    <w:p w14:paraId="7FF874BF">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1.9.1投标人应承担所有与准备和参加投标有关的费用。不论结果如何，采购人和采购中心均无义务和责任承担这些费用。</w:t>
      </w:r>
    </w:p>
    <w:p w14:paraId="04D9E2BF">
      <w:pPr>
        <w:adjustRightInd w:val="0"/>
        <w:snapToGrid w:val="0"/>
        <w:spacing w:line="360" w:lineRule="auto"/>
        <w:ind w:firstLine="420" w:firstLineChars="200"/>
        <w:jc w:val="left"/>
        <w:rPr>
          <w:rFonts w:ascii="宋体" w:hAnsi="宋体" w:hint="eastAsia"/>
          <w:bCs/>
          <w:szCs w:val="21"/>
          <w:highlight w:val="none"/>
        </w:rPr>
      </w:pPr>
      <w:r>
        <w:rPr>
          <w:rFonts w:ascii="宋体" w:hAnsi="宋体" w:hint="eastAsia"/>
          <w:szCs w:val="21"/>
          <w:highlight w:val="none"/>
        </w:rPr>
        <w:t>1.9.2中标人是否交纳代理服务费见</w:t>
      </w:r>
      <w:r>
        <w:rPr>
          <w:rFonts w:ascii="宋体" w:hAnsi="宋体" w:hint="eastAsia"/>
          <w:b/>
          <w:bCs/>
          <w:szCs w:val="21"/>
          <w:highlight w:val="none"/>
        </w:rPr>
        <w:t>第五章投标人须知专用部分</w:t>
      </w:r>
      <w:r>
        <w:rPr>
          <w:rFonts w:ascii="宋体" w:hAnsi="宋体" w:hint="eastAsia"/>
          <w:bCs/>
          <w:szCs w:val="21"/>
          <w:highlight w:val="none"/>
        </w:rPr>
        <w:t>。</w:t>
      </w:r>
    </w:p>
    <w:p w14:paraId="071E3BFA">
      <w:pPr>
        <w:adjustRightInd w:val="0"/>
        <w:snapToGrid w:val="0"/>
        <w:spacing w:line="360" w:lineRule="auto"/>
        <w:ind w:firstLine="420" w:firstLineChars="200"/>
        <w:jc w:val="left"/>
        <w:rPr>
          <w:rFonts w:ascii="宋体" w:hAnsi="宋体" w:hint="eastAsia"/>
          <w:szCs w:val="21"/>
          <w:highlight w:val="none"/>
        </w:rPr>
      </w:pPr>
      <w:r>
        <w:rPr>
          <w:rFonts w:ascii="宋体" w:hAnsi="宋体" w:hint="eastAsia"/>
          <w:bCs/>
          <w:szCs w:val="21"/>
          <w:highlight w:val="none"/>
        </w:rPr>
        <w:t>（1）如</w:t>
      </w:r>
      <w:r>
        <w:rPr>
          <w:rFonts w:ascii="宋体" w:hAnsi="宋体" w:hint="eastAsia"/>
          <w:szCs w:val="21"/>
          <w:highlight w:val="none"/>
        </w:rPr>
        <w:t>中标人无须交纳代理服务费，请投标人勿将此项计入报价。</w:t>
      </w:r>
    </w:p>
    <w:p w14:paraId="4BF2B51F">
      <w:pPr>
        <w:adjustRightInd w:val="0"/>
        <w:snapToGrid w:val="0"/>
        <w:spacing w:line="360" w:lineRule="auto"/>
        <w:ind w:firstLine="420" w:firstLineChars="200"/>
        <w:jc w:val="left"/>
        <w:rPr>
          <w:rFonts w:hint="eastAsia"/>
          <w:highlight w:val="none"/>
        </w:rPr>
      </w:pPr>
      <w:r>
        <w:rPr>
          <w:rFonts w:ascii="宋体" w:hAnsi="宋体" w:hint="eastAsia"/>
          <w:szCs w:val="21"/>
          <w:highlight w:val="none"/>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32C7B97">
      <w:pPr>
        <w:adjustRightInd w:val="0"/>
        <w:snapToGrid w:val="0"/>
        <w:spacing w:line="360" w:lineRule="auto"/>
        <w:ind w:firstLine="420" w:firstLineChars="200"/>
        <w:jc w:val="left"/>
        <w:rPr>
          <w:rFonts w:hint="eastAsia"/>
          <w:highlight w:val="none"/>
        </w:rPr>
      </w:pPr>
      <w:r>
        <w:rPr>
          <w:rFonts w:hint="eastAsia"/>
          <w:highlight w:val="none"/>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0A2B352E">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（4）收款单位和银行账户：</w:t>
      </w:r>
    </w:p>
    <w:p w14:paraId="4D732FED">
      <w:pPr>
        <w:tabs>
          <w:tab w:val="left" w:pos="1573"/>
        </w:tabs>
        <w:adjustRightInd w:val="0"/>
        <w:snapToGrid w:val="0"/>
        <w:spacing w:line="360" w:lineRule="auto"/>
        <w:ind w:firstLine="1050" w:firstLineChars="500"/>
        <w:rPr>
          <w:rFonts w:ascii="宋体" w:hAnsi="宋体"/>
          <w:szCs w:val="21"/>
          <w:highlight w:val="none"/>
        </w:rPr>
      </w:pPr>
      <w:r>
        <w:rPr>
          <w:rFonts w:ascii="宋体" w:hAnsi="宋体" w:hint="eastAsia"/>
          <w:szCs w:val="21"/>
          <w:highlight w:val="none"/>
        </w:rPr>
        <w:t>收款单位：</w:t>
      </w:r>
      <w:r>
        <w:rPr>
          <w:rFonts w:ascii="宋体" w:hAnsi="宋体" w:hint="eastAsia"/>
          <w:b/>
          <w:szCs w:val="21"/>
          <w:highlight w:val="none"/>
        </w:rPr>
        <w:t>中国气象局气象发展与规划院</w:t>
      </w:r>
    </w:p>
    <w:p w14:paraId="17065FC5">
      <w:pPr>
        <w:tabs>
          <w:tab w:val="left" w:pos="1573"/>
        </w:tabs>
        <w:adjustRightInd w:val="0"/>
        <w:snapToGrid w:val="0"/>
        <w:spacing w:line="360" w:lineRule="auto"/>
        <w:ind w:firstLine="1050" w:firstLineChars="500"/>
        <w:rPr>
          <w:rFonts w:ascii="宋体" w:hAnsi="宋体"/>
          <w:szCs w:val="21"/>
          <w:highlight w:val="none"/>
        </w:rPr>
      </w:pPr>
      <w:r>
        <w:rPr>
          <w:rFonts w:ascii="宋体" w:hAnsi="宋体" w:hint="eastAsia"/>
          <w:szCs w:val="21"/>
          <w:highlight w:val="none"/>
        </w:rPr>
        <w:t>开 户 行：中国建设银行北京白石桥支行</w:t>
      </w:r>
    </w:p>
    <w:p w14:paraId="33CA3D20">
      <w:pPr>
        <w:tabs>
          <w:tab w:val="left" w:pos="1573"/>
        </w:tabs>
        <w:adjustRightInd w:val="0"/>
        <w:snapToGrid w:val="0"/>
        <w:spacing w:line="360" w:lineRule="auto"/>
        <w:ind w:firstLine="1050" w:firstLineChars="500"/>
        <w:rPr>
          <w:rFonts w:ascii="宋体" w:hAnsi="宋体"/>
          <w:szCs w:val="21"/>
          <w:highlight w:val="none"/>
        </w:rPr>
      </w:pPr>
      <w:r>
        <w:rPr>
          <w:rFonts w:ascii="宋体" w:hAnsi="宋体" w:hint="eastAsia"/>
          <w:szCs w:val="21"/>
          <w:highlight w:val="none"/>
        </w:rPr>
        <w:t>银行账号：11001028600059261048</w:t>
      </w:r>
    </w:p>
    <w:p w14:paraId="5B6BE86A">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1.10通知</w:t>
      </w:r>
    </w:p>
    <w:p w14:paraId="44924B4E">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05FE56B1">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1.10.2本项目招标公告的公告期限为5个工作日，中标公告的公告期限为1个工作日。</w:t>
      </w:r>
    </w:p>
    <w:p w14:paraId="258D409E">
      <w:pPr>
        <w:adjustRightInd w:val="0"/>
        <w:snapToGrid w:val="0"/>
        <w:spacing w:line="360" w:lineRule="auto"/>
        <w:ind w:firstLine="412" w:firstLineChars="196"/>
        <w:jc w:val="left"/>
        <w:outlineLvl w:val="2"/>
        <w:rPr>
          <w:rFonts w:ascii="宋体" w:hAnsi="宋体"/>
          <w:b/>
          <w:szCs w:val="21"/>
          <w:highlight w:val="none"/>
        </w:rPr>
      </w:pPr>
      <w:r>
        <w:rPr>
          <w:rFonts w:ascii="宋体" w:hAnsi="宋体" w:hint="eastAsia"/>
          <w:b/>
          <w:szCs w:val="21"/>
          <w:highlight w:val="none"/>
        </w:rPr>
        <w:t>二、招标文件</w:t>
      </w:r>
    </w:p>
    <w:p w14:paraId="0C421895">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1.11招标文件的组成</w:t>
      </w:r>
    </w:p>
    <w:p w14:paraId="48F0B012">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招标文件由通用部分、专用部分和采购合同构成，具体</w:t>
      </w:r>
      <w:r>
        <w:rPr>
          <w:highlight w:val="none"/>
        </w:rPr>
        <w:t>包括：</w:t>
      </w:r>
    </w:p>
    <w:p w14:paraId="00CF0D67">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第一分册  通用部分</w:t>
      </w:r>
    </w:p>
    <w:p w14:paraId="20D5A168">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第一章  投标人须知通用部分</w:t>
      </w:r>
    </w:p>
    <w:p w14:paraId="6C8668FA">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第二章  投标文件格式</w:t>
      </w:r>
    </w:p>
    <w:p w14:paraId="03459840">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第三章  投标被拒绝条款通用部分</w:t>
      </w:r>
    </w:p>
    <w:p w14:paraId="04895C8E">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第二分册  专用部分</w:t>
      </w:r>
    </w:p>
    <w:p w14:paraId="47109852">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第四章  投标邀请书</w:t>
      </w:r>
    </w:p>
    <w:p w14:paraId="59986D9A">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第五章  投标人须知专用部分</w:t>
      </w:r>
    </w:p>
    <w:p w14:paraId="260D24B9">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第六章  评标方法和评标标准</w:t>
      </w:r>
    </w:p>
    <w:p w14:paraId="400FA95C">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第七章  采购需求</w:t>
      </w:r>
    </w:p>
    <w:p w14:paraId="1BDA5CBE">
      <w:pPr>
        <w:tabs>
          <w:tab w:val="left" w:pos="1573"/>
        </w:tabs>
        <w:adjustRightInd w:val="0"/>
        <w:snapToGrid w:val="0"/>
        <w:spacing w:line="360" w:lineRule="auto"/>
        <w:ind w:left="1573" w:hanging="1153" w:leftChars="200" w:hangingChars="549"/>
        <w:jc w:val="left"/>
        <w:rPr>
          <w:rFonts w:ascii="宋体" w:hAnsi="宋体" w:hint="eastAsia"/>
          <w:szCs w:val="21"/>
          <w:highlight w:val="none"/>
        </w:rPr>
      </w:pPr>
      <w:r>
        <w:rPr>
          <w:rFonts w:ascii="宋体" w:hAnsi="宋体" w:hint="eastAsia"/>
          <w:szCs w:val="21"/>
          <w:highlight w:val="none"/>
        </w:rPr>
        <w:t>第八章  投标被拒绝条款专用部分</w:t>
      </w:r>
    </w:p>
    <w:p w14:paraId="497D5AF3">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第三分册  采购合同</w:t>
      </w:r>
    </w:p>
    <w:p w14:paraId="21B51F90">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第九章  采购合同</w:t>
      </w:r>
    </w:p>
    <w:p w14:paraId="3951B07D">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1.12投标前招标文件的澄清和修改</w:t>
      </w:r>
    </w:p>
    <w:p w14:paraId="21C3D0FB">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1.12.1任何已登记备案并领取了招标文件的潜在投标人，均可要求对招标文件进行澄清、修改</w:t>
      </w:r>
      <w:r>
        <w:rPr>
          <w:rFonts w:hint="eastAsia"/>
          <w:bCs/>
          <w:highlight w:val="none"/>
        </w:rPr>
        <w:t>。</w:t>
      </w:r>
    </w:p>
    <w:p w14:paraId="20BA46FC">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6DF83E2F">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447174DD">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18ED4E87">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7C6C5D73">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6097D6F9">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1.12.7本次招标是否组织现场考察或开标前答疑会见</w:t>
      </w:r>
      <w:r>
        <w:rPr>
          <w:rFonts w:hint="eastAsia"/>
          <w:b/>
          <w:highlight w:val="none"/>
        </w:rPr>
        <w:t>第五章投标人须知专用部分</w:t>
      </w:r>
      <w:r>
        <w:rPr>
          <w:rFonts w:hint="eastAsia"/>
          <w:highlight w:val="none"/>
        </w:rPr>
        <w:t>，如组织，按</w:t>
      </w:r>
      <w:r>
        <w:rPr>
          <w:rFonts w:hint="eastAsia"/>
          <w:b/>
          <w:highlight w:val="none"/>
        </w:rPr>
        <w:t>第五章投标人须知专用部分</w:t>
      </w:r>
      <w:r>
        <w:rPr>
          <w:rFonts w:hint="eastAsia"/>
          <w:highlight w:val="none"/>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4FA666DE">
      <w:pPr>
        <w:pStyle w:val="10"/>
        <w:numPr>
          <w:ilvl w:val="0"/>
          <w:numId w:val="0"/>
        </w:numPr>
        <w:tabs>
          <w:tab w:val="left" w:pos="1573"/>
        </w:tabs>
        <w:adjustRightInd w:val="0"/>
        <w:snapToGrid w:val="0"/>
        <w:spacing w:line="360" w:lineRule="auto"/>
        <w:ind w:left="634" w:hanging="214" w:leftChars="200" w:hangingChars="102"/>
        <w:jc w:val="left"/>
        <w:outlineLvl w:val="2"/>
        <w:rPr>
          <w:b/>
          <w:bCs/>
          <w:highlight w:val="none"/>
        </w:rPr>
      </w:pPr>
      <w:r>
        <w:rPr>
          <w:rFonts w:hint="eastAsia"/>
          <w:b/>
          <w:bCs/>
          <w:highlight w:val="none"/>
        </w:rPr>
        <w:t>三、投标文件</w:t>
      </w:r>
    </w:p>
    <w:p w14:paraId="05745125">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1.13投标文件的语言和计量单位</w:t>
      </w:r>
    </w:p>
    <w:p w14:paraId="7E92C131">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1.13.1投标人提交的投标文件（包括技术文件和资料、图纸中的说明）以及投标人与采购中心就有关投标的所有来往函电均应使用中文简体字。</w:t>
      </w:r>
    </w:p>
    <w:p w14:paraId="2BB5C907">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75076CA3">
      <w:pPr>
        <w:pStyle w:val="10"/>
        <w:numPr>
          <w:ilvl w:val="0"/>
          <w:numId w:val="0"/>
        </w:numPr>
        <w:tabs>
          <w:tab w:val="left" w:pos="1573"/>
        </w:tabs>
        <w:adjustRightInd w:val="0"/>
        <w:snapToGrid w:val="0"/>
        <w:spacing w:line="360" w:lineRule="auto"/>
        <w:jc w:val="left"/>
        <w:rPr>
          <w:highlight w:val="none"/>
        </w:rPr>
      </w:pPr>
      <w:r>
        <w:rPr>
          <w:rFonts w:hint="eastAsia"/>
          <w:highlight w:val="none"/>
        </w:rPr>
        <w:t xml:space="preserve">    原版为外文的证书类、证明类文件，与投标人名称或其它实际情况不符的，投标人应当提供相关证明文件。</w:t>
      </w:r>
    </w:p>
    <w:p w14:paraId="73E71AA7">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1.13.3投标文件中所使用的计量单位，除招标文件中有特殊要求外，应采用中华人民共和国法定计量单位。</w:t>
      </w:r>
    </w:p>
    <w:p w14:paraId="3478FF69">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1.13.4对不符合上述规定情形的，评标委员会有权要求投标人限期提供相应文件或认定该文件无效。</w:t>
      </w:r>
    </w:p>
    <w:p w14:paraId="3C0DB5CF">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1.14投标文件的组成及要求</w:t>
      </w:r>
    </w:p>
    <w:p w14:paraId="666EC8F5">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205508B3">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1.14.2投标人应提交以下商务文件，且不允许在投标截止后补正。其中加*项除特别说明外，若缺失或无效，会导致投标被拒绝。</w:t>
      </w:r>
    </w:p>
    <w:p w14:paraId="78E565E2">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（1）*法定代表人身份证明或授权委托书</w:t>
      </w:r>
    </w:p>
    <w:p w14:paraId="35A53818">
      <w:pPr>
        <w:widowControl/>
        <w:adjustRightInd w:val="0"/>
        <w:snapToGrid w:val="0"/>
        <w:spacing w:line="360" w:lineRule="auto"/>
        <w:ind w:firstLine="420" w:firstLineChars="200"/>
        <w:jc w:val="left"/>
        <w:rPr>
          <w:rFonts w:ascii="宋体" w:hAnsi="宋体"/>
          <w:b/>
          <w:szCs w:val="21"/>
          <w:highlight w:val="none"/>
        </w:rPr>
      </w:pPr>
      <w:r>
        <w:rPr>
          <w:rFonts w:ascii="宋体" w:hAnsi="宋体" w:hint="eastAsia"/>
          <w:szCs w:val="21"/>
          <w:highlight w:val="none"/>
        </w:rPr>
        <w:t>（2）</w:t>
      </w:r>
      <w:r>
        <w:rPr>
          <w:rFonts w:hint="eastAsia"/>
          <w:highlight w:val="none"/>
        </w:rPr>
        <w:t>*投标函</w:t>
      </w:r>
    </w:p>
    <w:p w14:paraId="421B95AE">
      <w:pPr>
        <w:widowControl/>
        <w:adjustRightInd w:val="0"/>
        <w:snapToGrid w:val="0"/>
        <w:spacing w:line="360" w:lineRule="auto"/>
        <w:ind w:firstLine="420" w:firstLineChars="200"/>
        <w:jc w:val="left"/>
        <w:rPr>
          <w:rFonts w:ascii="宋体" w:hAnsi="宋体"/>
          <w:b/>
          <w:szCs w:val="21"/>
          <w:highlight w:val="none"/>
        </w:rPr>
      </w:pPr>
      <w:r>
        <w:rPr>
          <w:rFonts w:ascii="宋体" w:hAnsi="宋体" w:hint="eastAsia"/>
          <w:highlight w:val="none"/>
        </w:rPr>
        <w:t>（3）</w:t>
      </w:r>
      <w:r>
        <w:rPr>
          <w:rFonts w:ascii="宋体" w:hAnsi="宋体" w:hint="eastAsia"/>
          <w:szCs w:val="21"/>
          <w:highlight w:val="none"/>
        </w:rPr>
        <w:t>投标人基本情况</w:t>
      </w:r>
    </w:p>
    <w:p w14:paraId="42B8D138">
      <w:pPr>
        <w:tabs>
          <w:tab w:val="left" w:pos="558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（4）商务条款偏离表</w:t>
      </w:r>
    </w:p>
    <w:p w14:paraId="0D994121">
      <w:pPr>
        <w:tabs>
          <w:tab w:val="left" w:pos="558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（5）资格、资信证明文件：</w:t>
      </w:r>
    </w:p>
    <w:p w14:paraId="1D14D9A5">
      <w:pPr>
        <w:tabs>
          <w:tab w:val="left" w:pos="5580"/>
        </w:tabs>
        <w:adjustRightInd w:val="0"/>
        <w:snapToGrid w:val="0"/>
        <w:spacing w:line="360" w:lineRule="auto"/>
        <w:ind w:firstLine="840" w:firstLineChars="400"/>
        <w:jc w:val="left"/>
        <w:rPr>
          <w:highlight w:val="none"/>
        </w:rPr>
      </w:pPr>
      <w:r>
        <w:rPr>
          <w:rFonts w:ascii="宋体" w:hAnsi="宋体" w:hint="eastAsia"/>
          <w:highlight w:val="none"/>
        </w:rPr>
        <w:t>①</w:t>
      </w:r>
      <w:r>
        <w:rPr>
          <w:rFonts w:ascii="宋体" w:hAnsi="宋体"/>
          <w:highlight w:val="none"/>
        </w:rPr>
        <w:t>*</w:t>
      </w:r>
      <w:r>
        <w:rPr>
          <w:rFonts w:ascii="宋体" w:hAnsi="宋体" w:hint="eastAsia"/>
          <w:szCs w:val="21"/>
          <w:highlight w:val="none"/>
        </w:rPr>
        <w:t>投标人</w:t>
      </w:r>
      <w:r>
        <w:rPr>
          <w:rFonts w:ascii="宋体" w:hAnsi="宋体"/>
          <w:szCs w:val="21"/>
          <w:highlight w:val="none"/>
        </w:rPr>
        <w:t>法人</w:t>
      </w:r>
      <w:r>
        <w:rPr>
          <w:rFonts w:ascii="宋体" w:hAnsi="宋体" w:hint="eastAsia"/>
          <w:szCs w:val="21"/>
          <w:highlight w:val="none"/>
        </w:rPr>
        <w:t>资格</w:t>
      </w:r>
      <w:r>
        <w:rPr>
          <w:rFonts w:ascii="宋体" w:hAnsi="宋体"/>
          <w:szCs w:val="21"/>
          <w:highlight w:val="none"/>
        </w:rPr>
        <w:t>证明文件</w:t>
      </w:r>
    </w:p>
    <w:p w14:paraId="67380556">
      <w:pPr>
        <w:tabs>
          <w:tab w:val="left" w:pos="1573"/>
        </w:tabs>
        <w:adjustRightInd w:val="0"/>
        <w:snapToGrid w:val="0"/>
        <w:spacing w:line="360" w:lineRule="auto"/>
        <w:ind w:firstLine="840" w:firstLineChars="400"/>
        <w:rPr>
          <w:rFonts w:ascii="宋体" w:hAnsi="宋体"/>
          <w:szCs w:val="21"/>
          <w:highlight w:val="none"/>
        </w:rPr>
      </w:pPr>
      <w:r>
        <w:rPr>
          <w:rFonts w:ascii="宋体" w:hAnsi="宋体" w:hint="eastAsia"/>
          <w:szCs w:val="21"/>
          <w:highlight w:val="none"/>
        </w:rPr>
        <w:t>②</w:t>
      </w:r>
      <w:r>
        <w:rPr>
          <w:rFonts w:ascii="宋体" w:hAnsi="宋体" w:hint="eastAsia"/>
          <w:highlight w:val="none"/>
        </w:rPr>
        <w:t>*以投标截止日为基准日，近一年内任何完税凭证或税务部门出具的税收减免证明</w:t>
      </w:r>
    </w:p>
    <w:p w14:paraId="490C7E1A">
      <w:pPr>
        <w:tabs>
          <w:tab w:val="left" w:pos="1573"/>
        </w:tabs>
        <w:adjustRightInd w:val="0"/>
        <w:snapToGrid w:val="0"/>
        <w:spacing w:line="360" w:lineRule="auto"/>
        <w:ind w:firstLine="840" w:firstLineChars="400"/>
        <w:rPr>
          <w:rFonts w:ascii="宋体" w:hAnsi="宋体"/>
          <w:szCs w:val="21"/>
          <w:highlight w:val="none"/>
        </w:rPr>
      </w:pPr>
      <w:r>
        <w:rPr>
          <w:rFonts w:ascii="宋体" w:hAnsi="宋体" w:hint="eastAsia"/>
          <w:highlight w:val="none"/>
        </w:rPr>
        <w:t>③</w:t>
      </w:r>
      <w:r>
        <w:rPr>
          <w:rFonts w:ascii="宋体" w:hAnsi="宋体" w:hint="eastAsia"/>
          <w:szCs w:val="21"/>
          <w:highlight w:val="none"/>
        </w:rPr>
        <w:t>*</w:t>
      </w:r>
      <w:r>
        <w:rPr>
          <w:rFonts w:ascii="宋体" w:hAnsi="宋体" w:hint="eastAsia"/>
          <w:highlight w:val="none"/>
        </w:rPr>
        <w:t>以投标截止日为基准日，近一年内</w:t>
      </w:r>
      <w:r>
        <w:rPr>
          <w:rFonts w:ascii="宋体" w:hAnsi="宋体" w:hint="eastAsia"/>
          <w:szCs w:val="21"/>
          <w:highlight w:val="none"/>
        </w:rPr>
        <w:t>任何一期社会保障资金缴纳凭证</w:t>
      </w:r>
    </w:p>
    <w:p w14:paraId="12B441C9">
      <w:pPr>
        <w:tabs>
          <w:tab w:val="left" w:pos="5580"/>
        </w:tabs>
        <w:adjustRightInd w:val="0"/>
        <w:snapToGrid w:val="0"/>
        <w:spacing w:line="360" w:lineRule="auto"/>
        <w:ind w:firstLine="840" w:firstLineChars="400"/>
        <w:jc w:val="left"/>
        <w:rPr>
          <w:rFonts w:ascii="宋体" w:hAnsi="宋体"/>
          <w:szCs w:val="21"/>
          <w:highlight w:val="none"/>
        </w:rPr>
      </w:pPr>
      <w:r>
        <w:rPr>
          <w:rFonts w:ascii="宋体" w:hAnsi="宋体" w:hint="eastAsia"/>
          <w:szCs w:val="21"/>
          <w:highlight w:val="none"/>
        </w:rPr>
        <w:t>④*财务状况证明</w:t>
      </w:r>
    </w:p>
    <w:p w14:paraId="431022BE">
      <w:pPr>
        <w:tabs>
          <w:tab w:val="left" w:pos="5580"/>
        </w:tabs>
        <w:adjustRightInd w:val="0"/>
        <w:snapToGrid w:val="0"/>
        <w:spacing w:line="360" w:lineRule="auto"/>
        <w:ind w:firstLine="840" w:firstLineChars="400"/>
        <w:jc w:val="left"/>
        <w:rPr>
          <w:rFonts w:ascii="宋体" w:hAnsi="宋体"/>
          <w:szCs w:val="21"/>
          <w:highlight w:val="none"/>
        </w:rPr>
      </w:pPr>
      <w:r>
        <w:rPr>
          <w:rFonts w:ascii="宋体" w:hAnsi="宋体" w:hint="eastAsia"/>
          <w:szCs w:val="21"/>
          <w:highlight w:val="none"/>
        </w:rPr>
        <w:t>⑤</w:t>
      </w:r>
      <w:r>
        <w:rPr>
          <w:rFonts w:ascii="宋体" w:hAnsi="宋体" w:hint="eastAsia"/>
          <w:highlight w:val="none"/>
        </w:rPr>
        <w:t>*</w:t>
      </w:r>
      <w:r>
        <w:rPr>
          <w:rFonts w:ascii="宋体" w:hAnsi="宋体" w:hint="eastAsia"/>
          <w:szCs w:val="21"/>
          <w:highlight w:val="none"/>
        </w:rPr>
        <w:t>近三年内参加政府采购活动中没有重大违法记录声明</w:t>
      </w:r>
    </w:p>
    <w:p w14:paraId="1E39E835">
      <w:pPr>
        <w:tabs>
          <w:tab w:val="left" w:pos="5580"/>
        </w:tabs>
        <w:adjustRightInd w:val="0"/>
        <w:snapToGrid w:val="0"/>
        <w:spacing w:line="360" w:lineRule="auto"/>
        <w:ind w:firstLine="832" w:firstLineChars="396"/>
        <w:jc w:val="left"/>
        <w:rPr>
          <w:rFonts w:ascii="宋体" w:hAnsi="宋体"/>
          <w:szCs w:val="21"/>
          <w:highlight w:val="none"/>
        </w:rPr>
      </w:pPr>
      <w:r>
        <w:rPr>
          <w:rFonts w:ascii="宋体" w:hAnsi="宋体" w:hint="eastAsia"/>
          <w:szCs w:val="21"/>
          <w:highlight w:val="none"/>
        </w:rPr>
        <w:t>⑥投标人信用查询记录（</w:t>
      </w:r>
      <w:r>
        <w:rPr>
          <w:rFonts w:hint="eastAsia"/>
          <w:highlight w:val="none"/>
        </w:rPr>
        <w:t>“信用中国”网站相关截图，网址：www.creditchina.gov.cn）</w:t>
      </w:r>
    </w:p>
    <w:p w14:paraId="141FD8A8">
      <w:pPr>
        <w:tabs>
          <w:tab w:val="left" w:pos="5580"/>
        </w:tabs>
        <w:adjustRightInd w:val="0"/>
        <w:snapToGrid w:val="0"/>
        <w:spacing w:line="360" w:lineRule="auto"/>
        <w:ind w:firstLine="840" w:firstLineChars="400"/>
        <w:jc w:val="left"/>
        <w:rPr>
          <w:rFonts w:ascii="宋体" w:hAnsi="宋体" w:hint="eastAsia"/>
          <w:bCs/>
          <w:highlight w:val="none"/>
        </w:rPr>
      </w:pPr>
      <w:r>
        <w:rPr>
          <w:rFonts w:ascii="宋体" w:hAnsi="宋体" w:hint="eastAsia"/>
          <w:szCs w:val="21"/>
          <w:highlight w:val="none"/>
        </w:rPr>
        <w:t>⑦</w:t>
      </w:r>
      <w:r>
        <w:rPr>
          <w:rFonts w:ascii="宋体" w:hAnsi="宋体" w:hint="eastAsia"/>
          <w:bCs/>
          <w:highlight w:val="none"/>
        </w:rPr>
        <w:t>*投标货物的《</w:t>
      </w:r>
      <w:r>
        <w:rPr>
          <w:rFonts w:hint="eastAsia"/>
          <w:highlight w:val="none"/>
        </w:rPr>
        <w:t>气象专用技术装备使用许可证》</w:t>
      </w:r>
      <w:r>
        <w:rPr>
          <w:rFonts w:ascii="宋体" w:hAnsi="宋体" w:hint="eastAsia"/>
          <w:szCs w:val="21"/>
          <w:highlight w:val="none"/>
        </w:rPr>
        <w:t>（如本次采购内容不包括货物，或者投标</w:t>
      </w:r>
      <w:r>
        <w:rPr>
          <w:rFonts w:hint="eastAsia"/>
          <w:highlight w:val="none"/>
        </w:rPr>
        <w:t>货物不必须取得《气象专用技术装备使用许可证》的，可以不提供）</w:t>
      </w:r>
    </w:p>
    <w:p w14:paraId="792DD2F6">
      <w:pPr>
        <w:tabs>
          <w:tab w:val="left" w:pos="5580"/>
        </w:tabs>
        <w:adjustRightInd w:val="0"/>
        <w:snapToGrid w:val="0"/>
        <w:spacing w:line="360" w:lineRule="auto"/>
        <w:ind w:firstLine="840" w:firstLineChars="400"/>
        <w:jc w:val="left"/>
        <w:rPr>
          <w:rFonts w:ascii="宋体" w:hAnsi="宋体" w:hint="eastAsia"/>
          <w:bCs/>
          <w:highlight w:val="none"/>
        </w:rPr>
      </w:pPr>
      <w:r>
        <w:rPr>
          <w:rFonts w:ascii="宋体" w:hAnsi="宋体" w:hint="eastAsia"/>
          <w:bCs/>
          <w:highlight w:val="none"/>
        </w:rPr>
        <w:t>⑧*进口产品制造商授权书（投标货物不是进口产品的，不提供）</w:t>
      </w:r>
    </w:p>
    <w:p w14:paraId="0929E1A7">
      <w:pPr>
        <w:tabs>
          <w:tab w:val="left" w:pos="5580"/>
        </w:tabs>
        <w:adjustRightInd w:val="0"/>
        <w:snapToGrid w:val="0"/>
        <w:spacing w:line="360" w:lineRule="auto"/>
        <w:ind w:firstLine="840" w:firstLineChars="400"/>
        <w:jc w:val="left"/>
        <w:rPr>
          <w:rFonts w:ascii="微软雅黑" w:eastAsia="微软雅黑" w:hAnsi="微软雅黑" w:hint="eastAsia"/>
          <w:szCs w:val="21"/>
          <w:highlight w:val="none"/>
        </w:rPr>
      </w:pPr>
      <w:r>
        <w:rPr>
          <w:rFonts w:ascii="宋体" w:hAnsi="宋体" w:hint="eastAsia"/>
          <w:szCs w:val="21"/>
          <w:highlight w:val="none"/>
        </w:rPr>
        <w:t>⑨</w:t>
      </w:r>
      <w:r>
        <w:rPr>
          <w:rFonts w:ascii="宋体" w:hAnsi="宋体"/>
          <w:bCs/>
          <w:highlight w:val="none"/>
        </w:rPr>
        <w:t>*</w:t>
      </w:r>
      <w:r>
        <w:rPr>
          <w:rFonts w:hint="eastAsia"/>
          <w:bCs/>
          <w:highlight w:val="none"/>
        </w:rPr>
        <w:t>中小</w:t>
      </w:r>
      <w:r>
        <w:rPr>
          <w:bCs/>
          <w:highlight w:val="none"/>
        </w:rPr>
        <w:t>企业声明函</w:t>
      </w:r>
      <w:r>
        <w:rPr>
          <w:rFonts w:hint="eastAsia"/>
          <w:bCs/>
          <w:highlight w:val="none"/>
        </w:rPr>
        <w:t>或残疾人福利性单位声明函或监狱企业证明文件（不是预留采购份额面向中小企业采购的项目，可以不提供，但不能享受可能的价格扣除优惠）</w:t>
      </w:r>
    </w:p>
    <w:p w14:paraId="4870EAAA">
      <w:pPr>
        <w:tabs>
          <w:tab w:val="left" w:pos="5580"/>
        </w:tabs>
        <w:adjustRightInd w:val="0"/>
        <w:snapToGrid w:val="0"/>
        <w:spacing w:line="360" w:lineRule="auto"/>
        <w:ind w:firstLine="840" w:firstLineChars="400"/>
        <w:jc w:val="left"/>
        <w:rPr>
          <w:rFonts w:ascii="宋体" w:hAnsi="宋体" w:hint="eastAsia"/>
          <w:szCs w:val="21"/>
          <w:highlight w:val="none"/>
        </w:rPr>
      </w:pPr>
      <w:r>
        <w:rPr>
          <w:rFonts w:ascii="微软雅黑" w:eastAsia="微软雅黑" w:hAnsi="微软雅黑" w:hint="eastAsia"/>
          <w:szCs w:val="21"/>
          <w:highlight w:val="none"/>
        </w:rPr>
        <w:t>⑩</w:t>
      </w:r>
      <w:r>
        <w:rPr>
          <w:rFonts w:ascii="宋体" w:hAnsi="宋体"/>
          <w:szCs w:val="21"/>
          <w:highlight w:val="none"/>
        </w:rPr>
        <w:t>*</w:t>
      </w:r>
      <w:r>
        <w:rPr>
          <w:rFonts w:ascii="宋体" w:hAnsi="宋体" w:hint="eastAsia"/>
          <w:szCs w:val="21"/>
          <w:highlight w:val="none"/>
        </w:rPr>
        <w:t>联合体协议（如有）</w:t>
      </w:r>
    </w:p>
    <w:p w14:paraId="220BDB59">
      <w:pPr>
        <w:tabs>
          <w:tab w:val="left" w:pos="5580"/>
        </w:tabs>
        <w:adjustRightInd w:val="0"/>
        <w:snapToGrid w:val="0"/>
        <w:spacing w:line="360" w:lineRule="auto"/>
        <w:ind w:firstLine="840" w:firstLineChars="400"/>
        <w:jc w:val="left"/>
        <w:rPr>
          <w:rFonts w:ascii="宋体" w:hAnsi="宋体" w:hint="eastAsia"/>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w:instrText>
      </w:r>
      <w:r>
        <w:rPr>
          <w:rFonts w:ascii="宋体" w:hAnsi="宋体" w:hint="eastAsia"/>
          <w:bCs/>
          <w:position w:val="2"/>
          <w:sz w:val="14"/>
          <w:highlight w:val="none"/>
        </w:rPr>
        <w:instrText>11</w:instrText>
      </w:r>
      <w:r>
        <w:rPr>
          <w:rFonts w:ascii="宋体" w:hAnsi="宋体" w:hint="eastAsia"/>
          <w:bCs/>
          <w:highlight w:val="none"/>
        </w:rPr>
        <w:instrText>)</w:instrText>
      </w:r>
      <w:r>
        <w:rPr>
          <w:rFonts w:ascii="宋体" w:hAnsi="宋体"/>
          <w:bCs/>
          <w:highlight w:val="none"/>
        </w:rPr>
        <w:fldChar w:fldCharType="separate"/>
      </w:r>
      <w:r>
        <w:rPr>
          <w:rFonts w:ascii="宋体" w:hAnsi="宋体"/>
          <w:bCs/>
          <w:highlight w:val="none"/>
        </w:rPr>
        <w:fldChar w:fldCharType="end"/>
      </w:r>
      <w:r>
        <w:rPr>
          <w:rFonts w:ascii="宋体" w:hAnsi="宋体"/>
          <w:szCs w:val="21"/>
          <w:highlight w:val="none"/>
        </w:rPr>
        <w:t>*</w:t>
      </w:r>
      <w:r>
        <w:rPr>
          <w:rFonts w:ascii="宋体" w:hAnsi="宋体" w:hint="eastAsia"/>
          <w:szCs w:val="21"/>
          <w:highlight w:val="none"/>
        </w:rPr>
        <w:t>分包意向协议（如有）</w:t>
      </w:r>
    </w:p>
    <w:p w14:paraId="0BAC6B74">
      <w:pPr>
        <w:tabs>
          <w:tab w:val="left" w:pos="5580"/>
        </w:tabs>
        <w:adjustRightInd w:val="0"/>
        <w:snapToGrid w:val="0"/>
        <w:spacing w:line="360" w:lineRule="auto"/>
        <w:ind w:firstLine="840" w:firstLineChars="400"/>
        <w:jc w:val="left"/>
        <w:rPr>
          <w:rFonts w:ascii="宋体" w:hAnsi="宋体"/>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w:instrText>
      </w:r>
      <w:r>
        <w:rPr>
          <w:rFonts w:ascii="宋体" w:hAnsi="宋体" w:hint="eastAsia"/>
          <w:bCs/>
          <w:position w:val="2"/>
          <w:sz w:val="14"/>
          <w:highlight w:val="none"/>
        </w:rPr>
        <w:instrText>12</w:instrText>
      </w:r>
      <w:r>
        <w:rPr>
          <w:rFonts w:ascii="宋体" w:hAnsi="宋体" w:hint="eastAsia"/>
          <w:bCs/>
          <w:highlight w:val="none"/>
        </w:rPr>
        <w:instrText>)</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w:t>
      </w:r>
      <w:r>
        <w:rPr>
          <w:rFonts w:hint="eastAsia"/>
          <w:highlight w:val="none"/>
        </w:rPr>
        <w:t>按照</w:t>
      </w:r>
      <w:r>
        <w:rPr>
          <w:rFonts w:hint="eastAsia"/>
          <w:b/>
          <w:highlight w:val="none"/>
        </w:rPr>
        <w:t>第五章投标人须知专用部分5.2条</w:t>
      </w:r>
      <w:r>
        <w:rPr>
          <w:rFonts w:hint="eastAsia"/>
          <w:highlight w:val="none"/>
        </w:rPr>
        <w:t>规定应提交的特殊资质条件证明文件</w:t>
      </w:r>
    </w:p>
    <w:p w14:paraId="088785DC">
      <w:pPr>
        <w:tabs>
          <w:tab w:val="left" w:pos="558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（6）*银行保函或投标保证金说明函（本项目不要求提交投标保证金不提供）</w:t>
      </w:r>
    </w:p>
    <w:p w14:paraId="252B02C2">
      <w:pPr>
        <w:tabs>
          <w:tab w:val="left" w:pos="5580"/>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（7）*</w:t>
      </w:r>
      <w:r>
        <w:rPr>
          <w:rFonts w:hint="eastAsia"/>
          <w:highlight w:val="none"/>
        </w:rPr>
        <w:t>按照</w:t>
      </w:r>
      <w:r>
        <w:rPr>
          <w:rFonts w:hint="eastAsia"/>
          <w:b/>
          <w:highlight w:val="none"/>
        </w:rPr>
        <w:t>第五章投标人须知专用部分5.12条</w:t>
      </w:r>
      <w:r>
        <w:rPr>
          <w:rFonts w:hint="eastAsia"/>
          <w:highlight w:val="none"/>
        </w:rPr>
        <w:t>规定应提交的其他商务文件</w:t>
      </w:r>
    </w:p>
    <w:p w14:paraId="6375C6CF">
      <w:pPr>
        <w:tabs>
          <w:tab w:val="left" w:pos="558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（8）投标人自行编制的商务文件</w:t>
      </w:r>
    </w:p>
    <w:p w14:paraId="2BE1C750">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1.14.3投标人应提交以下技术文件，且不允许在投标截止后补正。其中加*项除特别说明外，若缺失或无效，会导致投标被</w:t>
      </w:r>
      <w:r>
        <w:rPr>
          <w:rFonts w:eastAsia="拒绝" w:hint="eastAsia"/>
          <w:b/>
          <w:highlight w:val="none"/>
        </w:rPr>
        <w:t>拒绝</w:t>
      </w:r>
      <w:r>
        <w:rPr>
          <w:rFonts w:hint="eastAsia"/>
          <w:highlight w:val="none"/>
        </w:rPr>
        <w:t>。</w:t>
      </w:r>
    </w:p>
    <w:p w14:paraId="06A47EC2">
      <w:pPr>
        <w:tabs>
          <w:tab w:val="left" w:pos="900"/>
          <w:tab w:val="left" w:pos="558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（1）*开标一览表</w:t>
      </w:r>
    </w:p>
    <w:p w14:paraId="3B9F45A6">
      <w:pPr>
        <w:tabs>
          <w:tab w:val="left" w:pos="900"/>
          <w:tab w:val="left" w:pos="5580"/>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（2）*分项报价表</w:t>
      </w:r>
    </w:p>
    <w:p w14:paraId="20ABBFC0">
      <w:pPr>
        <w:tabs>
          <w:tab w:val="left" w:pos="900"/>
          <w:tab w:val="left" w:pos="558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（3）*服务团队人员基本情况表（如未要求组成专门的服务团队的，不提供）</w:t>
      </w:r>
    </w:p>
    <w:p w14:paraId="75FC4CA9">
      <w:pPr>
        <w:tabs>
          <w:tab w:val="left" w:pos="900"/>
          <w:tab w:val="left" w:pos="558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（4）*技术要求偏离表</w:t>
      </w:r>
    </w:p>
    <w:p w14:paraId="39E36FE7">
      <w:pPr>
        <w:tabs>
          <w:tab w:val="left" w:pos="1573"/>
        </w:tabs>
        <w:adjustRightInd w:val="0"/>
        <w:snapToGrid w:val="0"/>
        <w:spacing w:line="360" w:lineRule="auto"/>
        <w:ind w:left="1573" w:hanging="1153" w:leftChars="200" w:hangingChars="549"/>
        <w:jc w:val="left"/>
        <w:rPr>
          <w:rFonts w:ascii="宋体" w:hAnsi="宋体" w:hint="eastAsia"/>
          <w:szCs w:val="21"/>
          <w:highlight w:val="none"/>
        </w:rPr>
      </w:pPr>
      <w:r>
        <w:rPr>
          <w:rFonts w:ascii="宋体" w:hAnsi="宋体" w:hint="eastAsia"/>
          <w:szCs w:val="21"/>
          <w:highlight w:val="none"/>
        </w:rPr>
        <w:t>（5）主要标的信息表</w:t>
      </w:r>
    </w:p>
    <w:p w14:paraId="0539CAEE">
      <w:pPr>
        <w:tabs>
          <w:tab w:val="left" w:pos="558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（6）*</w:t>
      </w:r>
      <w:r>
        <w:rPr>
          <w:rFonts w:hint="eastAsia"/>
          <w:highlight w:val="none"/>
        </w:rPr>
        <w:t>按照</w:t>
      </w:r>
      <w:r>
        <w:rPr>
          <w:rFonts w:hint="eastAsia"/>
          <w:b/>
          <w:highlight w:val="none"/>
        </w:rPr>
        <w:t>第五章投标人须知专用部分5.12条</w:t>
      </w:r>
      <w:r>
        <w:rPr>
          <w:rFonts w:hint="eastAsia"/>
          <w:highlight w:val="none"/>
        </w:rPr>
        <w:t>规定应提交的其他技术文件</w:t>
      </w:r>
    </w:p>
    <w:p w14:paraId="077920A3">
      <w:pPr>
        <w:tabs>
          <w:tab w:val="left" w:pos="1573"/>
        </w:tabs>
        <w:adjustRightInd w:val="0"/>
        <w:snapToGrid w:val="0"/>
        <w:spacing w:line="360" w:lineRule="auto"/>
        <w:ind w:left="1573" w:hanging="1153" w:leftChars="200" w:hangingChars="549"/>
        <w:jc w:val="left"/>
        <w:rPr>
          <w:rFonts w:ascii="宋体" w:hAnsi="宋体"/>
          <w:szCs w:val="21"/>
          <w:highlight w:val="none"/>
        </w:rPr>
      </w:pPr>
      <w:r>
        <w:rPr>
          <w:rFonts w:ascii="宋体" w:hAnsi="宋体" w:hint="eastAsia"/>
          <w:szCs w:val="21"/>
          <w:highlight w:val="none"/>
        </w:rPr>
        <w:t>（7）投标人项目实施和售后服务方案</w:t>
      </w:r>
    </w:p>
    <w:p w14:paraId="5AE0F876">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（8）投标人自行编写的技术文件</w:t>
      </w:r>
    </w:p>
    <w:p w14:paraId="5567E1E8">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1.14.4投标文件对于上述商务和技术内容要有具体应答。有关文件的具体格式、填写要求及有关说明详见招标文件</w:t>
      </w:r>
      <w:r>
        <w:rPr>
          <w:rFonts w:hint="eastAsia"/>
          <w:b/>
          <w:highlight w:val="none"/>
        </w:rPr>
        <w:t>第二章</w:t>
      </w:r>
      <w:r>
        <w:rPr>
          <w:rFonts w:hint="eastAsia"/>
          <w:b/>
          <w:bCs/>
          <w:highlight w:val="none"/>
        </w:rPr>
        <w:t>投标文件格式</w:t>
      </w:r>
      <w:r>
        <w:rPr>
          <w:rFonts w:hint="eastAsia"/>
          <w:highlight w:val="none"/>
        </w:rPr>
        <w:t>。</w:t>
      </w:r>
    </w:p>
    <w:p w14:paraId="69EB44FF">
      <w:pPr>
        <w:pStyle w:val="10"/>
        <w:numPr>
          <w:ilvl w:val="0"/>
          <w:numId w:val="0"/>
        </w:numPr>
        <w:tabs>
          <w:tab w:val="left" w:pos="1573"/>
        </w:tabs>
        <w:adjustRightInd w:val="0"/>
        <w:snapToGrid w:val="0"/>
        <w:spacing w:line="360" w:lineRule="auto"/>
        <w:ind w:firstLine="420" w:firstLineChars="200"/>
        <w:rPr>
          <w:b/>
          <w:bCs/>
          <w:highlight w:val="none"/>
        </w:rPr>
      </w:pPr>
      <w:r>
        <w:rPr>
          <w:rFonts w:hint="eastAsia"/>
          <w:b/>
          <w:bCs/>
          <w:highlight w:val="none"/>
        </w:rPr>
        <w:t>1.15投标文件签署及相关要求</w:t>
      </w:r>
    </w:p>
    <w:p w14:paraId="193E72D7">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1.15.1组成投标文件的各项文件均应遵守本条。</w:t>
      </w:r>
    </w:p>
    <w:p w14:paraId="0769E7E0">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highlight w:val="none"/>
        </w:rPr>
        <w:t>拒绝</w:t>
      </w:r>
      <w:r>
        <w:rPr>
          <w:rFonts w:hint="eastAsia"/>
          <w:highlight w:val="none"/>
        </w:rPr>
        <w:t>。</w:t>
      </w:r>
    </w:p>
    <w:p w14:paraId="5FAFE5F7">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1.15.3投标文件其他地方没有注明要求盖章签字的，可以不用盖章签字。</w:t>
      </w:r>
    </w:p>
    <w:p w14:paraId="48E2AE2C">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0A3BDE52">
      <w:pPr>
        <w:pStyle w:val="10"/>
        <w:numPr>
          <w:ilvl w:val="0"/>
          <w:numId w:val="0"/>
        </w:numPr>
        <w:tabs>
          <w:tab w:val="left" w:pos="1573"/>
          <w:tab w:val="left" w:pos="1785"/>
          <w:tab w:val="left" w:pos="1844"/>
        </w:tabs>
        <w:adjustRightInd w:val="0"/>
        <w:snapToGrid w:val="0"/>
        <w:spacing w:line="360" w:lineRule="auto"/>
        <w:ind w:firstLine="420" w:firstLineChars="200"/>
        <w:jc w:val="left"/>
        <w:rPr>
          <w:highlight w:val="none"/>
        </w:rPr>
      </w:pPr>
      <w:r>
        <w:rPr>
          <w:rFonts w:hint="eastAsia"/>
          <w:highlight w:val="none"/>
        </w:rPr>
        <w:t>1.15.5投标文件应字迹清楚、内容齐全。因投标文件字迹潦草或表达不清，或相关复印件（包括扫描件、影印件等）不清晰，导致在资格性审查、符合性审查和详细评审中发生误判，其责任应当由投标人承担。</w:t>
      </w:r>
    </w:p>
    <w:p w14:paraId="6ABAD5FB">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1.16投标保证金</w:t>
      </w:r>
    </w:p>
    <w:p w14:paraId="2F20CDAD">
      <w:pPr>
        <w:tabs>
          <w:tab w:val="left" w:pos="709"/>
          <w:tab w:val="left" w:pos="1573"/>
        </w:tabs>
        <w:adjustRightInd w:val="0"/>
        <w:snapToGrid w:val="0"/>
        <w:spacing w:line="360" w:lineRule="auto"/>
        <w:ind w:firstLine="412" w:firstLineChars="196"/>
        <w:jc w:val="left"/>
        <w:rPr>
          <w:rFonts w:ascii="宋体" w:hAnsi="宋体"/>
          <w:szCs w:val="21"/>
          <w:highlight w:val="none"/>
        </w:rPr>
      </w:pPr>
      <w:r>
        <w:rPr>
          <w:rFonts w:ascii="宋体" w:hAnsi="宋体" w:hint="eastAsia"/>
          <w:szCs w:val="21"/>
          <w:highlight w:val="none"/>
        </w:rPr>
        <w:t>1.16.1本项目是否要求投标人提供投标保证金以及应提供的投标保证金金额详见</w:t>
      </w:r>
      <w:r>
        <w:rPr>
          <w:rFonts w:ascii="宋体" w:hAnsi="宋体" w:hint="eastAsia"/>
          <w:b/>
          <w:bCs/>
          <w:szCs w:val="21"/>
          <w:highlight w:val="none"/>
        </w:rPr>
        <w:t>第五章投标人须知专用部分。</w:t>
      </w:r>
    </w:p>
    <w:p w14:paraId="44472B90">
      <w:pPr>
        <w:tabs>
          <w:tab w:val="left" w:pos="709"/>
          <w:tab w:val="left" w:pos="1573"/>
        </w:tabs>
        <w:adjustRightInd w:val="0"/>
        <w:snapToGrid w:val="0"/>
        <w:spacing w:line="360" w:lineRule="auto"/>
        <w:ind w:firstLine="420" w:firstLineChars="200"/>
        <w:rPr>
          <w:rFonts w:ascii="宋体" w:hAnsi="宋体"/>
          <w:szCs w:val="21"/>
          <w:highlight w:val="none"/>
        </w:rPr>
      </w:pPr>
      <w:r>
        <w:rPr>
          <w:rFonts w:ascii="宋体" w:hAnsi="宋体" w:hint="eastAsia"/>
          <w:bCs/>
          <w:szCs w:val="21"/>
          <w:highlight w:val="none"/>
        </w:rPr>
        <w:t>1.16.2如本项目</w:t>
      </w:r>
      <w:r>
        <w:rPr>
          <w:rFonts w:ascii="宋体" w:hAnsi="宋体" w:hint="eastAsia"/>
          <w:szCs w:val="21"/>
          <w:highlight w:val="none"/>
        </w:rPr>
        <w:t>要求投标人提供投标保证金，则收取投标保证金的要求如下：</w:t>
      </w:r>
    </w:p>
    <w:p w14:paraId="3F38FB22">
      <w:pPr>
        <w:tabs>
          <w:tab w:val="left" w:pos="1573"/>
        </w:tabs>
        <w:adjustRightInd w:val="0"/>
        <w:snapToGrid w:val="0"/>
        <w:spacing w:line="360" w:lineRule="auto"/>
        <w:ind w:firstLine="315" w:firstLineChars="150"/>
        <w:rPr>
          <w:rFonts w:ascii="宋体" w:hAnsi="宋体" w:hint="eastAsia"/>
          <w:szCs w:val="21"/>
          <w:highlight w:val="none"/>
        </w:rPr>
      </w:pPr>
      <w:r>
        <w:rPr>
          <w:rFonts w:ascii="宋体" w:hAnsi="宋体" w:hint="eastAsia"/>
          <w:szCs w:val="21"/>
          <w:highlight w:val="none"/>
        </w:rPr>
        <w:t>（1）投标人应选择银行汇款等非现金方式提交投标保证金。</w:t>
      </w:r>
    </w:p>
    <w:p w14:paraId="26E717C4">
      <w:pPr>
        <w:tabs>
          <w:tab w:val="left" w:pos="1573"/>
        </w:tabs>
        <w:adjustRightInd w:val="0"/>
        <w:snapToGrid w:val="0"/>
        <w:spacing w:line="360" w:lineRule="auto"/>
        <w:ind w:firstLine="315" w:firstLineChars="150"/>
        <w:rPr>
          <w:rFonts w:ascii="宋体" w:hAnsi="宋体" w:hint="eastAsia"/>
          <w:szCs w:val="21"/>
          <w:highlight w:val="none"/>
        </w:rPr>
      </w:pPr>
      <w:r>
        <w:rPr>
          <w:rFonts w:ascii="宋体" w:hAnsi="宋体" w:hint="eastAsia"/>
          <w:szCs w:val="21"/>
          <w:highlight w:val="none"/>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45A8E3DC">
      <w:pPr>
        <w:tabs>
          <w:tab w:val="left" w:pos="1573"/>
        </w:tabs>
        <w:adjustRightInd w:val="0"/>
        <w:snapToGrid w:val="0"/>
        <w:spacing w:line="360" w:lineRule="auto"/>
        <w:ind w:firstLine="315" w:firstLineChars="150"/>
        <w:rPr>
          <w:rFonts w:ascii="宋体" w:hAnsi="宋体"/>
          <w:szCs w:val="21"/>
          <w:highlight w:val="none"/>
        </w:rPr>
      </w:pPr>
      <w:r>
        <w:rPr>
          <w:rFonts w:ascii="宋体" w:hAnsi="宋体" w:hint="eastAsia"/>
          <w:szCs w:val="21"/>
          <w:highlight w:val="none"/>
        </w:rPr>
        <w:t>指定账户的收款单位和银行账户信息见</w:t>
      </w:r>
      <w:r>
        <w:rPr>
          <w:rFonts w:ascii="宋体" w:hAnsi="宋体"/>
          <w:szCs w:val="21"/>
          <w:highlight w:val="none"/>
        </w:rPr>
        <w:t>1.</w:t>
      </w:r>
      <w:r>
        <w:rPr>
          <w:rFonts w:ascii="宋体" w:hAnsi="宋体" w:hint="eastAsia"/>
          <w:szCs w:val="21"/>
          <w:highlight w:val="none"/>
        </w:rPr>
        <w:t>9</w:t>
      </w:r>
      <w:r>
        <w:rPr>
          <w:rFonts w:ascii="宋体" w:hAnsi="宋体"/>
          <w:szCs w:val="21"/>
          <w:highlight w:val="none"/>
        </w:rPr>
        <w:t>.2</w:t>
      </w:r>
      <w:r>
        <w:rPr>
          <w:rFonts w:ascii="宋体" w:hAnsi="宋体" w:hint="eastAsia"/>
          <w:szCs w:val="21"/>
          <w:highlight w:val="none"/>
        </w:rPr>
        <w:t>条。</w:t>
      </w:r>
    </w:p>
    <w:p w14:paraId="26001550">
      <w:pPr>
        <w:tabs>
          <w:tab w:val="left" w:pos="1573"/>
        </w:tabs>
        <w:adjustRightInd w:val="0"/>
        <w:snapToGrid w:val="0"/>
        <w:spacing w:line="360" w:lineRule="auto"/>
        <w:ind w:firstLine="315" w:firstLineChars="150"/>
        <w:rPr>
          <w:rFonts w:ascii="宋体" w:hAnsi="宋体" w:hint="eastAsia"/>
          <w:szCs w:val="21"/>
          <w:highlight w:val="none"/>
        </w:rPr>
      </w:pPr>
      <w:r>
        <w:rPr>
          <w:rFonts w:ascii="宋体" w:hAnsi="宋体" w:hint="eastAsia"/>
          <w:szCs w:val="21"/>
          <w:highlight w:val="none"/>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1A31CA2F">
      <w:pPr>
        <w:tabs>
          <w:tab w:val="left" w:pos="1573"/>
        </w:tabs>
        <w:adjustRightInd w:val="0"/>
        <w:snapToGrid w:val="0"/>
        <w:spacing w:line="360" w:lineRule="auto"/>
        <w:ind w:firstLine="315" w:firstLineChars="150"/>
        <w:rPr>
          <w:rFonts w:hint="eastAsia"/>
          <w:highlight w:val="none"/>
        </w:rPr>
      </w:pPr>
      <w:r>
        <w:rPr>
          <w:rFonts w:ascii="宋体" w:hAnsi="宋体" w:hint="eastAsia"/>
          <w:szCs w:val="21"/>
          <w:highlight w:val="none"/>
        </w:rPr>
        <w:t>（4）</w:t>
      </w:r>
      <w:r>
        <w:rPr>
          <w:rFonts w:hint="eastAsia"/>
          <w:highlight w:val="none"/>
        </w:rPr>
        <w:t>联合体投标的，可由联合体中的一方或者共同提交投标保证金，以一方名义提交投标保证金的，对联合体各方均有约束能力。</w:t>
      </w:r>
    </w:p>
    <w:p w14:paraId="002FB661">
      <w:pPr>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1.16.3</w:t>
      </w:r>
      <w:r>
        <w:rPr>
          <w:rFonts w:hint="eastAsia"/>
          <w:bCs/>
          <w:highlight w:val="none"/>
        </w:rPr>
        <w:t>如本项目</w:t>
      </w:r>
      <w:r>
        <w:rPr>
          <w:rFonts w:hint="eastAsia"/>
          <w:highlight w:val="none"/>
        </w:rPr>
        <w:t>要求投标人提供投标保证金，投标人未提供，或者</w:t>
      </w:r>
      <w:r>
        <w:rPr>
          <w:rFonts w:ascii="宋体" w:hAnsi="宋体" w:hint="eastAsia"/>
          <w:szCs w:val="21"/>
          <w:highlight w:val="none"/>
        </w:rPr>
        <w:t>提交的投标保证金的有效期限少于投标有效期，或所提交保证金金额小于本项目应提供投标保证金额</w:t>
      </w:r>
      <w:r>
        <w:rPr>
          <w:rFonts w:ascii="宋体" w:hAnsi="宋体" w:hint="eastAsia"/>
          <w:bCs/>
          <w:szCs w:val="21"/>
          <w:highlight w:val="none"/>
        </w:rPr>
        <w:t>的</w:t>
      </w:r>
      <w:r>
        <w:rPr>
          <w:rFonts w:ascii="宋体" w:hAnsi="宋体" w:hint="eastAsia"/>
          <w:szCs w:val="21"/>
          <w:highlight w:val="none"/>
        </w:rPr>
        <w:t>投标人，其投标将被</w:t>
      </w:r>
      <w:r>
        <w:rPr>
          <w:rFonts w:ascii="宋体" w:eastAsia="拒绝" w:hAnsi="宋体" w:hint="eastAsia"/>
          <w:b/>
          <w:szCs w:val="21"/>
          <w:highlight w:val="none"/>
        </w:rPr>
        <w:t>拒绝</w:t>
      </w:r>
      <w:r>
        <w:rPr>
          <w:rFonts w:ascii="宋体" w:hAnsi="宋体" w:hint="eastAsia"/>
          <w:szCs w:val="21"/>
          <w:highlight w:val="none"/>
        </w:rPr>
        <w:t>。</w:t>
      </w:r>
    </w:p>
    <w:p w14:paraId="3C2AF759">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1.16.4 投标保证金的退还按以下规定办理：</w:t>
      </w:r>
    </w:p>
    <w:p w14:paraId="43EB765D">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（1）中标供应商。中标供应商应当在采购合同签订后5个工作日内，向采购中心提交采购合同副本以及合同电子文档，采购中心确认后将投标保证金退还中标供应商。</w:t>
      </w:r>
    </w:p>
    <w:p w14:paraId="716A99B3">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（2）未中标供应商。采购中心在中标通知书发出后5个工作日内，将投标保证金退还未中标的供应商。</w:t>
      </w:r>
    </w:p>
    <w:p w14:paraId="2B29D44E">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（3）废标和因故取消</w:t>
      </w:r>
      <w:r>
        <w:rPr>
          <w:rFonts w:ascii="宋体" w:hAnsi="宋体"/>
          <w:szCs w:val="21"/>
          <w:highlight w:val="none"/>
        </w:rPr>
        <w:t>项目</w:t>
      </w:r>
      <w:r>
        <w:rPr>
          <w:rFonts w:ascii="宋体" w:hAnsi="宋体" w:hint="eastAsia"/>
          <w:szCs w:val="21"/>
          <w:highlight w:val="none"/>
        </w:rPr>
        <w:t>。采购中心在</w:t>
      </w:r>
      <w:r>
        <w:rPr>
          <w:rFonts w:ascii="宋体" w:hAnsi="宋体"/>
          <w:szCs w:val="21"/>
          <w:highlight w:val="none"/>
        </w:rPr>
        <w:t>废标</w:t>
      </w:r>
      <w:r>
        <w:rPr>
          <w:rFonts w:ascii="宋体" w:hAnsi="宋体" w:hint="eastAsia"/>
          <w:szCs w:val="21"/>
          <w:highlight w:val="none"/>
        </w:rPr>
        <w:t>或取消招标的</w:t>
      </w:r>
      <w:r>
        <w:rPr>
          <w:rFonts w:ascii="宋体" w:hAnsi="宋体"/>
          <w:szCs w:val="21"/>
          <w:highlight w:val="none"/>
        </w:rPr>
        <w:t>公告发布</w:t>
      </w:r>
      <w:r>
        <w:rPr>
          <w:rFonts w:ascii="宋体" w:hAnsi="宋体" w:hint="eastAsia"/>
          <w:szCs w:val="21"/>
          <w:highlight w:val="none"/>
        </w:rPr>
        <w:t>后5个工作日内，将投标保证金退还所有</w:t>
      </w:r>
      <w:r>
        <w:rPr>
          <w:rFonts w:ascii="宋体" w:hAnsi="宋体"/>
          <w:szCs w:val="21"/>
          <w:highlight w:val="none"/>
        </w:rPr>
        <w:t>供应商</w:t>
      </w:r>
      <w:r>
        <w:rPr>
          <w:rFonts w:ascii="宋体" w:hAnsi="宋体" w:hint="eastAsia"/>
          <w:szCs w:val="21"/>
          <w:highlight w:val="none"/>
        </w:rPr>
        <w:t>。</w:t>
      </w:r>
    </w:p>
    <w:p w14:paraId="703DEB82">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（4）</w:t>
      </w:r>
      <w:r>
        <w:rPr>
          <w:rFonts w:ascii="宋体" w:hAnsi="宋体"/>
          <w:szCs w:val="21"/>
          <w:highlight w:val="none"/>
        </w:rPr>
        <w:t>暂停招标的项目</w:t>
      </w:r>
      <w:r>
        <w:rPr>
          <w:rFonts w:ascii="宋体" w:hAnsi="宋体" w:hint="eastAsia"/>
          <w:szCs w:val="21"/>
          <w:highlight w:val="none"/>
        </w:rPr>
        <w:t>。由</w:t>
      </w:r>
      <w:r>
        <w:rPr>
          <w:rFonts w:ascii="宋体" w:hAnsi="宋体"/>
          <w:szCs w:val="21"/>
          <w:highlight w:val="none"/>
        </w:rPr>
        <w:t>采购中心和供应商协商退还投标保证金事宜</w:t>
      </w:r>
      <w:r>
        <w:rPr>
          <w:rFonts w:ascii="宋体" w:hAnsi="宋体" w:hint="eastAsia"/>
          <w:szCs w:val="21"/>
          <w:highlight w:val="none"/>
        </w:rPr>
        <w:t>。</w:t>
      </w:r>
    </w:p>
    <w:p w14:paraId="3A86D959">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（5）在投标截止日前撤回投标的，对于已递交投标保证金的，采购中心在收到投标人书面撤回投标通知之日起5个工作日内退还。</w:t>
      </w:r>
    </w:p>
    <w:p w14:paraId="135B9C76">
      <w:pPr>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（6）投标保证金按原收取方式退还。</w:t>
      </w:r>
    </w:p>
    <w:p w14:paraId="331B6AFB">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1.16.5投标人存在下列情形的，投标保证金不予退还，并被列入不良记录名单，投标人今后参与同类政府采购项目的机会可能会受到影响：</w:t>
      </w:r>
    </w:p>
    <w:p w14:paraId="3626DC43">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（1）开标后在投标有效期内，投标人撤销其投标；</w:t>
      </w:r>
    </w:p>
    <w:p w14:paraId="508AAE99">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（2）中标人与采购人订立背离合同实质性内容的其它协议；</w:t>
      </w:r>
    </w:p>
    <w:p w14:paraId="58297E8B">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（3）中标人将项目转让给他人；</w:t>
      </w:r>
    </w:p>
    <w:p w14:paraId="22EDAA11">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（4）中标人无正当理由，不与采购人签订合同的；</w:t>
      </w:r>
    </w:p>
    <w:p w14:paraId="7D0C35BE">
      <w:pPr>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（5）中标人不按本招标文件的规定提交履约保证金的；</w:t>
      </w:r>
    </w:p>
    <w:p w14:paraId="0D9D1A0B">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（6）中标人不按本招标文件的规定缴纳代理服务费的；</w:t>
      </w:r>
    </w:p>
    <w:p w14:paraId="40DC8701">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（7）以他人名义投标、相互串通投标或者以其他方式弄虚作假的，投标人提交的投标文件中提交虚假资料或失实资料的；</w:t>
      </w:r>
    </w:p>
    <w:p w14:paraId="68390247">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（8）投标人其它未按招标文件规定和合同约定履行义务的行为；</w:t>
      </w:r>
    </w:p>
    <w:p w14:paraId="64CB10D9">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（9）其他违反法律法规规定的。</w:t>
      </w:r>
    </w:p>
    <w:p w14:paraId="1258D8D8">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1.17投标报价</w:t>
      </w:r>
    </w:p>
    <w:p w14:paraId="29837D19">
      <w:pPr>
        <w:tabs>
          <w:tab w:val="left" w:pos="90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14:paraId="420FEDB8">
      <w:pPr>
        <w:tabs>
          <w:tab w:val="left" w:pos="1573"/>
        </w:tabs>
        <w:adjustRightInd w:val="0"/>
        <w:snapToGrid w:val="0"/>
        <w:spacing w:line="360" w:lineRule="auto"/>
        <w:ind w:firstLine="420" w:firstLineChars="200"/>
        <w:jc w:val="left"/>
        <w:rPr>
          <w:rFonts w:hint="eastAsia"/>
          <w:b/>
          <w:bCs/>
          <w:highlight w:val="none"/>
        </w:rPr>
      </w:pPr>
      <w:r>
        <w:rPr>
          <w:rFonts w:ascii="宋体" w:hAnsi="宋体" w:hint="eastAsia"/>
          <w:szCs w:val="21"/>
          <w:highlight w:val="none"/>
        </w:rPr>
        <w:t>1.17.2</w:t>
      </w:r>
      <w:r>
        <w:rPr>
          <w:rFonts w:hint="eastAsia"/>
          <w:highlight w:val="none"/>
        </w:rPr>
        <w:t>本项目的采购预算（或最高限价）详见</w:t>
      </w:r>
      <w:r>
        <w:rPr>
          <w:rFonts w:hint="eastAsia"/>
          <w:b/>
          <w:bCs/>
          <w:highlight w:val="none"/>
        </w:rPr>
        <w:t>第五章投标人须知专用部分。</w:t>
      </w:r>
      <w:r>
        <w:rPr>
          <w:rFonts w:hint="eastAsia"/>
          <w:bCs/>
          <w:highlight w:val="none"/>
        </w:rPr>
        <w:t>投标人应有明确报价，</w:t>
      </w:r>
      <w:r>
        <w:rPr>
          <w:rFonts w:hint="eastAsia"/>
          <w:highlight w:val="none"/>
        </w:rPr>
        <w:t>不接受无报价投标和有选择的报价以及有条件的优惠报价，且</w:t>
      </w:r>
      <w:r>
        <w:rPr>
          <w:rFonts w:hint="eastAsia"/>
          <w:bCs/>
          <w:highlight w:val="none"/>
        </w:rPr>
        <w:t>报价未超过采购预算（或最高限价），否则投标将被</w:t>
      </w:r>
      <w:r>
        <w:rPr>
          <w:rFonts w:hint="eastAsia"/>
          <w:b/>
          <w:bCs/>
          <w:highlight w:val="none"/>
        </w:rPr>
        <w:t>拒绝。</w:t>
      </w:r>
    </w:p>
    <w:p w14:paraId="26C0FC21">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1.17.3投标人要按分项报价表的内容填写单价（包括服务清单、方式、费用，货物报价及装箱、包装、包装物料、运输和保险费用等）、总价及其他事项。</w:t>
      </w:r>
    </w:p>
    <w:p w14:paraId="4F0249BC">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highlight w:val="none"/>
        </w:rPr>
        <w:t>拒绝</w:t>
      </w:r>
      <w:r>
        <w:rPr>
          <w:rFonts w:ascii="宋体" w:hAnsi="宋体" w:hint="eastAsia"/>
          <w:szCs w:val="21"/>
          <w:highlight w:val="none"/>
        </w:rPr>
        <w:t>且不允许在开标后补正：</w:t>
      </w:r>
    </w:p>
    <w:p w14:paraId="12DE9BF6">
      <w:pPr>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（1）投标人投报多包时，未按包分别填写开标一览表的；</w:t>
      </w:r>
    </w:p>
    <w:p w14:paraId="3612FA79">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（2）未填写投标总价的；</w:t>
      </w:r>
    </w:p>
    <w:p w14:paraId="7A15F203">
      <w:pPr>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（3）未填写投标总价大写金额的。</w:t>
      </w:r>
    </w:p>
    <w:p w14:paraId="17042F9D">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1.17.5投标人对投标报价若有说明应在开标一览表显著处注明,只有开标时唱出的报价才会在评审时予以考虑。</w:t>
      </w:r>
    </w:p>
    <w:p w14:paraId="3F83E006">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1.17.6投标的报价优惠应对应开标一览表、分项报价表等提供相应的明细清单。除报价优惠外，任何超出招标文件要求而额外赠送的货物、免费服务等其他形式的优惠，在评审时将不具有竞争优势。</w:t>
      </w:r>
    </w:p>
    <w:p w14:paraId="676A0A64">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48D09012">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1.17.8最低报价不能作为中标的保证。</w:t>
      </w:r>
    </w:p>
    <w:p w14:paraId="5378E14A">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1.18分包</w:t>
      </w:r>
    </w:p>
    <w:p w14:paraId="224F6AA8">
      <w:pPr>
        <w:tabs>
          <w:tab w:val="left" w:pos="1480"/>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1.18.1本项目是否允许投标人将项目的非主体、非关键性工作交由他人完成详见</w:t>
      </w:r>
      <w:r>
        <w:rPr>
          <w:rFonts w:ascii="宋体" w:hAnsi="宋体" w:hint="eastAsia"/>
          <w:b/>
          <w:bCs/>
          <w:szCs w:val="21"/>
          <w:highlight w:val="none"/>
        </w:rPr>
        <w:t>第五章投标人须知专用部分</w:t>
      </w:r>
      <w:r>
        <w:rPr>
          <w:rFonts w:ascii="宋体" w:hAnsi="宋体" w:hint="eastAsia"/>
          <w:szCs w:val="21"/>
          <w:highlight w:val="none"/>
        </w:rPr>
        <w:t>。</w:t>
      </w:r>
    </w:p>
    <w:p w14:paraId="723C3ECB">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1.18.2投标人根据采购项目的实际情况,拟在中标后将中标项目的非主体、非关键性工作交由他人完成的，应当在投标文件中载明分包承担主体，分包承担主体应当具备相应资质条件且不得再次分包。</w:t>
      </w:r>
    </w:p>
    <w:p w14:paraId="10DCF1FC">
      <w:pPr>
        <w:tabs>
          <w:tab w:val="left" w:pos="1573"/>
        </w:tabs>
        <w:adjustRightInd w:val="0"/>
        <w:snapToGrid w:val="0"/>
        <w:spacing w:line="360" w:lineRule="auto"/>
        <w:ind w:firstLine="420" w:firstLineChars="200"/>
        <w:rPr>
          <w:rFonts w:ascii="宋体" w:hAnsi="宋体"/>
          <w:szCs w:val="21"/>
          <w:highlight w:val="none"/>
          <w:lang w:val="zh-CN"/>
        </w:rPr>
      </w:pPr>
      <w:r>
        <w:rPr>
          <w:rFonts w:ascii="宋体" w:hAnsi="宋体" w:hint="eastAsia"/>
          <w:szCs w:val="21"/>
          <w:highlight w:val="none"/>
        </w:rPr>
        <w:t>1.18.3</w:t>
      </w:r>
      <w:r>
        <w:rPr>
          <w:rFonts w:ascii="宋体" w:hAnsi="宋体" w:hint="eastAsia"/>
          <w:szCs w:val="21"/>
          <w:highlight w:val="none"/>
          <w:lang w:val="zh-CN"/>
        </w:rPr>
        <w:t>不符合招标文件中有关分包规定的，其投标将被</w:t>
      </w:r>
      <w:r>
        <w:rPr>
          <w:rFonts w:ascii="宋体" w:eastAsia="拒绝" w:hAnsi="宋体" w:hint="eastAsia"/>
          <w:b/>
          <w:szCs w:val="21"/>
          <w:highlight w:val="none"/>
          <w:lang w:val="zh-CN"/>
        </w:rPr>
        <w:t>拒绝</w:t>
      </w:r>
      <w:r>
        <w:rPr>
          <w:rFonts w:ascii="宋体" w:hAnsi="宋体" w:hint="eastAsia"/>
          <w:szCs w:val="21"/>
          <w:highlight w:val="none"/>
          <w:lang w:val="zh-CN"/>
        </w:rPr>
        <w:t>。</w:t>
      </w:r>
    </w:p>
    <w:p w14:paraId="052A8AD9">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1.19投标内容填写说明</w:t>
      </w:r>
    </w:p>
    <w:p w14:paraId="4FAC17DF">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4AE30F4C">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1.19.2投标文件应按照招标文件的格式逐项填写，不得有空项。无相应内容可填的项应填写“无”、“未测试”、“没有相应指标”等明确的回答文字。投标文件未按规定提交或留有空项，将被视为投标文件完整性有缺陷。</w:t>
      </w:r>
    </w:p>
    <w:p w14:paraId="7736E701">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1.19.3开标一览表为在开标现场上唱标所需的材料，按内容要求统一填写，不得自行增减内容。</w:t>
      </w:r>
    </w:p>
    <w:p w14:paraId="4C21D414">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1.19.4投标人必须保证投标文件所提供的全部资料真实可靠，并接受采购中心或评标委员会对其中任何资料进一步审查的要求。</w:t>
      </w:r>
    </w:p>
    <w:p w14:paraId="15F012D4">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1.20投标有效期</w:t>
      </w:r>
    </w:p>
    <w:p w14:paraId="5AF9B6C9">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1.20.1本项目投标有效期见</w:t>
      </w:r>
      <w:r>
        <w:rPr>
          <w:rFonts w:ascii="宋体" w:hAnsi="宋体" w:hint="eastAsia"/>
          <w:b/>
          <w:bCs/>
          <w:szCs w:val="21"/>
          <w:highlight w:val="none"/>
        </w:rPr>
        <w:t>第五章投标人须知专用部分</w:t>
      </w:r>
      <w:r>
        <w:rPr>
          <w:rFonts w:ascii="宋体" w:hAnsi="宋体" w:hint="eastAsia"/>
          <w:szCs w:val="21"/>
          <w:highlight w:val="none"/>
        </w:rPr>
        <w:t>。有效期短于该规定期限的投标将被</w:t>
      </w:r>
      <w:r>
        <w:rPr>
          <w:rFonts w:ascii="宋体" w:eastAsia="拒绝" w:hAnsi="宋体" w:hint="eastAsia"/>
          <w:b/>
          <w:szCs w:val="21"/>
          <w:highlight w:val="none"/>
        </w:rPr>
        <w:t>拒绝</w:t>
      </w:r>
      <w:r>
        <w:rPr>
          <w:rFonts w:ascii="宋体" w:hAnsi="宋体" w:hint="eastAsia"/>
          <w:szCs w:val="21"/>
          <w:highlight w:val="none"/>
        </w:rPr>
        <w:t>。</w:t>
      </w:r>
    </w:p>
    <w:p w14:paraId="2EA3085F">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10CEE46A">
      <w:pPr>
        <w:pStyle w:val="10"/>
        <w:numPr>
          <w:ilvl w:val="0"/>
          <w:numId w:val="0"/>
        </w:numPr>
        <w:tabs>
          <w:tab w:val="left" w:pos="1573"/>
        </w:tabs>
        <w:adjustRightInd w:val="0"/>
        <w:snapToGrid w:val="0"/>
        <w:spacing w:line="360" w:lineRule="auto"/>
        <w:ind w:left="634" w:hanging="214" w:leftChars="200" w:hangingChars="102"/>
        <w:jc w:val="left"/>
        <w:outlineLvl w:val="2"/>
        <w:rPr>
          <w:b/>
          <w:highlight w:val="none"/>
        </w:rPr>
      </w:pPr>
      <w:r>
        <w:rPr>
          <w:rFonts w:hint="eastAsia"/>
          <w:b/>
          <w:highlight w:val="none"/>
        </w:rPr>
        <w:t>四、投标截止时间及投标文件的递交</w:t>
      </w:r>
    </w:p>
    <w:p w14:paraId="17BF4E82">
      <w:pPr>
        <w:pStyle w:val="10"/>
        <w:numPr>
          <w:ilvl w:val="0"/>
          <w:numId w:val="0"/>
        </w:numPr>
        <w:tabs>
          <w:tab w:val="left" w:pos="1573"/>
        </w:tabs>
        <w:adjustRightInd w:val="0"/>
        <w:snapToGrid w:val="0"/>
        <w:spacing w:line="360" w:lineRule="auto"/>
        <w:ind w:firstLine="420" w:firstLineChars="200"/>
        <w:jc w:val="left"/>
        <w:rPr>
          <w:rFonts w:hint="eastAsia"/>
          <w:b/>
          <w:highlight w:val="none"/>
        </w:rPr>
      </w:pPr>
      <w:r>
        <w:rPr>
          <w:rFonts w:hint="eastAsia"/>
          <w:b/>
          <w:highlight w:val="none"/>
        </w:rPr>
        <w:t>1.21投标截止时间</w:t>
      </w:r>
    </w:p>
    <w:p w14:paraId="19DF089E">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59A824CF">
      <w:pPr>
        <w:pStyle w:val="10"/>
        <w:numPr>
          <w:ilvl w:val="0"/>
          <w:numId w:val="0"/>
        </w:numPr>
        <w:tabs>
          <w:tab w:val="left" w:pos="1573"/>
        </w:tabs>
        <w:adjustRightInd w:val="0"/>
        <w:snapToGrid w:val="0"/>
        <w:spacing w:line="360" w:lineRule="auto"/>
        <w:ind w:firstLine="420" w:firstLineChars="200"/>
        <w:jc w:val="left"/>
        <w:outlineLvl w:val="3"/>
        <w:rPr>
          <w:rFonts w:hint="eastAsia"/>
          <w:b/>
          <w:bCs/>
          <w:highlight w:val="none"/>
        </w:rPr>
      </w:pPr>
      <w:r>
        <w:rPr>
          <w:rFonts w:hint="eastAsia"/>
          <w:b/>
          <w:bCs/>
          <w:highlight w:val="none"/>
        </w:rPr>
        <w:t>1.22投标文件递交方式</w:t>
      </w:r>
    </w:p>
    <w:p w14:paraId="547BC0B3">
      <w:pPr>
        <w:adjustRightInd w:val="0"/>
        <w:snapToGrid w:val="0"/>
        <w:spacing w:line="360" w:lineRule="auto"/>
        <w:ind w:firstLine="420" w:firstLineChars="200"/>
        <w:jc w:val="left"/>
        <w:rPr>
          <w:rFonts w:ascii="宋体" w:cs="微软雅黑" w:hint="eastAsia"/>
          <w:szCs w:val="21"/>
          <w:highlight w:val="none"/>
        </w:rPr>
      </w:pPr>
      <w:r>
        <w:rPr>
          <w:rFonts w:ascii="宋体" w:hAnsi="宋体" w:hint="eastAsia"/>
          <w:szCs w:val="21"/>
          <w:highlight w:val="none"/>
        </w:rPr>
        <w:t>1.22.1</w:t>
      </w:r>
      <w:r>
        <w:rPr>
          <w:rFonts w:ascii="宋体" w:hAnsi="宋体" w:hint="eastAsia"/>
          <w:bCs/>
          <w:szCs w:val="21"/>
          <w:highlight w:val="none"/>
        </w:rPr>
        <w:t>本项目使用</w:t>
      </w:r>
      <w:r>
        <w:rPr>
          <w:rFonts w:ascii="宋体" w:hAnsi="宋体" w:hint="eastAsia"/>
          <w:szCs w:val="21"/>
          <w:highlight w:val="none"/>
        </w:rPr>
        <w:t>中国气象局政府采购中心电子采购系统进行招投标。投标人应</w:t>
      </w:r>
      <w:r>
        <w:rPr>
          <w:rFonts w:ascii="宋体" w:cs="微软雅黑" w:hint="eastAsia"/>
          <w:szCs w:val="21"/>
          <w:highlight w:val="none"/>
        </w:rPr>
        <w:t>登陆</w:t>
      </w:r>
      <w:r>
        <w:rPr>
          <w:rFonts w:ascii="宋体" w:hAnsi="宋体" w:hint="eastAsia"/>
          <w:szCs w:val="21"/>
          <w:highlight w:val="none"/>
        </w:rPr>
        <w:t>中国气象局政府采购中心电子采购系统（地址：xxxxxxxxxxxxxxxx），</w:t>
      </w:r>
      <w:r>
        <w:rPr>
          <w:rFonts w:ascii="宋体" w:cs="微软雅黑" w:hint="eastAsia"/>
          <w:szCs w:val="21"/>
          <w:highlight w:val="none"/>
        </w:rPr>
        <w:t>下载</w:t>
      </w:r>
      <w:r>
        <w:rPr>
          <w:rFonts w:ascii="宋体" w:cs="微软雅黑" w:hint="eastAsia"/>
          <w:color w:val="C00000"/>
          <w:szCs w:val="21"/>
          <w:highlight w:val="none"/>
        </w:rPr>
        <w:t>电子采购系统</w:t>
      </w:r>
      <w:r>
        <w:rPr>
          <w:rFonts w:ascii="宋体" w:cs="微软雅黑" w:hint="eastAsia"/>
          <w:szCs w:val="21"/>
          <w:highlight w:val="none"/>
        </w:rPr>
        <w:t>的投标（响应）工具，制作并于投标截止时间前上传加密的电子投标文件，文件上传成功后，将获得系统回执。该系统的上传通道</w:t>
      </w:r>
      <w:r>
        <w:rPr>
          <w:rFonts w:ascii="宋体" w:hAnsi="宋体" w:hint="eastAsia"/>
          <w:szCs w:val="21"/>
          <w:highlight w:val="none"/>
        </w:rPr>
        <w:t>将在投标截止时间自动关闭，请投标人充分考虑上传时可能会遇到的各种问题，确保</w:t>
      </w:r>
      <w:r>
        <w:rPr>
          <w:rFonts w:ascii="宋体" w:cs="微软雅黑" w:hint="eastAsia"/>
          <w:szCs w:val="21"/>
          <w:highlight w:val="none"/>
        </w:rPr>
        <w:t>投标截止时间前能上传成功。</w:t>
      </w:r>
    </w:p>
    <w:p w14:paraId="7E723A04">
      <w:pPr>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1.22.2由于中国气象局政府采购中心电子采购系统尚处于试运行阶段，投标人除通过该系统上传加密的</w:t>
      </w:r>
      <w:r>
        <w:rPr>
          <w:rFonts w:ascii="宋体" w:hAnsi="宋体" w:hint="eastAsia"/>
          <w:bCs/>
          <w:szCs w:val="21"/>
          <w:highlight w:val="none"/>
        </w:rPr>
        <w:t>电子投标文件外，还应通过该系统下载投标文件电子版文件包，并使用</w:t>
      </w:r>
      <w:r>
        <w:rPr>
          <w:rFonts w:hint="eastAsia"/>
          <w:bCs/>
          <w:highlight w:val="none"/>
        </w:rPr>
        <w:t>不可擦写的刻录光盘或其他只读存储介质，在投标截止时间前</w:t>
      </w:r>
      <w:r>
        <w:rPr>
          <w:rFonts w:ascii="宋体" w:hAnsi="宋体" w:hint="eastAsia"/>
          <w:szCs w:val="21"/>
          <w:highlight w:val="none"/>
        </w:rPr>
        <w:t>按投标邀请书中规定的投标地址送至采购中心（不接受邮寄）。</w:t>
      </w:r>
    </w:p>
    <w:p w14:paraId="310F18F5">
      <w:pPr>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1.22.3在投标截止时间之前，投标人未完成加密电子投标文件上传，无论采购中心是否在投标截止时间前收到以光盘等存储介质提交的</w:t>
      </w:r>
      <w:r>
        <w:rPr>
          <w:rFonts w:ascii="宋体" w:hAnsi="宋体" w:hint="eastAsia"/>
          <w:bCs/>
          <w:szCs w:val="21"/>
          <w:highlight w:val="none"/>
        </w:rPr>
        <w:t>投标文件电子版文件包，</w:t>
      </w:r>
      <w:r>
        <w:rPr>
          <w:rFonts w:ascii="宋体" w:hAnsi="宋体" w:hint="eastAsia"/>
          <w:szCs w:val="21"/>
          <w:highlight w:val="none"/>
        </w:rPr>
        <w:t>其投标将被</w:t>
      </w:r>
      <w:r>
        <w:rPr>
          <w:rFonts w:ascii="宋体" w:hAnsi="宋体" w:hint="eastAsia"/>
          <w:b/>
          <w:szCs w:val="21"/>
          <w:highlight w:val="none"/>
        </w:rPr>
        <w:t>拒绝</w:t>
      </w:r>
      <w:r>
        <w:rPr>
          <w:rFonts w:ascii="宋体" w:hAnsi="宋体" w:hint="eastAsia"/>
          <w:szCs w:val="21"/>
          <w:highlight w:val="none"/>
        </w:rPr>
        <w:t>。</w:t>
      </w:r>
    </w:p>
    <w:p w14:paraId="0D23841C">
      <w:pPr>
        <w:adjustRightInd w:val="0"/>
        <w:snapToGrid w:val="0"/>
        <w:spacing w:line="360" w:lineRule="auto"/>
        <w:ind w:firstLine="420" w:firstLineChars="200"/>
        <w:jc w:val="left"/>
        <w:rPr>
          <w:rFonts w:hint="eastAsia"/>
          <w:highlight w:val="none"/>
        </w:rPr>
      </w:pPr>
      <w:r>
        <w:rPr>
          <w:rFonts w:ascii="宋体" w:hAnsi="宋体" w:hint="eastAsia"/>
          <w:szCs w:val="21"/>
          <w:highlight w:val="none"/>
        </w:rPr>
        <w:t>1.22.4通过光盘等存储介质提交的</w:t>
      </w:r>
      <w:r>
        <w:rPr>
          <w:rFonts w:ascii="宋体" w:hAnsi="宋体" w:hint="eastAsia"/>
          <w:bCs/>
          <w:szCs w:val="21"/>
          <w:highlight w:val="none"/>
        </w:rPr>
        <w:t>投标文件电子版文件包，应与</w:t>
      </w:r>
      <w:r>
        <w:rPr>
          <w:rFonts w:ascii="宋体" w:hAnsi="宋体" w:hint="eastAsia"/>
          <w:szCs w:val="21"/>
          <w:highlight w:val="none"/>
        </w:rPr>
        <w:t>通过中国气象局政府采购中心电子采购系统上传的加密</w:t>
      </w:r>
      <w:r>
        <w:rPr>
          <w:rFonts w:hint="eastAsia"/>
          <w:highlight w:val="none"/>
        </w:rPr>
        <w:t>电子投标文件一致，如不一致，以后者为准；如因特殊情况，导致电子投标文件解密失败的，则以前者为准。</w:t>
      </w:r>
    </w:p>
    <w:p w14:paraId="493660B5">
      <w:pPr>
        <w:adjustRightInd w:val="0"/>
        <w:snapToGrid w:val="0"/>
        <w:spacing w:line="360" w:lineRule="auto"/>
        <w:ind w:firstLine="420" w:firstLineChars="200"/>
        <w:jc w:val="left"/>
        <w:rPr>
          <w:rFonts w:ascii="宋体" w:hAnsi="宋体" w:hint="eastAsia"/>
          <w:szCs w:val="21"/>
          <w:highlight w:val="none"/>
        </w:rPr>
      </w:pPr>
      <w:r>
        <w:rPr>
          <w:rFonts w:ascii="宋体" w:cs="微软雅黑" w:hint="eastAsia"/>
          <w:szCs w:val="21"/>
          <w:highlight w:val="none"/>
        </w:rPr>
        <w:t>1.22.5</w:t>
      </w:r>
      <w:r>
        <w:rPr>
          <w:rFonts w:ascii="宋体" w:hAnsi="宋体" w:hint="eastAsia"/>
          <w:szCs w:val="21"/>
          <w:highlight w:val="none"/>
        </w:rPr>
        <w:t>通过光盘等存储介质提交的</w:t>
      </w:r>
      <w:r>
        <w:rPr>
          <w:rFonts w:ascii="宋体" w:hAnsi="宋体" w:hint="eastAsia"/>
          <w:bCs/>
          <w:szCs w:val="21"/>
          <w:highlight w:val="none"/>
        </w:rPr>
        <w:t>投标文件电子版文件包，应在</w:t>
      </w:r>
      <w:r>
        <w:rPr>
          <w:rFonts w:hint="eastAsia"/>
          <w:bCs/>
          <w:highlight w:val="none"/>
        </w:rPr>
        <w:t>盘面（或封面）标注投标人全称、项目编号和所投的包号，电子文档文件名命名规则为项目编号</w:t>
      </w:r>
      <w:r>
        <w:rPr>
          <w:bCs/>
          <w:highlight w:val="none"/>
        </w:rPr>
        <w:t>+项目名称主题词+</w:t>
      </w:r>
      <w:r>
        <w:rPr>
          <w:rFonts w:hint="eastAsia"/>
          <w:bCs/>
          <w:highlight w:val="none"/>
        </w:rPr>
        <w:t>投标人全称。</w:t>
      </w:r>
    </w:p>
    <w:p w14:paraId="09BDE2E2">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1.22.6存储</w:t>
      </w:r>
      <w:r>
        <w:rPr>
          <w:rFonts w:hint="eastAsia"/>
          <w:bCs/>
          <w:highlight w:val="none"/>
        </w:rPr>
        <w:t>投标文件电子版文件包的</w:t>
      </w:r>
      <w:r>
        <w:rPr>
          <w:rFonts w:hint="eastAsia"/>
          <w:highlight w:val="none"/>
        </w:rPr>
        <w:t>光盘等存储介质</w:t>
      </w:r>
      <w:r>
        <w:rPr>
          <w:rFonts w:hint="eastAsia"/>
          <w:bCs/>
          <w:highlight w:val="none"/>
        </w:rPr>
        <w:t>应用密封袋密封。</w:t>
      </w:r>
      <w:r>
        <w:rPr>
          <w:rFonts w:hint="eastAsia"/>
          <w:highlight w:val="none"/>
        </w:rPr>
        <w:t>所有密封袋封皮上应标注所投项目编号、项目名称、包号、投标人全称，并在封口处加盖投标人公章或由投标人的法定代表人或其授权代表签字。如果投标人未按上述要求密封及加写标记，采购中心对误投和提前启封概不负责。采购中心应如实记录密封等情况，对不符合上述密封及加写标记要求的，采购中心有权</w:t>
      </w:r>
      <w:r>
        <w:rPr>
          <w:rFonts w:eastAsia="拒绝" w:hint="eastAsia"/>
          <w:highlight w:val="none"/>
        </w:rPr>
        <w:t>要求</w:t>
      </w:r>
      <w:r>
        <w:rPr>
          <w:rFonts w:hint="eastAsia"/>
          <w:highlight w:val="none"/>
        </w:rPr>
        <w:t>投标人按上述要求重新密封及加写标记后于投标截止时间前再次递交采购中心，如投标人拒绝，由此引起的不利后果由投标人承担。</w:t>
      </w:r>
    </w:p>
    <w:p w14:paraId="0341B655">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1.23投标文件的补充、修改和撤回</w:t>
      </w:r>
    </w:p>
    <w:p w14:paraId="31C9042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1.23.1投标人可以在投标截止时间前，对所递交的投标文件进行补充、修改或者撤回。在投标截止时间之后，投标人不得对所递交的投标文件进行补充、修改或者撤回。</w:t>
      </w:r>
    </w:p>
    <w:p w14:paraId="565B6A1A">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1.23.2重新提交的电子投标文件应按照1.15条要求重新签署并按1.22条要求重新上传。通过光盘等存储介质重新提交的</w:t>
      </w:r>
      <w:r>
        <w:rPr>
          <w:rFonts w:hint="eastAsia"/>
          <w:bCs/>
          <w:highlight w:val="none"/>
        </w:rPr>
        <w:t>投标文件电子版文件包，</w:t>
      </w:r>
      <w:r>
        <w:rPr>
          <w:rFonts w:hint="eastAsia"/>
          <w:highlight w:val="none"/>
        </w:rPr>
        <w:t>应确保与重新签署上传的加密电子投标文件一致。</w:t>
      </w:r>
    </w:p>
    <w:p w14:paraId="5F4AE1C4">
      <w:pPr>
        <w:adjustRightInd w:val="0"/>
        <w:snapToGrid w:val="0"/>
        <w:spacing w:line="360" w:lineRule="auto"/>
        <w:ind w:left="414"/>
        <w:jc w:val="left"/>
        <w:outlineLvl w:val="2"/>
        <w:rPr>
          <w:rFonts w:ascii="宋体" w:hAnsi="宋体"/>
          <w:b/>
          <w:szCs w:val="21"/>
          <w:highlight w:val="none"/>
        </w:rPr>
      </w:pPr>
      <w:r>
        <w:rPr>
          <w:rFonts w:ascii="宋体" w:hAnsi="宋体" w:hint="eastAsia"/>
          <w:b/>
          <w:szCs w:val="21"/>
          <w:highlight w:val="none"/>
        </w:rPr>
        <w:t>五、开标</w:t>
      </w:r>
    </w:p>
    <w:p w14:paraId="7EBD36E1">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1.24开标</w:t>
      </w:r>
    </w:p>
    <w:p w14:paraId="0F77E21F">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1.24.1采购中心按照招标文件规定的时间、地点主持开标。</w:t>
      </w:r>
    </w:p>
    <w:p w14:paraId="60656F7A">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1.24.2投标人不足3家，不进入解密程序。</w:t>
      </w:r>
    </w:p>
    <w:p w14:paraId="3D13D683">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1.24.3进入解密程序后，由采购中心对所有完成上传的加密电子投标文件进行解密。所有投标人加密电子投标文件解密完成后，进行电子唱标。如出现某个投标人电子投标文件解密失败情况，将使用该投标人通过光盘等存储介质提交的</w:t>
      </w:r>
      <w:r>
        <w:rPr>
          <w:rFonts w:hint="eastAsia"/>
          <w:bCs/>
          <w:highlight w:val="none"/>
        </w:rPr>
        <w:t>投标文件电子版文件包</w:t>
      </w:r>
      <w:r>
        <w:rPr>
          <w:rFonts w:hint="eastAsia"/>
          <w:highlight w:val="none"/>
        </w:rPr>
        <w:t>唱标。</w:t>
      </w:r>
    </w:p>
    <w:p w14:paraId="48124B28">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1.24.4投标人、采购人可通过中国气象局政府采购中心电子采购系统参加开标，其授权代表也可至开标现场参加开标。投标人未参加开标的，则将</w:t>
      </w:r>
      <w:r>
        <w:rPr>
          <w:highlight w:val="none"/>
        </w:rPr>
        <w:t>视为</w:t>
      </w:r>
      <w:r>
        <w:rPr>
          <w:rFonts w:hint="eastAsia"/>
          <w:highlight w:val="none"/>
        </w:rPr>
        <w:t>其</w:t>
      </w:r>
      <w:r>
        <w:rPr>
          <w:highlight w:val="none"/>
        </w:rPr>
        <w:t>放弃开标的知情权</w:t>
      </w:r>
      <w:r>
        <w:rPr>
          <w:rFonts w:hint="eastAsia"/>
          <w:highlight w:val="none"/>
        </w:rPr>
        <w:t>、</w:t>
      </w:r>
      <w:r>
        <w:rPr>
          <w:highlight w:val="none"/>
        </w:rPr>
        <w:t>监督权</w:t>
      </w:r>
      <w:r>
        <w:rPr>
          <w:rFonts w:hint="eastAsia"/>
          <w:highlight w:val="none"/>
        </w:rPr>
        <w:t>等</w:t>
      </w:r>
      <w:r>
        <w:rPr>
          <w:highlight w:val="none"/>
        </w:rPr>
        <w:t>相关权益，</w:t>
      </w:r>
      <w:r>
        <w:rPr>
          <w:rFonts w:hint="eastAsia"/>
          <w:highlight w:val="none"/>
        </w:rPr>
        <w:t>但</w:t>
      </w:r>
      <w:r>
        <w:rPr>
          <w:highlight w:val="none"/>
        </w:rPr>
        <w:t>不影响其投标有效性</w:t>
      </w:r>
      <w:r>
        <w:rPr>
          <w:rFonts w:hint="eastAsia"/>
          <w:highlight w:val="none"/>
        </w:rPr>
        <w:t>。</w:t>
      </w:r>
    </w:p>
    <w:p w14:paraId="11EA297D">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1.24.5使用该投标人通过光盘等存储介质提交的</w:t>
      </w:r>
      <w:r>
        <w:rPr>
          <w:rFonts w:hint="eastAsia"/>
          <w:bCs/>
          <w:highlight w:val="none"/>
        </w:rPr>
        <w:t>投标文件电子版文件包</w:t>
      </w:r>
      <w:r>
        <w:rPr>
          <w:rFonts w:hint="eastAsia"/>
          <w:highlight w:val="none"/>
        </w:rPr>
        <w:t>唱标的，按以下程序进行：</w:t>
      </w:r>
    </w:p>
    <w:p w14:paraId="68271AC1">
      <w:pPr>
        <w:pStyle w:val="10"/>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（1）密封检查。密封检查是指对装有存储</w:t>
      </w:r>
      <w:r>
        <w:rPr>
          <w:rFonts w:hint="eastAsia"/>
          <w:bCs/>
          <w:highlight w:val="none"/>
        </w:rPr>
        <w:t>投标文件电子版文件包的</w:t>
      </w:r>
      <w:r>
        <w:rPr>
          <w:rFonts w:hint="eastAsia"/>
          <w:highlight w:val="none"/>
        </w:rPr>
        <w:t>光盘等存储介质的密封袋的密封情况进行检查对比，以确保开标前不被开启，投标文件等不被篡改、泄露。开标时由投标人对自己的密封情况进行检查。如投标人放弃检查，可能产生的不利后果由投标人自行承担。</w:t>
      </w:r>
    </w:p>
    <w:p w14:paraId="67E72E96">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（2）唱标。密封情况经检查无误后，由相关工作人员当众拆封，并经投标人法定代表人或授权代表签字确认后，将</w:t>
      </w:r>
      <w:r>
        <w:rPr>
          <w:rFonts w:hint="eastAsia"/>
          <w:bCs/>
          <w:highlight w:val="none"/>
        </w:rPr>
        <w:t>投标文件电子版文件包导入</w:t>
      </w:r>
      <w:r>
        <w:rPr>
          <w:rFonts w:hint="eastAsia"/>
          <w:highlight w:val="none"/>
        </w:rPr>
        <w:t>中国气象局政府采购中心电子采购系统，进行电子唱标。</w:t>
      </w:r>
      <w:r>
        <w:rPr>
          <w:highlight w:val="none"/>
        </w:rPr>
        <w:t>如</w:t>
      </w:r>
      <w:r>
        <w:rPr>
          <w:rFonts w:hint="eastAsia"/>
          <w:highlight w:val="none"/>
        </w:rPr>
        <w:t>投标人法定代表人或授权代表未</w:t>
      </w:r>
      <w:r>
        <w:rPr>
          <w:highlight w:val="none"/>
        </w:rPr>
        <w:t>到场，</w:t>
      </w:r>
      <w:r>
        <w:rPr>
          <w:rFonts w:hint="eastAsia"/>
          <w:highlight w:val="none"/>
        </w:rPr>
        <w:t>由</w:t>
      </w:r>
      <w:r>
        <w:rPr>
          <w:highlight w:val="none"/>
        </w:rPr>
        <w:t>采购中心</w:t>
      </w:r>
      <w:r>
        <w:rPr>
          <w:rFonts w:hint="eastAsia"/>
          <w:highlight w:val="none"/>
        </w:rPr>
        <w:t>在投标人法定代表人或授权代表签字确定处</w:t>
      </w:r>
      <w:r>
        <w:rPr>
          <w:highlight w:val="none"/>
        </w:rPr>
        <w:t>注明</w:t>
      </w:r>
      <w:r>
        <w:rPr>
          <w:rFonts w:hint="eastAsia"/>
          <w:highlight w:val="none"/>
        </w:rPr>
        <w:t>“未到场”。</w:t>
      </w:r>
    </w:p>
    <w:p w14:paraId="1476B342">
      <w:pPr>
        <w:adjustRightInd w:val="0"/>
        <w:snapToGrid w:val="0"/>
        <w:spacing w:line="360" w:lineRule="auto"/>
        <w:ind w:left="414"/>
        <w:outlineLvl w:val="2"/>
        <w:rPr>
          <w:rFonts w:ascii="宋体" w:hAnsi="宋体"/>
          <w:b/>
          <w:szCs w:val="21"/>
          <w:highlight w:val="none"/>
        </w:rPr>
      </w:pPr>
      <w:r>
        <w:rPr>
          <w:rFonts w:ascii="宋体" w:hAnsi="宋体" w:hint="eastAsia"/>
          <w:b/>
          <w:szCs w:val="21"/>
          <w:highlight w:val="none"/>
        </w:rPr>
        <w:t>六、评审步骤和要求</w:t>
      </w:r>
    </w:p>
    <w:p w14:paraId="52993DE2">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1.25组建评标委员会</w:t>
      </w:r>
    </w:p>
    <w:p w14:paraId="33E7C9DD">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1.25.1采购中心根据有关法律法规和本招标文件的规定，结合本招标项目的特点组建评标委员会。评标委员会由五人以上（含）单数组成，包括评审专家和采购人代表，其中评审专家不少于三分之二。</w:t>
      </w:r>
    </w:p>
    <w:p w14:paraId="50BE54BB">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1.25.2采购人只能以采购人代表的身份参与评审，采购中心工作人员不得参加评审。</w:t>
      </w:r>
    </w:p>
    <w:p w14:paraId="2CC600CF">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1.26初审</w:t>
      </w:r>
    </w:p>
    <w:p w14:paraId="6AE6BB54">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1.26.1投标文件的初审分为资格性审查和符合性审查。</w:t>
      </w:r>
    </w:p>
    <w:p w14:paraId="5A116AA5">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w:t>
      </w:r>
      <w:r>
        <w:rPr>
          <w:highlight w:val="none"/>
        </w:rPr>
        <w:t>1）</w:t>
      </w:r>
      <w:r>
        <w:rPr>
          <w:rFonts w:hint="eastAsia"/>
          <w:highlight w:val="none"/>
        </w:rPr>
        <w:t>资格性审查由采购人或采购中心负责。主要是指依据法律法规和招标文件对投标人的资格材料等进行审查，以确定投标人是否具备投标资格。通过资格性审查的投标人不足3家的，不再进行下一步评审。</w:t>
      </w:r>
    </w:p>
    <w:p w14:paraId="2A351969">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资格性审查内容是指投标人是否符合相关法律法规及招标文件规定的投标人资格条件，包括：①投标人法人资格证明文件，②以投标截止日为基准日，近一年内任何</w:t>
      </w:r>
      <w:r>
        <w:rPr>
          <w:highlight w:val="none"/>
        </w:rPr>
        <w:t>完税凭证或税务部门出具的税收减免证明</w:t>
      </w:r>
      <w:r>
        <w:rPr>
          <w:rFonts w:hint="eastAsia"/>
          <w:highlight w:val="none"/>
        </w:rPr>
        <w:t>，</w:t>
      </w:r>
      <w:r>
        <w:rPr>
          <w:highlight w:val="none"/>
        </w:rPr>
        <w:t>③</w:t>
      </w:r>
      <w:r>
        <w:rPr>
          <w:rFonts w:hint="eastAsia"/>
          <w:highlight w:val="none"/>
        </w:rPr>
        <w:t>以投标截止日为基准日，</w:t>
      </w:r>
      <w:r>
        <w:rPr>
          <w:highlight w:val="none"/>
        </w:rPr>
        <w:t>近</w:t>
      </w:r>
      <w:r>
        <w:rPr>
          <w:rFonts w:hint="eastAsia"/>
          <w:highlight w:val="none"/>
        </w:rPr>
        <w:t>一年内任何一期的</w:t>
      </w:r>
      <w:r>
        <w:rPr>
          <w:highlight w:val="none"/>
        </w:rPr>
        <w:t>社会保障资金缴纳凭证</w:t>
      </w:r>
      <w:r>
        <w:rPr>
          <w:rFonts w:hint="eastAsia"/>
          <w:highlight w:val="none"/>
        </w:rPr>
        <w:t>，</w:t>
      </w:r>
      <w:r>
        <w:rPr>
          <w:highlight w:val="none"/>
        </w:rPr>
        <w:t>④财务状况证明</w:t>
      </w:r>
      <w:r>
        <w:rPr>
          <w:rFonts w:hint="eastAsia"/>
          <w:highlight w:val="none"/>
        </w:rPr>
        <w:t>，</w:t>
      </w:r>
      <w:r>
        <w:rPr>
          <w:highlight w:val="none"/>
        </w:rPr>
        <w:t>⑤近三年内参加政府采购活动中没有重大违法记录声明</w:t>
      </w:r>
      <w:r>
        <w:rPr>
          <w:rFonts w:hint="eastAsia"/>
          <w:highlight w:val="none"/>
        </w:rPr>
        <w:t>，</w:t>
      </w:r>
      <w:r>
        <w:rPr>
          <w:highlight w:val="none"/>
        </w:rPr>
        <w:t>⑥投标货物的《气象专用技术装备使用许可证》（</w:t>
      </w:r>
      <w:r>
        <w:rPr>
          <w:rFonts w:hint="eastAsia"/>
          <w:highlight w:val="none"/>
        </w:rPr>
        <w:t>如有</w:t>
      </w:r>
      <w:r>
        <w:rPr>
          <w:highlight w:val="none"/>
        </w:rPr>
        <w:t>）</w:t>
      </w:r>
      <w:r>
        <w:rPr>
          <w:rFonts w:hint="eastAsia"/>
          <w:highlight w:val="none"/>
        </w:rPr>
        <w:t>，⑦投标人信用，</w:t>
      </w:r>
      <w:r>
        <w:rPr>
          <w:highlight w:val="none"/>
        </w:rPr>
        <w:fldChar w:fldCharType="begin"/>
      </w:r>
      <w:r>
        <w:rPr>
          <w:highlight w:val="none"/>
        </w:rPr>
        <w:instrText xml:space="preserve"> </w:instrText>
      </w:r>
      <w:r>
        <w:rPr>
          <w:rFonts w:hint="eastAsia"/>
          <w:highlight w:val="none"/>
        </w:rPr>
        <w:instrText>= 8 \* GB3</w:instrText>
      </w:r>
      <w:r>
        <w:rPr>
          <w:highlight w:val="none"/>
        </w:rPr>
        <w:instrText xml:space="preserve"> </w:instrText>
      </w:r>
      <w:r>
        <w:rPr>
          <w:highlight w:val="none"/>
        </w:rPr>
        <w:fldChar w:fldCharType="separate"/>
      </w:r>
      <w:r>
        <w:rPr>
          <w:rFonts w:hint="eastAsia"/>
          <w:highlight w:val="none"/>
        </w:rPr>
        <w:t>⑧</w:t>
      </w:r>
      <w:r>
        <w:rPr>
          <w:highlight w:val="none"/>
        </w:rPr>
        <w:fldChar w:fldCharType="end"/>
      </w:r>
      <w:r>
        <w:rPr>
          <w:rFonts w:hint="eastAsia"/>
          <w:highlight w:val="none"/>
        </w:rPr>
        <w:t>开标一览表，</w:t>
      </w:r>
      <w:r>
        <w:rPr>
          <w:highlight w:val="none"/>
        </w:rPr>
        <w:fldChar w:fldCharType="begin"/>
      </w:r>
      <w:r>
        <w:rPr>
          <w:highlight w:val="none"/>
        </w:rPr>
        <w:instrText xml:space="preserve"> </w:instrText>
      </w:r>
      <w:r>
        <w:rPr>
          <w:rFonts w:hint="eastAsia"/>
          <w:highlight w:val="none"/>
        </w:rPr>
        <w:instrText>= 9 \* GB3</w:instrText>
      </w:r>
      <w:r>
        <w:rPr>
          <w:highlight w:val="none"/>
        </w:rPr>
        <w:instrText xml:space="preserve"> </w:instrText>
      </w:r>
      <w:r>
        <w:rPr>
          <w:highlight w:val="none"/>
        </w:rPr>
        <w:fldChar w:fldCharType="separate"/>
      </w:r>
      <w:r>
        <w:rPr>
          <w:rFonts w:hint="eastAsia"/>
          <w:highlight w:val="none"/>
        </w:rPr>
        <w:t>⑨</w:t>
      </w:r>
      <w:r>
        <w:rPr>
          <w:highlight w:val="none"/>
        </w:rPr>
        <w:fldChar w:fldCharType="end"/>
      </w:r>
      <w:r>
        <w:rPr>
          <w:highlight w:val="none"/>
        </w:rPr>
        <w:t>按照第五章投标人须知专用部分</w:t>
      </w:r>
      <w:r>
        <w:rPr>
          <w:rFonts w:hint="eastAsia"/>
          <w:highlight w:val="none"/>
        </w:rPr>
        <w:t>5.2条</w:t>
      </w:r>
      <w:r>
        <w:rPr>
          <w:highlight w:val="none"/>
        </w:rPr>
        <w:t>规定应提交的特殊资质条件证明文件</w:t>
      </w:r>
      <w:r>
        <w:rPr>
          <w:rFonts w:hint="eastAsia"/>
          <w:highlight w:val="none"/>
        </w:rPr>
        <w:t>。</w:t>
      </w:r>
    </w:p>
    <w:p w14:paraId="46B06048">
      <w:pPr>
        <w:tabs>
          <w:tab w:val="left" w:pos="900"/>
          <w:tab w:val="left" w:pos="5580"/>
        </w:tabs>
        <w:adjustRightInd w:val="0"/>
        <w:snapToGrid w:val="0"/>
        <w:spacing w:line="360" w:lineRule="auto"/>
        <w:ind w:firstLine="420" w:firstLineChars="200"/>
        <w:jc w:val="left"/>
        <w:rPr>
          <w:rFonts w:hint="eastAsia"/>
          <w:highlight w:val="none"/>
        </w:rPr>
      </w:pPr>
      <w:r>
        <w:rPr>
          <w:rFonts w:hint="eastAsia"/>
          <w:highlight w:val="none"/>
        </w:rPr>
        <w:t>（</w:t>
      </w:r>
      <w:r>
        <w:rPr>
          <w:highlight w:val="none"/>
        </w:rPr>
        <w:t>2）符合性</w:t>
      </w:r>
      <w:r>
        <w:rPr>
          <w:rFonts w:hint="eastAsia"/>
          <w:highlight w:val="none"/>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highlight w:val="none"/>
        </w:rPr>
        <w:t>服务团队人员基本情况表（如有）、</w:t>
      </w:r>
      <w:r>
        <w:rPr>
          <w:rFonts w:hint="eastAsia"/>
          <w:highlight w:val="none"/>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14:paraId="51049BD9">
      <w:pPr>
        <w:pStyle w:val="10"/>
        <w:numPr>
          <w:ilvl w:val="0"/>
          <w:numId w:val="0"/>
        </w:numPr>
        <w:tabs>
          <w:tab w:val="left" w:pos="1573"/>
        </w:tabs>
        <w:adjustRightInd w:val="0"/>
        <w:snapToGrid w:val="0"/>
        <w:spacing w:line="360" w:lineRule="auto"/>
        <w:ind w:firstLine="420" w:firstLineChars="200"/>
        <w:rPr>
          <w:rFonts w:hint="eastAsia"/>
          <w:bCs/>
          <w:highlight w:val="none"/>
        </w:rPr>
      </w:pPr>
      <w:r>
        <w:rPr>
          <w:rFonts w:hint="eastAsia"/>
          <w:highlight w:val="none"/>
        </w:rPr>
        <w:t>1.26.2本项目在详细评审之前，是否允许投标人述标及述标方式、时间，见</w:t>
      </w:r>
      <w:r>
        <w:rPr>
          <w:rFonts w:hint="eastAsia"/>
          <w:b/>
          <w:bCs/>
          <w:highlight w:val="none"/>
        </w:rPr>
        <w:t>第五章投标人须知专用部分。</w:t>
      </w:r>
      <w:r>
        <w:rPr>
          <w:rFonts w:hint="eastAsia"/>
          <w:highlight w:val="none"/>
        </w:rPr>
        <w:t>述标的</w:t>
      </w:r>
      <w:r>
        <w:rPr>
          <w:rFonts w:hint="eastAsia"/>
          <w:bCs/>
          <w:highlight w:val="none"/>
        </w:rPr>
        <w:t>规则如下：</w:t>
      </w:r>
    </w:p>
    <w:p w14:paraId="1AEB5C07">
      <w:pPr>
        <w:tabs>
          <w:tab w:val="left" w:pos="1573"/>
        </w:tabs>
        <w:adjustRightInd w:val="0"/>
        <w:snapToGrid w:val="0"/>
        <w:spacing w:line="360" w:lineRule="auto"/>
        <w:ind w:firstLine="420" w:firstLineChars="200"/>
        <w:rPr>
          <w:rFonts w:hint="eastAsia"/>
          <w:highlight w:val="none"/>
        </w:rPr>
      </w:pPr>
      <w:r>
        <w:rPr>
          <w:rFonts w:hint="eastAsia"/>
          <w:bCs/>
          <w:highlight w:val="none"/>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highlight w:val="none"/>
        </w:rPr>
        <w:t>（见</w:t>
      </w:r>
      <w:r>
        <w:rPr>
          <w:rFonts w:ascii="宋体" w:hAnsi="宋体" w:hint="eastAsia"/>
          <w:szCs w:val="21"/>
          <w:highlight w:val="none"/>
        </w:rPr>
        <w:t>第二章</w:t>
      </w:r>
      <w:r>
        <w:rPr>
          <w:rFonts w:ascii="宋体" w:hAnsi="宋体" w:hint="eastAsia"/>
          <w:bCs/>
          <w:szCs w:val="21"/>
          <w:highlight w:val="none"/>
        </w:rPr>
        <w:t>投标文件格式</w:t>
      </w:r>
      <w:r>
        <w:rPr>
          <w:rFonts w:ascii="宋体" w:hAnsi="宋体" w:hint="eastAsia"/>
          <w:szCs w:val="21"/>
          <w:highlight w:val="none"/>
        </w:rPr>
        <w:t>）、身份证复印件、能证明其为投标人正式员工的材料（如劳动合同、社保</w:t>
      </w:r>
      <w:r>
        <w:rPr>
          <w:rFonts w:ascii="宋体" w:hAnsi="宋体" w:hint="eastAsia"/>
          <w:bCs/>
          <w:szCs w:val="21"/>
          <w:highlight w:val="none"/>
        </w:rPr>
        <w:t>缴纳证明</w:t>
      </w:r>
      <w:r>
        <w:rPr>
          <w:rFonts w:ascii="宋体" w:hAnsi="宋体" w:hint="eastAsia"/>
          <w:szCs w:val="21"/>
          <w:highlight w:val="none"/>
        </w:rPr>
        <w:t>）复印件，</w:t>
      </w:r>
      <w:r>
        <w:rPr>
          <w:rFonts w:ascii="宋体" w:hAnsi="宋体" w:hint="eastAsia"/>
          <w:bCs/>
          <w:szCs w:val="21"/>
          <w:highlight w:val="none"/>
        </w:rPr>
        <w:t>并于述标开始前提交采购中心工作人员。否则</w:t>
      </w:r>
      <w:r>
        <w:rPr>
          <w:rFonts w:ascii="宋体" w:hAnsi="宋体" w:hint="eastAsia"/>
          <w:szCs w:val="21"/>
          <w:highlight w:val="none"/>
        </w:rPr>
        <w:t>述标人不能进行述标，视同投标人放弃述标。</w:t>
      </w:r>
    </w:p>
    <w:p w14:paraId="337ECB0F">
      <w:pPr>
        <w:pStyle w:val="10"/>
        <w:numPr>
          <w:ilvl w:val="0"/>
          <w:numId w:val="0"/>
        </w:numPr>
        <w:tabs>
          <w:tab w:val="left" w:pos="1573"/>
        </w:tabs>
        <w:adjustRightInd w:val="0"/>
        <w:snapToGrid w:val="0"/>
        <w:spacing w:line="360" w:lineRule="auto"/>
        <w:ind w:left="701" w:hanging="281" w:leftChars="200" w:hangingChars="134"/>
        <w:rPr>
          <w:bCs/>
          <w:highlight w:val="none"/>
        </w:rPr>
      </w:pPr>
      <w:r>
        <w:rPr>
          <w:rFonts w:hint="eastAsia"/>
          <w:bCs/>
          <w:highlight w:val="none"/>
        </w:rPr>
        <w:t>（2）投标人按唱标顺序依次述标，某一投标人述标时，其余投标人应回避；</w:t>
      </w:r>
    </w:p>
    <w:p w14:paraId="490E8CEA">
      <w:pPr>
        <w:pStyle w:val="10"/>
        <w:numPr>
          <w:ilvl w:val="0"/>
          <w:numId w:val="0"/>
        </w:numPr>
        <w:tabs>
          <w:tab w:val="left" w:pos="1573"/>
        </w:tabs>
        <w:adjustRightInd w:val="0"/>
        <w:snapToGrid w:val="0"/>
        <w:spacing w:line="360" w:lineRule="auto"/>
        <w:ind w:firstLine="420" w:firstLineChars="200"/>
        <w:rPr>
          <w:highlight w:val="none"/>
        </w:rPr>
      </w:pPr>
      <w:r>
        <w:rPr>
          <w:rFonts w:hint="eastAsia"/>
          <w:bCs/>
          <w:highlight w:val="none"/>
        </w:rPr>
        <w:t>（3）投标人的述标仅限于介绍投标人自身情况和投标方案，不得进行与</w:t>
      </w:r>
      <w:r>
        <w:rPr>
          <w:rFonts w:hint="eastAsia"/>
          <w:highlight w:val="none"/>
        </w:rPr>
        <w:t>投标文件内容不符的陈述，或对投标文件进行修改，或</w:t>
      </w:r>
      <w:r>
        <w:rPr>
          <w:rFonts w:hint="eastAsia"/>
          <w:bCs/>
          <w:highlight w:val="none"/>
        </w:rPr>
        <w:t>对招标文件提出任何质疑、修改，或</w:t>
      </w:r>
      <w:r>
        <w:rPr>
          <w:rFonts w:hint="eastAsia"/>
          <w:highlight w:val="none"/>
        </w:rPr>
        <w:t>任何针对其他投标人的陈述。</w:t>
      </w:r>
    </w:p>
    <w:p w14:paraId="6C8A9961">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（4）述标过程中，评标委员会可以向述标人员提出质询，但质询仅限对述标内容含义不明确、对同类问题陈述前后不一致等，不得引导述标人员的述标，不得发表倾向性、引导性意见。</w:t>
      </w:r>
    </w:p>
    <w:p w14:paraId="600B44FA">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（5）投标人的述标内容不作为对投标文件的任何补充、修改，不能因此拒绝投标人的投标，或者作为评分依据。</w:t>
      </w:r>
    </w:p>
    <w:p w14:paraId="4A2E8D2C">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（6）投标人放弃述标不影响其投标的有效性。</w:t>
      </w:r>
    </w:p>
    <w:p w14:paraId="2A9AAFCC">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1.26.3在详细评审之前，评标委员会要审查每份投标文件是否实质上响应了招标文件的要求。</w:t>
      </w:r>
    </w:p>
    <w:p w14:paraId="4A78F017">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highlight w:val="none"/>
        </w:rPr>
        <w:t>第三章</w:t>
      </w:r>
      <w:r>
        <w:rPr>
          <w:rFonts w:hint="eastAsia"/>
          <w:b/>
          <w:bCs/>
          <w:highlight w:val="none"/>
        </w:rPr>
        <w:t>投标被拒绝条款通用部分及</w:t>
      </w:r>
      <w:r>
        <w:rPr>
          <w:rFonts w:hint="eastAsia"/>
          <w:b/>
          <w:highlight w:val="none"/>
        </w:rPr>
        <w:t>第八章投标被拒绝条款专用部分</w:t>
      </w:r>
      <w:r>
        <w:rPr>
          <w:rFonts w:hint="eastAsia"/>
          <w:highlight w:val="none"/>
        </w:rPr>
        <w:t>内容。</w:t>
      </w:r>
    </w:p>
    <w:p w14:paraId="401F4B88">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1.26.5如果投标文件实质上没有响应招标文件的要求，评标委员会将予以</w:t>
      </w:r>
      <w:r>
        <w:rPr>
          <w:rFonts w:eastAsia="拒绝" w:hint="eastAsia"/>
          <w:b/>
          <w:highlight w:val="none"/>
        </w:rPr>
        <w:t>拒绝</w:t>
      </w:r>
      <w:r>
        <w:rPr>
          <w:rFonts w:hint="eastAsia"/>
          <w:highlight w:val="none"/>
        </w:rPr>
        <w:t>，投标人不得再对投标文件进行任何修正从而使其投标成为实质上响应的投标，但是未被列入</w:t>
      </w:r>
      <w:r>
        <w:rPr>
          <w:rFonts w:hint="eastAsia"/>
          <w:b/>
          <w:highlight w:val="none"/>
        </w:rPr>
        <w:t>第三章</w:t>
      </w:r>
      <w:r>
        <w:rPr>
          <w:rFonts w:hint="eastAsia"/>
          <w:b/>
          <w:bCs/>
          <w:highlight w:val="none"/>
        </w:rPr>
        <w:t>投标被拒绝条款通用部分及</w:t>
      </w:r>
      <w:r>
        <w:rPr>
          <w:rFonts w:hint="eastAsia"/>
          <w:b/>
          <w:highlight w:val="none"/>
        </w:rPr>
        <w:t>第八章投标被拒绝条款专用部分</w:t>
      </w:r>
      <w:r>
        <w:rPr>
          <w:rFonts w:hint="eastAsia"/>
          <w:highlight w:val="none"/>
        </w:rPr>
        <w:t>的内容不得在评审中作为拒绝投标人的条件。</w:t>
      </w:r>
    </w:p>
    <w:p w14:paraId="0CC536F0">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1.26.6重大偏离不允许在开标后修正，但评标委员会将允许修正投标中不构成重大偏离的地方，这些修正不会对其他实质上响应招标文件要求的投标人的竞争地位产生不公正的影响。</w:t>
      </w:r>
    </w:p>
    <w:p w14:paraId="2C5D95C6">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1.26.7</w:t>
      </w:r>
      <w:r>
        <w:rPr>
          <w:highlight w:val="none"/>
        </w:rPr>
        <w:t>投标文件</w:t>
      </w:r>
      <w:r>
        <w:rPr>
          <w:rFonts w:hint="eastAsia"/>
          <w:highlight w:val="none"/>
        </w:rPr>
        <w:t>的</w:t>
      </w:r>
      <w:r>
        <w:rPr>
          <w:highlight w:val="none"/>
        </w:rP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05AFCABD">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1.26.8开标后，开标一览表不得做任何修正。除此之外，对投标文件中存在明显的文字和计算错误按下述原则处理，若出现相互矛盾之处，应以排列在先的原则为准优先处理：</w:t>
      </w:r>
    </w:p>
    <w:p w14:paraId="79A3EDC0">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（1）如果以文字表示的数据与数字表示的有差别，以文字为准修正数字。如果大小写金额不一致的，以大写金额为准。</w:t>
      </w:r>
    </w:p>
    <w:p w14:paraId="401F5067">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（2）如果单价乘以数量不等于总价，以单价为准修正总价，但单价金额小数点有明显错位的,应以总价为准，并修改单价。如果明细价格相加不等于汇总价格，以明细价格为准。</w:t>
      </w:r>
    </w:p>
    <w:p w14:paraId="7546FA67">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（3）调整后的数据应对投标人具有约束力，投标人不同意以上修正，其投标将被</w:t>
      </w:r>
      <w:r>
        <w:rPr>
          <w:rFonts w:eastAsia="拒绝" w:hint="eastAsia"/>
          <w:b/>
          <w:highlight w:val="none"/>
        </w:rPr>
        <w:t>拒绝</w:t>
      </w:r>
      <w:r>
        <w:rPr>
          <w:rFonts w:hint="eastAsia"/>
          <w:highlight w:val="none"/>
        </w:rPr>
        <w:t>。</w:t>
      </w:r>
    </w:p>
    <w:p w14:paraId="4A8BC76D">
      <w:pPr>
        <w:adjustRightInd w:val="0"/>
        <w:snapToGrid w:val="0"/>
        <w:spacing w:line="360" w:lineRule="auto"/>
        <w:ind w:firstLine="420" w:firstLineChars="200"/>
        <w:rPr>
          <w:rFonts w:ascii="宋体" w:hAnsi="宋体"/>
          <w:highlight w:val="none"/>
        </w:rPr>
      </w:pPr>
      <w:r>
        <w:rPr>
          <w:rFonts w:ascii="宋体" w:hAnsi="宋体" w:hint="eastAsia"/>
          <w:highlight w:val="none"/>
        </w:rPr>
        <w:t>1.26.9如发现下列情况之一的，其投标属于非实质响应招标文件要求，其投标将被</w:t>
      </w:r>
      <w:r>
        <w:rPr>
          <w:rFonts w:ascii="宋体" w:eastAsia="拒绝" w:hAnsi="宋体" w:hint="eastAsia"/>
          <w:b/>
          <w:highlight w:val="none"/>
        </w:rPr>
        <w:t>拒绝</w:t>
      </w:r>
      <w:r>
        <w:rPr>
          <w:rFonts w:ascii="宋体" w:hAnsi="宋体" w:hint="eastAsia"/>
          <w:highlight w:val="none"/>
        </w:rPr>
        <w:t>：</w:t>
      </w:r>
    </w:p>
    <w:p w14:paraId="647E99D6">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（1）投标人以明显低于成本价的价格恶意参与投标的；</w:t>
      </w:r>
    </w:p>
    <w:p w14:paraId="0369D9BC">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（2）未提供分项报价的；</w:t>
      </w:r>
    </w:p>
    <w:p w14:paraId="5F44BF1E">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（3）投标人提供产品或服务的数量与本招标文件不一致的；</w:t>
      </w:r>
    </w:p>
    <w:p w14:paraId="65C2863D">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（4）根据1.26.8条修正后的分项报价表总价金额小于单独密封的开标一览表总价金额；</w:t>
      </w:r>
    </w:p>
    <w:p w14:paraId="23FC4674">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highlight w:val="none"/>
        </w:rPr>
        <w:t>拒绝</w:t>
      </w:r>
      <w:r>
        <w:rPr>
          <w:rFonts w:ascii="宋体" w:hAnsi="宋体" w:hint="eastAsia"/>
          <w:szCs w:val="21"/>
          <w:highlight w:val="none"/>
        </w:rPr>
        <w:t>调整的；</w:t>
      </w:r>
    </w:p>
    <w:p w14:paraId="6D71CD49">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（6）投标人提供产品或服务的交货（工）时间及地点、质保期不满足本招标文件要求的。</w:t>
      </w:r>
    </w:p>
    <w:p w14:paraId="705B36FF">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1.26.10评标委员会对投标文件的判定,只依据投标文件内容本身,不依据任何外来证明。</w:t>
      </w:r>
    </w:p>
    <w:p w14:paraId="3988478E">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22533F26">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1.27投标的澄清</w:t>
      </w:r>
    </w:p>
    <w:p w14:paraId="744E5FC5">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1.27.1评标委员会有权要求投标人对投标文件中含义不明确、对同类问题表述不一致或者有明显文字和计算错误等内容作必要的澄清、说明或者补正。</w:t>
      </w:r>
    </w:p>
    <w:p w14:paraId="6D5C8654">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highlight w:val="none"/>
        </w:rPr>
        <w:t>拒绝</w:t>
      </w:r>
      <w:r>
        <w:rPr>
          <w:rFonts w:hint="eastAsia"/>
          <w:highlight w:val="none"/>
        </w:rPr>
        <w:t>该投标。</w:t>
      </w:r>
    </w:p>
    <w:p w14:paraId="12D581A9">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7793747">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1.28对投标文件的详细评审</w:t>
      </w:r>
    </w:p>
    <w:p w14:paraId="011C3798">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1.28.1评标委员会只对实质上响应招标文件的投标进行评价和比较；评审应严格按照招标文件</w:t>
      </w:r>
      <w:r>
        <w:rPr>
          <w:rFonts w:hint="eastAsia"/>
          <w:bCs/>
          <w:highlight w:val="none"/>
        </w:rPr>
        <w:t>的要求和条件进行；具体评审原则、方法、评审因素及评审标准详见</w:t>
      </w:r>
      <w:r>
        <w:rPr>
          <w:rFonts w:hint="eastAsia"/>
          <w:b/>
          <w:bCs/>
          <w:highlight w:val="none"/>
        </w:rPr>
        <w:t>第六章评标方法和评标标准</w:t>
      </w:r>
      <w:r>
        <w:rPr>
          <w:rFonts w:hint="eastAsia"/>
          <w:highlight w:val="none"/>
        </w:rPr>
        <w:t>。</w:t>
      </w:r>
    </w:p>
    <w:p w14:paraId="6990B937">
      <w:pPr>
        <w:pStyle w:val="10"/>
        <w:numPr>
          <w:ilvl w:val="0"/>
          <w:numId w:val="0"/>
        </w:numPr>
        <w:tabs>
          <w:tab w:val="left" w:pos="1573"/>
        </w:tabs>
        <w:adjustRightInd w:val="0"/>
        <w:snapToGrid w:val="0"/>
        <w:spacing w:line="360" w:lineRule="auto"/>
        <w:ind w:firstLine="420" w:firstLineChars="200"/>
        <w:rPr>
          <w:highlight w:val="none"/>
        </w:rPr>
      </w:pPr>
      <w:r>
        <w:rPr>
          <w:rFonts w:hint="eastAsia"/>
          <w:bCs/>
          <w:highlight w:val="none"/>
        </w:rPr>
        <w:t>1.28.2投标文件的技术评分应当以投标人提供的检测报告、相关认证文件（证书）、公开宣传的印刷资料为准，若无上述资料的，投标人应做出相应承诺。未提供相关资料或承诺书的，不作为评审依据。</w:t>
      </w:r>
    </w:p>
    <w:p w14:paraId="59541CA8">
      <w:pPr>
        <w:pStyle w:val="10"/>
        <w:numPr>
          <w:ilvl w:val="0"/>
          <w:numId w:val="0"/>
        </w:numPr>
        <w:tabs>
          <w:tab w:val="left" w:pos="1573"/>
        </w:tabs>
        <w:adjustRightInd w:val="0"/>
        <w:snapToGrid w:val="0"/>
        <w:spacing w:line="360" w:lineRule="auto"/>
        <w:ind w:firstLine="420" w:firstLineChars="200"/>
        <w:rPr>
          <w:bCs/>
          <w:highlight w:val="none"/>
        </w:rPr>
      </w:pPr>
      <w:r>
        <w:rPr>
          <w:rFonts w:hint="eastAsia"/>
          <w:bCs/>
          <w:highlight w:val="none"/>
        </w:rPr>
        <w:t>1.28.3</w:t>
      </w:r>
      <w:r>
        <w:rPr>
          <w:rFonts w:hint="eastAsia"/>
          <w:b/>
          <w:bCs/>
          <w:highlight w:val="none"/>
        </w:rPr>
        <w:t>除第六章评标方法和评标标准</w:t>
      </w:r>
      <w:r>
        <w:rPr>
          <w:rFonts w:hint="eastAsia"/>
          <w:bCs/>
          <w:highlight w:val="none"/>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14:paraId="32D3163C">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（1）业绩。投标人类似项目的业绩等；</w:t>
      </w:r>
    </w:p>
    <w:p w14:paraId="5BF60627">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w:t>
      </w:r>
      <w:r>
        <w:rPr>
          <w:highlight w:val="none"/>
        </w:rPr>
        <w:t>2</w:t>
      </w:r>
      <w:r>
        <w:rPr>
          <w:rFonts w:hint="eastAsia"/>
          <w:highlight w:val="none"/>
        </w:rPr>
        <w:t>）服务标准及质量、投标产品的技术性能及质量。包括对招标文件应答情况，服务标准、质量、产品技术规格有无偏离，产品的性能、标准，产品的先进性、可靠性、稳定性及质量保证等；</w:t>
      </w:r>
    </w:p>
    <w:p w14:paraId="1F32B755">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（3）售后服务。包括投标人在项目所在地所能提供的售后服务、技术支持机构的情况、售后服务承诺及售后服务人员情况等；</w:t>
      </w:r>
    </w:p>
    <w:p w14:paraId="58186F85">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（4）评审价格。开标一览表中该投标人的投标总价。如本项目</w:t>
      </w:r>
      <w:r>
        <w:rPr>
          <w:rFonts w:hint="eastAsia"/>
          <w:bCs/>
          <w:highlight w:val="none"/>
        </w:rPr>
        <w:t>不是专门或部分面向中小企业采购的项目，小微企业享受价格扣除优惠，用扣除后的价格参与评审。具体见1.6.4</w:t>
      </w:r>
      <w:r>
        <w:rPr>
          <w:rFonts w:hint="eastAsia"/>
          <w:highlight w:val="none"/>
        </w:rPr>
        <w:t>及</w:t>
      </w:r>
      <w:r>
        <w:rPr>
          <w:rFonts w:hint="eastAsia"/>
          <w:b/>
          <w:highlight w:val="none"/>
        </w:rPr>
        <w:t>第六章评标方法和评标标准。</w:t>
      </w:r>
    </w:p>
    <w:p w14:paraId="55E59BB4">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1.29确定中标人</w:t>
      </w:r>
    </w:p>
    <w:p w14:paraId="63F6F5D4">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1.29.1评标委员会根据详细评审的结果确定中标候选人推荐名单，并按投标人综合得分标明排列顺序，综合得分相同的，按投标报价由低到高顺序排列。</w:t>
      </w:r>
    </w:p>
    <w:p w14:paraId="566F2631">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50D5945E">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1.29.3采购人也可授权评标委员会按本条规定直接确定中标人。</w:t>
      </w:r>
    </w:p>
    <w:p w14:paraId="16DF4EB1">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1.29.4采购人在规定时间内按前款规定确定中标人后，采购中心发布中标公告。</w:t>
      </w:r>
    </w:p>
    <w:p w14:paraId="478BD58C">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1.30评审过程要求</w:t>
      </w:r>
    </w:p>
    <w:p w14:paraId="5DBFD5B3">
      <w:pPr>
        <w:pStyle w:val="10"/>
        <w:numPr>
          <w:ilvl w:val="0"/>
          <w:numId w:val="0"/>
        </w:numPr>
        <w:tabs>
          <w:tab w:val="left" w:pos="1573"/>
        </w:tabs>
        <w:adjustRightInd w:val="0"/>
        <w:snapToGrid w:val="0"/>
        <w:spacing w:line="360" w:lineRule="auto"/>
        <w:ind w:firstLine="412" w:firstLineChars="196"/>
        <w:rPr>
          <w:highlight w:val="none"/>
        </w:rPr>
      </w:pPr>
      <w:r>
        <w:rPr>
          <w:rFonts w:hint="eastAsia"/>
          <w:highlight w:val="none"/>
        </w:rPr>
        <w:t>1.30.1在评审期间，投标人企图影响采购人、采购中心、评标委员会的任何活动，将导致投标被</w:t>
      </w:r>
      <w:r>
        <w:rPr>
          <w:rFonts w:eastAsia="拒绝" w:hint="eastAsia"/>
          <w:b/>
          <w:highlight w:val="none"/>
        </w:rPr>
        <w:t>拒绝</w:t>
      </w:r>
      <w:r>
        <w:rPr>
          <w:rFonts w:hint="eastAsia"/>
          <w:highlight w:val="none"/>
        </w:rPr>
        <w:t>，并由其承担相应的法律责任。</w:t>
      </w:r>
    </w:p>
    <w:p w14:paraId="6FAE3F54">
      <w:pPr>
        <w:pStyle w:val="10"/>
        <w:numPr>
          <w:ilvl w:val="0"/>
          <w:numId w:val="0"/>
        </w:numPr>
        <w:tabs>
          <w:tab w:val="left" w:pos="1573"/>
        </w:tabs>
        <w:adjustRightInd w:val="0"/>
        <w:snapToGrid w:val="0"/>
        <w:spacing w:line="360" w:lineRule="auto"/>
        <w:ind w:firstLine="412" w:firstLineChars="196"/>
        <w:rPr>
          <w:highlight w:val="none"/>
        </w:rPr>
      </w:pPr>
      <w:r>
        <w:rPr>
          <w:rFonts w:hint="eastAsia"/>
          <w:highlight w:val="none"/>
        </w:rPr>
        <w:t>1.30.2评标委员会应当在评审报告上签字，对自己的评审意见承担法律责任。对评审报告有异议的，应当在评审报告上签署不同意见，并说明理由，否则视为同意评审报告。</w:t>
      </w:r>
    </w:p>
    <w:p w14:paraId="3365AA29">
      <w:pPr>
        <w:pStyle w:val="10"/>
        <w:numPr>
          <w:ilvl w:val="0"/>
          <w:numId w:val="0"/>
        </w:numPr>
        <w:tabs>
          <w:tab w:val="left" w:pos="1573"/>
        </w:tabs>
        <w:adjustRightInd w:val="0"/>
        <w:snapToGrid w:val="0"/>
        <w:spacing w:line="360" w:lineRule="auto"/>
        <w:ind w:firstLine="420" w:firstLineChars="200"/>
        <w:jc w:val="left"/>
        <w:outlineLvl w:val="3"/>
        <w:rPr>
          <w:rFonts w:hint="eastAsia"/>
          <w:highlight w:val="none"/>
        </w:rPr>
      </w:pPr>
      <w:r>
        <w:rPr>
          <w:rFonts w:hint="eastAsia"/>
          <w:b/>
          <w:bCs/>
          <w:highlight w:val="none"/>
        </w:rPr>
        <w:t>1.31关于重新评审及投标人瑕疵滞后发现的处理规则</w:t>
      </w:r>
    </w:p>
    <w:p w14:paraId="2AD2DD0C">
      <w:pPr>
        <w:pStyle w:val="10"/>
        <w:numPr>
          <w:ilvl w:val="0"/>
          <w:numId w:val="0"/>
        </w:numPr>
        <w:tabs>
          <w:tab w:val="left" w:pos="1573"/>
        </w:tabs>
        <w:adjustRightInd w:val="0"/>
        <w:snapToGrid w:val="0"/>
        <w:spacing w:line="360" w:lineRule="auto"/>
        <w:ind w:firstLine="420" w:firstLineChars="200"/>
        <w:jc w:val="left"/>
        <w:outlineLvl w:val="3"/>
        <w:rPr>
          <w:rFonts w:hint="eastAsia"/>
          <w:highlight w:val="none"/>
        </w:rPr>
      </w:pPr>
      <w:r>
        <w:rPr>
          <w:rFonts w:hint="eastAsia"/>
          <w:highlight w:val="none"/>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63FB7477">
      <w:pPr>
        <w:pStyle w:val="10"/>
        <w:numPr>
          <w:ilvl w:val="0"/>
          <w:numId w:val="0"/>
        </w:numPr>
        <w:tabs>
          <w:tab w:val="left" w:pos="1573"/>
        </w:tabs>
        <w:adjustRightInd w:val="0"/>
        <w:snapToGrid w:val="0"/>
        <w:spacing w:line="360" w:lineRule="auto"/>
        <w:ind w:firstLine="412" w:firstLineChars="196"/>
        <w:rPr>
          <w:highlight w:val="none"/>
        </w:rPr>
      </w:pPr>
      <w:r>
        <w:rPr>
          <w:rFonts w:hint="eastAsia"/>
          <w:highlight w:val="none"/>
        </w:rPr>
        <w:t>1.31.2无论基于何种原因，本应作拒绝处理的情形在评审时未被发现，包括已经签约的情形。一旦在任何时间被发现存在上述情形，则向政府采购监督管理机构反映。</w:t>
      </w:r>
    </w:p>
    <w:p w14:paraId="346F7A3B">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1.32采购项目废标</w:t>
      </w:r>
    </w:p>
    <w:p w14:paraId="2EB37CF1">
      <w:pPr>
        <w:pStyle w:val="10"/>
        <w:numPr>
          <w:ilvl w:val="0"/>
          <w:numId w:val="0"/>
        </w:numPr>
        <w:tabs>
          <w:tab w:val="left" w:pos="1573"/>
        </w:tabs>
        <w:adjustRightInd w:val="0"/>
        <w:snapToGrid w:val="0"/>
        <w:spacing w:line="360" w:lineRule="auto"/>
        <w:ind w:firstLine="412" w:firstLineChars="196"/>
        <w:rPr>
          <w:highlight w:val="none"/>
        </w:rPr>
      </w:pPr>
      <w:r>
        <w:rPr>
          <w:rFonts w:hint="eastAsia"/>
          <w:highlight w:val="none"/>
        </w:rPr>
        <w:t>有下列情形之一的，采购项目予以废标，采购中心应当将废标结果通知所有投标人。</w:t>
      </w:r>
    </w:p>
    <w:p w14:paraId="7BD8D6B9">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（1）至投标截止时间，递交投标文件的投标人不足3家；</w:t>
      </w:r>
    </w:p>
    <w:p w14:paraId="40E847FF">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（2）通过资格审查的投标人不足3家；</w:t>
      </w:r>
    </w:p>
    <w:p w14:paraId="1C5BAC35">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（3）符合专业条件的投标人或者对招标文件作实质响应的投标人不足3家的；</w:t>
      </w:r>
    </w:p>
    <w:p w14:paraId="2528D50A">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（4）出现影响采购公正的违法、违规行为的。</w:t>
      </w:r>
    </w:p>
    <w:p w14:paraId="51D64582">
      <w:pPr>
        <w:adjustRightInd w:val="0"/>
        <w:snapToGrid w:val="0"/>
        <w:spacing w:line="360" w:lineRule="auto"/>
        <w:ind w:firstLine="412" w:firstLineChars="196"/>
        <w:jc w:val="left"/>
        <w:outlineLvl w:val="2"/>
        <w:rPr>
          <w:rFonts w:ascii="宋体" w:hAnsi="宋体"/>
          <w:b/>
          <w:szCs w:val="21"/>
          <w:highlight w:val="none"/>
        </w:rPr>
      </w:pPr>
      <w:r>
        <w:rPr>
          <w:rFonts w:ascii="宋体" w:hAnsi="宋体" w:hint="eastAsia"/>
          <w:b/>
          <w:szCs w:val="21"/>
          <w:highlight w:val="none"/>
        </w:rPr>
        <w:t>七、中标通知及合同</w:t>
      </w:r>
    </w:p>
    <w:p w14:paraId="529B5236">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1.33中标通知</w:t>
      </w:r>
    </w:p>
    <w:p w14:paraId="21D13DDE">
      <w:pPr>
        <w:adjustRightInd w:val="0"/>
        <w:snapToGrid w:val="0"/>
        <w:spacing w:line="360" w:lineRule="auto"/>
        <w:ind w:firstLine="412" w:firstLineChars="196"/>
        <w:jc w:val="left"/>
        <w:rPr>
          <w:rFonts w:ascii="宋体" w:hAnsi="宋体"/>
          <w:szCs w:val="21"/>
          <w:highlight w:val="none"/>
        </w:rPr>
      </w:pPr>
      <w:r>
        <w:rPr>
          <w:rFonts w:ascii="宋体" w:hAnsi="宋体" w:hint="eastAsia"/>
          <w:szCs w:val="21"/>
          <w:highlight w:val="none"/>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05A47225">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1.33.2采购中心对未通过资格审查的投标人，应当告知其未通过的原因；采用综合评分法评审的，还应当告知未中标人本人的评审得分与排序。</w:t>
      </w:r>
    </w:p>
    <w:p w14:paraId="41B0DA83">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1.33.3中标通知书是合同的组成部分。</w:t>
      </w:r>
    </w:p>
    <w:p w14:paraId="6420F68D">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1.34合同</w:t>
      </w:r>
    </w:p>
    <w:p w14:paraId="11E457A1">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1.34.1采购人</w:t>
      </w:r>
      <w:r>
        <w:rPr>
          <w:highlight w:val="none"/>
        </w:rPr>
        <w:t>应当自中标通知书发出之日起30日内，按照</w:t>
      </w:r>
      <w:r>
        <w:rPr>
          <w:rFonts w:hint="eastAsia"/>
          <w:highlight w:val="none"/>
        </w:rPr>
        <w:t>招标文件和中标人的投标文件</w:t>
      </w:r>
      <w:r>
        <w:rPr>
          <w:highlight w:val="none"/>
        </w:rPr>
        <w:t>确定的事项</w:t>
      </w:r>
      <w:r>
        <w:rPr>
          <w:rFonts w:hint="eastAsia"/>
          <w:highlight w:val="none"/>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46CBF223">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689D9128">
      <w:pPr>
        <w:tabs>
          <w:tab w:val="left" w:pos="1573"/>
        </w:tabs>
        <w:adjustRightInd w:val="0"/>
        <w:snapToGrid w:val="0"/>
        <w:spacing w:line="360" w:lineRule="auto"/>
        <w:ind w:firstLine="420" w:firstLineChars="200"/>
        <w:rPr>
          <w:highlight w:val="none"/>
        </w:rPr>
      </w:pPr>
      <w:r>
        <w:rPr>
          <w:rFonts w:ascii="宋体" w:hAnsi="宋体" w:hint="eastAsia"/>
          <w:highlight w:val="none"/>
        </w:rPr>
        <w:t>1.34.3</w:t>
      </w:r>
      <w:r>
        <w:rPr>
          <w:rFonts w:hint="eastAsia"/>
          <w:highlight w:val="none"/>
        </w:rPr>
        <w:t>中标人签订中标合同后，不得转包，亦不得将合同全部及任何权利、义务向第三方转让。</w:t>
      </w:r>
    </w:p>
    <w:p w14:paraId="7C304B4E">
      <w:pPr>
        <w:tabs>
          <w:tab w:val="left" w:pos="1573"/>
        </w:tabs>
        <w:adjustRightInd w:val="0"/>
        <w:snapToGrid w:val="0"/>
        <w:spacing w:line="360" w:lineRule="auto"/>
        <w:ind w:firstLine="420" w:firstLineChars="200"/>
        <w:rPr>
          <w:rFonts w:ascii="宋体" w:hAnsi="宋体"/>
          <w:highlight w:val="none"/>
        </w:rPr>
      </w:pPr>
      <w:r>
        <w:rPr>
          <w:rFonts w:ascii="宋体" w:hAnsi="宋体" w:hint="eastAsia"/>
          <w:highlight w:val="none"/>
        </w:rPr>
        <w:t>1.34.4中标人有关</w:t>
      </w:r>
      <w:r>
        <w:rPr>
          <w:rFonts w:ascii="宋体" w:hAnsi="宋体"/>
          <w:highlight w:val="none"/>
        </w:rPr>
        <w:t>资质在</w:t>
      </w:r>
      <w:r>
        <w:rPr>
          <w:rFonts w:ascii="宋体" w:hAnsi="宋体" w:hint="eastAsia"/>
          <w:highlight w:val="none"/>
        </w:rPr>
        <w:t>合同执行</w:t>
      </w:r>
      <w:r>
        <w:rPr>
          <w:rFonts w:ascii="宋体" w:hAnsi="宋体"/>
          <w:highlight w:val="none"/>
        </w:rPr>
        <w:t>完</w:t>
      </w:r>
      <w:r>
        <w:rPr>
          <w:rFonts w:ascii="宋体" w:hAnsi="宋体" w:hint="eastAsia"/>
          <w:highlight w:val="none"/>
        </w:rPr>
        <w:t>毕之前到期的，应确保该资质有效期得到延长至合同执行完毕之后，或者取得有效期至执行合同完毕之后的更高等级的该资质，否则采购人</w:t>
      </w:r>
      <w:r>
        <w:rPr>
          <w:rFonts w:ascii="宋体" w:hAnsi="宋体"/>
          <w:highlight w:val="none"/>
        </w:rPr>
        <w:t>有权</w:t>
      </w:r>
      <w:r>
        <w:rPr>
          <w:rFonts w:ascii="宋体" w:hAnsi="宋体" w:hint="eastAsia"/>
          <w:highlight w:val="none"/>
        </w:rPr>
        <w:t>终止合同，并</w:t>
      </w:r>
      <w:r>
        <w:rPr>
          <w:rFonts w:ascii="宋体" w:hAnsi="宋体"/>
          <w:highlight w:val="none"/>
        </w:rPr>
        <w:t>追究</w:t>
      </w:r>
      <w:r>
        <w:rPr>
          <w:rFonts w:ascii="宋体" w:hAnsi="宋体" w:hint="eastAsia"/>
          <w:highlight w:val="none"/>
        </w:rPr>
        <w:t>中标人</w:t>
      </w:r>
      <w:r>
        <w:rPr>
          <w:rFonts w:ascii="宋体" w:hAnsi="宋体"/>
          <w:highlight w:val="none"/>
        </w:rPr>
        <w:t>的责任</w:t>
      </w:r>
      <w:r>
        <w:rPr>
          <w:rFonts w:ascii="宋体" w:hAnsi="宋体" w:hint="eastAsia"/>
          <w:highlight w:val="none"/>
        </w:rPr>
        <w:t>。</w:t>
      </w:r>
    </w:p>
    <w:p w14:paraId="14B2570F">
      <w:pPr>
        <w:tabs>
          <w:tab w:val="left" w:pos="1573"/>
        </w:tabs>
        <w:adjustRightInd w:val="0"/>
        <w:snapToGrid w:val="0"/>
        <w:spacing w:line="360" w:lineRule="auto"/>
        <w:ind w:firstLine="420" w:firstLineChars="200"/>
        <w:rPr>
          <w:rFonts w:ascii="宋体" w:hAnsi="宋体"/>
          <w:highlight w:val="none"/>
        </w:rPr>
      </w:pPr>
      <w:r>
        <w:rPr>
          <w:rFonts w:ascii="宋体" w:hAnsi="宋体" w:hint="eastAsia"/>
          <w:highlight w:val="none"/>
        </w:rPr>
        <w:t>1.34.5若在合同履行过程中，发现中标人提供的货物和服务与投标文件中提供的技术指标不符，采购人有权终止合同，并有权反映至政府采购监督管理部门或财政部。</w:t>
      </w:r>
    </w:p>
    <w:p w14:paraId="1C082C84">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1.34.6违反1.34.4、1.34.5条的规定，给对方造成损失的，应承担赔偿责任。</w:t>
      </w:r>
    </w:p>
    <w:p w14:paraId="2808002F">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1.34.7中标人应当自合同或补充合同签订之日起5个工作日内，将合同副本及电子版报采购中心备案。</w:t>
      </w:r>
      <w:bookmarkStart w:id="4" w:name="_Toc89569872"/>
    </w:p>
    <w:p w14:paraId="6B883199">
      <w:pPr>
        <w:pStyle w:val="10"/>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1.35履约保证金</w:t>
      </w:r>
      <w:bookmarkEnd w:id="4"/>
    </w:p>
    <w:p w14:paraId="126E0129">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中标供应商应向采购人提交不超过中标金额10%的履约保证金，具体见</w:t>
      </w:r>
      <w:r>
        <w:rPr>
          <w:rFonts w:hint="eastAsia"/>
          <w:b/>
          <w:highlight w:val="none"/>
        </w:rPr>
        <w:t>第九章采购合同</w:t>
      </w:r>
      <w:r>
        <w:rPr>
          <w:rFonts w:hint="eastAsia"/>
          <w:highlight w:val="none"/>
        </w:rPr>
        <w:t>。</w:t>
      </w:r>
    </w:p>
    <w:p w14:paraId="49804583">
      <w:pPr>
        <w:adjustRightInd w:val="0"/>
        <w:snapToGrid w:val="0"/>
        <w:spacing w:line="360" w:lineRule="auto"/>
        <w:ind w:firstLine="412" w:firstLineChars="196"/>
        <w:outlineLvl w:val="2"/>
        <w:rPr>
          <w:rFonts w:ascii="宋体" w:hAnsi="宋体"/>
          <w:b/>
          <w:szCs w:val="21"/>
          <w:highlight w:val="none"/>
        </w:rPr>
      </w:pPr>
      <w:r>
        <w:rPr>
          <w:rFonts w:ascii="宋体" w:hAnsi="宋体" w:hint="eastAsia"/>
          <w:b/>
          <w:szCs w:val="21"/>
          <w:highlight w:val="none"/>
        </w:rPr>
        <w:t>八、询问、质疑、投诉</w:t>
      </w:r>
    </w:p>
    <w:p w14:paraId="45B9BC13">
      <w:pPr>
        <w:pStyle w:val="10"/>
        <w:numPr>
          <w:ilvl w:val="0"/>
          <w:numId w:val="0"/>
        </w:numPr>
        <w:tabs>
          <w:tab w:val="left" w:pos="1573"/>
        </w:tabs>
        <w:adjustRightInd w:val="0"/>
        <w:snapToGrid w:val="0"/>
        <w:spacing w:line="360" w:lineRule="auto"/>
        <w:ind w:left="701" w:hanging="281" w:leftChars="200" w:hangingChars="134"/>
        <w:jc w:val="left"/>
        <w:outlineLvl w:val="3"/>
        <w:rPr>
          <w:b/>
          <w:bCs/>
          <w:highlight w:val="none"/>
        </w:rPr>
      </w:pPr>
      <w:r>
        <w:rPr>
          <w:rFonts w:hint="eastAsia"/>
          <w:b/>
          <w:bCs/>
          <w:highlight w:val="none"/>
        </w:rPr>
        <w:t>1.36询问</w:t>
      </w:r>
    </w:p>
    <w:p w14:paraId="75963A0B">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投标人或潜在投标人对政府采购活动事项有疑问的，可以提出询问，采购人或者采购中心应当在3个工作日内对投标人或潜在投标人依法提出的询问作出答复，但答复的内容不得涉及商业秘密。</w:t>
      </w:r>
    </w:p>
    <w:p w14:paraId="2461859F">
      <w:pPr>
        <w:pStyle w:val="10"/>
        <w:numPr>
          <w:ilvl w:val="0"/>
          <w:numId w:val="0"/>
        </w:numPr>
        <w:tabs>
          <w:tab w:val="left" w:pos="1573"/>
        </w:tabs>
        <w:adjustRightInd w:val="0"/>
        <w:snapToGrid w:val="0"/>
        <w:spacing w:line="360" w:lineRule="auto"/>
        <w:ind w:left="701" w:hanging="281" w:leftChars="200" w:hangingChars="134"/>
        <w:jc w:val="left"/>
        <w:outlineLvl w:val="3"/>
        <w:rPr>
          <w:b/>
          <w:bCs/>
          <w:highlight w:val="none"/>
        </w:rPr>
      </w:pPr>
      <w:r>
        <w:rPr>
          <w:rFonts w:hint="eastAsia"/>
          <w:b/>
          <w:bCs/>
          <w:highlight w:val="none"/>
        </w:rPr>
        <w:t>1.37质疑</w:t>
      </w:r>
    </w:p>
    <w:p w14:paraId="5C4B6D95">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1.37.1若投标人或潜在投标人认为招标文件、招标过程、中标结果使自己的合法权益受到损害的，可以在知道或者应知其权益受到损害之日起7个工作日内提出质疑。应知其权益受到损害之日是指：</w:t>
      </w:r>
    </w:p>
    <w:p w14:paraId="33D1D806">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（1）对招标文件提出质疑且在公告期满之后获得招标文件的，为公告期满之日；</w:t>
      </w:r>
    </w:p>
    <w:p w14:paraId="709A9254">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（2）对招标文件提出质疑且在公告期满之前获得招标文件的，为获得招标文件之日；</w:t>
      </w:r>
    </w:p>
    <w:p w14:paraId="0B57DEA9">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（3）对招标过程提出质疑的，为各招标程序环节结束之日；</w:t>
      </w:r>
    </w:p>
    <w:p w14:paraId="7CAE2D61">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（4）对中标结果提出质疑的，为中标结果公告期满之日。</w:t>
      </w:r>
    </w:p>
    <w:p w14:paraId="049B87CD">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投标人或潜在投标人针对同一采购程序环节的质疑须一次性提出。</w:t>
      </w:r>
    </w:p>
    <w:p w14:paraId="553F3F93">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1.37.2</w:t>
      </w:r>
      <w:r>
        <w:rPr>
          <w:highlight w:val="none"/>
        </w:rPr>
        <w:t>提出质疑的</w:t>
      </w:r>
      <w:r>
        <w:rPr>
          <w:rFonts w:hint="eastAsia"/>
          <w:highlight w:val="none"/>
        </w:rPr>
        <w:t>投标人或潜在投标人</w:t>
      </w:r>
      <w:r>
        <w:rPr>
          <w:highlight w:val="none"/>
        </w:rPr>
        <w:t>应当是参与所质疑项目采购活动的供应商。潜在</w:t>
      </w:r>
      <w:r>
        <w:rPr>
          <w:rFonts w:hint="eastAsia"/>
          <w:highlight w:val="none"/>
        </w:rPr>
        <w:t>投标人</w:t>
      </w:r>
      <w:r>
        <w:rPr>
          <w:highlight w:val="none"/>
        </w:rPr>
        <w:t>已依法获取其可质疑的采购文件的，可以对该文件提出质疑。</w:t>
      </w:r>
    </w:p>
    <w:p w14:paraId="510BBF43">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1.37.3投标人已经参与投标，并于开标后对招标文件提出质疑的，其质疑应当被视为无效质疑。</w:t>
      </w:r>
    </w:p>
    <w:p w14:paraId="469D6B42">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1.37.4质疑应以书面形式向采购人、采购中心提出。提出质疑时</w:t>
      </w:r>
      <w:r>
        <w:rPr>
          <w:highlight w:val="none"/>
        </w:rPr>
        <w:t>应当提交质疑函和必要的证明材料。质疑函应当包括下列内容：</w:t>
      </w:r>
    </w:p>
    <w:p w14:paraId="09F73459">
      <w:pPr>
        <w:pStyle w:val="10"/>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1</w:t>
      </w:r>
      <w:r>
        <w:rPr>
          <w:highlight w:val="none"/>
        </w:rPr>
        <w:t>）</w:t>
      </w:r>
      <w:r>
        <w:rPr>
          <w:rFonts w:hint="eastAsia"/>
          <w:highlight w:val="none"/>
        </w:rPr>
        <w:t>质疑人</w:t>
      </w:r>
      <w:r>
        <w:rPr>
          <w:highlight w:val="none"/>
        </w:rPr>
        <w:t>的姓名或者名称、地址、邮编、联系人及联系电话；</w:t>
      </w:r>
    </w:p>
    <w:p w14:paraId="59D63124">
      <w:pPr>
        <w:pStyle w:val="10"/>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2</w:t>
      </w:r>
      <w:r>
        <w:rPr>
          <w:highlight w:val="none"/>
        </w:rPr>
        <w:t>）质疑项目的名称、编号</w:t>
      </w:r>
      <w:r>
        <w:rPr>
          <w:rFonts w:hint="eastAsia"/>
          <w:highlight w:val="none"/>
        </w:rPr>
        <w:t>、包号</w:t>
      </w:r>
      <w:r>
        <w:rPr>
          <w:highlight w:val="none"/>
        </w:rPr>
        <w:t>；</w:t>
      </w:r>
    </w:p>
    <w:p w14:paraId="2C756191">
      <w:pPr>
        <w:pStyle w:val="10"/>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3</w:t>
      </w:r>
      <w:r>
        <w:rPr>
          <w:highlight w:val="none"/>
        </w:rPr>
        <w:t>）具体、明确的质疑事项和与质疑事项相关的请求；</w:t>
      </w:r>
    </w:p>
    <w:p w14:paraId="69F8D52D">
      <w:pPr>
        <w:pStyle w:val="10"/>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4</w:t>
      </w:r>
      <w:r>
        <w:rPr>
          <w:highlight w:val="none"/>
        </w:rPr>
        <w:t>）事实依据；</w:t>
      </w:r>
    </w:p>
    <w:p w14:paraId="5CDF3945">
      <w:pPr>
        <w:pStyle w:val="10"/>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5</w:t>
      </w:r>
      <w:r>
        <w:rPr>
          <w:highlight w:val="none"/>
        </w:rPr>
        <w:t>）必要的法律依据；</w:t>
      </w:r>
    </w:p>
    <w:p w14:paraId="767BE4E2">
      <w:pPr>
        <w:pStyle w:val="10"/>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6</w:t>
      </w:r>
      <w:r>
        <w:rPr>
          <w:highlight w:val="none"/>
        </w:rPr>
        <w:t>）提出质疑的日期。</w:t>
      </w:r>
    </w:p>
    <w:p w14:paraId="4F8272C0">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投标人或潜在投标人</w:t>
      </w:r>
      <w:r>
        <w:rPr>
          <w:highlight w:val="none"/>
        </w:rPr>
        <w:t>为自然人的，应当由本人签字；</w:t>
      </w:r>
      <w:r>
        <w:rPr>
          <w:rFonts w:hint="eastAsia"/>
          <w:highlight w:val="none"/>
        </w:rPr>
        <w:t>投标人或潜在投标人</w:t>
      </w:r>
      <w:r>
        <w:rPr>
          <w:highlight w:val="none"/>
        </w:rPr>
        <w:t>为法人或者其他组织的，应当由法定代表人、主要负责人，或者其授权代表签字或者盖章，并加盖公章。</w:t>
      </w:r>
    </w:p>
    <w:p w14:paraId="13485A73">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质疑函范本可在中国政府采购网下载。</w:t>
      </w:r>
    </w:p>
    <w:p w14:paraId="6CE2F7C0">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1.37.5采购人或采购中心将在收到书面质疑后，将在7个工作日内作出答复或相关处理决定，并以书面形式通知提出质疑的投标人或潜在投标人，以及其他当事方。但答复的内容不涉及商业秘密。</w:t>
      </w:r>
    </w:p>
    <w:p w14:paraId="320EDA55">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1.37.6有下列情形之一的，属于无效质疑，采购中心可不予受理：</w:t>
      </w:r>
    </w:p>
    <w:p w14:paraId="6C747154">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（1）未在有效期限内提出质疑的；</w:t>
      </w:r>
    </w:p>
    <w:p w14:paraId="1BCED243">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（2）质疑未以书面形式提出的；</w:t>
      </w:r>
    </w:p>
    <w:p w14:paraId="222A430D">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（3）质疑函不符合1.37.4要求或财政部规章要求，内容不完整的；</w:t>
      </w:r>
    </w:p>
    <w:p w14:paraId="558BA760">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（4）质疑事项已经进入投诉或者诉讼程序的；</w:t>
      </w:r>
    </w:p>
    <w:p w14:paraId="2AFD857C">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（5）质疑缺乏事实和法律依据的；</w:t>
      </w:r>
    </w:p>
    <w:p w14:paraId="60C42DBF">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（6）质疑人捏造事实、提供虚假材料，或在一定期限内多次质疑而无实据的；</w:t>
      </w:r>
    </w:p>
    <w:p w14:paraId="24B57EDF">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（7）质疑已处理并答复后，质疑人就已处理并答复的质疑内容再次质疑，且未提供新的有效证据的；</w:t>
      </w:r>
    </w:p>
    <w:p w14:paraId="2558A638">
      <w:pPr>
        <w:pStyle w:val="10"/>
        <w:numPr>
          <w:ilvl w:val="0"/>
          <w:numId w:val="0"/>
        </w:numPr>
        <w:tabs>
          <w:tab w:val="left" w:pos="1573"/>
        </w:tabs>
        <w:adjustRightInd w:val="0"/>
        <w:snapToGrid w:val="0"/>
        <w:spacing w:line="360" w:lineRule="auto"/>
        <w:rPr>
          <w:highlight w:val="none"/>
        </w:rPr>
      </w:pPr>
      <w:r>
        <w:rPr>
          <w:rFonts w:hint="eastAsia"/>
          <w:highlight w:val="none"/>
        </w:rPr>
        <w:t xml:space="preserve">    （8）其它不符合受理条件的情形。</w:t>
      </w:r>
    </w:p>
    <w:p w14:paraId="32520E3B">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1.37.7质疑人进行虚假和恶意质疑的，采购中心可以提请有关部门将其列入不良记录名单，在一至三年内禁止参加政府采购活动，并将处理决定在相关政府采购媒体上公布。</w:t>
      </w:r>
    </w:p>
    <w:p w14:paraId="21255127">
      <w:pPr>
        <w:pStyle w:val="10"/>
        <w:numPr>
          <w:ilvl w:val="0"/>
          <w:numId w:val="0"/>
        </w:numPr>
        <w:tabs>
          <w:tab w:val="left" w:pos="1573"/>
        </w:tabs>
        <w:adjustRightInd w:val="0"/>
        <w:snapToGrid w:val="0"/>
        <w:spacing w:line="360" w:lineRule="auto"/>
        <w:ind w:firstLine="420" w:firstLineChars="200"/>
        <w:rPr>
          <w:rFonts w:hint="eastAsia"/>
          <w:highlight w:val="none"/>
        </w:rPr>
      </w:pPr>
      <w:r>
        <w:rPr>
          <w:highlight w:val="none"/>
        </w:rPr>
        <w:t>1.3</w:t>
      </w:r>
      <w:r>
        <w:rPr>
          <w:rFonts w:hint="eastAsia"/>
          <w:highlight w:val="none"/>
        </w:rPr>
        <w:t>7</w:t>
      </w:r>
      <w:r>
        <w:rPr>
          <w:highlight w:val="none"/>
        </w:rPr>
        <w:t>.</w:t>
      </w:r>
      <w:r>
        <w:rPr>
          <w:rFonts w:hint="eastAsia"/>
          <w:highlight w:val="none"/>
        </w:rPr>
        <w:t>8 询问和质疑函接收联系方式详见</w:t>
      </w:r>
      <w:r>
        <w:rPr>
          <w:rFonts w:hint="eastAsia"/>
          <w:b/>
          <w:highlight w:val="none"/>
        </w:rPr>
        <w:t>第四章投标邀请书-采购中心联系方式</w:t>
      </w:r>
      <w:r>
        <w:rPr>
          <w:rFonts w:hint="eastAsia"/>
          <w:highlight w:val="none"/>
        </w:rPr>
        <w:t>。</w:t>
      </w:r>
    </w:p>
    <w:p w14:paraId="3923EE31">
      <w:pPr>
        <w:pStyle w:val="10"/>
        <w:numPr>
          <w:ilvl w:val="0"/>
          <w:numId w:val="0"/>
        </w:numPr>
        <w:tabs>
          <w:tab w:val="left" w:pos="1573"/>
        </w:tabs>
        <w:adjustRightInd w:val="0"/>
        <w:snapToGrid w:val="0"/>
        <w:spacing w:line="360" w:lineRule="auto"/>
        <w:ind w:left="701" w:hanging="281" w:leftChars="200" w:hangingChars="134"/>
        <w:jc w:val="left"/>
        <w:outlineLvl w:val="3"/>
        <w:rPr>
          <w:b/>
          <w:bCs/>
          <w:highlight w:val="none"/>
        </w:rPr>
      </w:pPr>
      <w:r>
        <w:rPr>
          <w:rFonts w:hint="eastAsia"/>
          <w:b/>
          <w:bCs/>
          <w:highlight w:val="none"/>
        </w:rPr>
        <w:t>1.38投诉</w:t>
      </w:r>
    </w:p>
    <w:p w14:paraId="494233BB">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0E501A9F">
      <w:pPr>
        <w:pStyle w:val="10"/>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投诉书范本可在中国政府采购网下载。</w:t>
      </w:r>
    </w:p>
    <w:p w14:paraId="65D58DC3">
      <w:pPr>
        <w:pStyle w:val="10"/>
        <w:numPr>
          <w:ilvl w:val="0"/>
          <w:numId w:val="0"/>
        </w:numPr>
        <w:tabs>
          <w:tab w:val="left" w:pos="1573"/>
        </w:tabs>
        <w:adjustRightInd w:val="0"/>
        <w:snapToGrid w:val="0"/>
        <w:spacing w:line="360" w:lineRule="auto"/>
        <w:ind w:left="984" w:hanging="598" w:leftChars="184" w:hangingChars="285"/>
        <w:outlineLvl w:val="2"/>
        <w:rPr>
          <w:b/>
          <w:highlight w:val="none"/>
        </w:rPr>
      </w:pPr>
      <w:r>
        <w:rPr>
          <w:rFonts w:hint="eastAsia"/>
          <w:b/>
          <w:highlight w:val="none"/>
        </w:rPr>
        <w:t>九、保密和披露</w:t>
      </w:r>
    </w:p>
    <w:p w14:paraId="0A60A1D8">
      <w:pPr>
        <w:pStyle w:val="10"/>
        <w:numPr>
          <w:ilvl w:val="0"/>
          <w:numId w:val="0"/>
        </w:numPr>
        <w:tabs>
          <w:tab w:val="left" w:pos="1573"/>
        </w:tabs>
        <w:adjustRightInd w:val="0"/>
        <w:snapToGrid w:val="0"/>
        <w:spacing w:line="360" w:lineRule="auto"/>
        <w:ind w:left="701" w:hanging="281" w:leftChars="200" w:hangingChars="134"/>
        <w:jc w:val="left"/>
        <w:outlineLvl w:val="3"/>
        <w:rPr>
          <w:b/>
          <w:bCs/>
          <w:highlight w:val="none"/>
        </w:rPr>
      </w:pPr>
      <w:r>
        <w:rPr>
          <w:rFonts w:hint="eastAsia"/>
          <w:b/>
          <w:bCs/>
          <w:highlight w:val="none"/>
        </w:rPr>
        <w:t>1.39保密和披露</w:t>
      </w:r>
    </w:p>
    <w:bookmarkEnd w:id="5"/>
    <w:p w14:paraId="2F1AB4A4">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1.39.1投标人自领取招标文件之日起，须履行本招标项目下保密义务，不得将因本次招标获得的信息向第三人外传。</w:t>
      </w:r>
    </w:p>
    <w:p w14:paraId="4CE5BFDA">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w:t>
      </w:r>
      <w:bookmarkStart w:id="6" w:name="_Toc89569864"/>
      <w:r>
        <w:rPr>
          <w:rFonts w:hint="eastAsia"/>
          <w:highlight w:val="none"/>
        </w:rPr>
        <w:t>2</w:t>
      </w:r>
      <w:bookmarkEnd w:id="6"/>
      <w:r>
        <w:rPr>
          <w:rFonts w:hint="eastAsia"/>
          <w:highlight w:val="none"/>
        </w:rPr>
        <w:t>开标之后，直到授予中标人合同为止，凡与本次招标有关人员对属于审查、澄清、评价和比较投标的有关资料以及授标意向等，除1.39.3条和1.39.4条规定的情况外，均不得向投标人或其他无关的人员透露。</w:t>
      </w:r>
    </w:p>
    <w:p w14:paraId="604B29BA">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1.39.3采购中心有权将投标人提供的所有资料向有关政府部门或评标委员会披露。</w:t>
      </w:r>
    </w:p>
    <w:p w14:paraId="07D2B77A">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5EBEBEDB">
      <w:pPr>
        <w:pStyle w:val="10"/>
        <w:numPr>
          <w:ilvl w:val="0"/>
          <w:numId w:val="0"/>
        </w:numPr>
        <w:tabs>
          <w:tab w:val="left" w:pos="1573"/>
        </w:tabs>
        <w:adjustRightInd w:val="0"/>
        <w:snapToGrid w:val="0"/>
        <w:spacing w:line="360" w:lineRule="auto"/>
        <w:ind w:left="701" w:hanging="281" w:leftChars="200" w:hangingChars="134"/>
        <w:jc w:val="left"/>
        <w:outlineLvl w:val="2"/>
        <w:rPr>
          <w:b/>
          <w:bCs/>
          <w:highlight w:val="none"/>
        </w:rPr>
      </w:pPr>
      <w:r>
        <w:rPr>
          <w:rFonts w:hint="eastAsia"/>
          <w:b/>
          <w:bCs/>
          <w:highlight w:val="none"/>
        </w:rPr>
        <w:t>十、 供应商诚信评价</w:t>
      </w:r>
    </w:p>
    <w:p w14:paraId="264C5BF5">
      <w:pPr>
        <w:pStyle w:val="10"/>
        <w:numPr>
          <w:ilvl w:val="0"/>
          <w:numId w:val="0"/>
        </w:numPr>
        <w:tabs>
          <w:tab w:val="left" w:pos="1573"/>
        </w:tabs>
        <w:adjustRightInd w:val="0"/>
        <w:snapToGrid w:val="0"/>
        <w:spacing w:line="360" w:lineRule="auto"/>
        <w:ind w:left="701" w:hanging="281" w:leftChars="200" w:hangingChars="134"/>
        <w:jc w:val="left"/>
        <w:outlineLvl w:val="3"/>
        <w:rPr>
          <w:rFonts w:hint="eastAsia"/>
          <w:highlight w:val="none"/>
        </w:rPr>
      </w:pPr>
      <w:r>
        <w:rPr>
          <w:rFonts w:hint="eastAsia"/>
          <w:b/>
          <w:bCs/>
          <w:highlight w:val="none"/>
        </w:rPr>
        <w:t>1.40供应商诚信评价</w:t>
      </w:r>
    </w:p>
    <w:p w14:paraId="35B34FBE">
      <w:pPr>
        <w:spacing w:line="360" w:lineRule="auto"/>
        <w:ind w:firstLine="420" w:firstLineChars="200"/>
        <w:rPr>
          <w:rFonts w:ascii="宋体" w:hAnsi="宋体"/>
          <w:highlight w:val="none"/>
        </w:rPr>
      </w:pPr>
      <w:r>
        <w:rPr>
          <w:rFonts w:ascii="宋体" w:hAnsi="宋体" w:hint="eastAsia"/>
          <w:highlight w:val="none"/>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15FEEBBD">
      <w:pPr>
        <w:spacing w:line="360" w:lineRule="auto"/>
        <w:ind w:firstLine="420" w:firstLineChars="200"/>
        <w:jc w:val="center"/>
        <w:outlineLvl w:val="1"/>
        <w:rPr>
          <w:bCs/>
          <w:szCs w:val="44"/>
          <w:highlight w:val="none"/>
        </w:rPr>
      </w:pPr>
      <w:r>
        <w:rPr>
          <w:rFonts w:ascii="宋体" w:hAnsi="宋体"/>
          <w:highlight w:val="none"/>
        </w:rPr>
        <w:br w:type="page"/>
      </w:r>
      <w:r>
        <w:rPr>
          <w:rFonts w:hint="eastAsia"/>
          <w:b/>
          <w:bCs/>
          <w:sz w:val="30"/>
          <w:szCs w:val="30"/>
          <w:highlight w:val="none"/>
        </w:rPr>
        <w:t>第二章  投标文件格式</w:t>
      </w:r>
    </w:p>
    <w:p w14:paraId="36E3177F">
      <w:pPr>
        <w:pStyle w:val="10"/>
        <w:numPr>
          <w:ilvl w:val="0"/>
          <w:numId w:val="0"/>
        </w:numPr>
        <w:tabs>
          <w:tab w:val="left" w:pos="1573"/>
        </w:tabs>
        <w:spacing w:line="360" w:lineRule="auto"/>
        <w:ind w:firstLine="420" w:firstLineChars="200"/>
        <w:rPr>
          <w:szCs w:val="44"/>
          <w:highlight w:val="none"/>
        </w:rPr>
      </w:pPr>
    </w:p>
    <w:p w14:paraId="521B5AAC">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一、投标人提交文件须知</w:t>
      </w:r>
    </w:p>
    <w:p w14:paraId="3113C0D4">
      <w:pPr>
        <w:pStyle w:val="10"/>
        <w:numPr>
          <w:ilvl w:val="0"/>
          <w:numId w:val="0"/>
        </w:numPr>
        <w:tabs>
          <w:tab w:val="left" w:pos="1573"/>
        </w:tabs>
        <w:adjustRightInd w:val="0"/>
        <w:snapToGrid w:val="0"/>
        <w:spacing w:line="360" w:lineRule="auto"/>
        <w:ind w:firstLine="420" w:firstLineChars="200"/>
        <w:rPr>
          <w:bCs/>
          <w:szCs w:val="44"/>
          <w:highlight w:val="none"/>
        </w:rPr>
      </w:pPr>
      <w:r>
        <w:rPr>
          <w:rFonts w:hint="eastAsia"/>
          <w:b/>
          <w:szCs w:val="44"/>
          <w:highlight w:val="none"/>
        </w:rPr>
        <w:t>2.1</w:t>
      </w:r>
      <w:r>
        <w:rPr>
          <w:rFonts w:hint="eastAsia"/>
          <w:bCs/>
          <w:szCs w:val="44"/>
          <w:highlight w:val="none"/>
        </w:rPr>
        <w:t>本部分内容仅提供格式和填写要求，并不代表所有列出格式的文件全部必须提交。本项目需提交的商务、技术文件应以</w:t>
      </w:r>
      <w:r>
        <w:rPr>
          <w:rFonts w:hint="eastAsia"/>
          <w:b/>
          <w:bCs/>
          <w:szCs w:val="44"/>
          <w:highlight w:val="none"/>
        </w:rPr>
        <w:t>第一章投标人须知通用部分1.14条</w:t>
      </w:r>
      <w:r>
        <w:rPr>
          <w:rFonts w:hint="eastAsia"/>
          <w:bCs/>
          <w:szCs w:val="44"/>
          <w:highlight w:val="none"/>
        </w:rPr>
        <w:t>和</w:t>
      </w:r>
      <w:r>
        <w:rPr>
          <w:rFonts w:hint="eastAsia"/>
          <w:b/>
          <w:szCs w:val="44"/>
          <w:highlight w:val="none"/>
        </w:rPr>
        <w:t>第五章投标人须知专用部分</w:t>
      </w:r>
      <w:r>
        <w:rPr>
          <w:rFonts w:hint="eastAsia"/>
          <w:bCs/>
          <w:szCs w:val="44"/>
          <w:highlight w:val="none"/>
        </w:rPr>
        <w:t>为准。</w:t>
      </w:r>
      <w:r>
        <w:rPr>
          <w:rFonts w:hint="eastAsia"/>
          <w:highlight w:val="none"/>
        </w:rPr>
        <w:t>全部文件应按</w:t>
      </w:r>
      <w:r>
        <w:rPr>
          <w:rFonts w:hint="eastAsia"/>
          <w:b/>
          <w:szCs w:val="44"/>
          <w:highlight w:val="none"/>
        </w:rPr>
        <w:t>第一章投标人须知通用部分</w:t>
      </w:r>
      <w:r>
        <w:rPr>
          <w:rFonts w:hint="eastAsia"/>
          <w:highlight w:val="none"/>
        </w:rPr>
        <w:t>以及</w:t>
      </w:r>
      <w:r>
        <w:rPr>
          <w:rFonts w:hint="eastAsia"/>
          <w:b/>
          <w:szCs w:val="44"/>
          <w:highlight w:val="none"/>
        </w:rPr>
        <w:t>第五章投标人须知专用部分</w:t>
      </w:r>
      <w:r>
        <w:rPr>
          <w:rFonts w:hint="eastAsia"/>
          <w:highlight w:val="none"/>
        </w:rPr>
        <w:t>中的规定提交。</w:t>
      </w:r>
    </w:p>
    <w:p w14:paraId="332B1810">
      <w:pPr>
        <w:pStyle w:val="10"/>
        <w:numPr>
          <w:ilvl w:val="0"/>
          <w:numId w:val="0"/>
        </w:numPr>
        <w:tabs>
          <w:tab w:val="left" w:pos="1573"/>
        </w:tabs>
        <w:adjustRightInd w:val="0"/>
        <w:snapToGrid w:val="0"/>
        <w:spacing w:line="360" w:lineRule="auto"/>
        <w:ind w:firstLine="420" w:firstLineChars="200"/>
        <w:rPr>
          <w:highlight w:val="none"/>
        </w:rPr>
      </w:pPr>
      <w:r>
        <w:rPr>
          <w:rFonts w:hint="eastAsia"/>
          <w:b/>
          <w:highlight w:val="none"/>
        </w:rPr>
        <w:t>2.2</w:t>
      </w:r>
      <w:r>
        <w:rPr>
          <w:rFonts w:hint="eastAsia"/>
          <w:highlight w:val="none"/>
        </w:rPr>
        <w:t>本部分所附表格中要求回答的全部问题和信息都必须正面回答。</w:t>
      </w:r>
    </w:p>
    <w:p w14:paraId="59E55CAD">
      <w:pPr>
        <w:pStyle w:val="10"/>
        <w:numPr>
          <w:ilvl w:val="0"/>
          <w:numId w:val="0"/>
        </w:numPr>
        <w:tabs>
          <w:tab w:val="left" w:pos="1573"/>
        </w:tabs>
        <w:adjustRightInd w:val="0"/>
        <w:snapToGrid w:val="0"/>
        <w:spacing w:line="360" w:lineRule="auto"/>
        <w:ind w:firstLine="420" w:firstLineChars="200"/>
        <w:rPr>
          <w:highlight w:val="none"/>
        </w:rPr>
      </w:pPr>
      <w:r>
        <w:rPr>
          <w:rFonts w:hint="eastAsia"/>
          <w:b/>
          <w:highlight w:val="none"/>
        </w:rPr>
        <w:t>2.3</w:t>
      </w:r>
      <w:r>
        <w:rPr>
          <w:rFonts w:hint="eastAsia"/>
          <w:highlight w:val="none"/>
        </w:rPr>
        <w:t>投标人提交的材料将被保密保存，但不退还。</w:t>
      </w:r>
    </w:p>
    <w:p w14:paraId="083559AC">
      <w:pPr>
        <w:pStyle w:val="10"/>
        <w:numPr>
          <w:ilvl w:val="0"/>
          <w:numId w:val="0"/>
        </w:numPr>
        <w:tabs>
          <w:tab w:val="left" w:pos="1573"/>
        </w:tabs>
        <w:adjustRightInd w:val="0"/>
        <w:snapToGrid w:val="0"/>
        <w:spacing w:line="360" w:lineRule="auto"/>
        <w:ind w:firstLine="420" w:firstLineChars="200"/>
        <w:rPr>
          <w:highlight w:val="none"/>
        </w:rPr>
      </w:pPr>
      <w:r>
        <w:rPr>
          <w:rFonts w:hint="eastAsia"/>
          <w:b/>
          <w:highlight w:val="none"/>
        </w:rPr>
        <w:t>2.4</w:t>
      </w:r>
      <w:r>
        <w:rPr>
          <w:rFonts w:hint="eastAsia"/>
          <w:highlight w:val="none"/>
        </w:rPr>
        <w:t>评标委员会将应用投标人提交的资料并根据自己的判断，决定投标人履行合同的合格性及能力。</w:t>
      </w:r>
    </w:p>
    <w:p w14:paraId="31DBD757">
      <w:pPr>
        <w:tabs>
          <w:tab w:val="left" w:pos="709"/>
          <w:tab w:val="left" w:pos="1573"/>
        </w:tabs>
        <w:adjustRightInd w:val="0"/>
        <w:snapToGrid w:val="0"/>
        <w:spacing w:line="360" w:lineRule="auto"/>
        <w:ind w:firstLine="420" w:firstLineChars="200"/>
        <w:rPr>
          <w:rFonts w:ascii="宋体" w:hAnsi="宋体"/>
          <w:szCs w:val="21"/>
          <w:highlight w:val="none"/>
        </w:rPr>
      </w:pPr>
      <w:r>
        <w:rPr>
          <w:rFonts w:hint="eastAsia"/>
          <w:b/>
          <w:highlight w:val="none"/>
        </w:rPr>
        <w:t>2.5</w:t>
      </w:r>
      <w:r>
        <w:rPr>
          <w:rFonts w:hint="eastAsia"/>
          <w:highlight w:val="none"/>
        </w:rPr>
        <w:t>投标人应</w:t>
      </w:r>
      <w:r>
        <w:rPr>
          <w:rFonts w:ascii="宋体" w:hAnsi="宋体" w:hint="eastAsia"/>
          <w:szCs w:val="21"/>
          <w:highlight w:val="none"/>
        </w:rPr>
        <w:t>使用投标</w:t>
      </w:r>
      <w:r>
        <w:rPr>
          <w:rFonts w:ascii="宋体" w:hint="eastAsia"/>
          <w:szCs w:val="21"/>
          <w:highlight w:val="none"/>
        </w:rPr>
        <w:t>（响应）工具完成投标文件编制后于投标截止时间前上传加密的投标文件。</w:t>
      </w:r>
    </w:p>
    <w:p w14:paraId="59F5AAAA">
      <w:pPr>
        <w:pStyle w:val="10"/>
        <w:numPr>
          <w:ilvl w:val="0"/>
          <w:numId w:val="0"/>
        </w:numPr>
        <w:tabs>
          <w:tab w:val="left" w:pos="1573"/>
        </w:tabs>
        <w:adjustRightInd w:val="0"/>
        <w:snapToGrid w:val="0"/>
        <w:spacing w:line="360" w:lineRule="auto"/>
        <w:ind w:firstLine="420" w:firstLineChars="200"/>
        <w:rPr>
          <w:highlight w:val="none"/>
        </w:rPr>
      </w:pPr>
    </w:p>
    <w:p w14:paraId="7EC6BD0E">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7E8E43EA">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606A7108">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F185BF9">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24D79215">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3783828B">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380DFF2A">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1CEE80E3">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2C048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5495EA8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5C852CD2">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455D62D0">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4BF7D6DD">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212B465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001A60A9">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D672007">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3F332A84">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4FCCE32E">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55087CA9">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6A49D8E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22E91278">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0534F351">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5A424692">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0A5C7C58">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51B170C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12261BA7">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347EFD00">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06C712F3">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2B761122">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695F37B7">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5559670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4FE34DF6">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63CFE42B">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1E0915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7A44FB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7191E46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1E6E877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413F61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419D6D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5439547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21951B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14:paraId="5A8F809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8DECCA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14:paraId="66AE6F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7FBF228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01C9F87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5758B05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4E6C1B0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7240729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489924F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54C4D1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8217BD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A519B9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4D50B51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EF5372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076710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0485E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3EF1D47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FB94B6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2EF88DD3">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231AA07B">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4A3EAF9">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8495E2D">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31CD72D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006112BE">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31645682">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B5C891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6214B18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691A12B3">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2B208FF1"/>
    <w:p w14:paraId="110A22FA">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34344BAA">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1AE92D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14:paraId="207907FF">
            <w:pPr>
              <w:jc w:val="center"/>
              <w:rPr>
                <w:rFonts w:ascii="Arial" w:eastAsia="黑体" w:hAnsi="Arial" w:cs="Arial"/>
              </w:rPr>
            </w:pPr>
            <w:r>
              <w:rPr>
                <w:rFonts w:ascii="Arial" w:eastAsia="黑体" w:hAnsi="Arial" w:cs="Arial"/>
              </w:rPr>
              <w:t>单位名称</w:t>
            </w:r>
          </w:p>
        </w:tc>
        <w:tc>
          <w:tcPr>
            <w:tcW w:w="4204" w:type="pct"/>
            <w:gridSpan w:val="8"/>
            <w:noWrap w:val="0"/>
            <w:vAlign w:val="top"/>
          </w:tcPr>
          <w:p w14:paraId="638E7FA1">
            <w:pPr>
              <w:ind w:right="-42" w:rightChars="-20"/>
              <w:rPr>
                <w:rFonts w:ascii="Arial" w:hAnsi="Arial" w:cs="Arial"/>
              </w:rPr>
            </w:pPr>
          </w:p>
        </w:tc>
      </w:tr>
      <w:tr w14:paraId="07BBDD9E">
        <w:tblPrEx>
          <w:tblW w:w="5000" w:type="pct"/>
          <w:tblInd w:w="0" w:type="dxa"/>
          <w:tblCellMar>
            <w:top w:w="0" w:type="dxa"/>
            <w:left w:w="108" w:type="dxa"/>
            <w:bottom w:w="0" w:type="dxa"/>
            <w:right w:w="108" w:type="dxa"/>
          </w:tblCellMar>
        </w:tblPrEx>
        <w:trPr>
          <w:trHeight w:val="397"/>
        </w:trPr>
        <w:tc>
          <w:tcPr>
            <w:tcW w:w="796" w:type="pct"/>
            <w:noWrap w:val="0"/>
            <w:vAlign w:val="center"/>
          </w:tcPr>
          <w:p w14:paraId="1AB43F62">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14:paraId="1DF8CB59">
            <w:pPr>
              <w:ind w:right="-42" w:rightChars="-20"/>
              <w:rPr>
                <w:rFonts w:ascii="Arial" w:hAnsi="Arial" w:cs="Arial"/>
              </w:rPr>
            </w:pPr>
          </w:p>
        </w:tc>
      </w:tr>
      <w:tr w14:paraId="05F86199">
        <w:tblPrEx>
          <w:tblW w:w="5000" w:type="pct"/>
          <w:tblInd w:w="0" w:type="dxa"/>
          <w:tblCellMar>
            <w:top w:w="0" w:type="dxa"/>
            <w:left w:w="108" w:type="dxa"/>
            <w:bottom w:w="0" w:type="dxa"/>
            <w:right w:w="108" w:type="dxa"/>
          </w:tblCellMar>
        </w:tblPrEx>
        <w:trPr>
          <w:trHeight w:val="397"/>
        </w:trPr>
        <w:tc>
          <w:tcPr>
            <w:tcW w:w="796" w:type="pct"/>
            <w:noWrap w:val="0"/>
            <w:vAlign w:val="center"/>
          </w:tcPr>
          <w:p w14:paraId="221500E9">
            <w:pPr>
              <w:jc w:val="center"/>
              <w:rPr>
                <w:rFonts w:ascii="Arial" w:eastAsia="黑体" w:hAnsi="Arial" w:cs="Arial"/>
              </w:rPr>
            </w:pPr>
            <w:r>
              <w:rPr>
                <w:rFonts w:ascii="Arial" w:eastAsia="黑体" w:hAnsi="Arial" w:cs="Arial"/>
              </w:rPr>
              <w:t>详细地址</w:t>
            </w:r>
          </w:p>
        </w:tc>
        <w:tc>
          <w:tcPr>
            <w:tcW w:w="4204" w:type="pct"/>
            <w:gridSpan w:val="8"/>
            <w:noWrap w:val="0"/>
            <w:vAlign w:val="top"/>
          </w:tcPr>
          <w:p w14:paraId="27DEB4EE">
            <w:pPr>
              <w:ind w:right="-42" w:rightChars="-20"/>
              <w:rPr>
                <w:rFonts w:ascii="Arial" w:hAnsi="Arial" w:cs="Arial"/>
              </w:rPr>
            </w:pPr>
          </w:p>
        </w:tc>
      </w:tr>
      <w:tr w14:paraId="2F4032DB">
        <w:tblPrEx>
          <w:tblW w:w="5000" w:type="pct"/>
          <w:tblInd w:w="0" w:type="dxa"/>
          <w:tblCellMar>
            <w:top w:w="0" w:type="dxa"/>
            <w:left w:w="108" w:type="dxa"/>
            <w:bottom w:w="0" w:type="dxa"/>
            <w:right w:w="108" w:type="dxa"/>
          </w:tblCellMar>
        </w:tblPrEx>
        <w:trPr>
          <w:trHeight w:val="397"/>
        </w:trPr>
        <w:tc>
          <w:tcPr>
            <w:tcW w:w="796" w:type="pct"/>
            <w:noWrap w:val="0"/>
            <w:vAlign w:val="center"/>
          </w:tcPr>
          <w:p w14:paraId="3442AD2E">
            <w:pPr>
              <w:jc w:val="center"/>
              <w:rPr>
                <w:rFonts w:ascii="Arial" w:eastAsia="黑体" w:hAnsi="Arial" w:cs="Arial"/>
              </w:rPr>
            </w:pPr>
            <w:r>
              <w:rPr>
                <w:rFonts w:ascii="Arial" w:eastAsia="黑体" w:hAnsi="Arial" w:cs="Arial"/>
              </w:rPr>
              <w:t>主管部门</w:t>
            </w:r>
          </w:p>
        </w:tc>
        <w:tc>
          <w:tcPr>
            <w:tcW w:w="795" w:type="pct"/>
            <w:gridSpan w:val="2"/>
            <w:noWrap w:val="0"/>
            <w:vAlign w:val="top"/>
          </w:tcPr>
          <w:p w14:paraId="4FE1E976">
            <w:pPr>
              <w:ind w:right="-42" w:rightChars="-20"/>
              <w:rPr>
                <w:rFonts w:ascii="Arial" w:hAnsi="Arial" w:cs="Arial"/>
              </w:rPr>
            </w:pPr>
          </w:p>
        </w:tc>
        <w:tc>
          <w:tcPr>
            <w:tcW w:w="795" w:type="pct"/>
            <w:noWrap w:val="0"/>
            <w:vAlign w:val="center"/>
          </w:tcPr>
          <w:p w14:paraId="2AD10E64">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14:paraId="6DD6956F">
            <w:pPr>
              <w:ind w:right="-42" w:rightChars="-20"/>
              <w:jc w:val="center"/>
              <w:rPr>
                <w:rFonts w:ascii="Arial" w:eastAsia="黑体" w:hAnsi="Arial" w:cs="Arial"/>
              </w:rPr>
            </w:pPr>
          </w:p>
        </w:tc>
        <w:tc>
          <w:tcPr>
            <w:tcW w:w="796" w:type="pct"/>
            <w:gridSpan w:val="2"/>
            <w:noWrap w:val="0"/>
            <w:vAlign w:val="center"/>
          </w:tcPr>
          <w:p w14:paraId="756FC425">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14:paraId="00EE6EE0">
            <w:pPr>
              <w:ind w:right="-42" w:rightChars="-20"/>
              <w:rPr>
                <w:rFonts w:ascii="Arial" w:hAnsi="Arial" w:cs="Arial"/>
              </w:rPr>
            </w:pPr>
          </w:p>
        </w:tc>
      </w:tr>
      <w:tr w14:paraId="02CD59E2">
        <w:tblPrEx>
          <w:tblW w:w="5000" w:type="pct"/>
          <w:tblInd w:w="0" w:type="dxa"/>
          <w:tblCellMar>
            <w:top w:w="0" w:type="dxa"/>
            <w:left w:w="108" w:type="dxa"/>
            <w:bottom w:w="0" w:type="dxa"/>
            <w:right w:w="108" w:type="dxa"/>
          </w:tblCellMar>
        </w:tblPrEx>
        <w:trPr>
          <w:trHeight w:val="397"/>
        </w:trPr>
        <w:tc>
          <w:tcPr>
            <w:tcW w:w="796" w:type="pct"/>
            <w:noWrap w:val="0"/>
            <w:vAlign w:val="center"/>
          </w:tcPr>
          <w:p w14:paraId="634002F8">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14:paraId="6D752328">
            <w:pPr>
              <w:ind w:right="-42" w:rightChars="-20"/>
              <w:rPr>
                <w:rFonts w:ascii="Arial" w:hAnsi="Arial" w:cs="Arial"/>
              </w:rPr>
            </w:pPr>
          </w:p>
        </w:tc>
        <w:tc>
          <w:tcPr>
            <w:tcW w:w="795" w:type="pct"/>
            <w:noWrap w:val="0"/>
            <w:vAlign w:val="center"/>
          </w:tcPr>
          <w:p w14:paraId="4F3C68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14:paraId="72C6C4D7">
            <w:pPr>
              <w:ind w:right="-42" w:rightChars="-20"/>
              <w:jc w:val="center"/>
              <w:rPr>
                <w:rFonts w:ascii="Arial" w:eastAsia="黑体" w:hAnsi="Arial" w:cs="Arial"/>
              </w:rPr>
            </w:pPr>
          </w:p>
        </w:tc>
        <w:tc>
          <w:tcPr>
            <w:tcW w:w="796" w:type="pct"/>
            <w:gridSpan w:val="2"/>
            <w:noWrap w:val="0"/>
            <w:vAlign w:val="center"/>
          </w:tcPr>
          <w:p w14:paraId="59948B46">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14:paraId="4C0426E0">
            <w:pPr>
              <w:ind w:right="-42" w:rightChars="-20"/>
              <w:rPr>
                <w:rFonts w:ascii="Arial" w:hAnsi="Arial" w:cs="Arial"/>
              </w:rPr>
            </w:pPr>
          </w:p>
        </w:tc>
      </w:tr>
      <w:tr w14:paraId="54927DC7">
        <w:tblPrEx>
          <w:tblW w:w="5000" w:type="pct"/>
          <w:tblInd w:w="0" w:type="dxa"/>
          <w:tblCellMar>
            <w:top w:w="0" w:type="dxa"/>
            <w:left w:w="108" w:type="dxa"/>
            <w:bottom w:w="0" w:type="dxa"/>
            <w:right w:w="108" w:type="dxa"/>
          </w:tblCellMar>
        </w:tblPrEx>
        <w:trPr>
          <w:trHeight w:val="397"/>
        </w:trPr>
        <w:tc>
          <w:tcPr>
            <w:tcW w:w="796" w:type="pct"/>
            <w:noWrap w:val="0"/>
            <w:vAlign w:val="center"/>
          </w:tcPr>
          <w:p w14:paraId="224D0FA4">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14:paraId="239613E5">
            <w:pPr>
              <w:ind w:right="-42" w:rightChars="-20"/>
              <w:rPr>
                <w:rFonts w:ascii="Arial" w:hAnsi="Arial" w:cs="Arial"/>
              </w:rPr>
            </w:pPr>
          </w:p>
        </w:tc>
      </w:tr>
      <w:tr w14:paraId="32B73F54">
        <w:tblPrEx>
          <w:tblW w:w="5000" w:type="pct"/>
          <w:tblInd w:w="0" w:type="dxa"/>
          <w:tblCellMar>
            <w:top w:w="0" w:type="dxa"/>
            <w:left w:w="108" w:type="dxa"/>
            <w:bottom w:w="0" w:type="dxa"/>
            <w:right w:w="108" w:type="dxa"/>
          </w:tblCellMar>
        </w:tblPrEx>
        <w:trPr>
          <w:trHeight w:val="397"/>
        </w:trPr>
        <w:tc>
          <w:tcPr>
            <w:tcW w:w="796" w:type="pct"/>
            <w:noWrap w:val="0"/>
            <w:vAlign w:val="center"/>
          </w:tcPr>
          <w:p w14:paraId="36AA77F3">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14:paraId="064E14E8">
            <w:pPr>
              <w:ind w:right="-42" w:rightChars="-20"/>
              <w:rPr>
                <w:rFonts w:ascii="Arial" w:hAnsi="Arial" w:cs="Arial"/>
              </w:rPr>
            </w:pPr>
          </w:p>
        </w:tc>
      </w:tr>
      <w:tr w14:paraId="66CB4FD1">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14:paraId="5EC6FCEF">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14:paraId="4E4E263F">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14:paraId="67CD0737">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14:paraId="52FF2BE3">
            <w:pPr>
              <w:ind w:right="-42" w:rightChars="-20"/>
              <w:rPr>
                <w:rFonts w:ascii="Arial" w:eastAsia="黑体" w:hAnsi="Arial" w:cs="Arial"/>
              </w:rPr>
            </w:pPr>
            <w:r>
              <w:rPr>
                <w:rFonts w:ascii="Arial" w:eastAsia="黑体" w:hAnsi="Arial" w:cs="Arial" w:hint="eastAsia"/>
              </w:rPr>
              <w:t>管理人员     人</w:t>
            </w:r>
          </w:p>
        </w:tc>
      </w:tr>
      <w:tr w14:paraId="1F3C0FFC">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62B0C600">
            <w:pPr>
              <w:ind w:right="-42" w:rightChars="-20"/>
              <w:jc w:val="center"/>
              <w:rPr>
                <w:rFonts w:ascii="Arial" w:eastAsia="黑体" w:hAnsi="Arial" w:cs="Arial"/>
              </w:rPr>
            </w:pPr>
          </w:p>
        </w:tc>
        <w:tc>
          <w:tcPr>
            <w:tcW w:w="678" w:type="pct"/>
            <w:vMerge/>
            <w:noWrap w:val="0"/>
            <w:vAlign w:val="center"/>
          </w:tcPr>
          <w:p w14:paraId="3DE4E0A0">
            <w:pPr>
              <w:snapToGrid w:val="0"/>
              <w:ind w:right="-42" w:rightChars="-20"/>
              <w:jc w:val="center"/>
              <w:rPr>
                <w:rFonts w:ascii="Arial" w:eastAsia="黑体" w:hAnsi="Arial" w:cs="Arial"/>
              </w:rPr>
            </w:pPr>
          </w:p>
        </w:tc>
        <w:tc>
          <w:tcPr>
            <w:tcW w:w="940" w:type="pct"/>
            <w:gridSpan w:val="3"/>
            <w:vMerge/>
            <w:noWrap w:val="0"/>
            <w:vAlign w:val="center"/>
          </w:tcPr>
          <w:p w14:paraId="70D452E2">
            <w:pPr>
              <w:snapToGrid w:val="0"/>
              <w:ind w:right="-42" w:rightChars="-20"/>
              <w:jc w:val="center"/>
              <w:rPr>
                <w:rFonts w:ascii="Arial" w:eastAsia="黑体" w:hAnsi="Arial" w:cs="Arial"/>
              </w:rPr>
            </w:pPr>
          </w:p>
        </w:tc>
        <w:tc>
          <w:tcPr>
            <w:tcW w:w="2586" w:type="pct"/>
            <w:gridSpan w:val="4"/>
            <w:noWrap w:val="0"/>
            <w:vAlign w:val="top"/>
          </w:tcPr>
          <w:p w14:paraId="0A3A5BAC">
            <w:pPr>
              <w:ind w:right="-42" w:rightChars="-20"/>
              <w:rPr>
                <w:rFonts w:ascii="Arial" w:eastAsia="黑体" w:hAnsi="Arial" w:cs="Arial"/>
              </w:rPr>
            </w:pPr>
            <w:r>
              <w:rPr>
                <w:rFonts w:ascii="Arial" w:eastAsia="黑体" w:hAnsi="Arial" w:cs="Arial" w:hint="eastAsia"/>
              </w:rPr>
              <w:t>技术人员     人</w:t>
            </w:r>
          </w:p>
        </w:tc>
      </w:tr>
      <w:tr w14:paraId="1A825033">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49CC2FC2">
            <w:pPr>
              <w:ind w:right="-42" w:rightChars="-20"/>
              <w:jc w:val="center"/>
              <w:rPr>
                <w:rFonts w:ascii="Arial" w:eastAsia="黑体" w:hAnsi="Arial" w:cs="Arial"/>
              </w:rPr>
            </w:pPr>
          </w:p>
        </w:tc>
        <w:tc>
          <w:tcPr>
            <w:tcW w:w="678" w:type="pct"/>
            <w:noWrap w:val="0"/>
            <w:vAlign w:val="center"/>
          </w:tcPr>
          <w:p w14:paraId="7C853DCE">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14:paraId="1E9C24ED">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14:paraId="75264E67">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14:paraId="529A8FCC">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14:paraId="56147EF3">
            <w:pPr>
              <w:ind w:right="-42" w:rightChars="-20"/>
              <w:jc w:val="center"/>
              <w:rPr>
                <w:rFonts w:ascii="Arial" w:eastAsia="黑体" w:hAnsi="Arial" w:cs="Arial"/>
              </w:rPr>
            </w:pPr>
            <w:r>
              <w:rPr>
                <w:rFonts w:ascii="Arial" w:eastAsia="黑体" w:hAnsi="Arial" w:cs="Arial"/>
              </w:rPr>
              <w:t>技工</w:t>
            </w:r>
          </w:p>
        </w:tc>
      </w:tr>
      <w:tr w14:paraId="1BF933ED">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5EDA7D5D">
            <w:pPr>
              <w:ind w:right="-42" w:rightChars="-20"/>
              <w:jc w:val="center"/>
              <w:rPr>
                <w:rFonts w:ascii="Arial" w:eastAsia="黑体" w:hAnsi="Arial" w:cs="Arial"/>
              </w:rPr>
            </w:pPr>
          </w:p>
        </w:tc>
        <w:tc>
          <w:tcPr>
            <w:tcW w:w="678" w:type="pct"/>
            <w:noWrap w:val="0"/>
            <w:vAlign w:val="center"/>
          </w:tcPr>
          <w:p w14:paraId="44320A1C">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14:paraId="6EBF1A5E">
            <w:pPr>
              <w:snapToGrid w:val="0"/>
              <w:ind w:right="-42" w:rightChars="-20"/>
              <w:rPr>
                <w:rFonts w:ascii="Arial" w:eastAsia="黑体" w:hAnsi="Arial" w:cs="Arial"/>
              </w:rPr>
            </w:pPr>
          </w:p>
        </w:tc>
        <w:tc>
          <w:tcPr>
            <w:tcW w:w="806" w:type="pct"/>
            <w:gridSpan w:val="2"/>
            <w:noWrap w:val="0"/>
            <w:vAlign w:val="top"/>
          </w:tcPr>
          <w:p w14:paraId="47A9C132">
            <w:pPr>
              <w:ind w:right="-42" w:rightChars="-20"/>
              <w:rPr>
                <w:rFonts w:ascii="Arial" w:eastAsia="黑体" w:hAnsi="Arial" w:cs="Arial"/>
              </w:rPr>
            </w:pPr>
          </w:p>
        </w:tc>
        <w:tc>
          <w:tcPr>
            <w:tcW w:w="757" w:type="pct"/>
            <w:noWrap w:val="0"/>
            <w:vAlign w:val="top"/>
          </w:tcPr>
          <w:p w14:paraId="579F3D82">
            <w:pPr>
              <w:ind w:right="-42" w:rightChars="-20"/>
              <w:rPr>
                <w:rFonts w:ascii="Arial" w:eastAsia="黑体" w:hAnsi="Arial" w:cs="Arial"/>
              </w:rPr>
            </w:pPr>
          </w:p>
        </w:tc>
        <w:tc>
          <w:tcPr>
            <w:tcW w:w="1023" w:type="pct"/>
            <w:noWrap w:val="0"/>
            <w:vAlign w:val="top"/>
          </w:tcPr>
          <w:p w14:paraId="71265E8C">
            <w:pPr>
              <w:ind w:right="-42" w:rightChars="-20"/>
              <w:rPr>
                <w:rFonts w:ascii="Arial" w:eastAsia="黑体" w:hAnsi="Arial" w:cs="Arial"/>
              </w:rPr>
            </w:pPr>
          </w:p>
        </w:tc>
      </w:tr>
      <w:tr w14:paraId="5AAB8A72">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1B9D78A6">
            <w:pPr>
              <w:ind w:right="-42" w:rightChars="-20"/>
              <w:jc w:val="center"/>
              <w:rPr>
                <w:rFonts w:ascii="Arial" w:eastAsia="黑体" w:hAnsi="Arial" w:cs="Arial"/>
              </w:rPr>
            </w:pPr>
          </w:p>
        </w:tc>
        <w:tc>
          <w:tcPr>
            <w:tcW w:w="678" w:type="pct"/>
            <w:vMerge w:val="restart"/>
            <w:noWrap w:val="0"/>
            <w:vAlign w:val="center"/>
          </w:tcPr>
          <w:p w14:paraId="04DC653B">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14:paraId="0107F993">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14:paraId="54C6DF7D">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14:paraId="6F96161D">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14:paraId="5AD1A8AB">
            <w:pPr>
              <w:ind w:right="-42" w:firstLine="840" w:rightChars="-20" w:firstLineChars="400"/>
              <w:rPr>
                <w:rFonts w:ascii="Arial" w:eastAsia="黑体" w:hAnsi="Arial" w:cs="Arial"/>
              </w:rPr>
            </w:pPr>
            <w:r>
              <w:rPr>
                <w:rFonts w:ascii="Arial" w:eastAsia="黑体" w:hAnsi="Arial" w:cs="Arial"/>
              </w:rPr>
              <w:t>万元</w:t>
            </w:r>
          </w:p>
        </w:tc>
      </w:tr>
      <w:tr w14:paraId="2BF8B5F5">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6369DCBC">
            <w:pPr>
              <w:ind w:right="-42" w:rightChars="-20"/>
              <w:jc w:val="center"/>
              <w:rPr>
                <w:rFonts w:ascii="Arial" w:eastAsia="黑体" w:hAnsi="Arial" w:cs="Arial"/>
              </w:rPr>
            </w:pPr>
          </w:p>
        </w:tc>
        <w:tc>
          <w:tcPr>
            <w:tcW w:w="678" w:type="pct"/>
            <w:vMerge/>
            <w:noWrap w:val="0"/>
            <w:vAlign w:val="center"/>
          </w:tcPr>
          <w:p w14:paraId="23A82AB4">
            <w:pPr>
              <w:snapToGrid w:val="0"/>
              <w:ind w:right="-42" w:rightChars="-20"/>
              <w:rPr>
                <w:rFonts w:ascii="Arial" w:eastAsia="黑体" w:hAnsi="Arial" w:cs="Arial"/>
              </w:rPr>
            </w:pPr>
          </w:p>
        </w:tc>
        <w:tc>
          <w:tcPr>
            <w:tcW w:w="940" w:type="pct"/>
            <w:gridSpan w:val="3"/>
            <w:vMerge/>
            <w:noWrap w:val="0"/>
            <w:vAlign w:val="center"/>
          </w:tcPr>
          <w:p w14:paraId="1322B626">
            <w:pPr>
              <w:snapToGrid w:val="0"/>
              <w:ind w:right="-42" w:rightChars="-20"/>
              <w:rPr>
                <w:rFonts w:ascii="Arial" w:eastAsia="黑体" w:hAnsi="Arial" w:cs="Arial"/>
              </w:rPr>
            </w:pPr>
          </w:p>
        </w:tc>
        <w:tc>
          <w:tcPr>
            <w:tcW w:w="806" w:type="pct"/>
            <w:gridSpan w:val="2"/>
            <w:vMerge/>
            <w:noWrap w:val="0"/>
            <w:vAlign w:val="center"/>
          </w:tcPr>
          <w:p w14:paraId="72FF3B83">
            <w:pPr>
              <w:ind w:right="-42" w:rightChars="-20"/>
              <w:jc w:val="center"/>
              <w:rPr>
                <w:rFonts w:ascii="Arial" w:eastAsia="黑体" w:hAnsi="Arial" w:cs="Arial"/>
              </w:rPr>
            </w:pPr>
          </w:p>
        </w:tc>
        <w:tc>
          <w:tcPr>
            <w:tcW w:w="757" w:type="pct"/>
            <w:noWrap w:val="0"/>
            <w:vAlign w:val="center"/>
          </w:tcPr>
          <w:p w14:paraId="77C45797">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14:paraId="6355E420">
            <w:pPr>
              <w:ind w:right="-42" w:firstLine="840" w:rightChars="-20" w:firstLineChars="400"/>
              <w:rPr>
                <w:rFonts w:ascii="Arial" w:eastAsia="黑体" w:hAnsi="Arial" w:cs="Arial"/>
              </w:rPr>
            </w:pPr>
            <w:r>
              <w:rPr>
                <w:rFonts w:ascii="Arial" w:eastAsia="黑体" w:hAnsi="Arial" w:cs="Arial"/>
              </w:rPr>
              <w:t>万元</w:t>
            </w:r>
          </w:p>
        </w:tc>
      </w:tr>
      <w:tr w14:paraId="532E493E">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37B7A85D">
            <w:pPr>
              <w:ind w:right="-42" w:rightChars="-20"/>
              <w:jc w:val="center"/>
              <w:rPr>
                <w:rFonts w:ascii="Arial" w:eastAsia="黑体" w:hAnsi="Arial" w:cs="Arial"/>
              </w:rPr>
            </w:pPr>
          </w:p>
        </w:tc>
        <w:tc>
          <w:tcPr>
            <w:tcW w:w="678" w:type="pct"/>
            <w:noWrap w:val="0"/>
            <w:vAlign w:val="center"/>
          </w:tcPr>
          <w:p w14:paraId="23DF3D27">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14:paraId="69451A67">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14:paraId="2777997F">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14:paraId="2090E2F2">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14:paraId="011210A5">
            <w:pPr>
              <w:ind w:right="-42" w:firstLine="840" w:rightChars="-20" w:firstLineChars="400"/>
              <w:rPr>
                <w:rFonts w:ascii="Arial" w:eastAsia="黑体" w:hAnsi="Arial" w:cs="Arial"/>
              </w:rPr>
            </w:pPr>
            <w:r>
              <w:rPr>
                <w:rFonts w:ascii="Arial" w:eastAsia="黑体" w:hAnsi="Arial" w:cs="Arial"/>
              </w:rPr>
              <w:t>万元</w:t>
            </w:r>
          </w:p>
        </w:tc>
      </w:tr>
      <w:tr w14:paraId="6179E389">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14:paraId="26C1EC55">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14:paraId="397AEB6A">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14:paraId="2219E12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14:paraId="15A8447B">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14:paraId="20982265">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14:paraId="24BE6F5D">
            <w:pPr>
              <w:ind w:right="-42" w:rightChars="-20"/>
              <w:jc w:val="center"/>
              <w:rPr>
                <w:rFonts w:ascii="Arial" w:eastAsia="黑体" w:hAnsi="Arial" w:cs="Arial"/>
              </w:rPr>
            </w:pPr>
            <w:r>
              <w:rPr>
                <w:rFonts w:ascii="Arial" w:eastAsia="黑体" w:hAnsi="Arial" w:cs="Arial"/>
              </w:rPr>
              <w:t>负债总额</w:t>
            </w:r>
          </w:p>
        </w:tc>
      </w:tr>
      <w:tr w14:paraId="07419867">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085B23D7">
            <w:pPr>
              <w:ind w:right="-42" w:rightChars="-20"/>
              <w:jc w:val="center"/>
              <w:rPr>
                <w:rFonts w:ascii="Arial" w:eastAsia="黑体" w:hAnsi="Arial" w:cs="Arial"/>
              </w:rPr>
            </w:pPr>
          </w:p>
        </w:tc>
        <w:tc>
          <w:tcPr>
            <w:tcW w:w="678" w:type="pct"/>
            <w:noWrap w:val="0"/>
            <w:vAlign w:val="center"/>
          </w:tcPr>
          <w:p w14:paraId="1108A435">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14:paraId="2E01527D">
            <w:pPr>
              <w:snapToGrid w:val="0"/>
              <w:ind w:right="-42" w:rightChars="-20"/>
              <w:rPr>
                <w:rFonts w:ascii="Arial" w:eastAsia="黑体" w:hAnsi="Arial" w:cs="Arial"/>
              </w:rPr>
            </w:pPr>
          </w:p>
        </w:tc>
        <w:tc>
          <w:tcPr>
            <w:tcW w:w="806" w:type="pct"/>
            <w:gridSpan w:val="2"/>
            <w:noWrap w:val="0"/>
            <w:vAlign w:val="center"/>
          </w:tcPr>
          <w:p w14:paraId="1C80ACC9">
            <w:pPr>
              <w:ind w:right="-42" w:rightChars="-20"/>
              <w:rPr>
                <w:rFonts w:ascii="Arial" w:eastAsia="黑体" w:hAnsi="Arial" w:cs="Arial"/>
              </w:rPr>
            </w:pPr>
          </w:p>
        </w:tc>
        <w:tc>
          <w:tcPr>
            <w:tcW w:w="757" w:type="pct"/>
            <w:noWrap w:val="0"/>
            <w:vAlign w:val="center"/>
          </w:tcPr>
          <w:p w14:paraId="2BC73399">
            <w:pPr>
              <w:ind w:right="-42" w:rightChars="-20"/>
              <w:rPr>
                <w:rFonts w:ascii="Arial" w:eastAsia="黑体" w:hAnsi="Arial" w:cs="Arial"/>
              </w:rPr>
            </w:pPr>
          </w:p>
        </w:tc>
        <w:tc>
          <w:tcPr>
            <w:tcW w:w="1023" w:type="pct"/>
            <w:noWrap w:val="0"/>
            <w:vAlign w:val="center"/>
          </w:tcPr>
          <w:p w14:paraId="09DAE534">
            <w:pPr>
              <w:ind w:right="-42" w:rightChars="-20"/>
              <w:rPr>
                <w:rFonts w:ascii="Arial" w:eastAsia="黑体" w:hAnsi="Arial" w:cs="Arial"/>
              </w:rPr>
            </w:pPr>
          </w:p>
        </w:tc>
      </w:tr>
    </w:tbl>
    <w:p w14:paraId="1E88E278">
      <w:pPr>
        <w:tabs>
          <w:tab w:val="left" w:pos="5580"/>
        </w:tabs>
        <w:adjustRightInd w:val="0"/>
        <w:snapToGrid w:val="0"/>
        <w:spacing w:line="360" w:lineRule="auto"/>
        <w:jc w:val="center"/>
        <w:rPr>
          <w:rFonts w:ascii="宋体" w:hAnsi="宋体"/>
          <w:szCs w:val="21"/>
        </w:rPr>
      </w:pPr>
    </w:p>
    <w:p w14:paraId="7527D8E0">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3B635AE9">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16EE0662"/>
    <w:p w14:paraId="630E0B5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80265F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6BD6B234">
      <w:pPr>
        <w:tabs>
          <w:tab w:val="left" w:pos="1573"/>
        </w:tabs>
        <w:adjustRightInd w:val="0"/>
        <w:snapToGrid w:val="0"/>
        <w:spacing w:line="360" w:lineRule="auto"/>
        <w:ind w:firstLine="412" w:firstLineChars="196"/>
        <w:rPr>
          <w:rFonts w:ascii="宋体" w:eastAsia="宋体" w:hAnsi="宋体" w:cs="Times New Roman"/>
          <w:szCs w:val="21"/>
        </w:rPr>
      </w:pPr>
    </w:p>
    <w:p w14:paraId="4A839540">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0A41389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553885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14:paraId="1052AE37">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14:paraId="69FE04D3">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14:paraId="0210E07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14:paraId="23F94D8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14:paraId="4B33625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14:paraId="11B4AE0A">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17490C40">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14:paraId="324050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14:paraId="30E841B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14:paraId="630A96C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14:paraId="2F0279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14:paraId="7BEE1D3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14:paraId="62F8DB1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05DD4BA">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14:paraId="584E2B4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14:paraId="6C5FB0C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14:paraId="38F71E5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14:paraId="65CA9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14:paraId="6A655B6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14:paraId="5F652DC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7F7576E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3E7F83">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426ED12A">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4CCD081C"/>
    <w:p w14:paraId="65F1A7A4">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7954149E">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14:paraId="74741579">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14:paraId="23071E70">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14:paraId="5FA091D3">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30D331AA">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14:paraId="6ACA12C5">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250E923D">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14:paraId="40C6E9D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51DB17B0">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14:paraId="0C2ADFDB">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14:paraId="1CC41AE7">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20A3F4CF">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005EE9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31B247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77017C6C">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62E309ED">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3C444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7E4F69CB">
      <w:pPr>
        <w:adjustRightInd w:val="0"/>
        <w:snapToGrid w:val="0"/>
        <w:spacing w:line="360" w:lineRule="auto"/>
        <w:ind w:firstLine="412" w:firstLineChars="196"/>
        <w:rPr>
          <w:rFonts w:ascii="Times New Roman" w:eastAsia="宋体" w:hAnsi="Times New Roman" w:cs="Times New Roman"/>
          <w:szCs w:val="20"/>
          <w:highlight w:val="none"/>
        </w:rPr>
      </w:pPr>
    </w:p>
    <w:p w14:paraId="36749285">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14:paraId="3BF40CDD">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0102504D">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14:paraId="49ED40D0">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14:paraId="5C96F808">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14:paraId="6584D3DA">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114352EF">
      <w:pPr>
        <w:adjustRightInd w:val="0"/>
        <w:snapToGrid w:val="0"/>
        <w:spacing w:line="360" w:lineRule="auto"/>
        <w:ind w:firstLine="412" w:firstLineChars="196"/>
        <w:rPr>
          <w:rFonts w:ascii="宋体" w:eastAsia="宋体" w:hAnsi="宋体" w:cs="Times New Roman"/>
          <w:szCs w:val="20"/>
          <w:highlight w:val="none"/>
        </w:rPr>
      </w:pPr>
    </w:p>
    <w:p w14:paraId="16616F6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1CDBF745">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3646D93B">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5E8E48A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6D1B56A5">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3718E5E5">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8B0139A">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52FDF804">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48CA08F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7B9B5261">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24DA95A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2167D08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13553C43">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7505F27B">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14:paraId="50BA5CF5">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14:paraId="7BF304FA">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2D67933C">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28486CB">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14:paraId="2E0AAB97">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14:paraId="356DB088">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14:paraId="04A655D2">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14:paraId="68C4AA84">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14:paraId="41DEA14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14:paraId="41E5757D">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14:paraId="0DF9634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14:paraId="218CA08A">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14:paraId="17E52998">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78F8C9F0">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14:paraId="2B76D75C">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14:paraId="75E5E091">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14:paraId="5D2819B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7B9688D9">
      <w:pPr>
        <w:autoSpaceDN w:val="0"/>
        <w:spacing w:line="440" w:lineRule="exact"/>
        <w:ind w:firstLine="420" w:firstLineChars="200"/>
        <w:rPr>
          <w:rFonts w:ascii="宋体" w:eastAsia="宋体" w:hAnsi="宋体" w:cs="仿宋_GB2312" w:hint="eastAsia"/>
          <w:b/>
          <w:szCs w:val="21"/>
          <w:highlight w:val="none"/>
        </w:rPr>
      </w:pPr>
    </w:p>
    <w:p w14:paraId="53AA9A76">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7008C6DA">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6F5D600D">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459B1C8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7F1E7E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7FAF3B1A">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09F3531E">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14:paraId="2D232EAC">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14:paraId="73FB32C0">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B58E06">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2AF67989">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7EB32CD8">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2.10.10联合体协议</w:t>
      </w:r>
    </w:p>
    <w:p w14:paraId="53AFA759">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5E04DE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1BA6270C">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1B2B08C2">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4A996EA7">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2421F8A2">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38DFC021">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2CD7AFD7">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0CB3E195">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42A28BB7">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5C928AD7">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51C190D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3A74A6A3">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22A2E5F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24B92D9E">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4D119C25">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5B22C474">
      <w:pPr>
        <w:spacing w:line="360" w:lineRule="auto"/>
        <w:ind w:firstLine="420" w:firstLineChars="200"/>
        <w:rPr>
          <w:rFonts w:ascii="华文楷体" w:eastAsia="华文楷体" w:hAnsi="华文楷体" w:cs="仿宋_GB2312"/>
          <w:szCs w:val="21"/>
          <w:highlight w:val="none"/>
        </w:rPr>
      </w:pPr>
    </w:p>
    <w:p w14:paraId="34E649C9">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71E474DF">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6A1039FF">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142BAAFF">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32878AB5">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11E3292F">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63E1F1C9">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7C8A3C4">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14:paraId="76A2624D">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55D0B32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42D5308E">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67375450">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50330C90">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49548087">
      <w:pPr>
        <w:autoSpaceDN w:val="0"/>
        <w:spacing w:line="440" w:lineRule="exact"/>
        <w:ind w:firstLine="420" w:firstLineChars="200"/>
        <w:rPr>
          <w:rFonts w:ascii="华文楷体" w:eastAsia="华文楷体" w:hAnsi="华文楷体" w:cs="仿宋_GB2312" w:hint="eastAsia"/>
          <w:szCs w:val="21"/>
          <w:highlight w:val="none"/>
        </w:rPr>
      </w:pPr>
    </w:p>
    <w:p w14:paraId="6052C60C">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01284F9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1DA6A5B7">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64EBB962">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4DECCA65">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89D051D">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711C94E5">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14:paraId="5A567502">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0106F54B">
      <w:pPr>
        <w:rPr>
          <w:highlight w:val="none"/>
        </w:rPr>
      </w:pPr>
    </w:p>
    <w:p w14:paraId="582538CF">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14:paraId="77B28D8A">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CAA9BC0">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14:paraId="0C581C6A">
      <w:pPr>
        <w:widowControl w:val="0"/>
        <w:jc w:val="both"/>
        <w:rPr>
          <w:rFonts w:ascii="宋体" w:eastAsia="宋体" w:hAnsi="Courier New" w:cs="Times New Roman"/>
          <w:szCs w:val="21"/>
          <w:highlight w:val="none"/>
        </w:rPr>
      </w:pPr>
    </w:p>
    <w:p w14:paraId="6B0710AD">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55AE269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1BA9EFDA">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14:paraId="1ACA3CD2">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14:paraId="7861B6A3">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14:paraId="2867107A">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14:paraId="1510A912">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14:paraId="5DC96C09">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14:paraId="42A5E15D">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14:paraId="0006E7D5">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5、在收到中标通知后，投标人未能按规定的时间交纳代理服务费。</w:t>
      </w:r>
    </w:p>
    <w:p w14:paraId="4C65144B">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14:paraId="38BF3E8B">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14:paraId="62900564">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14:paraId="12D07842">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14:paraId="06014740">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14:paraId="37C3B482">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14:paraId="729D7AC6">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14:paraId="42CA489A">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14:paraId="1109F924">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14:paraId="2CC38742">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14:paraId="7585212D">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14:paraId="20D884E1">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5A220D33">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14:paraId="1979393F">
      <w:pPr>
        <w:widowControl w:val="0"/>
        <w:adjustRightInd w:val="0"/>
        <w:snapToGrid w:val="0"/>
        <w:spacing w:line="360" w:lineRule="auto"/>
        <w:ind w:firstLine="420" w:firstLineChars="200"/>
        <w:jc w:val="left"/>
        <w:rPr>
          <w:rFonts w:ascii="宋体" w:eastAsia="宋体" w:hAnsi="宋体" w:cs="Times New Roman"/>
          <w:szCs w:val="21"/>
          <w:highlight w:val="none"/>
        </w:rPr>
      </w:pPr>
    </w:p>
    <w:p w14:paraId="2D095506">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14:paraId="4C1CBCA4">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14:paraId="571B8335">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14:paraId="2E7B40D6">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14:paraId="087F045D">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14:paraId="2A378583">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14:paraId="1C7324E0">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14:paraId="25DAA225">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14:paraId="424CA0D7">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(5)中标人不按本招标文件的规定缴纳代理服务费的。</w:t>
      </w:r>
    </w:p>
    <w:p w14:paraId="71B3111C">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14:paraId="1B7D258B">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14:paraId="778E44E2">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160BE0A4">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14:paraId="0D3EF83C">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300F312">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14:paraId="6EA0001B">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14:paraId="6302C673">
      <w:pPr>
        <w:widowControl w:val="0"/>
        <w:adjustRightInd w:val="0"/>
        <w:snapToGrid w:val="0"/>
        <w:spacing w:line="360" w:lineRule="auto"/>
        <w:jc w:val="both"/>
        <w:rPr>
          <w:rFonts w:ascii="宋体" w:eastAsia="宋体" w:hAnsi="Courier New" w:cs="Times New Roman" w:hint="eastAsia"/>
          <w:szCs w:val="21"/>
        </w:rPr>
      </w:pPr>
    </w:p>
    <w:p w14:paraId="5CBC98E1">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39BBC00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B05BA5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7DB5392A">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48D82F03">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EDB0DE9">
      <w:pPr>
        <w:widowControl/>
        <w:adjustRightInd w:val="0"/>
        <w:snapToGrid w:val="0"/>
        <w:spacing w:line="360" w:lineRule="auto"/>
        <w:ind w:firstLine="420" w:firstLineChars="200"/>
        <w:jc w:val="left"/>
        <w:rPr>
          <w:rFonts w:ascii="华文楷体" w:eastAsia="华文楷体" w:hAnsi="华文楷体" w:cs="Times New Roman"/>
          <w:szCs w:val="21"/>
        </w:rPr>
      </w:pPr>
    </w:p>
    <w:p w14:paraId="195DC8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2A8DE55">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2316BA20">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516520F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7111D492"/>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14:paraId="3F7E53B4"/>
    <w:bookmarkEnd w:id="8"/>
    <w:p w14:paraId="347DDB53">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157EA787">
      <w:pPr>
        <w:adjustRightInd w:val="0"/>
        <w:snapToGrid w:val="0"/>
        <w:spacing w:line="360" w:lineRule="auto"/>
        <w:ind w:firstLine="420"/>
        <w:rPr>
          <w:rFonts w:ascii="宋体" w:hAnsi="宋体" w:hint="eastAsia"/>
          <w:b/>
          <w:bCs/>
          <w:szCs w:val="44"/>
          <w:highlight w:val="none"/>
        </w:rPr>
      </w:pPr>
    </w:p>
    <w:p w14:paraId="7C17D179">
      <w:pPr>
        <w:adjustRightInd w:val="0"/>
        <w:snapToGrid w:val="0"/>
        <w:spacing w:line="360" w:lineRule="auto"/>
        <w:ind w:firstLine="420"/>
        <w:rPr>
          <w:rFonts w:ascii="宋体" w:hAnsi="宋体" w:hint="eastAsia"/>
          <w:b/>
          <w:bCs/>
          <w:szCs w:val="44"/>
          <w:highlight w:val="none"/>
        </w:rPr>
      </w:pPr>
    </w:p>
    <w:p w14:paraId="3795CE93">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bookmarkEnd w:id="7"/>
    <w:p w14:paraId="67F3C6B8">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63C0FDE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CE6C2C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4675F52D">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14:paraId="5C866CD3">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14:paraId="221264B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AF1013E">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14:paraId="1BEB5F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14:paraId="1709708D">
            <w:pPr>
              <w:tabs>
                <w:tab w:val="left" w:pos="5580"/>
              </w:tabs>
              <w:adjustRightInd w:val="0"/>
              <w:snapToGrid w:val="0"/>
              <w:spacing w:line="360" w:lineRule="auto"/>
              <w:jc w:val="center"/>
              <w:rPr>
                <w:rFonts w:ascii="华文楷体" w:eastAsia="华文楷体" w:hAnsi="华文楷体" w:cs="Times New Roman"/>
                <w:szCs w:val="21"/>
              </w:rPr>
            </w:pPr>
          </w:p>
        </w:tc>
      </w:tr>
      <w:tr w14:paraId="1C901DFF">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14:paraId="3768DD71">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14:paraId="04872F69">
            <w:pPr>
              <w:tabs>
                <w:tab w:val="left" w:pos="5580"/>
              </w:tabs>
              <w:adjustRightInd w:val="0"/>
              <w:snapToGrid w:val="0"/>
              <w:spacing w:line="360" w:lineRule="auto"/>
              <w:jc w:val="center"/>
              <w:rPr>
                <w:rFonts w:ascii="华文楷体" w:eastAsia="华文楷体" w:hAnsi="华文楷体" w:cs="Times New Roman"/>
                <w:szCs w:val="21"/>
              </w:rPr>
            </w:pPr>
          </w:p>
        </w:tc>
      </w:tr>
    </w:tbl>
    <w:p w14:paraId="364599A4">
      <w:pPr>
        <w:adjustRightInd w:val="0"/>
        <w:snapToGrid w:val="0"/>
        <w:spacing w:line="360" w:lineRule="auto"/>
        <w:rPr>
          <w:rFonts w:ascii="华文楷体" w:eastAsia="华文楷体" w:hAnsi="华文楷体" w:cs="Times New Roman"/>
          <w:szCs w:val="21"/>
        </w:rPr>
      </w:pPr>
    </w:p>
    <w:p w14:paraId="6B96E8D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31B82C5B">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44A12F1">
      <w:pPr>
        <w:tabs>
          <w:tab w:val="left" w:pos="5580"/>
        </w:tabs>
        <w:adjustRightInd w:val="0"/>
        <w:snapToGrid w:val="0"/>
        <w:spacing w:line="360" w:lineRule="auto"/>
        <w:jc w:val="left"/>
        <w:rPr>
          <w:rFonts w:ascii="华文楷体" w:eastAsia="华文楷体" w:hAnsi="华文楷体" w:cs="Times New Roman"/>
          <w:szCs w:val="21"/>
        </w:rPr>
      </w:pPr>
    </w:p>
    <w:p w14:paraId="6526A05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3C77800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3955F81C">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28AB762D">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365D6344">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352ABD35">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2.16分项报价表</w:t>
      </w:r>
    </w:p>
    <w:p w14:paraId="6CB7977F">
      <w:pPr>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说明：1、采购内容不含货物购置的不提供表二。表一、二总价之和应等于开标一览表投标总价。</w:t>
      </w:r>
    </w:p>
    <w:p w14:paraId="687C69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如果不提供分项报价将视为没有实质性响应招标文件，投标人认为分项报价表格式不符合自身要求，格式可以自拟。</w:t>
      </w:r>
    </w:p>
    <w:p w14:paraId="6473C6E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3.投标人如认为还有需要提供的内容可另列表说明，格式自拟。</w:t>
      </w:r>
    </w:p>
    <w:p w14:paraId="60BB9644">
      <w:pPr>
        <w:adjustRightInd w:val="0"/>
        <w:snapToGrid w:val="0"/>
        <w:spacing w:line="360" w:lineRule="auto"/>
        <w:ind w:firstLine="420" w:firstLineChars="200"/>
        <w:rPr>
          <w:rFonts w:ascii="Times New Roman" w:eastAsia="宋体" w:hAnsi="Times New Roman" w:cs="Times New Roman" w:hint="eastAsia"/>
          <w:b/>
          <w:szCs w:val="20"/>
        </w:rPr>
      </w:pPr>
    </w:p>
    <w:p w14:paraId="0A1D3893">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表一、分项报价表——服务内容</w:t>
      </w:r>
    </w:p>
    <w:p w14:paraId="33220D26">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6A05670">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14:paraId="0D917519">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14:paraId="61063BB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14:paraId="1D62449E">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14:paraId="24FBF79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14:paraId="1529673A">
            <w:pPr>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14:paraId="584DB60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F4EB95B">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1BCA66DB">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17167039">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164862B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0E8C734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3FEA6E0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476E27B2">
            <w:pPr>
              <w:snapToGrid w:val="0"/>
              <w:spacing w:line="360" w:lineRule="auto"/>
              <w:rPr>
                <w:rFonts w:ascii="华文楷体" w:eastAsia="华文楷体" w:hAnsi="华文楷体" w:cs="Times New Roman"/>
                <w:szCs w:val="21"/>
              </w:rPr>
            </w:pPr>
          </w:p>
        </w:tc>
      </w:tr>
      <w:tr w14:paraId="15F55B2A">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0387DE5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5104145C">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3CB01F8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13952B0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23DA9AD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01079622">
            <w:pPr>
              <w:snapToGrid w:val="0"/>
              <w:spacing w:line="360" w:lineRule="auto"/>
              <w:rPr>
                <w:rFonts w:ascii="华文楷体" w:eastAsia="华文楷体" w:hAnsi="华文楷体" w:cs="Times New Roman"/>
                <w:szCs w:val="21"/>
              </w:rPr>
            </w:pPr>
          </w:p>
        </w:tc>
      </w:tr>
      <w:tr w14:paraId="7F3499A6">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770B6A6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35980E39">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0425693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138B827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13AE92E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0965E7C9">
            <w:pPr>
              <w:snapToGrid w:val="0"/>
              <w:spacing w:line="360" w:lineRule="auto"/>
              <w:rPr>
                <w:rFonts w:ascii="华文楷体" w:eastAsia="华文楷体" w:hAnsi="华文楷体" w:cs="Times New Roman"/>
                <w:szCs w:val="21"/>
              </w:rPr>
            </w:pPr>
          </w:p>
        </w:tc>
      </w:tr>
      <w:tr w14:paraId="438AACB3">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7AF882D8">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03A4D4C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6B73321D">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7EE1879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20CB66C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0B7FD49E">
            <w:pPr>
              <w:snapToGrid w:val="0"/>
              <w:spacing w:line="360" w:lineRule="auto"/>
              <w:rPr>
                <w:rFonts w:ascii="华文楷体" w:eastAsia="华文楷体" w:hAnsi="华文楷体" w:cs="Times New Roman"/>
                <w:szCs w:val="21"/>
              </w:rPr>
            </w:pPr>
          </w:p>
        </w:tc>
      </w:tr>
      <w:tr w14:paraId="2289544D">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1E31CAF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4F363F79">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5DD4030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6606E6B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15A7DBBD">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32ACCCC7">
            <w:pPr>
              <w:snapToGrid w:val="0"/>
              <w:spacing w:line="360" w:lineRule="auto"/>
              <w:rPr>
                <w:rFonts w:ascii="华文楷体" w:eastAsia="华文楷体" w:hAnsi="华文楷体" w:cs="Times New Roman"/>
                <w:szCs w:val="21"/>
              </w:rPr>
            </w:pPr>
          </w:p>
        </w:tc>
      </w:tr>
      <w:tr w14:paraId="7FB50FC8">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14:paraId="1A5BFF6A">
            <w:pPr>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14:paraId="618ECC1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6734548A">
      <w:pPr>
        <w:adjustRightInd w:val="0"/>
        <w:snapToGrid w:val="0"/>
        <w:spacing w:line="360" w:lineRule="auto"/>
        <w:rPr>
          <w:rFonts w:ascii="华文楷体" w:eastAsia="华文楷体" w:hAnsi="华文楷体" w:cs="Times New Roman" w:hint="eastAsia"/>
          <w:b/>
          <w:szCs w:val="21"/>
        </w:rPr>
      </w:pPr>
    </w:p>
    <w:p w14:paraId="0F64C103">
      <w:pPr>
        <w:adjustRightInd w:val="0"/>
        <w:snapToGrid w:val="0"/>
        <w:spacing w:line="360" w:lineRule="auto"/>
        <w:rPr>
          <w:rFonts w:ascii="华文楷体" w:eastAsia="华文楷体" w:hAnsi="华文楷体" w:cs="Times New Roman" w:hint="eastAsia"/>
          <w:b/>
          <w:szCs w:val="21"/>
        </w:rPr>
      </w:pPr>
    </w:p>
    <w:p w14:paraId="2FE0C1B9">
      <w:pPr>
        <w:adjustRightInd w:val="0"/>
        <w:snapToGrid w:val="0"/>
        <w:spacing w:line="360" w:lineRule="auto"/>
        <w:rPr>
          <w:rFonts w:ascii="华文楷体" w:eastAsia="华文楷体" w:hAnsi="华文楷体" w:cs="Times New Roman" w:hint="eastAsia"/>
          <w:b/>
          <w:szCs w:val="21"/>
        </w:rPr>
      </w:pPr>
    </w:p>
    <w:p w14:paraId="6B4F9869">
      <w:pPr>
        <w:adjustRightInd w:val="0"/>
        <w:snapToGrid w:val="0"/>
        <w:spacing w:line="360" w:lineRule="auto"/>
        <w:rPr>
          <w:rFonts w:ascii="华文楷体" w:eastAsia="华文楷体" w:hAnsi="华文楷体" w:cs="Times New Roman" w:hint="eastAsia"/>
          <w:b/>
          <w:szCs w:val="21"/>
        </w:rPr>
      </w:pPr>
    </w:p>
    <w:p w14:paraId="1889FCCB">
      <w:pPr>
        <w:adjustRightInd w:val="0"/>
        <w:snapToGrid w:val="0"/>
        <w:spacing w:line="360" w:lineRule="auto"/>
        <w:rPr>
          <w:rFonts w:ascii="华文楷体" w:eastAsia="华文楷体" w:hAnsi="华文楷体" w:cs="Times New Roman" w:hint="eastAsia"/>
          <w:b/>
          <w:szCs w:val="21"/>
        </w:rPr>
      </w:pPr>
    </w:p>
    <w:p w14:paraId="399DC163">
      <w:pPr>
        <w:adjustRightInd w:val="0"/>
        <w:snapToGrid w:val="0"/>
        <w:spacing w:line="360" w:lineRule="auto"/>
        <w:rPr>
          <w:rFonts w:ascii="华文楷体" w:eastAsia="华文楷体" w:hAnsi="华文楷体" w:cs="Times New Roman" w:hint="eastAsia"/>
          <w:b/>
          <w:szCs w:val="21"/>
        </w:rPr>
      </w:pPr>
    </w:p>
    <w:p w14:paraId="4FD67B35">
      <w:pPr>
        <w:adjustRightInd w:val="0"/>
        <w:snapToGrid w:val="0"/>
        <w:spacing w:line="360" w:lineRule="auto"/>
        <w:rPr>
          <w:rFonts w:ascii="华文楷体" w:eastAsia="华文楷体" w:hAnsi="华文楷体" w:cs="Times New Roman" w:hint="eastAsia"/>
          <w:b/>
          <w:szCs w:val="21"/>
        </w:rPr>
      </w:pPr>
    </w:p>
    <w:p w14:paraId="7210B92B">
      <w:pPr>
        <w:adjustRightInd w:val="0"/>
        <w:snapToGrid w:val="0"/>
        <w:spacing w:line="360" w:lineRule="auto"/>
        <w:rPr>
          <w:rFonts w:ascii="华文楷体" w:eastAsia="华文楷体" w:hAnsi="华文楷体" w:cs="Times New Roman" w:hint="eastAsia"/>
          <w:b/>
          <w:szCs w:val="21"/>
        </w:rPr>
      </w:pPr>
    </w:p>
    <w:p w14:paraId="34C48DF8">
      <w:pPr>
        <w:adjustRightInd w:val="0"/>
        <w:snapToGrid w:val="0"/>
        <w:spacing w:line="360" w:lineRule="auto"/>
        <w:jc w:val="center"/>
        <w:rPr>
          <w:rFonts w:ascii="华文楷体" w:eastAsia="华文楷体" w:hAnsi="华文楷体" w:cs="Times New Roman" w:hint="eastAsia"/>
          <w:b/>
          <w:szCs w:val="21"/>
        </w:rPr>
      </w:pPr>
    </w:p>
    <w:p w14:paraId="0A66F11F">
      <w:pPr>
        <w:adjustRightInd w:val="0"/>
        <w:snapToGrid w:val="0"/>
        <w:spacing w:line="360" w:lineRule="auto"/>
        <w:jc w:val="center"/>
        <w:rPr>
          <w:rFonts w:ascii="华文楷体" w:eastAsia="华文楷体" w:hAnsi="华文楷体" w:cs="Times New Roman" w:hint="eastAsia"/>
          <w:b/>
          <w:szCs w:val="21"/>
        </w:rPr>
      </w:pPr>
    </w:p>
    <w:p w14:paraId="644BA249">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表二、分项报价表——货物购置</w:t>
      </w:r>
    </w:p>
    <w:p w14:paraId="6A0D308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20"/>
        <w:gridCol w:w="944"/>
        <w:gridCol w:w="1883"/>
        <w:gridCol w:w="565"/>
        <w:gridCol w:w="1696"/>
        <w:gridCol w:w="2263"/>
        <w:gridCol w:w="1132"/>
      </w:tblGrid>
      <w:tr w14:paraId="52E6679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14:paraId="570974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14:paraId="6ED1085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14:paraId="1783403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14:paraId="5C3E96D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14:paraId="5C04416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51ED56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14:paraId="4AA08AD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14:paraId="2EDD5BD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00E25487">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14:paraId="25810DDF">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14:paraId="34103D4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14:paraId="2BDD1E3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14:paraId="5A7D694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14:paraId="40E67747">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14:paraId="4AEBCA5C">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14:paraId="49BF872E">
            <w:pPr>
              <w:adjustRightInd w:val="0"/>
              <w:snapToGrid w:val="0"/>
              <w:spacing w:line="360" w:lineRule="auto"/>
              <w:jc w:val="left"/>
              <w:rPr>
                <w:rFonts w:ascii="华文楷体" w:eastAsia="华文楷体" w:hAnsi="华文楷体" w:cs="Times New Roman"/>
                <w:szCs w:val="21"/>
              </w:rPr>
            </w:pPr>
          </w:p>
        </w:tc>
      </w:tr>
      <w:tr w14:paraId="7F2E96C0">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14:paraId="51926EF5">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14:paraId="146F627A">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14:paraId="482EC7C4">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14:paraId="53A1AE6A">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14:paraId="20764A53">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14:paraId="649819F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14:paraId="40365F22">
            <w:pPr>
              <w:adjustRightInd w:val="0"/>
              <w:snapToGrid w:val="0"/>
              <w:spacing w:line="360" w:lineRule="auto"/>
              <w:jc w:val="left"/>
              <w:rPr>
                <w:rFonts w:ascii="华文楷体" w:eastAsia="华文楷体" w:hAnsi="华文楷体" w:cs="Times New Roman"/>
                <w:szCs w:val="21"/>
              </w:rPr>
            </w:pPr>
          </w:p>
        </w:tc>
      </w:tr>
      <w:tr w14:paraId="3168646A">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14:paraId="27C7CDE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14:paraId="6B11B0E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14:paraId="474181BB">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14:paraId="36A5450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14:paraId="53BAA6C8">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14:paraId="20350BEB">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14:paraId="4767CFAD">
            <w:pPr>
              <w:adjustRightInd w:val="0"/>
              <w:snapToGrid w:val="0"/>
              <w:spacing w:line="360" w:lineRule="auto"/>
              <w:jc w:val="left"/>
              <w:rPr>
                <w:rFonts w:ascii="华文楷体" w:eastAsia="华文楷体" w:hAnsi="华文楷体" w:cs="Times New Roman"/>
                <w:szCs w:val="21"/>
              </w:rPr>
            </w:pPr>
          </w:p>
        </w:tc>
      </w:tr>
      <w:tr w14:paraId="430C6565">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14:paraId="54E7F14B">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14:paraId="181BFC9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14:paraId="6C7B3BC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14:paraId="4341ECFE">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14:paraId="43E60B3C">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14:paraId="2D68A7DF">
            <w:pPr>
              <w:adjustRightInd w:val="0"/>
              <w:snapToGrid w:val="0"/>
              <w:spacing w:line="360" w:lineRule="auto"/>
              <w:jc w:val="left"/>
              <w:rPr>
                <w:rFonts w:ascii="华文楷体" w:eastAsia="华文楷体" w:hAnsi="华文楷体" w:cs="Times New Roman"/>
                <w:szCs w:val="21"/>
              </w:rPr>
            </w:pPr>
          </w:p>
        </w:tc>
      </w:tr>
      <w:tr w14:paraId="04B99C53">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14:paraId="39051FC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14:paraId="28090AA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1FDDA49C">
      <w:pPr>
        <w:adjustRightInd w:val="0"/>
        <w:snapToGrid w:val="0"/>
        <w:spacing w:line="360" w:lineRule="auto"/>
        <w:ind w:firstLine="420"/>
        <w:outlineLvl w:val="9"/>
        <w:rPr>
          <w:rFonts w:ascii="宋体" w:eastAsia="宋体" w:hAnsi="宋体" w:cs="Times New Roman"/>
          <w:b/>
          <w:szCs w:val="21"/>
        </w:rPr>
      </w:pPr>
    </w:p>
    <w:p w14:paraId="7ACE0C13">
      <w:pPr>
        <w:adjustRightInd w:val="0"/>
        <w:snapToGrid w:val="0"/>
        <w:spacing w:line="360" w:lineRule="auto"/>
        <w:ind w:firstLine="420"/>
        <w:outlineLvl w:val="9"/>
        <w:rPr>
          <w:rFonts w:ascii="宋体" w:eastAsia="宋体" w:hAnsi="宋体" w:cs="Times New Roman"/>
          <w:b/>
          <w:szCs w:val="21"/>
        </w:rPr>
      </w:pPr>
    </w:p>
    <w:p w14:paraId="2D0D7A65"/>
    <w:p w14:paraId="355EB495">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14:paraId="32D95BAA">
      <w:pPr>
        <w:adjustRightInd w:val="0"/>
        <w:snapToGrid w:val="0"/>
        <w:spacing w:line="360" w:lineRule="auto"/>
        <w:jc w:val="left"/>
        <w:rPr>
          <w:rFonts w:ascii="宋体" w:eastAsia="宋体" w:hAnsi="宋体" w:cs="Times New Roman" w:hint="eastAsia"/>
          <w:b/>
          <w:szCs w:val="21"/>
        </w:rPr>
      </w:pPr>
    </w:p>
    <w:p w14:paraId="46C742A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499039A7">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0592C44B">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14:paraId="2A841E9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14:paraId="107866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14:paraId="6BF780F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14:paraId="1C7492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14:paraId="459017B4">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14:paraId="7DFF3C3D">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14:paraId="00BC2FCD">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14:paraId="7830CCDF">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14:paraId="12CF7EA6">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14:paraId="616D9366">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14:paraId="0D7494AA">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14:paraId="7A4CE77B">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14:paraId="000DD89A">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14:paraId="76AD7FF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14:paraId="1731579F">
            <w:pPr>
              <w:adjustRightInd w:val="0"/>
              <w:snapToGrid w:val="0"/>
              <w:spacing w:line="360" w:lineRule="auto"/>
              <w:jc w:val="left"/>
              <w:rPr>
                <w:rFonts w:ascii="华文楷体" w:eastAsia="华文楷体" w:hAnsi="华文楷体" w:cs="Times New Roman"/>
                <w:szCs w:val="21"/>
              </w:rPr>
            </w:pPr>
          </w:p>
        </w:tc>
      </w:tr>
      <w:tr w14:paraId="1AFA36E5">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14:paraId="0A7FECD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14:paraId="0A1AD55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14:paraId="28B6309E">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14:paraId="66D2FE1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14:paraId="75E314A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14:paraId="524CAAC5">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14:paraId="0D0DBEF4">
            <w:pPr>
              <w:adjustRightInd w:val="0"/>
              <w:snapToGrid w:val="0"/>
              <w:spacing w:line="360" w:lineRule="auto"/>
              <w:jc w:val="left"/>
              <w:rPr>
                <w:rFonts w:ascii="华文楷体" w:eastAsia="华文楷体" w:hAnsi="华文楷体" w:cs="Times New Roman"/>
                <w:szCs w:val="21"/>
              </w:rPr>
            </w:pPr>
          </w:p>
        </w:tc>
      </w:tr>
      <w:tr w14:paraId="1B7B2F53">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14:paraId="4E3A84D1">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14:paraId="06FD3AA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14:paraId="2AA67B2F">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14:paraId="1D958900">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14:paraId="492BCEA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14:paraId="1AB69BC3">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14:paraId="11F2AE84">
            <w:pPr>
              <w:adjustRightInd w:val="0"/>
              <w:snapToGrid w:val="0"/>
              <w:spacing w:line="360" w:lineRule="auto"/>
              <w:jc w:val="left"/>
              <w:rPr>
                <w:rFonts w:ascii="华文楷体" w:eastAsia="华文楷体" w:hAnsi="华文楷体" w:cs="Times New Roman"/>
                <w:szCs w:val="21"/>
              </w:rPr>
            </w:pPr>
          </w:p>
        </w:tc>
      </w:tr>
    </w:tbl>
    <w:p w14:paraId="4DC08C04">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14:paraId="02839A60">
      <w:pPr>
        <w:adjustRightInd w:val="0"/>
        <w:snapToGrid w:val="0"/>
        <w:spacing w:line="360" w:lineRule="auto"/>
        <w:jc w:val="left"/>
        <w:rPr>
          <w:rFonts w:ascii="宋体" w:eastAsia="宋体" w:hAnsi="宋体" w:cs="Times New Roman" w:hint="eastAsia"/>
          <w:b/>
          <w:szCs w:val="21"/>
        </w:rPr>
      </w:pPr>
    </w:p>
    <w:p w14:paraId="62E8E3D5">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14:paraId="084CF7B2">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811"/>
        <w:gridCol w:w="1415"/>
        <w:gridCol w:w="1134"/>
        <w:gridCol w:w="711"/>
        <w:gridCol w:w="565"/>
        <w:gridCol w:w="1136"/>
        <w:gridCol w:w="851"/>
        <w:gridCol w:w="1380"/>
      </w:tblGrid>
      <w:tr w14:paraId="1F1EB62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14:paraId="00AC7E7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14:paraId="64B4A75C">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14:paraId="6120401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14:paraId="7259D360">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14:paraId="4D4107F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14:paraId="3CB67E5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3B1CB48C">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14:paraId="5FBCA24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14:paraId="13B6EBC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14:paraId="1C89B69F">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14:paraId="0C20497D">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01ECE24">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14:paraId="6A9F05E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14:paraId="4B697A0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14:paraId="5153A80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14:paraId="1AAA8279">
            <w:pPr>
              <w:adjustRightInd w:val="0"/>
              <w:snapToGrid w:val="0"/>
              <w:jc w:val="center"/>
              <w:rPr>
                <w:rFonts w:ascii="华文楷体" w:eastAsia="华文楷体" w:hAnsi="华文楷体" w:cs="Times New Roman"/>
                <w:szCs w:val="21"/>
              </w:rPr>
            </w:pPr>
          </w:p>
        </w:tc>
      </w:tr>
      <w:tr w14:paraId="1D97BA38">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14:paraId="6CF7ED2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14:paraId="5BDC27C9">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14:paraId="23F4B3A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14:paraId="19A323ED">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6F74D24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14:paraId="065D02C9">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7A72F2CE">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14:paraId="5F47CA3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14:paraId="700D55C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14:paraId="5D9C0D1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14:paraId="5952F0A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0BC1577F">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14:paraId="524D87AB">
            <w:pPr>
              <w:adjustRightInd w:val="0"/>
              <w:snapToGrid w:val="0"/>
              <w:jc w:val="center"/>
              <w:rPr>
                <w:rFonts w:ascii="华文楷体" w:eastAsia="华文楷体" w:hAnsi="华文楷体" w:cs="Times New Roman" w:hint="eastAsia"/>
                <w:szCs w:val="21"/>
              </w:rPr>
            </w:pPr>
          </w:p>
          <w:p w14:paraId="1B0C414C">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14:paraId="6F42AC8D">
            <w:pPr>
              <w:adjustRightInd w:val="0"/>
              <w:snapToGrid w:val="0"/>
              <w:jc w:val="center"/>
              <w:rPr>
                <w:rFonts w:ascii="华文楷体" w:eastAsia="华文楷体" w:hAnsi="华文楷体" w:cs="Times New Roman" w:hint="eastAsia"/>
                <w:szCs w:val="21"/>
              </w:rPr>
            </w:pPr>
          </w:p>
          <w:p w14:paraId="202D153C">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14:paraId="4E28C072">
            <w:pPr>
              <w:adjustRightInd w:val="0"/>
              <w:snapToGrid w:val="0"/>
              <w:jc w:val="center"/>
              <w:rPr>
                <w:rFonts w:ascii="华文楷体" w:eastAsia="华文楷体" w:hAnsi="华文楷体" w:cs="Times New Roman" w:hint="eastAsia"/>
                <w:szCs w:val="21"/>
              </w:rPr>
            </w:pPr>
          </w:p>
          <w:p w14:paraId="22AE1480">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14:paraId="3155623C">
            <w:pPr>
              <w:adjustRightInd w:val="0"/>
              <w:snapToGrid w:val="0"/>
              <w:jc w:val="center"/>
              <w:rPr>
                <w:rFonts w:ascii="华文楷体" w:eastAsia="华文楷体" w:hAnsi="华文楷体" w:cs="Times New Roman" w:hint="eastAsia"/>
                <w:szCs w:val="21"/>
              </w:rPr>
            </w:pPr>
          </w:p>
          <w:p w14:paraId="43B8C675">
            <w:pPr>
              <w:adjustRightInd w:val="0"/>
              <w:snapToGrid w:val="0"/>
              <w:jc w:val="center"/>
              <w:rPr>
                <w:rFonts w:ascii="华文楷体" w:eastAsia="华文楷体" w:hAnsi="华文楷体" w:cs="Times New Roman"/>
                <w:szCs w:val="21"/>
              </w:rPr>
            </w:pPr>
          </w:p>
        </w:tc>
      </w:tr>
    </w:tbl>
    <w:p w14:paraId="497B396F">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386FB57B">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14:paraId="51D5AD6B"/>
    <w:p w14:paraId="7A254444">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14:paraId="6568674C">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14:paraId="6052F71D">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221BF351">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14:paraId="658E299E">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14:paraId="4A15E38E">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14:paraId="2B3FC82F">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14:paraId="1C8FA9CF">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14:paraId="7FC074F0">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14:paraId="732549A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14:paraId="5D85DBF4">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14:paraId="2D735FA1">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14:paraId="1A2BF0F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14:paraId="77658E4E">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14:paraId="43DBA59B">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14:paraId="4B7CA14C">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14:paraId="1868D8FF">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14:paraId="15A255C9">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14:paraId="05C4A755">
            <w:pPr>
              <w:adjustRightInd w:val="0"/>
              <w:snapToGrid w:val="0"/>
              <w:spacing w:line="360" w:lineRule="auto"/>
              <w:jc w:val="left"/>
              <w:rPr>
                <w:rFonts w:ascii="华文楷体" w:eastAsia="华文楷体" w:hAnsi="华文楷体"/>
                <w:szCs w:val="21"/>
              </w:rPr>
            </w:pPr>
          </w:p>
        </w:tc>
      </w:tr>
      <w:tr w14:paraId="0AA67AC6">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14:paraId="60448545">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14:paraId="7E9DD64D">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14:paraId="19AC980D">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14:paraId="3E5CBE1E">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14:paraId="6303685B">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14:paraId="31617E50">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14:paraId="109BD835">
            <w:pPr>
              <w:adjustRightInd w:val="0"/>
              <w:snapToGrid w:val="0"/>
              <w:spacing w:line="360" w:lineRule="auto"/>
              <w:jc w:val="left"/>
              <w:rPr>
                <w:rFonts w:ascii="华文楷体" w:eastAsia="华文楷体" w:hAnsi="华文楷体"/>
                <w:szCs w:val="21"/>
              </w:rPr>
            </w:pPr>
          </w:p>
        </w:tc>
      </w:tr>
      <w:tr w14:paraId="2DAAE6DB">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14:paraId="0B9D783E">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14:paraId="472C8592">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14:paraId="305BF263">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14:paraId="1BA66707">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14:paraId="55FABEBE">
            <w:pPr>
              <w:adjustRightInd w:val="0"/>
              <w:snapToGrid w:val="0"/>
              <w:spacing w:line="360" w:lineRule="auto"/>
              <w:jc w:val="left"/>
              <w:rPr>
                <w:rFonts w:ascii="华文楷体" w:eastAsia="华文楷体" w:hAnsi="华文楷体"/>
                <w:szCs w:val="21"/>
              </w:rPr>
            </w:pPr>
          </w:p>
        </w:tc>
      </w:tr>
    </w:tbl>
    <w:p w14:paraId="15878ECC">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39F11EE4">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14:paraId="21BCDFB5">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14:paraId="673357F3">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14:paraId="2CE01234">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14:paraId="79C0DC33">
      <w:pPr>
        <w:tabs>
          <w:tab w:val="left" w:pos="1260"/>
        </w:tabs>
        <w:adjustRightInd w:val="0"/>
        <w:snapToGrid w:val="0"/>
        <w:spacing w:line="360" w:lineRule="auto"/>
        <w:ind w:firstLine="420" w:firstLineChars="200"/>
        <w:rPr>
          <w:rFonts w:ascii="华文楷体" w:eastAsia="华文楷体" w:hAnsi="华文楷体" w:cs="Times New Roman"/>
          <w:szCs w:val="21"/>
        </w:rPr>
      </w:pPr>
    </w:p>
    <w:p w14:paraId="438711EE"/>
    <w:p w14:paraId="26279DA2">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14:paraId="446C804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73"/>
        <w:gridCol w:w="1419"/>
        <w:gridCol w:w="1702"/>
        <w:gridCol w:w="1984"/>
        <w:gridCol w:w="1471"/>
        <w:gridCol w:w="1754"/>
      </w:tblGrid>
      <w:tr w14:paraId="139E764B">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14:paraId="49809F6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14:paraId="6DBD002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14:paraId="1FFD2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14:paraId="2EA3981E">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14:paraId="6037ED3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14:paraId="0558211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6B2093A1">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7B9B961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14:paraId="00F4669A">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14:paraId="5941F873">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14:paraId="452BB2A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14:paraId="2439A06C">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17931062">
            <w:pPr>
              <w:adjustRightInd w:val="0"/>
              <w:snapToGrid w:val="0"/>
              <w:spacing w:line="360" w:lineRule="auto"/>
              <w:jc w:val="center"/>
              <w:rPr>
                <w:rFonts w:ascii="华文楷体" w:eastAsia="华文楷体" w:hAnsi="华文楷体" w:cs="Times New Roman"/>
                <w:szCs w:val="21"/>
              </w:rPr>
            </w:pPr>
          </w:p>
        </w:tc>
      </w:tr>
      <w:tr w14:paraId="23183D43">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7C72BC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14:paraId="0D65B544">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14:paraId="3575FD99">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14:paraId="725C63C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14:paraId="43C45172">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647C5F52">
            <w:pPr>
              <w:adjustRightInd w:val="0"/>
              <w:snapToGrid w:val="0"/>
              <w:spacing w:line="360" w:lineRule="auto"/>
              <w:jc w:val="center"/>
              <w:rPr>
                <w:rFonts w:ascii="华文楷体" w:eastAsia="华文楷体" w:hAnsi="华文楷体" w:cs="Times New Roman"/>
                <w:szCs w:val="21"/>
              </w:rPr>
            </w:pPr>
          </w:p>
        </w:tc>
      </w:tr>
      <w:tr w14:paraId="7280E99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58A7651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14:paraId="13534FD4">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14:paraId="3620A2B0">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14:paraId="11E9A334">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14:paraId="164F9C5C">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7A60A887">
            <w:pPr>
              <w:adjustRightInd w:val="0"/>
              <w:snapToGrid w:val="0"/>
              <w:spacing w:line="360" w:lineRule="auto"/>
              <w:jc w:val="center"/>
              <w:rPr>
                <w:rFonts w:ascii="华文楷体" w:eastAsia="华文楷体" w:hAnsi="华文楷体" w:cs="Times New Roman"/>
                <w:szCs w:val="21"/>
              </w:rPr>
            </w:pPr>
          </w:p>
        </w:tc>
      </w:tr>
      <w:tr w14:paraId="4C7E2CF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3C268A1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14:paraId="3E90829D">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14:paraId="65EA87E3">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14:paraId="20F70DC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14:paraId="69DCF160">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1BAC5C7B">
            <w:pPr>
              <w:adjustRightInd w:val="0"/>
              <w:snapToGrid w:val="0"/>
              <w:spacing w:line="360" w:lineRule="auto"/>
              <w:jc w:val="center"/>
              <w:rPr>
                <w:rFonts w:ascii="华文楷体" w:eastAsia="华文楷体" w:hAnsi="华文楷体" w:cs="Times New Roman"/>
                <w:szCs w:val="21"/>
              </w:rPr>
            </w:pPr>
          </w:p>
        </w:tc>
      </w:tr>
    </w:tbl>
    <w:p w14:paraId="08FE781A">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14:paraId="662C979D">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73"/>
        <w:gridCol w:w="1134"/>
        <w:gridCol w:w="1136"/>
        <w:gridCol w:w="1417"/>
        <w:gridCol w:w="2888"/>
        <w:gridCol w:w="1755"/>
      </w:tblGrid>
      <w:tr w14:paraId="4CC25FF2">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14:paraId="3E83F67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14:paraId="384972B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14:paraId="70D89F6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14:paraId="7AE57DDA">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14:paraId="5432962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14:paraId="36C3BD0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C16E49">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2B56117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14:paraId="08B80AF4">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14:paraId="33CB7797">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14:paraId="77546E1D">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14:paraId="4418C3EE">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35730F3B">
            <w:pPr>
              <w:adjustRightInd w:val="0"/>
              <w:snapToGrid w:val="0"/>
              <w:spacing w:line="360" w:lineRule="auto"/>
              <w:jc w:val="center"/>
              <w:rPr>
                <w:rFonts w:ascii="华文楷体" w:eastAsia="华文楷体" w:hAnsi="华文楷体" w:cs="Times New Roman"/>
                <w:szCs w:val="21"/>
              </w:rPr>
            </w:pPr>
          </w:p>
        </w:tc>
      </w:tr>
      <w:tr w14:paraId="6FCAAA18">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74FF09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14:paraId="75CFA3F0">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14:paraId="073C805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14:paraId="7C2A8BC0">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14:paraId="4F7BA813">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35A44697">
            <w:pPr>
              <w:adjustRightInd w:val="0"/>
              <w:snapToGrid w:val="0"/>
              <w:spacing w:line="360" w:lineRule="auto"/>
              <w:jc w:val="center"/>
              <w:rPr>
                <w:rFonts w:ascii="华文楷体" w:eastAsia="华文楷体" w:hAnsi="华文楷体" w:cs="Times New Roman"/>
                <w:szCs w:val="21"/>
              </w:rPr>
            </w:pPr>
          </w:p>
        </w:tc>
      </w:tr>
      <w:tr w14:paraId="5D5257F6">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304BFD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14:paraId="3D88F1F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14:paraId="7C6D01D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14:paraId="5DE8D038">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14:paraId="7BCA21EC">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102237AF">
            <w:pPr>
              <w:adjustRightInd w:val="0"/>
              <w:snapToGrid w:val="0"/>
              <w:spacing w:line="360" w:lineRule="auto"/>
              <w:jc w:val="center"/>
              <w:rPr>
                <w:rFonts w:ascii="华文楷体" w:eastAsia="华文楷体" w:hAnsi="华文楷体" w:cs="Times New Roman"/>
                <w:szCs w:val="21"/>
              </w:rPr>
            </w:pPr>
          </w:p>
        </w:tc>
      </w:tr>
      <w:tr w14:paraId="26718FB3">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515C5D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14:paraId="5E1A26F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14:paraId="6B71A97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14:paraId="0064CA82">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14:paraId="3623B47C">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69FE964D">
            <w:pPr>
              <w:adjustRightInd w:val="0"/>
              <w:snapToGrid w:val="0"/>
              <w:spacing w:line="360" w:lineRule="auto"/>
              <w:jc w:val="center"/>
              <w:rPr>
                <w:rFonts w:ascii="华文楷体" w:eastAsia="华文楷体" w:hAnsi="华文楷体" w:cs="Times New Roman"/>
                <w:szCs w:val="21"/>
              </w:rPr>
            </w:pPr>
          </w:p>
        </w:tc>
      </w:tr>
    </w:tbl>
    <w:p w14:paraId="7EE1E032">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14:paraId="346B31E8">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08132411"/>
    <w:p w14:paraId="54288E53">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14:paraId="04D0780D">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14:paraId="50C1D30F">
      <w:pPr>
        <w:adjustRightInd w:val="0"/>
        <w:snapToGrid w:val="0"/>
        <w:spacing w:line="360" w:lineRule="auto"/>
        <w:ind w:firstLine="420" w:firstLineChars="200"/>
        <w:rPr>
          <w:rFonts w:ascii="宋体" w:eastAsia="宋体" w:hAnsi="宋体" w:cs="Times New Roman"/>
          <w:szCs w:val="20"/>
        </w:rPr>
      </w:pP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14:paraId="712E1A11">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14:paraId="7A7464AE">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14:paraId="27F0C8E5"/>
    <w:p w14:paraId="14918FE9">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14:paraId="770A99FB">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0CC4ED57">
      <w:pPr>
        <w:adjustRightInd w:val="0"/>
        <w:snapToGrid w:val="0"/>
        <w:spacing w:line="360" w:lineRule="auto"/>
        <w:ind w:firstLine="412" w:firstLineChars="196"/>
        <w:rPr>
          <w:rFonts w:ascii="宋体" w:eastAsia="宋体" w:hAnsi="宋体" w:cs="Times New Roman"/>
          <w:szCs w:val="20"/>
        </w:rPr>
      </w:pPr>
    </w:p>
    <w:p w14:paraId="0134167B"/>
    <w:p w14:paraId="68983558"/>
    <w:bookmarkEnd w:id="18"/>
    <w:p w14:paraId="4471D599">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p>
    <w:p w14:paraId="3165C64D">
      <w:pPr>
        <w:adjustRightInd w:val="0"/>
        <w:snapToGrid w:val="0"/>
        <w:spacing w:line="360" w:lineRule="auto"/>
        <w:ind w:firstLine="588" w:firstLineChars="196"/>
        <w:jc w:val="center"/>
        <w:rPr>
          <w:b/>
          <w:bCs/>
          <w:sz w:val="30"/>
          <w:szCs w:val="30"/>
          <w:highlight w:val="none"/>
        </w:rPr>
      </w:pPr>
      <w:r>
        <w:rPr>
          <w:rFonts w:hint="eastAsia"/>
          <w:b/>
          <w:bCs/>
          <w:sz w:val="30"/>
          <w:szCs w:val="30"/>
          <w:highlight w:val="none"/>
        </w:rPr>
        <w:t>第三章  投标被拒绝条款通用部分</w:t>
      </w:r>
    </w:p>
    <w:p w14:paraId="7C23EFB2">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51C2DAD6">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0D32B447">
            <w:pPr>
              <w:jc w:val="left"/>
              <w:rPr>
                <w:sz w:val="18"/>
                <w:szCs w:val="18"/>
                <w:highlight w:val="none"/>
              </w:rPr>
            </w:pPr>
            <w:r>
              <w:rPr>
                <w:rFonts w:hint="eastAsia"/>
                <w:sz w:val="18"/>
                <w:szCs w:val="18"/>
                <w:highlight w:val="none"/>
              </w:rPr>
              <w:t>序号</w:t>
            </w:r>
          </w:p>
        </w:tc>
        <w:tc>
          <w:tcPr>
            <w:tcW w:w="792" w:type="dxa"/>
            <w:vAlign w:val="center"/>
          </w:tcPr>
          <w:p w14:paraId="720A148C">
            <w:pPr>
              <w:jc w:val="center"/>
              <w:rPr>
                <w:sz w:val="18"/>
                <w:szCs w:val="18"/>
                <w:highlight w:val="none"/>
              </w:rPr>
            </w:pPr>
            <w:r>
              <w:rPr>
                <w:rFonts w:hint="eastAsia"/>
                <w:sz w:val="18"/>
                <w:szCs w:val="18"/>
                <w:highlight w:val="none"/>
              </w:rPr>
              <w:t>对应</w:t>
            </w:r>
          </w:p>
          <w:p w14:paraId="35108EE5">
            <w:pPr>
              <w:jc w:val="center"/>
              <w:rPr>
                <w:sz w:val="18"/>
                <w:szCs w:val="18"/>
                <w:highlight w:val="none"/>
              </w:rPr>
            </w:pPr>
            <w:r>
              <w:rPr>
                <w:rFonts w:hint="eastAsia"/>
                <w:sz w:val="18"/>
                <w:szCs w:val="18"/>
                <w:highlight w:val="none"/>
              </w:rPr>
              <w:t>条款号</w:t>
            </w:r>
          </w:p>
        </w:tc>
        <w:tc>
          <w:tcPr>
            <w:tcW w:w="7781" w:type="dxa"/>
            <w:gridSpan w:val="2"/>
            <w:vAlign w:val="center"/>
          </w:tcPr>
          <w:p w14:paraId="0C3A9DB9">
            <w:pPr>
              <w:jc w:val="center"/>
              <w:rPr>
                <w:sz w:val="18"/>
                <w:szCs w:val="18"/>
                <w:highlight w:val="none"/>
              </w:rPr>
            </w:pPr>
            <w:r>
              <w:rPr>
                <w:rFonts w:hint="eastAsia"/>
                <w:sz w:val="18"/>
                <w:szCs w:val="18"/>
                <w:highlight w:val="none"/>
              </w:rPr>
              <w:t>内 容</w:t>
            </w:r>
          </w:p>
        </w:tc>
      </w:tr>
      <w:tr w14:paraId="376DD0D1">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5957BF2C">
            <w:pPr>
              <w:jc w:val="center"/>
              <w:rPr>
                <w:b/>
                <w:sz w:val="18"/>
                <w:szCs w:val="18"/>
                <w:highlight w:val="none"/>
              </w:rPr>
            </w:pPr>
            <w:r>
              <w:rPr>
                <w:rFonts w:hint="eastAsia"/>
                <w:b/>
                <w:sz w:val="18"/>
                <w:szCs w:val="18"/>
                <w:highlight w:val="none"/>
              </w:rPr>
              <w:t>第一章 投标人须知通用部分</w:t>
            </w:r>
          </w:p>
        </w:tc>
      </w:tr>
      <w:tr w14:paraId="019035C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C23312">
            <w:pPr>
              <w:numPr>
                <w:ilvl w:val="0"/>
                <w:numId w:val="3"/>
              </w:numPr>
              <w:ind w:left="0" w:firstLine="0"/>
              <w:jc w:val="left"/>
              <w:rPr>
                <w:rFonts w:ascii="宋体" w:hAnsi="宋体"/>
                <w:sz w:val="18"/>
                <w:szCs w:val="18"/>
                <w:highlight w:val="none"/>
              </w:rPr>
            </w:pPr>
          </w:p>
        </w:tc>
        <w:tc>
          <w:tcPr>
            <w:tcW w:w="850" w:type="dxa"/>
            <w:gridSpan w:val="2"/>
            <w:vAlign w:val="center"/>
          </w:tcPr>
          <w:p w14:paraId="6818BD7D">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500B8241">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7648CC0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3ADBA99">
            <w:pPr>
              <w:numPr>
                <w:ilvl w:val="0"/>
                <w:numId w:val="3"/>
              </w:numPr>
              <w:ind w:left="0" w:firstLine="0"/>
              <w:jc w:val="left"/>
              <w:rPr>
                <w:rFonts w:ascii="宋体" w:hAnsi="宋体"/>
                <w:sz w:val="18"/>
                <w:szCs w:val="18"/>
                <w:highlight w:val="none"/>
              </w:rPr>
            </w:pPr>
          </w:p>
        </w:tc>
        <w:tc>
          <w:tcPr>
            <w:tcW w:w="850" w:type="dxa"/>
            <w:gridSpan w:val="2"/>
            <w:vAlign w:val="center"/>
          </w:tcPr>
          <w:p w14:paraId="2D3411D0">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41664036">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6E1C311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D8DAC02">
            <w:pPr>
              <w:numPr>
                <w:ilvl w:val="0"/>
                <w:numId w:val="3"/>
              </w:numPr>
              <w:ind w:left="0" w:firstLine="0"/>
              <w:jc w:val="left"/>
              <w:rPr>
                <w:rFonts w:ascii="宋体" w:hAnsi="宋体"/>
                <w:sz w:val="18"/>
                <w:szCs w:val="18"/>
                <w:highlight w:val="none"/>
              </w:rPr>
            </w:pPr>
          </w:p>
        </w:tc>
        <w:tc>
          <w:tcPr>
            <w:tcW w:w="850" w:type="dxa"/>
            <w:gridSpan w:val="2"/>
            <w:vAlign w:val="center"/>
          </w:tcPr>
          <w:p w14:paraId="6BD7B1BA">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627FB7F4">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5D4ACCF0">
            <w:pPr>
              <w:rPr>
                <w:rFonts w:ascii="宋体" w:hAnsi="宋体" w:hint="eastAsia"/>
                <w:sz w:val="18"/>
                <w:szCs w:val="18"/>
                <w:highlight w:val="none"/>
              </w:rPr>
            </w:pPr>
            <w:r>
              <w:rPr>
                <w:rFonts w:hint="eastAsia"/>
                <w:bCs/>
                <w:sz w:val="18"/>
                <w:szCs w:val="18"/>
                <w:highlight w:val="none"/>
              </w:rPr>
              <w:t>标将被拒绝。</w:t>
            </w:r>
          </w:p>
        </w:tc>
      </w:tr>
      <w:tr w14:paraId="3619687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E1A1A16">
            <w:pPr>
              <w:numPr>
                <w:ilvl w:val="0"/>
                <w:numId w:val="3"/>
              </w:numPr>
              <w:ind w:left="0" w:firstLine="0"/>
              <w:jc w:val="left"/>
              <w:rPr>
                <w:rFonts w:ascii="宋体" w:hAnsi="宋体"/>
                <w:sz w:val="18"/>
                <w:szCs w:val="18"/>
                <w:highlight w:val="none"/>
              </w:rPr>
            </w:pPr>
          </w:p>
        </w:tc>
        <w:tc>
          <w:tcPr>
            <w:tcW w:w="850" w:type="dxa"/>
            <w:gridSpan w:val="2"/>
            <w:vAlign w:val="center"/>
          </w:tcPr>
          <w:p w14:paraId="2B4D6052">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14:paraId="613980EA">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0167892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0106BAC">
            <w:pPr>
              <w:numPr>
                <w:ilvl w:val="0"/>
                <w:numId w:val="3"/>
              </w:numPr>
              <w:ind w:left="0" w:firstLine="0"/>
              <w:jc w:val="left"/>
              <w:rPr>
                <w:rFonts w:ascii="宋体" w:hAnsi="宋体"/>
                <w:sz w:val="18"/>
                <w:szCs w:val="18"/>
                <w:highlight w:val="none"/>
              </w:rPr>
            </w:pPr>
          </w:p>
        </w:tc>
        <w:tc>
          <w:tcPr>
            <w:tcW w:w="850" w:type="dxa"/>
            <w:gridSpan w:val="2"/>
            <w:vAlign w:val="center"/>
          </w:tcPr>
          <w:p w14:paraId="4A58FAB9">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3243EB37">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3244F9F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8CC1730">
            <w:pPr>
              <w:numPr>
                <w:ilvl w:val="0"/>
                <w:numId w:val="3"/>
              </w:numPr>
              <w:ind w:left="0" w:firstLine="0"/>
              <w:jc w:val="left"/>
              <w:rPr>
                <w:rFonts w:ascii="宋体" w:hAnsi="宋体"/>
                <w:sz w:val="18"/>
                <w:szCs w:val="18"/>
                <w:highlight w:val="none"/>
              </w:rPr>
            </w:pPr>
          </w:p>
        </w:tc>
        <w:tc>
          <w:tcPr>
            <w:tcW w:w="850" w:type="dxa"/>
            <w:gridSpan w:val="2"/>
            <w:vAlign w:val="center"/>
          </w:tcPr>
          <w:p w14:paraId="562BF545">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14:paraId="5C45D877">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603B61C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3A32E2C">
            <w:pPr>
              <w:numPr>
                <w:ilvl w:val="0"/>
                <w:numId w:val="3"/>
              </w:numPr>
              <w:ind w:left="0" w:firstLine="0"/>
              <w:jc w:val="left"/>
              <w:rPr>
                <w:rFonts w:ascii="宋体" w:hAnsi="宋体"/>
                <w:sz w:val="18"/>
                <w:szCs w:val="18"/>
                <w:highlight w:val="none"/>
              </w:rPr>
            </w:pPr>
          </w:p>
        </w:tc>
        <w:tc>
          <w:tcPr>
            <w:tcW w:w="850" w:type="dxa"/>
            <w:gridSpan w:val="2"/>
            <w:vAlign w:val="center"/>
          </w:tcPr>
          <w:p w14:paraId="670C16D2">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14:paraId="4DFCF045">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50D1916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71B4D7">
            <w:pPr>
              <w:numPr>
                <w:ilvl w:val="0"/>
                <w:numId w:val="3"/>
              </w:numPr>
              <w:ind w:left="0" w:firstLine="0"/>
              <w:jc w:val="left"/>
              <w:rPr>
                <w:rFonts w:ascii="宋体" w:hAnsi="宋体"/>
                <w:sz w:val="18"/>
                <w:szCs w:val="18"/>
                <w:highlight w:val="none"/>
              </w:rPr>
            </w:pPr>
          </w:p>
        </w:tc>
        <w:tc>
          <w:tcPr>
            <w:tcW w:w="850" w:type="dxa"/>
            <w:gridSpan w:val="2"/>
            <w:vAlign w:val="center"/>
          </w:tcPr>
          <w:p w14:paraId="51611734">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14:paraId="32429498">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75D08F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988FAA">
            <w:pPr>
              <w:numPr>
                <w:ilvl w:val="0"/>
                <w:numId w:val="3"/>
              </w:numPr>
              <w:ind w:left="0" w:firstLine="0"/>
              <w:jc w:val="left"/>
              <w:rPr>
                <w:rFonts w:ascii="宋体" w:hAnsi="宋体"/>
                <w:sz w:val="18"/>
                <w:szCs w:val="18"/>
                <w:highlight w:val="none"/>
              </w:rPr>
            </w:pPr>
          </w:p>
        </w:tc>
        <w:tc>
          <w:tcPr>
            <w:tcW w:w="850" w:type="dxa"/>
            <w:gridSpan w:val="2"/>
            <w:vAlign w:val="center"/>
          </w:tcPr>
          <w:p w14:paraId="45717581">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1212C68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24A0F0F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CC5DBCD">
            <w:pPr>
              <w:numPr>
                <w:ilvl w:val="0"/>
                <w:numId w:val="3"/>
              </w:numPr>
              <w:ind w:left="0" w:firstLine="0"/>
              <w:jc w:val="left"/>
              <w:rPr>
                <w:rFonts w:ascii="宋体" w:hAnsi="宋体"/>
                <w:sz w:val="18"/>
                <w:szCs w:val="18"/>
                <w:highlight w:val="none"/>
              </w:rPr>
            </w:pPr>
          </w:p>
        </w:tc>
        <w:tc>
          <w:tcPr>
            <w:tcW w:w="850" w:type="dxa"/>
            <w:gridSpan w:val="2"/>
            <w:vAlign w:val="center"/>
          </w:tcPr>
          <w:p w14:paraId="4758A978">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2E355DAE">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14:paraId="1FE9BBA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C3DE30B">
            <w:pPr>
              <w:numPr>
                <w:ilvl w:val="0"/>
                <w:numId w:val="3"/>
              </w:numPr>
              <w:ind w:left="0" w:firstLine="0"/>
              <w:jc w:val="left"/>
              <w:rPr>
                <w:rFonts w:ascii="宋体" w:hAnsi="宋体"/>
                <w:sz w:val="18"/>
                <w:szCs w:val="18"/>
                <w:highlight w:val="none"/>
              </w:rPr>
            </w:pPr>
          </w:p>
        </w:tc>
        <w:tc>
          <w:tcPr>
            <w:tcW w:w="850" w:type="dxa"/>
            <w:gridSpan w:val="2"/>
            <w:vAlign w:val="center"/>
          </w:tcPr>
          <w:p w14:paraId="76B40048">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14:paraId="0D2ABC48">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14:paraId="2B07A1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04A2855">
            <w:pPr>
              <w:numPr>
                <w:ilvl w:val="0"/>
                <w:numId w:val="3"/>
              </w:numPr>
              <w:ind w:left="0" w:firstLine="0"/>
              <w:jc w:val="left"/>
              <w:rPr>
                <w:rFonts w:ascii="宋体" w:hAnsi="宋体"/>
                <w:sz w:val="18"/>
                <w:szCs w:val="18"/>
                <w:highlight w:val="none"/>
              </w:rPr>
            </w:pPr>
          </w:p>
        </w:tc>
        <w:tc>
          <w:tcPr>
            <w:tcW w:w="850" w:type="dxa"/>
            <w:gridSpan w:val="2"/>
            <w:vAlign w:val="center"/>
          </w:tcPr>
          <w:p w14:paraId="34EDE0C3">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14:paraId="22D0427A">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5EFCA8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67A62F1">
            <w:pPr>
              <w:numPr>
                <w:ilvl w:val="0"/>
                <w:numId w:val="3"/>
              </w:numPr>
              <w:ind w:left="0" w:firstLine="0"/>
              <w:jc w:val="left"/>
              <w:rPr>
                <w:rFonts w:ascii="宋体" w:hAnsi="宋体"/>
                <w:sz w:val="18"/>
                <w:szCs w:val="18"/>
                <w:highlight w:val="none"/>
              </w:rPr>
            </w:pPr>
          </w:p>
        </w:tc>
        <w:tc>
          <w:tcPr>
            <w:tcW w:w="850" w:type="dxa"/>
            <w:gridSpan w:val="2"/>
            <w:vAlign w:val="center"/>
          </w:tcPr>
          <w:p w14:paraId="1D3C6FAA">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14:paraId="7F706953">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60CF366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2593513">
            <w:pPr>
              <w:numPr>
                <w:ilvl w:val="0"/>
                <w:numId w:val="3"/>
              </w:numPr>
              <w:ind w:left="0" w:firstLine="0"/>
              <w:jc w:val="left"/>
              <w:rPr>
                <w:rFonts w:ascii="宋体" w:hAnsi="宋体"/>
                <w:sz w:val="18"/>
                <w:szCs w:val="18"/>
                <w:highlight w:val="none"/>
              </w:rPr>
            </w:pPr>
          </w:p>
        </w:tc>
        <w:tc>
          <w:tcPr>
            <w:tcW w:w="850" w:type="dxa"/>
            <w:gridSpan w:val="2"/>
            <w:vAlign w:val="center"/>
          </w:tcPr>
          <w:p w14:paraId="365A0CB8">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36575B6E">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14:paraId="566A84F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425802">
            <w:pPr>
              <w:numPr>
                <w:ilvl w:val="0"/>
                <w:numId w:val="3"/>
              </w:numPr>
              <w:ind w:left="0" w:firstLine="0"/>
              <w:jc w:val="left"/>
              <w:rPr>
                <w:rFonts w:ascii="宋体" w:hAnsi="宋体"/>
                <w:sz w:val="18"/>
                <w:szCs w:val="18"/>
                <w:highlight w:val="none"/>
              </w:rPr>
            </w:pPr>
          </w:p>
        </w:tc>
        <w:tc>
          <w:tcPr>
            <w:tcW w:w="850" w:type="dxa"/>
            <w:gridSpan w:val="2"/>
            <w:vAlign w:val="center"/>
          </w:tcPr>
          <w:p w14:paraId="70AB82AB">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14:paraId="2B567850">
            <w:pPr>
              <w:pStyle w:val="10"/>
              <w:numPr>
                <w:ilvl w:val="0"/>
                <w:numId w:val="0"/>
              </w:numPr>
              <w:tabs>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14:paraId="4BB5708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422EAC">
            <w:pPr>
              <w:numPr>
                <w:ilvl w:val="0"/>
                <w:numId w:val="3"/>
              </w:numPr>
              <w:ind w:left="0" w:firstLine="0"/>
              <w:jc w:val="left"/>
              <w:rPr>
                <w:rFonts w:ascii="宋体" w:hAnsi="宋体"/>
                <w:sz w:val="18"/>
                <w:szCs w:val="18"/>
                <w:highlight w:val="none"/>
              </w:rPr>
            </w:pPr>
          </w:p>
        </w:tc>
        <w:tc>
          <w:tcPr>
            <w:tcW w:w="850" w:type="dxa"/>
            <w:gridSpan w:val="2"/>
            <w:vAlign w:val="center"/>
          </w:tcPr>
          <w:p w14:paraId="236F9E6E">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14:paraId="6038B6E5">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056B1C8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C2D7F6">
            <w:pPr>
              <w:numPr>
                <w:ilvl w:val="0"/>
                <w:numId w:val="3"/>
              </w:numPr>
              <w:ind w:left="0" w:firstLine="0"/>
              <w:jc w:val="left"/>
              <w:rPr>
                <w:rFonts w:ascii="宋体" w:hAnsi="宋体"/>
                <w:sz w:val="18"/>
                <w:szCs w:val="18"/>
                <w:highlight w:val="none"/>
              </w:rPr>
            </w:pPr>
          </w:p>
        </w:tc>
        <w:tc>
          <w:tcPr>
            <w:tcW w:w="850" w:type="dxa"/>
            <w:gridSpan w:val="2"/>
            <w:vAlign w:val="center"/>
          </w:tcPr>
          <w:p w14:paraId="0B51A5E3">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14:paraId="001BC5B3">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733B707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F28BA0B">
            <w:pPr>
              <w:numPr>
                <w:ilvl w:val="0"/>
                <w:numId w:val="3"/>
              </w:numPr>
              <w:ind w:left="0" w:firstLine="0"/>
              <w:jc w:val="left"/>
              <w:rPr>
                <w:rFonts w:ascii="宋体" w:hAnsi="宋体"/>
                <w:sz w:val="18"/>
                <w:szCs w:val="18"/>
                <w:highlight w:val="none"/>
              </w:rPr>
            </w:pPr>
          </w:p>
        </w:tc>
        <w:tc>
          <w:tcPr>
            <w:tcW w:w="850" w:type="dxa"/>
            <w:gridSpan w:val="2"/>
            <w:vAlign w:val="center"/>
          </w:tcPr>
          <w:p w14:paraId="3C0EA9B6">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5AC64D9D">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1EBAA30D">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4892C711">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14:paraId="637C5C01">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169BA2B8">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560B54A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D7573B">
            <w:pPr>
              <w:numPr>
                <w:ilvl w:val="0"/>
                <w:numId w:val="3"/>
              </w:numPr>
              <w:ind w:left="0" w:firstLine="0"/>
              <w:jc w:val="left"/>
              <w:rPr>
                <w:rFonts w:ascii="宋体" w:hAnsi="宋体"/>
                <w:sz w:val="18"/>
                <w:szCs w:val="18"/>
                <w:highlight w:val="none"/>
              </w:rPr>
            </w:pPr>
          </w:p>
        </w:tc>
        <w:tc>
          <w:tcPr>
            <w:tcW w:w="850" w:type="dxa"/>
            <w:gridSpan w:val="2"/>
            <w:vAlign w:val="center"/>
          </w:tcPr>
          <w:p w14:paraId="6434BE0A">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6A486D59">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484BE88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663527">
            <w:pPr>
              <w:numPr>
                <w:ilvl w:val="0"/>
                <w:numId w:val="3"/>
              </w:numPr>
              <w:ind w:left="0" w:firstLine="0"/>
              <w:jc w:val="left"/>
              <w:rPr>
                <w:rFonts w:ascii="宋体" w:hAnsi="宋体"/>
                <w:sz w:val="18"/>
                <w:szCs w:val="18"/>
                <w:highlight w:val="none"/>
              </w:rPr>
            </w:pPr>
          </w:p>
        </w:tc>
        <w:tc>
          <w:tcPr>
            <w:tcW w:w="850" w:type="dxa"/>
            <w:gridSpan w:val="2"/>
            <w:vAlign w:val="center"/>
          </w:tcPr>
          <w:p w14:paraId="4F8F51C1">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0F41ADEC">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14:paraId="05F1FC9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A69816C">
            <w:pPr>
              <w:numPr>
                <w:ilvl w:val="0"/>
                <w:numId w:val="3"/>
              </w:numPr>
              <w:ind w:left="0" w:firstLine="0"/>
              <w:jc w:val="left"/>
              <w:rPr>
                <w:rFonts w:ascii="宋体" w:hAnsi="宋体"/>
                <w:sz w:val="18"/>
                <w:szCs w:val="18"/>
                <w:highlight w:val="none"/>
              </w:rPr>
            </w:pPr>
          </w:p>
        </w:tc>
        <w:tc>
          <w:tcPr>
            <w:tcW w:w="850" w:type="dxa"/>
            <w:gridSpan w:val="2"/>
            <w:vAlign w:val="center"/>
          </w:tcPr>
          <w:p w14:paraId="784C627B">
            <w:pPr>
              <w:rPr>
                <w:rFonts w:ascii="宋体" w:hAnsi="宋体"/>
                <w:sz w:val="18"/>
                <w:szCs w:val="18"/>
                <w:highlight w:val="none"/>
              </w:rPr>
            </w:pPr>
            <w:r>
              <w:rPr>
                <w:rFonts w:ascii="宋体" w:hAnsi="宋体" w:hint="eastAsia"/>
                <w:sz w:val="18"/>
                <w:szCs w:val="18"/>
                <w:highlight w:val="none"/>
              </w:rPr>
              <w:t>1.14.3</w:t>
            </w:r>
          </w:p>
        </w:tc>
        <w:tc>
          <w:tcPr>
            <w:tcW w:w="7723" w:type="dxa"/>
          </w:tcPr>
          <w:p w14:paraId="0905281D">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14:paraId="678501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5C579E">
            <w:pPr>
              <w:numPr>
                <w:ilvl w:val="0"/>
                <w:numId w:val="3"/>
              </w:numPr>
              <w:ind w:left="0" w:firstLine="0"/>
              <w:jc w:val="left"/>
              <w:rPr>
                <w:rFonts w:ascii="宋体" w:hAnsi="宋体"/>
                <w:sz w:val="18"/>
                <w:szCs w:val="18"/>
                <w:highlight w:val="none"/>
              </w:rPr>
            </w:pPr>
          </w:p>
        </w:tc>
        <w:tc>
          <w:tcPr>
            <w:tcW w:w="850" w:type="dxa"/>
            <w:gridSpan w:val="2"/>
            <w:vAlign w:val="center"/>
          </w:tcPr>
          <w:p w14:paraId="3702E035">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14:paraId="072FAF51">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14:paraId="361E23D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31FFDBE">
            <w:pPr>
              <w:numPr>
                <w:ilvl w:val="0"/>
                <w:numId w:val="3"/>
              </w:numPr>
              <w:ind w:left="0" w:firstLine="0"/>
              <w:jc w:val="left"/>
              <w:rPr>
                <w:rFonts w:ascii="宋体" w:hAnsi="宋体"/>
                <w:sz w:val="18"/>
                <w:szCs w:val="18"/>
                <w:highlight w:val="none"/>
              </w:rPr>
            </w:pPr>
          </w:p>
        </w:tc>
        <w:tc>
          <w:tcPr>
            <w:tcW w:w="850" w:type="dxa"/>
            <w:gridSpan w:val="2"/>
            <w:vAlign w:val="center"/>
          </w:tcPr>
          <w:p w14:paraId="5B3DFD96">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18CEB1CE">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1A93B06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578D876">
            <w:pPr>
              <w:numPr>
                <w:ilvl w:val="0"/>
                <w:numId w:val="3"/>
              </w:numPr>
              <w:ind w:left="0" w:firstLine="0"/>
              <w:jc w:val="left"/>
              <w:rPr>
                <w:rFonts w:ascii="宋体" w:hAnsi="宋体"/>
                <w:sz w:val="18"/>
                <w:szCs w:val="18"/>
                <w:highlight w:val="none"/>
              </w:rPr>
            </w:pPr>
          </w:p>
        </w:tc>
        <w:tc>
          <w:tcPr>
            <w:tcW w:w="850" w:type="dxa"/>
            <w:gridSpan w:val="2"/>
            <w:vAlign w:val="center"/>
          </w:tcPr>
          <w:p w14:paraId="1B44E5D3">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2EE72B0E">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16A34D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3D5A046">
            <w:pPr>
              <w:numPr>
                <w:ilvl w:val="0"/>
                <w:numId w:val="3"/>
              </w:numPr>
              <w:ind w:left="0" w:firstLine="0"/>
              <w:jc w:val="left"/>
              <w:rPr>
                <w:rFonts w:ascii="宋体" w:hAnsi="宋体"/>
                <w:sz w:val="18"/>
                <w:szCs w:val="18"/>
                <w:highlight w:val="none"/>
              </w:rPr>
            </w:pPr>
          </w:p>
        </w:tc>
        <w:tc>
          <w:tcPr>
            <w:tcW w:w="850" w:type="dxa"/>
            <w:gridSpan w:val="2"/>
            <w:vAlign w:val="center"/>
          </w:tcPr>
          <w:p w14:paraId="2F30A2C6">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2AF30A5D">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1024A44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27B470">
            <w:pPr>
              <w:numPr>
                <w:ilvl w:val="0"/>
                <w:numId w:val="3"/>
              </w:numPr>
              <w:ind w:left="0" w:firstLine="0"/>
              <w:jc w:val="left"/>
              <w:rPr>
                <w:rFonts w:ascii="宋体" w:hAnsi="宋体"/>
                <w:sz w:val="18"/>
                <w:szCs w:val="18"/>
                <w:highlight w:val="none"/>
              </w:rPr>
            </w:pPr>
          </w:p>
        </w:tc>
        <w:tc>
          <w:tcPr>
            <w:tcW w:w="850" w:type="dxa"/>
            <w:gridSpan w:val="2"/>
            <w:vAlign w:val="center"/>
          </w:tcPr>
          <w:p w14:paraId="16F6AC9B">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47329408">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3D6E7A9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8861914">
            <w:pPr>
              <w:numPr>
                <w:ilvl w:val="0"/>
                <w:numId w:val="3"/>
              </w:numPr>
              <w:ind w:left="0" w:firstLine="0"/>
              <w:jc w:val="left"/>
              <w:rPr>
                <w:rFonts w:ascii="宋体" w:hAnsi="宋体"/>
                <w:sz w:val="18"/>
                <w:szCs w:val="18"/>
                <w:highlight w:val="none"/>
              </w:rPr>
            </w:pPr>
          </w:p>
        </w:tc>
        <w:tc>
          <w:tcPr>
            <w:tcW w:w="850" w:type="dxa"/>
            <w:gridSpan w:val="2"/>
            <w:vAlign w:val="center"/>
          </w:tcPr>
          <w:p w14:paraId="2129E788">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6BDF2A7C">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0E988EF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C644CC">
            <w:pPr>
              <w:numPr>
                <w:ilvl w:val="0"/>
                <w:numId w:val="3"/>
              </w:numPr>
              <w:ind w:left="0" w:firstLine="0"/>
              <w:jc w:val="left"/>
              <w:rPr>
                <w:rFonts w:ascii="宋体" w:hAnsi="宋体"/>
                <w:sz w:val="18"/>
                <w:szCs w:val="18"/>
                <w:highlight w:val="none"/>
              </w:rPr>
            </w:pPr>
          </w:p>
        </w:tc>
        <w:tc>
          <w:tcPr>
            <w:tcW w:w="850" w:type="dxa"/>
            <w:gridSpan w:val="2"/>
            <w:vAlign w:val="center"/>
          </w:tcPr>
          <w:p w14:paraId="717424BD">
            <w:pPr>
              <w:rPr>
                <w:rFonts w:ascii="宋体" w:hAnsi="宋体"/>
                <w:sz w:val="18"/>
                <w:szCs w:val="18"/>
                <w:highlight w:val="none"/>
              </w:rPr>
            </w:pPr>
            <w:r>
              <w:rPr>
                <w:rFonts w:ascii="宋体" w:hAnsi="宋体" w:hint="eastAsia"/>
                <w:sz w:val="18"/>
                <w:szCs w:val="18"/>
                <w:highlight w:val="none"/>
              </w:rPr>
              <w:t>1.22.3</w:t>
            </w:r>
          </w:p>
        </w:tc>
        <w:tc>
          <w:tcPr>
            <w:tcW w:w="7723" w:type="dxa"/>
            <w:vAlign w:val="center"/>
          </w:tcPr>
          <w:p w14:paraId="742D0AB1">
            <w:pPr>
              <w:tabs>
                <w:tab w:val="left" w:pos="1573"/>
              </w:tabs>
              <w:adjustRightInd w:val="0"/>
              <w:snapToGrid w:val="0"/>
              <w:spacing w:line="360" w:lineRule="auto"/>
              <w:rPr>
                <w:rFonts w:ascii="宋体" w:hAnsi="宋体" w:cs="Arial"/>
                <w:sz w:val="18"/>
                <w:szCs w:val="18"/>
                <w:highlight w:val="none"/>
              </w:rPr>
            </w:pPr>
            <w:r>
              <w:rPr>
                <w:rFonts w:ascii="宋体" w:hAnsi="宋体" w:hint="eastAsia"/>
                <w:sz w:val="18"/>
                <w:szCs w:val="18"/>
                <w:highlight w:val="none"/>
              </w:rPr>
              <w:t>在投标截止时间之前，投标人未完成加密电子投标文件上传，无论采购中心是否在投标截止时间前收到以光盘等存储介质提交的</w:t>
            </w:r>
            <w:r>
              <w:rPr>
                <w:rFonts w:ascii="宋体" w:hAnsi="宋体" w:hint="eastAsia"/>
                <w:bCs/>
                <w:sz w:val="18"/>
                <w:szCs w:val="18"/>
                <w:highlight w:val="none"/>
              </w:rPr>
              <w:t>投标文件电子版文件包，</w:t>
            </w:r>
            <w:r>
              <w:rPr>
                <w:rFonts w:ascii="宋体" w:hAnsi="宋体" w:hint="eastAsia"/>
                <w:sz w:val="18"/>
                <w:szCs w:val="18"/>
                <w:highlight w:val="none"/>
              </w:rPr>
              <w:t>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759E663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A4BB849">
            <w:pPr>
              <w:numPr>
                <w:ilvl w:val="0"/>
                <w:numId w:val="3"/>
              </w:numPr>
              <w:ind w:left="0" w:firstLine="0"/>
              <w:jc w:val="left"/>
              <w:rPr>
                <w:rFonts w:ascii="宋体" w:hAnsi="宋体"/>
                <w:sz w:val="18"/>
                <w:szCs w:val="18"/>
                <w:highlight w:val="none"/>
              </w:rPr>
            </w:pPr>
          </w:p>
        </w:tc>
        <w:tc>
          <w:tcPr>
            <w:tcW w:w="850" w:type="dxa"/>
            <w:gridSpan w:val="2"/>
            <w:vAlign w:val="center"/>
          </w:tcPr>
          <w:p w14:paraId="4094319E">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1E08387A">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37E1C7B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403FCC7">
            <w:pPr>
              <w:numPr>
                <w:ilvl w:val="0"/>
                <w:numId w:val="3"/>
              </w:numPr>
              <w:ind w:left="0" w:firstLine="0"/>
              <w:jc w:val="left"/>
              <w:rPr>
                <w:rFonts w:ascii="宋体" w:hAnsi="宋体"/>
                <w:sz w:val="18"/>
                <w:szCs w:val="18"/>
                <w:highlight w:val="none"/>
              </w:rPr>
            </w:pPr>
          </w:p>
        </w:tc>
        <w:tc>
          <w:tcPr>
            <w:tcW w:w="850" w:type="dxa"/>
            <w:gridSpan w:val="2"/>
            <w:vAlign w:val="center"/>
          </w:tcPr>
          <w:p w14:paraId="02CEEA2D">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0BD95012">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2653662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68391BA">
            <w:pPr>
              <w:numPr>
                <w:ilvl w:val="0"/>
                <w:numId w:val="3"/>
              </w:numPr>
              <w:ind w:left="0" w:firstLine="0"/>
              <w:jc w:val="left"/>
              <w:rPr>
                <w:rFonts w:ascii="宋体" w:hAnsi="宋体"/>
                <w:sz w:val="18"/>
                <w:szCs w:val="18"/>
                <w:highlight w:val="none"/>
              </w:rPr>
            </w:pPr>
          </w:p>
        </w:tc>
        <w:tc>
          <w:tcPr>
            <w:tcW w:w="850" w:type="dxa"/>
            <w:gridSpan w:val="2"/>
            <w:vAlign w:val="center"/>
          </w:tcPr>
          <w:p w14:paraId="0914A1B8">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6792A93F">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0AC89CF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1807D94">
            <w:pPr>
              <w:numPr>
                <w:ilvl w:val="0"/>
                <w:numId w:val="3"/>
              </w:numPr>
              <w:ind w:left="0" w:firstLine="0"/>
              <w:jc w:val="left"/>
              <w:rPr>
                <w:rFonts w:ascii="宋体" w:hAnsi="宋体"/>
                <w:sz w:val="18"/>
                <w:szCs w:val="18"/>
                <w:highlight w:val="none"/>
              </w:rPr>
            </w:pPr>
          </w:p>
        </w:tc>
        <w:tc>
          <w:tcPr>
            <w:tcW w:w="850" w:type="dxa"/>
            <w:gridSpan w:val="2"/>
            <w:vAlign w:val="center"/>
          </w:tcPr>
          <w:p w14:paraId="155CDD78">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46B7618A">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7CA5C5B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56847A1">
            <w:pPr>
              <w:numPr>
                <w:ilvl w:val="0"/>
                <w:numId w:val="3"/>
              </w:numPr>
              <w:ind w:left="0" w:firstLine="0"/>
              <w:jc w:val="left"/>
              <w:rPr>
                <w:rFonts w:ascii="宋体" w:hAnsi="宋体"/>
                <w:sz w:val="18"/>
                <w:szCs w:val="18"/>
                <w:highlight w:val="none"/>
              </w:rPr>
            </w:pPr>
          </w:p>
        </w:tc>
        <w:tc>
          <w:tcPr>
            <w:tcW w:w="850" w:type="dxa"/>
            <w:gridSpan w:val="2"/>
            <w:vAlign w:val="center"/>
          </w:tcPr>
          <w:p w14:paraId="0FD0527B">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0FB1B71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4B94309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D891E07">
            <w:pPr>
              <w:numPr>
                <w:ilvl w:val="0"/>
                <w:numId w:val="3"/>
              </w:numPr>
              <w:ind w:left="0" w:firstLine="0"/>
              <w:jc w:val="left"/>
              <w:rPr>
                <w:rFonts w:ascii="宋体" w:hAnsi="宋体"/>
                <w:sz w:val="18"/>
                <w:szCs w:val="18"/>
                <w:highlight w:val="none"/>
              </w:rPr>
            </w:pPr>
          </w:p>
        </w:tc>
        <w:tc>
          <w:tcPr>
            <w:tcW w:w="850" w:type="dxa"/>
            <w:gridSpan w:val="2"/>
            <w:vAlign w:val="center"/>
          </w:tcPr>
          <w:p w14:paraId="58829F51">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20151462">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5A0FEB48">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7B86118D">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5FCC863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537A24C">
            <w:pPr>
              <w:numPr>
                <w:ilvl w:val="0"/>
                <w:numId w:val="3"/>
              </w:numPr>
              <w:ind w:left="0" w:firstLine="0"/>
              <w:jc w:val="left"/>
              <w:rPr>
                <w:rFonts w:ascii="宋体" w:hAnsi="宋体"/>
                <w:sz w:val="18"/>
                <w:szCs w:val="18"/>
                <w:highlight w:val="none"/>
              </w:rPr>
            </w:pPr>
          </w:p>
        </w:tc>
        <w:tc>
          <w:tcPr>
            <w:tcW w:w="850" w:type="dxa"/>
            <w:gridSpan w:val="2"/>
            <w:vAlign w:val="center"/>
          </w:tcPr>
          <w:p w14:paraId="4BBB3CA8">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1E9D05C3">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54ED2DD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E66FE7A">
            <w:pPr>
              <w:numPr>
                <w:ilvl w:val="0"/>
                <w:numId w:val="3"/>
              </w:numPr>
              <w:ind w:left="0" w:firstLine="0"/>
              <w:jc w:val="left"/>
              <w:rPr>
                <w:rFonts w:ascii="宋体" w:hAnsi="宋体"/>
                <w:sz w:val="18"/>
                <w:szCs w:val="18"/>
                <w:highlight w:val="none"/>
              </w:rPr>
            </w:pPr>
          </w:p>
        </w:tc>
        <w:tc>
          <w:tcPr>
            <w:tcW w:w="850" w:type="dxa"/>
            <w:gridSpan w:val="2"/>
            <w:vAlign w:val="center"/>
          </w:tcPr>
          <w:p w14:paraId="7E1106E9">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60EE973F">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09C99E1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F251167">
            <w:pPr>
              <w:numPr>
                <w:ilvl w:val="0"/>
                <w:numId w:val="3"/>
              </w:numPr>
              <w:ind w:left="0" w:firstLine="0"/>
              <w:jc w:val="left"/>
              <w:rPr>
                <w:rFonts w:ascii="宋体" w:hAnsi="宋体"/>
                <w:sz w:val="18"/>
                <w:szCs w:val="18"/>
                <w:highlight w:val="none"/>
              </w:rPr>
            </w:pPr>
          </w:p>
        </w:tc>
        <w:tc>
          <w:tcPr>
            <w:tcW w:w="850" w:type="dxa"/>
            <w:gridSpan w:val="2"/>
            <w:vAlign w:val="center"/>
          </w:tcPr>
          <w:p w14:paraId="4373A00C">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34F89AAA">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0C858AC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99A69A0">
            <w:pPr>
              <w:numPr>
                <w:ilvl w:val="0"/>
                <w:numId w:val="3"/>
              </w:numPr>
              <w:ind w:left="0" w:firstLine="0"/>
              <w:jc w:val="left"/>
              <w:rPr>
                <w:rFonts w:ascii="宋体" w:hAnsi="宋体"/>
                <w:sz w:val="18"/>
                <w:szCs w:val="18"/>
                <w:highlight w:val="none"/>
              </w:rPr>
            </w:pPr>
          </w:p>
        </w:tc>
        <w:tc>
          <w:tcPr>
            <w:tcW w:w="850" w:type="dxa"/>
            <w:gridSpan w:val="2"/>
            <w:vAlign w:val="center"/>
          </w:tcPr>
          <w:p w14:paraId="07C38E1D">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5714D500">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2A2E74C0">
      <w:pPr>
        <w:spacing w:line="360" w:lineRule="auto"/>
        <w:jc w:val="center"/>
        <w:rPr>
          <w:b/>
          <w:sz w:val="48"/>
          <w:szCs w:val="36"/>
          <w:highlight w:val="none"/>
        </w:rPr>
      </w:pPr>
    </w:p>
    <w:p w14:paraId="0F6A5618">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14:paraId="3AC7E94E">
      <w:pPr>
        <w:spacing w:line="360" w:lineRule="auto"/>
        <w:rPr>
          <w:highlight w:val="none"/>
        </w:rPr>
      </w:pPr>
    </w:p>
    <w:p w14:paraId="77B961DB">
      <w:pPr>
        <w:spacing w:line="360" w:lineRule="auto"/>
        <w:jc w:val="center"/>
        <w:rPr>
          <w:highlight w:val="none"/>
        </w:rPr>
      </w:pPr>
      <w:r>
        <w:rPr>
          <w:rFonts w:hint="eastAsia"/>
          <w:b/>
          <w:bCs/>
          <w:sz w:val="28"/>
          <w:szCs w:val="28"/>
          <w:highlight w:val="none"/>
        </w:rPr>
        <w:t>目    录</w:t>
      </w:r>
    </w:p>
    <w:p w14:paraId="3AB6ADAF">
      <w:pPr>
        <w:spacing w:line="360" w:lineRule="auto"/>
        <w:rPr>
          <w:b/>
          <w:bCs/>
          <w:szCs w:val="21"/>
          <w:highlight w:val="none"/>
        </w:rPr>
      </w:pPr>
    </w:p>
    <w:p w14:paraId="37E81411">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14:paraId="40A3FCCA">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14:paraId="71799695">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14:paraId="60670C74">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14:paraId="1AAF43DE">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14:paraId="3D6DB4F5">
      <w:pPr>
        <w:adjustRightInd w:val="0"/>
        <w:snapToGrid w:val="0"/>
        <w:spacing w:line="360" w:lineRule="auto"/>
        <w:jc w:val="left"/>
        <w:rPr>
          <w:b/>
          <w:bCs/>
          <w:szCs w:val="21"/>
          <w:highlight w:val="none"/>
        </w:rPr>
      </w:pPr>
      <w:r>
        <w:rPr>
          <w:b/>
          <w:bCs/>
          <w:szCs w:val="21"/>
          <w:highlight w:val="none"/>
        </w:rPr>
        <w:br w:type="page"/>
      </w:r>
    </w:p>
    <w:p w14:paraId="5FD9E512">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14:paraId="38609814">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5E79F9BD">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青海省人工影响天气中心飞机增雨（雪）作业服务采购采购项目</w:t>
      </w:r>
      <w:bookmarkEnd w:id="21"/>
      <w:r>
        <w:rPr>
          <w:rFonts w:ascii="宋体" w:hAnsi="宋体" w:cs="宋体" w:hint="eastAsia"/>
          <w:b/>
          <w:bCs/>
          <w:szCs w:val="21"/>
          <w:highlight w:val="none"/>
        </w:rPr>
        <w:t>。</w:t>
      </w:r>
    </w:p>
    <w:p w14:paraId="6D542A68">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ZQCD-25008</w:t>
      </w:r>
      <w:bookmarkEnd w:id="22"/>
      <w:r>
        <w:rPr>
          <w:rFonts w:ascii="宋体" w:hAnsi="宋体" w:cs="宋体" w:hint="eastAsia"/>
          <w:b/>
          <w:bCs/>
          <w:szCs w:val="21"/>
          <w:highlight w:val="none"/>
        </w:rPr>
        <w:t>。</w:t>
      </w:r>
    </w:p>
    <w:p w14:paraId="16CDB2F5">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0740A070">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0833BAE9">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473C2683">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14:paraId="401EF605">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281E93D8">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自合同签订次日起一年内，至少一架高性能增压仓人工增雨（雪）飞机累计完成8.6个月（8个月零18天）服务任务。</w:t>
      </w:r>
      <w:bookmarkEnd w:id="24"/>
      <w:r>
        <w:rPr>
          <w:rFonts w:ascii="宋体" w:hAnsi="宋体" w:cs="微软雅黑" w:hint="eastAsia"/>
          <w:b/>
          <w:color w:val="0000FF"/>
          <w:kern w:val="0"/>
          <w:szCs w:val="21"/>
          <w:highlight w:val="none"/>
        </w:rPr>
        <w:t>。</w:t>
      </w:r>
    </w:p>
    <w:p w14:paraId="39E0869D">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青海省以及黄河上游河曲地区、祁连山区之空域范围，具体由采购单位指定。</w:t>
      </w:r>
      <w:bookmarkEnd w:id="25"/>
      <w:r>
        <w:rPr>
          <w:rFonts w:ascii="宋体" w:hAnsi="宋体" w:cs="微软雅黑" w:hint="eastAsia"/>
          <w:b/>
          <w:color w:val="0000FF"/>
          <w:kern w:val="0"/>
          <w:szCs w:val="21"/>
          <w:highlight w:val="none"/>
        </w:rPr>
        <w:t>。</w:t>
      </w:r>
    </w:p>
    <w:p w14:paraId="763E166D">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19E7B134">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6743B88B">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3DE3D8D2">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5766B91B">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2025年05月30日 08:00:00</w:t>
      </w:r>
      <w:bookmarkEnd w:id="26"/>
      <w:r>
        <w:rPr>
          <w:rFonts w:ascii="宋体" w:hint="eastAsia"/>
          <w:szCs w:val="21"/>
          <w:highlight w:val="none"/>
        </w:rPr>
        <w:t>至</w:t>
      </w:r>
      <w:bookmarkStart w:id="27" w:name="项目公告_signUpLastTime"/>
      <w:r>
        <w:rPr>
          <w:rFonts w:ascii="宋体" w:hint="eastAsia"/>
          <w:szCs w:val="21"/>
          <w:highlight w:val="none"/>
        </w:rPr>
        <w:t>2025年06月10日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39D70122">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5B946A86">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08944ABB">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214C7931">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14:paraId="60451E01">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2025年06月23日 09:00:00</w:t>
      </w:r>
      <w:bookmarkEnd w:id="28"/>
      <w:r>
        <w:rPr>
          <w:rFonts w:ascii="宋体" w:hint="eastAsia"/>
          <w:bCs/>
          <w:szCs w:val="21"/>
          <w:highlight w:val="none"/>
        </w:rPr>
        <w:t>（北京时间）</w:t>
      </w:r>
      <w:r>
        <w:rPr>
          <w:rFonts w:ascii="宋体" w:hint="eastAsia"/>
          <w:szCs w:val="21"/>
          <w:highlight w:val="none"/>
        </w:rPr>
        <w:t>。</w:t>
      </w:r>
    </w:p>
    <w:p w14:paraId="7F87C7B4">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132D2E74">
      <w:pPr>
        <w:autoSpaceDN w:val="0"/>
        <w:spacing w:line="360" w:lineRule="auto"/>
        <w:ind w:firstLine="420" w:firstLineChars="200"/>
        <w:rPr>
          <w:rFonts w:ascii="宋体" w:cs="微软雅黑"/>
          <w:szCs w:val="21"/>
          <w:highlight w:val="none"/>
        </w:rPr>
      </w:pPr>
      <w:r>
        <w:rPr>
          <w:rFonts w:ascii="宋体" w:hint="eastAsia"/>
          <w:szCs w:val="21"/>
          <w:highlight w:val="none"/>
        </w:rPr>
        <w:t>3、请符合投标条件的投标人安装投标（响应）工具，完成投标文件编制后于投标文件提交截止时间前上传加密的投标文件，</w:t>
      </w:r>
      <w:r>
        <w:rPr>
          <w:rFonts w:ascii="宋体" w:cs="微软雅黑" w:hint="eastAsia"/>
          <w:szCs w:val="21"/>
          <w:highlight w:val="none"/>
        </w:rPr>
        <w:t>文件上传成功后，将获得系统回执</w:t>
      </w:r>
      <w:r>
        <w:rPr>
          <w:rFonts w:ascii="宋体" w:hint="eastAsia"/>
          <w:szCs w:val="21"/>
          <w:highlight w:val="none"/>
        </w:rPr>
        <w:t>。</w:t>
      </w:r>
      <w:r>
        <w:rPr>
          <w:rFonts w:ascii="宋体" w:cs="微软雅黑" w:hint="eastAsia"/>
          <w:szCs w:val="21"/>
          <w:highlight w:val="none"/>
        </w:rPr>
        <w:t>该系统的上传通道</w:t>
      </w:r>
      <w:r>
        <w:rPr>
          <w:rFonts w:ascii="宋体" w:hAnsi="宋体" w:hint="eastAsia"/>
          <w:szCs w:val="21"/>
          <w:highlight w:val="none"/>
        </w:rPr>
        <w:t>将在投标截止时间自动关闭，请投标人充分考虑上传时可能会遇到的各种问题，确保</w:t>
      </w:r>
      <w:r>
        <w:rPr>
          <w:rFonts w:ascii="宋体" w:cs="微软雅黑" w:hint="eastAsia"/>
          <w:szCs w:val="21"/>
          <w:highlight w:val="none"/>
        </w:rPr>
        <w:t>投标截止时间前能上传成功。</w:t>
      </w:r>
    </w:p>
    <w:p w14:paraId="57095C7C">
      <w:pPr>
        <w:adjustRightInd w:val="0"/>
        <w:snapToGrid w:val="0"/>
        <w:spacing w:line="360" w:lineRule="auto"/>
        <w:ind w:firstLine="420" w:firstLineChars="200"/>
        <w:jc w:val="left"/>
        <w:rPr>
          <w:rFonts w:ascii="宋体" w:hAnsi="宋体"/>
          <w:bCs/>
          <w:szCs w:val="21"/>
          <w:highlight w:val="none"/>
        </w:rPr>
      </w:pPr>
      <w:r>
        <w:rPr>
          <w:rFonts w:ascii="宋体" w:hAnsi="宋体" w:hint="eastAsia"/>
          <w:szCs w:val="21"/>
          <w:highlight w:val="none"/>
        </w:rPr>
        <w:t>4、由于中国气象局政府采购中心电子采购系统尚处于试运行阶段，投标人除通过该系统上传加密的</w:t>
      </w:r>
      <w:r>
        <w:rPr>
          <w:rFonts w:ascii="宋体" w:hAnsi="宋体" w:hint="eastAsia"/>
          <w:bCs/>
          <w:szCs w:val="21"/>
          <w:highlight w:val="none"/>
        </w:rPr>
        <w:t>电子投标文件外，还应通过该系统下载投标文件电子版文件包，并使用</w:t>
      </w:r>
      <w:r>
        <w:rPr>
          <w:rFonts w:hint="eastAsia"/>
          <w:bCs/>
          <w:highlight w:val="none"/>
        </w:rPr>
        <w:t>不可擦写的刻录光盘或其他只读存储介质，密封后在投标截止时间前按本</w:t>
      </w:r>
      <w:r>
        <w:rPr>
          <w:rFonts w:ascii="宋体" w:hAnsi="宋体" w:hint="eastAsia"/>
          <w:szCs w:val="21"/>
          <w:highlight w:val="none"/>
        </w:rPr>
        <w:t>投标邀请书中规定的投标地址送至采购中心（不接受邮寄）。</w:t>
      </w:r>
      <w:r>
        <w:rPr>
          <w:rFonts w:ascii="宋体" w:hAnsi="宋体" w:hint="eastAsia"/>
          <w:bCs/>
          <w:szCs w:val="21"/>
          <w:highlight w:val="none"/>
        </w:rPr>
        <w:t>投标</w:t>
      </w:r>
      <w:r>
        <w:rPr>
          <w:rFonts w:ascii="宋体" w:hAnsi="宋体"/>
          <w:bCs/>
          <w:szCs w:val="21"/>
          <w:highlight w:val="none"/>
        </w:rPr>
        <w:t>截止时间后送达的</w:t>
      </w:r>
      <w:r>
        <w:rPr>
          <w:rFonts w:ascii="宋体" w:hAnsi="宋体" w:hint="eastAsia"/>
          <w:bCs/>
          <w:szCs w:val="21"/>
          <w:highlight w:val="none"/>
        </w:rPr>
        <w:t>将被</w:t>
      </w:r>
      <w:r>
        <w:rPr>
          <w:rFonts w:ascii="宋体" w:hAnsi="宋体"/>
          <w:bCs/>
          <w:szCs w:val="21"/>
          <w:highlight w:val="none"/>
        </w:rPr>
        <w:t>拒收</w:t>
      </w:r>
      <w:r>
        <w:rPr>
          <w:rFonts w:ascii="宋体" w:hAnsi="宋体" w:hint="eastAsia"/>
          <w:bCs/>
          <w:szCs w:val="21"/>
          <w:highlight w:val="none"/>
        </w:rPr>
        <w:t>。</w:t>
      </w:r>
    </w:p>
    <w:p w14:paraId="66A09329">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供应商在投标过程中，涉及系统平台操作的技术问题，可致电采购中心技术支持电话。</w:t>
      </w:r>
    </w:p>
    <w:p w14:paraId="622E002A">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7858111B">
      <w:pPr>
        <w:tabs>
          <w:tab w:val="left" w:pos="1573"/>
        </w:tabs>
        <w:adjustRightInd w:val="0"/>
        <w:snapToGrid w:val="0"/>
        <w:spacing w:line="360" w:lineRule="auto"/>
        <w:ind w:firstLine="412" w:firstLineChars="196"/>
        <w:rPr>
          <w:rFonts w:ascii="宋体" w:hAnsi="宋体"/>
          <w:bCs/>
          <w:szCs w:val="21"/>
          <w:highlight w:val="none"/>
        </w:rPr>
      </w:pPr>
      <w:r>
        <w:rPr>
          <w:rFonts w:ascii="宋体" w:hAnsi="宋体" w:hint="eastAsia"/>
          <w:b/>
          <w:szCs w:val="21"/>
          <w:highlight w:val="none"/>
          <w:u w:val="single"/>
        </w:rPr>
        <w:t>北京市海淀区中关村南大街46号中国气象局北区7号楼2层</w:t>
      </w:r>
      <w:r>
        <w:rPr>
          <w:rFonts w:ascii="宋体" w:hAnsi="宋体" w:cs="微软雅黑" w:hint="eastAsia"/>
          <w:b/>
          <w:color w:val="0000FF"/>
          <w:kern w:val="0"/>
          <w:szCs w:val="21"/>
          <w:highlight w:val="none"/>
        </w:rPr>
        <w:t>大</w:t>
      </w:r>
      <w:r>
        <w:rPr>
          <w:rFonts w:ascii="宋体" w:hAnsi="宋体" w:hint="eastAsia"/>
          <w:b/>
          <w:szCs w:val="21"/>
          <w:highlight w:val="none"/>
          <w:u w:val="single"/>
        </w:rPr>
        <w:t>会议室（科技大楼前草坪西侧）</w:t>
      </w:r>
      <w:r>
        <w:rPr>
          <w:rFonts w:ascii="宋体" w:hAnsi="宋体" w:hint="eastAsia"/>
          <w:bCs/>
          <w:szCs w:val="21"/>
          <w:highlight w:val="none"/>
        </w:rPr>
        <w:t>，届时请投标人的法定代表人或其授权的投标人授权代表准时到场参加。</w:t>
      </w:r>
    </w:p>
    <w:p w14:paraId="4E510BC2">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14:paraId="0477164A">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本项目相关信息均在“中国政府采购网”等媒体上发布。</w:t>
      </w:r>
    </w:p>
    <w:p w14:paraId="3C5C44AD">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14:paraId="05593209">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0BAB2488">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42DF27FC">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7A7CCB35">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29" w:name="contactName"/>
      <w:r>
        <w:rPr>
          <w:rFonts w:ascii="宋体" w:hAnsi="宋体" w:cs="微软雅黑"/>
          <w:b/>
          <w:color w:val="0000FF"/>
          <w:kern w:val="0"/>
          <w:szCs w:val="21"/>
          <w:highlight w:val="none"/>
        </w:rPr>
        <w:t>杜建君</w:t>
      </w:r>
      <w:bookmarkEnd w:id="29"/>
    </w:p>
    <w:p w14:paraId="153A6AE0">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0" w:name="contactPhone"/>
      <w:r>
        <w:rPr>
          <w:rFonts w:ascii="宋体" w:hAnsi="宋体" w:cs="微软雅黑"/>
          <w:b/>
          <w:color w:val="0000FF"/>
          <w:kern w:val="0"/>
          <w:szCs w:val="21"/>
          <w:highlight w:val="none"/>
        </w:rPr>
        <w:t>010-58995155</w:t>
      </w:r>
      <w:bookmarkEnd w:id="30"/>
      <w:r>
        <w:rPr>
          <w:rFonts w:ascii="宋体" w:hAnsi="宋体" w:cs="微软雅黑" w:hint="eastAsia"/>
          <w:b/>
          <w:color w:val="0000FF"/>
          <w:kern w:val="0"/>
          <w:szCs w:val="21"/>
          <w:highlight w:val="none"/>
        </w:rPr>
        <w:t>（为防止个人信息泄露，建议联系电话为办公电话）</w:t>
      </w:r>
    </w:p>
    <w:p w14:paraId="416E95F7">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66BE5255">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7E3C6C7C">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1" w:name="采购人1_recorderOrgName"/>
      <w:r>
        <w:rPr>
          <w:rFonts w:ascii="宋体" w:hAnsi="宋体" w:cs="微软雅黑"/>
          <w:b/>
          <w:color w:val="0000FF"/>
          <w:kern w:val="0"/>
          <w:szCs w:val="21"/>
          <w:highlight w:val="none"/>
        </w:rPr>
        <w:t>青海省人工影响天气中心</w:t>
      </w:r>
      <w:bookmarkEnd w:id="31"/>
    </w:p>
    <w:p w14:paraId="3A37341D">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2" w:name="采购项目负责人_contactsName"/>
      <w:r>
        <w:rPr>
          <w:rFonts w:ascii="宋体" w:hAnsi="宋体" w:cs="微软雅黑"/>
          <w:b/>
          <w:color w:val="0000FF"/>
          <w:kern w:val="0"/>
          <w:szCs w:val="21"/>
          <w:highlight w:val="none"/>
        </w:rPr>
        <w:t>郭三刚</w:t>
      </w:r>
      <w:bookmarkEnd w:id="32"/>
    </w:p>
    <w:p w14:paraId="4DBECB5E">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r>
        <w:rPr>
          <w:rFonts w:ascii="宋体" w:hAnsi="宋体" w:hint="eastAsia"/>
          <w:bCs/>
          <w:szCs w:val="21"/>
          <w:highlight w:val="none"/>
        </w:rPr>
        <w:t xml:space="preserve"> </w:t>
      </w:r>
      <w:bookmarkStart w:id="33" w:name="采购项目负责人办公电话_contactsTel"/>
      <w:r>
        <w:rPr>
          <w:rFonts w:ascii="宋体" w:hAnsi="宋体" w:hint="eastAsia"/>
          <w:bCs/>
          <w:szCs w:val="21"/>
          <w:highlight w:val="none"/>
        </w:rPr>
        <w:t>0971-6135315</w:t>
      </w:r>
      <w:bookmarkEnd w:id="33"/>
      <w:r>
        <w:rPr>
          <w:rFonts w:ascii="宋体" w:hAnsi="宋体" w:cs="微软雅黑" w:hint="eastAsia"/>
          <w:b/>
          <w:color w:val="0000FF"/>
          <w:kern w:val="0"/>
          <w:szCs w:val="21"/>
          <w:highlight w:val="none"/>
        </w:rPr>
        <w:t>（为防止个人信息泄露，建议联系电话为办公电话）</w:t>
      </w:r>
    </w:p>
    <w:p w14:paraId="07B2A99B">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4" w:name="采购单位所在地址_recorderOrgAddress"/>
      <w:r>
        <w:rPr>
          <w:rFonts w:ascii="宋体" w:hAnsi="宋体" w:cs="微软雅黑"/>
          <w:b/>
          <w:color w:val="0000FF"/>
          <w:kern w:val="0"/>
          <w:szCs w:val="21"/>
          <w:highlight w:val="none"/>
        </w:rPr>
        <w:t>青海省西宁市五四大街19号</w:t>
      </w:r>
      <w:bookmarkEnd w:id="34"/>
    </w:p>
    <w:p w14:paraId="7A761A93">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6AAEBF47">
      <w:pPr>
        <w:adjustRightInd w:val="0"/>
        <w:snapToGrid w:val="0"/>
        <w:spacing w:line="360" w:lineRule="auto"/>
        <w:ind w:firstLine="420" w:firstLineChars="200"/>
        <w:rPr>
          <w:rFonts w:ascii="宋体" w:hAnsi="宋体" w:cs="宋体"/>
          <w:szCs w:val="21"/>
          <w:highlight w:val="none"/>
        </w:rPr>
      </w:pPr>
      <w:r>
        <w:rPr>
          <w:rFonts w:ascii="宋体" w:hAnsi="宋体" w:cs="宋体" w:hint="eastAsia"/>
          <w:b/>
          <w:bCs/>
          <w:szCs w:val="21"/>
          <w:highlight w:val="none"/>
        </w:rPr>
        <w:t>采购中心</w:t>
      </w:r>
      <w:r>
        <w:rPr>
          <w:rFonts w:ascii="宋体" w:hAnsi="宋体" w:cs="宋体" w:hint="eastAsia"/>
          <w:szCs w:val="21"/>
          <w:highlight w:val="none"/>
        </w:rPr>
        <w:t>技术支持电话：</w:t>
      </w:r>
      <w:bookmarkStart w:id="35" w:name="技术电话_technicalSupportPhoneNumber"/>
      <w:r>
        <w:rPr>
          <w:rFonts w:ascii="宋体" w:hAnsi="宋体" w:cs="宋体" w:hint="eastAsia"/>
          <w:szCs w:val="21"/>
          <w:highlight w:val="none"/>
        </w:rPr>
        <w:t>13031966291</w:t>
      </w:r>
      <w:bookmarkEnd w:id="35"/>
    </w:p>
    <w:p w14:paraId="6AE6FF90">
      <w:pPr>
        <w:adjustRightInd w:val="0"/>
        <w:snapToGrid w:val="0"/>
        <w:spacing w:line="360" w:lineRule="auto"/>
        <w:jc w:val="center"/>
        <w:outlineLvl w:val="1"/>
        <w:rPr>
          <w:b/>
          <w:bCs/>
          <w:sz w:val="30"/>
          <w:szCs w:val="30"/>
        </w:rPr>
      </w:pPr>
      <w:r>
        <w:rPr>
          <w:b/>
          <w:bCs/>
          <w:szCs w:val="21"/>
          <w:highlight w:val="none"/>
        </w:rPr>
        <w:br w:type="page"/>
      </w:r>
      <w:bookmarkStart w:id="36" w:name="投标人须知专用部分_TBXZ"/>
      <w:r>
        <w:rPr>
          <w:rFonts w:ascii="Times New Roman" w:eastAsia="宋体" w:hAnsi="Times New Roman" w:cs="Times New Roman" w:hint="eastAsia"/>
          <w:b/>
          <w:bCs/>
          <w:sz w:val="30"/>
          <w:szCs w:val="30"/>
        </w:rPr>
        <w:t>第五章  投标人须知专用部分</w:t>
      </w:r>
    </w:p>
    <w:p w14:paraId="606124DA">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02BFE2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投标人须知专用部分</w:t>
      </w:r>
      <w:r>
        <w:rPr>
          <w:rFonts w:ascii="Times New Roman" w:eastAsia="宋体" w:hAnsi="Times New Roman" w:cs="Times New Roman" w:hint="eastAsia"/>
          <w:szCs w:val="21"/>
        </w:rPr>
        <w:t>表格中要求事项且已列入第三章、第八章投标被拒绝条款的，若有缺失或无效，将导致投标被拒绝且不允许在开标后补正</w:t>
      </w:r>
      <w:r>
        <w:rPr>
          <w:rFonts w:ascii="宋体" w:eastAsia="宋体" w:hAnsi="宋体" w:cs="Times New Roman" w:hint="eastAsia"/>
          <w:szCs w:val="21"/>
        </w:rPr>
        <w:t>。投标人须知通用部分或招标文件其余部分与本表不一致的，以本表要求为准。</w:t>
      </w:r>
    </w:p>
    <w:p w14:paraId="00829F7A">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5148377">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478955B1">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noWrap w:val="0"/>
            <w:vAlign w:val="center"/>
          </w:tcPr>
          <w:p w14:paraId="5FB59EBD">
            <w:pPr>
              <w:jc w:val="center"/>
              <w:rPr>
                <w:rFonts w:ascii="Times New Roman" w:eastAsia="宋体" w:hAnsi="Times New Roman" w:cs="Times New Roman"/>
                <w:b/>
                <w:szCs w:val="21"/>
              </w:rPr>
            </w:pPr>
            <w:r>
              <w:rPr>
                <w:rFonts w:ascii="Times New Roman" w:eastAsia="宋体" w:hAnsi="Times New Roman" w:cs="Times New Roman" w:hint="eastAsia"/>
                <w:b/>
                <w:szCs w:val="21"/>
              </w:rPr>
              <w:t>对应投标人须知通用部分的条款</w:t>
            </w:r>
          </w:p>
        </w:tc>
        <w:tc>
          <w:tcPr>
            <w:tcW w:w="1701" w:type="dxa"/>
            <w:noWrap w:val="0"/>
            <w:vAlign w:val="center"/>
          </w:tcPr>
          <w:p w14:paraId="3C9E0E1F">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noWrap w:val="0"/>
            <w:vAlign w:val="center"/>
          </w:tcPr>
          <w:p w14:paraId="651C8F8E">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0BBE22F">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14:paraId="0D43E56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noWrap w:val="0"/>
            <w:vAlign w:val="center"/>
          </w:tcPr>
          <w:p w14:paraId="6B3E471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noWrap w:val="0"/>
            <w:vAlign w:val="center"/>
          </w:tcPr>
          <w:p w14:paraId="723BFBAD">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noWrap w:val="0"/>
            <w:vAlign w:val="center"/>
          </w:tcPr>
          <w:p w14:paraId="0D2B7CC7">
            <w:pPr>
              <w:rPr>
                <w:rFonts w:ascii="宋体" w:eastAsia="宋体" w:hAnsi="宋体" w:cs="微软雅黑"/>
                <w:kern w:val="0"/>
                <w:szCs w:val="21"/>
              </w:rPr>
            </w:pPr>
            <w:bookmarkStart w:id="37" w:name="采购人2_recorderOrgName"/>
            <w:r>
              <w:rPr>
                <w:rFonts w:ascii="宋体" w:eastAsia="宋体" w:hAnsi="宋体" w:cs="微软雅黑" w:hint="eastAsia"/>
                <w:kern w:val="0"/>
                <w:szCs w:val="21"/>
              </w:rPr>
              <w:t>青海省人工影响天气中心</w:t>
            </w:r>
            <w:bookmarkEnd w:id="37"/>
          </w:p>
        </w:tc>
      </w:tr>
      <w:tr w14:paraId="700DB9DF">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14:paraId="41E779D3">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noWrap w:val="0"/>
            <w:vAlign w:val="center"/>
          </w:tcPr>
          <w:p w14:paraId="6FF6D4F0">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noWrap w:val="0"/>
            <w:vAlign w:val="center"/>
          </w:tcPr>
          <w:p w14:paraId="7EC45371">
            <w:pPr>
              <w:rPr>
                <w:rFonts w:ascii="Times New Roman" w:eastAsia="宋体" w:hAnsi="Times New Roman" w:cs="Times New Roman"/>
                <w:szCs w:val="21"/>
              </w:rPr>
            </w:pPr>
            <w:r>
              <w:rPr>
                <w:rFonts w:ascii="Times New Roman" w:eastAsia="宋体" w:hAnsi="Times New Roman" w:cs="Times New Roman" w:hint="eastAsia"/>
                <w:szCs w:val="21"/>
              </w:rPr>
              <w:t>投标人特殊资质条件</w:t>
            </w:r>
          </w:p>
        </w:tc>
        <w:tc>
          <w:tcPr>
            <w:tcW w:w="5209" w:type="dxa"/>
            <w:noWrap w:val="0"/>
            <w:vAlign w:val="center"/>
          </w:tcPr>
          <w:p w14:paraId="43C2EA2F">
            <w:pPr>
              <w:jc w:val="left"/>
              <w:rPr>
                <w:rFonts w:ascii="宋体" w:eastAsia="宋体" w:hAnsi="宋体" w:cs="微软雅黑"/>
                <w:kern w:val="0"/>
                <w:szCs w:val="21"/>
              </w:rPr>
            </w:pPr>
            <w:r>
              <w:rPr>
                <w:rFonts w:ascii="Calibri" w:eastAsia="宋体" w:hAnsi="Calibri" w:cs="微软雅黑" w:hint="eastAsia"/>
                <w:kern w:val="0"/>
                <w:szCs w:val="21"/>
              </w:rPr>
              <w:t>投标人应具有以下有效期超过投标截止日的资质：</w:t>
            </w:r>
            <w:bookmarkStart w:id="38" w:name="资_bidderQualificationValidBeyondDeadline"/>
            <w:r>
              <w:rPr>
                <w:rFonts w:ascii="宋体" w:hAnsi="宋体" w:cs="微软雅黑" w:hint="eastAsia"/>
                <w:kern w:val="0"/>
                <w:szCs w:val="21"/>
              </w:rPr>
              <w:t>投标人具有高性能增压仓人工增雨（雪）飞机飞行经历的飞行员（必含1名及以上机长）4名及以上</w:t>
            </w:r>
            <w:bookmarkEnd w:id="38"/>
          </w:p>
        </w:tc>
      </w:tr>
      <w:tr w14:paraId="2CC43608">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14:paraId="090E32AB">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noWrap w:val="0"/>
            <w:vAlign w:val="top"/>
          </w:tcPr>
          <w:p w14:paraId="6BFF0832">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noWrap w:val="0"/>
            <w:vAlign w:val="top"/>
          </w:tcPr>
          <w:p w14:paraId="6A51BD2A">
            <w:pPr>
              <w:rPr>
                <w:rFonts w:ascii="Times New Roman" w:eastAsia="宋体" w:hAnsi="Times New Roman" w:cs="Times New Roman"/>
                <w:kern w:val="0"/>
                <w:szCs w:val="21"/>
              </w:rPr>
            </w:pPr>
            <w:r>
              <w:rPr>
                <w:rFonts w:ascii="Times New Roman" w:eastAsia="宋体" w:hAnsi="Times New Roman" w:cs="Times New Roman" w:hint="eastAsia"/>
                <w:szCs w:val="20"/>
              </w:rPr>
              <w:t>是否允许</w:t>
            </w:r>
            <w:r>
              <w:rPr>
                <w:rFonts w:ascii="Times New Roman" w:eastAsia="宋体" w:hAnsi="Times New Roman" w:cs="Times New Roman" w:hint="eastAsia"/>
                <w:szCs w:val="20"/>
                <w:highlight w:val="green"/>
              </w:rPr>
              <w:t>联合体投标</w:t>
            </w:r>
          </w:p>
        </w:tc>
        <w:tc>
          <w:tcPr>
            <w:tcW w:w="5209" w:type="dxa"/>
            <w:noWrap w:val="0"/>
            <w:vAlign w:val="top"/>
          </w:tcPr>
          <w:p w14:paraId="139ED1DF">
            <w:pPr>
              <w:rPr>
                <w:rFonts w:ascii="宋体" w:eastAsia="宋体" w:hAnsi="宋体" w:cs="微软雅黑"/>
                <w:kern w:val="0"/>
                <w:szCs w:val="21"/>
              </w:rPr>
            </w:pPr>
            <w:bookmarkStart w:id="39" w:name="联合体投标_jointFlagText"/>
            <w:r>
              <w:rPr>
                <w:rFonts w:ascii="宋体" w:eastAsia="宋体" w:hAnsi="宋体" w:cs="微软雅黑" w:hint="eastAsia"/>
                <w:kern w:val="0"/>
                <w:szCs w:val="21"/>
              </w:rPr>
              <w:t>不允许</w:t>
            </w:r>
            <w:bookmarkEnd w:id="39"/>
          </w:p>
        </w:tc>
      </w:tr>
      <w:tr w14:paraId="17CAF56E">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14:paraId="15A59E9C">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noWrap w:val="0"/>
            <w:vAlign w:val="center"/>
          </w:tcPr>
          <w:p w14:paraId="4CBB8B8C">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noWrap w:val="0"/>
            <w:vAlign w:val="center"/>
          </w:tcPr>
          <w:p w14:paraId="748CE376">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noWrap w:val="0"/>
            <w:vAlign w:val="center"/>
          </w:tcPr>
          <w:p w14:paraId="0DF81769">
            <w:pPr>
              <w:rPr>
                <w:rFonts w:ascii="宋体" w:eastAsia="宋体" w:hAnsi="宋体" w:cs="微软雅黑"/>
                <w:kern w:val="0"/>
                <w:szCs w:val="21"/>
              </w:rPr>
            </w:pPr>
            <w:bookmarkStart w:id="40" w:name="服务团队_isMakeSpecializedServiceFlagText"/>
            <w:r>
              <w:rPr>
                <w:rFonts w:ascii="宋体" w:eastAsia="宋体" w:hAnsi="宋体" w:cs="微软雅黑" w:hint="eastAsia"/>
                <w:kern w:val="0"/>
                <w:szCs w:val="21"/>
              </w:rPr>
              <w:t>需要，组成不少于 5 人的服务团队，具体要求详见第七章采购需求。</w:t>
            </w:r>
            <w:bookmarkEnd w:id="40"/>
          </w:p>
        </w:tc>
      </w:tr>
      <w:tr w14:paraId="647D34A6">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14:paraId="29CCE08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noWrap w:val="0"/>
            <w:vAlign w:val="center"/>
          </w:tcPr>
          <w:p w14:paraId="3EB35A3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noWrap w:val="0"/>
            <w:vAlign w:val="center"/>
          </w:tcPr>
          <w:p w14:paraId="63213549">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noWrap w:val="0"/>
            <w:vAlign w:val="center"/>
          </w:tcPr>
          <w:p w14:paraId="5D2FE8AA">
            <w:pPr>
              <w:rPr>
                <w:rFonts w:ascii="宋体" w:eastAsia="宋体" w:hAnsi="宋体" w:cs="微软雅黑"/>
                <w:kern w:val="0"/>
                <w:szCs w:val="21"/>
              </w:rPr>
            </w:pPr>
            <w:bookmarkStart w:id="41" w:name="驻场服务_residentServiceFlagText"/>
            <w:r>
              <w:rPr>
                <w:rFonts w:ascii="宋体" w:eastAsia="宋体" w:hAnsi="宋体" w:cs="微软雅黑" w:hint="eastAsia"/>
                <w:kern w:val="0"/>
                <w:szCs w:val="21"/>
              </w:rPr>
              <w:t>是，驻场服务人员不少于 5 人，其相关要求详见第七章采购需求。</w:t>
            </w:r>
            <w:bookmarkEnd w:id="41"/>
          </w:p>
        </w:tc>
      </w:tr>
      <w:tr w14:paraId="32DF0989">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14:paraId="1A7A08F3">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noWrap w:val="0"/>
            <w:vAlign w:val="center"/>
          </w:tcPr>
          <w:p w14:paraId="05A7B23E">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noWrap w:val="0"/>
            <w:vAlign w:val="center"/>
          </w:tcPr>
          <w:p w14:paraId="3A4EA82E">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noWrap w:val="0"/>
            <w:vAlign w:val="center"/>
          </w:tcPr>
          <w:p w14:paraId="25C37A65">
            <w:pPr>
              <w:rPr>
                <w:rFonts w:ascii="宋体" w:eastAsia="宋体" w:hAnsi="宋体" w:cs="微软雅黑"/>
                <w:kern w:val="0"/>
                <w:szCs w:val="21"/>
                <w:highlight w:val="yellow"/>
              </w:rPr>
            </w:pPr>
            <w:bookmarkStart w:id="42" w:name="选择是否为货物_includingGoodsFlagText"/>
            <w:r>
              <w:rPr>
                <w:rFonts w:ascii="宋体" w:eastAsia="宋体" w:hAnsi="宋体" w:cs="微软雅黑" w:hint="eastAsia"/>
                <w:kern w:val="0"/>
                <w:szCs w:val="21"/>
                <w:highlight w:val="yellow"/>
              </w:rPr>
              <w:t>否</w:t>
            </w:r>
            <w:bookmarkEnd w:id="42"/>
          </w:p>
        </w:tc>
      </w:tr>
      <w:tr w14:paraId="2D80D711">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14:paraId="490C2BD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noWrap w:val="0"/>
            <w:vAlign w:val="center"/>
          </w:tcPr>
          <w:p w14:paraId="5966CF5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noWrap w:val="0"/>
            <w:vAlign w:val="center"/>
          </w:tcPr>
          <w:p w14:paraId="6F5D3E56">
            <w:pPr>
              <w:rPr>
                <w:rFonts w:ascii="Times New Roman" w:eastAsia="宋体" w:hAnsi="Times New Roman" w:cs="Times New Roman"/>
                <w:szCs w:val="21"/>
              </w:rPr>
            </w:pPr>
            <w:r>
              <w:rPr>
                <w:rFonts w:ascii="Calibri" w:eastAsia="宋体" w:hAnsi="Calibri" w:cs="Times New Roman" w:hint="eastAsia"/>
                <w:szCs w:val="21"/>
                <w:highlight w:val="yellow"/>
              </w:rPr>
              <w:t>进口产品</w:t>
            </w:r>
            <w:r>
              <w:rPr>
                <w:rFonts w:ascii="Calibri" w:eastAsia="宋体" w:hAnsi="Calibri" w:cs="Times New Roman" w:hint="eastAsia"/>
                <w:szCs w:val="21"/>
              </w:rPr>
              <w:t>代理商应提交资料</w:t>
            </w:r>
          </w:p>
        </w:tc>
        <w:tc>
          <w:tcPr>
            <w:tcW w:w="5209" w:type="dxa"/>
            <w:noWrap w:val="0"/>
            <w:vAlign w:val="center"/>
          </w:tcPr>
          <w:p w14:paraId="3CB94E66">
            <w:pPr>
              <w:rPr>
                <w:rFonts w:ascii="宋体" w:eastAsia="宋体" w:hAnsi="宋体" w:cs="微软雅黑"/>
                <w:b/>
                <w:color w:val="0000FF"/>
                <w:kern w:val="0"/>
                <w:szCs w:val="21"/>
              </w:rPr>
            </w:pPr>
            <w:r>
              <w:rPr>
                <w:rFonts w:ascii="宋体" w:eastAsia="宋体" w:hAnsi="宋体" w:cs="微软雅黑" w:hint="eastAsia"/>
                <w:kern w:val="0"/>
                <w:szCs w:val="21"/>
              </w:rPr>
              <w:t>进口产品制造商授权书</w:t>
            </w:r>
          </w:p>
        </w:tc>
      </w:tr>
      <w:tr w14:paraId="6484AD89">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14:paraId="48D221A4">
            <w:pPr>
              <w:rPr>
                <w:rFonts w:ascii="Calibri" w:eastAsia="宋体" w:hAnsi="Calibri" w:cs="Times New Roman"/>
              </w:rPr>
            </w:pPr>
            <w:r>
              <w:rPr>
                <w:rFonts w:ascii="Calibri" w:eastAsia="宋体" w:hAnsi="Calibri" w:cs="Times New Roman" w:hint="eastAsia"/>
                <w:szCs w:val="22"/>
              </w:rPr>
              <w:t>5.8</w:t>
            </w:r>
          </w:p>
        </w:tc>
        <w:tc>
          <w:tcPr>
            <w:tcW w:w="1418" w:type="dxa"/>
            <w:noWrap w:val="0"/>
            <w:vAlign w:val="center"/>
          </w:tcPr>
          <w:p w14:paraId="1D75F4A4">
            <w:pPr>
              <w:rPr>
                <w:rFonts w:ascii="Calibri" w:eastAsia="宋体" w:hAnsi="Calibri" w:cs="Times New Roman"/>
              </w:rPr>
            </w:pPr>
            <w:r>
              <w:rPr>
                <w:rFonts w:ascii="Calibri" w:eastAsia="宋体" w:hAnsi="Calibri" w:cs="Times New Roman" w:hint="eastAsia"/>
                <w:szCs w:val="22"/>
              </w:rPr>
              <w:t>1.6.1</w:t>
            </w:r>
          </w:p>
        </w:tc>
        <w:tc>
          <w:tcPr>
            <w:tcW w:w="1701" w:type="dxa"/>
            <w:noWrap w:val="0"/>
            <w:vAlign w:val="center"/>
          </w:tcPr>
          <w:p w14:paraId="75798FFD">
            <w:pPr>
              <w:rPr>
                <w:rFonts w:ascii="Calibri" w:eastAsia="宋体" w:hAnsi="Calibri" w:cs="Times New Roman"/>
              </w:rPr>
            </w:pPr>
            <w:r>
              <w:rPr>
                <w:rFonts w:ascii="Calibri" w:eastAsia="宋体" w:hAnsi="Calibri" w:cs="Times New Roman" w:hint="eastAsia"/>
                <w:szCs w:val="22"/>
              </w:rPr>
              <w:t>采购标的对应的中小企业划分标准所属行业</w:t>
            </w:r>
          </w:p>
        </w:tc>
        <w:tc>
          <w:tcPr>
            <w:tcW w:w="5209" w:type="dxa"/>
            <w:noWrap w:val="0"/>
            <w:vAlign w:val="center"/>
          </w:tcPr>
          <w:p w14:paraId="38032235">
            <w:pPr>
              <w:rPr>
                <w:rFonts w:ascii="Calibri" w:eastAsia="宋体" w:hAnsi="Calibri" w:cs="Times New Roman"/>
              </w:rPr>
            </w:pPr>
            <w:r>
              <w:rPr>
                <w:rFonts w:ascii="Calibri" w:eastAsia="宋体" w:hAnsi="Calibri" w:cs="Times New Roman" w:hint="eastAsia"/>
                <w:szCs w:val="22"/>
              </w:rPr>
              <w:t>所属行业划分标准为：《关于印发中小企业划型标准规定的通知》（工信部联企业〔2011〕300号）</w:t>
            </w:r>
          </w:p>
          <w:p w14:paraId="4D58ACDD">
            <w:pPr>
              <w:rPr>
                <w:rFonts w:ascii="宋体" w:hAnsi="宋体" w:cs="微软雅黑" w:hint="eastAsia"/>
                <w:kern w:val="0"/>
                <w:szCs w:val="21"/>
              </w:rPr>
            </w:pPr>
            <w:bookmarkStart w:id="43" w:name="行业_smeIndustryClassification"/>
            <w:r>
              <w:rPr>
                <w:rFonts w:ascii="宋体" w:hAnsi="宋体" w:cs="微软雅黑" w:hint="eastAsia"/>
                <w:kern w:val="0"/>
                <w:szCs w:val="21"/>
              </w:rPr>
              <w:t>（1）标的： 飞机人工增雨（雪）作业服务   ，属于其它行业；</w:t>
            </w:r>
            <w:bookmarkEnd w:id="43"/>
          </w:p>
        </w:tc>
      </w:tr>
      <w:tr w14:paraId="44A50DB8">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14:paraId="5060AE73">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noWrap w:val="0"/>
            <w:vAlign w:val="center"/>
          </w:tcPr>
          <w:p w14:paraId="75751AA3">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noWrap w:val="0"/>
            <w:vAlign w:val="center"/>
          </w:tcPr>
          <w:p w14:paraId="2A76EB96">
            <w:pPr>
              <w:rPr>
                <w:rFonts w:ascii="Times New Roman" w:eastAsia="宋体" w:hAnsi="Times New Roman" w:cs="Times New Roman"/>
                <w:szCs w:val="21"/>
              </w:rPr>
            </w:pPr>
            <w:r>
              <w:rPr>
                <w:rFonts w:ascii="Calibri" w:eastAsia="宋体" w:hAnsi="Calibri" w:cs="Times New Roman" w:hint="eastAsia"/>
                <w:szCs w:val="21"/>
                <w:highlight w:val="yellow"/>
              </w:rPr>
              <w:t>是否预留采购份额面向中小企业采购</w:t>
            </w:r>
          </w:p>
        </w:tc>
        <w:tc>
          <w:tcPr>
            <w:tcW w:w="5209" w:type="dxa"/>
            <w:noWrap w:val="0"/>
            <w:vAlign w:val="center"/>
          </w:tcPr>
          <w:p w14:paraId="200FCAFA">
            <w:pPr>
              <w:rPr>
                <w:rFonts w:ascii="宋体" w:hAnsi="宋体" w:cs="微软雅黑" w:hint="eastAsia"/>
                <w:kern w:val="0"/>
                <w:szCs w:val="21"/>
                <w:highlight w:val="yellow"/>
              </w:rPr>
            </w:pPr>
            <w:bookmarkStart w:id="44" w:name="中小企业_minorEnterprisesFlagText"/>
            <w:r>
              <w:rPr>
                <w:rFonts w:ascii="Wingdings 2" w:hAnsi="Wingdings 2" w:cs="微软雅黑" w:hint="eastAsia"/>
                <w:kern w:val="0"/>
                <w:szCs w:val="21"/>
                <w:lang w:eastAsia="zh-CN"/>
              </w:rPr>
              <w:t>否</w:t>
            </w:r>
            <w:bookmarkEnd w:id="44"/>
          </w:p>
        </w:tc>
      </w:tr>
      <w:tr w14:paraId="4505D9D5">
        <w:tblPrEx>
          <w:tblW w:w="9003" w:type="dxa"/>
          <w:tblInd w:w="0" w:type="dxa"/>
          <w:tblLayout w:type="fixed"/>
          <w:tblCellMar>
            <w:top w:w="0" w:type="dxa"/>
            <w:left w:w="108" w:type="dxa"/>
            <w:bottom w:w="0" w:type="dxa"/>
            <w:right w:w="108" w:type="dxa"/>
          </w:tblCellMar>
        </w:tblPrEx>
        <w:tc>
          <w:tcPr>
            <w:tcW w:w="675" w:type="dxa"/>
            <w:noWrap w:val="0"/>
            <w:vAlign w:val="center"/>
          </w:tcPr>
          <w:p w14:paraId="1B09E66F">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noWrap w:val="0"/>
            <w:vAlign w:val="center"/>
          </w:tcPr>
          <w:p w14:paraId="71CE0534">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noWrap w:val="0"/>
            <w:vAlign w:val="center"/>
          </w:tcPr>
          <w:p w14:paraId="4125613A">
            <w:pPr>
              <w:rPr>
                <w:rFonts w:ascii="Times New Roman" w:eastAsia="宋体" w:hAnsi="Times New Roman" w:cs="Times New Roman"/>
                <w:szCs w:val="21"/>
              </w:rPr>
            </w:pPr>
            <w:r>
              <w:rPr>
                <w:rFonts w:ascii="Times New Roman" w:eastAsia="宋体" w:hAnsi="Times New Roman" w:cs="Times New Roman" w:hint="eastAsia"/>
                <w:szCs w:val="21"/>
              </w:rPr>
              <w:t>中标人是否交纳</w:t>
            </w:r>
            <w:r>
              <w:rPr>
                <w:rFonts w:ascii="Times New Roman" w:eastAsia="宋体" w:hAnsi="Times New Roman" w:cs="Times New Roman" w:hint="eastAsia"/>
                <w:szCs w:val="21"/>
                <w:highlight w:val="green"/>
              </w:rPr>
              <w:t>代理服务费</w:t>
            </w:r>
          </w:p>
        </w:tc>
        <w:tc>
          <w:tcPr>
            <w:tcW w:w="5209" w:type="dxa"/>
            <w:noWrap w:val="0"/>
            <w:vAlign w:val="center"/>
          </w:tcPr>
          <w:p w14:paraId="5A420154">
            <w:pPr>
              <w:rPr>
                <w:rFonts w:ascii="宋体" w:eastAsia="宋体" w:hAnsi="宋体" w:cs="微软雅黑"/>
                <w:kern w:val="0"/>
                <w:szCs w:val="21"/>
              </w:rPr>
            </w:pPr>
            <w:bookmarkStart w:id="45" w:name="代理服务费_agentAmountText"/>
            <w:r>
              <w:rPr>
                <w:rFonts w:ascii="宋体" w:eastAsia="宋体" w:hAnsi="宋体" w:cs="微软雅黑" w:hint="eastAsia"/>
                <w:kern w:val="0"/>
                <w:szCs w:val="21"/>
              </w:rPr>
              <w:t>是，代理服务费：6.70万元。</w:t>
            </w:r>
            <w:bookmarkEnd w:id="45"/>
          </w:p>
        </w:tc>
      </w:tr>
      <w:tr w14:paraId="62FA775D">
        <w:tblPrEx>
          <w:tblW w:w="9003" w:type="dxa"/>
          <w:tblInd w:w="0" w:type="dxa"/>
          <w:tblLayout w:type="fixed"/>
          <w:tblCellMar>
            <w:top w:w="0" w:type="dxa"/>
            <w:left w:w="108" w:type="dxa"/>
            <w:bottom w:w="0" w:type="dxa"/>
            <w:right w:w="108" w:type="dxa"/>
          </w:tblCellMar>
        </w:tblPrEx>
        <w:tc>
          <w:tcPr>
            <w:tcW w:w="675" w:type="dxa"/>
            <w:noWrap w:val="0"/>
            <w:vAlign w:val="top"/>
          </w:tcPr>
          <w:p w14:paraId="75D3423D">
            <w:pPr>
              <w:rPr>
                <w:rFonts w:ascii="Calibri" w:eastAsia="宋体" w:hAnsi="Calibri" w:cs="Times New Roman"/>
              </w:rPr>
            </w:pPr>
            <w:r>
              <w:rPr>
                <w:rFonts w:ascii="Calibri" w:eastAsia="宋体" w:hAnsi="Calibri" w:cs="Times New Roman" w:hint="eastAsia"/>
                <w:szCs w:val="22"/>
              </w:rPr>
              <w:t>5</w:t>
            </w:r>
            <w:r>
              <w:rPr>
                <w:rFonts w:ascii="Calibri" w:eastAsia="宋体" w:hAnsi="Calibri" w:cs="Times New Roman"/>
                <w:szCs w:val="22"/>
              </w:rPr>
              <w:t>.</w:t>
            </w:r>
            <w:r>
              <w:rPr>
                <w:rFonts w:ascii="Calibri" w:eastAsia="宋体" w:hAnsi="Calibri" w:cs="Times New Roman" w:hint="eastAsia"/>
                <w:szCs w:val="22"/>
              </w:rPr>
              <w:t>11</w:t>
            </w:r>
          </w:p>
        </w:tc>
        <w:tc>
          <w:tcPr>
            <w:tcW w:w="1418" w:type="dxa"/>
            <w:noWrap w:val="0"/>
            <w:vAlign w:val="top"/>
          </w:tcPr>
          <w:p w14:paraId="2A72437F">
            <w:pPr>
              <w:rPr>
                <w:rFonts w:ascii="Calibri" w:eastAsia="宋体" w:hAnsi="Calibri" w:cs="Times New Roman"/>
              </w:rPr>
            </w:pPr>
            <w:r>
              <w:rPr>
                <w:rFonts w:ascii="Calibri" w:eastAsia="宋体" w:hAnsi="Calibri" w:cs="Times New Roman"/>
                <w:szCs w:val="22"/>
              </w:rPr>
              <w:t>1.1</w:t>
            </w:r>
            <w:r>
              <w:rPr>
                <w:rFonts w:ascii="Calibri" w:eastAsia="宋体" w:hAnsi="Calibri" w:cs="Times New Roman" w:hint="eastAsia"/>
                <w:szCs w:val="22"/>
              </w:rPr>
              <w:t>2</w:t>
            </w:r>
            <w:r>
              <w:rPr>
                <w:rFonts w:ascii="Calibri" w:eastAsia="宋体" w:hAnsi="Calibri" w:cs="Times New Roman"/>
                <w:szCs w:val="22"/>
              </w:rPr>
              <w:t>.7</w:t>
            </w:r>
          </w:p>
        </w:tc>
        <w:tc>
          <w:tcPr>
            <w:tcW w:w="1701" w:type="dxa"/>
            <w:noWrap w:val="0"/>
            <w:vAlign w:val="top"/>
          </w:tcPr>
          <w:p w14:paraId="39BFA973">
            <w:pPr>
              <w:rPr>
                <w:rFonts w:ascii="Calibri" w:eastAsia="宋体" w:hAnsi="Calibri" w:cs="Times New Roman"/>
              </w:rPr>
            </w:pPr>
            <w:r>
              <w:rPr>
                <w:rFonts w:ascii="Calibri" w:eastAsia="宋体" w:hAnsi="Calibri" w:cs="Times New Roman" w:hint="eastAsia"/>
                <w:szCs w:val="22"/>
              </w:rPr>
              <w:t>是否组织现场考察或开标前答疑会</w:t>
            </w:r>
          </w:p>
        </w:tc>
        <w:tc>
          <w:tcPr>
            <w:tcW w:w="5209" w:type="dxa"/>
            <w:noWrap w:val="0"/>
            <w:vAlign w:val="top"/>
          </w:tcPr>
          <w:p w14:paraId="565ADB4D">
            <w:pPr>
              <w:rPr>
                <w:rFonts w:ascii="宋体" w:hAnsi="宋体" w:cs="微软雅黑" w:hint="eastAsia"/>
                <w:kern w:val="0"/>
                <w:szCs w:val="21"/>
              </w:rPr>
            </w:pPr>
            <w:bookmarkStart w:id="46" w:name="答疑会_answeringQuestionFlagText"/>
            <w:r>
              <w:rPr>
                <w:rFonts w:ascii="宋体" w:hAnsi="宋体" w:cs="微软雅黑" w:hint="eastAsia"/>
                <w:kern w:val="0"/>
                <w:szCs w:val="21"/>
              </w:rPr>
              <w:t>否</w:t>
            </w:r>
            <w:bookmarkEnd w:id="46"/>
          </w:p>
        </w:tc>
      </w:tr>
      <w:tr w14:paraId="68CD4965">
        <w:tblPrEx>
          <w:tblW w:w="9003" w:type="dxa"/>
          <w:tblInd w:w="0" w:type="dxa"/>
          <w:tblLayout w:type="fixed"/>
          <w:tblCellMar>
            <w:top w:w="0" w:type="dxa"/>
            <w:left w:w="108" w:type="dxa"/>
            <w:bottom w:w="0" w:type="dxa"/>
            <w:right w:w="108" w:type="dxa"/>
          </w:tblCellMar>
        </w:tblPrEx>
        <w:tc>
          <w:tcPr>
            <w:tcW w:w="675" w:type="dxa"/>
            <w:noWrap w:val="0"/>
            <w:vAlign w:val="top"/>
          </w:tcPr>
          <w:p w14:paraId="0F73A338">
            <w:pPr>
              <w:rPr>
                <w:rFonts w:ascii="Calibri" w:eastAsia="宋体" w:hAnsi="Calibri" w:cs="Times New Roman"/>
              </w:rPr>
            </w:pPr>
            <w:r>
              <w:rPr>
                <w:rFonts w:ascii="Calibri" w:eastAsia="宋体" w:hAnsi="Calibri" w:cs="Times New Roman" w:hint="eastAsia"/>
                <w:szCs w:val="22"/>
              </w:rPr>
              <w:t>5</w:t>
            </w:r>
            <w:r>
              <w:rPr>
                <w:rFonts w:ascii="Calibri" w:eastAsia="宋体" w:hAnsi="Calibri" w:cs="Times New Roman"/>
                <w:szCs w:val="22"/>
              </w:rPr>
              <w:t>.</w:t>
            </w:r>
            <w:r>
              <w:rPr>
                <w:rFonts w:ascii="Calibri" w:eastAsia="宋体" w:hAnsi="Calibri" w:cs="Times New Roman" w:hint="eastAsia"/>
                <w:szCs w:val="22"/>
              </w:rPr>
              <w:t>12</w:t>
            </w:r>
          </w:p>
        </w:tc>
        <w:tc>
          <w:tcPr>
            <w:tcW w:w="1418" w:type="dxa"/>
            <w:noWrap w:val="0"/>
            <w:vAlign w:val="top"/>
          </w:tcPr>
          <w:p w14:paraId="06E24E76">
            <w:pPr>
              <w:rPr>
                <w:rFonts w:ascii="Calibri" w:eastAsia="宋体" w:hAnsi="Calibri" w:cs="Times New Roman"/>
              </w:rPr>
            </w:pPr>
            <w:r>
              <w:rPr>
                <w:rFonts w:ascii="Calibri" w:eastAsia="宋体" w:hAnsi="Calibri" w:cs="Times New Roman" w:hint="eastAsia"/>
                <w:szCs w:val="22"/>
              </w:rPr>
              <w:t>1.14.2、1.14.3</w:t>
            </w:r>
          </w:p>
        </w:tc>
        <w:tc>
          <w:tcPr>
            <w:tcW w:w="1701" w:type="dxa"/>
            <w:noWrap w:val="0"/>
            <w:vAlign w:val="top"/>
          </w:tcPr>
          <w:p w14:paraId="3C86AA06">
            <w:pPr>
              <w:rPr>
                <w:rFonts w:ascii="Calibri" w:eastAsia="宋体" w:hAnsi="Calibri" w:cs="Times New Roman"/>
              </w:rPr>
            </w:pPr>
            <w:r>
              <w:rPr>
                <w:rFonts w:ascii="Calibri" w:eastAsia="宋体" w:hAnsi="Calibri" w:cs="Times New Roman" w:hint="eastAsia"/>
                <w:szCs w:val="21"/>
              </w:rPr>
              <w:t>投标人应提交其他商务文件和技术文件</w:t>
            </w:r>
          </w:p>
        </w:tc>
        <w:tc>
          <w:tcPr>
            <w:tcW w:w="5209" w:type="dxa"/>
            <w:noWrap w:val="0"/>
            <w:vAlign w:val="top"/>
          </w:tcPr>
          <w:p w14:paraId="637005AC">
            <w:pPr>
              <w:rPr>
                <w:rFonts w:ascii="宋体" w:eastAsia="宋体" w:hAnsi="宋体" w:cs="微软雅黑"/>
                <w:kern w:val="0"/>
                <w:szCs w:val="21"/>
              </w:rPr>
            </w:pPr>
            <w:r>
              <w:rPr>
                <w:rFonts w:ascii="宋体" w:eastAsia="宋体" w:hAnsi="宋体" w:cs="微软雅黑" w:hint="eastAsia"/>
                <w:kern w:val="0"/>
                <w:szCs w:val="21"/>
              </w:rPr>
              <w:t>除通用册投标人须知要求提交的商务和技术文件外，投标人还应提交下列商务和技术文件：</w:t>
            </w:r>
          </w:p>
          <w:p w14:paraId="3A76971D">
            <w:pPr>
              <w:rPr>
                <w:rFonts w:ascii="Calibri" w:eastAsia="宋体" w:hAnsi="Calibri" w:cs="Times New Roman"/>
              </w:rPr>
            </w:pPr>
            <w:r>
              <w:rPr>
                <w:rFonts w:ascii="宋体" w:eastAsia="宋体" w:hAnsi="宋体" w:cs="微软雅黑" w:hint="eastAsia"/>
                <w:kern w:val="0"/>
                <w:szCs w:val="21"/>
              </w:rPr>
              <w:t>无</w:t>
            </w:r>
          </w:p>
        </w:tc>
      </w:tr>
      <w:tr w14:paraId="3A73AA2E">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14:paraId="1E33833D">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noWrap w:val="0"/>
            <w:vAlign w:val="center"/>
          </w:tcPr>
          <w:p w14:paraId="0259C3F4">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noWrap w:val="0"/>
            <w:vAlign w:val="center"/>
          </w:tcPr>
          <w:p w14:paraId="356D6C9A">
            <w:pPr>
              <w:rPr>
                <w:rFonts w:ascii="Times New Roman" w:eastAsia="宋体" w:hAnsi="Times New Roman" w:cs="Times New Roman"/>
                <w:szCs w:val="21"/>
              </w:rPr>
            </w:pPr>
            <w:r>
              <w:rPr>
                <w:rFonts w:ascii="Times New Roman" w:eastAsia="宋体" w:hAnsi="Times New Roman" w:cs="Times New Roman" w:hint="eastAsia"/>
                <w:szCs w:val="21"/>
              </w:rPr>
              <w:t>本次招标是否需要提交投标保证金</w:t>
            </w:r>
          </w:p>
        </w:tc>
        <w:tc>
          <w:tcPr>
            <w:tcW w:w="5209" w:type="dxa"/>
            <w:noWrap w:val="0"/>
            <w:vAlign w:val="center"/>
          </w:tcPr>
          <w:p w14:paraId="5A8D61CD">
            <w:pPr>
              <w:rPr>
                <w:rFonts w:asciiTheme="minorEastAsia" w:hAnsiTheme="minorEastAsia" w:cstheme="minorEastAsia" w:hint="eastAsia"/>
                <w:kern w:val="0"/>
                <w:szCs w:val="21"/>
              </w:rPr>
            </w:pPr>
            <w:bookmarkStart w:id="47" w:name="标保证金_bailFlagText"/>
            <w:r>
              <w:rPr>
                <w:rFonts w:asciiTheme="minorEastAsia" w:eastAsiaTheme="minorEastAsia" w:hAnsiTheme="minorEastAsia" w:cstheme="minorEastAsia" w:hint="eastAsia"/>
                <w:kern w:val="0"/>
                <w:szCs w:val="21"/>
              </w:rPr>
              <w:t>否</w:t>
            </w:r>
            <w:bookmarkEnd w:id="47"/>
          </w:p>
        </w:tc>
      </w:tr>
      <w:tr w14:paraId="065619BE">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14:paraId="6593F681">
            <w:pPr>
              <w:rPr>
                <w:rFonts w:ascii="Times New Roman" w:eastAsia="宋体" w:hAnsi="Times New Roman" w:cs="Times New Roman" w:hint="eastAsia"/>
                <w:szCs w:val="21"/>
              </w:rPr>
            </w:pPr>
            <w:r>
              <w:rPr>
                <w:rFonts w:ascii="Times New Roman" w:eastAsia="宋体" w:hAnsi="Times New Roman" w:cs="Times New Roman" w:hint="eastAsia"/>
                <w:szCs w:val="21"/>
              </w:rPr>
              <w:t>5.14</w:t>
            </w:r>
          </w:p>
        </w:tc>
        <w:tc>
          <w:tcPr>
            <w:tcW w:w="1418" w:type="dxa"/>
            <w:noWrap w:val="0"/>
            <w:vAlign w:val="center"/>
          </w:tcPr>
          <w:p w14:paraId="6CF9C3A1">
            <w:pPr>
              <w:rPr>
                <w:rFonts w:ascii="Times New Roman" w:eastAsia="宋体" w:hAnsi="Times New Roman" w:cs="Times New Roman" w:hint="eastAsia"/>
                <w:szCs w:val="21"/>
              </w:rPr>
            </w:pPr>
            <w:r>
              <w:rPr>
                <w:rFonts w:ascii="Times New Roman" w:eastAsia="宋体" w:hAnsi="Times New Roman" w:cs="Times New Roman" w:hint="eastAsia"/>
                <w:szCs w:val="21"/>
              </w:rPr>
              <w:t>1.17.2</w:t>
            </w:r>
          </w:p>
        </w:tc>
        <w:tc>
          <w:tcPr>
            <w:tcW w:w="1701" w:type="dxa"/>
            <w:noWrap w:val="0"/>
            <w:vAlign w:val="center"/>
          </w:tcPr>
          <w:p w14:paraId="0DD4C05D">
            <w:pPr>
              <w:rPr>
                <w:rFonts w:ascii="Times New Roman" w:eastAsia="宋体" w:hAnsi="Times New Roman" w:cs="Times New Roman" w:hint="eastAsia"/>
                <w:szCs w:val="21"/>
              </w:rPr>
            </w:pPr>
            <w:r>
              <w:rPr>
                <w:rFonts w:ascii="Times New Roman" w:eastAsia="宋体" w:hAnsi="Times New Roman" w:cs="Times New Roman" w:hint="eastAsia"/>
                <w:szCs w:val="21"/>
              </w:rPr>
              <w:t>项目预算</w:t>
            </w:r>
          </w:p>
        </w:tc>
        <w:tc>
          <w:tcPr>
            <w:tcW w:w="5209" w:type="dxa"/>
            <w:noWrap w:val="0"/>
            <w:vAlign w:val="center"/>
          </w:tcPr>
          <w:p w14:paraId="0D0D56B7">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8" w:name="预算金额_budgetAmount"/>
            <w:r>
              <w:rPr>
                <w:rFonts w:ascii="宋体" w:hAnsi="宋体" w:cs="微软雅黑" w:hint="eastAsia"/>
                <w:kern w:val="0"/>
                <w:szCs w:val="21"/>
              </w:rPr>
              <w:t>946.000000</w:t>
            </w:r>
            <w:bookmarkEnd w:id="48"/>
            <w:r>
              <w:rPr>
                <w:rFonts w:ascii="宋体" w:hAnsi="宋体" w:cs="微软雅黑" w:hint="eastAsia"/>
                <w:kern w:val="0"/>
                <w:szCs w:val="21"/>
              </w:rPr>
              <w:t>万</w:t>
            </w:r>
            <w:r>
              <w:rPr>
                <w:rFonts w:ascii="宋体" w:eastAsia="宋体" w:hAnsi="宋体" w:cs="微软雅黑" w:hint="eastAsia"/>
                <w:kern w:val="0"/>
                <w:szCs w:val="21"/>
              </w:rPr>
              <w:t>元</w:t>
            </w:r>
            <w:r>
              <w:rPr>
                <w:rFonts w:ascii="Times New Roman" w:eastAsia="宋体" w:hAnsi="Times New Roman" w:cs="Times New Roman" w:hint="eastAsia"/>
                <w:szCs w:val="21"/>
              </w:rPr>
              <w:t>。</w:t>
            </w:r>
          </w:p>
        </w:tc>
      </w:tr>
      <w:tr w14:paraId="792FC1DF">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14:paraId="56F6CE80">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noWrap w:val="0"/>
            <w:vAlign w:val="center"/>
          </w:tcPr>
          <w:p w14:paraId="5A17AAA0">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noWrap w:val="0"/>
            <w:vAlign w:val="center"/>
          </w:tcPr>
          <w:p w14:paraId="6D32E1D5">
            <w:pPr>
              <w:rPr>
                <w:rFonts w:ascii="Times New Roman" w:eastAsia="宋体" w:hAnsi="Times New Roman" w:cs="Times New Roman"/>
                <w:szCs w:val="21"/>
              </w:rPr>
            </w:pPr>
            <w:r>
              <w:rPr>
                <w:rFonts w:ascii="Times New Roman" w:eastAsia="宋体" w:hAnsi="Times New Roman" w:cs="Times New Roman" w:hint="eastAsia"/>
                <w:szCs w:val="21"/>
              </w:rPr>
              <w:t>是否允许投标人将项目非主体、非关键性工作交由他人完成</w:t>
            </w:r>
          </w:p>
        </w:tc>
        <w:tc>
          <w:tcPr>
            <w:tcW w:w="5209" w:type="dxa"/>
            <w:noWrap w:val="0"/>
            <w:vAlign w:val="center"/>
          </w:tcPr>
          <w:p w14:paraId="5C3C3592">
            <w:pPr>
              <w:rPr>
                <w:rFonts w:ascii="宋体" w:hAnsi="宋体" w:cs="微软雅黑" w:hint="eastAsia"/>
                <w:kern w:val="0"/>
                <w:szCs w:val="21"/>
              </w:rPr>
            </w:pPr>
            <w:bookmarkStart w:id="49" w:name="关键性工作_entrustingOthersFlagText"/>
            <w:r>
              <w:rPr>
                <w:rFonts w:ascii="Wingdings 2" w:hAnsi="Wingdings 2" w:cs="微软雅黑"/>
                <w:kern w:val="0"/>
                <w:szCs w:val="21"/>
              </w:rPr>
              <w:t>不允许</w:t>
            </w:r>
            <w:bookmarkEnd w:id="49"/>
          </w:p>
        </w:tc>
      </w:tr>
      <w:tr w14:paraId="0621C1F1">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14:paraId="5C1B4536">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noWrap w:val="0"/>
            <w:vAlign w:val="center"/>
          </w:tcPr>
          <w:p w14:paraId="55EF49C2">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noWrap w:val="0"/>
            <w:vAlign w:val="center"/>
          </w:tcPr>
          <w:p w14:paraId="44ED0737">
            <w:pPr>
              <w:rPr>
                <w:rFonts w:ascii="Times New Roman" w:eastAsia="宋体" w:hAnsi="Times New Roman" w:cs="Times New Roman"/>
                <w:szCs w:val="21"/>
              </w:rPr>
            </w:pPr>
            <w:r>
              <w:rPr>
                <w:rFonts w:ascii="Times New Roman" w:eastAsia="宋体" w:hAnsi="Times New Roman" w:cs="Times New Roman" w:hint="eastAsia"/>
                <w:szCs w:val="21"/>
              </w:rPr>
              <w:t>投标有效期</w:t>
            </w:r>
          </w:p>
        </w:tc>
        <w:tc>
          <w:tcPr>
            <w:tcW w:w="5209" w:type="dxa"/>
            <w:noWrap w:val="0"/>
            <w:vAlign w:val="center"/>
          </w:tcPr>
          <w:p w14:paraId="285E739E">
            <w:pPr>
              <w:rPr>
                <w:rFonts w:ascii="Times New Roman" w:eastAsia="宋体" w:hAnsi="Times New Roman" w:cs="Times New Roman"/>
                <w:szCs w:val="21"/>
              </w:rPr>
            </w:pPr>
            <w:bookmarkStart w:id="50" w:name="投标有效期_bidExpirationDate"/>
            <w:r>
              <w:rPr>
                <w:rFonts w:ascii="宋体" w:hAnsi="宋体" w:cs="微软雅黑" w:hint="eastAsia"/>
                <w:kern w:val="0"/>
                <w:szCs w:val="21"/>
              </w:rPr>
              <w:t>120日历天</w:t>
            </w:r>
            <w:bookmarkEnd w:id="50"/>
          </w:p>
        </w:tc>
      </w:tr>
      <w:tr w14:paraId="053A11ED">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14:paraId="301F2010">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noWrap w:val="0"/>
            <w:vAlign w:val="center"/>
          </w:tcPr>
          <w:p w14:paraId="055B1435">
            <w:pPr>
              <w:rPr>
                <w:rFonts w:ascii="Times New Roman" w:eastAsia="宋体" w:hAnsi="Times New Roman" w:cs="Times New Roman"/>
                <w:szCs w:val="21"/>
              </w:rPr>
            </w:pPr>
            <w:r>
              <w:rPr>
                <w:rFonts w:ascii="Times New Roman" w:eastAsia="宋体" w:hAnsi="Times New Roman" w:cs="Times New Roman" w:hint="eastAsia"/>
                <w:szCs w:val="21"/>
              </w:rPr>
              <w:t>1.22.1、2.22.2</w:t>
            </w:r>
          </w:p>
        </w:tc>
        <w:tc>
          <w:tcPr>
            <w:tcW w:w="1701" w:type="dxa"/>
            <w:noWrap w:val="0"/>
            <w:vAlign w:val="center"/>
          </w:tcPr>
          <w:p w14:paraId="4CC93F04">
            <w:pPr>
              <w:rPr>
                <w:rFonts w:ascii="Times New Roman" w:eastAsia="宋体" w:hAnsi="Times New Roman" w:cs="Times New Roman"/>
                <w:szCs w:val="21"/>
              </w:rPr>
            </w:pPr>
            <w:r>
              <w:rPr>
                <w:rFonts w:ascii="Times New Roman" w:eastAsia="宋体" w:hAnsi="Times New Roman" w:cs="Times New Roman" w:hint="eastAsia"/>
                <w:szCs w:val="21"/>
              </w:rPr>
              <w:t>投标文件递交</w:t>
            </w:r>
          </w:p>
        </w:tc>
        <w:tc>
          <w:tcPr>
            <w:tcW w:w="5209" w:type="dxa"/>
            <w:noWrap w:val="0"/>
            <w:vAlign w:val="center"/>
          </w:tcPr>
          <w:p w14:paraId="25C8C276">
            <w:pPr>
              <w:rPr>
                <w:rFonts w:ascii="Times New Roman" w:eastAsia="宋体" w:hAnsi="Times New Roman" w:cs="Times New Roman"/>
                <w:szCs w:val="21"/>
              </w:rPr>
            </w:pPr>
            <w:r>
              <w:rPr>
                <w:rFonts w:ascii="宋体" w:eastAsia="宋体" w:hAnsi="宋体" w:cs="Times New Roman" w:hint="eastAsia"/>
                <w:bCs/>
                <w:szCs w:val="21"/>
              </w:rPr>
              <w:t>除通过系统</w:t>
            </w:r>
            <w:r>
              <w:rPr>
                <w:rFonts w:ascii="宋体" w:eastAsia="宋体" w:hAnsi="Calibri" w:cs="微软雅黑" w:hint="eastAsia"/>
                <w:szCs w:val="21"/>
              </w:rPr>
              <w:t>上传加密的电子投标文件外，同时在线下提供</w:t>
            </w:r>
            <w:r>
              <w:rPr>
                <w:rFonts w:ascii="宋体" w:eastAsia="宋体" w:hAnsi="宋体" w:cs="Times New Roman" w:hint="eastAsia"/>
                <w:bCs/>
                <w:szCs w:val="21"/>
              </w:rPr>
              <w:t>通过系统下载的投标文件电子版文件包（使用</w:t>
            </w:r>
            <w:r>
              <w:rPr>
                <w:rFonts w:ascii="Calibri" w:eastAsia="宋体" w:hAnsi="Calibri" w:cs="Times New Roman" w:hint="eastAsia"/>
                <w:bCs/>
                <w:szCs w:val="22"/>
              </w:rPr>
              <w:t>不可擦写的刻录光盘或其他只读存储介质）</w:t>
            </w:r>
          </w:p>
        </w:tc>
      </w:tr>
      <w:tr w14:paraId="7F8FD458">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14:paraId="302CF1DC">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noWrap w:val="0"/>
            <w:vAlign w:val="center"/>
          </w:tcPr>
          <w:p w14:paraId="5DA6F30C">
            <w:pPr>
              <w:rPr>
                <w:rFonts w:ascii="Times New Roman" w:eastAsia="宋体" w:hAnsi="Times New Roman" w:cs="Times New Roman"/>
                <w:szCs w:val="21"/>
              </w:rPr>
            </w:pPr>
            <w:r>
              <w:rPr>
                <w:rFonts w:ascii="Times New Roman" w:eastAsia="宋体" w:hAnsi="Times New Roman" w:cs="Times New Roman" w:hint="eastAsia"/>
                <w:szCs w:val="21"/>
              </w:rPr>
              <w:t>1.26.2</w:t>
            </w:r>
          </w:p>
        </w:tc>
        <w:tc>
          <w:tcPr>
            <w:tcW w:w="1701" w:type="dxa"/>
            <w:noWrap w:val="0"/>
            <w:vAlign w:val="center"/>
          </w:tcPr>
          <w:p w14:paraId="70BC0C44">
            <w:pPr>
              <w:rPr>
                <w:rFonts w:ascii="Times New Roman" w:eastAsia="宋体" w:hAnsi="Times New Roman" w:cs="Times New Roman"/>
                <w:szCs w:val="21"/>
              </w:rPr>
            </w:pPr>
            <w:r>
              <w:rPr>
                <w:rFonts w:ascii="Times New Roman" w:eastAsia="宋体" w:hAnsi="Times New Roman" w:cs="Times New Roman" w:hint="eastAsia"/>
                <w:szCs w:val="21"/>
              </w:rPr>
              <w:t>是否进行述标</w:t>
            </w:r>
          </w:p>
        </w:tc>
        <w:tc>
          <w:tcPr>
            <w:tcW w:w="5209" w:type="dxa"/>
            <w:noWrap w:val="0"/>
            <w:vAlign w:val="center"/>
          </w:tcPr>
          <w:p w14:paraId="5107A5B3">
            <w:pPr>
              <w:rPr>
                <w:rFonts w:ascii="宋体" w:eastAsia="宋体" w:hAnsi="宋体" w:cs="微软雅黑"/>
                <w:kern w:val="0"/>
                <w:szCs w:val="21"/>
              </w:rPr>
            </w:pPr>
            <w:bookmarkStart w:id="51" w:name="进行述标_describeStandardFlagText"/>
            <w:r>
              <w:rPr>
                <w:rFonts w:ascii="宋体" w:eastAsia="宋体" w:hAnsi="宋体" w:cs="微软雅黑" w:hint="eastAsia"/>
                <w:kern w:val="0"/>
                <w:szCs w:val="21"/>
              </w:rPr>
              <w:t>否</w:t>
            </w:r>
            <w:bookmarkEnd w:id="51"/>
          </w:p>
        </w:tc>
      </w:tr>
      <w:tr w14:paraId="3E79263F">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14:paraId="37EF3866">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noWrap w:val="0"/>
            <w:vAlign w:val="center"/>
          </w:tcPr>
          <w:p w14:paraId="65D81079">
            <w:pPr>
              <w:rPr>
                <w:rFonts w:ascii="Times New Roman" w:eastAsia="宋体" w:hAnsi="Times New Roman" w:cs="Times New Roman"/>
                <w:szCs w:val="21"/>
              </w:rPr>
            </w:pPr>
          </w:p>
        </w:tc>
        <w:tc>
          <w:tcPr>
            <w:tcW w:w="1701" w:type="dxa"/>
            <w:noWrap w:val="0"/>
            <w:vAlign w:val="center"/>
          </w:tcPr>
          <w:p w14:paraId="04787853">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noWrap w:val="0"/>
            <w:vAlign w:val="center"/>
          </w:tcPr>
          <w:p w14:paraId="34AE379E">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37040AF0">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14:paraId="0133D3E8">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noWrap w:val="0"/>
            <w:vAlign w:val="center"/>
          </w:tcPr>
          <w:p w14:paraId="519EAEFE">
            <w:pPr>
              <w:rPr>
                <w:rFonts w:ascii="Times New Roman" w:eastAsia="宋体" w:hAnsi="Times New Roman" w:cs="Times New Roman"/>
                <w:szCs w:val="21"/>
              </w:rPr>
            </w:pPr>
          </w:p>
        </w:tc>
        <w:tc>
          <w:tcPr>
            <w:tcW w:w="1701" w:type="dxa"/>
            <w:noWrap w:val="0"/>
            <w:vAlign w:val="center"/>
          </w:tcPr>
          <w:p w14:paraId="7C320C8F">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shd w:val="clear" w:color="auto" w:fill="auto"/>
            <w:noWrap w:val="0"/>
            <w:vAlign w:val="center"/>
          </w:tcPr>
          <w:p w14:paraId="7767A5C6">
            <w:pPr>
              <w:rPr>
                <w:rFonts w:ascii="宋体" w:hAnsi="宋体" w:hint="eastAsia"/>
                <w:szCs w:val="21"/>
              </w:rPr>
            </w:pPr>
            <w:bookmarkStart w:id="52" w:name="其他事项_ottherReemarks"/>
            <w:r>
              <w:rPr>
                <w:rFonts w:ascii="宋体" w:hAnsi="宋体" w:eastAsiaTheme="minorEastAsia" w:cstheme="minorBidi" w:hint="eastAsia"/>
                <w:kern w:val="2"/>
                <w:sz w:val="21"/>
                <w:szCs w:val="21"/>
                <w:lang w:val="en-US" w:eastAsia="zh-CN" w:bidi="ar-SA"/>
              </w:rPr>
              <w:t>无</w:t>
            </w:r>
            <w:bookmarkEnd w:id="52"/>
          </w:p>
        </w:tc>
      </w:tr>
    </w:tbl>
    <w:p w14:paraId="035786AF"/>
    <w:p w14:paraId="06C07651"/>
    <w:bookmarkEnd w:id="36"/>
    <w:p w14:paraId="59790B51">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7F48D0AB">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4FBE6870">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14:paraId="52DA1311">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3119B22B">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14:paraId="51131EA1">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14:paraId="6C5B866C">
      <w:pPr>
        <w:spacing w:line="360" w:lineRule="auto"/>
        <w:jc w:val="left"/>
        <w:rPr>
          <w:highlight w:val="none"/>
        </w:rPr>
      </w:pPr>
    </w:p>
    <w:p w14:paraId="1621A6F6">
      <w:bookmarkStart w:id="53"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62"/>
        <w:gridCol w:w="534"/>
        <w:gridCol w:w="1349"/>
        <w:gridCol w:w="534"/>
        <w:gridCol w:w="6124"/>
      </w:tblGrid>
      <w:tr w14:paraId="0EB31C2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6F9E3FDD">
            <w:r>
              <w:t>序号</w:t>
            </w:r>
          </w:p>
        </w:tc>
        <w:tc>
          <w:tcPr>
            <w:gridSpan w:val="2"/>
          </w:tcPr>
          <w:p w14:paraId="52F245CC">
            <w:r>
              <w:t xml:space="preserve">评审因素 </w:t>
            </w:r>
          </w:p>
        </w:tc>
        <w:tc>
          <w:tcPr/>
          <w:p w14:paraId="4AC62F67">
            <w:pPr>
              <w:rPr>
                <w:rFonts w:eastAsia="宋体" w:hint="eastAsia"/>
                <w:lang w:eastAsia="zh-CN"/>
              </w:rPr>
            </w:pPr>
            <w:r>
              <w:rPr>
                <w:rFonts w:hint="eastAsia"/>
                <w:lang w:val="en-US" w:eastAsia="zh-CN"/>
              </w:rPr>
              <w:t>最高分值</w:t>
            </w:r>
          </w:p>
        </w:tc>
        <w:tc>
          <w:tcPr/>
          <w:p w14:paraId="110F3509">
            <w:r>
              <w:t>评分标准</w:t>
            </w:r>
          </w:p>
        </w:tc>
      </w:tr>
      <w:tr w14:paraId="7F160AC9">
        <w:tblPrEx>
          <w:tblW w:w="5000" w:type="pct"/>
          <w:tblInd w:w="0" w:type="dxa"/>
          <w:tblCellMar>
            <w:top w:w="0" w:type="dxa"/>
            <w:left w:w="108" w:type="dxa"/>
            <w:bottom w:w="0" w:type="dxa"/>
            <w:right w:w="108" w:type="dxa"/>
          </w:tblCellMar>
        </w:tblPrEx>
        <w:tc>
          <w:tcPr/>
          <w:p w14:paraId="37F03C62">
            <w:r>
              <w:t>1</w:t>
            </w:r>
          </w:p>
        </w:tc>
        <w:tc>
          <w:tcPr>
            <w:vMerge w:val="restart"/>
          </w:tcPr>
          <w:p w14:paraId="779129EE">
            <w:r>
              <w:t>价格分</w:t>
            </w:r>
          </w:p>
        </w:tc>
        <w:tc>
          <w:tcPr/>
          <w:p w14:paraId="4950C6BB">
            <w:r>
              <w:t>客观分</w:t>
            </w:r>
          </w:p>
        </w:tc>
        <w:tc>
          <w:tcPr/>
          <w:p w14:paraId="57249039">
            <w:r>
              <w:t>10</w:t>
            </w:r>
          </w:p>
        </w:tc>
        <w:tc>
          <w:tcPr/>
          <w:p w14:paraId="45F23557">
            <w:r>
              <w:t>评审标准：</w:t>
            </w:r>
          </w:p>
          <w:p w14:paraId="37F9FD0E">
            <w:r>
              <w:t>采用低价优先法计算，公式：投标人得分=评标基准价/评标价×价格分值</w:t>
            </w:r>
          </w:p>
          <w:p w14:paraId="248BE2E6">
            <w:r>
              <w:t>评审标准说明：</w:t>
            </w:r>
          </w:p>
          <w:p w14:paraId="489D7FE8">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3D591582"/>
        </w:tc>
      </w:tr>
      <w:tr w14:paraId="2E9947B3">
        <w:tblPrEx>
          <w:tblW w:w="5000" w:type="pct"/>
          <w:tblInd w:w="0" w:type="dxa"/>
          <w:tblCellMar>
            <w:top w:w="0" w:type="dxa"/>
            <w:left w:w="108" w:type="dxa"/>
            <w:bottom w:w="0" w:type="dxa"/>
            <w:right w:w="108" w:type="dxa"/>
          </w:tblCellMar>
        </w:tblPrEx>
        <w:tc>
          <w:tcPr/>
          <w:p w14:paraId="1FDB81EC">
            <w:r>
              <w:t>2</w:t>
            </w:r>
          </w:p>
        </w:tc>
        <w:tc>
          <w:tcPr>
            <w:vMerge w:val="restart"/>
          </w:tcPr>
          <w:p w14:paraId="1E05708F">
            <w:r>
              <w:t>商务部分</w:t>
            </w:r>
          </w:p>
        </w:tc>
        <w:tc>
          <w:tcPr/>
          <w:p w14:paraId="7FC4E198">
            <w:r>
              <w:t>1.投标人业绩（客观分）</w:t>
            </w:r>
          </w:p>
        </w:tc>
        <w:tc>
          <w:tcPr/>
          <w:p w14:paraId="35786E0D">
            <w:r>
              <w:t>8</w:t>
            </w:r>
          </w:p>
        </w:tc>
        <w:tc>
          <w:tcPr/>
          <w:p w14:paraId="1FE15176">
            <w:r>
              <w:t>评审标准：</w:t>
            </w:r>
          </w:p>
          <w:p w14:paraId="2D085037">
            <w:r>
              <w:t>提供2022年1月1日至投标截止日（以合同签订日期为准），投标人承担过的飞机人工增雨（雪）服务项目，提供1份青藏高原地区合同得2分，提供1份其他地区合同得1分，最多不超过8分。</w:t>
            </w:r>
          </w:p>
          <w:p w14:paraId="39AB3516">
            <w:r>
              <w:t>评审标准说明：</w:t>
            </w:r>
          </w:p>
          <w:p w14:paraId="5BA1BF88">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rPr>
                <w:rFonts w:hint="eastAsia"/>
                <w:lang w:val="en-US" w:eastAsia="zh-CN"/>
              </w:rPr>
              <w:t>5</w:t>
            </w:r>
            <w:r>
              <w:t>、所有复印件应清晰，不得有任何涂改、遮挡。</w:t>
            </w:r>
            <w:r>
              <w:cr/>
            </w:r>
            <w:r>
              <w:t>提供的材料不符合以上1-</w:t>
            </w:r>
            <w:r>
              <w:rPr>
                <w:rFonts w:hint="eastAsia"/>
                <w:lang w:val="en-US" w:eastAsia="zh-CN"/>
              </w:rPr>
              <w:t>5</w:t>
            </w:r>
            <w:r>
              <w:t>要求的无效。</w:t>
            </w:r>
            <w:r>
              <w:cr/>
            </w:r>
          </w:p>
          <w:p w14:paraId="50E287D1"/>
        </w:tc>
      </w:tr>
      <w:tr w14:paraId="66A45887">
        <w:tblPrEx>
          <w:tblW w:w="5000" w:type="pct"/>
          <w:tblInd w:w="0" w:type="dxa"/>
          <w:tblCellMar>
            <w:top w:w="0" w:type="dxa"/>
            <w:left w:w="108" w:type="dxa"/>
            <w:bottom w:w="0" w:type="dxa"/>
            <w:right w:w="108" w:type="dxa"/>
          </w:tblCellMar>
        </w:tblPrEx>
        <w:tc>
          <w:tcPr/>
          <w:p w14:paraId="2CFBEB45">
            <w:r>
              <w:t>3</w:t>
            </w:r>
          </w:p>
        </w:tc>
        <w:tc>
          <w:tcPr>
            <w:vMerge/>
          </w:tcPr>
          <w:p w14:paraId="30714148">
            <w:r>
              <w:t>商务部分</w:t>
            </w:r>
          </w:p>
        </w:tc>
        <w:tc>
          <w:tcPr/>
          <w:p w14:paraId="02421968">
            <w:r>
              <w:t>服务团队</w:t>
            </w:r>
          </w:p>
        </w:tc>
        <w:tc>
          <w:tcPr/>
          <w:p w14:paraId="62150DF5">
            <w:r>
              <w:t>14</w:t>
            </w:r>
          </w:p>
        </w:tc>
        <w:tc>
          <w:tcPr/>
          <w:p w14:paraId="1D8C23D5">
            <w:r>
              <w:t>评审标准：</w:t>
            </w:r>
          </w:p>
          <w:p w14:paraId="14C6D424">
            <w:r>
              <w:t>1、投标人具有高性能增压仓人工增雨（雪）飞机飞行经历的飞行员（必含1名及以上机长）4名及以上得4分，3名得3分，3名以下不得分。</w:t>
            </w:r>
            <w:r>
              <w:cr/>
            </w:r>
            <w:r>
              <w:t>2、机长要求按以下评分，本项最高10分：</w:t>
            </w:r>
            <w:r>
              <w:cr/>
            </w:r>
            <w:r>
              <w:t>（1）每有1名机长具有驾驶高性能增压仓飞机在青藏高原开展人工增雨（雪）飞行经历大于等于1500小时的，或者驾驶高性能增压仓飞机在其他地区开展人工增雨（雪）飞行经历大于等于2000小时的，得5分；</w:t>
            </w:r>
            <w:r>
              <w:cr/>
            </w:r>
            <w:r>
              <w:t>（2）每有1名机长具有驾驶高性能增压仓飞机在青藏高原开展人工增雨（雪）飞行经历大于等于1000小时、小于1500小时的，或者驾驶高性能增压仓飞机在其他地区开展人工增雨（雪）飞行经历大于等于1500小时、小于2000小时的，得3分；</w:t>
            </w:r>
            <w:r>
              <w:cr/>
            </w:r>
            <w:r>
              <w:t>（3）每有1名机长具有驾驶高性能增压仓飞机在青藏高原开展人工增雨（雪）飞行经历大于等于500小时、小于1000小时的，或者驾驶高性能增压仓飞机在其他地区开展人工增雨（雪）飞行经历大于等于1000小时、小于1500小时的，得1分。</w:t>
            </w:r>
            <w:r>
              <w:cr/>
            </w:r>
            <w:r>
              <w:t>（4）其他情况不得分。</w:t>
            </w:r>
            <w:r>
              <w:cr/>
            </w:r>
          </w:p>
          <w:p w14:paraId="3B1AFBF6">
            <w:r>
              <w:t>评审标准说明：</w:t>
            </w:r>
          </w:p>
          <w:p w14:paraId="6068BB12">
            <w:r>
              <w:t>高性能增压仓飞机飞行经历须提供该飞行员的飞行经历证明材料或提供加盖投标人公章的承诺函；高性能增压仓飞机在青藏高原地区人工增雨（雪）飞行经验须提供相关证明材料或提供加盖投标人公章的承诺函。</w:t>
            </w:r>
          </w:p>
          <w:p w14:paraId="60A21461"/>
        </w:tc>
      </w:tr>
      <w:tr w14:paraId="44606B54">
        <w:tblPrEx>
          <w:tblW w:w="5000" w:type="pct"/>
          <w:tblInd w:w="0" w:type="dxa"/>
          <w:tblCellMar>
            <w:top w:w="0" w:type="dxa"/>
            <w:left w:w="108" w:type="dxa"/>
            <w:bottom w:w="0" w:type="dxa"/>
            <w:right w:w="108" w:type="dxa"/>
          </w:tblCellMar>
        </w:tblPrEx>
        <w:tc>
          <w:tcPr/>
          <w:p w14:paraId="5675A04D">
            <w:r>
              <w:t>4</w:t>
            </w:r>
          </w:p>
        </w:tc>
        <w:tc>
          <w:tcPr>
            <w:vMerge w:val="restart"/>
          </w:tcPr>
          <w:p w14:paraId="5C56A424">
            <w:r>
              <w:t>服务部分</w:t>
            </w:r>
          </w:p>
        </w:tc>
        <w:tc>
          <w:tcPr/>
          <w:p w14:paraId="12E4D5DF">
            <w:r>
              <w:t>售后服务</w:t>
            </w:r>
          </w:p>
        </w:tc>
        <w:tc>
          <w:tcPr/>
          <w:p w14:paraId="6271D1B1">
            <w:r>
              <w:t>4</w:t>
            </w:r>
          </w:p>
        </w:tc>
        <w:tc>
          <w:tcPr/>
          <w:p w14:paraId="44FA2F63">
            <w:r>
              <w:t>评审标准：</w:t>
            </w:r>
          </w:p>
          <w:p w14:paraId="4AE8E612">
            <w:r>
              <w:t>一档0分</w:t>
            </w:r>
            <w:r>
              <w:cr/>
            </w:r>
            <w:r>
              <w:t>二档1分</w:t>
            </w:r>
            <w:r>
              <w:cr/>
            </w:r>
            <w:r>
              <w:t>三档4分</w:t>
            </w:r>
            <w:r>
              <w:cr/>
            </w:r>
          </w:p>
          <w:p w14:paraId="4F0084C5">
            <w:r>
              <w:t>评审标准说明：</w:t>
            </w:r>
          </w:p>
          <w:p w14:paraId="7114677F">
            <w:r>
              <w:t>提供事故处理解决方案，责任清晰、安全可靠、内容明确。必须包括机组现场紧急处理和撤离、应急保障、事故调查、善后处理等。</w:t>
            </w:r>
            <w:r>
              <w:cr/>
            </w:r>
            <w:r>
              <w:t>一档：未提供方案或方案不完整不得分；</w:t>
            </w:r>
            <w:r>
              <w:cr/>
            </w:r>
            <w:r>
              <w:t>二档：方案可行性、针对性一般；</w:t>
            </w:r>
            <w:r>
              <w:cr/>
            </w:r>
            <w:r>
              <w:t>三档：方案完整合理、可行性强、针对性强；</w:t>
            </w:r>
          </w:p>
          <w:p w14:paraId="4136C829"/>
        </w:tc>
      </w:tr>
      <w:tr w14:paraId="1AC982F5">
        <w:tblPrEx>
          <w:tblW w:w="5000" w:type="pct"/>
          <w:tblInd w:w="0" w:type="dxa"/>
          <w:tblCellMar>
            <w:top w:w="0" w:type="dxa"/>
            <w:left w:w="108" w:type="dxa"/>
            <w:bottom w:w="0" w:type="dxa"/>
            <w:right w:w="108" w:type="dxa"/>
          </w:tblCellMar>
        </w:tblPrEx>
        <w:tc>
          <w:tcPr/>
          <w:p w14:paraId="6B040F89">
            <w:r>
              <w:t>5</w:t>
            </w:r>
          </w:p>
        </w:tc>
        <w:tc>
          <w:tcPr>
            <w:vMerge/>
          </w:tcPr>
          <w:p w14:paraId="21F36646">
            <w:r>
              <w:t>服务部分</w:t>
            </w:r>
          </w:p>
        </w:tc>
        <w:tc>
          <w:tcPr/>
          <w:p w14:paraId="6A3A6FBB">
            <w:r>
              <w:t>技术支持</w:t>
            </w:r>
          </w:p>
        </w:tc>
        <w:tc>
          <w:tcPr/>
          <w:p w14:paraId="7CE9CCFA">
            <w:r>
              <w:t>4</w:t>
            </w:r>
          </w:p>
        </w:tc>
        <w:tc>
          <w:tcPr/>
          <w:p w14:paraId="08F8F8E2">
            <w:r>
              <w:t>评审标准：</w:t>
            </w:r>
          </w:p>
          <w:p w14:paraId="605D97C8">
            <w:r>
              <w:t>人工增雨（雪）飞机出现故障时，72小时内解决或提供同型号备用机得4分，否则不得分。</w:t>
            </w:r>
          </w:p>
          <w:p w14:paraId="51747D41">
            <w:r>
              <w:t>评审标准说明：</w:t>
            </w:r>
          </w:p>
          <w:p w14:paraId="232535F6">
            <w:r>
              <w:t>须提供承诺并加盖投标人公章。</w:t>
            </w:r>
          </w:p>
          <w:p w14:paraId="411959A9"/>
        </w:tc>
      </w:tr>
      <w:tr w14:paraId="4E178BAB">
        <w:tblPrEx>
          <w:tblW w:w="5000" w:type="pct"/>
          <w:tblInd w:w="0" w:type="dxa"/>
          <w:tblCellMar>
            <w:top w:w="0" w:type="dxa"/>
            <w:left w:w="108" w:type="dxa"/>
            <w:bottom w:w="0" w:type="dxa"/>
            <w:right w:w="108" w:type="dxa"/>
          </w:tblCellMar>
        </w:tblPrEx>
        <w:tc>
          <w:tcPr/>
          <w:p w14:paraId="286C409D">
            <w:r>
              <w:t>6</w:t>
            </w:r>
          </w:p>
        </w:tc>
        <w:tc>
          <w:tcPr>
            <w:vMerge/>
          </w:tcPr>
          <w:p w14:paraId="1EF7D801">
            <w:r>
              <w:t>服务部分</w:t>
            </w:r>
          </w:p>
        </w:tc>
        <w:tc>
          <w:tcPr/>
          <w:p w14:paraId="2138B82D">
            <w:r>
              <w:t>安全记录</w:t>
            </w:r>
          </w:p>
        </w:tc>
        <w:tc>
          <w:tcPr/>
          <w:p w14:paraId="481B9C24">
            <w:r>
              <w:t>4</w:t>
            </w:r>
          </w:p>
        </w:tc>
        <w:tc>
          <w:tcPr/>
          <w:p w14:paraId="71413144">
            <w:r>
              <w:t>评审标准：</w:t>
            </w:r>
          </w:p>
          <w:p w14:paraId="7A0490C6">
            <w:r>
              <w:t>1、2021年1月1日至投标截止日未出现飞行事故及民用航空不安全事件的，得4分；</w:t>
            </w:r>
            <w:r>
              <w:cr/>
            </w:r>
            <w:r>
              <w:t>2、2022 年1月1日至投标截止日未出现飞行事故及民用航空不安全事件的，得3分；</w:t>
            </w:r>
            <w:r>
              <w:cr/>
            </w:r>
            <w:r>
              <w:t>3、2023 年1月1日至投标截止日未出现飞行事故及民用航空不安全事件的得，2分；</w:t>
            </w:r>
            <w:r>
              <w:cr/>
            </w:r>
            <w:r>
              <w:t>4、2024年1月1日至投标截止日未出现飞行事故及民用航空不安全事件的，得1分；</w:t>
            </w:r>
            <w:r>
              <w:cr/>
            </w:r>
            <w:r>
              <w:t>5、未提供得0分。</w:t>
            </w:r>
            <w:r>
              <w:cr/>
            </w:r>
            <w:r>
              <w:t>注：提供民航监管机构证明文件。</w:t>
            </w:r>
            <w:r>
              <w:cr/>
            </w:r>
          </w:p>
          <w:p w14:paraId="40CD66ED">
            <w:r>
              <w:t>评审标准说明：</w:t>
            </w:r>
          </w:p>
          <w:p w14:paraId="7A8FB5D8">
            <w:r>
              <w:t>提供民航监管机构证明文件。</w:t>
            </w:r>
          </w:p>
          <w:p w14:paraId="2FEBE9A3"/>
        </w:tc>
      </w:tr>
      <w:tr w14:paraId="2EF97F99">
        <w:tblPrEx>
          <w:tblW w:w="5000" w:type="pct"/>
          <w:tblInd w:w="0" w:type="dxa"/>
          <w:tblCellMar>
            <w:top w:w="0" w:type="dxa"/>
            <w:left w:w="108" w:type="dxa"/>
            <w:bottom w:w="0" w:type="dxa"/>
            <w:right w:w="108" w:type="dxa"/>
          </w:tblCellMar>
        </w:tblPrEx>
        <w:tc>
          <w:tcPr/>
          <w:p w14:paraId="7218CD6C">
            <w:r>
              <w:t>7</w:t>
            </w:r>
          </w:p>
        </w:tc>
        <w:tc>
          <w:tcPr>
            <w:vMerge/>
          </w:tcPr>
          <w:p w14:paraId="0673D9E0">
            <w:r>
              <w:t>服务部分</w:t>
            </w:r>
          </w:p>
        </w:tc>
        <w:tc>
          <w:tcPr/>
          <w:p w14:paraId="67720079">
            <w:r>
              <w:t>飞机增雨（雪）作业方案的响应</w:t>
            </w:r>
          </w:p>
        </w:tc>
        <w:tc>
          <w:tcPr/>
          <w:p w14:paraId="7AAFB0F6">
            <w:r>
              <w:t>5</w:t>
            </w:r>
          </w:p>
        </w:tc>
        <w:tc>
          <w:tcPr/>
          <w:p w14:paraId="69CA7ED2">
            <w:r>
              <w:t>评审标准：</w:t>
            </w:r>
          </w:p>
          <w:p w14:paraId="6C2F4CBC">
            <w:r>
              <w:t>提供加盖投标人公章的承诺书得5分，否则不得分。</w:t>
            </w:r>
          </w:p>
          <w:p w14:paraId="51E83A55">
            <w:r>
              <w:t>评审标准说明：</w:t>
            </w:r>
          </w:p>
          <w:p w14:paraId="6FB2A364">
            <w:r>
              <w:t>投标人承诺在服务期内，凡天气条件达到飞机飞行条件时，根据采购人飞机增雨（雪）作业方案，每次均能提供飞机增雨（雪）作业服务。</w:t>
            </w:r>
          </w:p>
          <w:p w14:paraId="78228938"/>
        </w:tc>
      </w:tr>
      <w:tr w14:paraId="3FAD3C7A">
        <w:tblPrEx>
          <w:tblW w:w="5000" w:type="pct"/>
          <w:tblInd w:w="0" w:type="dxa"/>
          <w:tblCellMar>
            <w:top w:w="0" w:type="dxa"/>
            <w:left w:w="108" w:type="dxa"/>
            <w:bottom w:w="0" w:type="dxa"/>
            <w:right w:w="108" w:type="dxa"/>
          </w:tblCellMar>
        </w:tblPrEx>
        <w:tc>
          <w:tcPr/>
          <w:p w14:paraId="56105801">
            <w:r>
              <w:t>8</w:t>
            </w:r>
          </w:p>
        </w:tc>
        <w:tc>
          <w:tcPr>
            <w:vMerge/>
          </w:tcPr>
          <w:p w14:paraId="61BF0F42">
            <w:r>
              <w:t>服务部分</w:t>
            </w:r>
          </w:p>
        </w:tc>
        <w:tc>
          <w:tcPr/>
          <w:p w14:paraId="010CD4A6">
            <w:r>
              <w:t>培训方案</w:t>
            </w:r>
          </w:p>
        </w:tc>
        <w:tc>
          <w:tcPr/>
          <w:p w14:paraId="55C02F0F">
            <w:r>
              <w:t>4</w:t>
            </w:r>
          </w:p>
        </w:tc>
        <w:tc>
          <w:tcPr/>
          <w:p w14:paraId="0E159D88">
            <w:r>
              <w:t>评审标准：</w:t>
            </w:r>
          </w:p>
          <w:p w14:paraId="47592787">
            <w:r>
              <w:t>一档0分</w:t>
            </w:r>
            <w:r>
              <w:cr/>
            </w:r>
            <w:r>
              <w:t>二档1分</w:t>
            </w:r>
            <w:r>
              <w:cr/>
            </w:r>
            <w:r>
              <w:t>三档4分</w:t>
            </w:r>
          </w:p>
          <w:p w14:paraId="7A110509">
            <w:r>
              <w:t>评审标准说明：</w:t>
            </w:r>
          </w:p>
          <w:p w14:paraId="01FA300F">
            <w:r>
              <w:t>投标人应提供满足第八章相应培训要求的详细培训方案，培训内容应包括飞行安全注意事项、出入机坪注意事项、在机坪工作注意事项、机场工作规章制度等，使现场增雨作业人员能够正确认识和处理安全等问题，避免出现安全等事故，保证培训效果。</w:t>
            </w:r>
            <w:r>
              <w:cr/>
            </w:r>
            <w:r>
              <w:t>一档：未提供培训方案；</w:t>
            </w:r>
            <w:r>
              <w:cr/>
            </w:r>
            <w:r>
              <w:t>二档：培训内容符合实际需要，培训方案详细具体，能按照招标文件的要求进行响应，基本满足招标文件的要求；</w:t>
            </w:r>
            <w:r>
              <w:cr/>
            </w:r>
            <w:r>
              <w:t>三档：培训内容符合实际需要，培训人数及课时合理，培训方案详细具体，能按照招标文件的要求进行响应，完全满足招标文件的要求。</w:t>
            </w:r>
            <w:r>
              <w:cr/>
            </w:r>
          </w:p>
          <w:p w14:paraId="36FF4C69"/>
        </w:tc>
      </w:tr>
      <w:tr w14:paraId="3BB04C88">
        <w:tblPrEx>
          <w:tblW w:w="5000" w:type="pct"/>
          <w:tblInd w:w="0" w:type="dxa"/>
          <w:tblCellMar>
            <w:top w:w="0" w:type="dxa"/>
            <w:left w:w="108" w:type="dxa"/>
            <w:bottom w:w="0" w:type="dxa"/>
            <w:right w:w="108" w:type="dxa"/>
          </w:tblCellMar>
        </w:tblPrEx>
        <w:tc>
          <w:tcPr/>
          <w:p w14:paraId="11316C31">
            <w:r>
              <w:t>9</w:t>
            </w:r>
          </w:p>
        </w:tc>
        <w:tc>
          <w:tcPr>
            <w:vMerge/>
          </w:tcPr>
          <w:p w14:paraId="726CAAEB">
            <w:r>
              <w:t>服务部分</w:t>
            </w:r>
          </w:p>
        </w:tc>
        <w:tc>
          <w:tcPr/>
          <w:p w14:paraId="3BE693F4">
            <w:r>
              <w:t>协调服务方案</w:t>
            </w:r>
          </w:p>
        </w:tc>
        <w:tc>
          <w:tcPr/>
          <w:p w14:paraId="4AAF60F7">
            <w:r>
              <w:t>3</w:t>
            </w:r>
          </w:p>
        </w:tc>
        <w:tc>
          <w:tcPr/>
          <w:p w14:paraId="2BC8F142">
            <w:r>
              <w:t>评审标准：</w:t>
            </w:r>
          </w:p>
          <w:p w14:paraId="03B035A6">
            <w:r>
              <w:t>一档0分</w:t>
            </w:r>
            <w:r>
              <w:cr/>
            </w:r>
            <w:r>
              <w:t>二档1分</w:t>
            </w:r>
            <w:r>
              <w:cr/>
            </w:r>
            <w:r>
              <w:t>三档3分</w:t>
            </w:r>
          </w:p>
          <w:p w14:paraId="1A3D6F7B">
            <w:r>
              <w:t>评审标准说明：</w:t>
            </w:r>
          </w:p>
          <w:p w14:paraId="0829B9E8">
            <w:r>
              <w:t>投标人需提供申报及沟通协调机制的方案，包含但不限于机组飞行计划的申报、与空管部门的沟通协调工作等。</w:t>
            </w:r>
            <w:r>
              <w:cr/>
            </w:r>
            <w:r>
              <w:t>一档：未提供方案；</w:t>
            </w:r>
            <w:r>
              <w:cr/>
            </w:r>
            <w:r>
              <w:t>二档：方案完整，但没有专门针对本项目的措施，或者有关措施不合理、不可行、不具体；</w:t>
            </w:r>
            <w:r>
              <w:cr/>
            </w:r>
            <w:r>
              <w:t>三档：方案详细完整、可行性针对性强。</w:t>
            </w:r>
            <w:r>
              <w:cr/>
            </w:r>
            <w:r>
              <w:cr/>
            </w:r>
          </w:p>
          <w:p w14:paraId="1880EBD1"/>
        </w:tc>
      </w:tr>
      <w:tr w14:paraId="427E68A3">
        <w:tblPrEx>
          <w:tblW w:w="5000" w:type="pct"/>
          <w:tblInd w:w="0" w:type="dxa"/>
          <w:tblCellMar>
            <w:top w:w="0" w:type="dxa"/>
            <w:left w:w="108" w:type="dxa"/>
            <w:bottom w:w="0" w:type="dxa"/>
            <w:right w:w="108" w:type="dxa"/>
          </w:tblCellMar>
        </w:tblPrEx>
        <w:tc>
          <w:tcPr/>
          <w:p w14:paraId="57D782CC">
            <w:r>
              <w:t>10</w:t>
            </w:r>
          </w:p>
        </w:tc>
        <w:tc>
          <w:tcPr>
            <w:vMerge w:val="restart"/>
          </w:tcPr>
          <w:p w14:paraId="672C73EF">
            <w:r>
              <w:t>技术部分</w:t>
            </w:r>
          </w:p>
        </w:tc>
        <w:tc>
          <w:tcPr/>
          <w:p w14:paraId="6B040377">
            <w:r>
              <w:t>技术方案响应</w:t>
            </w:r>
          </w:p>
        </w:tc>
        <w:tc>
          <w:tcPr/>
          <w:p w14:paraId="16D8B3B5">
            <w:r>
              <w:t>21</w:t>
            </w:r>
          </w:p>
        </w:tc>
        <w:tc>
          <w:tcPr/>
          <w:p w14:paraId="1C22437A">
            <w:r>
              <w:t>评审标准：</w:t>
            </w:r>
          </w:p>
          <w:p w14:paraId="29293C14">
            <w:r>
              <w:t>投标人需满足招标文件“采购需求”中标注“▲”的14项重要技术要求。每有1项满足得1.5分，最高21分。</w:t>
            </w:r>
          </w:p>
          <w:p w14:paraId="2AFE484A">
            <w:r>
              <w:t>评审标准说明：</w:t>
            </w:r>
          </w:p>
          <w:p w14:paraId="35535CBB">
            <w:r>
              <w:t>需提供技术文档。响应且满足招标文件第七章详细技术指标要求，标注“▲‘’的重要指标需提供第三方出具的并加盖投标人公章的测试报告作为证明材料。</w:t>
            </w:r>
          </w:p>
          <w:p w14:paraId="44D6D633"/>
        </w:tc>
      </w:tr>
      <w:tr w14:paraId="45226DCE">
        <w:tblPrEx>
          <w:tblW w:w="5000" w:type="pct"/>
          <w:tblInd w:w="0" w:type="dxa"/>
          <w:tblCellMar>
            <w:top w:w="0" w:type="dxa"/>
            <w:left w:w="108" w:type="dxa"/>
            <w:bottom w:w="0" w:type="dxa"/>
            <w:right w:w="108" w:type="dxa"/>
          </w:tblCellMar>
        </w:tblPrEx>
        <w:tc>
          <w:tcPr/>
          <w:p w14:paraId="6B4C4D6F">
            <w:r>
              <w:t>11</w:t>
            </w:r>
          </w:p>
        </w:tc>
        <w:tc>
          <w:tcPr>
            <w:vMerge/>
          </w:tcPr>
          <w:p w14:paraId="47E7B075">
            <w:r>
              <w:t>技术部分</w:t>
            </w:r>
          </w:p>
        </w:tc>
        <w:tc>
          <w:tcPr/>
          <w:p w14:paraId="189D4360">
            <w:r>
              <w:t>飞机性能要求</w:t>
            </w:r>
          </w:p>
        </w:tc>
        <w:tc>
          <w:tcPr/>
          <w:p w14:paraId="461ECC67">
            <w:r>
              <w:t>8</w:t>
            </w:r>
          </w:p>
        </w:tc>
        <w:tc>
          <w:tcPr/>
          <w:p w14:paraId="0EA3A548">
            <w:r>
              <w:t>评审标准：</w:t>
            </w:r>
          </w:p>
          <w:p w14:paraId="0195D8BC">
            <w:r>
              <w:t>1、投标人提供的高性能增压仓人工增雨（雪）飞机中，必须有一架具备常规油箱以外满足长航程增雨（雪）任务的额外油箱，得4分，否则不得分。</w:t>
            </w:r>
            <w:r>
              <w:cr/>
            </w:r>
            <w:r>
              <w:t>2、在以上基础上，多一架高性能增压仓飞机也同时具备长航程增雨（雪）任务能力的额外油箱，得4分，否则不得分。</w:t>
            </w:r>
            <w:r>
              <w:cr/>
            </w:r>
            <w:r>
              <w:cr/>
            </w:r>
          </w:p>
          <w:p w14:paraId="62AAB349">
            <w:r>
              <w:t>评审标准说明：</w:t>
            </w:r>
          </w:p>
          <w:p w14:paraId="1956D7E1">
            <w:r>
              <w:t xml:space="preserve"> 提供可证明飞机性能的证明材料。</w:t>
            </w:r>
          </w:p>
          <w:p w14:paraId="7952C581"/>
        </w:tc>
      </w:tr>
      <w:tr w14:paraId="30029A86">
        <w:tblPrEx>
          <w:tblW w:w="5000" w:type="pct"/>
          <w:tblInd w:w="0" w:type="dxa"/>
          <w:tblCellMar>
            <w:top w:w="0" w:type="dxa"/>
            <w:left w:w="108" w:type="dxa"/>
            <w:bottom w:w="0" w:type="dxa"/>
            <w:right w:w="108" w:type="dxa"/>
          </w:tblCellMar>
        </w:tblPrEx>
        <w:tc>
          <w:tcPr/>
          <w:p w14:paraId="50B29609">
            <w:r>
              <w:t>12</w:t>
            </w:r>
          </w:p>
        </w:tc>
        <w:tc>
          <w:tcPr>
            <w:vMerge/>
          </w:tcPr>
          <w:p w14:paraId="4EAE3042">
            <w:r>
              <w:t>技术部分</w:t>
            </w:r>
          </w:p>
        </w:tc>
        <w:tc>
          <w:tcPr/>
          <w:p w14:paraId="7FC67153">
            <w:r>
              <w:t>增雨（雪）设备和云物理探测设备评价</w:t>
            </w:r>
          </w:p>
        </w:tc>
        <w:tc>
          <w:tcPr/>
          <w:p w14:paraId="34C04582">
            <w:r>
              <w:t>9</w:t>
            </w:r>
          </w:p>
        </w:tc>
        <w:tc>
          <w:tcPr/>
          <w:p w14:paraId="6DF63475">
            <w:r>
              <w:t>评审标准：</w:t>
            </w:r>
          </w:p>
          <w:p w14:paraId="17BEE46B">
            <w:r>
              <w:t>1、投标人提供的机载焰条播撒设备，焰条装量少于20根不得分，焰条装量等于20根的得0.5分，在此基础上每增加8根加0.5分，最多得2分。</w:t>
            </w:r>
            <w:r>
              <w:cr/>
            </w:r>
            <w:r>
              <w:t>2、投标人提供的机载焰弹播撒设备，装弹量少于200发不得分，等于200发，得0.5 分，在此基础上，每增加40发加0.5分，做多得3分。</w:t>
            </w:r>
            <w:r>
              <w:cr/>
            </w:r>
            <w:r>
              <w:t>3、投标人提供的高性能增压仓飞机，均具备云物理探测设备装载能力，得4 分；只有一架具备装载云物理探测设备的能力，得2分。不具备不得分。</w:t>
            </w:r>
            <w:r>
              <w:cr/>
            </w:r>
          </w:p>
          <w:p w14:paraId="0F7C002C">
            <w:r>
              <w:t>评审标准说明：</w:t>
            </w:r>
          </w:p>
          <w:p w14:paraId="0E3FC38D">
            <w:r>
              <w:t>需提供相关证明材料。</w:t>
            </w:r>
          </w:p>
          <w:p w14:paraId="29A2B941"/>
        </w:tc>
      </w:tr>
      <w:tr w14:paraId="0E2043C5">
        <w:tblPrEx>
          <w:tblW w:w="5000" w:type="pct"/>
          <w:tblInd w:w="0" w:type="dxa"/>
          <w:tblCellMar>
            <w:top w:w="0" w:type="dxa"/>
            <w:left w:w="108" w:type="dxa"/>
            <w:bottom w:w="0" w:type="dxa"/>
            <w:right w:w="108" w:type="dxa"/>
          </w:tblCellMar>
        </w:tblPrEx>
        <w:tc>
          <w:tcPr/>
          <w:p w14:paraId="26152BA6">
            <w:r>
              <w:t>13</w:t>
            </w:r>
          </w:p>
        </w:tc>
        <w:tc>
          <w:tcPr>
            <w:vMerge/>
          </w:tcPr>
          <w:p w14:paraId="14A9A163">
            <w:r>
              <w:t>技术部分</w:t>
            </w:r>
          </w:p>
        </w:tc>
        <w:tc>
          <w:tcPr/>
          <w:p w14:paraId="2BF555ED">
            <w:r>
              <w:t>增雨（雪）飞行保障方案</w:t>
            </w:r>
          </w:p>
        </w:tc>
        <w:tc>
          <w:tcPr/>
          <w:p w14:paraId="0874FB6C">
            <w:r>
              <w:t>6</w:t>
            </w:r>
          </w:p>
        </w:tc>
        <w:tc>
          <w:tcPr/>
          <w:p w14:paraId="1D7CEC02">
            <w:r>
              <w:t>评审标准：</w:t>
            </w:r>
          </w:p>
          <w:p w14:paraId="4A9D3CD2">
            <w:r>
              <w:t>一档0分</w:t>
            </w:r>
            <w:r>
              <w:cr/>
            </w:r>
            <w:r>
              <w:t>二档2分</w:t>
            </w:r>
            <w:r>
              <w:cr/>
            </w:r>
            <w:r>
              <w:t>三档6分</w:t>
            </w:r>
          </w:p>
          <w:p w14:paraId="6D2BE326">
            <w:r>
              <w:t>评审标准说明：</w:t>
            </w:r>
          </w:p>
          <w:p w14:paraId="6E6BB443">
            <w:r>
              <w:t>提供完整可行的增雨（雪）飞行保障方案，包括机场保障、军民航协调、基地保障、签派保障、场内车辆保障、除防冰保障等内容。</w:t>
            </w:r>
            <w:r>
              <w:cr/>
            </w:r>
            <w:r>
              <w:t>一档：未提供方案；</w:t>
            </w:r>
            <w:r>
              <w:cr/>
            </w:r>
            <w:r>
              <w:t>二档：方案简单，完整性、合理性和技术解决措施有欠缺，可行性一般；</w:t>
            </w:r>
            <w:r>
              <w:cr/>
            </w:r>
            <w:r>
              <w:t>三档：方案完整合理、技术解决措施完备、详尽可行。</w:t>
            </w:r>
          </w:p>
          <w:p w14:paraId="07AB6F56"/>
        </w:tc>
      </w:tr>
    </w:tbl>
    <w:p w14:paraId="62036E1C">
      <w:r>
        <w:t xml:space="preserve">      </w:t>
      </w:r>
    </w:p>
    <w:p w14:paraId="4B574441"/>
    <w:bookmarkEnd w:id="53"/>
    <w:p w14:paraId="28451800"/>
    <w:p w14:paraId="544BF3DD">
      <w:pPr>
        <w:spacing w:before="156" w:beforeLines="50" w:line="360" w:lineRule="auto"/>
        <w:jc w:val="center"/>
        <w:outlineLvl w:val="1"/>
        <w:rPr>
          <w:rFonts w:ascii="宋体" w:hAnsi="宋体"/>
          <w:b/>
          <w:sz w:val="30"/>
          <w:szCs w:val="30"/>
        </w:rPr>
      </w:pPr>
      <w:r>
        <w:rPr>
          <w:bCs/>
          <w:szCs w:val="21"/>
          <w:highlight w:val="none"/>
        </w:rPr>
        <w:br w:type="page"/>
      </w:r>
      <w:bookmarkStart w:id="54" w:name="插入_采购需求书"/>
      <w:r>
        <w:rPr>
          <w:rFonts w:ascii="宋体" w:hAnsi="宋体" w:hint="eastAsia"/>
          <w:b/>
          <w:sz w:val="30"/>
          <w:szCs w:val="30"/>
          <w:lang w:val="en-US" w:eastAsia="zh-CN"/>
        </w:rPr>
        <w:t xml:space="preserve">第七章 </w:t>
      </w:r>
      <w:r>
        <w:rPr>
          <w:rFonts w:ascii="宋体" w:hAnsi="宋体" w:hint="eastAsia"/>
          <w:b/>
          <w:sz w:val="30"/>
          <w:szCs w:val="30"/>
        </w:rPr>
        <w:t>采购需</w:t>
      </w:r>
      <w:bookmarkStart w:id="55" w:name="_GoBack"/>
      <w:bookmarkEnd w:id="55"/>
      <w:r>
        <w:rPr>
          <w:rFonts w:ascii="宋体" w:hAnsi="宋体" w:hint="eastAsia"/>
          <w:b/>
          <w:sz w:val="30"/>
          <w:szCs w:val="30"/>
        </w:rPr>
        <w:t>求</w:t>
      </w:r>
    </w:p>
    <w:p w14:paraId="2DB25388">
      <w:pPr>
        <w:snapToGrid w:val="0"/>
        <w:spacing w:before="312" w:beforeLines="100" w:line="520" w:lineRule="exact"/>
        <w:ind w:firstLine="420" w:firstLineChars="200"/>
        <w:jc w:val="left"/>
        <w:rPr>
          <w:rFonts w:ascii="宋体" w:hAnsi="宋体"/>
          <w:b/>
          <w:szCs w:val="21"/>
        </w:rPr>
      </w:pPr>
      <w:r>
        <w:rPr>
          <w:rFonts w:ascii="宋体" w:hAnsi="宋体" w:hint="eastAsia"/>
          <w:b/>
          <w:szCs w:val="21"/>
        </w:rPr>
        <w:t>一、项目概况及总体要求</w:t>
      </w:r>
    </w:p>
    <w:p w14:paraId="28BC707F">
      <w:pPr>
        <w:adjustRightInd w:val="0"/>
        <w:snapToGrid w:val="0"/>
        <w:spacing w:line="520" w:lineRule="exact"/>
        <w:ind w:firstLine="420" w:firstLineChars="200"/>
        <w:rPr>
          <w:rFonts w:ascii="宋体" w:hAnsi="宋体"/>
          <w:szCs w:val="21"/>
        </w:rPr>
      </w:pPr>
      <w:r>
        <w:rPr>
          <w:rFonts w:ascii="宋体" w:hAnsi="宋体" w:hint="eastAsia"/>
          <w:szCs w:val="21"/>
        </w:rPr>
        <w:t>为切实发挥气象对建设更加富裕文明和谐美丽新青海的支撑和保障作用，围绕青海省生态文明建设和经济社会发展的需求，根据青海省人工影响天气工作计划的要求，特采购飞机人工增雨（雪）作业服务，完成人工增雨（雪）作业任务。</w:t>
      </w:r>
    </w:p>
    <w:p w14:paraId="6D3E8A4F">
      <w:pPr>
        <w:snapToGrid w:val="0"/>
        <w:spacing w:before="94" w:beforeLines="30" w:line="520" w:lineRule="exact"/>
        <w:ind w:firstLine="420" w:firstLineChars="200"/>
        <w:jc w:val="left"/>
        <w:rPr>
          <w:rFonts w:ascii="宋体" w:hAnsi="宋体"/>
          <w:b/>
          <w:szCs w:val="21"/>
        </w:rPr>
      </w:pPr>
      <w:r>
        <w:rPr>
          <w:rFonts w:ascii="宋体" w:hAnsi="宋体" w:hint="eastAsia"/>
          <w:b/>
          <w:szCs w:val="21"/>
        </w:rPr>
        <w:t>二、服务需求</w:t>
      </w:r>
    </w:p>
    <w:p w14:paraId="47531F29">
      <w:pPr>
        <w:adjustRightInd w:val="0"/>
        <w:snapToGrid w:val="0"/>
        <w:spacing w:line="520" w:lineRule="exact"/>
        <w:ind w:firstLine="420" w:firstLineChars="200"/>
        <w:rPr>
          <w:rFonts w:ascii="宋体" w:hAnsi="宋体" w:cs="微软雅黑"/>
          <w:kern w:val="0"/>
          <w:szCs w:val="21"/>
        </w:rPr>
      </w:pPr>
      <w:r>
        <w:rPr>
          <w:rFonts w:ascii="宋体" w:hAnsi="宋体" w:hint="eastAsia"/>
          <w:szCs w:val="21"/>
        </w:rPr>
        <w:t>1、服务机型：*</w:t>
      </w:r>
      <w:r>
        <w:rPr>
          <w:rFonts w:ascii="宋体" w:hAnsi="宋体" w:cs="微软雅黑" w:hint="eastAsia"/>
          <w:kern w:val="0"/>
          <w:szCs w:val="21"/>
        </w:rPr>
        <w:t>高性能增压仓人工增雨（雪）飞机至少一架，需完全满足青藏高原腹地飞机增雨（雪）作业需求，最大升限不低于高度1</w:t>
      </w:r>
      <w:r>
        <w:rPr>
          <w:rFonts w:ascii="宋体" w:hAnsi="宋体" w:cs="微软雅黑"/>
          <w:kern w:val="0"/>
          <w:szCs w:val="21"/>
        </w:rPr>
        <w:t>0000</w:t>
      </w:r>
      <w:r>
        <w:rPr>
          <w:rFonts w:ascii="宋体" w:hAnsi="宋体" w:cs="微软雅黑" w:hint="eastAsia"/>
          <w:kern w:val="0"/>
          <w:szCs w:val="21"/>
        </w:rPr>
        <w:t>米。</w:t>
      </w:r>
    </w:p>
    <w:p w14:paraId="05341680">
      <w:pPr>
        <w:adjustRightInd w:val="0"/>
        <w:snapToGrid w:val="0"/>
        <w:spacing w:line="520" w:lineRule="exact"/>
        <w:ind w:firstLine="420" w:firstLineChars="200"/>
        <w:rPr>
          <w:rFonts w:ascii="宋体" w:hAnsi="宋体"/>
          <w:szCs w:val="21"/>
        </w:rPr>
      </w:pPr>
      <w:r>
        <w:rPr>
          <w:rFonts w:ascii="宋体" w:hAnsi="宋体" w:hint="eastAsia"/>
          <w:szCs w:val="21"/>
        </w:rPr>
        <w:t>2、服务期限：自合同签订次日起一年内，至少一架高性能增压仓人工增雨（雪）飞机累计完</w:t>
      </w:r>
      <w:r>
        <w:rPr>
          <w:rFonts w:ascii="宋体" w:hAnsi="宋体" w:hint="eastAsia"/>
          <w:color w:val="000000"/>
          <w:szCs w:val="21"/>
        </w:rPr>
        <w:t>成8.6个月（8个月零18天）服务</w:t>
      </w:r>
      <w:r>
        <w:rPr>
          <w:rFonts w:ascii="宋体" w:hAnsi="宋体" w:hint="eastAsia"/>
          <w:szCs w:val="21"/>
        </w:rPr>
        <w:t>任务。</w:t>
      </w:r>
    </w:p>
    <w:p w14:paraId="614A8154">
      <w:pPr>
        <w:adjustRightInd w:val="0"/>
        <w:snapToGrid w:val="0"/>
        <w:spacing w:line="520" w:lineRule="exact"/>
        <w:ind w:firstLine="420" w:firstLineChars="200"/>
        <w:rPr>
          <w:rFonts w:ascii="宋体" w:hAnsi="宋体"/>
          <w:szCs w:val="21"/>
        </w:rPr>
      </w:pPr>
      <w:r>
        <w:rPr>
          <w:rFonts w:ascii="宋体" w:hAnsi="宋体" w:hint="eastAsia"/>
          <w:szCs w:val="21"/>
        </w:rPr>
        <w:t>3、服务内容：实施抗旱减灾、生态修复以及重大活动应急保障的增雨（雪）作业服务和云物理探测服务。</w:t>
      </w:r>
    </w:p>
    <w:p w14:paraId="34E48F74">
      <w:pPr>
        <w:adjustRightInd w:val="0"/>
        <w:snapToGrid w:val="0"/>
        <w:spacing w:line="520" w:lineRule="exact"/>
        <w:ind w:firstLine="420" w:firstLineChars="200"/>
        <w:rPr>
          <w:rFonts w:ascii="宋体" w:hAnsi="宋体"/>
          <w:szCs w:val="21"/>
        </w:rPr>
      </w:pPr>
      <w:r>
        <w:rPr>
          <w:rFonts w:ascii="宋体" w:hAnsi="宋体" w:hint="eastAsia"/>
          <w:szCs w:val="21"/>
        </w:rPr>
        <w:t>4、作业区域：空军兰州基地所辖青海省以及黄河上游河曲地区、祁连山区之空域范围；95861部队所辖祁连山区空域范围。</w:t>
      </w:r>
    </w:p>
    <w:p w14:paraId="0F23BAA2">
      <w:pPr>
        <w:adjustRightInd w:val="0"/>
        <w:snapToGrid w:val="0"/>
        <w:spacing w:line="520" w:lineRule="exact"/>
        <w:ind w:firstLine="420" w:firstLineChars="200"/>
        <w:rPr>
          <w:rFonts w:ascii="宋体" w:hAnsi="宋体"/>
          <w:szCs w:val="21"/>
        </w:rPr>
      </w:pPr>
      <w:r>
        <w:rPr>
          <w:rFonts w:ascii="宋体" w:hAnsi="宋体" w:hint="eastAsia"/>
          <w:szCs w:val="21"/>
        </w:rPr>
        <w:t>5、增雨作业响应时间：提出作业需求后，一小时内完成作业飞行准备工作；空管部门放行后，可即时进行飞行工作。</w:t>
      </w:r>
    </w:p>
    <w:p w14:paraId="3FDCEF11">
      <w:pPr>
        <w:adjustRightInd w:val="0"/>
        <w:snapToGrid w:val="0"/>
        <w:spacing w:line="520" w:lineRule="exact"/>
        <w:ind w:firstLine="420" w:firstLineChars="200"/>
        <w:rPr>
          <w:rFonts w:ascii="宋体" w:hAnsi="宋体"/>
          <w:szCs w:val="21"/>
        </w:rPr>
      </w:pPr>
      <w:r>
        <w:rPr>
          <w:rFonts w:ascii="宋体" w:hAnsi="宋体" w:hint="eastAsia"/>
          <w:szCs w:val="21"/>
        </w:rPr>
        <w:t>6、报价：报价包括飞行小时费、停机费、飞行保障费、飞机与涉及增雨飞行作业所有的配套设施、油料和调运费，空域管制申请及其协调费用， 作业机组人员的食宿费等其他所有费用， 以及各种税费直至达到使用要求和采购人付款条件所发生的一切费用， 即总价包干。</w:t>
      </w:r>
    </w:p>
    <w:p w14:paraId="64C1BE3D">
      <w:pPr>
        <w:adjustRightInd w:val="0"/>
        <w:snapToGrid w:val="0"/>
        <w:spacing w:line="520" w:lineRule="exact"/>
        <w:ind w:firstLine="420" w:firstLineChars="200"/>
        <w:rPr>
          <w:rFonts w:ascii="宋体" w:hAnsi="宋体"/>
          <w:szCs w:val="21"/>
        </w:rPr>
      </w:pPr>
      <w:r>
        <w:rPr>
          <w:rFonts w:ascii="宋体" w:hAnsi="宋体" w:hint="eastAsia"/>
          <w:szCs w:val="21"/>
        </w:rPr>
        <w:t>7、合同履行地点：青海省境内及前述相关作业区域。</w:t>
      </w:r>
    </w:p>
    <w:p w14:paraId="6775E520">
      <w:pPr>
        <w:snapToGrid w:val="0"/>
        <w:spacing w:before="94" w:beforeLines="30" w:line="520" w:lineRule="exact"/>
        <w:ind w:firstLine="420" w:firstLineChars="200"/>
        <w:jc w:val="left"/>
        <w:rPr>
          <w:rFonts w:ascii="宋体" w:hAnsi="宋体"/>
          <w:b/>
          <w:szCs w:val="21"/>
        </w:rPr>
      </w:pPr>
      <w:r>
        <w:rPr>
          <w:rFonts w:ascii="宋体" w:hAnsi="宋体" w:hint="eastAsia"/>
          <w:b/>
          <w:szCs w:val="21"/>
        </w:rPr>
        <w:t>三、基本要求</w:t>
      </w:r>
    </w:p>
    <w:p w14:paraId="066E4021">
      <w:pPr>
        <w:adjustRightInd w:val="0"/>
        <w:snapToGrid w:val="0"/>
        <w:spacing w:line="520" w:lineRule="exact"/>
        <w:ind w:firstLine="420" w:firstLineChars="200"/>
        <w:rPr>
          <w:rFonts w:ascii="宋体" w:hAnsi="宋体"/>
          <w:szCs w:val="21"/>
        </w:rPr>
      </w:pPr>
      <w:r>
        <w:rPr>
          <w:rFonts w:ascii="宋体" w:hAnsi="宋体" w:hint="eastAsia"/>
          <w:szCs w:val="21"/>
        </w:rPr>
        <w:t>1、</w:t>
      </w:r>
      <w:r>
        <w:rPr>
          <w:rFonts w:ascii="宋体" w:hAnsi="宋体" w:hint="eastAsia"/>
          <w:color w:val="000000"/>
          <w:szCs w:val="21"/>
        </w:rPr>
        <w:t>▲高性能增压仓人</w:t>
      </w:r>
      <w:r>
        <w:rPr>
          <w:rFonts w:ascii="宋体" w:hAnsi="宋体" w:hint="eastAsia"/>
          <w:szCs w:val="21"/>
        </w:rPr>
        <w:t>工增雨（雪）作业和云物理探测飞机应通过中国民用航空主管部门进行的年度适航性检查，处于适航状态。</w:t>
      </w:r>
    </w:p>
    <w:p w14:paraId="392183D5">
      <w:pPr>
        <w:adjustRightInd w:val="0"/>
        <w:snapToGrid w:val="0"/>
        <w:spacing w:line="520" w:lineRule="exact"/>
        <w:ind w:firstLine="420" w:firstLineChars="200"/>
        <w:rPr>
          <w:rFonts w:ascii="宋体" w:hAnsi="宋体"/>
          <w:szCs w:val="21"/>
        </w:rPr>
      </w:pPr>
      <w:r>
        <w:rPr>
          <w:rFonts w:ascii="宋体" w:hAnsi="宋体" w:hint="eastAsia"/>
          <w:szCs w:val="21"/>
        </w:rPr>
        <w:t>2、▲应满足青藏高原地区复杂气象和地理地形条件下的人工增雨（雪）作业服务和云物理探测需求，</w:t>
      </w:r>
      <w:r>
        <w:rPr>
          <w:szCs w:val="21"/>
        </w:rPr>
        <w:t>每次作业过程能够按照采购方提供的</w:t>
      </w:r>
      <w:r>
        <w:rPr>
          <w:rFonts w:hint="eastAsia"/>
          <w:szCs w:val="21"/>
        </w:rPr>
        <w:t>人工</w:t>
      </w:r>
      <w:r>
        <w:rPr>
          <w:szCs w:val="21"/>
        </w:rPr>
        <w:t>增雨（雪）作业</w:t>
      </w:r>
      <w:r>
        <w:rPr>
          <w:rFonts w:hint="eastAsia"/>
          <w:szCs w:val="21"/>
        </w:rPr>
        <w:t>和云物理探测方案</w:t>
      </w:r>
      <w:r>
        <w:rPr>
          <w:szCs w:val="21"/>
        </w:rPr>
        <w:t>进行飞行</w:t>
      </w:r>
      <w:r>
        <w:rPr>
          <w:rFonts w:ascii="宋体" w:hAnsi="宋体" w:hint="eastAsia"/>
          <w:szCs w:val="21"/>
        </w:rPr>
        <w:t>。</w:t>
      </w:r>
    </w:p>
    <w:p w14:paraId="0E9A297F">
      <w:pPr>
        <w:adjustRightInd w:val="0"/>
        <w:snapToGrid w:val="0"/>
        <w:spacing w:line="520" w:lineRule="exact"/>
        <w:ind w:firstLine="420" w:firstLineChars="200"/>
        <w:rPr>
          <w:rFonts w:ascii="宋体" w:hAnsi="宋体"/>
          <w:szCs w:val="21"/>
        </w:rPr>
      </w:pPr>
      <w:r>
        <w:rPr>
          <w:rFonts w:ascii="宋体" w:hAnsi="宋体" w:hint="eastAsia"/>
          <w:szCs w:val="21"/>
        </w:rPr>
        <w:t>3、▲加装人影相关设备后应取得中国民用航空主管部门的适航审定。</w:t>
      </w:r>
    </w:p>
    <w:p w14:paraId="37D98ABE">
      <w:pPr>
        <w:adjustRightInd w:val="0"/>
        <w:snapToGrid w:val="0"/>
        <w:spacing w:line="520" w:lineRule="exact"/>
        <w:ind w:firstLine="420" w:firstLineChars="200"/>
        <w:rPr>
          <w:rFonts w:ascii="宋体" w:hAnsi="宋体"/>
          <w:szCs w:val="21"/>
        </w:rPr>
      </w:pPr>
      <w:r>
        <w:rPr>
          <w:rFonts w:ascii="宋体" w:hAnsi="宋体" w:hint="eastAsia"/>
          <w:szCs w:val="21"/>
        </w:rPr>
        <w:t>4、▲应装备机载气象雷达。</w:t>
      </w:r>
    </w:p>
    <w:p w14:paraId="289720F8">
      <w:pPr>
        <w:adjustRightInd w:val="0"/>
        <w:snapToGrid w:val="0"/>
        <w:spacing w:line="520" w:lineRule="exact"/>
        <w:ind w:firstLine="420" w:firstLineChars="200"/>
        <w:rPr>
          <w:rFonts w:ascii="宋体" w:hAnsi="宋体"/>
          <w:szCs w:val="21"/>
        </w:rPr>
      </w:pPr>
      <w:r>
        <w:rPr>
          <w:rFonts w:ascii="宋体" w:hAnsi="宋体" w:hint="eastAsia"/>
          <w:szCs w:val="21"/>
        </w:rPr>
        <w:t>5、▲应具备抗积冰、除冰能力。</w:t>
      </w:r>
    </w:p>
    <w:p w14:paraId="22D3D874">
      <w:pPr>
        <w:adjustRightInd w:val="0"/>
        <w:snapToGrid w:val="0"/>
        <w:spacing w:line="520" w:lineRule="exact"/>
        <w:ind w:firstLine="420" w:firstLineChars="200"/>
        <w:rPr>
          <w:rFonts w:ascii="宋体" w:hAnsi="宋体"/>
          <w:szCs w:val="21"/>
        </w:rPr>
      </w:pPr>
      <w:r>
        <w:rPr>
          <w:rFonts w:ascii="宋体" w:hAnsi="宋体" w:hint="eastAsia"/>
          <w:szCs w:val="21"/>
        </w:rPr>
        <w:t>6、应配备供氧装置、灭火装置、救生衣、急救包等相关应急救生设备。</w:t>
      </w:r>
    </w:p>
    <w:p w14:paraId="3A401F79">
      <w:pPr>
        <w:adjustRightInd w:val="0"/>
        <w:snapToGrid w:val="0"/>
        <w:spacing w:line="520" w:lineRule="exact"/>
        <w:ind w:firstLine="420" w:firstLineChars="200"/>
        <w:rPr>
          <w:rFonts w:ascii="宋体" w:hAnsi="宋体"/>
          <w:color w:val="000000"/>
          <w:szCs w:val="21"/>
        </w:rPr>
      </w:pPr>
      <w:r>
        <w:rPr>
          <w:rFonts w:ascii="宋体" w:hAnsi="宋体" w:hint="eastAsia"/>
          <w:szCs w:val="21"/>
        </w:rPr>
        <w:t>7、</w:t>
      </w:r>
      <w:r>
        <w:rPr>
          <w:rFonts w:ascii="宋体" w:hAnsi="宋体" w:hint="eastAsia"/>
          <w:color w:val="000000"/>
          <w:szCs w:val="21"/>
        </w:rPr>
        <w:t>▲应满足机载增雨（雪）和大气探测设备供电需求。</w:t>
      </w:r>
    </w:p>
    <w:p w14:paraId="44F29720">
      <w:pPr>
        <w:adjustRightInd w:val="0"/>
        <w:snapToGrid w:val="0"/>
        <w:spacing w:line="520" w:lineRule="exact"/>
        <w:ind w:firstLine="420" w:firstLineChars="200"/>
        <w:rPr>
          <w:rFonts w:ascii="宋体" w:hAnsi="宋体"/>
          <w:color w:val="000000"/>
          <w:szCs w:val="21"/>
        </w:rPr>
      </w:pPr>
      <w:r>
        <w:rPr>
          <w:rFonts w:ascii="宋体" w:hAnsi="宋体" w:hint="eastAsia"/>
          <w:color w:val="000000"/>
          <w:szCs w:val="21"/>
        </w:rPr>
        <w:t>8、▲应能搭载不少于2 名作业人员。</w:t>
      </w:r>
    </w:p>
    <w:p w14:paraId="2CB5E403">
      <w:pPr>
        <w:adjustRightInd w:val="0"/>
        <w:snapToGrid w:val="0"/>
        <w:spacing w:line="520" w:lineRule="exact"/>
        <w:ind w:firstLine="420" w:firstLineChars="200"/>
        <w:rPr>
          <w:rFonts w:ascii="宋体" w:hAnsi="宋体"/>
          <w:color w:val="000000"/>
          <w:szCs w:val="21"/>
        </w:rPr>
      </w:pPr>
      <w:r>
        <w:rPr>
          <w:rFonts w:ascii="宋体" w:hAnsi="宋体" w:hint="eastAsia"/>
          <w:color w:val="000000"/>
          <w:szCs w:val="21"/>
        </w:rPr>
        <w:t>9、具备装载播撒作业、云物理探测、空地数据传输设备的能力。</w:t>
      </w:r>
    </w:p>
    <w:p w14:paraId="32CCD962">
      <w:pPr>
        <w:adjustRightInd w:val="0"/>
        <w:snapToGrid w:val="0"/>
        <w:spacing w:line="520" w:lineRule="exact"/>
        <w:ind w:firstLine="420" w:firstLineChars="200"/>
        <w:rPr>
          <w:rFonts w:ascii="宋体" w:hAnsi="宋体"/>
          <w:color w:val="000000"/>
          <w:szCs w:val="21"/>
        </w:rPr>
      </w:pPr>
      <w:r>
        <w:rPr>
          <w:rFonts w:ascii="宋体" w:hAnsi="宋体" w:hint="eastAsia"/>
          <w:color w:val="000000"/>
          <w:szCs w:val="21"/>
        </w:rPr>
        <w:t>10、机组能够胜任较长时间在青藏高原地区人工增雨（雪）服务工作。</w:t>
      </w:r>
    </w:p>
    <w:p w14:paraId="055FBA7E">
      <w:pPr>
        <w:adjustRightInd w:val="0"/>
        <w:snapToGrid w:val="0"/>
        <w:spacing w:line="520" w:lineRule="exact"/>
        <w:ind w:firstLine="420" w:firstLineChars="200"/>
        <w:rPr>
          <w:rFonts w:ascii="宋体" w:hAnsi="宋体"/>
          <w:color w:val="000000"/>
          <w:szCs w:val="21"/>
        </w:rPr>
      </w:pPr>
      <w:r>
        <w:rPr>
          <w:rFonts w:ascii="宋体" w:hAnsi="宋体"/>
          <w:color w:val="000000"/>
          <w:szCs w:val="21"/>
        </w:rPr>
        <w:t>11、</w:t>
      </w:r>
      <w:r>
        <w:rPr>
          <w:rFonts w:ascii="宋体" w:hAnsi="宋体" w:hint="eastAsia"/>
          <w:color w:val="000000"/>
          <w:szCs w:val="21"/>
        </w:rPr>
        <w:t>▲</w:t>
      </w:r>
      <w:r>
        <w:rPr>
          <w:rFonts w:ascii="宋体" w:hAnsi="宋体"/>
          <w:color w:val="000000"/>
          <w:szCs w:val="21"/>
        </w:rPr>
        <w:t>能够妥善协调空域管制及地面保障，并能顺利实施作业（出具承诺函）。</w:t>
      </w:r>
    </w:p>
    <w:p w14:paraId="6D9A9865">
      <w:pPr>
        <w:adjustRightInd w:val="0"/>
        <w:snapToGrid w:val="0"/>
        <w:spacing w:line="520" w:lineRule="exact"/>
        <w:ind w:firstLine="420" w:firstLineChars="200"/>
        <w:rPr>
          <w:rFonts w:ascii="宋体" w:hAnsi="宋体"/>
          <w:color w:val="000000"/>
          <w:szCs w:val="21"/>
        </w:rPr>
      </w:pPr>
      <w:r>
        <w:rPr>
          <w:rFonts w:ascii="宋体" w:hAnsi="宋体"/>
          <w:color w:val="000000"/>
          <w:szCs w:val="21"/>
        </w:rPr>
        <w:t>12</w:t>
      </w:r>
      <w:r>
        <w:rPr>
          <w:rFonts w:ascii="宋体" w:hAnsi="宋体" w:hint="eastAsia"/>
          <w:color w:val="000000"/>
          <w:szCs w:val="21"/>
        </w:rPr>
        <w:t>、▲中标方提供的高性能增压仓人工增雨（雪）作业飞机，执行人工增雨（雪）作业工作期间，由中标方承担飞机运行安全责任。</w:t>
      </w:r>
    </w:p>
    <w:p w14:paraId="4DB087F3">
      <w:pPr>
        <w:adjustRightInd w:val="0"/>
        <w:snapToGrid w:val="0"/>
        <w:spacing w:line="520" w:lineRule="exact"/>
        <w:ind w:firstLine="420" w:firstLineChars="200"/>
        <w:rPr>
          <w:rFonts w:ascii="宋体" w:hAnsi="宋体"/>
          <w:color w:val="000000"/>
          <w:szCs w:val="21"/>
        </w:rPr>
      </w:pPr>
      <w:r>
        <w:rPr>
          <w:rFonts w:ascii="宋体" w:hAnsi="宋体" w:hint="eastAsia"/>
          <w:color w:val="000000"/>
          <w:szCs w:val="21"/>
        </w:rPr>
        <w:t>13、</w:t>
      </w:r>
      <w:r>
        <w:rPr>
          <w:rFonts w:ascii="宋体" w:hAnsi="宋体" w:hint="eastAsia"/>
          <w:szCs w:val="21"/>
        </w:rPr>
        <w:t>▲</w:t>
      </w:r>
      <w:r>
        <w:rPr>
          <w:rFonts w:ascii="宋体" w:hAnsi="宋体" w:hint="eastAsia"/>
          <w:color w:val="000000"/>
          <w:szCs w:val="21"/>
        </w:rPr>
        <w:t>采购方作业人员在机坪控制区工作和飞行作业期间，其安全工作纳入中标方的统一管理。</w:t>
      </w:r>
    </w:p>
    <w:p w14:paraId="10B14EA5">
      <w:pPr>
        <w:snapToGrid w:val="0"/>
        <w:spacing w:before="94" w:beforeLines="30" w:line="520" w:lineRule="exact"/>
        <w:ind w:firstLine="420" w:firstLineChars="200"/>
        <w:jc w:val="left"/>
        <w:rPr>
          <w:rFonts w:ascii="宋体" w:hAnsi="宋体"/>
          <w:color w:val="000000"/>
          <w:szCs w:val="21"/>
        </w:rPr>
      </w:pPr>
      <w:r>
        <w:rPr>
          <w:rFonts w:ascii="宋体" w:hAnsi="宋体" w:hint="eastAsia"/>
          <w:color w:val="000000"/>
          <w:szCs w:val="21"/>
        </w:rPr>
        <w:t>四、综合性能</w:t>
      </w:r>
    </w:p>
    <w:p w14:paraId="6BDC4096">
      <w:pPr>
        <w:adjustRightInd w:val="0"/>
        <w:snapToGrid w:val="0"/>
        <w:spacing w:line="520" w:lineRule="exact"/>
        <w:ind w:firstLine="420" w:firstLineChars="200"/>
        <w:rPr>
          <w:rFonts w:ascii="宋体" w:hAnsi="宋体"/>
          <w:color w:val="000000"/>
          <w:szCs w:val="21"/>
        </w:rPr>
      </w:pPr>
      <w:r>
        <w:rPr>
          <w:rFonts w:ascii="宋体" w:hAnsi="宋体" w:hint="eastAsia"/>
          <w:color w:val="000000"/>
          <w:szCs w:val="21"/>
        </w:rPr>
        <w:t xml:space="preserve">1、综合性能应满足以下要求： </w:t>
      </w:r>
    </w:p>
    <w:p w14:paraId="33D81414">
      <w:pPr>
        <w:adjustRightInd w:val="0"/>
        <w:snapToGrid w:val="0"/>
        <w:spacing w:line="520" w:lineRule="exact"/>
        <w:ind w:firstLine="420" w:firstLineChars="200"/>
        <w:rPr>
          <w:rFonts w:ascii="宋体" w:hAnsi="宋体"/>
          <w:color w:val="000000"/>
          <w:szCs w:val="21"/>
        </w:rPr>
      </w:pPr>
      <w:r>
        <w:rPr>
          <w:rFonts w:ascii="宋体" w:hAnsi="宋体" w:hint="eastAsia"/>
          <w:color w:val="000000"/>
          <w:szCs w:val="21"/>
        </w:rPr>
        <w:t>（1）商载小于5000kg，飞机升限不低于10km；商载大于5000kg，飞机升限不低于 7km。</w:t>
      </w:r>
    </w:p>
    <w:p w14:paraId="76713EE7">
      <w:pPr>
        <w:adjustRightInd w:val="0"/>
        <w:snapToGrid w:val="0"/>
        <w:spacing w:line="520" w:lineRule="exact"/>
        <w:ind w:firstLine="420" w:firstLineChars="200"/>
        <w:rPr>
          <w:rFonts w:ascii="宋体" w:hAnsi="宋体"/>
          <w:color w:val="000000"/>
          <w:szCs w:val="21"/>
        </w:rPr>
      </w:pPr>
      <w:r>
        <w:rPr>
          <w:rFonts w:ascii="宋体" w:hAnsi="宋体" w:hint="eastAsia"/>
          <w:color w:val="000000"/>
          <w:szCs w:val="21"/>
        </w:rPr>
        <w:t>（2）▲每架飞机每次作业飞行时间不小于 4h，其中一架飞机必须具备长航程所需的额外油箱。</w:t>
      </w:r>
    </w:p>
    <w:p w14:paraId="41CD5AFD">
      <w:pPr>
        <w:adjustRightInd w:val="0"/>
        <w:snapToGrid w:val="0"/>
        <w:spacing w:line="520" w:lineRule="exact"/>
        <w:ind w:firstLine="420" w:firstLineChars="200"/>
        <w:rPr>
          <w:rFonts w:ascii="宋体" w:hAnsi="宋体"/>
          <w:color w:val="000000"/>
          <w:szCs w:val="21"/>
        </w:rPr>
      </w:pPr>
      <w:r>
        <w:rPr>
          <w:rFonts w:ascii="宋体" w:hAnsi="宋体" w:hint="eastAsia"/>
          <w:color w:val="000000"/>
          <w:szCs w:val="21"/>
        </w:rPr>
        <w:t>（3）作业飞行速度为360km/h～720km/h。</w:t>
      </w:r>
    </w:p>
    <w:p w14:paraId="2F45324C">
      <w:pPr>
        <w:adjustRightInd w:val="0"/>
        <w:snapToGrid w:val="0"/>
        <w:spacing w:line="520" w:lineRule="exact"/>
        <w:ind w:firstLine="420" w:firstLineChars="200"/>
        <w:rPr>
          <w:rFonts w:ascii="宋体" w:hAnsi="宋体"/>
          <w:szCs w:val="21"/>
        </w:rPr>
      </w:pPr>
      <w:r>
        <w:rPr>
          <w:rFonts w:ascii="宋体" w:hAnsi="宋体" w:hint="eastAsia"/>
          <w:color w:val="000000"/>
          <w:szCs w:val="21"/>
        </w:rPr>
        <w:t>（4）具备密封增压舱</w:t>
      </w:r>
      <w:r>
        <w:rPr>
          <w:rFonts w:ascii="宋体" w:hAnsi="宋体" w:hint="eastAsia"/>
          <w:szCs w:val="21"/>
        </w:rPr>
        <w:t>和舱内温度调节功能。</w:t>
      </w:r>
    </w:p>
    <w:p w14:paraId="3CB56CAB">
      <w:pPr>
        <w:adjustRightInd w:val="0"/>
        <w:snapToGrid w:val="0"/>
        <w:spacing w:line="520" w:lineRule="exact"/>
        <w:ind w:firstLine="420" w:firstLineChars="200"/>
        <w:rPr>
          <w:rFonts w:ascii="宋体" w:hAnsi="宋体"/>
          <w:szCs w:val="21"/>
        </w:rPr>
      </w:pPr>
      <w:r>
        <w:rPr>
          <w:rFonts w:ascii="宋体" w:hAnsi="宋体" w:hint="eastAsia"/>
          <w:szCs w:val="21"/>
        </w:rPr>
        <w:t>2、机载设备</w:t>
      </w:r>
    </w:p>
    <w:p w14:paraId="726411DB">
      <w:pPr>
        <w:adjustRightInd w:val="0"/>
        <w:snapToGrid w:val="0"/>
        <w:spacing w:line="520" w:lineRule="exact"/>
        <w:ind w:firstLine="420" w:firstLineChars="200"/>
        <w:rPr>
          <w:rFonts w:ascii="宋体" w:hAnsi="宋体"/>
          <w:szCs w:val="21"/>
        </w:rPr>
      </w:pPr>
      <w:r>
        <w:rPr>
          <w:rFonts w:ascii="宋体" w:hAnsi="宋体" w:hint="eastAsia"/>
          <w:szCs w:val="21"/>
        </w:rPr>
        <w:t>（1）监测设备</w:t>
      </w:r>
    </w:p>
    <w:p w14:paraId="2B37BA5A">
      <w:pPr>
        <w:adjustRightInd w:val="0"/>
        <w:snapToGrid w:val="0"/>
        <w:spacing w:line="520" w:lineRule="exact"/>
        <w:ind w:firstLine="420" w:firstLineChars="200"/>
        <w:rPr>
          <w:rFonts w:ascii="宋体" w:hAnsi="宋体"/>
          <w:szCs w:val="21"/>
        </w:rPr>
      </w:pPr>
      <w:r>
        <w:rPr>
          <w:rFonts w:ascii="宋体" w:hAnsi="宋体" w:hint="eastAsia"/>
          <w:szCs w:val="21"/>
        </w:rPr>
        <w:t>▲具备观测空速、高度、经纬度、温度、气压、湿度等功能。</w:t>
      </w:r>
    </w:p>
    <w:p w14:paraId="1345015E">
      <w:pPr>
        <w:adjustRightInd w:val="0"/>
        <w:snapToGrid w:val="0"/>
        <w:spacing w:line="520" w:lineRule="exact"/>
        <w:ind w:firstLine="420" w:firstLineChars="200"/>
        <w:rPr>
          <w:rFonts w:ascii="宋体" w:hAnsi="宋体"/>
          <w:szCs w:val="21"/>
        </w:rPr>
      </w:pPr>
      <w:r>
        <w:rPr>
          <w:rFonts w:ascii="宋体" w:hAnsi="宋体" w:hint="eastAsia"/>
          <w:szCs w:val="21"/>
        </w:rPr>
        <w:t>（2）催化设备</w:t>
      </w:r>
    </w:p>
    <w:p w14:paraId="6CF0A002">
      <w:pPr>
        <w:adjustRightInd w:val="0"/>
        <w:snapToGrid w:val="0"/>
        <w:spacing w:line="520" w:lineRule="exact"/>
        <w:ind w:firstLine="420" w:firstLineChars="200"/>
        <w:rPr>
          <w:rFonts w:ascii="宋体" w:hAnsi="宋体"/>
          <w:szCs w:val="21"/>
        </w:rPr>
      </w:pPr>
      <w:r>
        <w:rPr>
          <w:rFonts w:ascii="宋体" w:hAnsi="宋体" w:hint="eastAsia"/>
          <w:szCs w:val="21"/>
        </w:rPr>
        <w:t>▲焰条、焰弹的一次装载量连续催化时间应不小于3h。</w:t>
      </w:r>
    </w:p>
    <w:p w14:paraId="6D6009F9">
      <w:pPr>
        <w:adjustRightInd w:val="0"/>
        <w:snapToGrid w:val="0"/>
        <w:spacing w:line="520" w:lineRule="exact"/>
        <w:ind w:firstLine="420" w:firstLineChars="200"/>
        <w:rPr>
          <w:rFonts w:ascii="宋体" w:hAnsi="宋体"/>
          <w:szCs w:val="21"/>
        </w:rPr>
      </w:pPr>
      <w:r>
        <w:rPr>
          <w:rFonts w:ascii="宋体" w:hAnsi="宋体" w:hint="eastAsia"/>
          <w:szCs w:val="21"/>
        </w:rPr>
        <w:t>（3）通信设备</w:t>
      </w:r>
    </w:p>
    <w:p w14:paraId="3C83D8D7">
      <w:pPr>
        <w:adjustRightInd w:val="0"/>
        <w:snapToGrid w:val="0"/>
        <w:spacing w:line="520" w:lineRule="exact"/>
        <w:ind w:firstLine="420" w:firstLineChars="200"/>
        <w:rPr>
          <w:rFonts w:ascii="宋体" w:hAnsi="宋体"/>
          <w:szCs w:val="21"/>
        </w:rPr>
      </w:pPr>
      <w:r>
        <w:rPr>
          <w:rFonts w:ascii="宋体" w:hAnsi="宋体" w:hint="eastAsia"/>
          <w:szCs w:val="21"/>
        </w:rPr>
        <w:t>▲预留飞机和地面之间传输和交互人工影响天气作业信息的设备装载位置。</w:t>
      </w:r>
    </w:p>
    <w:p w14:paraId="039C617F">
      <w:pPr>
        <w:snapToGrid w:val="0"/>
        <w:spacing w:before="94" w:beforeLines="30" w:line="520" w:lineRule="exact"/>
        <w:ind w:firstLine="420" w:firstLineChars="200"/>
        <w:jc w:val="left"/>
        <w:rPr>
          <w:rFonts w:ascii="宋体" w:hAnsi="宋体"/>
          <w:b/>
          <w:szCs w:val="21"/>
        </w:rPr>
      </w:pPr>
      <w:r>
        <w:rPr>
          <w:rFonts w:ascii="宋体" w:hAnsi="宋体" w:hint="eastAsia"/>
          <w:b/>
          <w:szCs w:val="21"/>
        </w:rPr>
        <w:t>五、服务时间</w:t>
      </w:r>
    </w:p>
    <w:p w14:paraId="0EF73DE8">
      <w:pPr>
        <w:adjustRightInd w:val="0"/>
        <w:snapToGrid w:val="0"/>
        <w:spacing w:line="520" w:lineRule="exact"/>
        <w:ind w:firstLine="420" w:firstLineChars="200"/>
        <w:rPr>
          <w:rFonts w:ascii="宋体" w:hAnsi="宋体"/>
          <w:szCs w:val="21"/>
        </w:rPr>
      </w:pPr>
      <w:r>
        <w:rPr>
          <w:rFonts w:ascii="宋体" w:hAnsi="宋体" w:hint="eastAsia"/>
          <w:szCs w:val="21"/>
        </w:rPr>
        <w:t>中标方</w:t>
      </w:r>
      <w:r>
        <w:rPr>
          <w:rFonts w:ascii="宋体" w:hAnsi="宋体"/>
          <w:szCs w:val="21"/>
        </w:rPr>
        <w:t>自合同签订</w:t>
      </w:r>
      <w:r>
        <w:rPr>
          <w:rFonts w:ascii="宋体" w:hAnsi="宋体" w:hint="eastAsia"/>
          <w:szCs w:val="21"/>
        </w:rPr>
        <w:t>次</w:t>
      </w:r>
      <w:r>
        <w:rPr>
          <w:rFonts w:ascii="宋体" w:hAnsi="宋体"/>
          <w:szCs w:val="21"/>
        </w:rPr>
        <w:t>日起</w:t>
      </w:r>
      <w:r>
        <w:rPr>
          <w:rFonts w:ascii="宋体" w:hAnsi="宋体" w:hint="eastAsia"/>
          <w:szCs w:val="21"/>
        </w:rPr>
        <w:t>一年内，至少一架高性能增压仓人工增雨（雪）飞机合计完成</w:t>
      </w:r>
      <w:r>
        <w:rPr>
          <w:rFonts w:ascii="宋体" w:hAnsi="宋体" w:hint="eastAsia"/>
          <w:color w:val="000000"/>
          <w:szCs w:val="21"/>
        </w:rPr>
        <w:t>8.6个月（8个月零18天）</w:t>
      </w:r>
      <w:r>
        <w:rPr>
          <w:rFonts w:ascii="宋体" w:hAnsi="宋体" w:hint="eastAsia"/>
          <w:szCs w:val="21"/>
        </w:rPr>
        <w:t>人工增雨（雪）</w:t>
      </w:r>
      <w:r>
        <w:rPr>
          <w:rFonts w:ascii="宋体" w:hAnsi="宋体" w:hint="eastAsia"/>
          <w:color w:val="000000"/>
          <w:szCs w:val="21"/>
        </w:rPr>
        <w:t>服务任务</w:t>
      </w:r>
      <w:r>
        <w:rPr>
          <w:rFonts w:ascii="宋体" w:hAnsi="宋体" w:hint="eastAsia"/>
          <w:szCs w:val="21"/>
        </w:rPr>
        <w:t>。</w:t>
      </w:r>
    </w:p>
    <w:p w14:paraId="5261716E">
      <w:pPr>
        <w:snapToGrid w:val="0"/>
        <w:spacing w:before="94" w:beforeLines="30" w:line="520" w:lineRule="exact"/>
        <w:ind w:firstLine="420" w:firstLineChars="200"/>
        <w:jc w:val="left"/>
        <w:rPr>
          <w:rFonts w:ascii="宋体" w:hAnsi="宋体"/>
          <w:b/>
          <w:szCs w:val="21"/>
        </w:rPr>
      </w:pPr>
      <w:r>
        <w:rPr>
          <w:rFonts w:ascii="宋体" w:hAnsi="宋体"/>
          <w:b/>
          <w:szCs w:val="21"/>
        </w:rPr>
        <w:t>六、</w:t>
      </w:r>
      <w:r>
        <w:rPr>
          <w:rFonts w:ascii="宋体" w:hAnsi="宋体" w:hint="eastAsia"/>
          <w:b/>
          <w:szCs w:val="21"/>
        </w:rPr>
        <w:t>技术支持与</w:t>
      </w:r>
      <w:r>
        <w:rPr>
          <w:rFonts w:ascii="宋体" w:hAnsi="宋体"/>
          <w:b/>
          <w:szCs w:val="21"/>
        </w:rPr>
        <w:t>质量保证</w:t>
      </w:r>
    </w:p>
    <w:p w14:paraId="5AE908B0">
      <w:pPr>
        <w:snapToGrid w:val="0"/>
        <w:spacing w:line="520" w:lineRule="exact"/>
        <w:ind w:firstLine="420" w:firstLineChars="200"/>
        <w:jc w:val="left"/>
        <w:rPr>
          <w:szCs w:val="21"/>
        </w:rPr>
      </w:pPr>
      <w:r>
        <w:rPr>
          <w:rFonts w:hint="eastAsia"/>
          <w:szCs w:val="21"/>
        </w:rPr>
        <w:t>1</w:t>
      </w:r>
      <w:r>
        <w:rPr>
          <w:szCs w:val="21"/>
        </w:rPr>
        <w:t>、</w:t>
      </w:r>
      <w:r>
        <w:rPr>
          <w:rFonts w:hint="eastAsia"/>
          <w:szCs w:val="21"/>
        </w:rPr>
        <w:t>投标人需提供完整详尽的事故处理解决方案。</w:t>
      </w:r>
    </w:p>
    <w:p w14:paraId="02C74F49">
      <w:pPr>
        <w:snapToGrid w:val="0"/>
        <w:spacing w:line="520" w:lineRule="exact"/>
        <w:ind w:firstLine="420" w:firstLineChars="200"/>
        <w:jc w:val="left"/>
        <w:rPr>
          <w:szCs w:val="21"/>
        </w:rPr>
      </w:pPr>
      <w:r>
        <w:rPr>
          <w:rFonts w:hint="eastAsia"/>
          <w:szCs w:val="21"/>
        </w:rPr>
        <w:t>2、</w:t>
      </w:r>
      <w:r>
        <w:rPr>
          <w:szCs w:val="21"/>
        </w:rPr>
        <w:t>因作业飞机、有关器械设备出现故障不能作业时，中标方</w:t>
      </w:r>
      <w:r>
        <w:rPr>
          <w:rFonts w:hint="eastAsia"/>
          <w:szCs w:val="21"/>
        </w:rPr>
        <w:t>在72小时内解决或提供同型号备用机</w:t>
      </w:r>
      <w:r>
        <w:rPr>
          <w:rFonts w:ascii="宋体" w:hAnsi="宋体"/>
          <w:szCs w:val="21"/>
        </w:rPr>
        <w:t>继续开展增雨作业</w:t>
      </w:r>
      <w:r>
        <w:rPr>
          <w:szCs w:val="21"/>
        </w:rPr>
        <w:t>。</w:t>
      </w:r>
    </w:p>
    <w:p w14:paraId="73D36EC5">
      <w:pPr>
        <w:snapToGrid w:val="0"/>
        <w:spacing w:line="520" w:lineRule="exact"/>
        <w:ind w:firstLine="420" w:firstLineChars="200"/>
        <w:rPr>
          <w:szCs w:val="21"/>
        </w:rPr>
      </w:pPr>
      <w:r>
        <w:rPr>
          <w:rFonts w:hint="eastAsia"/>
          <w:szCs w:val="21"/>
        </w:rPr>
        <w:t>3</w:t>
      </w:r>
      <w:r>
        <w:rPr>
          <w:szCs w:val="21"/>
        </w:rPr>
        <w:t>、现场响应：现场作业遇到有关问题时，中标方现场负责人应积极与采购方现场派驻人员协商，尽全力保障增雨（雪）顺利进行。</w:t>
      </w:r>
    </w:p>
    <w:p w14:paraId="10D77004">
      <w:pPr>
        <w:snapToGrid w:val="0"/>
        <w:spacing w:before="94" w:beforeLines="30" w:line="520" w:lineRule="exact"/>
        <w:ind w:firstLine="420" w:firstLineChars="200"/>
        <w:jc w:val="left"/>
        <w:rPr>
          <w:rFonts w:ascii="宋体" w:hAnsi="宋体"/>
          <w:b/>
          <w:szCs w:val="21"/>
        </w:rPr>
      </w:pPr>
      <w:r>
        <w:rPr>
          <w:rFonts w:ascii="宋体" w:hAnsi="宋体"/>
          <w:b/>
          <w:szCs w:val="21"/>
        </w:rPr>
        <w:t>七、</w:t>
      </w:r>
      <w:r>
        <w:rPr>
          <w:rFonts w:ascii="宋体" w:hAnsi="宋体" w:hint="eastAsia"/>
          <w:b/>
          <w:szCs w:val="21"/>
        </w:rPr>
        <w:t>服务团队要求</w:t>
      </w:r>
    </w:p>
    <w:p w14:paraId="7F359B98">
      <w:pPr>
        <w:snapToGrid w:val="0"/>
        <w:spacing w:line="520" w:lineRule="exact"/>
        <w:ind w:firstLine="420" w:firstLineChars="200"/>
        <w:rPr>
          <w:szCs w:val="21"/>
        </w:rPr>
      </w:pPr>
      <w:r>
        <w:rPr>
          <w:rFonts w:hint="eastAsia"/>
          <w:szCs w:val="21"/>
        </w:rPr>
        <w:t>1</w:t>
      </w:r>
      <w:r>
        <w:rPr>
          <w:szCs w:val="21"/>
        </w:rPr>
        <w:t>、</w:t>
      </w:r>
      <w:r>
        <w:rPr>
          <w:rFonts w:hint="eastAsia"/>
          <w:szCs w:val="21"/>
        </w:rPr>
        <w:t>投标人应针对本项目组成专业的服务团队，</w:t>
      </w:r>
      <w:r>
        <w:rPr>
          <w:szCs w:val="21"/>
        </w:rPr>
        <w:t>提供符合民航规定和证照齐全的飞行人员、机务人员及其他工作人员， 按照相关规定进行飞机检查维护，确保增雨（雪）作业安全。</w:t>
      </w:r>
    </w:p>
    <w:p w14:paraId="629513CC">
      <w:pPr>
        <w:snapToGrid w:val="0"/>
        <w:spacing w:line="520" w:lineRule="exact"/>
        <w:ind w:firstLine="420" w:firstLineChars="200"/>
        <w:rPr>
          <w:szCs w:val="21"/>
        </w:rPr>
      </w:pPr>
      <w:r>
        <w:rPr>
          <w:rFonts w:hint="eastAsia"/>
          <w:szCs w:val="21"/>
        </w:rPr>
        <w:t>2、因项目在青藏高原地区实施，机长需具有一定高性能增压仓飞机在青藏高原地区增雨（雪）飞行的经验，有效保证飞行安全；飞行员需具有高性能增压仓飞机飞行经历；提供飞行经历</w:t>
      </w:r>
      <w:r>
        <w:rPr>
          <w:szCs w:val="21"/>
        </w:rPr>
        <w:t>证明材料复印件</w:t>
      </w:r>
      <w:r>
        <w:rPr>
          <w:rFonts w:hint="eastAsia"/>
          <w:szCs w:val="21"/>
        </w:rPr>
        <w:t>并盖章。</w:t>
      </w:r>
    </w:p>
    <w:p w14:paraId="0321A9C1">
      <w:pPr>
        <w:snapToGrid w:val="0"/>
        <w:spacing w:line="520" w:lineRule="exact"/>
        <w:ind w:firstLine="420" w:firstLineChars="200"/>
        <w:jc w:val="left"/>
        <w:rPr>
          <w:szCs w:val="21"/>
        </w:rPr>
      </w:pPr>
      <w:r>
        <w:rPr>
          <w:rFonts w:hint="eastAsia"/>
          <w:szCs w:val="21"/>
        </w:rPr>
        <w:t>3、</w:t>
      </w:r>
      <w:r>
        <w:rPr>
          <w:szCs w:val="21"/>
        </w:rPr>
        <w:t>机组须负责飞行计划的报批以及与空管部门的沟通协调</w:t>
      </w:r>
      <w:r>
        <w:rPr>
          <w:rFonts w:hint="eastAsia"/>
          <w:szCs w:val="21"/>
        </w:rPr>
        <w:t>工作，提供协调机制方案</w:t>
      </w:r>
      <w:r>
        <w:rPr>
          <w:szCs w:val="21"/>
        </w:rPr>
        <w:t>。</w:t>
      </w:r>
    </w:p>
    <w:p w14:paraId="37CD105E">
      <w:pPr>
        <w:rPr>
          <w:rFonts w:hint="eastAsia"/>
        </w:rPr>
      </w:pPr>
    </w:p>
    <w:p w14:paraId="46C014BB"/>
    <w:bookmarkEnd w:id="54"/>
    <w:p w14:paraId="3ED5865B">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num="1" w:space="708"/>
          <w:docGrid w:type="linesAndChars" w:linePitch="312" w:charSpace="0"/>
        </w:sectPr>
      </w:pPr>
    </w:p>
    <w:p w14:paraId="24E5547E">
      <w:pPr>
        <w:spacing w:before="156" w:beforeLines="50" w:line="360" w:lineRule="auto"/>
        <w:jc w:val="center"/>
        <w:outlineLvl w:val="1"/>
        <w:rPr>
          <w:rFonts w:ascii="宋体" w:hAnsi="宋体" w:hint="eastAsia"/>
          <w:b/>
          <w:sz w:val="30"/>
          <w:szCs w:val="30"/>
        </w:rPr>
      </w:pPr>
      <w:bookmarkStart w:id="56" w:name="投标被拒绝条款专用部分_JJTK"/>
      <w:r>
        <w:rPr>
          <w:rFonts w:ascii="宋体" w:hAnsi="宋体" w:hint="eastAsia"/>
          <w:b/>
          <w:sz w:val="30"/>
          <w:szCs w:val="30"/>
        </w:rPr>
        <w:t>第八章  投标被拒绝条款专用部分</w:t>
      </w:r>
    </w:p>
    <w:p w14:paraId="5DB778D0">
      <w:pPr>
        <w:adjustRightInd w:val="0"/>
        <w:snapToGrid w:val="0"/>
        <w:spacing w:before="156" w:beforeLines="50" w:line="360" w:lineRule="auto"/>
        <w:rPr>
          <w:rFonts w:ascii="宋体" w:hAnsi="宋体" w:hint="eastAsia"/>
          <w:szCs w:val="21"/>
        </w:rPr>
      </w:pPr>
    </w:p>
    <w:p w14:paraId="5AFD06B0">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38790D3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7BB0F8EF">
            <w:pPr>
              <w:rPr>
                <w:sz w:val="18"/>
                <w:szCs w:val="18"/>
              </w:rPr>
            </w:pPr>
            <w:r>
              <w:rPr>
                <w:rFonts w:hint="eastAsia"/>
                <w:sz w:val="18"/>
                <w:szCs w:val="18"/>
              </w:rPr>
              <w:t>序号</w:t>
            </w:r>
          </w:p>
        </w:tc>
        <w:tc>
          <w:tcPr>
            <w:tcW w:w="898" w:type="dxa"/>
            <w:vAlign w:val="center"/>
          </w:tcPr>
          <w:p w14:paraId="016AC386">
            <w:pPr>
              <w:jc w:val="center"/>
              <w:rPr>
                <w:sz w:val="18"/>
                <w:szCs w:val="18"/>
              </w:rPr>
            </w:pPr>
            <w:r>
              <w:rPr>
                <w:rFonts w:hint="eastAsia"/>
                <w:sz w:val="18"/>
                <w:szCs w:val="18"/>
              </w:rPr>
              <w:t>对应</w:t>
            </w:r>
          </w:p>
          <w:p w14:paraId="704C8567">
            <w:pPr>
              <w:jc w:val="center"/>
              <w:rPr>
                <w:sz w:val="18"/>
                <w:szCs w:val="18"/>
              </w:rPr>
            </w:pPr>
            <w:r>
              <w:rPr>
                <w:rFonts w:hint="eastAsia"/>
                <w:sz w:val="18"/>
                <w:szCs w:val="18"/>
              </w:rPr>
              <w:t>条款号</w:t>
            </w:r>
          </w:p>
        </w:tc>
        <w:tc>
          <w:tcPr>
            <w:tcW w:w="7347" w:type="dxa"/>
            <w:vAlign w:val="center"/>
          </w:tcPr>
          <w:p w14:paraId="5E42B40C">
            <w:pPr>
              <w:jc w:val="center"/>
              <w:rPr>
                <w:sz w:val="18"/>
                <w:szCs w:val="18"/>
              </w:rPr>
            </w:pPr>
            <w:r>
              <w:rPr>
                <w:rFonts w:hint="eastAsia"/>
                <w:sz w:val="18"/>
                <w:szCs w:val="18"/>
              </w:rPr>
              <w:t>内 容</w:t>
            </w:r>
          </w:p>
        </w:tc>
      </w:tr>
      <w:tr w14:paraId="681E4763">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122A6DF">
            <w:pPr>
              <w:jc w:val="center"/>
              <w:rPr>
                <w:b/>
                <w:sz w:val="18"/>
                <w:szCs w:val="18"/>
              </w:rPr>
            </w:pPr>
            <w:r>
              <w:rPr>
                <w:rFonts w:hint="eastAsia"/>
                <w:b/>
                <w:sz w:val="18"/>
                <w:szCs w:val="18"/>
              </w:rPr>
              <w:t>第五章 投标人须知专用部分</w:t>
            </w:r>
          </w:p>
        </w:tc>
      </w:tr>
      <w:tr w14:paraId="102CCB54">
        <w:tblPrEx>
          <w:tblW w:w="0" w:type="auto"/>
          <w:tblInd w:w="0" w:type="dxa"/>
          <w:tblLayout w:type="fixed"/>
          <w:tblCellMar>
            <w:top w:w="0" w:type="dxa"/>
            <w:left w:w="108" w:type="dxa"/>
            <w:bottom w:w="0" w:type="dxa"/>
            <w:right w:w="108" w:type="dxa"/>
          </w:tblCellMar>
        </w:tblPrEx>
        <w:trPr>
          <w:cantSplit/>
        </w:trPr>
        <w:tc>
          <w:tcPr>
            <w:tcW w:w="544" w:type="dxa"/>
            <w:vAlign w:val="center"/>
          </w:tcPr>
          <w:p w14:paraId="7CAC594C">
            <w:pPr>
              <w:numPr>
                <w:ilvl w:val="0"/>
                <w:numId w:val="4"/>
              </w:numPr>
              <w:rPr>
                <w:rFonts w:ascii="宋体" w:hAnsi="宋体" w:hint="eastAsia"/>
                <w:sz w:val="18"/>
                <w:szCs w:val="18"/>
              </w:rPr>
            </w:pPr>
          </w:p>
        </w:tc>
        <w:tc>
          <w:tcPr>
            <w:tcW w:w="898" w:type="dxa"/>
            <w:vAlign w:val="center"/>
          </w:tcPr>
          <w:p w14:paraId="34358777">
            <w:pPr>
              <w:jc w:val="center"/>
              <w:rPr>
                <w:rFonts w:ascii="宋体" w:hAnsi="宋体" w:hint="eastAsia"/>
                <w:sz w:val="18"/>
                <w:szCs w:val="18"/>
              </w:rPr>
            </w:pPr>
          </w:p>
        </w:tc>
        <w:tc>
          <w:tcPr>
            <w:tcW w:w="7347" w:type="dxa"/>
          </w:tcPr>
          <w:p w14:paraId="4E053F4C">
            <w:pPr>
              <w:tabs>
                <w:tab w:val="left" w:pos="709"/>
              </w:tabs>
              <w:spacing w:line="360" w:lineRule="auto"/>
              <w:jc w:val="left"/>
              <w:rPr>
                <w:rFonts w:ascii="宋体" w:hAnsi="宋体" w:hint="eastAsia"/>
                <w:sz w:val="18"/>
                <w:szCs w:val="18"/>
              </w:rPr>
            </w:pPr>
            <w:r>
              <w:rPr>
                <w:rFonts w:ascii="宋体" w:hAnsi="宋体" w:hint="eastAsia"/>
                <w:sz w:val="18"/>
                <w:szCs w:val="18"/>
              </w:rPr>
              <w:t>无</w:t>
            </w:r>
          </w:p>
        </w:tc>
      </w:tr>
      <w:tr w14:paraId="3DD881D5">
        <w:tblPrEx>
          <w:tblW w:w="0" w:type="auto"/>
          <w:tblInd w:w="0" w:type="dxa"/>
          <w:tblLayout w:type="fixed"/>
          <w:tblCellMar>
            <w:top w:w="0" w:type="dxa"/>
            <w:left w:w="108" w:type="dxa"/>
            <w:bottom w:w="0" w:type="dxa"/>
            <w:right w:w="108" w:type="dxa"/>
          </w:tblCellMar>
        </w:tblPrEx>
        <w:trPr>
          <w:cantSplit/>
        </w:trPr>
        <w:tc>
          <w:tcPr>
            <w:tcW w:w="544" w:type="dxa"/>
            <w:vAlign w:val="center"/>
          </w:tcPr>
          <w:p w14:paraId="1F190BF2">
            <w:pPr>
              <w:numPr>
                <w:ilvl w:val="0"/>
                <w:numId w:val="4"/>
              </w:numPr>
              <w:rPr>
                <w:rFonts w:ascii="宋体" w:hAnsi="宋体" w:hint="eastAsia"/>
                <w:sz w:val="18"/>
                <w:szCs w:val="18"/>
              </w:rPr>
            </w:pPr>
          </w:p>
        </w:tc>
        <w:tc>
          <w:tcPr>
            <w:tcW w:w="898" w:type="dxa"/>
            <w:vAlign w:val="center"/>
          </w:tcPr>
          <w:p w14:paraId="73244436">
            <w:pPr>
              <w:jc w:val="center"/>
              <w:rPr>
                <w:rFonts w:ascii="宋体" w:hAnsi="宋体" w:hint="eastAsia"/>
                <w:sz w:val="18"/>
                <w:szCs w:val="18"/>
              </w:rPr>
            </w:pPr>
          </w:p>
        </w:tc>
        <w:tc>
          <w:tcPr>
            <w:tcW w:w="7347" w:type="dxa"/>
            <w:vAlign w:val="center"/>
          </w:tcPr>
          <w:p w14:paraId="627BA65C">
            <w:pPr>
              <w:tabs>
                <w:tab w:val="left" w:pos="709"/>
              </w:tabs>
              <w:spacing w:line="360" w:lineRule="auto"/>
              <w:jc w:val="left"/>
              <w:rPr>
                <w:rFonts w:ascii="宋体" w:hAnsi="宋体" w:hint="eastAsia"/>
                <w:sz w:val="18"/>
                <w:szCs w:val="18"/>
              </w:rPr>
            </w:pPr>
          </w:p>
        </w:tc>
      </w:tr>
      <w:tr w14:paraId="04F7D90A">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118C2F6">
            <w:pPr>
              <w:jc w:val="center"/>
              <w:rPr>
                <w:sz w:val="18"/>
                <w:szCs w:val="18"/>
              </w:rPr>
            </w:pPr>
            <w:r>
              <w:rPr>
                <w:rFonts w:hint="eastAsia"/>
                <w:b/>
                <w:sz w:val="18"/>
                <w:szCs w:val="18"/>
              </w:rPr>
              <w:t>第七章  采购需求</w:t>
            </w:r>
          </w:p>
        </w:tc>
      </w:tr>
      <w:tr w14:paraId="08AA54EC">
        <w:tblPrEx>
          <w:tblW w:w="0" w:type="auto"/>
          <w:tblInd w:w="0" w:type="dxa"/>
          <w:tblLayout w:type="fixed"/>
          <w:tblCellMar>
            <w:top w:w="0" w:type="dxa"/>
            <w:left w:w="108" w:type="dxa"/>
            <w:bottom w:w="0" w:type="dxa"/>
            <w:right w:w="108" w:type="dxa"/>
          </w:tblCellMar>
        </w:tblPrEx>
        <w:trPr>
          <w:cantSplit/>
        </w:trPr>
        <w:tc>
          <w:tcPr>
            <w:tcW w:w="544" w:type="dxa"/>
            <w:vAlign w:val="center"/>
          </w:tcPr>
          <w:p w14:paraId="3338927F">
            <w:pPr>
              <w:numPr>
                <w:ilvl w:val="0"/>
                <w:numId w:val="4"/>
              </w:numPr>
              <w:rPr>
                <w:rFonts w:ascii="宋体" w:hAnsi="宋体" w:hint="eastAsia"/>
                <w:sz w:val="18"/>
                <w:szCs w:val="18"/>
              </w:rPr>
            </w:pPr>
          </w:p>
        </w:tc>
        <w:tc>
          <w:tcPr>
            <w:tcW w:w="898" w:type="dxa"/>
            <w:vAlign w:val="center"/>
          </w:tcPr>
          <w:p w14:paraId="10CD488F">
            <w:pPr>
              <w:jc w:val="center"/>
              <w:rPr>
                <w:rFonts w:ascii="宋体" w:hAnsi="宋体" w:hint="eastAsia"/>
                <w:sz w:val="18"/>
                <w:szCs w:val="18"/>
              </w:rPr>
            </w:pPr>
          </w:p>
        </w:tc>
        <w:tc>
          <w:tcPr>
            <w:tcW w:w="7347" w:type="dxa"/>
            <w:vAlign w:val="center"/>
          </w:tcPr>
          <w:p w14:paraId="44EC6DF9">
            <w:pPr>
              <w:tabs>
                <w:tab w:val="left" w:pos="709"/>
              </w:tabs>
              <w:spacing w:line="360" w:lineRule="auto"/>
              <w:jc w:val="left"/>
              <w:rPr>
                <w:rFonts w:ascii="宋体" w:hAnsi="宋体" w:hint="eastAsia"/>
                <w:sz w:val="18"/>
                <w:szCs w:val="18"/>
              </w:rPr>
            </w:pPr>
            <w:r>
              <w:rPr>
                <w:rFonts w:ascii="宋体" w:hAnsi="宋体" w:cs="微软雅黑" w:hint="eastAsia"/>
                <w:kern w:val="0"/>
                <w:szCs w:val="21"/>
              </w:rPr>
              <w:t>服务机型：*高性能增压仓人工增雨（雪）飞机至少一架，需完全满足青藏高原腹地飞机增雨（雪）作业需求，最大升限不低于高度1</w:t>
            </w:r>
            <w:r>
              <w:rPr>
                <w:rFonts w:ascii="宋体" w:hAnsi="宋体" w:cs="微软雅黑"/>
                <w:kern w:val="0"/>
                <w:szCs w:val="21"/>
              </w:rPr>
              <w:t>0000</w:t>
            </w:r>
            <w:r>
              <w:rPr>
                <w:rFonts w:ascii="宋体" w:hAnsi="宋体" w:cs="微软雅黑" w:hint="eastAsia"/>
                <w:kern w:val="0"/>
                <w:szCs w:val="21"/>
              </w:rPr>
              <w:t>米。</w:t>
            </w:r>
          </w:p>
        </w:tc>
      </w:tr>
    </w:tbl>
    <w:p w14:paraId="0FC6B9CC">
      <w:pPr>
        <w:spacing w:before="156" w:beforeLines="50" w:line="360" w:lineRule="auto"/>
        <w:rPr>
          <w:rFonts w:ascii="宋体" w:hAnsi="宋体" w:hint="eastAsia"/>
          <w:szCs w:val="21"/>
        </w:rPr>
      </w:pPr>
      <w:r>
        <w:rPr>
          <w:rFonts w:ascii="宋体" w:hAnsi="宋体" w:hint="eastAsia"/>
          <w:szCs w:val="21"/>
        </w:rPr>
        <w:t>注：根据项目具体情况，对投标人有具体要求，且</w:t>
      </w:r>
      <w:r>
        <w:rPr>
          <w:rFonts w:ascii="宋体" w:hAnsi="宋体" w:hint="eastAsia"/>
          <w:szCs w:val="21"/>
          <w:highlight w:val="yellow"/>
        </w:rPr>
        <w:t>投标人必须遵守的，逐条列出</w:t>
      </w:r>
      <w:r>
        <w:rPr>
          <w:rFonts w:ascii="宋体" w:hAnsi="宋体" w:hint="eastAsia"/>
          <w:szCs w:val="21"/>
        </w:rPr>
        <w:t>。</w:t>
      </w:r>
    </w:p>
    <w:p w14:paraId="564B7DD1">
      <w:pPr>
        <w:spacing w:before="156" w:beforeLines="50" w:line="360" w:lineRule="auto"/>
        <w:ind w:firstLine="420"/>
      </w:pPr>
    </w:p>
    <w:p w14:paraId="5DEA7A76"/>
    <w:bookmarkEnd w:id="56"/>
    <w:p w14:paraId="2DEC41C9">
      <w:pPr>
        <w:spacing w:before="156" w:beforeLines="50" w:line="360" w:lineRule="auto"/>
        <w:jc w:val="center"/>
        <w:outlineLvl w:val="1"/>
        <w:rPr>
          <w:rFonts w:ascii="宋体" w:hAnsi="宋体" w:hint="eastAsia"/>
          <w:b/>
          <w:sz w:val="30"/>
          <w:szCs w:val="30"/>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6FFE4846">
      <w:pPr>
        <w:spacing w:line="360" w:lineRule="auto"/>
        <w:jc w:val="center"/>
        <w:outlineLvl w:val="0"/>
        <w:rPr>
          <w:b/>
          <w:sz w:val="48"/>
          <w:szCs w:val="36"/>
          <w:highlight w:val="none"/>
        </w:rPr>
      </w:pPr>
      <w:r>
        <w:rPr>
          <w:rFonts w:hint="eastAsia"/>
          <w:b/>
          <w:sz w:val="48"/>
          <w:szCs w:val="36"/>
          <w:highlight w:val="none"/>
        </w:rPr>
        <w:t>第三分册：采购合同</w:t>
      </w:r>
    </w:p>
    <w:p w14:paraId="664DA56D">
      <w:pPr>
        <w:spacing w:line="360" w:lineRule="auto"/>
        <w:rPr>
          <w:b/>
          <w:bCs/>
          <w:sz w:val="28"/>
          <w:szCs w:val="28"/>
          <w:highlight w:val="none"/>
        </w:rPr>
      </w:pPr>
    </w:p>
    <w:p w14:paraId="1650D7B0">
      <w:pPr>
        <w:spacing w:line="360" w:lineRule="auto"/>
        <w:ind w:firstLine="3066" w:firstLineChars="1460"/>
        <w:jc w:val="left"/>
        <w:rPr>
          <w:rFonts w:ascii="Times New Roman" w:eastAsia="宋体" w:hAnsi="Times New Roman" w:cs="Times New Roman"/>
          <w:b/>
          <w:bCs/>
          <w:szCs w:val="21"/>
        </w:rPr>
      </w:pPr>
      <w:bookmarkStart w:id="57" w:name="采购公告合同部分_ZBGGHT"/>
      <w:r>
        <w:rPr>
          <w:rFonts w:ascii="Times New Roman" w:eastAsia="宋体" w:hAnsi="Times New Roman" w:cs="Times New Roman" w:hint="eastAsia"/>
          <w:b/>
          <w:bCs/>
          <w:szCs w:val="21"/>
        </w:rPr>
        <w:t>第九章  采购合同</w:t>
      </w:r>
    </w:p>
    <w:p w14:paraId="66F64252">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0E6E76A">
      <w:pPr>
        <w:widowControl/>
        <w:jc w:val="center"/>
        <w:rPr>
          <w:rFonts w:ascii="宋体" w:eastAsia="微软雅黑" w:hAnsi="宋体" w:cs="宋体" w:hint="eastAsia"/>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3A529930">
      <w:pPr>
        <w:rPr>
          <w:rFonts w:ascii="宋体" w:eastAsia="宋体" w:hAnsi="宋体" w:cs="宋体" w:hint="eastAsia"/>
          <w:b/>
          <w:bCs/>
          <w:spacing w:val="-20"/>
          <w:kern w:val="44"/>
          <w:sz w:val="40"/>
          <w:szCs w:val="40"/>
        </w:rPr>
      </w:pPr>
    </w:p>
    <w:p w14:paraId="6DE08EF8">
      <w:pPr>
        <w:rPr>
          <w:rFonts w:ascii="宋体" w:eastAsia="宋体" w:hAnsi="宋体" w:cs="宋体" w:hint="eastAsia"/>
          <w:b/>
          <w:bCs/>
          <w:spacing w:val="-20"/>
          <w:kern w:val="44"/>
          <w:sz w:val="40"/>
          <w:szCs w:val="40"/>
        </w:rPr>
      </w:pPr>
    </w:p>
    <w:p w14:paraId="6852DC0E">
      <w:pPr>
        <w:rPr>
          <w:rFonts w:ascii="宋体" w:eastAsia="宋体" w:hAnsi="宋体" w:cs="宋体" w:hint="eastAsia"/>
          <w:b/>
          <w:bCs/>
          <w:spacing w:val="-20"/>
          <w:kern w:val="44"/>
          <w:sz w:val="40"/>
          <w:szCs w:val="40"/>
        </w:rPr>
      </w:pPr>
    </w:p>
    <w:p w14:paraId="3762B928">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2C2E731F">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65D972E4">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396FBB75">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6F943F18">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2F4F57DD">
      <w:pPr>
        <w:rPr>
          <w:rFonts w:ascii="Times New Roman" w:eastAsia="宋体" w:hAnsi="Times New Roman" w:cs="Times New Roman"/>
          <w:szCs w:val="20"/>
        </w:rPr>
      </w:pPr>
    </w:p>
    <w:p w14:paraId="57098074">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3C66F4D7">
      <w:pPr>
        <w:rPr>
          <w:rFonts w:ascii="Times New Roman" w:eastAsia="黑体" w:hAnsi="Times New Roman" w:cs="Times New Roman"/>
          <w:sz w:val="44"/>
          <w:szCs w:val="44"/>
        </w:rPr>
      </w:pPr>
    </w:p>
    <w:p w14:paraId="78F3BD7D">
      <w:pPr>
        <w:rPr>
          <w:rFonts w:ascii="Times New Roman" w:eastAsia="黑体" w:hAnsi="Times New Roman" w:cs="Times New Roman"/>
          <w:sz w:val="44"/>
          <w:szCs w:val="44"/>
        </w:rPr>
      </w:pPr>
    </w:p>
    <w:p w14:paraId="31B9EC56">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45D7232F">
      <w:pPr>
        <w:ind w:firstLine="640" w:firstLineChars="200"/>
        <w:rPr>
          <w:rFonts w:ascii="仿宋_GB2312" w:eastAsia="仿宋_GB2312" w:hAnsi="仿宋_GB2312" w:cs="仿宋_GB2312" w:hint="eastAsia"/>
          <w:sz w:val="32"/>
          <w:szCs w:val="32"/>
        </w:rPr>
      </w:pPr>
    </w:p>
    <w:p w14:paraId="10CD1A08">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本合同标准文本适用于气象部门服务类（非定制开发软件）采购项目。</w:t>
      </w:r>
    </w:p>
    <w:p w14:paraId="31C60328">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可以结合采购项目具体情况，对文本作必要的调整修订后使用。</w:t>
      </w:r>
    </w:p>
    <w:p w14:paraId="3FFC9E00">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14C2E2E0">
      <w:pPr>
        <w:widowControl/>
        <w:jc w:val="left"/>
        <w:rPr>
          <w:rFonts w:ascii="宋体" w:eastAsia="宋体" w:hAnsi="宋体" w:cs="Times New Roman" w:hint="eastAsia"/>
          <w:szCs w:val="21"/>
        </w:rPr>
      </w:pPr>
      <w:r>
        <w:rPr>
          <w:rFonts w:ascii="宋体" w:eastAsia="宋体" w:hAnsi="宋体" w:cs="Times New Roman"/>
          <w:szCs w:val="21"/>
        </w:rPr>
        <w:br w:type="page"/>
      </w:r>
    </w:p>
    <w:p w14:paraId="495425E2">
      <w:pPr>
        <w:snapToGrid w:val="0"/>
        <w:spacing w:line="360" w:lineRule="auto"/>
        <w:ind w:firstLine="420"/>
        <w:rPr>
          <w:rFonts w:ascii="宋体" w:eastAsia="宋体" w:hAnsi="宋体" w:cs="Times New Roman" w:hint="eastAsia"/>
          <w:szCs w:val="21"/>
        </w:rPr>
      </w:pPr>
    </w:p>
    <w:p w14:paraId="16A44E12">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14:paraId="3CCED526">
      <w:pPr>
        <w:snapToGrid w:val="0"/>
        <w:spacing w:line="360" w:lineRule="auto"/>
        <w:ind w:firstLine="420"/>
        <w:jc w:val="center"/>
        <w:rPr>
          <w:rFonts w:ascii="宋体" w:eastAsia="宋体" w:hAnsi="宋体" w:cs="Times New Roman" w:hint="eastAsia"/>
          <w:szCs w:val="21"/>
        </w:rPr>
      </w:pPr>
    </w:p>
    <w:p w14:paraId="044A31A1">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14:paraId="45A657C3">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14:paraId="75C79CC6">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highlight w:val="yellow"/>
        </w:rPr>
        <w:t>甲乙双方</w:t>
      </w:r>
      <w:r>
        <w:rPr>
          <w:rFonts w:ascii="Calibri" w:eastAsia="宋体" w:hAnsi="Calibri" w:cs="Times New Roman"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14:paraId="3CEEBBA2">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14:paraId="1B343613">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14:paraId="5E3BC8D0">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14:paraId="13F25FBD">
      <w:pPr>
        <w:adjustRightInd w:val="0"/>
        <w:snapToGrid w:val="0"/>
        <w:spacing w:line="360" w:lineRule="auto"/>
        <w:ind w:firstLine="420" w:firstLineChars="200"/>
        <w:rPr>
          <w:rFonts w:ascii="宋体" w:eastAsia="宋体" w:hAnsi="宋体" w:cs="Times New Roman" w:hint="eastAsia"/>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14:paraId="5A4AF75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4B91CC8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437DC17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14:paraId="70BAC9E0">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14:paraId="219ED6CB">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14:paraId="021394AC">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14:paraId="22EF82A4">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14:paraId="4943E95A">
            <w:pPr>
              <w:tabs>
                <w:tab w:val="left" w:pos="1573"/>
              </w:tabs>
              <w:autoSpaceDE w:val="0"/>
              <w:autoSpaceDN w:val="0"/>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交付时间</w:t>
            </w:r>
          </w:p>
        </w:tc>
      </w:tr>
      <w:tr w14:paraId="2716042C">
        <w:tblPrEx>
          <w:tblW w:w="0" w:type="auto"/>
          <w:jc w:val="center"/>
          <w:tblLayout w:type="fixed"/>
          <w:tblCellMar>
            <w:top w:w="0" w:type="dxa"/>
            <w:left w:w="108" w:type="dxa"/>
            <w:bottom w:w="0" w:type="dxa"/>
            <w:right w:w="108" w:type="dxa"/>
          </w:tblCellMar>
        </w:tblPrEx>
        <w:trPr>
          <w:jc w:val="center"/>
        </w:trPr>
        <w:tc>
          <w:tcPr>
            <w:tcW w:w="768" w:type="dxa"/>
            <w:vAlign w:val="center"/>
          </w:tcPr>
          <w:p w14:paraId="09045DC3">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14:paraId="657D2E2D">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14:paraId="45989F1B">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14:paraId="19C565EE">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14:paraId="407F619D">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14:paraId="5F674976">
            <w:pPr>
              <w:tabs>
                <w:tab w:val="left" w:pos="1573"/>
              </w:tabs>
              <w:autoSpaceDE w:val="0"/>
              <w:autoSpaceDN w:val="0"/>
              <w:adjustRightInd w:val="0"/>
              <w:snapToGrid w:val="0"/>
              <w:spacing w:line="360" w:lineRule="auto"/>
              <w:rPr>
                <w:rFonts w:ascii="宋体" w:eastAsia="宋体" w:hAnsi="宋体" w:cs="Times New Roman" w:hint="eastAsia"/>
                <w:szCs w:val="21"/>
              </w:rPr>
            </w:pPr>
          </w:p>
        </w:tc>
      </w:tr>
      <w:tr w14:paraId="06CDE2F9">
        <w:tblPrEx>
          <w:tblW w:w="0" w:type="auto"/>
          <w:jc w:val="center"/>
          <w:tblLayout w:type="fixed"/>
          <w:tblCellMar>
            <w:top w:w="0" w:type="dxa"/>
            <w:left w:w="108" w:type="dxa"/>
            <w:bottom w:w="0" w:type="dxa"/>
            <w:right w:w="108" w:type="dxa"/>
          </w:tblCellMar>
        </w:tblPrEx>
        <w:trPr>
          <w:jc w:val="center"/>
        </w:trPr>
        <w:tc>
          <w:tcPr>
            <w:tcW w:w="768" w:type="dxa"/>
            <w:vAlign w:val="center"/>
          </w:tcPr>
          <w:p w14:paraId="645BB2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14:paraId="464276BE">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14:paraId="39899D6D">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14:paraId="1F44AC71">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14:paraId="6A68E061">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14:paraId="20AA5AA0">
            <w:pPr>
              <w:tabs>
                <w:tab w:val="left" w:pos="1573"/>
              </w:tabs>
              <w:autoSpaceDE w:val="0"/>
              <w:autoSpaceDN w:val="0"/>
              <w:adjustRightInd w:val="0"/>
              <w:snapToGrid w:val="0"/>
              <w:spacing w:line="360" w:lineRule="auto"/>
              <w:rPr>
                <w:rFonts w:ascii="宋体" w:eastAsia="宋体" w:hAnsi="宋体" w:cs="Times New Roman" w:hint="eastAsia"/>
                <w:szCs w:val="21"/>
              </w:rPr>
            </w:pPr>
          </w:p>
        </w:tc>
      </w:tr>
      <w:tr w14:paraId="2B245AC5">
        <w:tblPrEx>
          <w:tblW w:w="0" w:type="auto"/>
          <w:jc w:val="center"/>
          <w:tblLayout w:type="fixed"/>
          <w:tblCellMar>
            <w:top w:w="0" w:type="dxa"/>
            <w:left w:w="108" w:type="dxa"/>
            <w:bottom w:w="0" w:type="dxa"/>
            <w:right w:w="108" w:type="dxa"/>
          </w:tblCellMar>
        </w:tblPrEx>
        <w:trPr>
          <w:jc w:val="center"/>
        </w:trPr>
        <w:tc>
          <w:tcPr>
            <w:tcW w:w="768" w:type="dxa"/>
            <w:vAlign w:val="center"/>
          </w:tcPr>
          <w:p w14:paraId="703E0804">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14:paraId="16A208E9">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14:paraId="15C8F28E">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14:paraId="73D3E92B">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14:paraId="5584155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14:paraId="6A90EC81">
            <w:pPr>
              <w:tabs>
                <w:tab w:val="left" w:pos="1573"/>
              </w:tabs>
              <w:autoSpaceDE w:val="0"/>
              <w:autoSpaceDN w:val="0"/>
              <w:adjustRightInd w:val="0"/>
              <w:snapToGrid w:val="0"/>
              <w:spacing w:line="360" w:lineRule="auto"/>
              <w:rPr>
                <w:rFonts w:ascii="宋体" w:eastAsia="宋体" w:hAnsi="宋体" w:cs="Times New Roman" w:hint="eastAsia"/>
                <w:szCs w:val="21"/>
              </w:rPr>
            </w:pPr>
          </w:p>
        </w:tc>
      </w:tr>
    </w:tbl>
    <w:p w14:paraId="1B094D10">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14:paraId="41A7BE75">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玖佰肆拾陆万捌仟</w:t>
      </w:r>
      <w:r>
        <w:rPr>
          <w:rFonts w:ascii="宋体" w:eastAsia="宋体" w:hAnsi="宋体" w:cs="Times New Roman" w:hint="eastAsia"/>
          <w:szCs w:val="21"/>
        </w:rPr>
        <w:t>元（大写）：</w:t>
      </w:r>
      <w:r>
        <w:rPr>
          <w:rFonts w:ascii="宋体" w:eastAsia="宋体" w:hAnsi="宋体" w:cs="Times New Roman" w:hint="eastAsia"/>
          <w:szCs w:val="21"/>
          <w:u w:val="single"/>
        </w:rPr>
        <w:t>9460000.0</w:t>
      </w:r>
      <w:r>
        <w:rPr>
          <w:rFonts w:ascii="宋体" w:eastAsia="宋体" w:hAnsi="宋体" w:cs="Times New Roman" w:hint="eastAsia"/>
          <w:szCs w:val="21"/>
        </w:rPr>
        <w:t>元（小写）。</w:t>
      </w:r>
    </w:p>
    <w:p w14:paraId="7B069A03">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2、合同生效后付款：双方签署合同后15个工作日内，甲方向乙方支付合同总金额的</w:t>
      </w:r>
      <w:r>
        <w:rPr>
          <w:rFonts w:ascii="宋体" w:eastAsia="宋体" w:hAnsi="宋体" w:cs="微软雅黑" w:hint="eastAsia"/>
          <w:b/>
          <w:color w:val="0000FF"/>
          <w:kern w:val="0"/>
          <w:szCs w:val="21"/>
          <w:highlight w:val="yellow"/>
        </w:rPr>
        <w:t>30%</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2B6F911F">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3、2025年9月25日前：甲方向乙方支付合同总金额的</w:t>
      </w:r>
      <w:r>
        <w:rPr>
          <w:rFonts w:ascii="宋体" w:eastAsia="宋体" w:hAnsi="宋体" w:cs="微软雅黑" w:hint="eastAsia"/>
          <w:b/>
          <w:color w:val="0000FF"/>
          <w:kern w:val="0"/>
          <w:szCs w:val="21"/>
          <w:highlight w:val="yellow"/>
        </w:rPr>
        <w:t>40%</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14:paraId="7C7F7ADF">
      <w:pPr>
        <w:tabs>
          <w:tab w:val="left" w:pos="1573"/>
        </w:tabs>
        <w:adjustRightInd w:val="0"/>
        <w:snapToGrid w:val="0"/>
        <w:spacing w:line="360" w:lineRule="auto"/>
        <w:ind w:firstLine="420" w:firstLineChars="200"/>
        <w:jc w:val="left"/>
        <w:rPr>
          <w:rFonts w:ascii="Times New Roman" w:eastAsia="宋体" w:hAnsi="宋体" w:cs="Times New Roman" w:hint="eastAsia"/>
          <w:kern w:val="0"/>
          <w:szCs w:val="20"/>
        </w:rPr>
      </w:pPr>
      <w:r>
        <w:rPr>
          <w:rFonts w:ascii="宋体" w:eastAsia="宋体" w:hAnsi="宋体" w:cs="Times New Roman" w:hint="eastAsia"/>
          <w:szCs w:val="21"/>
        </w:rPr>
        <w:t>4、飞机增雨（雪）工作结束后，甲方向乙方支付的剩余合同金额</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0A5012CE">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四、甲方应向乙方提供的资料</w:t>
      </w:r>
    </w:p>
    <w:p w14:paraId="2E531A5D">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甲方提供该乙方履行合同所需的资料清单如下：</w:t>
      </w:r>
    </w:p>
    <w:p w14:paraId="190648E3">
      <w:pPr>
        <w:tabs>
          <w:tab w:val="left" w:pos="1573"/>
        </w:tabs>
        <w:adjustRightInd w:val="0"/>
        <w:snapToGrid w:val="0"/>
        <w:spacing w:line="360" w:lineRule="auto"/>
        <w:ind w:firstLine="412" w:firstLineChars="196"/>
        <w:jc w:val="left"/>
        <w:rPr>
          <w:rFonts w:ascii="宋体" w:eastAsia="宋体" w:hAnsi="宋体" w:cs="Times New Roman" w:hint="eastAsia"/>
          <w:szCs w:val="28"/>
        </w:rPr>
      </w:pPr>
    </w:p>
    <w:p w14:paraId="552CE836">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五、进度要求及交付</w:t>
      </w:r>
    </w:p>
    <w:p w14:paraId="2F081D81">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458DD154">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6CEE7F70">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20B56523">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14:paraId="6459DE1F">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14:paraId="3268DB87">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七、履约验收</w:t>
      </w:r>
    </w:p>
    <w:p w14:paraId="467B05BE">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yellow"/>
        </w:rPr>
      </w:pPr>
      <w:r>
        <w:rPr>
          <w:rFonts w:ascii="宋体" w:eastAsia="宋体" w:hAnsi="宋体" w:cs="Times New Roman" w:hint="eastAsia"/>
          <w:szCs w:val="28"/>
          <w:highlight w:val="yellow"/>
        </w:rPr>
        <w:t>（略）</w:t>
      </w:r>
    </w:p>
    <w:p w14:paraId="0B12BA12">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14:paraId="33B47EC9">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八、风险管理</w:t>
      </w:r>
    </w:p>
    <w:p w14:paraId="0794A137">
      <w:pPr>
        <w:tabs>
          <w:tab w:val="left" w:pos="1573"/>
        </w:tabs>
        <w:adjustRightInd w:val="0"/>
        <w:snapToGrid w:val="0"/>
        <w:spacing w:line="360" w:lineRule="auto"/>
        <w:ind w:firstLine="412" w:firstLineChars="196"/>
        <w:jc w:val="left"/>
        <w:rPr>
          <w:rFonts w:ascii="宋体" w:eastAsia="宋体" w:hAnsi="宋体" w:cs="Times New Roman" w:hint="eastAsia"/>
          <w:szCs w:val="20"/>
          <w:highlight w:val="yellow"/>
        </w:rPr>
      </w:pPr>
      <w:r>
        <w:rPr>
          <w:rFonts w:ascii="宋体" w:eastAsia="宋体" w:hAnsi="宋体" w:cs="Times New Roman" w:hint="eastAsia"/>
          <w:szCs w:val="20"/>
          <w:highlight w:val="yellow"/>
        </w:rPr>
        <w:t>（略）</w:t>
      </w:r>
    </w:p>
    <w:p w14:paraId="7ADFF70C">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14:paraId="555DD208">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九、违约责任</w:t>
      </w:r>
    </w:p>
    <w:p w14:paraId="79AF5D7C">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14:paraId="37758244">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2、其它违约责任</w:t>
      </w:r>
    </w:p>
    <w:p w14:paraId="5F5F7172">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14:paraId="2EAE3DE9">
      <w:pPr>
        <w:tabs>
          <w:tab w:val="left" w:pos="1573"/>
        </w:tabs>
        <w:adjustRightInd w:val="0"/>
        <w:snapToGrid w:val="0"/>
        <w:spacing w:line="360" w:lineRule="auto"/>
        <w:ind w:firstLine="420" w:firstLineChars="200"/>
        <w:jc w:val="left"/>
        <w:rPr>
          <w:rFonts w:ascii="宋体" w:eastAsia="宋体" w:hAnsi="宋体" w:cs="Times New Roman" w:hint="eastAsia"/>
          <w:b/>
          <w:szCs w:val="28"/>
          <w:highlight w:val="yellow"/>
        </w:rPr>
      </w:pPr>
      <w:r>
        <w:rPr>
          <w:rFonts w:ascii="宋体" w:eastAsia="宋体" w:hAnsi="宋体" w:cs="Times New Roman" w:hint="eastAsia"/>
          <w:b/>
          <w:szCs w:val="28"/>
          <w:highlight w:val="yellow"/>
        </w:rPr>
        <w:t>十、联系方式</w:t>
      </w:r>
    </w:p>
    <w:p w14:paraId="7F9E4E5C">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2A7BA3C4">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0F392FBB">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2BCBDF29">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382E65F6">
      <w:pPr>
        <w:tabs>
          <w:tab w:val="left" w:pos="1573"/>
        </w:tabs>
        <w:adjustRightInd w:val="0"/>
        <w:snapToGrid w:val="0"/>
        <w:ind w:firstLine="315" w:firstLineChars="150"/>
        <w:jc w:val="left"/>
        <w:rPr>
          <w:rFonts w:ascii="宋体" w:eastAsia="宋体" w:hAnsi="宋体" w:cs="Times New Roman" w:hint="eastAsia"/>
          <w:szCs w:val="21"/>
          <w:u w:val="single"/>
        </w:rPr>
      </w:pPr>
    </w:p>
    <w:p w14:paraId="1860EA3E">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31AA9AF0">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45456271">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41906BF1">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60E7D5CF">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14:paraId="24E78717">
      <w:pPr>
        <w:tabs>
          <w:tab w:val="left" w:pos="1573"/>
        </w:tabs>
        <w:adjustRightInd w:val="0"/>
        <w:snapToGrid w:val="0"/>
        <w:spacing w:line="360" w:lineRule="auto"/>
        <w:ind w:firstLine="420" w:firstLineChars="200"/>
        <w:jc w:val="left"/>
        <w:rPr>
          <w:rFonts w:ascii="宋体" w:eastAsia="宋体" w:hAnsi="宋体" w:cs="Times New Roman" w:hint="eastAsia"/>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14:paraId="3EE0E895">
      <w:pPr>
        <w:tabs>
          <w:tab w:val="left" w:pos="1573"/>
        </w:tabs>
        <w:adjustRightInd w:val="0"/>
        <w:snapToGrid w:val="0"/>
        <w:spacing w:line="360" w:lineRule="auto"/>
        <w:ind w:firstLine="420" w:firstLineChars="200"/>
        <w:jc w:val="left"/>
        <w:rPr>
          <w:rFonts w:ascii="宋体" w:eastAsia="宋体" w:hAnsi="宋体" w:cs="Times New Roman" w:hint="eastAsia"/>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14:paraId="6D588C9D">
      <w:pPr>
        <w:tabs>
          <w:tab w:val="left" w:pos="1573"/>
        </w:tabs>
        <w:adjustRightInd w:val="0"/>
        <w:snapToGrid w:val="0"/>
        <w:spacing w:line="360" w:lineRule="auto"/>
        <w:ind w:firstLine="420" w:firstLineChars="200"/>
        <w:jc w:val="left"/>
        <w:rPr>
          <w:rFonts w:ascii="宋体" w:eastAsia="宋体" w:hAnsi="宋体" w:cs="Times New Roman" w:hint="eastAsia"/>
          <w:b/>
          <w:szCs w:val="28"/>
          <w:highlight w:val="yellow"/>
        </w:rPr>
      </w:pPr>
    </w:p>
    <w:p w14:paraId="74D14BE2">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highlight w:val="yellow"/>
        </w:rPr>
        <w:t>十二、履约保证金</w:t>
      </w:r>
    </w:p>
    <w:p w14:paraId="28EF6AE6">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14:paraId="18BC9454">
      <w:pPr>
        <w:tabs>
          <w:tab w:val="left" w:pos="1573"/>
        </w:tabs>
        <w:adjustRightInd w:val="0"/>
        <w:snapToGrid w:val="0"/>
        <w:spacing w:line="360" w:lineRule="auto"/>
        <w:ind w:firstLine="412" w:firstLineChars="196"/>
        <w:jc w:val="left"/>
        <w:rPr>
          <w:rFonts w:ascii="宋体" w:eastAsia="宋体" w:hAnsi="宋体" w:cs="Times New Roman" w:hint="eastAsia"/>
          <w:b/>
          <w:szCs w:val="28"/>
        </w:rPr>
      </w:pPr>
    </w:p>
    <w:p w14:paraId="0378B7B1">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甲方：                                   乙方：</w:t>
      </w:r>
    </w:p>
    <w:p w14:paraId="5649A2DE">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单位名称：（公章）                        单位名称：（公章）</w:t>
      </w:r>
    </w:p>
    <w:p w14:paraId="0026A34B">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法定代表人：                             法定代表人：</w:t>
      </w:r>
    </w:p>
    <w:p w14:paraId="6F16829D">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授权代表：                               授权代表：</w:t>
      </w:r>
    </w:p>
    <w:p w14:paraId="59D85038">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签约日期：                               签约日期：</w:t>
      </w:r>
    </w:p>
    <w:p w14:paraId="78264B7D">
      <w:pPr>
        <w:widowControl/>
        <w:jc w:val="left"/>
        <w:rPr>
          <w:rFonts w:ascii="宋体" w:eastAsia="宋体" w:hAnsi="宋体" w:cs="Times New Roman" w:hint="eastAsia"/>
          <w:b/>
          <w:szCs w:val="21"/>
        </w:rPr>
      </w:pPr>
      <w:r>
        <w:rPr>
          <w:rFonts w:ascii="宋体" w:eastAsia="宋体" w:hAnsi="宋体" w:cs="Times New Roman"/>
          <w:b/>
          <w:szCs w:val="21"/>
        </w:rPr>
        <w:br w:type="page"/>
      </w:r>
    </w:p>
    <w:p w14:paraId="1865DF72">
      <w:pPr>
        <w:spacing w:line="360" w:lineRule="auto"/>
        <w:jc w:val="left"/>
        <w:rPr>
          <w:rFonts w:ascii="Times New Roman" w:eastAsia="宋体" w:hAnsi="Times New Roman" w:cs="Times New Roman"/>
          <w:b/>
          <w:bCs/>
          <w:sz w:val="44"/>
          <w:szCs w:val="44"/>
        </w:rPr>
      </w:pPr>
    </w:p>
    <w:p w14:paraId="3158EFEA">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第二部分  合同通用部分</w:t>
      </w:r>
    </w:p>
    <w:p w14:paraId="0AC1954A">
      <w:pPr>
        <w:tabs>
          <w:tab w:val="left" w:pos="1573"/>
        </w:tabs>
        <w:snapToGrid w:val="0"/>
        <w:spacing w:line="360" w:lineRule="auto"/>
        <w:jc w:val="center"/>
        <w:rPr>
          <w:rFonts w:ascii="宋体" w:eastAsia="宋体" w:hAnsi="宋体" w:cs="Times New Roman" w:hint="eastAsia"/>
          <w:szCs w:val="21"/>
        </w:rPr>
      </w:pPr>
    </w:p>
    <w:p w14:paraId="7C3439B8">
      <w:pPr>
        <w:tabs>
          <w:tab w:val="left" w:pos="1573"/>
        </w:tabs>
        <w:adjustRightInd w:val="0"/>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14:paraId="17A6DFA3">
      <w:pPr>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14:paraId="0554CD9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中标通知书</w:t>
      </w:r>
    </w:p>
    <w:p w14:paraId="08F90AD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开标一览表及投标分项报价表</w:t>
      </w:r>
    </w:p>
    <w:p w14:paraId="668D4C1B">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商务和技术偏离表</w:t>
      </w:r>
    </w:p>
    <w:p w14:paraId="210388B5">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合同条款专用部分</w:t>
      </w:r>
    </w:p>
    <w:p w14:paraId="4B0A8109">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合同条款通用部分</w:t>
      </w:r>
    </w:p>
    <w:p w14:paraId="4BAA97AC">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采购需求</w:t>
      </w:r>
    </w:p>
    <w:p w14:paraId="6F1EBACC">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双方有关服务的洽商、变更等书面协议或文件</w:t>
      </w:r>
    </w:p>
    <w:p w14:paraId="54B59E53">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投标文件、招标文件除以上的其他部分</w:t>
      </w:r>
    </w:p>
    <w:p w14:paraId="0DFB03EC">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其他合同文本</w:t>
      </w:r>
    </w:p>
    <w:p w14:paraId="662FB4F3">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一、定义</w:t>
      </w:r>
    </w:p>
    <w:p w14:paraId="696E5542">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14:paraId="5D3E929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7CADDB1D">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14:paraId="74D201E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14:paraId="222BF95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4、“合同服务”指合同服务清单（同投标文件中分项报价表，下同）中所规定的服务内容、设备和软件购置等内容。</w:t>
      </w:r>
    </w:p>
    <w:p w14:paraId="53475EF5">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5、“验收证书”指验收完成后由合同双方签署的最终验收确认书。</w:t>
      </w:r>
    </w:p>
    <w:p w14:paraId="48B55152">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14:paraId="219E72A5">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7、“第三人”是指本合同双方以外的任何中国境内、外的自然人、法人或其他经济组织。</w:t>
      </w:r>
    </w:p>
    <w:p w14:paraId="0390450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14:paraId="2AAB93D5">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9、“招标文件”指采购中心发布的本项目招标文件。</w:t>
      </w:r>
    </w:p>
    <w:p w14:paraId="73732EEC">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14:paraId="0C55C69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14:paraId="712578E2">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二、合同标的</w:t>
      </w:r>
    </w:p>
    <w:p w14:paraId="33AC6C51">
      <w:pPr>
        <w:numPr>
          <w:ilvl w:val="6"/>
          <w:numId w:val="0"/>
        </w:num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62386ADB">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三、合同价格</w:t>
      </w:r>
    </w:p>
    <w:p w14:paraId="6A4A5481">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4D2AEDE1">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14:paraId="70F1F652">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14:paraId="19C46A4C">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四、支付和结算方式</w:t>
      </w:r>
    </w:p>
    <w:p w14:paraId="7FE8C243">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1、双方因本合同发生的一切费用均以人民币结算及支付。</w:t>
      </w:r>
    </w:p>
    <w:p w14:paraId="27F1206E">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2、双方的帐户名称、开户银行及帐号以本合同提供的为准。</w:t>
      </w:r>
    </w:p>
    <w:p w14:paraId="04AF15E9">
      <w:pPr>
        <w:tabs>
          <w:tab w:val="left" w:pos="1573"/>
        </w:tabs>
        <w:adjustRightInd w:val="0"/>
        <w:snapToGrid w:val="0"/>
        <w:spacing w:line="360" w:lineRule="auto"/>
        <w:ind w:firstLine="420" w:firstLineChars="200"/>
        <w:rPr>
          <w:rFonts w:ascii="Times New Roman" w:eastAsia="宋体" w:hAnsi="宋体" w:cs="Times New Roman" w:hint="eastAsia"/>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14:paraId="1B1D08CF">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14:paraId="14D7EC32">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14:paraId="6E6D12E8">
      <w:pPr>
        <w:tabs>
          <w:tab w:val="left" w:pos="1573"/>
        </w:tabs>
        <w:adjustRightInd w:val="0"/>
        <w:snapToGrid w:val="0"/>
        <w:spacing w:line="360" w:lineRule="auto"/>
        <w:ind w:firstLine="420" w:firstLineChars="200"/>
        <w:rPr>
          <w:rFonts w:ascii="宋体" w:eastAsia="宋体" w:hAnsi="宋体" w:cs="Times New Roman" w:hint="eastAsia"/>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14:paraId="383811FC">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4、乙方在收到甲方每一笔付款的同时，应向甲方开具相应金额的商业发票。</w:t>
      </w:r>
    </w:p>
    <w:p w14:paraId="1CC778C2">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374C68A9">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五、资料的使用</w:t>
      </w:r>
    </w:p>
    <w:p w14:paraId="2792F2B2">
      <w:pPr>
        <w:adjustRightInd w:val="0"/>
        <w:snapToGrid w:val="0"/>
        <w:spacing w:line="360" w:lineRule="auto"/>
        <w:ind w:left="105" w:firstLine="315" w:leftChars="50" w:firstLineChars="150"/>
        <w:rPr>
          <w:rFonts w:ascii="宋体" w:eastAsia="宋体" w:hAnsi="宋体" w:cs="Times New Roman" w:hint="eastAsia"/>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0F13B0F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2、没有甲方事先书面同意，除了履行本合同之外，乙方不应使用甲方提供的任何文件和资料。</w:t>
      </w:r>
    </w:p>
    <w:p w14:paraId="67D6C92D">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3、没有甲方事先书面同意，乙方不得泄露与本项目有关的任何资料、数据及其它信息。</w:t>
      </w:r>
    </w:p>
    <w:p w14:paraId="4DC67A0C">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14:paraId="48603D8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14:paraId="05DAAF27">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六、知识产权</w:t>
      </w:r>
    </w:p>
    <w:p w14:paraId="744627E0">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1、在本协议生效日前业已存在的版权及其他知识产权应属于本协议生效前既拥有该等权利的一方。</w:t>
      </w:r>
    </w:p>
    <w:p w14:paraId="2AA5DF5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14:paraId="3C71B91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3、符合法律规定及当事人约定的原则：任何相关事项均应当符合法律规定，及应当符合当事人约定。</w:t>
      </w:r>
    </w:p>
    <w:p w14:paraId="7307F662">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24339C1E">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55E80F7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197B8145">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七、进度要求</w:t>
      </w:r>
    </w:p>
    <w:p w14:paraId="25644A9E">
      <w:pPr>
        <w:numPr>
          <w:ilvl w:val="6"/>
          <w:numId w:val="0"/>
        </w:numPr>
        <w:adjustRightInd w:val="0"/>
        <w:snapToGrid w:val="0"/>
        <w:spacing w:line="360" w:lineRule="auto"/>
        <w:ind w:firstLine="420" w:firstLineChars="200"/>
        <w:rPr>
          <w:rFonts w:ascii="宋体" w:eastAsia="宋体" w:hAnsi="宋体" w:cs="Times New Roman" w:hint="eastAsia"/>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14:paraId="589FE7A9">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八、技术服务和保修责任</w:t>
      </w:r>
    </w:p>
    <w:p w14:paraId="51270AD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14:paraId="12F0D3B1">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14:paraId="4C6877E1">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14:paraId="7622CEC5">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14:paraId="4C3181C4">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九、履约保证金</w:t>
      </w:r>
    </w:p>
    <w:p w14:paraId="3B61F72B">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41A51D0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14:paraId="695466DB">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14:paraId="333F0C6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4、中标人的履约保证金将在合同服务试经甲方终验合格，履行完必要的审批手续后30日内退还中标人。</w:t>
      </w:r>
    </w:p>
    <w:p w14:paraId="5D36246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5、如乙方未能完全履行合同规定的义务，甲方有权从履约保证金中得到补偿。</w:t>
      </w:r>
    </w:p>
    <w:p w14:paraId="15F42805">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十、审计及检查</w:t>
      </w:r>
    </w:p>
    <w:p w14:paraId="03E687F3">
      <w:pPr>
        <w:tabs>
          <w:tab w:val="left" w:pos="360"/>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14:paraId="3AF78F9B">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十一、违约责任</w:t>
      </w:r>
    </w:p>
    <w:p w14:paraId="251565D1">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63D7D5A2">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E173473">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14:paraId="1BEB10C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14:paraId="1A2D486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（3）上述情形下甲方为采取必要的补救措施或因防止损失扩大而支出的合理费用应由乙方承担。</w:t>
      </w:r>
    </w:p>
    <w:p w14:paraId="4958FB11">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6122DE50">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14:paraId="35F720F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 xml:space="preserve">5、其它违约责任 </w:t>
      </w:r>
    </w:p>
    <w:p w14:paraId="47614F75">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644F4ADD">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14:paraId="282E50E2">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14:paraId="33B0C222">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1）擅自向第三方提供或者转让项目资料的；</w:t>
      </w:r>
    </w:p>
    <w:p w14:paraId="69081D84">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2）未经甲方许可使用项目资料的；</w:t>
      </w:r>
    </w:p>
    <w:p w14:paraId="4116BCC0">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3）项目完成后，乙方未经甲方许可保留项目资料的；</w:t>
      </w:r>
    </w:p>
    <w:p w14:paraId="4A52F763">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4）对项目资料保管不当，造成数据全部或者部分丢失、被窃的。</w:t>
      </w:r>
    </w:p>
    <w:p w14:paraId="026A197D">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7、乙方在进行项目时违反有关保密规定的，依照《中华人民共和国保密法》等有关法律法规的规定处理。</w:t>
      </w:r>
    </w:p>
    <w:p w14:paraId="386B0EB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1BE7EC2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9、以上各项交付的违约金并不影响违约方履行合同的各项义务。</w:t>
      </w:r>
    </w:p>
    <w:p w14:paraId="1AD800D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0CA7A56D">
      <w:pPr>
        <w:adjustRightInd w:val="0"/>
        <w:snapToGrid w:val="0"/>
        <w:spacing w:line="360" w:lineRule="auto"/>
        <w:ind w:firstLine="315" w:firstLineChars="150"/>
        <w:rPr>
          <w:rFonts w:ascii="宋体" w:eastAsia="宋体" w:hAnsi="宋体" w:cs="Times New Roman" w:hint="eastAsia"/>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61FC90D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十二、不可抗力</w:t>
      </w:r>
    </w:p>
    <w:p w14:paraId="5C97B701">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14:paraId="355B3DFD">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101BB04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CC82500">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4、合同各方应根据不可抗力对本合同履行的影响程度，协商确定是否终止本合同，或是继续履行本合同。</w:t>
      </w:r>
    </w:p>
    <w:p w14:paraId="47C22D8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十三、联系方式</w:t>
      </w:r>
    </w:p>
    <w:p w14:paraId="79B353EB">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54C8984B">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14:paraId="4FE8CA5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3、上述发出通知、回复的费用由发出一方承担。</w:t>
      </w:r>
    </w:p>
    <w:p w14:paraId="7A8D2A5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十四、保密条款</w:t>
      </w:r>
    </w:p>
    <w:p w14:paraId="4897AAF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14:paraId="618F8FC4">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2E028C00">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708EE892">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十五、合同的解释和法律适用</w:t>
      </w:r>
    </w:p>
    <w:p w14:paraId="1A93E21C">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14:paraId="4D61EC0E">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2、本合同标题仅供查阅方便，并非对本合同的诠释或解释；本合同中以日表述的时间期限均指自然日。</w:t>
      </w:r>
    </w:p>
    <w:p w14:paraId="7273B3AC">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3、对本合同的任何解释均应以书面作出。</w:t>
      </w:r>
    </w:p>
    <w:p w14:paraId="22AC98B2">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14:paraId="5732568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十六、合同的终止</w:t>
      </w:r>
    </w:p>
    <w:p w14:paraId="70BE91D8">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1、本合同因下列原因而终止：</w:t>
      </w:r>
    </w:p>
    <w:p w14:paraId="2A8EA028">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（1）本合同正常履行完毕；</w:t>
      </w:r>
    </w:p>
    <w:p w14:paraId="7A75373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（2）合同双方协议终止本合同的履行；</w:t>
      </w:r>
    </w:p>
    <w:p w14:paraId="508E4560">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（3）不可抗力事件导致本合同无法履行或履行不必要；</w:t>
      </w:r>
    </w:p>
    <w:p w14:paraId="2E3D0FE5">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（4）任何一方行使解除权，解除本合同。</w:t>
      </w:r>
    </w:p>
    <w:p w14:paraId="1E96961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14:paraId="2AA34EAD">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十七、法律适用</w:t>
      </w:r>
    </w:p>
    <w:p w14:paraId="4515389D">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14:paraId="25F9149E">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14:paraId="0B8D0C0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十八、权利的保留</w:t>
      </w:r>
    </w:p>
    <w:p w14:paraId="6DE064F4">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7D18430C">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241A1FF4">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十九、争议的解决</w:t>
      </w:r>
    </w:p>
    <w:p w14:paraId="79A3E16E">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14:paraId="34F4E77E">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（1）在甲方所在地有管辖权的人民法院提起诉讼。</w:t>
      </w:r>
    </w:p>
    <w:p w14:paraId="09EE89CE">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14:paraId="3B85704D">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14:paraId="258DCA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14:paraId="0A3A789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3、在争议解决期间，除了诉讼进行过程中正在解决的部分问题外，合同其余部分应继续履行。</w:t>
      </w:r>
    </w:p>
    <w:p w14:paraId="40A462A5">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二十、合同的补充、修改和变更</w:t>
      </w:r>
    </w:p>
    <w:p w14:paraId="3A457843">
      <w:pPr>
        <w:adjustRightInd w:val="0"/>
        <w:snapToGrid w:val="0"/>
        <w:spacing w:line="360" w:lineRule="auto"/>
        <w:ind w:firstLine="420" w:firstLineChars="200"/>
        <w:rPr>
          <w:rFonts w:ascii="宋体" w:eastAsia="宋体" w:hAnsi="宋体" w:cs="Times New Roman" w:hint="eastAsia"/>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69579950">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264F1E84">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1796FDA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7E9DB5F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14:paraId="24CC402B">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70A3945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14:paraId="5D958657">
      <w:pPr>
        <w:adjustRightInd w:val="0"/>
        <w:snapToGrid w:val="0"/>
        <w:spacing w:line="360" w:lineRule="auto"/>
        <w:ind w:left="420"/>
        <w:rPr>
          <w:rFonts w:ascii="宋体" w:eastAsia="宋体" w:hAnsi="宋体" w:cs="Times New Roman" w:hint="eastAsia"/>
          <w:szCs w:val="21"/>
        </w:rPr>
      </w:pPr>
      <w:r>
        <w:rPr>
          <w:rFonts w:ascii="宋体" w:eastAsia="宋体" w:hAnsi="宋体" w:cs="Times New Roman" w:hint="eastAsia"/>
          <w:szCs w:val="21"/>
        </w:rPr>
        <w:t>7、任何对合同条件的变更或修改均须双方签订书面的修改书。</w:t>
      </w:r>
    </w:p>
    <w:p w14:paraId="4A8BCD3D">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14:paraId="2C71DE13">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二十一、合同的生效</w:t>
      </w:r>
    </w:p>
    <w:p w14:paraId="1958BD72">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本合同经双方法定代表人（负责人）或授权代表签字并加盖单位公章后生效。</w:t>
      </w:r>
    </w:p>
    <w:p w14:paraId="6DAD9F7B">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二十二、其它约定事项</w:t>
      </w:r>
    </w:p>
    <w:p w14:paraId="2EE6FA62">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1、本合同中的附件均为本合同不可分割的部分，与本合同具有相同的法律效力。</w:t>
      </w:r>
    </w:p>
    <w:p w14:paraId="6B2AE65E">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586CB692">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3、本合同正本一式两份，甲、乙双方各执一份，每份正本具有同等法律效力，副本报财政部备案。</w:t>
      </w:r>
    </w:p>
    <w:p w14:paraId="79B458EB">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4、本合同涉及的招标文件和投标文件，正本由中国气象局政府采购中心保存。</w:t>
      </w:r>
    </w:p>
    <w:p w14:paraId="33FD578F">
      <w:pPr>
        <w:tabs>
          <w:tab w:val="left" w:pos="1573"/>
        </w:tabs>
        <w:adjustRightInd w:val="0"/>
        <w:snapToGrid w:val="0"/>
        <w:spacing w:line="360" w:lineRule="auto"/>
        <w:ind w:firstLine="412" w:firstLineChars="196"/>
        <w:jc w:val="left"/>
        <w:rPr>
          <w:rFonts w:ascii="宋体" w:eastAsia="宋体" w:hAnsi="宋体" w:cs="Times New Roman" w:hint="eastAsia"/>
          <w:szCs w:val="21"/>
        </w:rPr>
      </w:pPr>
    </w:p>
    <w:p w14:paraId="592F4CD4"/>
    <w:p w14:paraId="672C9D53"/>
    <w:bookmarkEnd w:id="57"/>
    <w:p w14:paraId="70F06DA1">
      <w:pPr>
        <w:spacing w:line="360" w:lineRule="auto"/>
        <w:ind w:firstLine="3066" w:firstLineChars="1460"/>
        <w:jc w:val="left"/>
        <w:rPr>
          <w:rFonts w:ascii="Times New Roman" w:eastAsia="宋体" w:hAnsi="Times New Roman" w:cs="Times New Roman"/>
          <w:b/>
          <w:bCs/>
          <w:szCs w:val="21"/>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num="1" w:space="708"/>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C2D8C6C">
    <w:pPr>
      <w:pStyle w:val="Footer"/>
      <w:jc w:val="center"/>
    </w:pPr>
    <w:r>
      <w:fldChar w:fldCharType="begin"/>
    </w:r>
    <w:r>
      <w:instrText xml:space="preserve"> PAGE   \* MERGEFORMAT </w:instrText>
    </w:r>
    <w:r>
      <w:fldChar w:fldCharType="separate"/>
    </w:r>
    <w:r>
      <w:rPr>
        <w:lang w:val="zh-CN"/>
      </w:rPr>
      <w:t>1</w:t>
    </w:r>
    <w:r>
      <w:fldChar w:fldCharType="end"/>
    </w:r>
  </w:p>
  <w:p w14:paraId="162E24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0ADCF94">
    <w:pPr>
      <w:pStyle w:val="Footer"/>
      <w:jc w:val="center"/>
    </w:pPr>
    <w:r>
      <w:fldChar w:fldCharType="begin"/>
    </w:r>
    <w:r>
      <w:instrText xml:space="preserve"> PAGE   \* MERGEFORMAT </w:instrText>
    </w:r>
    <w:r>
      <w:fldChar w:fldCharType="separate"/>
    </w:r>
    <w:r>
      <w:rPr>
        <w:lang w:val="zh-CN"/>
      </w:rPr>
      <w:t>71</w:t>
    </w:r>
    <w:r>
      <w:fldChar w:fldCharType="end"/>
    </w:r>
  </w:p>
  <w:p w14:paraId="1F12AA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AA7FDF8">
    <w:pPr>
      <w:pStyle w:val="Footer"/>
      <w:jc w:val="center"/>
    </w:pPr>
    <w:r>
      <w:fldChar w:fldCharType="begin"/>
    </w:r>
    <w:r>
      <w:instrText xml:space="preserve"> PAGE   \* MERGEFORMAT </w:instrText>
    </w:r>
    <w:r>
      <w:fldChar w:fldCharType="separate"/>
    </w:r>
    <w:r>
      <w:rPr>
        <w:lang w:val="zh-CN"/>
      </w:rPr>
      <w:t>72</w:t>
    </w:r>
    <w:r>
      <w:fldChar w:fldCharType="end"/>
    </w:r>
  </w:p>
  <w:p w14:paraId="3D358EB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CA0877E">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7EA1AD5">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A51FC3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C054F0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94303C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37DF9"/>
    <w:rsid w:val="000400B8"/>
    <w:rsid w:val="000405AF"/>
    <w:rsid w:val="000410F1"/>
    <w:rsid w:val="00041207"/>
    <w:rsid w:val="00041238"/>
    <w:rsid w:val="00041AED"/>
    <w:rsid w:val="0004234F"/>
    <w:rsid w:val="00042AA3"/>
    <w:rsid w:val="000432D5"/>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6BD4"/>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234"/>
    <w:rsid w:val="001D04D6"/>
    <w:rsid w:val="001D3AE5"/>
    <w:rsid w:val="001D4479"/>
    <w:rsid w:val="001D449B"/>
    <w:rsid w:val="001D51D1"/>
    <w:rsid w:val="001D62A9"/>
    <w:rsid w:val="001D6AC4"/>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2C1D"/>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08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0D42"/>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1FC"/>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0ADB"/>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160"/>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66A"/>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016D"/>
    <w:rsid w:val="007318BD"/>
    <w:rsid w:val="0073370F"/>
    <w:rsid w:val="00733C06"/>
    <w:rsid w:val="00734CAF"/>
    <w:rsid w:val="00735C31"/>
    <w:rsid w:val="0073618E"/>
    <w:rsid w:val="007367CB"/>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620"/>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32F"/>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58BB"/>
    <w:rsid w:val="009864C6"/>
    <w:rsid w:val="00987562"/>
    <w:rsid w:val="00990175"/>
    <w:rsid w:val="00990D2A"/>
    <w:rsid w:val="00990D5E"/>
    <w:rsid w:val="009916CB"/>
    <w:rsid w:val="0099254B"/>
    <w:rsid w:val="00992CC6"/>
    <w:rsid w:val="00993BE8"/>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0F2"/>
    <w:rsid w:val="009D4CA7"/>
    <w:rsid w:val="009D5263"/>
    <w:rsid w:val="009D57B1"/>
    <w:rsid w:val="009D5920"/>
    <w:rsid w:val="009D7E75"/>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1F34"/>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57DAD"/>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0598"/>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017C"/>
    <w:rsid w:val="00C117E2"/>
    <w:rsid w:val="00C119A6"/>
    <w:rsid w:val="00C13C17"/>
    <w:rsid w:val="00C15B7D"/>
    <w:rsid w:val="00C16233"/>
    <w:rsid w:val="00C1676D"/>
    <w:rsid w:val="00C20507"/>
    <w:rsid w:val="00C20A23"/>
    <w:rsid w:val="00C21111"/>
    <w:rsid w:val="00C217D1"/>
    <w:rsid w:val="00C22F7E"/>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29AB"/>
    <w:rsid w:val="00D43305"/>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4D19"/>
    <w:rsid w:val="00DE5897"/>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78451F1"/>
    <w:rsid w:val="07CD0A4A"/>
    <w:rsid w:val="08C230B8"/>
    <w:rsid w:val="0A9E672D"/>
    <w:rsid w:val="0B333325"/>
    <w:rsid w:val="0E576F53"/>
    <w:rsid w:val="0EFB7425"/>
    <w:rsid w:val="125B2CFC"/>
    <w:rsid w:val="13405E2E"/>
    <w:rsid w:val="2F605368"/>
    <w:rsid w:val="31FD4B93"/>
    <w:rsid w:val="3FCA68B7"/>
    <w:rsid w:val="45196B36"/>
    <w:rsid w:val="4ABD599D"/>
    <w:rsid w:val="50746AF7"/>
    <w:rsid w:val="5F550FC4"/>
    <w:rsid w:val="64A71935"/>
    <w:rsid w:val="73DB594D"/>
    <w:rsid w:val="7C21103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paragraph" w:styleId="PlainText">
    <w:name w:val="Plain Text"/>
    <w:basedOn w:val="Normal"/>
    <w:link w:val="Char2"/>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3"/>
    <w:uiPriority w:val="99"/>
    <w:qFormat/>
    <w:rPr>
      <w:sz w:val="18"/>
      <w:szCs w:val="18"/>
    </w:rPr>
  </w:style>
  <w:style w:type="paragraph" w:styleId="Footer">
    <w:name w:val="footer"/>
    <w:basedOn w:val="Normal"/>
    <w:link w:val="Char4"/>
    <w:uiPriority w:val="99"/>
    <w:qFormat/>
    <w:pPr>
      <w:tabs>
        <w:tab w:val="center" w:pos="4153"/>
        <w:tab w:val="right" w:pos="8306"/>
      </w:tabs>
      <w:snapToGrid w:val="0"/>
      <w:jc w:val="left"/>
    </w:pPr>
    <w:rPr>
      <w:sz w:val="18"/>
    </w:rPr>
  </w:style>
  <w:style w:type="paragraph" w:styleId="Header">
    <w:name w:val="header"/>
    <w:basedOn w:val="Normal"/>
    <w:link w:val="Char5"/>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纯文本 Char"/>
    <w:link w:val="PlainText"/>
    <w:qFormat/>
    <w:rPr>
      <w:rFonts w:ascii="宋体" w:hAnsi="Courier New"/>
      <w:kern w:val="2"/>
      <w:sz w:val="21"/>
      <w:szCs w:val="21"/>
    </w:rPr>
  </w:style>
  <w:style w:type="character" w:customStyle="1" w:styleId="Char3">
    <w:name w:val="批注框文本 Char"/>
    <w:link w:val="BalloonText"/>
    <w:uiPriority w:val="99"/>
    <w:qFormat/>
    <w:rPr>
      <w:kern w:val="2"/>
      <w:sz w:val="18"/>
      <w:szCs w:val="18"/>
    </w:rPr>
  </w:style>
  <w:style w:type="character" w:customStyle="1" w:styleId="Char4">
    <w:name w:val="页脚 Char"/>
    <w:link w:val="Footer"/>
    <w:uiPriority w:val="99"/>
    <w:qFormat/>
    <w:rPr>
      <w:kern w:val="2"/>
      <w:sz w:val="18"/>
    </w:rPr>
  </w:style>
  <w:style w:type="character" w:customStyle="1" w:styleId="Char5">
    <w:name w:val="页眉 Char"/>
    <w:link w:val="Head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character" w:customStyle="1" w:styleId="Char11">
    <w:name w:val="批注文字 Char1"/>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2052"/>
    <customShpInfo spid="_x0000_s2053"/>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78</Pages>
  <Words>20146</Words>
  <Characters>21237</Characters>
  <Application>Microsoft Office Word</Application>
  <DocSecurity>0</DocSecurity>
  <Lines>216</Lines>
  <Paragraphs>61</Paragraphs>
  <ScaleCrop>false</ScaleCrop>
  <Company>中国气象局</Company>
  <LinksUpToDate>false</LinksUpToDate>
  <CharactersWithSpaces>21327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六   鱼</cp:lastModifiedBy>
  <cp:revision>2</cp:revision>
  <cp:lastPrinted>2014-06-19T06:19:00Z</cp:lastPrinted>
  <dcterms:created xsi:type="dcterms:W3CDTF">2023-10-26T02:24:00Z</dcterms:created>
  <dcterms:modified xsi:type="dcterms:W3CDTF">2025-05-30T01:12:34Z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2052-12.1.0.21171</vt:lpwstr>
  </property>
  <property fmtid="{D5CDD505-2E9C-101B-9397-08002B2CF9AE}" pid="4" name="KSOTemplateDocerSaveRecord">
    <vt:lpwstr>eyJoZGlkIjoiYjYyZWM0NTQxMWRiNzkzZDIyZmEwNjcyYmYzM2Y2N2QiLCJ1c2VySWQiOiI4MTI1NzUwMzYifQ==</vt:lpwstr>
  </property>
</Properties>
</file>