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临安区域大气本底站2025年黑炭仪采购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ZQCD-25369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临安区域大气本底站</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临安区域大气本底站2025年黑炭仪采购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ZQCD-25369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临安区域大气本底站</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2025年10月27日 00:00:00</w:t>
      </w:r>
      <w:bookmarkEnd w:id="26"/>
      <w:r>
        <w:rPr>
          <w:rFonts w:ascii="宋体" w:hint="eastAsia"/>
          <w:szCs w:val="21"/>
          <w:highlight w:val="none"/>
        </w:rPr>
        <w:t>至</w:t>
      </w:r>
      <w:bookmarkStart w:id="27" w:name="项目公告_signUpLastTime"/>
      <w:r>
        <w:rPr>
          <w:rFonts w:ascii="宋体" w:hint="eastAsia"/>
          <w:szCs w:val="21"/>
          <w:highlight w:val="none"/>
        </w:rPr>
        <w:t>2025年11月03日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临安区域大气本底站</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韩路杰</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0571-63771131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浙江省杭州市临安区锦北街道大罗村临安区域大气本底站</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临安区域大气本底站</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不允许（仅针对以下产品：1、黑炭仪不允许代理商投标）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标的：黑炭仪，属于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销售合同必须包括黑炭仪，每提供1份合同得1分，最多得5分。否则不得分。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针对本项目采购的黑炭仪，</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针对黑炭仪设备，每提供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2、除项目经理外至少3人具有2年及以上相关工作经验的，得2分；为本项目派出的技术人员至少3人具有1年及以上相关工作经验的，得1分；其他不得分。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针对黑炭仪设备，测试报告应涵盖低温试验、高温试验、高湿试验、振动试验、冲击试验、跌落试验等内容，每包含一项得0.5分，最多得3分。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4"/>
        <w:gridCol w:w="687"/>
        <w:gridCol w:w="2360"/>
        <w:gridCol w:w="5437"/>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pPr>
              <w:rPr>
                <w:rFonts w:ascii="仿宋" w:eastAsia="仿宋" w:hAnsi="仿宋" w:cs="仿宋"/>
                <w:b/>
                <w:bCs/>
              </w:rPr>
            </w:pPr>
            <w:r>
              <w:rPr>
                <w:rFonts w:ascii="仿宋" w:eastAsia="仿宋" w:hAnsi="仿宋" w:cs="仿宋" w:hint="eastAsia"/>
                <w:b/>
                <w:bCs/>
                <w:sz w:val="24"/>
              </w:rPr>
              <w:t>序号</w:t>
            </w:r>
          </w:p>
        </w:tc>
        <w:tc>
          <w:tcPr>
            <w:tcW w:w="1654" w:type="pct"/>
            <w:gridSpan w:val="2"/>
            <w:vAlign w:val="center"/>
          </w:tcPr>
          <w:p>
            <w:pPr>
              <w:jc w:val="center"/>
              <w:rPr>
                <w:rFonts w:ascii="仿宋" w:eastAsia="仿宋" w:hAnsi="仿宋" w:cs="仿宋"/>
                <w:b/>
                <w:bCs/>
              </w:rPr>
            </w:pPr>
            <w:r>
              <w:rPr>
                <w:rFonts w:ascii="仿宋" w:eastAsia="仿宋" w:hAnsi="仿宋" w:cs="仿宋" w:hint="eastAsia"/>
                <w:b/>
                <w:bCs/>
                <w:sz w:val="24"/>
              </w:rPr>
              <w:t>名称</w:t>
            </w:r>
          </w:p>
        </w:tc>
        <w:tc>
          <w:tcPr>
            <w:tcW w:w="2952" w:type="pct"/>
            <w:vAlign w:val="center"/>
          </w:tcPr>
          <w:p>
            <w:pPr>
              <w:jc w:val="center"/>
              <w:rPr>
                <w:rFonts w:ascii="仿宋" w:eastAsia="仿宋" w:hAnsi="仿宋" w:cs="仿宋"/>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restart"/>
            <w:vAlign w:val="center"/>
          </w:tcPr>
          <w:p>
            <w:pPr>
              <w:rPr>
                <w:rFonts w:ascii="仿宋" w:eastAsia="仿宋" w:hAnsi="仿宋" w:cs="仿宋"/>
              </w:rPr>
            </w:pPr>
            <w:r>
              <w:rPr>
                <w:rFonts w:ascii="仿宋" w:eastAsia="仿宋" w:hAnsi="仿宋" w:cs="仿宋" w:hint="eastAsia"/>
                <w:kern w:val="0"/>
                <w:sz w:val="24"/>
              </w:rPr>
              <w:t>黑碳仪</w:t>
            </w:r>
          </w:p>
        </w:tc>
        <w:tc>
          <w:tcPr>
            <w:tcW w:w="1280" w:type="pct"/>
            <w:vAlign w:val="center"/>
          </w:tcPr>
          <w:p>
            <w:pPr>
              <w:rPr>
                <w:rFonts w:ascii="仿宋" w:eastAsia="仿宋" w:hAnsi="仿宋" w:cs="仿宋"/>
              </w:rPr>
            </w:pPr>
          </w:p>
          <w:p>
            <w:pPr>
              <w:rPr>
                <w:rFonts w:ascii="仿宋" w:eastAsia="仿宋" w:hAnsi="仿宋" w:cs="仿宋"/>
              </w:rPr>
            </w:pPr>
            <w:r>
              <w:rPr>
                <w:rFonts w:ascii="仿宋" w:eastAsia="仿宋" w:hAnsi="仿宋" w:cs="仿宋" w:hint="eastAsia"/>
                <w:sz w:val="24"/>
              </w:rPr>
              <w:t>主机</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测量技术：双点位</w:t>
            </w:r>
            <w:r>
              <w:rPr>
                <w:rFonts w:ascii="Times New Roman" w:eastAsia="仿宋" w:hAnsi="Times New Roman" w:cs="Times New Roman" w:hint="default"/>
                <w:sz w:val="24"/>
                <w:highlight w:val="none"/>
                <w:lang w:eastAsia="zh-CN"/>
              </w:rPr>
              <w:t>，</w:t>
            </w:r>
            <w:r>
              <w:rPr>
                <w:rFonts w:ascii="Times New Roman" w:eastAsia="仿宋" w:hAnsi="Times New Roman" w:cs="Times New Roman" w:hint="default"/>
                <w:sz w:val="24"/>
                <w:highlight w:val="none"/>
                <w:lang w:val="en-US" w:eastAsia="zh-CN"/>
              </w:rPr>
              <w:t>实时测量</w:t>
            </w:r>
          </w:p>
          <w:p>
            <w:pPr>
              <w:rPr>
                <w:rFonts w:eastAsia="仿宋" w:hint="default"/>
              </w:rPr>
            </w:pPr>
            <w:r>
              <w:rPr>
                <w:rFonts w:ascii="Times New Roman" w:eastAsia="仿宋" w:hAnsi="Times New Roman" w:cs="Times New Roman" w:hint="default"/>
                <w:sz w:val="24"/>
              </w:rPr>
              <w:t>（2）</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测量波段：至少包含370nm、470nm、520nm、590nm、660nm、880nm、950nm七个波段</w:t>
            </w:r>
          </w:p>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none"/>
              </w:rPr>
              <w:t>量程：（0～100）μg/m</w:t>
            </w:r>
            <w:r>
              <w:rPr>
                <w:rFonts w:ascii="Times New Roman" w:eastAsia="仿宋" w:hAnsi="Times New Roman" w:cs="Times New Roman" w:hint="default"/>
                <w:sz w:val="24"/>
                <w:highlight w:val="none"/>
                <w:vertAlign w:val="superscript"/>
              </w:rPr>
              <w:t>3</w:t>
            </w:r>
          </w:p>
          <w:p>
            <w:pPr>
              <w:rPr>
                <w:rFonts w:eastAsia="仿宋" w:hint="default"/>
              </w:rPr>
            </w:pPr>
            <w:r>
              <w:rPr>
                <w:rFonts w:ascii="Times New Roman" w:eastAsia="仿宋" w:hAnsi="Times New Roman" w:cs="Times New Roman" w:hint="default"/>
                <w:sz w:val="24"/>
              </w:rPr>
              <w:t>（4）</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检出限：</w:t>
            </w:r>
            <w:r>
              <w:rPr>
                <w:rFonts w:eastAsia="仿宋" w:cs="Times New Roman" w:hint="eastAsia"/>
                <w:sz w:val="24"/>
                <w:lang w:val="en-US" w:eastAsia="zh-CN"/>
              </w:rPr>
              <w:t>&lt;</w:t>
            </w:r>
            <w:r>
              <w:rPr>
                <w:rFonts w:ascii="Times New Roman" w:eastAsia="仿宋" w:hAnsi="Times New Roman" w:cs="Times New Roman" w:hint="default"/>
                <w:sz w:val="24"/>
              </w:rPr>
              <w:t>5ng/m</w:t>
            </w:r>
            <w:r>
              <w:rPr>
                <w:rFonts w:ascii="Times New Roman" w:eastAsia="仿宋" w:hAnsi="Times New Roman" w:cs="Times New Roman" w:hint="default"/>
                <w:sz w:val="24"/>
                <w:vertAlign w:val="superscript"/>
              </w:rPr>
              <w:t>3</w:t>
            </w:r>
            <w:r>
              <w:rPr>
                <w:rFonts w:ascii="Times New Roman" w:eastAsia="仿宋" w:hAnsi="Times New Roman" w:cs="Times New Roman" w:hint="default"/>
                <w:sz w:val="24"/>
              </w:rPr>
              <w:t>（1h）</w:t>
            </w:r>
          </w:p>
          <w:p>
            <w:pPr>
              <w:rPr>
                <w:rFonts w:eastAsia="仿宋" w:hint="default"/>
              </w:rPr>
            </w:pPr>
            <w:r>
              <w:rPr>
                <w:rFonts w:ascii="Times New Roman" w:eastAsia="仿宋" w:hAnsi="Times New Roman" w:cs="Times New Roman" w:hint="default"/>
                <w:sz w:val="24"/>
              </w:rPr>
              <w:t>（5</w:t>
            </w:r>
            <w:r>
              <w:rPr>
                <w:rFonts w:ascii="Times New Roman" w:eastAsia="仿宋" w:hAnsi="Times New Roman" w:cs="Times New Roman" w:hint="default"/>
                <w:sz w:val="24"/>
                <w:highlight w:val="none"/>
              </w:rPr>
              <w:t>）</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rPr>
              <w:t>流量：</w:t>
            </w:r>
            <w:r>
              <w:rPr>
                <w:rFonts w:ascii="Times New Roman" w:eastAsia="仿宋" w:hAnsi="Times New Roman" w:cs="Times New Roman" w:hint="default"/>
                <w:sz w:val="24"/>
              </w:rPr>
              <w:t>2～5L/min</w:t>
            </w:r>
            <w:r>
              <w:rPr>
                <w:rFonts w:ascii="Times New Roman" w:eastAsia="仿宋" w:hAnsi="Times New Roman" w:cs="Times New Roman" w:hint="default"/>
                <w:sz w:val="24"/>
                <w:lang w:eastAsia="zh-CN"/>
              </w:rPr>
              <w:t>（</w:t>
            </w:r>
            <w:r>
              <w:rPr>
                <w:rFonts w:ascii="Times New Roman" w:eastAsia="仿宋" w:hAnsi="Times New Roman" w:cs="Times New Roman" w:hint="default"/>
                <w:sz w:val="24"/>
              </w:rPr>
              <w:t>可调节</w:t>
            </w:r>
            <w:r>
              <w:rPr>
                <w:rFonts w:ascii="Times New Roman" w:eastAsia="仿宋" w:hAnsi="Times New Roman" w:cs="Times New Roman" w:hint="default"/>
                <w:sz w:val="24"/>
                <w:lang w:eastAsia="zh-CN"/>
              </w:rPr>
              <w:t>），</w:t>
            </w:r>
            <w:r>
              <w:rPr>
                <w:rFonts w:ascii="Times New Roman" w:eastAsia="仿宋" w:hAnsi="Times New Roman" w:cs="Times New Roman" w:hint="default"/>
                <w:sz w:val="24"/>
                <w:lang w:val="en-US" w:eastAsia="zh-CN"/>
              </w:rPr>
              <w:t>在3000m以上配置外置泵</w:t>
            </w:r>
          </w:p>
          <w:p>
            <w:pPr>
              <w:rPr>
                <w:rFonts w:eastAsia="仿宋" w:hint="default"/>
                <w:highlight w:val="none"/>
              </w:rPr>
            </w:pPr>
            <w:r>
              <w:rPr>
                <w:rFonts w:ascii="Times New Roman" w:eastAsia="仿宋" w:hAnsi="Times New Roman" w:cs="Times New Roman" w:hint="default"/>
                <w:sz w:val="24"/>
                <w:highlight w:val="none"/>
              </w:rPr>
              <w:t>（6）</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highlight w:val="none"/>
                <w:lang w:val="en-US" w:eastAsia="zh-CN"/>
              </w:rPr>
              <w:t>光学衰减</w:t>
            </w:r>
            <w:r>
              <w:rPr>
                <w:rFonts w:ascii="Times New Roman" w:eastAsia="仿宋" w:hAnsi="Times New Roman" w:cs="Times New Roman" w:hint="default"/>
                <w:sz w:val="24"/>
                <w:highlight w:val="none"/>
              </w:rPr>
              <w:t>线性：</w:t>
            </w:r>
            <w:r>
              <w:rPr>
                <w:rFonts w:ascii="Times New Roman" w:eastAsia="仿宋" w:hAnsi="Times New Roman" w:cs="Times New Roman" w:hint="default"/>
                <w:sz w:val="24"/>
                <w:highlight w:val="none"/>
                <w:lang w:val="en-US" w:eastAsia="zh-CN"/>
              </w:rPr>
              <w:t>斜率</w:t>
            </w:r>
            <w:r>
              <w:rPr>
                <w:rFonts w:ascii="Times New Roman" w:eastAsia="仿宋" w:hAnsi="Times New Roman" w:cs="Times New Roman" w:hint="default"/>
                <w:sz w:val="24"/>
                <w:highlight w:val="none"/>
              </w:rPr>
              <w:t>1±0.1（透射比标准滤光片）</w:t>
            </w:r>
          </w:p>
          <w:p>
            <w:pPr>
              <w:rPr>
                <w:rFonts w:eastAsia="仿宋" w:hint="default"/>
              </w:rPr>
            </w:pPr>
            <w:r>
              <w:rPr>
                <w:rFonts w:ascii="Times New Roman" w:eastAsia="仿宋" w:hAnsi="Times New Roman" w:cs="Times New Roman" w:hint="default"/>
                <w:sz w:val="24"/>
              </w:rPr>
              <w:t>（7）</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分辨率：1ng/m</w:t>
            </w:r>
            <w:r>
              <w:rPr>
                <w:rFonts w:ascii="Times New Roman" w:eastAsia="仿宋" w:hAnsi="Times New Roman" w:cs="Times New Roman" w:hint="default"/>
                <w:sz w:val="24"/>
                <w:vertAlign w:val="superscript"/>
              </w:rPr>
              <w:t>3</w:t>
            </w:r>
          </w:p>
          <w:p>
            <w:pPr>
              <w:rPr>
                <w:rFonts w:eastAsia="仿宋" w:hint="default"/>
              </w:rPr>
            </w:pPr>
            <w:r>
              <w:rPr>
                <w:rFonts w:ascii="Times New Roman" w:eastAsia="仿宋" w:hAnsi="Times New Roman" w:cs="Times New Roman" w:hint="default"/>
                <w:sz w:val="24"/>
              </w:rPr>
              <w:t>（8）</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数据采样间隔：</w:t>
            </w:r>
            <w:r>
              <w:rPr>
                <w:rFonts w:ascii="Times New Roman" w:eastAsia="仿宋" w:hAnsi="Times New Roman" w:cs="Times New Roman" w:hint="default"/>
                <w:sz w:val="24"/>
                <w:lang w:val="en-US" w:eastAsia="zh-CN"/>
              </w:rPr>
              <w:t>1s或者1min，可由采样者设置</w:t>
            </w:r>
          </w:p>
          <w:p>
            <w:pPr>
              <w:rPr>
                <w:rFonts w:eastAsia="仿宋" w:hint="default"/>
              </w:rPr>
            </w:pPr>
            <w:r>
              <w:rPr>
                <w:rFonts w:ascii="Times New Roman" w:eastAsia="仿宋" w:hAnsi="Times New Roman" w:cs="Times New Roman" w:hint="default"/>
                <w:sz w:val="24"/>
                <w:lang w:val="en-US" w:eastAsia="zh-CN"/>
              </w:rPr>
              <w:t>（9）滤膜：采用石英或玻璃纤维基质</w:t>
            </w:r>
          </w:p>
          <w:p>
            <w:pPr>
              <w:rPr>
                <w:rFonts w:eastAsia="仿宋" w:hint="default"/>
              </w:rPr>
            </w:pPr>
            <w:r>
              <w:rPr>
                <w:rFonts w:ascii="Times New Roman" w:eastAsia="仿宋" w:hAnsi="Times New Roman" w:cs="Times New Roman" w:hint="default"/>
                <w:sz w:val="24"/>
                <w:lang w:val="en-US" w:eastAsia="zh-CN"/>
              </w:rPr>
              <w:t>（10）24h零点漂移应在-10ng/m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~10ng/m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之间</w:t>
            </w:r>
            <w:r>
              <w:rPr>
                <w:rFonts w:eastAsia="仿宋" w:cs="Times New Roman" w:hint="eastAsia"/>
                <w:sz w:val="24"/>
                <w:lang w:val="en-US" w:eastAsia="zh-CN"/>
              </w:rPr>
              <w:t>（即小时平均零检浓度在24h前后的差值）</w:t>
            </w:r>
          </w:p>
          <w:p>
            <w:pPr>
              <w:rPr>
                <w:rFonts w:eastAsia="仿宋" w:hint="default"/>
              </w:rPr>
            </w:pPr>
            <w:r>
              <w:rPr>
                <w:rFonts w:ascii="Times New Roman" w:eastAsia="仿宋" w:hAnsi="Times New Roman" w:cs="Times New Roman" w:hint="default"/>
                <w:sz w:val="24"/>
                <w:lang w:val="en-US" w:eastAsia="zh-CN"/>
              </w:rPr>
              <w:t>（11）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lang w:val="en-US" w:eastAsia="zh-CN"/>
              </w:rPr>
              <w:t>平行性≤15%（</w:t>
            </w:r>
            <w:r>
              <w:rPr>
                <w:rFonts w:eastAsia="仿宋" w:cs="Times New Roman" w:hint="eastAsia"/>
                <w:sz w:val="24"/>
                <w:lang w:val="en-US" w:eastAsia="zh-CN"/>
              </w:rPr>
              <w:t>环境</w:t>
            </w:r>
            <w:r>
              <w:rPr>
                <w:rFonts w:ascii="Times New Roman" w:eastAsia="仿宋" w:hAnsi="Times New Roman" w:cs="Times New Roman" w:hint="default"/>
                <w:sz w:val="24"/>
                <w:lang w:val="en-US" w:eastAsia="zh-CN"/>
              </w:rPr>
              <w:t>浓度</w:t>
            </w:r>
            <w:r>
              <w:rPr>
                <w:rFonts w:eastAsia="仿宋" w:cs="Times New Roman" w:hint="eastAsia"/>
                <w:sz w:val="24"/>
                <w:lang w:val="en-US" w:eastAsia="zh-CN"/>
              </w:rPr>
              <w:t>1</w:t>
            </w:r>
            <w:r>
              <w:rPr>
                <w:rFonts w:ascii="Times New Roman" w:eastAsia="仿宋" w:hAnsi="Times New Roman" w:cs="Times New Roman" w:hint="default"/>
                <w:sz w:val="24"/>
                <w:lang w:val="en-US" w:eastAsia="zh-CN"/>
              </w:rPr>
              <w:t>00ng/m</w:t>
            </w:r>
            <w:r>
              <w:rPr>
                <w:rFonts w:ascii="Times New Roman" w:eastAsia="仿宋" w:hAnsi="Times New Roman" w:cs="Times New Roman" w:hint="default"/>
                <w:sz w:val="24"/>
                <w:vertAlign w:val="superscript"/>
                <w:lang w:val="en-US" w:eastAsia="zh-CN"/>
              </w:rPr>
              <w:t>3</w:t>
            </w:r>
            <w:r>
              <w:rPr>
                <w:rFonts w:ascii="Times New Roman" w:eastAsia="仿宋" w:hAnsi="Times New Roman" w:cs="Times New Roman" w:hint="default"/>
                <w:sz w:val="24"/>
                <w:lang w:val="en-US" w:eastAsia="zh-CN"/>
              </w:rPr>
              <w:t>以上</w:t>
            </w:r>
            <w:r>
              <w:rPr>
                <w:rFonts w:eastAsia="仿宋" w:cs="Times New Roman" w:hint="eastAsia"/>
                <w:sz w:val="24"/>
                <w:lang w:val="en-US" w:eastAsia="zh-CN"/>
              </w:rPr>
              <w:t>，以3台设备在同时段、同一采样条件下获取的观测数据的相对标准偏差的均方根表示平行性</w:t>
            </w:r>
            <w:r>
              <w:rPr>
                <w:rFonts w:ascii="Times New Roman" w:eastAsia="仿宋" w:hAnsi="Times New Roman" w:cs="Times New Roman" w:hint="default"/>
                <w:sz w:val="24"/>
                <w:lang w:val="en-US" w:eastAsia="zh-CN"/>
              </w:rPr>
              <w:t>）</w:t>
            </w:r>
          </w:p>
          <w:p>
            <w:pPr>
              <w:rPr>
                <w:rFonts w:eastAsia="仿宋" w:hint="default"/>
              </w:rPr>
            </w:pP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管路</w:t>
            </w:r>
          </w:p>
        </w:tc>
        <w:tc>
          <w:tcPr>
            <w:tcW w:w="2952" w:type="pct"/>
            <w:vAlign w:val="center"/>
          </w:tcPr>
          <w:p>
            <w:pPr>
              <w:rPr>
                <w:rFonts w:eastAsia="仿宋" w:hint="default"/>
              </w:rPr>
            </w:pPr>
            <w:r>
              <w:rPr>
                <w:rFonts w:ascii="Times New Roman" w:eastAsia="仿宋" w:hAnsi="Times New Roman" w:cs="Times New Roman" w:hint="default"/>
                <w:sz w:val="24"/>
              </w:rPr>
              <w:t>（1）</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具有除湿功能，气路湿度达到40%以下</w:t>
            </w:r>
          </w:p>
          <w:p>
            <w:pPr>
              <w:rPr>
                <w:rFonts w:eastAsia="仿宋" w:hint="default"/>
              </w:rPr>
            </w:pPr>
            <w:r>
              <w:rPr>
                <w:rFonts w:ascii="Times New Roman" w:eastAsia="仿宋" w:hAnsi="Times New Roman" w:cs="Times New Roman" w:hint="default"/>
                <w:sz w:val="24"/>
              </w:rPr>
              <w:t>（2）采用不锈钢或静电耗散材质</w:t>
            </w:r>
          </w:p>
        </w:tc>
      </w:tr>
      <w:tr>
        <w:tblPrEx>
          <w:tblW w:w="5114" w:type="pct"/>
          <w:jc w:val="center"/>
          <w:tblLayout w:type="fixed"/>
          <w:tblCellMar>
            <w:top w:w="0" w:type="dxa"/>
            <w:left w:w="108" w:type="dxa"/>
            <w:bottom w:w="0" w:type="dxa"/>
            <w:right w:w="108" w:type="dxa"/>
          </w:tblCellMar>
        </w:tblPrEx>
        <w:trPr>
          <w:jc w:val="center"/>
        </w:trPr>
        <w:tc>
          <w:tcPr>
            <w:tcW w:w="393" w:type="pct"/>
            <w:vAlign w:val="center"/>
          </w:tcPr>
          <w:p>
            <w:pPr>
              <w:pStyle w:val="ListParagraph2"/>
              <w:numPr>
                <w:ilvl w:val="0"/>
                <w:numId w:val="4"/>
              </w:numPr>
              <w:ind w:left="0" w:firstLine="0" w:firstLineChars="0"/>
              <w:rPr>
                <w:rFonts w:ascii="仿宋" w:eastAsia="仿宋" w:hAnsi="仿宋" w:cs="仿宋"/>
                <w:sz w:val="24"/>
                <w:szCs w:val="24"/>
              </w:rPr>
            </w:pPr>
          </w:p>
        </w:tc>
        <w:tc>
          <w:tcPr>
            <w:tcW w:w="373" w:type="pct"/>
            <w:vMerge/>
            <w:vAlign w:val="center"/>
          </w:tcPr>
          <w:p>
            <w:pPr>
              <w:rPr>
                <w:rFonts w:ascii="仿宋" w:eastAsia="仿宋" w:hAnsi="仿宋" w:cs="仿宋"/>
              </w:rPr>
            </w:pPr>
          </w:p>
        </w:tc>
        <w:tc>
          <w:tcPr>
            <w:tcW w:w="1280" w:type="pct"/>
            <w:vAlign w:val="center"/>
          </w:tcPr>
          <w:p>
            <w:pPr>
              <w:rPr>
                <w:rFonts w:ascii="仿宋" w:eastAsia="仿宋" w:hAnsi="仿宋" w:cs="仿宋"/>
              </w:rPr>
            </w:pPr>
            <w:r>
              <w:rPr>
                <w:rFonts w:ascii="仿宋" w:eastAsia="仿宋" w:hAnsi="仿宋" w:cs="仿宋" w:hint="eastAsia"/>
                <w:sz w:val="24"/>
              </w:rPr>
              <w:t>切割器</w:t>
            </w:r>
          </w:p>
        </w:tc>
        <w:tc>
          <w:tcPr>
            <w:tcW w:w="2952" w:type="pct"/>
            <w:vAlign w:val="center"/>
          </w:tcPr>
          <w:p>
            <w:pPr>
              <w:rPr>
                <w:rFonts w:eastAsia="仿宋" w:hint="default"/>
              </w:rPr>
            </w:pPr>
            <w:r>
              <w:rPr>
                <w:rFonts w:ascii="Times New Roman" w:eastAsia="仿宋" w:hAnsi="Times New Roman" w:cs="Times New Roman" w:hint="default"/>
                <w:sz w:val="24"/>
              </w:rPr>
              <w:t>（3）</w:t>
            </w:r>
            <w:r>
              <w:rPr>
                <w:rFonts w:ascii="Times New Roman" w:eastAsia="仿宋" w:hAnsi="Times New Roman" w:cs="Times New Roman" w:hint="default"/>
                <w:sz w:val="24"/>
                <w:highlight w:val="yellow"/>
              </w:rPr>
              <w:t>#</w:t>
            </w:r>
            <w:r>
              <w:rPr>
                <w:rFonts w:ascii="Times New Roman" w:eastAsia="仿宋" w:hAnsi="Times New Roman" w:cs="Times New Roman" w:hint="default"/>
                <w:sz w:val="24"/>
              </w:rPr>
              <w:t>可实现对PM2.5切割</w:t>
            </w: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质保期：黑碳仪质保期8年*，从双方签署现场安装测试报告之日起开始计算质保期。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numPr>
          <w:ilvl w:val="0"/>
          <w:numId w:val="5"/>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质保期内，</w:t>
      </w:r>
      <w:r>
        <w:rPr>
          <w:rFonts w:ascii="仿宋" w:eastAsia="仿宋" w:hAnsi="仿宋" w:cs="仿宋" w:hint="eastAsia"/>
          <w:sz w:val="28"/>
          <w:szCs w:val="20"/>
        </w:rPr>
        <w:t>保证设备正常运行所需的核心部件（抽气泵、光源、测量光室、检测器、滤膜传感器、流量控制器、主板）和其余部件的更换和维修、耗材</w:t>
      </w:r>
      <w:r>
        <w:rPr>
          <w:rFonts w:ascii="仿宋" w:eastAsia="仿宋" w:hAnsi="仿宋" w:cs="仿宋" w:hint="eastAsia"/>
          <w:sz w:val="28"/>
          <w:szCs w:val="20"/>
          <w:lang w:val="en-US" w:eastAsia="zh-CN"/>
        </w:rPr>
        <w:t>供应。</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质保期开始第</w:t>
      </w:r>
      <w:r>
        <w:rPr>
          <w:rFonts w:ascii="仿宋" w:eastAsia="仿宋" w:hAnsi="仿宋" w:cs="仿宋" w:hint="eastAsia"/>
          <w:sz w:val="28"/>
          <w:szCs w:val="20"/>
        </w:rPr>
        <w:t>一年内</w:t>
      </w:r>
      <w:r>
        <w:rPr>
          <w:rFonts w:ascii="仿宋" w:eastAsia="仿宋" w:hAnsi="仿宋" w:cs="仿宋" w:hint="eastAsia"/>
          <w:sz w:val="28"/>
          <w:szCs w:val="20"/>
          <w:lang w:eastAsia="zh-CN"/>
        </w:rPr>
        <w:t>，</w:t>
      </w:r>
      <w:r>
        <w:rPr>
          <w:rFonts w:ascii="仿宋" w:eastAsia="仿宋" w:hAnsi="仿宋" w:cs="仿宋" w:hint="eastAsia"/>
          <w:sz w:val="28"/>
          <w:szCs w:val="20"/>
        </w:rPr>
        <w:t>非人为损坏导致的整机</w:t>
      </w:r>
      <w:r>
        <w:rPr>
          <w:rFonts w:ascii="仿宋" w:eastAsia="仿宋" w:hAnsi="仿宋" w:cs="仿宋" w:hint="eastAsia"/>
          <w:sz w:val="28"/>
          <w:szCs w:val="20"/>
          <w:lang w:val="en-US" w:eastAsia="zh-CN"/>
        </w:rPr>
        <w:t>可</w:t>
      </w:r>
      <w:r>
        <w:rPr>
          <w:rFonts w:ascii="仿宋" w:eastAsia="仿宋" w:hAnsi="仿宋" w:cs="仿宋" w:hint="eastAsia"/>
          <w:sz w:val="28"/>
          <w:szCs w:val="20"/>
        </w:rPr>
        <w:t>免费更换。</w:t>
      </w:r>
    </w:p>
    <w:p>
      <w:pPr>
        <w:numPr>
          <w:ilvl w:val="0"/>
          <w:numId w:val="5"/>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质保期内每年一次</w:t>
      </w:r>
      <w:r>
        <w:rPr>
          <w:rFonts w:ascii="仿宋" w:eastAsia="仿宋" w:hAnsi="仿宋" w:cs="仿宋" w:hint="eastAsia"/>
          <w:sz w:val="28"/>
          <w:szCs w:val="20"/>
          <w:lang w:val="en-US" w:eastAsia="zh-CN"/>
        </w:rPr>
        <w:t>现场巡查，</w:t>
      </w:r>
      <w:r>
        <w:rPr>
          <w:rFonts w:ascii="仿宋" w:eastAsia="仿宋" w:hAnsi="仿宋" w:cs="仿宋" w:hint="eastAsia"/>
          <w:sz w:val="28"/>
          <w:szCs w:val="20"/>
        </w:rPr>
        <w:t>进行设备运行情况检查、设备及管路清洁、流量检查和标校等工作，覆盖交通费、人工费、材料费、技术服务费以及必要的其他费用等。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lang w:val="en-US" w:eastAsia="zh-CN"/>
        </w:rPr>
        <w:t>4</w:t>
      </w:r>
      <w:r>
        <w:rPr>
          <w:rFonts w:ascii="仿宋" w:eastAsia="仿宋" w:hAnsi="仿宋" w:cs="仿宋" w:hint="eastAsia"/>
          <w:sz w:val="28"/>
          <w:szCs w:val="20"/>
        </w:rPr>
        <w:t>）质保期满后，仍有义务提供远程技术服务等支持。</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keepNext/>
        <w:keepLine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采购人可根据合同</w:t>
      </w:r>
      <w:r>
        <w:rPr>
          <w:rFonts w:ascii="仿宋" w:eastAsia="仿宋" w:hAnsi="仿宋" w:cs="仿宋" w:hint="eastAsia"/>
          <w:sz w:val="28"/>
          <w:szCs w:val="20"/>
          <w:lang w:eastAsia="zh-CN"/>
        </w:rPr>
        <w:t>、</w:t>
      </w:r>
      <w:r>
        <w:rPr>
          <w:rFonts w:ascii="仿宋" w:eastAsia="仿宋" w:hAnsi="仿宋" w:cs="仿宋" w:hint="eastAsia"/>
          <w:sz w:val="28"/>
          <w:szCs w:val="20"/>
        </w:rPr>
        <w:t>技术性能指标以及采购人的有关规定进行修改和补充，经双方确认后形成验收文件作为验收依据</w:t>
      </w:r>
      <w:r>
        <w:rPr>
          <w:rFonts w:ascii="仿宋" w:eastAsia="仿宋" w:hAnsi="仿宋" w:cs="仿宋" w:hint="eastAsia"/>
          <w:sz w:val="28"/>
          <w:szCs w:val="20"/>
          <w:lang w:eastAsia="zh-CN"/>
        </w:rPr>
        <w:t>。</w:t>
      </w:r>
      <w:r>
        <w:rPr>
          <w:rFonts w:ascii="仿宋" w:eastAsia="仿宋" w:hAnsi="仿宋" w:cs="仿宋" w:hint="eastAsia"/>
          <w:sz w:val="28"/>
          <w:szCs w:val="20"/>
        </w:rPr>
        <w:t>设备的技术性能指标除满足三、技术性能指标外，设备出厂、包装运输、安装调试、设备验收、保修服务、工程进度方面还应满足以下要求：</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5.1设备出厂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snapToGrid w:val="0"/>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w:t>
      </w:r>
      <w:r>
        <w:rPr>
          <w:rFonts w:ascii="仿宋" w:eastAsia="仿宋" w:hAnsi="仿宋" w:cs="仿宋" w:hint="eastAsia"/>
          <w:sz w:val="28"/>
          <w:szCs w:val="20"/>
          <w:lang w:val="en-US" w:eastAsia="zh-CN"/>
        </w:rPr>
        <w:t xml:space="preserve"> </w:t>
      </w:r>
      <w:r>
        <w:rPr>
          <w:rFonts w:ascii="仿宋" w:eastAsia="仿宋" w:hAnsi="仿宋" w:cs="仿宋" w:hint="eastAsia"/>
          <w:sz w:val="28"/>
          <w:szCs w:val="20"/>
        </w:rPr>
        <w:t>出厂前要经买方人员严格测试和检查，确保设备</w:t>
      </w:r>
      <w:r>
        <w:rPr>
          <w:rFonts w:ascii="仿宋" w:eastAsia="仿宋" w:hAnsi="仿宋" w:cs="仿宋" w:hint="eastAsia"/>
          <w:sz w:val="28"/>
          <w:szCs w:val="20"/>
          <w:lang w:val="en-US" w:eastAsia="zh-CN"/>
        </w:rPr>
        <w:t>性能可靠</w:t>
      </w:r>
      <w:r>
        <w:rPr>
          <w:rFonts w:ascii="仿宋" w:eastAsia="仿宋" w:hAnsi="仿宋" w:cs="仿宋" w:hint="eastAsia"/>
          <w:sz w:val="28"/>
          <w:szCs w:val="20"/>
        </w:rPr>
        <w:t>。</w:t>
      </w:r>
    </w:p>
    <w:p>
      <w:pPr>
        <w:snapToGrid w:val="0"/>
        <w:spacing w:line="560" w:lineRule="exact"/>
        <w:ind w:firstLine="560" w:firstLineChars="200"/>
        <w:rPr>
          <w:rFonts w:ascii="仿宋" w:eastAsia="仿宋" w:hAnsi="仿宋" w:cs="仿宋" w:hint="eastAsia"/>
          <w:color w:val="auto"/>
          <w:sz w:val="28"/>
          <w:szCs w:val="20"/>
        </w:rPr>
      </w:pP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3</w:t>
      </w:r>
      <w:r>
        <w:rPr>
          <w:rFonts w:ascii="仿宋" w:eastAsia="仿宋" w:hAnsi="仿宋" w:cs="仿宋" w:hint="eastAsia"/>
          <w:color w:val="auto"/>
          <w:sz w:val="28"/>
          <w:szCs w:val="20"/>
          <w:lang w:eastAsia="zh-CN"/>
        </w:rPr>
        <w:t>）</w:t>
      </w:r>
      <w:r>
        <w:rPr>
          <w:rFonts w:ascii="仿宋" w:eastAsia="仿宋" w:hAnsi="仿宋" w:cs="仿宋" w:hint="eastAsia"/>
          <w:color w:val="auto"/>
          <w:sz w:val="28"/>
          <w:szCs w:val="20"/>
          <w:lang w:val="en-US" w:eastAsia="zh-CN"/>
        </w:rPr>
        <w:t>出厂测试地点为北京，中标人须将设备运到北京，先由采购人指定的国家级业务单位对设备功能和技术性能进行测试，测试合格后由中标人将设备运到采购人指定的安装地点；如果测试不合格，则由中标人将设备运回厂家并再次提供质量合格的产品用于测试检查，直至合格。</w:t>
      </w:r>
    </w:p>
    <w:p>
      <w:pPr>
        <w:snapToGrid w:val="0"/>
        <w:spacing w:line="560" w:lineRule="exact"/>
        <w:ind w:firstLine="560" w:firstLineChars="200"/>
        <w:rPr>
          <w:rFonts w:ascii="仿宋" w:eastAsia="仿宋" w:hAnsi="仿宋" w:cs="仿宋" w:hint="default"/>
          <w:color w:val="auto"/>
          <w:sz w:val="28"/>
          <w:szCs w:val="20"/>
        </w:rPr>
      </w:pPr>
      <w:r>
        <w:rPr>
          <w:rFonts w:ascii="仿宋" w:eastAsia="仿宋" w:hAnsi="仿宋" w:cs="仿宋" w:hint="eastAsia"/>
          <w:color w:val="auto"/>
          <w:sz w:val="28"/>
          <w:szCs w:val="20"/>
          <w:lang w:val="en-US" w:eastAsia="zh-CN"/>
        </w:rPr>
        <w:t>（4）中标人须配合采购人完成设备的出厂测试，出厂测试阶段发生的运费、测试费、设备维修维护费用由中标人承担。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5.2包装和运输要求</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且出厂测试合格的情况下，</w:t>
      </w:r>
      <w:r>
        <w:rPr>
          <w:rFonts w:ascii="仿宋" w:eastAsia="仿宋" w:hAnsi="仿宋" w:cs="仿宋" w:hint="eastAsia"/>
          <w:sz w:val="28"/>
          <w:szCs w:val="20"/>
        </w:rPr>
        <w:t>按约定时间将设备运到招标人指定的地点，运费由中标人承担。</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5.3安装、调试</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snapToGrid w:val="0"/>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5.4设备验收</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（1）设备安装、调试达到</w:t>
      </w:r>
      <w:r>
        <w:rPr>
          <w:rFonts w:ascii="仿宋" w:eastAsia="仿宋" w:hAnsi="仿宋" w:cs="仿宋" w:hint="eastAsia"/>
          <w:sz w:val="28"/>
          <w:szCs w:val="20"/>
          <w:lang w:val="en-US" w:eastAsia="zh-CN"/>
        </w:rPr>
        <w:t>合同要求</w:t>
      </w:r>
      <w:r>
        <w:rPr>
          <w:rFonts w:ascii="仿宋" w:eastAsia="仿宋" w:hAnsi="仿宋" w:cs="仿宋" w:hint="eastAsia"/>
          <w:sz w:val="28"/>
          <w:szCs w:val="20"/>
        </w:rPr>
        <w:t>的指标后，可进行</w:t>
      </w:r>
      <w:r>
        <w:rPr>
          <w:rFonts w:ascii="仿宋" w:eastAsia="仿宋" w:hAnsi="仿宋" w:cs="仿宋" w:hint="eastAsia"/>
          <w:sz w:val="28"/>
          <w:szCs w:val="20"/>
          <w:lang w:eastAsia="zh-CN"/>
        </w:rPr>
        <w:t>现场</w:t>
      </w:r>
      <w:r>
        <w:rPr>
          <w:rFonts w:ascii="仿宋" w:eastAsia="仿宋" w:hAnsi="仿宋" w:cs="仿宋" w:hint="eastAsia"/>
          <w:sz w:val="28"/>
          <w:szCs w:val="20"/>
        </w:rPr>
        <w:t>验收。采购人可根据合同</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参考部门发布的本设备工程管理验收指导意见等要求，制定</w:t>
      </w:r>
      <w:r>
        <w:rPr>
          <w:rFonts w:ascii="仿宋" w:eastAsia="仿宋" w:hAnsi="仿宋" w:cs="仿宋" w:hint="eastAsia"/>
          <w:sz w:val="28"/>
          <w:szCs w:val="20"/>
        </w:rPr>
        <w:t>验收规范(包括项目、</w:t>
      </w:r>
      <w:r>
        <w:rPr>
          <w:rFonts w:ascii="仿宋" w:eastAsia="仿宋" w:hAnsi="仿宋" w:cs="仿宋" w:hint="eastAsia"/>
          <w:sz w:val="28"/>
          <w:szCs w:val="20"/>
          <w:lang w:eastAsia="zh-CN"/>
        </w:rPr>
        <w:t>测试</w:t>
      </w:r>
      <w:r>
        <w:rPr>
          <w:rFonts w:ascii="仿宋" w:eastAsia="仿宋" w:hAnsi="仿宋" w:cs="仿宋" w:hint="eastAsia"/>
          <w:sz w:val="28"/>
          <w:szCs w:val="20"/>
        </w:rPr>
        <w:t>方</w:t>
      </w:r>
      <w:r>
        <w:rPr>
          <w:rFonts w:ascii="仿宋" w:eastAsia="仿宋" w:hAnsi="仿宋" w:cs="仿宋" w:hint="eastAsia"/>
          <w:sz w:val="28"/>
          <w:szCs w:val="20"/>
          <w:lang w:eastAsia="zh-CN"/>
        </w:rPr>
        <w:t>法</w:t>
      </w:r>
      <w:r>
        <w:rPr>
          <w:rFonts w:ascii="仿宋" w:eastAsia="仿宋" w:hAnsi="仿宋" w:cs="仿宋" w:hint="eastAsia"/>
          <w:sz w:val="28"/>
          <w:szCs w:val="20"/>
        </w:rPr>
        <w:t>和测试仪器等)。经双方确认后形成验收文件作为验收依据。验收测试合格后，双方签署</w:t>
      </w:r>
      <w:r>
        <w:rPr>
          <w:rFonts w:ascii="仿宋" w:eastAsia="仿宋" w:hAnsi="仿宋" w:cs="仿宋" w:hint="eastAsia"/>
          <w:sz w:val="28"/>
          <w:szCs w:val="20"/>
          <w:lang w:eastAsia="zh-CN"/>
        </w:rPr>
        <w:t>现场验收</w:t>
      </w:r>
      <w:r>
        <w:rPr>
          <w:rFonts w:ascii="仿宋" w:eastAsia="仿宋" w:hAnsi="仿宋" w:cs="仿宋" w:hint="eastAsia"/>
          <w:sz w:val="28"/>
          <w:szCs w:val="20"/>
        </w:rPr>
        <w:t>合格协议，设备进入试运行期。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（2）设备经过</w:t>
      </w:r>
      <w:r>
        <w:rPr>
          <w:rFonts w:ascii="仿宋" w:eastAsia="仿宋" w:hAnsi="仿宋" w:cs="仿宋" w:hint="eastAsia"/>
          <w:sz w:val="28"/>
          <w:szCs w:val="20"/>
          <w:lang w:val="en-US" w:eastAsia="zh-CN"/>
        </w:rPr>
        <w:t>3</w:t>
      </w:r>
      <w:r>
        <w:rPr>
          <w:rFonts w:ascii="仿宋" w:eastAsia="仿宋" w:hAnsi="仿宋" w:cs="仿宋" w:hint="eastAsia"/>
          <w:sz w:val="28"/>
          <w:szCs w:val="20"/>
        </w:rPr>
        <w:t>个月试运行期，达到</w:t>
      </w:r>
      <w:r>
        <w:rPr>
          <w:rFonts w:ascii="仿宋" w:eastAsia="仿宋" w:hAnsi="仿宋" w:cs="仿宋" w:hint="eastAsia"/>
          <w:sz w:val="28"/>
          <w:szCs w:val="20"/>
          <w:lang w:val="en-US" w:eastAsia="zh-CN"/>
        </w:rPr>
        <w:t>合同</w:t>
      </w:r>
      <w:r>
        <w:rPr>
          <w:rFonts w:ascii="仿宋" w:eastAsia="仿宋" w:hAnsi="仿宋" w:cs="仿宋" w:hint="eastAsia"/>
          <w:sz w:val="28"/>
          <w:szCs w:val="20"/>
        </w:rPr>
        <w:t>要求时，可进行</w:t>
      </w:r>
      <w:r>
        <w:rPr>
          <w:rFonts w:ascii="仿宋" w:eastAsia="仿宋" w:hAnsi="仿宋" w:cs="仿宋" w:hint="eastAsia"/>
          <w:sz w:val="28"/>
          <w:szCs w:val="20"/>
          <w:lang w:eastAsia="zh-CN"/>
        </w:rPr>
        <w:t>合同</w:t>
      </w:r>
      <w:r>
        <w:rPr>
          <w:rFonts w:ascii="仿宋" w:eastAsia="仿宋" w:hAnsi="仿宋" w:cs="仿宋" w:hint="eastAsia"/>
          <w:sz w:val="28"/>
          <w:szCs w:val="20"/>
        </w:rPr>
        <w:t>验收。在试运行期间，由于设备质量等造成某些指标达不到要求，允许中标人更换或进行修复，但试运行期另加1个月。</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w:t>
      </w:r>
      <w:r>
        <w:rPr>
          <w:rFonts w:ascii="仿宋" w:eastAsia="仿宋" w:hAnsi="仿宋" w:cs="仿宋" w:hint="eastAsia"/>
          <w:sz w:val="28"/>
          <w:szCs w:val="20"/>
          <w:lang w:eastAsia="zh-CN"/>
        </w:rPr>
        <w:t>合同</w:t>
      </w:r>
      <w:r>
        <w:rPr>
          <w:rFonts w:ascii="仿宋" w:eastAsia="仿宋" w:hAnsi="仿宋" w:cs="仿宋" w:hint="eastAsia"/>
          <w:sz w:val="28"/>
          <w:szCs w:val="20"/>
        </w:rPr>
        <w:t>验收。当满足以下条件时，采购人确认验收合格签署验收合格证：</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中标人已提供合同中签署的全部货物及完整技术资料；</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货物符合技术规格，性能满足要求；</w:t>
      </w:r>
    </w:p>
    <w:p>
      <w:pPr>
        <w:numPr>
          <w:ilvl w:val="0"/>
          <w:numId w:val="6"/>
        </w:numPr>
        <w:spacing w:line="560" w:lineRule="exact"/>
        <w:ind w:left="0" w:firstLine="560" w:firstLineChars="200"/>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5.5保修服务</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 xml:space="preserve">（1）保修期内因设备设计、质量出现问题，均由设备供应商即时无偿解决（包括更换器件）；设备安装后的试运行期间（一个月）内，遇设备故障或数据明显异常、性能不达标等，中标人负责48小时内到站对故障设备进行测试和更换，确保设备正常投入业务运行。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w:t>
      </w:r>
      <w:r>
        <w:rPr>
          <w:rFonts w:ascii="仿宋" w:eastAsia="仿宋" w:hAnsi="仿宋" w:cs="仿宋" w:hint="eastAsia"/>
          <w:kern w:val="0"/>
          <w:sz w:val="28"/>
          <w:szCs w:val="20"/>
          <w:lang w:bidi="ar"/>
        </w:rPr>
        <w:t>单次故障恢复时间不超过 72小时的要求，在规定时间内完成故障站点现场维修。并承诺团队人员在本项目服务期不随意更换，若出现人员变动，须经采购人同意。</w:t>
      </w:r>
    </w:p>
    <w:p>
      <w:pPr>
        <w:keepNext/>
        <w:keepLines/>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5.6工程进度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（1）合同签订后根据招标人的要求安排发货。</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（2）设备到达安装现场后，收到招标人通知五日内到达现场， 完成设备的安装、调测以及供电系统的联调工作。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spacing w:line="560" w:lineRule="exact"/>
        <w:ind w:left="630"/>
        <w:rPr>
          <w:rFonts w:ascii="仿宋" w:eastAsia="仿宋" w:hAnsi="仿宋" w:cs="仿宋"/>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08"/>
        <w:gridCol w:w="808"/>
        <w:gridCol w:w="1124"/>
        <w:gridCol w:w="1281"/>
        <w:gridCol w:w="808"/>
        <w:gridCol w:w="323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黑碳仪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540,000.00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临安区域大气本底站，韩路杰，15306565722</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77"/>
        <w:gridCol w:w="1699"/>
        <w:gridCol w:w="783"/>
        <w:gridCol w:w="477"/>
        <w:gridCol w:w="1088"/>
        <w:gridCol w:w="829"/>
        <w:gridCol w:w="1546"/>
        <w:gridCol w:w="162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临安站(001041003013)</w:t>
            </w:r>
          </w:p>
        </w:tc>
        <w:tc>
          <w:tcPr/>
          <w:p>
            <w:r>
              <w:t>黑碳仪</w:t>
            </w:r>
          </w:p>
        </w:tc>
        <w:tc>
          <w:tcPr/>
          <w:p>
            <w:r>
              <w:t>1</w:t>
            </w:r>
          </w:p>
        </w:tc>
        <w:tc>
          <w:tcPr/>
          <w:p>
            <w:r>
              <w:t>540000.00</w:t>
            </w:r>
          </w:p>
        </w:tc>
        <w:tc>
          <w:tcPr/>
          <w:p>
            <w:r>
              <w:t xml:space="preserve">540000.00  </w:t>
            </w:r>
          </w:p>
        </w:tc>
        <w:tc>
          <w:tcPr/>
          <w:p>
            <w:r>
              <w:t>临安区域大气本底站</w:t>
            </w:r>
          </w:p>
        </w:tc>
        <w:tc>
          <w:tcPr/>
          <w:p>
            <w:r>
              <w:t>韩路杰，15306565722</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F24623" w:rsidP="00F24623">
      <w:pPr>
        <w:spacing w:line="560" w:lineRule="exact"/>
        <w:ind w:firstLine="720" w:firstLineChars="200"/>
        <w:jc w:val="center"/>
        <w:rPr>
          <w:rFonts w:ascii="仿宋" w:eastAsia="仿宋" w:hAnsi="仿宋" w:cs="仿宋" w:hint="eastAsia"/>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hint="eastAsia"/>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F24623" w:rsidP="00F24623">
      <w:pPr>
        <w:spacing w:line="560" w:lineRule="exact"/>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一、项目概况及总体要求</w:t>
      </w:r>
    </w:p>
    <w:p w:rsidR="00F24623" w:rsidP="00F24623">
      <w:pPr>
        <w:ind w:firstLine="560" w:firstLineChars="200"/>
        <w:rPr>
          <w:rFonts w:ascii="仿宋" w:eastAsia="仿宋" w:hAnsi="仿宋" w:cs="仿宋" w:hint="eastAsia"/>
          <w:sz w:val="28"/>
          <w:szCs w:val="20"/>
        </w:rPr>
      </w:pPr>
      <w:r w:rsidRPr="00FD01C2">
        <w:rPr>
          <w:rFonts w:ascii="仿宋" w:eastAsia="仿宋" w:hAnsi="仿宋" w:cs="仿宋" w:hint="eastAsia"/>
          <w:sz w:val="28"/>
          <w:szCs w:val="20"/>
        </w:rPr>
        <w:t>在临安区域大气本底站</w:t>
      </w:r>
      <w:r>
        <w:rPr>
          <w:rFonts w:ascii="仿宋" w:eastAsia="仿宋" w:hAnsi="仿宋" w:cs="仿宋" w:hint="eastAsia"/>
          <w:sz w:val="28"/>
          <w:szCs w:val="20"/>
        </w:rPr>
        <w:t>建设黑炭观测系统，开展</w:t>
      </w:r>
      <w:r w:rsidRPr="00FD01C2">
        <w:rPr>
          <w:rFonts w:ascii="仿宋" w:eastAsia="仿宋" w:hAnsi="仿宋" w:cs="仿宋" w:hint="eastAsia"/>
          <w:sz w:val="28"/>
          <w:szCs w:val="20"/>
        </w:rPr>
        <w:t>全天候、高时空分辨率、高精度的连续监测，基于</w:t>
      </w:r>
      <w:r>
        <w:rPr>
          <w:rFonts w:ascii="仿宋" w:eastAsia="仿宋" w:hAnsi="仿宋" w:cs="仿宋" w:hint="eastAsia"/>
          <w:sz w:val="28"/>
          <w:szCs w:val="20"/>
        </w:rPr>
        <w:t>黑炭</w:t>
      </w:r>
      <w:r w:rsidRPr="00FD01C2">
        <w:rPr>
          <w:rFonts w:ascii="仿宋" w:eastAsia="仿宋" w:hAnsi="仿宋" w:cs="仿宋" w:hint="eastAsia"/>
          <w:sz w:val="28"/>
          <w:szCs w:val="20"/>
        </w:rPr>
        <w:t>数据和其他相关气象观测数据，</w:t>
      </w:r>
      <w:r>
        <w:rPr>
          <w:rFonts w:ascii="仿宋" w:eastAsia="仿宋" w:hAnsi="仿宋" w:cs="仿宋" w:hint="eastAsia"/>
          <w:sz w:val="28"/>
          <w:szCs w:val="20"/>
        </w:rPr>
        <w:t>同步</w:t>
      </w:r>
      <w:r w:rsidRPr="00FD01C2">
        <w:rPr>
          <w:rFonts w:ascii="仿宋" w:eastAsia="仿宋" w:hAnsi="仿宋" w:cs="仿宋" w:hint="eastAsia"/>
          <w:sz w:val="28"/>
          <w:szCs w:val="20"/>
        </w:rPr>
        <w:t>开展进口、国产设备对比试验</w:t>
      </w:r>
      <w:r>
        <w:rPr>
          <w:rFonts w:ascii="仿宋" w:eastAsia="仿宋" w:hAnsi="仿宋" w:cs="仿宋" w:hint="eastAsia"/>
          <w:sz w:val="28"/>
          <w:szCs w:val="20"/>
        </w:rPr>
        <w:t>，</w:t>
      </w:r>
      <w:r w:rsidRPr="00FD01C2">
        <w:rPr>
          <w:rFonts w:ascii="仿宋" w:eastAsia="仿宋" w:hAnsi="仿宋" w:cs="仿宋" w:hint="eastAsia"/>
          <w:sz w:val="28"/>
          <w:szCs w:val="20"/>
        </w:rPr>
        <w:t>推动区域</w:t>
      </w:r>
      <w:r>
        <w:rPr>
          <w:rFonts w:ascii="仿宋" w:eastAsia="仿宋" w:hAnsi="仿宋" w:cs="仿宋" w:hint="eastAsia"/>
          <w:sz w:val="28"/>
          <w:szCs w:val="20"/>
        </w:rPr>
        <w:t>黑炭特征</w:t>
      </w:r>
      <w:r w:rsidRPr="00FD01C2">
        <w:rPr>
          <w:rFonts w:ascii="仿宋" w:eastAsia="仿宋" w:hAnsi="仿宋" w:cs="仿宋" w:hint="eastAsia"/>
          <w:sz w:val="28"/>
          <w:szCs w:val="20"/>
        </w:rPr>
        <w:t>评估工作的业务化，为区域</w:t>
      </w:r>
      <w:r>
        <w:rPr>
          <w:rFonts w:ascii="仿宋" w:eastAsia="仿宋" w:hAnsi="仿宋" w:cs="仿宋" w:hint="eastAsia"/>
          <w:sz w:val="28"/>
          <w:szCs w:val="20"/>
        </w:rPr>
        <w:t>大气污染协同控制</w:t>
      </w:r>
      <w:r w:rsidRPr="00FD01C2">
        <w:rPr>
          <w:rFonts w:ascii="仿宋" w:eastAsia="仿宋" w:hAnsi="仿宋" w:cs="仿宋" w:hint="eastAsia"/>
          <w:sz w:val="28"/>
          <w:szCs w:val="20"/>
        </w:rPr>
        <w:t>提供有力支持。</w:t>
      </w:r>
    </w:p>
    <w:p w:rsidR="00F24623" w:rsidP="00F24623">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二、售后服务要求</w:t>
      </w:r>
    </w:p>
    <w:p w:rsidR="00F24623" w:rsidP="00F24623">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F24623" w:rsidP="00F24623">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三、培训要求</w:t>
      </w:r>
    </w:p>
    <w:p w:rsidR="00F24623" w:rsidP="00F24623">
      <w:pPr>
        <w:ind w:firstLine="560" w:firstLineChars="200"/>
        <w:rPr>
          <w:rFonts w:ascii="仿宋" w:eastAsia="仿宋" w:hAnsi="仿宋" w:cs="仿宋" w:hint="eastAsia"/>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F24623" w:rsidP="00F24623">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6个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10人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F24623" w:rsidP="00F24623">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四、交货要求及履约地点</w:t>
      </w:r>
    </w:p>
    <w:p w:rsidR="00F24623" w:rsidP="00F24623">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中标供应商将所有设备运送至临安区域大气本底站（运输相关费</w:t>
      </w:r>
      <w:r>
        <w:rPr>
          <w:rFonts w:ascii="仿宋" w:eastAsia="仿宋" w:hAnsi="仿宋" w:cs="仿宋" w:hint="eastAsia"/>
          <w:sz w:val="28"/>
          <w:szCs w:val="20"/>
        </w:rPr>
        <w:t>用由供应商负责），并负责安装调试。</w:t>
      </w:r>
    </w:p>
    <w:p w:rsidR="00F24623" w:rsidP="00F24623">
      <w:pPr>
        <w:ind w:left="559" w:leftChars="266"/>
        <w:rPr>
          <w:rFonts w:ascii="仿宋" w:eastAsia="仿宋" w:hAnsi="仿宋" w:cs="仿宋" w:hint="eastAsia"/>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F24623" w:rsidP="00F24623">
      <w:pPr>
        <w:ind w:firstLine="560" w:firstLineChars="200"/>
        <w:rPr>
          <w:rFonts w:ascii="仿宋" w:eastAsia="仿宋" w:hAnsi="仿宋" w:cs="仿宋" w:hint="eastAsia"/>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F24623" w:rsidP="00F24623">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六、投标产品软件兼容性要求</w:t>
      </w:r>
    </w:p>
    <w:p w:rsidR="00F24623" w:rsidP="00F24623">
      <w:pPr>
        <w:ind w:firstLine="560" w:firstLineChars="200"/>
        <w:rPr>
          <w:rFonts w:ascii="仿宋" w:eastAsia="仿宋" w:hAnsi="仿宋" w:cs="仿宋" w:hint="eastAsia"/>
          <w:sz w:val="28"/>
          <w:szCs w:val="20"/>
        </w:rPr>
      </w:pPr>
      <w:r>
        <w:rPr>
          <w:rFonts w:ascii="仿宋" w:eastAsia="仿宋" w:hAnsi="仿宋" w:cs="仿宋" w:hint="eastAsia"/>
          <w:sz w:val="28"/>
          <w:szCs w:val="20"/>
        </w:rPr>
        <w:t>设备支持有线通讯协议，可无缝接入临安本底站网络系统，实现与气象局内网网络系统、天擎平台无缝接入，完全符合甲方相关要求和规范，保证其系统的兼容性和功能的完整性。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b/>
          <w:bCs/>
          <w:sz w:val="28"/>
          <w:szCs w:val="20"/>
        </w:rPr>
        <w:t>七、其他</w:t>
      </w:r>
    </w:p>
    <w:p w:rsidR="00F24623" w:rsidP="00F24623">
      <w:pPr>
        <w:ind w:firstLine="560" w:firstLineChars="200"/>
        <w:rPr>
          <w:rFonts w:ascii="仿宋" w:eastAsia="仿宋" w:hAnsi="仿宋" w:cs="仿宋" w:hint="eastAsia"/>
          <w:sz w:val="28"/>
          <w:szCs w:val="20"/>
        </w:rPr>
      </w:pPr>
      <w:r>
        <w:rPr>
          <w:rFonts w:ascii="仿宋" w:eastAsia="仿宋" w:hAnsi="仿宋" w:cs="仿宋" w:hint="eastAsia"/>
          <w:sz w:val="28"/>
          <w:szCs w:val="20"/>
        </w:rPr>
        <w:t>无</w:t>
      </w:r>
    </w:p>
    <w:p w:rsidR="004172AD" w:rsidRPr="00F24623" w:rsidP="00F24623">
      <w:pPr>
        <w:rPr>
          <w:rFonts w:hint="eastAsia"/>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FD339F">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FD339F">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0F1025">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FD339F">
            <w:pPr>
              <w:rPr>
                <w:sz w:val="18"/>
                <w:szCs w:val="18"/>
              </w:rPr>
            </w:pPr>
            <w:r>
              <w:rPr>
                <w:rFonts w:hint="eastAsia"/>
                <w:sz w:val="18"/>
                <w:szCs w:val="18"/>
              </w:rPr>
              <w:t>序号</w:t>
            </w:r>
          </w:p>
        </w:tc>
        <w:tc>
          <w:tcPr>
            <w:tcW w:w="898" w:type="dxa"/>
            <w:vAlign w:val="center"/>
          </w:tcPr>
          <w:p w:rsidR="00FD339F">
            <w:pPr>
              <w:jc w:val="center"/>
              <w:rPr>
                <w:sz w:val="18"/>
                <w:szCs w:val="18"/>
              </w:rPr>
            </w:pPr>
            <w:r>
              <w:rPr>
                <w:rFonts w:hint="eastAsia"/>
                <w:sz w:val="18"/>
                <w:szCs w:val="18"/>
              </w:rPr>
              <w:t>对应</w:t>
            </w:r>
          </w:p>
          <w:p w:rsidR="00FD339F">
            <w:pPr>
              <w:jc w:val="center"/>
              <w:rPr>
                <w:sz w:val="18"/>
                <w:szCs w:val="18"/>
              </w:rPr>
            </w:pPr>
            <w:r>
              <w:rPr>
                <w:rFonts w:hint="eastAsia"/>
                <w:sz w:val="18"/>
                <w:szCs w:val="18"/>
              </w:rPr>
              <w:t>条款号</w:t>
            </w:r>
          </w:p>
        </w:tc>
        <w:tc>
          <w:tcPr>
            <w:tcW w:w="7347" w:type="dxa"/>
            <w:vAlign w:val="center"/>
          </w:tcPr>
          <w:p w:rsidR="00FD339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0F1025">
        <w:tblPrEx>
          <w:tblW w:w="8789" w:type="dxa"/>
          <w:tblLayout w:type="fixed"/>
          <w:tblLook w:val="04A0"/>
        </w:tblPrEx>
        <w:trPr>
          <w:cantSplit/>
        </w:trPr>
        <w:tc>
          <w:tcPr>
            <w:tcW w:w="8789" w:type="dxa"/>
            <w:gridSpan w:val="3"/>
            <w:vAlign w:val="center"/>
          </w:tcPr>
          <w:p w:rsidR="00FD339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0F1025">
        <w:tblPrEx>
          <w:tblW w:w="8789" w:type="dxa"/>
          <w:tblLayout w:type="fixed"/>
          <w:tblLook w:val="04A0"/>
        </w:tblPrEx>
        <w:trPr>
          <w:cantSplit/>
        </w:trPr>
        <w:tc>
          <w:tcPr>
            <w:tcW w:w="544" w:type="dxa"/>
            <w:vAlign w:val="center"/>
          </w:tcPr>
          <w:p w:rsidR="00FD339F">
            <w:pPr>
              <w:numPr>
                <w:ilvl w:val="0"/>
                <w:numId w:val="16"/>
              </w:numPr>
              <w:rPr>
                <w:rFonts w:ascii="宋体" w:hAnsi="宋体"/>
                <w:sz w:val="18"/>
                <w:szCs w:val="18"/>
              </w:rPr>
            </w:pPr>
          </w:p>
        </w:tc>
        <w:tc>
          <w:tcPr>
            <w:tcW w:w="898" w:type="dxa"/>
            <w:vAlign w:val="center"/>
          </w:tcPr>
          <w:p w:rsidR="00FD339F">
            <w:pPr>
              <w:jc w:val="center"/>
              <w:rPr>
                <w:rFonts w:ascii="宋体" w:hAnsi="宋体"/>
                <w:sz w:val="18"/>
                <w:szCs w:val="18"/>
              </w:rPr>
            </w:pPr>
            <w:r>
              <w:rPr>
                <w:rFonts w:ascii="宋体" w:hAnsi="宋体" w:hint="eastAsia"/>
                <w:sz w:val="18"/>
                <w:szCs w:val="18"/>
              </w:rPr>
              <w:t>5.2</w:t>
            </w:r>
          </w:p>
        </w:tc>
        <w:tc>
          <w:tcPr>
            <w:tcW w:w="7347" w:type="dxa"/>
          </w:tcPr>
          <w:p w:rsidR="00FD339F">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0F1025">
        <w:tblPrEx>
          <w:tblW w:w="8789" w:type="dxa"/>
          <w:tblLayout w:type="fixed"/>
          <w:tblLook w:val="04A0"/>
        </w:tblPrEx>
        <w:trPr>
          <w:cantSplit/>
        </w:trPr>
        <w:tc>
          <w:tcPr>
            <w:tcW w:w="8789" w:type="dxa"/>
            <w:gridSpan w:val="3"/>
            <w:vAlign w:val="center"/>
          </w:tcPr>
          <w:p w:rsidR="00FD339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0F1025">
        <w:tblPrEx>
          <w:tblW w:w="8789" w:type="dxa"/>
          <w:tblLayout w:type="fixed"/>
          <w:tblLook w:val="04A0"/>
        </w:tblPrEx>
        <w:trPr>
          <w:cantSplit/>
        </w:trPr>
        <w:tc>
          <w:tcPr>
            <w:tcW w:w="544" w:type="dxa"/>
            <w:vAlign w:val="center"/>
          </w:tcPr>
          <w:p w:rsidR="00FD339F">
            <w:pPr>
              <w:numPr>
                <w:ilvl w:val="0"/>
                <w:numId w:val="16"/>
              </w:numPr>
              <w:rPr>
                <w:rFonts w:ascii="宋体" w:hAnsi="宋体"/>
                <w:sz w:val="18"/>
                <w:szCs w:val="18"/>
              </w:rPr>
            </w:pPr>
          </w:p>
        </w:tc>
        <w:tc>
          <w:tcPr>
            <w:tcW w:w="898" w:type="dxa"/>
            <w:vAlign w:val="center"/>
          </w:tcPr>
          <w:p w:rsidR="00FD339F">
            <w:pPr>
              <w:jc w:val="center"/>
              <w:rPr>
                <w:rFonts w:ascii="宋体" w:hAnsi="宋体"/>
                <w:sz w:val="18"/>
                <w:szCs w:val="18"/>
              </w:rPr>
            </w:pPr>
            <w:r>
              <w:rPr>
                <w:rFonts w:ascii="宋体" w:hAnsi="宋体" w:hint="eastAsia"/>
                <w:sz w:val="18"/>
                <w:szCs w:val="18"/>
              </w:rPr>
              <w:t>四</w:t>
            </w:r>
          </w:p>
        </w:tc>
        <w:tc>
          <w:tcPr>
            <w:tcW w:w="7347" w:type="dxa"/>
            <w:vAlign w:val="center"/>
          </w:tcPr>
          <w:p w:rsidR="00490317" w:rsidP="00490317">
            <w:pPr>
              <w:spacing w:line="560" w:lineRule="exact"/>
              <w:ind w:firstLine="560" w:firstLineChars="200"/>
              <w:rPr>
                <w:rFonts w:ascii="仿宋" w:eastAsia="仿宋" w:hAnsi="仿宋" w:cs="仿宋"/>
                <w:sz w:val="28"/>
              </w:rPr>
            </w:pPr>
            <w:r>
              <w:rPr>
                <w:rFonts w:ascii="仿宋" w:eastAsia="仿宋" w:hAnsi="仿宋" w:cs="仿宋" w:hint="eastAsia"/>
                <w:sz w:val="28"/>
              </w:rPr>
              <w:t>质保期：黑碳仪质保期8年*，从双方签署现场安装测试报告之日起开始计算质保期。</w:t>
            </w:r>
          </w:p>
          <w:p w:rsidR="00FD339F" w:rsidRPr="00490317">
            <w:pPr>
              <w:tabs>
                <w:tab w:val="left" w:pos="709"/>
              </w:tabs>
              <w:spacing w:line="360" w:lineRule="auto"/>
              <w:jc w:val="left"/>
              <w:rPr>
                <w:rFonts w:ascii="宋体" w:hAnsi="宋体"/>
                <w:sz w:val="18"/>
                <w:szCs w:val="18"/>
              </w:rPr>
            </w:pPr>
          </w:p>
        </w:tc>
      </w:tr>
    </w:tbl>
    <w:p w:rsidR="00FD339F">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FD339F">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yellow"/>
          <w:u w:val="single"/>
        </w:rPr>
      </w:pPr>
      <w:r>
        <w:rPr>
          <w:rFonts w:ascii="Wingdings" w:hAnsi="Wingdings"/>
          <w:szCs w:val="21"/>
          <w:highlight w:val="yellow"/>
        </w:rPr>
        <w:sym w:font="Wingdings" w:char="F0A8"/>
      </w:r>
      <w:r>
        <w:rPr>
          <w:rFonts w:ascii="宋体" w:hAnsi="宋体" w:hint="eastAsia"/>
          <w:szCs w:val="21"/>
          <w:highlight w:val="yellow"/>
        </w:rPr>
        <w:t>分期付款：</w:t>
      </w:r>
      <w:r>
        <w:rPr>
          <w:rFonts w:ascii="宋体" w:hAnsi="宋体" w:hint="eastAsia"/>
          <w:szCs w:val="21"/>
          <w:highlight w:val="yellow"/>
          <w:u w:val="single"/>
        </w:rPr>
        <w:t xml:space="preserve">  1、合同总金额为人民币</w:t>
      </w:r>
      <w:r>
        <w:rPr>
          <w:rFonts w:ascii="宋体" w:hAnsi="宋体" w:hint="eastAsia"/>
          <w:szCs w:val="21"/>
          <w:highlight w:val="yellow"/>
          <w:u w:val="single"/>
          <w:lang w:val="en-US" w:eastAsia="zh-CN"/>
        </w:rPr>
        <w:t>XXXX</w:t>
      </w:r>
      <w:r>
        <w:rPr>
          <w:rFonts w:ascii="宋体" w:hAnsi="宋体" w:hint="eastAsia"/>
          <w:szCs w:val="21"/>
          <w:highlight w:val="yellow"/>
          <w:u w:val="single"/>
        </w:rPr>
        <w:t>元(大写)</w:t>
      </w:r>
      <w:r>
        <w:rPr>
          <w:rFonts w:ascii="宋体" w:hAnsi="宋体" w:hint="eastAsia"/>
          <w:szCs w:val="21"/>
          <w:highlight w:val="yellow"/>
          <w:u w:val="single"/>
          <w:lang w:val="en-US" w:eastAsia="zh-CN"/>
        </w:rPr>
        <w:t>XXXX</w:t>
      </w:r>
      <w:r>
        <w:rPr>
          <w:rFonts w:ascii="宋体" w:hAnsi="宋体" w:hint="eastAsia"/>
          <w:szCs w:val="21"/>
          <w:highlight w:val="yellow"/>
          <w:u w:val="single"/>
        </w:rPr>
        <w:t>元(小写)。</w:t>
      </w:r>
    </w:p>
    <w:p>
      <w:pPr>
        <w:snapToGrid w:val="0"/>
        <w:spacing w:line="400" w:lineRule="exact"/>
        <w:ind w:firstLine="630" w:firstLineChars="300"/>
        <w:rPr>
          <w:rFonts w:ascii="宋体" w:hAnsi="宋体" w:hint="eastAsia"/>
          <w:szCs w:val="21"/>
          <w:highlight w:val="yellow"/>
          <w:u w:val="single"/>
        </w:rPr>
      </w:pPr>
      <w:r>
        <w:rPr>
          <w:rFonts w:ascii="宋体" w:hAnsi="宋体" w:hint="eastAsia"/>
          <w:szCs w:val="21"/>
          <w:highlight w:val="yellow"/>
          <w:u w:val="single"/>
        </w:rPr>
        <w:t>2、合同生效后付款:双方签署合同后7个工作日内，甲方向乙方支付合同总金额的 90%,即人民币</w:t>
      </w:r>
      <w:r>
        <w:rPr>
          <w:rFonts w:ascii="宋体" w:hAnsi="宋体" w:hint="eastAsia"/>
          <w:szCs w:val="21"/>
          <w:highlight w:val="yellow"/>
          <w:u w:val="single"/>
          <w:lang w:val="en-US" w:eastAsia="zh-CN"/>
        </w:rPr>
        <w:t>XXXX</w:t>
      </w:r>
      <w:r>
        <w:rPr>
          <w:rFonts w:ascii="宋体" w:hAnsi="宋体" w:hint="eastAsia"/>
          <w:szCs w:val="21"/>
          <w:highlight w:val="yellow"/>
          <w:u w:val="single"/>
        </w:rPr>
        <w:t>元(大写):</w:t>
      </w:r>
      <w:r>
        <w:rPr>
          <w:rFonts w:ascii="宋体" w:hAnsi="宋体" w:hint="eastAsia"/>
          <w:szCs w:val="21"/>
          <w:highlight w:val="yellow"/>
          <w:u w:val="single"/>
          <w:lang w:val="en-US" w:eastAsia="zh-CN"/>
        </w:rPr>
        <w:t>XXXX</w:t>
      </w:r>
      <w:r>
        <w:rPr>
          <w:rFonts w:ascii="宋体" w:hAnsi="宋体" w:hint="eastAsia"/>
          <w:szCs w:val="21"/>
          <w:highlight w:val="yellow"/>
          <w:u w:val="single"/>
        </w:rPr>
        <w:t>元(小写):</w:t>
      </w:r>
    </w:p>
    <w:p>
      <w:pPr>
        <w:snapToGrid w:val="0"/>
        <w:spacing w:line="400" w:lineRule="exact"/>
        <w:ind w:firstLine="630" w:firstLineChars="300"/>
        <w:rPr>
          <w:rFonts w:ascii="宋体" w:hAnsi="宋体" w:hint="eastAsia"/>
          <w:szCs w:val="21"/>
          <w:highlight w:val="yellow"/>
          <w:u w:val="single"/>
        </w:rPr>
      </w:pPr>
      <w:r>
        <w:rPr>
          <w:rFonts w:ascii="宋体" w:hAnsi="宋体" w:hint="eastAsia"/>
          <w:szCs w:val="21"/>
          <w:highlight w:val="yellow"/>
          <w:u w:val="single"/>
        </w:rPr>
        <w:t>3、履约保函:乙方向甲方出具合同总金额 10%的履约保函，即人民币</w:t>
      </w:r>
      <w:r>
        <w:rPr>
          <w:rFonts w:ascii="宋体" w:hAnsi="宋体" w:hint="eastAsia"/>
          <w:szCs w:val="21"/>
          <w:highlight w:val="yellow"/>
          <w:u w:val="single"/>
          <w:lang w:val="en-US" w:eastAsia="zh-CN"/>
        </w:rPr>
        <w:t>XXXX</w:t>
      </w:r>
      <w:r>
        <w:rPr>
          <w:rFonts w:ascii="宋体" w:hAnsi="宋体" w:hint="eastAsia"/>
          <w:szCs w:val="21"/>
          <w:highlight w:val="yellow"/>
          <w:u w:val="single"/>
        </w:rPr>
        <w:t>元(大写):</w:t>
      </w:r>
      <w:r>
        <w:rPr>
          <w:rFonts w:ascii="宋体" w:hAnsi="宋体" w:hint="eastAsia"/>
          <w:szCs w:val="21"/>
          <w:highlight w:val="yellow"/>
          <w:u w:val="single"/>
          <w:lang w:val="en-US" w:eastAsia="zh-CN"/>
        </w:rPr>
        <w:t>XXXX</w:t>
      </w:r>
      <w:r>
        <w:rPr>
          <w:rFonts w:ascii="宋体" w:hAnsi="宋体" w:hint="eastAsia"/>
          <w:szCs w:val="21"/>
          <w:highlight w:val="yellow"/>
          <w:u w:val="single"/>
        </w:rPr>
        <w:t>元(小写)。甲方收到履约保函后 3个工作日内，向乙方支付合同总金额的 10%,即人民币</w:t>
      </w:r>
      <w:r>
        <w:rPr>
          <w:rFonts w:ascii="宋体" w:hAnsi="宋体" w:hint="eastAsia"/>
          <w:szCs w:val="21"/>
          <w:highlight w:val="yellow"/>
          <w:u w:val="single"/>
          <w:lang w:val="en-US" w:eastAsia="zh-CN"/>
        </w:rPr>
        <w:t>XXXX</w:t>
      </w:r>
      <w:r>
        <w:rPr>
          <w:rFonts w:ascii="宋体" w:hAnsi="宋体" w:hint="eastAsia"/>
          <w:szCs w:val="21"/>
          <w:highlight w:val="yellow"/>
          <w:u w:val="single"/>
        </w:rPr>
        <w:t>元(大写):</w:t>
      </w:r>
      <w:r>
        <w:rPr>
          <w:rFonts w:ascii="宋体" w:hAnsi="宋体" w:hint="eastAsia"/>
          <w:szCs w:val="21"/>
          <w:highlight w:val="yellow"/>
          <w:u w:val="single"/>
          <w:lang w:val="en-US" w:eastAsia="zh-CN"/>
        </w:rPr>
        <w:t>XXXX</w:t>
      </w:r>
      <w:r>
        <w:rPr>
          <w:rFonts w:ascii="宋体" w:hAnsi="宋体" w:hint="eastAsia"/>
          <w:szCs w:val="21"/>
          <w:highlight w:val="yellow"/>
          <w:u w:val="single"/>
        </w:rPr>
        <w:t>元(小写)。双方签署合同验收报告后7个工作内，甲方退还乙方履约保函。乙方要做到验收前，履约保函续保连续不间断，直至项目整体竣工验收。</w:t>
      </w:r>
    </w:p>
    <w:p>
      <w:pPr>
        <w:snapToGrid w:val="0"/>
        <w:spacing w:line="400" w:lineRule="exact"/>
        <w:ind w:firstLine="630" w:firstLineChars="300"/>
        <w:rPr>
          <w:highlight w:val="none"/>
        </w:rPr>
      </w:pPr>
      <w:r>
        <w:rPr>
          <w:rFonts w:ascii="宋体" w:hAnsi="宋体" w:hint="eastAsia"/>
          <w:szCs w:val="21"/>
          <w:highlight w:val="yellow"/>
          <w:u w:val="single"/>
        </w:rPr>
        <w:t xml:space="preserve">4、乙方每次收款后7个工作日内向甲方出具符合国家财税规定的等额13%税率增值税普通发票。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7"/>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altName w:val="微软雅黑"/>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20B0604020202020204"/>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200247B" w:usb2="00000009" w:usb3="00000000" w:csb0="000001FF" w:csb1="00000000"/>
  </w:font>
  <w:font w:name="Noto Sans Syriac Eastern">
    <w:panose1 w:val="02040503050306020203"/>
    <w:charset w:val="86"/>
    <w:family w:val="auto"/>
    <w:pitch w:val="default"/>
    <w:sig w:usb0="00000000" w:usb1="00000000" w:usb2="00000080" w:usb3="00000000" w:csb0="203E0161" w:csb1="D7FF0000"/>
  </w:font>
  <w:font w:name="DejaVu Sans">
    <w:panose1 w:val="020B0603030804020204"/>
    <w:charset w:val="00"/>
    <w:family w:val="auto"/>
    <w:pitch w:val="default"/>
    <w:sig w:usb0="E7006EFF" w:usb1="D200FDFF" w:usb2="0A246029" w:usb3="0400200C" w:csb0="600001FF" w:csb1="DFFF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32D801A"/>
    <w:multiLevelType w:val="singleLevel"/>
    <w:tmpl w:val="132D801A"/>
    <w:lvl w:ilvl="0">
      <w:start w:val="1"/>
      <w:numFmt w:val="decimal"/>
      <w:suff w:val="nothing"/>
      <w:lvlText w:val="（%1）"/>
      <w:lvlJc w:val="left"/>
    </w:lvl>
  </w:abstractNum>
  <w:abstractNum w:abstractNumId="10">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5">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0"/>
  </w:num>
  <w:num w:numId="5">
    <w:abstractNumId w:val="9"/>
  </w:num>
  <w:num w:numId="6">
    <w:abstractNumId w:val="14"/>
  </w:num>
  <w:num w:numId="7">
    <w:abstractNumId w:val="13"/>
  </w:num>
  <w:num w:numId="8">
    <w:abstractNumId w:val="15"/>
  </w:num>
  <w:num w:numId="9">
    <w:abstractNumId w:val="1"/>
  </w:num>
  <w:num w:numId="10">
    <w:abstractNumId w:val="5"/>
  </w:num>
  <w:num w:numId="11">
    <w:abstractNumId w:val="3"/>
  </w:num>
  <w:num w:numId="12">
    <w:abstractNumId w:val="2"/>
  </w:num>
  <w:num w:numId="13">
    <w:abstractNumId w:val="12"/>
  </w:num>
  <w:num w:numId="14">
    <w:abstractNumId w:val="0"/>
  </w:num>
  <w:num w:numId="15">
    <w:abstractNumId w:val="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2AD"/>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0317"/>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4623"/>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1C2"/>
    <w:rsid w:val="00FD065B"/>
    <w:rsid w:val="00FD0EF2"/>
    <w:rsid w:val="00FD0FCE"/>
    <w:rsid w:val="00FD13AB"/>
    <w:rsid w:val="00FD152E"/>
    <w:rsid w:val="00FD1DC8"/>
    <w:rsid w:val="00FD339F"/>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2">
    <w:name w:val="List Paragraph2"/>
    <w:basedOn w:val="Normal"/>
    <w:qFormat/>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