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华北区域人工影响天气能力建设项目（内蒙古）—人工增减雨雪试验示范基地建设移动式毫米波测云雷达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华北区域人工影响天气能力建设项目（内蒙古）—人工增减雨雪试验示范基地建设移动式毫米波测云雷达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呼和浩特市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2026年06月22日 00:00:00</w:t>
      </w:r>
      <w:bookmarkEnd w:id="26"/>
      <w:r>
        <w:rPr>
          <w:rFonts w:ascii="宋体" w:hint="eastAsia"/>
          <w:szCs w:val="21"/>
          <w:highlight w:val="none"/>
        </w:rPr>
        <w:t>至</w:t>
      </w:r>
      <w:bookmarkStart w:id="27" w:name="项目公告_signUpLastTime"/>
      <w:r>
        <w:rPr>
          <w:rFonts w:ascii="宋体" w:hint="eastAsia"/>
          <w:szCs w:val="21"/>
          <w:highlight w:val="none"/>
        </w:rPr>
        <w:t>2026年06月30日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史金丽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0471-3335244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设有，核心产品为毫米波测云雷达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必须，以下产品需要提供至投标截止日仍有效的《气象专用技术装备使用许可证》：全固态Ka波段双偏振云雷达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（（1）标的：移动式毫米波测云雷达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302.000000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302.000000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销售合同必须包括毫米波测云雷达，每提供1份合同得1分，最多得5分。否则不得分。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 xml:space="preserve">四档：质保方案能按照招标文件的要求进行响应，详细具体，针对性强，与项目实际情况相契合，完全满足采购文件的需求。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针对本项目采购的毫米波测云雷达，承诺每提前30天交货的得1分，最多得1分。否则不得分。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针对毫米波测云雷达设备，每提供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需提供技术文档。响应且满足招标文件第六章详细技术指标要求，标注#的重要指标需提供第三方出具的并加盖投标人公章的测试报告作为证明材料。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针对毫米波测云雷达设备，测试报告应涵盖电磁抗扰度、气候条件（必须包括温度、湿度、抗阵风、降水强度、抗盐雾腐蚀）等内容，每包含一项得1分，最多得2分。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本次招标内容为华北区域人工影响天气能力建设项目（内蒙古）—</w:t>
      </w:r>
      <w:r>
        <w:rPr>
          <w:rFonts w:ascii="宋体" w:hAnsi="宋体" w:cs="Times New Roman" w:hint="eastAsia"/>
          <w:szCs w:val="21"/>
        </w:rPr>
        <w:t>人工增减雨雪试验示范基地</w:t>
      </w:r>
      <w:r>
        <w:rPr>
          <w:rFonts w:ascii="宋体" w:hAnsi="宋体" w:hint="eastAsia"/>
          <w:szCs w:val="21"/>
        </w:rPr>
        <w:t>，采购一套移动式毫米波测云雷达设备，预算为302万元。</w:t>
      </w:r>
    </w:p>
    <w:p>
      <w:pPr>
        <w:spacing w:line="360" w:lineRule="auto"/>
        <w:jc w:val="center"/>
        <w:rPr>
          <w:rFonts w:ascii="宋体" w:hAnsi="宋体"/>
          <w:szCs w:val="21"/>
        </w:rPr>
      </w:pPr>
      <w:r>
        <w:rPr>
          <w:rFonts w:ascii="宋体" w:hAnsi="宋体" w:hint="eastAsia"/>
          <w:szCs w:val="21"/>
        </w:rPr>
        <w:t>设备需求一览表</w:t>
      </w:r>
    </w:p>
    <w:tbl>
      <w:tblPr>
        <w:tblStyle w:val="TableNormal"/>
        <w:tblW w:w="0" w:type="auto"/>
        <w:tblInd w:w="102" w:type="dxa"/>
        <w:tblLayout w:type="fixed"/>
        <w:tblCellMar>
          <w:top w:w="0" w:type="dxa"/>
          <w:left w:w="0" w:type="dxa"/>
          <w:bottom w:w="0" w:type="dxa"/>
          <w:right w:w="0" w:type="dxa"/>
        </w:tblCellMar>
      </w:tblPr>
      <w:tblGrid>
        <w:gridCol w:w="718"/>
        <w:gridCol w:w="1570"/>
        <w:gridCol w:w="2140"/>
        <w:gridCol w:w="1212"/>
        <w:gridCol w:w="1050"/>
        <w:gridCol w:w="998"/>
        <w:gridCol w:w="836"/>
      </w:tblGrid>
      <w:tr>
        <w:tblPrEx>
          <w:tblW w:w="0" w:type="auto"/>
          <w:tblInd w:w="102" w:type="dxa"/>
          <w:tblLayout w:type="fixed"/>
          <w:tblCellMar>
            <w:top w:w="0" w:type="dxa"/>
            <w:left w:w="0" w:type="dxa"/>
            <w:bottom w:w="0" w:type="dxa"/>
            <w:right w:w="0" w:type="dxa"/>
          </w:tblCellMar>
        </w:tblPrEx>
        <w:trPr>
          <w:trHeight w:hRule="exact" w:val="691"/>
        </w:trPr>
        <w:tc>
          <w:tcPr>
            <w:tcW w:w="71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hAnsi="宋体" w:cs="宋体"/>
                <w:kern w:val="0"/>
                <w:szCs w:val="21"/>
              </w:rPr>
            </w:pPr>
            <w:r>
              <w:rPr>
                <w:rFonts w:ascii="宋体" w:eastAsia="宋体" w:hAnsi="宋体" w:cs="宋体" w:hint="eastAsia"/>
                <w:kern w:val="0"/>
                <w:szCs w:val="21"/>
              </w:rPr>
              <w:t>序号</w:t>
            </w:r>
          </w:p>
        </w:tc>
        <w:tc>
          <w:tcPr>
            <w:tcW w:w="157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hAnsi="宋体" w:cs="宋体"/>
                <w:kern w:val="0"/>
                <w:szCs w:val="21"/>
              </w:rPr>
            </w:pPr>
            <w:r>
              <w:rPr>
                <w:rFonts w:ascii="宋体" w:eastAsia="宋体" w:hAnsi="宋体" w:cs="宋体" w:hint="eastAsia"/>
                <w:kern w:val="0"/>
                <w:szCs w:val="21"/>
              </w:rPr>
              <w:t>设备</w:t>
            </w:r>
            <w:r>
              <w:rPr>
                <w:rFonts w:ascii="宋体" w:eastAsia="宋体" w:hAnsi="宋体" w:cs="宋体" w:hint="eastAsia"/>
                <w:spacing w:val="-2"/>
                <w:kern w:val="0"/>
                <w:szCs w:val="21"/>
              </w:rPr>
              <w:t>名</w:t>
            </w:r>
            <w:r>
              <w:rPr>
                <w:rFonts w:ascii="宋体" w:eastAsia="宋体" w:hAnsi="宋体" w:cs="宋体" w:hint="eastAsia"/>
                <w:kern w:val="0"/>
                <w:szCs w:val="21"/>
              </w:rPr>
              <w:t>称</w:t>
            </w:r>
          </w:p>
        </w:tc>
        <w:tc>
          <w:tcPr>
            <w:tcW w:w="214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hAnsi="宋体" w:cs="宋体"/>
                <w:kern w:val="0"/>
                <w:szCs w:val="21"/>
              </w:rPr>
            </w:pPr>
            <w:r>
              <w:rPr>
                <w:rFonts w:ascii="宋体" w:eastAsia="宋体" w:hAnsi="宋体" w:cs="宋体" w:hint="eastAsia"/>
                <w:kern w:val="0"/>
                <w:szCs w:val="21"/>
              </w:rPr>
              <w:t>规格</w:t>
            </w:r>
          </w:p>
        </w:tc>
        <w:tc>
          <w:tcPr>
            <w:tcW w:w="121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left="177" w:right="-20"/>
              <w:rPr>
                <w:rFonts w:ascii="宋体" w:hAnsi="宋体" w:cs="宋体"/>
                <w:kern w:val="0"/>
                <w:szCs w:val="21"/>
              </w:rPr>
            </w:pPr>
            <w:r>
              <w:rPr>
                <w:rFonts w:ascii="宋体" w:eastAsia="宋体" w:hAnsi="宋体" w:cs="宋体" w:hint="eastAsia"/>
                <w:kern w:val="0"/>
                <w:szCs w:val="21"/>
              </w:rPr>
              <w:t>数量</w:t>
            </w:r>
            <w:r>
              <w:rPr>
                <w:rFonts w:ascii="宋体" w:eastAsia="宋体" w:hAnsi="宋体" w:cs="宋体" w:hint="eastAsia"/>
                <w:spacing w:val="-2"/>
                <w:kern w:val="0"/>
                <w:szCs w:val="21"/>
              </w:rPr>
              <w:t>及</w:t>
            </w:r>
            <w:r>
              <w:rPr>
                <w:rFonts w:ascii="宋体" w:eastAsia="宋体" w:hAnsi="宋体" w:cs="宋体" w:hint="eastAsia"/>
                <w:kern w:val="0"/>
                <w:szCs w:val="21"/>
              </w:rPr>
              <w:t>单位</w:t>
            </w:r>
          </w:p>
        </w:tc>
        <w:tc>
          <w:tcPr>
            <w:tcW w:w="10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firstLine="210" w:firstLineChars="100"/>
              <w:rPr>
                <w:rFonts w:ascii="宋体" w:hAnsi="宋体" w:cs="宋体"/>
                <w:kern w:val="0"/>
                <w:szCs w:val="21"/>
              </w:rPr>
            </w:pPr>
            <w:r>
              <w:rPr>
                <w:rFonts w:ascii="宋体" w:eastAsia="宋体" w:hAnsi="宋体" w:cs="宋体" w:hint="eastAsia"/>
                <w:kern w:val="0"/>
                <w:szCs w:val="21"/>
              </w:rPr>
              <w:t>交货期</w:t>
            </w:r>
          </w:p>
        </w:tc>
        <w:tc>
          <w:tcPr>
            <w:tcW w:w="99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rPr>
                <w:rFonts w:ascii="宋体" w:hAnsi="宋体" w:cs="宋体"/>
                <w:kern w:val="0"/>
                <w:szCs w:val="21"/>
              </w:rPr>
            </w:pPr>
            <w:r>
              <w:rPr>
                <w:rFonts w:ascii="宋体" w:eastAsia="宋体" w:hAnsi="宋体" w:cs="宋体" w:hint="eastAsia"/>
                <w:kern w:val="0"/>
                <w:szCs w:val="21"/>
              </w:rPr>
              <w:t>交货</w:t>
            </w:r>
            <w:r>
              <w:rPr>
                <w:rFonts w:ascii="宋体" w:eastAsia="宋体" w:hAnsi="宋体" w:cs="宋体" w:hint="eastAsia"/>
                <w:spacing w:val="-2"/>
                <w:kern w:val="0"/>
                <w:szCs w:val="21"/>
              </w:rPr>
              <w:t>地</w:t>
            </w:r>
            <w:r>
              <w:rPr>
                <w:rFonts w:ascii="宋体" w:eastAsia="宋体" w:hAnsi="宋体" w:cs="宋体" w:hint="eastAsia"/>
                <w:kern w:val="0"/>
                <w:szCs w:val="21"/>
              </w:rPr>
              <w:t>点</w:t>
            </w:r>
          </w:p>
        </w:tc>
        <w:tc>
          <w:tcPr>
            <w:tcW w:w="836"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6" w:line="150" w:lineRule="exact"/>
              <w:jc w:val="center"/>
              <w:rPr>
                <w:rFonts w:ascii="宋体" w:hAnsi="宋体" w:cs="宋体"/>
                <w:kern w:val="0"/>
                <w:szCs w:val="21"/>
              </w:rPr>
            </w:pPr>
          </w:p>
          <w:p>
            <w:pPr>
              <w:autoSpaceDE w:val="0"/>
              <w:autoSpaceDN w:val="0"/>
              <w:adjustRightInd w:val="0"/>
              <w:ind w:left="306" w:right="-20"/>
              <w:jc w:val="center"/>
              <w:rPr>
                <w:rFonts w:ascii="宋体" w:hAnsi="宋体" w:cs="宋体"/>
                <w:kern w:val="0"/>
                <w:szCs w:val="21"/>
              </w:rPr>
            </w:pPr>
            <w:r>
              <w:rPr>
                <w:rFonts w:ascii="宋体" w:hAnsi="宋体" w:cs="宋体" w:hint="eastAsia"/>
                <w:kern w:val="0"/>
                <w:szCs w:val="21"/>
              </w:rPr>
              <w:t>备注</w:t>
            </w:r>
          </w:p>
        </w:tc>
      </w:tr>
      <w:tr>
        <w:tblPrEx>
          <w:tblW w:w="0" w:type="auto"/>
          <w:tblInd w:w="102" w:type="dxa"/>
          <w:tblLayout w:type="fixed"/>
          <w:tblCellMar>
            <w:top w:w="0" w:type="dxa"/>
            <w:left w:w="0" w:type="dxa"/>
            <w:bottom w:w="0" w:type="dxa"/>
            <w:right w:w="0" w:type="dxa"/>
          </w:tblCellMar>
        </w:tblPrEx>
        <w:trPr>
          <w:trHeight w:hRule="exact" w:val="1031"/>
        </w:trPr>
        <w:tc>
          <w:tcPr>
            <w:tcW w:w="71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jc w:val="center"/>
              <w:rPr>
                <w:kern w:val="0"/>
                <w:szCs w:val="21"/>
              </w:rPr>
            </w:pPr>
            <w:r>
              <w:rPr>
                <w:kern w:val="0"/>
                <w:szCs w:val="21"/>
              </w:rPr>
              <w:t>1</w:t>
            </w:r>
          </w:p>
        </w:tc>
        <w:tc>
          <w:tcPr>
            <w:tcW w:w="1570"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cs="宋体"/>
                <w:kern w:val="0"/>
                <w:szCs w:val="21"/>
              </w:rPr>
            </w:pPr>
            <w:r>
              <w:rPr>
                <w:rFonts w:ascii="宋体" w:hAnsi="宋体" w:cs="宋体" w:hint="eastAsia"/>
                <w:szCs w:val="21"/>
              </w:rPr>
              <w:t>移动式毫米波测云雷达</w:t>
            </w:r>
          </w:p>
        </w:tc>
        <w:tc>
          <w:tcPr>
            <w:tcW w:w="2140" w:type="dxa"/>
            <w:tcBorders>
              <w:top w:val="single" w:sz="4" w:space="0" w:color="000000"/>
              <w:left w:val="single" w:sz="4" w:space="0" w:color="000000"/>
              <w:bottom w:val="single" w:sz="4" w:space="0" w:color="000000"/>
              <w:right w:val="single" w:sz="4" w:space="0" w:color="000000"/>
            </w:tcBorders>
            <w:vAlign w:val="center"/>
          </w:tcPr>
          <w:p>
            <w:pPr>
              <w:wordWrap w:val="0"/>
              <w:autoSpaceDE w:val="0"/>
              <w:autoSpaceDN w:val="0"/>
              <w:adjustRightInd w:val="0"/>
              <w:jc w:val="center"/>
              <w:rPr>
                <w:kern w:val="0"/>
                <w:szCs w:val="21"/>
              </w:rPr>
            </w:pPr>
            <w:r>
              <w:rPr>
                <w:rFonts w:hint="eastAsia"/>
                <w:kern w:val="0"/>
                <w:szCs w:val="21"/>
              </w:rPr>
              <w:t>详见技术性能指标</w:t>
            </w:r>
          </w:p>
        </w:tc>
        <w:tc>
          <w:tcPr>
            <w:tcW w:w="121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r>
              <w:rPr>
                <w:rFonts w:hint="eastAsia"/>
                <w:kern w:val="0"/>
                <w:szCs w:val="21"/>
              </w:rPr>
              <w:t>1台</w:t>
            </w:r>
          </w:p>
        </w:tc>
        <w:tc>
          <w:tcPr>
            <w:tcW w:w="1050"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r>
              <w:rPr>
                <w:rFonts w:hint="eastAsia"/>
                <w:kern w:val="0"/>
                <w:szCs w:val="21"/>
              </w:rPr>
              <w:t>按照合同实际签订执行</w:t>
            </w:r>
          </w:p>
        </w:tc>
        <w:tc>
          <w:tcPr>
            <w:tcW w:w="99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r>
              <w:rPr>
                <w:rFonts w:hint="eastAsia"/>
                <w:kern w:val="0"/>
                <w:szCs w:val="21"/>
              </w:rPr>
              <w:t>内蒙古呼和浩特</w:t>
            </w:r>
          </w:p>
        </w:tc>
        <w:tc>
          <w:tcPr>
            <w:tcW w:w="83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二、付款方式</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5 %的银行履约保函，设备验收合格后，甲方将银行履约保函退还乙方。</w:t>
      </w:r>
    </w:p>
    <w:p>
      <w:pPr>
        <w:spacing w:line="360" w:lineRule="auto"/>
        <w:ind w:firstLine="420" w:firstLineChars="200"/>
        <w:rPr>
          <w:rFonts w:ascii="宋体" w:eastAsia="宋体" w:hAnsi="宋体" w:cs="Times New Roman"/>
          <w:szCs w:val="21"/>
        </w:rPr>
      </w:pPr>
      <w:r>
        <w:rPr>
          <w:rFonts w:ascii="宋体" w:hAnsi="宋体" w:hint="eastAsia"/>
          <w:szCs w:val="21"/>
        </w:rPr>
        <w:t>2.合同签订后30日内甲方向乙方支付合同总金额的30%；设备出厂验收合格后30日内向乙方支付合同总金额的30%；设备安装调试完毕，现场验收合格30日内支付合同总金额的30%；</w:t>
      </w:r>
      <w:r>
        <w:rPr>
          <w:rFonts w:ascii="宋体" w:eastAsia="宋体" w:hAnsi="宋体" w:cs="Times New Roman" w:hint="eastAsia"/>
          <w:szCs w:val="21"/>
        </w:rPr>
        <w:t>合同验收通过后支付</w:t>
      </w:r>
      <w:r>
        <w:rPr>
          <w:rFonts w:ascii="宋体" w:hAnsi="宋体" w:hint="eastAsia"/>
          <w:szCs w:val="21"/>
        </w:rPr>
        <w:t>合同总金额的</w:t>
      </w:r>
      <w:r>
        <w:rPr>
          <w:rFonts w:ascii="宋体" w:eastAsia="宋体" w:hAnsi="宋体" w:cs="Times New Roman" w:hint="eastAsia"/>
          <w:szCs w:val="21"/>
        </w:rPr>
        <w:t>10%。</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rPr>
          <w:rFonts w:ascii="宋体" w:hAnsi="宋体"/>
          <w:szCs w:val="21"/>
        </w:rPr>
      </w:pPr>
    </w:p>
    <w:p>
      <w:pPr>
        <w:spacing w:line="360" w:lineRule="auto"/>
        <w:ind w:firstLine="420" w:firstLineChars="200"/>
        <w:jc w:val="center"/>
        <w:rPr>
          <w:rFonts w:ascii="宋体" w:hAnsi="宋体"/>
          <w:szCs w:val="21"/>
        </w:rPr>
      </w:pPr>
      <w:r>
        <w:rPr>
          <w:rFonts w:ascii="宋体" w:hAnsi="宋体" w:hint="eastAsia"/>
          <w:szCs w:val="21"/>
        </w:rPr>
        <w:t>移动式毫米波测云雷达主要设备组成表</w:t>
      </w:r>
    </w:p>
    <w:tbl>
      <w:tblPr>
        <w:tblStyle w:val="TableNormal"/>
        <w:tblW w:w="46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924"/>
        <w:gridCol w:w="1466"/>
        <w:gridCol w:w="1084"/>
        <w:gridCol w:w="4917"/>
      </w:tblGrid>
      <w:tr>
        <w:tblPrEx>
          <w:tblW w:w="46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75"/>
          <w:jc w:val="center"/>
        </w:trPr>
        <w:tc>
          <w:tcPr>
            <w:tcW w:w="924" w:type="dxa"/>
            <w:vAlign w:val="center"/>
          </w:tcPr>
          <w:p>
            <w:pPr>
              <w:jc w:val="center"/>
              <w:rPr>
                <w:b/>
                <w:sz w:val="20"/>
              </w:rPr>
            </w:pPr>
            <w:r>
              <w:rPr>
                <w:b/>
                <w:sz w:val="20"/>
              </w:rPr>
              <w:t>序号</w:t>
            </w:r>
          </w:p>
        </w:tc>
        <w:tc>
          <w:tcPr>
            <w:tcW w:w="1466" w:type="dxa"/>
            <w:vAlign w:val="center"/>
          </w:tcPr>
          <w:p>
            <w:pPr>
              <w:jc w:val="center"/>
              <w:rPr>
                <w:b/>
                <w:sz w:val="20"/>
              </w:rPr>
            </w:pPr>
            <w:r>
              <w:rPr>
                <w:b/>
                <w:sz w:val="20"/>
              </w:rPr>
              <w:t>设备名称</w:t>
            </w:r>
          </w:p>
        </w:tc>
        <w:tc>
          <w:tcPr>
            <w:tcW w:w="1084" w:type="dxa"/>
            <w:vAlign w:val="center"/>
          </w:tcPr>
          <w:p>
            <w:pPr>
              <w:jc w:val="center"/>
              <w:rPr>
                <w:b/>
                <w:sz w:val="20"/>
              </w:rPr>
            </w:pPr>
            <w:r>
              <w:rPr>
                <w:b/>
                <w:sz w:val="20"/>
              </w:rPr>
              <w:t>数量</w:t>
            </w:r>
          </w:p>
        </w:tc>
        <w:tc>
          <w:tcPr>
            <w:tcW w:w="4918" w:type="dxa"/>
            <w:vAlign w:val="center"/>
          </w:tcPr>
          <w:p>
            <w:pPr>
              <w:jc w:val="center"/>
              <w:rPr>
                <w:b/>
                <w:sz w:val="20"/>
              </w:rPr>
            </w:pPr>
            <w:r>
              <w:rPr>
                <w:b/>
                <w:sz w:val="20"/>
              </w:rPr>
              <w:t>备注</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1</w:t>
            </w:r>
          </w:p>
        </w:tc>
        <w:tc>
          <w:tcPr>
            <w:tcW w:w="1466" w:type="dxa"/>
            <w:vAlign w:val="center"/>
          </w:tcPr>
          <w:p>
            <w:pPr>
              <w:rPr>
                <w:sz w:val="20"/>
              </w:rPr>
            </w:pPr>
            <w:r>
              <w:rPr>
                <w:sz w:val="20"/>
              </w:rPr>
              <w:t>雷达系统</w:t>
            </w:r>
          </w:p>
        </w:tc>
        <w:tc>
          <w:tcPr>
            <w:tcW w:w="1084" w:type="dxa"/>
            <w:vAlign w:val="center"/>
          </w:tcPr>
          <w:p>
            <w:pPr>
              <w:rPr>
                <w:sz w:val="20"/>
              </w:rPr>
            </w:pPr>
            <w:r>
              <w:rPr>
                <w:sz w:val="20"/>
              </w:rPr>
              <w:t>1</w:t>
            </w:r>
          </w:p>
        </w:tc>
        <w:tc>
          <w:tcPr>
            <w:tcW w:w="4918" w:type="dxa"/>
            <w:vAlign w:val="center"/>
          </w:tcPr>
          <w:p>
            <w:pPr>
              <w:rPr>
                <w:sz w:val="20"/>
              </w:rPr>
            </w:pPr>
            <w:r>
              <w:rPr>
                <w:sz w:val="20"/>
              </w:rPr>
              <w:t>发射系统、接收系统、天馈系统、信号处理系统</w:t>
            </w:r>
            <w:r>
              <w:rPr>
                <w:rFonts w:hint="eastAsia"/>
                <w:sz w:val="20"/>
              </w:rPr>
              <w:t>等</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2</w:t>
            </w:r>
          </w:p>
        </w:tc>
        <w:tc>
          <w:tcPr>
            <w:tcW w:w="1466" w:type="dxa"/>
            <w:vAlign w:val="center"/>
          </w:tcPr>
          <w:p>
            <w:pPr>
              <w:rPr>
                <w:sz w:val="20"/>
              </w:rPr>
            </w:pPr>
            <w:r>
              <w:rPr>
                <w:sz w:val="20"/>
              </w:rPr>
              <w:t>方舱</w:t>
            </w:r>
          </w:p>
        </w:tc>
        <w:tc>
          <w:tcPr>
            <w:tcW w:w="1084" w:type="dxa"/>
            <w:vAlign w:val="center"/>
          </w:tcPr>
          <w:p>
            <w:pPr>
              <w:rPr>
                <w:sz w:val="20"/>
              </w:rPr>
            </w:pPr>
            <w:r>
              <w:rPr>
                <w:sz w:val="20"/>
              </w:rPr>
              <w:t>1</w:t>
            </w:r>
          </w:p>
        </w:tc>
        <w:tc>
          <w:tcPr>
            <w:tcW w:w="4918" w:type="dxa"/>
            <w:vAlign w:val="center"/>
          </w:tcPr>
          <w:p>
            <w:pPr>
              <w:rPr>
                <w:sz w:val="20"/>
              </w:rPr>
            </w:pPr>
            <w:r>
              <w:rPr>
                <w:sz w:val="20"/>
              </w:rPr>
              <w:t>含运输方舱和天线升降系统等</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3</w:t>
            </w:r>
          </w:p>
        </w:tc>
        <w:tc>
          <w:tcPr>
            <w:tcW w:w="1466" w:type="dxa"/>
            <w:vAlign w:val="center"/>
          </w:tcPr>
          <w:p>
            <w:pPr>
              <w:rPr>
                <w:sz w:val="20"/>
              </w:rPr>
            </w:pPr>
            <w:r>
              <w:rPr>
                <w:sz w:val="20"/>
              </w:rPr>
              <w:t>附属设备</w:t>
            </w:r>
          </w:p>
        </w:tc>
        <w:tc>
          <w:tcPr>
            <w:tcW w:w="1084" w:type="dxa"/>
            <w:vAlign w:val="center"/>
          </w:tcPr>
          <w:p>
            <w:pPr>
              <w:rPr>
                <w:sz w:val="20"/>
              </w:rPr>
            </w:pPr>
            <w:r>
              <w:rPr>
                <w:sz w:val="20"/>
              </w:rPr>
              <w:t>1</w:t>
            </w:r>
          </w:p>
        </w:tc>
        <w:tc>
          <w:tcPr>
            <w:tcW w:w="4918" w:type="dxa"/>
            <w:vAlign w:val="center"/>
          </w:tcPr>
          <w:p>
            <w:pPr>
              <w:rPr>
                <w:sz w:val="20"/>
              </w:rPr>
            </w:pPr>
            <w:r>
              <w:rPr>
                <w:sz w:val="20"/>
              </w:rPr>
              <w:t>含供电、通信、防雷等</w:t>
            </w:r>
          </w:p>
        </w:tc>
      </w:tr>
    </w:tbl>
    <w:p>
      <w:pPr>
        <w:spacing w:line="360" w:lineRule="auto"/>
        <w:ind w:firstLine="420" w:firstLineChars="200"/>
        <w:rPr>
          <w:rFonts w:ascii="宋体" w:hAnsi="宋体"/>
          <w:szCs w:val="21"/>
        </w:rPr>
      </w:pPr>
    </w:p>
    <w:p>
      <w:pPr>
        <w:pStyle w:val="Caption"/>
        <w:rPr>
          <w:rFonts w:ascii="宋体" w:eastAsia="宋体" w:hAnsi="宋体" w:cs="Times New Roman"/>
          <w:sz w:val="21"/>
          <w:szCs w:val="21"/>
        </w:rPr>
      </w:pPr>
      <w:r>
        <w:rPr>
          <w:rFonts w:ascii="宋体" w:eastAsia="宋体" w:hAnsi="宋体" w:cs="Times New Roman" w:hint="eastAsia"/>
          <w:sz w:val="21"/>
          <w:szCs w:val="21"/>
        </w:rPr>
        <w:t>移动式毫米波测云雷达技术性能指标表</w:t>
      </w:r>
    </w:p>
    <w:p>
      <w:pPr>
        <w:rPr>
          <w:rFonts w:ascii="宋体" w:eastAsia="宋体" w:hAnsi="宋体" w:cs="Times New Roman"/>
          <w:szCs w:val="21"/>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8"/>
        <w:gridCol w:w="2027"/>
        <w:gridCol w:w="12"/>
        <w:gridCol w:w="13"/>
        <w:gridCol w:w="487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454"/>
          <w:tblHeader/>
          <w:jc w:val="center"/>
        </w:trPr>
        <w:tc>
          <w:tcPr>
            <w:tcW w:w="3515" w:type="dxa"/>
            <w:gridSpan w:val="2"/>
            <w:vAlign w:val="center"/>
          </w:tcPr>
          <w:p>
            <w:pPr>
              <w:jc w:val="center"/>
              <w:rPr>
                <w:b/>
                <w:sz w:val="18"/>
                <w:szCs w:val="18"/>
              </w:rPr>
            </w:pPr>
            <w:r>
              <w:rPr>
                <w:b/>
                <w:sz w:val="18"/>
                <w:szCs w:val="18"/>
              </w:rPr>
              <w:t>指标名称</w:t>
            </w:r>
          </w:p>
        </w:tc>
        <w:tc>
          <w:tcPr>
            <w:tcW w:w="4895" w:type="dxa"/>
            <w:gridSpan w:val="3"/>
            <w:vAlign w:val="center"/>
          </w:tcPr>
          <w:p>
            <w:pPr>
              <w:jc w:val="center"/>
              <w:rPr>
                <w:b/>
                <w:sz w:val="18"/>
                <w:szCs w:val="18"/>
              </w:rPr>
            </w:pPr>
            <w:r>
              <w:rPr>
                <w:b/>
                <w:sz w:val="18"/>
                <w:szCs w:val="18"/>
              </w:rPr>
              <w:t>技术性能指标</w:t>
            </w:r>
          </w:p>
        </w:tc>
      </w:tr>
      <w:tr>
        <w:tblPrEx>
          <w:tblW w:w="0" w:type="auto"/>
          <w:jc w:val="center"/>
          <w:tblLayout w:type="fixed"/>
          <w:tblCellMar>
            <w:top w:w="0" w:type="dxa"/>
            <w:left w:w="108" w:type="dxa"/>
            <w:bottom w:w="0" w:type="dxa"/>
            <w:right w:w="108" w:type="dxa"/>
          </w:tblCellMar>
        </w:tblPrEx>
        <w:trPr>
          <w:trHeight w:hRule="exact" w:val="454"/>
          <w:jc w:val="center"/>
        </w:trPr>
        <w:tc>
          <w:tcPr>
            <w:tcW w:w="3515" w:type="dxa"/>
            <w:gridSpan w:val="2"/>
            <w:vAlign w:val="center"/>
          </w:tcPr>
          <w:p>
            <w:pPr>
              <w:rPr>
                <w:rFonts w:ascii="黑体" w:eastAsia="黑体" w:hAnsi="黑体" w:cs="黑体"/>
                <w:sz w:val="18"/>
                <w:szCs w:val="18"/>
              </w:rPr>
            </w:pPr>
            <w:r>
              <w:rPr>
                <w:rFonts w:ascii="Times New Roman" w:hAnsi="Times New Roman" w:cs="Times New Roman" w:hint="eastAsia"/>
                <w:sz w:val="18"/>
                <w:szCs w:val="18"/>
              </w:rPr>
              <w:t>偏振类型</w:t>
            </w:r>
            <w:r>
              <w:rPr>
                <w:rFonts w:ascii="Times New Roman" w:hAnsi="Times New Roman" w:cs="Times New Roman" w:hint="eastAsia"/>
                <w:b/>
                <w:bCs/>
                <w:sz w:val="18"/>
                <w:szCs w:val="18"/>
              </w:rPr>
              <w:t>#</w:t>
            </w:r>
          </w:p>
        </w:tc>
        <w:tc>
          <w:tcPr>
            <w:tcW w:w="4895" w:type="dxa"/>
            <w:gridSpan w:val="3"/>
            <w:vAlign w:val="center"/>
          </w:tcPr>
          <w:p>
            <w:pPr>
              <w:rPr>
                <w:sz w:val="18"/>
                <w:szCs w:val="18"/>
              </w:rPr>
            </w:pPr>
            <w:r>
              <w:rPr>
                <w:rFonts w:ascii="宋体" w:eastAsia="宋体" w:hAnsi="宋体" w:hint="eastAsia"/>
                <w:sz w:val="18"/>
                <w:szCs w:val="18"/>
              </w:rPr>
              <w:t>双发双收线偏振（支持单发双收线偏振）</w:t>
            </w:r>
          </w:p>
        </w:tc>
      </w:tr>
      <w:tr>
        <w:tblPrEx>
          <w:tblW w:w="0" w:type="auto"/>
          <w:jc w:val="center"/>
          <w:tblLayout w:type="fixed"/>
          <w:tblCellMar>
            <w:top w:w="0" w:type="dxa"/>
            <w:left w:w="108" w:type="dxa"/>
            <w:bottom w:w="0" w:type="dxa"/>
            <w:right w:w="108" w:type="dxa"/>
          </w:tblCellMar>
        </w:tblPrEx>
        <w:trPr>
          <w:trHeight w:hRule="exact" w:val="454"/>
          <w:jc w:val="center"/>
        </w:trPr>
        <w:tc>
          <w:tcPr>
            <w:tcW w:w="3515" w:type="dxa"/>
            <w:gridSpan w:val="2"/>
            <w:vAlign w:val="center"/>
          </w:tcPr>
          <w:p>
            <w:pPr>
              <w:rPr>
                <w:sz w:val="18"/>
                <w:szCs w:val="18"/>
              </w:rPr>
            </w:pPr>
            <w:r>
              <w:rPr>
                <w:sz w:val="18"/>
                <w:szCs w:val="18"/>
              </w:rPr>
              <w:t>工作频率</w:t>
            </w:r>
          </w:p>
        </w:tc>
        <w:tc>
          <w:tcPr>
            <w:tcW w:w="4895" w:type="dxa"/>
            <w:gridSpan w:val="3"/>
            <w:vAlign w:val="center"/>
          </w:tcPr>
          <w:p>
            <w:pPr>
              <w:rPr>
                <w:sz w:val="18"/>
                <w:szCs w:val="18"/>
              </w:rPr>
            </w:pPr>
            <w:r>
              <w:rPr>
                <w:rFonts w:hint="eastAsia"/>
                <w:sz w:val="18"/>
                <w:szCs w:val="18"/>
              </w:rPr>
              <w:t>34.5GHz～35.5GHz 范围频点可选，带宽≤200MHz</w:t>
            </w: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1302"/>
          <w:jc w:val="center"/>
        </w:trPr>
        <w:tc>
          <w:tcPr>
            <w:tcW w:w="3515" w:type="dxa"/>
            <w:gridSpan w:val="2"/>
            <w:vAlign w:val="center"/>
          </w:tcPr>
          <w:p>
            <w:pPr>
              <w:rPr>
                <w:sz w:val="18"/>
                <w:szCs w:val="18"/>
              </w:rPr>
            </w:pPr>
            <w:r>
              <w:rPr>
                <w:sz w:val="18"/>
                <w:szCs w:val="18"/>
              </w:rPr>
              <w:t>探测</w:t>
            </w:r>
            <w:r>
              <w:rPr>
                <w:rFonts w:hint="eastAsia"/>
                <w:sz w:val="18"/>
                <w:szCs w:val="18"/>
              </w:rPr>
              <w:t>范围</w:t>
            </w:r>
          </w:p>
        </w:tc>
        <w:tc>
          <w:tcPr>
            <w:tcW w:w="4895" w:type="dxa"/>
            <w:gridSpan w:val="3"/>
            <w:vAlign w:val="center"/>
          </w:tcPr>
          <w:p>
            <w:pPr>
              <w:rPr>
                <w:sz w:val="18"/>
                <w:szCs w:val="18"/>
              </w:rPr>
            </w:pPr>
            <w:r>
              <w:rPr>
                <w:rFonts w:hint="eastAsia"/>
                <w:sz w:val="18"/>
                <w:szCs w:val="18"/>
              </w:rPr>
              <w:t>斜距</w:t>
            </w:r>
            <w:r>
              <w:rPr>
                <w:rFonts w:ascii="Times New Roman" w:hAnsi="Times New Roman" w:hint="eastAsia"/>
                <w:sz w:val="18"/>
                <w:szCs w:val="18"/>
              </w:rPr>
              <w:t>≥</w:t>
            </w:r>
            <w:r>
              <w:rPr>
                <w:rFonts w:hint="eastAsia"/>
                <w:sz w:val="18"/>
                <w:szCs w:val="18"/>
              </w:rPr>
              <w:t>3</w:t>
            </w:r>
            <w:r>
              <w:rPr>
                <w:rFonts w:ascii="Times New Roman" w:hAnsi="Times New Roman" w:hint="eastAsia"/>
                <w:sz w:val="18"/>
                <w:szCs w:val="18"/>
              </w:rPr>
              <w:t>0km</w:t>
            </w:r>
          </w:p>
          <w:p>
            <w:pPr>
              <w:rPr>
                <w:sz w:val="18"/>
                <w:szCs w:val="18"/>
              </w:rPr>
            </w:pPr>
            <w:r>
              <w:rPr>
                <w:rFonts w:hint="eastAsia"/>
                <w:sz w:val="18"/>
                <w:szCs w:val="18"/>
              </w:rPr>
              <w:t>方位0~360°</w:t>
            </w:r>
          </w:p>
          <w:p>
            <w:pPr>
              <w:rPr>
                <w:sz w:val="18"/>
                <w:szCs w:val="18"/>
              </w:rPr>
            </w:pPr>
            <w:r>
              <w:rPr>
                <w:rFonts w:hint="eastAsia"/>
                <w:sz w:val="18"/>
                <w:szCs w:val="18"/>
              </w:rPr>
              <w:t>仰角</w:t>
            </w:r>
            <w:r>
              <w:rPr>
                <w:rFonts w:ascii="Times New Roman" w:eastAsia="宋体" w:hAnsi="Times New Roman" w:hint="eastAsia"/>
                <w:sz w:val="18"/>
                <w:szCs w:val="18"/>
              </w:rPr>
              <w:t>-2～</w:t>
            </w:r>
            <w:r>
              <w:rPr>
                <w:rFonts w:ascii="Times New Roman" w:eastAsia="宋体" w:hAnsi="Times New Roman"/>
                <w:sz w:val="18"/>
                <w:szCs w:val="18"/>
              </w:rPr>
              <w:t>18</w:t>
            </w:r>
            <w:r>
              <w:rPr>
                <w:rFonts w:ascii="Times New Roman" w:eastAsia="宋体" w:hAnsi="Times New Roman" w:hint="eastAsia"/>
                <w:sz w:val="18"/>
                <w:szCs w:val="18"/>
              </w:rPr>
              <w:t>2</w:t>
            </w:r>
            <w:r>
              <w:rPr>
                <w:rFonts w:ascii="Times New Roman" w:eastAsia="宋体" w:hAnsi="Times New Roman"/>
                <w:sz w:val="18"/>
                <w:szCs w:val="18"/>
              </w:rPr>
              <w:t>°往返扫描</w:t>
            </w:r>
          </w:p>
          <w:p>
            <w:pPr>
              <w:rPr>
                <w:sz w:val="18"/>
                <w:szCs w:val="18"/>
              </w:rPr>
            </w:pPr>
            <w:r>
              <w:rPr>
                <w:rFonts w:ascii="Times New Roman" w:hAnsi="Times New Roman" w:cs="Times New Roman" w:hint="eastAsia"/>
                <w:sz w:val="18"/>
                <w:szCs w:val="18"/>
              </w:rPr>
              <w:t>近距离盲区范围：≤150m</w:t>
            </w:r>
          </w:p>
        </w:tc>
      </w:tr>
      <w:tr>
        <w:tblPrEx>
          <w:tblW w:w="0" w:type="auto"/>
          <w:jc w:val="center"/>
          <w:tblLayout w:type="fixed"/>
          <w:tblCellMar>
            <w:top w:w="0" w:type="dxa"/>
            <w:left w:w="108" w:type="dxa"/>
            <w:bottom w:w="0" w:type="dxa"/>
            <w:right w:w="108" w:type="dxa"/>
          </w:tblCellMar>
        </w:tblPrEx>
        <w:trPr>
          <w:trHeight w:hRule="exact" w:val="546"/>
          <w:jc w:val="center"/>
        </w:trPr>
        <w:tc>
          <w:tcPr>
            <w:tcW w:w="1488" w:type="dxa"/>
            <w:vMerge w:val="restart"/>
            <w:vAlign w:val="center"/>
          </w:tcPr>
          <w:p>
            <w:pPr>
              <w:jc w:val="center"/>
              <w:rPr>
                <w:rFonts w:ascii="Times New Roman" w:hAnsi="Times New Roman"/>
                <w:sz w:val="18"/>
                <w:szCs w:val="18"/>
              </w:rPr>
            </w:pPr>
            <w:r>
              <w:rPr>
                <w:rFonts w:ascii="Times New Roman" w:hAnsi="Times New Roman" w:hint="eastAsia"/>
                <w:sz w:val="18"/>
                <w:szCs w:val="18"/>
              </w:rPr>
              <w:t>基数据产品测量范围及产品精度</w:t>
            </w:r>
          </w:p>
          <w:p>
            <w:pPr>
              <w:jc w:val="cente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tc>
        <w:tc>
          <w:tcPr>
            <w:tcW w:w="2027" w:type="dxa"/>
            <w:vAlign w:val="center"/>
          </w:tcPr>
          <w:p>
            <w:pPr>
              <w:rPr>
                <w:sz w:val="18"/>
                <w:szCs w:val="18"/>
              </w:rPr>
            </w:pPr>
            <w:r>
              <w:rPr>
                <w:rFonts w:hint="eastAsia"/>
                <w:sz w:val="18"/>
                <w:szCs w:val="18"/>
              </w:rPr>
              <w:t>反射率因子</w:t>
            </w:r>
          </w:p>
        </w:tc>
        <w:tc>
          <w:tcPr>
            <w:tcW w:w="4895" w:type="dxa"/>
            <w:gridSpan w:val="3"/>
            <w:vAlign w:val="center"/>
          </w:tcPr>
          <w:p>
            <w:r>
              <w:rPr>
                <w:rFonts w:hint="eastAsia"/>
                <w:sz w:val="18"/>
                <w:szCs w:val="18"/>
              </w:rPr>
              <w:t>-45dBZ~+3</w:t>
            </w:r>
            <w:r>
              <w:rPr>
                <w:rFonts w:ascii="Times New Roman" w:eastAsia="宋体" w:hAnsi="Times New Roman" w:hint="eastAsia"/>
                <w:sz w:val="18"/>
                <w:szCs w:val="18"/>
              </w:rPr>
              <w:t>5</w:t>
            </w:r>
            <w:r>
              <w:rPr>
                <w:rFonts w:hint="eastAsia"/>
                <w:sz w:val="18"/>
                <w:szCs w:val="18"/>
              </w:rPr>
              <w:t>dBZ，</w:t>
            </w:r>
            <w:r>
              <w:rPr>
                <w:rFonts w:ascii="Times New Roman" w:eastAsia="宋体" w:hAnsi="Times New Roman" w:cs="Times New Roman" w:hint="eastAsia"/>
                <w:sz w:val="18"/>
                <w:szCs w:val="18"/>
              </w:rPr>
              <w:t>测量精度±1dB</w:t>
            </w: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382"/>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径向速度</w:t>
            </w:r>
          </w:p>
        </w:tc>
        <w:tc>
          <w:tcPr>
            <w:tcW w:w="4895" w:type="dxa"/>
            <w:gridSpan w:val="3"/>
            <w:vAlign w:val="center"/>
          </w:tcPr>
          <w:p>
            <w:r>
              <w:rPr>
                <w:rFonts w:hint="eastAsia"/>
                <w:sz w:val="18"/>
                <w:szCs w:val="18"/>
              </w:rPr>
              <w:t>-17.1m/s~17.1m/s，</w:t>
            </w:r>
            <w:r>
              <w:rPr>
                <w:rFonts w:ascii="Times New Roman" w:eastAsia="宋体" w:hAnsi="Times New Roman" w:cs="Times New Roman" w:hint="eastAsia"/>
                <w:sz w:val="18"/>
                <w:szCs w:val="18"/>
              </w:rPr>
              <w:t>测量精度±0.5m/s</w:t>
            </w:r>
          </w:p>
          <w:p/>
          <w:p>
            <w:pPr>
              <w:rPr>
                <w:sz w:val="18"/>
                <w:szCs w:val="18"/>
              </w:rPr>
            </w:pPr>
          </w:p>
        </w:tc>
      </w:tr>
      <w:tr>
        <w:tblPrEx>
          <w:tblW w:w="0" w:type="auto"/>
          <w:jc w:val="center"/>
          <w:tblLayout w:type="fixed"/>
          <w:tblCellMar>
            <w:top w:w="0" w:type="dxa"/>
            <w:left w:w="108" w:type="dxa"/>
            <w:bottom w:w="0" w:type="dxa"/>
            <w:right w:w="108" w:type="dxa"/>
          </w:tblCellMar>
        </w:tblPrEx>
        <w:trPr>
          <w:trHeight w:hRule="exact" w:val="481"/>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速度谱宽</w:t>
            </w:r>
          </w:p>
        </w:tc>
        <w:tc>
          <w:tcPr>
            <w:tcW w:w="4895" w:type="dxa"/>
            <w:gridSpan w:val="3"/>
            <w:vAlign w:val="center"/>
          </w:tcPr>
          <w:p>
            <w:pPr>
              <w:rPr>
                <w:rFonts w:ascii="Times New Roman" w:eastAsia="宋体" w:hAnsi="Times New Roman"/>
                <w:sz w:val="18"/>
                <w:szCs w:val="18"/>
              </w:rPr>
            </w:pPr>
            <w:r>
              <w:rPr>
                <w:rFonts w:hint="eastAsia"/>
                <w:sz w:val="18"/>
                <w:szCs w:val="18"/>
              </w:rPr>
              <w:t>0~</w:t>
            </w:r>
            <w:r>
              <w:rPr>
                <w:rFonts w:ascii="Times New Roman" w:eastAsia="宋体" w:hAnsi="Times New Roman" w:hint="eastAsia"/>
                <w:sz w:val="18"/>
                <w:szCs w:val="18"/>
              </w:rPr>
              <w:t>8</w:t>
            </w:r>
            <w:r>
              <w:rPr>
                <w:rFonts w:hint="eastAsia"/>
                <w:sz w:val="18"/>
                <w:szCs w:val="18"/>
              </w:rPr>
              <w:t>m/s，</w:t>
            </w:r>
            <w:r>
              <w:rPr>
                <w:rFonts w:ascii="Times New Roman" w:eastAsia="宋体" w:hAnsi="Times New Roman" w:cs="Times New Roman" w:hint="eastAsia"/>
                <w:sz w:val="18"/>
                <w:szCs w:val="18"/>
              </w:rPr>
              <w:t>测量精度±0.5m/s</w:t>
            </w:r>
          </w:p>
          <w:p/>
          <w:p>
            <w:pPr>
              <w:rPr>
                <w:sz w:val="18"/>
                <w:szCs w:val="18"/>
              </w:rPr>
            </w:pPr>
          </w:p>
        </w:tc>
      </w:tr>
      <w:tr>
        <w:tblPrEx>
          <w:tblW w:w="0" w:type="auto"/>
          <w:jc w:val="center"/>
          <w:tblLayout w:type="fixed"/>
          <w:tblCellMar>
            <w:top w:w="0" w:type="dxa"/>
            <w:left w:w="108" w:type="dxa"/>
            <w:bottom w:w="0" w:type="dxa"/>
            <w:right w:w="108" w:type="dxa"/>
          </w:tblCellMar>
        </w:tblPrEx>
        <w:trPr>
          <w:trHeight w:hRule="exact" w:val="496"/>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线性退极化比</w:t>
            </w:r>
          </w:p>
        </w:tc>
        <w:tc>
          <w:tcPr>
            <w:tcW w:w="4895" w:type="dxa"/>
            <w:gridSpan w:val="3"/>
            <w:vAlign w:val="center"/>
          </w:tcPr>
          <w:p>
            <w:r>
              <w:rPr>
                <w:rFonts w:hint="eastAsia"/>
                <w:sz w:val="18"/>
                <w:szCs w:val="18"/>
              </w:rPr>
              <w:t>-30dB～0dB，</w:t>
            </w:r>
            <w:r>
              <w:rPr>
                <w:rFonts w:eastAsia="宋体" w:cs="Times New Roman" w:hint="eastAsia"/>
                <w:sz w:val="18"/>
                <w:szCs w:val="18"/>
              </w:rPr>
              <w:t xml:space="preserve">测量精度±0.2dB </w:t>
            </w: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434"/>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差分反射率因子</w:t>
            </w:r>
          </w:p>
        </w:tc>
        <w:tc>
          <w:tcPr>
            <w:tcW w:w="4895" w:type="dxa"/>
            <w:gridSpan w:val="3"/>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-8dB～+8dB</w:t>
            </w:r>
            <w:r>
              <w:rPr>
                <w:rFonts w:ascii="Times New Roman" w:eastAsia="宋体" w:hAnsi="Times New Roman" w:hint="eastAsia"/>
                <w:sz w:val="18"/>
                <w:szCs w:val="18"/>
              </w:rPr>
              <w:t>，测量精度</w:t>
            </w:r>
            <w:r>
              <w:rPr>
                <w:rFonts w:ascii="Times New Roman" w:eastAsia="宋体" w:hAnsi="Times New Roman" w:cs="Times New Roman" w:hint="eastAsia"/>
                <w:sz w:val="18"/>
                <w:szCs w:val="18"/>
              </w:rPr>
              <w:t>±0.2dB</w:t>
            </w:r>
          </w:p>
          <w:p>
            <w:pPr>
              <w:rPr>
                <w:rFonts w:ascii="Times New Roman" w:eastAsia="宋体" w:hAnsi="Times New Roman" w:cs="Times New Roman"/>
                <w:sz w:val="18"/>
                <w:szCs w:val="18"/>
              </w:rPr>
            </w:pP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307"/>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差分传播相移</w:t>
            </w:r>
          </w:p>
        </w:tc>
        <w:tc>
          <w:tcPr>
            <w:tcW w:w="4895" w:type="dxa"/>
            <w:gridSpan w:val="3"/>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-180°～+180°</w:t>
            </w:r>
            <w:r>
              <w:rPr>
                <w:rFonts w:ascii="Times New Roman" w:eastAsia="宋体" w:hAnsi="Times New Roman" w:hint="eastAsia"/>
                <w:sz w:val="18"/>
                <w:szCs w:val="18"/>
              </w:rPr>
              <w:t>，测量精度</w:t>
            </w:r>
            <w:r>
              <w:rPr>
                <w:rFonts w:ascii="Times New Roman" w:eastAsia="宋体" w:hAnsi="Times New Roman" w:cs="Times New Roman" w:hint="eastAsia"/>
                <w:sz w:val="18"/>
                <w:szCs w:val="18"/>
              </w:rPr>
              <w:t>±5°</w:t>
            </w: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346"/>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差分传播相移率</w:t>
            </w:r>
          </w:p>
        </w:tc>
        <w:tc>
          <w:tcPr>
            <w:tcW w:w="4895" w:type="dxa"/>
            <w:gridSpan w:val="3"/>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-10°/km～+10°/km</w:t>
            </w:r>
            <w:r>
              <w:rPr>
                <w:rFonts w:ascii="Times New Roman" w:eastAsia="宋体" w:hAnsi="Times New Roman" w:hint="eastAsia"/>
                <w:sz w:val="18"/>
                <w:szCs w:val="18"/>
              </w:rPr>
              <w:t>，测量精度</w:t>
            </w:r>
            <w:r>
              <w:rPr>
                <w:rFonts w:ascii="Times New Roman" w:eastAsia="宋体" w:hAnsi="Times New Roman" w:cs="Times New Roman" w:hint="eastAsia"/>
                <w:sz w:val="18"/>
                <w:szCs w:val="18"/>
              </w:rPr>
              <w:t>±0.2°/km</w:t>
            </w:r>
          </w:p>
          <w:p>
            <w:pPr>
              <w:rPr>
                <w:rFonts w:ascii="Times New Roman" w:eastAsia="宋体" w:hAnsi="Times New Roman" w:cs="Times New Roman"/>
                <w:sz w:val="18"/>
                <w:szCs w:val="18"/>
              </w:rPr>
            </w:pP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346"/>
          <w:jc w:val="center"/>
        </w:trPr>
        <w:tc>
          <w:tcPr>
            <w:tcW w:w="1488" w:type="dxa"/>
            <w:vMerge/>
            <w:vAlign w:val="center"/>
          </w:tcPr>
          <w:p>
            <w:pPr>
              <w:rPr>
                <w:sz w:val="18"/>
                <w:szCs w:val="18"/>
              </w:rPr>
            </w:pPr>
          </w:p>
        </w:tc>
        <w:tc>
          <w:tcPr>
            <w:tcW w:w="2027" w:type="dxa"/>
            <w:vAlign w:val="center"/>
          </w:tcPr>
          <w:p>
            <w:pPr>
              <w:rPr>
                <w:sz w:val="18"/>
                <w:szCs w:val="18"/>
              </w:rPr>
            </w:pPr>
            <w:r>
              <w:rPr>
                <w:rFonts w:hint="eastAsia"/>
                <w:sz w:val="18"/>
                <w:szCs w:val="18"/>
              </w:rPr>
              <w:t>相关系数</w:t>
            </w:r>
          </w:p>
        </w:tc>
        <w:tc>
          <w:tcPr>
            <w:tcW w:w="4895" w:type="dxa"/>
            <w:gridSpan w:val="3"/>
            <w:vAlign w:val="center"/>
          </w:tcPr>
          <w:p>
            <w:pPr>
              <w:rPr>
                <w:sz w:val="18"/>
                <w:szCs w:val="18"/>
              </w:rPr>
            </w:pPr>
            <w:r>
              <w:rPr>
                <w:rFonts w:ascii="Times New Roman" w:hAnsi="Times New Roman" w:hint="eastAsia"/>
                <w:sz w:val="18"/>
                <w:szCs w:val="18"/>
              </w:rPr>
              <w:t>0～1，±0.01</w:t>
            </w:r>
          </w:p>
        </w:tc>
      </w:tr>
      <w:tr>
        <w:tblPrEx>
          <w:tblW w:w="0" w:type="auto"/>
          <w:jc w:val="center"/>
          <w:tblLayout w:type="fixed"/>
          <w:tblCellMar>
            <w:top w:w="0" w:type="dxa"/>
            <w:left w:w="108" w:type="dxa"/>
            <w:bottom w:w="0" w:type="dxa"/>
            <w:right w:w="108" w:type="dxa"/>
          </w:tblCellMar>
        </w:tblPrEx>
        <w:trPr>
          <w:trHeight w:hRule="exact" w:val="356"/>
          <w:jc w:val="center"/>
        </w:trPr>
        <w:tc>
          <w:tcPr>
            <w:tcW w:w="1488" w:type="dxa"/>
            <w:vMerge w:val="restart"/>
            <w:vAlign w:val="center"/>
          </w:tcPr>
          <w:p>
            <w:pPr>
              <w:rPr>
                <w:sz w:val="18"/>
                <w:szCs w:val="18"/>
              </w:rPr>
            </w:pPr>
            <w:r>
              <w:rPr>
                <w:rFonts w:ascii="Times New Roman" w:hAnsi="Times New Roman" w:hint="eastAsia"/>
                <w:sz w:val="18"/>
                <w:szCs w:val="18"/>
              </w:rPr>
              <w:t>基数据产品分辨力</w:t>
            </w:r>
            <w:r>
              <w:rPr>
                <w:rFonts w:ascii="Times New Roman" w:hAnsi="Times New Roman" w:cs="Times New Roman" w:hint="eastAsia"/>
                <w:b/>
                <w:bCs/>
                <w:sz w:val="18"/>
                <w:szCs w:val="18"/>
              </w:rPr>
              <w:t>#</w:t>
            </w: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距离</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30m</w:t>
            </w:r>
          </w:p>
        </w:tc>
      </w:tr>
      <w:tr>
        <w:tblPrEx>
          <w:tblW w:w="0" w:type="auto"/>
          <w:jc w:val="center"/>
          <w:tblLayout w:type="fixed"/>
          <w:tblCellMar>
            <w:top w:w="0" w:type="dxa"/>
            <w:left w:w="108" w:type="dxa"/>
            <w:bottom w:w="0" w:type="dxa"/>
            <w:right w:w="108" w:type="dxa"/>
          </w:tblCellMar>
        </w:tblPrEx>
        <w:trPr>
          <w:trHeight w:hRule="exact" w:val="373"/>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角度</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≤0.4°</w:t>
            </w:r>
          </w:p>
        </w:tc>
      </w:tr>
      <w:tr>
        <w:tblPrEx>
          <w:tblW w:w="0" w:type="auto"/>
          <w:jc w:val="center"/>
          <w:tblLayout w:type="fixed"/>
          <w:tblCellMar>
            <w:top w:w="0" w:type="dxa"/>
            <w:left w:w="108" w:type="dxa"/>
            <w:bottom w:w="0" w:type="dxa"/>
            <w:right w:w="108" w:type="dxa"/>
          </w:tblCellMar>
        </w:tblPrEx>
        <w:trPr>
          <w:trHeight w:hRule="exact" w:val="448"/>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反射率因子</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0.1dBZ</w:t>
            </w:r>
          </w:p>
        </w:tc>
      </w:tr>
      <w:tr>
        <w:tblPrEx>
          <w:tblW w:w="0" w:type="auto"/>
          <w:jc w:val="center"/>
          <w:tblLayout w:type="fixed"/>
          <w:tblCellMar>
            <w:top w:w="0" w:type="dxa"/>
            <w:left w:w="108" w:type="dxa"/>
            <w:bottom w:w="0" w:type="dxa"/>
            <w:right w:w="108" w:type="dxa"/>
          </w:tblCellMar>
        </w:tblPrEx>
        <w:trPr>
          <w:trHeight w:hRule="exact" w:val="461"/>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径向速度</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0.1m/s</w:t>
            </w:r>
          </w:p>
        </w:tc>
      </w:tr>
      <w:tr>
        <w:tblPrEx>
          <w:tblW w:w="0" w:type="auto"/>
          <w:jc w:val="center"/>
          <w:tblLayout w:type="fixed"/>
          <w:tblCellMar>
            <w:top w:w="0" w:type="dxa"/>
            <w:left w:w="108" w:type="dxa"/>
            <w:bottom w:w="0" w:type="dxa"/>
            <w:right w:w="108" w:type="dxa"/>
          </w:tblCellMar>
        </w:tblPrEx>
        <w:trPr>
          <w:trHeight w:hRule="exact" w:val="474"/>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速度谱宽</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0.1m/s</w:t>
            </w:r>
          </w:p>
        </w:tc>
      </w:tr>
      <w:tr>
        <w:tblPrEx>
          <w:tblW w:w="0" w:type="auto"/>
          <w:jc w:val="center"/>
          <w:tblLayout w:type="fixed"/>
          <w:tblCellMar>
            <w:top w:w="0" w:type="dxa"/>
            <w:left w:w="108" w:type="dxa"/>
            <w:bottom w:w="0" w:type="dxa"/>
            <w:right w:w="108" w:type="dxa"/>
          </w:tblCellMar>
        </w:tblPrEx>
        <w:trPr>
          <w:trHeight w:hRule="exact" w:val="473"/>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差分反射率因子</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0.1dB</w:t>
            </w:r>
          </w:p>
        </w:tc>
      </w:tr>
      <w:tr>
        <w:tblPrEx>
          <w:tblW w:w="0" w:type="auto"/>
          <w:jc w:val="center"/>
          <w:tblLayout w:type="fixed"/>
          <w:tblCellMar>
            <w:top w:w="0" w:type="dxa"/>
            <w:left w:w="108" w:type="dxa"/>
            <w:bottom w:w="0" w:type="dxa"/>
            <w:right w:w="108" w:type="dxa"/>
          </w:tblCellMar>
        </w:tblPrEx>
        <w:trPr>
          <w:trHeight w:hRule="exact" w:val="448"/>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差分传播相移</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1°</w:t>
            </w:r>
          </w:p>
        </w:tc>
      </w:tr>
      <w:tr>
        <w:tblPrEx>
          <w:tblW w:w="0" w:type="auto"/>
          <w:jc w:val="center"/>
          <w:tblLayout w:type="fixed"/>
          <w:tblCellMar>
            <w:top w:w="0" w:type="dxa"/>
            <w:left w:w="108" w:type="dxa"/>
            <w:bottom w:w="0" w:type="dxa"/>
            <w:right w:w="108" w:type="dxa"/>
          </w:tblCellMar>
        </w:tblPrEx>
        <w:trPr>
          <w:trHeight w:hRule="exact" w:val="436"/>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差分传播相移率</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0.1°/km</w:t>
            </w:r>
          </w:p>
        </w:tc>
      </w:tr>
      <w:tr>
        <w:tblPrEx>
          <w:tblW w:w="0" w:type="auto"/>
          <w:jc w:val="center"/>
          <w:tblLayout w:type="fixed"/>
          <w:tblCellMar>
            <w:top w:w="0" w:type="dxa"/>
            <w:left w:w="108" w:type="dxa"/>
            <w:bottom w:w="0" w:type="dxa"/>
            <w:right w:w="108" w:type="dxa"/>
          </w:tblCellMar>
        </w:tblPrEx>
        <w:trPr>
          <w:trHeight w:hRule="exact" w:val="411"/>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退偏振比</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0.1dB（单发双收工作模式）</w:t>
            </w:r>
          </w:p>
        </w:tc>
      </w:tr>
      <w:tr>
        <w:tblPrEx>
          <w:tblW w:w="0" w:type="auto"/>
          <w:jc w:val="center"/>
          <w:tblLayout w:type="fixed"/>
          <w:tblCellMar>
            <w:top w:w="0" w:type="dxa"/>
            <w:left w:w="108" w:type="dxa"/>
            <w:bottom w:w="0" w:type="dxa"/>
            <w:right w:w="108" w:type="dxa"/>
          </w:tblCellMar>
        </w:tblPrEx>
        <w:trPr>
          <w:trHeight w:hRule="exact" w:val="322"/>
          <w:jc w:val="center"/>
        </w:trPr>
        <w:tc>
          <w:tcPr>
            <w:tcW w:w="1488" w:type="dxa"/>
            <w:vMerge/>
            <w:vAlign w:val="center"/>
          </w:tcPr>
          <w:p>
            <w:pPr>
              <w:rPr>
                <w:sz w:val="18"/>
                <w:szCs w:val="18"/>
              </w:rPr>
            </w:pPr>
          </w:p>
        </w:tc>
        <w:tc>
          <w:tcPr>
            <w:tcW w:w="2027" w:type="dxa"/>
            <w:vAlign w:val="center"/>
          </w:tcPr>
          <w:p>
            <w:pPr>
              <w:adjustRightInd w:val="0"/>
              <w:snapToGrid w:val="0"/>
              <w:rPr>
                <w:rFonts w:ascii="Times New Roman" w:hAnsi="Times New Roman"/>
                <w:sz w:val="18"/>
                <w:szCs w:val="18"/>
                <w:lang w:val="zh-CN"/>
              </w:rPr>
            </w:pPr>
            <w:r>
              <w:rPr>
                <w:rFonts w:ascii="Times New Roman" w:hAnsi="Times New Roman" w:hint="eastAsia"/>
                <w:sz w:val="18"/>
                <w:szCs w:val="18"/>
              </w:rPr>
              <w:t>相关系数</w:t>
            </w:r>
          </w:p>
        </w:tc>
        <w:tc>
          <w:tcPr>
            <w:tcW w:w="4895" w:type="dxa"/>
            <w:gridSpan w:val="3"/>
            <w:vAlign w:val="center"/>
          </w:tcPr>
          <w:p>
            <w:pPr>
              <w:adjustRightInd w:val="0"/>
              <w:snapToGrid w:val="0"/>
              <w:jc w:val="left"/>
              <w:rPr>
                <w:rFonts w:ascii="Times New Roman" w:hAnsi="Times New Roman"/>
                <w:sz w:val="18"/>
                <w:szCs w:val="18"/>
              </w:rPr>
            </w:pPr>
            <w:r>
              <w:rPr>
                <w:rFonts w:ascii="Times New Roman" w:hAnsi="Times New Roman" w:hint="eastAsia"/>
                <w:sz w:val="18"/>
                <w:szCs w:val="18"/>
              </w:rPr>
              <w:t>0.01</w:t>
            </w:r>
          </w:p>
        </w:tc>
      </w:tr>
      <w:tr>
        <w:tblPrEx>
          <w:tblW w:w="0" w:type="auto"/>
          <w:jc w:val="center"/>
          <w:tblLayout w:type="fixed"/>
          <w:tblCellMar>
            <w:top w:w="0" w:type="dxa"/>
            <w:left w:w="108" w:type="dxa"/>
            <w:bottom w:w="0" w:type="dxa"/>
            <w:right w:w="108" w:type="dxa"/>
          </w:tblCellMar>
        </w:tblPrEx>
        <w:trPr>
          <w:trHeight w:hRule="exact" w:val="656"/>
          <w:jc w:val="center"/>
        </w:trPr>
        <w:tc>
          <w:tcPr>
            <w:tcW w:w="1488" w:type="dxa"/>
            <w:vMerge w:val="restart"/>
            <w:vAlign w:val="center"/>
          </w:tcPr>
          <w:p>
            <w:pPr>
              <w:rPr>
                <w:sz w:val="18"/>
                <w:szCs w:val="18"/>
              </w:rPr>
            </w:pPr>
            <w:r>
              <w:rPr>
                <w:rFonts w:hint="eastAsia"/>
                <w:sz w:val="18"/>
                <w:szCs w:val="18"/>
              </w:rPr>
              <w:t>物理量产品测量精度</w:t>
            </w:r>
          </w:p>
        </w:tc>
        <w:tc>
          <w:tcPr>
            <w:tcW w:w="2027" w:type="dxa"/>
            <w:vAlign w:val="center"/>
          </w:tcPr>
          <w:p>
            <w:pPr>
              <w:rPr>
                <w:sz w:val="18"/>
                <w:szCs w:val="18"/>
              </w:rPr>
            </w:pPr>
            <w:r>
              <w:rPr>
                <w:rFonts w:eastAsia="宋体" w:cs="Times New Roman"/>
                <w:sz w:val="18"/>
                <w:szCs w:val="18"/>
                <w:lang w:val="zh-CN"/>
              </w:rPr>
              <w:t>云底高度</w:t>
            </w:r>
          </w:p>
        </w:tc>
        <w:tc>
          <w:tcPr>
            <w:tcW w:w="4895" w:type="dxa"/>
            <w:gridSpan w:val="3"/>
            <w:vAlign w:val="center"/>
          </w:tcPr>
          <w:p>
            <w:pPr>
              <w:rPr>
                <w:rFonts w:eastAsia="宋体" w:cs="Times New Roman"/>
                <w:sz w:val="18"/>
                <w:szCs w:val="18"/>
              </w:rPr>
            </w:pPr>
            <w:r>
              <w:rPr>
                <w:rFonts w:eastAsia="宋体" w:cs="Times New Roman" w:hint="eastAsia"/>
                <w:sz w:val="18"/>
                <w:szCs w:val="18"/>
              </w:rPr>
              <w:t>云高 &lt; 1000m 时，±100m；云高≥1000m 时，±10%</w:t>
            </w:r>
          </w:p>
        </w:tc>
      </w:tr>
      <w:tr>
        <w:tblPrEx>
          <w:tblW w:w="0" w:type="auto"/>
          <w:jc w:val="center"/>
          <w:tblLayout w:type="fixed"/>
          <w:tblCellMar>
            <w:top w:w="0" w:type="dxa"/>
            <w:left w:w="108" w:type="dxa"/>
            <w:bottom w:w="0" w:type="dxa"/>
            <w:right w:w="108" w:type="dxa"/>
          </w:tblCellMar>
        </w:tblPrEx>
        <w:trPr>
          <w:trHeight w:hRule="exact" w:val="814"/>
          <w:jc w:val="center"/>
        </w:trPr>
        <w:tc>
          <w:tcPr>
            <w:tcW w:w="1488" w:type="dxa"/>
            <w:vMerge/>
            <w:vAlign w:val="center"/>
          </w:tcPr>
          <w:p>
            <w:pPr>
              <w:rPr>
                <w:sz w:val="18"/>
                <w:szCs w:val="18"/>
              </w:rPr>
            </w:pPr>
          </w:p>
        </w:tc>
        <w:tc>
          <w:tcPr>
            <w:tcW w:w="2039" w:type="dxa"/>
            <w:gridSpan w:val="2"/>
            <w:vAlign w:val="center"/>
          </w:tcPr>
          <w:p>
            <w:pPr>
              <w:rPr>
                <w:sz w:val="18"/>
                <w:szCs w:val="18"/>
              </w:rPr>
            </w:pPr>
            <w:r>
              <w:rPr>
                <w:rFonts w:eastAsia="宋体" w:cs="Times New Roman"/>
                <w:sz w:val="18"/>
                <w:szCs w:val="18"/>
                <w:lang w:val="zh-CN"/>
              </w:rPr>
              <w:t>云顶高度</w:t>
            </w:r>
          </w:p>
        </w:tc>
        <w:tc>
          <w:tcPr>
            <w:tcW w:w="4883" w:type="dxa"/>
            <w:gridSpan w:val="2"/>
            <w:vAlign w:val="center"/>
          </w:tcPr>
          <w:p>
            <w:pPr>
              <w:rPr>
                <w:rFonts w:eastAsia="宋体" w:cs="Times New Roman"/>
                <w:sz w:val="18"/>
                <w:szCs w:val="18"/>
              </w:rPr>
            </w:pPr>
            <w:r>
              <w:rPr>
                <w:rFonts w:eastAsia="宋体" w:cs="Times New Roman" w:hint="eastAsia"/>
                <w:sz w:val="18"/>
                <w:szCs w:val="18"/>
              </w:rPr>
              <w:t>云顶高度：云高 &lt; 1000m 时，±100m；云高≥1000m 时，±10%</w:t>
            </w:r>
          </w:p>
        </w:tc>
      </w:tr>
      <w:tr>
        <w:tblPrEx>
          <w:tblW w:w="0" w:type="auto"/>
          <w:jc w:val="center"/>
          <w:tblLayout w:type="fixed"/>
          <w:tblCellMar>
            <w:top w:w="0" w:type="dxa"/>
            <w:left w:w="108" w:type="dxa"/>
            <w:bottom w:w="0" w:type="dxa"/>
            <w:right w:w="108" w:type="dxa"/>
          </w:tblCellMar>
        </w:tblPrEx>
        <w:trPr>
          <w:trHeight w:hRule="exact" w:val="81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lang w:val="zh-CN"/>
              </w:rPr>
            </w:pPr>
            <w:r>
              <w:rPr>
                <w:rFonts w:ascii="Times New Roman" w:hAnsi="Times New Roman"/>
                <w:sz w:val="18"/>
                <w:szCs w:val="18"/>
                <w:lang w:val="zh-CN"/>
              </w:rPr>
              <w:t>云量（扫描型）</w:t>
            </w:r>
          </w:p>
        </w:tc>
        <w:tc>
          <w:tcPr>
            <w:tcW w:w="4883" w:type="dxa"/>
            <w:gridSpan w:val="2"/>
            <w:vAlign w:val="center"/>
          </w:tcPr>
          <w:p>
            <w:pPr>
              <w:adjustRightInd w:val="0"/>
              <w:snapToGrid w:val="0"/>
              <w:rPr>
                <w:sz w:val="18"/>
                <w:szCs w:val="18"/>
                <w:lang w:val="zh-CN"/>
              </w:rPr>
            </w:pPr>
            <w:r>
              <w:rPr>
                <w:rFonts w:ascii="Times New Roman" w:hAnsi="Times New Roman"/>
                <w:sz w:val="18"/>
                <w:szCs w:val="18"/>
                <w:lang w:val="zh-CN"/>
              </w:rPr>
              <w:t>±20%</w:t>
            </w:r>
          </w:p>
        </w:tc>
      </w:tr>
      <w:tr>
        <w:tblPrEx>
          <w:tblW w:w="0" w:type="auto"/>
          <w:jc w:val="center"/>
          <w:tblLayout w:type="fixed"/>
          <w:tblCellMar>
            <w:top w:w="0" w:type="dxa"/>
            <w:left w:w="108" w:type="dxa"/>
            <w:bottom w:w="0" w:type="dxa"/>
            <w:right w:w="108" w:type="dxa"/>
          </w:tblCellMar>
        </w:tblPrEx>
        <w:trPr>
          <w:trHeight w:hRule="exact" w:val="665"/>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远距离可探测最小反射率因子（256点FFT处理情况下）（不计大气衰减）</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≤-30dBZ@10km</w:t>
            </w:r>
          </w:p>
        </w:tc>
      </w:tr>
      <w:tr>
        <w:tblPrEx>
          <w:tblW w:w="0" w:type="auto"/>
          <w:jc w:val="center"/>
          <w:tblLayout w:type="fixed"/>
          <w:tblCellMar>
            <w:top w:w="0" w:type="dxa"/>
            <w:left w:w="108" w:type="dxa"/>
            <w:bottom w:w="0" w:type="dxa"/>
            <w:right w:w="108" w:type="dxa"/>
          </w:tblCellMar>
        </w:tblPrEx>
        <w:trPr>
          <w:trHeight w:hRule="exact" w:val="415"/>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系统相位噪声</w:t>
            </w:r>
          </w:p>
        </w:tc>
        <w:tc>
          <w:tcPr>
            <w:tcW w:w="4883" w:type="dxa"/>
            <w:gridSpan w:val="2"/>
          </w:tcPr>
          <w:p>
            <w:pPr>
              <w:adjustRightInd w:val="0"/>
              <w:snapToGrid w:val="0"/>
              <w:rPr>
                <w:rFonts w:ascii="Times New Roman" w:hAnsi="Times New Roman"/>
                <w:sz w:val="18"/>
                <w:szCs w:val="18"/>
              </w:rPr>
            </w:pPr>
            <w:r>
              <w:rPr>
                <w:rFonts w:ascii="Times New Roman" w:hAnsi="Times New Roman" w:hint="eastAsia"/>
                <w:sz w:val="18"/>
                <w:szCs w:val="18"/>
              </w:rPr>
              <w:t xml:space="preserve">≤0.4° </w:t>
            </w:r>
          </w:p>
        </w:tc>
      </w:tr>
      <w:tr>
        <w:tblPrEx>
          <w:tblW w:w="0" w:type="auto"/>
          <w:jc w:val="center"/>
          <w:tblLayout w:type="fixed"/>
          <w:tblCellMar>
            <w:top w:w="0" w:type="dxa"/>
            <w:left w:w="108" w:type="dxa"/>
            <w:bottom w:w="0" w:type="dxa"/>
            <w:right w:w="108" w:type="dxa"/>
          </w:tblCellMar>
        </w:tblPrEx>
        <w:trPr>
          <w:trHeight w:hRule="exact" w:val="378"/>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地物杂波抑制比</w:t>
            </w:r>
            <w:r>
              <w:rPr>
                <w:rFonts w:ascii="Times New Roman" w:hAnsi="Times New Roman" w:cs="Times New Roman" w:hint="eastAsia"/>
                <w:b/>
                <w:bCs/>
                <w:sz w:val="18"/>
                <w:szCs w:val="18"/>
              </w:rPr>
              <w:t>#</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 xml:space="preserve">≥42dB  </w:t>
            </w:r>
          </w:p>
        </w:tc>
      </w:tr>
      <w:tr>
        <w:tblPrEx>
          <w:tblW w:w="0" w:type="auto"/>
          <w:jc w:val="center"/>
          <w:tblLayout w:type="fixed"/>
          <w:tblCellMar>
            <w:top w:w="0" w:type="dxa"/>
            <w:left w:w="108" w:type="dxa"/>
            <w:bottom w:w="0" w:type="dxa"/>
            <w:right w:w="108" w:type="dxa"/>
          </w:tblCellMar>
        </w:tblPrEx>
        <w:trPr>
          <w:trHeight w:hRule="exact" w:val="390"/>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电源要求</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单相AC220V±10%，50Hz±5%</w:t>
            </w:r>
          </w:p>
        </w:tc>
      </w:tr>
      <w:tr>
        <w:tblPrEx>
          <w:tblW w:w="0" w:type="auto"/>
          <w:jc w:val="center"/>
          <w:tblLayout w:type="fixed"/>
          <w:tblCellMar>
            <w:top w:w="0" w:type="dxa"/>
            <w:left w:w="108" w:type="dxa"/>
            <w:bottom w:w="0" w:type="dxa"/>
            <w:right w:w="108" w:type="dxa"/>
          </w:tblCellMar>
        </w:tblPrEx>
        <w:trPr>
          <w:trHeight w:hRule="exact" w:val="383"/>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重量（标准配置，参考值）</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≤2000Kg（不包括天线罩）</w:t>
            </w:r>
          </w:p>
        </w:tc>
      </w:tr>
      <w:tr>
        <w:tblPrEx>
          <w:tblW w:w="0" w:type="auto"/>
          <w:jc w:val="center"/>
          <w:tblLayout w:type="fixed"/>
          <w:tblCellMar>
            <w:top w:w="0" w:type="dxa"/>
            <w:left w:w="108" w:type="dxa"/>
            <w:bottom w:w="0" w:type="dxa"/>
            <w:right w:w="108" w:type="dxa"/>
          </w:tblCellMar>
        </w:tblPrEx>
        <w:trPr>
          <w:trHeight w:hRule="exact" w:val="483"/>
          <w:jc w:val="center"/>
        </w:trPr>
        <w:tc>
          <w:tcPr>
            <w:tcW w:w="1488" w:type="dxa"/>
            <w:vMerge w:val="restart"/>
            <w:vAlign w:val="center"/>
          </w:tcPr>
          <w:p>
            <w:pPr>
              <w:rPr>
                <w:rFonts w:ascii="Times New Roman" w:hAnsi="Times New Roman"/>
                <w:sz w:val="18"/>
                <w:szCs w:val="18"/>
              </w:rPr>
            </w:pPr>
            <w:r>
              <w:rPr>
                <w:rFonts w:ascii="Times New Roman" w:hAnsi="Times New Roman" w:hint="eastAsia"/>
                <w:sz w:val="18"/>
                <w:szCs w:val="18"/>
              </w:rPr>
              <w:t>环境要求</w:t>
            </w:r>
          </w:p>
          <w:p>
            <w:pPr>
              <w:rPr>
                <w:sz w:val="18"/>
                <w:szCs w:val="18"/>
              </w:rPr>
            </w:pPr>
          </w:p>
          <w:p>
            <w:pPr>
              <w:rPr>
                <w:sz w:val="18"/>
                <w:szCs w:val="18"/>
              </w:rPr>
            </w:pPr>
          </w:p>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工作温度</w:t>
            </w:r>
          </w:p>
        </w:tc>
        <w:tc>
          <w:tcPr>
            <w:tcW w:w="4883" w:type="dxa"/>
            <w:gridSpan w:val="2"/>
            <w:vAlign w:val="center"/>
          </w:tcPr>
          <w:p>
            <w:r>
              <w:rPr>
                <w:rFonts w:ascii="Times New Roman" w:eastAsia="宋体" w:hAnsi="Times New Roman" w:hint="eastAsia"/>
                <w:sz w:val="18"/>
                <w:szCs w:val="18"/>
              </w:rPr>
              <w:t>室外装置：-40～+50</w:t>
            </w:r>
            <w:r>
              <w:rPr>
                <w:rFonts w:ascii="Times New Roman" w:eastAsia="宋体" w:hAnsi="Times New Roman" w:cs="宋体" w:hint="eastAsia"/>
                <w:sz w:val="18"/>
                <w:szCs w:val="18"/>
              </w:rPr>
              <w:t>℃</w:t>
            </w:r>
            <w:r>
              <w:rPr>
                <w:rFonts w:ascii="Times New Roman" w:eastAsia="宋体" w:hAnsi="Times New Roman" w:hint="eastAsia"/>
                <w:sz w:val="18"/>
                <w:szCs w:val="18"/>
              </w:rPr>
              <w:t>，室内装置：0～+40</w:t>
            </w:r>
            <w:r>
              <w:rPr>
                <w:rFonts w:ascii="Times New Roman" w:eastAsia="宋体" w:hAnsi="Times New Roman" w:cs="宋体" w:hint="eastAsia"/>
                <w:sz w:val="18"/>
                <w:szCs w:val="18"/>
              </w:rPr>
              <w:t>℃</w:t>
            </w:r>
          </w:p>
          <w:p>
            <w:pPr>
              <w:adjustRightInd w:val="0"/>
              <w:snapToGrid w:val="0"/>
              <w:rPr>
                <w:rFonts w:eastAsia="宋体" w:cs="Times New Roman"/>
                <w:sz w:val="18"/>
                <w:szCs w:val="18"/>
              </w:rPr>
            </w:pPr>
          </w:p>
        </w:tc>
      </w:tr>
      <w:tr>
        <w:tblPrEx>
          <w:tblW w:w="0" w:type="auto"/>
          <w:jc w:val="center"/>
          <w:tblLayout w:type="fixed"/>
          <w:tblCellMar>
            <w:top w:w="0" w:type="dxa"/>
            <w:left w:w="108" w:type="dxa"/>
            <w:bottom w:w="0" w:type="dxa"/>
            <w:right w:w="108" w:type="dxa"/>
          </w:tblCellMar>
        </w:tblPrEx>
        <w:trPr>
          <w:trHeight w:hRule="exact" w:val="306"/>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贮存温度</w:t>
            </w:r>
          </w:p>
        </w:tc>
        <w:tc>
          <w:tcPr>
            <w:tcW w:w="4883" w:type="dxa"/>
            <w:gridSpan w:val="2"/>
            <w:vAlign w:val="center"/>
          </w:tcPr>
          <w:p>
            <w:pPr>
              <w:adjustRightInd w:val="0"/>
              <w:snapToGrid w:val="0"/>
              <w:rPr>
                <w:sz w:val="18"/>
                <w:szCs w:val="18"/>
              </w:rPr>
            </w:pPr>
            <w:r>
              <w:rPr>
                <w:rFonts w:ascii="Times New Roman" w:hAnsi="Times New Roman" w:hint="eastAsia"/>
                <w:sz w:val="18"/>
                <w:szCs w:val="18"/>
              </w:rPr>
              <w:t>-50～+60</w:t>
            </w:r>
            <w:r>
              <w:rPr>
                <w:rFonts w:ascii="Times New Roman" w:hAnsi="Times New Roman" w:cs="宋体" w:hint="eastAsia"/>
                <w:sz w:val="18"/>
                <w:szCs w:val="18"/>
              </w:rPr>
              <w:t>℃</w:t>
            </w:r>
          </w:p>
        </w:tc>
      </w:tr>
      <w:tr>
        <w:tblPrEx>
          <w:tblW w:w="0" w:type="auto"/>
          <w:jc w:val="center"/>
          <w:tblLayout w:type="fixed"/>
          <w:tblCellMar>
            <w:top w:w="0" w:type="dxa"/>
            <w:left w:w="108" w:type="dxa"/>
            <w:bottom w:w="0" w:type="dxa"/>
            <w:right w:w="108" w:type="dxa"/>
          </w:tblCellMar>
        </w:tblPrEx>
        <w:trPr>
          <w:trHeight w:hRule="exact" w:val="547"/>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最大湿度（+30</w:t>
            </w:r>
            <w:r>
              <w:rPr>
                <w:rFonts w:ascii="Times New Roman" w:hAnsi="Times New Roman" w:cs="宋体" w:hint="eastAsia"/>
                <w:sz w:val="18"/>
                <w:szCs w:val="18"/>
              </w:rPr>
              <w:t>℃</w:t>
            </w:r>
            <w:r>
              <w:rPr>
                <w:rFonts w:ascii="Times New Roman" w:hAnsi="Times New Roman" w:hint="eastAsia"/>
                <w:sz w:val="18"/>
                <w:szCs w:val="18"/>
              </w:rPr>
              <w:t>）</w:t>
            </w:r>
          </w:p>
        </w:tc>
        <w:tc>
          <w:tcPr>
            <w:tcW w:w="4883" w:type="dxa"/>
            <w:gridSpan w:val="2"/>
            <w:vAlign w:val="center"/>
          </w:tcPr>
          <w:p>
            <w:pPr>
              <w:adjustRightInd w:val="0"/>
              <w:snapToGrid w:val="0"/>
              <w:rPr>
                <w:sz w:val="18"/>
                <w:szCs w:val="18"/>
              </w:rPr>
            </w:pPr>
            <w:r>
              <w:rPr>
                <w:rFonts w:ascii="Times New Roman" w:hAnsi="Times New Roman" w:hint="eastAsia"/>
                <w:sz w:val="18"/>
                <w:szCs w:val="18"/>
              </w:rPr>
              <w:t>室外装置：≤95%，室内装置：≤90%</w:t>
            </w:r>
          </w:p>
        </w:tc>
      </w:tr>
      <w:tr>
        <w:tblPrEx>
          <w:tblW w:w="0" w:type="auto"/>
          <w:jc w:val="center"/>
          <w:tblLayout w:type="fixed"/>
          <w:tblCellMar>
            <w:top w:w="0" w:type="dxa"/>
            <w:left w:w="108" w:type="dxa"/>
            <w:bottom w:w="0" w:type="dxa"/>
            <w:right w:w="108" w:type="dxa"/>
          </w:tblCellMar>
        </w:tblPrEx>
        <w:trPr>
          <w:trHeight w:hRule="exact" w:val="442"/>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抗阵风能力</w:t>
            </w:r>
          </w:p>
        </w:tc>
        <w:tc>
          <w:tcPr>
            <w:tcW w:w="4883" w:type="dxa"/>
            <w:gridSpan w:val="2"/>
            <w:vAlign w:val="center"/>
          </w:tcPr>
          <w:p>
            <w:pPr>
              <w:adjustRightInd w:val="0"/>
              <w:snapToGrid w:val="0"/>
              <w:rPr>
                <w:sz w:val="18"/>
                <w:szCs w:val="18"/>
              </w:rPr>
            </w:pPr>
            <w:r>
              <w:rPr>
                <w:rFonts w:ascii="Times New Roman" w:hAnsi="Times New Roman" w:hint="eastAsia"/>
                <w:sz w:val="18"/>
                <w:szCs w:val="18"/>
              </w:rPr>
              <w:t>60m/s不损坏（球形天线罩），30m/s不损坏（锥形天线罩）</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淋雨</w:t>
            </w:r>
          </w:p>
        </w:tc>
        <w:tc>
          <w:tcPr>
            <w:tcW w:w="4883" w:type="dxa"/>
            <w:gridSpan w:val="2"/>
            <w:vAlign w:val="center"/>
          </w:tcPr>
          <w:p>
            <w:pPr>
              <w:adjustRightInd w:val="0"/>
              <w:snapToGrid w:val="0"/>
              <w:rPr>
                <w:rFonts w:eastAsia="宋体" w:cs="Times New Roman"/>
                <w:sz w:val="18"/>
                <w:szCs w:val="18"/>
              </w:rPr>
            </w:pPr>
            <w:r>
              <w:rPr>
                <w:rFonts w:ascii="Times New Roman" w:hAnsi="Times New Roman" w:hint="eastAsia"/>
                <w:sz w:val="18"/>
                <w:szCs w:val="18"/>
              </w:rPr>
              <w:t>最大降水强度：6mm/min</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lang w:val="zh-CN"/>
              </w:rPr>
            </w:pPr>
            <w:r>
              <w:rPr>
                <w:rFonts w:ascii="Times New Roman" w:hAnsi="Times New Roman" w:hint="eastAsia"/>
                <w:sz w:val="18"/>
                <w:szCs w:val="18"/>
              </w:rPr>
              <w:t>抗干扰</w:t>
            </w:r>
          </w:p>
        </w:tc>
        <w:tc>
          <w:tcPr>
            <w:tcW w:w="4883" w:type="dxa"/>
            <w:gridSpan w:val="2"/>
            <w:vAlign w:val="center"/>
          </w:tcPr>
          <w:p>
            <w:r>
              <w:rPr>
                <w:rFonts w:ascii="Times New Roman" w:eastAsia="宋体" w:hAnsi="Times New Roman" w:hint="eastAsia"/>
                <w:sz w:val="18"/>
                <w:szCs w:val="18"/>
              </w:rPr>
              <w:t>抗电源干扰、电磁干扰、无线电频率干扰等</w:t>
            </w:r>
          </w:p>
          <w:p>
            <w:pPr>
              <w:adjustRightInd w:val="0"/>
              <w:snapToGrid w:val="0"/>
              <w:rPr>
                <w:rFonts w:eastAsia="宋体" w:cs="Times New Roman"/>
                <w:sz w:val="18"/>
                <w:szCs w:val="18"/>
              </w:rPr>
            </w:pPr>
          </w:p>
        </w:tc>
      </w:tr>
      <w:tr>
        <w:tblPrEx>
          <w:tblW w:w="0" w:type="auto"/>
          <w:jc w:val="center"/>
          <w:tblLayout w:type="fixed"/>
          <w:tblCellMar>
            <w:top w:w="0" w:type="dxa"/>
            <w:left w:w="108" w:type="dxa"/>
            <w:bottom w:w="0" w:type="dxa"/>
            <w:right w:w="108" w:type="dxa"/>
          </w:tblCellMar>
        </w:tblPrEx>
        <w:trPr>
          <w:trHeight w:hRule="exact" w:val="469"/>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hint="eastAsia"/>
                <w:sz w:val="18"/>
                <w:szCs w:val="18"/>
              </w:rPr>
              <w:t>其它</w:t>
            </w:r>
          </w:p>
        </w:tc>
        <w:tc>
          <w:tcPr>
            <w:tcW w:w="4883" w:type="dxa"/>
            <w:gridSpan w:val="2"/>
            <w:vAlign w:val="center"/>
          </w:tcPr>
          <w:p>
            <w:r>
              <w:rPr>
                <w:rFonts w:ascii="Times New Roman" w:eastAsia="宋体" w:hAnsi="Times New Roman" w:hint="eastAsia"/>
                <w:sz w:val="18"/>
                <w:szCs w:val="18"/>
              </w:rPr>
              <w:t>防水、防盐雾</w:t>
            </w:r>
          </w:p>
          <w:p>
            <w:pPr>
              <w:adjustRightInd w:val="0"/>
              <w:snapToGrid w:val="0"/>
              <w:rPr>
                <w:sz w:val="18"/>
                <w:szCs w:val="18"/>
              </w:rPr>
            </w:pP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整机功耗（峰值）</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≤3kW</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平均无故障时间（MTBF）</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≥2000h</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平均故障修复时间（MTTR）</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≤0.5h</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架设方式</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可固定架设也可移动式</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微波辐射安全性</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雷达微波漏能功率密度应符合GJB5313-2004的要求</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安全标识</w:t>
            </w:r>
          </w:p>
        </w:tc>
        <w:tc>
          <w:tcPr>
            <w:tcW w:w="4883" w:type="dxa"/>
            <w:gridSpan w:val="2"/>
          </w:tcPr>
          <w:p>
            <w:pPr>
              <w:adjustRightInd w:val="0"/>
              <w:snapToGrid w:val="0"/>
              <w:rPr>
                <w:rFonts w:ascii="Times New Roman" w:hAnsi="Times New Roman"/>
                <w:sz w:val="18"/>
                <w:szCs w:val="18"/>
              </w:rPr>
            </w:pPr>
            <w:r>
              <w:rPr>
                <w:rFonts w:ascii="Times New Roman" w:hAnsi="Times New Roman" w:hint="eastAsia"/>
                <w:sz w:val="18"/>
                <w:szCs w:val="18"/>
              </w:rPr>
              <w:t>微波泄漏部位、机械转动部位、危险电压部位等应有清晰、醒目的安全警示标记</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互换性</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雷达备份零件、部件、组件和功能单元均能在现场更换，无需调整即可正常工作</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电磁兼容性</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雷达具有市电滤波和防电磁干扰的能力，设置静电屏蔽、电磁屏蔽，模拟地线、数字地线和安全地线严格分开，油机地线和避雷地线要单独接地</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安全性</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雷达应有安全性设计，确保雷达按规定条件进行制造、安装、运输、贮存、使用和维护时的人身安全和设备安全</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防雷要求</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接地电阻应不大于4Ω，雷达电源线输入端应加装防雷滤波器，室外电缆一律采用屏蔽电缆或光缆</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绝缘性</w:t>
            </w:r>
          </w:p>
        </w:tc>
        <w:tc>
          <w:tcPr>
            <w:tcW w:w="4883" w:type="dxa"/>
            <w:gridSpan w:val="2"/>
          </w:tcPr>
          <w:p>
            <w:pPr>
              <w:adjustRightInd w:val="0"/>
              <w:snapToGrid w:val="0"/>
              <w:rPr>
                <w:rFonts w:ascii="Times New Roman" w:hAnsi="Times New Roman"/>
                <w:sz w:val="18"/>
                <w:szCs w:val="18"/>
              </w:rPr>
            </w:pPr>
            <w:r>
              <w:rPr>
                <w:rFonts w:ascii="Times New Roman" w:hAnsi="Times New Roman" w:hint="eastAsia"/>
                <w:sz w:val="18"/>
                <w:szCs w:val="18"/>
              </w:rPr>
              <w:t>雷达各初级电源与大地间绝缘电阻应大于1MΩ</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外观质量</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雷达整体形象应协调一致，外表面应无凹痕、碰伤、裂痕和变形等缺陷；镀涂层不起泡、龟裂和脱落；金属零件无锈蚀、毛刺及其它机械损伤</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标记与代号</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机箱、插件和线缆等应有统一的编号和标记，符合国家标准；印制板、主要元器件等应在相应位置印有与电路图中项目代号相符的标记；</w:t>
            </w:r>
          </w:p>
          <w:p>
            <w:pPr>
              <w:adjustRightInd w:val="0"/>
              <w:snapToGrid w:val="0"/>
              <w:rPr>
                <w:rFonts w:ascii="Times New Roman" w:hAnsi="Times New Roman"/>
                <w:sz w:val="18"/>
                <w:szCs w:val="18"/>
              </w:rPr>
            </w:pPr>
            <w:r>
              <w:rPr>
                <w:rFonts w:ascii="Times New Roman" w:hAnsi="Times New Roman" w:hint="eastAsia"/>
                <w:sz w:val="18"/>
                <w:szCs w:val="18"/>
              </w:rPr>
              <w:t>标记的文字、字母和符号应完整、规范、清晰和牢固，且便于识读</w:t>
            </w:r>
          </w:p>
        </w:tc>
      </w:tr>
      <w:tr>
        <w:tblPrEx>
          <w:tblW w:w="0" w:type="auto"/>
          <w:jc w:val="center"/>
          <w:tblLayout w:type="fixed"/>
          <w:tblCellMar>
            <w:top w:w="0" w:type="dxa"/>
            <w:left w:w="108" w:type="dxa"/>
            <w:bottom w:w="0" w:type="dxa"/>
            <w:right w:w="108" w:type="dxa"/>
          </w:tblCellMar>
        </w:tblPrEx>
        <w:trPr>
          <w:trHeight w:hRule="exact" w:val="454"/>
          <w:jc w:val="center"/>
        </w:trPr>
        <w:tc>
          <w:tcPr>
            <w:tcW w:w="3527" w:type="dxa"/>
            <w:gridSpan w:val="3"/>
            <w:vAlign w:val="center"/>
          </w:tcPr>
          <w:p>
            <w:pPr>
              <w:adjustRightInd w:val="0"/>
              <w:snapToGrid w:val="0"/>
              <w:rPr>
                <w:rFonts w:ascii="Times New Roman" w:hAnsi="Times New Roman"/>
                <w:sz w:val="18"/>
                <w:szCs w:val="18"/>
              </w:rPr>
            </w:pPr>
            <w:r>
              <w:rPr>
                <w:rFonts w:ascii="Times New Roman" w:hAnsi="Times New Roman" w:hint="eastAsia"/>
                <w:sz w:val="18"/>
                <w:szCs w:val="18"/>
              </w:rPr>
              <w:t>铭牌内容</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雷达的名称、型号（代号）；出厂编号；出厂年月；制造厂商标</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restart"/>
            <w:vAlign w:val="center"/>
          </w:tcPr>
          <w:p>
            <w:pPr>
              <w:rPr>
                <w:rFonts w:eastAsia="宋体"/>
                <w:sz w:val="18"/>
                <w:szCs w:val="18"/>
              </w:rPr>
            </w:pPr>
            <w:r>
              <w:rPr>
                <w:rFonts w:hint="eastAsia"/>
                <w:sz w:val="18"/>
                <w:szCs w:val="18"/>
              </w:rPr>
              <w:t>天线</w:t>
            </w:r>
          </w:p>
        </w:tc>
        <w:tc>
          <w:tcPr>
            <w:tcW w:w="2039" w:type="dxa"/>
            <w:gridSpan w:val="2"/>
            <w:vAlign w:val="center"/>
          </w:tcPr>
          <w:p>
            <w:pPr>
              <w:rPr>
                <w:rFonts w:eastAsia="宋体" w:cs="Times New Roman"/>
                <w:sz w:val="18"/>
                <w:szCs w:val="18"/>
              </w:rPr>
            </w:pPr>
            <w:r>
              <w:rPr>
                <w:sz w:val="20"/>
              </w:rPr>
              <w:t>增益</w:t>
            </w:r>
            <w:r>
              <w:rPr>
                <w:rFonts w:ascii="Times New Roman" w:hAnsi="Times New Roman" w:cs="Times New Roman" w:hint="eastAsia"/>
                <w:b/>
                <w:bCs/>
                <w:sz w:val="18"/>
                <w:szCs w:val="18"/>
              </w:rPr>
              <w:t>#</w:t>
            </w:r>
          </w:p>
        </w:tc>
        <w:tc>
          <w:tcPr>
            <w:tcW w:w="4883" w:type="dxa"/>
            <w:gridSpan w:val="2"/>
            <w:vAlign w:val="center"/>
          </w:tcPr>
          <w:p>
            <w:pPr>
              <w:rPr>
                <w:sz w:val="18"/>
                <w:szCs w:val="18"/>
              </w:rPr>
            </w:pPr>
            <w:r>
              <w:rPr>
                <w:sz w:val="20"/>
              </w:rPr>
              <w:t>&gt;5</w:t>
            </w:r>
            <w:r>
              <w:rPr>
                <w:rFonts w:hint="eastAsia"/>
                <w:sz w:val="20"/>
              </w:rPr>
              <w:t>1</w:t>
            </w:r>
            <w:r>
              <w:rPr>
                <w:sz w:val="20"/>
              </w:rPr>
              <w:t>.0dB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rPr>
                <w:rFonts w:eastAsia="宋体" w:cs="Times New Roman"/>
                <w:sz w:val="18"/>
                <w:szCs w:val="18"/>
              </w:rPr>
            </w:pPr>
            <w:r>
              <w:rPr>
                <w:sz w:val="20"/>
              </w:rPr>
              <w:t>波束宽度</w:t>
            </w:r>
          </w:p>
        </w:tc>
        <w:tc>
          <w:tcPr>
            <w:tcW w:w="4883" w:type="dxa"/>
            <w:gridSpan w:val="2"/>
            <w:vAlign w:val="center"/>
          </w:tcPr>
          <w:p>
            <w:pPr>
              <w:rPr>
                <w:sz w:val="18"/>
                <w:szCs w:val="18"/>
              </w:rPr>
            </w:pPr>
            <w:r>
              <w:rPr>
                <w:sz w:val="20"/>
              </w:rPr>
              <w:t>&lt;0.4</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rPr>
                <w:rFonts w:eastAsia="宋体" w:cs="Times New Roman"/>
                <w:sz w:val="18"/>
                <w:szCs w:val="18"/>
              </w:rPr>
            </w:pPr>
            <w:r>
              <w:rPr>
                <w:sz w:val="20"/>
              </w:rPr>
              <w:t>第一副瓣电平</w:t>
            </w:r>
          </w:p>
        </w:tc>
        <w:tc>
          <w:tcPr>
            <w:tcW w:w="4883" w:type="dxa"/>
            <w:gridSpan w:val="2"/>
            <w:vAlign w:val="center"/>
          </w:tcPr>
          <w:p>
            <w:pPr>
              <w:rPr>
                <w:sz w:val="18"/>
                <w:szCs w:val="18"/>
              </w:rPr>
            </w:pPr>
            <w:r>
              <w:rPr>
                <w:rFonts w:hint="eastAsia"/>
                <w:sz w:val="20"/>
              </w:rPr>
              <w:t>水平极化≤</w:t>
            </w:r>
            <w:r>
              <w:rPr>
                <w:sz w:val="20"/>
              </w:rPr>
              <w:t>-</w:t>
            </w:r>
            <w:r>
              <w:rPr>
                <w:rFonts w:hint="eastAsia"/>
                <w:sz w:val="20"/>
              </w:rPr>
              <w:t>25</w:t>
            </w:r>
            <w:r>
              <w:rPr>
                <w:sz w:val="20"/>
              </w:rPr>
              <w:t>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rPr>
                <w:rFonts w:eastAsia="宋体" w:cs="Times New Roman"/>
                <w:sz w:val="18"/>
                <w:szCs w:val="18"/>
              </w:rPr>
            </w:pPr>
            <w:r>
              <w:rPr>
                <w:rFonts w:ascii="Times New Roman" w:hAnsi="Times New Roman" w:cs="Times New Roman"/>
                <w:sz w:val="20"/>
              </w:rPr>
              <w:t>双通道馈线损耗差</w:t>
            </w:r>
            <w:r>
              <w:rPr>
                <w:rFonts w:ascii="Times New Roman" w:hAnsi="Times New Roman" w:cs="Times New Roman" w:hint="eastAsia"/>
                <w:b/>
                <w:bCs/>
                <w:sz w:val="18"/>
                <w:szCs w:val="18"/>
              </w:rPr>
              <w:t>#</w:t>
            </w:r>
          </w:p>
        </w:tc>
        <w:tc>
          <w:tcPr>
            <w:tcW w:w="4883" w:type="dxa"/>
            <w:gridSpan w:val="2"/>
            <w:vAlign w:val="center"/>
          </w:tcPr>
          <w:p>
            <w:pPr>
              <w:rPr>
                <w:sz w:val="18"/>
                <w:szCs w:val="18"/>
              </w:rPr>
            </w:pPr>
            <w:r>
              <w:rPr>
                <w:rFonts w:ascii="宋体" w:hAnsi="宋体" w:hint="eastAsia"/>
                <w:sz w:val="18"/>
                <w:szCs w:val="18"/>
              </w:rPr>
              <w:t>≤</w:t>
            </w:r>
            <w:r>
              <w:rPr>
                <w:rFonts w:ascii="宋体" w:hAnsi="宋体"/>
                <w:sz w:val="18"/>
                <w:szCs w:val="18"/>
              </w:rPr>
              <w:t>0.5</w:t>
            </w:r>
            <w:r>
              <w:rPr>
                <w:rFonts w:ascii="宋体" w:hAnsi="宋体" w:hint="eastAsia"/>
                <w:sz w:val="18"/>
                <w:szCs w:val="18"/>
              </w:rPr>
              <w:t>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restart"/>
            <w:vAlign w:val="center"/>
          </w:tcPr>
          <w:p>
            <w:pPr>
              <w:rPr>
                <w:sz w:val="18"/>
                <w:szCs w:val="18"/>
              </w:rPr>
            </w:pPr>
            <w:r>
              <w:rPr>
                <w:sz w:val="18"/>
                <w:szCs w:val="18"/>
              </w:rPr>
              <w:t>发射机</w:t>
            </w:r>
          </w:p>
        </w:tc>
        <w:tc>
          <w:tcPr>
            <w:tcW w:w="2039" w:type="dxa"/>
            <w:gridSpan w:val="2"/>
            <w:vAlign w:val="center"/>
          </w:tcPr>
          <w:p>
            <w:pPr>
              <w:rPr>
                <w:sz w:val="18"/>
                <w:szCs w:val="18"/>
              </w:rPr>
            </w:pPr>
            <w:r>
              <w:rPr>
                <w:rFonts w:eastAsia="宋体" w:cs="Times New Roman" w:hint="eastAsia"/>
                <w:sz w:val="18"/>
                <w:szCs w:val="18"/>
              </w:rPr>
              <w:t>发射峰值功率</w:t>
            </w:r>
            <w:r>
              <w:rPr>
                <w:rFonts w:ascii="Times New Roman" w:hAnsi="Times New Roman" w:cs="Times New Roman" w:hint="eastAsia"/>
                <w:b/>
                <w:bCs/>
                <w:sz w:val="18"/>
                <w:szCs w:val="18"/>
              </w:rPr>
              <w:t>#</w:t>
            </w:r>
          </w:p>
        </w:tc>
        <w:tc>
          <w:tcPr>
            <w:tcW w:w="4883" w:type="dxa"/>
            <w:gridSpan w:val="2"/>
            <w:vAlign w:val="center"/>
          </w:tcPr>
          <w:p>
            <w:pPr>
              <w:pStyle w:val="ListParagraph"/>
              <w:widowControl w:val="0"/>
              <w:spacing w:line="360" w:lineRule="auto"/>
              <w:ind w:firstLine="0" w:firstLineChars="0"/>
              <w:rPr>
                <w:rFonts w:ascii="Times New Roman" w:eastAsia="宋体" w:hAnsi="Times New Roman" w:cs="仿宋"/>
                <w:color w:val="auto"/>
                <w:spacing w:val="-17"/>
                <w:sz w:val="18"/>
                <w:szCs w:val="18"/>
              </w:rPr>
            </w:pPr>
            <w:r>
              <w:rPr>
                <w:rFonts w:ascii="Times New Roman" w:eastAsia="宋体" w:hAnsi="Times New Roman" w:cs="仿宋" w:hint="eastAsia"/>
                <w:color w:val="auto"/>
                <w:spacing w:val="-17"/>
                <w:sz w:val="18"/>
                <w:szCs w:val="18"/>
                <w:lang w:val="en-US"/>
              </w:rPr>
              <w:t>≥100</w:t>
            </w:r>
            <w:r>
              <w:rPr>
                <w:rFonts w:ascii="Times New Roman" w:eastAsia="宋体" w:hAnsi="Times New Roman" w:cs="仿宋" w:hint="eastAsia"/>
                <w:color w:val="auto"/>
                <w:spacing w:val="-17"/>
                <w:sz w:val="18"/>
                <w:szCs w:val="18"/>
              </w:rPr>
              <w:t>W</w:t>
            </w:r>
          </w:p>
          <w:p>
            <w:pPr>
              <w:rPr>
                <w:sz w:val="18"/>
                <w:szCs w:val="18"/>
              </w:rPr>
            </w:pP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sz w:val="18"/>
                <w:szCs w:val="18"/>
              </w:rPr>
              <w:t>脉冲重复频率</w:t>
            </w:r>
          </w:p>
        </w:tc>
        <w:tc>
          <w:tcPr>
            <w:tcW w:w="4883" w:type="dxa"/>
            <w:gridSpan w:val="2"/>
            <w:vAlign w:val="center"/>
          </w:tcPr>
          <w:p>
            <w:pPr>
              <w:rPr>
                <w:sz w:val="18"/>
                <w:szCs w:val="18"/>
              </w:rPr>
            </w:pPr>
            <w:r>
              <w:rPr>
                <w:rFonts w:ascii="Times New Roman" w:eastAsia="宋体" w:hAnsi="Times New Roman"/>
                <w:sz w:val="18"/>
                <w:szCs w:val="18"/>
              </w:rPr>
              <w:t>1000Hz～10000Hz</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sz w:val="18"/>
                <w:szCs w:val="18"/>
              </w:rPr>
              <w:t>机内功率检测波动</w:t>
            </w:r>
          </w:p>
        </w:tc>
        <w:tc>
          <w:tcPr>
            <w:tcW w:w="4883" w:type="dxa"/>
            <w:gridSpan w:val="2"/>
            <w:vAlign w:val="center"/>
          </w:tcPr>
          <w:p>
            <w:pPr>
              <w:adjustRightInd w:val="0"/>
              <w:snapToGrid w:val="0"/>
              <w:rPr>
                <w:sz w:val="18"/>
                <w:szCs w:val="18"/>
              </w:rPr>
            </w:pPr>
            <w:r>
              <w:rPr>
                <w:rFonts w:ascii="Times New Roman" w:hAnsi="Times New Roman"/>
                <w:sz w:val="18"/>
                <w:szCs w:val="18"/>
              </w:rPr>
              <w:t>≤0.2dB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sz w:val="18"/>
                <w:szCs w:val="18"/>
              </w:rPr>
              <w:t>脉冲宽度</w:t>
            </w:r>
          </w:p>
        </w:tc>
        <w:tc>
          <w:tcPr>
            <w:tcW w:w="4883" w:type="dxa"/>
            <w:gridSpan w:val="2"/>
            <w:vAlign w:val="center"/>
          </w:tcPr>
          <w:p>
            <w:pPr>
              <w:adjustRightInd w:val="0"/>
              <w:snapToGrid w:val="0"/>
              <w:rPr>
                <w:sz w:val="18"/>
                <w:szCs w:val="18"/>
              </w:rPr>
            </w:pPr>
            <w:r>
              <w:rPr>
                <w:rFonts w:ascii="Times New Roman" w:hAnsi="Times New Roman" w:hint="eastAsia"/>
                <w:sz w:val="18"/>
                <w:szCs w:val="18"/>
              </w:rPr>
              <w:t>0.2</w:t>
            </w:r>
            <w:r>
              <w:rPr>
                <w:rFonts w:ascii="Times New Roman" w:hAnsi="Times New Roman"/>
                <w:sz w:val="18"/>
                <w:szCs w:val="18"/>
              </w:rPr>
              <w:t>μs～40μs（可</w:t>
            </w:r>
            <w:r>
              <w:rPr>
                <w:rFonts w:ascii="Times New Roman" w:hAnsi="Times New Roman" w:hint="eastAsia"/>
                <w:sz w:val="18"/>
                <w:szCs w:val="18"/>
              </w:rPr>
              <w:t>调</w:t>
            </w:r>
            <w:r>
              <w:rPr>
                <w:rFonts w:ascii="Times New Roman" w:hAnsi="Times New Roman"/>
                <w:sz w:val="18"/>
                <w:szCs w:val="18"/>
              </w:rPr>
              <w:t>）</w:t>
            </w:r>
            <w:r>
              <w:rPr>
                <w:rFonts w:ascii="Times New Roman" w:hAnsi="Times New Roman" w:hint="eastAsia"/>
                <w:sz w:val="18"/>
                <w:szCs w:val="18"/>
              </w:rPr>
              <w:t>，0.2</w:t>
            </w:r>
            <w:r>
              <w:rPr>
                <w:rFonts w:ascii="Times New Roman" w:hAnsi="Times New Roman"/>
                <w:sz w:val="18"/>
                <w:szCs w:val="18"/>
              </w:rPr>
              <w:t>μs</w:t>
            </w:r>
            <w:r>
              <w:rPr>
                <w:rFonts w:ascii="Times New Roman" w:hAnsi="Times New Roman" w:hint="eastAsia"/>
                <w:sz w:val="18"/>
                <w:szCs w:val="18"/>
              </w:rPr>
              <w:t>必选</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sz w:val="18"/>
                <w:szCs w:val="18"/>
              </w:rPr>
            </w:pPr>
            <w:r>
              <w:rPr>
                <w:rFonts w:ascii="Times New Roman" w:hAnsi="Times New Roman"/>
                <w:sz w:val="18"/>
                <w:szCs w:val="18"/>
              </w:rPr>
              <w:t>谐波和杂散抑制</w:t>
            </w:r>
          </w:p>
        </w:tc>
        <w:tc>
          <w:tcPr>
            <w:tcW w:w="4883" w:type="dxa"/>
            <w:gridSpan w:val="2"/>
            <w:vAlign w:val="center"/>
          </w:tcPr>
          <w:p>
            <w:pPr>
              <w:adjustRightInd w:val="0"/>
              <w:snapToGrid w:val="0"/>
              <w:rPr>
                <w:sz w:val="18"/>
                <w:szCs w:val="18"/>
              </w:rPr>
            </w:pPr>
            <w:r>
              <w:rPr>
                <w:rFonts w:ascii="Times New Roman" w:hAnsi="Times New Roman"/>
                <w:sz w:val="18"/>
                <w:szCs w:val="18"/>
              </w:rPr>
              <w:t>≥40dB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ign w:val="center"/>
          </w:tcPr>
          <w:p>
            <w:pPr>
              <w:rPr>
                <w:sz w:val="18"/>
                <w:szCs w:val="18"/>
              </w:rPr>
            </w:pPr>
          </w:p>
        </w:tc>
        <w:tc>
          <w:tcPr>
            <w:tcW w:w="2039" w:type="dxa"/>
            <w:gridSpan w:val="2"/>
            <w:vAlign w:val="center"/>
          </w:tcPr>
          <w:p>
            <w:pPr>
              <w:adjustRightInd w:val="0"/>
              <w:snapToGrid w:val="0"/>
              <w:rPr>
                <w:rFonts w:ascii="Times New Roman" w:eastAsia="宋体" w:hAnsi="Times New Roman"/>
                <w:sz w:val="18"/>
                <w:szCs w:val="18"/>
              </w:rPr>
            </w:pPr>
            <w:r>
              <w:rPr>
                <w:rFonts w:ascii="Times New Roman" w:hAnsi="Times New Roman" w:hint="eastAsia"/>
                <w:sz w:val="18"/>
                <w:szCs w:val="18"/>
              </w:rPr>
              <w:t>极限</w:t>
            </w:r>
            <w:r>
              <w:rPr>
                <w:rFonts w:ascii="Times New Roman" w:hAnsi="Times New Roman"/>
                <w:sz w:val="18"/>
                <w:szCs w:val="18"/>
              </w:rPr>
              <w:t>改善因子</w:t>
            </w:r>
            <w:r>
              <w:rPr>
                <w:rFonts w:hint="eastAsia"/>
                <w:sz w:val="18"/>
                <w:szCs w:val="18"/>
              </w:rPr>
              <w:t>#</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sz w:val="18"/>
                <w:szCs w:val="18"/>
              </w:rPr>
              <w:t>≥</w:t>
            </w:r>
            <w:r>
              <w:rPr>
                <w:rFonts w:ascii="Times New Roman" w:hAnsi="Times New Roman" w:hint="eastAsia"/>
                <w:sz w:val="18"/>
                <w:szCs w:val="18"/>
              </w:rPr>
              <w:t>4</w:t>
            </w:r>
            <w:r>
              <w:rPr>
                <w:rFonts w:ascii="Times New Roman" w:hAnsi="Times New Roman"/>
                <w:sz w:val="18"/>
                <w:szCs w:val="18"/>
              </w:rPr>
              <w:t>0dB</w:t>
            </w:r>
          </w:p>
        </w:tc>
      </w:tr>
      <w:tr>
        <w:tblPrEx>
          <w:tblW w:w="0" w:type="auto"/>
          <w:jc w:val="center"/>
          <w:tblLayout w:type="fixed"/>
          <w:tblCellMar>
            <w:top w:w="0" w:type="dxa"/>
            <w:left w:w="108" w:type="dxa"/>
            <w:bottom w:w="0" w:type="dxa"/>
            <w:right w:w="108" w:type="dxa"/>
          </w:tblCellMar>
        </w:tblPrEx>
        <w:trPr>
          <w:trHeight w:hRule="exact" w:val="454"/>
          <w:jc w:val="center"/>
        </w:trPr>
        <w:tc>
          <w:tcPr>
            <w:tcW w:w="1488" w:type="dxa"/>
            <w:vMerge w:val="restart"/>
            <w:vAlign w:val="center"/>
          </w:tcPr>
          <w:p>
            <w:pPr>
              <w:rPr>
                <w:sz w:val="18"/>
                <w:szCs w:val="18"/>
              </w:rPr>
            </w:pPr>
            <w:r>
              <w:rPr>
                <w:sz w:val="18"/>
                <w:szCs w:val="18"/>
              </w:rPr>
              <w:t>接收机</w:t>
            </w:r>
          </w:p>
          <w:p/>
        </w:tc>
        <w:tc>
          <w:tcPr>
            <w:tcW w:w="2039" w:type="dxa"/>
            <w:gridSpan w:val="2"/>
            <w:vAlign w:val="center"/>
          </w:tcPr>
          <w:p>
            <w:pPr>
              <w:adjustRightInd w:val="0"/>
              <w:snapToGrid w:val="0"/>
              <w:rPr>
                <w:sz w:val="18"/>
                <w:szCs w:val="18"/>
              </w:rPr>
            </w:pPr>
            <w:r>
              <w:rPr>
                <w:rFonts w:ascii="Times New Roman" w:hAnsi="Times New Roman"/>
                <w:sz w:val="18"/>
                <w:szCs w:val="18"/>
              </w:rPr>
              <w:t>噪声系数</w:t>
            </w:r>
            <w:r>
              <w:rPr>
                <w:rFonts w:ascii="Times New Roman" w:hAnsi="Times New Roman" w:hint="eastAsia"/>
                <w:sz w:val="18"/>
                <w:szCs w:val="18"/>
              </w:rPr>
              <w:t>（不含环形器和限幅器）</w:t>
            </w:r>
            <w:r>
              <w:rPr>
                <w:rFonts w:ascii="Times New Roman" w:hAnsi="Times New Roman" w:cs="Times New Roman" w:hint="eastAsia"/>
                <w:b/>
                <w:bCs/>
                <w:sz w:val="18"/>
                <w:szCs w:val="18"/>
              </w:rPr>
              <w:t>#</w:t>
            </w:r>
          </w:p>
        </w:tc>
        <w:tc>
          <w:tcPr>
            <w:tcW w:w="4883" w:type="dxa"/>
            <w:gridSpan w:val="2"/>
            <w:vAlign w:val="center"/>
          </w:tcPr>
          <w:p>
            <w:pPr>
              <w:adjustRightInd w:val="0"/>
              <w:snapToGrid w:val="0"/>
              <w:rPr>
                <w:sz w:val="18"/>
                <w:szCs w:val="18"/>
              </w:rPr>
            </w:pPr>
            <w:r>
              <w:rPr>
                <w:rFonts w:ascii="Times New Roman" w:hAnsi="Times New Roman"/>
                <w:sz w:val="18"/>
                <w:szCs w:val="18"/>
              </w:rPr>
              <w:t>≤</w:t>
            </w:r>
            <w:r>
              <w:rPr>
                <w:rFonts w:ascii="Times New Roman" w:hAnsi="Times New Roman" w:hint="eastAsia"/>
                <w:sz w:val="18"/>
                <w:szCs w:val="18"/>
              </w:rPr>
              <w:t>5</w:t>
            </w:r>
            <w:r>
              <w:rPr>
                <w:rFonts w:ascii="Times New Roman" w:hAnsi="Times New Roman"/>
                <w:sz w:val="18"/>
                <w:szCs w:val="18"/>
              </w:rPr>
              <w:t>dB</w:t>
            </w:r>
          </w:p>
        </w:tc>
      </w:tr>
      <w:tr>
        <w:tblPrEx>
          <w:tblW w:w="0" w:type="auto"/>
          <w:jc w:val="center"/>
          <w:tblLayout w:type="fixed"/>
          <w:tblCellMar>
            <w:top w:w="0" w:type="dxa"/>
            <w:left w:w="108" w:type="dxa"/>
            <w:bottom w:w="0" w:type="dxa"/>
            <w:right w:w="108" w:type="dxa"/>
          </w:tblCellMar>
        </w:tblPrEx>
        <w:trPr>
          <w:trHeight w:hRule="exact" w:val="639"/>
          <w:jc w:val="center"/>
        </w:trPr>
        <w:tc>
          <w:tcPr>
            <w:tcW w:w="1488" w:type="dxa"/>
            <w:vMerge/>
            <w:vAlign w:val="center"/>
          </w:tcPr>
          <w:p>
            <w:pPr>
              <w:rPr>
                <w:sz w:val="18"/>
                <w:szCs w:val="18"/>
              </w:rPr>
            </w:pPr>
          </w:p>
        </w:tc>
        <w:tc>
          <w:tcPr>
            <w:tcW w:w="2039" w:type="dxa"/>
            <w:gridSpan w:val="2"/>
            <w:vAlign w:val="center"/>
          </w:tcPr>
          <w:p>
            <w:pPr>
              <w:adjustRightInd w:val="0"/>
              <w:snapToGrid w:val="0"/>
              <w:rPr>
                <w:rFonts w:eastAsia="宋体"/>
                <w:sz w:val="18"/>
                <w:szCs w:val="18"/>
              </w:rPr>
            </w:pPr>
            <w:r>
              <w:rPr>
                <w:rFonts w:ascii="Times New Roman" w:hAnsi="Times New Roman"/>
                <w:sz w:val="18"/>
                <w:szCs w:val="18"/>
              </w:rPr>
              <w:t>线性动态范围</w:t>
            </w:r>
            <w:r>
              <w:rPr>
                <w:rFonts w:hint="eastAsia"/>
                <w:sz w:val="18"/>
                <w:szCs w:val="18"/>
              </w:rPr>
              <w:t>#</w:t>
            </w:r>
          </w:p>
        </w:tc>
        <w:tc>
          <w:tcPr>
            <w:tcW w:w="4883" w:type="dxa"/>
            <w:gridSpan w:val="2"/>
            <w:vAlign w:val="center"/>
          </w:tcPr>
          <w:p>
            <w:pPr>
              <w:adjustRightInd w:val="0"/>
              <w:snapToGrid w:val="0"/>
              <w:rPr>
                <w:sz w:val="18"/>
                <w:szCs w:val="18"/>
              </w:rPr>
            </w:pPr>
            <w:r>
              <w:rPr>
                <w:rFonts w:ascii="Times New Roman" w:hAnsi="Times New Roman"/>
                <w:sz w:val="18"/>
                <w:szCs w:val="18"/>
              </w:rPr>
              <w:t>≥</w:t>
            </w:r>
            <w:r>
              <w:rPr>
                <w:rFonts w:ascii="Times New Roman" w:hAnsi="Times New Roman" w:hint="eastAsia"/>
                <w:sz w:val="18"/>
                <w:szCs w:val="18"/>
              </w:rPr>
              <w:t>8</w:t>
            </w:r>
            <w:r>
              <w:rPr>
                <w:rFonts w:ascii="Times New Roman" w:hAnsi="Times New Roman"/>
                <w:sz w:val="18"/>
                <w:szCs w:val="18"/>
              </w:rPr>
              <w:t>0dB（带宽</w:t>
            </w:r>
            <w:r>
              <w:rPr>
                <w:rFonts w:ascii="Times New Roman" w:hAnsi="Times New Roman" w:hint="eastAsia"/>
                <w:sz w:val="18"/>
                <w:szCs w:val="18"/>
              </w:rPr>
              <w:t>1</w:t>
            </w:r>
            <w:r>
              <w:rPr>
                <w:rFonts w:ascii="Times New Roman" w:hAnsi="Times New Roman"/>
                <w:sz w:val="18"/>
                <w:szCs w:val="18"/>
              </w:rPr>
              <w:t>MHz）</w:t>
            </w:r>
          </w:p>
        </w:tc>
      </w:tr>
      <w:tr>
        <w:tblPrEx>
          <w:tblW w:w="0" w:type="auto"/>
          <w:jc w:val="center"/>
          <w:tblLayout w:type="fixed"/>
          <w:tblCellMar>
            <w:top w:w="0" w:type="dxa"/>
            <w:left w:w="108" w:type="dxa"/>
            <w:bottom w:w="0" w:type="dxa"/>
            <w:right w:w="108" w:type="dxa"/>
          </w:tblCellMar>
        </w:tblPrEx>
        <w:trPr>
          <w:trHeight w:hRule="exact" w:val="619"/>
          <w:jc w:val="center"/>
        </w:trPr>
        <w:tc>
          <w:tcPr>
            <w:tcW w:w="1488" w:type="dxa"/>
            <w:vMerge/>
            <w:vAlign w:val="center"/>
          </w:tcPr>
          <w:p>
            <w:pPr>
              <w:rPr>
                <w:sz w:val="18"/>
                <w:szCs w:val="18"/>
              </w:rPr>
            </w:pPr>
          </w:p>
        </w:tc>
        <w:tc>
          <w:tcPr>
            <w:tcW w:w="2039" w:type="dxa"/>
            <w:gridSpan w:val="2"/>
            <w:vAlign w:val="center"/>
          </w:tcPr>
          <w:p>
            <w:pPr>
              <w:adjustRightInd w:val="0"/>
              <w:snapToGrid w:val="0"/>
              <w:rPr>
                <w:rFonts w:eastAsia="宋体"/>
                <w:sz w:val="18"/>
                <w:szCs w:val="18"/>
              </w:rPr>
            </w:pPr>
            <w:r>
              <w:rPr>
                <w:rFonts w:ascii="Times New Roman" w:hAnsi="Times New Roman"/>
                <w:sz w:val="18"/>
                <w:szCs w:val="18"/>
              </w:rPr>
              <w:t>最小可测功率（灵敏度）</w:t>
            </w:r>
            <w:r>
              <w:rPr>
                <w:rFonts w:hint="eastAsia"/>
                <w:sz w:val="18"/>
                <w:szCs w:val="18"/>
              </w:rPr>
              <w:t>#</w:t>
            </w:r>
          </w:p>
        </w:tc>
        <w:tc>
          <w:tcPr>
            <w:tcW w:w="4883" w:type="dxa"/>
            <w:gridSpan w:val="2"/>
            <w:vAlign w:val="center"/>
          </w:tcPr>
          <w:p>
            <w:pPr>
              <w:snapToGrid w:val="0"/>
              <w:spacing w:line="360" w:lineRule="auto"/>
              <w:rPr>
                <w:sz w:val="18"/>
                <w:szCs w:val="18"/>
              </w:rPr>
            </w:pPr>
            <w:r>
              <w:rPr>
                <w:rFonts w:ascii="Times New Roman" w:hAnsi="Times New Roman"/>
                <w:sz w:val="18"/>
                <w:szCs w:val="18"/>
              </w:rPr>
              <w:t>≤-100dBm（带宽5MHz）</w:t>
            </w:r>
            <w:r>
              <w:rPr>
                <w:rFonts w:hint="eastAsia"/>
                <w:sz w:val="18"/>
                <w:szCs w:val="18"/>
              </w:rPr>
              <w:t>，</w:t>
            </w:r>
            <w:r>
              <w:rPr>
                <w:sz w:val="18"/>
                <w:szCs w:val="18"/>
              </w:rPr>
              <w:t>≤-30dBZ（10km高度，不计大气衰减）</w:t>
            </w:r>
          </w:p>
          <w:p/>
          <w:p>
            <w:pPr>
              <w:adjustRightInd w:val="0"/>
              <w:snapToGrid w:val="0"/>
              <w:rPr>
                <w:sz w:val="18"/>
                <w:szCs w:val="18"/>
              </w:rPr>
            </w:pPr>
          </w:p>
        </w:tc>
      </w:tr>
      <w:tr>
        <w:tblPrEx>
          <w:tblW w:w="0" w:type="auto"/>
          <w:jc w:val="center"/>
          <w:tblLayout w:type="fixed"/>
          <w:tblCellMar>
            <w:top w:w="0" w:type="dxa"/>
            <w:left w:w="108" w:type="dxa"/>
            <w:bottom w:w="0" w:type="dxa"/>
            <w:right w:w="108" w:type="dxa"/>
          </w:tblCellMar>
        </w:tblPrEx>
        <w:trPr>
          <w:trHeight w:hRule="exact" w:val="619"/>
          <w:jc w:val="center"/>
        </w:trPr>
        <w:tc>
          <w:tcPr>
            <w:tcW w:w="1488" w:type="dxa"/>
            <w:vMerge/>
            <w:vAlign w:val="center"/>
          </w:tcPr>
          <w:p/>
        </w:tc>
        <w:tc>
          <w:tcPr>
            <w:tcW w:w="2039" w:type="dxa"/>
            <w:gridSpan w:val="2"/>
            <w:vAlign w:val="center"/>
          </w:tcPr>
          <w:p>
            <w:r>
              <w:rPr>
                <w:rFonts w:ascii="Times New Roman" w:hAnsi="Times New Roman"/>
                <w:sz w:val="18"/>
                <w:szCs w:val="18"/>
              </w:rPr>
              <w:t>镜频抑制度</w:t>
            </w:r>
          </w:p>
        </w:tc>
        <w:tc>
          <w:tcPr>
            <w:tcW w:w="4883" w:type="dxa"/>
            <w:gridSpan w:val="2"/>
            <w:vAlign w:val="center"/>
          </w:tcPr>
          <w:p>
            <w:r>
              <w:rPr>
                <w:rFonts w:ascii="Times New Roman" w:hAnsi="Times New Roman"/>
                <w:sz w:val="18"/>
                <w:szCs w:val="18"/>
              </w:rPr>
              <w:t>≥60dB</w:t>
            </w:r>
          </w:p>
        </w:tc>
      </w:tr>
      <w:tr>
        <w:tblPrEx>
          <w:tblW w:w="0" w:type="auto"/>
          <w:jc w:val="center"/>
          <w:tblLayout w:type="fixed"/>
          <w:tblCellMar>
            <w:top w:w="0" w:type="dxa"/>
            <w:left w:w="108" w:type="dxa"/>
            <w:bottom w:w="0" w:type="dxa"/>
            <w:right w:w="108" w:type="dxa"/>
          </w:tblCellMar>
        </w:tblPrEx>
        <w:trPr>
          <w:trHeight w:hRule="exact" w:val="374"/>
          <w:jc w:val="center"/>
        </w:trPr>
        <w:tc>
          <w:tcPr>
            <w:tcW w:w="1488" w:type="dxa"/>
            <w:vMerge/>
            <w:vAlign w:val="center"/>
          </w:tcPr>
          <w:p/>
        </w:tc>
        <w:tc>
          <w:tcPr>
            <w:tcW w:w="2039" w:type="dxa"/>
            <w:gridSpan w:val="2"/>
            <w:vAlign w:val="center"/>
          </w:tcPr>
          <w:p>
            <w:r>
              <w:rPr>
                <w:rFonts w:ascii="Times New Roman" w:hAnsi="Times New Roman"/>
                <w:sz w:val="18"/>
                <w:szCs w:val="18"/>
              </w:rPr>
              <w:t>中频输出杂散</w:t>
            </w:r>
          </w:p>
        </w:tc>
        <w:tc>
          <w:tcPr>
            <w:tcW w:w="4883" w:type="dxa"/>
            <w:gridSpan w:val="2"/>
            <w:vAlign w:val="center"/>
          </w:tcPr>
          <w:p>
            <w:r>
              <w:rPr>
                <w:rFonts w:ascii="Times New Roman" w:hAnsi="Times New Roman"/>
                <w:sz w:val="18"/>
                <w:szCs w:val="18"/>
              </w:rPr>
              <w:t>≤-60dBc</w:t>
            </w:r>
          </w:p>
          <w:p/>
        </w:tc>
      </w:tr>
      <w:tr>
        <w:tblPrEx>
          <w:tblW w:w="0" w:type="auto"/>
          <w:jc w:val="center"/>
          <w:tblLayout w:type="fixed"/>
          <w:tblCellMar>
            <w:top w:w="0" w:type="dxa"/>
            <w:left w:w="108" w:type="dxa"/>
            <w:bottom w:w="0" w:type="dxa"/>
            <w:right w:w="108" w:type="dxa"/>
          </w:tblCellMar>
        </w:tblPrEx>
        <w:trPr>
          <w:trHeight w:hRule="exact" w:val="412"/>
          <w:jc w:val="center"/>
        </w:trPr>
        <w:tc>
          <w:tcPr>
            <w:tcW w:w="1488" w:type="dxa"/>
            <w:vMerge/>
            <w:vAlign w:val="center"/>
          </w:tcPr>
          <w:p/>
        </w:tc>
        <w:tc>
          <w:tcPr>
            <w:tcW w:w="2039" w:type="dxa"/>
            <w:gridSpan w:val="2"/>
            <w:vAlign w:val="center"/>
          </w:tcPr>
          <w:p>
            <w:r>
              <w:rPr>
                <w:rFonts w:ascii="Times New Roman" w:hAnsi="Times New Roman"/>
                <w:sz w:val="18"/>
                <w:szCs w:val="18"/>
              </w:rPr>
              <w:t>谐波和杂散抑制</w:t>
            </w:r>
          </w:p>
        </w:tc>
        <w:tc>
          <w:tcPr>
            <w:tcW w:w="4883" w:type="dxa"/>
            <w:gridSpan w:val="2"/>
            <w:vAlign w:val="center"/>
          </w:tcPr>
          <w:p>
            <w:r>
              <w:rPr>
                <w:rFonts w:ascii="Times New Roman" w:hAnsi="Times New Roman"/>
                <w:sz w:val="18"/>
                <w:szCs w:val="18"/>
              </w:rPr>
              <w:t>≥60dB</w:t>
            </w:r>
          </w:p>
          <w:p/>
        </w:tc>
      </w:tr>
      <w:tr>
        <w:tblPrEx>
          <w:tblW w:w="0" w:type="auto"/>
          <w:jc w:val="center"/>
          <w:tblLayout w:type="fixed"/>
          <w:tblCellMar>
            <w:top w:w="0" w:type="dxa"/>
            <w:left w:w="108" w:type="dxa"/>
            <w:bottom w:w="0" w:type="dxa"/>
            <w:right w:w="108" w:type="dxa"/>
          </w:tblCellMar>
        </w:tblPrEx>
        <w:trPr>
          <w:trHeight w:hRule="exact" w:val="619"/>
          <w:jc w:val="center"/>
        </w:trPr>
        <w:tc>
          <w:tcPr>
            <w:tcW w:w="1488" w:type="dxa"/>
            <w:vMerge/>
            <w:vAlign w:val="center"/>
          </w:tcPr>
          <w:p/>
        </w:tc>
        <w:tc>
          <w:tcPr>
            <w:tcW w:w="2039" w:type="dxa"/>
            <w:gridSpan w:val="2"/>
            <w:vAlign w:val="center"/>
          </w:tcPr>
          <w:p>
            <w:r>
              <w:rPr>
                <w:rFonts w:ascii="Times New Roman" w:hAnsi="Times New Roman"/>
                <w:sz w:val="18"/>
                <w:szCs w:val="18"/>
              </w:rPr>
              <w:t>数字中频A/D位数</w:t>
            </w:r>
          </w:p>
        </w:tc>
        <w:tc>
          <w:tcPr>
            <w:tcW w:w="4883" w:type="dxa"/>
            <w:gridSpan w:val="2"/>
            <w:vAlign w:val="center"/>
          </w:tcPr>
          <w:p>
            <w:r>
              <w:rPr>
                <w:rFonts w:ascii="Times New Roman" w:hAnsi="Times New Roman"/>
                <w:sz w:val="18"/>
                <w:szCs w:val="18"/>
              </w:rPr>
              <w:t>≥16位</w:t>
            </w:r>
          </w:p>
        </w:tc>
      </w:tr>
      <w:tr>
        <w:tblPrEx>
          <w:tblW w:w="0" w:type="auto"/>
          <w:jc w:val="center"/>
          <w:tblLayout w:type="fixed"/>
          <w:tblCellMar>
            <w:top w:w="0" w:type="dxa"/>
            <w:left w:w="108" w:type="dxa"/>
            <w:bottom w:w="0" w:type="dxa"/>
            <w:right w:w="108" w:type="dxa"/>
          </w:tblCellMar>
        </w:tblPrEx>
        <w:trPr>
          <w:trHeight w:hRule="exact" w:val="316"/>
          <w:jc w:val="center"/>
        </w:trPr>
        <w:tc>
          <w:tcPr>
            <w:tcW w:w="1488" w:type="dxa"/>
            <w:vMerge w:val="restart"/>
            <w:vAlign w:val="center"/>
          </w:tcPr>
          <w:p>
            <w:pPr>
              <w:rPr>
                <w:rFonts w:cs="宋体"/>
                <w:bCs/>
                <w:sz w:val="18"/>
                <w:szCs w:val="18"/>
              </w:rPr>
            </w:pPr>
            <w:r>
              <w:rPr>
                <w:rFonts w:cs="宋体" w:hint="eastAsia"/>
                <w:bCs/>
                <w:sz w:val="18"/>
                <w:szCs w:val="18"/>
              </w:rPr>
              <w:t>气象产品</w:t>
            </w:r>
          </w:p>
        </w:tc>
        <w:tc>
          <w:tcPr>
            <w:tcW w:w="2039" w:type="dxa"/>
            <w:gridSpan w:val="2"/>
            <w:vAlign w:val="center"/>
          </w:tcPr>
          <w:p>
            <w:pPr>
              <w:pStyle w:val="TableParagraph"/>
              <w:autoSpaceDE w:val="0"/>
              <w:autoSpaceDN w:val="0"/>
              <w:adjustRightInd w:val="0"/>
              <w:snapToGrid w:val="0"/>
              <w:spacing w:before="40"/>
              <w:ind w:left="107"/>
              <w:rPr>
                <w:rFonts w:ascii="Times New Roman" w:eastAsia="宋体" w:hAnsi="Times New Roman"/>
                <w:bCs/>
                <w:sz w:val="18"/>
                <w:szCs w:val="18"/>
              </w:rPr>
            </w:pPr>
            <w:r>
              <w:rPr>
                <w:rFonts w:ascii="Times New Roman" w:eastAsia="宋体" w:hAnsi="Times New Roman" w:hint="eastAsia"/>
                <w:sz w:val="18"/>
                <w:szCs w:val="18"/>
              </w:rPr>
              <w:t>原始数据产品</w:t>
            </w:r>
          </w:p>
        </w:tc>
        <w:tc>
          <w:tcPr>
            <w:tcW w:w="4883" w:type="dxa"/>
            <w:gridSpan w:val="2"/>
            <w:vAlign w:val="center"/>
          </w:tcPr>
          <w:p>
            <w:pPr>
              <w:pStyle w:val="TableParagraph"/>
              <w:autoSpaceDE w:val="0"/>
              <w:autoSpaceDN w:val="0"/>
              <w:adjustRightInd w:val="0"/>
              <w:snapToGrid w:val="0"/>
              <w:spacing w:before="40"/>
              <w:rPr>
                <w:rFonts w:ascii="Times New Roman" w:eastAsia="宋体" w:hAnsi="Times New Roman"/>
                <w:bCs/>
                <w:sz w:val="18"/>
                <w:szCs w:val="18"/>
              </w:rPr>
            </w:pPr>
            <w:r>
              <w:rPr>
                <w:rFonts w:ascii="Times New Roman" w:eastAsia="宋体" w:hAnsi="Times New Roman" w:hint="eastAsia"/>
                <w:sz w:val="18"/>
                <w:szCs w:val="18"/>
              </w:rPr>
              <w:t>功率谱（FFT）</w:t>
            </w:r>
          </w:p>
        </w:tc>
      </w:tr>
      <w:tr>
        <w:tblPrEx>
          <w:tblW w:w="0" w:type="auto"/>
          <w:jc w:val="center"/>
          <w:tblLayout w:type="fixed"/>
          <w:tblCellMar>
            <w:top w:w="0" w:type="dxa"/>
            <w:left w:w="108" w:type="dxa"/>
            <w:bottom w:w="0" w:type="dxa"/>
            <w:right w:w="108" w:type="dxa"/>
          </w:tblCellMar>
        </w:tblPrEx>
        <w:trPr>
          <w:trHeight w:hRule="exact" w:val="1900"/>
          <w:jc w:val="center"/>
        </w:trPr>
        <w:tc>
          <w:tcPr>
            <w:tcW w:w="1488" w:type="dxa"/>
            <w:vMerge/>
            <w:vAlign w:val="center"/>
          </w:tcPr>
          <w:p>
            <w:pPr>
              <w:rPr>
                <w:rFonts w:cs="宋体"/>
                <w:bCs/>
                <w:sz w:val="18"/>
                <w:szCs w:val="18"/>
              </w:rPr>
            </w:pPr>
          </w:p>
        </w:tc>
        <w:tc>
          <w:tcPr>
            <w:tcW w:w="2039" w:type="dxa"/>
            <w:gridSpan w:val="2"/>
            <w:vAlign w:val="center"/>
          </w:tcPr>
          <w:p>
            <w:pPr>
              <w:pStyle w:val="TableParagraph"/>
              <w:autoSpaceDE w:val="0"/>
              <w:autoSpaceDN w:val="0"/>
              <w:adjustRightInd w:val="0"/>
              <w:snapToGrid w:val="0"/>
              <w:spacing w:before="41"/>
              <w:ind w:left="107"/>
              <w:rPr>
                <w:rFonts w:ascii="Times New Roman" w:eastAsia="宋体" w:hAnsi="Times New Roman"/>
                <w:bCs/>
                <w:sz w:val="18"/>
                <w:szCs w:val="18"/>
              </w:rPr>
            </w:pPr>
            <w:r>
              <w:rPr>
                <w:rFonts w:ascii="Times New Roman" w:eastAsia="宋体" w:hAnsi="Times New Roman" w:hint="eastAsia"/>
                <w:bCs/>
                <w:sz w:val="18"/>
                <w:szCs w:val="18"/>
                <w:lang w:eastAsia="zh-CN"/>
              </w:rPr>
              <w:t>基数据产品</w:t>
            </w:r>
          </w:p>
        </w:tc>
        <w:tc>
          <w:tcPr>
            <w:tcW w:w="4883" w:type="dxa"/>
            <w:gridSpan w:val="2"/>
            <w:vAlign w:val="center"/>
          </w:tcPr>
          <w:p>
            <w:pPr>
              <w:adjustRightInd w:val="0"/>
              <w:snapToGrid w:val="0"/>
              <w:rPr>
                <w:rFonts w:ascii="Times New Roman" w:hAnsi="Times New Roman"/>
                <w:sz w:val="18"/>
                <w:szCs w:val="18"/>
              </w:rPr>
            </w:pPr>
            <w:r>
              <w:rPr>
                <w:rFonts w:ascii="Times New Roman" w:hAnsi="Times New Roman" w:hint="eastAsia"/>
                <w:sz w:val="18"/>
                <w:szCs w:val="18"/>
              </w:rPr>
              <w:t>反射率因子（Z）</w:t>
            </w:r>
          </w:p>
          <w:p>
            <w:pPr>
              <w:adjustRightInd w:val="0"/>
              <w:snapToGrid w:val="0"/>
              <w:rPr>
                <w:rFonts w:ascii="Times New Roman" w:hAnsi="Times New Roman"/>
                <w:sz w:val="18"/>
                <w:szCs w:val="18"/>
              </w:rPr>
            </w:pPr>
            <w:r>
              <w:rPr>
                <w:rFonts w:ascii="Times New Roman" w:hAnsi="Times New Roman" w:hint="eastAsia"/>
                <w:sz w:val="18"/>
                <w:szCs w:val="18"/>
              </w:rPr>
              <w:t>径向速度（</w:t>
            </w:r>
            <w:r>
              <w:rPr>
                <w:rFonts w:ascii="Times New Roman" w:hAnsi="Times New Roman"/>
                <w:sz w:val="18"/>
                <w:szCs w:val="18"/>
              </w:rPr>
              <w:t>V</w:t>
            </w:r>
            <w:r>
              <w:rPr>
                <w:rFonts w:ascii="Times New Roman" w:hAnsi="Times New Roman" w:hint="eastAsia"/>
                <w:sz w:val="18"/>
                <w:szCs w:val="18"/>
              </w:rPr>
              <w:t>）</w:t>
            </w:r>
          </w:p>
          <w:p>
            <w:pPr>
              <w:adjustRightInd w:val="0"/>
              <w:snapToGrid w:val="0"/>
              <w:rPr>
                <w:rFonts w:ascii="Times New Roman" w:hAnsi="Times New Roman"/>
                <w:sz w:val="18"/>
                <w:szCs w:val="18"/>
              </w:rPr>
            </w:pPr>
            <w:r>
              <w:rPr>
                <w:rFonts w:ascii="Times New Roman" w:hAnsi="Times New Roman" w:hint="eastAsia"/>
                <w:sz w:val="18"/>
                <w:szCs w:val="18"/>
              </w:rPr>
              <w:t>速度谱宽（W）</w:t>
            </w:r>
          </w:p>
          <w:p>
            <w:pPr>
              <w:adjustRightInd w:val="0"/>
              <w:snapToGrid w:val="0"/>
              <w:rPr>
                <w:rFonts w:ascii="Times New Roman" w:hAnsi="Times New Roman"/>
                <w:sz w:val="18"/>
                <w:szCs w:val="18"/>
              </w:rPr>
            </w:pPr>
            <w:r>
              <w:rPr>
                <w:rFonts w:ascii="Times New Roman" w:hAnsi="Times New Roman" w:hint="eastAsia"/>
                <w:sz w:val="18"/>
                <w:szCs w:val="18"/>
              </w:rPr>
              <w:t>信噪比（SNR）</w:t>
            </w:r>
          </w:p>
          <w:p>
            <w:pPr>
              <w:adjustRightInd w:val="0"/>
              <w:snapToGrid w:val="0"/>
              <w:rPr>
                <w:rFonts w:ascii="Times New Roman" w:hAnsi="Times New Roman"/>
                <w:sz w:val="18"/>
                <w:szCs w:val="18"/>
              </w:rPr>
            </w:pPr>
            <w:r>
              <w:rPr>
                <w:rFonts w:ascii="Times New Roman" w:hAnsi="Times New Roman" w:hint="eastAsia"/>
                <w:sz w:val="18"/>
                <w:szCs w:val="18"/>
              </w:rPr>
              <w:t>退偏振比（</w:t>
            </w:r>
            <w:r>
              <w:rPr>
                <w:rFonts w:ascii="Times New Roman" w:hAnsi="Times New Roman"/>
                <w:sz w:val="18"/>
                <w:szCs w:val="18"/>
              </w:rPr>
              <w:t>LDR</w:t>
            </w:r>
            <w:r>
              <w:rPr>
                <w:rFonts w:ascii="Times New Roman" w:hAnsi="Times New Roman" w:hint="eastAsia"/>
                <w:sz w:val="18"/>
                <w:szCs w:val="18"/>
              </w:rPr>
              <w:t>）（单发双收偏振模式）</w:t>
            </w:r>
          </w:p>
          <w:p>
            <w:pPr>
              <w:adjustRightInd w:val="0"/>
              <w:snapToGrid w:val="0"/>
              <w:rPr>
                <w:rFonts w:ascii="Times New Roman" w:hAnsi="Times New Roman"/>
                <w:sz w:val="18"/>
                <w:szCs w:val="18"/>
              </w:rPr>
            </w:pPr>
            <w:r>
              <w:rPr>
                <w:rFonts w:ascii="Times New Roman" w:hAnsi="Times New Roman" w:hint="eastAsia"/>
                <w:sz w:val="18"/>
                <w:szCs w:val="18"/>
              </w:rPr>
              <w:t>差分反射率因子（ZDR）</w:t>
            </w:r>
          </w:p>
          <w:p>
            <w:pPr>
              <w:adjustRightInd w:val="0"/>
              <w:snapToGrid w:val="0"/>
              <w:rPr>
                <w:rFonts w:ascii="Times New Roman" w:hAnsi="Times New Roman"/>
                <w:sz w:val="18"/>
                <w:szCs w:val="18"/>
              </w:rPr>
            </w:pPr>
            <w:r>
              <w:rPr>
                <w:rFonts w:ascii="Times New Roman" w:hAnsi="Times New Roman" w:hint="eastAsia"/>
                <w:sz w:val="18"/>
                <w:szCs w:val="18"/>
              </w:rPr>
              <w:t>差分传播相移（ΦDP）</w:t>
            </w:r>
          </w:p>
          <w:p>
            <w:pPr>
              <w:adjustRightInd w:val="0"/>
              <w:snapToGrid w:val="0"/>
              <w:rPr>
                <w:rFonts w:ascii="Times New Roman" w:hAnsi="Times New Roman"/>
                <w:sz w:val="18"/>
                <w:szCs w:val="18"/>
              </w:rPr>
            </w:pPr>
            <w:r>
              <w:rPr>
                <w:rFonts w:ascii="Times New Roman" w:hAnsi="Times New Roman" w:hint="eastAsia"/>
                <w:sz w:val="18"/>
                <w:szCs w:val="18"/>
              </w:rPr>
              <w:t>差分传播相移率（</w:t>
            </w:r>
            <w:r>
              <w:rPr>
                <w:rFonts w:ascii="Times New Roman" w:hAnsi="Times New Roman"/>
                <w:sz w:val="18"/>
                <w:szCs w:val="18"/>
              </w:rPr>
              <w:t>KDP</w:t>
            </w:r>
            <w:r>
              <w:rPr>
                <w:rFonts w:ascii="Times New Roman" w:hAnsi="Times New Roman" w:hint="eastAsia"/>
                <w:sz w:val="18"/>
                <w:szCs w:val="18"/>
              </w:rPr>
              <w:t>）</w:t>
            </w:r>
          </w:p>
          <w:p>
            <w:pPr>
              <w:pStyle w:val="TableParagraph"/>
              <w:autoSpaceDE w:val="0"/>
              <w:autoSpaceDN w:val="0"/>
              <w:adjustRightInd w:val="0"/>
              <w:snapToGrid w:val="0"/>
              <w:spacing w:before="41"/>
              <w:ind w:left="107"/>
              <w:rPr>
                <w:rFonts w:ascii="Times New Roman" w:eastAsia="宋体" w:hAnsi="Times New Roman"/>
                <w:bCs/>
                <w:sz w:val="18"/>
                <w:szCs w:val="18"/>
                <w:lang w:eastAsia="zh-CN"/>
              </w:rPr>
            </w:pPr>
            <w:r>
              <w:rPr>
                <w:rFonts w:ascii="Times New Roman" w:eastAsia="宋体" w:hAnsi="Times New Roman" w:hint="eastAsia"/>
                <w:sz w:val="18"/>
                <w:szCs w:val="18"/>
              </w:rPr>
              <w:t>相关系数（ρHV）</w:t>
            </w:r>
          </w:p>
        </w:tc>
      </w:tr>
      <w:tr>
        <w:tblPrEx>
          <w:tblW w:w="0" w:type="auto"/>
          <w:jc w:val="center"/>
          <w:tblLayout w:type="fixed"/>
          <w:tblCellMar>
            <w:top w:w="0" w:type="dxa"/>
            <w:left w:w="108" w:type="dxa"/>
            <w:bottom w:w="0" w:type="dxa"/>
            <w:right w:w="108" w:type="dxa"/>
          </w:tblCellMar>
        </w:tblPrEx>
        <w:trPr>
          <w:trHeight w:hRule="exact" w:val="1362"/>
          <w:jc w:val="center"/>
        </w:trPr>
        <w:tc>
          <w:tcPr>
            <w:tcW w:w="1488" w:type="dxa"/>
            <w:vMerge/>
            <w:vAlign w:val="center"/>
          </w:tcPr>
          <w:p>
            <w:pPr>
              <w:rPr>
                <w:rFonts w:cs="宋体"/>
                <w:bCs/>
                <w:sz w:val="18"/>
                <w:szCs w:val="18"/>
              </w:rPr>
            </w:pPr>
          </w:p>
        </w:tc>
        <w:tc>
          <w:tcPr>
            <w:tcW w:w="2039" w:type="dxa"/>
            <w:gridSpan w:val="2"/>
            <w:vAlign w:val="center"/>
          </w:tcPr>
          <w:p>
            <w:pPr>
              <w:pStyle w:val="TableParagraph"/>
              <w:autoSpaceDE w:val="0"/>
              <w:autoSpaceDN w:val="0"/>
              <w:adjustRightInd w:val="0"/>
              <w:snapToGrid w:val="0"/>
              <w:spacing w:before="41"/>
              <w:ind w:left="107"/>
              <w:rPr>
                <w:rFonts w:ascii="Times New Roman" w:eastAsia="宋体" w:hAnsi="Times New Roman"/>
                <w:bCs/>
                <w:sz w:val="18"/>
                <w:szCs w:val="18"/>
              </w:rPr>
            </w:pPr>
            <w:r>
              <w:rPr>
                <w:rFonts w:ascii="Times New Roman" w:eastAsia="宋体" w:hAnsi="Times New Roman" w:hint="eastAsia"/>
                <w:sz w:val="18"/>
                <w:szCs w:val="18"/>
                <w:lang w:eastAsia="zh-CN"/>
              </w:rPr>
              <w:t>物</w:t>
            </w:r>
            <w:r>
              <w:rPr>
                <w:rFonts w:ascii="Times New Roman" w:eastAsia="宋体" w:hAnsi="Times New Roman" w:hint="eastAsia"/>
                <w:sz w:val="18"/>
                <w:szCs w:val="18"/>
              </w:rPr>
              <w:t>理量产品</w:t>
            </w:r>
          </w:p>
        </w:tc>
        <w:tc>
          <w:tcPr>
            <w:tcW w:w="4883" w:type="dxa"/>
            <w:gridSpan w:val="2"/>
            <w:vAlign w:val="center"/>
          </w:tcPr>
          <w:p>
            <w:pPr>
              <w:autoSpaceDE w:val="0"/>
              <w:autoSpaceDN w:val="0"/>
              <w:adjustRightInd w:val="0"/>
              <w:snapToGrid w:val="0"/>
              <w:spacing w:before="41"/>
              <w:ind w:left="107"/>
              <w:rPr>
                <w:sz w:val="18"/>
                <w:szCs w:val="18"/>
              </w:rPr>
            </w:pPr>
            <w:r>
              <w:rPr>
                <w:rFonts w:ascii="Times New Roman" w:eastAsia="宋体" w:hAnsi="Times New Roman" w:hint="eastAsia"/>
                <w:sz w:val="18"/>
                <w:szCs w:val="18"/>
              </w:rPr>
              <w:t>云顶高度</w:t>
            </w:r>
            <w:r>
              <w:rPr>
                <w:rFonts w:hint="eastAsia"/>
                <w:sz w:val="18"/>
                <w:szCs w:val="18"/>
              </w:rPr>
              <w:t>、</w:t>
            </w:r>
            <w:r>
              <w:rPr>
                <w:rFonts w:ascii="Times New Roman" w:eastAsia="宋体" w:hAnsi="Times New Roman" w:hint="eastAsia"/>
                <w:sz w:val="18"/>
                <w:szCs w:val="18"/>
              </w:rPr>
              <w:t>云底高度</w:t>
            </w:r>
            <w:r>
              <w:rPr>
                <w:rFonts w:hint="eastAsia"/>
                <w:sz w:val="18"/>
                <w:szCs w:val="18"/>
              </w:rPr>
              <w:t>、</w:t>
            </w:r>
            <w:r>
              <w:rPr>
                <w:rFonts w:ascii="Times New Roman" w:eastAsia="宋体" w:hAnsi="Times New Roman" w:hint="eastAsia"/>
                <w:sz w:val="18"/>
                <w:szCs w:val="18"/>
              </w:rPr>
              <w:t>云量</w:t>
            </w:r>
            <w:r>
              <w:rPr>
                <w:rFonts w:hint="eastAsia"/>
                <w:sz w:val="18"/>
                <w:szCs w:val="18"/>
              </w:rPr>
              <w:t>、</w:t>
            </w:r>
            <w:r>
              <w:rPr>
                <w:rFonts w:ascii="Times New Roman" w:eastAsia="宋体" w:hAnsi="Times New Roman" w:hint="eastAsia"/>
                <w:sz w:val="18"/>
                <w:szCs w:val="18"/>
              </w:rPr>
              <w:t>云粒子相态</w:t>
            </w:r>
            <w:r>
              <w:rPr>
                <w:rFonts w:hint="eastAsia"/>
                <w:sz w:val="18"/>
                <w:szCs w:val="18"/>
              </w:rPr>
              <w:t>、</w:t>
            </w:r>
            <w:r>
              <w:rPr>
                <w:rFonts w:ascii="Times New Roman" w:eastAsia="宋体" w:hAnsi="Times New Roman" w:hint="eastAsia"/>
                <w:sz w:val="18"/>
                <w:szCs w:val="18"/>
              </w:rPr>
              <w:t>零度层高度</w:t>
            </w:r>
            <w:r>
              <w:rPr>
                <w:rFonts w:hint="eastAsia"/>
                <w:sz w:val="18"/>
                <w:szCs w:val="18"/>
              </w:rPr>
              <w:t>、</w:t>
            </w:r>
          </w:p>
          <w:p>
            <w:pPr>
              <w:pStyle w:val="TableParagraph"/>
              <w:autoSpaceDE w:val="0"/>
              <w:autoSpaceDN w:val="0"/>
              <w:adjustRightInd w:val="0"/>
              <w:snapToGrid w:val="0"/>
              <w:spacing w:before="41"/>
              <w:rPr>
                <w:rFonts w:ascii="Times New Roman" w:eastAsia="宋体" w:hAnsi="Times New Roman"/>
                <w:bCs/>
                <w:sz w:val="18"/>
                <w:szCs w:val="18"/>
                <w:lang w:eastAsia="zh-CN"/>
              </w:rPr>
            </w:pPr>
            <w:r>
              <w:rPr>
                <w:rFonts w:ascii="Times New Roman" w:eastAsia="宋体" w:hAnsi="Times New Roman" w:hint="eastAsia"/>
                <w:sz w:val="18"/>
                <w:szCs w:val="18"/>
                <w:lang w:eastAsia="zh-CN"/>
              </w:rPr>
              <w:t>垂直累积液态含水量、</w:t>
            </w:r>
            <w:r>
              <w:rPr>
                <w:rFonts w:ascii="Times New Roman" w:eastAsia="宋体" w:hAnsi="Times New Roman" w:hint="eastAsia"/>
                <w:bCs/>
                <w:sz w:val="18"/>
                <w:szCs w:val="18"/>
                <w:lang w:eastAsia="zh-CN"/>
              </w:rPr>
              <w:t>云中上升气流、云分类、云冰含量、有效粒子半径、分层组合反射率平均值、分层组合反射率最大值</w:t>
            </w:r>
          </w:p>
          <w:p>
            <w:pPr>
              <w:pStyle w:val="TableParagraph"/>
              <w:autoSpaceDE w:val="0"/>
              <w:autoSpaceDN w:val="0"/>
              <w:adjustRightInd w:val="0"/>
              <w:snapToGrid w:val="0"/>
              <w:spacing w:before="41"/>
              <w:rPr>
                <w:rFonts w:ascii="Times New Roman" w:eastAsia="宋体" w:hAnsi="Times New Roman"/>
                <w:bCs/>
                <w:sz w:val="18"/>
                <w:szCs w:val="18"/>
                <w:lang w:eastAsia="zh-CN"/>
              </w:rPr>
            </w:pPr>
          </w:p>
        </w:tc>
      </w:tr>
      <w:tr>
        <w:tblPrEx>
          <w:tblW w:w="0" w:type="auto"/>
          <w:jc w:val="center"/>
          <w:tblLayout w:type="fixed"/>
          <w:tblCellMar>
            <w:top w:w="0" w:type="dxa"/>
            <w:left w:w="108" w:type="dxa"/>
            <w:bottom w:w="0" w:type="dxa"/>
            <w:right w:w="108" w:type="dxa"/>
          </w:tblCellMar>
        </w:tblPrEx>
        <w:trPr>
          <w:trHeight w:hRule="exact" w:val="90"/>
          <w:jc w:val="center"/>
        </w:trPr>
        <w:tc>
          <w:tcPr>
            <w:tcW w:w="1488" w:type="dxa"/>
            <w:vMerge/>
            <w:vAlign w:val="center"/>
          </w:tcPr>
          <w:p/>
        </w:tc>
        <w:tc>
          <w:tcPr>
            <w:tcW w:w="2039" w:type="dxa"/>
            <w:gridSpan w:val="2"/>
            <w:vAlign w:val="center"/>
          </w:tcPr>
          <w:p/>
        </w:tc>
        <w:tc>
          <w:tcPr>
            <w:tcW w:w="4883" w:type="dxa"/>
            <w:gridSpan w:val="2"/>
            <w:vAlign w:val="center"/>
          </w:tcPr>
          <w:p/>
        </w:tc>
      </w:tr>
      <w:tr>
        <w:tblPrEx>
          <w:tblW w:w="0" w:type="auto"/>
          <w:jc w:val="center"/>
          <w:tblLayout w:type="fixed"/>
          <w:tblCellMar>
            <w:top w:w="0" w:type="dxa"/>
            <w:left w:w="108" w:type="dxa"/>
            <w:bottom w:w="0" w:type="dxa"/>
            <w:right w:w="108" w:type="dxa"/>
          </w:tblCellMar>
        </w:tblPrEx>
        <w:trPr>
          <w:trHeight w:hRule="exact" w:val="4248"/>
          <w:jc w:val="center"/>
        </w:trPr>
        <w:tc>
          <w:tcPr>
            <w:tcW w:w="1488" w:type="dxa"/>
            <w:vMerge w:val="restart"/>
            <w:vAlign w:val="center"/>
          </w:tcPr>
          <w:p>
            <w:pPr>
              <w:pStyle w:val="TableParagraph"/>
              <w:autoSpaceDE w:val="0"/>
              <w:autoSpaceDN w:val="0"/>
              <w:adjustRightInd w:val="0"/>
              <w:snapToGrid w:val="0"/>
              <w:spacing w:before="40"/>
              <w:ind w:left="107"/>
              <w:rPr>
                <w:rFonts w:ascii="Times New Roman" w:eastAsia="宋体" w:hAnsi="Times New Roman"/>
                <w:bCs/>
                <w:kern w:val="2"/>
                <w:sz w:val="18"/>
                <w:szCs w:val="18"/>
                <w:lang w:eastAsia="zh-CN"/>
              </w:rPr>
            </w:pPr>
            <w:r>
              <w:rPr>
                <w:rFonts w:ascii="Times New Roman" w:eastAsia="宋体" w:hAnsi="Times New Roman" w:hint="eastAsia"/>
                <w:bCs/>
                <w:kern w:val="2"/>
                <w:sz w:val="18"/>
                <w:szCs w:val="18"/>
                <w:lang w:eastAsia="zh-CN"/>
              </w:rPr>
              <w:t>产品标准输出功能</w:t>
            </w:r>
          </w:p>
          <w:p/>
          <w:p>
            <w:pPr>
              <w:pStyle w:val="TableParagraph"/>
              <w:autoSpaceDE w:val="0"/>
              <w:autoSpaceDN w:val="0"/>
              <w:adjustRightInd w:val="0"/>
              <w:snapToGrid w:val="0"/>
              <w:spacing w:before="40"/>
              <w:ind w:left="107"/>
              <w:rPr>
                <w:rFonts w:ascii="Times New Roman" w:eastAsia="宋体" w:hAnsi="Times New Roman"/>
                <w:bCs/>
                <w:sz w:val="18"/>
                <w:szCs w:val="18"/>
                <w:lang w:eastAsia="zh-CN"/>
              </w:rPr>
            </w:pPr>
          </w:p>
        </w:tc>
        <w:tc>
          <w:tcPr>
            <w:tcW w:w="2039" w:type="dxa"/>
            <w:gridSpan w:val="2"/>
            <w:vAlign w:val="center"/>
          </w:tcPr>
          <w:p>
            <w:pPr>
              <w:pStyle w:val="TableParagraph"/>
              <w:autoSpaceDE w:val="0"/>
              <w:autoSpaceDN w:val="0"/>
              <w:adjustRightInd w:val="0"/>
              <w:snapToGrid w:val="0"/>
              <w:spacing w:before="40"/>
              <w:ind w:left="107"/>
              <w:rPr>
                <w:rFonts w:ascii="Times New Roman" w:eastAsia="宋体" w:hAnsi="Times New Roman"/>
                <w:bCs/>
                <w:sz w:val="18"/>
                <w:szCs w:val="18"/>
              </w:rPr>
            </w:pPr>
            <w:r>
              <w:rPr>
                <w:rFonts w:ascii="Times New Roman" w:eastAsia="宋体" w:hAnsi="Times New Roman" w:cs="Times New Roman" w:hint="eastAsia"/>
                <w:sz w:val="18"/>
                <w:szCs w:val="18"/>
              </w:rPr>
              <w:t>软件功能要求</w:t>
            </w:r>
          </w:p>
        </w:tc>
        <w:tc>
          <w:tcPr>
            <w:tcW w:w="4883" w:type="dxa"/>
            <w:gridSpan w:val="2"/>
            <w:vAlign w:val="center"/>
          </w:tcPr>
          <w:p>
            <w:pPr>
              <w:numPr>
                <w:ilvl w:val="0"/>
                <w:numId w:val="4"/>
              </w:numPr>
              <w:autoSpaceDE w:val="0"/>
              <w:autoSpaceDN w:val="0"/>
              <w:adjustRightInd w:val="0"/>
              <w:snapToGrid w:val="0"/>
              <w:spacing w:before="40"/>
              <w:ind w:left="0" w:firstLine="0"/>
              <w:rPr>
                <w:rFonts w:ascii="Times New Roman" w:eastAsia="宋体" w:hAnsi="Times New Roman" w:cs="Times New Roman"/>
                <w:sz w:val="18"/>
                <w:szCs w:val="18"/>
              </w:rPr>
            </w:pPr>
            <w:r>
              <w:rPr>
                <w:rFonts w:ascii="Times New Roman" w:eastAsia="宋体" w:hAnsi="Times New Roman" w:cs="Times New Roman" w:hint="eastAsia"/>
                <w:sz w:val="18"/>
                <w:szCs w:val="18"/>
              </w:rPr>
              <w:t>数据质量控制：包括对反射率因子、径向速度、速度谱宽质量控制，并具有质控前后数据对比分析显示功能。</w:t>
            </w:r>
          </w:p>
          <w:p>
            <w:pPr>
              <w:numPr>
                <w:ilvl w:val="0"/>
                <w:numId w:val="4"/>
              </w:numPr>
              <w:autoSpaceDE w:val="0"/>
              <w:autoSpaceDN w:val="0"/>
              <w:adjustRightInd w:val="0"/>
              <w:snapToGrid w:val="0"/>
              <w:spacing w:before="40"/>
              <w:rPr>
                <w:rFonts w:ascii="Times New Roman" w:eastAsia="宋体" w:hAnsi="Times New Roman" w:cs="Times New Roman"/>
                <w:sz w:val="18"/>
                <w:szCs w:val="18"/>
              </w:rPr>
            </w:pPr>
            <w:r>
              <w:rPr>
                <w:rFonts w:ascii="Times New Roman" w:eastAsia="宋体" w:hAnsi="Times New Roman" w:cs="Times New Roman" w:hint="eastAsia"/>
                <w:sz w:val="18"/>
                <w:szCs w:val="18"/>
              </w:rPr>
              <w:t>关键参数监控：包括站点信息、标定参数、测云仪参数、运行参数等信息，以及关键参数变更记录显示。</w:t>
            </w:r>
          </w:p>
          <w:p>
            <w:pPr>
              <w:numPr>
                <w:ilvl w:val="0"/>
                <w:numId w:val="4"/>
              </w:numPr>
              <w:autoSpaceDE w:val="0"/>
              <w:autoSpaceDN w:val="0"/>
              <w:adjustRightInd w:val="0"/>
              <w:snapToGrid w:val="0"/>
              <w:spacing w:before="40"/>
              <w:rPr>
                <w:rFonts w:ascii="Times New Roman" w:eastAsia="宋体" w:hAnsi="Times New Roman" w:cs="Times New Roman"/>
                <w:sz w:val="18"/>
                <w:szCs w:val="18"/>
              </w:rPr>
            </w:pPr>
            <w:r>
              <w:rPr>
                <w:rFonts w:ascii="Times New Roman" w:eastAsia="宋体" w:hAnsi="Times New Roman" w:cs="Times New Roman" w:hint="eastAsia"/>
                <w:sz w:val="18"/>
                <w:szCs w:val="18"/>
              </w:rPr>
              <w:t>测云仪远程监控：具有开/关机、参数设置、运行状态、错误故障的远程监控功能。包括监控收发系统、信号处理等核心部件运行状态，并具有故障分析统计功能。</w:t>
            </w:r>
          </w:p>
          <w:p>
            <w:pPr>
              <w:numPr>
                <w:ilvl w:val="0"/>
                <w:numId w:val="4"/>
              </w:numPr>
              <w:autoSpaceDE w:val="0"/>
              <w:autoSpaceDN w:val="0"/>
              <w:adjustRightInd w:val="0"/>
              <w:snapToGrid w:val="0"/>
              <w:spacing w:before="40"/>
              <w:rPr>
                <w:rFonts w:ascii="Times New Roman" w:eastAsia="宋体" w:hAnsi="Times New Roman" w:cs="Times New Roman"/>
                <w:sz w:val="18"/>
                <w:szCs w:val="18"/>
              </w:rPr>
            </w:pPr>
            <w:r>
              <w:rPr>
                <w:rFonts w:ascii="Times New Roman" w:eastAsia="宋体" w:hAnsi="Times New Roman" w:cs="Times New Roman" w:hint="eastAsia"/>
                <w:sz w:val="18"/>
                <w:szCs w:val="18"/>
              </w:rPr>
              <w:t>产品显示：提供多视图切换（单视图、双视图、四视图、六视图）。</w:t>
            </w:r>
          </w:p>
          <w:p>
            <w:pPr>
              <w:numPr>
                <w:ilvl w:val="0"/>
                <w:numId w:val="4"/>
              </w:numPr>
              <w:autoSpaceDE w:val="0"/>
              <w:autoSpaceDN w:val="0"/>
              <w:adjustRightInd w:val="0"/>
              <w:snapToGrid w:val="0"/>
              <w:spacing w:before="40"/>
              <w:rPr>
                <w:rFonts w:ascii="Times New Roman" w:eastAsia="宋体" w:hAnsi="Times New Roman" w:cs="Times New Roman"/>
                <w:sz w:val="18"/>
                <w:szCs w:val="18"/>
              </w:rPr>
            </w:pPr>
            <w:r>
              <w:rPr>
                <w:rFonts w:ascii="Times New Roman" w:eastAsia="宋体" w:hAnsi="Times New Roman" w:cs="Times New Roman" w:hint="eastAsia"/>
                <w:sz w:val="18"/>
                <w:szCs w:val="18"/>
              </w:rPr>
              <w:t>测云仪远程控制：对测云仪运行、停止并填写测云仪控制记录，可查询测云仪控制操作员等信息。</w:t>
            </w:r>
          </w:p>
          <w:p>
            <w:pPr>
              <w:numPr>
                <w:ilvl w:val="0"/>
                <w:numId w:val="4"/>
              </w:numPr>
              <w:autoSpaceDE w:val="0"/>
              <w:autoSpaceDN w:val="0"/>
              <w:adjustRightInd w:val="0"/>
              <w:snapToGrid w:val="0"/>
              <w:spacing w:before="40"/>
              <w:rPr>
                <w:rFonts w:ascii="Times New Roman" w:eastAsia="宋体" w:hAnsi="Times New Roman" w:cs="Times New Roman"/>
                <w:sz w:val="18"/>
                <w:szCs w:val="18"/>
              </w:rPr>
            </w:pPr>
            <w:r>
              <w:rPr>
                <w:rFonts w:ascii="Times New Roman" w:eastAsia="宋体" w:hAnsi="Times New Roman" w:cs="Times New Roman" w:hint="eastAsia"/>
                <w:sz w:val="18"/>
                <w:szCs w:val="18"/>
              </w:rPr>
              <w:t>业务过程：具有自定标、日常维护、数据传输、故障管理、维修记录。</w:t>
            </w:r>
          </w:p>
          <w:p>
            <w:pPr>
              <w:numPr>
                <w:ilvl w:val="0"/>
                <w:numId w:val="4"/>
              </w:numPr>
              <w:autoSpaceDE w:val="0"/>
              <w:autoSpaceDN w:val="0"/>
              <w:adjustRightInd w:val="0"/>
              <w:snapToGrid w:val="0"/>
              <w:spacing w:before="40"/>
              <w:rPr>
                <w:rFonts w:cs="宋体"/>
                <w:bCs/>
                <w:sz w:val="18"/>
                <w:szCs w:val="18"/>
              </w:rPr>
            </w:pPr>
            <w:r>
              <w:rPr>
                <w:rFonts w:ascii="Times New Roman" w:eastAsia="宋体" w:hAnsi="Times New Roman" w:cs="Times New Roman" w:hint="eastAsia"/>
                <w:sz w:val="18"/>
                <w:szCs w:val="18"/>
              </w:rPr>
              <w:t>测云仪健康分析：具有测云仪健康指数、健康报告。</w:t>
            </w:r>
          </w:p>
        </w:tc>
      </w:tr>
      <w:tr>
        <w:tblPrEx>
          <w:tblW w:w="0" w:type="auto"/>
          <w:jc w:val="center"/>
          <w:tblLayout w:type="fixed"/>
          <w:tblCellMar>
            <w:top w:w="0" w:type="dxa"/>
            <w:left w:w="108" w:type="dxa"/>
            <w:bottom w:w="0" w:type="dxa"/>
            <w:right w:w="108" w:type="dxa"/>
          </w:tblCellMar>
        </w:tblPrEx>
        <w:trPr>
          <w:trHeight w:hRule="exact" w:val="735"/>
          <w:jc w:val="center"/>
        </w:trPr>
        <w:tc>
          <w:tcPr>
            <w:tcW w:w="1488" w:type="dxa"/>
            <w:vMerge/>
            <w:vAlign w:val="center"/>
          </w:tcPr>
          <w:p>
            <w:pPr>
              <w:pStyle w:val="TableParagraph"/>
              <w:autoSpaceDE w:val="0"/>
              <w:autoSpaceDN w:val="0"/>
              <w:adjustRightInd w:val="0"/>
              <w:snapToGrid w:val="0"/>
              <w:spacing w:before="40"/>
              <w:ind w:left="107"/>
              <w:rPr>
                <w:rFonts w:ascii="Times New Roman" w:eastAsia="宋体" w:hAnsi="Times New Roman"/>
                <w:bCs/>
                <w:sz w:val="18"/>
                <w:szCs w:val="18"/>
                <w:lang w:eastAsia="zh-CN"/>
              </w:rPr>
            </w:pPr>
          </w:p>
        </w:tc>
        <w:tc>
          <w:tcPr>
            <w:tcW w:w="2039" w:type="dxa"/>
            <w:gridSpan w:val="2"/>
            <w:vAlign w:val="center"/>
          </w:tcPr>
          <w:p>
            <w:pPr>
              <w:pStyle w:val="TableParagraph"/>
              <w:autoSpaceDE w:val="0"/>
              <w:autoSpaceDN w:val="0"/>
              <w:adjustRightInd w:val="0"/>
              <w:snapToGrid w:val="0"/>
              <w:spacing w:before="40"/>
              <w:ind w:left="107"/>
              <w:rPr>
                <w:rFonts w:ascii="Times New Roman" w:eastAsia="宋体" w:hAnsi="Times New Roman"/>
                <w:bCs/>
                <w:sz w:val="18"/>
                <w:szCs w:val="18"/>
                <w:lang w:eastAsia="zh-CN"/>
              </w:rPr>
            </w:pPr>
            <w:r>
              <w:rPr>
                <w:rFonts w:ascii="Times New Roman" w:eastAsia="宋体" w:hAnsi="Times New Roman" w:hint="eastAsia"/>
                <w:bCs/>
                <w:sz w:val="18"/>
                <w:szCs w:val="18"/>
              </w:rPr>
              <w:t>系统功能要求</w:t>
            </w:r>
          </w:p>
        </w:tc>
        <w:tc>
          <w:tcPr>
            <w:tcW w:w="4883" w:type="dxa"/>
            <w:gridSpan w:val="2"/>
            <w:vAlign w:val="center"/>
          </w:tcPr>
          <w:p>
            <w:r>
              <w:rPr>
                <w:rFonts w:ascii="Times New Roman" w:eastAsia="宋体" w:hAnsi="Times New Roman" w:hint="eastAsia"/>
                <w:bCs/>
                <w:sz w:val="18"/>
                <w:szCs w:val="18"/>
              </w:rPr>
              <w:t>能够接入到本地业务系统、地基遥感垂直廓线观测系统，实现系统集成和数据融合。</w:t>
            </w:r>
          </w:p>
          <w:p/>
          <w:p/>
          <w:p/>
          <w:p/>
          <w:p/>
          <w:p/>
          <w:p>
            <w:pPr>
              <w:pStyle w:val="TableParagraph"/>
              <w:autoSpaceDE w:val="0"/>
              <w:autoSpaceDN w:val="0"/>
              <w:adjustRightInd w:val="0"/>
              <w:snapToGrid w:val="0"/>
              <w:spacing w:before="40"/>
              <w:rPr>
                <w:rFonts w:ascii="Times New Roman" w:eastAsia="宋体" w:hAnsi="Times New Roman"/>
                <w:bCs/>
                <w:sz w:val="18"/>
                <w:szCs w:val="18"/>
                <w:lang w:eastAsia="zh-CN"/>
              </w:rPr>
            </w:pPr>
          </w:p>
        </w:tc>
      </w:tr>
      <w:tr>
        <w:tblPrEx>
          <w:tblW w:w="0" w:type="auto"/>
          <w:jc w:val="center"/>
          <w:tblLayout w:type="fixed"/>
          <w:tblCellMar>
            <w:top w:w="0" w:type="dxa"/>
            <w:left w:w="108" w:type="dxa"/>
            <w:bottom w:w="0" w:type="dxa"/>
            <w:right w:w="108" w:type="dxa"/>
          </w:tblCellMar>
        </w:tblPrEx>
        <w:trPr>
          <w:trHeight w:hRule="exact" w:val="386"/>
          <w:jc w:val="center"/>
        </w:trPr>
        <w:tc>
          <w:tcPr>
            <w:tcW w:w="1488" w:type="dxa"/>
            <w:vMerge w:val="restart"/>
            <w:vAlign w:val="center"/>
          </w:tcPr>
          <w:p>
            <w:pPr>
              <w:rPr>
                <w:sz w:val="18"/>
                <w:szCs w:val="18"/>
              </w:rPr>
            </w:pPr>
            <w:r>
              <w:rPr>
                <w:rFonts w:hint="eastAsia"/>
                <w:sz w:val="18"/>
                <w:szCs w:val="18"/>
              </w:rPr>
              <w:t>可靠性和维修性</w:t>
            </w:r>
          </w:p>
        </w:tc>
        <w:tc>
          <w:tcPr>
            <w:tcW w:w="2052" w:type="dxa"/>
            <w:gridSpan w:val="3"/>
            <w:vAlign w:val="center"/>
          </w:tcPr>
          <w:p>
            <w:pPr>
              <w:rPr>
                <w:rFonts w:eastAsia="宋体" w:cs="Times New Roman"/>
                <w:sz w:val="18"/>
                <w:szCs w:val="18"/>
              </w:rPr>
            </w:pPr>
            <w:r>
              <w:rPr>
                <w:rFonts w:eastAsia="宋体" w:cs="Times New Roman" w:hint="eastAsia"/>
                <w:sz w:val="18"/>
                <w:szCs w:val="18"/>
              </w:rPr>
              <w:t>平均无故障时间</w:t>
            </w:r>
          </w:p>
        </w:tc>
        <w:tc>
          <w:tcPr>
            <w:tcW w:w="4870" w:type="dxa"/>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MTBF≥2000h</w:t>
            </w:r>
          </w:p>
          <w:p>
            <w:pPr>
              <w:rPr>
                <w:rFonts w:eastAsia="宋体" w:cs="Times New Roman"/>
                <w:sz w:val="18"/>
                <w:szCs w:val="18"/>
              </w:rPr>
            </w:pPr>
          </w:p>
        </w:tc>
      </w:tr>
      <w:tr>
        <w:tblPrEx>
          <w:tblW w:w="0" w:type="auto"/>
          <w:jc w:val="center"/>
          <w:tblLayout w:type="fixed"/>
          <w:tblCellMar>
            <w:top w:w="0" w:type="dxa"/>
            <w:left w:w="108" w:type="dxa"/>
            <w:bottom w:w="0" w:type="dxa"/>
            <w:right w:w="108" w:type="dxa"/>
          </w:tblCellMar>
        </w:tblPrEx>
        <w:trPr>
          <w:trHeight w:hRule="exact" w:val="428"/>
          <w:jc w:val="center"/>
        </w:trPr>
        <w:tc>
          <w:tcPr>
            <w:tcW w:w="1488" w:type="dxa"/>
            <w:vMerge/>
            <w:vAlign w:val="center"/>
          </w:tcPr>
          <w:p>
            <w:pPr>
              <w:rPr>
                <w:sz w:val="18"/>
                <w:szCs w:val="18"/>
              </w:rPr>
            </w:pPr>
          </w:p>
        </w:tc>
        <w:tc>
          <w:tcPr>
            <w:tcW w:w="2052" w:type="dxa"/>
            <w:gridSpan w:val="3"/>
            <w:vAlign w:val="center"/>
          </w:tcPr>
          <w:p>
            <w:pPr>
              <w:rPr>
                <w:rFonts w:eastAsia="宋体" w:cs="Times New Roman"/>
                <w:sz w:val="18"/>
                <w:szCs w:val="18"/>
              </w:rPr>
            </w:pPr>
            <w:r>
              <w:rPr>
                <w:rFonts w:ascii="Times New Roman" w:eastAsia="宋体" w:hAnsi="Times New Roman" w:cs="Times New Roman" w:hint="eastAsia"/>
                <w:sz w:val="18"/>
                <w:szCs w:val="18"/>
              </w:rPr>
              <w:t>平均故障修复时间</w:t>
            </w:r>
          </w:p>
        </w:tc>
        <w:tc>
          <w:tcPr>
            <w:tcW w:w="4870" w:type="dxa"/>
            <w:vAlign w:val="center"/>
          </w:tcPr>
          <w:p>
            <w:pPr>
              <w:rPr>
                <w:rFonts w:eastAsia="宋体" w:cs="Times New Roman"/>
                <w:sz w:val="18"/>
                <w:szCs w:val="18"/>
              </w:rPr>
            </w:pPr>
            <w:r>
              <w:rPr>
                <w:rFonts w:ascii="Times New Roman" w:eastAsia="宋体" w:hAnsi="Times New Roman" w:cs="Times New Roman" w:hint="eastAsia"/>
                <w:sz w:val="18"/>
                <w:szCs w:val="18"/>
              </w:rPr>
              <w:t>MTTR≤0.5h</w:t>
            </w:r>
          </w:p>
        </w:tc>
      </w:tr>
      <w:tr>
        <w:tblPrEx>
          <w:tblW w:w="0" w:type="auto"/>
          <w:jc w:val="center"/>
          <w:tblLayout w:type="fixed"/>
          <w:tblCellMar>
            <w:top w:w="0" w:type="dxa"/>
            <w:left w:w="108" w:type="dxa"/>
            <w:bottom w:w="0" w:type="dxa"/>
            <w:right w:w="108" w:type="dxa"/>
          </w:tblCellMar>
        </w:tblPrEx>
        <w:trPr>
          <w:trHeight w:hRule="exact" w:val="449"/>
          <w:jc w:val="center"/>
        </w:trPr>
        <w:tc>
          <w:tcPr>
            <w:tcW w:w="3540" w:type="dxa"/>
            <w:gridSpan w:val="4"/>
            <w:vAlign w:val="center"/>
          </w:tcPr>
          <w:p>
            <w:pPr>
              <w:rPr>
                <w:rFonts w:cs="宋体"/>
                <w:sz w:val="18"/>
                <w:szCs w:val="18"/>
              </w:rPr>
            </w:pPr>
            <w:r>
              <w:rPr>
                <w:rFonts w:ascii="Times New Roman" w:eastAsia="宋体" w:hAnsi="Times New Roman" w:cs="宋体" w:hint="eastAsia"/>
                <w:sz w:val="18"/>
                <w:szCs w:val="18"/>
              </w:rPr>
              <w:t>自定标功能</w:t>
            </w:r>
          </w:p>
        </w:tc>
        <w:tc>
          <w:tcPr>
            <w:tcW w:w="4870" w:type="dxa"/>
            <w:vAlign w:val="center"/>
          </w:tcPr>
          <w:p>
            <w:pPr>
              <w:rPr>
                <w:rFonts w:cs="宋体"/>
                <w:sz w:val="18"/>
                <w:szCs w:val="18"/>
              </w:rPr>
            </w:pPr>
            <w:r>
              <w:rPr>
                <w:rFonts w:ascii="Times New Roman" w:eastAsia="宋体" w:hAnsi="Times New Roman" w:cs="宋体" w:hint="eastAsia"/>
                <w:sz w:val="18"/>
                <w:szCs w:val="18"/>
              </w:rPr>
              <w:t>具有发射功率和强度的自定标功能</w:t>
            </w:r>
          </w:p>
        </w:tc>
      </w:tr>
      <w:tr>
        <w:tblPrEx>
          <w:tblW w:w="0" w:type="auto"/>
          <w:jc w:val="center"/>
          <w:tblLayout w:type="fixed"/>
          <w:tblCellMar>
            <w:top w:w="0" w:type="dxa"/>
            <w:left w:w="108" w:type="dxa"/>
            <w:bottom w:w="0" w:type="dxa"/>
            <w:right w:w="108" w:type="dxa"/>
          </w:tblCellMar>
        </w:tblPrEx>
        <w:trPr>
          <w:trHeight w:hRule="exact" w:val="497"/>
          <w:jc w:val="center"/>
        </w:trPr>
        <w:tc>
          <w:tcPr>
            <w:tcW w:w="3540" w:type="dxa"/>
            <w:gridSpan w:val="4"/>
            <w:vAlign w:val="center"/>
          </w:tcPr>
          <w:p>
            <w:pPr>
              <w:rPr>
                <w:rFonts w:cs="宋体"/>
                <w:sz w:val="18"/>
                <w:szCs w:val="18"/>
              </w:rPr>
            </w:pPr>
            <w:r>
              <w:rPr>
                <w:rFonts w:cs="宋体" w:hint="eastAsia"/>
                <w:sz w:val="18"/>
                <w:szCs w:val="18"/>
              </w:rPr>
              <w:t>方舱</w:t>
            </w:r>
          </w:p>
        </w:tc>
        <w:tc>
          <w:tcPr>
            <w:tcW w:w="4870" w:type="dxa"/>
            <w:vAlign w:val="center"/>
          </w:tcPr>
          <w:p>
            <w:pPr>
              <w:widowControl/>
              <w:jc w:val="left"/>
              <w:rPr>
                <w:rFonts w:cs="宋体"/>
                <w:sz w:val="18"/>
                <w:szCs w:val="18"/>
              </w:rPr>
            </w:pPr>
            <w:r>
              <w:rPr>
                <w:rFonts w:ascii="Times New Roman" w:hAnsi="Times New Roman" w:cs="宋体" w:hint="eastAsia"/>
                <w:kern w:val="0"/>
                <w:sz w:val="18"/>
                <w:szCs w:val="18"/>
                <w:lang w:bidi="ar"/>
              </w:rPr>
              <w:t>含运输方舱和</w:t>
            </w:r>
            <w:r>
              <w:rPr>
                <w:rFonts w:cs="宋体" w:hint="eastAsia"/>
                <w:kern w:val="0"/>
                <w:sz w:val="18"/>
                <w:szCs w:val="18"/>
                <w:lang w:bidi="ar"/>
              </w:rPr>
              <w:t>天线</w:t>
            </w:r>
            <w:r>
              <w:rPr>
                <w:rFonts w:ascii="Times New Roman" w:hAnsi="Times New Roman" w:cs="宋体" w:hint="eastAsia"/>
                <w:kern w:val="0"/>
                <w:sz w:val="18"/>
                <w:szCs w:val="18"/>
                <w:lang w:bidi="ar"/>
              </w:rPr>
              <w:t>升降系统等</w:t>
            </w: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四、检验考核要求</w:t>
      </w:r>
    </w:p>
    <w:p>
      <w:pPr>
        <w:widowControl/>
        <w:spacing w:line="360" w:lineRule="auto"/>
        <w:ind w:firstLine="420" w:firstLineChars="200"/>
        <w:rPr>
          <w:rFonts w:ascii="宋体" w:hAnsi="宋体"/>
          <w:szCs w:val="21"/>
        </w:rPr>
      </w:pPr>
      <w:r>
        <w:rPr>
          <w:rFonts w:ascii="宋体" w:hAnsi="宋体" w:hint="eastAsia"/>
          <w:szCs w:val="21"/>
        </w:rPr>
        <w:t>1.出厂验收</w:t>
      </w:r>
    </w:p>
    <w:p>
      <w:pPr>
        <w:widowControl/>
        <w:spacing w:line="360" w:lineRule="auto"/>
        <w:ind w:firstLine="420" w:firstLineChars="200"/>
        <w:jc w:val="left"/>
        <w:rPr>
          <w:rFonts w:ascii="宋体" w:hAnsi="宋体"/>
          <w:szCs w:val="21"/>
          <w:lang w:bidi="ar"/>
        </w:rPr>
      </w:pPr>
      <w:r>
        <w:rPr>
          <w:rFonts w:ascii="宋体" w:hAnsi="宋体" w:cs="Times New Roman" w:hint="eastAsia"/>
          <w:szCs w:val="21"/>
          <w:lang w:bidi="ar"/>
        </w:rPr>
        <w:t>中标人应在设备出厂前严格按照中国气象局业务规范、相关行业标准及招标文件技术要求组织</w:t>
      </w:r>
      <w:r>
        <w:rPr>
          <w:rStyle w:val="Strong"/>
          <w:rFonts w:ascii="宋体" w:hAnsi="宋体" w:cs="Times New Roman" w:hint="eastAsia"/>
          <w:b w:val="0"/>
          <w:szCs w:val="21"/>
          <w:lang w:bidi="ar"/>
        </w:rPr>
        <w:t>出厂验收</w:t>
      </w:r>
      <w:r>
        <w:rPr>
          <w:rFonts w:ascii="宋体" w:hAnsi="宋体" w:cs="Times New Roman" w:hint="eastAsia"/>
          <w:szCs w:val="21"/>
          <w:lang w:bidi="ar"/>
        </w:rPr>
        <w:t>，完成整机性能、关键技术指标、系统功能及连续考机测试，提交全套资质文件、技术资料、校准及检测报告。采购人派员参与验收，验收合格并签署出厂验收报告后方可发货，未通过出厂验收严禁出厂。</w:t>
      </w:r>
    </w:p>
    <w:p>
      <w:pPr>
        <w:widowControl/>
        <w:spacing w:line="360" w:lineRule="auto"/>
        <w:ind w:firstLine="420" w:firstLineChars="200"/>
        <w:rPr>
          <w:rFonts w:ascii="宋体" w:hAnsi="宋体"/>
          <w:szCs w:val="21"/>
        </w:rPr>
      </w:pPr>
      <w:r>
        <w:rPr>
          <w:rFonts w:ascii="宋体" w:hAnsi="宋体" w:hint="eastAsia"/>
          <w:szCs w:val="21"/>
        </w:rPr>
        <w:t>2 现场安装验收</w:t>
      </w:r>
    </w:p>
    <w:p>
      <w:pPr>
        <w:widowControl/>
        <w:spacing w:line="360" w:lineRule="auto"/>
        <w:ind w:firstLine="420" w:firstLineChars="200"/>
        <w:jc w:val="left"/>
        <w:rPr>
          <w:rFonts w:ascii="宋体" w:hAnsi="宋体"/>
          <w:szCs w:val="21"/>
          <w:lang w:bidi="ar"/>
        </w:rPr>
      </w:pPr>
      <w:r>
        <w:rPr>
          <w:rFonts w:ascii="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w:t>
      </w:r>
      <w:r>
        <w:rPr>
          <w:rStyle w:val="Strong"/>
          <w:rFonts w:ascii="宋体" w:hAnsi="宋体" w:cs="Times New Roman" w:hint="eastAsia"/>
          <w:b w:val="0"/>
          <w:szCs w:val="21"/>
          <w:lang w:bidi="ar"/>
        </w:rPr>
        <w:t>现场安装验收</w:t>
      </w:r>
      <w:r>
        <w:rPr>
          <w:rFonts w:ascii="宋体" w:hAnsi="宋体" w:cs="Times New Roman" w:hint="eastAsia"/>
          <w:szCs w:val="21"/>
          <w:lang w:bidi="ar"/>
        </w:rPr>
        <w:t>，核查安装工艺、设备状态及系统联调功能，验收合格后方可进入试运行阶段。</w:t>
      </w:r>
    </w:p>
    <w:p>
      <w:pPr>
        <w:widowControl/>
        <w:spacing w:line="360" w:lineRule="auto"/>
        <w:ind w:firstLine="420" w:firstLineChars="200"/>
        <w:rPr>
          <w:rFonts w:ascii="宋体" w:hAnsi="宋体"/>
          <w:szCs w:val="21"/>
        </w:rPr>
      </w:pPr>
      <w:r>
        <w:rPr>
          <w:rFonts w:ascii="宋体" w:hAnsi="宋体" w:hint="eastAsia"/>
          <w:szCs w:val="21"/>
        </w:rPr>
        <w:t>3.试运行验收</w:t>
      </w:r>
    </w:p>
    <w:p>
      <w:pPr>
        <w:widowControl/>
        <w:spacing w:line="360" w:lineRule="auto"/>
        <w:ind w:firstLine="420" w:firstLineChars="200"/>
        <w:jc w:val="left"/>
        <w:rPr>
          <w:rFonts w:ascii="宋体" w:hAnsi="宋体"/>
          <w:szCs w:val="21"/>
          <w:lang w:bidi="ar"/>
        </w:rPr>
      </w:pPr>
      <w:r>
        <w:rPr>
          <w:rFonts w:ascii="宋体" w:hAnsi="宋体" w:cs="Times New Roman" w:hint="eastAsia"/>
          <w:szCs w:val="21"/>
          <w:lang w:bidi="ar"/>
        </w:rPr>
        <w:t>设备现场调试合格后进入</w:t>
      </w:r>
      <w:r>
        <w:rPr>
          <w:rStyle w:val="Strong"/>
          <w:rFonts w:ascii="宋体" w:hAnsi="宋体" w:cs="Times New Roman" w:hint="eastAsia"/>
          <w:b w:val="0"/>
          <w:szCs w:val="21"/>
          <w:lang w:bidi="ar"/>
        </w:rPr>
        <w:t>试运行期</w:t>
      </w:r>
      <w:r>
        <w:rPr>
          <w:rFonts w:ascii="宋体" w:hAnsi="宋体" w:cs="Times New Roman" w:hint="eastAsia"/>
          <w:szCs w:val="21"/>
          <w:lang w:bidi="ar"/>
        </w:rPr>
        <w:t>，试运行周期不少于 90 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验收。</w:t>
      </w:r>
    </w:p>
    <w:p>
      <w:pPr>
        <w:widowControl/>
        <w:spacing w:line="360" w:lineRule="auto"/>
        <w:ind w:firstLine="420" w:firstLineChars="200"/>
        <w:rPr>
          <w:rFonts w:ascii="宋体" w:hAnsi="宋体"/>
          <w:szCs w:val="21"/>
        </w:rPr>
      </w:pPr>
      <w:r>
        <w:rPr>
          <w:rFonts w:ascii="宋体" w:hAnsi="宋体" w:hint="eastAsia"/>
          <w:szCs w:val="21"/>
        </w:rPr>
        <w:t>4.合同验收</w:t>
      </w:r>
    </w:p>
    <w:p>
      <w:pPr>
        <w:widowControl/>
        <w:spacing w:line="360" w:lineRule="auto"/>
        <w:ind w:firstLine="420" w:firstLineChars="200"/>
        <w:jc w:val="left"/>
        <w:rPr>
          <w:rFonts w:ascii="宋体" w:hAnsi="宋体"/>
          <w:szCs w:val="21"/>
          <w:lang w:bidi="ar"/>
        </w:rPr>
      </w:pPr>
      <w:r>
        <w:rPr>
          <w:rFonts w:ascii="宋体" w:hAnsi="宋体" w:cs="Times New Roman" w:hint="eastAsia"/>
          <w:szCs w:val="21"/>
          <w:lang w:bidi="ar"/>
        </w:rPr>
        <w:t>在出厂、安装、试运行各阶段验收均合格的前提下，组织</w:t>
      </w:r>
      <w:r>
        <w:rPr>
          <w:rStyle w:val="Strong"/>
          <w:rFonts w:ascii="宋体" w:hAnsi="宋体" w:cs="Times New Roman" w:hint="eastAsia"/>
          <w:b w:val="0"/>
          <w:szCs w:val="21"/>
          <w:lang w:bidi="ar"/>
        </w:rPr>
        <w:t>项目合同最终验收</w:t>
      </w:r>
      <w:r>
        <w:rPr>
          <w:rFonts w:ascii="宋体" w:hAnsi="宋体" w:cs="Times New Roman" w:hint="eastAsia"/>
          <w:szCs w:val="21"/>
          <w:lang w:bidi="ar"/>
        </w:rPr>
        <w:t>。全面核查设备配置、资料归档、备品备件、技术培训、履约服务及质保承诺等全部合同内容，对照技术参数、行业标准及业务应用要求综合评审，全部满足要求后签署最终验收证书，正式交付投入业务运行，进入质保期。</w:t>
      </w:r>
      <w:r>
        <w:rPr>
          <w:rFonts w:ascii="宋体" w:hAnsi="宋体" w:hint="eastAsia"/>
          <w:szCs w:val="21"/>
          <w:lang w:bidi="ar"/>
        </w:rPr>
        <w:t>若最终验收仍存在缺项、指标不达标、资料不全等问题，不予通过验收，中标人须限期完成补齐、整改、完善，直至终审合格，相关费用及责任由中标人自行承担。</w:t>
      </w:r>
    </w:p>
    <w:p>
      <w:pPr>
        <w:numPr>
          <w:ilvl w:val="0"/>
          <w:numId w:val="5"/>
        </w:numPr>
        <w:spacing w:line="360" w:lineRule="auto"/>
        <w:ind w:firstLine="420" w:firstLineChars="200"/>
        <w:rPr>
          <w:rFonts w:ascii="宋体" w:hAnsi="宋体"/>
          <w:szCs w:val="21"/>
        </w:rPr>
      </w:pPr>
      <w:r>
        <w:rPr>
          <w:rFonts w:ascii="宋体" w:hAnsi="宋体" w:hint="eastAsia"/>
          <w:szCs w:val="21"/>
        </w:rPr>
        <w:t>技术服务和质保期服务要求</w:t>
      </w:r>
    </w:p>
    <w:p>
      <w:pPr>
        <w:spacing w:line="360" w:lineRule="auto"/>
        <w:ind w:firstLine="420" w:firstLineChars="200"/>
        <w:rPr>
          <w:rFonts w:ascii="宋体" w:hAnsi="宋体"/>
          <w:szCs w:val="21"/>
        </w:rPr>
      </w:pPr>
      <w:r>
        <w:rPr>
          <w:rFonts w:ascii="宋体" w:hAnsi="宋体" w:hint="eastAsia"/>
          <w:szCs w:val="21"/>
        </w:rPr>
        <w:t>（一）技术服务</w:t>
      </w:r>
    </w:p>
    <w:p>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至少2次，培训讲师具有中级以上职称或从事该设备技术工作至少2年；培训时间及地点双方协商确定，确保使用方参训人员熟练掌握设备操作、日常维护及业务应用技能。</w:t>
      </w:r>
    </w:p>
    <w:p>
      <w:pPr>
        <w:spacing w:line="360" w:lineRule="auto"/>
        <w:ind w:firstLine="420" w:firstLineChars="200"/>
        <w:rPr>
          <w:rFonts w:ascii="宋体" w:hAnsi="宋体"/>
          <w:szCs w:val="21"/>
        </w:rPr>
      </w:pPr>
      <w:r>
        <w:rPr>
          <w:rFonts w:ascii="宋体" w:hAnsi="宋体" w:hint="eastAsia"/>
          <w:szCs w:val="21"/>
        </w:rPr>
        <w:t>4.采购人有重大活动或应急保障时，可要求中标人提供现场保障服务。</w:t>
      </w:r>
    </w:p>
    <w:p>
      <w:pPr>
        <w:spacing w:line="360" w:lineRule="auto"/>
        <w:ind w:firstLine="420" w:firstLineChars="200"/>
        <w:rPr>
          <w:rFonts w:ascii="宋体" w:hAnsi="宋体"/>
          <w:szCs w:val="21"/>
        </w:rPr>
      </w:pPr>
      <w:r>
        <w:rPr>
          <w:rFonts w:ascii="宋体" w:hAnsi="宋体" w:hint="eastAsia"/>
          <w:szCs w:val="21"/>
        </w:rPr>
        <w:t>（二）质保期服务</w:t>
      </w:r>
    </w:p>
    <w:p>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highlight w:val="yellow"/>
        </w:rPr>
        <w:t>中标人提供自用户验收合格后8年的免费质保期服务（提供相关承诺函）*,</w:t>
      </w:r>
      <w:r>
        <w:rPr>
          <w:rFonts w:ascii="宋体" w:hAnsi="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szCs w:val="21"/>
        </w:rPr>
      </w:pPr>
      <w:r>
        <w:rPr>
          <w:rFonts w:ascii="宋体" w:hAnsi="宋体" w:hint="eastAsia"/>
          <w:szCs w:val="21"/>
        </w:rPr>
        <w:t>2.中标人应对投标产品提供巡检和定标服务，主要包括日巡查、周维护、月维护及标校、汛前巡检及标校、年维护及标校（标定）、消防设备检测等现场巡检巡查工作。</w:t>
      </w:r>
    </w:p>
    <w:p>
      <w:pPr>
        <w:spacing w:line="360" w:lineRule="auto"/>
        <w:ind w:firstLine="420" w:firstLineChars="200"/>
        <w:rPr>
          <w:rFonts w:ascii="宋体" w:hAnsi="宋体"/>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pPr>
        <w:widowControl/>
        <w:spacing w:line="360" w:lineRule="auto"/>
        <w:ind w:firstLine="420" w:firstLineChars="200"/>
        <w:rPr>
          <w:rFonts w:ascii="宋体" w:hAnsi="宋体"/>
          <w:szCs w:val="21"/>
        </w:rPr>
      </w:pPr>
      <w:r>
        <w:rPr>
          <w:rFonts w:ascii="宋体" w:hAnsi="宋体" w:hint="eastAsia"/>
          <w:szCs w:val="21"/>
        </w:rPr>
        <w:t>4.提供投标产品软件免费升级服务，所提供观测设备观测数据能接入采购人现有气象数据平台。</w:t>
      </w:r>
    </w:p>
    <w:p>
      <w:pPr>
        <w:spacing w:line="360" w:lineRule="auto"/>
        <w:ind w:firstLine="420" w:firstLineChars="200"/>
        <w:rPr>
          <w:rFonts w:ascii="宋体" w:hAnsi="宋体"/>
          <w:szCs w:val="21"/>
        </w:rPr>
      </w:pPr>
      <w:r>
        <w:rPr>
          <w:rFonts w:ascii="宋体" w:hAnsi="宋体" w:hint="eastAsia"/>
          <w:szCs w:val="21"/>
        </w:rPr>
        <w:t>5.质保期过后，中标人仍有义务提供技术服务(包括提供设备维护、备件等)。</w:t>
      </w:r>
    </w:p>
    <w:p>
      <w:pPr>
        <w:spacing w:line="360" w:lineRule="auto"/>
        <w:ind w:firstLine="420" w:firstLineChars="200"/>
        <w:rPr>
          <w:rFonts w:ascii="宋体" w:hAnsi="宋体"/>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0"/>
        <w:gridCol w:w="1459"/>
        <w:gridCol w:w="672"/>
        <w:gridCol w:w="934"/>
        <w:gridCol w:w="1066"/>
        <w:gridCol w:w="3623"/>
        <w:gridCol w:w="39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移动式毫米波测云雷达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3,020,000.00</w:t>
            </w:r>
          </w:p>
        </w:tc>
        <w:tc>
          <w:tcPr/>
          <w:p>
            <w:pPr>
              <w:autoSpaceDE w:val="0"/>
              <w:jc w:val="center"/>
              <w:rPr>
                <w:rFonts w:asciiTheme="minorEastAsia" w:hAnsiTheme="minorEastAsia" w:cstheme="minorEastAsia" w:hint="eastAsia"/>
                <w:kern w:val="0"/>
                <w:szCs w:val="21"/>
              </w:rPr>
            </w:pPr>
            <w:r>
              <w:t>合同签订后120天内完成供货、安装调试并具备现场测试条件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3,020,000.00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994"/>
        <w:gridCol w:w="1830"/>
        <w:gridCol w:w="514"/>
        <w:gridCol w:w="1172"/>
        <w:gridCol w:w="977"/>
        <w:gridCol w:w="1007"/>
        <w:gridCol w:w="51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内蒙古区气象局(001035)</w:t>
            </w:r>
          </w:p>
        </w:tc>
        <w:tc>
          <w:tcPr/>
          <w:p>
            <w:r>
              <w:t>移动式毫米波测云雷达</w:t>
            </w:r>
          </w:p>
        </w:tc>
        <w:tc>
          <w:tcPr/>
          <w:p>
            <w:r>
              <w:t>1</w:t>
            </w:r>
          </w:p>
        </w:tc>
        <w:tc>
          <w:tcPr/>
          <w:p>
            <w:r>
              <w:t>3020000.00</w:t>
            </w:r>
          </w:p>
        </w:tc>
        <w:tc>
          <w:tcPr/>
          <w:p>
            <w:r>
              <w:t xml:space="preserve">3020000.00  </w:t>
            </w:r>
          </w:p>
        </w:tc>
        <w:tc>
          <w:tcPr/>
          <w:p>
            <w:r>
              <w:t>呼和浩特市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C92A85">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92A8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A23F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92A85">
            <w:pPr>
              <w:rPr>
                <w:sz w:val="18"/>
                <w:szCs w:val="18"/>
              </w:rPr>
            </w:pPr>
            <w:r>
              <w:rPr>
                <w:rFonts w:hint="eastAsia"/>
                <w:sz w:val="18"/>
                <w:szCs w:val="18"/>
              </w:rPr>
              <w:t>序号</w:t>
            </w:r>
          </w:p>
        </w:tc>
        <w:tc>
          <w:tcPr>
            <w:tcW w:w="898" w:type="dxa"/>
            <w:vAlign w:val="center"/>
          </w:tcPr>
          <w:p w:rsidR="00C92A85">
            <w:pPr>
              <w:jc w:val="center"/>
              <w:rPr>
                <w:sz w:val="18"/>
                <w:szCs w:val="18"/>
              </w:rPr>
            </w:pPr>
            <w:r>
              <w:rPr>
                <w:rFonts w:hint="eastAsia"/>
                <w:sz w:val="18"/>
                <w:szCs w:val="18"/>
              </w:rPr>
              <w:t>对应</w:t>
            </w:r>
          </w:p>
          <w:p w:rsidR="00C92A85">
            <w:pPr>
              <w:jc w:val="center"/>
              <w:rPr>
                <w:sz w:val="18"/>
                <w:szCs w:val="18"/>
              </w:rPr>
            </w:pPr>
            <w:r>
              <w:rPr>
                <w:rFonts w:hint="eastAsia"/>
                <w:sz w:val="18"/>
                <w:szCs w:val="18"/>
              </w:rPr>
              <w:t>条款号</w:t>
            </w:r>
          </w:p>
        </w:tc>
        <w:tc>
          <w:tcPr>
            <w:tcW w:w="7347" w:type="dxa"/>
            <w:vAlign w:val="center"/>
          </w:tcPr>
          <w:p w:rsidR="00C92A8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A23F7">
        <w:tblPrEx>
          <w:tblW w:w="8789" w:type="dxa"/>
          <w:tblLayout w:type="fixed"/>
          <w:tblLook w:val="04A0"/>
        </w:tblPrEx>
        <w:trPr>
          <w:cantSplit/>
        </w:trPr>
        <w:tc>
          <w:tcPr>
            <w:tcW w:w="8789" w:type="dxa"/>
            <w:gridSpan w:val="3"/>
            <w:vAlign w:val="center"/>
          </w:tcPr>
          <w:p w:rsidR="00C92A8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A23F7">
        <w:tblPrEx>
          <w:tblW w:w="8789" w:type="dxa"/>
          <w:tblLayout w:type="fixed"/>
          <w:tblLook w:val="04A0"/>
        </w:tblPrEx>
        <w:trPr>
          <w:cantSplit/>
        </w:trPr>
        <w:tc>
          <w:tcPr>
            <w:tcW w:w="544" w:type="dxa"/>
            <w:vAlign w:val="center"/>
          </w:tcPr>
          <w:p w:rsidR="00C92A85">
            <w:pPr>
              <w:numPr>
                <w:ilvl w:val="0"/>
                <w:numId w:val="15"/>
              </w:numPr>
              <w:rPr>
                <w:rFonts w:ascii="宋体" w:hAnsi="宋体"/>
                <w:sz w:val="18"/>
                <w:szCs w:val="18"/>
              </w:rPr>
            </w:pPr>
          </w:p>
        </w:tc>
        <w:tc>
          <w:tcPr>
            <w:tcW w:w="898" w:type="dxa"/>
            <w:vAlign w:val="center"/>
          </w:tcPr>
          <w:p w:rsidR="00C92A85">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C92A8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bookmarkStart w:id="69" w:name="许可证_exclusiveLicenseFlagText_0"/>
            <w:r>
              <w:rPr>
                <w:rFonts w:asciiTheme="minorEastAsia" w:eastAsiaTheme="minorEastAsia" w:hAnsiTheme="minorEastAsia" w:cstheme="minorEastAsia" w:hint="eastAsia"/>
                <w:kern w:val="0"/>
                <w:szCs w:val="21"/>
              </w:rPr>
              <w:t>提供</w:t>
            </w:r>
            <w:r>
              <w:rPr>
                <w:rFonts w:asciiTheme="minorEastAsia" w:eastAsiaTheme="minorEastAsia" w:hAnsiTheme="minorEastAsia" w:cstheme="minorEastAsia" w:hint="eastAsia"/>
                <w:kern w:val="0"/>
                <w:szCs w:val="21"/>
              </w:rPr>
              <w:t>全固态</w:t>
            </w:r>
            <w:r>
              <w:rPr>
                <w:rFonts w:asciiTheme="minorEastAsia" w:eastAsiaTheme="minorEastAsia" w:hAnsiTheme="minorEastAsia" w:cstheme="minorEastAsia" w:hint="eastAsia"/>
                <w:kern w:val="0"/>
                <w:szCs w:val="21"/>
              </w:rPr>
              <w:t>Ka</w:t>
            </w:r>
            <w:r>
              <w:rPr>
                <w:rFonts w:asciiTheme="minorEastAsia" w:eastAsiaTheme="minorEastAsia" w:hAnsiTheme="minorEastAsia" w:cstheme="minorEastAsia" w:hint="eastAsia"/>
                <w:kern w:val="0"/>
                <w:szCs w:val="21"/>
              </w:rPr>
              <w:t>波段双</w:t>
            </w:r>
            <w:r>
              <w:rPr>
                <w:rFonts w:asciiTheme="minorEastAsia" w:eastAsiaTheme="minorEastAsia" w:hAnsiTheme="minorEastAsia" w:cstheme="minorEastAsia" w:hint="eastAsia"/>
                <w:kern w:val="0"/>
                <w:szCs w:val="21"/>
              </w:rPr>
              <w:t>偏振云雷达的</w:t>
            </w:r>
            <w:r>
              <w:rPr>
                <w:rFonts w:asciiTheme="minorEastAsia" w:eastAsiaTheme="minorEastAsia" w:hAnsiTheme="minorEastAsia" w:cstheme="minorEastAsia" w:hint="eastAsia"/>
                <w:kern w:val="0"/>
                <w:szCs w:val="21"/>
              </w:rPr>
              <w:t>《气象专用技术装备使用许可证》</w:t>
            </w:r>
            <w:bookmarkEnd w:id="69"/>
          </w:p>
        </w:tc>
      </w:tr>
      <w:tr w:rsidTr="005A23F7">
        <w:tblPrEx>
          <w:tblW w:w="8789" w:type="dxa"/>
          <w:tblLayout w:type="fixed"/>
          <w:tblLook w:val="04A0"/>
        </w:tblPrEx>
        <w:trPr>
          <w:cantSplit/>
        </w:trPr>
        <w:tc>
          <w:tcPr>
            <w:tcW w:w="8789" w:type="dxa"/>
            <w:gridSpan w:val="3"/>
            <w:vAlign w:val="center"/>
          </w:tcPr>
          <w:p w:rsidR="00C92A8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A23F7">
        <w:tblPrEx>
          <w:tblW w:w="8789" w:type="dxa"/>
          <w:tblLayout w:type="fixed"/>
          <w:tblLook w:val="04A0"/>
        </w:tblPrEx>
        <w:trPr>
          <w:cantSplit/>
        </w:trPr>
        <w:tc>
          <w:tcPr>
            <w:tcW w:w="544" w:type="dxa"/>
            <w:vAlign w:val="center"/>
          </w:tcPr>
          <w:p w:rsidR="00C92A85">
            <w:pPr>
              <w:numPr>
                <w:ilvl w:val="0"/>
                <w:numId w:val="15"/>
              </w:numPr>
              <w:rPr>
                <w:rFonts w:ascii="宋体" w:hAnsi="宋体"/>
                <w:sz w:val="18"/>
                <w:szCs w:val="18"/>
              </w:rPr>
            </w:pPr>
          </w:p>
        </w:tc>
        <w:tc>
          <w:tcPr>
            <w:tcW w:w="898" w:type="dxa"/>
            <w:vAlign w:val="center"/>
          </w:tcPr>
          <w:p w:rsidR="00C92A85">
            <w:pPr>
              <w:jc w:val="center"/>
              <w:rPr>
                <w:rFonts w:ascii="宋体" w:hAnsi="宋体"/>
                <w:sz w:val="18"/>
                <w:szCs w:val="18"/>
              </w:rPr>
            </w:pPr>
            <w:r>
              <w:rPr>
                <w:rFonts w:ascii="宋体" w:hAnsi="宋体" w:hint="eastAsia"/>
                <w:sz w:val="18"/>
                <w:szCs w:val="18"/>
              </w:rPr>
              <w:t>五（二）</w:t>
            </w:r>
          </w:p>
        </w:tc>
        <w:tc>
          <w:tcPr>
            <w:tcW w:w="7347" w:type="dxa"/>
            <w:vAlign w:val="center"/>
          </w:tcPr>
          <w:p w:rsidR="00C92A85">
            <w:pPr>
              <w:tabs>
                <w:tab w:val="left" w:pos="709"/>
              </w:tabs>
              <w:spacing w:line="360" w:lineRule="auto"/>
              <w:jc w:val="left"/>
              <w:rPr>
                <w:rFonts w:ascii="宋体" w:hAnsi="宋体"/>
                <w:sz w:val="18"/>
                <w:szCs w:val="18"/>
              </w:rPr>
            </w:pPr>
            <w:r w:rsidRPr="008145F5">
              <w:rPr>
                <w:rFonts w:ascii="宋体" w:hAnsi="宋体" w:hint="eastAsia"/>
                <w:szCs w:val="21"/>
                <w:highlight w:val="yellow"/>
              </w:rPr>
              <w:t>提供自用户验收合格后8年的免费质保期服务（提供相关承诺函）*</w:t>
            </w:r>
          </w:p>
        </w:tc>
      </w:tr>
    </w:tbl>
    <w:p w:rsidR="00C92A8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5 %的银行履约保函，设备验收合格一年后，甲方将银行履约保函退还乙方。</w:t>
      </w:r>
    </w:p>
    <w:p>
      <w:pPr>
        <w:adjustRightInd/>
        <w:snapToGrid/>
        <w:spacing w:line="360" w:lineRule="auto"/>
        <w:ind w:firstLine="420" w:firstLineChars="200"/>
        <w:rPr>
          <w:rFonts w:ascii="宋体" w:hAnsi="宋体"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p>
    <w:p>
      <w:pPr>
        <w:adjustRightInd/>
        <w:snapToGrid/>
        <w:spacing w:line="360" w:lineRule="auto"/>
        <w:rPr>
          <w:rFonts w:ascii="宋体" w:eastAsia="宋体" w:hAnsi="宋体" w:cs="Times New Roman" w:hint="eastAsia"/>
          <w:szCs w:val="21"/>
          <w:highlight w:val="none"/>
        </w:rPr>
      </w:pP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decorative"/>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12C43B"/>
    <w:multiLevelType w:val="singleLevel"/>
    <w:tmpl w:val="AA12C43B"/>
    <w:lvl w:ilvl="0">
      <w:start w:val="5"/>
      <w:numFmt w:val="chineseCounting"/>
      <w:suff w:val="nothing"/>
      <w:lvlText w:val="%1、"/>
      <w:lvlJc w:val="left"/>
      <w:rPr>
        <w:rFonts w:hint="eastAsia"/>
      </w:rPr>
    </w:lvl>
  </w:abstractNum>
  <w:abstractNum w:abstractNumId="1">
    <w:nsid w:val="B89480A3"/>
    <w:multiLevelType w:val="singleLevel"/>
    <w:tmpl w:val="B89480A3"/>
    <w:lvl w:ilvl="0">
      <w:start w:val="1"/>
      <w:numFmt w:val="decimal"/>
      <w:lvlText w:val="%1)"/>
      <w:lvlJc w:val="left"/>
      <w:pPr>
        <w:ind w:left="425" w:hanging="425"/>
      </w:pPr>
      <w:rPr>
        <w:rFonts w:hint="default"/>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13"/>
  </w:num>
  <w:num w:numId="7">
    <w:abstractNumId w:val="14"/>
  </w:num>
  <w:num w:numId="8">
    <w:abstractNumId w:val="3"/>
  </w:num>
  <w:num w:numId="9">
    <w:abstractNumId w:val="7"/>
  </w:num>
  <w:num w:numId="10">
    <w:abstractNumId w:val="5"/>
  </w:num>
  <w:num w:numId="11">
    <w:abstractNumId w:val="4"/>
  </w:num>
  <w:num w:numId="12">
    <w:abstractNumId w:val="12"/>
  </w:num>
  <w:num w:numId="13">
    <w:abstractNumId w:val="2"/>
  </w:num>
  <w:num w:numId="14">
    <w:abstractNumId w:val="6"/>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5F5"/>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2A85"/>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pPr>
      <w:jc w:val="center"/>
    </w:pPr>
    <w:rPr>
      <w:rFonts w:ascii="Arial" w:eastAsia="黑体" w:hAnsi="Arial" w:cs="Arial"/>
      <w:sz w:val="20"/>
      <w:szCs w:val="22"/>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