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阿拉伯国家气象灾害风险预警远程支撑平台建设-面向阿拉伯国家国际早期预警系统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ZQCD-25329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阿拉伯国家气象灾害风险预警远程支撑平台建设-面向阿拉伯国家国际早期预警系统</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ZQCD-25329</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合同签订之日起一年内完成软件研制，正式进入业务运行阶段</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2025年10月23日 00:00:00</w:t>
      </w:r>
      <w:bookmarkEnd w:id="27"/>
      <w:r>
        <w:rPr>
          <w:rFonts w:ascii="宋体" w:hint="eastAsia"/>
          <w:szCs w:val="21"/>
          <w:highlight w:val="none"/>
        </w:rPr>
        <w:t>至</w:t>
      </w:r>
      <w:bookmarkStart w:id="28" w:name="项目公告_signUpLastTime"/>
      <w:r>
        <w:rPr>
          <w:rFonts w:ascii="宋体" w:hint="eastAsia"/>
          <w:szCs w:val="21"/>
          <w:highlight w:val="none"/>
        </w:rPr>
        <w:t>2025年10月31日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2025年11月19日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李梦杨</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孟庆涛</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010-58994298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（1）标的：阿拉伯国家气象灾害风险预警远程支撑平台建设-面向阿拉伯国家国际早期预警系统，属于软件和信息技术服务业。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340.950000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340.950000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7"/>
        <w:gridCol w:w="1858"/>
        <w:gridCol w:w="267"/>
        <w:gridCol w:w="64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(15)</w:t>
            </w:r>
          </w:p>
        </w:tc>
        <w:tc>
          <w:tcPr/>
          <w:p>
            <w:r>
              <w:t>评审标准：</w:t>
            </w:r>
          </w:p>
          <w:p>
            <w:r>
              <w:t>采用低价优先法计算，公式：投标人得分=评标基准价/评标价×价格分值</w:t>
              <w:cr/>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2、投标人具有信息系统建设和服务能力等级证书；</w:t>
              <w:cr/>
              <w:t>3、投标人具有ISO27001信息安全管理体系认证；</w:t>
              <w:cr/>
              <w:t>4、投标人具有ISO20000信息技术服务管理体系认证；</w:t>
              <w:cr/>
              <w:t>每提供一项得2分，满分8分。否则不得分。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每提供一份合同得2分，最多得8分。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提供气象预报、气象检验、气象应用相关的专利或软件著作权证书，每提供1份专利或软件著作权证书得2分，最多得8分。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(12)</w:t>
            </w:r>
          </w:p>
        </w:tc>
        <w:tc>
          <w:tcPr/>
          <w:p>
            <w:r>
              <w:t>评审标准：</w:t>
            </w:r>
          </w:p>
          <w:p>
            <w:r>
              <w:t>投标人应组成本项目开发服务团队，团队组织结构清晰，应设服务团队负责人（项目经理）、团队人员专业背景齐全。具体如下：</w:t>
              <w:cr/>
              <w:t>1、团队人数至少9人，其中驻场人员至少4人，完全满足得4分，否则不得分。</w:t>
              <w:cr/>
              <w:t>2、团队负责人（项目经理）具有气象类或计算机类相关专业背景，且有4年以上软件开发/气象算法/气象数据处理等项目管理经验。完全满足得2分，否则不得分；</w:t>
              <w:cr/>
              <w:t>3、技术负责人具有3年以上与气象预报或应用系统相关的软件设计/开发/集成经验。完全满足得2分，否则不得分。</w:t>
              <w:cr/>
              <w:t>4、团队其他成员每有1人具有计算机类或气象类相关专业背景，且有1年以上同类项目开发经历，每有1人得1分，最多得4分，否则不得分。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培训方案（主观分）</w:t>
            </w:r>
          </w:p>
        </w:tc>
        <w:tc>
          <w:tcPr/>
          <w:p>
            <w:r>
              <w:t>勾选打分</w:t>
            </w:r>
            <w:r>
              <w:t>(1)</w:t>
            </w:r>
          </w:p>
        </w:tc>
        <w:tc>
          <w:tcPr/>
          <w:p>
            <w:r>
              <w:t>评审标准：</w:t>
            </w:r>
          </w:p>
          <w:p>
            <w:r>
              <w:t>一档0分</w:t>
              <w:cr/>
              <w:t>二档0.3分</w:t>
              <w:cr/>
              <w:t>三档0.6分</w:t>
              <w:cr/>
              <w:t>四档1分</w:t>
            </w:r>
          </w:p>
          <w:p>
            <w:r>
              <w:t>评审标准说明：</w:t>
            </w:r>
          </w:p>
          <w:p>
            <w:r>
              <w:t>投标人应提供该项评审标准中要求的培训方案。具体标准评分如下：</w:t>
              <w:cr/>
              <w:t>一档：未提供培训方案；</w:t>
              <w:cr/>
              <w:t>二档：提供培训方案，但培训方案不完整；</w:t>
              <w:cr/>
              <w:t>三档：提供培训方案，培训方案完整，但方案重点不突出或针对性不强，基本满足采购文件需求；</w:t>
              <w:cr/>
              <w:t>四档：提供培训方案，培训方案完整，培训方案完整，课程设计重点突出、针对性强，完全满足采购文件需求。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(2)</w:t>
            </w:r>
          </w:p>
        </w:tc>
        <w:tc>
          <w:tcPr/>
          <w:p>
            <w:r>
              <w:t>评审标准：</w:t>
            </w:r>
          </w:p>
          <w:p>
            <w:r>
              <w:t>提供书面承诺得2分。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(4)</w:t>
            </w:r>
          </w:p>
        </w:tc>
        <w:tc>
          <w:tcPr/>
          <w:p>
            <w:r>
              <w:t>评审标准：</w:t>
            </w:r>
          </w:p>
          <w:p>
            <w:r>
              <w:t>一档0分</w:t>
              <w:cr/>
              <w:t>二档1分</w:t>
              <w:cr/>
              <w:t>三档2分</w:t>
              <w:cr/>
              <w:t>四档4分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三档：软件功能开发需求分析较完整，对软件系统各模块进行功能需求拆分，用图表结合的方式进行需求分析，分析具体，但不充分、不详细；</w:t>
              <w:cr/>
              <w:t>四档：软件功能开发需求分析完整，对软件系统各模块进行功能需求拆分，并对各个功能点用图表结合的方式进行详细功能需求分析，完全覆盖招标文件功能要求，需求分析完整详细合理。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(1)</w:t>
            </w:r>
          </w:p>
        </w:tc>
        <w:tc>
          <w:tcPr/>
          <w:p>
            <w:r>
              <w:t>评审标准：</w:t>
            </w:r>
          </w:p>
          <w:p>
            <w:r>
              <w:t>一档0分</w:t>
              <w:cr/>
              <w:t>二档0.3分</w:t>
              <w:cr/>
              <w:t>三档0.6分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软件接口需求分析（主观分）</w:t>
            </w:r>
          </w:p>
        </w:tc>
        <w:tc>
          <w:tcPr/>
          <w:p>
            <w:r>
              <w:t>勾选打分</w:t>
            </w:r>
            <w:r>
              <w:t>(1)</w:t>
            </w:r>
          </w:p>
        </w:tc>
        <w:tc>
          <w:tcPr/>
          <w:p>
            <w:r>
              <w:t>评审标准：</w:t>
            </w:r>
          </w:p>
          <w:p>
            <w:r>
              <w:t>一档0分</w:t>
              <w:cr/>
              <w:t>二档0.3分</w:t>
              <w:cr/>
              <w:t>三档0.6分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14</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根据提交的系统整体架构(包括业务架构、数据架构、应用架构、技术架构、部署架构)设计技术方案评分：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15</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面向阿拉伯国家国际早期预警系统组件功能设计技术方案（主观分）</w:t>
            </w:r>
          </w:p>
        </w:tc>
        <w:tc>
          <w:tcPr/>
          <w:p>
            <w:r>
              <w:t>区间打分</w:t>
            </w:r>
            <w:r>
              <w:t>(5)</w:t>
            </w:r>
          </w:p>
        </w:tc>
        <w:tc>
          <w:tcPr/>
          <w:p>
            <w:r>
              <w:t>评审标准：</w:t>
            </w:r>
          </w:p>
          <w:p>
            <w:r>
              <w:t>提交如下模块技术方案：</w:t>
              <w:cr/>
              <w:t>1、三维展示模块</w:t>
              <w:cr/>
              <w:t>2、阿盟地区监测</w:t>
              <w:cr/>
              <w:t>3、阿盟地区预报</w:t>
              <w:cr/>
              <w:t>4、定制服务</w:t>
              <w:cr/>
              <w:t>5、工具箱</w:t>
              <w:cr/>
              <w:t>以上每个模块</w:t>
              <w:cr/>
              <w:t>一档0分</w:t>
              <w:cr/>
              <w:t>二档0.3分</w:t>
              <w:cr/>
              <w:t>三档0.6分</w:t>
              <w:cr/>
              <w:t>四档1分</w:t>
              <w:cr/>
              <w:t>以上共计5模块，满分5分。</w:t>
            </w:r>
          </w:p>
          <w:p>
            <w:r>
              <w:t>评审标准说明：</w:t>
            </w:r>
          </w:p>
          <w:p>
            <w:r>
              <w:t>按模块提出技术方案，每个模块评分标准如下：</w:t>
              <w:cr/>
              <w:t>一档：未提供</w:t>
              <w:cr/>
              <w:t>二档：技术方案不完整，未覆盖项目的功能和非功能需求，描述不清楚、缺乏针对面向阿拉伯国家国际早期预警系统组件关建技术的分析，可行性针对性差。</w:t>
              <w:cr/>
              <w:t>三档：技术方案内容较完整，基本覆盖项目的功能和非功能需求，描述基本清楚；技术思路较合理、面向阿拉伯国家国际早期预警系统组件关建技术的分析较清晰，解决措施有一定可行性针对性，基本满足采购需求。</w:t>
              <w:cr/>
              <w:t>四档：技术方案内容完整、详实，覆盖项目的功能和非功能需求，描述清楚，逻辑性强，图文规范；技术先进，针对面向阿拉伯国家国际早期预警系统组件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面向阿拉伯国家多模式集成预报和应用系统（MMIFA）组件技术方案（主观分）</w:t>
            </w:r>
          </w:p>
        </w:tc>
        <w:tc>
          <w:tcPr/>
          <w:p>
            <w:r>
              <w:t>区间打分</w:t>
            </w:r>
            <w:r>
              <w:t>(3)</w:t>
            </w:r>
          </w:p>
        </w:tc>
        <w:tc>
          <w:tcPr/>
          <w:p>
            <w:r>
              <w:t>评审标准：</w:t>
            </w:r>
          </w:p>
          <w:p>
            <w:r>
              <w:t>提交如下模块技术方案：</w:t>
              <w:cr/>
              <w:t>1、数值天气模式解析处理模块</w:t>
              <w:cr/>
              <w:t>2、区域模式解析处理模块</w:t>
              <w:cr/>
              <w:t>3、AI模式解析处理模块</w:t>
              <w:cr/>
              <w:t>4、产品解析处理模块</w:t>
              <w:cr/>
              <w:t>5、多模式对比分析模块</w:t>
              <w:cr/>
              <w:t>6、算法模块以上每个模块</w:t>
              <w:cr/>
              <w:t>一档0分</w:t>
              <w:cr/>
              <w:t>二档0.1分</w:t>
              <w:cr/>
              <w:t>三档0.3分</w:t>
              <w:cr/>
              <w:t>四档0.5分</w:t>
              <w:cr/>
              <w:t>以上共计6模块，满分3分。</w:t>
            </w:r>
          </w:p>
          <w:p>
            <w:r>
              <w:t>评审标准说明：</w:t>
            </w:r>
          </w:p>
          <w:p>
            <w:r>
              <w:t>按模块提出技术方案，每个模块评分标准如下：</w:t>
              <w:cr/>
              <w:t>一档：未提供</w:t>
              <w:cr/>
              <w:t>二档：技术方案不完整，未覆盖项目的功能和非功能需求，描述不清楚、缺乏针对面向阿拉伯国家多模式集成预报和应用系统（MMIFA）组件关建技术的分析，可行性针对性差。</w:t>
              <w:cr/>
              <w:t>三档：技术方案内容较完整，基本覆盖项目的功能和非功能需求，描述基本清楚；技术思路较合理、面向阿拉伯国家多模式集成预报和应用系统（MMIFA）组件关建技术的分析较清晰，解决措施有一定可行性针对性，基本满足采购需求。</w:t>
              <w:cr/>
              <w:t>四档：技术方案内容完整、详实，覆盖项目的功能和非功能需求，描述清楚，逻辑性强，图文规范；技术先进，针对面向阿拉伯国家多模式集成预报和应用系统（MMIFA）组件关建技术的分析详细，解决措施切实可行，针对性强，完全满足采购需求。</w:t>
            </w:r>
          </w:p>
          <w:p/>
        </w:tc>
      </w:tr>
      <w:tr>
        <w:tblPrEx>
          <w:tblW w:w="5000" w:type="pct"/>
          <w:tblCellMar>
            <w:left w:w="108" w:type="dxa"/>
            <w:right w:w="108" w:type="dxa"/>
          </w:tblCellMar>
        </w:tblPrEx>
        <w:tc>
          <w:tcPr/>
          <w:p>
            <w:r>
              <w:t>18</w:t>
            </w:r>
          </w:p>
        </w:tc>
        <w:tc>
          <w:tcPr>
            <w:vMerge/>
          </w:tcPr>
          <w:p>
            <w:r>
              <w:t>技术部分</w:t>
            </w:r>
          </w:p>
        </w:tc>
        <w:tc>
          <w:tcPr/>
          <w:p>
            <w:r>
              <w:t>海外云部署及监控环境建设组件技术方案（主观分）</w:t>
            </w:r>
          </w:p>
        </w:tc>
        <w:tc>
          <w:tcPr/>
          <w:p>
            <w:r>
              <w:t>区间打分</w:t>
            </w:r>
            <w:r>
              <w:t>(2)</w:t>
            </w:r>
          </w:p>
        </w:tc>
        <w:tc>
          <w:tcPr/>
          <w:p>
            <w:r>
              <w:t>评审标准：</w:t>
            </w:r>
          </w:p>
          <w:p>
            <w:r>
              <w:t>提交如下模块技术方案：</w:t>
              <w:cr/>
              <w:t>1、海外云节点适配模块</w:t>
              <w:cr/>
              <w:t>2、监控与预警模块</w:t>
              <w:cr/>
              <w:t>以上每个模块</w:t>
              <w:cr/>
              <w:t>一档0分</w:t>
              <w:cr/>
              <w:t>二档0.3分</w:t>
              <w:cr/>
              <w:t>三档0.6分</w:t>
              <w:cr/>
              <w:t>四档1分</w:t>
              <w:cr/>
              <w:t>以上共计2模块，满分2分。</w:t>
            </w:r>
          </w:p>
          <w:p>
            <w:r>
              <w:t>评审标准说明：</w:t>
            </w:r>
          </w:p>
          <w:p>
            <w:r>
              <w:t>按模块提出技术方案，每个模块评分标准如下：</w:t>
              <w:cr/>
              <w:t>一档：未提供</w:t>
              <w:cr/>
              <w:t>二档：技术方案不完整，未覆盖项目的功能和非功能需求，描述不清楚、缺乏针对海外云部署及监控环境建设组件关建技术的分析，可行性针对性差。</w:t>
              <w:cr/>
              <w:t>三档：技术方案内容较完整，基本覆盖项目的功能和非功能需求，描述基本清楚；技术思路较合理、海外云部署及监控环境建设组件关建技术的分析较清晰，解决措施有一定可行性针对性，基本满足采购需求。</w:t>
            </w:r>
          </w:p>
          <w:p/>
        </w:tc>
      </w:tr>
      <w:tr>
        <w:tblPrEx>
          <w:tblW w:w="5000" w:type="pct"/>
          <w:tblCellMar>
            <w:left w:w="108" w:type="dxa"/>
            <w:right w:w="108" w:type="dxa"/>
          </w:tblCellMar>
        </w:tblPrEx>
        <w:tc>
          <w:tcPr/>
          <w:p>
            <w:r>
              <w:t>19</w:t>
            </w:r>
          </w:p>
        </w:tc>
        <w:tc>
          <w:tcPr>
            <w:vMerge/>
          </w:tcPr>
          <w:p>
            <w:r>
              <w:t>技术部分</w:t>
            </w:r>
          </w:p>
        </w:tc>
        <w:tc>
          <w:tcPr/>
          <w:p>
            <w:r>
              <w:t>阿盟地区多源资料监测及灾害预报预警系统组件技术方案（主观分）</w:t>
            </w:r>
          </w:p>
        </w:tc>
        <w:tc>
          <w:tcPr/>
          <w:p>
            <w:r>
              <w:t>区间打分</w:t>
            </w:r>
            <w:r>
              <w:t>(10)</w:t>
            </w:r>
          </w:p>
        </w:tc>
        <w:tc>
          <w:tcPr/>
          <w:p>
            <w:r>
              <w:t>评审标准：</w:t>
            </w:r>
          </w:p>
          <w:p>
            <w:r>
              <w:t>提交如下模块技术方案：</w:t>
              <w:cr/>
              <w:t>1、阿盟地区监测模块</w:t>
              <w:cr/>
              <w:t>2、三维实况分析模块</w:t>
              <w:cr/>
              <w:t>3、集合预报分析模块</w:t>
              <w:cr/>
              <w:t>4、灾害天气多模式综合预警模块</w:t>
              <w:cr/>
              <w:t>5、极端天气多模式综合预警模块</w:t>
              <w:cr/>
              <w:t>以上每个模块</w:t>
              <w:cr/>
              <w:t>一档0分</w:t>
              <w:cr/>
              <w:t>二档0.5分</w:t>
              <w:cr/>
              <w:t>三档1分</w:t>
              <w:cr/>
              <w:t>四档2分</w:t>
              <w:cr/>
              <w:t>以上共计5模块，满分10分。</w:t>
            </w:r>
          </w:p>
          <w:p>
            <w:r>
              <w:t>评审标准说明：</w:t>
            </w:r>
          </w:p>
          <w:p>
            <w:r>
              <w:t>按模块提出技术方案，每个模块评分标准如下：</w:t>
              <w:cr/>
              <w:t>一档：未提供</w:t>
              <w:cr/>
              <w:t>二档：技术方案不完整，未覆盖项目的功能和非功能需求，描述不清楚、缺乏针对阿盟地区多源资料监测及灾害预报预警系统组件关建技术的分析，可行性针对性差。</w:t>
              <w:cr/>
              <w:t>三档：技术方案内容较完整，基本覆盖项目的功能和非功能需求，描述基本清楚；技术思路较合理、阿盟地区多源资料监测及灾害预报预警系统组件关建技术的分析较清晰，解决措施有一定可行性针对性，基本满足采购需求。</w:t>
              <w:cr/>
              <w:t>四档：技术方案内容完整、详实，覆盖项目的功能和非功能需求，描述清楚，逻辑性强，图文规范；技术先进，针对阿盟地区多源资料监测及灾害预报预警系统组件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国际临近预报比对分系统组件技术方案（主观分）</w:t>
            </w:r>
          </w:p>
        </w:tc>
        <w:tc>
          <w:tcPr/>
          <w:p>
            <w:r>
              <w:t>区间打分</w:t>
            </w:r>
            <w:r>
              <w:t>(7)</w:t>
            </w:r>
          </w:p>
        </w:tc>
        <w:tc>
          <w:tcPr/>
          <w:p>
            <w:r>
              <w:t>评审标准：</w:t>
            </w:r>
          </w:p>
          <w:p>
            <w:r>
              <w:t>提交如下模块技术方案：</w:t>
              <w:cr/>
              <w:t>1、国际数据接收模块</w:t>
              <w:cr/>
              <w:t>2、国际数据解析处理模块</w:t>
              <w:cr/>
              <w:t>3、显示临近预报产品模块</w:t>
              <w:cr/>
              <w:t>4、产品检验模块</w:t>
              <w:cr/>
              <w:t>5、临近预报个例分析模块</w:t>
              <w:cr/>
              <w:t>6、临近预报产品比对模块</w:t>
              <w:cr/>
              <w:t>7、临近预报比对分析报告生成模块</w:t>
              <w:cr/>
              <w:t>以上每个模块</w:t>
              <w:cr/>
              <w:t>一档0分</w:t>
              <w:cr/>
              <w:t>二档0.3分</w:t>
              <w:cr/>
              <w:t>三档0.6分</w:t>
              <w:cr/>
              <w:t>四挡1分</w:t>
              <w:cr/>
              <w:t>以上共计7模块，满分7分。</w:t>
            </w:r>
          </w:p>
          <w:p>
            <w:r>
              <w:t>评审标准说明：</w:t>
            </w:r>
          </w:p>
          <w:p>
            <w:r>
              <w:t>按模块提出技术方案，每个模块评分标准如下：</w:t>
              <w:cr/>
              <w:t>一档：未提供</w:t>
              <w:cr/>
              <w:t>二档：技术方案不完整，未覆盖项目的功能和非功能需求，描述不清楚、缺乏针对国际临近预报比对分系统组件关建技术的分析，可行性针对性差。</w:t>
              <w:cr/>
              <w:t>三档：技术方案内容较完整，基本覆盖项目的功能和非功能需求，描述基本清楚；技术思路较合理国际临近预报比对分系统组件关建技术的分析较清晰，解决措施有一定可行性针对性，基本满足采购需求。</w:t>
              <w:cr/>
              <w:t>四档：技术方案内容完整、详实，覆盖项目的功能和非功能需求，描述清楚，逻辑性强，图文规范；技术先进，针对国际临近预报比对分系统组件关建技术的分析详细，解决措施切实可行，针对性强，完全满足采购需求。</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(1)</w:t>
            </w:r>
          </w:p>
        </w:tc>
        <w:tc>
          <w:tcPr/>
          <w:p>
            <w:r>
              <w:t>评审标准：</w:t>
            </w:r>
          </w:p>
          <w:p>
            <w:r>
              <w:t>一档0分</w:t>
              <w:cr/>
              <w:t>二档0.3分</w:t>
              <w:cr/>
              <w:t>三档0.6分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546305">
      <w:pPr>
        <w:ind w:firstLine="1205"/>
        <w:jc w:val="center"/>
        <w:rPr>
          <w:rFonts w:ascii="黑体" w:eastAsia="黑体"/>
          <w:b/>
          <w:sz w:val="60"/>
          <w:szCs w:val="60"/>
          <w:u w:val="single"/>
        </w:rPr>
      </w:pPr>
      <w:r>
        <w:rPr>
          <w:bCs/>
          <w:szCs w:val="21"/>
          <w:highlight w:val="none"/>
        </w:rPr>
        <w:br w:type="page"/>
      </w:r>
      <w:bookmarkStart w:id="60" w:name="插入_采购需求书"/>
      <w:r>
        <w:rPr>
          <w:rFonts w:ascii="黑体" w:eastAsia="黑体" w:hint="eastAsia"/>
          <w:b/>
          <w:sz w:val="60"/>
          <w:szCs w:val="60"/>
          <w:u w:val="single"/>
        </w:rPr>
        <w:t>阿拉伯国家气象灾害风险预警远程支撑平台建设</w:t>
      </w:r>
      <w:r>
        <w:rPr>
          <w:rFonts w:ascii="黑体" w:eastAsia="黑体" w:hint="eastAsia"/>
          <w:b/>
          <w:sz w:val="60"/>
          <w:szCs w:val="60"/>
          <w:u w:val="single"/>
        </w:rPr>
        <w:t>-</w:t>
      </w:r>
      <w:r>
        <w:rPr>
          <w:rFonts w:ascii="黑体" w:eastAsia="黑体" w:hint="eastAsia"/>
          <w:b/>
          <w:sz w:val="60"/>
          <w:szCs w:val="60"/>
          <w:u w:val="single"/>
        </w:rPr>
        <w:t>面向阿拉伯国家国际早期预警系统</w:t>
      </w:r>
    </w:p>
    <w:p w:rsidR="00546305">
      <w:pPr>
        <w:ind w:firstLine="1205"/>
        <w:jc w:val="center"/>
        <w:rPr>
          <w:rFonts w:ascii="黑体" w:eastAsia="黑体"/>
          <w:b/>
          <w:sz w:val="60"/>
          <w:szCs w:val="60"/>
        </w:rPr>
      </w:pPr>
      <w:r>
        <w:rPr>
          <w:rFonts w:ascii="黑体" w:eastAsia="黑体" w:hint="eastAsia"/>
          <w:b/>
          <w:sz w:val="60"/>
          <w:szCs w:val="60"/>
        </w:rPr>
        <w:t>建设项目</w:t>
      </w:r>
    </w:p>
    <w:p w:rsidR="00546305">
      <w:pPr>
        <w:ind w:firstLine="1205"/>
        <w:jc w:val="center"/>
        <w:rPr>
          <w:rFonts w:ascii="黑体" w:eastAsia="黑体"/>
          <w:b/>
          <w:sz w:val="60"/>
          <w:szCs w:val="60"/>
        </w:rPr>
      </w:pPr>
    </w:p>
    <w:p w:rsidR="00546305">
      <w:pPr>
        <w:ind w:firstLine="1446"/>
        <w:jc w:val="center"/>
        <w:rPr>
          <w:rFonts w:ascii="黑体" w:eastAsia="黑体"/>
          <w:b/>
          <w:sz w:val="72"/>
          <w:szCs w:val="72"/>
        </w:rPr>
      </w:pPr>
    </w:p>
    <w:p w:rsidR="00546305">
      <w:pPr>
        <w:ind w:firstLine="1446"/>
        <w:jc w:val="center"/>
        <w:rPr>
          <w:rFonts w:ascii="黑体" w:eastAsia="黑体"/>
          <w:b/>
          <w:sz w:val="72"/>
          <w:szCs w:val="72"/>
        </w:rPr>
      </w:pPr>
    </w:p>
    <w:p w:rsidR="00546305">
      <w:pPr>
        <w:ind w:firstLine="1446"/>
        <w:jc w:val="center"/>
        <w:rPr>
          <w:rFonts w:ascii="黑体" w:eastAsia="黑体"/>
          <w:b/>
          <w:sz w:val="72"/>
          <w:szCs w:val="72"/>
        </w:rPr>
      </w:pPr>
    </w:p>
    <w:p w:rsidR="00546305">
      <w:pPr>
        <w:ind w:firstLine="1044"/>
        <w:jc w:val="center"/>
        <w:rPr>
          <w:rFonts w:ascii="黑体" w:eastAsia="黑体"/>
          <w:b/>
          <w:sz w:val="52"/>
          <w:szCs w:val="52"/>
        </w:rPr>
      </w:pPr>
      <w:r>
        <w:rPr>
          <w:rFonts w:ascii="黑体" w:eastAsia="黑体" w:hint="eastAsia"/>
          <w:b/>
          <w:sz w:val="52"/>
          <w:szCs w:val="52"/>
        </w:rPr>
        <w:t>采购需求书</w:t>
      </w:r>
    </w:p>
    <w:p w:rsidR="00546305">
      <w:pPr>
        <w:ind w:firstLine="560"/>
        <w:jc w:val="center"/>
      </w:pPr>
    </w:p>
    <w:p w:rsidR="00546305">
      <w:pPr>
        <w:ind w:firstLine="560"/>
      </w:pPr>
    </w:p>
    <w:p w:rsidR="00546305">
      <w:pPr>
        <w:ind w:firstLine="560"/>
      </w:pPr>
    </w:p>
    <w:p w:rsidR="00546305">
      <w:pPr>
        <w:ind w:firstLine="643"/>
        <w:jc w:val="center"/>
        <w:rPr>
          <w:b/>
          <w:sz w:val="32"/>
          <w:szCs w:val="32"/>
        </w:rPr>
      </w:pPr>
      <w:r>
        <w:rPr>
          <w:rFonts w:hint="eastAsia"/>
          <w:b/>
          <w:sz w:val="32"/>
          <w:szCs w:val="32"/>
        </w:rPr>
        <w:t>国家气象中心</w:t>
      </w:r>
    </w:p>
    <w:p w:rsidR="00546305">
      <w:pPr>
        <w:ind w:firstLine="643"/>
        <w:jc w:val="center"/>
        <w:rPr>
          <w:rFonts w:ascii="宋体" w:cs="宋体"/>
          <w:b/>
          <w:kern w:val="0"/>
          <w:sz w:val="32"/>
          <w:szCs w:val="32"/>
        </w:rPr>
      </w:pPr>
      <w:r>
        <w:rPr>
          <w:rFonts w:ascii="宋体" w:cs="宋体" w:hint="eastAsia"/>
          <w:b/>
          <w:kern w:val="0"/>
          <w:sz w:val="32"/>
          <w:szCs w:val="32"/>
        </w:rPr>
        <w:t>二○二五年</w:t>
      </w:r>
      <w:r>
        <w:rPr>
          <w:rFonts w:ascii="宋体" w:cs="宋体" w:hint="eastAsia"/>
          <w:b/>
          <w:kern w:val="0"/>
          <w:sz w:val="32"/>
          <w:szCs w:val="32"/>
        </w:rPr>
        <w:t>五</w:t>
      </w:r>
      <w:r>
        <w:rPr>
          <w:rFonts w:ascii="宋体" w:cs="宋体" w:hint="eastAsia"/>
          <w:b/>
          <w:kern w:val="0"/>
          <w:sz w:val="32"/>
          <w:szCs w:val="32"/>
        </w:rPr>
        <w:t>月</w:t>
      </w:r>
    </w:p>
    <w:p w:rsidR="00546305">
      <w:pPr>
        <w:ind w:firstLine="643"/>
        <w:jc w:val="center"/>
        <w:rPr>
          <w:rFonts w:ascii="宋体" w:cs="宋体"/>
          <w:b/>
          <w:kern w:val="0"/>
          <w:sz w:val="32"/>
          <w:szCs w:val="32"/>
        </w:rPr>
      </w:pPr>
    </w:p>
    <w:p w:rsidR="00546305">
      <w:pPr>
        <w:ind w:firstLine="643"/>
        <w:jc w:val="center"/>
        <w:rPr>
          <w:rFonts w:ascii="宋体" w:cs="宋体"/>
          <w:b/>
          <w:kern w:val="0"/>
          <w:sz w:val="32"/>
          <w:szCs w:val="32"/>
        </w:rPr>
      </w:pPr>
    </w:p>
    <w:sdt>
      <w:sdtPr>
        <w:rPr>
          <w:rFonts w:ascii="Calibri" w:eastAsia="宋体" w:hAnsi="Calibri" w:cs="黑体"/>
          <w:color w:val="auto"/>
          <w:kern w:val="2"/>
          <w:sz w:val="28"/>
          <w:szCs w:val="22"/>
          <w:lang w:val="zh-CN"/>
        </w:rPr>
        <w:id w:val="484434984"/>
        <w:docPartObj>
          <w:docPartGallery w:val="Table of Contents"/>
          <w:docPartUnique/>
        </w:docPartObj>
      </w:sdtPr>
      <w:sdtEndPr>
        <w:rPr>
          <w:b/>
          <w:bCs/>
        </w:rPr>
      </w:sdtEndPr>
      <w:sdtContent>
        <w:p w:rsidR="00546305">
          <w:pPr>
            <w:pStyle w:val="TOC10"/>
            <w:ind w:left="560"/>
            <w:jc w:val="center"/>
          </w:pPr>
          <w:r>
            <w:rPr>
              <w:lang w:val="zh-CN"/>
            </w:rPr>
            <w:t>目录</w:t>
          </w:r>
        </w:p>
        <w:p w:rsidR="00546305">
          <w:pPr>
            <w:pStyle w:val="TOC1"/>
            <w:tabs>
              <w:tab w:val="right" w:leader="dot" w:pos="8306"/>
            </w:tabs>
            <w:ind w:firstLine="560"/>
          </w:pPr>
          <w:r>
            <w:fldChar w:fldCharType="begin"/>
          </w:r>
          <w:r>
            <w:instrText xml:space="preserve"> TOC \o "1-3" \h \z \u </w:instrText>
          </w:r>
          <w:r>
            <w:fldChar w:fldCharType="separate"/>
          </w:r>
          <w:hyperlink w:anchor="_Toc18920" w:history="1">
            <w:r>
              <w:rPr>
                <w:rFonts w:ascii="Times New Roman" w:hAnsi="Times New Roman" w:cs="Times New Roman"/>
                <w:lang w:val="zh-CN"/>
              </w:rPr>
              <w:t xml:space="preserve">1. </w:t>
            </w:r>
            <w:r>
              <w:rPr>
                <w:rFonts w:hint="eastAsia"/>
                <w:lang w:val="zh-CN"/>
              </w:rPr>
              <w:t>项目概述</w:t>
            </w:r>
            <w:r>
              <w:tab/>
            </w:r>
            <w:r>
              <w:fldChar w:fldCharType="begin"/>
            </w:r>
            <w:r>
              <w:instrText xml:space="preserve"> PAGEREF _Toc18920 \h </w:instrText>
            </w:r>
            <w:r>
              <w:fldChar w:fldCharType="separate"/>
            </w:r>
            <w:r>
              <w:t>4</w:t>
            </w:r>
            <w:r>
              <w:fldChar w:fldCharType="end"/>
            </w:r>
          </w:hyperlink>
        </w:p>
        <w:p w:rsidR="00546305">
          <w:pPr>
            <w:pStyle w:val="TOC2"/>
            <w:tabs>
              <w:tab w:val="right" w:leader="dot" w:pos="8306"/>
            </w:tabs>
            <w:ind w:left="560" w:firstLine="560"/>
          </w:pPr>
          <w:hyperlink w:anchor="_Toc29099" w:history="1">
            <w:r>
              <w:rPr>
                <w:rFonts w:ascii="Times New Roman" w:hAnsi="Times New Roman" w:cs="Times New Roman"/>
                <w:lang w:val="zh-CN"/>
              </w:rPr>
              <w:t xml:space="preserve">1.1. </w:t>
            </w:r>
            <w:r>
              <w:rPr>
                <w:rFonts w:hint="eastAsia"/>
                <w:lang w:val="zh-CN"/>
              </w:rPr>
              <w:t>项目名称</w:t>
            </w:r>
            <w:r>
              <w:tab/>
            </w:r>
            <w:r>
              <w:fldChar w:fldCharType="begin"/>
            </w:r>
            <w:r>
              <w:instrText xml:space="preserve"> PAGEREF _Toc29099 \h </w:instrText>
            </w:r>
            <w:r>
              <w:fldChar w:fldCharType="separate"/>
            </w:r>
            <w:r>
              <w:t>4</w:t>
            </w:r>
            <w:r>
              <w:fldChar w:fldCharType="end"/>
            </w:r>
          </w:hyperlink>
        </w:p>
        <w:p w:rsidR="00546305">
          <w:pPr>
            <w:pStyle w:val="TOC2"/>
            <w:tabs>
              <w:tab w:val="right" w:leader="dot" w:pos="8306"/>
            </w:tabs>
            <w:ind w:left="560" w:firstLine="560"/>
          </w:pPr>
          <w:hyperlink w:anchor="_Toc16796" w:history="1">
            <w:r>
              <w:rPr>
                <w:rFonts w:ascii="Times New Roman" w:hAnsi="Times New Roman" w:cs="Times New Roman"/>
                <w:lang w:val="zh-CN"/>
              </w:rPr>
              <w:t xml:space="preserve">1.2. </w:t>
            </w:r>
            <w:r>
              <w:rPr>
                <w:lang w:val="zh-CN"/>
              </w:rPr>
              <w:t>实施地点</w:t>
            </w:r>
            <w:r>
              <w:tab/>
            </w:r>
            <w:r>
              <w:fldChar w:fldCharType="begin"/>
            </w:r>
            <w:r>
              <w:instrText xml:space="preserve"> PAGEREF _Toc16796 \h </w:instrText>
            </w:r>
            <w:r>
              <w:fldChar w:fldCharType="separate"/>
            </w:r>
            <w:r>
              <w:t>4</w:t>
            </w:r>
            <w:r>
              <w:fldChar w:fldCharType="end"/>
            </w:r>
          </w:hyperlink>
        </w:p>
        <w:p w:rsidR="00546305">
          <w:pPr>
            <w:pStyle w:val="TOC2"/>
            <w:tabs>
              <w:tab w:val="right" w:leader="dot" w:pos="8306"/>
            </w:tabs>
            <w:ind w:left="560" w:firstLine="560"/>
          </w:pPr>
          <w:hyperlink w:anchor="_Toc20298" w:history="1">
            <w:r>
              <w:rPr>
                <w:rFonts w:ascii="Times New Roman" w:hAnsi="Times New Roman" w:cs="Times New Roman"/>
                <w:lang w:val="zh-CN"/>
              </w:rPr>
              <w:t xml:space="preserve">1.3. </w:t>
            </w:r>
            <w:r>
              <w:rPr>
                <w:rFonts w:hint="eastAsia"/>
                <w:lang w:val="zh-CN"/>
              </w:rPr>
              <w:t>建设内容</w:t>
            </w:r>
            <w:r>
              <w:tab/>
            </w:r>
            <w:r>
              <w:fldChar w:fldCharType="begin"/>
            </w:r>
            <w:r>
              <w:instrText xml:space="preserve"> PAGEREF _Toc20298 \h </w:instrText>
            </w:r>
            <w:r>
              <w:fldChar w:fldCharType="separate"/>
            </w:r>
            <w:r>
              <w:t>4</w:t>
            </w:r>
            <w:r>
              <w:fldChar w:fldCharType="end"/>
            </w:r>
          </w:hyperlink>
        </w:p>
        <w:p w:rsidR="00546305">
          <w:pPr>
            <w:pStyle w:val="TOC1"/>
            <w:tabs>
              <w:tab w:val="right" w:leader="dot" w:pos="8306"/>
            </w:tabs>
            <w:ind w:firstLine="560"/>
          </w:pPr>
          <w:hyperlink w:anchor="_Toc29747" w:history="1">
            <w:r>
              <w:rPr>
                <w:rFonts w:ascii="Times New Roman" w:hAnsi="Times New Roman" w:cs="Times New Roman"/>
                <w:lang w:val="zh-CN"/>
              </w:rPr>
              <w:t xml:space="preserve">2. </w:t>
            </w:r>
            <w:r>
              <w:rPr>
                <w:rFonts w:hint="eastAsia"/>
                <w:lang w:val="zh-CN"/>
              </w:rPr>
              <w:t>技术规格要求</w:t>
            </w:r>
            <w:r>
              <w:tab/>
            </w:r>
            <w:r>
              <w:fldChar w:fldCharType="begin"/>
            </w:r>
            <w:r>
              <w:instrText xml:space="preserve"> PAGEREF _Toc29747 \h </w:instrText>
            </w:r>
            <w:r>
              <w:fldChar w:fldCharType="separate"/>
            </w:r>
            <w:r>
              <w:t>7</w:t>
            </w:r>
            <w:r>
              <w:fldChar w:fldCharType="end"/>
            </w:r>
          </w:hyperlink>
        </w:p>
        <w:p w:rsidR="00546305">
          <w:pPr>
            <w:pStyle w:val="TOC2"/>
            <w:tabs>
              <w:tab w:val="right" w:leader="dot" w:pos="8306"/>
            </w:tabs>
            <w:ind w:left="560" w:firstLine="560"/>
          </w:pPr>
          <w:hyperlink w:anchor="_Toc2126" w:history="1">
            <w:r>
              <w:rPr>
                <w:rFonts w:ascii="宋体" w:hAnsi="宋体" w:hint="eastAsia"/>
                <w:lang w:val="zh-CN"/>
              </w:rPr>
              <w:t xml:space="preserve">2.1. </w:t>
            </w:r>
            <w:r>
              <w:rPr>
                <w:rFonts w:hint="eastAsia"/>
                <w:lang w:val="zh-CN"/>
              </w:rPr>
              <w:t>功能性要求</w:t>
            </w:r>
            <w:r>
              <w:tab/>
            </w:r>
            <w:r>
              <w:fldChar w:fldCharType="begin"/>
            </w:r>
            <w:r>
              <w:instrText xml:space="preserve"> PAGEREF _Toc2126 \h </w:instrText>
            </w:r>
            <w:r>
              <w:fldChar w:fldCharType="separate"/>
            </w:r>
            <w:r>
              <w:t>7</w:t>
            </w:r>
            <w:r>
              <w:fldChar w:fldCharType="end"/>
            </w:r>
          </w:hyperlink>
        </w:p>
        <w:p w:rsidR="00546305">
          <w:pPr>
            <w:pStyle w:val="TOC3"/>
            <w:tabs>
              <w:tab w:val="right" w:leader="dot" w:pos="8306"/>
            </w:tabs>
            <w:ind w:left="1120" w:firstLine="560"/>
          </w:pPr>
          <w:hyperlink w:anchor="_Toc15723" w:history="1">
            <w:r>
              <w:rPr>
                <w:rFonts w:ascii="宋体" w:hAnsi="宋体"/>
              </w:rPr>
              <w:t xml:space="preserve">2.1.1. </w:t>
            </w:r>
            <w:r>
              <w:t>面向阿拉伯国家国际早期预警</w:t>
            </w:r>
            <w:r>
              <w:rPr>
                <w:rFonts w:hint="eastAsia"/>
              </w:rPr>
              <w:t>系统</w:t>
            </w:r>
            <w:r>
              <w:tab/>
            </w:r>
            <w:r>
              <w:fldChar w:fldCharType="begin"/>
            </w:r>
            <w:r>
              <w:instrText xml:space="preserve"> PAGEREF _Toc15723 \h </w:instrText>
            </w:r>
            <w:r>
              <w:fldChar w:fldCharType="separate"/>
            </w:r>
            <w:r>
              <w:t>7</w:t>
            </w:r>
            <w:r>
              <w:fldChar w:fldCharType="end"/>
            </w:r>
          </w:hyperlink>
        </w:p>
        <w:p w:rsidR="00546305">
          <w:pPr>
            <w:pStyle w:val="TOC3"/>
            <w:tabs>
              <w:tab w:val="right" w:leader="dot" w:pos="8306"/>
            </w:tabs>
            <w:ind w:left="1120" w:firstLine="560"/>
          </w:pPr>
          <w:hyperlink w:anchor="_Toc7158" w:history="1">
            <w:r>
              <w:rPr>
                <w:rFonts w:ascii="宋体" w:hAnsi="宋体"/>
              </w:rPr>
              <w:t xml:space="preserve">2.1.2. </w:t>
            </w:r>
            <w:r>
              <w:t>面向阿拉伯国家多模式集成预报和应用系统（</w:t>
            </w:r>
            <w:r>
              <w:rPr>
                <w:rFonts w:hint="eastAsia"/>
              </w:rPr>
              <w:t>MMIFA</w:t>
            </w:r>
            <w:r>
              <w:t>）</w:t>
            </w:r>
            <w:r>
              <w:tab/>
            </w:r>
            <w:r>
              <w:fldChar w:fldCharType="begin"/>
            </w:r>
            <w:r>
              <w:instrText xml:space="preserve"> PAGEREF _Toc7158 \h </w:instrText>
            </w:r>
            <w:r>
              <w:fldChar w:fldCharType="separate"/>
            </w:r>
            <w:r>
              <w:t>8</w:t>
            </w:r>
            <w:r>
              <w:fldChar w:fldCharType="end"/>
            </w:r>
          </w:hyperlink>
        </w:p>
        <w:p w:rsidR="00546305">
          <w:pPr>
            <w:pStyle w:val="TOC3"/>
            <w:tabs>
              <w:tab w:val="right" w:leader="dot" w:pos="8306"/>
            </w:tabs>
            <w:ind w:left="1120" w:firstLine="560"/>
          </w:pPr>
          <w:hyperlink w:anchor="_Toc20507" w:history="1">
            <w:r>
              <w:rPr>
                <w:rFonts w:ascii="宋体" w:hAnsi="宋体"/>
              </w:rPr>
              <w:t xml:space="preserve">2.1.3. </w:t>
            </w:r>
            <w:r>
              <w:t>海外云部署及监控环境建设</w:t>
            </w:r>
            <w:r>
              <w:tab/>
            </w:r>
            <w:r>
              <w:fldChar w:fldCharType="begin"/>
            </w:r>
            <w:r>
              <w:instrText xml:space="preserve"> PAGEREF _Toc20507 \h </w:instrText>
            </w:r>
            <w:r>
              <w:fldChar w:fldCharType="separate"/>
            </w:r>
            <w:r>
              <w:t>10</w:t>
            </w:r>
            <w:r>
              <w:fldChar w:fldCharType="end"/>
            </w:r>
          </w:hyperlink>
        </w:p>
        <w:p w:rsidR="00546305">
          <w:pPr>
            <w:pStyle w:val="TOC3"/>
            <w:tabs>
              <w:tab w:val="right" w:leader="dot" w:pos="8306"/>
            </w:tabs>
            <w:ind w:left="1120" w:firstLine="560"/>
          </w:pPr>
          <w:hyperlink w:anchor="_Toc10254" w:history="1">
            <w:r>
              <w:rPr>
                <w:rFonts w:ascii="宋体" w:hAnsi="宋体"/>
                <w:lang w:val="zh-CN"/>
              </w:rPr>
              <w:t xml:space="preserve">2.1.4. </w:t>
            </w:r>
            <w:r>
              <w:rPr>
                <w:rFonts w:hint="eastAsia"/>
                <w:lang w:val="zh-CN"/>
              </w:rPr>
              <w:t>阿盟地区多源资料监测及灾害预报预警系统</w:t>
            </w:r>
            <w:r>
              <w:tab/>
            </w:r>
            <w:r>
              <w:fldChar w:fldCharType="begin"/>
            </w:r>
            <w:r>
              <w:instrText xml:space="preserve"> PAGEREF _Toc10254 \h </w:instrText>
            </w:r>
            <w:r>
              <w:fldChar w:fldCharType="separate"/>
            </w:r>
            <w:r>
              <w:t>11</w:t>
            </w:r>
            <w:r>
              <w:fldChar w:fldCharType="end"/>
            </w:r>
          </w:hyperlink>
        </w:p>
        <w:p w:rsidR="00546305">
          <w:pPr>
            <w:pStyle w:val="TOC3"/>
            <w:tabs>
              <w:tab w:val="right" w:leader="dot" w:pos="8306"/>
            </w:tabs>
            <w:ind w:left="1120" w:firstLine="560"/>
          </w:pPr>
          <w:hyperlink w:anchor="_Toc22530" w:history="1">
            <w:r>
              <w:rPr>
                <w:rFonts w:ascii="宋体" w:hAnsi="宋体"/>
                <w:lang w:val="zh-CN"/>
              </w:rPr>
              <w:t xml:space="preserve">2.1.5. </w:t>
            </w:r>
            <w:r>
              <w:rPr>
                <w:rFonts w:hint="eastAsia"/>
                <w:lang w:val="zh-CN"/>
              </w:rPr>
              <w:t>国际临近预报比对分系统</w:t>
            </w:r>
            <w:r>
              <w:tab/>
            </w:r>
            <w:r>
              <w:fldChar w:fldCharType="begin"/>
            </w:r>
            <w:r>
              <w:instrText xml:space="preserve"> PAGEREF _Toc22530 \h </w:instrText>
            </w:r>
            <w:r>
              <w:fldChar w:fldCharType="separate"/>
            </w:r>
            <w:r>
              <w:t>12</w:t>
            </w:r>
            <w:r>
              <w:fldChar w:fldCharType="end"/>
            </w:r>
          </w:hyperlink>
        </w:p>
        <w:p w:rsidR="00546305">
          <w:pPr>
            <w:pStyle w:val="TOC2"/>
            <w:tabs>
              <w:tab w:val="right" w:leader="dot" w:pos="8306"/>
            </w:tabs>
            <w:ind w:left="560" w:firstLine="560"/>
          </w:pPr>
          <w:hyperlink w:anchor="_Toc8684" w:history="1">
            <w:r>
              <w:rPr>
                <w:rFonts w:ascii="宋体" w:hAnsi="宋体" w:hint="eastAsia"/>
                <w:lang w:val="zh-CN"/>
              </w:rPr>
              <w:t xml:space="preserve">2.2. </w:t>
            </w:r>
            <w:r>
              <w:rPr>
                <w:rFonts w:hint="eastAsia"/>
                <w:lang w:val="zh-CN"/>
              </w:rPr>
              <w:t>非功能性要求</w:t>
            </w:r>
            <w:r>
              <w:tab/>
            </w:r>
            <w:r>
              <w:fldChar w:fldCharType="begin"/>
            </w:r>
            <w:r>
              <w:instrText xml:space="preserve"> PAGEREF _Toc8684 \h </w:instrText>
            </w:r>
            <w:r>
              <w:fldChar w:fldCharType="separate"/>
            </w:r>
            <w:r>
              <w:t>14</w:t>
            </w:r>
            <w:r>
              <w:fldChar w:fldCharType="end"/>
            </w:r>
          </w:hyperlink>
        </w:p>
        <w:p w:rsidR="00546305">
          <w:pPr>
            <w:pStyle w:val="TOC3"/>
            <w:tabs>
              <w:tab w:val="right" w:leader="dot" w:pos="8306"/>
            </w:tabs>
            <w:ind w:left="1120" w:firstLine="560"/>
          </w:pPr>
          <w:hyperlink w:anchor="_Toc29521" w:history="1">
            <w:r>
              <w:rPr>
                <w:rFonts w:ascii="宋体" w:hAnsi="宋体" w:cs="Times New Roman"/>
              </w:rPr>
              <w:t xml:space="preserve">2.2.1. </w:t>
            </w:r>
            <w:r>
              <w:rPr>
                <w:rFonts w:hint="eastAsia"/>
              </w:rPr>
              <w:t>设计要求</w:t>
            </w:r>
            <w:r>
              <w:tab/>
            </w:r>
            <w:r>
              <w:fldChar w:fldCharType="begin"/>
            </w:r>
            <w:r>
              <w:instrText xml:space="preserve"> PAGEREF _Toc29521 \h </w:instrText>
            </w:r>
            <w:r>
              <w:fldChar w:fldCharType="separate"/>
            </w:r>
            <w:r>
              <w:t>14</w:t>
            </w:r>
            <w:r>
              <w:fldChar w:fldCharType="end"/>
            </w:r>
          </w:hyperlink>
        </w:p>
        <w:p w:rsidR="00546305">
          <w:pPr>
            <w:pStyle w:val="TOC3"/>
            <w:tabs>
              <w:tab w:val="right" w:leader="dot" w:pos="8306"/>
            </w:tabs>
            <w:ind w:left="1120" w:firstLine="560"/>
          </w:pPr>
          <w:hyperlink w:anchor="_Toc31847" w:history="1">
            <w:r>
              <w:rPr>
                <w:rFonts w:ascii="宋体" w:hAnsi="宋体" w:cs="Times New Roman"/>
              </w:rPr>
              <w:t xml:space="preserve">2.2.2. </w:t>
            </w:r>
            <w:r>
              <w:rPr>
                <w:rFonts w:hint="eastAsia"/>
              </w:rPr>
              <w:t>设计与开发约束</w:t>
            </w:r>
            <w:r>
              <w:tab/>
            </w:r>
            <w:r>
              <w:fldChar w:fldCharType="begin"/>
            </w:r>
            <w:r>
              <w:instrText xml:space="preserve"> PAGEREF _Toc31847 \h </w:instrText>
            </w:r>
            <w:r>
              <w:fldChar w:fldCharType="separate"/>
            </w:r>
            <w:r>
              <w:t>15</w:t>
            </w:r>
            <w:r>
              <w:fldChar w:fldCharType="end"/>
            </w:r>
          </w:hyperlink>
        </w:p>
        <w:p w:rsidR="00546305">
          <w:pPr>
            <w:pStyle w:val="TOC3"/>
            <w:tabs>
              <w:tab w:val="right" w:leader="dot" w:pos="8306"/>
            </w:tabs>
            <w:ind w:left="1120" w:firstLine="560"/>
          </w:pPr>
          <w:hyperlink w:anchor="_Toc2368" w:history="1">
            <w:r>
              <w:rPr>
                <w:rFonts w:ascii="宋体" w:hAnsi="宋体" w:cs="Times New Roman"/>
              </w:rPr>
              <w:t xml:space="preserve">2.2.3. </w:t>
            </w:r>
            <w:r>
              <w:rPr>
                <w:rFonts w:hint="eastAsia"/>
              </w:rPr>
              <w:t>其他非功能性要求</w:t>
            </w:r>
            <w:r>
              <w:tab/>
            </w:r>
            <w:r>
              <w:fldChar w:fldCharType="begin"/>
            </w:r>
            <w:r>
              <w:instrText xml:space="preserve"> PAGEREF _Toc2368 \h </w:instrText>
            </w:r>
            <w:r>
              <w:fldChar w:fldCharType="separate"/>
            </w:r>
            <w:r>
              <w:t>16</w:t>
            </w:r>
            <w:r>
              <w:fldChar w:fldCharType="end"/>
            </w:r>
          </w:hyperlink>
        </w:p>
        <w:p w:rsidR="00546305">
          <w:pPr>
            <w:pStyle w:val="TOC1"/>
            <w:tabs>
              <w:tab w:val="right" w:leader="dot" w:pos="8306"/>
            </w:tabs>
            <w:ind w:firstLine="560"/>
          </w:pPr>
          <w:hyperlink w:anchor="_Toc19094" w:history="1">
            <w:r>
              <w:rPr>
                <w:rFonts w:ascii="Times New Roman" w:hAnsi="Times New Roman" w:cs="Times New Roman"/>
                <w:lang w:val="zh-CN"/>
              </w:rPr>
              <w:t xml:space="preserve">3. </w:t>
            </w:r>
            <w:r>
              <w:rPr>
                <w:rFonts w:hint="eastAsia"/>
                <w:lang w:val="zh-CN"/>
              </w:rPr>
              <w:t>其他要求</w:t>
            </w:r>
            <w:r>
              <w:tab/>
            </w:r>
            <w:r>
              <w:fldChar w:fldCharType="begin"/>
            </w:r>
            <w:r>
              <w:instrText xml:space="preserve"> PAGEREF _Toc19094 \h </w:instrText>
            </w:r>
            <w:r>
              <w:fldChar w:fldCharType="separate"/>
            </w:r>
            <w:r>
              <w:t>17</w:t>
            </w:r>
            <w:r>
              <w:fldChar w:fldCharType="end"/>
            </w:r>
          </w:hyperlink>
        </w:p>
        <w:p w:rsidR="00546305">
          <w:pPr>
            <w:pStyle w:val="TOC2"/>
            <w:tabs>
              <w:tab w:val="right" w:leader="dot" w:pos="8306"/>
            </w:tabs>
            <w:ind w:left="560" w:firstLine="560"/>
          </w:pPr>
          <w:hyperlink w:anchor="_Toc28256" w:history="1">
            <w:r>
              <w:rPr>
                <w:rFonts w:ascii="Times New Roman" w:hAnsi="Times New Roman" w:cs="Times New Roman"/>
              </w:rPr>
              <w:t xml:space="preserve">3.1. </w:t>
            </w:r>
            <w:r>
              <w:rPr>
                <w:rFonts w:hint="eastAsia"/>
              </w:rPr>
              <w:t>人员要求</w:t>
            </w:r>
            <w:r>
              <w:tab/>
            </w:r>
            <w:r>
              <w:fldChar w:fldCharType="begin"/>
            </w:r>
            <w:r>
              <w:instrText xml:space="preserve"> PAGEREF _Toc28256 \h </w:instrText>
            </w:r>
            <w:r>
              <w:fldChar w:fldCharType="separate"/>
            </w:r>
            <w:r>
              <w:t>17</w:t>
            </w:r>
            <w:r>
              <w:fldChar w:fldCharType="end"/>
            </w:r>
          </w:hyperlink>
        </w:p>
        <w:p w:rsidR="00546305">
          <w:pPr>
            <w:pStyle w:val="TOC2"/>
            <w:tabs>
              <w:tab w:val="right" w:leader="dot" w:pos="8306"/>
            </w:tabs>
            <w:ind w:left="560" w:firstLine="560"/>
          </w:pPr>
          <w:hyperlink w:anchor="_Toc11597" w:history="1">
            <w:r>
              <w:rPr>
                <w:rFonts w:ascii="Times New Roman" w:hAnsi="Times New Roman" w:cs="Times New Roman"/>
              </w:rPr>
              <w:t xml:space="preserve">3.2. </w:t>
            </w:r>
            <w:r>
              <w:rPr>
                <w:rFonts w:hint="eastAsia"/>
              </w:rPr>
              <w:t>进度要求</w:t>
            </w:r>
            <w:r>
              <w:tab/>
            </w:r>
            <w:r>
              <w:fldChar w:fldCharType="begin"/>
            </w:r>
            <w:r>
              <w:instrText xml:space="preserve"> PAGEREF _Toc11597 \h </w:instrText>
            </w:r>
            <w:r>
              <w:fldChar w:fldCharType="separate"/>
            </w:r>
            <w:r>
              <w:t>17</w:t>
            </w:r>
            <w:r>
              <w:fldChar w:fldCharType="end"/>
            </w:r>
          </w:hyperlink>
        </w:p>
        <w:p w:rsidR="00546305">
          <w:pPr>
            <w:pStyle w:val="TOC2"/>
            <w:tabs>
              <w:tab w:val="right" w:leader="dot" w:pos="8306"/>
            </w:tabs>
            <w:ind w:left="560" w:firstLine="560"/>
          </w:pPr>
          <w:hyperlink w:anchor="_Toc3224" w:history="1">
            <w:r>
              <w:rPr>
                <w:rFonts w:ascii="Times New Roman" w:hAnsi="Times New Roman" w:cs="Times New Roman"/>
              </w:rPr>
              <w:t xml:space="preserve">3.3. </w:t>
            </w:r>
            <w:r>
              <w:rPr>
                <w:rFonts w:hint="eastAsia"/>
              </w:rPr>
              <w:t>培训要求</w:t>
            </w:r>
            <w:r>
              <w:tab/>
            </w:r>
            <w:r>
              <w:fldChar w:fldCharType="begin"/>
            </w:r>
            <w:r>
              <w:instrText xml:space="preserve"> PAGEREF _Toc3224 \h </w:instrText>
            </w:r>
            <w:r>
              <w:fldChar w:fldCharType="separate"/>
            </w:r>
            <w:r>
              <w:t>17</w:t>
            </w:r>
            <w:r>
              <w:fldChar w:fldCharType="end"/>
            </w:r>
          </w:hyperlink>
        </w:p>
        <w:p w:rsidR="00546305">
          <w:pPr>
            <w:pStyle w:val="TOC2"/>
            <w:tabs>
              <w:tab w:val="right" w:leader="dot" w:pos="8306"/>
            </w:tabs>
            <w:ind w:left="560" w:firstLine="560"/>
          </w:pPr>
          <w:hyperlink w:anchor="_Toc2480" w:history="1">
            <w:r>
              <w:rPr>
                <w:rFonts w:ascii="Times New Roman" w:hAnsi="Times New Roman" w:cs="Times New Roman"/>
              </w:rPr>
              <w:t xml:space="preserve">3.4. </w:t>
            </w:r>
            <w:r>
              <w:rPr>
                <w:rFonts w:hint="eastAsia"/>
              </w:rPr>
              <w:t>售后服务要求</w:t>
            </w:r>
            <w:r>
              <w:tab/>
            </w:r>
            <w:r>
              <w:fldChar w:fldCharType="begin"/>
            </w:r>
            <w:r>
              <w:instrText xml:space="preserve"> PAGEREF _Toc2480 \h </w:instrText>
            </w:r>
            <w:r>
              <w:fldChar w:fldCharType="separate"/>
            </w:r>
            <w:r>
              <w:t>18</w:t>
            </w:r>
            <w:r>
              <w:fldChar w:fldCharType="end"/>
            </w:r>
          </w:hyperlink>
        </w:p>
        <w:p w:rsidR="00546305">
          <w:pPr>
            <w:pStyle w:val="TOC2"/>
            <w:tabs>
              <w:tab w:val="right" w:leader="dot" w:pos="8306"/>
            </w:tabs>
            <w:ind w:left="560" w:firstLine="560"/>
          </w:pPr>
          <w:hyperlink w:anchor="_Toc13291" w:history="1">
            <w:r>
              <w:rPr>
                <w:rFonts w:ascii="Times New Roman" w:hAnsi="Times New Roman" w:cs="Times New Roman"/>
              </w:rPr>
              <w:t xml:space="preserve">3.5. </w:t>
            </w:r>
            <w:r>
              <w:t>知识产权归属</w:t>
            </w:r>
            <w:r>
              <w:tab/>
            </w:r>
            <w:r>
              <w:fldChar w:fldCharType="begin"/>
            </w:r>
            <w:r>
              <w:instrText xml:space="preserve"> PAGEREF _Toc13291 \h </w:instrText>
            </w:r>
            <w:r>
              <w:fldChar w:fldCharType="separate"/>
            </w:r>
            <w:r>
              <w:t>18</w:t>
            </w:r>
            <w:r>
              <w:fldChar w:fldCharType="end"/>
            </w:r>
          </w:hyperlink>
        </w:p>
        <w:p w:rsidR="00546305">
          <w:pPr>
            <w:pStyle w:val="TOC2"/>
            <w:tabs>
              <w:tab w:val="right" w:leader="dot" w:pos="8306"/>
            </w:tabs>
            <w:ind w:left="560" w:firstLine="560"/>
          </w:pPr>
          <w:hyperlink w:anchor="_Toc14691" w:history="1">
            <w:r>
              <w:rPr>
                <w:rFonts w:ascii="Times New Roman" w:hAnsi="Times New Roman" w:cs="Times New Roman"/>
              </w:rPr>
              <w:t xml:space="preserve">3.6. </w:t>
            </w:r>
            <w:r>
              <w:rPr>
                <w:rFonts w:hint="eastAsia"/>
              </w:rPr>
              <w:t>验收要求</w:t>
            </w:r>
            <w:r>
              <w:tab/>
            </w:r>
            <w:r>
              <w:fldChar w:fldCharType="begin"/>
            </w:r>
            <w:r>
              <w:instrText xml:space="preserve"> PAGEREF _Toc14691 \h </w:instrText>
            </w:r>
            <w:r>
              <w:fldChar w:fldCharType="separate"/>
            </w:r>
            <w:r>
              <w:t>18</w:t>
            </w:r>
            <w:r>
              <w:fldChar w:fldCharType="end"/>
            </w:r>
          </w:hyperlink>
        </w:p>
        <w:p w:rsidR="00546305">
          <w:pPr>
            <w:pStyle w:val="TOC2"/>
            <w:tabs>
              <w:tab w:val="right" w:leader="dot" w:pos="8306"/>
            </w:tabs>
            <w:ind w:left="560" w:firstLine="560"/>
          </w:pPr>
          <w:hyperlink w:anchor="_Toc8818" w:history="1">
            <w:r>
              <w:rPr>
                <w:rFonts w:ascii="Times New Roman" w:hAnsi="Times New Roman" w:cs="Times New Roman"/>
              </w:rPr>
              <w:t xml:space="preserve">3.7. </w:t>
            </w:r>
            <w:r>
              <w:t>成果要求</w:t>
            </w:r>
            <w:r>
              <w:tab/>
            </w:r>
            <w:r>
              <w:fldChar w:fldCharType="begin"/>
            </w:r>
            <w:r>
              <w:instrText xml:space="preserve"> PAGEREF _Toc8818 \h </w:instrText>
            </w:r>
            <w:r>
              <w:fldChar w:fldCharType="separate"/>
            </w:r>
            <w:r>
              <w:t>18</w:t>
            </w:r>
            <w:r>
              <w:fldChar w:fldCharType="end"/>
            </w:r>
          </w:hyperlink>
        </w:p>
        <w:p w:rsidR="00546305">
          <w:pPr>
            <w:pStyle w:val="TOC2"/>
            <w:tabs>
              <w:tab w:val="right" w:leader="dot" w:pos="8306"/>
            </w:tabs>
            <w:ind w:left="560" w:firstLine="560"/>
          </w:pPr>
          <w:hyperlink w:anchor="_Toc10514" w:history="1">
            <w:r>
              <w:rPr>
                <w:rFonts w:ascii="Times New Roman" w:hAnsi="Times New Roman" w:cs="Times New Roman"/>
              </w:rPr>
              <w:t xml:space="preserve">3.8. </w:t>
            </w:r>
            <w:r>
              <w:t>其他要求</w:t>
            </w:r>
            <w:r>
              <w:tab/>
            </w:r>
            <w:r>
              <w:fldChar w:fldCharType="begin"/>
            </w:r>
            <w:r>
              <w:instrText xml:space="preserve"> PAGEREF _Toc10514 \h </w:instrText>
            </w:r>
            <w:r>
              <w:fldChar w:fldCharType="separate"/>
            </w:r>
            <w:r>
              <w:t>19</w:t>
            </w:r>
            <w:r>
              <w:fldChar w:fldCharType="end"/>
            </w:r>
          </w:hyperlink>
        </w:p>
        <w:p w:rsidR="00546305">
          <w:pPr>
            <w:ind w:firstLine="560"/>
          </w:pPr>
          <w:r>
            <w:rPr>
              <w:bCs/>
              <w:lang w:val="zh-CN"/>
            </w:rPr>
            <w:fldChar w:fldCharType="end"/>
          </w:r>
        </w:p>
      </w:sdtContent>
    </w:sdt>
    <w:p w:rsidR="00546305">
      <w:pPr>
        <w:ind w:firstLine="643"/>
        <w:jc w:val="center"/>
        <w:rPr>
          <w:rFonts w:ascii="宋体" w:cs="宋体"/>
          <w:b/>
          <w:kern w:val="0"/>
          <w:sz w:val="32"/>
          <w:szCs w:val="32"/>
        </w:rPr>
      </w:pPr>
    </w:p>
    <w:p w:rsidR="00546305">
      <w:pPr>
        <w:pStyle w:val="Heading1"/>
        <w:keepNext/>
        <w:keepLines/>
        <w:pageBreakBefore/>
        <w:numPr>
          <w:numId w:val="4"/>
        </w:numPr>
        <w:spacing w:line="360" w:lineRule="auto"/>
        <w:ind w:left="0" w:firstLine="0"/>
        <w:rPr>
          <w:lang w:val="zh-CN"/>
        </w:rPr>
      </w:pPr>
      <w:bookmarkStart w:id="61" w:name="_Toc18920"/>
      <w:bookmarkStart w:id="62" w:name="_Toc172191736"/>
      <w:r>
        <w:rPr>
          <w:rFonts w:hint="eastAsia"/>
          <w:lang w:val="zh-CN"/>
        </w:rPr>
        <w:t>项目概述</w:t>
      </w:r>
      <w:bookmarkEnd w:id="61"/>
      <w:bookmarkEnd w:id="62"/>
    </w:p>
    <w:p w:rsidR="00546305">
      <w:pPr>
        <w:pStyle w:val="Heading2"/>
        <w:numPr>
          <w:ilvl w:val="1"/>
          <w:numId w:val="5"/>
        </w:numPr>
        <w:rPr>
          <w:lang w:val="zh-CN"/>
        </w:rPr>
      </w:pPr>
      <w:bookmarkStart w:id="63" w:name="_Toc29099"/>
      <w:bookmarkStart w:id="64" w:name="_Toc172191737"/>
      <w:r>
        <w:rPr>
          <w:rFonts w:hint="eastAsia"/>
          <w:lang w:val="zh-CN"/>
        </w:rPr>
        <w:t>项目名称</w:t>
      </w:r>
      <w:bookmarkEnd w:id="63"/>
      <w:bookmarkEnd w:id="64"/>
    </w:p>
    <w:p w:rsidR="00546305">
      <w:pPr>
        <w:ind w:firstLine="560"/>
        <w:rPr>
          <w:rFonts w:ascii="Times New Roman" w:hAnsi="Times New Roman"/>
          <w:szCs w:val="28"/>
        </w:rPr>
      </w:pPr>
      <w:r>
        <w:rPr>
          <w:rFonts w:ascii="Times New Roman" w:hAnsi="Times New Roman" w:hint="eastAsia"/>
          <w:szCs w:val="28"/>
        </w:rPr>
        <w:t>阿拉伯国家气象灾害风险预警远程支撑平台建设</w:t>
      </w:r>
      <w:r>
        <w:rPr>
          <w:rFonts w:ascii="Times New Roman" w:hAnsi="Times New Roman" w:hint="eastAsia"/>
          <w:szCs w:val="28"/>
        </w:rPr>
        <w:t>-</w:t>
      </w:r>
      <w:r>
        <w:rPr>
          <w:rFonts w:ascii="Times New Roman" w:hAnsi="Times New Roman" w:hint="eastAsia"/>
          <w:szCs w:val="28"/>
        </w:rPr>
        <w:t>面向阿拉伯国家国际早期预警系统</w:t>
      </w:r>
    </w:p>
    <w:p w:rsidR="00546305">
      <w:pPr>
        <w:pStyle w:val="Heading2"/>
        <w:numPr>
          <w:ilvl w:val="1"/>
          <w:numId w:val="5"/>
        </w:numPr>
        <w:rPr>
          <w:lang w:val="zh-CN"/>
        </w:rPr>
      </w:pPr>
      <w:bookmarkStart w:id="65" w:name="_Toc172191738"/>
      <w:bookmarkStart w:id="66" w:name="_Toc137459465"/>
      <w:bookmarkStart w:id="67" w:name="_Toc16796"/>
      <w:r>
        <w:rPr>
          <w:lang w:val="zh-CN"/>
        </w:rPr>
        <w:t>实施地点</w:t>
      </w:r>
      <w:bookmarkEnd w:id="65"/>
      <w:bookmarkEnd w:id="66"/>
      <w:bookmarkEnd w:id="67"/>
    </w:p>
    <w:p w:rsidR="00546305">
      <w:pPr>
        <w:ind w:firstLine="560"/>
        <w:rPr>
          <w:sz w:val="20"/>
        </w:rPr>
      </w:pPr>
      <w:r>
        <w:t>北京市</w:t>
      </w:r>
    </w:p>
    <w:p w:rsidR="00546305">
      <w:pPr>
        <w:pStyle w:val="Heading2"/>
        <w:numPr>
          <w:ilvl w:val="1"/>
          <w:numId w:val="5"/>
        </w:numPr>
        <w:rPr>
          <w:lang w:val="zh-CN"/>
        </w:rPr>
      </w:pPr>
      <w:bookmarkStart w:id="68" w:name="_Toc20298"/>
      <w:bookmarkStart w:id="69" w:name="_Toc172191739"/>
      <w:r>
        <w:rPr>
          <w:rFonts w:hint="eastAsia"/>
          <w:lang w:val="zh-CN"/>
        </w:rPr>
        <w:t>建设内容</w:t>
      </w:r>
      <w:bookmarkEnd w:id="68"/>
      <w:bookmarkEnd w:id="69"/>
    </w:p>
    <w:p w:rsidR="00546305">
      <w:pPr>
        <w:pStyle w:val="a2"/>
        <w:spacing w:line="240" w:lineRule="auto"/>
        <w:ind w:firstLine="560"/>
        <w:rPr>
          <w:rFonts w:ascii="仿宋_GB2312" w:eastAsia="宋体" w:hAnsi="仿宋_GB2312"/>
          <w:sz w:val="28"/>
          <w:szCs w:val="22"/>
        </w:rPr>
      </w:pPr>
      <w:r>
        <w:rPr>
          <w:rFonts w:ascii="仿宋_GB2312" w:eastAsia="宋体" w:hAnsi="仿宋_GB2312" w:hint="eastAsia"/>
          <w:sz w:val="28"/>
          <w:szCs w:val="22"/>
        </w:rPr>
        <w:t>面</w:t>
      </w:r>
      <w:r>
        <w:rPr>
          <w:rFonts w:ascii="仿宋_GB2312" w:eastAsia="宋体" w:hAnsi="仿宋_GB2312"/>
          <w:sz w:val="28"/>
          <w:szCs w:val="22"/>
        </w:rPr>
        <w:t>向阿拉伯国家</w:t>
      </w:r>
      <w:r>
        <w:rPr>
          <w:rFonts w:ascii="仿宋_GB2312" w:eastAsia="宋体" w:hAnsi="仿宋_GB2312" w:hint="eastAsia"/>
          <w:sz w:val="28"/>
          <w:szCs w:val="22"/>
        </w:rPr>
        <w:t>国际早期预警系统基于阿盟地区客户内部和外部需求，通过对气象</w:t>
      </w:r>
      <w:r>
        <w:rPr>
          <w:rFonts w:ascii="仿宋_GB2312" w:eastAsia="宋体" w:hAnsi="仿宋_GB2312"/>
          <w:sz w:val="28"/>
          <w:szCs w:val="22"/>
        </w:rPr>
        <w:t>大数据云平台获取</w:t>
      </w:r>
      <w:r>
        <w:rPr>
          <w:rFonts w:ascii="仿宋_GB2312" w:eastAsia="宋体" w:hAnsi="仿宋_GB2312" w:hint="eastAsia"/>
          <w:sz w:val="28"/>
          <w:szCs w:val="22"/>
        </w:rPr>
        <w:t>的气象观测资料、卫星资料、气象数值预报产品、</w:t>
      </w:r>
      <w:r>
        <w:rPr>
          <w:rFonts w:ascii="仿宋_GB2312" w:eastAsia="宋体" w:hAnsi="仿宋_GB2312" w:hint="eastAsia"/>
          <w:sz w:val="28"/>
          <w:szCs w:val="22"/>
        </w:rPr>
        <w:t>GTS</w:t>
      </w:r>
      <w:r>
        <w:rPr>
          <w:rFonts w:ascii="仿宋_GB2312" w:eastAsia="宋体" w:hAnsi="仿宋_GB2312" w:hint="eastAsia"/>
          <w:sz w:val="28"/>
          <w:szCs w:val="22"/>
        </w:rPr>
        <w:t>站点预报等各气象要素数据和模式数据进行各种空间分析和加工处理，提供阿盟地区监测功能产品，具体包括</w:t>
      </w:r>
      <w:r>
        <w:rPr>
          <w:rFonts w:ascii="仿宋_GB2312" w:eastAsia="宋体" w:hAnsi="仿宋_GB2312" w:hint="eastAsia"/>
          <w:sz w:val="28"/>
          <w:szCs w:val="22"/>
        </w:rPr>
        <w:t>GTS</w:t>
      </w:r>
      <w:r>
        <w:rPr>
          <w:rFonts w:ascii="仿宋_GB2312" w:eastAsia="宋体" w:hAnsi="仿宋_GB2312" w:hint="eastAsia"/>
          <w:sz w:val="28"/>
          <w:szCs w:val="22"/>
        </w:rPr>
        <w:t>站点实况监测、阿盟地区多气象要素监测、</w:t>
      </w:r>
      <w:r>
        <w:rPr>
          <w:rFonts w:ascii="仿宋_GB2312" w:eastAsia="宋体" w:hAnsi="仿宋_GB2312" w:hint="eastAsia"/>
          <w:sz w:val="28"/>
          <w:szCs w:val="22"/>
        </w:rPr>
        <w:t xml:space="preserve"> </w:t>
      </w:r>
      <w:r>
        <w:rPr>
          <w:rFonts w:ascii="仿宋_GB2312" w:eastAsia="宋体" w:hAnsi="仿宋_GB2312" w:hint="eastAsia"/>
          <w:sz w:val="28"/>
          <w:szCs w:val="22"/>
        </w:rPr>
        <w:t>阿盟地区卫星监测、灾害天气监测以及热带气旋的监测，并基于各模式输出集成预报、区域模型预报、数值天气预报、智能网格预报、分析场、灾害天气预报和</w:t>
      </w:r>
      <w:r>
        <w:rPr>
          <w:rFonts w:ascii="仿宋_GB2312" w:eastAsia="宋体" w:hAnsi="仿宋_GB2312" w:hint="eastAsia"/>
          <w:sz w:val="28"/>
          <w:szCs w:val="22"/>
        </w:rPr>
        <w:t>AI</w:t>
      </w:r>
      <w:r>
        <w:rPr>
          <w:rFonts w:ascii="仿宋_GB2312" w:eastAsia="宋体" w:hAnsi="仿宋_GB2312" w:hint="eastAsia"/>
          <w:sz w:val="28"/>
          <w:szCs w:val="22"/>
        </w:rPr>
        <w:t>大模型预报等产品，并提供根据用户信息和角色适配气候背景、多源灾害监测等定制服务。</w:t>
      </w:r>
      <w:r>
        <w:rPr>
          <w:rFonts w:ascii="仿宋_GB2312" w:eastAsia="宋体" w:hAnsi="仿宋_GB2312"/>
          <w:sz w:val="28"/>
          <w:szCs w:val="22"/>
        </w:rPr>
        <w:t>阿拉伯国家</w:t>
      </w:r>
      <w:r>
        <w:rPr>
          <w:rFonts w:ascii="仿宋_GB2312" w:eastAsia="宋体" w:hAnsi="仿宋_GB2312" w:hint="eastAsia"/>
          <w:sz w:val="28"/>
          <w:szCs w:val="22"/>
        </w:rPr>
        <w:t>国际早期预警系统操作界面支持中文、英文切换，方便阿拉伯国家客户灵活使用系统。系统为用户提供直观、详细且互动的灾害性天气监测和预报体验，帮助用户了解未来的气象变化，支持对灾害性天气的有效监控和预警应对。系统以图表、地图、动画等形式展示预报结果，并给用户提供更多数值天气</w:t>
      </w:r>
      <w:r>
        <w:rPr>
          <w:rFonts w:ascii="仿宋_GB2312" w:eastAsia="宋体" w:hAnsi="仿宋_GB2312" w:hint="eastAsia"/>
          <w:sz w:val="28"/>
          <w:szCs w:val="22"/>
        </w:rPr>
        <w:t>模式、</w:t>
      </w:r>
      <w:r>
        <w:rPr>
          <w:rFonts w:ascii="仿宋_GB2312" w:eastAsia="宋体" w:hAnsi="仿宋_GB2312" w:hint="eastAsia"/>
          <w:sz w:val="28"/>
          <w:szCs w:val="22"/>
        </w:rPr>
        <w:t>AI</w:t>
      </w:r>
      <w:r>
        <w:rPr>
          <w:rFonts w:ascii="仿宋_GB2312" w:eastAsia="宋体" w:hAnsi="仿宋_GB2312" w:hint="eastAsia"/>
          <w:sz w:val="28"/>
          <w:szCs w:val="22"/>
        </w:rPr>
        <w:t>预报模式的预报性产品和服务，辅助其进行全面而准确的早期气象监测和预报。</w:t>
      </w:r>
    </w:p>
    <w:p w:rsidR="00546305">
      <w:pPr>
        <w:pStyle w:val="a2"/>
        <w:spacing w:line="240" w:lineRule="auto"/>
        <w:ind w:firstLine="560"/>
        <w:rPr>
          <w:rFonts w:ascii="仿宋_GB2312" w:eastAsia="宋体" w:hAnsi="仿宋_GB2312"/>
          <w:sz w:val="28"/>
          <w:szCs w:val="22"/>
        </w:rPr>
      </w:pPr>
      <w:r>
        <w:rPr>
          <w:rFonts w:ascii="仿宋_GB2312" w:eastAsia="宋体" w:hAnsi="仿宋_GB2312"/>
          <w:sz w:val="28"/>
          <w:szCs w:val="22"/>
        </w:rPr>
        <w:t>面向阿拉伯国家多模式集成预报和应用系统，利用多种数值天气预报模式、区域模式、</w:t>
      </w:r>
      <w:r>
        <w:rPr>
          <w:rFonts w:ascii="仿宋_GB2312" w:eastAsia="宋体" w:hAnsi="仿宋_GB2312"/>
          <w:sz w:val="28"/>
          <w:szCs w:val="22"/>
        </w:rPr>
        <w:t>AI</w:t>
      </w:r>
      <w:r>
        <w:rPr>
          <w:rFonts w:ascii="仿宋_GB2312" w:eastAsia="宋体" w:hAnsi="仿宋_GB2312"/>
          <w:sz w:val="28"/>
          <w:szCs w:val="22"/>
        </w:rPr>
        <w:t>模式、模式</w:t>
      </w:r>
      <w:r>
        <w:rPr>
          <w:rFonts w:ascii="仿宋_GB2312" w:eastAsia="宋体" w:hAnsi="仿宋_GB2312"/>
          <w:sz w:val="28"/>
          <w:szCs w:val="22"/>
        </w:rPr>
        <w:t>客观释用系统</w:t>
      </w:r>
      <w:r>
        <w:rPr>
          <w:rFonts w:ascii="仿宋_GB2312" w:eastAsia="宋体" w:hAnsi="仿宋_GB2312"/>
          <w:sz w:val="28"/>
          <w:szCs w:val="22"/>
        </w:rPr>
        <w:t>（如全球智能网格）等多种预报系统同一时空预报数据，实</w:t>
      </w:r>
      <w:r>
        <w:rPr>
          <w:rFonts w:ascii="仿宋_GB2312" w:eastAsia="宋体" w:hAnsi="仿宋_GB2312"/>
          <w:sz w:val="28"/>
          <w:szCs w:val="22"/>
        </w:rPr>
        <w:t>现多模式及</w:t>
      </w:r>
      <w:r>
        <w:rPr>
          <w:rFonts w:ascii="仿宋_GB2312" w:eastAsia="宋体" w:hAnsi="仿宋_GB2312"/>
          <w:sz w:val="28"/>
          <w:szCs w:val="22"/>
        </w:rPr>
        <w:t>AI</w:t>
      </w:r>
      <w:r>
        <w:rPr>
          <w:rFonts w:ascii="仿宋_GB2312" w:eastAsia="宋体" w:hAnsi="仿宋_GB2312"/>
          <w:sz w:val="28"/>
          <w:szCs w:val="22"/>
        </w:rPr>
        <w:t>模式产品功能多屏显示、交互式对比分析等功能，提供多模式集成和应用</w:t>
      </w:r>
      <w:r>
        <w:rPr>
          <w:rFonts w:ascii="仿宋_GB2312" w:eastAsia="宋体" w:hAnsi="仿宋_GB2312"/>
          <w:sz w:val="28"/>
          <w:szCs w:val="22"/>
        </w:rPr>
        <w:t>“</w:t>
      </w:r>
      <w:r>
        <w:rPr>
          <w:rFonts w:ascii="仿宋_GB2312" w:eastAsia="宋体" w:hAnsi="仿宋_GB2312"/>
          <w:sz w:val="28"/>
          <w:szCs w:val="22"/>
        </w:rPr>
        <w:t>一站式</w:t>
      </w:r>
      <w:r>
        <w:rPr>
          <w:rFonts w:ascii="仿宋_GB2312" w:eastAsia="宋体" w:hAnsi="仿宋_GB2312"/>
          <w:sz w:val="28"/>
          <w:szCs w:val="22"/>
        </w:rPr>
        <w:t>”</w:t>
      </w:r>
      <w:r>
        <w:rPr>
          <w:rFonts w:ascii="仿宋_GB2312" w:eastAsia="宋体" w:hAnsi="仿宋_GB2312"/>
          <w:sz w:val="28"/>
          <w:szCs w:val="22"/>
        </w:rPr>
        <w:t>服务，提高早期预警业务效率。面向</w:t>
      </w:r>
      <w:r>
        <w:rPr>
          <w:rFonts w:ascii="仿宋_GB2312" w:eastAsia="宋体" w:hAnsi="仿宋_GB2312"/>
          <w:sz w:val="28"/>
          <w:szCs w:val="22"/>
        </w:rPr>
        <w:t>“</w:t>
      </w:r>
      <w:r>
        <w:rPr>
          <w:rFonts w:ascii="仿宋_GB2312" w:eastAsia="宋体" w:hAnsi="仿宋_GB2312"/>
          <w:sz w:val="28"/>
          <w:szCs w:val="22"/>
        </w:rPr>
        <w:t>一带一路</w:t>
      </w:r>
      <w:r>
        <w:rPr>
          <w:rFonts w:ascii="仿宋_GB2312" w:eastAsia="宋体" w:hAnsi="仿宋_GB2312"/>
          <w:sz w:val="28"/>
          <w:szCs w:val="22"/>
        </w:rPr>
        <w:t>”</w:t>
      </w:r>
      <w:r>
        <w:rPr>
          <w:rFonts w:ascii="仿宋_GB2312" w:eastAsia="宋体" w:hAnsi="仿宋_GB2312"/>
          <w:sz w:val="28"/>
          <w:szCs w:val="22"/>
        </w:rPr>
        <w:t>沿线特别是发展中国家用户提供更多数值模式、区域模式、</w:t>
      </w:r>
      <w:r>
        <w:rPr>
          <w:rFonts w:ascii="仿宋_GB2312" w:eastAsia="宋体" w:hAnsi="仿宋_GB2312"/>
          <w:sz w:val="28"/>
          <w:szCs w:val="22"/>
        </w:rPr>
        <w:t>AI</w:t>
      </w:r>
      <w:r>
        <w:rPr>
          <w:rFonts w:ascii="仿宋_GB2312" w:eastAsia="宋体" w:hAnsi="仿宋_GB2312"/>
          <w:sz w:val="28"/>
          <w:szCs w:val="22"/>
        </w:rPr>
        <w:t>模式和模式</w:t>
      </w:r>
      <w:r>
        <w:rPr>
          <w:rFonts w:ascii="仿宋_GB2312" w:eastAsia="宋体" w:hAnsi="仿宋_GB2312"/>
          <w:sz w:val="28"/>
          <w:szCs w:val="22"/>
        </w:rPr>
        <w:t>客观释用系统</w:t>
      </w:r>
      <w:r>
        <w:rPr>
          <w:rFonts w:ascii="仿宋_GB2312" w:eastAsia="宋体" w:hAnsi="仿宋_GB2312"/>
          <w:sz w:val="28"/>
          <w:szCs w:val="22"/>
        </w:rPr>
        <w:t>的预报性能的参考，以图表、地图、动画等形式展示预报结果，用户可以查看特定模式的预报数据或集成结果，用户界面支持交互式分析，通过多地图窗口数值对比，包括切换不同模式结果、查看预报数据对比等。数值天气模式接入</w:t>
      </w:r>
      <w:r>
        <w:rPr>
          <w:rFonts w:ascii="仿宋_GB2312" w:eastAsia="宋体" w:hAnsi="仿宋_GB2312"/>
          <w:sz w:val="28"/>
          <w:szCs w:val="22"/>
        </w:rPr>
        <w:t>CMA-GFS</w:t>
      </w:r>
      <w:r>
        <w:rPr>
          <w:rFonts w:ascii="仿宋_GB2312" w:eastAsia="宋体" w:hAnsi="仿宋_GB2312"/>
          <w:sz w:val="28"/>
          <w:szCs w:val="22"/>
        </w:rPr>
        <w:t>全球预报、美国</w:t>
      </w:r>
      <w:r>
        <w:rPr>
          <w:rFonts w:ascii="仿宋_GB2312" w:eastAsia="宋体" w:hAnsi="仿宋_GB2312"/>
          <w:sz w:val="28"/>
          <w:szCs w:val="22"/>
        </w:rPr>
        <w:t>NCEP</w:t>
      </w:r>
      <w:r>
        <w:rPr>
          <w:rFonts w:ascii="仿宋_GB2312" w:eastAsia="宋体" w:hAnsi="仿宋_GB2312"/>
          <w:sz w:val="28"/>
          <w:szCs w:val="22"/>
        </w:rPr>
        <w:t>全球预报、日本模式全球天气预报、欧洲</w:t>
      </w:r>
      <w:r>
        <w:rPr>
          <w:rFonts w:ascii="仿宋_GB2312" w:eastAsia="宋体" w:hAnsi="仿宋_GB2312"/>
          <w:sz w:val="28"/>
          <w:szCs w:val="22"/>
        </w:rPr>
        <w:t>ECMWF</w:t>
      </w:r>
      <w:r>
        <w:rPr>
          <w:rFonts w:ascii="仿宋_GB2312" w:eastAsia="宋体" w:hAnsi="仿宋_GB2312"/>
          <w:sz w:val="28"/>
          <w:szCs w:val="22"/>
        </w:rPr>
        <w:t>低分辨率全球预报</w:t>
      </w:r>
      <w:r>
        <w:rPr>
          <w:rFonts w:ascii="仿宋_GB2312" w:eastAsia="宋体" w:hAnsi="仿宋_GB2312"/>
          <w:sz w:val="28"/>
          <w:szCs w:val="22"/>
        </w:rPr>
        <w:t>、德国天气模式全球预报、日本模式低分辨率北半球预报等模式数据；</w:t>
      </w:r>
      <w:r>
        <w:rPr>
          <w:rFonts w:ascii="仿宋_GB2312" w:eastAsia="宋体" w:hAnsi="仿宋_GB2312"/>
          <w:sz w:val="28"/>
          <w:szCs w:val="22"/>
        </w:rPr>
        <w:t xml:space="preserve"> AI</w:t>
      </w:r>
      <w:r>
        <w:rPr>
          <w:rFonts w:ascii="仿宋_GB2312" w:eastAsia="宋体" w:hAnsi="仿宋_GB2312"/>
          <w:sz w:val="28"/>
          <w:szCs w:val="22"/>
        </w:rPr>
        <w:t>模块解析并</w:t>
      </w:r>
      <w:r>
        <w:rPr>
          <w:rFonts w:ascii="仿宋_GB2312" w:eastAsia="宋体" w:hAnsi="仿宋_GB2312"/>
          <w:sz w:val="28"/>
          <w:szCs w:val="22"/>
        </w:rPr>
        <w:t>接入风</w:t>
      </w:r>
      <w:r>
        <w:rPr>
          <w:rFonts w:ascii="仿宋_GB2312" w:eastAsia="宋体" w:hAnsi="仿宋_GB2312"/>
          <w:sz w:val="28"/>
          <w:szCs w:val="22"/>
        </w:rPr>
        <w:t>清等</w:t>
      </w:r>
      <w:r>
        <w:rPr>
          <w:rFonts w:ascii="仿宋_GB2312" w:eastAsia="宋体" w:hAnsi="仿宋_GB2312"/>
          <w:sz w:val="28"/>
          <w:szCs w:val="22"/>
        </w:rPr>
        <w:t>AI</w:t>
      </w:r>
      <w:r>
        <w:rPr>
          <w:rFonts w:ascii="仿宋_GB2312" w:eastAsia="宋体" w:hAnsi="仿宋_GB2312"/>
          <w:sz w:val="28"/>
          <w:szCs w:val="22"/>
        </w:rPr>
        <w:t>模式数据；模式</w:t>
      </w:r>
      <w:r>
        <w:rPr>
          <w:rFonts w:ascii="仿宋_GB2312" w:eastAsia="宋体" w:hAnsi="仿宋_GB2312"/>
          <w:sz w:val="28"/>
          <w:szCs w:val="22"/>
        </w:rPr>
        <w:t>客观释用系统</w:t>
      </w:r>
      <w:r>
        <w:rPr>
          <w:rFonts w:ascii="仿宋_GB2312" w:eastAsia="宋体" w:hAnsi="仿宋_GB2312"/>
          <w:sz w:val="28"/>
          <w:szCs w:val="22"/>
        </w:rPr>
        <w:t>解析并接入全球智能网格数据等数据。通过横向和纵向进行多模式对比分析和集成预报，为</w:t>
      </w:r>
      <w:r>
        <w:rPr>
          <w:rFonts w:ascii="仿宋_GB2312" w:eastAsia="宋体" w:hAnsi="仿宋_GB2312"/>
          <w:sz w:val="28"/>
          <w:szCs w:val="22"/>
        </w:rPr>
        <w:t>“</w:t>
      </w:r>
      <w:r>
        <w:rPr>
          <w:rFonts w:ascii="仿宋_GB2312" w:eastAsia="宋体" w:hAnsi="仿宋_GB2312"/>
          <w:sz w:val="28"/>
          <w:szCs w:val="22"/>
        </w:rPr>
        <w:t>一带一路</w:t>
      </w:r>
      <w:r>
        <w:rPr>
          <w:rFonts w:ascii="仿宋_GB2312" w:eastAsia="宋体" w:hAnsi="仿宋_GB2312"/>
          <w:sz w:val="28"/>
          <w:szCs w:val="22"/>
        </w:rPr>
        <w:t>”</w:t>
      </w:r>
      <w:r>
        <w:rPr>
          <w:rFonts w:ascii="仿宋_GB2312" w:eastAsia="宋体" w:hAnsi="仿宋_GB2312"/>
          <w:sz w:val="28"/>
          <w:szCs w:val="22"/>
        </w:rPr>
        <w:t>沿线各国气象人员提供分析数据辅助决策，提升气象部门早期预警服务和决策服务的预测能力和业务效率，助力</w:t>
      </w:r>
      <w:r>
        <w:rPr>
          <w:rFonts w:ascii="仿宋_GB2312" w:eastAsia="宋体" w:hAnsi="仿宋_GB2312" w:hint="eastAsia"/>
          <w:sz w:val="28"/>
          <w:szCs w:val="22"/>
        </w:rPr>
        <w:t>阿盟地区</w:t>
      </w:r>
      <w:r>
        <w:rPr>
          <w:rFonts w:ascii="仿宋_GB2312" w:eastAsia="宋体" w:hAnsi="仿宋_GB2312"/>
          <w:sz w:val="28"/>
          <w:szCs w:val="22"/>
        </w:rPr>
        <w:t>相关国家气象服务专业化与智能化，提升</w:t>
      </w:r>
      <w:r>
        <w:rPr>
          <w:rFonts w:ascii="仿宋_GB2312" w:eastAsia="宋体" w:hAnsi="仿宋_GB2312" w:hint="eastAsia"/>
          <w:sz w:val="28"/>
          <w:szCs w:val="22"/>
        </w:rPr>
        <w:t>他们</w:t>
      </w:r>
      <w:r>
        <w:rPr>
          <w:rFonts w:ascii="仿宋_GB2312" w:eastAsia="宋体" w:hAnsi="仿宋_GB2312"/>
          <w:sz w:val="28"/>
          <w:szCs w:val="22"/>
        </w:rPr>
        <w:t>的防灾减灾和应对气候变化的能力。</w:t>
      </w:r>
    </w:p>
    <w:p w:rsidR="00546305">
      <w:pPr>
        <w:ind w:firstLine="560"/>
        <w:rPr>
          <w:rFonts w:ascii="仿宋_GB2312" w:hAnsi="仿宋_GB2312" w:cs="仿宋_GB2312"/>
          <w:color w:val="000000"/>
        </w:rPr>
      </w:pPr>
      <w:r>
        <w:rPr>
          <w:rFonts w:ascii="仿宋_GB2312" w:hAnsi="仿宋_GB2312" w:cs="仿宋_GB2312" w:hint="eastAsia"/>
          <w:color w:val="000000"/>
        </w:rPr>
        <w:t>阿盟地区多</w:t>
      </w:r>
      <w:r>
        <w:rPr>
          <w:rFonts w:ascii="仿宋_GB2312" w:hAnsi="仿宋_GB2312" w:cs="仿宋_GB2312" w:hint="eastAsia"/>
          <w:color w:val="000000"/>
        </w:rPr>
        <w:t>源资料</w:t>
      </w:r>
      <w:r>
        <w:rPr>
          <w:rFonts w:ascii="仿宋_GB2312" w:hAnsi="仿宋_GB2312" w:cs="仿宋_GB2312" w:hint="eastAsia"/>
          <w:color w:val="000000"/>
        </w:rPr>
        <w:t>监测及灾害预报预警系统通过对气象大数据云平台获取的气象观测资料包括但不局限于</w:t>
      </w:r>
      <w:r>
        <w:rPr>
          <w:rFonts w:ascii="仿宋_GB2312" w:hAnsi="仿宋_GB2312" w:cs="仿宋_GB2312" w:hint="eastAsia"/>
          <w:color w:val="000000"/>
        </w:rPr>
        <w:t>GTS</w:t>
      </w:r>
      <w:r>
        <w:rPr>
          <w:rFonts w:ascii="仿宋_GB2312" w:hAnsi="仿宋_GB2312" w:cs="仿宋_GB2312" w:hint="eastAsia"/>
          <w:color w:val="000000"/>
        </w:rPr>
        <w:t>逐小时交换站、美</w:t>
      </w:r>
      <w:r>
        <w:rPr>
          <w:rFonts w:ascii="仿宋_GB2312" w:hAnsi="仿宋_GB2312" w:cs="仿宋_GB2312" w:hint="eastAsia"/>
          <w:color w:val="000000"/>
        </w:rPr>
        <w:t>国</w:t>
      </w:r>
      <w:r>
        <w:rPr>
          <w:rFonts w:ascii="仿宋_GB2312" w:hAnsi="仿宋_GB2312" w:cs="仿宋_GB2312" w:hint="eastAsia"/>
          <w:color w:val="000000"/>
        </w:rPr>
        <w:t>GSO</w:t>
      </w:r>
      <w:r>
        <w:rPr>
          <w:rFonts w:ascii="仿宋_GB2312" w:hAnsi="仿宋_GB2312" w:cs="仿宋_GB2312" w:hint="eastAsia"/>
          <w:color w:val="000000"/>
        </w:rPr>
        <w:t>D</w:t>
      </w:r>
      <w:r>
        <w:rPr>
          <w:rFonts w:ascii="仿宋_GB2312" w:hAnsi="仿宋_GB2312" w:cs="仿宋_GB2312" w:hint="eastAsia"/>
          <w:color w:val="000000"/>
        </w:rPr>
        <w:t>、信息中心融合实况、</w:t>
      </w:r>
      <w:r>
        <w:rPr>
          <w:rFonts w:ascii="仿宋_GB2312" w:hAnsi="仿宋_GB2312" w:cs="仿宋_GB2312" w:hint="eastAsia"/>
          <w:color w:val="000000"/>
        </w:rPr>
        <w:t>CRA</w:t>
      </w:r>
      <w:r>
        <w:rPr>
          <w:rFonts w:ascii="仿宋_GB2312" w:hAnsi="仿宋_GB2312" w:cs="仿宋_GB2312" w:hint="eastAsia"/>
          <w:color w:val="000000"/>
        </w:rPr>
        <w:t>再分析、卫星资料、气象数值预报产品、大模型预报等各类数据进行加工处理各类空间分析，提供阿盟地区监测功能、阿盟地区多</w:t>
      </w:r>
      <w:r>
        <w:rPr>
          <w:rFonts w:ascii="仿宋_GB2312" w:hAnsi="仿宋_GB2312" w:cs="仿宋_GB2312" w:hint="eastAsia"/>
          <w:color w:val="000000"/>
        </w:rPr>
        <w:t>源数据</w:t>
      </w:r>
      <w:r>
        <w:rPr>
          <w:rFonts w:ascii="仿宋_GB2312" w:hAnsi="仿宋_GB2312" w:cs="仿宋_GB2312" w:hint="eastAsia"/>
          <w:color w:val="000000"/>
        </w:rPr>
        <w:t>融合应用、灾害性及极端性天气对比应用、三维网格实况多要素分析、基于集合预报关键特征提取、以邮票图和面条图等多成员形式的对比分析、基于集合预报多成员的单点</w:t>
      </w:r>
      <w:r>
        <w:rPr>
          <w:rFonts w:ascii="仿宋_GB2312" w:hAnsi="仿宋_GB2312" w:cs="仿宋_GB2312" w:hint="eastAsia"/>
          <w:color w:val="000000"/>
        </w:rPr>
        <w:t>箱须图</w:t>
      </w:r>
      <w:r>
        <w:rPr>
          <w:rFonts w:ascii="仿宋_GB2312" w:hAnsi="仿宋_GB2312" w:cs="仿宋_GB2312" w:hint="eastAsia"/>
          <w:color w:val="000000"/>
        </w:rPr>
        <w:t>分析、基于多模式数据灾害天气</w:t>
      </w:r>
      <w:r>
        <w:rPr>
          <w:rFonts w:ascii="仿宋_GB2312" w:hAnsi="仿宋_GB2312" w:cs="仿宋_GB2312" w:hint="eastAsia"/>
          <w:color w:val="000000"/>
        </w:rPr>
        <w:t>预报预警</w:t>
      </w:r>
      <w:r>
        <w:rPr>
          <w:rFonts w:ascii="仿宋_GB2312" w:hAnsi="仿宋_GB2312" w:cs="仿宋_GB2312" w:hint="eastAsia"/>
          <w:color w:val="000000"/>
        </w:rPr>
        <w:t>以及异常天气综合性</w:t>
      </w:r>
      <w:r>
        <w:rPr>
          <w:rFonts w:ascii="仿宋_GB2312" w:hAnsi="仿宋_GB2312" w:cs="仿宋_GB2312" w:hint="eastAsia"/>
          <w:color w:val="000000"/>
        </w:rPr>
        <w:t>预报预警</w:t>
      </w:r>
      <w:r>
        <w:rPr>
          <w:rFonts w:ascii="仿宋_GB2312" w:hAnsi="仿宋_GB2312" w:cs="仿宋_GB2312" w:hint="eastAsia"/>
          <w:color w:val="000000"/>
        </w:rPr>
        <w:t>功能、实现基于多模式单点序列对比、空间剖面对比等功能、实现基于风清等大模型数据产品接入分析等功能。</w:t>
      </w:r>
    </w:p>
    <w:p w:rsidR="00546305">
      <w:pPr>
        <w:ind w:firstLine="560"/>
      </w:pPr>
      <w:r>
        <w:t>海外</w:t>
      </w:r>
      <w:r>
        <w:t>云部署</w:t>
      </w:r>
      <w:r>
        <w:t>及监控环境建设海外云节点接口适配，</w:t>
      </w:r>
      <w:r>
        <w:t>为海外云节点部署开发与系统适配的</w:t>
      </w:r>
      <w:r>
        <w:t>API</w:t>
      </w:r>
      <w:r>
        <w:t>接口。</w:t>
      </w:r>
    </w:p>
    <w:p w:rsidR="00546305">
      <w:pPr>
        <w:ind w:firstLine="560"/>
      </w:pPr>
      <w:r>
        <w:rPr>
          <w:rFonts w:hint="eastAsia"/>
        </w:rPr>
        <w:t>面向阿盟等“一带一路”国家的国际临近预报比对分系统，是世界气象组织</w:t>
      </w:r>
      <w:r>
        <w:rPr>
          <w:rFonts w:hint="eastAsia"/>
        </w:rPr>
        <w:t>AI</w:t>
      </w:r>
      <w:r>
        <w:rPr>
          <w:rFonts w:hint="eastAsia"/>
        </w:rPr>
        <w:t>临近预报试点项目（</w:t>
      </w:r>
      <w:r>
        <w:rPr>
          <w:rFonts w:hint="eastAsia"/>
        </w:rPr>
        <w:t>AINPP</w:t>
      </w:r>
      <w:r>
        <w:rPr>
          <w:rFonts w:hint="eastAsia"/>
        </w:rPr>
        <w:t>）的重要组成部分，旨在支撑阿盟地区等“一带一路”国家的临近预报的国际比对活动，推动</w:t>
      </w:r>
      <w:r>
        <w:rPr>
          <w:rFonts w:hint="eastAsia"/>
        </w:rPr>
        <w:t>AI</w:t>
      </w:r>
      <w:r>
        <w:rPr>
          <w:rFonts w:hint="eastAsia"/>
        </w:rPr>
        <w:t>技术在临近预报中的应用与发展。该分系统作为数据接收、处理和展示的中心，将汇聚来自中国气象局（</w:t>
      </w:r>
      <w:r>
        <w:rPr>
          <w:rFonts w:hint="eastAsia"/>
        </w:rPr>
        <w:t>CMA</w:t>
      </w:r>
      <w:r>
        <w:rPr>
          <w:rFonts w:hint="eastAsia"/>
        </w:rPr>
        <w:t>）、威斯康星大学麦迪逊分校气象卫星研究合作院（</w:t>
      </w:r>
      <w:r>
        <w:rPr>
          <w:rFonts w:hint="eastAsia"/>
        </w:rPr>
        <w:t>CIMSS</w:t>
      </w:r>
      <w:r>
        <w:rPr>
          <w:rFonts w:hint="eastAsia"/>
        </w:rPr>
        <w:t>）、微软公司等多家国际知名机构的高质量临近预报产品。</w:t>
      </w:r>
    </w:p>
    <w:p w:rsidR="00546305">
      <w:pPr>
        <w:ind w:firstLine="560"/>
      </w:pPr>
    </w:p>
    <w:p w:rsidR="00546305">
      <w:pPr>
        <w:pStyle w:val="Heading1"/>
        <w:keepNext/>
        <w:keepLines/>
        <w:pageBreakBefore/>
        <w:numPr>
          <w:numId w:val="4"/>
        </w:numPr>
        <w:spacing w:line="360" w:lineRule="auto"/>
        <w:ind w:left="0" w:firstLine="0"/>
        <w:rPr>
          <w:lang w:val="zh-CN"/>
        </w:rPr>
      </w:pPr>
      <w:bookmarkStart w:id="70" w:name="_Toc137459468"/>
      <w:bookmarkStart w:id="71" w:name="_Toc172191740"/>
      <w:bookmarkStart w:id="72" w:name="_Toc29747"/>
      <w:r>
        <w:rPr>
          <w:rFonts w:hint="eastAsia"/>
          <w:lang w:val="zh-CN"/>
        </w:rPr>
        <w:t>技术规格要求</w:t>
      </w:r>
      <w:bookmarkEnd w:id="70"/>
      <w:bookmarkEnd w:id="71"/>
      <w:bookmarkEnd w:id="72"/>
    </w:p>
    <w:p w:rsidR="00546305">
      <w:pPr>
        <w:pStyle w:val="Heading2"/>
        <w:numPr>
          <w:ilvl w:val="1"/>
          <w:numId w:val="4"/>
        </w:numPr>
        <w:rPr>
          <w:lang w:val="zh-CN"/>
        </w:rPr>
      </w:pPr>
      <w:bookmarkStart w:id="73" w:name="_Toc137459469"/>
      <w:bookmarkStart w:id="74" w:name="_Toc172191741"/>
      <w:bookmarkStart w:id="75" w:name="_Toc2126"/>
      <w:r>
        <w:rPr>
          <w:rFonts w:hint="eastAsia"/>
          <w:lang w:val="zh-CN"/>
        </w:rPr>
        <w:t>功能性要求</w:t>
      </w:r>
      <w:bookmarkEnd w:id="73"/>
      <w:bookmarkEnd w:id="74"/>
      <w:bookmarkEnd w:id="75"/>
    </w:p>
    <w:p w:rsidR="00546305">
      <w:pPr>
        <w:pStyle w:val="Heading3"/>
        <w:numPr>
          <w:ilvl w:val="2"/>
          <w:numId w:val="4"/>
        </w:numPr>
      </w:pPr>
      <w:bookmarkStart w:id="76" w:name="_Toc15723"/>
      <w:bookmarkStart w:id="77" w:name="OLE_LINK4"/>
      <w:r>
        <w:t>面向阿拉伯国家国际早期预警</w:t>
      </w:r>
      <w:r>
        <w:rPr>
          <w:rFonts w:hint="eastAsia"/>
        </w:rPr>
        <w:t>系统</w:t>
      </w:r>
      <w:bookmarkEnd w:id="76"/>
    </w:p>
    <w:p w:rsidR="00546305">
      <w:pPr>
        <w:pStyle w:val="Heading4"/>
        <w:numPr>
          <w:ilvl w:val="3"/>
          <w:numId w:val="4"/>
        </w:numPr>
        <w:rPr>
          <w:lang w:val="zh-CN"/>
        </w:rPr>
      </w:pPr>
      <w:bookmarkStart w:id="78" w:name="OLE_LINK5"/>
      <w:bookmarkEnd w:id="77"/>
      <w:r>
        <w:rPr>
          <w:rFonts w:hint="eastAsia"/>
          <w:lang w:val="zh-CN"/>
        </w:rPr>
        <w:t>三维展示模块</w:t>
      </w:r>
      <w:bookmarkEnd w:id="78"/>
    </w:p>
    <w:p w:rsidR="00546305">
      <w:pPr>
        <w:ind w:firstLine="560"/>
        <w:rPr>
          <w:lang w:val="zh-CN"/>
        </w:rPr>
      </w:pPr>
      <w:r>
        <w:rPr>
          <w:rFonts w:hint="eastAsia"/>
          <w:lang w:val="zh-CN"/>
        </w:rPr>
        <w:t>包括</w:t>
      </w:r>
      <w:r>
        <w:rPr>
          <w:rFonts w:hint="eastAsia"/>
        </w:rPr>
        <w:t>温度监测和预报的三维可视化功能、小时（</w:t>
      </w:r>
      <w:r>
        <w:rPr>
          <w:rFonts w:hint="eastAsia"/>
        </w:rPr>
        <w:t>3</w:t>
      </w:r>
      <w:r>
        <w:rPr>
          <w:rFonts w:hint="eastAsia"/>
        </w:rPr>
        <w:t>小时）降水监测和预报的三维可视化功能、降水（</w:t>
      </w:r>
      <w:r>
        <w:rPr>
          <w:rFonts w:hint="eastAsia"/>
        </w:rPr>
        <w:t>24</w:t>
      </w:r>
      <w:r>
        <w:rPr>
          <w:rFonts w:hint="eastAsia"/>
        </w:rPr>
        <w:t>小时）降水监测和预报的三维可视化功能、累积降水三维可视化监测和预报的三维可视化等。</w:t>
      </w:r>
    </w:p>
    <w:p w:rsidR="00546305">
      <w:pPr>
        <w:pStyle w:val="Heading4"/>
        <w:numPr>
          <w:ilvl w:val="3"/>
          <w:numId w:val="4"/>
        </w:numPr>
        <w:rPr>
          <w:lang w:val="zh-CN"/>
        </w:rPr>
      </w:pPr>
      <w:r>
        <w:rPr>
          <w:rFonts w:hint="eastAsia"/>
          <w:lang w:val="zh-CN"/>
        </w:rPr>
        <w:t>阿盟地区监测</w:t>
      </w:r>
    </w:p>
    <w:p w:rsidR="00546305">
      <w:pPr>
        <w:ind w:firstLine="560"/>
        <w:rPr>
          <w:lang w:val="zh-CN"/>
        </w:rPr>
      </w:pPr>
      <w:r>
        <w:rPr>
          <w:rFonts w:hint="eastAsia"/>
          <w:lang w:val="zh-CN"/>
        </w:rPr>
        <w:t>包括</w:t>
      </w:r>
      <w:r>
        <w:rPr>
          <w:rFonts w:hint="eastAsia"/>
          <w:lang w:val="zh-CN"/>
        </w:rPr>
        <w:t>GTS</w:t>
      </w:r>
      <w:r>
        <w:rPr>
          <w:rFonts w:hint="eastAsia"/>
          <w:lang w:val="zh-CN"/>
        </w:rPr>
        <w:t>站点实况和实况格点分析两部分，提供实时气象数据监测，涵盖降水、温度、气压、比湿、风场等关键气象要素；卫星监测提供实时的真彩、红外、水汽、可见光等卫星通道产品。交互式地图界面用户可自由缩放和拖动，查看各国家及地区的云层情况，以平面图展示云图。目前系统提供</w:t>
      </w:r>
      <w:r>
        <w:rPr>
          <w:rFonts w:hint="eastAsia"/>
          <w:lang w:val="zh-CN"/>
        </w:rPr>
        <w:t>FY-4B</w:t>
      </w:r>
      <w:r>
        <w:rPr>
          <w:rFonts w:hint="eastAsia"/>
          <w:lang w:val="zh-CN"/>
        </w:rPr>
        <w:t>和</w:t>
      </w:r>
      <w:r>
        <w:rPr>
          <w:rFonts w:hint="eastAsia"/>
          <w:lang w:val="zh-CN"/>
        </w:rPr>
        <w:t>FY-2H</w:t>
      </w:r>
      <w:r>
        <w:rPr>
          <w:rFonts w:hint="eastAsia"/>
          <w:lang w:val="zh-CN"/>
        </w:rPr>
        <w:t>卫星的气象数据；灾害性天气监测，实时监</w:t>
      </w:r>
      <w:r>
        <w:rPr>
          <w:rFonts w:hint="eastAsia"/>
          <w:lang w:val="zh-CN"/>
        </w:rPr>
        <w:t>测</w:t>
      </w:r>
      <w:r>
        <w:rPr>
          <w:lang w:val="zh-CN"/>
        </w:rPr>
        <w:t>阿拉伯国家的常见</w:t>
      </w:r>
      <w:r>
        <w:rPr>
          <w:rFonts w:hint="eastAsia"/>
          <w:lang w:val="zh-CN"/>
        </w:rPr>
        <w:t>灾害性天气，如暴雨、高温等，使用不同颜色和符号区分不同类型和等级的灾害性天气。监测极端天气事件，提供实时灾害天气信息；专门监测热带气旋的活动及其影响，提供热带气旋的实时数据和对比分析。</w:t>
      </w:r>
    </w:p>
    <w:p w:rsidR="00546305">
      <w:pPr>
        <w:pStyle w:val="Heading4"/>
        <w:numPr>
          <w:ilvl w:val="3"/>
          <w:numId w:val="4"/>
        </w:numPr>
        <w:rPr>
          <w:lang w:val="zh-CN"/>
        </w:rPr>
      </w:pPr>
      <w:r>
        <w:rPr>
          <w:lang w:val="zh-CN"/>
        </w:rPr>
        <w:t>阿盟地区</w:t>
      </w:r>
      <w:r>
        <w:rPr>
          <w:rFonts w:hint="eastAsia"/>
          <w:lang w:val="zh-CN"/>
        </w:rPr>
        <w:t>预报</w:t>
      </w:r>
    </w:p>
    <w:p w:rsidR="00546305">
      <w:pPr>
        <w:ind w:firstLine="560"/>
        <w:rPr>
          <w:lang w:val="zh-CN"/>
        </w:rPr>
      </w:pPr>
      <w:bookmarkStart w:id="79" w:name="_Hlk197595825"/>
      <w:r>
        <w:rPr>
          <w:lang w:val="zh-CN"/>
        </w:rPr>
        <w:t>面向阿拉伯国家</w:t>
      </w:r>
      <w:r>
        <w:rPr>
          <w:rFonts w:hint="eastAsia"/>
          <w:lang w:val="zh-CN"/>
        </w:rPr>
        <w:t>预报模块是集成多种模式、预报方法和工具的系</w:t>
      </w:r>
      <w:r>
        <w:rPr>
          <w:rFonts w:hint="eastAsia"/>
          <w:lang w:val="zh-CN"/>
        </w:rPr>
        <w:t>统模块，包括多模式预报和应用、集合预报（</w:t>
      </w:r>
      <w:r>
        <w:rPr>
          <w:rFonts w:hint="eastAsia"/>
          <w:lang w:val="zh-CN"/>
        </w:rPr>
        <w:t>EFI</w:t>
      </w:r>
      <w:r>
        <w:rPr>
          <w:rFonts w:hint="eastAsia"/>
          <w:lang w:val="zh-CN"/>
        </w:rPr>
        <w:t>极端天气指数、集合平均、概率预报等产品）、一带一路站点城市预报等功能。</w:t>
      </w:r>
    </w:p>
    <w:bookmarkEnd w:id="79"/>
    <w:p w:rsidR="00546305">
      <w:pPr>
        <w:pStyle w:val="Heading4"/>
        <w:numPr>
          <w:ilvl w:val="3"/>
          <w:numId w:val="4"/>
        </w:numPr>
        <w:rPr>
          <w:lang w:val="zh-CN"/>
        </w:rPr>
      </w:pPr>
      <w:r>
        <w:rPr>
          <w:rFonts w:hint="eastAsia"/>
          <w:lang w:val="zh-CN"/>
        </w:rPr>
        <w:t>定制服务</w:t>
      </w:r>
    </w:p>
    <w:p w:rsidR="00546305">
      <w:pPr>
        <w:ind w:firstLine="560"/>
        <w:rPr>
          <w:lang w:val="zh-CN"/>
        </w:rPr>
      </w:pPr>
      <w:r>
        <w:rPr>
          <w:rFonts w:hint="eastAsia"/>
          <w:lang w:val="zh-CN"/>
        </w:rPr>
        <w:t>包括</w:t>
      </w:r>
      <w:r>
        <w:rPr>
          <w:rFonts w:hint="eastAsia"/>
        </w:rPr>
        <w:t>预警适配、用户管理适配、多源灾害监测、气候适配、时区适配等。</w:t>
      </w:r>
    </w:p>
    <w:p w:rsidR="00546305">
      <w:pPr>
        <w:pStyle w:val="Heading4"/>
        <w:numPr>
          <w:ilvl w:val="3"/>
          <w:numId w:val="4"/>
        </w:numPr>
        <w:rPr>
          <w:lang w:val="zh-CN"/>
        </w:rPr>
      </w:pPr>
      <w:bookmarkStart w:id="80" w:name="OLE_LINK6"/>
      <w:r>
        <w:rPr>
          <w:lang w:val="zh-CN"/>
        </w:rPr>
        <w:t>工具箱</w:t>
      </w:r>
    </w:p>
    <w:bookmarkEnd w:id="80"/>
    <w:p w:rsidR="00546305">
      <w:pPr>
        <w:ind w:firstLine="560"/>
        <w:rPr>
          <w:lang w:val="zh-CN"/>
        </w:rPr>
      </w:pPr>
      <w:r>
        <w:t>单点无缝隙实况预报</w:t>
      </w:r>
      <w:r>
        <w:rPr>
          <w:rFonts w:hint="eastAsia"/>
        </w:rPr>
        <w:t>工具箱，提供用户所</w:t>
      </w:r>
      <w:r>
        <w:rPr>
          <w:rFonts w:hint="eastAsia"/>
        </w:rPr>
        <w:t>在国家的实时天气实况和预报数据，包括温度、湿度、风速、降水等要素。支持无缝切换不同预报模式，用户可以通过地图选择特定地点，查看实况和预报数据，提供图表和数据表形式的天气实况和预报信息；其他工具箱，包括测距，面积，定位，数量统计，投影切换，要素选择、地图可视化、经纬度拾取、垂直剖面分析等</w:t>
      </w:r>
      <w:r>
        <w:rPr>
          <w:rFonts w:ascii="仿宋" w:eastAsia="仿宋" w:hAnsi="仿宋" w:cs="仿宋" w:hint="eastAsia"/>
        </w:rPr>
        <w:t>。</w:t>
      </w:r>
    </w:p>
    <w:p w:rsidR="00546305">
      <w:pPr>
        <w:pStyle w:val="Heading3"/>
        <w:numPr>
          <w:ilvl w:val="2"/>
          <w:numId w:val="4"/>
        </w:numPr>
      </w:pPr>
      <w:bookmarkStart w:id="81" w:name="OLE_LINK8"/>
      <w:bookmarkStart w:id="82" w:name="_Toc7158"/>
      <w:r>
        <w:t>面向阿拉伯国家多模式集成预报和应用系统（</w:t>
      </w:r>
      <w:r>
        <w:rPr>
          <w:rFonts w:hint="eastAsia"/>
        </w:rPr>
        <w:t>MMIFA</w:t>
      </w:r>
      <w:r>
        <w:t>）</w:t>
      </w:r>
      <w:bookmarkEnd w:id="81"/>
      <w:bookmarkEnd w:id="82"/>
    </w:p>
    <w:p w:rsidR="00546305">
      <w:pPr>
        <w:pStyle w:val="Heading4"/>
        <w:numPr>
          <w:ilvl w:val="3"/>
          <w:numId w:val="4"/>
        </w:numPr>
        <w:rPr>
          <w:lang w:val="zh-CN"/>
        </w:rPr>
      </w:pPr>
      <w:r>
        <w:rPr>
          <w:rFonts w:hint="eastAsia"/>
          <w:lang w:val="zh-CN"/>
        </w:rPr>
        <w:t>数值天气模式解析处理模块</w:t>
      </w:r>
    </w:p>
    <w:p w:rsidR="00546305">
      <w:pPr>
        <w:ind w:firstLine="560"/>
      </w:pPr>
      <w:r>
        <w:rPr>
          <w:rFonts w:hint="eastAsia"/>
        </w:rPr>
        <w:t>该模块解析并接入</w:t>
      </w:r>
      <w:r>
        <w:rPr>
          <w:rFonts w:hint="eastAsia"/>
        </w:rPr>
        <w:t>CMA-GFS</w:t>
      </w:r>
      <w:r>
        <w:rPr>
          <w:rFonts w:hint="eastAsia"/>
        </w:rPr>
        <w:t>全球预报、美国</w:t>
      </w:r>
      <w:r>
        <w:rPr>
          <w:rFonts w:hint="eastAsia"/>
        </w:rPr>
        <w:t>NCEP</w:t>
      </w:r>
      <w:r>
        <w:rPr>
          <w:rFonts w:hint="eastAsia"/>
        </w:rPr>
        <w:t>全球预报、日本模式全球天气预报、欧洲</w:t>
      </w:r>
      <w:r>
        <w:rPr>
          <w:rFonts w:hint="eastAsia"/>
        </w:rPr>
        <w:t>ECMWF</w:t>
      </w:r>
      <w:r>
        <w:rPr>
          <w:rFonts w:hint="eastAsia"/>
        </w:rPr>
        <w:t>低分辨率全球预报、德国天气模式全球预报、日本模式低分辨率北半球预报等模式数据，并可以进行前端可视化。</w:t>
      </w:r>
    </w:p>
    <w:p w:rsidR="00546305">
      <w:pPr>
        <w:pStyle w:val="Heading4"/>
        <w:numPr>
          <w:ilvl w:val="3"/>
          <w:numId w:val="4"/>
        </w:numPr>
        <w:rPr>
          <w:lang w:val="zh-CN"/>
        </w:rPr>
      </w:pPr>
      <w:r>
        <w:rPr>
          <w:rFonts w:hint="eastAsia"/>
          <w:lang w:val="zh-CN"/>
        </w:rPr>
        <w:t>区域模式解析处理模块</w:t>
      </w:r>
    </w:p>
    <w:p w:rsidR="00546305">
      <w:pPr>
        <w:ind w:firstLine="560"/>
      </w:pPr>
      <w:r>
        <w:rPr>
          <w:rFonts w:hint="eastAsia"/>
        </w:rPr>
        <w:t>该模块解析并接入</w:t>
      </w:r>
      <w:r>
        <w:rPr>
          <w:rFonts w:hint="eastAsia"/>
        </w:rPr>
        <w:t>TYM</w:t>
      </w:r>
      <w:r>
        <w:rPr>
          <w:rFonts w:hint="eastAsia"/>
        </w:rPr>
        <w:t>、</w:t>
      </w:r>
      <w:r>
        <w:rPr>
          <w:rFonts w:hint="eastAsia"/>
        </w:rPr>
        <w:t>GRAPES-MESO</w:t>
      </w:r>
      <w:r>
        <w:rPr>
          <w:rFonts w:hint="eastAsia"/>
        </w:rPr>
        <w:t>等区域模式数据，并可以进行前端可视化。</w:t>
      </w:r>
    </w:p>
    <w:p w:rsidR="00546305">
      <w:pPr>
        <w:pStyle w:val="Heading4"/>
        <w:numPr>
          <w:ilvl w:val="3"/>
          <w:numId w:val="4"/>
        </w:numPr>
        <w:rPr>
          <w:lang w:val="zh-CN"/>
        </w:rPr>
      </w:pPr>
      <w:r>
        <w:rPr>
          <w:rFonts w:hint="eastAsia"/>
          <w:lang w:val="zh-CN"/>
        </w:rPr>
        <w:t>AI</w:t>
      </w:r>
      <w:r>
        <w:rPr>
          <w:rFonts w:hint="eastAsia"/>
          <w:lang w:val="zh-CN"/>
        </w:rPr>
        <w:t>模式解析处理模块</w:t>
      </w:r>
    </w:p>
    <w:p w:rsidR="00546305">
      <w:pPr>
        <w:ind w:firstLine="560"/>
      </w:pPr>
      <w:r>
        <w:rPr>
          <w:rFonts w:hint="eastAsia"/>
        </w:rPr>
        <w:t>该模块解析并</w:t>
      </w:r>
      <w:r>
        <w:rPr>
          <w:rFonts w:hint="eastAsia"/>
        </w:rPr>
        <w:t>接入风</w:t>
      </w:r>
      <w:r>
        <w:rPr>
          <w:rFonts w:hint="eastAsia"/>
        </w:rPr>
        <w:t>清等</w:t>
      </w:r>
      <w:r>
        <w:rPr>
          <w:rFonts w:hint="eastAsia"/>
        </w:rPr>
        <w:t>AI</w:t>
      </w:r>
      <w:r>
        <w:rPr>
          <w:rFonts w:hint="eastAsia"/>
        </w:rPr>
        <w:t>模式数据，并可以进行前端可视化。</w:t>
      </w:r>
    </w:p>
    <w:p w:rsidR="00546305">
      <w:pPr>
        <w:pStyle w:val="Heading4"/>
        <w:numPr>
          <w:ilvl w:val="3"/>
          <w:numId w:val="4"/>
        </w:numPr>
        <w:rPr>
          <w:lang w:val="zh-CN"/>
        </w:rPr>
      </w:pPr>
      <w:r>
        <w:rPr>
          <w:rFonts w:hint="eastAsia"/>
          <w:lang w:val="zh-CN"/>
        </w:rPr>
        <w:t>产品解析处理模块</w:t>
      </w:r>
    </w:p>
    <w:p w:rsidR="00546305">
      <w:pPr>
        <w:ind w:firstLine="560"/>
      </w:pPr>
      <w:r>
        <w:rPr>
          <w:rFonts w:hint="eastAsia"/>
        </w:rPr>
        <w:t>该模块解析并接入全球智能网格数据等数据，并可以进行前端可视化。</w:t>
      </w:r>
    </w:p>
    <w:p w:rsidR="00546305">
      <w:pPr>
        <w:pStyle w:val="Heading4"/>
        <w:numPr>
          <w:ilvl w:val="3"/>
          <w:numId w:val="4"/>
        </w:numPr>
        <w:rPr>
          <w:lang w:val="zh-CN"/>
        </w:rPr>
      </w:pPr>
      <w:r>
        <w:rPr>
          <w:rFonts w:hint="eastAsia"/>
          <w:lang w:val="zh-CN"/>
        </w:rPr>
        <w:t>多模式对比分析模块</w:t>
      </w:r>
    </w:p>
    <w:p w:rsidR="00546305">
      <w:pPr>
        <w:ind w:firstLine="560"/>
      </w:pPr>
      <w:r>
        <w:rPr>
          <w:rFonts w:hint="eastAsia"/>
        </w:rPr>
        <w:t>该模块可以让用户选取特定的气象要素，时间和等压面，实现放大、查看、分析等交互功能；用户可以横向对比分析多个模式的单一要素和多要素组合的预报信息；比较多个数值模式、</w:t>
      </w:r>
      <w:r>
        <w:rPr>
          <w:rFonts w:hint="eastAsia"/>
        </w:rPr>
        <w:t>AI</w:t>
      </w:r>
      <w:r>
        <w:rPr>
          <w:rFonts w:hint="eastAsia"/>
        </w:rPr>
        <w:t>大模型和全球智能网格对单要素（如气温）的同一时空的预报分布；选择不同要素组合（如降水、</w:t>
      </w:r>
      <w:r>
        <w:rPr>
          <w:rFonts w:hint="eastAsia"/>
        </w:rPr>
        <w:t>500hPa</w:t>
      </w:r>
      <w:r>
        <w:rPr>
          <w:rFonts w:hint="eastAsia"/>
        </w:rPr>
        <w:t>位势高度），进行多模式预报要素组合对比分析；针对任意单点，进行单要素的多模式对比分析；实况数据和模式数据同时以柱状图的形式无缝隙展示；实况数据和模式数据同时以折线图的形式无缝隙展示；实况数据和模式数据同时以曲线图的形式无缝隙展示。</w:t>
      </w:r>
    </w:p>
    <w:p w:rsidR="00546305">
      <w:pPr>
        <w:pStyle w:val="Heading4"/>
        <w:numPr>
          <w:ilvl w:val="3"/>
          <w:numId w:val="4"/>
        </w:numPr>
        <w:rPr>
          <w:lang w:val="zh-CN"/>
        </w:rPr>
      </w:pPr>
      <w:bookmarkStart w:id="83" w:name="OLE_LINK9"/>
      <w:r>
        <w:rPr>
          <w:rFonts w:hint="eastAsia"/>
          <w:lang w:val="zh-CN"/>
        </w:rPr>
        <w:t>算法模块</w:t>
      </w:r>
    </w:p>
    <w:bookmarkEnd w:id="83"/>
    <w:p w:rsidR="00546305">
      <w:pPr>
        <w:ind w:firstLine="560"/>
      </w:pPr>
      <w:r>
        <w:rPr>
          <w:rFonts w:hint="eastAsia"/>
        </w:rPr>
        <w:t>该模块</w:t>
      </w:r>
      <w:r>
        <w:rPr>
          <w:rFonts w:hint="eastAsia"/>
        </w:rPr>
        <w:t>有等值线矢量化算法</w:t>
      </w:r>
      <w:r>
        <w:rPr>
          <w:rFonts w:hint="eastAsia"/>
        </w:rPr>
        <w:t>和风场</w:t>
      </w:r>
      <w:r>
        <w:rPr>
          <w:rFonts w:hint="eastAsia"/>
        </w:rPr>
        <w:t>流线矢量化算法，等值线矢量化算法支持将温度、位势高度、风场等格点数据镜像等值线矢量化；风场流线矢量化算法，通过将格点</w:t>
      </w:r>
      <w:r>
        <w:rPr>
          <w:rFonts w:hint="eastAsia"/>
        </w:rPr>
        <w:t>UV</w:t>
      </w:r>
      <w:r>
        <w:rPr>
          <w:rFonts w:hint="eastAsia"/>
        </w:rPr>
        <w:t>风量利用该算法将风场的流动方向和速度方向进行矢量化</w:t>
      </w:r>
      <w:r>
        <w:t>。</w:t>
      </w:r>
    </w:p>
    <w:p w:rsidR="00546305">
      <w:pPr>
        <w:pStyle w:val="Heading3"/>
        <w:numPr>
          <w:ilvl w:val="2"/>
          <w:numId w:val="4"/>
        </w:numPr>
      </w:pPr>
      <w:bookmarkStart w:id="84" w:name="_Hlk197595544"/>
      <w:bookmarkStart w:id="85" w:name="_Toc20507"/>
      <w:bookmarkStart w:id="86" w:name="OLE_LINK11"/>
      <w:r>
        <w:t>海外</w:t>
      </w:r>
      <w:r>
        <w:t>云部署</w:t>
      </w:r>
      <w:r>
        <w:t>及监控环境建设</w:t>
      </w:r>
      <w:bookmarkEnd w:id="84"/>
      <w:bookmarkEnd w:id="85"/>
    </w:p>
    <w:bookmarkEnd w:id="86"/>
    <w:p w:rsidR="00546305">
      <w:pPr>
        <w:pStyle w:val="Heading4"/>
        <w:numPr>
          <w:ilvl w:val="3"/>
          <w:numId w:val="4"/>
        </w:numPr>
        <w:rPr>
          <w:lang w:val="zh-CN"/>
        </w:rPr>
      </w:pPr>
      <w:r>
        <w:rPr>
          <w:rFonts w:hint="eastAsia"/>
          <w:lang w:val="zh-CN"/>
        </w:rPr>
        <w:t>海外云节点适配</w:t>
      </w:r>
    </w:p>
    <w:p w:rsidR="00546305">
      <w:pPr>
        <w:ind w:firstLine="560"/>
      </w:pPr>
      <w:r>
        <w:rPr>
          <w:rFonts w:hint="eastAsia"/>
        </w:rPr>
        <w:t>海外云服务器中部署着</w:t>
      </w:r>
      <w:r>
        <w:t>WEB</w:t>
      </w:r>
      <w:r>
        <w:rPr>
          <w:rFonts w:hint="eastAsia"/>
        </w:rPr>
        <w:t>应用服务、分发服务、数据交互服务。系统通过</w:t>
      </w:r>
      <w:r>
        <w:rPr>
          <w:rFonts w:hint="eastAsia"/>
        </w:rPr>
        <w:t xml:space="preserve"> VPC </w:t>
      </w:r>
      <w:r>
        <w:rPr>
          <w:rFonts w:hint="eastAsia"/>
        </w:rPr>
        <w:t>网络构建起具有严格安全访问控制的网络，同时兼顾核心数据的安全隔离和来自公网访问的有效接入。</w:t>
      </w:r>
    </w:p>
    <w:p w:rsidR="00546305">
      <w:pPr>
        <w:ind w:firstLine="560"/>
      </w:pPr>
      <w:r>
        <w:rPr>
          <w:rFonts w:hint="eastAsia"/>
        </w:rPr>
        <w:t>使用容器技术如</w:t>
      </w:r>
      <w:r>
        <w:rPr>
          <w:rFonts w:hint="eastAsia"/>
        </w:rPr>
        <w:t>Docker</w:t>
      </w:r>
      <w:r>
        <w:rPr>
          <w:rFonts w:hint="eastAsia"/>
        </w:rPr>
        <w:t>将应用程序、依赖库和配置文件等打包成一个可移植的、自包含的容器。通过使用容器</w:t>
      </w:r>
      <w:r>
        <w:rPr>
          <w:rFonts w:hint="eastAsia"/>
        </w:rPr>
        <w:t>编排工具如</w:t>
      </w:r>
      <w:r>
        <w:rPr>
          <w:rFonts w:hint="eastAsia"/>
        </w:rPr>
        <w:t>Kubernetes</w:t>
      </w:r>
      <w:r>
        <w:rPr>
          <w:rFonts w:hint="eastAsia"/>
        </w:rPr>
        <w:t>或</w:t>
      </w:r>
      <w:r>
        <w:rPr>
          <w:rFonts w:hint="eastAsia"/>
        </w:rPr>
        <w:t>Docker Swarm</w:t>
      </w:r>
      <w:r>
        <w:rPr>
          <w:rFonts w:hint="eastAsia"/>
        </w:rPr>
        <w:t>，可以快速完成部署和管理。</w:t>
      </w:r>
    </w:p>
    <w:p w:rsidR="00546305">
      <w:pPr>
        <w:ind w:firstLine="560"/>
      </w:pPr>
      <w:r>
        <w:rPr>
          <w:rFonts w:hint="eastAsia"/>
        </w:rPr>
        <w:t>系统通过云平台的</w:t>
      </w:r>
      <w:r>
        <w:rPr>
          <w:rFonts w:hint="eastAsia"/>
        </w:rPr>
        <w:t>API</w:t>
      </w:r>
      <w:r>
        <w:rPr>
          <w:rFonts w:hint="eastAsia"/>
        </w:rPr>
        <w:t>或控制台，可以轻松定义服务器的配置和自动化部署流程，并与云平台的其他服务（如数据库、存储、网络等）紧密集成，提供无缝的适配流程。</w:t>
      </w:r>
    </w:p>
    <w:p w:rsidR="00546305">
      <w:pPr>
        <w:pStyle w:val="Heading4"/>
        <w:numPr>
          <w:ilvl w:val="3"/>
          <w:numId w:val="4"/>
        </w:numPr>
        <w:rPr>
          <w:lang w:val="zh-CN"/>
        </w:rPr>
      </w:pPr>
      <w:bookmarkStart w:id="87" w:name="OLE_LINK12"/>
      <w:r>
        <w:rPr>
          <w:rFonts w:hint="eastAsia"/>
          <w:lang w:val="zh-CN"/>
        </w:rPr>
        <w:t>监控与预警</w:t>
      </w:r>
    </w:p>
    <w:bookmarkEnd w:id="87"/>
    <w:p w:rsidR="00546305">
      <w:pPr>
        <w:ind w:firstLine="560"/>
      </w:pPr>
      <w:r>
        <w:rPr>
          <w:rFonts w:hint="eastAsia"/>
        </w:rPr>
        <w:t>通过专业系统监测工具，对面向阿拉伯国家国际早期预警系统、面向阿拉伯国家多模式集成预报和应用系统（</w:t>
      </w:r>
      <w:r>
        <w:rPr>
          <w:rFonts w:hint="eastAsia"/>
        </w:rPr>
        <w:t>MMIFA</w:t>
      </w:r>
      <w:r>
        <w:rPr>
          <w:rFonts w:hint="eastAsia"/>
        </w:rPr>
        <w:t>）、云节点网络</w:t>
      </w:r>
      <w:r>
        <w:rPr>
          <w:rFonts w:hint="eastAsia"/>
        </w:rPr>
        <w:t>的运行情况进行监控，包括数据加工过程、服务器（</w:t>
      </w:r>
      <w:r>
        <w:rPr>
          <w:rFonts w:hint="eastAsia"/>
        </w:rPr>
        <w:t>CPU</w:t>
      </w:r>
      <w:r>
        <w:rPr>
          <w:rFonts w:hint="eastAsia"/>
        </w:rPr>
        <w:t>、</w:t>
      </w:r>
      <w:r>
        <w:rPr>
          <w:rFonts w:hint="eastAsia"/>
        </w:rPr>
        <w:t>MEM</w:t>
      </w:r>
      <w:r>
        <w:rPr>
          <w:rFonts w:hint="eastAsia"/>
        </w:rPr>
        <w:t>等）、数据库（</w:t>
      </w:r>
      <w:r>
        <w:rPr>
          <w:rFonts w:hint="eastAsia"/>
        </w:rPr>
        <w:t>PostgreSQL</w:t>
      </w:r>
      <w:r>
        <w:rPr>
          <w:rFonts w:hint="eastAsia"/>
        </w:rPr>
        <w:t>等）、</w:t>
      </w:r>
      <w:r>
        <w:rPr>
          <w:rFonts w:hint="eastAsia"/>
        </w:rPr>
        <w:t>Web</w:t>
      </w:r>
      <w:r>
        <w:rPr>
          <w:rFonts w:hint="eastAsia"/>
        </w:rPr>
        <w:t>服务等。通过方便灵活的配置，建立与数据</w:t>
      </w:r>
      <w:r>
        <w:rPr>
          <w:rFonts w:hint="eastAsia"/>
        </w:rPr>
        <w:t>源的联系，简化监控的复杂度；并基于监控的数据和资源类型，可以生成各种可视化仪表，通过报警功能，可以在系统出现问题时及时通知用户。</w:t>
      </w:r>
    </w:p>
    <w:p w:rsidR="00546305">
      <w:pPr>
        <w:pStyle w:val="Heading3"/>
        <w:numPr>
          <w:ilvl w:val="2"/>
          <w:numId w:val="4"/>
        </w:numPr>
        <w:rPr>
          <w:lang w:val="zh-CN"/>
        </w:rPr>
      </w:pPr>
      <w:bookmarkStart w:id="88" w:name="_Toc10254"/>
      <w:r>
        <w:rPr>
          <w:rFonts w:hint="eastAsia"/>
          <w:lang w:val="zh-CN"/>
        </w:rPr>
        <w:t>阿盟地区多</w:t>
      </w:r>
      <w:r>
        <w:rPr>
          <w:rFonts w:hint="eastAsia"/>
          <w:lang w:val="zh-CN"/>
        </w:rPr>
        <w:t>源资料</w:t>
      </w:r>
      <w:r>
        <w:rPr>
          <w:rFonts w:hint="eastAsia"/>
          <w:lang w:val="zh-CN"/>
        </w:rPr>
        <w:t>监测及灾害预报预警系统</w:t>
      </w:r>
      <w:bookmarkEnd w:id="88"/>
    </w:p>
    <w:p w:rsidR="00546305">
      <w:pPr>
        <w:pStyle w:val="Heading4"/>
        <w:numPr>
          <w:ilvl w:val="3"/>
          <w:numId w:val="4"/>
        </w:numPr>
        <w:rPr>
          <w:lang w:val="zh-CN"/>
        </w:rPr>
      </w:pPr>
      <w:r>
        <w:rPr>
          <w:rFonts w:hint="eastAsia"/>
          <w:lang w:val="zh-CN"/>
        </w:rPr>
        <w:t>阿盟地区监测模块</w:t>
      </w:r>
    </w:p>
    <w:p w:rsidR="00546305">
      <w:pPr>
        <w:ind w:firstLine="560"/>
      </w:pPr>
      <w:r>
        <w:rPr>
          <w:rFonts w:hint="eastAsia"/>
        </w:rPr>
        <w:t>阿盟地区监测模块包括中阿多源实况数据收集与整合、多</w:t>
      </w:r>
      <w:r>
        <w:rPr>
          <w:rFonts w:hint="eastAsia"/>
        </w:rPr>
        <w:t>源数据</w:t>
      </w:r>
      <w:r>
        <w:rPr>
          <w:rFonts w:hint="eastAsia"/>
        </w:rPr>
        <w:t>融合、多源实况数据展示分析、站点到格点插值分析、多源实况统计分析、任意时段时序对比、多源实况极值统计功能、灾害性极端性天气监测功能、历史同旬极端性天气监测、历史同月极端性天气监测功能</w:t>
      </w:r>
      <w:r>
        <w:t>。</w:t>
      </w:r>
    </w:p>
    <w:p w:rsidR="00546305">
      <w:pPr>
        <w:pStyle w:val="Heading4"/>
        <w:numPr>
          <w:ilvl w:val="3"/>
          <w:numId w:val="4"/>
        </w:numPr>
        <w:rPr>
          <w:lang w:val="zh-CN"/>
        </w:rPr>
      </w:pPr>
      <w:r>
        <w:rPr>
          <w:lang w:val="zh-CN"/>
        </w:rPr>
        <w:t>三维实况分析模块</w:t>
      </w:r>
    </w:p>
    <w:p w:rsidR="00546305">
      <w:pPr>
        <w:ind w:firstLine="560"/>
      </w:pPr>
      <w:r>
        <w:rPr>
          <w:rFonts w:hint="eastAsia"/>
        </w:rPr>
        <w:t>三维实况分析模块包括数据收集与解码、等值线预计算、等值线显示分析</w:t>
      </w:r>
      <w:r>
        <w:rPr>
          <w:rFonts w:hint="eastAsia"/>
        </w:rPr>
        <w:t>、</w:t>
      </w:r>
      <w:r>
        <w:rPr>
          <w:rFonts w:hint="eastAsia"/>
        </w:rPr>
        <w:t>风羽显示</w:t>
      </w:r>
      <w:r>
        <w:rPr>
          <w:rFonts w:hint="eastAsia"/>
        </w:rPr>
        <w:t>分析、多要素叠加分析、要素交互统计、任意单点空间</w:t>
      </w:r>
      <w:r>
        <w:rPr>
          <w:rFonts w:hint="eastAsia"/>
        </w:rPr>
        <w:t>廓</w:t>
      </w:r>
      <w:r>
        <w:rPr>
          <w:rFonts w:hint="eastAsia"/>
        </w:rPr>
        <w:t>线图、任意两点空间剖面图功能。</w:t>
      </w:r>
    </w:p>
    <w:p w:rsidR="00546305">
      <w:pPr>
        <w:pStyle w:val="Heading4"/>
        <w:numPr>
          <w:ilvl w:val="3"/>
          <w:numId w:val="4"/>
        </w:numPr>
        <w:rPr>
          <w:lang w:val="zh-CN"/>
        </w:rPr>
      </w:pPr>
      <w:r>
        <w:rPr>
          <w:lang w:val="zh-CN"/>
        </w:rPr>
        <w:t>集合预报分析模块</w:t>
      </w:r>
    </w:p>
    <w:p w:rsidR="00546305">
      <w:pPr>
        <w:ind w:firstLine="560"/>
      </w:pPr>
      <w:r>
        <w:rPr>
          <w:rFonts w:hint="eastAsia"/>
        </w:rPr>
        <w:t>该模块主要有数据收集与解码、高温概率预报计算功能、低温概率预报计算功能、暴雨概率预报计算功能、逐日高温预报计算功能、</w:t>
      </w:r>
      <w:r>
        <w:rPr>
          <w:rFonts w:hint="eastAsia"/>
        </w:rPr>
        <w:t>逐日低温预报计算功能、逐日降水预报计算功能、逐日预报计算功能、逐日</w:t>
      </w:r>
      <w:r>
        <w:t>500hPa</w:t>
      </w:r>
      <w:r>
        <w:rPr>
          <w:rFonts w:hint="eastAsia"/>
        </w:rPr>
        <w:t>形势场距平计算</w:t>
      </w:r>
      <w:r>
        <w:rPr>
          <w:rFonts w:hint="eastAsia"/>
        </w:rPr>
        <w:t>功能、逐日</w:t>
      </w:r>
      <w:r>
        <w:t>850hPa</w:t>
      </w:r>
      <w:r>
        <w:rPr>
          <w:rFonts w:hint="eastAsia"/>
        </w:rPr>
        <w:t>平均温度计算功能、面条图功能、邮票图功能、</w:t>
      </w:r>
      <w:r>
        <w:rPr>
          <w:rFonts w:hint="eastAsia"/>
        </w:rPr>
        <w:t>箱须图</w:t>
      </w:r>
      <w:r>
        <w:rPr>
          <w:rFonts w:hint="eastAsia"/>
        </w:rPr>
        <w:t>功能、玫瑰图功能。</w:t>
      </w:r>
    </w:p>
    <w:p w:rsidR="00546305">
      <w:pPr>
        <w:pStyle w:val="Heading4"/>
        <w:numPr>
          <w:ilvl w:val="3"/>
          <w:numId w:val="4"/>
        </w:numPr>
        <w:rPr>
          <w:lang w:val="zh-CN"/>
        </w:rPr>
      </w:pPr>
      <w:r>
        <w:rPr>
          <w:lang w:val="zh-CN"/>
        </w:rPr>
        <w:t>灾害天气多模式综合预警模块</w:t>
      </w:r>
    </w:p>
    <w:p w:rsidR="00546305">
      <w:pPr>
        <w:ind w:firstLine="560"/>
      </w:pPr>
      <w:r>
        <w:t>该模块主要由暴雨预报预警、高温</w:t>
      </w:r>
      <w:r>
        <w:rPr>
          <w:rFonts w:hint="eastAsia"/>
        </w:rPr>
        <w:t>预报预警</w:t>
      </w:r>
      <w:r>
        <w:t>、低温</w:t>
      </w:r>
      <w:r>
        <w:rPr>
          <w:rFonts w:hint="eastAsia"/>
        </w:rPr>
        <w:t>预报预警</w:t>
      </w:r>
      <w:r>
        <w:t>、大风</w:t>
      </w:r>
      <w:r>
        <w:rPr>
          <w:rFonts w:hint="eastAsia"/>
        </w:rPr>
        <w:t>预报预警</w:t>
      </w:r>
      <w:r>
        <w:t>、低能见度</w:t>
      </w:r>
      <w:r>
        <w:rPr>
          <w:rFonts w:hint="eastAsia"/>
        </w:rPr>
        <w:t>预报预警</w:t>
      </w:r>
      <w:r>
        <w:t>，综合落区</w:t>
      </w:r>
      <w:r>
        <w:rPr>
          <w:rFonts w:hint="eastAsia"/>
        </w:rPr>
        <w:t>预报预警</w:t>
      </w:r>
      <w:r>
        <w:t>、多模式</w:t>
      </w:r>
      <w:r>
        <w:rPr>
          <w:rFonts w:hint="eastAsia"/>
        </w:rPr>
        <w:t>预报预警</w:t>
      </w:r>
      <w:r>
        <w:t>对比功能、任意单点多产品预警时序功能、任意单点多模式时序对比功能构成。</w:t>
      </w:r>
    </w:p>
    <w:p w:rsidR="00546305">
      <w:pPr>
        <w:pStyle w:val="Heading4"/>
        <w:numPr>
          <w:ilvl w:val="3"/>
          <w:numId w:val="4"/>
        </w:numPr>
        <w:rPr>
          <w:lang w:val="zh-CN"/>
        </w:rPr>
      </w:pPr>
      <w:bookmarkStart w:id="89" w:name="OLE_LINK7"/>
      <w:r>
        <w:rPr>
          <w:lang w:val="zh-CN"/>
        </w:rPr>
        <w:t>极端天气多模式综合预警模块</w:t>
      </w:r>
      <w:bookmarkEnd w:id="89"/>
    </w:p>
    <w:p w:rsidR="00546305">
      <w:pPr>
        <w:ind w:firstLine="560"/>
      </w:pPr>
      <w:r>
        <w:rPr>
          <w:rFonts w:hint="eastAsia"/>
        </w:rPr>
        <w:t>该模块主要由极值统计功能、暴雨</w:t>
      </w:r>
      <w:r>
        <w:rPr>
          <w:rFonts w:hint="eastAsia"/>
        </w:rPr>
        <w:t>超极</w:t>
      </w:r>
      <w:r>
        <w:rPr>
          <w:rFonts w:hint="eastAsia"/>
        </w:rPr>
        <w:t>值</w:t>
      </w:r>
      <w:r>
        <w:rPr>
          <w:rFonts w:hint="eastAsia"/>
        </w:rPr>
        <w:t>预报预警</w:t>
      </w:r>
      <w:r>
        <w:rPr>
          <w:rFonts w:hint="eastAsia"/>
        </w:rPr>
        <w:t>功能、高温</w:t>
      </w:r>
      <w:r>
        <w:rPr>
          <w:rFonts w:hint="eastAsia"/>
        </w:rPr>
        <w:t>超极</w:t>
      </w:r>
      <w:r>
        <w:rPr>
          <w:rFonts w:hint="eastAsia"/>
        </w:rPr>
        <w:t>值</w:t>
      </w:r>
      <w:r>
        <w:rPr>
          <w:rFonts w:hint="eastAsia"/>
        </w:rPr>
        <w:t>预报预警</w:t>
      </w:r>
      <w:r>
        <w:rPr>
          <w:rFonts w:hint="eastAsia"/>
        </w:rPr>
        <w:t>功能、低温</w:t>
      </w:r>
      <w:r>
        <w:rPr>
          <w:rFonts w:hint="eastAsia"/>
        </w:rPr>
        <w:t>超极</w:t>
      </w:r>
      <w:r>
        <w:rPr>
          <w:rFonts w:hint="eastAsia"/>
        </w:rPr>
        <w:t>值</w:t>
      </w:r>
      <w:r>
        <w:rPr>
          <w:rFonts w:hint="eastAsia"/>
        </w:rPr>
        <w:t>预报预警</w:t>
      </w:r>
      <w:r>
        <w:rPr>
          <w:rFonts w:hint="eastAsia"/>
        </w:rPr>
        <w:t>功能、多模式</w:t>
      </w:r>
      <w:r>
        <w:rPr>
          <w:rFonts w:hint="eastAsia"/>
        </w:rPr>
        <w:t>预报预警</w:t>
      </w:r>
      <w:r>
        <w:rPr>
          <w:rFonts w:hint="eastAsia"/>
        </w:rPr>
        <w:t>对比功能、数据导出功能、产品制作功能、在线动画功能组成。</w:t>
      </w:r>
    </w:p>
    <w:p w:rsidR="00546305">
      <w:pPr>
        <w:pStyle w:val="Heading3"/>
        <w:numPr>
          <w:ilvl w:val="2"/>
          <w:numId w:val="4"/>
        </w:numPr>
        <w:rPr>
          <w:lang w:val="zh-CN"/>
        </w:rPr>
      </w:pPr>
      <w:bookmarkStart w:id="90" w:name="_Toc22530"/>
      <w:r>
        <w:rPr>
          <w:rFonts w:hint="eastAsia"/>
          <w:lang w:val="zh-CN"/>
        </w:rPr>
        <w:t>国际临近预报比对分系统</w:t>
      </w:r>
      <w:bookmarkEnd w:id="90"/>
    </w:p>
    <w:p w:rsidR="00546305">
      <w:pPr>
        <w:pStyle w:val="Heading4"/>
        <w:numPr>
          <w:ilvl w:val="3"/>
          <w:numId w:val="4"/>
        </w:numPr>
        <w:rPr>
          <w:lang w:val="zh-CN"/>
        </w:rPr>
      </w:pPr>
      <w:r>
        <w:rPr>
          <w:lang w:val="zh-CN"/>
        </w:rPr>
        <w:t>国际数据接收模块</w:t>
      </w:r>
    </w:p>
    <w:p w:rsidR="00546305">
      <w:pPr>
        <w:ind w:firstLine="560"/>
        <w:rPr>
          <w:lang w:val="zh-CN"/>
        </w:rPr>
      </w:pPr>
      <w:r>
        <w:t>确保从国际云平台、</w:t>
      </w:r>
      <w:r>
        <w:t>API</w:t>
      </w:r>
      <w:r>
        <w:t>等渠道稳定、高效地接收来自美日韩、中国香港、微软等单位的亚洲临近预报比对活动产品数据。</w:t>
      </w:r>
    </w:p>
    <w:p w:rsidR="00546305">
      <w:pPr>
        <w:pStyle w:val="Heading4"/>
        <w:numPr>
          <w:ilvl w:val="3"/>
          <w:numId w:val="4"/>
        </w:numPr>
        <w:rPr>
          <w:lang w:val="zh-CN"/>
        </w:rPr>
      </w:pPr>
      <w:r>
        <w:rPr>
          <w:rFonts w:hint="eastAsia"/>
          <w:lang w:val="zh-CN"/>
        </w:rPr>
        <w:t>国际数据解析处理模块</w:t>
      </w:r>
    </w:p>
    <w:p w:rsidR="00546305">
      <w:pPr>
        <w:ind w:firstLine="560"/>
        <w:rPr>
          <w:lang w:val="zh-CN"/>
        </w:rPr>
      </w:pPr>
      <w:r>
        <w:t>解析并接入来自不同参与者的临近预报数据，确保数据的准确性</w:t>
      </w:r>
      <w:r>
        <w:t>和一致性。具体功能包括数据解析</w:t>
      </w:r>
      <w:r>
        <w:rPr>
          <w:rFonts w:hint="eastAsia"/>
        </w:rPr>
        <w:t>、</w:t>
      </w:r>
      <w:r>
        <w:t>数据接入</w:t>
      </w:r>
      <w:r>
        <w:rPr>
          <w:rFonts w:hint="eastAsia"/>
        </w:rPr>
        <w:t>、</w:t>
      </w:r>
      <w:r>
        <w:t>数据质量控制</w:t>
      </w:r>
      <w:r>
        <w:rPr>
          <w:rFonts w:hint="eastAsia"/>
        </w:rPr>
        <w:t>等。</w:t>
      </w:r>
    </w:p>
    <w:p w:rsidR="00546305">
      <w:pPr>
        <w:pStyle w:val="Heading4"/>
        <w:numPr>
          <w:ilvl w:val="3"/>
          <w:numId w:val="4"/>
        </w:numPr>
        <w:rPr>
          <w:lang w:val="zh-CN"/>
        </w:rPr>
      </w:pPr>
      <w:r>
        <w:rPr>
          <w:lang w:val="zh-CN"/>
        </w:rPr>
        <w:t>显示临近预报产品模块</w:t>
      </w:r>
    </w:p>
    <w:p w:rsidR="00546305">
      <w:pPr>
        <w:ind w:firstLine="560"/>
        <w:rPr>
          <w:lang w:val="zh-CN"/>
        </w:rPr>
      </w:pPr>
      <w:r>
        <w:t>设计直观、易用的显示方案，对各类临近预报产品进行可视化处理，并建设公开网站供用户访问</w:t>
      </w:r>
    </w:p>
    <w:p w:rsidR="00546305">
      <w:pPr>
        <w:pStyle w:val="Heading4"/>
        <w:numPr>
          <w:ilvl w:val="3"/>
          <w:numId w:val="4"/>
        </w:numPr>
        <w:rPr>
          <w:lang w:val="zh-CN"/>
        </w:rPr>
      </w:pPr>
      <w:r>
        <w:rPr>
          <w:lang w:val="zh-CN"/>
        </w:rPr>
        <w:t>产品检验模块</w:t>
      </w:r>
    </w:p>
    <w:p w:rsidR="00546305">
      <w:pPr>
        <w:ind w:firstLine="560"/>
      </w:pPr>
      <w:r>
        <w:t>设计直观、易用的显示方案，对各类临近预报产品进行可视化处理，并建设公开网站供用户访问</w:t>
      </w:r>
      <w:r>
        <w:rPr>
          <w:rFonts w:hint="eastAsia"/>
        </w:rPr>
        <w:t>，包括</w:t>
      </w:r>
      <w:r>
        <w:t>检验方法设计</w:t>
      </w:r>
      <w:r>
        <w:rPr>
          <w:rFonts w:hint="eastAsia"/>
        </w:rPr>
        <w:t>、</w:t>
      </w:r>
      <w:r>
        <w:t>检验结果展示</w:t>
      </w:r>
      <w:r>
        <w:rPr>
          <w:rFonts w:hint="eastAsia"/>
        </w:rPr>
        <w:t>等。</w:t>
      </w:r>
    </w:p>
    <w:p w:rsidR="00546305">
      <w:pPr>
        <w:pStyle w:val="Heading4"/>
        <w:numPr>
          <w:ilvl w:val="3"/>
          <w:numId w:val="4"/>
        </w:numPr>
        <w:rPr>
          <w:lang w:val="zh-CN"/>
        </w:rPr>
      </w:pPr>
      <w:r>
        <w:rPr>
          <w:lang w:val="zh-CN"/>
        </w:rPr>
        <w:t>临近预报</w:t>
      </w:r>
      <w:r>
        <w:rPr>
          <w:lang w:val="zh-CN"/>
        </w:rPr>
        <w:t>个</w:t>
      </w:r>
      <w:r>
        <w:rPr>
          <w:lang w:val="zh-CN"/>
        </w:rPr>
        <w:t>例分析模块</w:t>
      </w:r>
    </w:p>
    <w:p w:rsidR="00546305">
      <w:pPr>
        <w:ind w:firstLine="560"/>
      </w:pPr>
      <w:r>
        <w:t>设计个例分析功能，存储临近预报经典</w:t>
      </w:r>
      <w:r>
        <w:t>个</w:t>
      </w:r>
      <w:r>
        <w:t>例，为比对提供个例支撑。具体包括个例存储与管理</w:t>
      </w:r>
      <w:r>
        <w:rPr>
          <w:rFonts w:hint="eastAsia"/>
        </w:rPr>
        <w:t>、</w:t>
      </w:r>
      <w:r>
        <w:t>个</w:t>
      </w:r>
      <w:r>
        <w:t>例分析功能</w:t>
      </w:r>
      <w:r>
        <w:rPr>
          <w:rFonts w:hint="eastAsia"/>
        </w:rPr>
        <w:t>等</w:t>
      </w:r>
      <w:r>
        <w:t>。</w:t>
      </w:r>
    </w:p>
    <w:p w:rsidR="00546305">
      <w:pPr>
        <w:pStyle w:val="Heading4"/>
        <w:numPr>
          <w:ilvl w:val="3"/>
          <w:numId w:val="4"/>
        </w:numPr>
        <w:rPr>
          <w:lang w:val="zh-CN"/>
        </w:rPr>
      </w:pPr>
      <w:r>
        <w:rPr>
          <w:lang w:val="zh-CN"/>
        </w:rPr>
        <w:t>临近预报产品比对模块</w:t>
      </w:r>
    </w:p>
    <w:p w:rsidR="00546305">
      <w:pPr>
        <w:ind w:firstLine="560"/>
        <w:rPr>
          <w:lang w:val="zh-CN"/>
        </w:rPr>
      </w:pPr>
      <w:r>
        <w:t>实现临</w:t>
      </w:r>
      <w:r>
        <w:t>近预报产品与观测数据的互动对比功能，以及同类产品的叠加、分屏、形态对比等功能，支持预报员的主观检验和历史数据库建设。</w:t>
      </w:r>
    </w:p>
    <w:p w:rsidR="00546305">
      <w:pPr>
        <w:pStyle w:val="Heading4"/>
        <w:numPr>
          <w:ilvl w:val="3"/>
          <w:numId w:val="4"/>
        </w:numPr>
        <w:rPr>
          <w:lang w:val="zh-CN"/>
        </w:rPr>
      </w:pPr>
      <w:r>
        <w:rPr>
          <w:lang w:val="zh-CN"/>
        </w:rPr>
        <w:t>临近预报比对分析报告生成模块</w:t>
      </w:r>
    </w:p>
    <w:p w:rsidR="00546305">
      <w:pPr>
        <w:ind w:firstLine="560"/>
      </w:pPr>
      <w:r>
        <w:t>实现自动生成包含检验结果的比对分析报告，为项目评估和改进提供依据。具体包括报告生成逻辑</w:t>
      </w:r>
      <w:r>
        <w:rPr>
          <w:rFonts w:hint="eastAsia"/>
        </w:rPr>
        <w:t>、</w:t>
      </w:r>
      <w:r>
        <w:t>报告内容展示</w:t>
      </w:r>
      <w:r>
        <w:rPr>
          <w:rFonts w:hint="eastAsia"/>
        </w:rPr>
        <w:t>、</w:t>
      </w:r>
      <w:r>
        <w:t>报告优化与迭代</w:t>
      </w:r>
      <w:r>
        <w:rPr>
          <w:rFonts w:hint="eastAsia"/>
        </w:rPr>
        <w:t>等。</w:t>
      </w:r>
    </w:p>
    <w:p w:rsidR="00546305">
      <w:pPr>
        <w:pStyle w:val="Heading2"/>
        <w:numPr>
          <w:ilvl w:val="1"/>
          <w:numId w:val="4"/>
        </w:numPr>
        <w:rPr>
          <w:lang w:val="zh-CN"/>
        </w:rPr>
      </w:pPr>
      <w:bookmarkStart w:id="91" w:name="_Toc172191749"/>
      <w:bookmarkStart w:id="92" w:name="_Toc8684"/>
      <w:r>
        <w:rPr>
          <w:rFonts w:hint="eastAsia"/>
          <w:lang w:val="zh-CN"/>
        </w:rPr>
        <w:t>非功能性要求</w:t>
      </w:r>
      <w:bookmarkEnd w:id="91"/>
      <w:bookmarkEnd w:id="92"/>
    </w:p>
    <w:p w:rsidR="00546305">
      <w:pPr>
        <w:pStyle w:val="Heading3"/>
        <w:numPr>
          <w:ilvl w:val="2"/>
          <w:numId w:val="6"/>
        </w:numPr>
        <w:tabs>
          <w:tab w:val="left" w:pos="360"/>
        </w:tabs>
        <w:ind w:left="0" w:firstLine="0"/>
      </w:pPr>
      <w:bookmarkStart w:id="93" w:name="_Toc172191750"/>
      <w:bookmarkStart w:id="94" w:name="_Toc29521"/>
      <w:r>
        <w:rPr>
          <w:rFonts w:hint="eastAsia"/>
        </w:rPr>
        <w:t>设计要求</w:t>
      </w:r>
      <w:bookmarkEnd w:id="93"/>
      <w:bookmarkEnd w:id="94"/>
    </w:p>
    <w:p w:rsidR="00546305">
      <w:pPr>
        <w:pStyle w:val="Heading4"/>
        <w:numPr>
          <w:ilvl w:val="3"/>
          <w:numId w:val="7"/>
        </w:numPr>
        <w:tabs>
          <w:tab w:val="left" w:pos="360"/>
        </w:tabs>
        <w:ind w:left="0" w:firstLine="0"/>
      </w:pPr>
      <w:r>
        <w:rPr>
          <w:rFonts w:hint="eastAsia"/>
        </w:rPr>
        <w:t>集约化要求</w:t>
      </w:r>
    </w:p>
    <w:p w:rsidR="00546305">
      <w:pPr>
        <w:pStyle w:val="ListParagraph"/>
        <w:numPr>
          <w:ilvl w:val="0"/>
          <w:numId w:val="8"/>
        </w:numPr>
        <w:ind w:firstLineChars="0"/>
        <w:rPr>
          <w:rFonts w:ascii="宋体" w:hAnsi="宋体"/>
          <w:b/>
          <w:bCs/>
        </w:rPr>
      </w:pPr>
      <w:r>
        <w:rPr>
          <w:rFonts w:ascii="宋体" w:hAnsi="宋体" w:hint="eastAsia"/>
          <w:b/>
          <w:bCs/>
          <w:color w:val="000000"/>
          <w:szCs w:val="28"/>
        </w:rPr>
        <w:t>硬件集约化</w:t>
      </w:r>
    </w:p>
    <w:p w:rsidR="00546305">
      <w:pPr>
        <w:ind w:firstLine="560"/>
      </w:pPr>
      <w:r>
        <w:rPr>
          <w:rFonts w:hint="eastAsia"/>
        </w:rPr>
        <w:t>项目建设所需硬件（包括服务器、存储和网络等设备）资源进行详细测算，依托国家气象信息中心虚拟资源池，并将所需的硬件设备纳入云平台统一管理，硬件设备规模与性能测算合理，硬件设备技术性能符合信息基础设</w:t>
      </w:r>
      <w:r>
        <w:rPr>
          <w:rFonts w:hint="eastAsia"/>
        </w:rPr>
        <w:t>施云平台技术规范，按需配置系统软件及许可。</w:t>
      </w:r>
    </w:p>
    <w:p w:rsidR="00546305">
      <w:pPr>
        <w:pStyle w:val="ListParagraph"/>
        <w:numPr>
          <w:ilvl w:val="0"/>
          <w:numId w:val="8"/>
        </w:numPr>
        <w:ind w:firstLineChars="0"/>
        <w:rPr>
          <w:rFonts w:ascii="宋体" w:hAnsi="宋体"/>
          <w:b/>
          <w:bCs/>
          <w:color w:val="000000"/>
          <w:szCs w:val="28"/>
        </w:rPr>
      </w:pPr>
      <w:r>
        <w:rPr>
          <w:rFonts w:ascii="宋体" w:hAnsi="宋体"/>
          <w:b/>
          <w:bCs/>
          <w:color w:val="000000"/>
          <w:szCs w:val="28"/>
        </w:rPr>
        <w:t>数据集约化</w:t>
      </w:r>
    </w:p>
    <w:p w:rsidR="00546305">
      <w:pPr>
        <w:ind w:firstLine="560"/>
      </w:pPr>
      <w:r>
        <w:rPr>
          <w:rFonts w:hint="eastAsia"/>
        </w:rPr>
        <w:t>本项目所需的</w:t>
      </w:r>
      <w:r>
        <w:t>气象大数据云平台</w:t>
      </w:r>
      <w:r>
        <w:t>“</w:t>
      </w:r>
      <w:r>
        <w:t>天擎</w:t>
      </w:r>
      <w:r>
        <w:t>”</w:t>
      </w:r>
      <w:r>
        <w:t>（以下简称</w:t>
      </w:r>
      <w:r>
        <w:t>“</w:t>
      </w:r>
      <w:r>
        <w:t>天擎</w:t>
      </w:r>
      <w:r>
        <w:t>”</w:t>
      </w:r>
      <w:r>
        <w:t>），系统输入数据由</w:t>
      </w:r>
      <w:r>
        <w:t>“</w:t>
      </w:r>
      <w:r>
        <w:t>天擎</w:t>
      </w:r>
      <w:r>
        <w:t>”</w:t>
      </w:r>
      <w:r>
        <w:t>直接提供，输出数据回存</w:t>
      </w:r>
      <w:r>
        <w:t>“</w:t>
      </w:r>
      <w:r>
        <w:t>天擎</w:t>
      </w:r>
      <w:r>
        <w:t>”</w:t>
      </w:r>
      <w:r>
        <w:t>进行统一管理。</w:t>
      </w:r>
    </w:p>
    <w:p w:rsidR="00546305">
      <w:pPr>
        <w:pStyle w:val="ListParagraph"/>
        <w:numPr>
          <w:ilvl w:val="0"/>
          <w:numId w:val="8"/>
        </w:numPr>
        <w:ind w:firstLineChars="0"/>
        <w:rPr>
          <w:rFonts w:ascii="宋体" w:hAnsi="宋体"/>
          <w:b/>
          <w:bCs/>
          <w:color w:val="000000"/>
          <w:szCs w:val="28"/>
        </w:rPr>
      </w:pPr>
      <w:r>
        <w:rPr>
          <w:rFonts w:ascii="宋体" w:hAnsi="宋体"/>
          <w:b/>
          <w:bCs/>
          <w:color w:val="000000"/>
          <w:szCs w:val="28"/>
        </w:rPr>
        <w:t>流程集约化</w:t>
      </w:r>
    </w:p>
    <w:p w:rsidR="00546305">
      <w:pPr>
        <w:ind w:firstLine="560"/>
      </w:pPr>
      <w:r>
        <w:t>本项目利用国家气象信息中心提供的虚拟化服务器资源和高性能计算服务器资源，新研制产品加工等算法将注册到</w:t>
      </w:r>
      <w:r>
        <w:t>“</w:t>
      </w:r>
      <w:r>
        <w:t>天擎</w:t>
      </w:r>
      <w:r>
        <w:t>”</w:t>
      </w:r>
      <w:r>
        <w:t>算法库，由加工流水线统一调度管理</w:t>
      </w:r>
      <w:r>
        <w:rPr>
          <w:rFonts w:hint="eastAsia"/>
        </w:rPr>
        <w:t>。</w:t>
      </w:r>
    </w:p>
    <w:p w:rsidR="00546305">
      <w:pPr>
        <w:pStyle w:val="ListParagraph"/>
        <w:numPr>
          <w:ilvl w:val="0"/>
          <w:numId w:val="8"/>
        </w:numPr>
        <w:ind w:firstLineChars="0"/>
        <w:rPr>
          <w:rFonts w:ascii="宋体" w:hAnsi="宋体"/>
          <w:b/>
          <w:bCs/>
          <w:color w:val="000000"/>
          <w:szCs w:val="28"/>
        </w:rPr>
      </w:pPr>
      <w:r>
        <w:rPr>
          <w:rFonts w:ascii="宋体" w:hAnsi="宋体"/>
          <w:b/>
          <w:bCs/>
          <w:color w:val="000000"/>
          <w:szCs w:val="28"/>
        </w:rPr>
        <w:t>平台集约化</w:t>
      </w:r>
    </w:p>
    <w:p w:rsidR="00546305">
      <w:pPr>
        <w:ind w:firstLine="560"/>
      </w:pPr>
      <w:r>
        <w:t>本项目设计开发过程中充分利用</w:t>
      </w:r>
      <w:r>
        <w:t>“</w:t>
      </w:r>
      <w:r>
        <w:t>天擎</w:t>
      </w:r>
      <w:r>
        <w:t>”</w:t>
      </w:r>
      <w:r>
        <w:t>平台资源，直接使用</w:t>
      </w:r>
      <w:r>
        <w:t>“</w:t>
      </w:r>
      <w:r>
        <w:t>天擎</w:t>
      </w:r>
      <w:r>
        <w:t>”</w:t>
      </w:r>
      <w:r>
        <w:t>提供的各类中间件等标准软件服务。</w:t>
      </w:r>
    </w:p>
    <w:p w:rsidR="00546305">
      <w:pPr>
        <w:pStyle w:val="ListParagraph"/>
        <w:numPr>
          <w:ilvl w:val="0"/>
          <w:numId w:val="8"/>
        </w:numPr>
        <w:ind w:firstLineChars="0"/>
        <w:rPr>
          <w:rFonts w:ascii="宋体" w:hAnsi="宋体"/>
          <w:b/>
          <w:bCs/>
          <w:color w:val="000000"/>
          <w:szCs w:val="28"/>
        </w:rPr>
      </w:pPr>
      <w:r>
        <w:rPr>
          <w:rFonts w:ascii="宋体" w:hAnsi="宋体"/>
          <w:b/>
          <w:bCs/>
          <w:color w:val="000000"/>
          <w:szCs w:val="28"/>
        </w:rPr>
        <w:t>监控集约化</w:t>
      </w:r>
    </w:p>
    <w:p w:rsidR="00546305">
      <w:pPr>
        <w:ind w:firstLine="560"/>
      </w:pPr>
      <w:r>
        <w:t>按照</w:t>
      </w:r>
      <w:r>
        <w:t>“</w:t>
      </w:r>
      <w:r>
        <w:t>天镜</w:t>
      </w:r>
      <w:r>
        <w:t>”</w:t>
      </w:r>
      <w:r>
        <w:t>规范和要求发送</w:t>
      </w:r>
      <w:r>
        <w:t>DI</w:t>
      </w:r>
      <w:r>
        <w:t>和</w:t>
      </w:r>
      <w:r>
        <w:t>EI</w:t>
      </w:r>
      <w:r>
        <w:t>，实现融入</w:t>
      </w:r>
      <w:r>
        <w:t>“</w:t>
      </w:r>
      <w:r>
        <w:t>天擎</w:t>
      </w:r>
      <w:r>
        <w:t>”</w:t>
      </w:r>
      <w:r>
        <w:t>的业务系统的产品完整性和</w:t>
      </w:r>
      <w:r>
        <w:t>云资源</w:t>
      </w:r>
      <w:r>
        <w:t>的统一监视。</w:t>
      </w:r>
      <w:r>
        <w:t>DI</w:t>
      </w:r>
      <w:r>
        <w:t>主要是产品生成</w:t>
      </w:r>
      <w:r>
        <w:t>DI</w:t>
      </w:r>
      <w:r>
        <w:t>，</w:t>
      </w:r>
      <w:r>
        <w:t>EI</w:t>
      </w:r>
      <w:r>
        <w:t>包括数据源完整性</w:t>
      </w:r>
      <w:r>
        <w:t>EI</w:t>
      </w:r>
      <w:r>
        <w:t>、数据源获取方式可用性</w:t>
      </w:r>
      <w:r>
        <w:t>EI</w:t>
      </w:r>
      <w:r>
        <w:t>、算法运行异常</w:t>
      </w:r>
      <w:r>
        <w:t>EI</w:t>
      </w:r>
      <w:r>
        <w:t>、产品存储</w:t>
      </w:r>
      <w:r>
        <w:t>EI</w:t>
      </w:r>
      <w:r>
        <w:t>等。</w:t>
      </w:r>
    </w:p>
    <w:p w:rsidR="00546305">
      <w:pPr>
        <w:pStyle w:val="Heading4"/>
        <w:numPr>
          <w:ilvl w:val="3"/>
          <w:numId w:val="7"/>
        </w:numPr>
        <w:tabs>
          <w:tab w:val="left" w:pos="360"/>
        </w:tabs>
        <w:ind w:left="0" w:firstLine="0"/>
      </w:pPr>
      <w:r>
        <w:rPr>
          <w:rFonts w:hint="eastAsia"/>
        </w:rPr>
        <w:t>组件化要求</w:t>
      </w:r>
    </w:p>
    <w:p w:rsidR="00546305">
      <w:pPr>
        <w:ind w:firstLine="560"/>
      </w:pPr>
      <w:r>
        <w:rPr>
          <w:rFonts w:hint="eastAsia"/>
        </w:rPr>
        <w:t>按照《气象业务软件组件化开发指南（</w:t>
      </w:r>
      <w:r>
        <w:rPr>
          <w:rFonts w:hint="eastAsia"/>
        </w:rPr>
        <w:t>2023</w:t>
      </w:r>
      <w:r>
        <w:rPr>
          <w:rFonts w:hint="eastAsia"/>
        </w:rPr>
        <w:t>版）》，本系统应根据业务场景需要采用相应的标准化业务开发框架，并集成满足业务要求的组件组合实现各项业务功能、业务流程，充分满足业务发展的可拓展性需求。</w:t>
      </w:r>
    </w:p>
    <w:p w:rsidR="00546305">
      <w:pPr>
        <w:pStyle w:val="Heading3"/>
        <w:numPr>
          <w:ilvl w:val="2"/>
          <w:numId w:val="6"/>
        </w:numPr>
        <w:tabs>
          <w:tab w:val="left" w:pos="360"/>
        </w:tabs>
        <w:ind w:left="0" w:firstLine="0"/>
      </w:pPr>
      <w:bookmarkStart w:id="95" w:name="_Toc513893963"/>
      <w:bookmarkStart w:id="96" w:name="_Toc263614999"/>
      <w:bookmarkStart w:id="97" w:name="_Toc172191751"/>
      <w:bookmarkStart w:id="98" w:name="_Toc31847"/>
      <w:r>
        <w:rPr>
          <w:rFonts w:hint="eastAsia"/>
        </w:rPr>
        <w:t>设计与开发约束</w:t>
      </w:r>
      <w:bookmarkEnd w:id="95"/>
      <w:bookmarkEnd w:id="96"/>
      <w:bookmarkEnd w:id="97"/>
      <w:bookmarkEnd w:id="98"/>
    </w:p>
    <w:p w:rsidR="00546305">
      <w:pPr>
        <w:ind w:firstLine="562"/>
      </w:pPr>
      <w:r>
        <w:rPr>
          <w:rFonts w:hint="eastAsia"/>
          <w:b/>
        </w:rPr>
        <w:t>项目建设的所有算法及平台开发需按照国家气象中心天气业务一体化平台、算法及组件集约化</w:t>
      </w:r>
      <w:r>
        <w:rPr>
          <w:rFonts w:hint="eastAsia"/>
          <w:b/>
        </w:rPr>
        <w:t>规范要求；</w:t>
      </w:r>
      <w:r>
        <w:rPr>
          <w:rFonts w:hint="eastAsia"/>
        </w:rPr>
        <w:t>上述组件或</w:t>
      </w:r>
      <w:r>
        <w:rPr>
          <w:rFonts w:hint="eastAsia"/>
        </w:rPr>
        <w:t>算法包需采用</w:t>
      </w:r>
      <w:r>
        <w:rPr>
          <w:rFonts w:hint="eastAsia"/>
        </w:rPr>
        <w:t>规范中相关的版本号进行管理和定版。</w:t>
      </w:r>
    </w:p>
    <w:p w:rsidR="00546305">
      <w:pPr>
        <w:ind w:firstLine="560"/>
      </w:pPr>
      <w:r>
        <w:rPr>
          <w:rFonts w:hint="eastAsia"/>
        </w:rPr>
        <w:t>系统开发采用</w:t>
      </w:r>
      <w:r>
        <w:t>Java</w:t>
      </w:r>
      <w:r>
        <w:rPr>
          <w:rFonts w:hint="eastAsia"/>
        </w:rPr>
        <w:t>、</w:t>
      </w:r>
      <w:r>
        <w:t>Python</w:t>
      </w:r>
      <w:r>
        <w:rPr>
          <w:rFonts w:hint="eastAsia"/>
        </w:rPr>
        <w:t>等跨平台开发语言，符合实时业务应用软件的编码规范与风格标准</w:t>
      </w:r>
      <w:r>
        <w:rPr>
          <w:rFonts w:hint="eastAsia"/>
        </w:rPr>
        <w:t>。</w:t>
      </w:r>
    </w:p>
    <w:p w:rsidR="00546305">
      <w:pPr>
        <w:pStyle w:val="Heading3"/>
        <w:numPr>
          <w:ilvl w:val="2"/>
          <w:numId w:val="6"/>
        </w:numPr>
        <w:tabs>
          <w:tab w:val="left" w:pos="360"/>
        </w:tabs>
        <w:ind w:left="0" w:firstLine="0"/>
      </w:pPr>
      <w:bookmarkStart w:id="99" w:name="_Toc137459478"/>
      <w:bookmarkStart w:id="100" w:name="_Toc172191752"/>
      <w:bookmarkStart w:id="101" w:name="_Toc263615000"/>
      <w:bookmarkStart w:id="102" w:name="_Toc269909731"/>
      <w:bookmarkStart w:id="103" w:name="_Toc103845624"/>
      <w:bookmarkStart w:id="104" w:name="_Toc2368"/>
      <w:r>
        <w:rPr>
          <w:rFonts w:hint="eastAsia"/>
        </w:rPr>
        <w:t>其他非功能性要求</w:t>
      </w:r>
      <w:bookmarkEnd w:id="99"/>
      <w:bookmarkEnd w:id="100"/>
      <w:bookmarkEnd w:id="101"/>
      <w:bookmarkEnd w:id="102"/>
      <w:bookmarkEnd w:id="103"/>
      <w:bookmarkEnd w:id="104"/>
    </w:p>
    <w:p w:rsidR="00546305">
      <w:pPr>
        <w:pStyle w:val="Heading4"/>
        <w:numPr>
          <w:ilvl w:val="3"/>
          <w:numId w:val="9"/>
        </w:numPr>
        <w:tabs>
          <w:tab w:val="left" w:pos="360"/>
        </w:tabs>
        <w:ind w:left="0" w:firstLine="0"/>
      </w:pPr>
      <w:bookmarkStart w:id="105" w:name="_Toc137459479"/>
      <w:bookmarkStart w:id="106" w:name="_Toc103845625"/>
      <w:r>
        <w:rPr>
          <w:rFonts w:hint="eastAsia"/>
        </w:rPr>
        <w:t>兼容性</w:t>
      </w:r>
      <w:bookmarkEnd w:id="105"/>
      <w:bookmarkEnd w:id="106"/>
    </w:p>
    <w:p w:rsidR="00546305">
      <w:pPr>
        <w:ind w:firstLine="560"/>
      </w:pPr>
      <w:r>
        <w:rPr>
          <w:rFonts w:hint="eastAsia"/>
        </w:rPr>
        <w:t>系统在系统设计上要考虑系统的兼容性，从接口定义、结构设计、数据规范选择等多方面进行全面考虑，保证资源协调共享以及系统的</w:t>
      </w:r>
      <w:r>
        <w:rPr>
          <w:rFonts w:hint="eastAsia"/>
        </w:rPr>
        <w:t>整体协调性。</w:t>
      </w:r>
    </w:p>
    <w:p w:rsidR="00546305">
      <w:pPr>
        <w:pStyle w:val="Heading4"/>
        <w:numPr>
          <w:ilvl w:val="3"/>
          <w:numId w:val="9"/>
        </w:numPr>
        <w:tabs>
          <w:tab w:val="left" w:pos="360"/>
        </w:tabs>
        <w:ind w:left="0" w:firstLine="0"/>
      </w:pPr>
      <w:bookmarkStart w:id="107" w:name="_Toc137459480"/>
      <w:bookmarkStart w:id="108" w:name="_Toc103845626"/>
      <w:r>
        <w:rPr>
          <w:rFonts w:hint="eastAsia"/>
        </w:rPr>
        <w:t>可测试性、可理解性</w:t>
      </w:r>
      <w:bookmarkEnd w:id="107"/>
      <w:bookmarkEnd w:id="108"/>
    </w:p>
    <w:p w:rsidR="00546305">
      <w:pPr>
        <w:ind w:firstLine="560"/>
      </w:pPr>
      <w:r>
        <w:rPr>
          <w:rFonts w:hint="eastAsia"/>
        </w:rPr>
        <w:t>可测试性、可理解性，文档、编码与输出的运行日志符合国家气象中心实时业务系统软件工程规范与风格要求。</w:t>
      </w:r>
    </w:p>
    <w:p w:rsidR="00546305">
      <w:pPr>
        <w:pStyle w:val="Heading1"/>
        <w:keepNext/>
        <w:keepLines/>
        <w:pageBreakBefore/>
        <w:numPr>
          <w:numId w:val="4"/>
        </w:numPr>
        <w:spacing w:line="360" w:lineRule="auto"/>
        <w:ind w:left="0" w:firstLine="0"/>
        <w:rPr>
          <w:lang w:val="zh-CN"/>
        </w:rPr>
      </w:pPr>
      <w:bookmarkStart w:id="109" w:name="_Toc19094"/>
      <w:bookmarkStart w:id="110" w:name="_Toc172191753"/>
      <w:r>
        <w:rPr>
          <w:rFonts w:hint="eastAsia"/>
          <w:lang w:val="zh-CN"/>
        </w:rPr>
        <w:t>其他要求</w:t>
      </w:r>
      <w:bookmarkEnd w:id="109"/>
      <w:bookmarkEnd w:id="110"/>
    </w:p>
    <w:p w:rsidR="00546305">
      <w:pPr>
        <w:pStyle w:val="Heading2"/>
        <w:numPr>
          <w:ilvl w:val="1"/>
          <w:numId w:val="10"/>
        </w:numPr>
        <w:tabs>
          <w:tab w:val="left" w:pos="360"/>
        </w:tabs>
        <w:ind w:left="0" w:firstLine="0"/>
      </w:pPr>
      <w:bookmarkStart w:id="111" w:name="_Toc172191754"/>
      <w:bookmarkStart w:id="112" w:name="_Toc28256"/>
      <w:r>
        <w:rPr>
          <w:rFonts w:hint="eastAsia"/>
        </w:rPr>
        <w:t>人员要求</w:t>
      </w:r>
      <w:bookmarkEnd w:id="111"/>
      <w:bookmarkEnd w:id="112"/>
    </w:p>
    <w:p w:rsidR="00546305">
      <w:pPr>
        <w:ind w:firstLine="560"/>
      </w:pPr>
      <w:r>
        <w:rPr>
          <w:rFonts w:hint="eastAsia"/>
        </w:rPr>
        <w:t>团队人数至少</w:t>
      </w:r>
      <w:r>
        <w:rPr>
          <w:rFonts w:hint="eastAsia"/>
        </w:rPr>
        <w:t>9</w:t>
      </w:r>
      <w:r>
        <w:rPr>
          <w:rFonts w:hint="eastAsia"/>
        </w:rPr>
        <w:t>人，其中驻场人员至少</w:t>
      </w:r>
      <w:r>
        <w:rPr>
          <w:rFonts w:hint="eastAsia"/>
        </w:rPr>
        <w:t>4</w:t>
      </w:r>
      <w:r>
        <w:rPr>
          <w:rFonts w:hint="eastAsia"/>
        </w:rPr>
        <w:t>人。</w:t>
      </w:r>
      <w:r>
        <w:t>开发团队具</w:t>
      </w:r>
      <w:r>
        <w:t>备气象</w:t>
      </w:r>
      <w:r>
        <w:t>算法</w:t>
      </w:r>
      <w:r>
        <w:rPr>
          <w:rFonts w:hint="eastAsia"/>
        </w:rPr>
        <w:t>或全球业务平台</w:t>
      </w:r>
      <w:r>
        <w:t>开发经验，具备</w:t>
      </w:r>
      <w:r>
        <w:t>Python</w:t>
      </w:r>
      <w:r>
        <w:t>、</w:t>
      </w:r>
      <w:r>
        <w:t>Java</w:t>
      </w:r>
      <w:r>
        <w:t>开发经验的开发人员不少于</w:t>
      </w:r>
      <w:r>
        <w:rPr>
          <w:rFonts w:hint="eastAsia"/>
        </w:rPr>
        <w:t>8</w:t>
      </w:r>
      <w:r>
        <w:t>人；项目负责人需要有</w:t>
      </w:r>
      <w:r>
        <w:rPr>
          <w:rFonts w:hint="eastAsia"/>
        </w:rPr>
        <w:t>气象、海洋等项目开发经验</w:t>
      </w:r>
      <w:r>
        <w:t>。</w:t>
      </w:r>
    </w:p>
    <w:p w:rsidR="00546305">
      <w:pPr>
        <w:pStyle w:val="Heading2"/>
        <w:numPr>
          <w:ilvl w:val="1"/>
          <w:numId w:val="10"/>
        </w:numPr>
        <w:tabs>
          <w:tab w:val="left" w:pos="360"/>
        </w:tabs>
        <w:ind w:left="0" w:firstLine="0"/>
      </w:pPr>
      <w:bookmarkStart w:id="113" w:name="_Toc137459483"/>
      <w:bookmarkStart w:id="114" w:name="_Toc11597"/>
      <w:bookmarkStart w:id="115" w:name="_Toc172191755"/>
      <w:r>
        <w:rPr>
          <w:rFonts w:hint="eastAsia"/>
        </w:rPr>
        <w:t>进度要求</w:t>
      </w:r>
      <w:bookmarkEnd w:id="113"/>
      <w:bookmarkEnd w:id="114"/>
      <w:bookmarkEnd w:id="115"/>
    </w:p>
    <w:p w:rsidR="00546305">
      <w:pPr>
        <w:ind w:firstLine="560"/>
      </w:pPr>
      <w:r>
        <w:rPr>
          <w:rFonts w:hint="eastAsia"/>
        </w:rPr>
        <w:t>本软件系统的研制要求完全按软件工程的方法和过程实施，其研制过程主要包括需求分析、概要设计、详细设计与编码调试、测试与系统集成四个阶段，总的进度要求是：</w:t>
      </w:r>
      <w:r w:rsidR="00EA5135">
        <w:rPr>
          <w:rFonts w:hint="eastAsia"/>
        </w:rPr>
        <w:t>合同签订</w:t>
      </w:r>
      <w:r w:rsidR="00EA5135">
        <w:t>之日起一年内</w:t>
      </w:r>
      <w:r>
        <w:rPr>
          <w:rFonts w:hint="eastAsia"/>
        </w:rPr>
        <w:t>完成软件研制，正式进入业务运行阶段</w:t>
      </w:r>
      <w:r>
        <w:rPr>
          <w:rFonts w:hint="eastAsia"/>
        </w:rPr>
        <w:t>。</w:t>
      </w:r>
    </w:p>
    <w:p w:rsidR="00546305">
      <w:pPr>
        <w:pStyle w:val="Heading2"/>
        <w:numPr>
          <w:ilvl w:val="1"/>
          <w:numId w:val="10"/>
        </w:numPr>
        <w:tabs>
          <w:tab w:val="left" w:pos="360"/>
        </w:tabs>
        <w:ind w:left="0" w:firstLine="0"/>
      </w:pPr>
      <w:bookmarkStart w:id="116" w:name="_Toc172191756"/>
      <w:bookmarkStart w:id="117" w:name="_Toc3224"/>
      <w:r>
        <w:rPr>
          <w:rFonts w:hint="eastAsia"/>
        </w:rPr>
        <w:t>培训要求</w:t>
      </w:r>
      <w:bookmarkEnd w:id="116"/>
      <w:bookmarkEnd w:id="117"/>
    </w:p>
    <w:p w:rsidR="00546305">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、投标方应保证提供最有经验的教员，使采购人相关人员在培训后能够独立地对系统进行管理、维护。</w:t>
      </w:r>
    </w:p>
    <w:p w:rsidR="00546305">
      <w:pPr>
        <w:ind w:firstLine="560"/>
        <w:rPr>
          <w:rFonts w:ascii="宋体" w:hAnsi="宋体"/>
          <w:color w:val="000000"/>
          <w:szCs w:val="28"/>
        </w:rPr>
      </w:pPr>
      <w:r>
        <w:rPr>
          <w:rFonts w:ascii="宋体" w:hAnsi="宋体" w:hint="eastAsia"/>
          <w:color w:val="000000"/>
          <w:szCs w:val="28"/>
        </w:rPr>
        <w:t>2</w:t>
      </w:r>
      <w:r>
        <w:rPr>
          <w:rFonts w:ascii="宋体" w:hAnsi="宋体" w:hint="eastAsia"/>
          <w:color w:val="000000"/>
          <w:szCs w:val="28"/>
        </w:rPr>
        <w:t>、培训应包括使用培训（针对项目日常维护人员及应用人员）、系统管理培训（针对项目技术管理人员）。</w:t>
      </w:r>
    </w:p>
    <w:p w:rsidR="00546305">
      <w:pPr>
        <w:ind w:firstLine="560"/>
        <w:rPr>
          <w:rFonts w:ascii="宋体" w:hAnsi="宋体"/>
          <w:color w:val="000000"/>
          <w:szCs w:val="28"/>
        </w:rPr>
      </w:pPr>
      <w:r>
        <w:rPr>
          <w:rFonts w:ascii="宋体" w:hAnsi="宋体" w:hint="eastAsia"/>
          <w:color w:val="000000"/>
          <w:szCs w:val="28"/>
        </w:rPr>
        <w:t>应提供以下材料：</w:t>
      </w:r>
    </w:p>
    <w:p w:rsidR="00546305">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）培训大纲：其中应注明每次课程的内容和目的。</w:t>
      </w:r>
    </w:p>
    <w:p w:rsidR="00546305">
      <w:pPr>
        <w:ind w:firstLine="560"/>
        <w:rPr>
          <w:rFonts w:ascii="宋体" w:hAnsi="宋体"/>
          <w:color w:val="000000"/>
          <w:szCs w:val="28"/>
        </w:rPr>
      </w:pPr>
      <w:r>
        <w:rPr>
          <w:rFonts w:ascii="宋体" w:hAnsi="宋体" w:hint="eastAsia"/>
          <w:color w:val="000000"/>
          <w:szCs w:val="28"/>
        </w:rPr>
        <w:t>2</w:t>
      </w:r>
      <w:r>
        <w:rPr>
          <w:rFonts w:ascii="宋体" w:hAnsi="宋体" w:hint="eastAsia"/>
          <w:color w:val="000000"/>
          <w:szCs w:val="28"/>
        </w:rPr>
        <w:t>）培训计划：包括但不限于培训课程安排、培训师资。</w:t>
      </w:r>
    </w:p>
    <w:p w:rsidR="00546305">
      <w:pPr>
        <w:ind w:firstLine="560"/>
        <w:rPr>
          <w:rFonts w:ascii="宋体" w:hAnsi="宋体"/>
        </w:rPr>
      </w:pPr>
      <w:r>
        <w:rPr>
          <w:rFonts w:ascii="宋体" w:hAnsi="宋体" w:hint="eastAsia"/>
          <w:color w:val="000000"/>
          <w:szCs w:val="28"/>
        </w:rPr>
        <w:t>3</w:t>
      </w:r>
      <w:r>
        <w:rPr>
          <w:rFonts w:ascii="宋体" w:hAnsi="宋体" w:hint="eastAsia"/>
          <w:color w:val="000000"/>
          <w:szCs w:val="28"/>
        </w:rPr>
        <w:t>）内容：系统的性能、相关技术原理和操作使用方法，维护管理的技术，实际的操作练习，以及基本的故障诊断与排错。</w:t>
      </w:r>
    </w:p>
    <w:p w:rsidR="00546305">
      <w:pPr>
        <w:pStyle w:val="Heading2"/>
        <w:numPr>
          <w:ilvl w:val="1"/>
          <w:numId w:val="10"/>
        </w:numPr>
        <w:tabs>
          <w:tab w:val="left" w:pos="360"/>
        </w:tabs>
        <w:ind w:left="0" w:firstLine="0"/>
      </w:pPr>
      <w:bookmarkStart w:id="118" w:name="_Toc2480"/>
      <w:bookmarkStart w:id="119" w:name="_Toc172191757"/>
      <w:r>
        <w:rPr>
          <w:rFonts w:hint="eastAsia"/>
        </w:rPr>
        <w:t>售后服务要求</w:t>
      </w:r>
      <w:bookmarkEnd w:id="118"/>
      <w:bookmarkEnd w:id="119"/>
    </w:p>
    <w:p w:rsidR="00546305">
      <w:pPr>
        <w:ind w:firstLine="560"/>
        <w:rPr>
          <w:rFonts w:ascii="宋体" w:hAnsi="宋体"/>
          <w:color w:val="000000"/>
          <w:szCs w:val="28"/>
        </w:rPr>
      </w:pPr>
      <w:r>
        <w:rPr>
          <w:rFonts w:ascii="宋体" w:hAnsi="宋体" w:hint="eastAsia"/>
          <w:color w:val="000000"/>
          <w:szCs w:val="28"/>
        </w:rPr>
        <w:t>项目验收完成后，提供</w:t>
      </w:r>
      <w:r>
        <w:rPr>
          <w:rFonts w:ascii="宋体" w:hAnsi="宋体" w:hint="eastAsia"/>
          <w:color w:val="000000"/>
          <w:szCs w:val="28"/>
        </w:rPr>
        <w:t>3</w:t>
      </w:r>
      <w:r>
        <w:rPr>
          <w:rFonts w:ascii="宋体" w:hAnsi="宋体" w:hint="eastAsia"/>
          <w:color w:val="000000"/>
          <w:szCs w:val="28"/>
        </w:rPr>
        <w:t>年免费质保。</w:t>
      </w:r>
      <w:r>
        <w:rPr>
          <w:rFonts w:ascii="宋体" w:hAnsi="宋体"/>
          <w:color w:val="000000"/>
          <w:szCs w:val="28"/>
        </w:rPr>
        <w:t>在合同质保期内，投标人承诺免费响应甲方系统平台优化的要求，工作量不超过原有建设内容</w:t>
      </w:r>
      <w:r>
        <w:rPr>
          <w:rFonts w:ascii="宋体" w:hAnsi="宋体"/>
          <w:color w:val="000000"/>
          <w:szCs w:val="28"/>
        </w:rPr>
        <w:t>20%</w:t>
      </w:r>
      <w:r>
        <w:rPr>
          <w:rFonts w:ascii="宋体" w:hAnsi="宋体" w:hint="eastAsia"/>
          <w:color w:val="000000"/>
          <w:szCs w:val="28"/>
        </w:rPr>
        <w:t>。</w:t>
      </w:r>
    </w:p>
    <w:p w:rsidR="00546305">
      <w:pPr>
        <w:ind w:firstLine="560"/>
      </w:pPr>
      <w:r>
        <w:rPr>
          <w:rFonts w:hint="eastAsia"/>
        </w:rPr>
        <w:t>在质保期内，承包人免费提供电话咨询和指导、远程</w:t>
      </w:r>
      <w:r>
        <w:rPr>
          <w:rFonts w:hint="eastAsia"/>
        </w:rPr>
        <w:t>在线支持、现场技术服务及现场培训等技术支持，其中电话技术支持为</w:t>
      </w:r>
      <w:r>
        <w:rPr>
          <w:rFonts w:hint="eastAsia"/>
        </w:rPr>
        <w:t>7*24</w:t>
      </w:r>
      <w:r>
        <w:rPr>
          <w:rFonts w:hint="eastAsia"/>
        </w:rPr>
        <w:t>小时，对于电话支持无法解决的问题，赴现场解决故障的响应时间不超过</w:t>
      </w:r>
      <w:r>
        <w:rPr>
          <w:rFonts w:hint="eastAsia"/>
        </w:rPr>
        <w:t>1</w:t>
      </w:r>
      <w:r>
        <w:rPr>
          <w:rFonts w:hint="eastAsia"/>
        </w:rPr>
        <w:t>小时。</w:t>
      </w:r>
    </w:p>
    <w:p w:rsidR="00546305">
      <w:pPr>
        <w:pStyle w:val="Heading2"/>
        <w:numPr>
          <w:ilvl w:val="1"/>
          <w:numId w:val="10"/>
        </w:numPr>
        <w:tabs>
          <w:tab w:val="left" w:pos="360"/>
        </w:tabs>
        <w:ind w:left="0" w:firstLine="0"/>
      </w:pPr>
      <w:bookmarkStart w:id="120" w:name="_Toc172191758"/>
      <w:bookmarkStart w:id="121" w:name="_Toc137275389"/>
      <w:bookmarkStart w:id="122" w:name="_Toc13291"/>
      <w:bookmarkStart w:id="123" w:name="_Toc137459487"/>
      <w:r>
        <w:t>知识产权归属</w:t>
      </w:r>
      <w:bookmarkEnd w:id="120"/>
      <w:bookmarkEnd w:id="121"/>
      <w:bookmarkEnd w:id="122"/>
      <w:bookmarkEnd w:id="123"/>
    </w:p>
    <w:p w:rsidR="00546305">
      <w:pPr>
        <w:ind w:firstLine="560"/>
        <w:rPr>
          <w:rFonts w:ascii="宋体" w:hAnsi="宋体"/>
          <w:color w:val="000000"/>
          <w:szCs w:val="28"/>
        </w:rPr>
      </w:pPr>
      <w:r>
        <w:rPr>
          <w:rFonts w:ascii="宋体" w:hAnsi="宋体" w:hint="eastAsia"/>
          <w:color w:val="000000"/>
          <w:szCs w:val="28"/>
        </w:rPr>
        <w:t>在本项目实施过程中产生的包括著作权在内的所有知识产权均归甲方所有。</w:t>
      </w:r>
    </w:p>
    <w:p w:rsidR="00546305">
      <w:pPr>
        <w:pStyle w:val="Heading2"/>
        <w:numPr>
          <w:ilvl w:val="1"/>
          <w:numId w:val="10"/>
        </w:numPr>
        <w:tabs>
          <w:tab w:val="left" w:pos="360"/>
        </w:tabs>
        <w:ind w:left="0" w:firstLine="0"/>
      </w:pPr>
      <w:bookmarkStart w:id="124" w:name="_Toc172191759"/>
      <w:bookmarkStart w:id="125" w:name="_Toc14691"/>
      <w:r>
        <w:rPr>
          <w:rFonts w:hint="eastAsia"/>
        </w:rPr>
        <w:t>验收要求</w:t>
      </w:r>
      <w:bookmarkEnd w:id="124"/>
      <w:bookmarkEnd w:id="125"/>
    </w:p>
    <w:p w:rsidR="00546305">
      <w:pPr>
        <w:numPr>
          <w:ilvl w:val="0"/>
          <w:numId w:val="11"/>
        </w:numPr>
        <w:ind w:firstLine="560"/>
        <w:rPr>
          <w:rFonts w:ascii="宋体" w:hAnsi="宋体"/>
          <w:color w:val="000000"/>
          <w:szCs w:val="28"/>
        </w:rPr>
      </w:pPr>
      <w:r>
        <w:rPr>
          <w:rFonts w:ascii="宋体" w:hAnsi="宋体" w:hint="eastAsia"/>
          <w:color w:val="000000"/>
          <w:szCs w:val="28"/>
        </w:rPr>
        <w:t>实现合同和招标文件中列举的全部功能要求，双方签订合同需包含以上全部技术要求的量化指标，并以此为准进行验收。</w:t>
      </w:r>
    </w:p>
    <w:p w:rsidR="00546305">
      <w:pPr>
        <w:numPr>
          <w:ilvl w:val="0"/>
          <w:numId w:val="11"/>
        </w:numPr>
        <w:ind w:firstLine="560"/>
        <w:rPr>
          <w:rFonts w:ascii="宋体" w:hAnsi="宋体"/>
          <w:color w:val="000000"/>
          <w:szCs w:val="28"/>
        </w:rPr>
      </w:pPr>
      <w:r>
        <w:rPr>
          <w:rFonts w:ascii="宋体" w:hAnsi="宋体" w:hint="eastAsia"/>
          <w:color w:val="000000"/>
          <w:szCs w:val="28"/>
        </w:rPr>
        <w:t>验收应分期开展，最少包括中期验收、最终验收</w:t>
      </w:r>
      <w:r>
        <w:rPr>
          <w:rFonts w:ascii="宋体" w:hAnsi="宋体" w:hint="eastAsia"/>
          <w:color w:val="000000"/>
          <w:szCs w:val="28"/>
        </w:rPr>
        <w:t>2</w:t>
      </w:r>
      <w:r>
        <w:rPr>
          <w:rFonts w:ascii="宋体" w:hAnsi="宋体" w:hint="eastAsia"/>
          <w:color w:val="000000"/>
          <w:szCs w:val="28"/>
        </w:rPr>
        <w:t>次以上验收。</w:t>
      </w:r>
    </w:p>
    <w:p w:rsidR="00546305">
      <w:pPr>
        <w:numPr>
          <w:ilvl w:val="0"/>
          <w:numId w:val="11"/>
        </w:numPr>
        <w:ind w:firstLine="560"/>
        <w:rPr>
          <w:rFonts w:ascii="宋体" w:hAnsi="宋体"/>
          <w:color w:val="000000"/>
          <w:szCs w:val="28"/>
        </w:rPr>
      </w:pPr>
      <w:r>
        <w:rPr>
          <w:rFonts w:ascii="宋体" w:hAnsi="宋体" w:hint="eastAsia"/>
          <w:color w:val="000000"/>
          <w:szCs w:val="28"/>
        </w:rPr>
        <w:t>验收时提供第三方测试</w:t>
      </w:r>
      <w:r>
        <w:rPr>
          <w:rFonts w:ascii="宋体" w:hAnsi="宋体" w:hint="eastAsia"/>
          <w:color w:val="000000"/>
          <w:szCs w:val="28"/>
        </w:rPr>
        <w:t>，</w:t>
      </w:r>
      <w:r>
        <w:rPr>
          <w:rFonts w:ascii="宋体" w:hAnsi="宋体" w:hint="eastAsia"/>
          <w:color w:val="000000"/>
          <w:szCs w:val="28"/>
        </w:rPr>
        <w:t>包括测试</w:t>
      </w:r>
      <w:r>
        <w:rPr>
          <w:rFonts w:ascii="宋体" w:hAnsi="宋体" w:hint="eastAsia"/>
          <w:color w:val="000000"/>
          <w:szCs w:val="28"/>
        </w:rPr>
        <w:t>大纲、测试方案及测试</w:t>
      </w:r>
      <w:r>
        <w:rPr>
          <w:rFonts w:ascii="宋体" w:hAnsi="宋体" w:hint="eastAsia"/>
          <w:color w:val="000000"/>
          <w:szCs w:val="28"/>
        </w:rPr>
        <w:t>报告</w:t>
      </w:r>
      <w:r>
        <w:rPr>
          <w:rFonts w:ascii="宋体" w:hAnsi="宋体" w:hint="eastAsia"/>
          <w:color w:val="000000"/>
          <w:szCs w:val="28"/>
        </w:rPr>
        <w:t>。</w:t>
      </w:r>
    </w:p>
    <w:p w:rsidR="00546305">
      <w:pPr>
        <w:numPr>
          <w:ilvl w:val="0"/>
          <w:numId w:val="11"/>
        </w:numPr>
        <w:ind w:firstLine="560"/>
        <w:rPr>
          <w:rFonts w:ascii="宋体" w:hAnsi="宋体"/>
          <w:color w:val="000000"/>
          <w:szCs w:val="28"/>
        </w:rPr>
      </w:pPr>
      <w:r>
        <w:rPr>
          <w:rFonts w:ascii="宋体" w:hAnsi="宋体" w:hint="eastAsia"/>
          <w:color w:val="000000"/>
          <w:szCs w:val="28"/>
        </w:rPr>
        <w:t>项目验收时应将软件的源代码及全部有关产品说明书、技术</w:t>
      </w:r>
      <w:r>
        <w:rPr>
          <w:rFonts w:ascii="宋体" w:hAnsi="宋体" w:hint="eastAsia"/>
          <w:color w:val="000000"/>
          <w:szCs w:val="28"/>
        </w:rPr>
        <w:t>文件、资料、安装、验收报告等文档汇集成册交付使用单位。</w:t>
      </w:r>
    </w:p>
    <w:p w:rsidR="00546305">
      <w:pPr>
        <w:pStyle w:val="Heading2"/>
        <w:numPr>
          <w:ilvl w:val="1"/>
          <w:numId w:val="10"/>
        </w:numPr>
        <w:tabs>
          <w:tab w:val="left" w:pos="360"/>
        </w:tabs>
        <w:ind w:left="0" w:firstLine="0"/>
      </w:pPr>
      <w:bookmarkStart w:id="126" w:name="_Toc172191760"/>
      <w:bookmarkStart w:id="127" w:name="_Toc137459484"/>
      <w:bookmarkStart w:id="128" w:name="_Toc8818"/>
      <w:bookmarkStart w:id="129" w:name="_Toc137275386"/>
      <w:r>
        <w:t>成果要求</w:t>
      </w:r>
      <w:bookmarkEnd w:id="126"/>
      <w:bookmarkEnd w:id="127"/>
      <w:bookmarkEnd w:id="128"/>
      <w:bookmarkEnd w:id="129"/>
    </w:p>
    <w:p w:rsidR="00546305">
      <w:pPr>
        <w:ind w:firstLine="560"/>
        <w:rPr>
          <w:rFonts w:ascii="宋体" w:hAnsi="宋体"/>
          <w:color w:val="000000"/>
          <w:szCs w:val="28"/>
        </w:rPr>
      </w:pPr>
      <w:r>
        <w:rPr>
          <w:rFonts w:ascii="宋体" w:hAnsi="宋体"/>
          <w:color w:val="000000"/>
          <w:szCs w:val="28"/>
        </w:rPr>
        <w:t>进行需求分析、概要设计、详细设计、技术开发、系统集成，提供需求分析文档、概要设计文档、详细设计文档、技术功能规格书、</w:t>
      </w:r>
      <w:r>
        <w:rPr>
          <w:rFonts w:ascii="宋体" w:hAnsi="宋体" w:hint="eastAsia"/>
          <w:color w:val="000000"/>
          <w:szCs w:val="28"/>
        </w:rPr>
        <w:t>质量保证</w:t>
      </w:r>
      <w:r>
        <w:rPr>
          <w:rFonts w:ascii="宋体" w:hAnsi="宋体"/>
          <w:color w:val="000000"/>
          <w:szCs w:val="28"/>
        </w:rPr>
        <w:t>计划文档、技术开发文档、技术报告文档、测试报告、试运行报告、用户手册各一份；</w:t>
      </w:r>
    </w:p>
    <w:p w:rsidR="00546305">
      <w:pPr>
        <w:ind w:firstLine="560"/>
        <w:rPr>
          <w:rFonts w:ascii="宋体" w:hAnsi="宋体"/>
          <w:color w:val="000000"/>
          <w:szCs w:val="28"/>
        </w:rPr>
      </w:pPr>
      <w:r>
        <w:rPr>
          <w:rFonts w:ascii="宋体" w:hAnsi="宋体"/>
          <w:color w:val="000000"/>
          <w:szCs w:val="28"/>
        </w:rPr>
        <w:t>提交纸质技术验收报告</w:t>
      </w:r>
      <w:r>
        <w:rPr>
          <w:rFonts w:ascii="宋体" w:hAnsi="宋体"/>
          <w:color w:val="000000"/>
          <w:szCs w:val="28"/>
        </w:rPr>
        <w:t>1</w:t>
      </w:r>
      <w:r>
        <w:rPr>
          <w:rFonts w:ascii="宋体" w:hAnsi="宋体"/>
          <w:color w:val="000000"/>
          <w:szCs w:val="28"/>
        </w:rPr>
        <w:t>份，电子版</w:t>
      </w:r>
      <w:r>
        <w:rPr>
          <w:rFonts w:ascii="宋体" w:hAnsi="宋体"/>
          <w:color w:val="000000"/>
          <w:szCs w:val="28"/>
        </w:rPr>
        <w:t>2</w:t>
      </w:r>
      <w:r>
        <w:rPr>
          <w:rFonts w:ascii="宋体" w:hAnsi="宋体"/>
          <w:color w:val="000000"/>
          <w:szCs w:val="28"/>
        </w:rPr>
        <w:t>份；</w:t>
      </w:r>
    </w:p>
    <w:p w:rsidR="00546305">
      <w:pPr>
        <w:pStyle w:val="Heading2"/>
        <w:numPr>
          <w:ilvl w:val="1"/>
          <w:numId w:val="10"/>
        </w:numPr>
        <w:tabs>
          <w:tab w:val="left" w:pos="360"/>
        </w:tabs>
        <w:ind w:left="0" w:firstLine="0"/>
      </w:pPr>
      <w:bookmarkStart w:id="130" w:name="_Toc137459488"/>
      <w:bookmarkStart w:id="131" w:name="_Toc137275390"/>
      <w:bookmarkStart w:id="132" w:name="_Toc10514"/>
      <w:bookmarkStart w:id="133" w:name="_Toc172191761"/>
      <w:r>
        <w:t>其他要求</w:t>
      </w:r>
      <w:bookmarkEnd w:id="130"/>
      <w:bookmarkEnd w:id="131"/>
      <w:bookmarkEnd w:id="132"/>
      <w:bookmarkEnd w:id="133"/>
    </w:p>
    <w:p w:rsidR="00546305">
      <w:pPr>
        <w:ind w:firstLine="560"/>
        <w:rPr>
          <w:rFonts w:ascii="宋体" w:hAnsi="宋体"/>
          <w:color w:val="000000"/>
          <w:szCs w:val="28"/>
        </w:rPr>
      </w:pPr>
      <w:r>
        <w:rPr>
          <w:rFonts w:ascii="宋体" w:hAnsi="宋体" w:hint="eastAsia"/>
          <w:color w:val="000000"/>
          <w:szCs w:val="28"/>
        </w:rPr>
        <w:t>1</w:t>
      </w:r>
      <w:r>
        <w:rPr>
          <w:rFonts w:ascii="宋体" w:hAnsi="宋体" w:hint="eastAsia"/>
          <w:color w:val="000000"/>
          <w:szCs w:val="28"/>
        </w:rPr>
        <w:t>、未经采购人许可，中标供应商不得向任何第三方泄露采购方技术资料内容，因中标供应泄露技术资料等内容产生的法律纠纷，所有责任有中标供应商承担。</w:t>
      </w:r>
    </w:p>
    <w:p w:rsidR="00546305">
      <w:pPr>
        <w:ind w:firstLine="560"/>
      </w:pPr>
      <w:r>
        <w:rPr>
          <w:rFonts w:ascii="宋体" w:hAnsi="宋体" w:hint="eastAsia"/>
          <w:color w:val="000000"/>
          <w:szCs w:val="28"/>
        </w:rPr>
        <w:t>2</w:t>
      </w:r>
      <w:r>
        <w:rPr>
          <w:rFonts w:ascii="宋体" w:hAnsi="宋体" w:hint="eastAsia"/>
          <w:color w:val="000000"/>
          <w:szCs w:val="28"/>
        </w:rPr>
        <w:t>、系统后台运行环境支持国产操作系统（比如中标麒麟）</w:t>
      </w:r>
      <w:r>
        <w:rPr>
          <w:rFonts w:ascii="宋体" w:hAnsi="宋体" w:hint="eastAsia"/>
          <w:color w:val="000000"/>
          <w:szCs w:val="28"/>
        </w:rPr>
        <w:t>或者</w:t>
      </w:r>
      <w:r>
        <w:rPr>
          <w:rFonts w:ascii="宋体" w:hAnsi="宋体"/>
          <w:color w:val="000000"/>
          <w:szCs w:val="28"/>
        </w:rPr>
        <w:t>Ubuntu16.04</w:t>
      </w:r>
      <w:r>
        <w:rPr>
          <w:rFonts w:ascii="宋体" w:hAnsi="宋体"/>
          <w:color w:val="000000"/>
          <w:szCs w:val="28"/>
        </w:rPr>
        <w:t>、</w:t>
      </w:r>
      <w:r>
        <w:rPr>
          <w:rFonts w:ascii="宋体" w:hAnsi="宋体"/>
          <w:color w:val="000000"/>
          <w:szCs w:val="28"/>
        </w:rPr>
        <w:t>Ubuntu18.04</w:t>
      </w:r>
      <w:r>
        <w:rPr>
          <w:rFonts w:ascii="宋体" w:hAnsi="宋体"/>
          <w:color w:val="000000"/>
          <w:szCs w:val="28"/>
        </w:rPr>
        <w:t>、</w:t>
      </w:r>
      <w:r>
        <w:rPr>
          <w:rFonts w:ascii="宋体" w:hAnsi="宋体"/>
          <w:color w:val="000000"/>
          <w:szCs w:val="28"/>
        </w:rPr>
        <w:t>RedHat7.3</w:t>
      </w:r>
      <w:r>
        <w:rPr>
          <w:rFonts w:ascii="宋体" w:hAnsi="宋体"/>
          <w:color w:val="000000"/>
          <w:szCs w:val="28"/>
        </w:rPr>
        <w:t>等系统，部署环境支持气象大数据云平台。</w:t>
      </w:r>
    </w:p>
    <w:p w:rsidR="00A77B3E"/>
    <w:p w:rsidR="00546305">
      <w:pPr>
        <w:ind w:firstLine="1205"/>
        <w:jc w:val="center"/>
        <w:rPr>
          <w:rFonts w:ascii="黑体" w:eastAsia="黑体"/>
          <w:b/>
          <w:sz w:val="60"/>
          <w:szCs w:val="60"/>
          <w:u w:val="singl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134"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4"/>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13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135"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2"/>
        </w:numPr>
        <w:ind w:hanging="420"/>
        <w:jc w:val="left"/>
        <w:rPr>
          <w:sz w:val="24"/>
          <w:szCs w:val="24"/>
        </w:rPr>
      </w:pPr>
      <w:bookmarkStart w:id="136" w:name="_Toc150439537"/>
      <w:r>
        <w:rPr>
          <w:rFonts w:hint="eastAsia"/>
          <w:sz w:val="24"/>
          <w:szCs w:val="24"/>
        </w:rPr>
        <w:t>项目内容及概况</w:t>
      </w:r>
      <w:bookmarkEnd w:id="136"/>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2"/>
        </w:numPr>
        <w:ind w:hanging="420"/>
        <w:jc w:val="left"/>
        <w:rPr>
          <w:rFonts w:hint="eastAsia"/>
          <w:sz w:val="24"/>
          <w:szCs w:val="24"/>
        </w:rPr>
      </w:pPr>
      <w:bookmarkStart w:id="137" w:name="_Toc150434187"/>
      <w:bookmarkStart w:id="138" w:name="_Toc150439539"/>
      <w:bookmarkStart w:id="139" w:name="_Toc150434283"/>
      <w:bookmarkStart w:id="140" w:name="_Toc150439540"/>
      <w:bookmarkEnd w:id="137"/>
      <w:bookmarkEnd w:id="138"/>
      <w:bookmarkEnd w:id="139"/>
      <w:r>
        <w:rPr>
          <w:rFonts w:hint="eastAsia"/>
          <w:sz w:val="24"/>
          <w:szCs w:val="24"/>
        </w:rPr>
        <w:t>项目相关标准</w:t>
      </w:r>
      <w:bookmarkEnd w:id="140"/>
    </w:p>
    <w:p>
      <w:pPr>
        <w:numPr>
          <w:ilvl w:val="0"/>
          <w:numId w:val="13"/>
        </w:numPr>
        <w:ind w:left="0" w:firstLine="480" w:firstLineChars="200"/>
        <w:jc w:val="left"/>
      </w:pPr>
      <w:r>
        <w:rPr>
          <w:rFonts w:hint="eastAsia"/>
          <w:sz w:val="24"/>
          <w:szCs w:val="24"/>
        </w:rPr>
        <w:t>技术标准</w:t>
      </w:r>
    </w:p>
    <w:p>
      <w:pPr>
        <w:numPr>
          <w:ilvl w:val="0"/>
          <w:numId w:val="14"/>
        </w:numPr>
        <w:ind w:left="0" w:firstLine="480" w:firstLineChars="200"/>
        <w:jc w:val="left"/>
      </w:pPr>
      <w:r>
        <w:rPr>
          <w:rFonts w:hint="eastAsia"/>
          <w:sz w:val="24"/>
          <w:szCs w:val="24"/>
        </w:rPr>
        <w:t>国家政策文件</w:t>
      </w:r>
    </w:p>
    <w:p>
      <w:pPr>
        <w:numPr>
          <w:ilvl w:val="1"/>
          <w:numId w:val="13"/>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3"/>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省厅政策文件</w:t>
      </w:r>
    </w:p>
    <w:p>
      <w:pPr>
        <w:numPr>
          <w:ilvl w:val="0"/>
          <w:numId w:val="15"/>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5"/>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4"/>
        </w:numPr>
        <w:ind w:left="0" w:firstLine="480" w:firstLineChars="200"/>
        <w:jc w:val="left"/>
      </w:pPr>
      <w:r>
        <w:rPr>
          <w:rFonts w:hint="eastAsia"/>
          <w:sz w:val="24"/>
          <w:szCs w:val="24"/>
        </w:rPr>
        <w:t>地区政策文件</w:t>
      </w:r>
    </w:p>
    <w:p>
      <w:pPr>
        <w:numPr>
          <w:ilvl w:val="1"/>
          <w:numId w:val="14"/>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4"/>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标准规范</w:t>
      </w:r>
    </w:p>
    <w:p>
      <w:pPr>
        <w:numPr>
          <w:ilvl w:val="0"/>
          <w:numId w:val="16"/>
        </w:numPr>
        <w:ind w:left="0" w:firstLine="480" w:firstLineChars="200"/>
        <w:jc w:val="left"/>
        <w:rPr>
          <w:rFonts w:hint="eastAsia"/>
          <w:u w:val="single"/>
        </w:rPr>
      </w:pPr>
      <w:r>
        <w:rPr>
          <w:rFonts w:hint="eastAsia"/>
          <w:sz w:val="24"/>
          <w:szCs w:val="24"/>
          <w:u w:val="single"/>
        </w:rPr>
        <w:t xml:space="preserve">                     </w:t>
      </w:r>
    </w:p>
    <w:p>
      <w:pPr>
        <w:numPr>
          <w:ilvl w:val="0"/>
          <w:numId w:val="16"/>
        </w:numPr>
        <w:ind w:left="0" w:firstLine="480" w:firstLineChars="200"/>
        <w:jc w:val="left"/>
        <w:rPr>
          <w:rFonts w:hint="eastAsia"/>
          <w:u w:val="single"/>
        </w:rPr>
      </w:pPr>
      <w:r>
        <w:rPr>
          <w:rFonts w:hint="eastAsia"/>
          <w:sz w:val="24"/>
          <w:szCs w:val="24"/>
          <w:u w:val="single"/>
        </w:rPr>
        <w:t xml:space="preserve">                     </w:t>
      </w:r>
    </w:p>
    <w:p>
      <w:pPr>
        <w:numPr>
          <w:ilvl w:val="0"/>
          <w:numId w:val="13"/>
        </w:numPr>
        <w:ind w:left="0" w:firstLine="480" w:firstLineChars="200"/>
        <w:jc w:val="left"/>
      </w:pPr>
      <w:r>
        <w:rPr>
          <w:rFonts w:hint="eastAsia"/>
          <w:sz w:val="24"/>
          <w:szCs w:val="24"/>
        </w:rPr>
        <w:t>国家法律法规</w:t>
      </w:r>
    </w:p>
    <w:p>
      <w:pPr>
        <w:numPr>
          <w:ilvl w:val="0"/>
          <w:numId w:val="17"/>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7"/>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7"/>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3"/>
        </w:numPr>
        <w:ind w:left="0" w:firstLine="480" w:firstLineChars="200"/>
        <w:jc w:val="left"/>
      </w:pPr>
      <w:r>
        <w:rPr>
          <w:rFonts w:hint="eastAsia"/>
          <w:sz w:val="24"/>
          <w:szCs w:val="24"/>
        </w:rPr>
        <w:t>气象部门管理制度</w:t>
      </w:r>
    </w:p>
    <w:p>
      <w:pPr>
        <w:numPr>
          <w:ilvl w:val="0"/>
          <w:numId w:val="18"/>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8"/>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8"/>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8"/>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8"/>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8"/>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8"/>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8"/>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2"/>
        </w:numPr>
        <w:ind w:hanging="420"/>
        <w:jc w:val="left"/>
        <w:rPr>
          <w:rFonts w:hint="eastAsia"/>
          <w:sz w:val="24"/>
          <w:szCs w:val="24"/>
        </w:rPr>
      </w:pPr>
      <w:bookmarkStart w:id="141" w:name="_Toc150439541"/>
      <w:bookmarkStart w:id="142" w:name="_Toc150439542"/>
      <w:bookmarkEnd w:id="141"/>
      <w:r>
        <w:rPr>
          <w:rFonts w:hint="eastAsia"/>
          <w:sz w:val="24"/>
          <w:szCs w:val="24"/>
        </w:rPr>
        <w:t>组成本合同的文件</w:t>
      </w:r>
      <w:bookmarkEnd w:id="142"/>
    </w:p>
    <w:p>
      <w:pPr>
        <w:numPr>
          <w:ilvl w:val="0"/>
          <w:numId w:val="19"/>
        </w:numPr>
        <w:ind w:left="0" w:firstLine="480" w:firstLineChars="200"/>
        <w:jc w:val="left"/>
        <w:rPr>
          <w:rFonts w:hint="eastAsia"/>
        </w:rPr>
      </w:pPr>
      <w:r>
        <w:rPr>
          <w:rFonts w:hint="eastAsia"/>
          <w:sz w:val="24"/>
          <w:szCs w:val="24"/>
        </w:rPr>
        <w:t>本合同；</w:t>
      </w:r>
    </w:p>
    <w:p>
      <w:pPr>
        <w:numPr>
          <w:ilvl w:val="0"/>
          <w:numId w:val="19"/>
        </w:numPr>
        <w:ind w:left="0" w:firstLine="480" w:firstLineChars="200"/>
        <w:jc w:val="left"/>
      </w:pPr>
      <w:r>
        <w:rPr>
          <w:rFonts w:hint="eastAsia"/>
          <w:sz w:val="24"/>
          <w:szCs w:val="24"/>
        </w:rPr>
        <w:t>中标通知书、招标文件、投标文件等；</w:t>
      </w:r>
    </w:p>
    <w:p>
      <w:pPr>
        <w:numPr>
          <w:ilvl w:val="0"/>
          <w:numId w:val="19"/>
        </w:numPr>
        <w:ind w:left="0" w:firstLine="480" w:firstLineChars="200"/>
        <w:jc w:val="left"/>
      </w:pPr>
      <w:r>
        <w:rPr>
          <w:rFonts w:hint="eastAsia"/>
          <w:sz w:val="24"/>
          <w:szCs w:val="24"/>
        </w:rPr>
        <w:t>与履行本合同有关、经双方依法签字盖章确认后的下列技术文件：</w:t>
      </w:r>
    </w:p>
    <w:p>
      <w:pPr>
        <w:numPr>
          <w:ilvl w:val="0"/>
          <w:numId w:val="20"/>
        </w:numPr>
        <w:ind w:hanging="5"/>
        <w:jc w:val="left"/>
        <w:rPr>
          <w:rFonts w:hint="eastAsia"/>
        </w:rPr>
      </w:pPr>
      <w:r>
        <w:rPr>
          <w:rFonts w:hint="eastAsia"/>
          <w:sz w:val="24"/>
          <w:szCs w:val="24"/>
        </w:rPr>
        <w:t>技术背景资料；</w:t>
      </w:r>
    </w:p>
    <w:p>
      <w:pPr>
        <w:numPr>
          <w:ilvl w:val="0"/>
          <w:numId w:val="20"/>
        </w:numPr>
        <w:ind w:hanging="5"/>
        <w:jc w:val="left"/>
        <w:rPr>
          <w:rFonts w:hint="eastAsia"/>
        </w:rPr>
      </w:pPr>
      <w:r>
        <w:rPr>
          <w:rFonts w:hint="eastAsia"/>
          <w:sz w:val="24"/>
          <w:szCs w:val="24"/>
        </w:rPr>
        <w:t>可行性论证报告；</w:t>
      </w:r>
    </w:p>
    <w:p>
      <w:pPr>
        <w:numPr>
          <w:ilvl w:val="0"/>
          <w:numId w:val="20"/>
        </w:numPr>
        <w:ind w:hanging="5"/>
        <w:jc w:val="left"/>
        <w:rPr>
          <w:rFonts w:hint="eastAsia"/>
        </w:rPr>
      </w:pPr>
      <w:r>
        <w:rPr>
          <w:rFonts w:hint="eastAsia"/>
          <w:sz w:val="24"/>
          <w:szCs w:val="24"/>
        </w:rPr>
        <w:t>技术评价报告；</w:t>
      </w:r>
    </w:p>
    <w:p>
      <w:pPr>
        <w:numPr>
          <w:ilvl w:val="0"/>
          <w:numId w:val="20"/>
        </w:numPr>
        <w:ind w:hanging="5"/>
        <w:jc w:val="left"/>
        <w:rPr>
          <w:rFonts w:hint="eastAsia"/>
        </w:rPr>
      </w:pPr>
      <w:r>
        <w:rPr>
          <w:rFonts w:hint="eastAsia"/>
          <w:sz w:val="24"/>
          <w:szCs w:val="24"/>
        </w:rPr>
        <w:t>技术标准和规范；</w:t>
      </w:r>
    </w:p>
    <w:p>
      <w:pPr>
        <w:numPr>
          <w:ilvl w:val="0"/>
          <w:numId w:val="20"/>
        </w:numPr>
        <w:ind w:hanging="5"/>
        <w:jc w:val="left"/>
        <w:rPr>
          <w:rFonts w:hint="eastAsia"/>
        </w:rPr>
      </w:pPr>
      <w:r>
        <w:rPr>
          <w:sz w:val="24"/>
          <w:szCs w:val="24"/>
        </w:rPr>
        <w:t>……</w:t>
      </w:r>
    </w:p>
    <w:p>
      <w:pPr>
        <w:numPr>
          <w:ilvl w:val="0"/>
          <w:numId w:val="19"/>
        </w:numPr>
        <w:ind w:left="0" w:firstLine="480" w:firstLineChars="200"/>
        <w:jc w:val="left"/>
      </w:pPr>
      <w:r>
        <w:rPr>
          <w:rFonts w:hint="eastAsia"/>
          <w:sz w:val="24"/>
          <w:szCs w:val="24"/>
        </w:rPr>
        <w:t>安全保密承诺书（签字盖章）；</w:t>
      </w:r>
    </w:p>
    <w:p>
      <w:pPr>
        <w:numPr>
          <w:ilvl w:val="0"/>
          <w:numId w:val="19"/>
        </w:numPr>
        <w:ind w:left="0" w:firstLine="480" w:firstLineChars="200"/>
        <w:jc w:val="left"/>
      </w:pPr>
      <w:r>
        <w:rPr>
          <w:rFonts w:hint="eastAsia"/>
          <w:sz w:val="24"/>
          <w:szCs w:val="24"/>
        </w:rPr>
        <w:t>安全保密协议（签字盖章）；</w:t>
      </w:r>
    </w:p>
    <w:p>
      <w:pPr>
        <w:numPr>
          <w:ilvl w:val="0"/>
          <w:numId w:val="19"/>
        </w:numPr>
        <w:ind w:left="0" w:firstLine="480" w:firstLineChars="200"/>
        <w:jc w:val="left"/>
      </w:pPr>
      <w:r>
        <w:rPr>
          <w:rFonts w:hint="eastAsia"/>
          <w:sz w:val="24"/>
          <w:szCs w:val="24"/>
        </w:rPr>
        <w:t>乙方就该项目实施情况接受甲方监督检查的承诺书（签字盖章）；</w:t>
      </w:r>
    </w:p>
    <w:p>
      <w:pPr>
        <w:numPr>
          <w:ilvl w:val="0"/>
          <w:numId w:val="19"/>
        </w:numPr>
        <w:ind w:left="0" w:firstLine="480" w:firstLineChars="200"/>
        <w:jc w:val="left"/>
        <w:rPr>
          <w:rFonts w:hint="eastAsia"/>
        </w:rPr>
      </w:pPr>
      <w:r>
        <w:rPr>
          <w:rFonts w:hint="eastAsia"/>
          <w:sz w:val="24"/>
          <w:szCs w:val="24"/>
        </w:rPr>
        <w:t>统筹集约承诺书（签字盖章）；</w:t>
      </w:r>
    </w:p>
    <w:p>
      <w:pPr>
        <w:numPr>
          <w:ilvl w:val="0"/>
          <w:numId w:val="19"/>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9"/>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2"/>
        </w:numPr>
        <w:ind w:hanging="420"/>
        <w:jc w:val="left"/>
        <w:rPr>
          <w:rFonts w:hint="eastAsia"/>
          <w:sz w:val="24"/>
          <w:szCs w:val="24"/>
        </w:rPr>
      </w:pPr>
      <w:bookmarkStart w:id="143" w:name="_Toc150439545"/>
      <w:r>
        <w:rPr>
          <w:rFonts w:hint="eastAsia"/>
          <w:sz w:val="24"/>
          <w:szCs w:val="24"/>
        </w:rPr>
        <w:t>合同履行地点、合同服务期</w:t>
      </w:r>
      <w:bookmarkEnd w:id="143"/>
    </w:p>
    <w:p>
      <w:pPr>
        <w:numPr>
          <w:ilvl w:val="0"/>
          <w:numId w:val="21"/>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21"/>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2"/>
        </w:numPr>
        <w:ind w:hanging="420"/>
        <w:rPr>
          <w:rFonts w:hint="eastAsia"/>
          <w:sz w:val="24"/>
          <w:szCs w:val="24"/>
        </w:rPr>
      </w:pPr>
      <w:bookmarkStart w:id="144" w:name="_Toc150439547"/>
      <w:r>
        <w:rPr>
          <w:rFonts w:hint="eastAsia"/>
          <w:sz w:val="24"/>
          <w:szCs w:val="24"/>
        </w:rPr>
        <w:t>服务范围及内容</w:t>
      </w:r>
      <w:bookmarkEnd w:id="144"/>
    </w:p>
    <w:p>
      <w:pPr>
        <w:ind w:firstLine="480" w:firstLineChars="200"/>
      </w:pPr>
      <w:r>
        <w:rPr>
          <w:rFonts w:hint="eastAsia"/>
          <w:sz w:val="24"/>
          <w:szCs w:val="24"/>
        </w:rPr>
        <w:t>本合同研究开发项目的要求如下：</w:t>
      </w:r>
    </w:p>
    <w:p>
      <w:pPr>
        <w:numPr>
          <w:ilvl w:val="0"/>
          <w:numId w:val="22"/>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2"/>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2"/>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3"/>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2"/>
        </w:numPr>
        <w:ind w:hanging="420"/>
        <w:rPr>
          <w:rFonts w:hint="eastAsia"/>
          <w:sz w:val="24"/>
          <w:szCs w:val="24"/>
        </w:rPr>
      </w:pPr>
      <w:bookmarkStart w:id="145" w:name="_Toc150434291"/>
      <w:bookmarkStart w:id="146" w:name="_Toc150439548"/>
      <w:bookmarkStart w:id="147" w:name="_Toc150434195"/>
      <w:bookmarkStart w:id="148" w:name="_Toc150424370"/>
      <w:bookmarkStart w:id="149" w:name="_Toc150439549"/>
      <w:bookmarkEnd w:id="145"/>
      <w:bookmarkEnd w:id="146"/>
      <w:bookmarkEnd w:id="147"/>
      <w:bookmarkEnd w:id="148"/>
      <w:r>
        <w:rPr>
          <w:rFonts w:hint="eastAsia"/>
          <w:sz w:val="24"/>
          <w:szCs w:val="24"/>
        </w:rPr>
        <w:t>乙方的权利与义务</w:t>
      </w:r>
      <w:bookmarkEnd w:id="149"/>
    </w:p>
    <w:p>
      <w:pPr>
        <w:numPr>
          <w:ilvl w:val="0"/>
          <w:numId w:val="24"/>
        </w:numPr>
        <w:ind w:left="0" w:firstLine="480" w:firstLineChars="200"/>
        <w:rPr>
          <w:rFonts w:hint="eastAsia"/>
        </w:rPr>
      </w:pPr>
      <w:r>
        <w:rPr>
          <w:rFonts w:hint="eastAsia"/>
          <w:sz w:val="24"/>
          <w:szCs w:val="24"/>
        </w:rPr>
        <w:t>为保证履行合同，乙方承诺以下事项：</w:t>
      </w:r>
    </w:p>
    <w:p>
      <w:pPr>
        <w:numPr>
          <w:ilvl w:val="0"/>
          <w:numId w:val="25"/>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5"/>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5"/>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5"/>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5"/>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5"/>
        </w:numPr>
        <w:ind w:left="0" w:firstLine="480" w:firstLineChars="200"/>
        <w:rPr>
          <w:rFonts w:hint="eastAsia"/>
          <w:u w:val="single"/>
        </w:rPr>
      </w:pPr>
      <w:r>
        <w:rPr>
          <w:rFonts w:hint="eastAsia"/>
          <w:sz w:val="24"/>
          <w:szCs w:val="24"/>
          <w:u w:val="single"/>
        </w:rPr>
        <w:t xml:space="preserve">                                                                     </w:t>
      </w:r>
    </w:p>
    <w:p>
      <w:pPr>
        <w:numPr>
          <w:ilvl w:val="0"/>
          <w:numId w:val="24"/>
        </w:numPr>
        <w:ind w:left="0" w:firstLine="480" w:firstLineChars="200"/>
        <w:rPr>
          <w:rFonts w:hint="eastAsia"/>
        </w:rPr>
      </w:pPr>
      <w:r>
        <w:rPr>
          <w:rFonts w:hint="eastAsia"/>
          <w:sz w:val="24"/>
          <w:szCs w:val="24"/>
        </w:rPr>
        <w:t>对非驻场软件开发，乙方承诺以下事项：</w:t>
      </w:r>
    </w:p>
    <w:p>
      <w:pPr>
        <w:numPr>
          <w:ilvl w:val="0"/>
          <w:numId w:val="26"/>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26"/>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26"/>
        </w:numPr>
        <w:ind w:left="0" w:firstLine="480" w:firstLineChars="200"/>
        <w:rPr>
          <w:rFonts w:hint="eastAsia"/>
          <w:u w:val="single"/>
        </w:rPr>
      </w:pPr>
      <w:r>
        <w:rPr>
          <w:rFonts w:hint="eastAsia"/>
          <w:sz w:val="24"/>
          <w:szCs w:val="24"/>
          <w:u w:val="single"/>
        </w:rPr>
        <w:t xml:space="preserve">不存在规避监管的情形。                                                </w:t>
      </w:r>
    </w:p>
    <w:p>
      <w:pPr>
        <w:numPr>
          <w:ilvl w:val="0"/>
          <w:numId w:val="24"/>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4"/>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7"/>
        </w:numPr>
        <w:ind w:hanging="5"/>
        <w:jc w:val="left"/>
      </w:pPr>
      <w:r>
        <w:rPr>
          <w:rFonts w:hint="eastAsia"/>
          <w:sz w:val="24"/>
          <w:szCs w:val="24"/>
        </w:rPr>
        <w:t>项目功能清单；</w:t>
      </w:r>
    </w:p>
    <w:p>
      <w:pPr>
        <w:numPr>
          <w:ilvl w:val="0"/>
          <w:numId w:val="27"/>
        </w:numPr>
        <w:ind w:hanging="5"/>
        <w:jc w:val="left"/>
        <w:rPr>
          <w:rFonts w:hint="eastAsia"/>
        </w:rPr>
      </w:pPr>
      <w:r>
        <w:rPr>
          <w:rFonts w:hint="eastAsia"/>
          <w:sz w:val="24"/>
          <w:szCs w:val="24"/>
        </w:rPr>
        <w:t>项目实施方案。</w:t>
      </w:r>
    </w:p>
    <w:p>
      <w:pPr>
        <w:numPr>
          <w:ilvl w:val="0"/>
          <w:numId w:val="24"/>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8"/>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8"/>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8"/>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4"/>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4"/>
        </w:numPr>
        <w:ind w:left="0" w:firstLine="480" w:firstLineChars="200"/>
        <w:rPr>
          <w:rFonts w:hint="eastAsia"/>
        </w:rPr>
      </w:pPr>
      <w:r>
        <w:rPr>
          <w:rFonts w:hint="eastAsia"/>
          <w:sz w:val="24"/>
          <w:szCs w:val="24"/>
        </w:rPr>
        <w:t>乙方应接受甲方对本项目执行工作的监督、检查和评价。</w:t>
      </w:r>
    </w:p>
    <w:p>
      <w:pPr>
        <w:numPr>
          <w:ilvl w:val="0"/>
          <w:numId w:val="24"/>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4"/>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4"/>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4"/>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2"/>
        </w:numPr>
        <w:ind w:left="0" w:firstLine="480" w:firstLineChars="200"/>
        <w:rPr>
          <w:sz w:val="24"/>
          <w:szCs w:val="24"/>
        </w:rPr>
      </w:pPr>
      <w:bookmarkStart w:id="150" w:name="_Toc150434197"/>
      <w:bookmarkStart w:id="151" w:name="_Toc150439550"/>
      <w:bookmarkStart w:id="152" w:name="_Toc150424372"/>
      <w:bookmarkStart w:id="153" w:name="_Toc150434293"/>
      <w:bookmarkStart w:id="154" w:name="_Toc150439565"/>
      <w:bookmarkEnd w:id="150"/>
      <w:bookmarkEnd w:id="151"/>
      <w:bookmarkEnd w:id="152"/>
      <w:bookmarkEnd w:id="153"/>
      <w:r>
        <w:rPr>
          <w:rFonts w:hint="eastAsia"/>
          <w:sz w:val="24"/>
          <w:szCs w:val="24"/>
        </w:rPr>
        <w:t>甲方</w:t>
      </w:r>
      <w:r>
        <w:rPr>
          <w:sz w:val="24"/>
          <w:szCs w:val="24"/>
        </w:rPr>
        <w:t>的权利与义务</w:t>
      </w:r>
      <w:bookmarkEnd w:id="154"/>
    </w:p>
    <w:p>
      <w:pPr>
        <w:numPr>
          <w:ilvl w:val="0"/>
          <w:numId w:val="29"/>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30"/>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0"/>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30"/>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9"/>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9"/>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9"/>
        </w:numPr>
        <w:ind w:left="0" w:firstLine="480" w:firstLineChars="200"/>
        <w:rPr>
          <w:spacing w:val="7"/>
        </w:rPr>
      </w:pPr>
      <w:r>
        <w:rPr>
          <w:rFonts w:hint="eastAsia"/>
          <w:sz w:val="24"/>
          <w:szCs w:val="24"/>
        </w:rPr>
        <w:t>甲方必须遵守国家法律法规及气象部门管理制度的要求。</w:t>
      </w:r>
    </w:p>
    <w:p>
      <w:pPr>
        <w:numPr>
          <w:ilvl w:val="0"/>
          <w:numId w:val="29"/>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2"/>
        </w:numPr>
        <w:ind w:left="0" w:firstLine="480" w:firstLineChars="200"/>
        <w:rPr>
          <w:sz w:val="24"/>
          <w:szCs w:val="24"/>
        </w:rPr>
      </w:pPr>
      <w:r>
        <w:rPr>
          <w:rFonts w:hint="eastAsia"/>
          <w:sz w:val="24"/>
          <w:szCs w:val="24"/>
        </w:rPr>
        <w:t>知识产权归属</w:t>
      </w:r>
    </w:p>
    <w:p>
      <w:pPr>
        <w:numPr>
          <w:ilvl w:val="0"/>
          <w:numId w:val="31"/>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1"/>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31"/>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31"/>
        </w:numPr>
        <w:ind w:left="0" w:firstLine="480" w:firstLineChars="200"/>
      </w:pPr>
      <w:r>
        <w:rPr>
          <w:sz w:val="24"/>
          <w:szCs w:val="24"/>
        </w:rPr>
        <w:t>乙方利用研究开发经费所购置与研究开发工作有关的设备、器材、资料等财产，归甲方所有。</w:t>
      </w:r>
    </w:p>
    <w:p>
      <w:pPr>
        <w:numPr>
          <w:ilvl w:val="0"/>
          <w:numId w:val="31"/>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31"/>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31"/>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2"/>
        </w:numPr>
        <w:ind w:left="0" w:firstLine="480" w:firstLineChars="200"/>
        <w:rPr>
          <w:rFonts w:hint="eastAsia"/>
          <w:sz w:val="24"/>
          <w:szCs w:val="24"/>
        </w:rPr>
      </w:pPr>
      <w:r>
        <w:rPr>
          <w:rFonts w:hint="eastAsia"/>
          <w:sz w:val="24"/>
          <w:szCs w:val="24"/>
        </w:rPr>
        <w:t>项目联系人及相关约定</w:t>
      </w:r>
    </w:p>
    <w:p>
      <w:pPr>
        <w:numPr>
          <w:ilvl w:val="0"/>
          <w:numId w:val="32"/>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3"/>
        </w:numPr>
        <w:ind w:hanging="5"/>
        <w:rPr>
          <w:rFonts w:hint="eastAsia"/>
          <w:u w:val="single"/>
        </w:rPr>
      </w:pPr>
      <w:r>
        <w:rPr>
          <w:rFonts w:hint="eastAsia"/>
          <w:sz w:val="24"/>
          <w:szCs w:val="24"/>
          <w:u w:val="single"/>
        </w:rPr>
        <w:t xml:space="preserve">                                                            ；</w:t>
      </w:r>
    </w:p>
    <w:p>
      <w:pPr>
        <w:numPr>
          <w:ilvl w:val="0"/>
          <w:numId w:val="33"/>
        </w:numPr>
        <w:ind w:hanging="5"/>
        <w:rPr>
          <w:rFonts w:hint="eastAsia"/>
          <w:u w:val="single"/>
        </w:rPr>
      </w:pPr>
      <w:r>
        <w:rPr>
          <w:rFonts w:hint="eastAsia"/>
          <w:sz w:val="24"/>
          <w:szCs w:val="24"/>
          <w:u w:val="single"/>
        </w:rPr>
        <w:t xml:space="preserve">                                                            ； </w:t>
      </w:r>
    </w:p>
    <w:p>
      <w:pPr>
        <w:numPr>
          <w:ilvl w:val="0"/>
          <w:numId w:val="33"/>
        </w:numPr>
        <w:ind w:hanging="5"/>
        <w:rPr>
          <w:u w:val="single"/>
        </w:rPr>
      </w:pPr>
      <w:r>
        <w:rPr>
          <w:rFonts w:hint="eastAsia"/>
          <w:sz w:val="24"/>
          <w:szCs w:val="24"/>
          <w:u w:val="single"/>
        </w:rPr>
        <w:t xml:space="preserve">                                                            ；</w:t>
      </w:r>
    </w:p>
    <w:p>
      <w:pPr>
        <w:numPr>
          <w:ilvl w:val="0"/>
          <w:numId w:val="33"/>
        </w:numPr>
        <w:ind w:hanging="5"/>
        <w:rPr>
          <w:rFonts w:hint="eastAsia"/>
          <w:u w:val="single"/>
        </w:rPr>
      </w:pPr>
      <w:r>
        <w:rPr>
          <w:rFonts w:hint="eastAsia"/>
          <w:sz w:val="24"/>
          <w:szCs w:val="24"/>
          <w:u w:val="single"/>
        </w:rPr>
        <w:t xml:space="preserve">                                                            。</w:t>
      </w:r>
    </w:p>
    <w:p>
      <w:pPr>
        <w:numPr>
          <w:ilvl w:val="0"/>
          <w:numId w:val="32"/>
        </w:numPr>
        <w:ind w:left="0" w:firstLine="480" w:firstLineChars="200"/>
        <w:rPr>
          <w:rFonts w:hint="eastAsia"/>
        </w:rPr>
      </w:pPr>
      <w:r>
        <w:rPr>
          <w:rFonts w:hint="eastAsia"/>
          <w:sz w:val="24"/>
          <w:szCs w:val="24"/>
        </w:rPr>
        <w:t>联系人变更约定</w:t>
      </w:r>
    </w:p>
    <w:p>
      <w:pPr>
        <w:numPr>
          <w:ilvl w:val="0"/>
          <w:numId w:val="34"/>
        </w:numPr>
        <w:ind w:left="5" w:firstLine="415"/>
      </w:pPr>
      <w:r>
        <w:rPr>
          <w:sz w:val="24"/>
          <w:szCs w:val="24"/>
        </w:rPr>
        <w:t>一方变更项目联系人的，应当及时以书面形式通知另一方。未及时通知并影响本合同履行或造成损失的，应承担相应的责任。</w:t>
      </w:r>
    </w:p>
    <w:p>
      <w:pPr>
        <w:numPr>
          <w:ilvl w:val="0"/>
          <w:numId w:val="34"/>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4"/>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2"/>
        </w:numPr>
        <w:ind w:left="0" w:firstLine="480" w:firstLineChars="200"/>
        <w:rPr>
          <w:sz w:val="24"/>
          <w:szCs w:val="24"/>
        </w:rPr>
      </w:pPr>
      <w:bookmarkStart w:id="155" w:name="_Toc150439567"/>
      <w:r>
        <w:rPr>
          <w:rFonts w:hint="eastAsia"/>
          <w:sz w:val="24"/>
          <w:szCs w:val="24"/>
        </w:rPr>
        <w:t>项目交付</w:t>
      </w:r>
      <w:bookmarkEnd w:id="155"/>
    </w:p>
    <w:p>
      <w:pPr>
        <w:numPr>
          <w:ilvl w:val="0"/>
          <w:numId w:val="35"/>
        </w:numPr>
        <w:ind w:left="0" w:firstLine="480" w:firstLineChars="200"/>
        <w:rPr>
          <w:rFonts w:hint="eastAsia"/>
        </w:rPr>
      </w:pPr>
      <w:r>
        <w:rPr>
          <w:rFonts w:hint="eastAsia"/>
          <w:sz w:val="24"/>
          <w:szCs w:val="24"/>
        </w:rPr>
        <w:t>乙方应当按以下方式向甲方交付研究开发成果：</w:t>
      </w:r>
    </w:p>
    <w:p>
      <w:pPr>
        <w:numPr>
          <w:ilvl w:val="0"/>
          <w:numId w:val="36"/>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36"/>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36"/>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5"/>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7"/>
        </w:numPr>
        <w:ind w:left="0" w:firstLine="480" w:firstLineChars="200"/>
        <w:rPr>
          <w:rFonts w:hint="eastAsia"/>
        </w:rPr>
      </w:pPr>
      <w:r>
        <w:rPr>
          <w:rFonts w:hint="eastAsia"/>
          <w:sz w:val="24"/>
          <w:szCs w:val="24"/>
        </w:rPr>
        <w:t>确保达到系统正常运行条件和相关技术标准及业务要求；</w:t>
      </w:r>
    </w:p>
    <w:p>
      <w:pPr>
        <w:numPr>
          <w:ilvl w:val="0"/>
          <w:numId w:val="37"/>
        </w:numPr>
        <w:ind w:left="0" w:firstLine="480" w:firstLineChars="200"/>
        <w:rPr>
          <w:rFonts w:hint="eastAsia"/>
        </w:rPr>
      </w:pPr>
      <w:r>
        <w:rPr>
          <w:rFonts w:hint="eastAsia"/>
          <w:sz w:val="24"/>
          <w:szCs w:val="24"/>
        </w:rPr>
        <w:t>系统数据达到规范要求，运行正常；</w:t>
      </w:r>
    </w:p>
    <w:p>
      <w:pPr>
        <w:numPr>
          <w:ilvl w:val="0"/>
          <w:numId w:val="37"/>
        </w:numPr>
        <w:ind w:left="0" w:firstLine="480" w:firstLineChars="200"/>
        <w:rPr>
          <w:rFonts w:hint="eastAsia"/>
        </w:rPr>
      </w:pPr>
      <w:r>
        <w:rPr>
          <w:rFonts w:hint="eastAsia"/>
          <w:sz w:val="24"/>
          <w:szCs w:val="24"/>
        </w:rPr>
        <w:t>系统运行保证安全稳定；</w:t>
      </w:r>
    </w:p>
    <w:p>
      <w:pPr>
        <w:numPr>
          <w:ilvl w:val="0"/>
          <w:numId w:val="37"/>
        </w:numPr>
        <w:ind w:left="0" w:firstLine="480" w:firstLineChars="200"/>
        <w:rPr>
          <w:rFonts w:hint="eastAsia"/>
        </w:rPr>
      </w:pPr>
      <w:r>
        <w:rPr>
          <w:rFonts w:hint="eastAsia"/>
          <w:sz w:val="24"/>
          <w:szCs w:val="24"/>
        </w:rPr>
        <w:t>平台业务运行机制要完整。</w:t>
      </w:r>
    </w:p>
    <w:p>
      <w:pPr>
        <w:numPr>
          <w:ilvl w:val="0"/>
          <w:numId w:val="35"/>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2"/>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8"/>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r>
        <w:rPr>
          <w:rFonts w:hint="eastAsia"/>
          <w:sz w:val="24"/>
          <w:szCs w:val="24"/>
        </w:rPr>
        <w:t>;</w:t>
      </w:r>
    </w:p>
    <w:p>
      <w:pPr>
        <w:numPr>
          <w:ilvl w:val="0"/>
          <w:numId w:val="39"/>
        </w:numPr>
        <w:ind w:hanging="5"/>
        <w:rPr>
          <w:rFonts w:hint="eastAsia"/>
        </w:rPr>
      </w:pPr>
      <w:r>
        <w:rPr>
          <w:rFonts w:hint="eastAsia"/>
          <w:sz w:val="24"/>
          <w:szCs w:val="24"/>
          <w:u w:val="single"/>
        </w:rPr>
        <w:t xml:space="preserve">                                                            。</w:t>
      </w:r>
    </w:p>
    <w:p>
      <w:pPr>
        <w:numPr>
          <w:ilvl w:val="0"/>
          <w:numId w:val="38"/>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8"/>
        </w:numPr>
        <w:tabs>
          <w:tab w:val="left" w:pos="720"/>
        </w:tabs>
        <w:ind w:left="0" w:firstLine="480" w:firstLineChars="200"/>
        <w:rPr>
          <w:rFonts w:hint="eastAsia"/>
        </w:rPr>
      </w:pPr>
      <w:r>
        <w:rPr>
          <w:rFonts w:hint="eastAsia"/>
          <w:sz w:val="24"/>
          <w:szCs w:val="24"/>
        </w:rPr>
        <w:t>履约保证金或履约保函</w:t>
      </w:r>
    </w:p>
    <w:p>
      <w:pPr>
        <w:numPr>
          <w:ilvl w:val="0"/>
          <w:numId w:val="40"/>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40"/>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40"/>
        </w:numPr>
        <w:tabs>
          <w:tab w:val="left" w:pos="720"/>
        </w:tabs>
        <w:ind w:left="0" w:firstLine="420"/>
        <w:rPr>
          <w:rFonts w:hint="eastAsia"/>
        </w:rPr>
      </w:pPr>
      <w:r>
        <w:rPr>
          <w:rFonts w:hint="eastAsia"/>
          <w:sz w:val="24"/>
          <w:szCs w:val="24"/>
        </w:rPr>
        <w:t>履约保证金应用本合同货币。</w:t>
      </w:r>
    </w:p>
    <w:p>
      <w:pPr>
        <w:numPr>
          <w:ilvl w:val="0"/>
          <w:numId w:val="38"/>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8"/>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41"/>
        </w:numPr>
        <w:tabs>
          <w:tab w:val="left" w:pos="720"/>
        </w:tabs>
        <w:ind w:left="0" w:firstLine="420"/>
        <w:rPr>
          <w:rFonts w:hint="eastAsia"/>
        </w:rPr>
      </w:pPr>
      <w:r>
        <w:rPr>
          <w:rFonts w:hint="eastAsia"/>
          <w:sz w:val="24"/>
          <w:szCs w:val="24"/>
        </w:rPr>
        <w:t>乙方丧失继续完成本合同的基本条件或能力时；</w:t>
      </w:r>
    </w:p>
    <w:p>
      <w:pPr>
        <w:numPr>
          <w:ilvl w:val="0"/>
          <w:numId w:val="41"/>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41"/>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41"/>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2"/>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2"/>
        </w:numPr>
        <w:ind w:left="0" w:firstLine="480" w:firstLineChars="200"/>
        <w:rPr>
          <w:sz w:val="24"/>
          <w:szCs w:val="24"/>
        </w:rPr>
      </w:pPr>
      <w:bookmarkStart w:id="156" w:name="_Toc150439568"/>
      <w:bookmarkStart w:id="157" w:name="_Toc150424390"/>
      <w:bookmarkStart w:id="158" w:name="_Toc150434311"/>
      <w:bookmarkStart w:id="159" w:name="_Toc150434215"/>
      <w:bookmarkStart w:id="160" w:name="_Toc150439569"/>
      <w:bookmarkEnd w:id="156"/>
      <w:bookmarkEnd w:id="157"/>
      <w:bookmarkEnd w:id="158"/>
      <w:bookmarkEnd w:id="159"/>
      <w:r>
        <w:rPr>
          <w:rFonts w:hint="eastAsia"/>
          <w:sz w:val="24"/>
          <w:szCs w:val="24"/>
        </w:rPr>
        <w:t>项目验收</w:t>
      </w:r>
      <w:bookmarkEnd w:id="160"/>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42"/>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42"/>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42"/>
        </w:numPr>
        <w:ind w:left="0" w:firstLine="420"/>
        <w:rPr>
          <w:rFonts w:hint="eastAsia"/>
          <w:u w:val="single"/>
        </w:rPr>
      </w:pPr>
      <w:r>
        <w:rPr>
          <w:rFonts w:hint="eastAsia"/>
          <w:sz w:val="24"/>
          <w:szCs w:val="24"/>
          <w:u w:val="single"/>
        </w:rPr>
        <w:t xml:space="preserve">全部源代码（电子版）及说明；                                   </w:t>
      </w:r>
    </w:p>
    <w:p>
      <w:pPr>
        <w:numPr>
          <w:ilvl w:val="0"/>
          <w:numId w:val="42"/>
        </w:numPr>
        <w:ind w:left="0" w:firstLine="420"/>
        <w:rPr>
          <w:rFonts w:hint="eastAsia"/>
          <w:u w:val="single"/>
        </w:rPr>
      </w:pPr>
      <w:r>
        <w:rPr>
          <w:rFonts w:hint="eastAsia"/>
          <w:sz w:val="24"/>
          <w:szCs w:val="24"/>
          <w:u w:val="single"/>
        </w:rPr>
        <w:t xml:space="preserve">试运行方案、记录、报告、试运行改进报告                         </w:t>
      </w:r>
    </w:p>
    <w:p>
      <w:pPr>
        <w:numPr>
          <w:ilvl w:val="0"/>
          <w:numId w:val="42"/>
        </w:numPr>
        <w:ind w:left="0" w:firstLine="420"/>
        <w:rPr>
          <w:rFonts w:hint="eastAsia"/>
          <w:u w:val="single"/>
        </w:rPr>
      </w:pPr>
      <w:r>
        <w:rPr>
          <w:rFonts w:hint="eastAsia"/>
          <w:sz w:val="24"/>
          <w:szCs w:val="24"/>
          <w:u w:val="single"/>
        </w:rPr>
        <w:t xml:space="preserve">合同验收文件、开发总结报告、交接清单                           </w:t>
      </w:r>
    </w:p>
    <w:p>
      <w:pPr>
        <w:numPr>
          <w:ilvl w:val="0"/>
          <w:numId w:val="42"/>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2"/>
        </w:numPr>
        <w:ind w:left="0" w:firstLine="480" w:firstLineChars="200"/>
        <w:rPr>
          <w:sz w:val="24"/>
          <w:szCs w:val="24"/>
        </w:rPr>
      </w:pPr>
      <w:bookmarkStart w:id="161" w:name="_Toc150439566"/>
      <w:r>
        <w:rPr>
          <w:rFonts w:hint="eastAsia"/>
          <w:sz w:val="24"/>
          <w:szCs w:val="24"/>
        </w:rPr>
        <w:t>质量保证</w:t>
      </w:r>
      <w:bookmarkEnd w:id="161"/>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3"/>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3"/>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3"/>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3"/>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3"/>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2"/>
        </w:numPr>
        <w:ind w:left="0" w:firstLine="480" w:firstLineChars="200"/>
        <w:rPr>
          <w:sz w:val="24"/>
          <w:szCs w:val="24"/>
        </w:rPr>
      </w:pPr>
      <w:bookmarkStart w:id="162" w:name="_Toc150439603"/>
      <w:bookmarkStart w:id="163" w:name="_Toc150434250"/>
      <w:bookmarkStart w:id="164" w:name="_Toc150424425"/>
      <w:bookmarkStart w:id="165" w:name="_Toc150434346"/>
      <w:bookmarkStart w:id="166" w:name="_Toc150439612"/>
      <w:bookmarkEnd w:id="162"/>
      <w:bookmarkEnd w:id="163"/>
      <w:bookmarkEnd w:id="164"/>
      <w:bookmarkEnd w:id="165"/>
      <w:r>
        <w:rPr>
          <w:rFonts w:hint="eastAsia"/>
          <w:sz w:val="24"/>
          <w:szCs w:val="24"/>
        </w:rPr>
        <w:t>保密条款（保密协议）</w:t>
      </w:r>
      <w:bookmarkEnd w:id="166"/>
    </w:p>
    <w:p>
      <w:pPr>
        <w:ind w:firstLine="480" w:firstLineChars="200"/>
        <w:rPr>
          <w:rFonts w:hint="eastAsia"/>
        </w:rPr>
      </w:pPr>
      <w:r>
        <w:rPr>
          <w:rFonts w:hint="eastAsia"/>
          <w:sz w:val="24"/>
          <w:szCs w:val="24"/>
        </w:rPr>
        <w:t>甲方因履行本合同应遵守的保密义务如下：</w:t>
      </w:r>
    </w:p>
    <w:p>
      <w:pPr>
        <w:numPr>
          <w:ilvl w:val="0"/>
          <w:numId w:val="44"/>
        </w:numPr>
        <w:ind w:left="0" w:firstLine="480" w:firstLineChars="200"/>
        <w:rPr>
          <w:rFonts w:hint="eastAsia"/>
        </w:rPr>
      </w:pPr>
      <w:bookmarkStart w:id="167"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4"/>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4"/>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4"/>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167"/>
      <w:r>
        <w:rPr>
          <w:rFonts w:hint="eastAsia"/>
          <w:sz w:val="24"/>
          <w:szCs w:val="24"/>
        </w:rPr>
        <w:t>乙方因履行本合同应遵守的保密义务如下：</w:t>
      </w:r>
    </w:p>
    <w:p>
      <w:pPr>
        <w:numPr>
          <w:ilvl w:val="0"/>
          <w:numId w:val="45"/>
        </w:numPr>
        <w:ind w:left="0" w:firstLine="480" w:firstLineChars="200"/>
        <w:rPr>
          <w:rFonts w:hint="eastAsia"/>
        </w:rPr>
      </w:pPr>
      <w:r>
        <w:rPr>
          <w:rFonts w:hint="eastAsia"/>
          <w:sz w:val="24"/>
          <w:szCs w:val="24"/>
        </w:rPr>
        <w:t>保密内容（包括技术信息和经营信息）：</w:t>
      </w:r>
    </w:p>
    <w:p>
      <w:pPr>
        <w:numPr>
          <w:ilvl w:val="0"/>
          <w:numId w:val="46"/>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6"/>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6"/>
        </w:numPr>
        <w:ind w:left="0" w:firstLine="420"/>
        <w:rPr>
          <w:u w:val="single"/>
        </w:rPr>
      </w:pPr>
      <w:r>
        <w:rPr>
          <w:rFonts w:hint="eastAsia"/>
          <w:sz w:val="24"/>
          <w:szCs w:val="24"/>
          <w:u w:val="single"/>
        </w:rPr>
        <w:t xml:space="preserve">涉及国家秘密和安全的 ，依照有关保密规定执行。                          </w:t>
      </w:r>
    </w:p>
    <w:p>
      <w:pPr>
        <w:numPr>
          <w:ilvl w:val="0"/>
          <w:numId w:val="45"/>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5"/>
        </w:numPr>
        <w:ind w:left="0" w:firstLine="480" w:firstLineChars="200"/>
        <w:rPr>
          <w:rFonts w:hint="eastAsia"/>
        </w:rPr>
      </w:pPr>
      <w:r>
        <w:rPr>
          <w:rFonts w:hint="eastAsia"/>
          <w:sz w:val="24"/>
          <w:szCs w:val="24"/>
        </w:rPr>
        <w:t>保密期限：</w:t>
      </w:r>
      <w:bookmarkStart w:id="168" w:name="_Hlk150343509"/>
      <w:r>
        <w:rPr>
          <w:rFonts w:hint="eastAsia"/>
          <w:sz w:val="24"/>
          <w:szCs w:val="24"/>
          <w:u w:val="single"/>
        </w:rPr>
        <w:t xml:space="preserve">      本条规定持续有效，不因本合同终止或解除而失效  </w:t>
      </w:r>
      <w:bookmarkEnd w:id="168"/>
    </w:p>
    <w:p>
      <w:pPr>
        <w:numPr>
          <w:ilvl w:val="0"/>
          <w:numId w:val="45"/>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2"/>
        </w:numPr>
        <w:ind w:left="0" w:firstLine="480" w:firstLineChars="200"/>
        <w:rPr>
          <w:sz w:val="24"/>
          <w:szCs w:val="24"/>
        </w:rPr>
      </w:pPr>
      <w:bookmarkStart w:id="169" w:name="_Toc150439618"/>
      <w:r>
        <w:rPr>
          <w:rFonts w:hint="eastAsia"/>
          <w:sz w:val="24"/>
          <w:szCs w:val="24"/>
        </w:rPr>
        <w:t>违约</w:t>
      </w:r>
      <w:r>
        <w:rPr>
          <w:sz w:val="24"/>
          <w:szCs w:val="24"/>
        </w:rPr>
        <w:t>责任及赔偿</w:t>
      </w:r>
      <w:bookmarkEnd w:id="169"/>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7"/>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7"/>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7"/>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7"/>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7"/>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7"/>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7"/>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7"/>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2"/>
        </w:numPr>
        <w:ind w:left="0" w:firstLine="480" w:firstLineChars="200"/>
        <w:rPr>
          <w:sz w:val="24"/>
          <w:szCs w:val="24"/>
        </w:rPr>
      </w:pPr>
      <w:bookmarkStart w:id="170" w:name="_Toc150439619"/>
      <w:r>
        <w:rPr>
          <w:rFonts w:hint="eastAsia"/>
          <w:sz w:val="24"/>
          <w:szCs w:val="24"/>
        </w:rPr>
        <w:t>争议的解决</w:t>
      </w:r>
      <w:bookmarkEnd w:id="170"/>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2"/>
        </w:numPr>
        <w:ind w:left="0" w:firstLine="0"/>
        <w:rPr>
          <w:sz w:val="24"/>
          <w:szCs w:val="24"/>
        </w:rPr>
      </w:pPr>
      <w:bookmarkStart w:id="171" w:name="_Toc150439621"/>
      <w:r>
        <w:rPr>
          <w:rFonts w:hint="eastAsia"/>
          <w:sz w:val="24"/>
          <w:szCs w:val="24"/>
        </w:rPr>
        <w:t>不可抗力</w:t>
      </w:r>
      <w:bookmarkEnd w:id="171"/>
    </w:p>
    <w:p>
      <w:pPr>
        <w:numPr>
          <w:ilvl w:val="0"/>
          <w:numId w:val="48"/>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9"/>
        </w:numPr>
        <w:ind w:hanging="5"/>
        <w:rPr>
          <w:rFonts w:hint="eastAsia"/>
        </w:rPr>
      </w:pPr>
      <w:r>
        <w:rPr>
          <w:rFonts w:hint="eastAsia"/>
          <w:sz w:val="24"/>
          <w:szCs w:val="24"/>
        </w:rPr>
        <w:t>本合同项目在现有技术水平条件下具有足够的难度；</w:t>
      </w:r>
    </w:p>
    <w:p>
      <w:pPr>
        <w:numPr>
          <w:ilvl w:val="0"/>
          <w:numId w:val="49"/>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8"/>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8"/>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50"/>
        </w:numPr>
        <w:ind w:hanging="5"/>
        <w:rPr>
          <w:rFonts w:hint="eastAsia"/>
        </w:rPr>
      </w:pPr>
      <w:r>
        <w:rPr>
          <w:rFonts w:hint="eastAsia"/>
          <w:sz w:val="24"/>
          <w:szCs w:val="24"/>
        </w:rPr>
        <w:t>因发生不可抗力或技术风险；</w:t>
      </w:r>
    </w:p>
    <w:p>
      <w:pPr>
        <w:numPr>
          <w:ilvl w:val="0"/>
          <w:numId w:val="50"/>
        </w:numPr>
        <w:ind w:hanging="5"/>
        <w:rPr>
          <w:rFonts w:hint="eastAsia"/>
        </w:rPr>
      </w:pPr>
      <w:r>
        <w:rPr>
          <w:rFonts w:hint="eastAsia"/>
          <w:sz w:val="24"/>
          <w:szCs w:val="24"/>
        </w:rPr>
        <w:t>因一方未按约定履行合同义务支付款项的；</w:t>
      </w:r>
    </w:p>
    <w:p>
      <w:pPr>
        <w:numPr>
          <w:ilvl w:val="0"/>
          <w:numId w:val="50"/>
        </w:numPr>
        <w:ind w:hanging="5"/>
        <w:rPr>
          <w:rFonts w:hint="eastAsia"/>
        </w:rPr>
      </w:pPr>
      <w:r>
        <w:rPr>
          <w:rFonts w:hint="eastAsia"/>
          <w:sz w:val="24"/>
          <w:szCs w:val="24"/>
        </w:rPr>
        <w:t>因一方未按期完成合同约定的项目开发任务。</w:t>
      </w:r>
    </w:p>
    <w:p>
      <w:pPr>
        <w:pStyle w:val="Heading2"/>
        <w:numPr>
          <w:ilvl w:val="0"/>
          <w:numId w:val="12"/>
        </w:numPr>
        <w:ind w:left="0" w:firstLine="480" w:firstLineChars="200"/>
        <w:rPr>
          <w:rFonts w:hint="eastAsia"/>
          <w:sz w:val="24"/>
          <w:szCs w:val="24"/>
        </w:rPr>
      </w:pPr>
      <w:bookmarkStart w:id="172" w:name="_Toc150439624"/>
      <w:r>
        <w:rPr>
          <w:rFonts w:hint="eastAsia"/>
          <w:sz w:val="24"/>
          <w:szCs w:val="24"/>
        </w:rPr>
        <w:t>本合同的变更</w:t>
      </w:r>
      <w:bookmarkEnd w:id="172"/>
    </w:p>
    <w:p>
      <w:pPr>
        <w:numPr>
          <w:ilvl w:val="0"/>
          <w:numId w:val="51"/>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51"/>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2"/>
        </w:numPr>
        <w:ind w:left="0" w:firstLine="480" w:firstLineChars="200"/>
        <w:rPr>
          <w:sz w:val="24"/>
          <w:szCs w:val="24"/>
        </w:rPr>
      </w:pPr>
      <w:bookmarkStart w:id="173" w:name="_Toc150439622"/>
      <w:bookmarkStart w:id="174" w:name="_Toc150424441"/>
      <w:bookmarkStart w:id="175" w:name="_Toc150434362"/>
      <w:bookmarkStart w:id="176" w:name="_Toc150434266"/>
      <w:bookmarkStart w:id="177" w:name="_Toc150439623"/>
      <w:bookmarkEnd w:id="173"/>
      <w:bookmarkEnd w:id="174"/>
      <w:bookmarkEnd w:id="175"/>
      <w:bookmarkEnd w:id="176"/>
      <w:r>
        <w:rPr>
          <w:rFonts w:hint="eastAsia"/>
          <w:sz w:val="24"/>
          <w:szCs w:val="24"/>
        </w:rPr>
        <w:t>其它</w:t>
      </w:r>
      <w:bookmarkEnd w:id="177"/>
    </w:p>
    <w:p>
      <w:pPr>
        <w:ind w:left="420" w:leftChars="200"/>
      </w:pPr>
      <w:r>
        <w:rPr>
          <w:rFonts w:hint="eastAsia"/>
          <w:sz w:val="24"/>
          <w:szCs w:val="24"/>
        </w:rPr>
        <w:t>本合同未尽事宜，由双方协商后按有关程序办理，并以书面形式进行确定。</w:t>
      </w:r>
    </w:p>
    <w:p>
      <w:pPr>
        <w:pStyle w:val="Heading2"/>
        <w:numPr>
          <w:ilvl w:val="0"/>
          <w:numId w:val="12"/>
        </w:numPr>
        <w:ind w:left="0" w:firstLine="480" w:firstLineChars="200"/>
        <w:rPr>
          <w:rFonts w:hint="eastAsia"/>
          <w:sz w:val="24"/>
          <w:szCs w:val="24"/>
        </w:rPr>
      </w:pPr>
      <w:bookmarkStart w:id="178" w:name="_Toc150439626"/>
      <w:r>
        <w:rPr>
          <w:rFonts w:hint="eastAsia"/>
          <w:sz w:val="24"/>
          <w:szCs w:val="24"/>
        </w:rPr>
        <w:t>合同生效</w:t>
      </w:r>
      <w:bookmarkEnd w:id="178"/>
    </w:p>
    <w:p>
      <w:pPr>
        <w:numPr>
          <w:ilvl w:val="0"/>
          <w:numId w:val="52"/>
        </w:numPr>
        <w:ind w:left="0" w:firstLine="480" w:firstLineChars="200"/>
      </w:pPr>
      <w:r>
        <w:rPr>
          <w:rFonts w:hint="eastAsia"/>
          <w:sz w:val="24"/>
          <w:szCs w:val="24"/>
        </w:rPr>
        <w:t>本合同经双方法定代表人或授权代表签字并加盖公章之日起生效，至质保期结束终止。</w:t>
      </w:r>
    </w:p>
    <w:p>
      <w:pPr>
        <w:numPr>
          <w:ilvl w:val="0"/>
          <w:numId w:val="52"/>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79" w:name="_Hlk99802248"/>
    </w:p>
    <w:p>
      <w:pPr>
        <w:jc w:val="center"/>
        <w:rPr>
          <w:rFonts w:hint="eastAsia"/>
          <w:spacing w:val="-16"/>
          <w:sz w:val="44"/>
          <w:szCs w:val="44"/>
        </w:rPr>
      </w:pPr>
      <w:r>
        <w:rPr>
          <w:rFonts w:hint="eastAsia"/>
          <w:spacing w:val="-16"/>
          <w:sz w:val="44"/>
          <w:szCs w:val="44"/>
        </w:rPr>
        <w:t>安全保密承诺书</w:t>
      </w:r>
      <w:bookmarkEnd w:id="179"/>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3"/>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440"/>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 w:rsidR="00A77B3E"/>
    <w:p>
      <w:pPr>
        <w:ind w:right="-210" w:rightChars="-100"/>
        <w:jc w:val="center"/>
        <w:rPr>
          <w:rFonts w:ascii="方正小标宋简体" w:eastAsia="方正小标宋简体" w:hAnsi="方正小标宋简体" w:cs="方正小标宋简体" w:hint="eastAsia"/>
          <w:bCs/>
          <w:sz w:val="44"/>
          <w:szCs w:val="44"/>
        </w:rPr>
      </w:pPr>
      <w:bookmarkEnd w:id="135"/>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C831FF63"/>
    <w:multiLevelType w:val="singleLevel"/>
    <w:tmpl w:val="C831FF63"/>
    <w:lvl w:ilvl="0">
      <w:start w:val="1"/>
      <w:numFmt w:val="decimal"/>
      <w:suff w:val="nothing"/>
      <w:lvlText w:val="%1、"/>
      <w:lvlJc w:val="left"/>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F3F1685"/>
    <w:multiLevelType w:val="singleLevel"/>
    <w:tmpl w:val="FF3F1685"/>
    <w:lvl w:ilvl="0">
      <w:start w:val="1"/>
      <w:numFmt w:val="decimal"/>
      <w:lvlText w:val="%1)"/>
      <w:lvlJc w:val="left"/>
      <w:pPr>
        <w:ind w:left="425" w:hanging="425"/>
      </w:pPr>
      <w:rPr>
        <w:rFonts w:hint="default"/>
      </w:r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2D6688F"/>
    <w:multiLevelType w:val="multilevel"/>
    <w:tmpl w:val="02D6688F"/>
    <w:lvl w:ilvl="0">
      <w:start w:val="2"/>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3."/>
      <w:lvlJc w:val="left"/>
      <w:pPr>
        <w:ind w:left="709" w:hanging="709"/>
      </w:pPr>
      <w:rPr>
        <w:rFonts w:ascii="宋体" w:eastAsia="宋体" w:hAnsi="宋体" w:cs="Times New Roman" w:hint="default"/>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0F251FE"/>
    <w:multiLevelType w:val="multilevel"/>
    <w:tmpl w:val="10F251FE"/>
    <w:lvl w:ilvl="0">
      <w:start w:val="1"/>
      <w:numFmt w:val="decimal"/>
      <w:lvlText w:val="%1."/>
      <w:lvlJc w:val="left"/>
      <w:pPr>
        <w:ind w:left="425" w:hanging="425"/>
      </w:p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6002861"/>
    <w:multiLevelType w:val="multilevel"/>
    <w:tmpl w:val="16002861"/>
    <w:lvl w:ilvl="0">
      <w:start w:val="3"/>
      <w:numFmt w:val="decimal"/>
      <w:lvlText w:val="%1."/>
      <w:lvlJc w:val="left"/>
      <w:pPr>
        <w:ind w:left="425" w:hanging="425"/>
      </w:pPr>
      <w:rPr>
        <w:rFonts w:hint="eastAsia"/>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73135A6"/>
    <w:multiLevelType w:val="multilevel"/>
    <w:tmpl w:val="273135A6"/>
    <w:lvl w:ilvl="0">
      <w:start w:val="1"/>
      <w:numFmt w:val="decimal"/>
      <w:pStyle w:val="Heading1"/>
      <w:lvlText w:val="%1."/>
      <w:lvlJc w:val="left"/>
      <w:pPr>
        <w:ind w:left="2978" w:hanging="425"/>
      </w:pPr>
      <w:rPr>
        <w:rFonts w:ascii="Times New Roman" w:hAnsi="Times New Roman" w:cs="Times New Roman" w:hint="default"/>
      </w:rPr>
    </w:lvl>
    <w:lvl w:ilvl="1">
      <w:start w:val="1"/>
      <w:numFmt w:val="decimal"/>
      <w:lvlText w:val="%1.%2."/>
      <w:lvlJc w:val="left"/>
      <w:pPr>
        <w:ind w:left="567" w:hanging="567"/>
      </w:pPr>
      <w:rPr>
        <w:rFonts w:ascii="宋体" w:eastAsia="宋体" w:hAnsi="宋体"/>
      </w:rPr>
    </w:lvl>
    <w:lvl w:ilvl="2">
      <w:start w:val="1"/>
      <w:numFmt w:val="decimal"/>
      <w:lvlText w:val="%1.%2.%3."/>
      <w:lvlJc w:val="left"/>
      <w:pPr>
        <w:ind w:left="709" w:hanging="709"/>
      </w:pPr>
      <w:rPr>
        <w:rFonts w:ascii="宋体" w:eastAsia="宋体" w:hAnsi="宋体"/>
      </w:rPr>
    </w:lvl>
    <w:lvl w:ilvl="3">
      <w:start w:val="1"/>
      <w:numFmt w:val="decimal"/>
      <w:lvlText w:val="%1.%2.%3.%4."/>
      <w:lvlJc w:val="left"/>
      <w:pPr>
        <w:ind w:left="851" w:hanging="851"/>
      </w:pPr>
      <w:rPr>
        <w:rFonts w:ascii="宋体" w:eastAsia="宋体" w:hAnsi="宋体"/>
      </w:r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34BE088D"/>
    <w:multiLevelType w:val="multilevel"/>
    <w:tmpl w:val="34BE088D"/>
    <w:lvl w:ilvl="0">
      <w:start w:val="1"/>
      <w:numFmt w:val="chineseCountingThousand"/>
      <w:lvlText w:val="(%1)"/>
      <w:lvlJc w:val="left"/>
      <w:pPr>
        <w:ind w:left="1000" w:hanging="440"/>
      </w:p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abstractNum w:abstractNumId="31">
    <w:nsid w:val="3EB60543"/>
    <w:multiLevelType w:val="multilevel"/>
    <w:tmpl w:val="3EB60543"/>
    <w:lvl w:ilvl="0">
      <w:start w:val="2"/>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3"/>
      <w:numFmt w:val="decimal"/>
      <w:lvlText w:val="%1.%2.%3."/>
      <w:lvlJc w:val="left"/>
      <w:pPr>
        <w:ind w:left="709" w:hanging="709"/>
      </w:pPr>
      <w:rPr>
        <w:rFonts w:hint="eastAsia"/>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2">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4C663CEC"/>
    <w:multiLevelType w:val="multilevel"/>
    <w:tmpl w:val="4C663CEC"/>
    <w:lvl w:ilvl="0">
      <w:start w:val="2"/>
      <w:numFmt w:val="decimal"/>
      <w:lvlText w:val="%1."/>
      <w:lvlJc w:val="left"/>
      <w:pPr>
        <w:ind w:left="425" w:hanging="425"/>
      </w:pPr>
      <w:rPr>
        <w:rFonts w:hint="eastAsia"/>
      </w:rPr>
    </w:lvl>
    <w:lvl w:ilvl="1">
      <w:start w:val="2"/>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ascii="宋体" w:eastAsia="宋体" w:hAnsi="宋体" w:cs="Times New Roman" w:hint="default"/>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6">
    <w:nsid w:val="4C7A993F"/>
    <w:multiLevelType w:val="singleLevel"/>
    <w:tmpl w:val="4C7A993F"/>
    <w:lvl w:ilvl="0">
      <w:start w:val="1"/>
      <w:numFmt w:val="decimal"/>
      <w:lvlText w:val="%1)"/>
      <w:lvlJc w:val="left"/>
      <w:pPr>
        <w:ind w:left="425" w:hanging="425"/>
      </w:pPr>
      <w:rPr>
        <w:rFonts w:hint="default"/>
      </w:rPr>
    </w:lvl>
  </w:abstractNum>
  <w:abstractNum w:abstractNumId="37">
    <w:nsid w:val="57FFC18B"/>
    <w:multiLevelType w:val="singleLevel"/>
    <w:tmpl w:val="57FFC18B"/>
    <w:lvl w:ilvl="0">
      <w:start w:val="1"/>
      <w:numFmt w:val="decimal"/>
      <w:lvlText w:val="%1)"/>
      <w:lvlJc w:val="left"/>
      <w:pPr>
        <w:ind w:left="425" w:hanging="425"/>
      </w:pPr>
      <w:rPr>
        <w:rFonts w:hint="default"/>
      </w:rPr>
    </w:lvl>
  </w:abstractNum>
  <w:abstractNum w:abstractNumId="38">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0">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1">
    <w:nsid w:val="64BEBB03"/>
    <w:multiLevelType w:val="singleLevel"/>
    <w:tmpl w:val="64BEBB03"/>
    <w:lvl w:ilvl="0">
      <w:start w:val="4"/>
      <w:numFmt w:val="chineseCounting"/>
      <w:suff w:val="nothing"/>
      <w:lvlText w:val="%1、"/>
      <w:lvlJc w:val="left"/>
      <w:rPr>
        <w:rFonts w:hint="eastAsia"/>
      </w:rPr>
    </w:lvl>
  </w:abstractNum>
  <w:abstractNum w:abstractNumId="42">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5">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nsid w:val="79F8DDAB"/>
    <w:multiLevelType w:val="singleLevel"/>
    <w:tmpl w:val="79F8DDAB"/>
    <w:lvl w:ilvl="0">
      <w:start w:val="1"/>
      <w:numFmt w:val="decimal"/>
      <w:lvlText w:val="%1)"/>
      <w:lvlJc w:val="left"/>
      <w:pPr>
        <w:ind w:left="425" w:hanging="425"/>
      </w:pPr>
      <w:rPr>
        <w:rFonts w:hint="default"/>
      </w:rPr>
    </w:lvl>
  </w:abstractNum>
  <w:abstractNum w:abstractNumId="49">
    <w:nsid w:val="7BF79D3F"/>
    <w:multiLevelType w:val="singleLevel"/>
    <w:tmpl w:val="7BF79D3F"/>
    <w:lvl w:ilvl="0">
      <w:start w:val="1"/>
      <w:numFmt w:val="decimal"/>
      <w:lvlText w:val="%1)"/>
      <w:lvlJc w:val="left"/>
      <w:pPr>
        <w:ind w:left="425" w:hanging="425"/>
      </w:pPr>
      <w:rPr>
        <w:rFonts w:hint="default"/>
      </w:rPr>
    </w:lvl>
  </w:abstractNum>
  <w:abstractNum w:abstractNumId="50">
    <w:nsid w:val="7FAFA353"/>
    <w:multiLevelType w:val="singleLevel"/>
    <w:tmpl w:val="7FAFA353"/>
    <w:lvl w:ilvl="0">
      <w:start w:val="1"/>
      <w:numFmt w:val="decimal"/>
      <w:lvlText w:val="%1)"/>
      <w:lvlJc w:val="left"/>
      <w:pPr>
        <w:ind w:left="425" w:hanging="425"/>
      </w:pPr>
      <w:rPr>
        <w:rFonts w:hint="default"/>
      </w:rPr>
    </w:lvl>
  </w:abstractNum>
  <w:abstractNum w:abstractNumId="51">
    <w:nsid w:val="7FDAC479"/>
    <w:multiLevelType w:val="singleLevel"/>
    <w:tmpl w:val="7FDAC479"/>
    <w:lvl w:ilvl="0">
      <w:start w:val="1"/>
      <w:numFmt w:val="decimal"/>
      <w:lvlText w:val="%1)"/>
      <w:lvlJc w:val="left"/>
      <w:pPr>
        <w:ind w:left="425" w:hanging="425"/>
      </w:pPr>
      <w:rPr>
        <w:rFonts w:hint="default"/>
      </w:rPr>
    </w:lvl>
  </w:abstractNum>
  <w:abstractNum w:abstractNumId="52">
    <w:nsid w:val="7FF73EAD"/>
    <w:multiLevelType w:val="singleLevel"/>
    <w:tmpl w:val="7FF73EAD"/>
    <w:lvl w:ilvl="0">
      <w:start w:val="1"/>
      <w:numFmt w:val="decimal"/>
      <w:lvlText w:val="%1)"/>
      <w:lvlJc w:val="left"/>
      <w:pPr>
        <w:ind w:left="425" w:hanging="425"/>
      </w:pPr>
      <w:rPr>
        <w:rFonts w:hint="default"/>
      </w:rPr>
    </w:lvl>
  </w:abstractNum>
  <w:abstractNum w:abstractNumId="53">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9"/>
  </w:num>
  <w:num w:numId="4">
    <w:abstractNumId w:val="27"/>
  </w:num>
  <w:num w:numId="5">
    <w:abstractNumId w:val="20"/>
  </w:num>
  <w:num w:numId="6">
    <w:abstractNumId w:val="17"/>
  </w:num>
  <w:num w:numId="7">
    <w:abstractNumId w:val="35"/>
  </w:num>
  <w:num w:numId="8">
    <w:abstractNumId w:val="30"/>
  </w:num>
  <w:num w:numId="9">
    <w:abstractNumId w:val="31"/>
  </w:num>
  <w:num w:numId="10">
    <w:abstractNumId w:val="24"/>
  </w:num>
  <w:num w:numId="11">
    <w:abstractNumId w:val="3"/>
  </w:num>
  <w:num w:numId="12">
    <w:abstractNumId w:val="26"/>
  </w:num>
  <w:num w:numId="13">
    <w:abstractNumId w:val="44"/>
  </w:num>
  <w:num w:numId="14">
    <w:abstractNumId w:val="25"/>
  </w:num>
  <w:num w:numId="15">
    <w:abstractNumId w:val="47"/>
  </w:num>
  <w:num w:numId="16">
    <w:abstractNumId w:val="2"/>
  </w:num>
  <w:num w:numId="17">
    <w:abstractNumId w:val="52"/>
  </w:num>
  <w:num w:numId="18">
    <w:abstractNumId w:val="6"/>
  </w:num>
  <w:num w:numId="19">
    <w:abstractNumId w:val="43"/>
  </w:num>
  <w:num w:numId="20">
    <w:abstractNumId w:val="12"/>
  </w:num>
  <w:num w:numId="21">
    <w:abstractNumId w:val="42"/>
  </w:num>
  <w:num w:numId="22">
    <w:abstractNumId w:val="40"/>
  </w:num>
  <w:num w:numId="23">
    <w:abstractNumId w:val="18"/>
  </w:num>
  <w:num w:numId="24">
    <w:abstractNumId w:val="46"/>
  </w:num>
  <w:num w:numId="25">
    <w:abstractNumId w:val="1"/>
  </w:num>
  <w:num w:numId="26">
    <w:abstractNumId w:val="48"/>
  </w:num>
  <w:num w:numId="27">
    <w:abstractNumId w:val="49"/>
  </w:num>
  <w:num w:numId="28">
    <w:abstractNumId w:val="37"/>
  </w:num>
  <w:num w:numId="29">
    <w:abstractNumId w:val="29"/>
  </w:num>
  <w:num w:numId="30">
    <w:abstractNumId w:val="8"/>
  </w:num>
  <w:num w:numId="31">
    <w:abstractNumId w:val="0"/>
  </w:num>
  <w:num w:numId="32">
    <w:abstractNumId w:val="22"/>
  </w:num>
  <w:num w:numId="33">
    <w:abstractNumId w:val="50"/>
  </w:num>
  <w:num w:numId="34">
    <w:abstractNumId w:val="36"/>
  </w:num>
  <w:num w:numId="35">
    <w:abstractNumId w:val="32"/>
  </w:num>
  <w:num w:numId="36">
    <w:abstractNumId w:val="51"/>
  </w:num>
  <w:num w:numId="37">
    <w:abstractNumId w:val="7"/>
  </w:num>
  <w:num w:numId="38">
    <w:abstractNumId w:val="45"/>
  </w:num>
  <w:num w:numId="39">
    <w:abstractNumId w:val="9"/>
  </w:num>
  <w:num w:numId="40">
    <w:abstractNumId w:val="5"/>
  </w:num>
  <w:num w:numId="41">
    <w:abstractNumId w:val="53"/>
  </w:num>
  <w:num w:numId="42">
    <w:abstractNumId w:val="11"/>
  </w:num>
  <w:num w:numId="43">
    <w:abstractNumId w:val="34"/>
  </w:num>
  <w:num w:numId="44">
    <w:abstractNumId w:val="38"/>
  </w:num>
  <w:num w:numId="45">
    <w:abstractNumId w:val="21"/>
  </w:num>
  <w:num w:numId="46">
    <w:abstractNumId w:val="13"/>
  </w:num>
  <w:num w:numId="47">
    <w:abstractNumId w:val="23"/>
  </w:num>
  <w:num w:numId="48">
    <w:abstractNumId w:val="39"/>
  </w:num>
  <w:num w:numId="49">
    <w:abstractNumId w:val="4"/>
  </w:num>
  <w:num w:numId="50">
    <w:abstractNumId w:val="10"/>
  </w:num>
  <w:num w:numId="51">
    <w:abstractNumId w:val="16"/>
  </w:num>
  <w:num w:numId="52">
    <w:abstractNumId w:val="33"/>
  </w:num>
  <w:num w:numId="53">
    <w:abstractNumId w:val="41"/>
  </w:num>
  <w:num w:numId="5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305"/>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5135"/>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TOC10">
    <w:name w:val="TOC 标题1"/>
    <w:basedOn w:val="Heading1"/>
    <w:next w:val="Normal"/>
    <w:uiPriority w:val="39"/>
    <w:unhideWhenUsed/>
    <w:qFormat/>
    <w:pPr>
      <w:pageBreakBefore/>
      <w:widowControl/>
      <w:numPr>
        <w:numId w:val="0"/>
      </w:numPr>
      <w:spacing w:before="240" w:after="0" w:line="259" w:lineRule="auto"/>
      <w:ind w:firstLine="0"/>
      <w:jc w:val="left"/>
      <w:outlineLvl w:val="9"/>
    </w:pPr>
    <w:rPr>
      <w:rFonts w:ascii="等线 Light" w:eastAsia="等线 Light" w:hAnsi="等线 Light"/>
      <w:b w:val="0"/>
      <w:bCs w:val="0"/>
      <w:color w:val="2F5496" w:themeShade="BF"/>
      <w:kern w:val="0"/>
      <w:sz w:val="32"/>
      <w:szCs w:val="32"/>
    </w:rPr>
  </w:style>
  <w:style w:type="paragraph" w:styleId="TOC2">
    <w:name w:val="toc 2"/>
    <w:basedOn w:val="Normal"/>
    <w:next w:val="Normal"/>
    <w:autoRedefine/>
    <w:uiPriority w:val="39"/>
    <w:unhideWhenUsed/>
    <w:qFormat/>
    <w:pPr>
      <w:spacing w:line="360" w:lineRule="auto"/>
      <w:ind w:left="420" w:firstLine="200" w:leftChars="200" w:firstLineChars="200"/>
    </w:pPr>
    <w:rPr>
      <w:rFonts w:ascii="Calibri" w:hAnsi="Calibri" w:cs="黑体"/>
      <w:sz w:val="28"/>
      <w:szCs w:val="22"/>
    </w:rPr>
  </w:style>
  <w:style w:type="paragraph" w:styleId="TOC3">
    <w:name w:val="toc 3"/>
    <w:basedOn w:val="Normal"/>
    <w:next w:val="Normal"/>
    <w:autoRedefine/>
    <w:uiPriority w:val="39"/>
    <w:unhideWhenUsed/>
    <w:qFormat/>
    <w:pPr>
      <w:spacing w:line="360" w:lineRule="auto"/>
      <w:ind w:left="840" w:firstLine="200" w:leftChars="400" w:firstLineChars="200"/>
    </w:pPr>
    <w:rPr>
      <w:rFonts w:ascii="Calibri" w:hAnsi="Calibri" w:cs="黑体"/>
      <w:sz w:val="28"/>
      <w:szCs w:val="22"/>
    </w:rPr>
  </w:style>
  <w:style w:type="paragraph" w:customStyle="1" w:styleId="a2">
    <w:name w:val="项目正文"/>
    <w:basedOn w:val="Normal"/>
    <w:link w:val="a3"/>
    <w:qFormat/>
    <w:pPr>
      <w:spacing w:line="572" w:lineRule="exact"/>
      <w:ind w:firstLine="632" w:firstLineChars="200"/>
    </w:pPr>
    <w:rPr>
      <w:rFonts w:eastAsia="仿宋_GB2312" w:cs="仿宋_GB2312"/>
      <w:color w:val="000000"/>
      <w:sz w:val="32"/>
      <w:szCs w:val="32"/>
    </w:rPr>
  </w:style>
  <w:style w:type="character" w:customStyle="1" w:styleId="a3">
    <w:name w:val="项目正文 字符"/>
    <w:link w:val="a2"/>
    <w:qFormat/>
    <w:rPr>
      <w:rFonts w:eastAsia="仿宋_GB2312" w:cs="仿宋_GB2312"/>
      <w:color w:val="000000"/>
      <w:sz w:val="32"/>
      <w:szCs w:val="3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