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观测试验基地天创系统采购项目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ZQCD-25164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观测试验基地天创系统采购项目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ZQCD-25164</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2025年08月18日 00:00:00</w:t>
      </w:r>
      <w:bookmarkEnd w:id="27"/>
      <w:r>
        <w:rPr>
          <w:rFonts w:ascii="宋体" w:hint="eastAsia"/>
          <w:szCs w:val="21"/>
          <w:highlight w:val="none"/>
        </w:rPr>
        <w:t>至</w:t>
      </w:r>
      <w:bookmarkStart w:id="28" w:name="项目公告_signUpLastTime"/>
      <w:r>
        <w:rPr>
          <w:rFonts w:ascii="宋体" w:hint="eastAsia"/>
          <w:szCs w:val="21"/>
          <w:highlight w:val="none"/>
        </w:rPr>
        <w:t>2025年08月25日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2025年09月22日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梁静舒</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010-68408740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标的：观测试验基地天创系统，属于软件和信息技术服务业行业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是，代理服务费：2.9万元。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276.000000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276.000000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 xml:space="preserve"> 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ISO9000系列或GJB9001B质量管理体系认证；</w:t>
              <w:cr/>
              <w:t>2、投标人具有ISO20000信息技术服务管理体系认证；</w:t>
              <w:cr/>
              <w:t>3、投标人具有ISO27001信息安全管理体系认证；</w:t>
              <w:cr/>
              <w:t>4、ISO45001职业健康安全管理体系认证证书或同等职业健康安全管理体系认证证书；</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1、需提供投标人的与项目相关的软件开发合同（必须包括合同首页、金额页、标的页、签字盖章页）复印件并加盖投标人公章。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勾选打分</w:t>
            </w:r>
            <w:r>
              <w:t>(8)</w:t>
            </w:r>
          </w:p>
        </w:tc>
        <w:tc>
          <w:tcPr/>
          <w:p>
            <w:r>
              <w:t>评审标准：</w:t>
            </w:r>
          </w:p>
          <w:p>
            <w:r>
              <w:t>投标人应组成本项目开发服务团队，团队组织结构清晰，应设服务团队负责人（项目经理）、技术负责人人员专业背景齐全。具体如下：</w:t>
              <w:cr/>
              <w:t>1、团队人数至少4人，其中驻场人员至少2人，其中至少2人具有至少1年以上气象类软件开发的经验。完全满足得2分，否则不得分。</w:t>
              <w:cr/>
              <w:t>2、团队负责人（项目经理）应有气象类专业背景，具有信息系统项目管理师高级证书或气象类高级工程师职称证书（或以上专业技术职务），且有同类项目工作经验5年以上。完全满足得2分，否则不得分；</w:t>
              <w:cr/>
              <w:t>3、技术负责人必须具有气象类高级工程师职称证书，5年以上相关项目软件设计/开发/集成经验。完全满足得2分，否则不得分。</w:t>
              <w:cr/>
              <w:t>4、项目团队成员（不含项目经理）具有气象、电子、计算机相关专业知识背景的得2分，否则不得分。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投标人应提供该项评审标准中要求的培训课时的承诺，以及培训方案。承诺的培训课时达不到要求，或者培训课时与培训方案中课表的课时不符，视同未承诺。具体标准评分如下：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8</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9</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三档0.75分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(1)</w:t>
            </w:r>
          </w:p>
        </w:tc>
        <w:tc>
          <w:tcPr/>
          <w:p>
            <w:r>
              <w:t>评审标准：</w:t>
            </w:r>
          </w:p>
          <w:p>
            <w:r>
              <w:t>一档0分</w:t>
              <w:cr/>
              <w:t>二档0.5分</w:t>
              <w:cr/>
              <w:t>三档0.75分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一档：未提供方案；</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一档：未提供方案；</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(24)</w:t>
            </w:r>
          </w:p>
        </w:tc>
        <w:tc>
          <w:tcPr/>
          <w:p>
            <w:r>
              <w:t>评审标准：</w:t>
            </w:r>
          </w:p>
          <w:p>
            <w:r>
              <w:t>提交如下模块技术方案：</w:t>
              <w:cr/>
              <w:t>1、设备运行保障</w:t>
              <w:cr/>
              <w:t>2、试验数据质量分析评估</w:t>
              <w:cr/>
              <w:t>3、协同观测试验技术支撑</w:t>
              <w:cr/>
              <w:t>4、试验设备布局管理</w:t>
              <w:cr/>
              <w:t>5、观测试验运行管理</w:t>
              <w:cr/>
              <w:t>6、试验数据传输与处理</w:t>
              <w:cr/>
              <w:t>7、整体技术架构调整</w:t>
              <w:cr/>
              <w:t>8、数据存储管理改造</w:t>
              <w:cr/>
              <w:t>9、数据处理流程改造</w:t>
              <w:cr/>
              <w:t>10、业务应用流程改造</w:t>
              <w:cr/>
              <w:t>11、业务监控流程改造</w:t>
              <w:cr/>
              <w:t>12、非功能需求</w:t>
              <w:cr/>
              <w:t>以上每个模块</w:t>
              <w:cr/>
              <w:t>一档0分</w:t>
              <w:cr/>
              <w:t>二档1分</w:t>
              <w:cr/>
              <w:t>三档2分</w:t>
              <w:cr/>
              <w:t>以上共计12模块，满分24分。</w:t>
            </w:r>
          </w:p>
          <w:p>
            <w:r>
              <w:t>评审标准说明：</w:t>
            </w:r>
          </w:p>
          <w:p>
            <w:r>
              <w:t>按模块提出技术方案，每个模块评分标准如下：</w:t>
              <w:cr/>
              <w:t>一档：未提供方案。</w:t>
              <w:cr/>
              <w:t>二档：技术方案内容较完整，基本覆盖项目的功能和非功能需求，描述基本清楚；技术思路较合理、关建技术的分析较清晰，解决措施有一定可行性针对性，基本满足采购需求。</w:t>
              <w:cr/>
              <w:t>三档：技术方案内容完整、详实，覆盖项目的功能和非功能需求，描述清楚，逻辑性强，图文规范；技术先进，针对关建技术的分析详细，解决措施切实可行，针对性强，完全满足采购需求。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(1)</w:t>
            </w:r>
          </w:p>
        </w:tc>
        <w:tc>
          <w:tcPr/>
          <w:p>
            <w:r>
              <w:t>评审标准：</w:t>
            </w:r>
          </w:p>
          <w:p>
            <w:r>
              <w:t>一档0分</w:t>
              <w:cr/>
              <w:t>二档0.5分</w:t>
              <w:cr/>
              <w:t>三档0.75分</w:t>
              <w:cr/>
              <w:t>四档1分</w:t>
            </w:r>
          </w:p>
          <w:p>
            <w:r>
              <w:t>评审标准说明：</w:t>
            </w:r>
          </w:p>
          <w:p>
            <w:r>
              <w:t>结合项目需求、背景、现状情况等对项目进行需求分析理解。</w:t>
              <w:cr/>
              <w:t>一档：未提供项目需求分析文档。</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21</w:t>
            </w:r>
          </w:p>
        </w:tc>
        <w:tc>
          <w:tcPr>
            <w:vMerge/>
          </w:tcPr>
          <w:p>
            <w:r>
              <w:t>技术部分</w:t>
            </w:r>
          </w:p>
        </w:tc>
        <w:tc>
          <w:tcPr/>
          <w:p>
            <w:r>
              <w:t>风险管理方案（主观分）</w:t>
            </w:r>
          </w:p>
        </w:tc>
        <w:tc>
          <w:tcPr/>
          <w:p>
            <w:r>
              <w:t>勾选打分</w:t>
            </w:r>
            <w:r>
              <w:t>(1)</w:t>
            </w:r>
          </w:p>
        </w:tc>
        <w:tc>
          <w:tcPr/>
          <w:p>
            <w:r>
              <w:t>评审标准：</w:t>
            </w:r>
          </w:p>
          <w:p>
            <w:r>
              <w:t>一档0分</w:t>
              <w:cr/>
              <w:t>二档0.5分</w:t>
              <w:cr/>
              <w:t>三档0.75分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b/>
          <w:bCs/>
          <w:color w:val="000000"/>
          <w:szCs w:val="21"/>
        </w:rPr>
      </w:pPr>
    </w:p>
    <w:p>
      <w:pPr>
        <w:spacing w:line="360" w:lineRule="auto"/>
        <w:ind w:firstLine="420" w:firstLineChars="200"/>
        <w:rPr>
          <w:rFonts w:ascii="宋体" w:hAnsi="宋体"/>
          <w:b/>
          <w:bCs/>
          <w:color w:val="000000"/>
          <w:szCs w:val="21"/>
        </w:rPr>
      </w:pPr>
      <w:r>
        <w:rPr>
          <w:rFonts w:ascii="宋体" w:hAnsi="宋体" w:hint="eastAsia"/>
          <w:b/>
          <w:bCs/>
          <w:color w:val="000000"/>
          <w:szCs w:val="21"/>
        </w:rPr>
        <w:t>一、招标内容</w:t>
      </w:r>
    </w:p>
    <w:p>
      <w:pPr>
        <w:pStyle w:val="a2"/>
        <w:ind w:left="0" w:firstLine="420" w:leftChars="0" w:firstLineChars="200"/>
        <w:rPr>
          <w:rFonts w:ascii="宋体" w:hAnsi="宋体" w:hint="eastAsia"/>
          <w:snapToGrid/>
          <w:kern w:val="2"/>
          <w:sz w:val="21"/>
        </w:rPr>
      </w:pPr>
      <w:r>
        <w:rPr>
          <w:rFonts w:ascii="宋体" w:hAnsi="宋体" w:hint="eastAsia"/>
          <w:snapToGrid/>
          <w:kern w:val="2"/>
          <w:sz w:val="21"/>
          <w:lang w:val="en-US" w:eastAsia="zh-CN"/>
        </w:rPr>
        <w:t>1.</w:t>
      </w:r>
      <w:r>
        <w:rPr>
          <w:rFonts w:ascii="宋体" w:hAnsi="宋体" w:hint="eastAsia"/>
          <w:snapToGrid/>
          <w:kern w:val="2"/>
          <w:sz w:val="21"/>
        </w:rPr>
        <w:t>国家级功能升级完善</w:t>
      </w:r>
    </w:p>
    <w:p>
      <w:pPr>
        <w:pStyle w:val="a2"/>
        <w:ind w:left="0" w:firstLine="420" w:leftChars="0" w:firstLineChars="200"/>
        <w:rPr>
          <w:rFonts w:ascii="宋体" w:hAnsi="宋体" w:hint="eastAsia"/>
          <w:snapToGrid/>
          <w:kern w:val="2"/>
          <w:sz w:val="21"/>
        </w:rPr>
      </w:pPr>
      <w:r>
        <w:rPr>
          <w:rFonts w:ascii="宋体" w:hAnsi="宋体" w:hint="eastAsia"/>
          <w:snapToGrid/>
          <w:kern w:val="2"/>
          <w:sz w:val="21"/>
        </w:rPr>
        <w:t>基于现有观测试验业务平台天创v2.0，进一步升级完善国家级功能，重点针对</w:t>
      </w:r>
      <w:r>
        <w:rPr>
          <w:rFonts w:ascii="宋体" w:hAnsi="宋体" w:hint="eastAsia"/>
          <w:snapToGrid/>
          <w:kern w:val="2"/>
          <w:sz w:val="21"/>
          <w:lang w:val="en-US" w:eastAsia="zh-CN"/>
        </w:rPr>
        <w:t>重点</w:t>
      </w:r>
      <w:r>
        <w:rPr>
          <w:rFonts w:ascii="宋体" w:hAnsi="宋体" w:hint="eastAsia"/>
          <w:snapToGrid/>
          <w:kern w:val="2"/>
          <w:sz w:val="21"/>
        </w:rPr>
        <w:t>工程新建试验设备实现设备运行保障，质量评估等功能；开展观测试验数据质量分析及协同观测试验技术分析功能研究及模块实现</w:t>
      </w:r>
      <w:r>
        <w:rPr>
          <w:rFonts w:ascii="宋体" w:hAnsi="宋体" w:hint="eastAsia"/>
          <w:snapToGrid/>
          <w:kern w:val="2"/>
          <w:sz w:val="21"/>
          <w:lang w:eastAsia="zh-CN"/>
        </w:rPr>
        <w:t>；</w:t>
      </w:r>
      <w:r>
        <w:rPr>
          <w:rFonts w:ascii="宋体" w:hAnsi="宋体" w:hint="eastAsia"/>
          <w:snapToGrid/>
          <w:kern w:val="2"/>
          <w:sz w:val="21"/>
        </w:rPr>
        <w:t>新增试验设备布局3D展示及建模优化。主要包括设备运行保障分系统</w:t>
      </w:r>
      <w:r>
        <w:rPr>
          <w:rFonts w:ascii="宋体" w:hAnsi="宋体" w:hint="eastAsia"/>
          <w:snapToGrid/>
          <w:kern w:val="2"/>
          <w:sz w:val="21"/>
          <w:lang w:eastAsia="zh-CN"/>
        </w:rPr>
        <w:t>、</w:t>
      </w:r>
      <w:r>
        <w:rPr>
          <w:rFonts w:ascii="宋体" w:hAnsi="宋体" w:hint="eastAsia"/>
          <w:snapToGrid/>
          <w:kern w:val="2"/>
          <w:sz w:val="21"/>
        </w:rPr>
        <w:t>试验数据质量分析评估分系统</w:t>
      </w:r>
      <w:r>
        <w:rPr>
          <w:rFonts w:ascii="宋体" w:hAnsi="宋体" w:hint="eastAsia"/>
          <w:snapToGrid/>
          <w:kern w:val="2"/>
          <w:sz w:val="21"/>
          <w:lang w:eastAsia="zh-CN"/>
        </w:rPr>
        <w:t>、</w:t>
      </w:r>
      <w:r>
        <w:rPr>
          <w:rFonts w:ascii="宋体" w:hAnsi="宋体" w:hint="eastAsia"/>
          <w:snapToGrid/>
          <w:kern w:val="2"/>
          <w:sz w:val="21"/>
        </w:rPr>
        <w:t>协同观测试验技术支撑分系统</w:t>
      </w:r>
      <w:r>
        <w:rPr>
          <w:rFonts w:ascii="宋体" w:hAnsi="宋体" w:hint="eastAsia"/>
          <w:snapToGrid/>
          <w:kern w:val="2"/>
          <w:sz w:val="21"/>
          <w:lang w:eastAsia="zh-CN"/>
        </w:rPr>
        <w:t>、</w:t>
      </w:r>
      <w:r>
        <w:rPr>
          <w:rFonts w:ascii="宋体" w:hAnsi="宋体" w:hint="eastAsia"/>
          <w:snapToGrid/>
          <w:kern w:val="2"/>
          <w:sz w:val="21"/>
        </w:rPr>
        <w:t>试验设备布局管理分系统等4个分系统</w:t>
      </w:r>
      <w:r>
        <w:rPr>
          <w:rFonts w:ascii="宋体" w:hAnsi="宋体" w:hint="eastAsia"/>
          <w:snapToGrid/>
          <w:kern w:val="2"/>
          <w:sz w:val="21"/>
          <w:lang w:val="en-US" w:eastAsia="zh-CN"/>
        </w:rPr>
        <w:t>。</w:t>
      </w:r>
    </w:p>
    <w:p>
      <w:pPr>
        <w:pStyle w:val="a2"/>
        <w:ind w:left="0" w:firstLine="420" w:leftChars="0" w:firstLineChars="200"/>
        <w:rPr>
          <w:rFonts w:ascii="宋体" w:hAnsi="宋体" w:hint="eastAsia"/>
          <w:snapToGrid/>
          <w:kern w:val="2"/>
          <w:sz w:val="21"/>
        </w:rPr>
      </w:pPr>
      <w:r>
        <w:rPr>
          <w:rFonts w:ascii="宋体" w:hAnsi="宋体" w:hint="eastAsia"/>
          <w:snapToGrid/>
          <w:kern w:val="2"/>
          <w:sz w:val="21"/>
          <w:lang w:val="en-US" w:eastAsia="zh-CN"/>
        </w:rPr>
        <w:t>2.</w:t>
      </w:r>
      <w:r>
        <w:rPr>
          <w:rFonts w:ascii="宋体" w:hAnsi="宋体" w:hint="eastAsia"/>
          <w:snapToGrid/>
          <w:kern w:val="2"/>
          <w:sz w:val="21"/>
        </w:rPr>
        <w:t>属地化功能建设</w:t>
      </w:r>
    </w:p>
    <w:p>
      <w:pPr>
        <w:pStyle w:val="a2"/>
        <w:ind w:left="0" w:firstLine="420" w:leftChars="0" w:firstLineChars="200"/>
        <w:rPr>
          <w:rFonts w:ascii="宋体" w:hAnsi="宋体" w:hint="eastAsia"/>
          <w:snapToGrid/>
          <w:kern w:val="2"/>
          <w:sz w:val="21"/>
        </w:rPr>
      </w:pPr>
      <w:r>
        <w:rPr>
          <w:rFonts w:ascii="宋体" w:hAnsi="宋体" w:hint="eastAsia"/>
          <w:snapToGrid/>
          <w:kern w:val="2"/>
          <w:sz w:val="21"/>
        </w:rPr>
        <w:t>重点针对寿县、张掖、大理</w:t>
      </w:r>
      <w:r>
        <w:rPr>
          <w:rFonts w:ascii="宋体" w:hAnsi="宋体" w:hint="eastAsia"/>
          <w:snapToGrid/>
          <w:kern w:val="2"/>
          <w:sz w:val="21"/>
          <w:lang w:val="en-US" w:eastAsia="zh-CN"/>
        </w:rPr>
        <w:t>等</w:t>
      </w:r>
      <w:r>
        <w:rPr>
          <w:rFonts w:ascii="宋体" w:hAnsi="宋体" w:hint="eastAsia"/>
          <w:snapToGrid/>
          <w:kern w:val="2"/>
          <w:sz w:val="21"/>
        </w:rPr>
        <w:t>试验基地自行申报或立项试验较多</w:t>
      </w:r>
      <w:r>
        <w:rPr>
          <w:rFonts w:ascii="宋体" w:hAnsi="宋体" w:hint="eastAsia"/>
          <w:snapToGrid/>
          <w:kern w:val="2"/>
          <w:sz w:val="21"/>
          <w:lang w:eastAsia="zh-CN"/>
        </w:rPr>
        <w:t>、</w:t>
      </w:r>
      <w:r>
        <w:rPr>
          <w:rFonts w:ascii="宋体" w:hAnsi="宋体" w:hint="eastAsia"/>
          <w:snapToGrid/>
          <w:kern w:val="2"/>
          <w:sz w:val="21"/>
        </w:rPr>
        <w:t>设备种类复杂</w:t>
      </w:r>
      <w:r>
        <w:rPr>
          <w:rFonts w:ascii="宋体" w:hAnsi="宋体" w:hint="eastAsia"/>
          <w:snapToGrid/>
          <w:kern w:val="2"/>
          <w:sz w:val="21"/>
          <w:lang w:eastAsia="zh-CN"/>
        </w:rPr>
        <w:t>的</w:t>
      </w:r>
      <w:r>
        <w:rPr>
          <w:rFonts w:ascii="宋体" w:hAnsi="宋体" w:hint="eastAsia"/>
          <w:snapToGrid/>
          <w:kern w:val="2"/>
          <w:sz w:val="21"/>
        </w:rPr>
        <w:t>特点，开展天创系统本地试验项目管理功能建设，基于国家级天创系统功能模块，开展试验数据传输改造和管理模块开发，实现所有观测试验项目分类别、范化运行管理，提高试验基地运行效益。</w:t>
      </w:r>
      <w:r>
        <w:rPr>
          <w:rFonts w:ascii="宋体" w:hAnsi="宋体" w:hint="eastAsia"/>
          <w:snapToGrid/>
          <w:kern w:val="2"/>
          <w:sz w:val="21"/>
          <w:lang w:val="en-US" w:eastAsia="zh-CN"/>
        </w:rPr>
        <w:t>主要包括</w:t>
      </w:r>
      <w:r>
        <w:rPr>
          <w:rFonts w:ascii="宋体" w:hAnsi="宋体" w:hint="eastAsia"/>
          <w:snapToGrid/>
          <w:kern w:val="2"/>
          <w:sz w:val="21"/>
        </w:rPr>
        <w:t>观测试验运行管理分系统</w:t>
      </w:r>
      <w:r>
        <w:rPr>
          <w:rFonts w:ascii="宋体" w:hAnsi="宋体" w:hint="eastAsia"/>
          <w:snapToGrid/>
          <w:kern w:val="2"/>
          <w:sz w:val="21"/>
          <w:lang w:eastAsia="zh-CN"/>
        </w:rPr>
        <w:t>、</w:t>
      </w:r>
      <w:r>
        <w:rPr>
          <w:rFonts w:ascii="宋体" w:hAnsi="宋体" w:hint="eastAsia"/>
          <w:snapToGrid/>
          <w:kern w:val="2"/>
          <w:sz w:val="21"/>
        </w:rPr>
        <w:t>试验数据传输与处理分系统等2个分系统。</w:t>
      </w:r>
    </w:p>
    <w:p>
      <w:pPr>
        <w:pStyle w:val="a2"/>
        <w:ind w:left="0" w:firstLine="420" w:leftChars="0" w:firstLineChars="200"/>
        <w:rPr>
          <w:rFonts w:ascii="宋体" w:hAnsi="宋体" w:hint="eastAsia"/>
          <w:snapToGrid/>
          <w:kern w:val="2"/>
          <w:sz w:val="21"/>
        </w:rPr>
      </w:pPr>
      <w:r>
        <w:rPr>
          <w:rFonts w:ascii="宋体" w:hAnsi="宋体" w:hint="eastAsia"/>
          <w:snapToGrid/>
          <w:kern w:val="2"/>
          <w:sz w:val="21"/>
          <w:lang w:val="en-US" w:eastAsia="zh-CN"/>
        </w:rPr>
        <w:t>3.</w:t>
      </w:r>
      <w:r>
        <w:rPr>
          <w:rFonts w:ascii="宋体" w:hAnsi="宋体" w:cs="Times New Roman" w:hint="eastAsia"/>
          <w:snapToGrid/>
          <w:kern w:val="2"/>
          <w:sz w:val="21"/>
          <w:szCs w:val="21"/>
          <w:lang w:val="en-US" w:eastAsia="zh-CN" w:bidi="ar-SA"/>
        </w:rPr>
        <w:t>探测中心</w:t>
      </w:r>
      <w:r>
        <w:rPr>
          <w:rFonts w:ascii="宋体" w:hAnsi="宋体" w:hint="eastAsia"/>
          <w:snapToGrid/>
          <w:kern w:val="2"/>
          <w:sz w:val="21"/>
          <w:lang w:val="en-US" w:eastAsia="zh-CN"/>
        </w:rPr>
        <w:t>一体化平台融入改造</w:t>
      </w:r>
    </w:p>
    <w:p>
      <w:pPr>
        <w:pStyle w:val="a2"/>
        <w:ind w:left="0" w:firstLine="420" w:leftChars="0" w:firstLineChars="200"/>
        <w:rPr>
          <w:rFonts w:ascii="宋体" w:hAnsi="宋体" w:hint="default"/>
          <w:snapToGrid/>
          <w:kern w:val="2"/>
          <w:sz w:val="21"/>
        </w:rPr>
      </w:pPr>
      <w:r>
        <w:rPr>
          <w:rFonts w:ascii="宋体" w:hAnsi="宋体" w:hint="default"/>
          <w:snapToGrid/>
          <w:kern w:val="2"/>
          <w:sz w:val="21"/>
          <w:lang w:val="en-US" w:eastAsia="zh-CN"/>
        </w:rPr>
        <w:t>基于一体化架构设计标准，针对天创v2.0系统完成试验基地业务体系</w:t>
      </w:r>
      <w:r>
        <w:rPr>
          <w:rFonts w:ascii="宋体" w:hAnsi="宋体" w:hint="eastAsia"/>
          <w:snapToGrid/>
          <w:kern w:val="2"/>
          <w:sz w:val="21"/>
          <w:lang w:val="en-US" w:eastAsia="zh-CN"/>
        </w:rPr>
        <w:t>、</w:t>
      </w:r>
      <w:r>
        <w:rPr>
          <w:rFonts w:ascii="宋体" w:hAnsi="宋体" w:hint="default"/>
          <w:snapToGrid/>
          <w:kern w:val="2"/>
          <w:sz w:val="21"/>
          <w:lang w:val="en-US" w:eastAsia="zh-CN"/>
        </w:rPr>
        <w:t>观测试验运行业务体系</w:t>
      </w:r>
      <w:r>
        <w:rPr>
          <w:rFonts w:ascii="宋体" w:hAnsi="宋体" w:hint="eastAsia"/>
          <w:snapToGrid/>
          <w:kern w:val="2"/>
          <w:sz w:val="21"/>
          <w:lang w:val="en-US" w:eastAsia="zh-CN"/>
        </w:rPr>
        <w:t>、</w:t>
      </w:r>
      <w:r>
        <w:rPr>
          <w:rFonts w:ascii="宋体" w:hAnsi="宋体" w:hint="default"/>
          <w:snapToGrid/>
          <w:kern w:val="2"/>
          <w:sz w:val="21"/>
          <w:lang w:val="en-US" w:eastAsia="zh-CN"/>
        </w:rPr>
        <w:t>试验装备中试验证业务体系的</w:t>
      </w:r>
      <w:r>
        <w:rPr>
          <w:rFonts w:ascii="宋体" w:hAnsi="宋体" w:hint="eastAsia"/>
          <w:snapToGrid/>
          <w:kern w:val="2"/>
          <w:sz w:val="21"/>
          <w:lang w:val="en-US" w:eastAsia="zh-CN"/>
        </w:rPr>
        <w:t>融入</w:t>
      </w:r>
      <w:r>
        <w:rPr>
          <w:rFonts w:ascii="宋体" w:hAnsi="宋体" w:hint="default"/>
          <w:snapToGrid/>
          <w:kern w:val="2"/>
          <w:sz w:val="21"/>
          <w:lang w:val="en-US" w:eastAsia="zh-CN"/>
        </w:rPr>
        <w:t>改造工作。主要包括整体技术架构调整</w:t>
      </w:r>
      <w:r>
        <w:rPr>
          <w:rFonts w:ascii="宋体" w:hAnsi="宋体" w:hint="eastAsia"/>
          <w:snapToGrid/>
          <w:kern w:val="2"/>
          <w:sz w:val="21"/>
          <w:lang w:val="en-US" w:eastAsia="zh-CN"/>
        </w:rPr>
        <w:t>、</w:t>
      </w:r>
      <w:r>
        <w:rPr>
          <w:rFonts w:ascii="宋体" w:hAnsi="宋体" w:hint="default"/>
          <w:snapToGrid/>
          <w:kern w:val="2"/>
          <w:sz w:val="21"/>
          <w:lang w:val="en-US" w:eastAsia="zh-CN"/>
        </w:rPr>
        <w:t>数据存储管理改造</w:t>
      </w:r>
      <w:r>
        <w:rPr>
          <w:rFonts w:ascii="宋体" w:hAnsi="宋体" w:hint="eastAsia"/>
          <w:snapToGrid/>
          <w:kern w:val="2"/>
          <w:sz w:val="21"/>
          <w:lang w:val="en-US" w:eastAsia="zh-CN"/>
        </w:rPr>
        <w:t>、</w:t>
      </w:r>
      <w:r>
        <w:rPr>
          <w:rFonts w:ascii="宋体" w:hAnsi="宋体" w:hint="default"/>
          <w:snapToGrid/>
          <w:kern w:val="2"/>
          <w:sz w:val="21"/>
          <w:lang w:val="en-US" w:eastAsia="zh-CN"/>
        </w:rPr>
        <w:t>数据处理流程改造</w:t>
      </w:r>
      <w:r>
        <w:rPr>
          <w:rFonts w:ascii="宋体" w:hAnsi="宋体" w:hint="eastAsia"/>
          <w:snapToGrid/>
          <w:kern w:val="2"/>
          <w:sz w:val="21"/>
          <w:lang w:val="en-US" w:eastAsia="zh-CN"/>
        </w:rPr>
        <w:t>、</w:t>
      </w:r>
      <w:r>
        <w:rPr>
          <w:rFonts w:ascii="宋体" w:hAnsi="宋体" w:hint="default"/>
          <w:snapToGrid/>
          <w:kern w:val="2"/>
          <w:sz w:val="21"/>
          <w:lang w:val="en-US" w:eastAsia="zh-CN"/>
        </w:rPr>
        <w:t>业务应用流程改造</w:t>
      </w:r>
      <w:r>
        <w:rPr>
          <w:rFonts w:ascii="宋体" w:hAnsi="宋体" w:hint="eastAsia"/>
          <w:snapToGrid/>
          <w:kern w:val="2"/>
          <w:sz w:val="21"/>
          <w:lang w:val="en-US" w:eastAsia="zh-CN"/>
        </w:rPr>
        <w:t>、</w:t>
      </w:r>
      <w:r>
        <w:rPr>
          <w:rFonts w:ascii="宋体" w:hAnsi="宋体" w:hint="default"/>
          <w:snapToGrid/>
          <w:kern w:val="2"/>
          <w:sz w:val="21"/>
          <w:lang w:val="en-US" w:eastAsia="zh-CN"/>
        </w:rPr>
        <w:t>业务监控流程改造</w:t>
      </w:r>
      <w:r>
        <w:rPr>
          <w:rFonts w:ascii="宋体" w:hAnsi="宋体" w:hint="eastAsia"/>
          <w:snapToGrid/>
          <w:kern w:val="2"/>
          <w:sz w:val="21"/>
          <w:lang w:val="en-US" w:eastAsia="zh-CN"/>
        </w:rPr>
        <w:t>等</w:t>
      </w:r>
      <w:r>
        <w:rPr>
          <w:rFonts w:ascii="宋体" w:hAnsi="宋体" w:hint="default"/>
          <w:snapToGrid/>
          <w:kern w:val="2"/>
          <w:sz w:val="21"/>
          <w:lang w:val="en-US" w:eastAsia="zh-CN"/>
        </w:rPr>
        <w:t>。</w:t>
      </w:r>
    </w:p>
    <w:p>
      <w:pPr>
        <w:spacing w:line="360" w:lineRule="auto"/>
        <w:ind w:firstLine="420" w:firstLineChars="200"/>
        <w:rPr>
          <w:rFonts w:ascii="宋体" w:hAnsi="宋体"/>
          <w:b/>
          <w:bCs/>
          <w:color w:val="000000"/>
          <w:szCs w:val="21"/>
        </w:rPr>
      </w:pPr>
      <w:r>
        <w:rPr>
          <w:rFonts w:ascii="宋体" w:hAnsi="宋体" w:hint="eastAsia"/>
          <w:b/>
          <w:bCs/>
          <w:color w:val="000000"/>
          <w:szCs w:val="21"/>
        </w:rPr>
        <w:t>二、技术及</w:t>
      </w:r>
      <w:r>
        <w:rPr>
          <w:rFonts w:ascii="宋体" w:hAnsi="宋体"/>
          <w:b/>
          <w:bCs/>
          <w:color w:val="000000"/>
          <w:szCs w:val="21"/>
        </w:rPr>
        <w:t>性能</w:t>
      </w:r>
      <w:r>
        <w:rPr>
          <w:rFonts w:ascii="宋体" w:hAnsi="宋体" w:hint="eastAsia"/>
          <w:b/>
          <w:bCs/>
          <w:color w:val="000000"/>
          <w:szCs w:val="21"/>
        </w:rPr>
        <w:t>要求</w:t>
      </w:r>
    </w:p>
    <w:p>
      <w:pPr>
        <w:pStyle w:val="-"/>
        <w:ind w:firstLine="422"/>
        <w:rPr>
          <w:rFonts w:ascii="宋体" w:hAnsi="宋体"/>
          <w:b/>
          <w:color w:val="000000"/>
          <w:sz w:val="21"/>
          <w:szCs w:val="21"/>
        </w:rPr>
      </w:pPr>
      <w:r>
        <w:rPr>
          <w:rFonts w:ascii="宋体" w:hAnsi="宋体" w:hint="eastAsia"/>
          <w:b/>
          <w:color w:val="000000"/>
          <w:sz w:val="21"/>
          <w:szCs w:val="21"/>
        </w:rPr>
        <w:t>2</w:t>
      </w:r>
      <w:r>
        <w:rPr>
          <w:rFonts w:ascii="宋体" w:hAnsi="宋体"/>
          <w:b/>
          <w:color w:val="000000"/>
          <w:sz w:val="21"/>
          <w:szCs w:val="21"/>
        </w:rPr>
        <w:t xml:space="preserve">.1 </w:t>
      </w:r>
      <w:r>
        <w:rPr>
          <w:rFonts w:ascii="宋体" w:hAnsi="宋体" w:hint="eastAsia"/>
          <w:b/>
          <w:color w:val="000000"/>
          <w:sz w:val="21"/>
          <w:szCs w:val="21"/>
        </w:rPr>
        <w:t>技术性能要求</w:t>
      </w:r>
    </w:p>
    <w:p>
      <w:pPr>
        <w:pStyle w:val="a2"/>
        <w:numPr>
          <w:ilvl w:val="0"/>
          <w:numId w:val="4"/>
        </w:numPr>
        <w:rPr>
          <w:rFonts w:ascii="宋体" w:hAnsi="宋体" w:hint="eastAsia"/>
          <w:snapToGrid/>
          <w:kern w:val="2"/>
          <w:sz w:val="21"/>
        </w:rPr>
      </w:pPr>
      <w:r>
        <w:rPr>
          <w:rFonts w:ascii="宋体" w:hAnsi="宋体" w:hint="eastAsia"/>
          <w:snapToGrid/>
          <w:kern w:val="2"/>
          <w:sz w:val="21"/>
        </w:rPr>
        <w:t>响应速度</w:t>
      </w:r>
    </w:p>
    <w:p>
      <w:pPr>
        <w:pStyle w:val="a2"/>
        <w:ind w:left="0" w:firstLine="420" w:leftChars="0" w:firstLineChars="200"/>
        <w:rPr>
          <w:rFonts w:ascii="宋体" w:hAnsi="宋体" w:hint="eastAsia"/>
          <w:snapToGrid/>
          <w:kern w:val="2"/>
          <w:sz w:val="21"/>
        </w:rPr>
      </w:pPr>
      <w:r>
        <w:rPr>
          <w:rFonts w:ascii="宋体" w:hAnsi="宋体" w:hint="eastAsia"/>
          <w:snapToGrid/>
          <w:kern w:val="2"/>
          <w:sz w:val="21"/>
        </w:rPr>
        <w:t>系统支持一般的页面用户响应时间小于4s，超过4s的操作应该给出等待提示。特殊功能（负责图形计算、大范围GIS搜索等）用户响应时间小于10s，超过10s的操作应该给出</w:t>
      </w:r>
      <w:r>
        <w:rPr>
          <w:rFonts w:ascii="宋体" w:hAnsi="宋体" w:hint="eastAsia"/>
          <w:snapToGrid/>
          <w:kern w:val="2"/>
          <w:sz w:val="21"/>
          <w:lang w:val="en-US" w:eastAsia="zh-CN"/>
        </w:rPr>
        <w:t>等待提示。</w:t>
      </w:r>
    </w:p>
    <w:p>
      <w:pPr>
        <w:pStyle w:val="a2"/>
        <w:numPr>
          <w:ilvl w:val="0"/>
          <w:numId w:val="4"/>
        </w:numPr>
        <w:rPr>
          <w:rFonts w:ascii="宋体" w:hAnsi="宋体" w:hint="eastAsia"/>
          <w:snapToGrid/>
          <w:kern w:val="2"/>
          <w:sz w:val="21"/>
        </w:rPr>
      </w:pPr>
      <w:r>
        <w:rPr>
          <w:rFonts w:ascii="宋体" w:hAnsi="宋体" w:hint="eastAsia"/>
          <w:snapToGrid/>
          <w:kern w:val="2"/>
          <w:sz w:val="21"/>
        </w:rPr>
        <w:t>用户并发量</w:t>
      </w:r>
    </w:p>
    <w:p>
      <w:pPr>
        <w:pStyle w:val="a2"/>
        <w:ind w:left="0" w:firstLine="420" w:leftChars="0" w:firstLineChars="200"/>
        <w:rPr>
          <w:rFonts w:ascii="宋体" w:hAnsi="宋体" w:hint="eastAsia"/>
          <w:snapToGrid/>
          <w:kern w:val="2"/>
          <w:sz w:val="21"/>
        </w:rPr>
      </w:pPr>
      <w:r>
        <w:rPr>
          <w:rFonts w:ascii="宋体" w:hAnsi="宋体" w:hint="eastAsia"/>
          <w:snapToGrid/>
          <w:kern w:val="2"/>
          <w:sz w:val="21"/>
        </w:rPr>
        <w:t>系统应该支持最大的用户并发量为不小于500。</w:t>
      </w:r>
    </w:p>
    <w:p>
      <w:pPr>
        <w:pStyle w:val="a2"/>
        <w:numPr>
          <w:ilvl w:val="0"/>
          <w:numId w:val="4"/>
        </w:numPr>
        <w:rPr>
          <w:rFonts w:ascii="宋体" w:hAnsi="宋体" w:hint="eastAsia"/>
          <w:snapToGrid/>
          <w:kern w:val="2"/>
          <w:sz w:val="21"/>
        </w:rPr>
      </w:pPr>
      <w:r>
        <w:rPr>
          <w:rFonts w:ascii="宋体" w:hAnsi="宋体" w:hint="eastAsia"/>
          <w:snapToGrid/>
          <w:kern w:val="2"/>
          <w:sz w:val="21"/>
        </w:rPr>
        <w:t>资源利用率</w:t>
      </w:r>
    </w:p>
    <w:p>
      <w:pPr>
        <w:pStyle w:val="a2"/>
        <w:ind w:left="0" w:firstLine="420" w:leftChars="0" w:firstLineChars="200"/>
        <w:rPr>
          <w:rFonts w:ascii="宋体" w:hAnsi="宋体" w:hint="eastAsia"/>
          <w:snapToGrid/>
          <w:kern w:val="2"/>
          <w:sz w:val="21"/>
        </w:rPr>
      </w:pPr>
      <w:r>
        <w:rPr>
          <w:rFonts w:ascii="宋体" w:hAnsi="宋体" w:hint="eastAsia"/>
          <w:snapToGrid/>
          <w:kern w:val="2"/>
          <w:sz w:val="21"/>
        </w:rPr>
        <w:t>为保障系统稳定运行，对系统资源利用率要在可控范围并实现资源使用的监控功能，具体的资源利用率指标有CPU使用率不超过85%，内存使用率可接受上限为85%。</w:t>
      </w:r>
    </w:p>
    <w:p>
      <w:pPr>
        <w:pStyle w:val="a2"/>
        <w:numPr>
          <w:ilvl w:val="0"/>
          <w:numId w:val="4"/>
        </w:numPr>
        <w:rPr>
          <w:rFonts w:ascii="宋体" w:hAnsi="宋体" w:hint="eastAsia"/>
          <w:snapToGrid/>
          <w:kern w:val="2"/>
          <w:sz w:val="21"/>
        </w:rPr>
      </w:pPr>
      <w:r>
        <w:rPr>
          <w:rFonts w:ascii="宋体" w:hAnsi="宋体" w:hint="eastAsia"/>
          <w:snapToGrid/>
          <w:kern w:val="2"/>
          <w:sz w:val="21"/>
        </w:rPr>
        <w:t>事务成功率</w:t>
      </w:r>
    </w:p>
    <w:p>
      <w:pPr>
        <w:pStyle w:val="a2"/>
        <w:ind w:left="0" w:firstLine="420" w:leftChars="0" w:firstLineChars="200"/>
        <w:rPr>
          <w:rFonts w:ascii="宋体" w:hAnsi="宋体" w:hint="eastAsia"/>
          <w:snapToGrid/>
          <w:kern w:val="2"/>
          <w:sz w:val="21"/>
        </w:rPr>
      </w:pPr>
      <w:r>
        <w:rPr>
          <w:rFonts w:ascii="宋体" w:hAnsi="宋体" w:hint="eastAsia"/>
          <w:snapToGrid/>
          <w:kern w:val="2"/>
          <w:sz w:val="21"/>
        </w:rPr>
        <w:t>系统支持事务的成功率不得低于98%。</w:t>
      </w:r>
    </w:p>
    <w:p>
      <w:pPr>
        <w:pStyle w:val="a2"/>
        <w:numPr>
          <w:ilvl w:val="0"/>
          <w:numId w:val="4"/>
        </w:numPr>
        <w:rPr>
          <w:rFonts w:ascii="宋体" w:hAnsi="宋体" w:hint="eastAsia"/>
          <w:snapToGrid/>
          <w:kern w:val="2"/>
          <w:sz w:val="21"/>
        </w:rPr>
      </w:pPr>
      <w:r>
        <w:rPr>
          <w:rFonts w:ascii="宋体" w:hAnsi="宋体" w:hint="eastAsia"/>
          <w:snapToGrid/>
          <w:kern w:val="2"/>
          <w:sz w:val="21"/>
        </w:rPr>
        <w:t>保障数据存储</w:t>
      </w:r>
    </w:p>
    <w:p>
      <w:pPr>
        <w:pStyle w:val="a2"/>
        <w:ind w:left="0" w:firstLine="420" w:leftChars="0" w:firstLineChars="200"/>
        <w:rPr>
          <w:rFonts w:ascii="宋体" w:hAnsi="宋体"/>
          <w:snapToGrid/>
          <w:kern w:val="2"/>
          <w:sz w:val="21"/>
        </w:rPr>
      </w:pPr>
      <w:r>
        <w:rPr>
          <w:rFonts w:ascii="宋体" w:hAnsi="宋体" w:hint="eastAsia"/>
          <w:snapToGrid/>
          <w:kern w:val="2"/>
          <w:sz w:val="21"/>
        </w:rPr>
        <w:t>系统具备对超过TB级数据进行层次化规范管理的能力，系统应在10秒内完成数据寻址、定位并开始读取存放于在线设备的数据文件，返回检索数据库表的部分结果。</w:t>
      </w:r>
    </w:p>
    <w:p>
      <w:pPr>
        <w:pStyle w:val="-"/>
        <w:ind w:firstLine="422"/>
        <w:rPr>
          <w:rFonts w:ascii="宋体" w:hAnsi="宋体"/>
          <w:b/>
          <w:color w:val="000000"/>
          <w:sz w:val="21"/>
          <w:szCs w:val="21"/>
        </w:rPr>
      </w:pPr>
      <w:r>
        <w:rPr>
          <w:rFonts w:ascii="宋体" w:hAnsi="宋体" w:hint="eastAsia"/>
          <w:b/>
          <w:color w:val="000000"/>
          <w:sz w:val="21"/>
          <w:szCs w:val="21"/>
        </w:rPr>
        <w:t>2</w:t>
      </w:r>
      <w:r>
        <w:rPr>
          <w:rFonts w:ascii="宋体" w:hAnsi="宋体"/>
          <w:b/>
          <w:color w:val="000000"/>
          <w:sz w:val="21"/>
          <w:szCs w:val="21"/>
        </w:rPr>
        <w:t xml:space="preserve">.2 </w:t>
      </w:r>
      <w:r>
        <w:rPr>
          <w:rFonts w:ascii="宋体" w:hAnsi="宋体" w:hint="eastAsia"/>
          <w:b/>
          <w:color w:val="000000"/>
          <w:sz w:val="21"/>
          <w:szCs w:val="21"/>
        </w:rPr>
        <w:t>功能要求</w:t>
      </w:r>
    </w:p>
    <w:p>
      <w:pPr>
        <w:pStyle w:val="a2"/>
        <w:rPr>
          <w:rFonts w:ascii="宋体" w:hAnsi="宋体" w:hint="default"/>
          <w:snapToGrid/>
          <w:kern w:val="2"/>
          <w:sz w:val="21"/>
        </w:rPr>
      </w:pPr>
      <w:r>
        <w:rPr>
          <w:rFonts w:ascii="宋体" w:hAnsi="宋体" w:hint="eastAsia"/>
          <w:snapToGrid/>
          <w:kern w:val="2"/>
          <w:sz w:val="21"/>
        </w:rPr>
        <w:t>依托现有综合气象观测试验业务系统（天创v2.0）总体框架，进一步升级完善国家级和属地化功能等内容建设。</w:t>
      </w:r>
      <w:r>
        <w:rPr>
          <w:rFonts w:ascii="宋体" w:hAnsi="宋体" w:hint="eastAsia"/>
          <w:snapToGrid/>
          <w:kern w:val="2"/>
          <w:sz w:val="21"/>
          <w:lang w:val="en-US" w:eastAsia="zh-CN"/>
        </w:rPr>
        <w:t>同时，</w:t>
      </w:r>
      <w:r>
        <w:rPr>
          <w:rFonts w:ascii="宋体" w:hAnsi="宋体" w:hint="eastAsia"/>
          <w:snapToGrid/>
          <w:kern w:val="2"/>
          <w:sz w:val="21"/>
        </w:rPr>
        <w:t>进一步完善业务体系，确保国省两级使用与管理更加灵活便捷。</w:t>
      </w:r>
      <w:r>
        <w:rPr>
          <w:rFonts w:ascii="宋体" w:hAnsi="宋体" w:hint="eastAsia"/>
          <w:snapToGrid/>
          <w:kern w:val="2"/>
          <w:sz w:val="21"/>
          <w:lang w:val="en-US" w:eastAsia="zh-CN"/>
        </w:rPr>
        <w:t>同时</w:t>
      </w:r>
      <w:r>
        <w:rPr>
          <w:rFonts w:ascii="宋体" w:hAnsi="宋体" w:hint="default"/>
          <w:snapToGrid/>
          <w:kern w:val="2"/>
          <w:sz w:val="21"/>
          <w:lang w:val="en-US" w:eastAsia="zh-CN"/>
        </w:rPr>
        <w:t>完成基于一体化平台的</w:t>
      </w:r>
      <w:r>
        <w:rPr>
          <w:rFonts w:ascii="宋体" w:hAnsi="宋体" w:hint="eastAsia"/>
          <w:snapToGrid/>
          <w:kern w:val="2"/>
          <w:sz w:val="21"/>
          <w:lang w:val="en-US" w:eastAsia="zh-CN"/>
        </w:rPr>
        <w:t>技术改造等工作</w:t>
      </w:r>
      <w:r>
        <w:rPr>
          <w:rFonts w:ascii="宋体" w:hAnsi="宋体" w:hint="default"/>
          <w:snapToGrid/>
          <w:kern w:val="2"/>
          <w:sz w:val="21"/>
          <w:lang w:val="en-US" w:eastAsia="zh-CN"/>
        </w:rPr>
        <w:t>。</w:t>
      </w:r>
    </w:p>
    <w:p>
      <w:pPr>
        <w:pStyle w:val="a2"/>
        <w:numPr>
          <w:ilvl w:val="0"/>
          <w:numId w:val="0"/>
        </w:numPr>
        <w:ind w:firstLine="420" w:firstLineChars="200"/>
        <w:rPr>
          <w:rFonts w:ascii="宋体" w:hAnsi="宋体" w:hint="eastAsia"/>
          <w:snapToGrid/>
          <w:kern w:val="2"/>
          <w:sz w:val="21"/>
        </w:rPr>
      </w:pPr>
      <w:r>
        <w:rPr>
          <w:rFonts w:ascii="宋体" w:eastAsia="宋体" w:hAnsi="宋体" w:cs="Times New Roman" w:hint="eastAsia"/>
          <w:snapToGrid/>
          <w:kern w:val="2"/>
          <w:sz w:val="21"/>
          <w:szCs w:val="21"/>
          <w:lang w:val="en-US" w:eastAsia="zh-CN" w:bidi="ar-SA"/>
        </w:rPr>
        <w:t>（1）</w:t>
      </w:r>
      <w:r>
        <w:rPr>
          <w:rFonts w:ascii="宋体" w:hAnsi="宋体" w:hint="eastAsia"/>
          <w:snapToGrid/>
          <w:kern w:val="2"/>
          <w:sz w:val="21"/>
        </w:rPr>
        <w:t>国家级功能升级完善</w:t>
      </w:r>
    </w:p>
    <w:p>
      <w:pPr>
        <w:pStyle w:val="a2"/>
        <w:numPr>
          <w:ilvl w:val="0"/>
          <w:numId w:val="0"/>
        </w:numPr>
        <w:ind w:firstLine="420" w:firstLineChars="200"/>
        <w:rPr>
          <w:rFonts w:ascii="宋体" w:hAnsi="宋体" w:hint="eastAsia"/>
          <w:snapToGrid/>
          <w:kern w:val="2"/>
          <w:sz w:val="21"/>
        </w:rPr>
      </w:pPr>
      <w:r>
        <w:rPr>
          <w:rFonts w:ascii="宋体" w:hAnsi="宋体" w:hint="eastAsia"/>
          <w:snapToGrid/>
          <w:kern w:val="2"/>
          <w:sz w:val="21"/>
        </w:rPr>
        <w:t>主要包括设备运行保障分系统</w:t>
      </w:r>
      <w:r>
        <w:rPr>
          <w:rFonts w:ascii="宋体" w:hAnsi="宋体" w:hint="eastAsia"/>
          <w:snapToGrid/>
          <w:kern w:val="2"/>
          <w:sz w:val="21"/>
          <w:lang w:eastAsia="zh-CN"/>
        </w:rPr>
        <w:t>、</w:t>
      </w:r>
      <w:r>
        <w:rPr>
          <w:rFonts w:ascii="宋体" w:hAnsi="宋体" w:hint="eastAsia"/>
          <w:snapToGrid/>
          <w:kern w:val="2"/>
          <w:sz w:val="21"/>
        </w:rPr>
        <w:t>试验数据质量分析评估分系统</w:t>
      </w:r>
      <w:r>
        <w:rPr>
          <w:rFonts w:ascii="宋体" w:hAnsi="宋体" w:hint="eastAsia"/>
          <w:snapToGrid/>
          <w:kern w:val="2"/>
          <w:sz w:val="21"/>
          <w:lang w:eastAsia="zh-CN"/>
        </w:rPr>
        <w:t>、</w:t>
      </w:r>
      <w:r>
        <w:rPr>
          <w:rFonts w:ascii="宋体" w:hAnsi="宋体" w:hint="eastAsia"/>
          <w:snapToGrid/>
          <w:kern w:val="2"/>
          <w:sz w:val="21"/>
        </w:rPr>
        <w:t>协同观测试验技术支撑分系统</w:t>
      </w:r>
      <w:r>
        <w:rPr>
          <w:rFonts w:ascii="宋体" w:hAnsi="宋体" w:hint="eastAsia"/>
          <w:snapToGrid/>
          <w:kern w:val="2"/>
          <w:sz w:val="21"/>
          <w:lang w:eastAsia="zh-CN"/>
        </w:rPr>
        <w:t>、</w:t>
      </w:r>
      <w:r>
        <w:rPr>
          <w:rFonts w:ascii="宋体" w:hAnsi="宋体" w:hint="eastAsia"/>
          <w:snapToGrid/>
          <w:kern w:val="2"/>
          <w:sz w:val="21"/>
        </w:rPr>
        <w:t>试验设备布局管理分系统等4个分系统。</w:t>
      </w:r>
    </w:p>
    <w:p>
      <w:pPr>
        <w:pStyle w:val="a2"/>
        <w:numPr>
          <w:ilvl w:val="0"/>
          <w:numId w:val="4"/>
        </w:numPr>
        <w:rPr>
          <w:rFonts w:ascii="宋体" w:hAnsi="宋体" w:hint="default"/>
          <w:snapToGrid/>
          <w:kern w:val="2"/>
          <w:sz w:val="21"/>
        </w:rPr>
      </w:pPr>
      <w:r>
        <w:rPr>
          <w:rFonts w:ascii="宋体" w:hAnsi="宋体" w:hint="eastAsia"/>
          <w:snapToGrid/>
          <w:kern w:val="2"/>
          <w:sz w:val="21"/>
        </w:rPr>
        <w:t>设备运行保障分系统</w:t>
      </w:r>
    </w:p>
    <w:p>
      <w:pPr>
        <w:pStyle w:val="a2"/>
        <w:numPr>
          <w:ilvl w:val="0"/>
          <w:numId w:val="0"/>
        </w:numPr>
        <w:ind w:firstLine="420" w:firstLineChars="200"/>
        <w:rPr>
          <w:rFonts w:ascii="宋体" w:hAnsi="宋体" w:hint="eastAsia"/>
          <w:snapToGrid/>
          <w:kern w:val="2"/>
          <w:sz w:val="21"/>
        </w:rPr>
      </w:pPr>
      <w:r>
        <w:rPr>
          <w:rFonts w:ascii="宋体" w:hAnsi="宋体" w:hint="eastAsia"/>
          <w:snapToGrid/>
          <w:kern w:val="2"/>
          <w:sz w:val="21"/>
        </w:rPr>
        <w:t>对</w:t>
      </w:r>
      <w:r>
        <w:rPr>
          <w:rFonts w:ascii="宋体" w:hAnsi="宋体" w:hint="eastAsia"/>
          <w:snapToGrid/>
          <w:kern w:val="2"/>
          <w:sz w:val="21"/>
          <w:lang w:val="en-US" w:eastAsia="zh-CN"/>
        </w:rPr>
        <w:t>重点</w:t>
      </w:r>
      <w:r>
        <w:rPr>
          <w:rFonts w:ascii="宋体" w:hAnsi="宋体" w:hint="eastAsia"/>
          <w:snapToGrid/>
          <w:kern w:val="2"/>
          <w:sz w:val="21"/>
        </w:rPr>
        <w:t>工程建设的新型设备实现设备运行保障管理</w:t>
      </w:r>
      <w:r>
        <w:rPr>
          <w:rFonts w:ascii="宋体" w:hAnsi="宋体" w:hint="eastAsia"/>
          <w:snapToGrid/>
          <w:kern w:val="2"/>
          <w:sz w:val="21"/>
          <w:lang w:eastAsia="zh-CN"/>
        </w:rPr>
        <w:t>，</w:t>
      </w:r>
      <w:r>
        <w:rPr>
          <w:rFonts w:ascii="宋体" w:hAnsi="宋体" w:hint="eastAsia"/>
          <w:snapToGrid/>
          <w:kern w:val="2"/>
          <w:sz w:val="21"/>
          <w:lang w:val="en-US" w:eastAsia="zh-CN"/>
        </w:rPr>
        <w:t>包括</w:t>
      </w:r>
      <w:r>
        <w:rPr>
          <w:rFonts w:ascii="宋体" w:hAnsi="宋体" w:hint="eastAsia"/>
          <w:snapToGrid/>
          <w:kern w:val="2"/>
          <w:sz w:val="21"/>
        </w:rPr>
        <w:t>试验设备管理</w:t>
      </w:r>
      <w:r>
        <w:rPr>
          <w:rFonts w:ascii="宋体" w:hAnsi="宋体" w:hint="eastAsia"/>
          <w:snapToGrid/>
          <w:kern w:val="2"/>
          <w:sz w:val="21"/>
          <w:lang w:eastAsia="zh-CN"/>
        </w:rPr>
        <w:t>、</w:t>
      </w:r>
      <w:r>
        <w:rPr>
          <w:rFonts w:ascii="宋体" w:hAnsi="宋体" w:hint="eastAsia"/>
          <w:snapToGrid/>
          <w:kern w:val="2"/>
          <w:sz w:val="21"/>
        </w:rPr>
        <w:t>试验设备运行维护</w:t>
      </w:r>
      <w:r>
        <w:rPr>
          <w:rFonts w:ascii="宋体" w:hAnsi="宋体" w:hint="eastAsia"/>
          <w:snapToGrid/>
          <w:kern w:val="2"/>
          <w:sz w:val="21"/>
          <w:lang w:eastAsia="zh-CN"/>
        </w:rPr>
        <w:t>、</w:t>
      </w:r>
      <w:r>
        <w:rPr>
          <w:rFonts w:ascii="宋体" w:hAnsi="宋体" w:hint="eastAsia"/>
          <w:snapToGrid/>
          <w:kern w:val="2"/>
          <w:sz w:val="21"/>
        </w:rPr>
        <w:t>试验设备运行监控</w:t>
      </w:r>
      <w:r>
        <w:rPr>
          <w:rFonts w:ascii="宋体" w:hAnsi="宋体" w:hint="eastAsia"/>
          <w:snapToGrid/>
          <w:kern w:val="2"/>
          <w:sz w:val="21"/>
          <w:lang w:val="en-US" w:eastAsia="zh-CN"/>
        </w:rPr>
        <w:t>等功能。</w:t>
      </w:r>
    </w:p>
    <w:p>
      <w:pPr>
        <w:pStyle w:val="a2"/>
        <w:numPr>
          <w:ilvl w:val="0"/>
          <w:numId w:val="4"/>
        </w:numPr>
        <w:rPr>
          <w:rFonts w:ascii="宋体" w:hAnsi="宋体" w:hint="default"/>
          <w:snapToGrid/>
          <w:kern w:val="2"/>
          <w:sz w:val="21"/>
        </w:rPr>
      </w:pPr>
      <w:r>
        <w:rPr>
          <w:rFonts w:ascii="宋体" w:hAnsi="宋体" w:hint="eastAsia"/>
          <w:snapToGrid/>
          <w:kern w:val="2"/>
          <w:sz w:val="21"/>
        </w:rPr>
        <w:t>试验数据质量分析评估分系统</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lang w:val="en-US" w:eastAsia="zh-CN"/>
        </w:rPr>
        <w:t>针对许可测试后长期运行设备实现质量评估管理功能。包括试验数据解析处理、试验数据评估分析、设备运行评估、评估报告管理等功能。</w:t>
      </w:r>
    </w:p>
    <w:p>
      <w:pPr>
        <w:pStyle w:val="a2"/>
        <w:numPr>
          <w:ilvl w:val="0"/>
          <w:numId w:val="4"/>
        </w:numPr>
        <w:rPr>
          <w:rFonts w:ascii="宋体" w:hAnsi="宋体" w:hint="default"/>
          <w:snapToGrid/>
          <w:kern w:val="2"/>
          <w:sz w:val="21"/>
        </w:rPr>
      </w:pPr>
      <w:r>
        <w:rPr>
          <w:rFonts w:ascii="宋体" w:hAnsi="宋体" w:hint="eastAsia"/>
          <w:snapToGrid/>
          <w:kern w:val="2"/>
          <w:sz w:val="21"/>
        </w:rPr>
        <w:t>协同观测试验技术支撑分系统</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rPr>
        <w:t>为协同观测提供技术支撑环境，包括数据解析处理</w:t>
      </w:r>
      <w:r>
        <w:rPr>
          <w:rFonts w:ascii="宋体" w:hAnsi="宋体" w:hint="eastAsia"/>
          <w:snapToGrid/>
          <w:kern w:val="2"/>
          <w:sz w:val="21"/>
          <w:lang w:eastAsia="zh-CN"/>
        </w:rPr>
        <w:t>、</w:t>
      </w:r>
      <w:r>
        <w:rPr>
          <w:rFonts w:ascii="宋体" w:hAnsi="宋体" w:hint="eastAsia"/>
          <w:snapToGrid/>
          <w:kern w:val="2"/>
          <w:sz w:val="21"/>
        </w:rPr>
        <w:t>产品生产</w:t>
      </w:r>
      <w:r>
        <w:rPr>
          <w:rFonts w:ascii="宋体" w:hAnsi="宋体" w:hint="eastAsia"/>
          <w:snapToGrid/>
          <w:kern w:val="2"/>
          <w:sz w:val="21"/>
          <w:lang w:eastAsia="zh-CN"/>
        </w:rPr>
        <w:t>、</w:t>
      </w:r>
      <w:r>
        <w:rPr>
          <w:rFonts w:ascii="宋体" w:hAnsi="宋体" w:hint="eastAsia"/>
          <w:snapToGrid/>
          <w:kern w:val="2"/>
          <w:sz w:val="21"/>
        </w:rPr>
        <w:t>对比分析验证等。对比验证的要素对象包括</w:t>
      </w:r>
      <w:r>
        <w:rPr>
          <w:rFonts w:ascii="宋体" w:hAnsi="宋体" w:hint="eastAsia"/>
          <w:snapToGrid/>
          <w:kern w:val="2"/>
          <w:sz w:val="21"/>
          <w:lang w:val="en-US" w:eastAsia="zh-CN"/>
        </w:rPr>
        <w:t>温、湿、压、</w:t>
      </w:r>
      <w:r>
        <w:rPr>
          <w:rFonts w:ascii="宋体" w:hAnsi="宋体" w:hint="eastAsia"/>
          <w:snapToGrid/>
          <w:kern w:val="2"/>
          <w:sz w:val="21"/>
        </w:rPr>
        <w:t>风、降水</w:t>
      </w:r>
      <w:r>
        <w:rPr>
          <w:rFonts w:ascii="宋体" w:hAnsi="宋体" w:hint="eastAsia"/>
          <w:snapToGrid/>
          <w:kern w:val="2"/>
          <w:sz w:val="21"/>
          <w:lang w:eastAsia="zh-CN"/>
        </w:rPr>
        <w:t>、</w:t>
      </w:r>
      <w:r>
        <w:rPr>
          <w:rFonts w:ascii="宋体" w:hAnsi="宋体" w:hint="eastAsia"/>
          <w:snapToGrid/>
          <w:kern w:val="2"/>
          <w:sz w:val="21"/>
          <w:lang w:val="en-US" w:eastAsia="zh-CN"/>
        </w:rPr>
        <w:t>辐射、</w:t>
      </w:r>
      <w:r>
        <w:rPr>
          <w:rFonts w:ascii="宋体" w:hAnsi="宋体" w:hint="eastAsia"/>
          <w:snapToGrid/>
          <w:kern w:val="2"/>
          <w:sz w:val="21"/>
        </w:rPr>
        <w:t>云</w:t>
      </w:r>
      <w:r>
        <w:rPr>
          <w:rFonts w:ascii="宋体" w:hAnsi="宋体" w:hint="eastAsia"/>
          <w:snapToGrid/>
          <w:kern w:val="2"/>
          <w:sz w:val="21"/>
          <w:lang w:val="en-US" w:eastAsia="zh-CN"/>
        </w:rPr>
        <w:t>等原位观测，以及遥感等观测要素</w:t>
      </w:r>
      <w:r>
        <w:rPr>
          <w:rFonts w:ascii="宋体" w:hAnsi="宋体" w:hint="eastAsia"/>
          <w:snapToGrid/>
          <w:kern w:val="2"/>
          <w:sz w:val="21"/>
        </w:rPr>
        <w:t>，对比验证的手段主要是将不同试验设备采集的要素</w:t>
      </w:r>
      <w:r>
        <w:rPr>
          <w:rFonts w:ascii="宋体" w:hAnsi="宋体" w:hint="eastAsia"/>
          <w:snapToGrid/>
          <w:kern w:val="2"/>
          <w:sz w:val="21"/>
          <w:lang w:val="en-US" w:eastAsia="zh-CN"/>
        </w:rPr>
        <w:t>值和原始数据等</w:t>
      </w:r>
      <w:r>
        <w:rPr>
          <w:rFonts w:ascii="宋体" w:hAnsi="宋体" w:hint="eastAsia"/>
          <w:snapToGrid/>
          <w:kern w:val="2"/>
          <w:sz w:val="21"/>
        </w:rPr>
        <w:t>，进行时空分辨率上的协调和标准化，之后再进行对比验证，发布验证产品。</w:t>
      </w:r>
      <w:r>
        <w:rPr>
          <w:rFonts w:ascii="宋体" w:hAnsi="宋体" w:hint="eastAsia"/>
          <w:snapToGrid/>
          <w:kern w:val="2"/>
          <w:sz w:val="21"/>
          <w:lang w:val="en-US" w:eastAsia="zh-CN"/>
        </w:rPr>
        <w:t>包括协同观测试验数据处理、协同观测试验支撑、协同观测试验数据质量分析等功能。</w:t>
      </w:r>
    </w:p>
    <w:p>
      <w:pPr>
        <w:pStyle w:val="a2"/>
        <w:numPr>
          <w:ilvl w:val="0"/>
          <w:numId w:val="4"/>
        </w:numPr>
        <w:rPr>
          <w:rFonts w:ascii="宋体" w:hAnsi="宋体" w:hint="default"/>
          <w:snapToGrid/>
          <w:kern w:val="2"/>
          <w:sz w:val="21"/>
        </w:rPr>
      </w:pPr>
      <w:r>
        <w:rPr>
          <w:rFonts w:ascii="宋体" w:hAnsi="宋体" w:hint="eastAsia"/>
          <w:snapToGrid/>
          <w:kern w:val="2"/>
          <w:sz w:val="21"/>
        </w:rPr>
        <w:t>试验设备布局管理分系统</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rPr>
        <w:t>提供各级层面查看所有试验基地整体布局信息管理，查询、管理所有基地相关布局模型效果图、设备模型效果图，基地模型、设备模型与用户之间的交互等。基于已建设完成试验基地可视化功能进行升级与优化。</w:t>
      </w:r>
      <w:r>
        <w:rPr>
          <w:rFonts w:ascii="宋体" w:hAnsi="宋体" w:hint="eastAsia"/>
          <w:snapToGrid/>
          <w:kern w:val="2"/>
          <w:sz w:val="21"/>
          <w:lang w:val="en-US" w:eastAsia="zh-CN"/>
        </w:rPr>
        <w:t>包括试验设备模型管理、试验设备模型状态管理、三维引擎技术支撑等功能。</w:t>
      </w:r>
    </w:p>
    <w:p>
      <w:pPr>
        <w:pStyle w:val="a2"/>
        <w:numPr>
          <w:ilvl w:val="0"/>
          <w:numId w:val="0"/>
        </w:numPr>
        <w:ind w:left="0" w:firstLine="420" w:leftChars="0" w:firstLineChars="200"/>
        <w:rPr>
          <w:rFonts w:ascii="宋体" w:hAnsi="宋体" w:hint="eastAsia"/>
          <w:snapToGrid/>
          <w:kern w:val="2"/>
          <w:sz w:val="21"/>
        </w:rPr>
      </w:pPr>
      <w:r>
        <w:rPr>
          <w:rFonts w:ascii="宋体" w:eastAsia="宋体" w:hAnsi="宋体" w:cs="Times New Roman" w:hint="eastAsia"/>
          <w:snapToGrid/>
          <w:kern w:val="2"/>
          <w:sz w:val="21"/>
          <w:szCs w:val="21"/>
          <w:lang w:val="en-US" w:eastAsia="zh-CN" w:bidi="ar-SA"/>
        </w:rPr>
        <w:t>（2）</w:t>
      </w:r>
      <w:r>
        <w:rPr>
          <w:rFonts w:ascii="宋体" w:hAnsi="宋体" w:hint="eastAsia"/>
          <w:snapToGrid/>
          <w:kern w:val="2"/>
          <w:sz w:val="21"/>
        </w:rPr>
        <w:t>属地化功能建设</w:t>
      </w:r>
    </w:p>
    <w:p>
      <w:pPr>
        <w:pStyle w:val="a2"/>
        <w:numPr>
          <w:ilvl w:val="0"/>
          <w:numId w:val="0"/>
        </w:numPr>
        <w:ind w:left="420" w:leftChars="200"/>
        <w:rPr>
          <w:rFonts w:ascii="宋体" w:hAnsi="宋体" w:hint="default"/>
          <w:snapToGrid/>
          <w:kern w:val="2"/>
          <w:sz w:val="21"/>
        </w:rPr>
      </w:pPr>
      <w:r>
        <w:rPr>
          <w:rFonts w:ascii="宋体" w:hAnsi="宋体" w:hint="eastAsia"/>
          <w:snapToGrid/>
          <w:kern w:val="2"/>
          <w:sz w:val="21"/>
          <w:lang w:val="en-US" w:eastAsia="zh-CN"/>
        </w:rPr>
        <w:t>主要包括</w:t>
      </w:r>
      <w:r>
        <w:rPr>
          <w:rFonts w:ascii="宋体" w:hAnsi="宋体" w:hint="eastAsia"/>
          <w:snapToGrid/>
          <w:kern w:val="2"/>
          <w:sz w:val="21"/>
        </w:rPr>
        <w:t>观测试验运行管理分系统</w:t>
      </w:r>
      <w:r>
        <w:rPr>
          <w:rFonts w:ascii="宋体" w:hAnsi="宋体" w:hint="eastAsia"/>
          <w:snapToGrid/>
          <w:kern w:val="2"/>
          <w:sz w:val="21"/>
          <w:lang w:eastAsia="zh-CN"/>
        </w:rPr>
        <w:t>、</w:t>
      </w:r>
      <w:r>
        <w:rPr>
          <w:rFonts w:ascii="宋体" w:hAnsi="宋体" w:hint="eastAsia"/>
          <w:snapToGrid/>
          <w:kern w:val="2"/>
          <w:sz w:val="21"/>
        </w:rPr>
        <w:t>试验数据传输与处理分系统等2个分系统。</w:t>
      </w:r>
    </w:p>
    <w:p>
      <w:pPr>
        <w:pStyle w:val="a2"/>
        <w:numPr>
          <w:ilvl w:val="0"/>
          <w:numId w:val="4"/>
        </w:numPr>
        <w:rPr>
          <w:rFonts w:ascii="宋体" w:hAnsi="宋体" w:hint="default"/>
          <w:snapToGrid/>
          <w:kern w:val="2"/>
          <w:sz w:val="21"/>
        </w:rPr>
      </w:pPr>
      <w:r>
        <w:rPr>
          <w:rFonts w:ascii="宋体" w:hAnsi="宋体" w:hint="eastAsia"/>
          <w:snapToGrid/>
          <w:kern w:val="2"/>
          <w:sz w:val="21"/>
        </w:rPr>
        <w:t>观测试验运行管理分系统</w:t>
      </w:r>
      <w:r>
        <w:rPr>
          <w:rFonts w:ascii="宋体" w:hAnsi="宋体" w:hint="eastAsia"/>
          <w:snapToGrid/>
          <w:kern w:val="2"/>
          <w:sz w:val="21"/>
          <w:lang w:eastAsia="zh-CN"/>
        </w:rPr>
        <w:t>（</w:t>
      </w:r>
      <w:r>
        <w:rPr>
          <w:rFonts w:ascii="宋体" w:hAnsi="宋体" w:hint="eastAsia"/>
          <w:snapToGrid/>
          <w:kern w:val="2"/>
          <w:sz w:val="21"/>
          <w:lang w:val="en-US" w:eastAsia="zh-CN"/>
        </w:rPr>
        <w:t>本地化</w:t>
      </w:r>
      <w:r>
        <w:rPr>
          <w:rFonts w:ascii="宋体" w:hAnsi="宋体" w:hint="eastAsia"/>
          <w:snapToGrid/>
          <w:kern w:val="2"/>
          <w:sz w:val="21"/>
          <w:lang w:eastAsia="zh-CN"/>
        </w:rPr>
        <w:t>）</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lang w:val="en-US" w:eastAsia="zh-CN"/>
        </w:rPr>
        <w:t>以本地化建设为主，</w:t>
      </w:r>
      <w:r>
        <w:rPr>
          <w:rFonts w:ascii="宋体" w:eastAsia="宋体" w:hAnsi="宋体" w:cs="宋体" w:hint="eastAsia"/>
          <w:color w:val="auto"/>
          <w:sz w:val="21"/>
          <w:szCs w:val="21"/>
        </w:rPr>
        <w:t>基于寿县、张掖、大理</w:t>
      </w:r>
      <w:r>
        <w:rPr>
          <w:rFonts w:ascii="宋体" w:hAnsi="宋体" w:cs="宋体" w:hint="eastAsia"/>
          <w:color w:val="auto"/>
          <w:sz w:val="21"/>
          <w:szCs w:val="21"/>
          <w:lang w:val="en-US" w:eastAsia="zh-CN"/>
        </w:rPr>
        <w:t>等</w:t>
      </w:r>
      <w:r>
        <w:rPr>
          <w:rFonts w:ascii="宋体" w:eastAsia="宋体" w:hAnsi="宋体" w:cs="宋体" w:hint="eastAsia"/>
          <w:color w:val="auto"/>
          <w:sz w:val="21"/>
          <w:szCs w:val="21"/>
        </w:rPr>
        <w:t>试验基地自行申报或立项试验进行信息化管理</w:t>
      </w:r>
      <w:r>
        <w:rPr>
          <w:rFonts w:ascii="宋体" w:hAnsi="宋体" w:cs="宋体" w:hint="eastAsia"/>
          <w:color w:val="auto"/>
          <w:sz w:val="21"/>
          <w:szCs w:val="21"/>
          <w:lang w:eastAsia="zh-CN"/>
        </w:rPr>
        <w:t>。</w:t>
      </w:r>
      <w:r>
        <w:rPr>
          <w:rFonts w:ascii="宋体" w:hAnsi="宋体" w:hint="eastAsia"/>
          <w:snapToGrid/>
          <w:kern w:val="2"/>
          <w:sz w:val="21"/>
          <w:lang w:val="en-US" w:eastAsia="zh-CN"/>
        </w:rPr>
        <w:t>实现基于寿县、张掖、大理等试验地基自行开展的观测试验管理。以过程信息和试验数据为基础，对试验/可研项目过程的全部生命周期进行管理。包括基地试验运行管理、基地观测试验流程管理、基地试验设备维护维修等功能。</w:t>
      </w:r>
    </w:p>
    <w:p>
      <w:pPr>
        <w:pStyle w:val="a2"/>
        <w:numPr>
          <w:ilvl w:val="0"/>
          <w:numId w:val="4"/>
        </w:numPr>
        <w:rPr>
          <w:rFonts w:ascii="宋体" w:hAnsi="宋体" w:hint="eastAsia"/>
          <w:snapToGrid/>
          <w:kern w:val="2"/>
          <w:sz w:val="21"/>
        </w:rPr>
      </w:pPr>
      <w:r>
        <w:rPr>
          <w:rFonts w:ascii="宋体" w:hAnsi="宋体" w:hint="eastAsia"/>
          <w:snapToGrid/>
          <w:kern w:val="2"/>
          <w:sz w:val="21"/>
        </w:rPr>
        <w:t>基地试验数据管理分系统</w:t>
      </w:r>
      <w:r>
        <w:rPr>
          <w:rFonts w:ascii="宋体" w:hAnsi="宋体" w:hint="eastAsia"/>
          <w:snapToGrid/>
          <w:kern w:val="2"/>
          <w:sz w:val="21"/>
          <w:lang w:eastAsia="zh-CN"/>
        </w:rPr>
        <w:t>（</w:t>
      </w:r>
      <w:r>
        <w:rPr>
          <w:rFonts w:ascii="宋体" w:hAnsi="宋体" w:hint="eastAsia"/>
          <w:snapToGrid/>
          <w:kern w:val="2"/>
          <w:sz w:val="21"/>
          <w:lang w:val="en-US" w:eastAsia="zh-CN"/>
        </w:rPr>
        <w:t>本地化</w:t>
      </w:r>
      <w:r>
        <w:rPr>
          <w:rFonts w:ascii="宋体" w:hAnsi="宋体" w:hint="eastAsia"/>
          <w:snapToGrid/>
          <w:kern w:val="2"/>
          <w:sz w:val="21"/>
          <w:lang w:eastAsia="zh-CN"/>
        </w:rPr>
        <w:t>）</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lang w:val="en-US" w:eastAsia="zh-CN"/>
        </w:rPr>
        <w:t>以本地化建设为主，针对寿县、张掖、大理试验基地开展观测试验数据进行解析处理，产品生产及展示。对接本地化自行开展的观测试验数据，实现完成寿县、张掖、大理等基地观测试验数据的解析处理，产品生成，产品展示等。包括试验数据传输采集、试验数据解析处理、试验数据产品生成、试验数据对比分析、观测试验综合展示等功能。</w:t>
      </w:r>
    </w:p>
    <w:p>
      <w:pPr>
        <w:pStyle w:val="a2"/>
        <w:numPr>
          <w:ilvl w:val="0"/>
          <w:numId w:val="0"/>
        </w:numPr>
        <w:ind w:left="0" w:firstLine="420" w:leftChars="0" w:firstLineChars="200"/>
        <w:rPr>
          <w:rFonts w:ascii="宋体" w:hAnsi="宋体" w:hint="default"/>
          <w:snapToGrid/>
          <w:kern w:val="2"/>
          <w:sz w:val="21"/>
        </w:rPr>
      </w:pPr>
      <w:r>
        <w:rPr>
          <w:rFonts w:ascii="宋体" w:eastAsia="宋体" w:hAnsi="宋体" w:cs="Times New Roman" w:hint="eastAsia"/>
          <w:snapToGrid/>
          <w:kern w:val="2"/>
          <w:sz w:val="21"/>
          <w:szCs w:val="21"/>
          <w:lang w:val="en-US" w:eastAsia="zh-CN" w:bidi="ar-SA"/>
        </w:rPr>
        <w:t>（3）</w:t>
      </w:r>
      <w:r>
        <w:rPr>
          <w:rFonts w:ascii="宋体" w:hAnsi="宋体" w:cs="Times New Roman" w:hint="eastAsia"/>
          <w:snapToGrid/>
          <w:kern w:val="2"/>
          <w:sz w:val="21"/>
          <w:szCs w:val="21"/>
          <w:lang w:val="en-US" w:eastAsia="zh-CN" w:bidi="ar-SA"/>
        </w:rPr>
        <w:t>探测中心</w:t>
      </w:r>
      <w:r>
        <w:rPr>
          <w:rFonts w:ascii="宋体" w:hAnsi="宋体" w:hint="eastAsia"/>
          <w:snapToGrid/>
          <w:kern w:val="2"/>
          <w:sz w:val="21"/>
          <w:lang w:val="en-US" w:eastAsia="zh-CN"/>
        </w:rPr>
        <w:t>一体化平台融入改造</w:t>
      </w:r>
    </w:p>
    <w:p>
      <w:pPr>
        <w:pStyle w:val="a2"/>
        <w:numPr>
          <w:ilvl w:val="0"/>
          <w:numId w:val="4"/>
        </w:numPr>
        <w:rPr>
          <w:rFonts w:ascii="宋体" w:hAnsi="宋体" w:hint="default"/>
          <w:snapToGrid/>
          <w:kern w:val="2"/>
          <w:sz w:val="21"/>
        </w:rPr>
      </w:pPr>
      <w:r>
        <w:rPr>
          <w:rFonts w:ascii="宋体" w:hAnsi="宋体" w:hint="default"/>
          <w:snapToGrid/>
          <w:kern w:val="2"/>
          <w:sz w:val="21"/>
          <w:lang w:val="en-US" w:eastAsia="zh-CN"/>
        </w:rPr>
        <w:t>整体技术架构改造</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lang w:val="en-US" w:eastAsia="zh-CN"/>
        </w:rPr>
        <w:t>迁移</w:t>
      </w:r>
      <w:r>
        <w:rPr>
          <w:rFonts w:ascii="宋体" w:hAnsi="宋体" w:hint="default"/>
          <w:snapToGrid/>
          <w:kern w:val="2"/>
          <w:sz w:val="21"/>
          <w:lang w:val="en-US" w:eastAsia="zh-CN"/>
        </w:rPr>
        <w:t>基础设施和数据中心的自有建设，</w:t>
      </w:r>
      <w:r>
        <w:rPr>
          <w:rFonts w:ascii="宋体" w:hAnsi="宋体" w:hint="eastAsia"/>
          <w:snapToGrid/>
          <w:kern w:val="2"/>
          <w:sz w:val="21"/>
          <w:lang w:val="en-US" w:eastAsia="zh-CN"/>
        </w:rPr>
        <w:t>按要求、</w:t>
      </w:r>
      <w:r>
        <w:rPr>
          <w:rFonts w:ascii="宋体" w:hAnsi="宋体" w:hint="default"/>
          <w:snapToGrid/>
          <w:kern w:val="2"/>
          <w:sz w:val="21"/>
          <w:lang w:val="en-US" w:eastAsia="zh-CN"/>
        </w:rPr>
        <w:t>依托</w:t>
      </w:r>
      <w:r>
        <w:rPr>
          <w:rFonts w:ascii="宋体" w:hAnsi="宋体" w:hint="eastAsia"/>
          <w:snapToGrid/>
          <w:kern w:val="2"/>
          <w:sz w:val="21"/>
          <w:lang w:val="en-US" w:eastAsia="zh-CN"/>
        </w:rPr>
        <w:t>探测中心</w:t>
      </w:r>
      <w:r>
        <w:rPr>
          <w:rFonts w:ascii="宋体" w:hAnsi="宋体" w:hint="default"/>
          <w:snapToGrid/>
          <w:kern w:val="2"/>
          <w:sz w:val="21"/>
          <w:lang w:val="en-US" w:eastAsia="zh-CN"/>
        </w:rPr>
        <w:t>一体化平台提供的“云级”服务，应用统一集约的基础设施、数据中心资源及数据处理与管理功能</w:t>
      </w:r>
      <w:r>
        <w:rPr>
          <w:rFonts w:ascii="宋体" w:hAnsi="宋体" w:hint="eastAsia"/>
          <w:snapToGrid/>
          <w:kern w:val="2"/>
          <w:sz w:val="21"/>
          <w:lang w:val="en-US" w:eastAsia="zh-CN"/>
        </w:rPr>
        <w:t>，完成集约化架构改造</w:t>
      </w:r>
      <w:r>
        <w:rPr>
          <w:rFonts w:ascii="宋体" w:hAnsi="宋体" w:hint="default"/>
          <w:snapToGrid/>
          <w:kern w:val="2"/>
          <w:sz w:val="21"/>
          <w:lang w:val="en-US" w:eastAsia="zh-CN"/>
        </w:rPr>
        <w:t>。</w:t>
      </w:r>
    </w:p>
    <w:p>
      <w:pPr>
        <w:pStyle w:val="a2"/>
        <w:numPr>
          <w:ilvl w:val="0"/>
          <w:numId w:val="4"/>
        </w:numPr>
        <w:rPr>
          <w:rFonts w:ascii="宋体" w:hAnsi="宋体" w:hint="default"/>
          <w:snapToGrid/>
          <w:kern w:val="2"/>
          <w:sz w:val="21"/>
        </w:rPr>
      </w:pPr>
      <w:r>
        <w:rPr>
          <w:rFonts w:ascii="宋体" w:hAnsi="宋体" w:hint="default"/>
          <w:snapToGrid/>
          <w:kern w:val="2"/>
          <w:sz w:val="21"/>
          <w:lang w:val="en-US" w:eastAsia="zh-CN"/>
        </w:rPr>
        <w:t>数据存储管理改造</w:t>
      </w:r>
    </w:p>
    <w:p>
      <w:pPr>
        <w:pStyle w:val="a2"/>
        <w:numPr>
          <w:ilvl w:val="0"/>
          <w:numId w:val="0"/>
        </w:numPr>
        <w:ind w:firstLine="420" w:firstLineChars="200"/>
        <w:rPr>
          <w:rFonts w:ascii="宋体" w:hAnsi="宋体" w:hint="default"/>
          <w:snapToGrid/>
          <w:kern w:val="2"/>
          <w:sz w:val="21"/>
        </w:rPr>
      </w:pPr>
      <w:r>
        <w:rPr>
          <w:rFonts w:ascii="宋体" w:hAnsi="宋体" w:hint="default"/>
          <w:snapToGrid/>
          <w:kern w:val="2"/>
          <w:sz w:val="21"/>
          <w:lang w:val="en-US" w:eastAsia="zh-CN"/>
        </w:rPr>
        <w:t>根据平台使用的数据存储环境的特点，为保证系统稳定运行，基于一体化平台的规范要求，构建服务应用专题库。</w:t>
      </w:r>
    </w:p>
    <w:p>
      <w:pPr>
        <w:pStyle w:val="a2"/>
        <w:numPr>
          <w:ilvl w:val="0"/>
          <w:numId w:val="4"/>
        </w:numPr>
        <w:rPr>
          <w:rFonts w:ascii="宋体" w:hAnsi="宋体" w:hint="default"/>
          <w:snapToGrid/>
          <w:kern w:val="2"/>
          <w:sz w:val="21"/>
        </w:rPr>
      </w:pPr>
      <w:r>
        <w:rPr>
          <w:rFonts w:ascii="宋体" w:hAnsi="宋体" w:hint="default"/>
          <w:snapToGrid/>
          <w:kern w:val="2"/>
          <w:sz w:val="21"/>
          <w:lang w:val="en-US" w:eastAsia="zh-CN"/>
        </w:rPr>
        <w:t>数据处理流程改造</w:t>
      </w:r>
    </w:p>
    <w:p>
      <w:pPr>
        <w:pStyle w:val="a2"/>
        <w:numPr>
          <w:ilvl w:val="0"/>
          <w:numId w:val="0"/>
        </w:numPr>
        <w:ind w:firstLine="420" w:firstLineChars="200"/>
        <w:rPr>
          <w:rFonts w:ascii="宋体" w:hAnsi="宋体" w:hint="default"/>
          <w:snapToGrid/>
          <w:kern w:val="2"/>
          <w:sz w:val="21"/>
        </w:rPr>
      </w:pPr>
      <w:r>
        <w:rPr>
          <w:rFonts w:ascii="宋体" w:hAnsi="宋体" w:hint="default"/>
          <w:snapToGrid/>
          <w:kern w:val="2"/>
          <w:sz w:val="21"/>
          <w:lang w:val="en-US" w:eastAsia="zh-CN"/>
        </w:rPr>
        <w:t>对接一体化平台的数据处理流程。将数据处理结果生成到一体化提供的分布式关系型数据库中。</w:t>
      </w:r>
    </w:p>
    <w:p>
      <w:pPr>
        <w:pStyle w:val="a2"/>
        <w:numPr>
          <w:ilvl w:val="0"/>
          <w:numId w:val="4"/>
        </w:numPr>
        <w:rPr>
          <w:rFonts w:ascii="宋体" w:hAnsi="宋体" w:hint="default"/>
          <w:snapToGrid/>
          <w:kern w:val="2"/>
          <w:sz w:val="21"/>
        </w:rPr>
      </w:pPr>
      <w:r>
        <w:rPr>
          <w:rFonts w:ascii="宋体" w:hAnsi="宋体" w:hint="default"/>
          <w:snapToGrid/>
          <w:kern w:val="2"/>
          <w:sz w:val="21"/>
          <w:lang w:val="en-US" w:eastAsia="zh-CN"/>
        </w:rPr>
        <w:t>业务应用流程改造</w:t>
      </w:r>
    </w:p>
    <w:p>
      <w:pPr>
        <w:pStyle w:val="a2"/>
        <w:numPr>
          <w:ilvl w:val="0"/>
          <w:numId w:val="0"/>
        </w:numPr>
        <w:ind w:firstLine="420" w:firstLineChars="200"/>
        <w:rPr>
          <w:rFonts w:ascii="宋体" w:hAnsi="宋体" w:hint="default"/>
          <w:snapToGrid/>
          <w:kern w:val="2"/>
          <w:sz w:val="21"/>
        </w:rPr>
      </w:pPr>
      <w:r>
        <w:rPr>
          <w:rFonts w:ascii="宋体" w:hAnsi="宋体" w:hint="eastAsia"/>
          <w:snapToGrid/>
          <w:kern w:val="2"/>
          <w:sz w:val="21"/>
          <w:lang w:val="en-US" w:eastAsia="zh-CN"/>
        </w:rPr>
        <w:t>按照</w:t>
      </w:r>
      <w:r>
        <w:rPr>
          <w:rFonts w:ascii="宋体" w:hAnsi="宋体" w:hint="default"/>
          <w:snapToGrid/>
          <w:kern w:val="2"/>
          <w:sz w:val="21"/>
          <w:lang w:val="en-US" w:eastAsia="zh-CN"/>
        </w:rPr>
        <w:t>组件化平台技术标准</w:t>
      </w:r>
      <w:r>
        <w:rPr>
          <w:rFonts w:ascii="宋体" w:hAnsi="宋体" w:hint="eastAsia"/>
          <w:snapToGrid/>
          <w:kern w:val="2"/>
          <w:sz w:val="21"/>
          <w:lang w:val="en-US" w:eastAsia="zh-CN"/>
        </w:rPr>
        <w:t>，</w:t>
      </w:r>
      <w:r>
        <w:rPr>
          <w:rFonts w:ascii="宋体" w:hAnsi="宋体" w:hint="default"/>
          <w:snapToGrid/>
          <w:kern w:val="2"/>
          <w:sz w:val="21"/>
          <w:lang w:val="en-US" w:eastAsia="zh-CN"/>
        </w:rPr>
        <w:t>对标天擎气象应用仓库，</w:t>
      </w:r>
      <w:r>
        <w:rPr>
          <w:rFonts w:ascii="宋体" w:hAnsi="宋体" w:hint="eastAsia"/>
          <w:snapToGrid/>
          <w:kern w:val="2"/>
          <w:sz w:val="21"/>
          <w:lang w:val="en-US" w:eastAsia="zh-CN"/>
        </w:rPr>
        <w:t>开展</w:t>
      </w:r>
      <w:r>
        <w:rPr>
          <w:rFonts w:ascii="宋体" w:hAnsi="宋体" w:hint="default"/>
          <w:snapToGrid/>
          <w:kern w:val="2"/>
          <w:sz w:val="21"/>
          <w:lang w:val="en-US" w:eastAsia="zh-CN"/>
        </w:rPr>
        <w:t>平台前端显示及数据查询应用的改造，开发组件可直接在天擎中注册部署</w:t>
      </w:r>
      <w:r>
        <w:rPr>
          <w:rFonts w:ascii="宋体" w:hAnsi="宋体" w:hint="eastAsia"/>
          <w:snapToGrid/>
          <w:kern w:val="2"/>
          <w:sz w:val="21"/>
          <w:lang w:val="en-US" w:eastAsia="zh-CN"/>
        </w:rPr>
        <w:t>，</w:t>
      </w:r>
      <w:r>
        <w:rPr>
          <w:rFonts w:ascii="宋体" w:hAnsi="宋体" w:hint="default"/>
          <w:snapToGrid/>
          <w:kern w:val="2"/>
          <w:sz w:val="21"/>
          <w:lang w:val="en-US" w:eastAsia="zh-CN"/>
        </w:rPr>
        <w:t>改造平台Web应用的人工触发交互接口。</w:t>
      </w:r>
    </w:p>
    <w:p>
      <w:pPr>
        <w:pStyle w:val="a2"/>
        <w:numPr>
          <w:ilvl w:val="0"/>
          <w:numId w:val="4"/>
        </w:numPr>
        <w:rPr>
          <w:rFonts w:ascii="宋体" w:hAnsi="宋体" w:hint="default"/>
          <w:snapToGrid/>
          <w:kern w:val="2"/>
          <w:sz w:val="21"/>
        </w:rPr>
      </w:pPr>
      <w:r>
        <w:rPr>
          <w:rFonts w:ascii="宋体" w:hAnsi="宋体" w:hint="default"/>
          <w:snapToGrid/>
          <w:kern w:val="2"/>
          <w:sz w:val="21"/>
          <w:lang w:val="en-US" w:eastAsia="zh-CN"/>
        </w:rPr>
        <w:t>业务监控流程改造</w:t>
      </w:r>
    </w:p>
    <w:p>
      <w:pPr>
        <w:pStyle w:val="a2"/>
        <w:numPr>
          <w:ilvl w:val="0"/>
          <w:numId w:val="0"/>
        </w:numPr>
        <w:ind w:firstLine="420" w:firstLineChars="200"/>
        <w:rPr>
          <w:rFonts w:ascii="宋体" w:hAnsi="宋体" w:hint="default"/>
          <w:snapToGrid/>
          <w:kern w:val="2"/>
          <w:sz w:val="21"/>
        </w:rPr>
      </w:pPr>
      <w:r>
        <w:rPr>
          <w:rFonts w:ascii="宋体" w:hAnsi="宋体" w:hint="default"/>
          <w:snapToGrid/>
          <w:kern w:val="2"/>
          <w:sz w:val="21"/>
          <w:lang w:val="en-US" w:eastAsia="zh-CN"/>
        </w:rPr>
        <w:t>平台业务运行的各环节，依据一体化平台提供的监控逻辑发送相关监控信息。</w:t>
      </w:r>
    </w:p>
    <w:p>
      <w:pPr>
        <w:pStyle w:val="-"/>
        <w:ind w:firstLine="422"/>
        <w:rPr>
          <w:rFonts w:ascii="宋体" w:eastAsia="宋体" w:hAnsi="宋体" w:hint="eastAsia"/>
          <w:b/>
          <w:color w:val="000000"/>
          <w:sz w:val="21"/>
          <w:szCs w:val="21"/>
          <w:lang w:val="en-US"/>
        </w:rPr>
      </w:pPr>
      <w:r>
        <w:rPr>
          <w:rFonts w:ascii="宋体" w:hAnsi="宋体" w:hint="eastAsia"/>
          <w:b/>
          <w:color w:val="000000"/>
          <w:sz w:val="21"/>
          <w:szCs w:val="21"/>
          <w:lang w:val="en-US" w:eastAsia="zh-CN"/>
        </w:rPr>
        <w:t xml:space="preserve">2.3 </w:t>
      </w:r>
      <w:r>
        <w:rPr>
          <w:rFonts w:ascii="宋体" w:hAnsi="宋体" w:hint="eastAsia"/>
          <w:b/>
          <w:color w:val="000000"/>
          <w:sz w:val="21"/>
          <w:szCs w:val="21"/>
        </w:rPr>
        <w:t>业务性</w:t>
      </w:r>
      <w:r>
        <w:rPr>
          <w:rFonts w:ascii="宋体" w:hAnsi="宋体" w:hint="eastAsia"/>
          <w:b/>
          <w:color w:val="000000"/>
          <w:sz w:val="21"/>
          <w:szCs w:val="21"/>
          <w:lang w:val="en-US" w:eastAsia="zh-CN"/>
        </w:rPr>
        <w:t>要求</w:t>
      </w:r>
    </w:p>
    <w:p>
      <w:pPr>
        <w:pStyle w:val="a2"/>
        <w:numPr>
          <w:ilvl w:val="0"/>
          <w:numId w:val="0"/>
        </w:numPr>
        <w:ind w:firstLine="420" w:firstLineChars="200"/>
        <w:rPr>
          <w:rFonts w:ascii="宋体" w:hAnsi="宋体" w:hint="eastAsia"/>
          <w:snapToGrid/>
          <w:kern w:val="2"/>
          <w:sz w:val="21"/>
        </w:rPr>
      </w:pPr>
      <w:r>
        <w:rPr>
          <w:rFonts w:ascii="宋体" w:hAnsi="宋体" w:hint="eastAsia"/>
          <w:snapToGrid/>
          <w:kern w:val="2"/>
          <w:sz w:val="21"/>
          <w:lang w:val="en-US" w:eastAsia="zh-CN"/>
        </w:rPr>
        <w:t>（1）实现天创系统新增重点工程新建试验设备运行、许可测试后设备长期运行质量评估功能。为许可设备业务运行质量评估及技术改进提供支撑，不少于120套观测试验设备的运行支撑。</w:t>
      </w:r>
    </w:p>
    <w:p>
      <w:pPr>
        <w:pStyle w:val="a2"/>
        <w:numPr>
          <w:ilvl w:val="0"/>
          <w:numId w:val="0"/>
        </w:numPr>
        <w:ind w:firstLine="420" w:firstLineChars="200"/>
        <w:rPr>
          <w:rFonts w:ascii="宋体" w:hAnsi="宋体" w:hint="eastAsia"/>
          <w:snapToGrid/>
          <w:kern w:val="2"/>
          <w:sz w:val="21"/>
        </w:rPr>
      </w:pPr>
      <w:r>
        <w:rPr>
          <w:rFonts w:ascii="宋体" w:hAnsi="宋体" w:hint="eastAsia"/>
          <w:snapToGrid/>
          <w:kern w:val="2"/>
          <w:sz w:val="21"/>
          <w:lang w:val="en-US" w:eastAsia="zh-CN"/>
        </w:rPr>
        <w:t>（2）实现观测试验数据质量分析及协同观测试验技术分析功能研究及模块，不少于50场观测试验支撑。</w:t>
      </w:r>
    </w:p>
    <w:p>
      <w:pPr>
        <w:pStyle w:val="a2"/>
        <w:numPr>
          <w:ilvl w:val="0"/>
          <w:numId w:val="0"/>
        </w:numPr>
        <w:ind w:firstLine="420" w:firstLineChars="200"/>
        <w:rPr>
          <w:rFonts w:ascii="宋体" w:hAnsi="宋体" w:hint="eastAsia"/>
          <w:snapToGrid/>
          <w:kern w:val="2"/>
          <w:sz w:val="21"/>
        </w:rPr>
      </w:pPr>
      <w:r>
        <w:rPr>
          <w:rFonts w:ascii="宋体" w:hAnsi="宋体" w:hint="eastAsia"/>
          <w:snapToGrid/>
          <w:kern w:val="2"/>
          <w:sz w:val="21"/>
          <w:lang w:val="en-US" w:eastAsia="zh-CN"/>
        </w:rPr>
        <w:t>（3）实现试验设备布局3D展示及建模优化。支持不少于27个试验基地的试验设备布局与优化。</w:t>
      </w:r>
    </w:p>
    <w:p>
      <w:pPr>
        <w:pStyle w:val="a2"/>
        <w:numPr>
          <w:ilvl w:val="0"/>
          <w:numId w:val="0"/>
        </w:numPr>
        <w:ind w:firstLine="420" w:firstLineChars="200"/>
        <w:rPr>
          <w:rFonts w:ascii="宋体" w:hAnsi="宋体" w:hint="eastAsia"/>
          <w:snapToGrid/>
          <w:kern w:val="2"/>
          <w:sz w:val="21"/>
        </w:rPr>
      </w:pPr>
      <w:r>
        <w:rPr>
          <w:rFonts w:ascii="宋体" w:hAnsi="宋体" w:hint="eastAsia"/>
          <w:snapToGrid/>
          <w:kern w:val="2"/>
          <w:sz w:val="21"/>
          <w:lang w:val="en-US" w:eastAsia="zh-CN"/>
        </w:rPr>
        <w:t>（4）实现寿县、张掖、大理试验基地本地化建设。支持不少于20场自行观测试验的集成。</w:t>
      </w:r>
    </w:p>
    <w:p>
      <w:pPr>
        <w:pStyle w:val="-"/>
        <w:ind w:firstLine="422"/>
        <w:rPr>
          <w:rFonts w:ascii="宋体" w:hAnsi="宋体" w:hint="eastAsia"/>
          <w:b/>
          <w:color w:val="000000"/>
          <w:sz w:val="21"/>
          <w:szCs w:val="21"/>
          <w:lang w:val="en-US"/>
        </w:rPr>
      </w:pPr>
      <w:r>
        <w:rPr>
          <w:rFonts w:ascii="宋体" w:hAnsi="宋体" w:hint="eastAsia"/>
          <w:b/>
          <w:color w:val="000000"/>
          <w:sz w:val="21"/>
          <w:szCs w:val="21"/>
          <w:lang w:val="en-US" w:eastAsia="zh-CN"/>
        </w:rPr>
        <w:t>2.4 非功能性要求</w:t>
      </w:r>
    </w:p>
    <w:p>
      <w:pPr>
        <w:snapToGrid w:val="0"/>
        <w:spacing w:line="360" w:lineRule="auto"/>
        <w:ind w:firstLine="420" w:firstLineChars="200"/>
        <w:rPr>
          <w:color w:val="000000"/>
          <w:szCs w:val="21"/>
        </w:rPr>
      </w:pPr>
      <w:r>
        <w:rPr>
          <w:color w:val="000000"/>
          <w:szCs w:val="21"/>
        </w:rPr>
        <w:t>（1）稳定性要求</w:t>
      </w:r>
    </w:p>
    <w:p>
      <w:pPr>
        <w:snapToGrid w:val="0"/>
        <w:spacing w:line="360" w:lineRule="auto"/>
        <w:ind w:firstLine="420" w:firstLineChars="200"/>
        <w:rPr>
          <w:color w:val="000000"/>
          <w:szCs w:val="21"/>
        </w:rPr>
      </w:pPr>
      <w:r>
        <w:rPr>
          <w:color w:val="000000"/>
          <w:szCs w:val="21"/>
        </w:rPr>
        <w:t>系统年故障总时间小于12小时，故障恢复时间小于1小时。7×24小时运行期间，平均故障间隔时间不小于1个月。</w:t>
      </w:r>
    </w:p>
    <w:p>
      <w:pPr>
        <w:snapToGrid w:val="0"/>
        <w:spacing w:line="360" w:lineRule="auto"/>
        <w:ind w:firstLine="420" w:firstLineChars="200"/>
        <w:rPr>
          <w:color w:val="000000"/>
          <w:szCs w:val="21"/>
        </w:rPr>
      </w:pPr>
      <w:r>
        <w:rPr>
          <w:color w:val="000000"/>
          <w:szCs w:val="21"/>
        </w:rPr>
        <w:t>（2）易用性要求</w:t>
      </w:r>
    </w:p>
    <w:p>
      <w:pPr>
        <w:snapToGrid w:val="0"/>
        <w:spacing w:line="360" w:lineRule="auto"/>
        <w:ind w:firstLine="420" w:firstLineChars="200"/>
        <w:rPr>
          <w:color w:val="000000"/>
          <w:szCs w:val="21"/>
        </w:rPr>
      </w:pPr>
      <w:r>
        <w:rPr>
          <w:color w:val="000000"/>
          <w:szCs w:val="21"/>
        </w:rPr>
        <w:t>在日常的业务运行中，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snapToGrid w:val="0"/>
        <w:spacing w:line="360" w:lineRule="auto"/>
        <w:ind w:firstLine="420" w:firstLineChars="200"/>
        <w:rPr>
          <w:color w:val="000000"/>
          <w:szCs w:val="21"/>
        </w:rPr>
      </w:pPr>
      <w:r>
        <w:rPr>
          <w:color w:val="000000"/>
          <w:szCs w:val="21"/>
        </w:rPr>
        <w:t>系统具备完备的用户操作手册，用户手册准确无误、易读易懂，能够帮助一般用户很快地了解和使用系统；备有联机帮助命令，具有检索和导引功能，能够很方便地查到系统的主要信息。</w:t>
      </w:r>
    </w:p>
    <w:p>
      <w:pPr>
        <w:snapToGrid w:val="0"/>
        <w:spacing w:line="360" w:lineRule="auto"/>
        <w:ind w:firstLine="420" w:firstLineChars="200"/>
        <w:rPr>
          <w:color w:val="000000"/>
          <w:szCs w:val="21"/>
        </w:rPr>
      </w:pPr>
      <w:r>
        <w:rPr>
          <w:color w:val="000000"/>
          <w:szCs w:val="21"/>
        </w:rPr>
        <w:t>操作界面是图形化的，且具有菜单和快捷键及命令行等多种方式；操作命令或菜单选择是可导引的，即可引导用户输入正确、完整的命令或完成正确的菜单选择。</w:t>
      </w:r>
    </w:p>
    <w:p>
      <w:pPr>
        <w:snapToGrid w:val="0"/>
        <w:spacing w:line="360" w:lineRule="auto"/>
        <w:ind w:firstLine="420" w:firstLineChars="200"/>
        <w:rPr>
          <w:color w:val="000000"/>
          <w:szCs w:val="21"/>
        </w:rPr>
      </w:pPr>
      <w:r>
        <w:rPr>
          <w:color w:val="000000"/>
          <w:szCs w:val="21"/>
        </w:rPr>
        <w:t>（3）扩展性要求</w:t>
      </w:r>
    </w:p>
    <w:p>
      <w:pPr>
        <w:snapToGrid w:val="0"/>
        <w:spacing w:line="360" w:lineRule="auto"/>
        <w:ind w:firstLine="420" w:firstLineChars="200"/>
        <w:rPr>
          <w:color w:val="000000"/>
          <w:szCs w:val="21"/>
        </w:rPr>
      </w:pPr>
      <w:r>
        <w:rPr>
          <w:color w:val="000000"/>
          <w:szCs w:val="21"/>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pPr>
        <w:snapToGrid w:val="0"/>
        <w:spacing w:line="360" w:lineRule="auto"/>
        <w:ind w:firstLine="420" w:firstLineChars="200"/>
        <w:rPr>
          <w:color w:val="000000"/>
          <w:szCs w:val="21"/>
        </w:rPr>
      </w:pPr>
      <w:r>
        <w:rPr>
          <w:color w:val="000000"/>
          <w:szCs w:val="21"/>
        </w:rPr>
        <w:t>（4）维护性要求</w:t>
      </w:r>
    </w:p>
    <w:p>
      <w:pPr>
        <w:snapToGrid w:val="0"/>
        <w:spacing w:line="360" w:lineRule="auto"/>
        <w:ind w:firstLine="420" w:firstLineChars="200"/>
        <w:rPr>
          <w:color w:val="000000"/>
          <w:szCs w:val="21"/>
        </w:rPr>
      </w:pPr>
      <w:r>
        <w:rPr>
          <w:color w:val="000000"/>
          <w:szCs w:val="21"/>
        </w:rPr>
        <w:t>提供详细的维护手册。</w:t>
      </w:r>
    </w:p>
    <w:p>
      <w:pPr>
        <w:snapToGrid w:val="0"/>
        <w:spacing w:line="360" w:lineRule="auto"/>
        <w:ind w:firstLine="420" w:firstLineChars="200"/>
        <w:rPr>
          <w:color w:val="000000"/>
          <w:szCs w:val="21"/>
        </w:rPr>
      </w:pPr>
      <w:r>
        <w:rPr>
          <w:color w:val="000000"/>
          <w:szCs w:val="21"/>
        </w:rPr>
        <w:t>系统能够捕获到的计算机系统故障或应用软件错误并以适当的形式记录或向操作员发送错误状态报告；处理软件的任务及其任务环境参数可从外部配置和修改，并可从数据库中自动生成。</w:t>
      </w:r>
    </w:p>
    <w:p>
      <w:pPr>
        <w:snapToGrid w:val="0"/>
        <w:spacing w:line="360" w:lineRule="auto"/>
        <w:ind w:firstLine="420" w:firstLineChars="200"/>
        <w:rPr>
          <w:color w:val="000000"/>
          <w:szCs w:val="21"/>
        </w:rPr>
      </w:pPr>
      <w:r>
        <w:rPr>
          <w:color w:val="000000"/>
          <w:szCs w:val="21"/>
        </w:rPr>
        <w:t>（5）安全性要求</w:t>
      </w:r>
    </w:p>
    <w:p>
      <w:pPr>
        <w:snapToGrid w:val="0"/>
        <w:spacing w:line="360" w:lineRule="auto"/>
        <w:ind w:firstLine="420" w:firstLineChars="200"/>
        <w:rPr>
          <w:rFonts w:hint="default"/>
          <w:color w:val="auto"/>
          <w:szCs w:val="21"/>
        </w:rPr>
      </w:pPr>
      <w:r>
        <w:rPr>
          <w:color w:val="000000"/>
          <w:szCs w:val="21"/>
        </w:rPr>
        <w:t>系统需要具备抵御网络病毒、黑客袭击的措施与隔离攻击、快速恢复机制，具备多种、</w:t>
      </w:r>
      <w:r>
        <w:rPr>
          <w:color w:val="auto"/>
          <w:szCs w:val="21"/>
        </w:rPr>
        <w:t>分级别的数据安全保护措施并形成有效运行机制。</w:t>
      </w:r>
      <w:r>
        <w:rPr>
          <w:rFonts w:cs="宋体" w:hint="eastAsia"/>
          <w:color w:val="auto"/>
          <w:szCs w:val="21"/>
          <w:lang w:bidi="ar"/>
        </w:rPr>
        <w:t>中标方需通过甲方的网络安全漏洞扫描，确保无中高危漏洞；在重大活动保障期间，需配合实时安全防护调整。若因乙方漏洞导致事故，需承担违约责任。</w:t>
      </w:r>
    </w:p>
    <w:p>
      <w:pPr>
        <w:snapToGrid w:val="0"/>
        <w:spacing w:line="360" w:lineRule="auto"/>
        <w:ind w:firstLine="420" w:firstLineChars="200"/>
        <w:rPr>
          <w:color w:val="auto"/>
          <w:szCs w:val="21"/>
        </w:rPr>
      </w:pPr>
      <w:r>
        <w:rPr>
          <w:color w:val="auto"/>
          <w:szCs w:val="21"/>
        </w:rPr>
        <w:t>（6）界面要求</w:t>
      </w:r>
    </w:p>
    <w:p>
      <w:pPr>
        <w:snapToGrid w:val="0"/>
        <w:spacing w:line="360" w:lineRule="auto"/>
        <w:ind w:firstLine="420" w:firstLineChars="200"/>
        <w:rPr>
          <w:rFonts w:ascii="宋体" w:hAnsi="宋体"/>
          <w:color w:val="auto"/>
          <w:szCs w:val="21"/>
        </w:rPr>
      </w:pPr>
      <w:r>
        <w:rPr>
          <w:rFonts w:ascii="宋体" w:hAnsi="宋体" w:hint="eastAsia"/>
          <w:color w:val="auto"/>
          <w:szCs w:val="21"/>
        </w:rPr>
        <w:t>系统界面设计需要简洁、便于使用、便于理解、并能减少用户发生错误选择的可能性。系统能够保证用户在</w:t>
      </w:r>
      <w:r>
        <w:rPr>
          <w:color w:val="auto"/>
          <w:szCs w:val="21"/>
        </w:rPr>
        <w:t>10</w:t>
      </w:r>
      <w:r>
        <w:rPr>
          <w:rFonts w:ascii="宋体" w:hAnsi="宋体" w:hint="eastAsia"/>
          <w:color w:val="auto"/>
          <w:szCs w:val="21"/>
        </w:rPr>
        <w:t>分钟内即能理解页面上的操作。</w:t>
      </w:r>
    </w:p>
    <w:p>
      <w:pPr>
        <w:snapToGrid w:val="0"/>
        <w:spacing w:line="360" w:lineRule="auto"/>
        <w:ind w:firstLine="420" w:firstLineChars="200"/>
        <w:rPr>
          <w:rFonts w:ascii="宋体" w:hAnsi="宋体"/>
          <w:color w:val="auto"/>
          <w:szCs w:val="21"/>
        </w:rPr>
      </w:pPr>
      <w:r>
        <w:rPr>
          <w:rFonts w:ascii="宋体" w:hAnsi="宋体" w:hint="eastAsia"/>
          <w:color w:val="auto"/>
          <w:szCs w:val="21"/>
        </w:rPr>
        <w:t>系统界面要具备友好性、人性化的提示。</w:t>
      </w:r>
    </w:p>
    <w:p>
      <w:pPr>
        <w:snapToGrid w:val="0"/>
        <w:spacing w:line="360" w:lineRule="auto"/>
        <w:ind w:firstLine="420" w:firstLineChars="200"/>
        <w:rPr>
          <w:rFonts w:ascii="宋体" w:hAnsi="宋体" w:hint="eastAsia"/>
          <w:color w:val="auto"/>
          <w:szCs w:val="21"/>
        </w:rPr>
      </w:pPr>
      <w:r>
        <w:rPr>
          <w:rFonts w:ascii="宋体" w:hAnsi="宋体" w:hint="eastAsia"/>
          <w:color w:val="auto"/>
          <w:szCs w:val="21"/>
        </w:rPr>
        <w:t>系统界面结构清晰且所用的术语要保持一致，风格必须与内容相一致，界面的色调字体也要保持一致。</w:t>
      </w:r>
    </w:p>
    <w:p>
      <w:pPr>
        <w:snapToGrid w:val="0"/>
        <w:spacing w:line="360" w:lineRule="auto"/>
        <w:ind w:firstLine="420" w:firstLineChars="200"/>
        <w:rPr>
          <w:rFonts w:ascii="宋体" w:hAnsi="宋体" w:hint="eastAsia"/>
          <w:color w:val="auto"/>
          <w:szCs w:val="21"/>
        </w:rPr>
      </w:pPr>
      <w:r>
        <w:rPr>
          <w:rFonts w:ascii="宋体" w:hAnsi="宋体" w:hint="eastAsia"/>
          <w:color w:val="auto"/>
          <w:szCs w:val="21"/>
          <w:lang w:val="en-US" w:eastAsia="zh-CN"/>
        </w:rPr>
        <w:t>（7）国产化适配要求</w:t>
      </w:r>
    </w:p>
    <w:p>
      <w:pPr>
        <w:snapToGrid w:val="0"/>
        <w:spacing w:line="360" w:lineRule="auto"/>
        <w:ind w:firstLine="420" w:firstLineChars="200"/>
        <w:rPr>
          <w:rFonts w:ascii="宋体" w:hAnsi="宋体" w:hint="default"/>
          <w:color w:val="auto"/>
          <w:szCs w:val="21"/>
        </w:rPr>
      </w:pPr>
      <w:r>
        <w:rPr>
          <w:rFonts w:cs="宋体" w:hint="eastAsia"/>
          <w:color w:val="auto"/>
          <w:szCs w:val="21"/>
          <w:lang w:bidi="ar"/>
        </w:rPr>
        <w:t>根据甲方要求进行国产化适配性改造</w:t>
      </w:r>
      <w:r>
        <w:rPr>
          <w:rFonts w:cs="宋体" w:hint="eastAsia"/>
          <w:color w:val="auto"/>
          <w:szCs w:val="21"/>
          <w:lang w:eastAsia="zh-CN" w:bidi="ar"/>
        </w:rPr>
        <w:t>，</w:t>
      </w:r>
      <w:r>
        <w:rPr>
          <w:rFonts w:cs="宋体" w:hint="eastAsia"/>
          <w:color w:val="auto"/>
          <w:szCs w:val="21"/>
          <w:lang w:bidi="ar"/>
        </w:rPr>
        <w:t>技术选型需支持国产化环境（如麒麟OS、鲲鹏芯片）</w:t>
      </w:r>
      <w:r>
        <w:rPr>
          <w:rFonts w:cs="宋体" w:hint="eastAsia"/>
          <w:color w:val="auto"/>
          <w:szCs w:val="21"/>
          <w:lang w:eastAsia="zh-CN" w:bidi="ar"/>
        </w:rPr>
        <w:t>。</w:t>
      </w:r>
    </w:p>
    <w:p>
      <w:pPr>
        <w:spacing w:line="360" w:lineRule="auto"/>
        <w:ind w:firstLine="420" w:firstLineChars="200"/>
        <w:rPr>
          <w:rFonts w:ascii="宋体" w:hAnsi="宋体"/>
          <w:b/>
          <w:color w:val="000000"/>
          <w:kern w:val="0"/>
          <w:szCs w:val="21"/>
        </w:rPr>
      </w:pPr>
      <w:r>
        <w:rPr>
          <w:rFonts w:ascii="宋体" w:hAnsi="宋体" w:hint="eastAsia"/>
          <w:b/>
          <w:color w:val="000000"/>
          <w:kern w:val="0"/>
          <w:szCs w:val="21"/>
        </w:rPr>
        <w:t>三、检验考核要求</w:t>
      </w:r>
    </w:p>
    <w:p>
      <w:pPr>
        <w:snapToGrid w:val="0"/>
        <w:spacing w:line="360" w:lineRule="auto"/>
        <w:ind w:firstLine="420" w:firstLineChars="200"/>
        <w:rPr>
          <w:color w:val="000000"/>
          <w:szCs w:val="21"/>
        </w:rPr>
      </w:pPr>
      <w:r>
        <w:rPr>
          <w:color w:val="000000"/>
          <w:szCs w:val="21"/>
        </w:rPr>
        <w:t>项目进入实施阶段后，</w:t>
      </w:r>
      <w:r>
        <w:rPr>
          <w:rFonts w:hint="eastAsia"/>
          <w:color w:val="000000"/>
          <w:szCs w:val="21"/>
        </w:rPr>
        <w:t>应编制软件概要设计和详细设计方案等技术文档，</w:t>
      </w:r>
      <w:r>
        <w:rPr>
          <w:color w:val="000000"/>
          <w:szCs w:val="21"/>
        </w:rPr>
        <w:t>项目应进行1次实施方案评审论证，至少进行1次软件功能性测试、1次软件非功能性测试</w:t>
      </w:r>
      <w:r>
        <w:rPr>
          <w:rFonts w:hint="eastAsia"/>
          <w:color w:val="000000"/>
          <w:szCs w:val="21"/>
        </w:rPr>
        <w:t>和系统信息安全评估</w:t>
      </w:r>
      <w:r>
        <w:rPr>
          <w:rFonts w:hint="eastAsia"/>
          <w:lang w:eastAsia="zh-CN"/>
        </w:rPr>
        <w:t>，</w:t>
      </w:r>
      <w:r>
        <w:rPr>
          <w:rFonts w:hint="eastAsia"/>
          <w:lang w:val="en-US" w:eastAsia="zh-CN"/>
        </w:rPr>
        <w:t>应通过测试、符合系统信息安全要求</w:t>
      </w:r>
      <w:r>
        <w:rPr>
          <w:color w:val="000000"/>
          <w:szCs w:val="21"/>
        </w:rPr>
        <w:t>。</w:t>
      </w:r>
    </w:p>
    <w:p>
      <w:pPr>
        <w:snapToGrid w:val="0"/>
        <w:spacing w:line="360" w:lineRule="auto"/>
        <w:ind w:firstLine="420" w:firstLineChars="200"/>
        <w:rPr>
          <w:rFonts w:ascii="宋体" w:hAnsi="宋体" w:hint="eastAsia"/>
          <w:color w:val="000000"/>
          <w:szCs w:val="21"/>
        </w:rPr>
      </w:pPr>
      <w:r>
        <w:rPr>
          <w:color w:val="000000"/>
          <w:szCs w:val="21"/>
        </w:rPr>
        <w:t>项目进入交付阶段后，中标方根据可行性研究报告、合同中涉及的相关技术指标形成验收方案。在招标方指定地点，中标方进行现场安装调试，并开展至少1</w:t>
      </w:r>
      <w:r>
        <w:rPr>
          <w:rFonts w:ascii="宋体" w:hAnsi="宋体" w:hint="eastAsia"/>
          <w:color w:val="000000"/>
          <w:szCs w:val="21"/>
        </w:rPr>
        <w:t>个月的试运行。试运行结束后，中标方提供自测试</w:t>
      </w:r>
      <w:r>
        <w:rPr>
          <w:rFonts w:ascii="宋体" w:hAnsi="宋体"/>
          <w:color w:val="000000"/>
          <w:szCs w:val="21"/>
        </w:rPr>
        <w:t>报告、使用手册、</w:t>
      </w:r>
      <w:r>
        <w:rPr>
          <w:rFonts w:ascii="宋体" w:hAnsi="宋体" w:hint="eastAsia"/>
          <w:color w:val="000000"/>
          <w:szCs w:val="21"/>
        </w:rPr>
        <w:t>技术</w:t>
      </w:r>
      <w:r>
        <w:rPr>
          <w:rFonts w:ascii="宋体" w:hAnsi="宋体"/>
          <w:color w:val="000000"/>
          <w:szCs w:val="21"/>
        </w:rPr>
        <w:t>说明书等文件供招标方审查。审查通过后，在招标方代表在场的情况下，依据</w:t>
      </w:r>
      <w:r>
        <w:rPr>
          <w:rFonts w:ascii="宋体" w:hAnsi="宋体" w:hint="eastAsia"/>
          <w:color w:val="000000"/>
          <w:szCs w:val="21"/>
        </w:rPr>
        <w:t>验收方案</w:t>
      </w:r>
      <w:r>
        <w:rPr>
          <w:rFonts w:ascii="宋体" w:hAnsi="宋体"/>
          <w:color w:val="000000"/>
          <w:szCs w:val="21"/>
        </w:rPr>
        <w:t>中相关要求和技术指标对各</w:t>
      </w:r>
      <w:r>
        <w:rPr>
          <w:rFonts w:ascii="宋体" w:hAnsi="宋体" w:hint="eastAsia"/>
          <w:color w:val="000000"/>
          <w:szCs w:val="21"/>
        </w:rPr>
        <w:t>子项目进行</w:t>
      </w:r>
      <w:r>
        <w:rPr>
          <w:rFonts w:ascii="宋体" w:hAnsi="宋体"/>
          <w:color w:val="000000"/>
          <w:szCs w:val="21"/>
        </w:rPr>
        <w:t>测试并形成测试报告</w:t>
      </w:r>
      <w:r>
        <w:rPr>
          <w:rFonts w:ascii="宋体" w:hAnsi="宋体" w:hint="eastAsia"/>
          <w:color w:val="000000"/>
          <w:szCs w:val="21"/>
        </w:rPr>
        <w:t>，如果未能通过</w:t>
      </w:r>
      <w:r>
        <w:rPr>
          <w:rFonts w:ascii="宋体" w:hAnsi="宋体"/>
          <w:color w:val="000000"/>
          <w:szCs w:val="21"/>
        </w:rPr>
        <w:t>测试</w:t>
      </w:r>
      <w:r>
        <w:rPr>
          <w:rFonts w:ascii="宋体" w:hAnsi="宋体" w:hint="eastAsia"/>
          <w:color w:val="000000"/>
          <w:szCs w:val="21"/>
        </w:rPr>
        <w:t>，待中标方整改后择日重新进行测试和验收，由此增加的一切费用由中标方承担。</w:t>
      </w:r>
    </w:p>
    <w:p>
      <w:pPr>
        <w:spacing w:line="360" w:lineRule="auto"/>
        <w:ind w:firstLine="420" w:firstLineChars="200"/>
        <w:rPr>
          <w:rFonts w:ascii="宋体" w:hAnsi="宋体"/>
          <w:b/>
          <w:color w:val="000000"/>
          <w:kern w:val="0"/>
          <w:szCs w:val="21"/>
        </w:rPr>
      </w:pPr>
      <w:r>
        <w:rPr>
          <w:rFonts w:ascii="宋体" w:hAnsi="宋体" w:hint="eastAsia"/>
          <w:b/>
          <w:color w:val="000000"/>
          <w:kern w:val="0"/>
          <w:szCs w:val="21"/>
        </w:rPr>
        <w:t>四、培训</w:t>
      </w:r>
    </w:p>
    <w:p>
      <w:pPr>
        <w:snapToGrid w:val="0"/>
        <w:spacing w:line="360" w:lineRule="auto"/>
        <w:ind w:firstLine="420" w:firstLineChars="200"/>
        <w:rPr>
          <w:color w:val="000000"/>
          <w:szCs w:val="21"/>
        </w:rPr>
      </w:pPr>
      <w:r>
        <w:rPr>
          <w:color w:val="000000"/>
          <w:szCs w:val="21"/>
        </w:rPr>
        <w:t>1、培训方式为现场培训，中标方应在培训之前向招标方提交一份详细的培训计划。</w:t>
      </w:r>
    </w:p>
    <w:p>
      <w:pPr>
        <w:snapToGrid w:val="0"/>
        <w:spacing w:line="360" w:lineRule="auto"/>
        <w:ind w:firstLine="420" w:firstLineChars="200"/>
        <w:rPr>
          <w:color w:val="000000"/>
          <w:szCs w:val="21"/>
        </w:rPr>
      </w:pPr>
      <w:r>
        <w:rPr>
          <w:color w:val="000000"/>
          <w:szCs w:val="21"/>
        </w:rPr>
        <w:t>2、培训应确保每一位系统用户能够独立、熟练地完成操作，并能够独立处理简单故障和进行功能调整。</w:t>
      </w:r>
    </w:p>
    <w:p>
      <w:pPr>
        <w:snapToGrid w:val="0"/>
        <w:spacing w:line="360" w:lineRule="auto"/>
        <w:ind w:firstLine="420" w:firstLineChars="200"/>
        <w:rPr>
          <w:color w:val="000000"/>
          <w:szCs w:val="21"/>
        </w:rPr>
      </w:pPr>
      <w:r>
        <w:rPr>
          <w:color w:val="000000"/>
          <w:szCs w:val="21"/>
        </w:rPr>
        <w:t>3、培训在招标方指定地点进行；培训讲师为项目主要开发人员；培训时间不少于2天，每天8课时，每课时45分钟；培训内容包括日常操作、维护、常见故障排除、紧急情况处理等；培训应采取课堂讲解和实操训练相结合的方式；培训结束后需进行实操测试，按百分制进行量化，得分超过80分为合格，培训合格率需达到100%，保证受训人员能独立进行操作。</w:t>
      </w:r>
    </w:p>
    <w:p>
      <w:pPr>
        <w:snapToGrid w:val="0"/>
        <w:spacing w:line="360" w:lineRule="auto"/>
        <w:ind w:firstLine="420" w:firstLineChars="200"/>
        <w:rPr>
          <w:color w:val="000000"/>
          <w:szCs w:val="21"/>
        </w:rPr>
      </w:pPr>
      <w:r>
        <w:rPr>
          <w:color w:val="000000"/>
          <w:szCs w:val="21"/>
        </w:rPr>
        <w:t>4、中标方负责搭建培训所需的环境，并提供培训教材等相关用品。</w:t>
      </w:r>
    </w:p>
    <w:p>
      <w:pPr>
        <w:snapToGrid w:val="0"/>
        <w:spacing w:line="360" w:lineRule="auto"/>
        <w:ind w:firstLine="420" w:firstLineChars="200"/>
        <w:rPr>
          <w:color w:val="000000"/>
          <w:szCs w:val="21"/>
        </w:rPr>
      </w:pPr>
      <w:r>
        <w:rPr>
          <w:color w:val="000000"/>
          <w:szCs w:val="21"/>
        </w:rPr>
        <w:t>5、参加培训人员的差旅食宿费用自理，中标方承担培训产生的场地、教师、培训资料、消耗品等一切费用。</w:t>
      </w:r>
    </w:p>
    <w:p>
      <w:pPr>
        <w:spacing w:line="360" w:lineRule="auto"/>
        <w:ind w:firstLine="420" w:firstLineChars="200"/>
        <w:rPr>
          <w:b/>
          <w:color w:val="000000"/>
          <w:kern w:val="0"/>
          <w:szCs w:val="21"/>
        </w:rPr>
      </w:pPr>
      <w:r>
        <w:rPr>
          <w:b/>
          <w:color w:val="000000"/>
          <w:kern w:val="0"/>
          <w:szCs w:val="21"/>
        </w:rPr>
        <w:t>五、售后服务</w:t>
      </w:r>
    </w:p>
    <w:p>
      <w:pPr>
        <w:snapToGrid w:val="0"/>
        <w:spacing w:line="360" w:lineRule="auto"/>
        <w:ind w:firstLine="420" w:firstLineChars="200"/>
        <w:rPr>
          <w:color w:val="000000"/>
          <w:szCs w:val="21"/>
        </w:rPr>
      </w:pPr>
      <w:r>
        <w:rPr>
          <w:color w:val="000000"/>
          <w:szCs w:val="21"/>
        </w:rPr>
        <w:t>通过验收之日起，中标方提供5年免费技术支持服务。</w:t>
      </w:r>
    </w:p>
    <w:p>
      <w:pPr>
        <w:snapToGrid w:val="0"/>
        <w:spacing w:line="360" w:lineRule="auto"/>
        <w:ind w:firstLine="420" w:firstLineChars="200"/>
        <w:rPr>
          <w:color w:val="000000"/>
          <w:szCs w:val="21"/>
        </w:rPr>
      </w:pPr>
      <w:r>
        <w:rPr>
          <w:color w:val="000000"/>
          <w:szCs w:val="21"/>
        </w:rPr>
        <w:t>中标人技术人员应随时进行电话应答；30分钟内完成远程登陆诊断。需要现场解决的问题，中标人技术人员须在24小时内达到中国气象局现场。</w:t>
      </w:r>
    </w:p>
    <w:p>
      <w:pPr>
        <w:snapToGrid w:val="0"/>
        <w:spacing w:line="360" w:lineRule="auto"/>
        <w:ind w:firstLine="420" w:firstLineChars="200"/>
        <w:rPr>
          <w:rFonts w:ascii="宋体" w:hAnsi="宋体"/>
          <w:color w:val="000000"/>
          <w:szCs w:val="21"/>
        </w:rPr>
      </w:pPr>
      <w:r>
        <w:rPr>
          <w:color w:val="000000"/>
          <w:szCs w:val="21"/>
        </w:rPr>
        <w:t>质保期内，中标方须配备一支稳定的专业技术服务团队，提供7*24小时的服务响应，并负责产品的一切维护工作。提供详细的售后服务计划，包括售后服务方式、人员配置、服务期限、故障响应及维修时间等。在出现故障后，中标方应在30分钟内完成远程登陆诊断，指导招标方排除故障；需要现场解决的问题，中标方技术人员应在24</w:t>
      </w:r>
      <w:r>
        <w:rPr>
          <w:rFonts w:ascii="宋体" w:hAnsi="宋体" w:hint="eastAsia"/>
          <w:color w:val="000000"/>
          <w:szCs w:val="21"/>
        </w:rPr>
        <w:t>小时内到达现场</w:t>
      </w:r>
      <w:r>
        <w:rPr>
          <w:rFonts w:ascii="宋体" w:hAnsi="宋体"/>
          <w:color w:val="000000"/>
          <w:szCs w:val="21"/>
        </w:rPr>
        <w:t>，技术人员所发生的差旅费由中标方承担。</w:t>
      </w:r>
    </w:p>
    <w:p>
      <w:pPr>
        <w:spacing w:line="360" w:lineRule="auto"/>
        <w:ind w:firstLine="420" w:firstLineChars="200"/>
        <w:rPr>
          <w:rFonts w:ascii="宋体" w:eastAsia="宋体" w:hAnsi="宋体" w:cs="Times New Roman"/>
          <w:szCs w:val="21"/>
        </w:rPr>
      </w:pPr>
      <w:r>
        <w:rPr>
          <w:rFonts w:ascii="宋体" w:hAnsi="宋体"/>
          <w:color w:val="000000"/>
          <w:szCs w:val="21"/>
        </w:rPr>
        <w:t>提供超过质保期后的技术跟踪服务，包含电话疑难问题解答、远程技术指导等。</w:t>
      </w: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1"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center"/>
              <w:rPr>
                <w:rFonts w:ascii="宋体" w:hAnsi="宋体" w:hint="eastAsia"/>
                <w:sz w:val="18"/>
                <w:szCs w:val="18"/>
                <w:highlight w:val="none"/>
              </w:rPr>
            </w:pPr>
            <w:r>
              <w:rPr>
                <w:rFonts w:ascii="宋体" w:hAnsi="宋体" w:cs="Times New Roman" w:hint="eastAsia"/>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center"/>
              <w:rPr>
                <w:rFonts w:ascii="宋体" w:hAnsi="宋体"/>
                <w:sz w:val="18"/>
                <w:szCs w:val="18"/>
                <w:highlight w:val="none"/>
              </w:rPr>
            </w:pPr>
            <w:r>
              <w:rPr>
                <w:rFonts w:ascii="宋体" w:hAnsi="宋体" w:cs="Times New Roman" w:hint="eastAsia"/>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第九章  采购合同</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5"/>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6"/>
        </w:numPr>
        <w:spacing w:before="60" w:after="60" w:line="360" w:lineRule="auto"/>
        <w:ind w:left="840" w:hanging="840"/>
        <w:jc w:val="left"/>
        <w:outlineLvl w:val="1"/>
        <w:rPr>
          <w:rFonts w:ascii="宋体" w:eastAsia="宋体" w:hAnsi="宋体" w:cs="宋体"/>
          <w:b/>
          <w:bCs/>
          <w:szCs w:val="21"/>
        </w:rPr>
      </w:pPr>
      <w:bookmarkStart w:id="63" w:name="_Toc150439537"/>
      <w:r>
        <w:rPr>
          <w:rFonts w:ascii="宋体" w:eastAsia="宋体" w:hAnsi="宋体" w:cs="宋体" w:hint="eastAsia"/>
          <w:b/>
          <w:bCs/>
          <w:szCs w:val="21"/>
        </w:rPr>
        <w:t>项目内容及概况</w:t>
      </w:r>
      <w:bookmarkEnd w:id="63"/>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60"/>
        <w:gridCol w:w="747"/>
        <w:gridCol w:w="792"/>
        <w:gridCol w:w="1500"/>
        <w:gridCol w:w="1502"/>
        <w:gridCol w:w="1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6"/>
        </w:numPr>
        <w:spacing w:before="60" w:after="60" w:line="360" w:lineRule="auto"/>
        <w:ind w:left="840" w:hanging="840"/>
        <w:jc w:val="left"/>
        <w:outlineLvl w:val="1"/>
        <w:rPr>
          <w:rFonts w:ascii="宋体" w:eastAsia="宋体" w:hAnsi="宋体" w:cs="宋体"/>
          <w:b/>
          <w:bCs/>
          <w:szCs w:val="21"/>
        </w:rPr>
      </w:pPr>
      <w:bookmarkStart w:id="64" w:name="_Toc150439540"/>
      <w:r>
        <w:rPr>
          <w:rFonts w:ascii="宋体" w:eastAsia="宋体" w:hAnsi="宋体" w:cs="宋体" w:hint="eastAsia"/>
          <w:b/>
          <w:bCs/>
          <w:szCs w:val="21"/>
        </w:rPr>
        <w:t>项目相关标准</w:t>
      </w:r>
      <w:bookmarkEnd w:id="64"/>
    </w:p>
    <w:p>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6"/>
        </w:numPr>
        <w:spacing w:before="60" w:after="60" w:line="360" w:lineRule="auto"/>
        <w:ind w:left="840" w:hanging="840"/>
        <w:jc w:val="left"/>
        <w:outlineLvl w:val="1"/>
        <w:rPr>
          <w:rFonts w:ascii="宋体" w:eastAsia="宋体" w:hAnsi="宋体" w:cs="宋体"/>
          <w:b/>
          <w:bCs/>
          <w:szCs w:val="21"/>
        </w:rPr>
      </w:pPr>
      <w:bookmarkStart w:id="65" w:name="_Toc150439542"/>
      <w:r>
        <w:rPr>
          <w:rFonts w:ascii="宋体" w:eastAsia="宋体" w:hAnsi="宋体" w:cs="宋体" w:hint="eastAsia"/>
          <w:b/>
          <w:bCs/>
          <w:szCs w:val="21"/>
        </w:rPr>
        <w:t>组成本合同的文件</w:t>
      </w:r>
      <w:bookmarkEnd w:id="65"/>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4"/>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4"/>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6"/>
        </w:numPr>
        <w:spacing w:before="60" w:after="60" w:line="360" w:lineRule="auto"/>
        <w:ind w:left="840" w:hanging="840"/>
        <w:jc w:val="left"/>
        <w:outlineLvl w:val="1"/>
        <w:rPr>
          <w:rFonts w:ascii="宋体" w:eastAsia="宋体" w:hAnsi="宋体" w:cs="宋体"/>
          <w:b/>
          <w:bCs/>
          <w:szCs w:val="21"/>
        </w:rPr>
      </w:pPr>
      <w:bookmarkStart w:id="66" w:name="_Toc150439545"/>
      <w:r>
        <w:rPr>
          <w:rFonts w:ascii="宋体" w:eastAsia="宋体" w:hAnsi="宋体" w:cs="宋体" w:hint="eastAsia"/>
          <w:b/>
          <w:bCs/>
          <w:szCs w:val="21"/>
        </w:rPr>
        <w:t>合同履行地点、合同服务期</w:t>
      </w:r>
      <w:bookmarkEnd w:id="66"/>
    </w:p>
    <w:p>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6"/>
        </w:numPr>
        <w:spacing w:before="60" w:after="60" w:line="360" w:lineRule="auto"/>
        <w:ind w:left="840" w:hanging="840"/>
        <w:outlineLvl w:val="1"/>
        <w:rPr>
          <w:rFonts w:ascii="宋体" w:eastAsia="宋体" w:hAnsi="宋体" w:cs="宋体"/>
          <w:b/>
          <w:bCs/>
          <w:szCs w:val="21"/>
        </w:rPr>
      </w:pPr>
      <w:bookmarkStart w:id="67" w:name="_Toc150439547"/>
      <w:r>
        <w:rPr>
          <w:rFonts w:ascii="宋体" w:eastAsia="宋体" w:hAnsi="宋体" w:cs="宋体" w:hint="eastAsia"/>
          <w:b/>
          <w:bCs/>
          <w:szCs w:val="21"/>
        </w:rPr>
        <w:t>服务范围及内容</w:t>
      </w:r>
      <w:bookmarkEnd w:id="67"/>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6"/>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6"/>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6"/>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6"/>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6"/>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6"/>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6"/>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9"/>
        <w:gridCol w:w="63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6"/>
        </w:numPr>
        <w:spacing w:before="60" w:after="60" w:line="360" w:lineRule="auto"/>
        <w:ind w:left="840" w:hanging="840"/>
        <w:outlineLvl w:val="1"/>
        <w:rPr>
          <w:rFonts w:ascii="宋体" w:eastAsia="宋体" w:hAnsi="宋体" w:cs="宋体"/>
          <w:b/>
          <w:bCs/>
          <w:szCs w:val="21"/>
        </w:rPr>
      </w:pPr>
      <w:bookmarkStart w:id="68" w:name="_Toc150439549"/>
      <w:r>
        <w:rPr>
          <w:rFonts w:ascii="宋体" w:eastAsia="宋体" w:hAnsi="宋体" w:cs="宋体" w:hint="eastAsia"/>
          <w:b/>
          <w:bCs/>
          <w:szCs w:val="21"/>
        </w:rPr>
        <w:t>乙方的权利与义务</w:t>
      </w:r>
      <w:bookmarkEnd w:id="68"/>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19"/>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1"/>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2"/>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18"/>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18"/>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69" w:name="_Toc150439565"/>
      <w:r>
        <w:rPr>
          <w:rFonts w:ascii="宋体" w:eastAsia="宋体" w:hAnsi="宋体" w:cs="宋体" w:hint="eastAsia"/>
          <w:b/>
          <w:bCs/>
          <w:szCs w:val="21"/>
        </w:rPr>
        <w:t>甲方</w:t>
      </w:r>
      <w:r>
        <w:rPr>
          <w:rFonts w:ascii="宋体" w:eastAsia="宋体" w:hAnsi="宋体" w:cs="宋体"/>
          <w:b/>
          <w:bCs/>
          <w:szCs w:val="21"/>
        </w:rPr>
        <w:t>的权利与义务</w:t>
      </w:r>
      <w:bookmarkEnd w:id="69"/>
    </w:p>
    <w:p>
      <w:pPr>
        <w:numPr>
          <w:ilvl w:val="0"/>
          <w:numId w:val="23"/>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4"/>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3"/>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3"/>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5"/>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7"/>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28"/>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0" w:name="_Toc150439567"/>
      <w:r>
        <w:rPr>
          <w:rFonts w:ascii="宋体" w:eastAsia="宋体" w:hAnsi="宋体" w:cs="宋体" w:hint="eastAsia"/>
          <w:b/>
          <w:bCs/>
          <w:szCs w:val="21"/>
        </w:rPr>
        <w:t>项目交付</w:t>
      </w:r>
      <w:bookmarkEnd w:id="70"/>
    </w:p>
    <w:p>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3"/>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个工作日内，甲方向乙方支付本合同首付款至乙方指定账户，首付款为合同总额</w:t>
      </w:r>
      <w:r>
        <w:rPr>
          <w:rFonts w:ascii="宋体" w:eastAsia="宋体" w:hAnsi="宋体" w:cs="宋体" w:hint="eastAsia"/>
          <w:szCs w:val="21"/>
          <w:u w:val="single"/>
          <w:lang w:val="en-US" w:eastAsia="zh-CN"/>
        </w:rPr>
        <w:t xml:space="preserve"> </w:t>
      </w:r>
      <w:r>
        <w:rPr>
          <w:rFonts w:ascii="宋体" w:eastAsia="宋体" w:hAnsi="宋体" w:cs="宋体" w:hint="eastAsia"/>
          <w:szCs w:val="21"/>
          <w:u w:val="single"/>
          <w:lang w:val="en-US" w:eastAsia="zh-CN"/>
        </w:rPr>
        <w:t xml:space="preserve">90% </w:t>
      </w:r>
      <w:r>
        <w:rPr>
          <w:rFonts w:ascii="宋体" w:eastAsia="宋体" w:hAnsi="宋体" w:cs="宋体" w:hint="eastAsia"/>
          <w:szCs w:val="21"/>
        </w:rPr>
        <w:t>，即：</w:t>
      </w:r>
      <w:r>
        <w:rPr>
          <w:rFonts w:ascii="宋体" w:eastAsia="宋体" w:hAnsi="宋体" w:cs="宋体" w:hint="eastAsia"/>
          <w:szCs w:val="21"/>
          <w:u w:val="single"/>
        </w:rPr>
        <w:t>￥    元（大写：人民币    元整）；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lang w:val="en-US" w:eastAsia="zh-CN"/>
        </w:rPr>
        <w:t>二</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10</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合同</w:t>
      </w:r>
      <w:r>
        <w:rPr>
          <w:rFonts w:ascii="宋体" w:eastAsia="宋体" w:hAnsi="宋体" w:cs="宋体" w:hint="eastAsia"/>
          <w:szCs w:val="21"/>
          <w:u w:val="single"/>
          <w:lang w:val="en-US" w:eastAsia="zh-CN"/>
        </w:rPr>
        <w:t>验收</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4"/>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01"/>
        <w:gridCol w:w="4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2"/>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1" w:name="_Toc150439569"/>
      <w:r>
        <w:rPr>
          <w:rFonts w:ascii="宋体" w:eastAsia="宋体" w:hAnsi="宋体" w:cs="宋体" w:hint="eastAsia"/>
          <w:b/>
          <w:bCs/>
          <w:szCs w:val="21"/>
        </w:rPr>
        <w:t>项目验收</w:t>
      </w:r>
      <w:bookmarkEnd w:id="71"/>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6"/>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2" w:name="_Toc150439566"/>
      <w:r>
        <w:rPr>
          <w:rFonts w:ascii="宋体" w:eastAsia="宋体" w:hAnsi="宋体" w:cs="宋体" w:hint="eastAsia"/>
          <w:b/>
          <w:bCs/>
          <w:szCs w:val="21"/>
        </w:rPr>
        <w:t>质量保证</w:t>
      </w:r>
      <w:bookmarkEnd w:id="72"/>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7"/>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3" w:name="_Toc150439612"/>
      <w:r>
        <w:rPr>
          <w:rFonts w:ascii="宋体" w:eastAsia="宋体" w:hAnsi="宋体" w:cs="宋体" w:hint="eastAsia"/>
          <w:b/>
          <w:bCs/>
          <w:szCs w:val="21"/>
        </w:rPr>
        <w:t>保密条款（保密协议）</w:t>
      </w:r>
      <w:bookmarkEnd w:id="73"/>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38"/>
        </w:numPr>
        <w:spacing w:line="360" w:lineRule="auto"/>
        <w:ind w:firstLine="420" w:firstLineChars="200"/>
        <w:rPr>
          <w:rFonts w:ascii="宋体" w:eastAsia="宋体" w:hAnsi="宋体" w:cs="宋体"/>
          <w:szCs w:val="21"/>
        </w:rPr>
      </w:pPr>
      <w:bookmarkStart w:id="74"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38"/>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4"/>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0"/>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75" w:name="_Hlk150343509"/>
      <w:r>
        <w:rPr>
          <w:rFonts w:ascii="宋体" w:eastAsia="宋体" w:hAnsi="宋体" w:cs="宋体" w:hint="eastAsia"/>
          <w:szCs w:val="21"/>
          <w:u w:val="single"/>
        </w:rPr>
        <w:t xml:space="preserve">                             </w:t>
      </w:r>
      <w:bookmarkEnd w:id="75"/>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6" w:name="_Toc150439618"/>
      <w:r>
        <w:rPr>
          <w:rFonts w:ascii="宋体" w:eastAsia="宋体" w:hAnsi="宋体" w:cs="宋体" w:hint="eastAsia"/>
          <w:b/>
          <w:bCs/>
          <w:szCs w:val="21"/>
        </w:rPr>
        <w:t>违约</w:t>
      </w:r>
      <w:r>
        <w:rPr>
          <w:rFonts w:ascii="宋体" w:eastAsia="宋体" w:hAnsi="宋体" w:cs="宋体"/>
          <w:b/>
          <w:bCs/>
          <w:szCs w:val="21"/>
        </w:rPr>
        <w:t>责任及赔偿</w:t>
      </w:r>
      <w:bookmarkEnd w:id="76"/>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1"/>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7" w:name="_Toc150439619"/>
      <w:r>
        <w:rPr>
          <w:rFonts w:ascii="宋体" w:eastAsia="宋体" w:hAnsi="宋体" w:cs="宋体" w:hint="eastAsia"/>
          <w:b/>
          <w:bCs/>
          <w:szCs w:val="21"/>
        </w:rPr>
        <w:t>争议的解决</w:t>
      </w:r>
      <w:bookmarkEnd w:id="77"/>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2"/>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2"/>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8" w:name="_Toc150439621"/>
      <w:r>
        <w:rPr>
          <w:rFonts w:ascii="宋体" w:eastAsia="宋体" w:hAnsi="宋体" w:cs="宋体" w:hint="eastAsia"/>
          <w:b/>
          <w:bCs/>
          <w:szCs w:val="21"/>
        </w:rPr>
        <w:t>不可抗力</w:t>
      </w:r>
      <w:bookmarkEnd w:id="78"/>
    </w:p>
    <w:p>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4"/>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79" w:name="_Toc150439624"/>
      <w:r>
        <w:rPr>
          <w:rFonts w:ascii="宋体" w:eastAsia="宋体" w:hAnsi="宋体" w:cs="宋体" w:hint="eastAsia"/>
          <w:b/>
          <w:bCs/>
          <w:szCs w:val="21"/>
        </w:rPr>
        <w:t>本合同的变更</w:t>
      </w:r>
      <w:bookmarkEnd w:id="79"/>
    </w:p>
    <w:p>
      <w:pPr>
        <w:numPr>
          <w:ilvl w:val="0"/>
          <w:numId w:val="46"/>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6"/>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0" w:name="_Toc150439623"/>
      <w:r>
        <w:rPr>
          <w:rFonts w:ascii="宋体" w:eastAsia="宋体" w:hAnsi="宋体" w:cs="宋体" w:hint="eastAsia"/>
          <w:b/>
          <w:bCs/>
          <w:szCs w:val="21"/>
        </w:rPr>
        <w:t>其它</w:t>
      </w:r>
      <w:bookmarkEnd w:id="80"/>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6"/>
        </w:numPr>
        <w:spacing w:before="60" w:after="60" w:line="360" w:lineRule="auto"/>
        <w:ind w:left="0" w:firstLine="420" w:firstLineChars="200"/>
        <w:outlineLvl w:val="1"/>
        <w:rPr>
          <w:rFonts w:ascii="宋体" w:eastAsia="宋体" w:hAnsi="宋体" w:cs="宋体"/>
          <w:b/>
          <w:bCs/>
          <w:szCs w:val="21"/>
        </w:rPr>
      </w:pPr>
      <w:bookmarkStart w:id="81" w:name="_Toc150439626"/>
      <w:r>
        <w:rPr>
          <w:rFonts w:ascii="宋体" w:eastAsia="宋体" w:hAnsi="宋体" w:cs="宋体" w:hint="eastAsia"/>
          <w:b/>
          <w:bCs/>
          <w:szCs w:val="21"/>
        </w:rPr>
        <w:t>合同生效</w:t>
      </w:r>
      <w:bookmarkEnd w:id="81"/>
    </w:p>
    <w:p>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spacing w:line="360" w:lineRule="auto"/>
        <w:ind w:firstLine="3066" w:firstLineChars="1460"/>
        <w:jc w:val="left"/>
        <w:rPr>
          <w:b/>
          <w:bCs/>
          <w:szCs w:val="21"/>
          <w:highlight w:val="none"/>
        </w:rPr>
      </w:pPr>
      <w:bookmarkEnd w:id="62"/>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7">
    <w:nsid w:val="36633B61"/>
    <w:multiLevelType w:val="multilevel"/>
    <w:tmpl w:val="36633B61"/>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57FFC18B"/>
    <w:multiLevelType w:val="singleLevel"/>
    <w:tmpl w:val="57FFC18B"/>
    <w:lvl w:ilvl="0">
      <w:start w:val="1"/>
      <w:numFmt w:val="decimal"/>
      <w:lvlText w:val="%1)"/>
      <w:lvlJc w:val="left"/>
      <w:pPr>
        <w:ind w:left="425" w:hanging="425"/>
      </w:pPr>
      <w:rPr>
        <w:rFonts w:hint="default"/>
      </w:rPr>
    </w:lvl>
  </w:abstractNum>
  <w:abstractNum w:abstractNumId="33">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5">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9">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9F8DDAB"/>
    <w:multiLevelType w:val="singleLevel"/>
    <w:tmpl w:val="79F8DDAB"/>
    <w:lvl w:ilvl="0">
      <w:start w:val="1"/>
      <w:numFmt w:val="decimal"/>
      <w:lvlText w:val="%1)"/>
      <w:lvlJc w:val="left"/>
      <w:pPr>
        <w:ind w:left="425" w:hanging="425"/>
      </w:pPr>
      <w:rPr>
        <w:rFonts w:hint="default"/>
      </w:rPr>
    </w:lvl>
  </w:abstractNum>
  <w:abstractNum w:abstractNumId="43">
    <w:nsid w:val="7BF79D3F"/>
    <w:multiLevelType w:val="singleLevel"/>
    <w:tmpl w:val="7BF79D3F"/>
    <w:lvl w:ilvl="0">
      <w:start w:val="1"/>
      <w:numFmt w:val="decimal"/>
      <w:lvlText w:val="%1)"/>
      <w:lvlJc w:val="left"/>
      <w:pPr>
        <w:ind w:left="425" w:hanging="425"/>
      </w:pPr>
      <w:rPr>
        <w:rFonts w:hint="default"/>
      </w:rPr>
    </w:lvl>
  </w:abstractNum>
  <w:abstractNum w:abstractNumId="44">
    <w:nsid w:val="7FAFA353"/>
    <w:multiLevelType w:val="singleLevel"/>
    <w:tmpl w:val="7FAFA353"/>
    <w:lvl w:ilvl="0">
      <w:start w:val="1"/>
      <w:numFmt w:val="decimal"/>
      <w:lvlText w:val="%1)"/>
      <w:lvlJc w:val="left"/>
      <w:pPr>
        <w:ind w:left="425" w:hanging="425"/>
      </w:pPr>
      <w:rPr>
        <w:rFonts w:hint="default"/>
      </w:rPr>
    </w:lvl>
  </w:abstractNum>
  <w:abstractNum w:abstractNumId="45">
    <w:nsid w:val="7FDAC479"/>
    <w:multiLevelType w:val="singleLevel"/>
    <w:tmpl w:val="7FDAC479"/>
    <w:lvl w:ilvl="0">
      <w:start w:val="1"/>
      <w:numFmt w:val="decimal"/>
      <w:lvlText w:val="%1)"/>
      <w:lvlJc w:val="left"/>
      <w:pPr>
        <w:ind w:left="425" w:hanging="425"/>
      </w:pPr>
      <w:rPr>
        <w:rFonts w:hint="default"/>
      </w:rPr>
    </w:lvl>
  </w:abstractNum>
  <w:abstractNum w:abstractNumId="46">
    <w:nsid w:val="7FF73EAD"/>
    <w:multiLevelType w:val="singleLevel"/>
    <w:tmpl w:val="7FF73EAD"/>
    <w:lvl w:ilvl="0">
      <w:start w:val="1"/>
      <w:numFmt w:val="decimal"/>
      <w:lvlText w:val="%1)"/>
      <w:lvlJc w:val="left"/>
      <w:pPr>
        <w:ind w:left="425" w:hanging="425"/>
      </w:pPr>
      <w:rPr>
        <w:rFonts w:hint="default"/>
      </w:rPr>
    </w:lvl>
  </w:abstractNum>
  <w:abstractNum w:abstractNumId="47">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27"/>
  </w:num>
  <w:num w:numId="5">
    <w:abstractNumId w:val="0"/>
  </w:num>
  <w:num w:numId="6">
    <w:abstractNumId w:val="24"/>
  </w:num>
  <w:num w:numId="7">
    <w:abstractNumId w:val="38"/>
  </w:num>
  <w:num w:numId="8">
    <w:abstractNumId w:val="23"/>
  </w:num>
  <w:num w:numId="9">
    <w:abstractNumId w:val="41"/>
  </w:num>
  <w:num w:numId="10">
    <w:abstractNumId w:val="3"/>
  </w:num>
  <w:num w:numId="11">
    <w:abstractNumId w:val="46"/>
  </w:num>
  <w:num w:numId="12">
    <w:abstractNumId w:val="6"/>
  </w:num>
  <w:num w:numId="13">
    <w:abstractNumId w:val="37"/>
  </w:num>
  <w:num w:numId="14">
    <w:abstractNumId w:val="13"/>
  </w:num>
  <w:num w:numId="15">
    <w:abstractNumId w:val="36"/>
  </w:num>
  <w:num w:numId="16">
    <w:abstractNumId w:val="35"/>
  </w:num>
  <w:num w:numId="17">
    <w:abstractNumId w:val="18"/>
  </w:num>
  <w:num w:numId="18">
    <w:abstractNumId w:val="40"/>
  </w:num>
  <w:num w:numId="19">
    <w:abstractNumId w:val="2"/>
  </w:num>
  <w:num w:numId="20">
    <w:abstractNumId w:val="42"/>
  </w:num>
  <w:num w:numId="21">
    <w:abstractNumId w:val="43"/>
  </w:num>
  <w:num w:numId="22">
    <w:abstractNumId w:val="32"/>
  </w:num>
  <w:num w:numId="23">
    <w:abstractNumId w:val="26"/>
  </w:num>
  <w:num w:numId="24">
    <w:abstractNumId w:val="8"/>
  </w:num>
  <w:num w:numId="25">
    <w:abstractNumId w:val="1"/>
  </w:num>
  <w:num w:numId="26">
    <w:abstractNumId w:val="21"/>
  </w:num>
  <w:num w:numId="27">
    <w:abstractNumId w:val="44"/>
  </w:num>
  <w:num w:numId="28">
    <w:abstractNumId w:val="31"/>
  </w:num>
  <w:num w:numId="29">
    <w:abstractNumId w:val="28"/>
  </w:num>
  <w:num w:numId="30">
    <w:abstractNumId w:val="45"/>
  </w:num>
  <w:num w:numId="31">
    <w:abstractNumId w:val="7"/>
  </w:num>
  <w:num w:numId="32">
    <w:abstractNumId w:val="39"/>
  </w:num>
  <w:num w:numId="33">
    <w:abstractNumId w:val="9"/>
  </w:num>
  <w:num w:numId="34">
    <w:abstractNumId w:val="5"/>
  </w:num>
  <w:num w:numId="35">
    <w:abstractNumId w:val="47"/>
  </w:num>
  <w:num w:numId="36">
    <w:abstractNumId w:val="12"/>
  </w:num>
  <w:num w:numId="37">
    <w:abstractNumId w:val="30"/>
  </w:num>
  <w:num w:numId="38">
    <w:abstractNumId w:val="33"/>
  </w:num>
  <w:num w:numId="39">
    <w:abstractNumId w:val="20"/>
  </w:num>
  <w:num w:numId="40">
    <w:abstractNumId w:val="14"/>
  </w:num>
  <w:num w:numId="41">
    <w:abstractNumId w:val="22"/>
  </w:num>
  <w:num w:numId="42">
    <w:abstractNumId w:val="11"/>
  </w:num>
  <w:num w:numId="43">
    <w:abstractNumId w:val="34"/>
  </w:num>
  <w:num w:numId="44">
    <w:abstractNumId w:val="4"/>
  </w:num>
  <w:num w:numId="45">
    <w:abstractNumId w:val="10"/>
  </w:num>
  <w:num w:numId="46">
    <w:abstractNumId w:val="17"/>
  </w:num>
  <w:num w:numId="47">
    <w:abstractNumId w:val="29"/>
  </w:num>
  <w:num w:numId="4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a2">
    <w:name w:val="正文样式"/>
    <w:unhideWhenUsed/>
    <w:qFormat/>
    <w:pPr>
      <w:widowControl w:val="0"/>
      <w:adjustRightInd w:val="0"/>
      <w:snapToGrid w:val="0"/>
      <w:spacing w:line="360" w:lineRule="auto"/>
      <w:ind w:firstLine="560"/>
      <w:jc w:val="both"/>
    </w:pPr>
    <w:rPr>
      <w:snapToGrid w:val="0"/>
      <w:sz w:val="28"/>
      <w:szCs w:val="21"/>
      <w:lang w:eastAsia="zh-CN"/>
    </w:rPr>
  </w:style>
  <w:style w:type="paragraph" w:customStyle="1" w:styleId="-">
    <w:name w:val="项目-正文"/>
    <w:basedOn w:val="Normal"/>
    <w:qFormat/>
    <w:pPr>
      <w:spacing w:line="360" w:lineRule="auto"/>
      <w:ind w:firstLine="200" w:firstLineChars="200"/>
    </w:pPr>
    <w:rPr>
      <w:rFonts w:asciiTheme="minorHAnsi" w:eastAsiaTheme="minorEastAsia" w:hAnsiTheme="minorHAnsi" w:cstheme="minorBidi"/>
      <w:kern w:val="0"/>
      <w:sz w:val="28"/>
      <w:szCs w:val="28"/>
      <w:lang w:val="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2025-07-01T07:55:09Z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