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智慧短临气象闪信预警信息发布平台建设项目-基于“闪信”的预警信息发布平台</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ZQCD-26011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中国气象局公共气象服务中心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智慧短临气象闪信预警信息发布平台建设项目-基于“闪信”的预警信息发布平台</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ZQCD-26011</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详见采购需求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北京市海淀区中关村南大街46号公共气象服务中心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2026年01月29日 00:00:00</w:t>
      </w:r>
      <w:bookmarkEnd w:id="27"/>
      <w:r>
        <w:rPr>
          <w:rFonts w:ascii="宋体" w:hint="eastAsia"/>
          <w:szCs w:val="21"/>
          <w:highlight w:val="none"/>
        </w:rPr>
        <w:t>至</w:t>
      </w:r>
      <w:bookmarkStart w:id="28" w:name="项目公告_signUpLastTime"/>
      <w:r>
        <w:rPr>
          <w:rFonts w:ascii="宋体" w:hint="eastAsia"/>
          <w:szCs w:val="21"/>
          <w:highlight w:val="none"/>
        </w:rPr>
        <w:t>2026年02月05日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2026年02月27日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陈龙光</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中国气象局公共气象服务中心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宋瑛瑛</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010-68407554</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北京市海淀区中关村南大街46号中国气象局北区3号楼8层办公室</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中国气象局公共气象服务中心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r>
              <w:rPr>
                <w:rFonts w:ascii="宋体" w:hAnsi="宋体" w:cs="微软雅黑" w:hint="eastAsia"/>
                <w:kern w:val="0"/>
                <w:szCs w:val="21"/>
                <w:highlight w:val="none"/>
              </w:rPr>
              <w:t>无</w:t>
            </w:r>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是，代理服务费：2.9万元。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279.000000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279.000000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7"/>
        <w:gridCol w:w="893"/>
        <w:gridCol w:w="267"/>
        <w:gridCol w:w="741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w:t>
            </w:r>
          </w:p>
        </w:tc>
        <w:tc>
          <w:tcPr/>
          <w:p>
            <w:r>
              <w:t>评审标准：</w:t>
            </w:r>
          </w:p>
          <w:p>
            <w:r>
              <w:t>投标人具有ISO9001质量管理体系认证或同等质量管理体系认证证书得1分。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(9)</w:t>
            </w:r>
          </w:p>
        </w:tc>
        <w:tc>
          <w:tcPr/>
          <w:p>
            <w:r>
              <w:t>评审标准：</w:t>
            </w:r>
          </w:p>
          <w:p>
            <w:r>
              <w:t>提供与本项目类似的项目合同的复印件（所提供材料必须包括合同首页、合同金额所在页、签字盖章页、合同标的页），提供不全不得分，每提供一个得1.5分，最多9分。</w:t>
            </w:r>
          </w:p>
          <w:p>
            <w:r>
              <w:t>评审标准说明：</w:t>
            </w:r>
          </w:p>
          <w:p>
            <w:r>
              <w:t>评审标准说明：</w:t>
              <w:c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(10)</w:t>
            </w:r>
          </w:p>
        </w:tc>
        <w:tc>
          <w:tcPr/>
          <w:p>
            <w:r>
              <w:t>评审标准：</w:t>
            </w:r>
          </w:p>
          <w:p>
            <w:r>
              <w:t>每提供1份软件著作权证书得2分，最多得 10分。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(17)</w:t>
            </w:r>
          </w:p>
        </w:tc>
        <w:tc>
          <w:tcPr/>
          <w:p>
            <w:r>
              <w:t>评审标准：</w:t>
            </w:r>
          </w:p>
          <w:p>
            <w:r>
              <w:t>投标人应组成本项目专项开发服务团队，团队组织结构清晰，应设服务团队负责人（项目经理）、技术负责人，人员专业背景齐全。具体如下：</w:t>
              <w:cr/>
              <w:t>1、团队人数不少于8人，其中驻场人员4人(含）以上。完全满足得3分，否则不得分。</w:t>
              <w:cr/>
              <w:t>2、拟投入本项目的项目经理具有PMP项目管理证书或气象服务类/计算机类高级工程师（含）及以上级别证书，并从事5年以上相关项目经验，完全满足得4分，否则不得分。</w:t>
              <w:cr/>
              <w:t>3、拟投入本项目的技术负责人具有气象服务类/计算机类高级工程师（含）及以上级别证书，5年以上相关项目经验，完全满足得3分，否则不得分。</w:t>
              <w:cr/>
              <w:t>4、拟投入本项目的项目团队人员中（不含项目经理、技术负责人）至少3人具有气象服务类/计算机类工程师（含）及以上级别证书，完全满足得3分，否则不得分。</w:t>
              <w:cr/>
              <w:t>5. 投标人承诺项目经理和技术负责人未经业主方同意不得变更， 提供加盖投标人公章的承诺书得 4 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(8)</w:t>
            </w:r>
          </w:p>
        </w:tc>
        <w:tc>
          <w:tcPr/>
          <w:p>
            <w:r>
              <w:t>评审标准：</w:t>
            </w:r>
          </w:p>
          <w:p>
            <w:r>
              <w:t>提供书面承诺得8分。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(1)</w:t>
            </w:r>
          </w:p>
        </w:tc>
        <w:tc>
          <w:tcPr/>
          <w:p>
            <w:r>
              <w:t>评审标准：</w:t>
            </w:r>
          </w:p>
          <w:p>
            <w:r>
              <w:t>一档0分</w:t>
              <w:cr/>
              <w:t>二档0.5分</w:t>
              <w:cr/>
              <w:t>三档0.75分</w:t>
              <w:cr/>
              <w:t>四档1分</w:t>
            </w:r>
          </w:p>
          <w:p>
            <w:r>
              <w:t>评审标准说明：</w:t>
            </w:r>
          </w:p>
          <w:p>
            <w:r>
              <w:t>提供软件系统各组件功能需求分析。具体评分标准如下：</w:t>
              <w:cr/>
              <w:t>一档：无软件功能开发需求分析；</w:t>
              <w:cr/>
              <w:t>二档：软件功能开发需求分析不完整，未对软件系统各组件进行功能需求拆分，分析不具体、不充分、不详细；</w:t>
              <w:cr/>
              <w:t>三档：软件功能开发需求分析较完整，对软件系统各组件进行功能需求拆分，分析具体，但不充分、不详细；</w:t>
              <w:cr/>
              <w:t>四档：软件功能开发需求分析完整，对软件系统各组件进行功能需求拆分，并对各个功能点进行详细功能需求分析，完全覆盖招标文件功能要求，需求分析完整详细合理。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(1)</w:t>
            </w:r>
          </w:p>
        </w:tc>
        <w:tc>
          <w:tcPr/>
          <w:p>
            <w:r>
              <w:t>评审标准：</w:t>
            </w:r>
          </w:p>
          <w:p>
            <w:r>
              <w:t>一档0分</w:t>
              <w:cr/>
              <w:t>二档0.5分</w:t>
              <w:cr/>
              <w:t>三档0.75分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(1)</w:t>
            </w:r>
          </w:p>
        </w:tc>
        <w:tc>
          <w:tcPr/>
          <w:p>
            <w:r>
              <w:t>评审标准：</w:t>
            </w:r>
          </w:p>
          <w:p>
            <w:r>
              <w:t>一档0分</w:t>
              <w:cr/>
              <w:t>二档0.5分</w:t>
              <w:cr/>
              <w:t>三档0.75分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(1)</w:t>
            </w:r>
          </w:p>
        </w:tc>
        <w:tc>
          <w:tcPr/>
          <w:p>
            <w:r>
              <w:t>评审标准：</w:t>
            </w:r>
          </w:p>
          <w:p>
            <w:r>
              <w:t>一档0分</w:t>
              <w:cr/>
              <w:t>二档0.5分</w:t>
              <w:cr/>
              <w:t>三档0.75分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以下组件的关键技术识别：</w:t>
              <w:cr/>
              <w:t>1、国家预警信息强制提醒触达平台闪信预警信息发布通道组件</w:t>
              <w:cr/>
              <w:t>2、国家预警信息强制提醒触达平台闪信预警信息发布及管理组件</w:t>
              <w:cr/>
              <w:t>3、国家预警信息强制提醒触达平台共享服务接口组件</w:t>
              <w:cr/>
              <w:t>4、国家预警信息强制提醒触达平台全国闪信预警信息服务管理组件</w:t>
              <w:cr/>
              <w:t>5、与国家突发事件预警信息发布系统集成组件</w:t>
              <w:cr/>
              <w:t>一档：未提炼出任何关键技术点，或内容完全不符。</w:t>
              <w:cr/>
              <w:t>二档：虽列出部分技术点，但未能准确识别软件系统中的关键技术问题，识别能力不足。</w:t>
              <w:cr/>
              <w:t>三档：能够识别关键技术点，但未提供详细、合理的解决方案，或方案较为笼统，缺乏具体实施路径。</w:t>
              <w:cr/>
              <w:t>四档：能基于中国气象局软件统筹规划要求，系统提出与已建系统、已有算法模型的衔接设计方案；方案内容完整、逻辑清晰，在功能与性能方面设计充分、描述详实；针对系统功能、性能指标及关键技术点，分别提出合理可行的技术路线；技术方案先进，流程清晰，符合项目总体建设要求，具备高可行性与实施保障。</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一档：未提供系统整体架构；</w:t>
              <w:cr/>
              <w:t>二档：系统整体架构设计有一定合理性，但无针对性，功能不完整；</w:t>
              <w:cr/>
              <w:t>三档：系统框架基本合理性，可行性一般，系统功能基本完整；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(20)</w:t>
            </w:r>
          </w:p>
        </w:tc>
        <w:tc>
          <w:tcPr/>
          <w:p>
            <w:r>
              <w:t>评审标准：</w:t>
            </w:r>
          </w:p>
          <w:p>
            <w:r>
              <w:t>提交如下组件技术方案：</w:t>
              <w:cr/>
              <w:t>1、国家预警信息强制提醒触达平台闪信预警信息发布通道组件</w:t>
              <w:cr/>
              <w:t>2、国家预警信息强制提醒触达平台闪信预警信息发布及管理组件</w:t>
              <w:cr/>
              <w:t>3、国家预警信息强制提醒触达平台共享服务接口组件</w:t>
              <w:cr/>
              <w:t>4、国家预警信息强制提醒触达平台全国闪信预警信息服务管理组件</w:t>
              <w:cr/>
              <w:t>5、与国家突发事件预警信息发布系统集成组件</w:t>
              <w:cr/>
              <w:t>按组件提出技术方案，每个组件评分标准如下：</w:t>
              <w:cr/>
              <w:t>一档0分</w:t>
              <w:cr/>
              <w:t>二档1分</w:t>
              <w:cr/>
              <w:t>三档3分</w:t>
              <w:cr/>
              <w:t>四档4分</w:t>
              <w:cr/>
              <w:t>以上共计5个组件，满分20分。</w:t>
            </w:r>
          </w:p>
          <w:p>
            <w:r>
              <w:t>评审标准说明：</w:t>
            </w:r>
          </w:p>
          <w:p>
            <w: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(2)</w:t>
            </w:r>
          </w:p>
        </w:tc>
        <w:tc>
          <w:tcPr/>
          <w:p>
            <w:r>
              <w:t>评审标准：</w:t>
            </w:r>
          </w:p>
          <w:p>
            <w:r>
              <w:t xml:space="preserve">一档0分 </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21</w:t>
            </w:r>
          </w:p>
        </w:tc>
        <w:tc>
          <w:tcPr>
            <w:vMerge/>
          </w:tcPr>
          <w:p>
            <w:r>
              <w:t>技术部分</w:t>
            </w:r>
          </w:p>
        </w:tc>
        <w:tc>
          <w:tcPr/>
          <w:p>
            <w:r>
              <w:t>风险管理方案（主观分）</w:t>
            </w:r>
          </w:p>
        </w:tc>
        <w:tc>
          <w:tcPr/>
          <w:p>
            <w:r>
              <w:t>勾选打分</w:t>
            </w:r>
            <w:r>
              <w:t>(2)</w:t>
            </w:r>
          </w:p>
        </w:tc>
        <w:tc>
          <w:tcPr/>
          <w:p>
            <w:r>
              <w:t>评审标准：</w:t>
            </w:r>
          </w:p>
          <w:p>
            <w:r>
              <w:t xml:space="preserve">一档0分 </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5F25C7">
      <w:pPr>
        <w:spacing w:before="156" w:beforeLines="50" w:line="360" w:lineRule="auto"/>
        <w:jc w:val="center"/>
        <w:outlineLvl w:val="1"/>
        <w:rPr>
          <w:rFonts w:ascii="宋体" w:hAnsi="宋体" w:hint="eastAsia"/>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5F25C7">
      <w:pPr>
        <w:jc w:val="left"/>
        <w:rPr>
          <w:b/>
          <w:szCs w:val="21"/>
        </w:rPr>
      </w:pPr>
    </w:p>
    <w:p w:rsidR="00FF197C" w:rsidP="00FF197C">
      <w:pPr>
        <w:pStyle w:val="Heading1"/>
        <w:keepNext/>
        <w:keepLines/>
        <w:widowControl w:val="0"/>
        <w:numPr>
          <w:numId w:val="4"/>
        </w:numPr>
        <w:tabs>
          <w:tab w:val="left" w:pos="432"/>
        </w:tabs>
        <w:spacing w:before="340" w:after="120" w:line="360" w:lineRule="auto"/>
        <w:ind w:left="432" w:hanging="432"/>
        <w:jc w:val="left"/>
      </w:pPr>
      <w:bookmarkStart w:id="61" w:name="_Toc219395403"/>
      <w:r>
        <w:rPr>
          <w:rFonts w:hint="eastAsia"/>
        </w:rPr>
        <w:t>项目简介</w:t>
      </w:r>
      <w:bookmarkEnd w:id="61"/>
    </w:p>
    <w:p w:rsidR="00FF197C" w:rsidP="00FF197C">
      <w:pPr>
        <w:pStyle w:val="Heading2"/>
        <w:keepNext/>
        <w:keepLines/>
        <w:widowControl w:val="0"/>
        <w:numPr>
          <w:ilvl w:val="1"/>
          <w:numId w:val="4"/>
        </w:numPr>
        <w:spacing w:before="260" w:after="260" w:line="415" w:lineRule="auto"/>
        <w:ind w:left="576" w:hanging="576"/>
        <w:jc w:val="both"/>
      </w:pPr>
      <w:bookmarkStart w:id="62" w:name="_Toc219395404"/>
      <w:r>
        <w:rPr>
          <w:rFonts w:hint="eastAsia"/>
        </w:rPr>
        <w:t>项目背景</w:t>
      </w:r>
      <w:bookmarkEnd w:id="62"/>
    </w:p>
    <w:p w:rsidR="00FF197C" w:rsidRPr="003561A9" w:rsidP="00FF197C">
      <w:pPr>
        <w:ind w:firstLine="420" w:firstLineChars="200"/>
        <w:rPr>
          <w:rFonts w:ascii="Times New Roman" w:hAnsi="Times New Roman" w:cs="Times New Roman"/>
        </w:rPr>
      </w:pPr>
      <w:r w:rsidRPr="003561A9">
        <w:rPr>
          <w:rFonts w:ascii="Times New Roman" w:hAnsi="Times New Roman" w:cs="Times New Roman" w:hint="eastAsia"/>
          <w:szCs w:val="24"/>
        </w:rPr>
        <w:t>习近平总书记一直以来高度重视气象防灾减灾工作。在</w:t>
      </w:r>
      <w:r w:rsidRPr="003561A9">
        <w:rPr>
          <w:rFonts w:ascii="Times New Roman" w:hAnsi="Times New Roman" w:cs="Times New Roman" w:hint="eastAsia"/>
          <w:szCs w:val="24"/>
        </w:rPr>
        <w:t>2019</w:t>
      </w:r>
      <w:r w:rsidRPr="003561A9">
        <w:rPr>
          <w:rFonts w:ascii="Times New Roman" w:hAnsi="Times New Roman" w:cs="Times New Roman" w:hint="eastAsia"/>
          <w:szCs w:val="24"/>
        </w:rPr>
        <w:t>年新中国气象事业</w:t>
      </w:r>
      <w:r w:rsidRPr="003561A9">
        <w:rPr>
          <w:rFonts w:ascii="Times New Roman" w:hAnsi="Times New Roman" w:cs="Times New Roman" w:hint="eastAsia"/>
          <w:szCs w:val="24"/>
        </w:rPr>
        <w:t>70</w:t>
      </w:r>
      <w:r w:rsidRPr="003561A9">
        <w:rPr>
          <w:rFonts w:ascii="Times New Roman" w:hAnsi="Times New Roman" w:cs="Times New Roman" w:hint="eastAsia"/>
          <w:szCs w:val="24"/>
        </w:rPr>
        <w:t>周年之际，习近平总书记充分肯定了气象为促进国家发展进步、保障改善民生、防灾减灾救灾等方面做出的突出贡献，要求不断提高气象服务保障能力，努力发挥气象防灾减灾第一道防线作用。在</w:t>
      </w:r>
      <w:r w:rsidRPr="003561A9">
        <w:rPr>
          <w:rFonts w:ascii="Times New Roman" w:hAnsi="Times New Roman" w:cs="Times New Roman" w:hint="eastAsia"/>
          <w:szCs w:val="24"/>
        </w:rPr>
        <w:t>2023</w:t>
      </w:r>
      <w:r w:rsidRPr="003561A9">
        <w:rPr>
          <w:rFonts w:ascii="Times New Roman" w:hAnsi="Times New Roman" w:cs="Times New Roman" w:hint="eastAsia"/>
          <w:szCs w:val="24"/>
        </w:rPr>
        <w:t>年</w:t>
      </w:r>
      <w:r w:rsidRPr="003561A9">
        <w:rPr>
          <w:rFonts w:ascii="Times New Roman" w:hAnsi="Times New Roman" w:cs="Times New Roman" w:hint="eastAsia"/>
          <w:szCs w:val="24"/>
        </w:rPr>
        <w:t>8</w:t>
      </w:r>
      <w:r w:rsidRPr="003561A9">
        <w:rPr>
          <w:rFonts w:ascii="Times New Roman" w:hAnsi="Times New Roman" w:cs="Times New Roman" w:hint="eastAsia"/>
          <w:szCs w:val="24"/>
        </w:rPr>
        <w:t>月</w:t>
      </w:r>
      <w:r w:rsidRPr="003561A9">
        <w:rPr>
          <w:rFonts w:ascii="Times New Roman" w:hAnsi="Times New Roman" w:cs="Times New Roman" w:hint="eastAsia"/>
          <w:szCs w:val="24"/>
        </w:rPr>
        <w:t>17</w:t>
      </w:r>
      <w:r w:rsidRPr="003561A9">
        <w:rPr>
          <w:rFonts w:ascii="Times New Roman" w:hAnsi="Times New Roman" w:cs="Times New Roman" w:hint="eastAsia"/>
          <w:szCs w:val="24"/>
        </w:rPr>
        <w:t>日中央政治局常委会会议上，习近平总书记指出要精准预警响应，进一步加强气象预警与灾害预报的联动，突出临灾预警，做好点对点精准预报和滚动更新，强化预警指向性，落实直达基层防汛责任人的临灾预警“叫应”机制，加强预警和应急响应联动。</w:t>
      </w:r>
    </w:p>
    <w:p w:rsidR="00FF197C" w:rsidRPr="003561A9" w:rsidP="00FF197C">
      <w:pPr>
        <w:ind w:firstLine="420" w:firstLineChars="200"/>
        <w:rPr>
          <w:rFonts w:ascii="Times New Roman" w:hAnsi="Times New Roman" w:cs="Times New Roman"/>
        </w:rPr>
      </w:pPr>
      <w:r w:rsidRPr="003561A9">
        <w:rPr>
          <w:rFonts w:ascii="Times New Roman" w:hAnsi="Times New Roman" w:cs="Times New Roman" w:hint="eastAsia"/>
          <w:szCs w:val="24"/>
        </w:rPr>
        <w:t>二十大报告提出“提高防灾减灾救灾和急难险重突发公共事件处置保障能力”，是党中央针对我国灾害事故多发频发现状，着眼推进国家应急管理体系和能力现代化作出的重要战略部署。国家突发事件预警信息发布系统，是国家突发事件应急体系建设规划中统一的预警信息发布平台，是突发事件预警信息的权威出口。实现在国家、省、市三级部署和县级应用，构建了“一纵四横”预警信息发布网络。</w:t>
      </w:r>
    </w:p>
    <w:p w:rsidR="00FF197C" w:rsidP="00FF197C">
      <w:pPr>
        <w:ind w:firstLine="420" w:firstLineChars="200"/>
        <w:rPr>
          <w:rFonts w:ascii="Times New Roman" w:hAnsi="Times New Roman" w:cs="Times New Roman"/>
        </w:rPr>
      </w:pPr>
      <w:r w:rsidRPr="003561A9">
        <w:rPr>
          <w:rFonts w:ascii="Times New Roman" w:hAnsi="Times New Roman" w:cs="Times New Roman" w:hint="eastAsia"/>
          <w:szCs w:val="24"/>
        </w:rPr>
        <w:t>在面对提升预警信息的阅读感知力，将“闪信”高级别气象灾害预警信息发布赋予预警信息发布强制提醒场景应用，亟须搭建国家预警信息强制提醒触达平台，解决面向移动、联通、电信</w:t>
      </w:r>
      <w:r w:rsidRPr="003561A9">
        <w:rPr>
          <w:rFonts w:ascii="Times New Roman" w:hAnsi="Times New Roman" w:cs="Times New Roman" w:hint="eastAsia"/>
          <w:szCs w:val="24"/>
        </w:rPr>
        <w:t>3</w:t>
      </w:r>
      <w:r w:rsidRPr="003561A9">
        <w:rPr>
          <w:rFonts w:ascii="Times New Roman" w:hAnsi="Times New Roman" w:cs="Times New Roman" w:hint="eastAsia"/>
          <w:szCs w:val="24"/>
        </w:rPr>
        <w:t>大运营商的闪信发送链路问题，并面向需求省份开放共享发布服务接口，促动全国闪信业务融入本省省级突发事件预警信息发布系统，实现闪信渠道融入“一键式”发布，提升向全国应急责任人发布预警信息的强制性和有效性。</w:t>
      </w:r>
    </w:p>
    <w:p w:rsidR="00FF197C" w:rsidP="00FF197C">
      <w:pPr>
        <w:pStyle w:val="Heading2"/>
        <w:keepNext/>
        <w:keepLines/>
        <w:widowControl w:val="0"/>
        <w:numPr>
          <w:ilvl w:val="1"/>
          <w:numId w:val="4"/>
        </w:numPr>
        <w:adjustRightInd w:val="0"/>
        <w:spacing w:before="260" w:after="260" w:line="415" w:lineRule="auto"/>
        <w:ind w:left="0" w:firstLine="0"/>
        <w:jc w:val="both"/>
        <w:rPr>
          <w:color w:val="000000" w:themeColor="text1"/>
        </w:rPr>
      </w:pPr>
      <w:bookmarkStart w:id="63" w:name="_Toc219395405"/>
      <w:r>
        <w:rPr>
          <w:rFonts w:hint="eastAsia"/>
          <w:color w:val="000000" w:themeColor="text1"/>
        </w:rPr>
        <w:t>建设目标</w:t>
      </w:r>
      <w:bookmarkEnd w:id="63"/>
    </w:p>
    <w:p w:rsidR="00FF197C" w:rsidP="00FF197C">
      <w:pPr>
        <w:ind w:firstLine="420" w:firstLineChars="200"/>
        <w:rPr>
          <w:rFonts w:ascii="Times New Roman" w:hAnsi="Times New Roman" w:cs="Times New Roman"/>
        </w:rPr>
      </w:pPr>
      <w:r w:rsidRPr="003561A9">
        <w:rPr>
          <w:rFonts w:ascii="宋体" w:hAnsi="宋体" w:hint="eastAsia"/>
          <w:szCs w:val="21"/>
        </w:rPr>
        <w:t>基于“闪信”的预警信息发布平台建设项目作为智慧短临气象闪信预警信息发布平台建设项目的重要组成部分，以国家突发事件预警信息发布系统顶层设计为纲领，遵循"大平台、大系统、多应用"架构，避免重复建设，通过技术标准化打通跨层级、跨部门壁垒，以场景化服务提升实效。</w:t>
      </w:r>
      <w:r>
        <w:rPr>
          <w:rFonts w:ascii="宋体" w:hAnsi="宋体" w:hint="eastAsia"/>
          <w:szCs w:val="21"/>
        </w:rPr>
        <w:t>建成具备强制提</w:t>
      </w:r>
      <w:r w:rsidRPr="003561A9">
        <w:rPr>
          <w:rFonts w:ascii="宋体" w:hAnsi="宋体" w:hint="eastAsia"/>
          <w:szCs w:val="21"/>
        </w:rPr>
        <w:t>醒触达特点的预警信息发布和递进式叫应提醒服务，面向全国应用需求建设闪信发布共享服务接口，构建微服务组件，支持高并发处理与弹性扩缩容，最终形成统筹集约、协同高效的预警闪信发布能力，绘制全国预警闪信发布能力</w:t>
      </w:r>
      <w:r>
        <w:rPr>
          <w:rFonts w:ascii="宋体" w:hAnsi="宋体" w:hint="eastAsia"/>
          <w:szCs w:val="21"/>
        </w:rPr>
        <w:t>“</w:t>
      </w:r>
      <w:r w:rsidRPr="003561A9">
        <w:rPr>
          <w:rFonts w:ascii="宋体" w:hAnsi="宋体" w:hint="eastAsia"/>
          <w:szCs w:val="21"/>
        </w:rPr>
        <w:t>一张图</w:t>
      </w:r>
      <w:r>
        <w:rPr>
          <w:rFonts w:ascii="宋体" w:hAnsi="宋体" w:hint="eastAsia"/>
          <w:szCs w:val="21"/>
        </w:rPr>
        <w:t>”</w:t>
      </w:r>
      <w:r w:rsidRPr="003561A9">
        <w:rPr>
          <w:rFonts w:ascii="宋体" w:hAnsi="宋体" w:hint="eastAsia"/>
          <w:szCs w:val="21"/>
        </w:rPr>
        <w:t>，在全国形成一体联动的强制触达提醒矩阵网络。依托国-省-市-县四级预警发布业务体系，国家级</w:t>
      </w:r>
      <w:r>
        <w:rPr>
          <w:rFonts w:ascii="宋体" w:hAnsi="宋体" w:hint="eastAsia"/>
          <w:szCs w:val="21"/>
        </w:rPr>
        <w:t>制定标准，建设</w:t>
      </w:r>
      <w:r w:rsidRPr="003561A9">
        <w:rPr>
          <w:rFonts w:ascii="宋体" w:hAnsi="宋体" w:hint="eastAsia"/>
          <w:szCs w:val="21"/>
        </w:rPr>
        <w:t>核心组件，省级</w:t>
      </w:r>
      <w:r>
        <w:rPr>
          <w:rFonts w:ascii="宋体" w:hAnsi="宋体" w:hint="eastAsia"/>
          <w:szCs w:val="21"/>
        </w:rPr>
        <w:t>将</w:t>
      </w:r>
      <w:r w:rsidRPr="003561A9">
        <w:rPr>
          <w:rFonts w:ascii="宋体" w:hAnsi="宋体" w:hint="eastAsia"/>
          <w:szCs w:val="21"/>
        </w:rPr>
        <w:t>基于标准和核心组件负责本域适配与调度，通过基于“闪信”的国家预警信息强制提醒触达平台实现高级别预警的跨层级实时联动，全面提升气象防灾减灾的预警发布能力。</w:t>
      </w:r>
    </w:p>
    <w:p w:rsidR="00FF197C" w:rsidP="00FF197C">
      <w:pPr>
        <w:pStyle w:val="Heading2"/>
        <w:keepNext/>
        <w:keepLines/>
        <w:widowControl w:val="0"/>
        <w:numPr>
          <w:ilvl w:val="1"/>
          <w:numId w:val="4"/>
        </w:numPr>
        <w:adjustRightInd w:val="0"/>
        <w:spacing w:before="260" w:after="260" w:line="415" w:lineRule="auto"/>
        <w:ind w:left="0" w:firstLine="0"/>
        <w:jc w:val="both"/>
        <w:rPr>
          <w:color w:val="000000" w:themeColor="text1"/>
        </w:rPr>
      </w:pPr>
      <w:bookmarkStart w:id="64" w:name="_Toc9078"/>
      <w:bookmarkStart w:id="65" w:name="_Toc219395406"/>
      <w:r>
        <w:rPr>
          <w:color w:val="000000" w:themeColor="text1"/>
        </w:rPr>
        <w:t>编写依据</w:t>
      </w:r>
      <w:bookmarkEnd w:id="64"/>
      <w:bookmarkEnd w:id="65"/>
    </w:p>
    <w:p w:rsidR="00FF197C" w:rsidRPr="009A7AE4" w:rsidP="00FF197C">
      <w:pPr>
        <w:ind w:firstLine="420" w:firstLineChars="200"/>
        <w:rPr>
          <w:rFonts w:ascii="Times New Roman" w:hAnsi="Times New Roman" w:cs="Times New Roman"/>
          <w:bCs/>
          <w:szCs w:val="28"/>
        </w:rPr>
      </w:pPr>
      <w:bookmarkStart w:id="66" w:name="_Toc110330210"/>
      <w:bookmarkStart w:id="67" w:name="_Toc3030"/>
      <w:bookmarkEnd w:id="66"/>
      <w:r w:rsidRPr="009A7AE4">
        <w:rPr>
          <w:rFonts w:ascii="Times New Roman" w:hAnsi="Times New Roman" w:cs="Times New Roman" w:hint="eastAsia"/>
          <w:bCs/>
          <w:szCs w:val="28"/>
        </w:rPr>
        <w:t>1. 2021</w:t>
      </w:r>
      <w:r w:rsidRPr="009A7AE4">
        <w:rPr>
          <w:rFonts w:ascii="Times New Roman" w:hAnsi="Times New Roman" w:cs="Times New Roman" w:hint="eastAsia"/>
          <w:bCs/>
          <w:szCs w:val="28"/>
        </w:rPr>
        <w:t>年，国家发改委印发《“十四五”推进国家政务信息化工程建设规划》，要求加强公共安全信息化保障，并设置“公共安全保障工程”专栏，旨在通过工程建设，显著增强公共卫生、自然灾害、事故灾难、社会安全等领域重大突发事件的应急处置能力和安全保障能力，显著提升源头治理、风险预警、应急联动、协同处置的数字化水平。中国气象局专项的建设目标为提升气象领域安全保障能力。加强国家突发事件预警信息发布系统建设，将其打造成为国家综合防灾减灾救灾的重要预警信息发布平台。</w:t>
      </w:r>
    </w:p>
    <w:p w:rsidR="00FF197C" w:rsidRPr="009A7AE4" w:rsidP="00FF197C">
      <w:pPr>
        <w:ind w:firstLine="420" w:firstLineChars="200"/>
        <w:rPr>
          <w:rFonts w:ascii="Times New Roman" w:hAnsi="Times New Roman" w:cs="Times New Roman"/>
          <w:bCs/>
          <w:szCs w:val="28"/>
        </w:rPr>
      </w:pPr>
      <w:r w:rsidRPr="009A7AE4">
        <w:rPr>
          <w:rFonts w:ascii="Times New Roman" w:hAnsi="Times New Roman" w:cs="Times New Roman" w:hint="eastAsia"/>
          <w:bCs/>
          <w:szCs w:val="28"/>
        </w:rPr>
        <w:t>2.</w:t>
      </w:r>
      <w:r w:rsidRPr="009A7AE4">
        <w:rPr>
          <w:rFonts w:ascii="Times New Roman" w:hAnsi="Times New Roman" w:cs="Times New Roman" w:hint="eastAsia"/>
          <w:bCs/>
          <w:szCs w:val="28"/>
        </w:rPr>
        <w:t>《“十四五”国家应急体系规划》（</w:t>
      </w:r>
      <w:r w:rsidRPr="009A7AE4">
        <w:rPr>
          <w:rFonts w:ascii="Times New Roman" w:hAnsi="Times New Roman" w:cs="Times New Roman" w:hint="eastAsia"/>
          <w:bCs/>
          <w:szCs w:val="28"/>
        </w:rPr>
        <w:t>2021</w:t>
      </w:r>
      <w:r w:rsidRPr="009A7AE4">
        <w:rPr>
          <w:rFonts w:ascii="Times New Roman" w:hAnsi="Times New Roman" w:cs="Times New Roman" w:hint="eastAsia"/>
          <w:bCs/>
          <w:szCs w:val="28"/>
        </w:rPr>
        <w:t>年）：提出建设“全域覆盖、全网共享、全时可用”的应急通信网络，闪信平台是重要组成部分。</w:t>
      </w:r>
    </w:p>
    <w:p w:rsidR="00FF197C" w:rsidRPr="009A7AE4" w:rsidP="00FF197C">
      <w:pPr>
        <w:ind w:firstLine="420" w:firstLineChars="200"/>
        <w:rPr>
          <w:rFonts w:ascii="Times New Roman" w:hAnsi="Times New Roman" w:cs="Times New Roman"/>
          <w:bCs/>
          <w:szCs w:val="28"/>
        </w:rPr>
      </w:pPr>
      <w:r w:rsidRPr="009A7AE4">
        <w:rPr>
          <w:rFonts w:ascii="Times New Roman" w:hAnsi="Times New Roman" w:cs="Times New Roman" w:hint="eastAsia"/>
          <w:bCs/>
          <w:szCs w:val="28"/>
        </w:rPr>
        <w:t xml:space="preserve">3. </w:t>
      </w:r>
      <w:r w:rsidRPr="009A7AE4">
        <w:rPr>
          <w:rFonts w:ascii="Times New Roman" w:hAnsi="Times New Roman" w:cs="Times New Roman" w:hint="eastAsia"/>
          <w:bCs/>
          <w:szCs w:val="28"/>
        </w:rPr>
        <w:t>《公共预警短消息业务技术要求》（</w:t>
      </w:r>
      <w:r w:rsidRPr="009A7AE4">
        <w:rPr>
          <w:rFonts w:ascii="Times New Roman" w:hAnsi="Times New Roman" w:cs="Times New Roman" w:hint="eastAsia"/>
          <w:bCs/>
          <w:szCs w:val="28"/>
        </w:rPr>
        <w:t>GB 32634-2025</w:t>
      </w:r>
      <w:r w:rsidRPr="009A7AE4">
        <w:rPr>
          <w:rFonts w:ascii="Times New Roman" w:hAnsi="Times New Roman" w:cs="Times New Roman" w:hint="eastAsia"/>
          <w:bCs/>
          <w:szCs w:val="28"/>
        </w:rPr>
        <w:t>）：国家强制标准，标准规定了基于点对点短消息的公共预警业务技术框架，涵盖业务描述、流程控制、平台技术要求等核心内容。</w:t>
      </w:r>
    </w:p>
    <w:p w:rsidR="00FF197C" w:rsidRPr="009A7AE4" w:rsidP="00FF197C">
      <w:pPr>
        <w:ind w:firstLine="420" w:firstLineChars="200"/>
        <w:rPr>
          <w:rFonts w:ascii="Times New Roman" w:hAnsi="Times New Roman" w:cs="Times New Roman"/>
          <w:bCs/>
          <w:szCs w:val="28"/>
        </w:rPr>
      </w:pPr>
      <w:r w:rsidRPr="009A7AE4">
        <w:rPr>
          <w:rFonts w:ascii="Times New Roman" w:hAnsi="Times New Roman" w:cs="Times New Roman" w:hint="eastAsia"/>
          <w:bCs/>
          <w:szCs w:val="28"/>
        </w:rPr>
        <w:t>4.</w:t>
      </w:r>
      <w:r w:rsidRPr="009A7AE4">
        <w:rPr>
          <w:rFonts w:ascii="Times New Roman" w:hAnsi="Times New Roman" w:cs="Times New Roman" w:hint="eastAsia"/>
          <w:bCs/>
          <w:szCs w:val="28"/>
        </w:rPr>
        <w:t>《</w:t>
      </w:r>
      <w:r w:rsidRPr="009A7AE4">
        <w:rPr>
          <w:rFonts w:ascii="Times New Roman" w:hAnsi="Times New Roman" w:cs="Times New Roman" w:hint="eastAsia"/>
          <w:bCs/>
          <w:szCs w:val="28"/>
        </w:rPr>
        <w:t>5G</w:t>
      </w:r>
      <w:r w:rsidRPr="009A7AE4">
        <w:rPr>
          <w:rFonts w:ascii="Times New Roman" w:hAnsi="Times New Roman" w:cs="Times New Roman" w:hint="eastAsia"/>
          <w:bCs/>
          <w:szCs w:val="28"/>
        </w:rPr>
        <w:t>消息—不同运营商业务互通总体技术要求》（</w:t>
      </w:r>
      <w:r w:rsidRPr="009A7AE4">
        <w:rPr>
          <w:rFonts w:ascii="Times New Roman" w:hAnsi="Times New Roman" w:cs="Times New Roman" w:hint="eastAsia"/>
          <w:bCs/>
          <w:szCs w:val="28"/>
        </w:rPr>
        <w:t>YD/T 4665-2024</w:t>
      </w:r>
      <w:r w:rsidRPr="009A7AE4">
        <w:rPr>
          <w:rFonts w:ascii="Times New Roman" w:hAnsi="Times New Roman" w:cs="Times New Roman" w:hint="eastAsia"/>
          <w:bCs/>
          <w:szCs w:val="28"/>
        </w:rPr>
        <w:t>）：当不同运营商网间不支持</w:t>
      </w:r>
      <w:r w:rsidRPr="009A7AE4">
        <w:rPr>
          <w:rFonts w:ascii="Times New Roman" w:hAnsi="Times New Roman" w:cs="Times New Roman" w:hint="eastAsia"/>
          <w:bCs/>
          <w:szCs w:val="28"/>
        </w:rPr>
        <w:t>5G</w:t>
      </w:r>
      <w:r w:rsidRPr="009A7AE4">
        <w:rPr>
          <w:rFonts w:ascii="Times New Roman" w:hAnsi="Times New Roman" w:cs="Times New Roman" w:hint="eastAsia"/>
          <w:bCs/>
          <w:szCs w:val="28"/>
        </w:rPr>
        <w:t>消息互通时，发送方</w:t>
      </w:r>
      <w:r w:rsidRPr="009A7AE4">
        <w:rPr>
          <w:rFonts w:ascii="Times New Roman" w:hAnsi="Times New Roman" w:cs="Times New Roman" w:hint="eastAsia"/>
          <w:bCs/>
          <w:szCs w:val="28"/>
        </w:rPr>
        <w:t>5G</w:t>
      </w:r>
      <w:r w:rsidRPr="009A7AE4">
        <w:rPr>
          <w:rFonts w:ascii="Times New Roman" w:hAnsi="Times New Roman" w:cs="Times New Roman" w:hint="eastAsia"/>
          <w:bCs/>
          <w:szCs w:val="28"/>
        </w:rPr>
        <w:t>消息中心应将点对点消息转为短信。</w:t>
      </w:r>
    </w:p>
    <w:p w:rsidR="00FF197C" w:rsidRPr="009A7AE4" w:rsidP="00FF197C">
      <w:pPr>
        <w:ind w:firstLine="420" w:firstLineChars="200"/>
        <w:rPr>
          <w:rFonts w:ascii="Times New Roman" w:hAnsi="Times New Roman" w:cs="Times New Roman"/>
          <w:bCs/>
          <w:szCs w:val="28"/>
        </w:rPr>
      </w:pPr>
      <w:r w:rsidRPr="009A7AE4">
        <w:rPr>
          <w:rFonts w:ascii="Times New Roman" w:hAnsi="Times New Roman" w:cs="Times New Roman" w:hint="eastAsia"/>
          <w:bCs/>
          <w:szCs w:val="28"/>
        </w:rPr>
        <w:t>5.</w:t>
      </w:r>
      <w:r w:rsidRPr="009A7AE4">
        <w:rPr>
          <w:rFonts w:ascii="Times New Roman" w:hAnsi="Times New Roman" w:cs="Times New Roman" w:hint="eastAsia"/>
          <w:bCs/>
          <w:szCs w:val="28"/>
        </w:rPr>
        <w:t>《极端灾害性天气短临预警能力提升建设规划（</w:t>
      </w:r>
      <w:r w:rsidRPr="009A7AE4">
        <w:rPr>
          <w:rFonts w:ascii="Times New Roman" w:hAnsi="Times New Roman" w:cs="Times New Roman" w:hint="eastAsia"/>
          <w:bCs/>
          <w:szCs w:val="28"/>
        </w:rPr>
        <w:t>2025-2027</w:t>
      </w:r>
      <w:r w:rsidRPr="009A7AE4">
        <w:rPr>
          <w:rFonts w:ascii="Times New Roman" w:hAnsi="Times New Roman" w:cs="Times New Roman" w:hint="eastAsia"/>
          <w:bCs/>
          <w:szCs w:val="28"/>
        </w:rPr>
        <w:t>年）》。</w:t>
      </w:r>
    </w:p>
    <w:p w:rsidR="00FF197C" w:rsidRPr="009A7AE4" w:rsidP="00FF197C">
      <w:pPr>
        <w:ind w:firstLine="420" w:firstLineChars="200"/>
        <w:rPr>
          <w:rFonts w:ascii="Times New Roman" w:hAnsi="Times New Roman" w:cs="Times New Roman"/>
          <w:bCs/>
          <w:szCs w:val="28"/>
        </w:rPr>
      </w:pPr>
      <w:r w:rsidRPr="009A7AE4">
        <w:rPr>
          <w:rFonts w:ascii="Times New Roman" w:hAnsi="Times New Roman" w:cs="Times New Roman" w:hint="eastAsia"/>
          <w:bCs/>
          <w:szCs w:val="28"/>
        </w:rPr>
        <w:t>6.</w:t>
      </w:r>
      <w:r w:rsidRPr="009A7AE4">
        <w:rPr>
          <w:rFonts w:ascii="Times New Roman" w:hAnsi="Times New Roman" w:cs="Times New Roman" w:hint="eastAsia"/>
          <w:bCs/>
          <w:szCs w:val="28"/>
        </w:rPr>
        <w:t>《中国气象局</w:t>
      </w:r>
      <w:r w:rsidRPr="009A7AE4">
        <w:rPr>
          <w:rFonts w:ascii="Times New Roman" w:hAnsi="Times New Roman" w:cs="Times New Roman" w:hint="eastAsia"/>
          <w:bCs/>
          <w:szCs w:val="28"/>
        </w:rPr>
        <w:t xml:space="preserve"> </w:t>
      </w:r>
      <w:r w:rsidRPr="009A7AE4">
        <w:rPr>
          <w:rFonts w:ascii="Times New Roman" w:hAnsi="Times New Roman" w:cs="Times New Roman" w:hint="eastAsia"/>
          <w:bCs/>
          <w:szCs w:val="28"/>
        </w:rPr>
        <w:t>国家发展改革委关于统筹集约建设气象业务软件的指导意见》（气发〔</w:t>
      </w:r>
      <w:r w:rsidRPr="009A7AE4">
        <w:rPr>
          <w:rFonts w:ascii="Times New Roman" w:hAnsi="Times New Roman" w:cs="Times New Roman" w:hint="eastAsia"/>
          <w:bCs/>
          <w:szCs w:val="28"/>
        </w:rPr>
        <w:t>2024</w:t>
      </w:r>
      <w:r w:rsidRPr="009A7AE4">
        <w:rPr>
          <w:rFonts w:ascii="Times New Roman" w:hAnsi="Times New Roman" w:cs="Times New Roman" w:hint="eastAsia"/>
          <w:bCs/>
          <w:szCs w:val="28"/>
        </w:rPr>
        <w:t>〕</w:t>
      </w:r>
      <w:r w:rsidRPr="009A7AE4">
        <w:rPr>
          <w:rFonts w:ascii="Times New Roman" w:hAnsi="Times New Roman" w:cs="Times New Roman" w:hint="eastAsia"/>
          <w:bCs/>
          <w:szCs w:val="28"/>
        </w:rPr>
        <w:t>8</w:t>
      </w:r>
      <w:r w:rsidRPr="009A7AE4">
        <w:rPr>
          <w:rFonts w:ascii="Times New Roman" w:hAnsi="Times New Roman" w:cs="Times New Roman" w:hint="eastAsia"/>
          <w:bCs/>
          <w:szCs w:val="28"/>
        </w:rPr>
        <w:t>号）。</w:t>
      </w:r>
    </w:p>
    <w:p w:rsidR="00FF197C" w:rsidP="00FF197C">
      <w:pPr>
        <w:ind w:firstLine="420" w:firstLineChars="200"/>
        <w:rPr>
          <w:rFonts w:ascii="Times New Roman" w:hAnsi="Times New Roman" w:cs="Times New Roman"/>
          <w:bCs/>
          <w:szCs w:val="28"/>
        </w:rPr>
      </w:pPr>
      <w:r w:rsidRPr="009A7AE4">
        <w:rPr>
          <w:rFonts w:ascii="Times New Roman" w:hAnsi="Times New Roman" w:cs="Times New Roman" w:hint="eastAsia"/>
          <w:bCs/>
          <w:szCs w:val="28"/>
        </w:rPr>
        <w:t>7.</w:t>
      </w:r>
      <w:r w:rsidRPr="009A7AE4">
        <w:rPr>
          <w:rFonts w:ascii="Times New Roman" w:hAnsi="Times New Roman" w:cs="Times New Roman" w:hint="eastAsia"/>
          <w:bCs/>
          <w:szCs w:val="28"/>
        </w:rPr>
        <w:t>《智慧短临气象闪信预警信息发布平台建设项目可行性研究报告》。</w:t>
      </w:r>
    </w:p>
    <w:p w:rsidR="00FF197C" w:rsidP="00FF197C">
      <w:pPr>
        <w:pStyle w:val="Heading1"/>
        <w:keepNext/>
        <w:keepLines/>
        <w:widowControl w:val="0"/>
        <w:numPr>
          <w:numId w:val="4"/>
        </w:numPr>
        <w:tabs>
          <w:tab w:val="left" w:pos="432"/>
        </w:tabs>
        <w:adjustRightInd w:val="0"/>
        <w:spacing w:before="340" w:after="120" w:line="360" w:lineRule="auto"/>
        <w:ind w:left="0" w:firstLine="0"/>
        <w:jc w:val="left"/>
        <w:rPr>
          <w:rFonts w:eastAsia="黑体"/>
        </w:rPr>
      </w:pPr>
      <w:bookmarkStart w:id="68" w:name="_Toc18300"/>
      <w:bookmarkStart w:id="69" w:name="_Toc219395407"/>
      <w:bookmarkStart w:id="70" w:name="_Toc23326"/>
      <w:bookmarkStart w:id="71" w:name="_Toc79160165"/>
      <w:r>
        <w:rPr>
          <w:rFonts w:eastAsia="黑体"/>
        </w:rPr>
        <w:t>技术指标要求</w:t>
      </w:r>
      <w:bookmarkEnd w:id="68"/>
      <w:bookmarkEnd w:id="69"/>
    </w:p>
    <w:p w:rsidR="00FF197C" w:rsidP="00FF197C">
      <w:pPr>
        <w:pStyle w:val="Heading2"/>
        <w:keepNext/>
        <w:keepLines/>
        <w:widowControl w:val="0"/>
        <w:numPr>
          <w:ilvl w:val="1"/>
          <w:numId w:val="4"/>
        </w:numPr>
        <w:spacing w:before="260" w:after="260" w:line="415" w:lineRule="auto"/>
        <w:ind w:left="578" w:hanging="578"/>
        <w:jc w:val="both"/>
        <w:rPr>
          <w:color w:val="000000" w:themeColor="text1"/>
        </w:rPr>
      </w:pPr>
      <w:bookmarkStart w:id="72" w:name="_Toc23330"/>
      <w:bookmarkStart w:id="73" w:name="_Toc219395408"/>
      <w:r>
        <w:rPr>
          <w:color w:val="000000" w:themeColor="text1"/>
        </w:rPr>
        <w:t>功能指标</w:t>
      </w:r>
      <w:bookmarkEnd w:id="72"/>
      <w:bookmarkEnd w:id="73"/>
    </w:p>
    <w:p w:rsidR="00FF197C" w:rsidRPr="00663130" w:rsidP="00FF197C">
      <w:pPr>
        <w:pStyle w:val="BodyTextFirstIndent"/>
        <w:spacing w:before="0" w:beforeAutospacing="0" w:after="0" w:afterAutospacing="0" w:line="360" w:lineRule="auto"/>
        <w:ind w:left="480" w:firstLine="0" w:firstLineChars="0"/>
      </w:pPr>
      <w:bookmarkStart w:id="74" w:name="_Toc6477"/>
      <w:r>
        <w:rPr>
          <w:rFonts w:hint="eastAsia"/>
        </w:rPr>
        <w:t xml:space="preserve">1. </w:t>
      </w:r>
      <w:r w:rsidRPr="00663130">
        <w:rPr>
          <w:rFonts w:hint="eastAsia"/>
        </w:rPr>
        <w:t>国家预警信息强制提醒触达平台闪信预警信息发布通道</w:t>
      </w:r>
      <w:r>
        <w:rPr>
          <w:rFonts w:hint="eastAsia"/>
        </w:rPr>
        <w:t>组件</w:t>
      </w:r>
    </w:p>
    <w:p w:rsidR="00FF197C" w:rsidP="00FF197C">
      <w:pPr>
        <w:pStyle w:val="BodyTextFirstIndent"/>
        <w:spacing w:before="0" w:beforeAutospacing="0" w:after="0" w:afterAutospacing="0" w:line="360" w:lineRule="auto"/>
        <w:ind w:left="480" w:firstLine="0" w:firstLineChars="0"/>
      </w:pPr>
      <w:r>
        <w:rPr>
          <w:rFonts w:hint="eastAsia"/>
        </w:rPr>
        <w:t>（</w:t>
      </w:r>
      <w:r>
        <w:rPr>
          <w:rFonts w:hint="eastAsia"/>
        </w:rPr>
        <w:t>1</w:t>
      </w:r>
      <w:r>
        <w:rPr>
          <w:rFonts w:hint="eastAsia"/>
        </w:rPr>
        <w:t>）与移动闪信端口及网关通道连接畅通。</w:t>
      </w:r>
    </w:p>
    <w:p w:rsidR="00FF197C" w:rsidP="00FF197C">
      <w:pPr>
        <w:pStyle w:val="BodyTextFirstIndent"/>
        <w:spacing w:before="0" w:beforeAutospacing="0" w:after="0" w:afterAutospacing="0" w:line="360" w:lineRule="auto"/>
        <w:ind w:left="480" w:firstLine="0" w:firstLineChars="0"/>
      </w:pPr>
      <w:r>
        <w:rPr>
          <w:rFonts w:hint="eastAsia"/>
        </w:rPr>
        <w:t>（</w:t>
      </w:r>
      <w:r>
        <w:rPr>
          <w:rFonts w:hint="eastAsia"/>
        </w:rPr>
        <w:t>2</w:t>
      </w:r>
      <w:r>
        <w:rPr>
          <w:rFonts w:hint="eastAsia"/>
        </w:rPr>
        <w:t>）与联通闪信端口及网关通道连接畅通。</w:t>
      </w:r>
    </w:p>
    <w:p w:rsidR="00FF197C" w:rsidP="00FF197C">
      <w:pPr>
        <w:pStyle w:val="BodyTextFirstIndent"/>
        <w:spacing w:before="0" w:beforeAutospacing="0" w:after="0" w:afterAutospacing="0" w:line="360" w:lineRule="auto"/>
        <w:ind w:left="480" w:firstLine="0" w:firstLineChars="0"/>
      </w:pPr>
      <w:r>
        <w:rPr>
          <w:rFonts w:hint="eastAsia"/>
        </w:rPr>
        <w:t>（</w:t>
      </w:r>
      <w:r>
        <w:rPr>
          <w:rFonts w:hint="eastAsia"/>
        </w:rPr>
        <w:t>3</w:t>
      </w:r>
      <w:r>
        <w:rPr>
          <w:rFonts w:hint="eastAsia"/>
        </w:rPr>
        <w:t>）与电信闪信端口及网关通道连接畅通。</w:t>
      </w:r>
    </w:p>
    <w:p w:rsidR="00FF197C" w:rsidP="00FF197C">
      <w:pPr>
        <w:pStyle w:val="BodyTextFirstIndent"/>
        <w:spacing w:before="0" w:beforeAutospacing="0" w:after="0" w:afterAutospacing="0" w:line="360" w:lineRule="auto"/>
        <w:ind w:left="480" w:firstLine="0" w:firstLineChars="0"/>
        <w:rPr>
          <w:rFonts w:eastAsiaTheme="minorEastAsia"/>
        </w:rPr>
      </w:pPr>
      <w:r>
        <w:rPr>
          <w:rFonts w:hint="eastAsia"/>
        </w:rPr>
        <w:t xml:space="preserve">2. </w:t>
      </w:r>
      <w:r w:rsidRPr="00663130">
        <w:rPr>
          <w:rFonts w:hint="eastAsia"/>
        </w:rPr>
        <w:t>国家预警信息强制提醒触达平台闪信预警信息发布及管理</w:t>
      </w:r>
      <w:r>
        <w:rPr>
          <w:rFonts w:hint="eastAsia"/>
        </w:rPr>
        <w:t>组件</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color w:val="000000"/>
          <w:szCs w:val="32"/>
        </w:rPr>
        <w:t>（</w:t>
      </w:r>
      <w:r w:rsidRPr="00C96ECE">
        <w:rPr>
          <w:rFonts w:ascii="Times New Roman" w:hAnsi="Times New Roman" w:cs="Times New Roman"/>
          <w:color w:val="000000"/>
          <w:szCs w:val="32"/>
        </w:rPr>
        <w:t>1</w:t>
      </w:r>
      <w:r w:rsidRPr="00C96ECE">
        <w:rPr>
          <w:rFonts w:ascii="Times New Roman" w:hAnsi="Times New Roman" w:cs="Times New Roman"/>
          <w:color w:val="000000"/>
          <w:szCs w:val="32"/>
        </w:rPr>
        <w:t>）针对受影响区域的应急责任人收到闪信预警信息，触达率</w:t>
      </w:r>
      <w:r w:rsidRPr="00C96ECE">
        <w:rPr>
          <w:rFonts w:ascii="Times New Roman" w:hAnsi="Times New Roman" w:cs="Times New Roman"/>
          <w:color w:val="000000"/>
          <w:szCs w:val="32"/>
        </w:rPr>
        <w:t>≥94%</w:t>
      </w:r>
      <w:r w:rsidRPr="00C96ECE">
        <w:rPr>
          <w:rFonts w:ascii="Times New Roman" w:hAnsi="Times New Roman" w:cs="Times New Roman"/>
          <w:color w:val="000000"/>
          <w:szCs w:val="32"/>
        </w:rPr>
        <w:t>。</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color w:val="000000"/>
          <w:szCs w:val="32"/>
        </w:rPr>
        <w:t>（</w:t>
      </w:r>
      <w:r w:rsidRPr="00C96ECE">
        <w:rPr>
          <w:rFonts w:ascii="Times New Roman" w:hAnsi="Times New Roman" w:cs="Times New Roman"/>
          <w:color w:val="000000"/>
          <w:szCs w:val="32"/>
        </w:rPr>
        <w:t>2</w:t>
      </w:r>
      <w:r w:rsidRPr="00C96ECE">
        <w:rPr>
          <w:rFonts w:ascii="Times New Roman" w:hAnsi="Times New Roman" w:cs="Times New Roman"/>
          <w:color w:val="000000"/>
          <w:szCs w:val="32"/>
        </w:rPr>
        <w:t>）实现预警信息的汇聚、加工、审核与调度，确保每一条预警信息都能被规范、高效、可靠地送达目标通道。</w:t>
      </w:r>
    </w:p>
    <w:p w:rsidR="00FF197C" w:rsidRPr="00663130" w:rsidP="00FF197C">
      <w:pPr>
        <w:pStyle w:val="BodyTextFirstIndent"/>
        <w:spacing w:before="0" w:beforeAutospacing="0" w:after="0" w:afterAutospacing="0" w:line="360" w:lineRule="auto"/>
        <w:ind w:left="480" w:firstLine="0" w:firstLineChars="0"/>
      </w:pPr>
      <w:r>
        <w:rPr>
          <w:rFonts w:hint="eastAsia"/>
        </w:rPr>
        <w:t xml:space="preserve">3. </w:t>
      </w:r>
      <w:r w:rsidRPr="00663130">
        <w:rPr>
          <w:rFonts w:hint="eastAsia"/>
        </w:rPr>
        <w:t>国家预警信息强制提醒触达平台共享服务接口</w:t>
      </w:r>
      <w:r>
        <w:rPr>
          <w:rFonts w:hint="eastAsia"/>
        </w:rPr>
        <w:t>组件</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1</w:t>
      </w:r>
      <w:r w:rsidRPr="00C96ECE">
        <w:rPr>
          <w:rFonts w:ascii="Times New Roman" w:hAnsi="Times New Roman" w:cs="Times New Roman" w:hint="eastAsia"/>
          <w:color w:val="000000"/>
          <w:szCs w:val="32"/>
        </w:rPr>
        <w:t>）提供闪信渠道链路心跳检测接口，并面向省级开放。</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2</w:t>
      </w:r>
      <w:r w:rsidRPr="00C96ECE">
        <w:rPr>
          <w:rFonts w:ascii="Times New Roman" w:hAnsi="Times New Roman" w:cs="Times New Roman" w:hint="eastAsia"/>
          <w:color w:val="000000"/>
          <w:szCs w:val="32"/>
        </w:rPr>
        <w:t>）提供闪信预警信息发布接口，并面向省级开放。</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3</w:t>
      </w:r>
      <w:r w:rsidRPr="00C96ECE">
        <w:rPr>
          <w:rFonts w:ascii="Times New Roman" w:hAnsi="Times New Roman" w:cs="Times New Roman" w:hint="eastAsia"/>
          <w:color w:val="000000"/>
          <w:szCs w:val="32"/>
        </w:rPr>
        <w:t>）提供错误预警下线接口，并面向省级开放。</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4</w:t>
      </w:r>
      <w:r w:rsidRPr="00C96ECE">
        <w:rPr>
          <w:rFonts w:ascii="Times New Roman" w:hAnsi="Times New Roman" w:cs="Times New Roman" w:hint="eastAsia"/>
          <w:color w:val="000000"/>
          <w:szCs w:val="32"/>
        </w:rPr>
        <w:t>）提供预警信息详情发送数据反馈接口，并面向省级开放。</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5</w:t>
      </w:r>
      <w:r w:rsidRPr="00C96ECE">
        <w:rPr>
          <w:rFonts w:ascii="Times New Roman" w:hAnsi="Times New Roman" w:cs="Times New Roman" w:hint="eastAsia"/>
          <w:color w:val="000000"/>
          <w:szCs w:val="32"/>
        </w:rPr>
        <w:t>）提供预警信息发送结果查询接口，并面向省级开放。</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6</w:t>
      </w:r>
      <w:r w:rsidRPr="00C96ECE">
        <w:rPr>
          <w:rFonts w:ascii="Times New Roman" w:hAnsi="Times New Roman" w:cs="Times New Roman" w:hint="eastAsia"/>
          <w:color w:val="000000"/>
          <w:szCs w:val="32"/>
        </w:rPr>
        <w:t>）提供闪信模板查询接口，并面向省级开放。</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7</w:t>
      </w:r>
      <w:r w:rsidRPr="00C96ECE">
        <w:rPr>
          <w:rFonts w:ascii="Times New Roman" w:hAnsi="Times New Roman" w:cs="Times New Roman" w:hint="eastAsia"/>
          <w:color w:val="000000"/>
          <w:szCs w:val="32"/>
        </w:rPr>
        <w:t>）提供闪信服务情况备案接口，并面向省级开放。</w:t>
      </w:r>
    </w:p>
    <w:p w:rsidR="00FF197C" w:rsidRPr="00663130" w:rsidP="00FF197C">
      <w:pPr>
        <w:pStyle w:val="BodyTextFirstIndent"/>
        <w:spacing w:before="0" w:beforeAutospacing="0" w:after="0" w:afterAutospacing="0" w:line="360" w:lineRule="auto"/>
        <w:ind w:left="480" w:firstLine="0" w:firstLineChars="0"/>
      </w:pPr>
      <w:r>
        <w:rPr>
          <w:rFonts w:hint="eastAsia"/>
        </w:rPr>
        <w:t xml:space="preserve">4. </w:t>
      </w:r>
      <w:r w:rsidRPr="00663130">
        <w:rPr>
          <w:rFonts w:hint="eastAsia"/>
        </w:rPr>
        <w:t>国家预警信息强制提醒触达平台全国闪信预警信息服务管理</w:t>
      </w:r>
      <w:r>
        <w:rPr>
          <w:rFonts w:hint="eastAsia"/>
        </w:rPr>
        <w:t>组件</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1</w:t>
      </w:r>
      <w:r w:rsidRPr="00C96ECE">
        <w:rPr>
          <w:rFonts w:ascii="Times New Roman" w:hAnsi="Times New Roman" w:cs="Times New Roman" w:hint="eastAsia"/>
          <w:color w:val="000000"/>
          <w:szCs w:val="32"/>
        </w:rPr>
        <w:t>）支持全国各气象部门申请专属闪信签名，并对闪信签名实现管理。</w:t>
      </w:r>
    </w:p>
    <w:p w:rsidR="00FF197C"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2</w:t>
      </w:r>
      <w:r w:rsidRPr="00C96ECE">
        <w:rPr>
          <w:rFonts w:ascii="Times New Roman" w:hAnsi="Times New Roman" w:cs="Times New Roman" w:hint="eastAsia"/>
          <w:color w:val="000000"/>
          <w:szCs w:val="32"/>
        </w:rPr>
        <w:t>）实现</w:t>
      </w:r>
      <w:r w:rsidRPr="00C96ECE">
        <w:rPr>
          <w:rFonts w:ascii="Times New Roman" w:hAnsi="Times New Roman" w:cs="Times New Roman"/>
          <w:color w:val="000000"/>
          <w:szCs w:val="32"/>
        </w:rPr>
        <w:t>闪信发布全维度数据分析</w:t>
      </w:r>
      <w:r w:rsidRPr="00C96ECE">
        <w:rPr>
          <w:rFonts w:ascii="Times New Roman" w:hAnsi="Times New Roman" w:cs="Times New Roman" w:hint="eastAsia"/>
          <w:color w:val="000000"/>
          <w:szCs w:val="32"/>
        </w:rPr>
        <w:t>，并通过“一张图”实现全国闪信发布全景可视化。</w:t>
      </w:r>
    </w:p>
    <w:p w:rsidR="00FF197C" w:rsidRPr="004E0957" w:rsidP="00FF197C">
      <w:pPr>
        <w:pStyle w:val="BodyTextFirstIndent"/>
        <w:spacing w:before="0" w:beforeAutospacing="0" w:after="0" w:afterAutospacing="0" w:line="360" w:lineRule="auto"/>
        <w:ind w:left="480" w:firstLine="0" w:firstLineChars="0"/>
      </w:pPr>
      <w:r>
        <w:rPr>
          <w:rFonts w:hint="eastAsia"/>
        </w:rPr>
        <w:t>5.</w:t>
      </w:r>
      <w:r w:rsidRPr="004E0957">
        <w:rPr>
          <w:rFonts w:hint="eastAsia"/>
        </w:rPr>
        <w:t xml:space="preserve"> </w:t>
      </w:r>
      <w:r w:rsidRPr="004E0957">
        <w:rPr>
          <w:rFonts w:hint="eastAsia"/>
        </w:rPr>
        <w:t>与国家突发事件预警信息发布系统集成组件</w:t>
      </w:r>
    </w:p>
    <w:p w:rsidR="00FF197C" w:rsidRPr="004E0957" w:rsidP="00FF197C">
      <w:pPr>
        <w:pStyle w:val="BodyTextFirstIndent"/>
        <w:spacing w:before="0" w:beforeAutospacing="0" w:after="0" w:afterAutospacing="0" w:line="360" w:lineRule="auto"/>
        <w:ind w:left="480" w:firstLine="0" w:firstLineChars="0"/>
      </w:pPr>
      <w:r w:rsidRPr="004E0957">
        <w:rPr>
          <w:rFonts w:hint="eastAsia"/>
        </w:rPr>
        <w:t>（</w:t>
      </w:r>
      <w:r w:rsidRPr="004E0957">
        <w:rPr>
          <w:rFonts w:hint="eastAsia"/>
        </w:rPr>
        <w:t>1</w:t>
      </w:r>
      <w:r w:rsidRPr="004E0957">
        <w:rPr>
          <w:rFonts w:hint="eastAsia"/>
        </w:rPr>
        <w:t>）可以通过国家突发事件预警信息发布系统查看全国闪信发布情况，包括但不限于展示、统计、监控、告警等。</w:t>
      </w:r>
    </w:p>
    <w:p w:rsidR="00FF197C" w:rsidP="00FF197C">
      <w:pPr>
        <w:pStyle w:val="Heading2"/>
        <w:keepNext/>
        <w:keepLines/>
        <w:widowControl w:val="0"/>
        <w:numPr>
          <w:ilvl w:val="1"/>
          <w:numId w:val="4"/>
        </w:numPr>
        <w:spacing w:before="260" w:after="260" w:line="415" w:lineRule="auto"/>
        <w:ind w:left="578" w:hanging="578"/>
        <w:jc w:val="both"/>
        <w:rPr>
          <w:szCs w:val="24"/>
        </w:rPr>
      </w:pPr>
      <w:bookmarkStart w:id="75" w:name="_Toc219395409"/>
      <w:r>
        <w:rPr>
          <w:color w:val="000000" w:themeColor="text1"/>
        </w:rPr>
        <w:t>性能指标</w:t>
      </w:r>
      <w:bookmarkEnd w:id="74"/>
      <w:bookmarkEnd w:id="75"/>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1</w:t>
      </w:r>
      <w:r w:rsidRPr="00C96ECE">
        <w:rPr>
          <w:rFonts w:ascii="Times New Roman" w:hAnsi="Times New Roman" w:cs="Times New Roman" w:hint="eastAsia"/>
          <w:color w:val="000000"/>
          <w:szCs w:val="32"/>
        </w:rPr>
        <w:t>）页面响应：页面加载时间≤</w:t>
      </w:r>
      <w:r w:rsidRPr="00C96ECE">
        <w:rPr>
          <w:rFonts w:ascii="Times New Roman" w:hAnsi="Times New Roman" w:cs="Times New Roman" w:hint="eastAsia"/>
          <w:color w:val="000000"/>
          <w:szCs w:val="32"/>
        </w:rPr>
        <w:t>2</w:t>
      </w:r>
      <w:r w:rsidRPr="00C96ECE">
        <w:rPr>
          <w:rFonts w:ascii="Times New Roman" w:hAnsi="Times New Roman" w:cs="Times New Roman" w:hint="eastAsia"/>
          <w:color w:val="000000"/>
          <w:szCs w:val="32"/>
        </w:rPr>
        <w:t>秒。</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2</w:t>
      </w:r>
      <w:r w:rsidRPr="00C96ECE">
        <w:rPr>
          <w:rFonts w:ascii="Times New Roman" w:hAnsi="Times New Roman" w:cs="Times New Roman" w:hint="eastAsia"/>
          <w:color w:val="000000"/>
          <w:szCs w:val="32"/>
        </w:rPr>
        <w:t>）查询响应：系统所需加载显示基础数据响应时间≤</w:t>
      </w:r>
      <w:r w:rsidRPr="00C96ECE">
        <w:rPr>
          <w:rFonts w:ascii="Times New Roman" w:hAnsi="Times New Roman" w:cs="Times New Roman" w:hint="eastAsia"/>
          <w:color w:val="000000"/>
          <w:szCs w:val="32"/>
        </w:rPr>
        <w:t>2</w:t>
      </w:r>
      <w:r w:rsidRPr="00C96ECE">
        <w:rPr>
          <w:rFonts w:ascii="Times New Roman" w:hAnsi="Times New Roman" w:cs="Times New Roman" w:hint="eastAsia"/>
          <w:color w:val="000000"/>
          <w:szCs w:val="32"/>
        </w:rPr>
        <w:t>秒，全国闪信预警信息服务一张图数据加载及显示耗时≤</w:t>
      </w:r>
      <w:r w:rsidRPr="00C96ECE">
        <w:rPr>
          <w:rFonts w:ascii="Times New Roman" w:hAnsi="Times New Roman" w:cs="Times New Roman" w:hint="eastAsia"/>
          <w:color w:val="000000"/>
          <w:szCs w:val="32"/>
        </w:rPr>
        <w:t>10</w:t>
      </w:r>
      <w:r w:rsidRPr="00C96ECE">
        <w:rPr>
          <w:rFonts w:ascii="Times New Roman" w:hAnsi="Times New Roman" w:cs="Times New Roman" w:hint="eastAsia"/>
          <w:color w:val="000000"/>
          <w:szCs w:val="32"/>
        </w:rPr>
        <w:t>秒。</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3</w:t>
      </w:r>
      <w:r w:rsidRPr="00C96ECE">
        <w:rPr>
          <w:rFonts w:ascii="Times New Roman" w:hAnsi="Times New Roman" w:cs="Times New Roman" w:hint="eastAsia"/>
          <w:color w:val="000000"/>
          <w:szCs w:val="32"/>
        </w:rPr>
        <w:t>）预警信息闪信发布接口响应时间≤</w:t>
      </w:r>
      <w:r w:rsidRPr="00C96ECE">
        <w:rPr>
          <w:rFonts w:ascii="Times New Roman" w:hAnsi="Times New Roman" w:cs="Times New Roman" w:hint="eastAsia"/>
          <w:color w:val="000000"/>
          <w:szCs w:val="32"/>
        </w:rPr>
        <w:t>1</w:t>
      </w:r>
      <w:r w:rsidRPr="00C96ECE">
        <w:rPr>
          <w:rFonts w:ascii="Times New Roman" w:hAnsi="Times New Roman" w:cs="Times New Roman" w:hint="eastAsia"/>
          <w:color w:val="000000"/>
          <w:szCs w:val="32"/>
        </w:rPr>
        <w:t>秒。</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4</w:t>
      </w:r>
      <w:r w:rsidRPr="00C96ECE">
        <w:rPr>
          <w:rFonts w:ascii="Times New Roman" w:hAnsi="Times New Roman" w:cs="Times New Roman" w:hint="eastAsia"/>
          <w:color w:val="000000"/>
          <w:szCs w:val="32"/>
        </w:rPr>
        <w:t>）预警信息闪信发布接口响应并发量支持每秒请求</w:t>
      </w:r>
      <w:r w:rsidRPr="00C96ECE">
        <w:rPr>
          <w:rFonts w:ascii="Times New Roman" w:hAnsi="Times New Roman" w:cs="Times New Roman" w:hint="eastAsia"/>
          <w:color w:val="000000"/>
          <w:szCs w:val="32"/>
        </w:rPr>
        <w:t>TPS</w:t>
      </w:r>
      <w:r w:rsidRPr="00C96ECE">
        <w:rPr>
          <w:rFonts w:ascii="Times New Roman" w:hAnsi="Times New Roman" w:cs="Times New Roman" w:hint="eastAsia"/>
          <w:color w:val="000000"/>
          <w:szCs w:val="32"/>
        </w:rPr>
        <w:t>≥</w:t>
      </w:r>
      <w:r w:rsidRPr="00C96ECE">
        <w:rPr>
          <w:rFonts w:ascii="Times New Roman" w:hAnsi="Times New Roman" w:cs="Times New Roman"/>
          <w:color w:val="000000"/>
          <w:szCs w:val="32"/>
        </w:rPr>
        <w:t>1000</w:t>
      </w:r>
      <w:r w:rsidRPr="00C96ECE">
        <w:rPr>
          <w:rFonts w:ascii="Times New Roman" w:hAnsi="Times New Roman" w:cs="Times New Roman" w:hint="eastAsia"/>
          <w:color w:val="000000"/>
          <w:szCs w:val="32"/>
        </w:rPr>
        <w:t>。</w:t>
      </w:r>
    </w:p>
    <w:p w:rsidR="00FF197C" w:rsidRPr="00C96ECE"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5</w:t>
      </w:r>
      <w:r w:rsidRPr="00C96ECE">
        <w:rPr>
          <w:rFonts w:ascii="Times New Roman" w:hAnsi="Times New Roman" w:cs="Times New Roman" w:hint="eastAsia"/>
          <w:color w:val="000000"/>
          <w:szCs w:val="32"/>
        </w:rPr>
        <w:t>）数据库并发：数据库支持超过</w:t>
      </w:r>
      <w:r w:rsidRPr="00C96ECE">
        <w:rPr>
          <w:rFonts w:ascii="Times New Roman" w:hAnsi="Times New Roman" w:cs="Times New Roman" w:hint="eastAsia"/>
          <w:color w:val="000000"/>
          <w:szCs w:val="32"/>
        </w:rPr>
        <w:t>500</w:t>
      </w:r>
      <w:r w:rsidRPr="00C96ECE">
        <w:rPr>
          <w:rFonts w:ascii="Times New Roman" w:hAnsi="Times New Roman" w:cs="Times New Roman" w:hint="eastAsia"/>
          <w:color w:val="000000"/>
          <w:szCs w:val="32"/>
        </w:rPr>
        <w:t>个用户</w:t>
      </w: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秒的并发访问能力。</w:t>
      </w:r>
    </w:p>
    <w:p w:rsidR="00FF197C" w:rsidRPr="009B42ED" w:rsidP="00FF197C">
      <w:pPr>
        <w:ind w:firstLine="420" w:firstLineChars="200"/>
        <w:rPr>
          <w:rFonts w:ascii="Times New Roman" w:hAnsi="Times New Roman" w:cs="Times New Roman"/>
          <w:color w:val="000000"/>
          <w:szCs w:val="32"/>
        </w:rPr>
      </w:pP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6</w:t>
      </w:r>
      <w:r w:rsidRPr="00C96ECE">
        <w:rPr>
          <w:rFonts w:ascii="Times New Roman" w:hAnsi="Times New Roman" w:cs="Times New Roman" w:hint="eastAsia"/>
          <w:color w:val="000000"/>
          <w:szCs w:val="32"/>
        </w:rPr>
        <w:t>）</w:t>
      </w:r>
      <w:r w:rsidRPr="00C96ECE">
        <w:rPr>
          <w:rFonts w:ascii="Times New Roman" w:hAnsi="Times New Roman" w:cs="Times New Roman" w:hint="eastAsia"/>
          <w:color w:val="000000"/>
          <w:szCs w:val="32"/>
        </w:rPr>
        <w:t>WEB</w:t>
      </w:r>
      <w:r w:rsidRPr="00C96ECE">
        <w:rPr>
          <w:rFonts w:ascii="Times New Roman" w:hAnsi="Times New Roman" w:cs="Times New Roman" w:hint="eastAsia"/>
          <w:color w:val="000000"/>
          <w:szCs w:val="32"/>
        </w:rPr>
        <w:t>访问并发：系统具备不少于</w:t>
      </w:r>
      <w:r w:rsidRPr="00C96ECE">
        <w:rPr>
          <w:rFonts w:ascii="Times New Roman" w:hAnsi="Times New Roman" w:cs="Times New Roman" w:hint="eastAsia"/>
          <w:color w:val="000000"/>
          <w:szCs w:val="32"/>
        </w:rPr>
        <w:t>200</w:t>
      </w:r>
      <w:r w:rsidRPr="00C96ECE">
        <w:rPr>
          <w:rFonts w:ascii="Times New Roman" w:hAnsi="Times New Roman" w:cs="Times New Roman" w:hint="eastAsia"/>
          <w:color w:val="000000"/>
          <w:szCs w:val="32"/>
        </w:rPr>
        <w:t>个用户的并发访问能力。</w:t>
      </w:r>
    </w:p>
    <w:p w:rsidR="00FF197C" w:rsidP="00FF197C">
      <w:pPr>
        <w:pStyle w:val="Heading2"/>
        <w:keepNext/>
        <w:keepLines/>
        <w:widowControl w:val="0"/>
        <w:numPr>
          <w:ilvl w:val="1"/>
          <w:numId w:val="4"/>
        </w:numPr>
        <w:spacing w:before="260" w:after="260" w:line="415" w:lineRule="auto"/>
        <w:ind w:left="576" w:hanging="576"/>
        <w:jc w:val="both"/>
      </w:pPr>
      <w:bookmarkStart w:id="76" w:name="_Toc13964"/>
      <w:bookmarkStart w:id="77" w:name="_Toc210822528"/>
      <w:bookmarkStart w:id="78" w:name="_Toc211016623"/>
      <w:bookmarkStart w:id="79" w:name="_Toc23648"/>
      <w:bookmarkStart w:id="80" w:name="_Toc219395410"/>
      <w:bookmarkStart w:id="81" w:name="_Toc8775"/>
      <w:r>
        <w:t>集约化</w:t>
      </w:r>
      <w:bookmarkEnd w:id="76"/>
      <w:bookmarkEnd w:id="77"/>
      <w:bookmarkEnd w:id="78"/>
      <w:bookmarkEnd w:id="79"/>
      <w:r>
        <w:rPr>
          <w:rFonts w:hint="eastAsia"/>
        </w:rPr>
        <w:t>设计</w:t>
      </w:r>
      <w:bookmarkEnd w:id="80"/>
    </w:p>
    <w:p w:rsidR="00FF197C" w:rsidP="00FF197C">
      <w:pPr>
        <w:ind w:firstLine="420" w:firstLineChars="200"/>
        <w:rPr>
          <w:rFonts w:ascii="Times New Roman" w:hAnsi="Times New Roman" w:cs="Times New Roman"/>
        </w:rPr>
      </w:pPr>
      <w:bookmarkStart w:id="82" w:name="_Toc210822529"/>
      <w:bookmarkStart w:id="83" w:name="_Toc23083"/>
      <w:bookmarkStart w:id="84" w:name="_Toc211016624"/>
      <w:bookmarkStart w:id="85" w:name="_Toc29944"/>
      <w:r>
        <w:rPr>
          <w:rFonts w:ascii="Times New Roman" w:hAnsi="Times New Roman" w:cs="Times New Roman"/>
          <w:szCs w:val="24"/>
        </w:rPr>
        <w:t>按照中国气象局关于气象业务软件集约化建设要求，本系统在数据集约化、流程集约化、平台集约化、监控集约化等四个方面符合</w:t>
      </w:r>
      <w:r>
        <w:rPr>
          <w:rFonts w:ascii="Times New Roman" w:hAnsi="Times New Roman" w:cs="Times New Roman" w:hint="eastAsia"/>
          <w:szCs w:val="24"/>
        </w:rPr>
        <w:t>中国气象局</w:t>
      </w:r>
      <w:r>
        <w:rPr>
          <w:rFonts w:ascii="Times New Roman" w:hAnsi="Times New Roman" w:cs="Times New Roman"/>
          <w:szCs w:val="24"/>
        </w:rPr>
        <w:t>要求</w:t>
      </w:r>
      <w:r>
        <w:rPr>
          <w:rFonts w:ascii="Times New Roman" w:hAnsi="Times New Roman" w:cs="Times New Roman" w:hint="eastAsia"/>
          <w:szCs w:val="24"/>
        </w:rPr>
        <w:t>、符合</w:t>
      </w:r>
      <w:r w:rsidRPr="00D4109A">
        <w:rPr>
          <w:rFonts w:ascii="Times New Roman" w:hAnsi="Times New Roman" w:cs="Times New Roman" w:hint="eastAsia"/>
          <w:color w:val="000000"/>
          <w:szCs w:val="32"/>
        </w:rPr>
        <w:t>国家突发事件预警信息发布系统业务集约建设要求</w:t>
      </w:r>
      <w:r>
        <w:rPr>
          <w:rFonts w:ascii="Times New Roman" w:hAnsi="Times New Roman" w:cs="Times New Roman" w:hint="eastAsia"/>
          <w:color w:val="000000"/>
          <w:szCs w:val="32"/>
        </w:rPr>
        <w:t>，</w:t>
      </w:r>
      <w:r>
        <w:rPr>
          <w:rFonts w:ascii="Times New Roman" w:hAnsi="Times New Roman" w:cs="Times New Roman"/>
          <w:szCs w:val="24"/>
        </w:rPr>
        <w:t>建设前需开展以上四个方面设计。</w:t>
      </w:r>
    </w:p>
    <w:p w:rsidR="00FF197C" w:rsidRPr="00F875E9" w:rsidP="00FF197C">
      <w:pPr>
        <w:ind w:firstLine="420" w:firstLineChars="200"/>
        <w:rPr>
          <w:rFonts w:ascii="Times New Roman" w:hAnsi="Times New Roman" w:cs="Times New Roman"/>
        </w:rPr>
      </w:pPr>
      <w:r w:rsidRPr="00F875E9">
        <w:rPr>
          <w:rFonts w:ascii="Times New Roman" w:hAnsi="Times New Roman" w:cs="Times New Roman" w:hint="eastAsia"/>
          <w:szCs w:val="24"/>
        </w:rPr>
        <w:t>（</w:t>
      </w:r>
      <w:r w:rsidRPr="00F875E9">
        <w:rPr>
          <w:rFonts w:ascii="Times New Roman" w:hAnsi="Times New Roman" w:cs="Times New Roman" w:hint="eastAsia"/>
          <w:szCs w:val="24"/>
        </w:rPr>
        <w:t>1</w:t>
      </w:r>
      <w:r w:rsidRPr="00F875E9">
        <w:rPr>
          <w:rFonts w:ascii="Times New Roman" w:hAnsi="Times New Roman" w:cs="Times New Roman" w:hint="eastAsia"/>
          <w:szCs w:val="24"/>
        </w:rPr>
        <w:t>）数据集约化</w:t>
      </w:r>
    </w:p>
    <w:p w:rsidR="00FF197C" w:rsidRPr="00F875E9" w:rsidP="00FF197C">
      <w:pPr>
        <w:ind w:firstLine="420" w:firstLineChars="200"/>
        <w:rPr>
          <w:rFonts w:ascii="Times New Roman" w:hAnsi="Times New Roman" w:cs="Times New Roman"/>
        </w:rPr>
      </w:pPr>
      <w:r w:rsidRPr="00F875E9">
        <w:rPr>
          <w:rFonts w:ascii="Times New Roman" w:hAnsi="Times New Roman" w:cs="Times New Roman" w:hint="eastAsia"/>
          <w:szCs w:val="24"/>
        </w:rPr>
        <w:t>基于“闪信”的预警信息发布平台中所需的预警信息输入数据需从国家突发事件预警信息发布平台获取，输出信息均纳入国家突发事件预警信息发布系统进行统一管理，经评估后提供业务应用。</w:t>
      </w:r>
    </w:p>
    <w:p w:rsidR="00FF197C" w:rsidRPr="00F875E9" w:rsidP="00FF197C">
      <w:pPr>
        <w:ind w:firstLine="420" w:firstLineChars="200"/>
        <w:rPr>
          <w:rFonts w:ascii="Times New Roman" w:hAnsi="Times New Roman" w:cs="Times New Roman"/>
        </w:rPr>
      </w:pPr>
      <w:r w:rsidRPr="00F875E9">
        <w:rPr>
          <w:rFonts w:ascii="Times New Roman" w:hAnsi="Times New Roman" w:cs="Times New Roman" w:hint="eastAsia"/>
          <w:szCs w:val="24"/>
        </w:rPr>
        <w:t>（</w:t>
      </w:r>
      <w:r w:rsidRPr="00F875E9">
        <w:rPr>
          <w:rFonts w:ascii="Times New Roman" w:hAnsi="Times New Roman" w:cs="Times New Roman" w:hint="eastAsia"/>
          <w:szCs w:val="24"/>
        </w:rPr>
        <w:t>2</w:t>
      </w:r>
      <w:r w:rsidRPr="00F875E9">
        <w:rPr>
          <w:rFonts w:ascii="Times New Roman" w:hAnsi="Times New Roman" w:cs="Times New Roman" w:hint="eastAsia"/>
          <w:szCs w:val="24"/>
        </w:rPr>
        <w:t>）流程集约化</w:t>
      </w:r>
    </w:p>
    <w:p w:rsidR="00FF197C" w:rsidRPr="00F875E9" w:rsidP="00FF197C">
      <w:pPr>
        <w:ind w:firstLine="420" w:firstLineChars="200"/>
        <w:rPr>
          <w:rFonts w:ascii="Times New Roman" w:hAnsi="Times New Roman" w:cs="Times New Roman"/>
        </w:rPr>
      </w:pPr>
      <w:r w:rsidRPr="00F875E9">
        <w:rPr>
          <w:rFonts w:ascii="Times New Roman" w:hAnsi="Times New Roman" w:cs="Times New Roman" w:hint="eastAsia"/>
          <w:szCs w:val="24"/>
        </w:rPr>
        <w:t>本项目基于“闪信”的预警信息发布平台开发使用和建成的系统功能，包括数据接口、应用功能组件等必须基于国家突发事件预警信息发布平台整体业务流程进行建设。</w:t>
      </w:r>
    </w:p>
    <w:p w:rsidR="00FF197C" w:rsidRPr="00F875E9" w:rsidP="00FF197C">
      <w:pPr>
        <w:ind w:firstLine="420" w:firstLineChars="200"/>
        <w:rPr>
          <w:rFonts w:ascii="Times New Roman" w:hAnsi="Times New Roman" w:cs="Times New Roman"/>
        </w:rPr>
      </w:pPr>
      <w:r w:rsidRPr="00F875E9">
        <w:rPr>
          <w:rFonts w:ascii="Times New Roman" w:hAnsi="Times New Roman" w:cs="Times New Roman" w:hint="eastAsia"/>
          <w:szCs w:val="24"/>
        </w:rPr>
        <w:t>（</w:t>
      </w:r>
      <w:r w:rsidRPr="00F875E9">
        <w:rPr>
          <w:rFonts w:ascii="Times New Roman" w:hAnsi="Times New Roman" w:cs="Times New Roman" w:hint="eastAsia"/>
          <w:szCs w:val="24"/>
        </w:rPr>
        <w:t>3</w:t>
      </w:r>
      <w:r w:rsidRPr="00F875E9">
        <w:rPr>
          <w:rFonts w:ascii="Times New Roman" w:hAnsi="Times New Roman" w:cs="Times New Roman" w:hint="eastAsia"/>
          <w:szCs w:val="24"/>
        </w:rPr>
        <w:t>）平台集约化</w:t>
      </w:r>
    </w:p>
    <w:p w:rsidR="00FF197C" w:rsidRPr="00F875E9" w:rsidP="00FF197C">
      <w:pPr>
        <w:ind w:firstLine="420" w:firstLineChars="200"/>
        <w:rPr>
          <w:rFonts w:ascii="Times New Roman" w:hAnsi="Times New Roman" w:cs="Times New Roman"/>
        </w:rPr>
      </w:pPr>
      <w:r w:rsidRPr="00F875E9">
        <w:rPr>
          <w:rFonts w:ascii="Times New Roman" w:hAnsi="Times New Roman" w:cs="Times New Roman" w:hint="eastAsia"/>
          <w:szCs w:val="24"/>
        </w:rPr>
        <w:t>本项目基于“闪信”的预警信息发布平台系统开发中所涉及的数据库、微服务、</w:t>
      </w:r>
      <w:r w:rsidRPr="00F875E9">
        <w:rPr>
          <w:rFonts w:ascii="Times New Roman" w:hAnsi="Times New Roman" w:cs="Times New Roman" w:hint="eastAsia"/>
          <w:szCs w:val="24"/>
        </w:rPr>
        <w:t>API</w:t>
      </w:r>
      <w:r w:rsidRPr="00F875E9">
        <w:rPr>
          <w:rFonts w:ascii="Times New Roman" w:hAnsi="Times New Roman" w:cs="Times New Roman" w:hint="eastAsia"/>
          <w:szCs w:val="24"/>
        </w:rPr>
        <w:t>接口等，依托国家突发事件预警信息发布平台整体设计，实行统一管理。由国家突发事件预警信息发布系统提供业务基座支撑能力，本项目所开发的功能模块将作为预警信息已发布全业务流程链条的一个环节，以技术组件形成集成至国突系统中。</w:t>
      </w:r>
    </w:p>
    <w:p w:rsidR="00FF197C" w:rsidRPr="00F875E9" w:rsidP="00FF197C">
      <w:pPr>
        <w:ind w:firstLine="420" w:firstLineChars="200"/>
        <w:rPr>
          <w:rFonts w:ascii="Times New Roman" w:hAnsi="Times New Roman" w:cs="Times New Roman"/>
        </w:rPr>
      </w:pPr>
      <w:r w:rsidRPr="00F875E9">
        <w:rPr>
          <w:rFonts w:ascii="Times New Roman" w:hAnsi="Times New Roman" w:cs="Times New Roman" w:hint="eastAsia"/>
          <w:szCs w:val="24"/>
        </w:rPr>
        <w:t>（</w:t>
      </w:r>
      <w:r w:rsidRPr="00F875E9">
        <w:rPr>
          <w:rFonts w:ascii="Times New Roman" w:hAnsi="Times New Roman" w:cs="Times New Roman" w:hint="eastAsia"/>
          <w:szCs w:val="24"/>
        </w:rPr>
        <w:t>4</w:t>
      </w:r>
      <w:r w:rsidRPr="00F875E9">
        <w:rPr>
          <w:rFonts w:ascii="Times New Roman" w:hAnsi="Times New Roman" w:cs="Times New Roman" w:hint="eastAsia"/>
          <w:szCs w:val="24"/>
        </w:rPr>
        <w:t>）监控集约化</w:t>
      </w:r>
    </w:p>
    <w:p w:rsidR="00FF197C" w:rsidP="00FF197C">
      <w:pPr>
        <w:ind w:firstLine="420" w:firstLineChars="200"/>
        <w:rPr>
          <w:rFonts w:ascii="Times New Roman" w:hAnsi="Times New Roman" w:cs="Times New Roman"/>
        </w:rPr>
      </w:pPr>
      <w:r w:rsidRPr="00F875E9">
        <w:rPr>
          <w:rFonts w:ascii="Times New Roman" w:hAnsi="Times New Roman" w:cs="Times New Roman" w:hint="eastAsia"/>
          <w:szCs w:val="24"/>
        </w:rPr>
        <w:t>基于“闪信”的预警信息发布平台监控应基于国家突发事件预警信息发布系统监控体系统一框架要求，内容包括系统运行资源使用情况、预警信息发布及反馈数据监控、闪信模板审核监控等。</w:t>
      </w:r>
    </w:p>
    <w:p w:rsidR="00FF197C" w:rsidP="00FF197C">
      <w:pPr>
        <w:pStyle w:val="Heading2"/>
        <w:keepNext/>
        <w:keepLines/>
        <w:widowControl w:val="0"/>
        <w:numPr>
          <w:ilvl w:val="1"/>
          <w:numId w:val="4"/>
        </w:numPr>
        <w:spacing w:before="260" w:after="260" w:line="415" w:lineRule="auto"/>
        <w:ind w:left="576" w:hanging="576"/>
        <w:jc w:val="both"/>
      </w:pPr>
      <w:bookmarkStart w:id="86" w:name="_Toc219395411"/>
      <w:r>
        <w:t>组件化要求</w:t>
      </w:r>
      <w:bookmarkEnd w:id="82"/>
      <w:bookmarkEnd w:id="83"/>
      <w:bookmarkEnd w:id="84"/>
      <w:bookmarkEnd w:id="85"/>
      <w:bookmarkEnd w:id="86"/>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按照《气象业务软件组件化开发指南</w:t>
      </w:r>
      <w:r w:rsidRPr="00D4109A">
        <w:rPr>
          <w:rFonts w:ascii="Times New Roman" w:hAnsi="Times New Roman" w:cs="Times New Roman" w:hint="eastAsia"/>
          <w:color w:val="000000"/>
          <w:szCs w:val="32"/>
        </w:rPr>
        <w:t>(2025</w:t>
      </w:r>
      <w:r w:rsidRPr="00D4109A">
        <w:rPr>
          <w:rFonts w:ascii="Times New Roman" w:hAnsi="Times New Roman" w:cs="Times New Roman" w:hint="eastAsia"/>
          <w:color w:val="000000"/>
          <w:szCs w:val="32"/>
        </w:rPr>
        <w:t>版</w:t>
      </w:r>
      <w:r w:rsidRPr="00D4109A">
        <w:rPr>
          <w:rFonts w:ascii="Times New Roman" w:hAnsi="Times New Roman" w:cs="Times New Roman" w:hint="eastAsia"/>
          <w:color w:val="000000"/>
          <w:szCs w:val="32"/>
        </w:rPr>
        <w:t>)</w:t>
      </w:r>
      <w:r w:rsidRPr="00D4109A">
        <w:rPr>
          <w:rFonts w:ascii="Times New Roman" w:hAnsi="Times New Roman" w:cs="Times New Roman" w:hint="eastAsia"/>
          <w:color w:val="000000"/>
          <w:szCs w:val="32"/>
        </w:rPr>
        <w:t>》，本系统应根据业务场景需要采用相应的标准化业务开发框架，并集成满足业务要求的组件组合实现各项业务功能、业务流程，充分满足业务发展的可拓展性需求。</w:t>
      </w:r>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w:t>
      </w:r>
      <w:r w:rsidRPr="00D4109A">
        <w:rPr>
          <w:rFonts w:ascii="Times New Roman" w:hAnsi="Times New Roman" w:cs="Times New Roman" w:hint="eastAsia"/>
          <w:color w:val="000000"/>
          <w:szCs w:val="32"/>
        </w:rPr>
        <w:t>1</w:t>
      </w:r>
      <w:r w:rsidRPr="00D4109A">
        <w:rPr>
          <w:rFonts w:ascii="Times New Roman" w:hAnsi="Times New Roman" w:cs="Times New Roman" w:hint="eastAsia"/>
          <w:color w:val="000000"/>
          <w:szCs w:val="32"/>
        </w:rPr>
        <w:t>）模块化设计</w:t>
      </w:r>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系统应采用模块化设计，将核心功能</w:t>
      </w:r>
      <w:r w:rsidRPr="00D4109A">
        <w:rPr>
          <w:rFonts w:ascii="Times New Roman" w:hAnsi="Times New Roman" w:cs="Times New Roman" w:hint="eastAsia"/>
          <w:color w:val="000000"/>
          <w:szCs w:val="32"/>
        </w:rPr>
        <w:t>(</w:t>
      </w:r>
      <w:r w:rsidRPr="00D4109A">
        <w:rPr>
          <w:rFonts w:ascii="Times New Roman" w:hAnsi="Times New Roman" w:cs="Times New Roman" w:hint="eastAsia"/>
          <w:color w:val="000000"/>
          <w:szCs w:val="32"/>
        </w:rPr>
        <w:t>如数据采集、数据处理、模型运行、可视化等</w:t>
      </w:r>
      <w:r w:rsidRPr="00D4109A">
        <w:rPr>
          <w:rFonts w:ascii="Times New Roman" w:hAnsi="Times New Roman" w:cs="Times New Roman" w:hint="eastAsia"/>
          <w:color w:val="000000"/>
          <w:szCs w:val="32"/>
        </w:rPr>
        <w:t>)</w:t>
      </w:r>
      <w:r w:rsidRPr="00D4109A">
        <w:rPr>
          <w:rFonts w:ascii="Times New Roman" w:hAnsi="Times New Roman" w:cs="Times New Roman" w:hint="eastAsia"/>
          <w:color w:val="000000"/>
          <w:szCs w:val="32"/>
        </w:rPr>
        <w:t>分解为独立的组件。各组件需具备独立的开发、部署、测试和维护能力，以实现高内聚、低耦合的设计要求，便于后续功能的增加和升级。</w:t>
      </w:r>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w:t>
      </w:r>
      <w:r w:rsidRPr="00D4109A">
        <w:rPr>
          <w:rFonts w:ascii="Times New Roman" w:hAnsi="Times New Roman" w:cs="Times New Roman" w:hint="eastAsia"/>
          <w:color w:val="000000"/>
          <w:szCs w:val="32"/>
        </w:rPr>
        <w:t>2</w:t>
      </w:r>
      <w:r w:rsidRPr="00D4109A">
        <w:rPr>
          <w:rFonts w:ascii="Times New Roman" w:hAnsi="Times New Roman" w:cs="Times New Roman" w:hint="eastAsia"/>
          <w:color w:val="000000"/>
          <w:szCs w:val="32"/>
        </w:rPr>
        <w:t>）组件接口标准化</w:t>
      </w:r>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各模块组件之间的接口应遵循统一的标准，实现数据和信息的无缝对接。接口标准化不仅便于不同组件的互操作，还能提高系统的兼容性和可扩展性，使系统在不影响其他组件的情况下快速适应新功能和新数据源的接入。</w:t>
      </w:r>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w:t>
      </w:r>
      <w:r w:rsidRPr="00D4109A">
        <w:rPr>
          <w:rFonts w:ascii="Times New Roman" w:hAnsi="Times New Roman" w:cs="Times New Roman" w:hint="eastAsia"/>
          <w:color w:val="000000"/>
          <w:szCs w:val="32"/>
        </w:rPr>
        <w:t>3</w:t>
      </w:r>
      <w:r w:rsidRPr="00D4109A">
        <w:rPr>
          <w:rFonts w:ascii="Times New Roman" w:hAnsi="Times New Roman" w:cs="Times New Roman" w:hint="eastAsia"/>
          <w:color w:val="000000"/>
          <w:szCs w:val="32"/>
        </w:rPr>
        <w:t>）组件的独立部署与扩展</w:t>
      </w:r>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各组件应支持独立部署，以适应不同硬件环境和资源需求，支持按需扩展。系统应具备灵活的部署方案，能够根据实际业务量实现动态扩展或缩减，提升资源利用效率，确保系统在高负荷情况下的稳定性。</w:t>
      </w:r>
    </w:p>
    <w:p w:rsidR="00FF197C" w:rsidRPr="00D4109A" w:rsidP="00FF197C">
      <w:pPr>
        <w:ind w:firstLine="420" w:firstLineChars="200"/>
        <w:rPr>
          <w:rFonts w:ascii="Times New Roman" w:hAnsi="Times New Roman" w:cs="Times New Roman"/>
          <w:color w:val="000000"/>
          <w:szCs w:val="32"/>
        </w:rPr>
      </w:pPr>
      <w:r w:rsidRPr="00D4109A">
        <w:rPr>
          <w:rFonts w:ascii="Times New Roman" w:hAnsi="Times New Roman" w:cs="Times New Roman" w:hint="eastAsia"/>
          <w:color w:val="000000"/>
          <w:szCs w:val="32"/>
        </w:rPr>
        <w:t>（</w:t>
      </w:r>
      <w:r w:rsidRPr="00D4109A">
        <w:rPr>
          <w:rFonts w:ascii="Times New Roman" w:hAnsi="Times New Roman" w:cs="Times New Roman" w:hint="eastAsia"/>
          <w:color w:val="000000"/>
          <w:szCs w:val="32"/>
        </w:rPr>
        <w:t>4</w:t>
      </w:r>
      <w:r w:rsidRPr="00D4109A">
        <w:rPr>
          <w:rFonts w:ascii="Times New Roman" w:hAnsi="Times New Roman" w:cs="Times New Roman" w:hint="eastAsia"/>
          <w:color w:val="000000"/>
          <w:szCs w:val="32"/>
        </w:rPr>
        <w:t>）容错性与可维护性</w:t>
      </w:r>
    </w:p>
    <w:p w:rsidR="00FF197C" w:rsidP="00FF197C">
      <w:pPr>
        <w:ind w:firstLine="420" w:firstLineChars="200"/>
        <w:rPr>
          <w:rFonts w:ascii="Times New Roman" w:hAnsi="Times New Roman" w:cs="Times New Roman"/>
        </w:rPr>
      </w:pPr>
      <w:r w:rsidRPr="00D4109A">
        <w:rPr>
          <w:rFonts w:ascii="Times New Roman" w:hAnsi="Times New Roman" w:cs="Times New Roman" w:hint="eastAsia"/>
          <w:color w:val="000000"/>
          <w:szCs w:val="32"/>
        </w:rPr>
        <w:t>组件化的设计具备高容错性，确保单一组件出现故障时，不影响整个系统的运行。各组件应支持远程监控，便于快速定位和解决问题，保证系统的连续性和高可用性。</w:t>
      </w:r>
    </w:p>
    <w:p w:rsidR="00FF197C" w:rsidP="00FF197C">
      <w:pPr>
        <w:pStyle w:val="Heading2"/>
        <w:keepNext/>
        <w:keepLines/>
        <w:widowControl w:val="0"/>
        <w:numPr>
          <w:ilvl w:val="1"/>
          <w:numId w:val="4"/>
        </w:numPr>
        <w:spacing w:before="260" w:after="260" w:line="415" w:lineRule="auto"/>
        <w:ind w:left="576" w:hanging="576"/>
        <w:jc w:val="both"/>
      </w:pPr>
      <w:bookmarkStart w:id="87" w:name="_Toc30472"/>
      <w:bookmarkStart w:id="88" w:name="_Toc210822523"/>
      <w:bookmarkStart w:id="89" w:name="_Toc211016618"/>
      <w:bookmarkStart w:id="90" w:name="_Toc14868"/>
      <w:bookmarkStart w:id="91" w:name="_Toc219395412"/>
      <w:r>
        <w:t>可</w:t>
      </w:r>
      <w:r>
        <w:rPr>
          <w:rFonts w:eastAsiaTheme="minorEastAsia"/>
        </w:rPr>
        <w:t>扩展性</w:t>
      </w:r>
      <w:bookmarkEnd w:id="87"/>
      <w:bookmarkEnd w:id="88"/>
      <w:bookmarkEnd w:id="89"/>
      <w:bookmarkEnd w:id="90"/>
      <w:bookmarkEnd w:id="91"/>
    </w:p>
    <w:p w:rsidR="00FF197C" w:rsidP="00FF197C">
      <w:pPr>
        <w:ind w:firstLine="420" w:firstLineChars="200"/>
        <w:rPr>
          <w:rFonts w:ascii="Times New Roman" w:hAnsi="Times New Roman" w:cs="Times New Roman"/>
        </w:rPr>
      </w:pPr>
      <w:r>
        <w:rPr>
          <w:rFonts w:ascii="Times New Roman" w:hAnsi="Times New Roman" w:cs="Times New Roman"/>
          <w:szCs w:val="24"/>
        </w:rPr>
        <w:t>本项目软件应具有较好的可扩展性，</w:t>
      </w:r>
      <w:r>
        <w:rPr>
          <w:rFonts w:ascii="Times New Roman" w:hAnsi="Times New Roman" w:cs="Times New Roman" w:hint="eastAsia"/>
          <w:szCs w:val="24"/>
        </w:rPr>
        <w:t>基于国家突发事件预警信息发布系统“云</w:t>
      </w:r>
      <w:r>
        <w:rPr>
          <w:rFonts w:ascii="Times New Roman" w:hAnsi="Times New Roman" w:cs="Times New Roman" w:hint="eastAsia"/>
          <w:szCs w:val="24"/>
        </w:rPr>
        <w:t>+</w:t>
      </w:r>
      <w:r>
        <w:rPr>
          <w:rFonts w:ascii="Times New Roman" w:hAnsi="Times New Roman" w:cs="Times New Roman" w:hint="eastAsia"/>
          <w:szCs w:val="24"/>
        </w:rPr>
        <w:t>端”</w:t>
      </w:r>
      <w:r>
        <w:rPr>
          <w:rFonts w:ascii="Times New Roman" w:hAnsi="Times New Roman" w:cs="Times New Roman"/>
          <w:szCs w:val="24"/>
        </w:rPr>
        <w:t>框架结构功能化设计，各种运行参数可配置，为进一步的扩充和改造提供方便。本项目工程应该具有快速、简易的部署、安装能力，本项目工程主体部分通过简单修改运行在各种操作系统环境中。</w:t>
      </w:r>
    </w:p>
    <w:p w:rsidR="00FF197C" w:rsidP="00FF197C">
      <w:pPr>
        <w:pStyle w:val="Heading2"/>
        <w:keepNext/>
        <w:keepLines/>
        <w:widowControl w:val="0"/>
        <w:numPr>
          <w:ilvl w:val="1"/>
          <w:numId w:val="4"/>
        </w:numPr>
        <w:spacing w:before="260" w:after="260" w:line="415" w:lineRule="auto"/>
        <w:ind w:left="576" w:hanging="576"/>
        <w:jc w:val="both"/>
      </w:pPr>
      <w:bookmarkStart w:id="92" w:name="_Toc25968"/>
      <w:bookmarkStart w:id="93" w:name="_Toc24518"/>
      <w:bookmarkStart w:id="94" w:name="_Toc210822524"/>
      <w:bookmarkStart w:id="95" w:name="_Toc211016619"/>
      <w:bookmarkStart w:id="96" w:name="_Toc219395413"/>
      <w:r>
        <w:t>易维护性</w:t>
      </w:r>
      <w:bookmarkEnd w:id="92"/>
      <w:bookmarkEnd w:id="93"/>
      <w:bookmarkEnd w:id="94"/>
      <w:bookmarkEnd w:id="95"/>
      <w:bookmarkEnd w:id="96"/>
    </w:p>
    <w:p w:rsidR="00FF197C" w:rsidP="00FF197C">
      <w:pPr>
        <w:ind w:firstLine="420" w:firstLineChars="200"/>
        <w:rPr>
          <w:rFonts w:ascii="Times New Roman" w:hAnsi="Times New Roman" w:cs="Times New Roman"/>
        </w:rPr>
      </w:pPr>
      <w:r>
        <w:rPr>
          <w:rFonts w:ascii="Times New Roman" w:hAnsi="Times New Roman" w:cs="Times New Roman"/>
          <w:szCs w:val="24"/>
        </w:rPr>
        <w:t>项目具有良好的易维护性，保修期满后确保第三方进行全面、无障碍维护。各种技术和维护文档详实齐备，软件设计充分考虑易分析性和易测试性。本项目工程软件本身拥有离线的维护环境，可在不影响正常业务的情况下进行软件的维护工作。</w:t>
      </w:r>
    </w:p>
    <w:p w:rsidR="00FF197C" w:rsidP="00FF197C">
      <w:pPr>
        <w:pStyle w:val="Heading2"/>
        <w:keepNext/>
        <w:keepLines/>
        <w:widowControl w:val="0"/>
        <w:numPr>
          <w:ilvl w:val="1"/>
          <w:numId w:val="4"/>
        </w:numPr>
        <w:spacing w:before="260" w:after="260" w:line="415" w:lineRule="auto"/>
        <w:ind w:left="576" w:hanging="576"/>
        <w:jc w:val="both"/>
      </w:pPr>
      <w:bookmarkStart w:id="97" w:name="_Toc1809"/>
      <w:bookmarkStart w:id="98" w:name="_Toc21341"/>
      <w:bookmarkStart w:id="99" w:name="_Toc211016620"/>
      <w:bookmarkStart w:id="100" w:name="_Toc210822525"/>
      <w:bookmarkStart w:id="101" w:name="_Toc219395414"/>
      <w:r>
        <w:t>易用性</w:t>
      </w:r>
      <w:bookmarkEnd w:id="97"/>
      <w:bookmarkEnd w:id="98"/>
      <w:bookmarkEnd w:id="99"/>
      <w:bookmarkEnd w:id="100"/>
      <w:bookmarkEnd w:id="101"/>
    </w:p>
    <w:p w:rsidR="00FF197C" w:rsidP="00FF197C">
      <w:pPr>
        <w:ind w:firstLine="420" w:firstLineChars="200"/>
        <w:rPr>
          <w:rFonts w:ascii="Times New Roman" w:hAnsi="Times New Roman" w:cs="Times New Roman"/>
        </w:rPr>
      </w:pPr>
      <w:r>
        <w:rPr>
          <w:rFonts w:ascii="Times New Roman" w:hAnsi="Times New Roman" w:cs="Times New Roman"/>
          <w:szCs w:val="24"/>
        </w:rPr>
        <w:t>日常的业务运行中，本项目每天</w:t>
      </w:r>
      <w:r>
        <w:rPr>
          <w:rFonts w:ascii="Times New Roman" w:hAnsi="Times New Roman" w:cs="Times New Roman"/>
          <w:szCs w:val="24"/>
        </w:rPr>
        <w:t>24</w:t>
      </w:r>
      <w:r>
        <w:rPr>
          <w:rFonts w:ascii="Times New Roman" w:hAnsi="Times New Roman" w:cs="Times New Roman"/>
          <w:szCs w:val="24"/>
        </w:rPr>
        <w:t>小时不间断的自动运行，除每日少量的配置参数需要修改之外，所有功能软件无需人工干预。运行操作人员仅在系统报警提示的情况下，进行必要的人工干预和故障维修。所有的故障状态和信息都自动记录和存储，便于事后的故障对策分析。为便于操作人员的人工干预，应提供直观、方便的操作界面。</w:t>
      </w:r>
    </w:p>
    <w:p w:rsidR="00FF197C" w:rsidP="00FF197C">
      <w:pPr>
        <w:pStyle w:val="Heading2"/>
        <w:keepNext/>
        <w:keepLines/>
        <w:widowControl w:val="0"/>
        <w:numPr>
          <w:ilvl w:val="1"/>
          <w:numId w:val="4"/>
        </w:numPr>
        <w:spacing w:before="260" w:after="260" w:line="415" w:lineRule="auto"/>
        <w:ind w:left="576" w:hanging="576"/>
        <w:jc w:val="both"/>
      </w:pPr>
      <w:bookmarkStart w:id="102" w:name="_Toc1528"/>
      <w:bookmarkStart w:id="103" w:name="_Toc210822522"/>
      <w:bookmarkStart w:id="104" w:name="_Toc211016617"/>
      <w:bookmarkStart w:id="105" w:name="_Toc10203"/>
      <w:bookmarkStart w:id="106" w:name="_Toc219395415"/>
      <w:r>
        <w:t>安全性</w:t>
      </w:r>
      <w:bookmarkEnd w:id="102"/>
      <w:bookmarkEnd w:id="103"/>
      <w:bookmarkEnd w:id="104"/>
      <w:bookmarkEnd w:id="105"/>
      <w:bookmarkEnd w:id="106"/>
    </w:p>
    <w:p w:rsidR="00FF197C" w:rsidRPr="00B6409B" w:rsidP="00FF197C">
      <w:pPr>
        <w:ind w:firstLine="420" w:firstLineChars="200"/>
        <w:rPr>
          <w:rFonts w:ascii="Times New Roman" w:hAnsi="Times New Roman" w:cs="Times New Roman"/>
          <w:color w:val="000000"/>
          <w:szCs w:val="32"/>
        </w:rPr>
      </w:pPr>
      <w:bookmarkStart w:id="107" w:name="_Toc181629936"/>
      <w:bookmarkEnd w:id="70"/>
      <w:bookmarkEnd w:id="81"/>
      <w:r w:rsidRPr="00B6409B">
        <w:rPr>
          <w:rFonts w:ascii="Times New Roman" w:hAnsi="Times New Roman" w:cs="Times New Roman" w:hint="eastAsia"/>
          <w:color w:val="000000"/>
          <w:szCs w:val="32"/>
        </w:rPr>
        <w:t>遵照国家突发事件预警信息发布系统等级保护要求建设，</w:t>
      </w:r>
      <w:r>
        <w:rPr>
          <w:rFonts w:ascii="Times New Roman" w:hAnsi="Times New Roman" w:cs="Times New Roman" w:hint="eastAsia"/>
          <w:color w:val="000000"/>
          <w:szCs w:val="32"/>
        </w:rPr>
        <w:t>即</w:t>
      </w:r>
      <w:r w:rsidRPr="00922D50">
        <w:rPr>
          <w:rFonts w:ascii="Times New Roman" w:hAnsi="Times New Roman" w:cs="Times New Roman" w:hint="eastAsia"/>
          <w:color w:val="000000"/>
          <w:szCs w:val="32"/>
        </w:rPr>
        <w:t>按照《信息安全技术—网络安全等级保护基本要求》（</w:t>
      </w:r>
      <w:r w:rsidRPr="00922D50">
        <w:rPr>
          <w:rFonts w:ascii="Times New Roman" w:hAnsi="Times New Roman" w:cs="Times New Roman" w:hint="eastAsia"/>
          <w:color w:val="000000"/>
          <w:szCs w:val="32"/>
        </w:rPr>
        <w:t>GB/T 22239-2019</w:t>
      </w:r>
      <w:r w:rsidRPr="00922D50">
        <w:rPr>
          <w:rFonts w:ascii="Times New Roman" w:hAnsi="Times New Roman" w:cs="Times New Roman" w:hint="eastAsia"/>
          <w:color w:val="000000"/>
          <w:szCs w:val="32"/>
        </w:rPr>
        <w:t>）网络安全等级保护三级要求进行项目建设</w:t>
      </w:r>
      <w:r>
        <w:rPr>
          <w:rFonts w:ascii="Times New Roman" w:hAnsi="Times New Roman" w:cs="Times New Roman" w:hint="eastAsia"/>
          <w:color w:val="000000"/>
          <w:szCs w:val="32"/>
        </w:rPr>
        <w:t>，</w:t>
      </w:r>
      <w:r w:rsidRPr="00B6409B">
        <w:rPr>
          <w:rFonts w:ascii="Times New Roman" w:hAnsi="Times New Roman" w:cs="Times New Roman" w:hint="eastAsia"/>
          <w:color w:val="000000"/>
          <w:szCs w:val="32"/>
        </w:rPr>
        <w:t>并纳入国家突发事件预警信息发布系统等级保护测评</w:t>
      </w:r>
      <w:r>
        <w:rPr>
          <w:rFonts w:ascii="Times New Roman" w:hAnsi="Times New Roman" w:cs="Times New Roman" w:hint="eastAsia"/>
          <w:color w:val="000000"/>
          <w:szCs w:val="32"/>
        </w:rPr>
        <w:t>范围</w:t>
      </w:r>
      <w:r w:rsidRPr="00B6409B">
        <w:rPr>
          <w:rFonts w:ascii="Times New Roman" w:hAnsi="Times New Roman" w:cs="Times New Roman" w:hint="eastAsia"/>
          <w:color w:val="000000"/>
          <w:szCs w:val="32"/>
        </w:rPr>
        <w:t>。需要重点安全保护以下内容：</w:t>
      </w:r>
    </w:p>
    <w:p w:rsidR="00FF197C" w:rsidRPr="00B6409B"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w:t>
      </w:r>
      <w:r w:rsidRPr="00B6409B">
        <w:rPr>
          <w:rFonts w:ascii="Times New Roman" w:hAnsi="Times New Roman" w:cs="Times New Roman" w:hint="eastAsia"/>
          <w:color w:val="000000"/>
          <w:szCs w:val="32"/>
        </w:rPr>
        <w:t>1</w:t>
      </w:r>
      <w:r w:rsidRPr="00B6409B">
        <w:rPr>
          <w:rFonts w:ascii="Times New Roman" w:hAnsi="Times New Roman" w:cs="Times New Roman" w:hint="eastAsia"/>
          <w:color w:val="000000"/>
          <w:szCs w:val="32"/>
        </w:rPr>
        <w:t>）主机系统安全</w:t>
      </w:r>
    </w:p>
    <w:p w:rsidR="00FF197C" w:rsidRPr="00B6409B"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通过定期的操作系统和软件补丁更新，加固服务器系统，规范账号权限管理，确保系统运行在安全的环境中。对服务器进行安全加固，禁用不必要的服务和端口，减少攻击面。</w:t>
      </w:r>
    </w:p>
    <w:p w:rsidR="00FF197C" w:rsidRPr="00B6409B"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w:t>
      </w:r>
      <w:r w:rsidRPr="00B6409B">
        <w:rPr>
          <w:rFonts w:ascii="Times New Roman" w:hAnsi="Times New Roman" w:cs="Times New Roman" w:hint="eastAsia"/>
          <w:color w:val="000000"/>
          <w:szCs w:val="32"/>
        </w:rPr>
        <w:t>2</w:t>
      </w:r>
      <w:r w:rsidRPr="00B6409B">
        <w:rPr>
          <w:rFonts w:ascii="Times New Roman" w:hAnsi="Times New Roman" w:cs="Times New Roman" w:hint="eastAsia"/>
          <w:color w:val="000000"/>
          <w:szCs w:val="32"/>
        </w:rPr>
        <w:t>）系统应用安全</w:t>
      </w:r>
    </w:p>
    <w:p w:rsidR="00FF197C" w:rsidRPr="00B6409B"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开发过程中遵循安全编码规范，进行代码审查和漏洞扫描，确保应用程序没有安全漏洞。</w:t>
      </w:r>
    </w:p>
    <w:p w:rsidR="00FF197C" w:rsidRPr="00B6409B"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w:t>
      </w:r>
      <w:r w:rsidRPr="00B6409B">
        <w:rPr>
          <w:rFonts w:ascii="Times New Roman" w:hAnsi="Times New Roman" w:cs="Times New Roman" w:hint="eastAsia"/>
          <w:color w:val="000000"/>
          <w:szCs w:val="32"/>
        </w:rPr>
        <w:t>3</w:t>
      </w:r>
      <w:r w:rsidRPr="00B6409B">
        <w:rPr>
          <w:rFonts w:ascii="Times New Roman" w:hAnsi="Times New Roman" w:cs="Times New Roman" w:hint="eastAsia"/>
          <w:color w:val="000000"/>
          <w:szCs w:val="32"/>
        </w:rPr>
        <w:t>）数据安全</w:t>
      </w:r>
    </w:p>
    <w:p w:rsidR="00FF197C" w:rsidRPr="00B6409B"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实施访问控制，限制数据访问权限，确保只有授权人员可以访问敏感数据。实施数据分类分级建设，确保气象数据符合分类分级要求。</w:t>
      </w:r>
    </w:p>
    <w:p w:rsidR="00FF197C" w:rsidRPr="00B6409B"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w:t>
      </w:r>
      <w:r w:rsidRPr="00B6409B">
        <w:rPr>
          <w:rFonts w:ascii="Times New Roman" w:hAnsi="Times New Roman" w:cs="Times New Roman" w:hint="eastAsia"/>
          <w:color w:val="000000"/>
          <w:szCs w:val="32"/>
        </w:rPr>
        <w:t>4</w:t>
      </w:r>
      <w:r w:rsidRPr="00B6409B">
        <w:rPr>
          <w:rFonts w:ascii="Times New Roman" w:hAnsi="Times New Roman" w:cs="Times New Roman" w:hint="eastAsia"/>
          <w:color w:val="000000"/>
          <w:szCs w:val="32"/>
        </w:rPr>
        <w:t>）运维安全策略</w:t>
      </w:r>
    </w:p>
    <w:p w:rsidR="00FF197C" w:rsidP="00FF197C">
      <w:pPr>
        <w:ind w:firstLine="420" w:firstLineChars="200"/>
        <w:rPr>
          <w:rFonts w:ascii="Times New Roman" w:hAnsi="Times New Roman" w:cs="Times New Roman"/>
          <w:color w:val="000000"/>
          <w:szCs w:val="32"/>
        </w:rPr>
      </w:pPr>
      <w:r w:rsidRPr="00B6409B">
        <w:rPr>
          <w:rFonts w:ascii="Times New Roman" w:hAnsi="Times New Roman" w:cs="Times New Roman" w:hint="eastAsia"/>
          <w:color w:val="000000"/>
          <w:szCs w:val="32"/>
        </w:rPr>
        <w:t>建立安全审计和日志监控系统，监测系统的运行状态和安全事件，及时发现和应对潜在的安全威胁。制定灾备和应急响应计划，确保系统在遇到异常情况时能够快速恢复正常运行。</w:t>
      </w:r>
    </w:p>
    <w:p w:rsidR="00FF197C" w:rsidP="00FF197C">
      <w:pPr>
        <w:pStyle w:val="Heading1"/>
        <w:keepNext/>
        <w:keepLines/>
        <w:widowControl w:val="0"/>
        <w:numPr>
          <w:numId w:val="4"/>
        </w:numPr>
        <w:tabs>
          <w:tab w:val="left" w:pos="432"/>
        </w:tabs>
        <w:adjustRightInd w:val="0"/>
        <w:spacing w:before="340" w:after="120" w:line="360" w:lineRule="auto"/>
        <w:ind w:left="0" w:firstLine="0"/>
        <w:jc w:val="left"/>
        <w:rPr>
          <w:rFonts w:eastAsia="黑体"/>
        </w:rPr>
      </w:pPr>
      <w:bookmarkStart w:id="108" w:name="_Toc219395416"/>
      <w:bookmarkEnd w:id="107"/>
      <w:r>
        <w:rPr>
          <w:rFonts w:eastAsia="黑体" w:hint="eastAsia"/>
        </w:rPr>
        <w:t>服务清单</w:t>
      </w:r>
      <w:bookmarkEnd w:id="108"/>
    </w:p>
    <w:p w:rsidR="00FF197C" w:rsidRPr="006D452A" w:rsidP="00FF197C">
      <w:pPr>
        <w:pStyle w:val="Heading2"/>
        <w:keepNext/>
        <w:keepLines/>
        <w:widowControl w:val="0"/>
        <w:numPr>
          <w:ilvl w:val="1"/>
          <w:numId w:val="4"/>
        </w:numPr>
        <w:adjustRightInd w:val="0"/>
        <w:spacing w:before="0" w:after="0" w:line="360" w:lineRule="auto"/>
        <w:ind w:left="0" w:firstLine="0"/>
        <w:jc w:val="both"/>
        <w:rPr>
          <w:color w:val="000000" w:themeColor="text1"/>
        </w:rPr>
      </w:pPr>
      <w:bookmarkStart w:id="109" w:name="_Toc219368734"/>
      <w:bookmarkStart w:id="110" w:name="_Toc219395417"/>
      <w:r w:rsidRPr="006D452A">
        <w:rPr>
          <w:rFonts w:hint="eastAsia"/>
          <w:color w:val="000000" w:themeColor="text1"/>
        </w:rPr>
        <w:t>国家预警信息强制提醒触达平台闪信预警信息发布通道组件</w:t>
      </w:r>
      <w:bookmarkEnd w:id="109"/>
      <w:bookmarkEnd w:id="110"/>
    </w:p>
    <w:p w:rsidR="00FF197C" w:rsidRPr="006D452A" w:rsidP="00FF197C">
      <w:pPr>
        <w:ind w:firstLine="420" w:firstLineChars="200"/>
        <w:rPr>
          <w:rFonts w:ascii="仿宋_GB2312"/>
          <w:color w:val="000000"/>
          <w:szCs w:val="32"/>
        </w:rPr>
      </w:pPr>
      <w:r w:rsidRPr="006D452A">
        <w:rPr>
          <w:rFonts w:ascii="仿宋_GB2312" w:hint="eastAsia"/>
          <w:color w:val="000000"/>
          <w:szCs w:val="32"/>
        </w:rPr>
        <w:t>对标移动、联通、电信运营商要求，将预警信息转换成闪信标准格式，以便于发布和服务。提供移动、联通、电信运营商闪信端口配置与管理，提供底层网关数据发送能力。基于移动、联通、电信运营商系统对接要求，支持多种鉴权方式，如</w:t>
      </w:r>
      <w:r w:rsidRPr="006D452A">
        <w:rPr>
          <w:rFonts w:ascii="仿宋_GB2312" w:hint="eastAsia"/>
          <w:color w:val="000000"/>
          <w:szCs w:val="32"/>
        </w:rPr>
        <w:t>API</w:t>
      </w:r>
      <w:r w:rsidRPr="006D452A">
        <w:rPr>
          <w:rFonts w:ascii="仿宋_GB2312" w:hint="eastAsia"/>
          <w:color w:val="000000"/>
          <w:szCs w:val="32"/>
        </w:rPr>
        <w:t>密钥、</w:t>
      </w:r>
      <w:r w:rsidRPr="006D452A">
        <w:rPr>
          <w:rFonts w:ascii="仿宋_GB2312" w:hint="eastAsia"/>
          <w:color w:val="000000"/>
          <w:szCs w:val="32"/>
        </w:rPr>
        <w:t>OAuth 2.0</w:t>
      </w:r>
      <w:r w:rsidRPr="006D452A">
        <w:rPr>
          <w:rFonts w:ascii="仿宋_GB2312" w:hint="eastAsia"/>
          <w:color w:val="000000"/>
          <w:szCs w:val="32"/>
        </w:rPr>
        <w:t>、数字证书等认证；对用户进行鉴权，以提高系统的可扩展性和安全性。</w:t>
      </w:r>
    </w:p>
    <w:p w:rsidR="00FF197C" w:rsidRPr="006D452A" w:rsidP="00FF197C">
      <w:pPr>
        <w:ind w:firstLine="420" w:firstLineChars="200"/>
        <w:rPr>
          <w:rFonts w:ascii="仿宋_GB2312"/>
          <w:color w:val="000000"/>
          <w:szCs w:val="32"/>
        </w:rPr>
      </w:pPr>
      <w:r w:rsidRPr="006D452A">
        <w:rPr>
          <w:rFonts w:ascii="仿宋_GB2312" w:hint="eastAsia"/>
          <w:color w:val="000000"/>
          <w:szCs w:val="32"/>
        </w:rPr>
        <w:t>国家预警信息强制提醒触达平台闪信预警信息发布通道组件包含移动闪信预警信息转码发布模块、移动闪信端口及网关配置模块、移动闪信鉴权认证算法模块、联通闪信预警信息转码发布模块、联通闪信端口及网关配置模块、联通闪信鉴权认证算法模块、电信闪信预警信息转码发布模块、电信闪信端口及网关配置模块、电信闪信鉴权认证算法模块。</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1" w:name="_Toc219368735"/>
      <w:r w:rsidRPr="006D452A">
        <w:rPr>
          <w:rFonts w:hAnsi="Times New Roman" w:eastAsiaTheme="minorEastAsia" w:hint="eastAsia"/>
        </w:rPr>
        <w:t>移动闪信预警信息转码发布模块</w:t>
      </w:r>
      <w:bookmarkEnd w:id="111"/>
    </w:p>
    <w:p w:rsidR="00FF197C" w:rsidRPr="006D452A" w:rsidP="00FF197C">
      <w:pPr>
        <w:ind w:firstLine="420" w:firstLineChars="200"/>
      </w:pPr>
      <w:r w:rsidRPr="006D452A">
        <w:rPr>
          <w:rFonts w:hint="eastAsia"/>
        </w:rPr>
        <w:t>对标移动运营商要求，将预警信息转换成闪信标准格式，以便于发布和服务，具备模板化配置、数据注入封装、数据校验等功能。在系统内预置针对中国移动技术规范定制的数据模板（如特定的</w:t>
      </w:r>
      <w:r w:rsidRPr="006D452A">
        <w:rPr>
          <w:rFonts w:hint="eastAsia"/>
        </w:rPr>
        <w:t>XML Schema</w:t>
      </w:r>
      <w:r w:rsidRPr="006D452A">
        <w:rPr>
          <w:rFonts w:hint="eastAsia"/>
        </w:rPr>
        <w:t>或</w:t>
      </w:r>
      <w:r w:rsidRPr="006D452A">
        <w:rPr>
          <w:rFonts w:hint="eastAsia"/>
        </w:rPr>
        <w:t>JSON</w:t>
      </w:r>
      <w:r w:rsidRPr="006D452A">
        <w:rPr>
          <w:rFonts w:hint="eastAsia"/>
        </w:rPr>
        <w:t>结构）。该模板定义了字段映射、字符编码（如</w:t>
      </w:r>
      <w:r w:rsidRPr="006D452A">
        <w:rPr>
          <w:rFonts w:hint="eastAsia"/>
        </w:rPr>
        <w:t>UTF-8</w:t>
      </w:r>
      <w:r w:rsidRPr="006D452A">
        <w:rPr>
          <w:rFonts w:hint="eastAsia"/>
        </w:rPr>
        <w:t>）、签名位置、内容长度限制等规则。模块接收到内部标准预警信息要素后，解析器会提取关键字段（如内容、签名、号码），并注入到预置的移动模板中，生成一个完全符合移动网关要求的请求数据包。在发送前，对生成的数据包进行结构和内容的有效性校验，确保符合移动侧规范，从源头减少错误。。</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2" w:name="_Toc219368736"/>
      <w:r w:rsidRPr="006D452A">
        <w:rPr>
          <w:rFonts w:hAnsi="Times New Roman" w:eastAsiaTheme="minorEastAsia" w:hint="eastAsia"/>
        </w:rPr>
        <w:t>移动闪信端口及网关配置模块</w:t>
      </w:r>
      <w:bookmarkEnd w:id="112"/>
    </w:p>
    <w:p w:rsidR="00FF197C" w:rsidRPr="006D452A" w:rsidP="00FF197C">
      <w:pPr>
        <w:ind w:firstLine="420" w:firstLineChars="200"/>
      </w:pPr>
      <w:r w:rsidRPr="006D452A">
        <w:rPr>
          <w:rFonts w:hint="eastAsia"/>
        </w:rPr>
        <w:t>提供移动运营商闪信端口配置与管理，提供底层网关数据发送能力，提供可视化配置、连接池管理、心跳保活机制等能力。提供管理界面，允许管理员对移动网关的</w:t>
      </w:r>
      <w:r w:rsidRPr="006D452A">
        <w:rPr>
          <w:rFonts w:hint="eastAsia"/>
        </w:rPr>
        <w:t xml:space="preserve"> IP</w:t>
      </w:r>
      <w:r w:rsidRPr="006D452A">
        <w:rPr>
          <w:rFonts w:hint="eastAsia"/>
        </w:rPr>
        <w:t>地址、端口号、接入码（</w:t>
      </w:r>
      <w:r w:rsidRPr="006D452A">
        <w:rPr>
          <w:rFonts w:hint="eastAsia"/>
        </w:rPr>
        <w:t>Src_Id</w:t>
      </w:r>
      <w:r w:rsidRPr="006D452A">
        <w:rPr>
          <w:rFonts w:hint="eastAsia"/>
        </w:rPr>
        <w:t>）、流量限额、超时时间等参数进行灵活配置与持久化。利用</w:t>
      </w:r>
      <w:r w:rsidRPr="006D452A">
        <w:rPr>
          <w:rFonts w:hint="eastAsia"/>
        </w:rPr>
        <w:t xml:space="preserve"> Apache Commons Pool </w:t>
      </w:r>
      <w:r w:rsidRPr="006D452A">
        <w:rPr>
          <w:rFonts w:hint="eastAsia"/>
        </w:rPr>
        <w:t>或</w:t>
      </w:r>
      <w:r w:rsidRPr="006D452A">
        <w:rPr>
          <w:rFonts w:hint="eastAsia"/>
        </w:rPr>
        <w:t xml:space="preserve"> HikariCP </w:t>
      </w:r>
      <w:r w:rsidRPr="006D452A">
        <w:rPr>
          <w:rFonts w:hint="eastAsia"/>
        </w:rPr>
        <w:t>原理，构建与移动网关的长连接池，避免频繁建立</w:t>
      </w:r>
      <w:r w:rsidRPr="006D452A">
        <w:rPr>
          <w:rFonts w:hint="eastAsia"/>
        </w:rPr>
        <w:t>/</w:t>
      </w:r>
      <w:r w:rsidRPr="006D452A">
        <w:rPr>
          <w:rFonts w:hint="eastAsia"/>
        </w:rPr>
        <w:t>断开</w:t>
      </w:r>
      <w:r w:rsidRPr="006D452A">
        <w:rPr>
          <w:rFonts w:hint="eastAsia"/>
        </w:rPr>
        <w:t>TCP</w:t>
      </w:r>
      <w:r w:rsidRPr="006D452A">
        <w:rPr>
          <w:rFonts w:hint="eastAsia"/>
        </w:rPr>
        <w:t>连</w:t>
      </w:r>
      <w:r w:rsidRPr="006D452A">
        <w:rPr>
          <w:rFonts w:hint="eastAsia"/>
        </w:rPr>
        <w:t>接带来的开销，保障高并发下的性能。部署独立的心跳线程，定期向移动网关发送轻量级探测报文，实时监控通道的可用性与延迟，为“连接畅通”提供技术保障。</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3" w:name="_Toc219368737"/>
      <w:r w:rsidRPr="006D452A">
        <w:rPr>
          <w:rFonts w:hAnsi="Times New Roman" w:eastAsiaTheme="minorEastAsia" w:hint="eastAsia"/>
        </w:rPr>
        <w:t>移动闪信鉴权认证算法模块</w:t>
      </w:r>
      <w:bookmarkEnd w:id="113"/>
    </w:p>
    <w:p w:rsidR="00FF197C" w:rsidRPr="006D452A" w:rsidP="00FF197C">
      <w:pPr>
        <w:ind w:firstLine="420" w:firstLineChars="200"/>
      </w:pPr>
      <w:r w:rsidRPr="006D452A">
        <w:rPr>
          <w:rFonts w:hint="eastAsia"/>
        </w:rPr>
        <w:t>基于移动运营商系统对接要求，支持多种鉴权方式，如</w:t>
      </w:r>
      <w:r w:rsidRPr="006D452A">
        <w:rPr>
          <w:rFonts w:hint="eastAsia"/>
        </w:rPr>
        <w:t>API</w:t>
      </w:r>
      <w:r w:rsidRPr="006D452A">
        <w:rPr>
          <w:rFonts w:hint="eastAsia"/>
        </w:rPr>
        <w:t>密钥、</w:t>
      </w:r>
      <w:r w:rsidRPr="006D452A">
        <w:rPr>
          <w:rFonts w:hint="eastAsia"/>
        </w:rPr>
        <w:t>OAuth 2.0</w:t>
      </w:r>
      <w:r w:rsidRPr="006D452A">
        <w:rPr>
          <w:rFonts w:hint="eastAsia"/>
        </w:rPr>
        <w:t>、数字证书等认证；对用户进行鉴权，以提高系统的可扩展性和安全性，具备统一鉴权网关、动态密钥注入、请求签名等能力。在请求发出前，由本模块作为“安检站”进行拦截处理。根据配置，自动从安全存储中获取</w:t>
      </w:r>
      <w:r w:rsidRPr="006D452A">
        <w:rPr>
          <w:rFonts w:hint="eastAsia"/>
        </w:rPr>
        <w:t xml:space="preserve"> API Key</w:t>
      </w:r>
      <w:r w:rsidRPr="006D452A">
        <w:rPr>
          <w:rFonts w:hint="eastAsia"/>
        </w:rPr>
        <w:t>，并将其添加到</w:t>
      </w:r>
      <w:r w:rsidRPr="006D452A">
        <w:rPr>
          <w:rFonts w:hint="eastAsia"/>
        </w:rPr>
        <w:t>HTTP</w:t>
      </w:r>
      <w:r w:rsidRPr="006D452A">
        <w:rPr>
          <w:rFonts w:hint="eastAsia"/>
        </w:rPr>
        <w:t>请求的</w:t>
      </w:r>
      <w:r w:rsidRPr="006D452A">
        <w:rPr>
          <w:rFonts w:hint="eastAsia"/>
        </w:rPr>
        <w:t>Header</w:t>
      </w:r>
      <w:r w:rsidRPr="006D452A">
        <w:rPr>
          <w:rFonts w:hint="eastAsia"/>
        </w:rPr>
        <w:t>中。对于需要参数签名的场景，模块会自动按照移动提供的算法（如对特定参数进行哈希加密）生成数字签名，并将其作为必要参数附加到请求体中，防止请求被篡改。</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4" w:name="_Toc219368738"/>
      <w:r w:rsidRPr="006D452A">
        <w:rPr>
          <w:rFonts w:hAnsi="Times New Roman" w:eastAsiaTheme="minorEastAsia" w:hint="eastAsia"/>
        </w:rPr>
        <w:t>联通闪信预警信息转码发布模块</w:t>
      </w:r>
      <w:bookmarkEnd w:id="114"/>
    </w:p>
    <w:p w:rsidR="00FF197C" w:rsidRPr="006D452A" w:rsidP="00FF197C">
      <w:pPr>
        <w:ind w:firstLine="420" w:firstLineChars="200"/>
      </w:pPr>
      <w:r w:rsidRPr="006D452A">
        <w:rPr>
          <w:rFonts w:hint="eastAsia"/>
        </w:rPr>
        <w:t>对标联通运营商要求，将预警信息转换成闪信标准格式，以便于发布和服务，具备模板化配置、数据注入封装、数据校验等功能。在系统内预置针对联通技术规范定制的数据模板（如特定的</w:t>
      </w:r>
      <w:r w:rsidRPr="006D452A">
        <w:rPr>
          <w:rFonts w:hint="eastAsia"/>
        </w:rPr>
        <w:t>XML Schema</w:t>
      </w:r>
      <w:r w:rsidRPr="006D452A">
        <w:rPr>
          <w:rFonts w:hint="eastAsia"/>
        </w:rPr>
        <w:t>或</w:t>
      </w:r>
      <w:r w:rsidRPr="006D452A">
        <w:rPr>
          <w:rFonts w:hint="eastAsia"/>
        </w:rPr>
        <w:t>JSON</w:t>
      </w:r>
      <w:r w:rsidRPr="006D452A">
        <w:rPr>
          <w:rFonts w:hint="eastAsia"/>
        </w:rPr>
        <w:t>结构）。该模板定义了字段映射、字符编码（如</w:t>
      </w:r>
      <w:r w:rsidRPr="006D452A">
        <w:rPr>
          <w:rFonts w:hint="eastAsia"/>
        </w:rPr>
        <w:t>UTF-8</w:t>
      </w:r>
      <w:r w:rsidRPr="006D452A">
        <w:rPr>
          <w:rFonts w:hint="eastAsia"/>
        </w:rPr>
        <w:t>）、签名位置、内容长度限制等规则。模块接收到内部标准预警信息要素后，解析器会提取关键字段（如内容、签名、号码），并注入到预置的联通模板中，生成一个完全符合联通网关要求的请求数据包。在发送前，对生成的数据包进行结构和内容的有效性校验，确保符合联通侧规范，从源头减少错误。</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5" w:name="_Toc219368739"/>
      <w:r w:rsidRPr="006D452A">
        <w:rPr>
          <w:rFonts w:hAnsi="Times New Roman" w:eastAsiaTheme="minorEastAsia" w:hint="eastAsia"/>
        </w:rPr>
        <w:t>联通闪信端口及网关配置模块</w:t>
      </w:r>
      <w:bookmarkEnd w:id="115"/>
    </w:p>
    <w:p w:rsidR="00FF197C" w:rsidRPr="006D452A" w:rsidP="00FF197C">
      <w:pPr>
        <w:ind w:firstLine="640"/>
      </w:pPr>
      <w:r w:rsidRPr="006D452A">
        <w:rPr>
          <w:rFonts w:hint="eastAsia"/>
        </w:rPr>
        <w:t>提供联通运营商闪信端口配置与管理，提供底层网关数据发送能力，提供可视化配置、连接池管理、心跳保活机制等能力。提供管理界面，允许管理员对联通网关的</w:t>
      </w:r>
      <w:r w:rsidRPr="006D452A">
        <w:rPr>
          <w:rFonts w:hint="eastAsia"/>
        </w:rPr>
        <w:t xml:space="preserve"> IP</w:t>
      </w:r>
      <w:r w:rsidRPr="006D452A">
        <w:rPr>
          <w:rFonts w:hint="eastAsia"/>
        </w:rPr>
        <w:t>地址、端口号、接入码（</w:t>
      </w:r>
      <w:r w:rsidRPr="006D452A">
        <w:rPr>
          <w:rFonts w:hint="eastAsia"/>
        </w:rPr>
        <w:t>Src_Id</w:t>
      </w:r>
      <w:r w:rsidRPr="006D452A">
        <w:rPr>
          <w:rFonts w:hint="eastAsia"/>
        </w:rPr>
        <w:t>）、流量限额、超时时间等参数进行灵活配置与持久化。利用</w:t>
      </w:r>
      <w:r w:rsidRPr="006D452A">
        <w:rPr>
          <w:rFonts w:hint="eastAsia"/>
        </w:rPr>
        <w:t xml:space="preserve"> Apache Commons Pool </w:t>
      </w:r>
      <w:r w:rsidRPr="006D452A">
        <w:rPr>
          <w:rFonts w:hint="eastAsia"/>
        </w:rPr>
        <w:t>或</w:t>
      </w:r>
      <w:r w:rsidRPr="006D452A">
        <w:rPr>
          <w:rFonts w:hint="eastAsia"/>
        </w:rPr>
        <w:t xml:space="preserve"> HikariCP </w:t>
      </w:r>
      <w:r w:rsidRPr="006D452A">
        <w:rPr>
          <w:rFonts w:hint="eastAsia"/>
        </w:rPr>
        <w:t>原理，构建与联通网关的长连接池，避免频繁建立</w:t>
      </w:r>
      <w:r w:rsidRPr="006D452A">
        <w:rPr>
          <w:rFonts w:hint="eastAsia"/>
        </w:rPr>
        <w:t>/</w:t>
      </w:r>
      <w:r w:rsidRPr="006D452A">
        <w:rPr>
          <w:rFonts w:hint="eastAsia"/>
        </w:rPr>
        <w:t>断开</w:t>
      </w:r>
      <w:r w:rsidRPr="006D452A">
        <w:rPr>
          <w:rFonts w:hint="eastAsia"/>
        </w:rPr>
        <w:t>TCP</w:t>
      </w:r>
      <w:r w:rsidRPr="006D452A">
        <w:rPr>
          <w:rFonts w:hint="eastAsia"/>
        </w:rPr>
        <w:t>连接带来的开销，保障高并发下的性能。部署独立的心跳线程，定期向联通网关发送轻量级探测报文，实时监控通道的可用性与延迟，为“连接畅通”提供技术保障。</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6" w:name="_Toc219368740"/>
      <w:r w:rsidRPr="006D452A">
        <w:rPr>
          <w:rFonts w:hAnsi="Times New Roman" w:eastAsiaTheme="minorEastAsia" w:hint="eastAsia"/>
        </w:rPr>
        <w:t>联通闪信鉴权认证算法模块</w:t>
      </w:r>
      <w:bookmarkEnd w:id="116"/>
    </w:p>
    <w:p w:rsidR="00FF197C" w:rsidRPr="006D452A" w:rsidP="00FF197C">
      <w:pPr>
        <w:ind w:firstLine="640"/>
      </w:pPr>
      <w:r w:rsidRPr="006D452A">
        <w:rPr>
          <w:rFonts w:hint="eastAsia"/>
        </w:rPr>
        <w:t>基于联通运营商系统对接要求，支持多种鉴权方式，如</w:t>
      </w:r>
      <w:r w:rsidRPr="006D452A">
        <w:rPr>
          <w:rFonts w:hint="eastAsia"/>
        </w:rPr>
        <w:t>API</w:t>
      </w:r>
      <w:r w:rsidRPr="006D452A">
        <w:rPr>
          <w:rFonts w:hint="eastAsia"/>
        </w:rPr>
        <w:t>密钥、</w:t>
      </w:r>
      <w:r w:rsidRPr="006D452A">
        <w:rPr>
          <w:rFonts w:hint="eastAsia"/>
        </w:rPr>
        <w:t>OAuth 2.0</w:t>
      </w:r>
      <w:r w:rsidRPr="006D452A">
        <w:rPr>
          <w:rFonts w:hint="eastAsia"/>
        </w:rPr>
        <w:t>、数字证书等认证；对用户进行鉴权，以提高系统的可扩展性和安全性，具备统一鉴权网关、动态密钥注入、请求签名等能力。在请求发出前，由本模块作为“安检站”进行拦截处理。根据配置，自动从安全存储中获取</w:t>
      </w:r>
      <w:r w:rsidRPr="006D452A">
        <w:rPr>
          <w:rFonts w:hint="eastAsia"/>
        </w:rPr>
        <w:t xml:space="preserve"> API Key</w:t>
      </w:r>
      <w:r w:rsidRPr="006D452A">
        <w:rPr>
          <w:rFonts w:hint="eastAsia"/>
        </w:rPr>
        <w:t>，并将其添加到</w:t>
      </w:r>
      <w:r w:rsidRPr="006D452A">
        <w:rPr>
          <w:rFonts w:hint="eastAsia"/>
        </w:rPr>
        <w:t>HTTP</w:t>
      </w:r>
      <w:r w:rsidRPr="006D452A">
        <w:rPr>
          <w:rFonts w:hint="eastAsia"/>
        </w:rPr>
        <w:t>请求的</w:t>
      </w:r>
      <w:r w:rsidRPr="006D452A">
        <w:rPr>
          <w:rFonts w:hint="eastAsia"/>
        </w:rPr>
        <w:t>Header</w:t>
      </w:r>
      <w:r w:rsidRPr="006D452A">
        <w:rPr>
          <w:rFonts w:hint="eastAsia"/>
        </w:rPr>
        <w:t>中。对于需要参数签名的场景，模块会自动按照联通提供的算法（如对特定参数进行哈希加密）生成数字签名，并将其作为必要参数附加到请求体中，防止请求被篡改。</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7" w:name="_Toc219368741"/>
      <w:r w:rsidRPr="006D452A">
        <w:rPr>
          <w:rFonts w:hAnsi="Times New Roman" w:eastAsiaTheme="minorEastAsia" w:hint="eastAsia"/>
        </w:rPr>
        <w:t>电信闪信预警信息转码发布模块</w:t>
      </w:r>
      <w:bookmarkEnd w:id="117"/>
    </w:p>
    <w:p w:rsidR="00FF197C" w:rsidRPr="006D452A" w:rsidP="00FF197C">
      <w:pPr>
        <w:ind w:firstLine="640"/>
      </w:pPr>
      <w:r w:rsidRPr="006D452A">
        <w:rPr>
          <w:rFonts w:hint="eastAsia"/>
        </w:rPr>
        <w:t>对标电信运营商要求，将预警信息转换成闪信标准格式，以便于发布和服务，具备模板化配置、数据注入封装、数据校验等功能。在系统内预置针对电信技术规范定制的数据模板（如特定的</w:t>
      </w:r>
      <w:r w:rsidRPr="006D452A">
        <w:rPr>
          <w:rFonts w:hint="eastAsia"/>
        </w:rPr>
        <w:t>XML Schema</w:t>
      </w:r>
      <w:r w:rsidRPr="006D452A">
        <w:rPr>
          <w:rFonts w:hint="eastAsia"/>
        </w:rPr>
        <w:t>或</w:t>
      </w:r>
      <w:r w:rsidRPr="006D452A">
        <w:rPr>
          <w:rFonts w:hint="eastAsia"/>
        </w:rPr>
        <w:t>JSON</w:t>
      </w:r>
      <w:r w:rsidRPr="006D452A">
        <w:rPr>
          <w:rFonts w:hint="eastAsia"/>
        </w:rPr>
        <w:t>结构）。该模板定义了字段映射、字符编码（如</w:t>
      </w:r>
      <w:r w:rsidRPr="006D452A">
        <w:rPr>
          <w:rFonts w:hint="eastAsia"/>
        </w:rPr>
        <w:t>UTF-8</w:t>
      </w:r>
      <w:r w:rsidRPr="006D452A">
        <w:rPr>
          <w:rFonts w:hint="eastAsia"/>
        </w:rPr>
        <w:t>）、签名位置、内容长度限制等规则。模块接收到内部标准预警信息要素后，解析器会提取关键字段（如内容、签名、号码），并注入到预置的电信模板中，生成一个完全符合电信网关要求的请求数据包。在发送前，对生成的数据包进行结构和内容的有效性校验，确保符合带电信侧规范，从源头减少错误。</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8" w:name="_Toc219368742"/>
      <w:r w:rsidRPr="006D452A">
        <w:rPr>
          <w:rFonts w:hAnsi="Times New Roman" w:eastAsiaTheme="minorEastAsia" w:hint="eastAsia"/>
        </w:rPr>
        <w:t>电信闪信端口及网关配置模块</w:t>
      </w:r>
      <w:bookmarkEnd w:id="118"/>
    </w:p>
    <w:p w:rsidR="00FF197C" w:rsidRPr="006D452A" w:rsidP="00FF197C">
      <w:pPr>
        <w:ind w:firstLine="640"/>
      </w:pPr>
      <w:r w:rsidRPr="006D452A">
        <w:rPr>
          <w:rFonts w:hint="eastAsia"/>
        </w:rPr>
        <w:t>提供电信运营商闪信端口配置与管理，提供底层网关数据发送能力，提供可视化配置、</w:t>
      </w:r>
      <w:r w:rsidRPr="006D452A">
        <w:rPr>
          <w:rFonts w:hint="eastAsia"/>
        </w:rPr>
        <w:t>连接池管理、心跳保活机制等能力。提供管理界面，允许管理员对电信网关的</w:t>
      </w:r>
      <w:r w:rsidRPr="006D452A">
        <w:rPr>
          <w:rFonts w:hint="eastAsia"/>
        </w:rPr>
        <w:t xml:space="preserve"> IP</w:t>
      </w:r>
      <w:r w:rsidRPr="006D452A">
        <w:rPr>
          <w:rFonts w:hint="eastAsia"/>
        </w:rPr>
        <w:t>地址、端口号、接入码（</w:t>
      </w:r>
      <w:r w:rsidRPr="006D452A">
        <w:rPr>
          <w:rFonts w:hint="eastAsia"/>
        </w:rPr>
        <w:t>Src_Id</w:t>
      </w:r>
      <w:r w:rsidRPr="006D452A">
        <w:rPr>
          <w:rFonts w:hint="eastAsia"/>
        </w:rPr>
        <w:t>）、流量限额、超时时间等参数进行灵活配置与持久化。利用</w:t>
      </w:r>
      <w:r w:rsidRPr="006D452A">
        <w:rPr>
          <w:rFonts w:hint="eastAsia"/>
        </w:rPr>
        <w:t xml:space="preserve"> Apache Commons Pool </w:t>
      </w:r>
      <w:r w:rsidRPr="006D452A">
        <w:rPr>
          <w:rFonts w:hint="eastAsia"/>
        </w:rPr>
        <w:t>或</w:t>
      </w:r>
      <w:r w:rsidRPr="006D452A">
        <w:rPr>
          <w:rFonts w:hint="eastAsia"/>
        </w:rPr>
        <w:t xml:space="preserve"> HikariCP </w:t>
      </w:r>
      <w:r w:rsidRPr="006D452A">
        <w:rPr>
          <w:rFonts w:hint="eastAsia"/>
        </w:rPr>
        <w:t>原理，构建与电信网关的长连接池，避免频繁建立</w:t>
      </w:r>
      <w:r w:rsidRPr="006D452A">
        <w:rPr>
          <w:rFonts w:hint="eastAsia"/>
        </w:rPr>
        <w:t>/</w:t>
      </w:r>
      <w:r w:rsidRPr="006D452A">
        <w:rPr>
          <w:rFonts w:hint="eastAsia"/>
        </w:rPr>
        <w:t>断开</w:t>
      </w:r>
      <w:r w:rsidRPr="006D452A">
        <w:rPr>
          <w:rFonts w:hint="eastAsia"/>
        </w:rPr>
        <w:t>TCP</w:t>
      </w:r>
      <w:r w:rsidRPr="006D452A">
        <w:rPr>
          <w:rFonts w:hint="eastAsia"/>
        </w:rPr>
        <w:t>连接带来的开销，保障高并发下的性能。部署独立的心跳线程，定期向电信网关发送轻量级探测报文，实时监控通道的可用性与延迟，为“连接畅通”提供技术保障。</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19" w:name="_Toc219368743"/>
      <w:r w:rsidRPr="006D452A">
        <w:rPr>
          <w:rFonts w:hAnsi="Times New Roman" w:eastAsiaTheme="minorEastAsia" w:hint="eastAsia"/>
        </w:rPr>
        <w:t>电信闪信鉴权认证算法模块</w:t>
      </w:r>
      <w:bookmarkEnd w:id="119"/>
    </w:p>
    <w:p w:rsidR="00FF197C" w:rsidRPr="006D452A" w:rsidP="00FF197C">
      <w:pPr>
        <w:ind w:firstLine="640"/>
      </w:pPr>
      <w:r w:rsidRPr="006D452A">
        <w:rPr>
          <w:rFonts w:hint="eastAsia"/>
        </w:rPr>
        <w:t>基于电信运营商系统对接要求，支持多种鉴权方式，如</w:t>
      </w:r>
      <w:r w:rsidRPr="006D452A">
        <w:rPr>
          <w:rFonts w:hint="eastAsia"/>
        </w:rPr>
        <w:t>API</w:t>
      </w:r>
      <w:r w:rsidRPr="006D452A">
        <w:rPr>
          <w:rFonts w:hint="eastAsia"/>
        </w:rPr>
        <w:t>密钥、</w:t>
      </w:r>
      <w:r w:rsidRPr="006D452A">
        <w:rPr>
          <w:rFonts w:hint="eastAsia"/>
        </w:rPr>
        <w:t>OAuth 2.0</w:t>
      </w:r>
      <w:r w:rsidRPr="006D452A">
        <w:rPr>
          <w:rFonts w:hint="eastAsia"/>
        </w:rPr>
        <w:t>、数字证书等认证；对用户进行鉴权，以提高系统的可扩展性和安全性，具备统一鉴权网关、动态密钥注入、请求签名等能力。在请求发出前，由本模块作为“安检站”进行拦截处理。根据配置，自动从安全存储中获取</w:t>
      </w:r>
      <w:r w:rsidRPr="006D452A">
        <w:rPr>
          <w:rFonts w:hint="eastAsia"/>
        </w:rPr>
        <w:t xml:space="preserve"> API Key</w:t>
      </w:r>
      <w:r w:rsidRPr="006D452A">
        <w:rPr>
          <w:rFonts w:hint="eastAsia"/>
        </w:rPr>
        <w:t>，并将其添加到</w:t>
      </w:r>
      <w:r w:rsidRPr="006D452A">
        <w:rPr>
          <w:rFonts w:hint="eastAsia"/>
        </w:rPr>
        <w:t>HTTP</w:t>
      </w:r>
      <w:r w:rsidRPr="006D452A">
        <w:rPr>
          <w:rFonts w:hint="eastAsia"/>
        </w:rPr>
        <w:t>请求的</w:t>
      </w:r>
      <w:r w:rsidRPr="006D452A">
        <w:rPr>
          <w:rFonts w:hint="eastAsia"/>
        </w:rPr>
        <w:t>Header</w:t>
      </w:r>
      <w:r w:rsidRPr="006D452A">
        <w:rPr>
          <w:rFonts w:hint="eastAsia"/>
        </w:rPr>
        <w:t>中。对于需要参数签名的场景，模块会自动按照电信提供的算法（如对特定参数进行哈希加密）生成数字签名，并将其作为必要参数附加到请求体中，防止请求被篡改。</w:t>
      </w:r>
    </w:p>
    <w:p w:rsidR="00FF197C" w:rsidRPr="006D452A" w:rsidP="00FF197C">
      <w:pPr>
        <w:pStyle w:val="Heading2"/>
        <w:keepNext/>
        <w:keepLines/>
        <w:widowControl w:val="0"/>
        <w:numPr>
          <w:ilvl w:val="1"/>
          <w:numId w:val="4"/>
        </w:numPr>
        <w:adjustRightInd w:val="0"/>
        <w:spacing w:before="0" w:after="0" w:line="360" w:lineRule="auto"/>
        <w:ind w:left="0" w:firstLine="0"/>
        <w:jc w:val="both"/>
        <w:rPr>
          <w:color w:val="000000" w:themeColor="text1"/>
        </w:rPr>
      </w:pPr>
      <w:bookmarkStart w:id="120" w:name="_Toc219368744"/>
      <w:bookmarkStart w:id="121" w:name="_Toc219395418"/>
      <w:r w:rsidRPr="006D452A">
        <w:rPr>
          <w:rFonts w:hint="eastAsia"/>
          <w:color w:val="000000" w:themeColor="text1"/>
        </w:rPr>
        <w:t>国家预警信息强制提醒触达平台闪信预警信息发布及管理组件</w:t>
      </w:r>
      <w:bookmarkEnd w:id="120"/>
      <w:bookmarkEnd w:id="121"/>
    </w:p>
    <w:p w:rsidR="00FF197C" w:rsidRPr="006D452A" w:rsidP="00FF197C">
      <w:pPr>
        <w:ind w:firstLine="420" w:firstLineChars="200"/>
        <w:rPr>
          <w:rFonts w:ascii="仿宋_GB2312"/>
          <w:color w:val="000000"/>
          <w:szCs w:val="32"/>
        </w:rPr>
      </w:pPr>
      <w:r w:rsidRPr="006D452A">
        <w:rPr>
          <w:rFonts w:ascii="仿宋_GB2312" w:hint="eastAsia"/>
          <w:color w:val="000000"/>
          <w:szCs w:val="32"/>
        </w:rPr>
        <w:t>通过界面人工输入基于闪信要发布的预警内容，使用消息中间件、</w:t>
      </w:r>
      <w:r w:rsidRPr="006D452A">
        <w:rPr>
          <w:rFonts w:ascii="仿宋_GB2312" w:hint="eastAsia"/>
          <w:color w:val="000000"/>
          <w:szCs w:val="32"/>
        </w:rPr>
        <w:t>FTP</w:t>
      </w:r>
      <w:r w:rsidRPr="006D452A">
        <w:rPr>
          <w:rFonts w:ascii="仿宋_GB2312" w:hint="eastAsia"/>
          <w:color w:val="000000"/>
          <w:szCs w:val="32"/>
        </w:rPr>
        <w:t>、</w:t>
      </w:r>
      <w:r w:rsidRPr="006D452A">
        <w:rPr>
          <w:rFonts w:ascii="仿宋_GB2312" w:hint="eastAsia"/>
          <w:color w:val="000000"/>
          <w:szCs w:val="32"/>
        </w:rPr>
        <w:t>HTTP</w:t>
      </w:r>
      <w:r w:rsidRPr="006D452A">
        <w:rPr>
          <w:rFonts w:ascii="仿宋_GB2312" w:hint="eastAsia"/>
          <w:color w:val="000000"/>
          <w:szCs w:val="32"/>
        </w:rPr>
        <w:t>接口等方式接入内外部的预警信息，与国家预警信息强制提醒触达平台闪信预警信息发布通道组件联通。管理闪信模板审核、闪信发布任务审核、通道配置等。</w:t>
      </w:r>
    </w:p>
    <w:p w:rsidR="00FF197C" w:rsidRPr="006D452A" w:rsidP="00FF197C">
      <w:pPr>
        <w:ind w:firstLine="420" w:firstLineChars="200"/>
        <w:rPr>
          <w:rFonts w:ascii="Times New Roman" w:hAnsi="Times New Roman" w:cs="Times New Roman"/>
        </w:rPr>
      </w:pPr>
      <w:r w:rsidRPr="006D452A">
        <w:rPr>
          <w:rFonts w:hint="eastAsia"/>
          <w:szCs w:val="24"/>
        </w:rPr>
        <w:t>国家预警信息强制提醒触达平台闪信预警信息发布及管理组件</w:t>
      </w:r>
      <w:r w:rsidRPr="006D452A">
        <w:rPr>
          <w:rFonts w:hint="eastAsia"/>
        </w:rPr>
        <w:t>包含</w:t>
      </w:r>
      <w:r w:rsidRPr="006D452A">
        <w:rPr>
          <w:rFonts w:hint="eastAsia"/>
          <w:color w:val="000000"/>
        </w:rPr>
        <w:t>综合预警信息录入模块、预警信息采集接口模块、闪信预警信息模板制作模块、闪信预警信息发布任务审核模块、闪信预警信息发布任务管理模块、闪信预警信息发布模板审核模块、闪信预警信息发布模板管理模块、闪信发布通道配置管理模块</w:t>
      </w:r>
      <w:r w:rsidRPr="006D452A">
        <w:rPr>
          <w:rFonts w:hint="eastAsia"/>
        </w:rPr>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2" w:name="_Toc219368745"/>
      <w:r w:rsidRPr="006D452A">
        <w:rPr>
          <w:rFonts w:hAnsi="Times New Roman" w:eastAsiaTheme="minorEastAsia" w:hint="eastAsia"/>
        </w:rPr>
        <w:t>综合预警信息录入模块</w:t>
      </w:r>
      <w:bookmarkEnd w:id="122"/>
    </w:p>
    <w:p w:rsidR="00FF197C" w:rsidRPr="006D452A" w:rsidP="00FF197C">
      <w:pPr>
        <w:ind w:firstLine="420" w:firstLineChars="200"/>
      </w:pPr>
      <w:r w:rsidRPr="006D452A">
        <w:rPr>
          <w:rFonts w:hint="eastAsia"/>
        </w:rPr>
        <w:t>可以通过界面人工输入基于闪信要发布的预警内容，可以输入关键字、时间、空间等选择自动匹配与模板匹配。内容包括但不限于预警、风险预警、内容提示等。表现形式仅限于文字。支持选择通讯录用户或手工输入号码进行消息群发。支持前端文本编辑、智能匹配、手机号码校验等能力。。</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3" w:name="_Toc219368746"/>
      <w:r w:rsidRPr="006D452A">
        <w:rPr>
          <w:rFonts w:hAnsi="Times New Roman" w:eastAsiaTheme="minorEastAsia" w:hint="eastAsia"/>
        </w:rPr>
        <w:t>预警信息采集接口模块</w:t>
      </w:r>
      <w:bookmarkEnd w:id="123"/>
    </w:p>
    <w:p w:rsidR="00FF197C" w:rsidRPr="006D452A" w:rsidP="00FF197C">
      <w:pPr>
        <w:ind w:firstLine="420" w:firstLineChars="200"/>
      </w:pPr>
      <w:r w:rsidRPr="006D452A">
        <w:rPr>
          <w:rFonts w:hint="eastAsia"/>
        </w:rPr>
        <w:t>负责对预警发布信息做前期准备工作，使用消息中间件、</w:t>
      </w:r>
      <w:r w:rsidRPr="006D452A">
        <w:rPr>
          <w:rFonts w:hint="eastAsia"/>
        </w:rPr>
        <w:t>FTP</w:t>
      </w:r>
      <w:r w:rsidRPr="006D452A">
        <w:rPr>
          <w:rFonts w:hint="eastAsia"/>
        </w:rPr>
        <w:t>、</w:t>
      </w:r>
      <w:r w:rsidRPr="006D452A">
        <w:rPr>
          <w:rFonts w:hint="eastAsia"/>
        </w:rPr>
        <w:t>HTTP</w:t>
      </w:r>
      <w:r w:rsidRPr="006D452A">
        <w:rPr>
          <w:rFonts w:hint="eastAsia"/>
        </w:rPr>
        <w:t>接口等方式接入内外部的预警信息，包括预警信息内容、预警信息发布单位、预警信息级别、预警信息类型等。具备多协议适配、数据标准化解析处理等能力。</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4" w:name="_Toc219368747"/>
      <w:r w:rsidRPr="006D452A">
        <w:rPr>
          <w:rFonts w:hAnsi="Times New Roman" w:eastAsiaTheme="minorEastAsia" w:hint="eastAsia"/>
        </w:rPr>
        <w:t>闪信预警信息模板制作模块</w:t>
      </w:r>
      <w:bookmarkEnd w:id="124"/>
    </w:p>
    <w:p w:rsidR="00FF197C" w:rsidRPr="006D452A" w:rsidP="00FF197C">
      <w:pPr>
        <w:ind w:firstLine="420" w:firstLineChars="200"/>
      </w:pPr>
      <w:r w:rsidRPr="006D452A">
        <w:rPr>
          <w:rFonts w:hint="eastAsia"/>
        </w:rPr>
        <w:t>闪信模板创建、闪信模板管理、机构默认模板管理。闪信模版创建支持模版名称的输入、运营商选择、发布单位签名、模版类型选择（全变量模板、多变量模板、无变量模板）。支持智能匹配填充，支持多租户隔离，支持模板的启用</w:t>
      </w:r>
      <w:r w:rsidRPr="006D452A">
        <w:rPr>
          <w:rFonts w:hint="eastAsia"/>
        </w:rPr>
        <w:t>/</w:t>
      </w:r>
      <w:r w:rsidRPr="006D452A">
        <w:rPr>
          <w:rFonts w:hint="eastAsia"/>
        </w:rPr>
        <w:t>停用状态由独立配置表管理，确保模板资源的权限可控与高效复用。</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5" w:name="_Toc219368748"/>
      <w:r w:rsidRPr="006D452A">
        <w:rPr>
          <w:rFonts w:hAnsi="Times New Roman" w:eastAsiaTheme="minorEastAsia" w:hint="eastAsia"/>
        </w:rPr>
        <w:t>闪信预警信息发布任务审核模块</w:t>
      </w:r>
      <w:bookmarkEnd w:id="125"/>
    </w:p>
    <w:p w:rsidR="00FF197C" w:rsidRPr="006D452A" w:rsidP="00FF197C">
      <w:pPr>
        <w:ind w:firstLine="420" w:firstLineChars="200"/>
      </w:pPr>
      <w:r w:rsidRPr="006D452A">
        <w:t>为</w:t>
      </w:r>
      <w:r w:rsidRPr="006D452A">
        <w:rPr>
          <w:rFonts w:hint="eastAsia"/>
        </w:rPr>
        <w:t>预警闪信发布提供标准化审核流程，支持多级审批机制。审核人员可查看任务详情并提交审批意见，系统自动记录完整操作日志。通过严格的流程控制确保每一条预警信息的准确性与发布合规性，有效防范发布风险。支持前后端分离，支持所有操作日志审计，确保审核过程的严谨性与可追溯性</w:t>
      </w:r>
      <w:r w:rsidRPr="006D452A">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6" w:name="_Toc219368749"/>
      <w:r w:rsidRPr="006D452A">
        <w:rPr>
          <w:rFonts w:hAnsi="Times New Roman" w:eastAsiaTheme="minorEastAsia" w:hint="eastAsia"/>
        </w:rPr>
        <w:t>闪信预警信息发布任务管理模块</w:t>
      </w:r>
      <w:bookmarkEnd w:id="126"/>
    </w:p>
    <w:p w:rsidR="00FF197C" w:rsidRPr="006D452A" w:rsidP="00FF197C">
      <w:pPr>
        <w:ind w:firstLine="420" w:firstLineChars="200"/>
      </w:pPr>
      <w:r w:rsidRPr="006D452A">
        <w:t>实</w:t>
      </w:r>
      <w:r w:rsidRPr="006D452A">
        <w:rPr>
          <w:rFonts w:hint="eastAsia"/>
        </w:rPr>
        <w:t>现预警闪信发布任务的全生命周期管理，提供多维查询与实时状态监控功能。可追踪任务执行进度、查看发布详情及统计报告，完整记录成功与失败数据，为发布效果评估和问题排查提供全面数据支撑。具备信息异步回调管理、数据聚合、发布全链路追踪与效果分析的能力</w:t>
      </w:r>
      <w:r w:rsidRPr="006D452A">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7" w:name="_Toc219368750"/>
      <w:r w:rsidRPr="006D452A">
        <w:rPr>
          <w:rFonts w:hAnsi="Times New Roman" w:eastAsiaTheme="minorEastAsia" w:hint="eastAsia"/>
        </w:rPr>
        <w:t>闪信预警信息发布模板审核模块</w:t>
      </w:r>
      <w:bookmarkEnd w:id="127"/>
    </w:p>
    <w:p w:rsidR="00FF197C" w:rsidRPr="006D452A" w:rsidP="00FF197C">
      <w:pPr>
        <w:ind w:firstLine="420" w:firstLineChars="200"/>
      </w:pPr>
      <w:r w:rsidRPr="006D452A">
        <w:t>负</w:t>
      </w:r>
      <w:r w:rsidRPr="006D452A">
        <w:rPr>
          <w:rFonts w:hint="eastAsia"/>
        </w:rPr>
        <w:t>责模板内容的审核管理，建立规范的审核流程。审核人员可详细审查模板内容、变量设置及适用场景，确保模板符合发布标准。所有审核操作均留痕保存，保障模板质量与合规性，审核意见与模板版本绑定，确保每次模板的变更都经过严格的质量控制与安全审查</w:t>
      </w:r>
      <w:r w:rsidRPr="006D452A">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8" w:name="_Toc219368751"/>
      <w:r w:rsidRPr="006D452A">
        <w:rPr>
          <w:rFonts w:hAnsi="Times New Roman" w:eastAsiaTheme="minorEastAsia" w:hint="eastAsia"/>
        </w:rPr>
        <w:t>闪信预警信息发布模板管理模块</w:t>
      </w:r>
      <w:bookmarkEnd w:id="128"/>
    </w:p>
    <w:p w:rsidR="00FF197C" w:rsidRPr="006D452A" w:rsidP="00FF197C">
      <w:pPr>
        <w:ind w:firstLine="420" w:firstLineChars="200"/>
      </w:pPr>
      <w:r w:rsidRPr="006D452A">
        <w:t>提</w:t>
      </w:r>
      <w:r w:rsidRPr="006D452A">
        <w:rPr>
          <w:rFonts w:hint="eastAsia"/>
        </w:rPr>
        <w:t>供模板的统一管理平台，支持模板的分类、检索、启用与停用等操作。可设置机构专属模板并指定默认模板，实现快速调用与标准化发布，显著提升业务效率与发布规范性。启用</w:t>
      </w:r>
      <w:r w:rsidRPr="006D452A">
        <w:rPr>
          <w:rFonts w:hint="eastAsia"/>
        </w:rPr>
        <w:t>/</w:t>
      </w:r>
      <w:r w:rsidRPr="006D452A">
        <w:rPr>
          <w:rFonts w:hint="eastAsia"/>
        </w:rPr>
        <w:t>停用模板操作具备幂等性，通过发布</w:t>
      </w:r>
      <w:r w:rsidRPr="006D452A">
        <w:rPr>
          <w:rFonts w:hint="eastAsia"/>
        </w:rPr>
        <w:t>/</w:t>
      </w:r>
      <w:r w:rsidRPr="006D452A">
        <w:rPr>
          <w:rFonts w:hint="eastAsia"/>
        </w:rPr>
        <w:t>订阅模式通知相关服务刷新缓存，保证数据一致性</w:t>
      </w:r>
      <w:r w:rsidRPr="006D452A">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29" w:name="_Toc219368752"/>
      <w:r w:rsidRPr="006D452A">
        <w:rPr>
          <w:rFonts w:hAnsi="Times New Roman" w:eastAsiaTheme="minorEastAsia" w:hint="eastAsia"/>
        </w:rPr>
        <w:t>闪信发布通道配置管理模块</w:t>
      </w:r>
      <w:bookmarkEnd w:id="129"/>
    </w:p>
    <w:p w:rsidR="00FF197C" w:rsidRPr="006D452A" w:rsidP="00FF197C">
      <w:pPr>
        <w:ind w:firstLine="420" w:firstLineChars="200"/>
      </w:pPr>
      <w:r w:rsidRPr="006D452A">
        <w:t>负</w:t>
      </w:r>
      <w:r w:rsidRPr="006D452A">
        <w:rPr>
          <w:rFonts w:hint="eastAsia"/>
        </w:rPr>
        <w:t>责运营商通道的集中配置管理，支持渠道签名、默认模板、优先级等参数设置。通过智能路由与故障切换机制，确保发布服务的高可用性，是保障平台发布能力的核心组件。支持自定义健康检查器自定义健康检查、告警等，配置信息在变更后通过应用事件机制发布，由各业务服务监听并动态更新其内存中的配置</w:t>
      </w:r>
      <w:r w:rsidRPr="006D452A">
        <w:t>。</w:t>
      </w:r>
    </w:p>
    <w:p w:rsidR="00FF197C" w:rsidRPr="006D452A" w:rsidP="00FF197C">
      <w:pPr>
        <w:pStyle w:val="Heading2"/>
        <w:keepNext/>
        <w:keepLines/>
        <w:widowControl w:val="0"/>
        <w:numPr>
          <w:ilvl w:val="1"/>
          <w:numId w:val="4"/>
        </w:numPr>
        <w:adjustRightInd w:val="0"/>
        <w:spacing w:before="0" w:after="0" w:line="360" w:lineRule="auto"/>
        <w:ind w:left="0" w:firstLine="0"/>
        <w:jc w:val="both"/>
        <w:rPr>
          <w:color w:val="000000" w:themeColor="text1"/>
        </w:rPr>
      </w:pPr>
      <w:bookmarkStart w:id="130" w:name="_Toc219368753"/>
      <w:bookmarkStart w:id="131" w:name="_Toc219395419"/>
      <w:r w:rsidRPr="006D452A">
        <w:rPr>
          <w:rFonts w:hint="eastAsia"/>
          <w:color w:val="000000" w:themeColor="text1"/>
        </w:rPr>
        <w:t>国家预警信息强制提醒触达平台共享服务接口组件</w:t>
      </w:r>
      <w:bookmarkEnd w:id="130"/>
      <w:bookmarkEnd w:id="131"/>
    </w:p>
    <w:p w:rsidR="00FF197C" w:rsidRPr="006D452A" w:rsidP="00FF197C">
      <w:pPr>
        <w:ind w:firstLine="420" w:firstLineChars="200"/>
        <w:rPr>
          <w:rFonts w:ascii="Times New Roman" w:hAnsi="Times New Roman" w:cs="Times New Roman"/>
        </w:rPr>
      </w:pPr>
      <w:r w:rsidRPr="006D452A">
        <w:rPr>
          <w:rFonts w:ascii="仿宋_GB2312" w:hint="eastAsia"/>
          <w:color w:val="000000"/>
          <w:szCs w:val="32"/>
        </w:rPr>
        <w:t>面向省级突发事件预警信息发布系统或预警信息一体化制作发布平台提供接口调用服务等，实现预警信息发送给国家预警信息强制提醒触达平台进行预警信息发布，具有通知国家预警信息强制提醒触达平台有错误预警并进行下线处理的能力，提供闪信发布反馈回执接口供省级平台</w:t>
      </w:r>
      <w:r w:rsidRPr="006D452A">
        <w:rPr>
          <w:rFonts w:ascii="仿宋_GB2312" w:hint="eastAsia"/>
          <w:color w:val="000000"/>
          <w:szCs w:val="32"/>
        </w:rPr>
        <w:t>/</w:t>
      </w:r>
      <w:r w:rsidRPr="006D452A">
        <w:rPr>
          <w:rFonts w:ascii="仿宋_GB2312" w:hint="eastAsia"/>
          <w:color w:val="000000"/>
          <w:szCs w:val="32"/>
        </w:rPr>
        <w:t>系统使用。</w:t>
      </w:r>
    </w:p>
    <w:p w:rsidR="00FF197C" w:rsidRPr="006D452A" w:rsidP="00FF197C">
      <w:pPr>
        <w:ind w:firstLine="420" w:firstLineChars="200"/>
        <w:rPr>
          <w:rFonts w:ascii="Times New Roman" w:hAnsi="Times New Roman" w:cs="Times New Roman"/>
        </w:rPr>
      </w:pPr>
      <w:r w:rsidRPr="006D452A">
        <w:rPr>
          <w:rFonts w:hint="eastAsia"/>
          <w:szCs w:val="24"/>
        </w:rPr>
        <w:t>国家预警信息强制提醒触达平台共享服务接口组件包含心跳接口模块</w:t>
      </w:r>
      <w:r w:rsidRPr="006D452A">
        <w:rPr>
          <w:rFonts w:hint="eastAsia"/>
          <w:color w:val="000000"/>
        </w:rPr>
        <w:t>、</w:t>
      </w:r>
      <w:r w:rsidRPr="006D452A">
        <w:rPr>
          <w:rFonts w:hint="eastAsia"/>
          <w:szCs w:val="24"/>
        </w:rPr>
        <w:t>闪信预警信息发布接口模块</w:t>
      </w:r>
      <w:r w:rsidRPr="006D452A">
        <w:rPr>
          <w:rFonts w:hint="eastAsia"/>
          <w:color w:val="000000"/>
        </w:rPr>
        <w:t>、</w:t>
      </w:r>
      <w:r w:rsidRPr="006D452A">
        <w:rPr>
          <w:rFonts w:hint="eastAsia"/>
          <w:szCs w:val="24"/>
        </w:rPr>
        <w:t>错误预警下线接口模块</w:t>
      </w:r>
      <w:r w:rsidRPr="006D452A">
        <w:rPr>
          <w:rFonts w:hint="eastAsia"/>
          <w:color w:val="000000"/>
        </w:rPr>
        <w:t>、</w:t>
      </w:r>
      <w:r w:rsidRPr="006D452A">
        <w:rPr>
          <w:rFonts w:hint="eastAsia"/>
          <w:szCs w:val="24"/>
        </w:rPr>
        <w:t>预警信息详细发送数据反馈接口模块</w:t>
      </w:r>
      <w:r w:rsidRPr="006D452A">
        <w:rPr>
          <w:rFonts w:hint="eastAsia"/>
          <w:color w:val="000000"/>
        </w:rPr>
        <w:t>、</w:t>
      </w:r>
      <w:r w:rsidRPr="006D452A">
        <w:rPr>
          <w:rFonts w:hint="eastAsia"/>
          <w:szCs w:val="24"/>
        </w:rPr>
        <w:t>预警信息发送结果查询接口模块</w:t>
      </w:r>
      <w:r w:rsidRPr="006D452A">
        <w:rPr>
          <w:rFonts w:hint="eastAsia"/>
          <w:color w:val="000000"/>
        </w:rPr>
        <w:t>、</w:t>
      </w:r>
      <w:r w:rsidRPr="006D452A">
        <w:rPr>
          <w:rFonts w:hint="eastAsia"/>
          <w:szCs w:val="24"/>
        </w:rPr>
        <w:t>闪信模板查询接口模块</w:t>
      </w:r>
      <w:r w:rsidRPr="006D452A">
        <w:rPr>
          <w:rFonts w:hint="eastAsia"/>
          <w:color w:val="000000"/>
        </w:rPr>
        <w:t>、</w:t>
      </w:r>
      <w:r w:rsidRPr="006D452A">
        <w:rPr>
          <w:rFonts w:hint="eastAsia"/>
          <w:szCs w:val="24"/>
        </w:rPr>
        <w:t>闪信服务情况备案接口模块</w:t>
      </w:r>
      <w:r w:rsidRPr="006D452A">
        <w:rPr>
          <w:rFonts w:hint="eastAsia"/>
        </w:rPr>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32" w:name="_Toc219368754"/>
      <w:bookmarkStart w:id="133" w:name="OLE_LINK7"/>
      <w:r w:rsidRPr="006D452A">
        <w:rPr>
          <w:rFonts w:hAnsi="Times New Roman" w:eastAsiaTheme="minorEastAsia" w:hint="eastAsia"/>
        </w:rPr>
        <w:t>心跳接口模块</w:t>
      </w:r>
      <w:bookmarkEnd w:id="132"/>
    </w:p>
    <w:p w:rsidR="00FF197C" w:rsidRPr="006D452A" w:rsidP="00FF197C">
      <w:pPr>
        <w:ind w:firstLine="420" w:firstLineChars="200"/>
        <w:rPr>
          <w:rFonts w:ascii="仿宋_GB2312"/>
          <w:color w:val="000000"/>
          <w:szCs w:val="32"/>
        </w:rPr>
      </w:pPr>
      <w:r w:rsidRPr="006D452A">
        <w:rPr>
          <w:rFonts w:ascii="仿宋_GB2312"/>
          <w:color w:val="000000"/>
          <w:szCs w:val="32"/>
        </w:rPr>
        <w:t>提供基础的链路连通性检测服务，省级系统可通过定时调用此接口验证与国家平台之间的网络通道状态。接口返回包含当前时间戳与系统状态的健康报告，确保持续通信能力。该机制为后续业务接口调用提供基础通信保障，支撑平台服务的高可用性。</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34" w:name="_Toc219368755"/>
      <w:r w:rsidRPr="006D452A">
        <w:rPr>
          <w:rFonts w:hAnsi="Times New Roman" w:eastAsiaTheme="minorEastAsia" w:hint="eastAsia"/>
        </w:rPr>
        <w:t>闪信预警信息发布接口模块</w:t>
      </w:r>
      <w:bookmarkEnd w:id="134"/>
    </w:p>
    <w:p w:rsidR="00FF197C" w:rsidRPr="006D452A" w:rsidP="00FF197C">
      <w:pPr>
        <w:ind w:firstLine="420" w:firstLineChars="200"/>
        <w:rPr>
          <w:rFonts w:ascii="仿宋_GB2312"/>
          <w:color w:val="000000"/>
          <w:szCs w:val="32"/>
        </w:rPr>
      </w:pPr>
      <w:r w:rsidRPr="006D452A">
        <w:rPr>
          <w:rFonts w:ascii="仿宋_GB2312"/>
          <w:color w:val="000000"/>
          <w:szCs w:val="32"/>
        </w:rPr>
        <w:t>为省级平台提供核心的预警信息</w:t>
      </w:r>
      <w:r w:rsidRPr="006D452A">
        <w:rPr>
          <w:rFonts w:ascii="仿宋_GB2312" w:hint="eastAsia"/>
          <w:color w:val="000000"/>
          <w:szCs w:val="32"/>
        </w:rPr>
        <w:t>上传及闪信发布</w:t>
      </w:r>
      <w:r w:rsidRPr="006D452A">
        <w:rPr>
          <w:rFonts w:ascii="仿宋_GB2312"/>
          <w:color w:val="000000"/>
          <w:szCs w:val="32"/>
        </w:rPr>
        <w:t>通道，支持结构化数据的接收与初步校验。接口接收预警内容、目标范围、发布级别等关键参数，并立即返回任务受理回执。通过异步处理机制保障高并发下的快速响应，是实现预警信息快速上传与任务分发的关键入口。</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35" w:name="_Toc219368756"/>
      <w:r w:rsidRPr="006D452A">
        <w:rPr>
          <w:rFonts w:hAnsi="Times New Roman" w:eastAsiaTheme="minorEastAsia" w:hint="eastAsia"/>
        </w:rPr>
        <w:t>错误预警下线接口模块</w:t>
      </w:r>
      <w:bookmarkEnd w:id="135"/>
    </w:p>
    <w:p w:rsidR="00FF197C" w:rsidRPr="006D452A" w:rsidP="00FF197C">
      <w:pPr>
        <w:ind w:firstLine="420" w:firstLineChars="200"/>
        <w:rPr>
          <w:rFonts w:ascii="仿宋_GB2312"/>
          <w:color w:val="000000"/>
          <w:szCs w:val="32"/>
        </w:rPr>
      </w:pPr>
      <w:r w:rsidRPr="006D452A">
        <w:rPr>
          <w:rFonts w:ascii="仿宋_GB2312"/>
          <w:color w:val="000000"/>
          <w:szCs w:val="32"/>
        </w:rPr>
        <w:t>提供预警信息的紧急撤回通道。当省级平台发现已发布的预警信息存在错误时，可通过此接口凭原始任务</w:t>
      </w:r>
      <w:r w:rsidRPr="006D452A">
        <w:rPr>
          <w:rFonts w:ascii="仿宋_GB2312"/>
          <w:color w:val="000000"/>
          <w:szCs w:val="32"/>
        </w:rPr>
        <w:t>ID</w:t>
      </w:r>
      <w:r w:rsidRPr="006D452A">
        <w:rPr>
          <w:rFonts w:ascii="仿宋_GB2312"/>
          <w:color w:val="000000"/>
          <w:szCs w:val="32"/>
        </w:rPr>
        <w:t>发起下线请求。系统将实时终止该任务的后续发送并对已发送内容进行失效处理，最大限度降低错误信息造成的影响。</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36" w:name="_Toc219368757"/>
      <w:r w:rsidRPr="006D452A">
        <w:rPr>
          <w:rFonts w:hAnsi="Times New Roman" w:eastAsiaTheme="minorEastAsia" w:hint="eastAsia"/>
        </w:rPr>
        <w:t>预警信息详细发送数据反馈接口模块</w:t>
      </w:r>
      <w:bookmarkEnd w:id="136"/>
    </w:p>
    <w:p w:rsidR="00FF197C" w:rsidRPr="006D452A" w:rsidP="00FF197C">
      <w:pPr>
        <w:ind w:firstLine="420" w:firstLineChars="200"/>
        <w:rPr>
          <w:rFonts w:ascii="仿宋_GB2312"/>
          <w:color w:val="000000"/>
          <w:szCs w:val="32"/>
        </w:rPr>
      </w:pPr>
      <w:r w:rsidRPr="006D452A">
        <w:rPr>
          <w:rFonts w:ascii="仿宋_GB2312"/>
          <w:color w:val="000000"/>
          <w:szCs w:val="32"/>
        </w:rPr>
        <w:t>负责向省级平台主动推送完整的发送结果报告。当国家级平台完成闪信发送后，通过此接口将包含每个目标号码最终触达状态（成功</w:t>
      </w:r>
      <w:r w:rsidRPr="006D452A">
        <w:rPr>
          <w:rFonts w:ascii="仿宋_GB2312"/>
          <w:color w:val="000000"/>
          <w:szCs w:val="32"/>
        </w:rPr>
        <w:t>/</w:t>
      </w:r>
      <w:r w:rsidRPr="006D452A">
        <w:rPr>
          <w:rFonts w:ascii="仿宋_GB2312"/>
          <w:color w:val="000000"/>
          <w:szCs w:val="32"/>
        </w:rPr>
        <w:t>失败）、运营商回执代码等详细信息及时返回给省级系统，为其提供精准的发布效果评估依据。</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37" w:name="_Toc219368758"/>
      <w:r w:rsidRPr="006D452A">
        <w:rPr>
          <w:rFonts w:hAnsi="Times New Roman" w:eastAsiaTheme="minorEastAsia" w:hint="eastAsia"/>
        </w:rPr>
        <w:t>预警信息发送结果查询接口模块</w:t>
      </w:r>
      <w:bookmarkEnd w:id="137"/>
    </w:p>
    <w:p w:rsidR="00FF197C" w:rsidRPr="006D452A" w:rsidP="00FF197C">
      <w:pPr>
        <w:ind w:firstLine="420" w:firstLineChars="200"/>
        <w:rPr>
          <w:rFonts w:ascii="仿宋_GB2312"/>
          <w:color w:val="000000"/>
          <w:szCs w:val="32"/>
        </w:rPr>
      </w:pPr>
      <w:r w:rsidRPr="006D452A">
        <w:rPr>
          <w:rFonts w:ascii="仿宋_GB2312"/>
          <w:color w:val="000000"/>
          <w:szCs w:val="32"/>
        </w:rPr>
        <w:t>为省级平台提供发送状态的主动查询服务。省级系统可通过提交任务</w:t>
      </w:r>
      <w:r w:rsidRPr="006D452A">
        <w:rPr>
          <w:rFonts w:ascii="仿宋_GB2312"/>
          <w:color w:val="000000"/>
          <w:szCs w:val="32"/>
        </w:rPr>
        <w:t>ID</w:t>
      </w:r>
      <w:r w:rsidRPr="006D452A">
        <w:rPr>
          <w:rFonts w:ascii="仿宋_GB2312"/>
          <w:color w:val="000000"/>
          <w:szCs w:val="32"/>
        </w:rPr>
        <w:t>，获取该任务的当前处理状态或最终的详细统计报告。此接口与反馈接口共同构成发布结果获取的双重保障机制，确保状态可追溯。</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38" w:name="_Toc219368759"/>
      <w:r w:rsidRPr="006D452A">
        <w:rPr>
          <w:rFonts w:hAnsi="Times New Roman" w:eastAsiaTheme="minorEastAsia" w:hint="eastAsia"/>
        </w:rPr>
        <w:t>闪信模板查询接口模块</w:t>
      </w:r>
      <w:bookmarkEnd w:id="138"/>
    </w:p>
    <w:p w:rsidR="00FF197C" w:rsidRPr="006D452A" w:rsidP="00FF197C">
      <w:pPr>
        <w:ind w:firstLine="420" w:firstLineChars="200"/>
        <w:rPr>
          <w:rFonts w:ascii="仿宋_GB2312"/>
          <w:color w:val="000000"/>
          <w:szCs w:val="32"/>
        </w:rPr>
      </w:pPr>
      <w:r w:rsidRPr="006D452A">
        <w:rPr>
          <w:rFonts w:ascii="仿宋_GB2312"/>
          <w:color w:val="000000"/>
          <w:szCs w:val="32"/>
        </w:rPr>
        <w:t>提供经国家级平台审核通过的标准化闪信模板查询服务。省级平台可获取模板</w:t>
      </w:r>
      <w:r w:rsidRPr="006D452A">
        <w:rPr>
          <w:rFonts w:ascii="仿宋_GB2312"/>
          <w:color w:val="000000"/>
          <w:szCs w:val="32"/>
        </w:rPr>
        <w:t>ID</w:t>
      </w:r>
      <w:r w:rsidRPr="006D452A">
        <w:rPr>
          <w:rFonts w:ascii="仿宋_GB2312"/>
          <w:color w:val="000000"/>
          <w:szCs w:val="32"/>
        </w:rPr>
        <w:t>、内容结构、变量定义等关键信息，确保其在编制预警信息时与国家级规范保持一致，从源头上保障发布内容的规范性与准确性。</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39" w:name="_Toc219368760"/>
      <w:r w:rsidRPr="006D452A">
        <w:rPr>
          <w:rFonts w:hAnsi="Times New Roman" w:eastAsiaTheme="minorEastAsia" w:hint="eastAsia"/>
        </w:rPr>
        <w:t>闪信服务情况备案接口模块</w:t>
      </w:r>
      <w:bookmarkEnd w:id="139"/>
    </w:p>
    <w:p w:rsidR="00FF197C" w:rsidRPr="006D452A" w:rsidP="00FF197C">
      <w:pPr>
        <w:ind w:firstLine="420" w:firstLineChars="200"/>
        <w:rPr>
          <w:rFonts w:ascii="仿宋_GB2312"/>
          <w:color w:val="000000"/>
          <w:szCs w:val="32"/>
        </w:rPr>
      </w:pPr>
      <w:r w:rsidRPr="006D452A">
        <w:rPr>
          <w:rFonts w:ascii="仿宋_GB2312"/>
          <w:color w:val="000000"/>
          <w:szCs w:val="32"/>
        </w:rPr>
        <w:t>接收省级平台提交的闪信发布业务备案信息，包括发布对象、内容摘要、责任单位及预警分类等元数据。这些备案数据为国家级平台进行全国范围内的发布情况统计、服务质量分析和业务监管提供重要的数据支撑。</w:t>
      </w:r>
    </w:p>
    <w:p w:rsidR="00FF197C" w:rsidRPr="006D452A" w:rsidP="00FF197C">
      <w:pPr>
        <w:pStyle w:val="Heading2"/>
        <w:keepNext/>
        <w:keepLines/>
        <w:widowControl w:val="0"/>
        <w:numPr>
          <w:ilvl w:val="1"/>
          <w:numId w:val="4"/>
        </w:numPr>
        <w:adjustRightInd w:val="0"/>
        <w:spacing w:before="0" w:after="0" w:line="360" w:lineRule="auto"/>
        <w:ind w:left="0" w:firstLine="0"/>
        <w:jc w:val="both"/>
        <w:rPr>
          <w:color w:val="000000" w:themeColor="text1"/>
        </w:rPr>
      </w:pPr>
      <w:bookmarkStart w:id="140" w:name="_Toc219368761"/>
      <w:bookmarkStart w:id="141" w:name="_Toc219395420"/>
      <w:bookmarkEnd w:id="133"/>
      <w:r w:rsidRPr="006D452A">
        <w:rPr>
          <w:rFonts w:hint="eastAsia"/>
          <w:color w:val="000000" w:themeColor="text1"/>
        </w:rPr>
        <w:t>国家预警信息强制提醒触达平台全国闪信预警信息服务管理组件</w:t>
      </w:r>
      <w:bookmarkEnd w:id="140"/>
      <w:bookmarkEnd w:id="141"/>
    </w:p>
    <w:p w:rsidR="00FF197C" w:rsidRPr="006D452A" w:rsidP="00FF197C">
      <w:pPr>
        <w:ind w:firstLine="420" w:firstLineChars="200"/>
        <w:rPr>
          <w:rFonts w:ascii="仿宋_GB2312"/>
          <w:color w:val="000000"/>
          <w:szCs w:val="32"/>
        </w:rPr>
      </w:pPr>
      <w:r w:rsidRPr="006D452A">
        <w:rPr>
          <w:rFonts w:hint="eastAsia"/>
          <w:color w:val="000000" w:themeColor="text1"/>
        </w:rPr>
        <w:t>与国家突发事件预警信息发布系统监控管理平台信息打通，</w:t>
      </w:r>
      <w:r w:rsidRPr="006D452A">
        <w:rPr>
          <w:rFonts w:ascii="仿宋_GB2312" w:hint="eastAsia"/>
          <w:color w:val="000000"/>
          <w:szCs w:val="32"/>
        </w:rPr>
        <w:t>管理全国闪信签名，管理闪信用户目标及群组，管理全国组织架构，管理用户权限，绘制全国闪信预警信息服务一张图</w:t>
      </w:r>
      <w:r w:rsidRPr="006D452A">
        <w:rPr>
          <w:rFonts w:ascii="仿宋_GB2312" w:hint="eastAsia"/>
          <w:color w:val="000000"/>
          <w:szCs w:val="32"/>
        </w:rPr>
        <w:t>,</w:t>
      </w:r>
      <w:r w:rsidRPr="006D452A">
        <w:rPr>
          <w:rFonts w:hint="eastAsia"/>
          <w:color w:val="000000" w:themeColor="text1"/>
        </w:rPr>
        <w:t xml:space="preserve"> </w:t>
      </w:r>
      <w:r w:rsidRPr="006D452A">
        <w:rPr>
          <w:rFonts w:hint="eastAsia"/>
          <w:color w:val="000000" w:themeColor="text1"/>
        </w:rPr>
        <w:t>并在国家突发事件预警信息发布系统监控管理平台可查。</w:t>
      </w:r>
    </w:p>
    <w:p w:rsidR="00FF197C" w:rsidRPr="006D452A" w:rsidP="00FF197C">
      <w:pPr>
        <w:ind w:firstLine="420" w:firstLineChars="200"/>
        <w:rPr>
          <w:rFonts w:ascii="Times New Roman" w:hAnsi="Times New Roman" w:cs="Times New Roman"/>
        </w:rPr>
      </w:pPr>
      <w:r w:rsidRPr="006D452A">
        <w:rPr>
          <w:rFonts w:hint="eastAsia"/>
          <w:szCs w:val="24"/>
        </w:rPr>
        <w:t>国家预警信息强制提醒触达平台全国闪信预警信息服务管理组件</w:t>
      </w:r>
      <w:r w:rsidRPr="006D452A">
        <w:rPr>
          <w:rFonts w:hint="eastAsia"/>
        </w:rPr>
        <w:t>包括</w:t>
      </w:r>
      <w:r w:rsidRPr="006D452A">
        <w:rPr>
          <w:rFonts w:hint="eastAsia"/>
          <w:szCs w:val="24"/>
        </w:rPr>
        <w:t>闪信签名管理模块</w:t>
      </w:r>
      <w:r w:rsidRPr="006D452A">
        <w:rPr>
          <w:rFonts w:hint="eastAsia"/>
          <w:color w:val="000000"/>
        </w:rPr>
        <w:t>、</w:t>
      </w:r>
      <w:r w:rsidRPr="006D452A">
        <w:rPr>
          <w:rFonts w:hint="eastAsia"/>
          <w:szCs w:val="24"/>
        </w:rPr>
        <w:t>闪信用户目标及群组信息管理模块、预警信息发送反馈数据看板模块</w:t>
      </w:r>
      <w:r w:rsidRPr="006D452A">
        <w:rPr>
          <w:rFonts w:hint="eastAsia"/>
          <w:color w:val="000000"/>
        </w:rPr>
        <w:t>、</w:t>
      </w:r>
      <w:r w:rsidRPr="006D452A">
        <w:rPr>
          <w:rFonts w:hint="eastAsia"/>
          <w:szCs w:val="24"/>
        </w:rPr>
        <w:t>组织管理模块</w:t>
      </w:r>
      <w:r w:rsidRPr="006D452A">
        <w:rPr>
          <w:rFonts w:hint="eastAsia"/>
          <w:color w:val="000000"/>
        </w:rPr>
        <w:t>、</w:t>
      </w:r>
      <w:r w:rsidRPr="006D452A">
        <w:rPr>
          <w:rFonts w:hint="eastAsia"/>
          <w:szCs w:val="24"/>
        </w:rPr>
        <w:t>全国闪信预警信息服务一张图模块</w:t>
      </w:r>
      <w:r w:rsidRPr="006D452A">
        <w:rPr>
          <w:rFonts w:hint="eastAsia"/>
        </w:rPr>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42" w:name="_Toc219368762"/>
      <w:r w:rsidRPr="006D452A">
        <w:rPr>
          <w:rFonts w:hAnsi="Times New Roman" w:eastAsiaTheme="minorEastAsia" w:hint="eastAsia"/>
        </w:rPr>
        <w:t>闪信签名管理模块</w:t>
      </w:r>
      <w:bookmarkEnd w:id="142"/>
    </w:p>
    <w:p w:rsidR="00FF197C" w:rsidRPr="006D452A" w:rsidP="00FF197C">
      <w:pPr>
        <w:ind w:firstLine="420" w:firstLineChars="200"/>
        <w:rPr>
          <w:rFonts w:ascii="仿宋_GB2312"/>
          <w:color w:val="000000"/>
          <w:szCs w:val="32"/>
        </w:rPr>
      </w:pPr>
      <w:r w:rsidRPr="006D452A">
        <w:rPr>
          <w:rFonts w:ascii="仿宋_GB2312" w:hint="eastAsia"/>
          <w:color w:val="000000"/>
          <w:szCs w:val="32"/>
        </w:rPr>
        <w:t>签名是通过发布单位的全称或缩写来标识单位身份信息，签名管理包含签名创建及签名列表。用户可以通过该模块新建并配置智能网络机器闪信消息签名、管理签名列表，包括查看、编辑、删除、设置启用状态、资质文件管理等能力。</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43" w:name="_Toc219368763"/>
      <w:r w:rsidRPr="006D452A">
        <w:rPr>
          <w:rFonts w:hAnsi="Times New Roman" w:eastAsiaTheme="minorEastAsia" w:hint="eastAsia"/>
        </w:rPr>
        <w:t>闪信用户目标及群组信息管理模块</w:t>
      </w:r>
      <w:bookmarkEnd w:id="143"/>
    </w:p>
    <w:p w:rsidR="00FF197C" w:rsidRPr="006D452A" w:rsidP="00FF197C">
      <w:pPr>
        <w:ind w:firstLine="420" w:firstLineChars="200"/>
        <w:rPr>
          <w:rFonts w:ascii="仿宋_GB2312"/>
          <w:color w:val="000000"/>
          <w:szCs w:val="32"/>
        </w:rPr>
      </w:pPr>
      <w:r w:rsidRPr="006D452A">
        <w:rPr>
          <w:rFonts w:ascii="仿宋_GB2312" w:hint="eastAsia"/>
          <w:color w:val="000000"/>
          <w:szCs w:val="32"/>
        </w:rPr>
        <w:t>管理闪信目标接收用户的信息，包含用户名称、所属单位、手机号码、所属群组等信息。用户群组是指属于同一个单位的平台用户组成的用户群；客户群组是针对消息接收客户做的分组管理。</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44" w:name="_Toc219368764"/>
      <w:r w:rsidRPr="006D452A">
        <w:rPr>
          <w:rFonts w:hAnsi="Times New Roman" w:eastAsiaTheme="minorEastAsia" w:hint="eastAsia"/>
        </w:rPr>
        <w:t>预警信息发送反馈数据看板模块</w:t>
      </w:r>
      <w:bookmarkEnd w:id="144"/>
    </w:p>
    <w:p w:rsidR="00FF197C" w:rsidRPr="006D452A" w:rsidP="00FF197C">
      <w:pPr>
        <w:ind w:firstLine="420" w:firstLineChars="200"/>
        <w:rPr>
          <w:rFonts w:ascii="仿宋_GB2312"/>
          <w:color w:val="000000"/>
          <w:szCs w:val="32"/>
        </w:rPr>
      </w:pPr>
      <w:r w:rsidRPr="006D452A">
        <w:rPr>
          <w:rFonts w:ascii="仿宋_GB2312"/>
          <w:color w:val="000000"/>
          <w:szCs w:val="32"/>
        </w:rPr>
        <w:t>提供闪信发布全维度数据可视化分析，支持按时间、区域、预警级别等多条件组合查询。实时展示发送总量、触达率、运营商分布等核心指标趋势图，同时提供任务明细数据钻取和导出功能。通过动态更新的统计报表，为各级管理部门提供精准的发布效果评估和决策支持。</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45" w:name="_Toc219368765"/>
      <w:r w:rsidRPr="006D452A">
        <w:rPr>
          <w:rFonts w:hAnsi="Times New Roman" w:eastAsiaTheme="minorEastAsia" w:hint="eastAsia"/>
        </w:rPr>
        <w:t>组织管理模块</w:t>
      </w:r>
      <w:bookmarkEnd w:id="145"/>
    </w:p>
    <w:p w:rsidR="00FF197C" w:rsidRPr="006D452A" w:rsidP="00FF197C">
      <w:pPr>
        <w:ind w:firstLine="420" w:firstLineChars="200"/>
        <w:rPr>
          <w:rFonts w:ascii="仿宋_GB2312"/>
          <w:color w:val="000000"/>
          <w:szCs w:val="32"/>
        </w:rPr>
      </w:pPr>
      <w:r w:rsidRPr="006D452A">
        <w:rPr>
          <w:rFonts w:ascii="仿宋_GB2312"/>
          <w:color w:val="000000"/>
          <w:szCs w:val="32"/>
        </w:rPr>
        <w:t>实现组织体系的数字化管理，支持树形结构展示和多层级部门配置。提供基于</w:t>
      </w:r>
      <w:r w:rsidRPr="006D452A">
        <w:rPr>
          <w:rFonts w:ascii="仿宋_GB2312"/>
          <w:color w:val="000000"/>
          <w:szCs w:val="32"/>
        </w:rPr>
        <w:t>RBAC</w:t>
      </w:r>
      <w:r w:rsidRPr="006D452A">
        <w:rPr>
          <w:rFonts w:ascii="仿宋_GB2312"/>
          <w:color w:val="000000"/>
          <w:szCs w:val="32"/>
        </w:rPr>
        <w:t>模型的精细化权限控制，可灵活分配用户角色并设置数据访问范围。通过组织架构与权限体系的有机结合，确保各层级用户只能访问授权范围内的系统功能和业务数据。</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46" w:name="_Toc219368766"/>
      <w:r w:rsidRPr="006D452A">
        <w:rPr>
          <w:rFonts w:hAnsi="Times New Roman" w:eastAsiaTheme="minorEastAsia" w:hint="eastAsia"/>
        </w:rPr>
        <w:t>全国闪信预警信息服务一张图模块</w:t>
      </w:r>
      <w:bookmarkEnd w:id="146"/>
    </w:p>
    <w:p w:rsidR="00FF197C" w:rsidRPr="006D452A" w:rsidP="00FF197C">
      <w:pPr>
        <w:ind w:firstLine="420" w:firstLineChars="200"/>
        <w:rPr>
          <w:rFonts w:ascii="仿宋_GB2312"/>
          <w:color w:val="000000"/>
          <w:szCs w:val="32"/>
        </w:rPr>
      </w:pPr>
      <w:r w:rsidRPr="006D452A">
        <w:rPr>
          <w:rFonts w:ascii="仿宋_GB2312"/>
          <w:color w:val="000000"/>
          <w:szCs w:val="32"/>
        </w:rPr>
        <w:t>基于地理信息系统构建全国闪信服务态势图，集成实时任务分布、历史发送热力图和资源点位信息。支持地图缩放、区域筛选和多图层切换展示，实现全国闪信预警服务的空间可视化。通过地理空间分析与可视化渲染，直观呈现服务覆盖状况和区域分布特征。</w:t>
      </w:r>
    </w:p>
    <w:p w:rsidR="00FF197C" w:rsidP="00FF197C">
      <w:pPr>
        <w:pStyle w:val="Heading2"/>
        <w:keepNext/>
        <w:keepLines/>
        <w:widowControl w:val="0"/>
        <w:numPr>
          <w:ilvl w:val="1"/>
          <w:numId w:val="4"/>
        </w:numPr>
        <w:adjustRightInd w:val="0"/>
        <w:spacing w:before="0" w:after="0" w:line="360" w:lineRule="auto"/>
        <w:ind w:left="0" w:firstLine="0"/>
        <w:jc w:val="both"/>
        <w:rPr>
          <w:color w:val="000000" w:themeColor="text1"/>
        </w:rPr>
      </w:pPr>
      <w:bookmarkStart w:id="147" w:name="_Toc219368767"/>
      <w:bookmarkStart w:id="148" w:name="_Toc219395421"/>
      <w:r w:rsidRPr="006D452A">
        <w:rPr>
          <w:rFonts w:hint="eastAsia"/>
          <w:color w:val="000000" w:themeColor="text1"/>
        </w:rPr>
        <w:t>与国家突发事件预警信息发布系统集成</w:t>
      </w:r>
      <w:bookmarkEnd w:id="147"/>
      <w:r>
        <w:rPr>
          <w:rFonts w:hint="eastAsia"/>
          <w:color w:val="000000" w:themeColor="text1"/>
        </w:rPr>
        <w:t>组件</w:t>
      </w:r>
      <w:bookmarkEnd w:id="148"/>
    </w:p>
    <w:p w:rsidR="00FF197C" w:rsidRPr="002E2C82" w:rsidP="00FF197C">
      <w:pPr>
        <w:ind w:firstLine="420" w:firstLineChars="200"/>
        <w:rPr>
          <w:rFonts w:ascii="仿宋_GB2312"/>
          <w:color w:val="000000"/>
          <w:szCs w:val="32"/>
        </w:rPr>
      </w:pPr>
      <w:r w:rsidRPr="002E2C82">
        <w:rPr>
          <w:rFonts w:ascii="仿宋_GB2312" w:hint="eastAsia"/>
          <w:color w:val="000000"/>
          <w:szCs w:val="32"/>
        </w:rPr>
        <w:t>与国家突发事件预警信息发布系统集成组件包括与国突系统一体化发布平台数据集成模块、与国突系统监控告警平台集成模块、与国突系统信息统计及展示集成模块、与国突系统发布策略集成模块、数据安全与加密传输</w:t>
      </w:r>
      <w:r>
        <w:rPr>
          <w:rFonts w:ascii="仿宋_GB2312" w:hint="eastAsia"/>
          <w:color w:val="000000"/>
          <w:szCs w:val="32"/>
        </w:rPr>
        <w:t>模块</w:t>
      </w:r>
      <w:r w:rsidRPr="002E2C82">
        <w:rPr>
          <w:rFonts w:ascii="仿宋_GB2312" w:hint="eastAsia"/>
          <w:color w:val="000000"/>
          <w:szCs w:val="32"/>
        </w:rPr>
        <w:t>。</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49" w:name="_Toc219368768"/>
      <w:r w:rsidRPr="006D452A">
        <w:rPr>
          <w:rFonts w:hAnsi="Times New Roman" w:eastAsiaTheme="minorEastAsia" w:hint="eastAsia"/>
        </w:rPr>
        <w:t>与国突系统一体化发布平台数据集成模块</w:t>
      </w:r>
      <w:bookmarkEnd w:id="149"/>
    </w:p>
    <w:p w:rsidR="00FF197C" w:rsidRPr="006D452A" w:rsidP="00FF197C">
      <w:pPr>
        <w:ind w:firstLine="420" w:firstLineChars="200"/>
      </w:pPr>
      <w:r w:rsidRPr="006D452A">
        <w:rPr>
          <w:rFonts w:hint="eastAsia"/>
        </w:rPr>
        <w:t>为了实现闪信发布渠道与国家突发事件预警信息发布系统的高效、稳定集成，技术架构的设计应遵循当前主流的“云</w:t>
      </w:r>
      <w:r w:rsidRPr="006D452A">
        <w:rPr>
          <w:rFonts w:hint="eastAsia"/>
        </w:rPr>
        <w:t>+</w:t>
      </w:r>
      <w:r w:rsidRPr="006D452A">
        <w:rPr>
          <w:rFonts w:hint="eastAsia"/>
        </w:rPr>
        <w:t>端”模式。</w:t>
      </w:r>
      <w:r w:rsidRPr="006D452A">
        <w:t>闪信发布渠道作为一个独立的</w:t>
      </w:r>
      <w:r w:rsidRPr="006D452A">
        <w:rPr>
          <w:rFonts w:hint="eastAsia"/>
        </w:rPr>
        <w:t>“</w:t>
      </w:r>
      <w:r w:rsidRPr="006D452A">
        <w:t>端</w:t>
      </w:r>
      <w:r w:rsidRPr="006D452A">
        <w:rPr>
          <w:rFonts w:hint="eastAsia"/>
        </w:rPr>
        <w:t>”</w:t>
      </w:r>
      <w:r w:rsidRPr="006D452A">
        <w:t>系统，其内部也采用</w:t>
      </w:r>
      <w:r w:rsidRPr="006D452A">
        <w:rPr>
          <w:rFonts w:hint="eastAsia"/>
        </w:rPr>
        <w:t>“</w:t>
      </w:r>
      <w:r w:rsidRPr="006D452A">
        <w:t>云</w:t>
      </w:r>
      <w:r w:rsidRPr="006D452A">
        <w:t>+</w:t>
      </w:r>
      <w:r w:rsidRPr="006D452A">
        <w:t>端</w:t>
      </w:r>
      <w:r w:rsidRPr="006D452A">
        <w:rPr>
          <w:rFonts w:hint="eastAsia"/>
        </w:rPr>
        <w:t>”</w:t>
      </w:r>
      <w:r w:rsidRPr="006D452A">
        <w:t>的微观架构。其</w:t>
      </w:r>
      <w:r w:rsidRPr="006D452A">
        <w:rPr>
          <w:rFonts w:hint="eastAsia"/>
        </w:rPr>
        <w:t>“</w:t>
      </w:r>
      <w:r w:rsidRPr="006D452A">
        <w:t>云</w:t>
      </w:r>
      <w:r w:rsidRPr="006D452A">
        <w:rPr>
          <w:rFonts w:hint="eastAsia"/>
        </w:rPr>
        <w:t>”</w:t>
      </w:r>
      <w:r w:rsidRPr="006D452A">
        <w:t>端负责接收来自国突系统的发布指令，进行任务解析、策略匹配、内容封装，并调用运营商的</w:t>
      </w:r>
      <w:r w:rsidRPr="006D452A">
        <w:t>API</w:t>
      </w:r>
      <w:r w:rsidRPr="006D452A">
        <w:t>接口进行下发。同时，还负责收集发布状态、用户反馈等数据，并回传至国突系统。其</w:t>
      </w:r>
      <w:r w:rsidRPr="006D452A">
        <w:rPr>
          <w:rFonts w:hint="eastAsia"/>
        </w:rPr>
        <w:t>“</w:t>
      </w:r>
      <w:r w:rsidRPr="006D452A">
        <w:t>端</w:t>
      </w:r>
      <w:r w:rsidRPr="006D452A">
        <w:rPr>
          <w:rFonts w:hint="eastAsia"/>
        </w:rPr>
        <w:t>”</w:t>
      </w:r>
      <w:r w:rsidRPr="006D452A">
        <w:t>则包括与各大运营商（如中国移动、中国联通、中国电信）的短信网关、闪信网关直接对接的接口服务器。</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50" w:name="_Toc219368769"/>
      <w:r w:rsidRPr="006D452A">
        <w:rPr>
          <w:rFonts w:hAnsi="Times New Roman" w:eastAsiaTheme="minorEastAsia" w:hint="eastAsia"/>
        </w:rPr>
        <w:t>与国突系统监控告警平台集成模块</w:t>
      </w:r>
      <w:bookmarkEnd w:id="150"/>
    </w:p>
    <w:p w:rsidR="00FF197C" w:rsidRPr="006D452A" w:rsidP="00FF197C">
      <w:pPr>
        <w:ind w:firstLine="420" w:firstLineChars="200"/>
      </w:pPr>
      <w:r w:rsidRPr="006D452A">
        <w:t>监控国突系统下发的预警任务是否被闪信平台成功接收，记录接收时间、任务</w:t>
      </w:r>
      <w:r w:rsidRPr="006D452A">
        <w:t>ID</w:t>
      </w:r>
      <w:r w:rsidRPr="006D452A">
        <w:t>、信息内容等。</w:t>
      </w:r>
      <w:r w:rsidRPr="006D452A">
        <w:rPr>
          <w:rFonts w:hint="eastAsia"/>
        </w:rPr>
        <w:t>实时监控闪信的发送进度，包括已发送数量、待发送数量、发送成功率、发送失败率等。对于发送失败的情况，需要记录失败原因（如手机号无效、用户不在服务区、运营商接口异常等）。监控闪信是否成功在用户终端上“霸屏”显示。这需要与运营商的接口进行深度对接，获取闪信的终端显示确认和用户点击确认等回执信息。</w:t>
      </w:r>
      <w:r w:rsidRPr="006D452A">
        <w:t>监控从接收到发布任务，到闪信成功送达用户终端的整个过程所耗费的时间，确保其满足预警信息发布的时效性要求。</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51" w:name="_Toc219368770"/>
      <w:r w:rsidRPr="006D452A">
        <w:rPr>
          <w:rFonts w:hAnsi="Times New Roman" w:eastAsiaTheme="minorEastAsia" w:hint="eastAsia"/>
        </w:rPr>
        <w:t>与国突系统信息统计及展示集成模块</w:t>
      </w:r>
      <w:bookmarkEnd w:id="151"/>
    </w:p>
    <w:p w:rsidR="00FF197C" w:rsidRPr="006D452A" w:rsidP="00FF197C">
      <w:pPr>
        <w:ind w:firstLine="420" w:firstLineChars="200"/>
      </w:pPr>
      <w:r w:rsidRPr="006D452A">
        <w:rPr>
          <w:rFonts w:hint="eastAsia"/>
        </w:rPr>
        <w:t>建立一套量化的、多维度的发布效果核心指标体系。其设计应紧密围绕预警发布的最终目标——即“快速、精准、广覆盖”地触达目标人群。尤其是，送达率是最核心的指标之一，它直接衡量了预警信息是否成功到达了用户的终端设备。送达率的计算公式为：送达率</w:t>
      </w:r>
      <w:r w:rsidRPr="006D452A">
        <w:rPr>
          <w:rFonts w:hint="eastAsia"/>
        </w:rPr>
        <w:t xml:space="preserve"> = (</w:t>
      </w:r>
      <w:r w:rsidRPr="006D452A">
        <w:rPr>
          <w:rFonts w:hint="eastAsia"/>
        </w:rPr>
        <w:t>成功送达的闪信数量</w:t>
      </w:r>
      <w:r w:rsidRPr="006D452A">
        <w:rPr>
          <w:rFonts w:hint="eastAsia"/>
        </w:rPr>
        <w:t xml:space="preserve"> / </w:t>
      </w:r>
      <w:r w:rsidRPr="006D452A">
        <w:rPr>
          <w:rFonts w:hint="eastAsia"/>
        </w:rPr>
        <w:t>目标用户总数</w:t>
      </w:r>
      <w:r w:rsidRPr="006D452A">
        <w:rPr>
          <w:rFonts w:hint="eastAsia"/>
        </w:rPr>
        <w:t>) * 100%</w:t>
      </w:r>
      <w:r w:rsidRPr="006D452A">
        <w:rPr>
          <w:rFonts w:hint="eastAsia"/>
        </w:rPr>
        <w:t>。这个指标反映了发布渠道的基础能力，是评估其可靠性的关键。在实际操作中，由于运营商网络、用户设备状态等多种因素的影响，</w:t>
      </w:r>
      <w:r w:rsidRPr="006D452A">
        <w:rPr>
          <w:rFonts w:hint="eastAsia"/>
        </w:rPr>
        <w:t>100%</w:t>
      </w:r>
      <w:r w:rsidRPr="006D452A">
        <w:rPr>
          <w:rFonts w:hint="eastAsia"/>
        </w:rPr>
        <w:t>的送达率难以实现，因此需要设定一个可接受的阈值（按可研要求</w:t>
      </w:r>
      <w:r w:rsidRPr="006D452A">
        <w:rPr>
          <w:rFonts w:hint="eastAsia"/>
        </w:rPr>
        <w:t>94%</w:t>
      </w:r>
      <w:r w:rsidRPr="006D452A">
        <w:rPr>
          <w:rFonts w:hint="eastAsia"/>
        </w:rPr>
        <w:t>），并持续监控。其次是，</w:t>
      </w:r>
      <w:r w:rsidRPr="006D452A">
        <w:t>时效性指标衡量的是从国突系统发出发布指令到用户接收到闪信所经历的时间。通过记录指令发出时间和用户接收时间（或运营商确认送达时间）的差值来计算。</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52" w:name="_Toc219368771"/>
      <w:r w:rsidRPr="006D452A">
        <w:rPr>
          <w:rFonts w:hAnsi="Times New Roman" w:eastAsiaTheme="minorEastAsia" w:hint="eastAsia"/>
        </w:rPr>
        <w:t>与国突系统发布策略集成模块</w:t>
      </w:r>
      <w:bookmarkEnd w:id="152"/>
    </w:p>
    <w:p w:rsidR="00FF197C" w:rsidRPr="006D452A" w:rsidP="00FF197C">
      <w:pPr>
        <w:ind w:firstLine="420" w:firstLineChars="200"/>
      </w:pPr>
      <w:r w:rsidRPr="006D452A">
        <w:rPr>
          <w:rFonts w:hint="eastAsia"/>
        </w:rPr>
        <w:t>能够兼容并复用国突系统发布策略，根据不同类型的突发事件（如台风、暴雨、</w:t>
      </w:r>
      <w:r>
        <w:rPr>
          <w:rFonts w:hint="eastAsia"/>
        </w:rPr>
        <w:t>强对流</w:t>
      </w:r>
      <w:r w:rsidRPr="006D452A">
        <w:rPr>
          <w:rFonts w:hint="eastAsia"/>
        </w:rPr>
        <w:t>等）具有不同的特点、影响范围、发展速度和应对要求，匹配不同的发布策略。包括但不限于基于预警级别的发布策略、基于预警类型的发布策略，基于用户需求的发布策略等，并支持对闪信发布策略优化。支持根据优先级队列和用户需求的插队发布。</w:t>
      </w:r>
    </w:p>
    <w:p w:rsidR="00FF197C" w:rsidRPr="006D452A" w:rsidP="00FF197C">
      <w:pPr>
        <w:pStyle w:val="Heading3"/>
        <w:keepNext/>
        <w:keepLines/>
        <w:widowControl w:val="0"/>
        <w:numPr>
          <w:ilvl w:val="2"/>
          <w:numId w:val="4"/>
        </w:numPr>
        <w:autoSpaceDE w:val="0"/>
        <w:autoSpaceDN w:val="0"/>
        <w:adjustRightInd w:val="0"/>
        <w:spacing w:before="0" w:after="0" w:line="360" w:lineRule="auto"/>
        <w:ind w:left="0" w:firstLine="0"/>
        <w:jc w:val="left"/>
        <w:rPr>
          <w:rFonts w:hAnsi="Times New Roman" w:eastAsiaTheme="minorEastAsia"/>
        </w:rPr>
      </w:pPr>
      <w:bookmarkStart w:id="153" w:name="_Toc219368772"/>
      <w:r w:rsidRPr="006D452A">
        <w:rPr>
          <w:rFonts w:hAnsi="Times New Roman" w:eastAsiaTheme="minorEastAsia" w:hint="eastAsia"/>
        </w:rPr>
        <w:t>数据安全与加密传输</w:t>
      </w:r>
      <w:bookmarkEnd w:id="153"/>
      <w:r>
        <w:rPr>
          <w:rFonts w:hAnsi="Times New Roman" w:eastAsiaTheme="minorEastAsia" w:hint="eastAsia"/>
        </w:rPr>
        <w:t>模块</w:t>
      </w:r>
    </w:p>
    <w:p w:rsidR="00FF197C" w:rsidRPr="006D452A" w:rsidP="00FF197C">
      <w:pPr>
        <w:ind w:firstLine="420" w:firstLineChars="200"/>
      </w:pPr>
      <w:r w:rsidRPr="006D452A">
        <w:rPr>
          <w:rFonts w:hint="eastAsia"/>
        </w:rPr>
        <w:t>基于“闪信”的预警信息发布平台与国突系统之间的数据交换必须建立在端到端的加密通信之上。最基础也是最重要的安全措施是全面采用</w:t>
      </w:r>
      <w:r w:rsidRPr="006D452A">
        <w:rPr>
          <w:rFonts w:hint="eastAsia"/>
        </w:rPr>
        <w:t>TLS/SSL</w:t>
      </w:r>
      <w:r w:rsidRPr="006D452A">
        <w:rPr>
          <w:rFonts w:hint="eastAsia"/>
        </w:rPr>
        <w:t>协议对通信链路进行加密。</w:t>
      </w:r>
      <w:r w:rsidRPr="006D452A">
        <w:rPr>
          <w:rFonts w:hint="eastAsia"/>
        </w:rPr>
        <w:t>API</w:t>
      </w:r>
      <w:r w:rsidRPr="006D452A">
        <w:rPr>
          <w:rFonts w:hint="eastAsia"/>
        </w:rPr>
        <w:t>调用无论是国突系统向闪信渠道下发指令，还是闪信渠道向国突系统上报状态，都必须通过</w:t>
      </w:r>
      <w:r w:rsidRPr="006D452A">
        <w:rPr>
          <w:rFonts w:hint="eastAsia"/>
        </w:rPr>
        <w:t>HTTPS</w:t>
      </w:r>
      <w:r w:rsidRPr="006D452A">
        <w:rPr>
          <w:rFonts w:hint="eastAsia"/>
        </w:rPr>
        <w:t>协议进行，确保数据在传输过程中是密文状态，有效防止中间人攻击和网络窃听。</w:t>
      </w:r>
    </w:p>
    <w:p w:rsidR="00FF197C" w:rsidP="00FF197C">
      <w:pPr>
        <w:pStyle w:val="Heading1"/>
        <w:keepNext/>
        <w:keepLines/>
        <w:widowControl w:val="0"/>
        <w:numPr>
          <w:numId w:val="4"/>
        </w:numPr>
        <w:tabs>
          <w:tab w:val="left" w:pos="432"/>
        </w:tabs>
        <w:adjustRightInd w:val="0"/>
        <w:spacing w:before="340" w:after="120" w:line="360" w:lineRule="auto"/>
        <w:ind w:left="0" w:firstLine="0"/>
        <w:jc w:val="left"/>
        <w:rPr>
          <w:rFonts w:eastAsia="黑体"/>
        </w:rPr>
      </w:pPr>
      <w:bookmarkStart w:id="154" w:name="_Toc219395422"/>
      <w:bookmarkStart w:id="155" w:name="_Toc8838"/>
      <w:bookmarkStart w:id="156" w:name="_Toc265243757"/>
      <w:bookmarkStart w:id="157" w:name="_Toc264103372"/>
      <w:bookmarkStart w:id="158" w:name="_Toc266650574"/>
      <w:bookmarkStart w:id="159" w:name="_Toc390866191"/>
      <w:bookmarkEnd w:id="67"/>
      <w:bookmarkEnd w:id="71"/>
      <w:r>
        <w:rPr>
          <w:rFonts w:eastAsia="黑体" w:hint="eastAsia"/>
        </w:rPr>
        <w:t>服务</w:t>
      </w:r>
      <w:r>
        <w:rPr>
          <w:rFonts w:eastAsia="黑体" w:hint="eastAsia"/>
        </w:rPr>
        <w:t>质量要求</w:t>
      </w:r>
      <w:bookmarkEnd w:id="154"/>
    </w:p>
    <w:p w:rsidR="00FF197C" w:rsidP="00FF197C">
      <w:pPr>
        <w:pStyle w:val="Heading2"/>
        <w:keepNext/>
        <w:keepLines/>
        <w:widowControl w:val="0"/>
        <w:numPr>
          <w:ilvl w:val="1"/>
          <w:numId w:val="4"/>
        </w:numPr>
        <w:spacing w:before="260" w:after="260" w:line="415" w:lineRule="auto"/>
        <w:ind w:left="576" w:hanging="576"/>
        <w:jc w:val="both"/>
      </w:pPr>
      <w:bookmarkStart w:id="160" w:name="_Toc219395423"/>
      <w:r>
        <w:rPr>
          <w:rFonts w:hint="eastAsia"/>
        </w:rPr>
        <w:t>质量管理与控制</w:t>
      </w:r>
      <w:bookmarkEnd w:id="160"/>
    </w:p>
    <w:p w:rsidR="00FF197C" w:rsidP="00FF197C">
      <w:pPr>
        <w:ind w:firstLine="420" w:firstLineChars="200"/>
        <w:rPr>
          <w:rFonts w:ascii="Times New Roman" w:hAnsi="Times New Roman" w:cs="Times New Roman"/>
        </w:rPr>
      </w:pPr>
      <w:r>
        <w:rPr>
          <w:rFonts w:ascii="Times New Roman" w:hAnsi="Times New Roman" w:cs="Times New Roman" w:hint="eastAsia"/>
        </w:rPr>
        <w:t>需要供应商从以下方面（包含但不仅限于）：建立严格的质量保证体系；制定项目开发建设质量控制方案和实施措施；督促落实各环节质量控制内容和目标；保证总体规划设计、开发与实施、测试与上线、系统运行与验收要求、里程碑工作成果等方面，进行详细阐述说明。</w:t>
      </w:r>
    </w:p>
    <w:p w:rsidR="00FF197C" w:rsidP="00FF197C">
      <w:pPr>
        <w:pStyle w:val="Heading2"/>
        <w:keepNext/>
        <w:keepLines/>
        <w:widowControl w:val="0"/>
        <w:numPr>
          <w:ilvl w:val="1"/>
          <w:numId w:val="4"/>
        </w:numPr>
        <w:spacing w:before="260" w:after="260" w:line="415" w:lineRule="auto"/>
        <w:ind w:left="576" w:hanging="576"/>
        <w:jc w:val="both"/>
      </w:pPr>
      <w:bookmarkStart w:id="161" w:name="_Toc219395424"/>
      <w:r>
        <w:rPr>
          <w:rFonts w:hint="eastAsia"/>
        </w:rPr>
        <w:t>进度管理与控制</w:t>
      </w:r>
      <w:bookmarkEnd w:id="161"/>
    </w:p>
    <w:p w:rsidR="00FF197C" w:rsidP="00FF197C">
      <w:pPr>
        <w:ind w:firstLine="420"/>
        <w:rPr>
          <w:rFonts w:ascii="宋体" w:hAnsi="宋体" w:hint="eastAsia"/>
          <w:szCs w:val="21"/>
        </w:rPr>
      </w:pPr>
      <w:r>
        <w:rPr>
          <w:rFonts w:ascii="宋体" w:hAnsi="宋体" w:hint="eastAsia"/>
          <w:szCs w:val="21"/>
        </w:rPr>
        <w:t>需要供应商从以下方面（包含但不仅限于）： 制定总体实施计划表和各阶段的详细实施计划表及人员分配等方面，进行详细阐述说明。</w:t>
      </w:r>
    </w:p>
    <w:p w:rsidR="00FF197C" w:rsidP="00FF197C">
      <w:pPr>
        <w:numPr>
          <w:ilvl w:val="0"/>
          <w:numId w:val="5"/>
        </w:numPr>
        <w:spacing w:line="360" w:lineRule="auto"/>
        <w:rPr>
          <w:rFonts w:ascii="宋体" w:hAnsi="宋体" w:hint="eastAsia"/>
          <w:szCs w:val="21"/>
        </w:rPr>
      </w:pPr>
      <w:r>
        <w:rPr>
          <w:rFonts w:ascii="宋体" w:hAnsi="宋体" w:hint="eastAsia"/>
          <w:szCs w:val="21"/>
        </w:rPr>
        <w:t>供应商须严格按照项目进度要求开展项目工作；</w:t>
      </w:r>
    </w:p>
    <w:p w:rsidR="00FF197C" w:rsidP="00FF197C">
      <w:pPr>
        <w:numPr>
          <w:ilvl w:val="0"/>
          <w:numId w:val="5"/>
        </w:numPr>
        <w:spacing w:line="360" w:lineRule="auto"/>
        <w:rPr>
          <w:rFonts w:ascii="宋体" w:hAnsi="宋体" w:hint="eastAsia"/>
          <w:szCs w:val="21"/>
        </w:rPr>
      </w:pPr>
      <w:r>
        <w:rPr>
          <w:rFonts w:ascii="宋体" w:hAnsi="宋体" w:hint="eastAsia"/>
          <w:szCs w:val="21"/>
        </w:rPr>
        <w:t>供应商须严格按照项目阶段设计项目里程碑和里程碑产出物；</w:t>
      </w:r>
    </w:p>
    <w:p w:rsidR="00FF197C" w:rsidP="00FF197C">
      <w:pPr>
        <w:numPr>
          <w:ilvl w:val="0"/>
          <w:numId w:val="5"/>
        </w:numPr>
        <w:spacing w:before="120" w:after="120" w:line="360" w:lineRule="auto"/>
        <w:rPr>
          <w:rFonts w:ascii="宋体" w:hAnsi="宋体" w:hint="eastAsia"/>
          <w:szCs w:val="21"/>
        </w:rPr>
      </w:pPr>
      <w:r>
        <w:rPr>
          <w:rFonts w:ascii="宋体" w:hAnsi="宋体" w:hint="eastAsia"/>
          <w:szCs w:val="21"/>
        </w:rPr>
        <w:t>供应商须严格按照项目里程碑开展工作，招标方将根据项目进度要求和里程碑产出物审核供应商工作。</w:t>
      </w:r>
    </w:p>
    <w:p w:rsidR="00FF197C" w:rsidP="00FF197C">
      <w:pPr>
        <w:pStyle w:val="Heading2"/>
        <w:keepNext/>
        <w:keepLines/>
        <w:widowControl w:val="0"/>
        <w:numPr>
          <w:ilvl w:val="1"/>
          <w:numId w:val="4"/>
        </w:numPr>
        <w:spacing w:before="260" w:after="260" w:line="415" w:lineRule="auto"/>
        <w:ind w:left="576" w:hanging="576"/>
        <w:jc w:val="both"/>
      </w:pPr>
      <w:bookmarkStart w:id="162" w:name="_Toc219395425"/>
      <w:r>
        <w:rPr>
          <w:rFonts w:hint="eastAsia"/>
        </w:rPr>
        <w:t>风险管理与控制</w:t>
      </w:r>
      <w:bookmarkEnd w:id="162"/>
    </w:p>
    <w:p w:rsidR="00FF197C" w:rsidP="00FF197C">
      <w:pPr>
        <w:ind w:firstLine="420"/>
        <w:rPr>
          <w:rFonts w:ascii="Times New Roman" w:hAnsi="Times New Roman"/>
          <w:szCs w:val="20"/>
        </w:rPr>
      </w:pPr>
      <w:r>
        <w:rPr>
          <w:rFonts w:ascii="宋体" w:hAnsi="宋体" w:hint="eastAsia"/>
          <w:szCs w:val="21"/>
        </w:rPr>
        <w:t>需要供应商从建立完善的风险识别管理机制、风险分析、风险预防与控制方法、风险应对及确保项目成功等方面，进行详细阐述说明。</w:t>
      </w:r>
    </w:p>
    <w:p w:rsidR="00FF197C" w:rsidP="00FF197C">
      <w:pPr>
        <w:pStyle w:val="Heading2"/>
        <w:keepNext/>
        <w:keepLines/>
        <w:widowControl w:val="0"/>
        <w:numPr>
          <w:ilvl w:val="1"/>
          <w:numId w:val="4"/>
        </w:numPr>
        <w:spacing w:before="260" w:after="260" w:line="415" w:lineRule="auto"/>
        <w:ind w:left="576" w:hanging="576"/>
        <w:jc w:val="both"/>
      </w:pPr>
      <w:bookmarkStart w:id="163" w:name="_Toc219395426"/>
      <w:r>
        <w:rPr>
          <w:rFonts w:hint="eastAsia"/>
        </w:rPr>
        <w:t>文档管理与控制</w:t>
      </w:r>
      <w:bookmarkEnd w:id="163"/>
    </w:p>
    <w:p w:rsidR="00FF197C" w:rsidP="00FF197C">
      <w:pPr>
        <w:ind w:firstLine="420"/>
        <w:rPr>
          <w:rFonts w:ascii="宋体" w:hAnsi="宋体" w:hint="eastAsia"/>
          <w:szCs w:val="21"/>
        </w:rPr>
      </w:pPr>
      <w:r>
        <w:rPr>
          <w:rFonts w:ascii="宋体" w:hAnsi="宋体" w:hint="eastAsia"/>
          <w:szCs w:val="21"/>
        </w:rPr>
        <w:t>需要供应商从以下方面（包含但不仅限于）：建立完善的文档管理体系（包括文档管理服务器的类型、文件命名规范、目录规范、文件传递规则等），在规定时间内向招标人提交项目建设需求调研、设计、开发、测试、各个阶段的计划、方案、报告、质量标准、项目进展状态文档等方面，进行详细阐述说明。</w:t>
      </w:r>
    </w:p>
    <w:p w:rsidR="00FF197C" w:rsidP="00FF197C">
      <w:pPr>
        <w:pStyle w:val="Heading2"/>
        <w:keepNext/>
        <w:keepLines/>
        <w:widowControl w:val="0"/>
        <w:numPr>
          <w:ilvl w:val="1"/>
          <w:numId w:val="4"/>
        </w:numPr>
        <w:spacing w:before="260" w:after="260" w:line="415" w:lineRule="auto"/>
        <w:ind w:left="576" w:hanging="576"/>
        <w:jc w:val="both"/>
      </w:pPr>
      <w:bookmarkStart w:id="164" w:name="_Toc219395427"/>
      <w:r>
        <w:rPr>
          <w:rFonts w:hint="eastAsia"/>
        </w:rPr>
        <w:t>变更管理与控制</w:t>
      </w:r>
      <w:bookmarkEnd w:id="164"/>
    </w:p>
    <w:p w:rsidR="00FF197C" w:rsidP="00FF197C">
      <w:pPr>
        <w:ind w:firstLine="420"/>
      </w:pPr>
      <w:r>
        <w:rPr>
          <w:rFonts w:ascii="宋体" w:hAnsi="宋体" w:hint="eastAsia"/>
          <w:szCs w:val="21"/>
        </w:rPr>
        <w:t>需要供应商详细阐述变更的管理与控制方案。</w:t>
      </w:r>
    </w:p>
    <w:p w:rsidR="00FF197C" w:rsidP="00FF197C">
      <w:pPr>
        <w:pStyle w:val="Heading1"/>
        <w:keepNext/>
        <w:keepLines/>
        <w:widowControl w:val="0"/>
        <w:numPr>
          <w:numId w:val="4"/>
        </w:numPr>
        <w:tabs>
          <w:tab w:val="left" w:pos="432"/>
        </w:tabs>
        <w:adjustRightInd w:val="0"/>
        <w:spacing w:before="340" w:after="120" w:line="360" w:lineRule="auto"/>
        <w:ind w:left="0" w:firstLine="0"/>
        <w:jc w:val="left"/>
        <w:rPr>
          <w:rFonts w:eastAsia="黑体"/>
        </w:rPr>
      </w:pPr>
      <w:bookmarkStart w:id="165" w:name="_Toc219395428"/>
      <w:r>
        <w:rPr>
          <w:rFonts w:eastAsia="黑体" w:hint="eastAsia"/>
        </w:rPr>
        <w:t>实施及</w:t>
      </w:r>
      <w:r>
        <w:rPr>
          <w:rFonts w:eastAsia="黑体" w:hint="eastAsia"/>
        </w:rPr>
        <w:t>管理要求</w:t>
      </w:r>
      <w:bookmarkEnd w:id="165"/>
    </w:p>
    <w:p w:rsidR="00FF197C" w:rsidP="00FF197C">
      <w:pPr>
        <w:pStyle w:val="Heading2"/>
        <w:keepNext/>
        <w:keepLines/>
        <w:widowControl w:val="0"/>
        <w:numPr>
          <w:ilvl w:val="1"/>
          <w:numId w:val="4"/>
        </w:numPr>
        <w:spacing w:before="260" w:after="260" w:line="415" w:lineRule="auto"/>
        <w:ind w:left="576" w:hanging="576"/>
        <w:jc w:val="both"/>
      </w:pPr>
      <w:bookmarkStart w:id="166" w:name="_Toc219395429"/>
      <w:r>
        <w:t>进度要求</w:t>
      </w:r>
      <w:bookmarkEnd w:id="155"/>
      <w:bookmarkEnd w:id="166"/>
    </w:p>
    <w:p w:rsidR="00FF197C" w:rsidP="00FF197C">
      <w:pPr>
        <w:ind w:firstLine="420" w:firstLineChars="200"/>
        <w:rPr>
          <w:rFonts w:ascii="Times New Roman" w:hAnsi="Times New Roman" w:cs="Times New Roman"/>
        </w:rPr>
      </w:pPr>
      <w:r>
        <w:rPr>
          <w:rFonts w:ascii="Times New Roman" w:hAnsi="Times New Roman" w:cs="Times New Roman"/>
        </w:rPr>
        <w:t>项目的研制要求按软件工程的方法和过程实施，其研制过程主要包括需求分析、系统设计、编码开发、系统测试、试运行、项目验收六个阶段，研制周期为</w:t>
      </w:r>
      <w:r>
        <w:rPr>
          <w:rFonts w:ascii="Times New Roman" w:hAnsi="Times New Roman" w:cs="Times New Roman" w:hint="eastAsia"/>
        </w:rPr>
        <w:t>12</w:t>
      </w:r>
      <w:r>
        <w:rPr>
          <w:rFonts w:ascii="Times New Roman" w:hAnsi="Times New Roman" w:cs="Times New Roman"/>
        </w:rPr>
        <w:t>个月，下表给出了任务各阶段的进度要求：</w:t>
      </w:r>
    </w:p>
    <w:p w:rsidR="00FF197C" w:rsidP="00FF197C">
      <w:pPr>
        <w:pStyle w:val="Caption"/>
        <w:ind w:left="480"/>
        <w:rPr>
          <w:rFonts w:eastAsia="黑体" w:cs="Times New Roman"/>
          <w:sz w:val="21"/>
          <w:szCs w:val="21"/>
        </w:rPr>
      </w:pPr>
      <w:r>
        <w:rPr>
          <w:rFonts w:eastAsia="黑体" w:cs="Times New Roman"/>
          <w:sz w:val="21"/>
          <w:szCs w:val="21"/>
        </w:rPr>
        <w:t>表</w:t>
      </w:r>
      <w:r>
        <w:rPr>
          <w:rFonts w:eastAsia="黑体" w:cs="Times New Roman"/>
          <w:sz w:val="21"/>
          <w:szCs w:val="21"/>
        </w:rPr>
        <w:t>6-1</w:t>
      </w:r>
      <w:r>
        <w:rPr>
          <w:rFonts w:eastAsia="黑体" w:cs="Times New Roman"/>
          <w:sz w:val="21"/>
          <w:szCs w:val="21"/>
        </w:rPr>
        <w:t>建设项目开发进度表</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46"/>
        <w:gridCol w:w="1276"/>
        <w:gridCol w:w="5103"/>
      </w:tblGrid>
      <w:tr w:rsidTr="001572FB">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2146" w:type="dxa"/>
            <w:vAlign w:val="center"/>
          </w:tcPr>
          <w:p w:rsidR="00FF197C" w:rsidP="001572FB">
            <w:pPr>
              <w:snapToGrid w:val="0"/>
              <w:jc w:val="center"/>
              <w:rPr>
                <w:rFonts w:ascii="Times New Roman" w:eastAsia="黑体" w:hAnsi="Times New Roman" w:cs="Times New Roman"/>
                <w:szCs w:val="21"/>
              </w:rPr>
            </w:pPr>
            <w:r>
              <w:rPr>
                <w:rFonts w:ascii="Times New Roman" w:eastAsia="黑体" w:hAnsi="Times New Roman" w:cs="Times New Roman"/>
                <w:szCs w:val="21"/>
              </w:rPr>
              <w:t>软件研发过程</w:t>
            </w:r>
          </w:p>
        </w:tc>
        <w:tc>
          <w:tcPr>
            <w:tcW w:w="1276" w:type="dxa"/>
            <w:vAlign w:val="center"/>
          </w:tcPr>
          <w:p w:rsidR="00FF197C" w:rsidP="001572FB">
            <w:pPr>
              <w:snapToGrid w:val="0"/>
              <w:jc w:val="center"/>
              <w:rPr>
                <w:rFonts w:ascii="Times New Roman" w:eastAsia="黑体" w:hAnsi="Times New Roman" w:cs="Times New Roman"/>
                <w:szCs w:val="21"/>
              </w:rPr>
            </w:pPr>
            <w:r>
              <w:rPr>
                <w:rFonts w:ascii="Times New Roman" w:eastAsia="黑体" w:hAnsi="Times New Roman" w:cs="Times New Roman"/>
                <w:szCs w:val="21"/>
              </w:rPr>
              <w:t>进度要求</w:t>
            </w:r>
          </w:p>
          <w:p w:rsidR="00FF197C" w:rsidP="001572FB">
            <w:pPr>
              <w:snapToGrid w:val="0"/>
              <w:jc w:val="center"/>
              <w:rPr>
                <w:rFonts w:ascii="Times New Roman" w:eastAsia="黑体" w:hAnsi="Times New Roman" w:cs="Times New Roman"/>
                <w:szCs w:val="21"/>
              </w:rPr>
            </w:pPr>
            <w:r>
              <w:rPr>
                <w:rFonts w:ascii="Times New Roman" w:eastAsia="黑体" w:hAnsi="Times New Roman" w:cs="Times New Roman"/>
                <w:szCs w:val="21"/>
              </w:rPr>
              <w:t>（月数）</w:t>
            </w:r>
          </w:p>
        </w:tc>
        <w:tc>
          <w:tcPr>
            <w:tcW w:w="5103" w:type="dxa"/>
            <w:vAlign w:val="center"/>
          </w:tcPr>
          <w:p w:rsidR="00FF197C" w:rsidP="001572FB">
            <w:pPr>
              <w:snapToGrid w:val="0"/>
              <w:ind w:left="480"/>
              <w:jc w:val="center"/>
              <w:rPr>
                <w:rFonts w:ascii="Times New Roman" w:eastAsia="黑体" w:hAnsi="Times New Roman" w:cs="Times New Roman"/>
                <w:szCs w:val="21"/>
              </w:rPr>
            </w:pPr>
            <w:r>
              <w:rPr>
                <w:rFonts w:ascii="Times New Roman" w:eastAsia="黑体" w:hAnsi="Times New Roman" w:cs="Times New Roman"/>
                <w:szCs w:val="21"/>
              </w:rPr>
              <w:t>基本要求</w:t>
            </w:r>
          </w:p>
        </w:tc>
      </w:tr>
      <w:tr w:rsidTr="001572FB">
        <w:tblPrEx>
          <w:tblW w:w="8525" w:type="dxa"/>
          <w:jc w:val="center"/>
          <w:tblLayout w:type="fixed"/>
          <w:tblLook w:val="04A0"/>
        </w:tblPrEx>
        <w:trPr>
          <w:jc w:val="center"/>
        </w:trPr>
        <w:tc>
          <w:tcPr>
            <w:tcW w:w="214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需求分析</w:t>
            </w:r>
          </w:p>
        </w:tc>
        <w:tc>
          <w:tcPr>
            <w:tcW w:w="127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1</w:t>
            </w:r>
          </w:p>
        </w:tc>
        <w:tc>
          <w:tcPr>
            <w:tcW w:w="5103" w:type="dxa"/>
            <w:vAlign w:val="center"/>
          </w:tcPr>
          <w:p w:rsidR="00FF197C" w:rsidP="001572FB">
            <w:pPr>
              <w:snapToGrid w:val="0"/>
              <w:spacing w:before="156" w:beforeLines="50"/>
              <w:jc w:val="left"/>
              <w:rPr>
                <w:rFonts w:ascii="Times New Roman" w:hAnsi="Times New Roman" w:cs="Times New Roman"/>
                <w:szCs w:val="21"/>
              </w:rPr>
            </w:pPr>
            <w:r>
              <w:rPr>
                <w:rFonts w:ascii="Times New Roman" w:hAnsi="Times New Roman" w:cs="Times New Roman"/>
                <w:szCs w:val="21"/>
              </w:rPr>
              <w:t>完成任务书中所有软件功能的分析，提交软件需求阶段应提交的各类文档</w:t>
            </w:r>
          </w:p>
        </w:tc>
      </w:tr>
      <w:tr w:rsidTr="001572FB">
        <w:tblPrEx>
          <w:tblW w:w="8525" w:type="dxa"/>
          <w:jc w:val="center"/>
          <w:tblLayout w:type="fixed"/>
          <w:tblLook w:val="04A0"/>
        </w:tblPrEx>
        <w:trPr>
          <w:jc w:val="center"/>
        </w:trPr>
        <w:tc>
          <w:tcPr>
            <w:tcW w:w="214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系统设计</w:t>
            </w:r>
          </w:p>
        </w:tc>
        <w:tc>
          <w:tcPr>
            <w:tcW w:w="127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hint="eastAsia"/>
                <w:szCs w:val="21"/>
              </w:rPr>
              <w:t>2</w:t>
            </w:r>
          </w:p>
        </w:tc>
        <w:tc>
          <w:tcPr>
            <w:tcW w:w="5103" w:type="dxa"/>
            <w:vAlign w:val="center"/>
          </w:tcPr>
          <w:p w:rsidR="00FF197C" w:rsidP="001572FB">
            <w:pPr>
              <w:snapToGrid w:val="0"/>
              <w:spacing w:before="156" w:beforeLines="50"/>
              <w:jc w:val="left"/>
              <w:rPr>
                <w:rFonts w:ascii="Times New Roman" w:hAnsi="Times New Roman" w:cs="Times New Roman"/>
                <w:szCs w:val="21"/>
              </w:rPr>
            </w:pPr>
            <w:r>
              <w:rPr>
                <w:rFonts w:ascii="Times New Roman" w:hAnsi="Times New Roman" w:cs="Times New Roman"/>
                <w:szCs w:val="21"/>
              </w:rPr>
              <w:t>完成任务书中所有软件功能的设计，提交概要设计阶段应提交的各类文档，提供客户端原型设计</w:t>
            </w:r>
          </w:p>
        </w:tc>
      </w:tr>
      <w:tr w:rsidTr="001572FB">
        <w:tblPrEx>
          <w:tblW w:w="8525" w:type="dxa"/>
          <w:jc w:val="center"/>
          <w:tblLayout w:type="fixed"/>
          <w:tblLook w:val="04A0"/>
        </w:tblPrEx>
        <w:trPr>
          <w:jc w:val="center"/>
        </w:trPr>
        <w:tc>
          <w:tcPr>
            <w:tcW w:w="214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编码开发</w:t>
            </w:r>
          </w:p>
        </w:tc>
        <w:tc>
          <w:tcPr>
            <w:tcW w:w="127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6</w:t>
            </w:r>
          </w:p>
        </w:tc>
        <w:tc>
          <w:tcPr>
            <w:tcW w:w="5103" w:type="dxa"/>
            <w:vAlign w:val="center"/>
          </w:tcPr>
          <w:p w:rsidR="00FF197C" w:rsidP="001572FB">
            <w:pPr>
              <w:snapToGrid w:val="0"/>
              <w:spacing w:before="156" w:beforeLines="50"/>
              <w:jc w:val="left"/>
              <w:rPr>
                <w:rFonts w:ascii="Times New Roman" w:hAnsi="Times New Roman" w:cs="Times New Roman"/>
                <w:szCs w:val="21"/>
              </w:rPr>
            </w:pPr>
            <w:r>
              <w:rPr>
                <w:rFonts w:ascii="Times New Roman" w:hAnsi="Times New Roman" w:cs="Times New Roman"/>
                <w:szCs w:val="21"/>
              </w:rPr>
              <w:t>完成程序编码、调试和单元测试、集成测试</w:t>
            </w:r>
            <w:r>
              <w:rPr>
                <w:rFonts w:ascii="Times New Roman" w:hAnsi="Times New Roman" w:cs="Times New Roman"/>
                <w:szCs w:val="21"/>
              </w:rPr>
              <w:t xml:space="preserve"> </w:t>
            </w:r>
          </w:p>
        </w:tc>
      </w:tr>
      <w:tr w:rsidTr="001572FB">
        <w:tblPrEx>
          <w:tblW w:w="8525" w:type="dxa"/>
          <w:jc w:val="center"/>
          <w:tblLayout w:type="fixed"/>
          <w:tblLook w:val="04A0"/>
        </w:tblPrEx>
        <w:trPr>
          <w:jc w:val="center"/>
        </w:trPr>
        <w:tc>
          <w:tcPr>
            <w:tcW w:w="214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系统测试</w:t>
            </w:r>
            <w:r>
              <w:rPr>
                <w:rFonts w:ascii="Times New Roman" w:hAnsi="Times New Roman" w:cs="Times New Roman" w:hint="eastAsia"/>
                <w:szCs w:val="21"/>
              </w:rPr>
              <w:t>运行</w:t>
            </w:r>
          </w:p>
        </w:tc>
        <w:tc>
          <w:tcPr>
            <w:tcW w:w="127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1</w:t>
            </w:r>
          </w:p>
        </w:tc>
        <w:tc>
          <w:tcPr>
            <w:tcW w:w="5103" w:type="dxa"/>
            <w:vAlign w:val="center"/>
          </w:tcPr>
          <w:p w:rsidR="00FF197C" w:rsidP="001572FB">
            <w:pPr>
              <w:snapToGrid w:val="0"/>
              <w:spacing w:before="156" w:beforeLines="50"/>
              <w:jc w:val="left"/>
              <w:rPr>
                <w:rFonts w:ascii="Times New Roman" w:hAnsi="Times New Roman" w:cs="Times New Roman"/>
                <w:szCs w:val="21"/>
              </w:rPr>
            </w:pPr>
            <w:r>
              <w:rPr>
                <w:rFonts w:ascii="Times New Roman" w:hAnsi="Times New Roman" w:cs="Times New Roman"/>
                <w:szCs w:val="21"/>
              </w:rPr>
              <w:t>完成测试</w:t>
            </w:r>
            <w:r>
              <w:rPr>
                <w:rFonts w:ascii="Times New Roman" w:hAnsi="Times New Roman" w:cs="Times New Roman" w:hint="eastAsia"/>
                <w:szCs w:val="21"/>
              </w:rPr>
              <w:t>运行</w:t>
            </w:r>
            <w:r>
              <w:rPr>
                <w:rFonts w:ascii="Times New Roman" w:hAnsi="Times New Roman" w:cs="Times New Roman"/>
                <w:szCs w:val="21"/>
              </w:rPr>
              <w:t>方案编制，并通过专家评审</w:t>
            </w:r>
          </w:p>
        </w:tc>
      </w:tr>
      <w:tr w:rsidTr="001572FB">
        <w:tblPrEx>
          <w:tblW w:w="8525" w:type="dxa"/>
          <w:jc w:val="center"/>
          <w:tblLayout w:type="fixed"/>
          <w:tblLook w:val="04A0"/>
        </w:tblPrEx>
        <w:trPr>
          <w:jc w:val="center"/>
        </w:trPr>
        <w:tc>
          <w:tcPr>
            <w:tcW w:w="214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项目验收</w:t>
            </w:r>
          </w:p>
        </w:tc>
        <w:tc>
          <w:tcPr>
            <w:tcW w:w="1276"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hint="eastAsia"/>
                <w:szCs w:val="21"/>
              </w:rPr>
              <w:t>2</w:t>
            </w:r>
          </w:p>
        </w:tc>
        <w:tc>
          <w:tcPr>
            <w:tcW w:w="5103" w:type="dxa"/>
            <w:vAlign w:val="center"/>
          </w:tcPr>
          <w:p w:rsidR="00FF197C" w:rsidP="001572FB">
            <w:pPr>
              <w:snapToGrid w:val="0"/>
              <w:spacing w:before="156" w:beforeLines="50"/>
              <w:jc w:val="left"/>
              <w:rPr>
                <w:rFonts w:ascii="Times New Roman" w:hAnsi="Times New Roman" w:cs="Times New Roman"/>
                <w:szCs w:val="21"/>
              </w:rPr>
            </w:pPr>
            <w:r>
              <w:rPr>
                <w:rFonts w:ascii="Times New Roman" w:hAnsi="Times New Roman" w:cs="Times New Roman"/>
                <w:szCs w:val="21"/>
              </w:rPr>
              <w:t>完成系统验收、成果移交。</w:t>
            </w:r>
          </w:p>
        </w:tc>
      </w:tr>
    </w:tbl>
    <w:p w:rsidR="00FF197C" w:rsidP="00FF197C">
      <w:pPr>
        <w:pStyle w:val="Heading2"/>
        <w:keepNext/>
        <w:keepLines/>
        <w:widowControl w:val="0"/>
        <w:numPr>
          <w:ilvl w:val="1"/>
          <w:numId w:val="4"/>
        </w:numPr>
        <w:spacing w:before="260" w:after="260" w:line="415" w:lineRule="auto"/>
        <w:ind w:left="576" w:hanging="576"/>
        <w:jc w:val="both"/>
      </w:pPr>
      <w:bookmarkStart w:id="167" w:name="_Toc219395430"/>
      <w:r>
        <w:t>项目组织与管理要求</w:t>
      </w:r>
      <w:bookmarkStart w:id="168" w:name="_Toc166252364"/>
      <w:bookmarkEnd w:id="167"/>
    </w:p>
    <w:p w:rsidR="00FF197C" w:rsidP="00FF197C">
      <w:pPr>
        <w:ind w:firstLine="420" w:firstLineChars="200"/>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）编制软件开发实施进度计划并组织实施</w:t>
      </w:r>
      <w:bookmarkEnd w:id="168"/>
    </w:p>
    <w:p w:rsidR="00FF197C" w:rsidP="00FF197C">
      <w:pPr>
        <w:ind w:firstLine="420" w:firstLineChars="200"/>
        <w:rPr>
          <w:rFonts w:ascii="Times New Roman" w:hAnsi="Times New Roman" w:cs="Times New Roman"/>
        </w:rPr>
      </w:pPr>
      <w:r>
        <w:rPr>
          <w:rFonts w:ascii="Times New Roman" w:hAnsi="Times New Roman" w:cs="Times New Roman"/>
        </w:rPr>
        <w:t>1</w:t>
      </w:r>
      <w:r>
        <w:rPr>
          <w:rFonts w:ascii="Times New Roman" w:hAnsi="Times New Roman" w:cs="Times New Roman"/>
        </w:rPr>
        <w:t>）提供软件开发实施详细计划。</w:t>
      </w:r>
    </w:p>
    <w:p w:rsidR="00FF197C" w:rsidP="00FF197C">
      <w:pPr>
        <w:ind w:firstLine="420" w:firstLineChars="200"/>
        <w:rPr>
          <w:rFonts w:ascii="Times New Roman" w:hAnsi="Times New Roman" w:cs="Times New Roman"/>
        </w:rPr>
      </w:pPr>
      <w:r>
        <w:rPr>
          <w:rFonts w:ascii="Times New Roman" w:hAnsi="Times New Roman" w:cs="Times New Roman"/>
        </w:rPr>
        <w:t>2</w:t>
      </w:r>
      <w:r>
        <w:rPr>
          <w:rFonts w:ascii="Times New Roman" w:hAnsi="Times New Roman" w:cs="Times New Roman"/>
        </w:rPr>
        <w:t>）解决软件开发实施过程中出现的各种技术问题。</w:t>
      </w:r>
    </w:p>
    <w:p w:rsidR="00FF197C" w:rsidP="00FF197C">
      <w:pPr>
        <w:ind w:firstLine="420" w:firstLineChars="200"/>
        <w:rPr>
          <w:rFonts w:ascii="Times New Roman" w:hAnsi="Times New Roman" w:cs="Times New Roman"/>
        </w:rPr>
      </w:pPr>
      <w:r>
        <w:rPr>
          <w:rFonts w:ascii="Times New Roman" w:hAnsi="Times New Roman" w:cs="Times New Roman"/>
        </w:rPr>
        <w:t>3</w:t>
      </w:r>
      <w:r>
        <w:rPr>
          <w:rFonts w:ascii="Times New Roman" w:hAnsi="Times New Roman" w:cs="Times New Roman"/>
        </w:rPr>
        <w:t>）计划周密，当项目建设过程中出现变化时，要能及时做出调整。</w:t>
      </w:r>
    </w:p>
    <w:p w:rsidR="00FF197C" w:rsidP="00FF197C">
      <w:pPr>
        <w:ind w:firstLine="420" w:firstLineChars="200"/>
        <w:rPr>
          <w:rFonts w:ascii="Times New Roman" w:hAnsi="Times New Roman" w:cs="Times New Roman"/>
        </w:rPr>
      </w:pPr>
      <w:r>
        <w:rPr>
          <w:rFonts w:ascii="Times New Roman" w:hAnsi="Times New Roman" w:cs="Times New Roman"/>
        </w:rPr>
        <w:t>4</w:t>
      </w:r>
      <w:r>
        <w:rPr>
          <w:rFonts w:ascii="Times New Roman" w:hAnsi="Times New Roman" w:cs="Times New Roman"/>
        </w:rPr>
        <w:t>）要有规范的整体项目管理、项目质量管理和进度管理机制。</w:t>
      </w:r>
      <w:bookmarkStart w:id="169" w:name="_Toc166252365"/>
    </w:p>
    <w:p w:rsidR="00FF197C" w:rsidP="00FF197C">
      <w:pPr>
        <w:ind w:firstLine="420" w:firstLineChars="200"/>
        <w:rPr>
          <w:rFonts w:ascii="Times New Roman" w:hAnsi="Times New Roman" w:cs="Times New Roman"/>
        </w:rPr>
      </w:pPr>
      <w:r>
        <w:rPr>
          <w:rFonts w:ascii="Times New Roman" w:hAnsi="Times New Roman" w:cs="Times New Roman"/>
        </w:rPr>
        <w:t>（</w:t>
      </w:r>
      <w:r>
        <w:rPr>
          <w:rFonts w:ascii="Times New Roman" w:hAnsi="Times New Roman" w:cs="Times New Roman"/>
        </w:rPr>
        <w:t>2</w:t>
      </w:r>
      <w:r>
        <w:rPr>
          <w:rFonts w:ascii="Times New Roman" w:hAnsi="Times New Roman" w:cs="Times New Roman"/>
        </w:rPr>
        <w:t>）进行项目开发的日常组织、管理、协调</w:t>
      </w:r>
      <w:bookmarkEnd w:id="169"/>
    </w:p>
    <w:p w:rsidR="00FF197C" w:rsidP="00FF197C">
      <w:pPr>
        <w:ind w:firstLine="420" w:firstLineChars="200"/>
        <w:rPr>
          <w:rFonts w:ascii="Times New Roman" w:hAnsi="Times New Roman" w:cs="Times New Roman"/>
        </w:rPr>
      </w:pPr>
      <w:r>
        <w:rPr>
          <w:rFonts w:ascii="Times New Roman" w:hAnsi="Times New Roman" w:cs="Times New Roman"/>
        </w:rPr>
        <w:t>1</w:t>
      </w:r>
      <w:r>
        <w:rPr>
          <w:rFonts w:ascii="Times New Roman" w:hAnsi="Times New Roman" w:cs="Times New Roman"/>
        </w:rPr>
        <w:t>）参加采购人组织与项目建设有关的各类会议。</w:t>
      </w:r>
    </w:p>
    <w:p w:rsidR="00FF197C" w:rsidP="00FF197C">
      <w:pPr>
        <w:ind w:firstLine="420" w:firstLineChars="200"/>
        <w:rPr>
          <w:rFonts w:ascii="Times New Roman" w:hAnsi="Times New Roman" w:cs="Times New Roman"/>
        </w:rPr>
      </w:pPr>
      <w:r>
        <w:rPr>
          <w:rFonts w:ascii="Times New Roman" w:hAnsi="Times New Roman" w:cs="Times New Roman"/>
        </w:rPr>
        <w:t>2</w:t>
      </w:r>
      <w:r>
        <w:rPr>
          <w:rFonts w:ascii="Times New Roman" w:hAnsi="Times New Roman" w:cs="Times New Roman"/>
        </w:rPr>
        <w:t>）要遵循相应的项目管理规范，并有相应的项目管理文档。</w:t>
      </w:r>
    </w:p>
    <w:p w:rsidR="00FF197C" w:rsidP="00FF197C">
      <w:pPr>
        <w:ind w:firstLine="420" w:firstLineChars="200"/>
        <w:rPr>
          <w:rFonts w:ascii="Times New Roman" w:hAnsi="Times New Roman" w:cs="Times New Roman"/>
        </w:rPr>
      </w:pPr>
      <w:r>
        <w:rPr>
          <w:rFonts w:ascii="Times New Roman" w:hAnsi="Times New Roman" w:cs="Times New Roman"/>
        </w:rPr>
        <w:t>3</w:t>
      </w:r>
      <w:r>
        <w:rPr>
          <w:rFonts w:ascii="Times New Roman" w:hAnsi="Times New Roman" w:cs="Times New Roman"/>
        </w:rPr>
        <w:t>）对项目建设任务中出现的调整，要及时做出安排，并尊重采购人的安排。</w:t>
      </w:r>
    </w:p>
    <w:p w:rsidR="00FF197C" w:rsidP="00FF197C">
      <w:pPr>
        <w:pStyle w:val="Heading2"/>
        <w:keepNext/>
        <w:keepLines/>
        <w:widowControl w:val="0"/>
        <w:numPr>
          <w:ilvl w:val="1"/>
          <w:numId w:val="4"/>
        </w:numPr>
        <w:spacing w:before="260" w:after="260" w:line="415" w:lineRule="auto"/>
        <w:ind w:left="576" w:hanging="576"/>
        <w:jc w:val="both"/>
      </w:pPr>
      <w:bookmarkStart w:id="170" w:name="_Toc166252366"/>
      <w:bookmarkStart w:id="171" w:name="_Toc26956"/>
      <w:bookmarkStart w:id="172" w:name="_Toc219395431"/>
      <w:r>
        <w:t>人员</w:t>
      </w:r>
      <w:r>
        <w:rPr>
          <w:rFonts w:hint="eastAsia"/>
        </w:rPr>
        <w:t>及驻场</w:t>
      </w:r>
      <w:r>
        <w:t>要求</w:t>
      </w:r>
      <w:bookmarkEnd w:id="170"/>
      <w:bookmarkEnd w:id="171"/>
      <w:bookmarkEnd w:id="172"/>
    </w:p>
    <w:p w:rsidR="00FF197C" w:rsidP="00FF197C">
      <w:pPr>
        <w:ind w:firstLine="420"/>
        <w:rPr>
          <w:rFonts w:ascii="宋体" w:hAnsi="宋体" w:hint="eastAsia"/>
          <w:szCs w:val="21"/>
        </w:rPr>
      </w:pPr>
      <w:r>
        <w:rPr>
          <w:rFonts w:ascii="宋体" w:hAnsi="宋体" w:hint="eastAsia"/>
          <w:szCs w:val="21"/>
        </w:rPr>
        <w:t>本项目需要组建专门的驻场运维服务团队，其中驻场人员须包括气象、计算机等相关专业背景人员。项目负责人具备多年项目管理经验，且承担过相关项目管理工作；驻场团队必须包括气象或相关专业背景人员、以及计算机及相关背景人员等。驻场期间，服务团队人员所使用的设备由中标人承担，形成的水电费用由采购人承担，形成的食宿费用由中标人承担。</w:t>
      </w:r>
    </w:p>
    <w:p w:rsidR="00FF197C" w:rsidP="00FF197C">
      <w:pPr>
        <w:ind w:firstLine="420"/>
      </w:pPr>
      <w:r>
        <w:rPr>
          <w:rFonts w:ascii="宋体" w:hAnsi="宋体" w:hint="eastAsia"/>
          <w:szCs w:val="21"/>
        </w:rPr>
        <w:t>项目团队成员不少于8人，</w:t>
      </w:r>
      <w:r>
        <w:rPr>
          <w:rFonts w:ascii="Times New Roman" w:hAnsi="Times New Roman" w:cs="Times New Roman"/>
        </w:rPr>
        <w:t>应分别配备有项目经理、技术负责人承担本项目工作，项目经理和技术负责人都应具有</w:t>
      </w:r>
      <w:r>
        <w:rPr>
          <w:rFonts w:ascii="Times New Roman" w:hAnsi="Times New Roman" w:cs="Times New Roman"/>
        </w:rPr>
        <w:t>3</w:t>
      </w:r>
      <w:r>
        <w:rPr>
          <w:rFonts w:ascii="Times New Roman" w:hAnsi="Times New Roman" w:cs="Times New Roman"/>
        </w:rPr>
        <w:t>年以上气象信息化软件管理或开发的经验，其它技术人员必须具有两年以上相关项目软件设计、开发和集成经验，能够与用户进行良好的沟通</w:t>
      </w:r>
      <w:r>
        <w:rPr>
          <w:rFonts w:ascii="Times New Roman" w:hAnsi="Times New Roman" w:cs="Times New Roman" w:hint="eastAsia"/>
        </w:rPr>
        <w:t>。</w:t>
      </w:r>
      <w:r>
        <w:rPr>
          <w:rFonts w:ascii="宋体" w:hAnsi="宋体" w:hint="eastAsia"/>
          <w:szCs w:val="21"/>
        </w:rPr>
        <w:t>其中，实</w:t>
      </w:r>
      <w:r>
        <w:rPr>
          <w:rFonts w:ascii="宋体" w:hAnsi="宋体" w:hint="eastAsia"/>
          <w:szCs w:val="21"/>
        </w:rPr>
        <w:t>施期驻场人员不少于4人，其他人员有需要必须能够提供现场服务。</w:t>
      </w:r>
    </w:p>
    <w:p w:rsidR="00FF197C" w:rsidP="00FF197C">
      <w:pPr>
        <w:pStyle w:val="Heading2"/>
        <w:keepNext/>
        <w:keepLines/>
        <w:widowControl w:val="0"/>
        <w:numPr>
          <w:ilvl w:val="1"/>
          <w:numId w:val="4"/>
        </w:numPr>
        <w:spacing w:before="260" w:after="260" w:line="415" w:lineRule="auto"/>
        <w:ind w:left="576" w:hanging="576"/>
        <w:jc w:val="both"/>
      </w:pPr>
      <w:bookmarkStart w:id="173" w:name="_Toc2536"/>
      <w:bookmarkStart w:id="174" w:name="_Toc24642"/>
      <w:bookmarkStart w:id="175" w:name="_Toc14445900"/>
      <w:bookmarkStart w:id="176" w:name="_Toc166252368"/>
      <w:bookmarkStart w:id="177" w:name="_Toc219395432"/>
      <w:bookmarkStart w:id="178" w:name="_Toc166252363"/>
      <w:bookmarkStart w:id="179" w:name="_Toc166252367"/>
      <w:bookmarkStart w:id="180" w:name="_Toc31869"/>
      <w:bookmarkStart w:id="181" w:name="_Toc5283"/>
      <w:bookmarkStart w:id="182" w:name="_Toc14445899"/>
      <w:bookmarkStart w:id="183" w:name="_Toc31020"/>
      <w:r>
        <w:t>安全保密要求</w:t>
      </w:r>
      <w:bookmarkEnd w:id="173"/>
      <w:bookmarkEnd w:id="174"/>
      <w:bookmarkEnd w:id="175"/>
      <w:bookmarkEnd w:id="176"/>
      <w:bookmarkEnd w:id="177"/>
    </w:p>
    <w:p w:rsidR="00FF197C" w:rsidP="00FF197C">
      <w:pPr>
        <w:ind w:firstLine="420" w:firstLineChars="200"/>
        <w:rPr>
          <w:rFonts w:ascii="Times New Roman" w:hAnsi="Times New Roman" w:cs="Times New Roman"/>
        </w:rPr>
      </w:pPr>
      <w:r>
        <w:rPr>
          <w:rFonts w:ascii="Times New Roman" w:hAnsi="Times New Roman" w:cs="Times New Roman"/>
        </w:rPr>
        <w:t>投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p w:rsidR="00FF197C" w:rsidP="00FF197C">
      <w:pPr>
        <w:pStyle w:val="Heading2"/>
        <w:keepNext/>
        <w:keepLines/>
        <w:widowControl w:val="0"/>
        <w:numPr>
          <w:ilvl w:val="1"/>
          <w:numId w:val="4"/>
        </w:numPr>
        <w:spacing w:before="260" w:after="260" w:line="415" w:lineRule="auto"/>
        <w:ind w:left="576" w:hanging="576"/>
        <w:jc w:val="both"/>
      </w:pPr>
      <w:bookmarkStart w:id="184" w:name="_Toc166252370"/>
      <w:bookmarkStart w:id="185" w:name="_Toc324"/>
      <w:bookmarkStart w:id="186" w:name="_Toc14445902"/>
      <w:bookmarkStart w:id="187" w:name="_Toc27149"/>
      <w:bookmarkStart w:id="188" w:name="_Toc219395433"/>
      <w:bookmarkStart w:id="189" w:name="_Toc166252369"/>
      <w:bookmarkStart w:id="190" w:name="_Toc14445901"/>
      <w:bookmarkStart w:id="191" w:name="_Toc17648"/>
      <w:bookmarkStart w:id="192" w:name="_Toc12405"/>
      <w:bookmarkEnd w:id="178"/>
      <w:bookmarkEnd w:id="179"/>
      <w:bookmarkEnd w:id="180"/>
      <w:bookmarkEnd w:id="181"/>
      <w:bookmarkEnd w:id="182"/>
      <w:bookmarkEnd w:id="183"/>
      <w:r>
        <w:t>知识产权要求</w:t>
      </w:r>
      <w:bookmarkEnd w:id="184"/>
      <w:bookmarkEnd w:id="185"/>
      <w:bookmarkEnd w:id="186"/>
      <w:bookmarkEnd w:id="187"/>
      <w:bookmarkEnd w:id="188"/>
    </w:p>
    <w:p w:rsidR="00FF197C" w:rsidP="00FF197C">
      <w:pPr>
        <w:ind w:firstLine="420" w:firstLineChars="200"/>
        <w:rPr>
          <w:rFonts w:ascii="Times New Roman" w:hAnsi="Times New Roman" w:cs="Times New Roman"/>
        </w:rPr>
      </w:pPr>
      <w:r>
        <w:rPr>
          <w:rFonts w:ascii="Times New Roman" w:hAnsi="Times New Roman" w:cs="Times New Roman"/>
        </w:rPr>
        <w:t>项目建设中，承建方按甲方要求进行源代码和项目相关文档的规范化管理，不得向第三方提供或泄露。项目结束后，承建方向甲方提交完整的源代码和相关说明材料，不得以任何形式保存项目的源代码。全部及</w:t>
      </w:r>
      <w:r>
        <w:rPr>
          <w:rFonts w:ascii="Times New Roman" w:hAnsi="Times New Roman" w:cs="Times New Roman"/>
        </w:rPr>
        <w:t>/</w:t>
      </w:r>
      <w:r>
        <w:rPr>
          <w:rFonts w:ascii="Times New Roman" w:hAnsi="Times New Roman" w:cs="Times New Roman"/>
        </w:rPr>
        <w:t>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w:t>
      </w:r>
      <w:r>
        <w:rPr>
          <w:rFonts w:ascii="Times New Roman" w:hAnsi="Times New Roman" w:cs="Times New Roman"/>
        </w:rPr>
        <w:t>/</w:t>
      </w:r>
      <w:r>
        <w:rPr>
          <w:rFonts w:ascii="Times New Roman" w:hAnsi="Times New Roman" w:cs="Times New Roman"/>
        </w:rPr>
        <w:t>或任何责任，包括但不限于应当承担其自身及采购方为排除任何争议或瑕疵所应当或所需支付的一切相关</w:t>
      </w:r>
      <w:r>
        <w:rPr>
          <w:rFonts w:ascii="Times New Roman" w:hAnsi="Times New Roman" w:cs="Times New Roman"/>
        </w:rPr>
        <w:t>/</w:t>
      </w:r>
      <w:r>
        <w:rPr>
          <w:rFonts w:ascii="Times New Roman" w:hAnsi="Times New Roman" w:cs="Times New Roman"/>
        </w:rPr>
        <w:t>或由此引起的费用。</w:t>
      </w:r>
    </w:p>
    <w:p w:rsidR="00FF197C" w:rsidP="00FF197C">
      <w:pPr>
        <w:ind w:firstLine="420" w:firstLineChars="200"/>
        <w:rPr>
          <w:rFonts w:ascii="Times New Roman" w:hAnsi="Times New Roman" w:cs="Times New Roman"/>
        </w:rPr>
      </w:pPr>
      <w:r>
        <w:rPr>
          <w:rFonts w:ascii="Times New Roman" w:hAnsi="Times New Roman" w:cs="Times New Roman"/>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w:t>
      </w:r>
      <w:r>
        <w:rPr>
          <w:rFonts w:ascii="Times New Roman" w:hAnsi="Times New Roman" w:cs="Times New Roman"/>
        </w:rPr>
        <w:t>/</w:t>
      </w:r>
      <w:r>
        <w:rPr>
          <w:rFonts w:ascii="Times New Roman" w:hAnsi="Times New Roman" w:cs="Times New Roman"/>
        </w:rPr>
        <w:t>或任何责任，包括但不限于应当承担其自身及采购中心为排除任何争议及</w:t>
      </w:r>
      <w:r>
        <w:rPr>
          <w:rFonts w:ascii="Times New Roman" w:hAnsi="Times New Roman" w:cs="Times New Roman"/>
        </w:rPr>
        <w:t>/</w:t>
      </w:r>
      <w:r>
        <w:rPr>
          <w:rFonts w:ascii="Times New Roman" w:hAnsi="Times New Roman" w:cs="Times New Roman"/>
        </w:rPr>
        <w:t>或赔偿侵权所应当或所需支付的一切相关及</w:t>
      </w:r>
      <w:r>
        <w:rPr>
          <w:rFonts w:ascii="Times New Roman" w:hAnsi="Times New Roman" w:cs="Times New Roman"/>
        </w:rPr>
        <w:t>/</w:t>
      </w:r>
      <w:r>
        <w:rPr>
          <w:rFonts w:ascii="Times New Roman" w:hAnsi="Times New Roman" w:cs="Times New Roman"/>
        </w:rPr>
        <w:t>或由此引起的费用。</w:t>
      </w:r>
    </w:p>
    <w:p w:rsidR="00FF197C" w:rsidP="00FF197C">
      <w:pPr>
        <w:pStyle w:val="Heading1"/>
        <w:keepNext/>
        <w:keepLines/>
        <w:widowControl w:val="0"/>
        <w:numPr>
          <w:numId w:val="4"/>
        </w:numPr>
        <w:tabs>
          <w:tab w:val="left" w:pos="432"/>
        </w:tabs>
        <w:adjustRightInd w:val="0"/>
        <w:spacing w:before="340" w:after="120" w:line="360" w:lineRule="auto"/>
        <w:ind w:left="0" w:firstLine="0"/>
        <w:jc w:val="left"/>
        <w:rPr>
          <w:rFonts w:eastAsia="黑体"/>
        </w:rPr>
      </w:pPr>
      <w:bookmarkStart w:id="193" w:name="_Toc219395434"/>
      <w:r>
        <w:rPr>
          <w:rFonts w:eastAsia="黑体" w:hint="eastAsia"/>
        </w:rPr>
        <w:t>验收交付要求</w:t>
      </w:r>
      <w:bookmarkEnd w:id="193"/>
    </w:p>
    <w:p w:rsidR="00FF197C" w:rsidP="00FF197C">
      <w:pPr>
        <w:pStyle w:val="Heading2"/>
        <w:keepNext/>
        <w:keepLines/>
        <w:widowControl w:val="0"/>
        <w:numPr>
          <w:ilvl w:val="1"/>
          <w:numId w:val="4"/>
        </w:numPr>
        <w:spacing w:before="260" w:after="260" w:line="415" w:lineRule="auto"/>
        <w:ind w:left="576" w:hanging="576"/>
        <w:jc w:val="both"/>
      </w:pPr>
      <w:bookmarkStart w:id="194" w:name="_Toc219395435"/>
      <w:bookmarkStart w:id="195" w:name="_Toc166252362"/>
      <w:bookmarkStart w:id="196" w:name="_Toc27519"/>
      <w:r>
        <w:rPr>
          <w:rFonts w:hint="eastAsia"/>
        </w:rPr>
        <w:t>验收要求</w:t>
      </w:r>
      <w:bookmarkEnd w:id="194"/>
    </w:p>
    <w:p w:rsidR="00FF197C" w:rsidP="00FF197C">
      <w:pPr>
        <w:pStyle w:val="Heading3"/>
        <w:keepNext/>
        <w:keepLines/>
        <w:widowControl w:val="0"/>
        <w:numPr>
          <w:ilvl w:val="2"/>
          <w:numId w:val="4"/>
        </w:numPr>
        <w:autoSpaceDE w:val="0"/>
        <w:autoSpaceDN w:val="0"/>
        <w:adjustRightInd w:val="0"/>
        <w:spacing w:before="200" w:after="120" w:line="360" w:lineRule="auto"/>
        <w:ind w:left="720" w:hanging="720"/>
        <w:jc w:val="left"/>
        <w:rPr>
          <w:rFonts w:hint="eastAsia"/>
        </w:rPr>
      </w:pPr>
      <w:r>
        <w:rPr>
          <w:rFonts w:hint="eastAsia"/>
        </w:rPr>
        <w:t>测试</w:t>
      </w:r>
    </w:p>
    <w:p w:rsidR="00FF197C" w:rsidP="00FF197C">
      <w:pPr>
        <w:ind w:firstLine="420" w:firstLineChars="200"/>
        <w:rPr>
          <w:rFonts w:ascii="宋体" w:hAnsi="宋体" w:hint="eastAsia"/>
          <w:szCs w:val="21"/>
        </w:rPr>
      </w:pPr>
      <w:r>
        <w:rPr>
          <w:rFonts w:ascii="宋体" w:hAnsi="宋体" w:hint="eastAsia"/>
          <w:szCs w:val="21"/>
        </w:rPr>
        <w:t>请供应商提供具体进行各模块测试的测试方法和步骤，以最终验证各模块上线后的功能和性能能否合格；提供系统集成测试的测试方法和工作步骤，以最终验证系统全面上线之后功能和性能能否合格。</w:t>
      </w:r>
    </w:p>
    <w:p w:rsidR="00FF197C" w:rsidP="00FF197C">
      <w:pPr>
        <w:ind w:firstLine="420" w:firstLineChars="200"/>
        <w:rPr>
          <w:rFonts w:ascii="宋体" w:hAnsi="宋体" w:hint="eastAsia"/>
          <w:szCs w:val="21"/>
        </w:rPr>
      </w:pPr>
      <w:r>
        <w:rPr>
          <w:rFonts w:ascii="宋体" w:hAnsi="宋体" w:hint="eastAsia"/>
          <w:szCs w:val="21"/>
        </w:rPr>
        <w:t>请供应商列出在系统测试完成后，向招标方提供的所有信息化应用解决方案软件的合格证明、质量保证书、各类交付物等资料。</w:t>
      </w:r>
    </w:p>
    <w:p w:rsidR="00FF197C" w:rsidP="00FF197C">
      <w:pPr>
        <w:pStyle w:val="Heading3"/>
        <w:keepNext/>
        <w:keepLines/>
        <w:widowControl w:val="0"/>
        <w:numPr>
          <w:ilvl w:val="2"/>
          <w:numId w:val="4"/>
        </w:numPr>
        <w:autoSpaceDE w:val="0"/>
        <w:autoSpaceDN w:val="0"/>
        <w:adjustRightInd w:val="0"/>
        <w:spacing w:before="200" w:after="120" w:line="360" w:lineRule="auto"/>
        <w:ind w:left="720" w:hanging="720"/>
        <w:jc w:val="left"/>
        <w:rPr>
          <w:rFonts w:hint="eastAsia"/>
        </w:rPr>
      </w:pPr>
      <w:r>
        <w:rPr>
          <w:rFonts w:hint="eastAsia"/>
        </w:rPr>
        <w:t>验收</w:t>
      </w:r>
    </w:p>
    <w:p w:rsidR="00FF197C" w:rsidP="00FF197C">
      <w:pPr>
        <w:ind w:firstLine="412" w:firstLineChars="196"/>
        <w:jc w:val="left"/>
        <w:rPr>
          <w:rFonts w:ascii="宋体" w:hAnsi="宋体" w:hint="eastAsia"/>
          <w:szCs w:val="21"/>
        </w:rPr>
      </w:pPr>
      <w:r>
        <w:rPr>
          <w:rFonts w:ascii="宋体" w:hAnsi="宋体" w:hint="eastAsia"/>
          <w:szCs w:val="21"/>
        </w:rPr>
        <w:t>本项目的验收分为两个阶段：第一阶段为上线初验，第二个阶段为终验。验收要求及标准：</w:t>
      </w:r>
    </w:p>
    <w:p w:rsidR="00FF197C" w:rsidP="00FF197C">
      <w:pPr>
        <w:ind w:firstLine="412" w:firstLineChars="196"/>
        <w:jc w:val="left"/>
        <w:rPr>
          <w:rFonts w:ascii="宋体" w:hAnsi="宋体" w:hint="eastAsia"/>
          <w:szCs w:val="21"/>
        </w:rPr>
      </w:pPr>
      <w:r>
        <w:rPr>
          <w:rFonts w:ascii="宋体" w:hAnsi="宋体" w:hint="eastAsia"/>
          <w:szCs w:val="21"/>
        </w:rPr>
        <w:t>（1）上线初验：在乙方完成上述各项工作后，达到如下条件时即可提出上线初验申请：</w:t>
      </w:r>
    </w:p>
    <w:p w:rsidR="00FF197C" w:rsidP="00FF197C">
      <w:pPr>
        <w:numPr>
          <w:ilvl w:val="0"/>
          <w:numId w:val="5"/>
        </w:numPr>
        <w:spacing w:line="360" w:lineRule="auto"/>
        <w:rPr>
          <w:rFonts w:ascii="宋体" w:hAnsi="宋体" w:hint="eastAsia"/>
          <w:szCs w:val="21"/>
        </w:rPr>
      </w:pPr>
      <w:r>
        <w:rPr>
          <w:rFonts w:ascii="宋体" w:hAnsi="宋体"/>
          <w:szCs w:val="21"/>
        </w:rPr>
        <w:t>系统后台（包括但不限于服务器和中间件平台）部署到生产环境，客户端部署完成，</w:t>
      </w:r>
      <w:r>
        <w:rPr>
          <w:rFonts w:ascii="宋体" w:hAnsi="宋体"/>
          <w:szCs w:val="21"/>
        </w:rPr>
        <w:t>系统上线后连续</w:t>
      </w:r>
      <w:r>
        <w:rPr>
          <w:rFonts w:ascii="宋体" w:hAnsi="宋体" w:hint="eastAsia"/>
          <w:szCs w:val="21"/>
        </w:rPr>
        <w:t>1</w:t>
      </w:r>
      <w:r>
        <w:rPr>
          <w:rFonts w:ascii="宋体" w:hAnsi="宋体"/>
          <w:szCs w:val="21"/>
        </w:rPr>
        <w:t>个月平稳运行。达到平稳运行的条件至少为：系统功能满足需求、各类操作顺畅、性能稳定；</w:t>
      </w:r>
    </w:p>
    <w:p w:rsidR="00FF197C" w:rsidP="00FF197C">
      <w:pPr>
        <w:numPr>
          <w:ilvl w:val="0"/>
          <w:numId w:val="5"/>
        </w:numPr>
        <w:spacing w:line="360" w:lineRule="auto"/>
        <w:rPr>
          <w:rFonts w:ascii="宋体" w:hAnsi="宋体" w:hint="eastAsia"/>
          <w:szCs w:val="21"/>
        </w:rPr>
      </w:pPr>
      <w:r>
        <w:rPr>
          <w:rFonts w:ascii="宋体" w:hAnsi="宋体"/>
          <w:szCs w:val="21"/>
        </w:rPr>
        <w:t>系统采用“一级部署、多级应用”的部署架构，共涉及</w:t>
      </w:r>
      <w:r>
        <w:rPr>
          <w:rFonts w:ascii="宋体" w:hAnsi="宋体" w:hint="eastAsia"/>
          <w:szCs w:val="21"/>
        </w:rPr>
        <w:t>互联网、</w:t>
      </w:r>
      <w:r>
        <w:rPr>
          <w:rFonts w:ascii="宋体" w:hAnsi="宋体"/>
          <w:szCs w:val="21"/>
        </w:rPr>
        <w:t>气象内网DMZ区、气象内网业务区</w:t>
      </w:r>
      <w:r>
        <w:rPr>
          <w:rFonts w:ascii="宋体" w:hAnsi="宋体" w:hint="eastAsia"/>
          <w:szCs w:val="21"/>
        </w:rPr>
        <w:t>三</w:t>
      </w:r>
      <w:r>
        <w:rPr>
          <w:rFonts w:ascii="宋体" w:hAnsi="宋体"/>
          <w:szCs w:val="21"/>
        </w:rPr>
        <w:t>个网络区域。气象内网业务区用于</w:t>
      </w:r>
      <w:r w:rsidRPr="00435306">
        <w:rPr>
          <w:rFonts w:ascii="宋体" w:hAnsi="宋体" w:hint="eastAsia"/>
          <w:szCs w:val="21"/>
        </w:rPr>
        <w:t>全国闪信预警信息服务管理</w:t>
      </w:r>
      <w:r>
        <w:rPr>
          <w:rFonts w:ascii="宋体" w:hAnsi="宋体" w:hint="eastAsia"/>
          <w:szCs w:val="21"/>
        </w:rPr>
        <w:t>，</w:t>
      </w:r>
      <w:r>
        <w:rPr>
          <w:rFonts w:ascii="宋体" w:hAnsi="宋体"/>
          <w:szCs w:val="21"/>
        </w:rPr>
        <w:t>气象内网DMZ区</w:t>
      </w:r>
      <w:r>
        <w:rPr>
          <w:rFonts w:ascii="宋体" w:hAnsi="宋体" w:hint="eastAsia"/>
          <w:szCs w:val="21"/>
        </w:rPr>
        <w:t>和互联网</w:t>
      </w:r>
      <w:r>
        <w:rPr>
          <w:rFonts w:ascii="宋体" w:hAnsi="宋体"/>
          <w:szCs w:val="21"/>
        </w:rPr>
        <w:t>用于部署</w:t>
      </w:r>
      <w:r w:rsidRPr="005218EB">
        <w:rPr>
          <w:rFonts w:ascii="Times New Roman" w:hAnsi="Times New Roman" w:cs="Times New Roman" w:hint="eastAsia"/>
        </w:rPr>
        <w:t>发布通道共享服务接口</w:t>
      </w:r>
      <w:r>
        <w:rPr>
          <w:rFonts w:hint="eastAsia"/>
        </w:rPr>
        <w:t>组件</w:t>
      </w:r>
      <w:r>
        <w:rPr>
          <w:rFonts w:ascii="Times New Roman" w:hAnsi="Times New Roman" w:cs="Times New Roman" w:hint="eastAsia"/>
        </w:rPr>
        <w:t>、</w:t>
      </w:r>
      <w:r w:rsidRPr="005218EB">
        <w:rPr>
          <w:rFonts w:ascii="Times New Roman" w:hAnsi="Times New Roman" w:cs="Times New Roman" w:hint="eastAsia"/>
        </w:rPr>
        <w:t>闪信预警信息发布通道</w:t>
      </w:r>
      <w:r>
        <w:rPr>
          <w:rFonts w:hint="eastAsia"/>
        </w:rPr>
        <w:t>组件</w:t>
      </w:r>
      <w:r>
        <w:rPr>
          <w:rFonts w:ascii="Times New Roman" w:hAnsi="Times New Roman" w:cs="Times New Roman" w:hint="eastAsia"/>
        </w:rPr>
        <w:t>、</w:t>
      </w:r>
      <w:r>
        <w:rPr>
          <w:rFonts w:ascii="宋体" w:hAnsi="宋体"/>
          <w:szCs w:val="21"/>
        </w:rPr>
        <w:t>以及</w:t>
      </w:r>
      <w:r w:rsidRPr="005218EB">
        <w:rPr>
          <w:rFonts w:ascii="Times New Roman" w:hAnsi="Times New Roman" w:cs="Times New Roman" w:hint="eastAsia"/>
        </w:rPr>
        <w:t>闪信预警信息发布及管理</w:t>
      </w:r>
      <w:r>
        <w:rPr>
          <w:rFonts w:hint="eastAsia"/>
        </w:rPr>
        <w:t>组件、</w:t>
      </w:r>
      <w:r w:rsidRPr="00435306">
        <w:rPr>
          <w:rFonts w:ascii="宋体" w:hAnsi="宋体" w:hint="eastAsia"/>
          <w:szCs w:val="21"/>
        </w:rPr>
        <w:t>全国闪信预警信息服务管理</w:t>
      </w:r>
      <w:r>
        <w:rPr>
          <w:rFonts w:ascii="宋体" w:hAnsi="宋体" w:hint="eastAsia"/>
          <w:szCs w:val="21"/>
        </w:rPr>
        <w:t>、</w:t>
      </w:r>
      <w:r w:rsidRPr="002E2C82">
        <w:rPr>
          <w:rFonts w:ascii="宋体" w:hAnsi="宋体" w:hint="eastAsia"/>
          <w:szCs w:val="21"/>
        </w:rPr>
        <w:t>与国家突发事件预警信息发布系统集成组件</w:t>
      </w:r>
      <w:r>
        <w:rPr>
          <w:rFonts w:ascii="宋体" w:hAnsi="宋体" w:hint="eastAsia"/>
          <w:szCs w:val="21"/>
        </w:rPr>
        <w:t>等5个组件</w:t>
      </w:r>
      <w:r>
        <w:rPr>
          <w:rFonts w:ascii="Times New Roman" w:hAnsi="Times New Roman" w:cs="Times New Roman" w:hint="eastAsia"/>
        </w:rPr>
        <w:t>；</w:t>
      </w:r>
    </w:p>
    <w:p w:rsidR="00FF197C" w:rsidP="00FF197C">
      <w:pPr>
        <w:numPr>
          <w:ilvl w:val="0"/>
          <w:numId w:val="5"/>
        </w:numPr>
        <w:spacing w:line="360" w:lineRule="auto"/>
        <w:rPr>
          <w:rFonts w:ascii="宋体" w:hAnsi="宋体" w:hint="eastAsia"/>
          <w:szCs w:val="21"/>
        </w:rPr>
      </w:pPr>
      <w:r>
        <w:rPr>
          <w:rFonts w:ascii="宋体" w:hAnsi="宋体"/>
          <w:szCs w:val="21"/>
        </w:rPr>
        <w:t>交付物通过甲方签字确认。</w:t>
      </w:r>
    </w:p>
    <w:p w:rsidR="00FF197C" w:rsidP="00FF197C">
      <w:pPr>
        <w:ind w:firstLine="412" w:firstLineChars="196"/>
        <w:jc w:val="left"/>
        <w:rPr>
          <w:rFonts w:ascii="宋体" w:hAnsi="宋体" w:hint="eastAsia"/>
          <w:szCs w:val="21"/>
        </w:rPr>
      </w:pPr>
      <w:r>
        <w:rPr>
          <w:rFonts w:ascii="宋体" w:hAnsi="宋体"/>
          <w:szCs w:val="21"/>
        </w:rPr>
        <w:t>在甲方收到上线初验申请后，由乙方和甲方共同</w:t>
      </w:r>
      <w:r>
        <w:rPr>
          <w:rFonts w:ascii="宋体" w:hAnsi="宋体" w:hint="eastAsia"/>
          <w:szCs w:val="21"/>
        </w:rPr>
        <w:t>开展验收工作</w:t>
      </w:r>
      <w:r>
        <w:rPr>
          <w:rFonts w:ascii="宋体" w:hAnsi="宋体"/>
          <w:szCs w:val="21"/>
        </w:rPr>
        <w:t>，由乙方提供测试案例，经甲方确认后，按照合同要求对软件系统进行总体功能和性能进行测试，系统测试结果必须满足本文件规定的技术和功能要求，双方签字的上线初验报告作为付款依据。</w:t>
      </w:r>
    </w:p>
    <w:p w:rsidR="00FF197C" w:rsidP="00FF197C">
      <w:pPr>
        <w:ind w:firstLine="412" w:firstLineChars="196"/>
        <w:jc w:val="left"/>
        <w:rPr>
          <w:rFonts w:ascii="宋体" w:hAnsi="宋体" w:hint="eastAsia"/>
          <w:szCs w:val="21"/>
        </w:rPr>
      </w:pPr>
      <w:r>
        <w:rPr>
          <w:rFonts w:ascii="宋体" w:hAnsi="宋体"/>
          <w:szCs w:val="21"/>
        </w:rPr>
        <w:t>（</w:t>
      </w:r>
      <w:r>
        <w:rPr>
          <w:rFonts w:ascii="宋体" w:hAnsi="宋体" w:hint="eastAsia"/>
          <w:szCs w:val="21"/>
        </w:rPr>
        <w:t>2</w:t>
      </w:r>
      <w:r>
        <w:rPr>
          <w:rFonts w:ascii="宋体" w:hAnsi="宋体"/>
          <w:szCs w:val="21"/>
        </w:rPr>
        <w:t>）终验</w:t>
      </w:r>
      <w:r>
        <w:rPr>
          <w:rFonts w:ascii="宋体" w:hAnsi="宋体" w:hint="eastAsia"/>
          <w:szCs w:val="21"/>
        </w:rPr>
        <w:t>：</w:t>
      </w:r>
      <w:r>
        <w:rPr>
          <w:rFonts w:ascii="宋体" w:hAnsi="宋体"/>
          <w:szCs w:val="21"/>
        </w:rPr>
        <w:t>上线初验合格后</w:t>
      </w:r>
      <w:r>
        <w:rPr>
          <w:rFonts w:ascii="宋体" w:hAnsi="宋体" w:hint="eastAsia"/>
          <w:szCs w:val="21"/>
        </w:rPr>
        <w:t>，</w:t>
      </w:r>
      <w:r>
        <w:rPr>
          <w:rFonts w:ascii="宋体" w:hAnsi="宋体"/>
          <w:szCs w:val="21"/>
        </w:rPr>
        <w:t>系统进入试运行期，系统试运行期为</w:t>
      </w:r>
      <w:r>
        <w:rPr>
          <w:rFonts w:ascii="宋体" w:hAnsi="宋体" w:hint="eastAsia"/>
          <w:szCs w:val="21"/>
        </w:rPr>
        <w:t>3</w:t>
      </w:r>
      <w:r>
        <w:rPr>
          <w:rFonts w:ascii="宋体" w:hAnsi="宋体"/>
          <w:szCs w:val="21"/>
        </w:rPr>
        <w:t>个月，试运行期满后进行系统终验。在试运行期间，由于各种原因造成某些技术指标达不到要求，乙方应负责解决，但试运行期相应顺延。系统通过试运行后，双方签署终验报告，此报告将作为付款依据。</w:t>
      </w:r>
    </w:p>
    <w:p w:rsidR="00FF197C" w:rsidP="00FF197C">
      <w:pPr>
        <w:ind w:firstLine="412" w:firstLineChars="196"/>
        <w:jc w:val="left"/>
        <w:rPr>
          <w:rFonts w:ascii="宋体" w:hAnsi="宋体" w:hint="eastAsia"/>
          <w:szCs w:val="21"/>
        </w:rPr>
      </w:pPr>
      <w:r>
        <w:rPr>
          <w:rFonts w:ascii="宋体" w:hAnsi="宋体" w:hint="eastAsia"/>
          <w:szCs w:val="21"/>
        </w:rPr>
        <w:t>（3）验收不合格的处理（由于投标人的原因）：</w:t>
      </w:r>
    </w:p>
    <w:p w:rsidR="00FF197C" w:rsidP="00FF197C">
      <w:pPr>
        <w:numPr>
          <w:ilvl w:val="0"/>
          <w:numId w:val="5"/>
        </w:numPr>
        <w:spacing w:line="360" w:lineRule="auto"/>
        <w:rPr>
          <w:rFonts w:ascii="宋体" w:hAnsi="宋体" w:hint="eastAsia"/>
          <w:szCs w:val="21"/>
        </w:rPr>
      </w:pPr>
      <w:r>
        <w:rPr>
          <w:rFonts w:ascii="宋体" w:hAnsi="宋体" w:hint="eastAsia"/>
          <w:szCs w:val="21"/>
        </w:rPr>
        <w:t>软件系统初验不合格：投标人在5个工作日内免费更换并立即进行下一次测试。</w:t>
      </w:r>
    </w:p>
    <w:p w:rsidR="00FF197C" w:rsidP="00FF197C">
      <w:pPr>
        <w:numPr>
          <w:ilvl w:val="0"/>
          <w:numId w:val="5"/>
        </w:numPr>
        <w:spacing w:line="360" w:lineRule="auto"/>
        <w:rPr>
          <w:rFonts w:ascii="宋体" w:hAnsi="宋体" w:hint="eastAsia"/>
          <w:szCs w:val="21"/>
        </w:rPr>
      </w:pPr>
      <w:r>
        <w:rPr>
          <w:rFonts w:ascii="宋体" w:hAnsi="宋体" w:hint="eastAsia"/>
          <w:szCs w:val="21"/>
        </w:rPr>
        <w:t>试运行期测试不合格：在试运行期内如出现重大问题，则试运行期从故障修复之日起重新计算，一直到系统连续3个月无故障时为止。</w:t>
      </w:r>
    </w:p>
    <w:p w:rsidR="00FF197C" w:rsidP="00FF197C">
      <w:pPr>
        <w:pStyle w:val="Heading3"/>
        <w:keepNext/>
        <w:keepLines/>
        <w:widowControl w:val="0"/>
        <w:numPr>
          <w:ilvl w:val="2"/>
          <w:numId w:val="4"/>
        </w:numPr>
        <w:autoSpaceDE w:val="0"/>
        <w:autoSpaceDN w:val="0"/>
        <w:adjustRightInd w:val="0"/>
        <w:spacing w:before="200" w:after="120" w:line="360" w:lineRule="auto"/>
        <w:ind w:left="720" w:hanging="720"/>
        <w:jc w:val="left"/>
        <w:rPr>
          <w:rFonts w:hint="eastAsia"/>
        </w:rPr>
      </w:pPr>
      <w:r>
        <w:rPr>
          <w:rFonts w:hint="eastAsia"/>
        </w:rPr>
        <w:t>软件移交</w:t>
      </w:r>
    </w:p>
    <w:p w:rsidR="00FF197C" w:rsidP="00FF197C">
      <w:pPr>
        <w:ind w:firstLine="420"/>
        <w:rPr>
          <w:rFonts w:ascii="宋体" w:hAnsi="宋体" w:hint="eastAsia"/>
          <w:szCs w:val="21"/>
        </w:rPr>
      </w:pPr>
      <w:r>
        <w:rPr>
          <w:rFonts w:ascii="宋体" w:hAnsi="宋体"/>
          <w:szCs w:val="21"/>
        </w:rPr>
        <w:t>软件产品验收通过后，承制方必须按验收评审意见，做好后续工作，并在得到验收委员会或其指定人员认可后，按合同书要求，将软件产品移交给交办方。具体要求如下：</w:t>
      </w:r>
    </w:p>
    <w:p w:rsidR="00FF197C" w:rsidP="00FF197C">
      <w:pPr>
        <w:ind w:firstLine="420"/>
        <w:rPr>
          <w:rFonts w:ascii="宋体" w:hAnsi="宋体" w:hint="eastAsia"/>
          <w:szCs w:val="21"/>
        </w:rPr>
      </w:pPr>
      <w:r>
        <w:rPr>
          <w:rFonts w:ascii="宋体" w:hAnsi="宋体"/>
          <w:szCs w:val="21"/>
        </w:rPr>
        <w:t>（1）交接双方应按验收大纲的要求做好移交/接收的准备工作，成立相应的组织，指定软件产品交接的负责人；</w:t>
      </w:r>
    </w:p>
    <w:p w:rsidR="00FF197C" w:rsidP="00FF197C">
      <w:pPr>
        <w:ind w:firstLine="420"/>
        <w:rPr>
          <w:rFonts w:ascii="宋体" w:hAnsi="宋体" w:hint="eastAsia"/>
          <w:szCs w:val="21"/>
        </w:rPr>
      </w:pPr>
      <w:r>
        <w:rPr>
          <w:rFonts w:ascii="宋体" w:hAnsi="宋体"/>
          <w:szCs w:val="21"/>
        </w:rPr>
        <w:t>（2）承制方根据合同规定提出软件产品移交项目清单，在验收委员会的审定与监督下，逐项核实并移交给交办方。移交结束后形成产品移交文件，并由双方签署完整的移交项目清单。</w:t>
      </w:r>
    </w:p>
    <w:p w:rsidR="00FF197C" w:rsidP="00FF197C">
      <w:pPr>
        <w:ind w:firstLine="420"/>
        <w:rPr>
          <w:rFonts w:ascii="宋体" w:hAnsi="宋体" w:hint="eastAsia"/>
          <w:szCs w:val="21"/>
        </w:rPr>
      </w:pPr>
      <w:r>
        <w:rPr>
          <w:rFonts w:ascii="宋体" w:hAnsi="宋体"/>
          <w:szCs w:val="21"/>
        </w:rPr>
        <w:t xml:space="preserve">该文件应包括以下内容： </w:t>
      </w:r>
    </w:p>
    <w:p w:rsidR="00FF197C" w:rsidP="00FF197C">
      <w:pPr>
        <w:numPr>
          <w:ilvl w:val="0"/>
          <w:numId w:val="5"/>
        </w:numPr>
        <w:spacing w:line="360" w:lineRule="auto"/>
        <w:rPr>
          <w:rFonts w:ascii="宋体" w:hAnsi="宋体" w:hint="eastAsia"/>
          <w:szCs w:val="21"/>
        </w:rPr>
      </w:pPr>
      <w:r>
        <w:rPr>
          <w:rFonts w:ascii="宋体" w:hAnsi="宋体" w:hint="eastAsia"/>
          <w:szCs w:val="21"/>
        </w:rPr>
        <w:t>移交项目的名称、数量和装载媒体等的详细说明；</w:t>
      </w:r>
    </w:p>
    <w:p w:rsidR="00FF197C" w:rsidP="00FF197C">
      <w:pPr>
        <w:numPr>
          <w:ilvl w:val="0"/>
          <w:numId w:val="5"/>
        </w:numPr>
        <w:spacing w:line="360" w:lineRule="auto"/>
        <w:rPr>
          <w:rFonts w:ascii="宋体" w:hAnsi="宋体" w:hint="eastAsia"/>
          <w:szCs w:val="21"/>
        </w:rPr>
      </w:pPr>
      <w:r>
        <w:rPr>
          <w:rFonts w:ascii="宋体" w:hAnsi="宋体" w:hint="eastAsia"/>
          <w:szCs w:val="21"/>
        </w:rPr>
        <w:t>移交的时间，地点；</w:t>
      </w:r>
    </w:p>
    <w:p w:rsidR="00FF197C" w:rsidP="00FF197C">
      <w:pPr>
        <w:numPr>
          <w:ilvl w:val="0"/>
          <w:numId w:val="5"/>
        </w:numPr>
        <w:spacing w:line="360" w:lineRule="auto"/>
        <w:rPr>
          <w:rFonts w:ascii="宋体" w:hAnsi="宋体" w:hint="eastAsia"/>
          <w:szCs w:val="21"/>
        </w:rPr>
      </w:pPr>
      <w:r>
        <w:rPr>
          <w:rFonts w:ascii="宋体" w:hAnsi="宋体" w:hint="eastAsia"/>
          <w:szCs w:val="21"/>
        </w:rPr>
        <w:t>交接负责人签名。</w:t>
      </w:r>
    </w:p>
    <w:p w:rsidR="00FF197C" w:rsidP="00FF197C">
      <w:pPr>
        <w:pStyle w:val="Heading3"/>
        <w:keepNext/>
        <w:keepLines/>
        <w:widowControl w:val="0"/>
        <w:numPr>
          <w:ilvl w:val="2"/>
          <w:numId w:val="4"/>
        </w:numPr>
        <w:autoSpaceDE w:val="0"/>
        <w:autoSpaceDN w:val="0"/>
        <w:adjustRightInd w:val="0"/>
        <w:spacing w:before="200" w:after="120" w:line="360" w:lineRule="auto"/>
        <w:ind w:left="720" w:hanging="720"/>
        <w:jc w:val="left"/>
        <w:rPr>
          <w:rFonts w:hint="eastAsia"/>
        </w:rPr>
      </w:pPr>
      <w:r>
        <w:rPr>
          <w:rFonts w:hint="eastAsia"/>
        </w:rPr>
        <w:t>成果约定</w:t>
      </w:r>
    </w:p>
    <w:p w:rsidR="00FF197C" w:rsidP="00FF197C">
      <w:pPr>
        <w:ind w:firstLine="420"/>
      </w:pPr>
      <w:r>
        <w:rPr>
          <w:rFonts w:ascii="宋体" w:hAnsi="宋体" w:hint="eastAsia"/>
          <w:szCs w:val="21"/>
        </w:rPr>
        <w:t>项目中软件成果和产权归甲方所有，未经甲方同意乙方不得转移或使用。</w:t>
      </w:r>
      <w:r>
        <w:rPr>
          <w:rFonts w:ascii="宋体" w:hAnsi="宋体"/>
          <w:szCs w:val="21"/>
        </w:rPr>
        <w:t>系统通过验收后，所有文档、软件和资料交甲方统一归档。</w:t>
      </w:r>
    </w:p>
    <w:p w:rsidR="00FF197C" w:rsidP="00FF197C">
      <w:pPr>
        <w:pStyle w:val="Heading2"/>
        <w:keepNext/>
        <w:keepLines/>
        <w:widowControl w:val="0"/>
        <w:numPr>
          <w:ilvl w:val="1"/>
          <w:numId w:val="4"/>
        </w:numPr>
        <w:spacing w:before="260" w:after="260" w:line="415" w:lineRule="auto"/>
        <w:ind w:left="576" w:hanging="576"/>
        <w:jc w:val="both"/>
      </w:pPr>
      <w:bookmarkStart w:id="197" w:name="_Toc219395436"/>
      <w:bookmarkEnd w:id="195"/>
      <w:bookmarkEnd w:id="196"/>
      <w:r>
        <w:rPr>
          <w:rFonts w:hint="eastAsia"/>
        </w:rPr>
        <w:t>交付要求</w:t>
      </w:r>
      <w:bookmarkEnd w:id="197"/>
    </w:p>
    <w:p w:rsidR="00FF197C" w:rsidP="00FF197C">
      <w:pPr>
        <w:spacing w:before="120" w:after="120"/>
        <w:ind w:firstLine="420"/>
        <w:rPr>
          <w:rFonts w:ascii="宋体" w:hAnsi="宋体" w:hint="eastAsia"/>
          <w:szCs w:val="21"/>
        </w:rPr>
      </w:pPr>
      <w:r w:rsidRPr="00124F5E">
        <w:rPr>
          <w:rFonts w:ascii="宋体" w:hAnsi="宋体" w:hint="eastAsia"/>
          <w:szCs w:val="21"/>
        </w:rPr>
        <w:t>智慧短临气象闪信预警信息发布平台建设项目-</w:t>
      </w:r>
      <w:r w:rsidRPr="00562F30">
        <w:rPr>
          <w:rFonts w:ascii="宋体" w:hAnsi="宋体" w:hint="eastAsia"/>
          <w:szCs w:val="21"/>
        </w:rPr>
        <w:t>基于“闪信”的预警信息发布平台</w:t>
      </w:r>
      <w:r>
        <w:rPr>
          <w:rFonts w:ascii="宋体" w:hAnsi="宋体"/>
          <w:szCs w:val="21"/>
        </w:rPr>
        <w:t>的验收和交付按照《计算机软件工程规范国家标准》的要求执行。</w:t>
      </w:r>
    </w:p>
    <w:p w:rsidR="00FF197C" w:rsidP="00FF197C">
      <w:pPr>
        <w:ind w:firstLine="420"/>
        <w:rPr>
          <w:rFonts w:ascii="宋体" w:hAnsi="宋体" w:cs="Times New Roman" w:hint="eastAsia"/>
          <w:szCs w:val="21"/>
        </w:rPr>
      </w:pPr>
      <w:r>
        <w:rPr>
          <w:rFonts w:ascii="宋体" w:hAnsi="宋体" w:cs="Times New Roman" w:hint="eastAsia"/>
          <w:szCs w:val="21"/>
        </w:rPr>
        <w:t>软件需要交付内容，包括所有软件的应用软件安装包、源代码、工程文件及程序说明，详见表6-1。产品的交付清单详见表6-2，模型算法交付清单详见表6-3，系统相关说明文档交付详见表6-4。</w:t>
      </w:r>
    </w:p>
    <w:p w:rsidR="00FF197C" w:rsidP="00FF197C">
      <w:pPr>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）软件交付物</w:t>
      </w:r>
    </w:p>
    <w:p w:rsidR="00FF197C" w:rsidP="00FF197C">
      <w:pPr>
        <w:pStyle w:val="Caption"/>
        <w:ind w:left="480"/>
        <w:rPr>
          <w:rFonts w:cs="Times New Roman"/>
          <w:bCs/>
          <w:szCs w:val="28"/>
        </w:rPr>
      </w:pPr>
      <w:r>
        <w:rPr>
          <w:rFonts w:eastAsia="黑体" w:cs="Times New Roman"/>
          <w:sz w:val="21"/>
          <w:szCs w:val="21"/>
        </w:rPr>
        <w:t>表</w:t>
      </w:r>
      <w:r>
        <w:rPr>
          <w:rFonts w:eastAsia="黑体" w:cs="Times New Roman" w:hint="eastAsia"/>
          <w:sz w:val="21"/>
          <w:szCs w:val="21"/>
        </w:rPr>
        <w:t>6</w:t>
      </w:r>
      <w:r>
        <w:rPr>
          <w:rFonts w:eastAsia="黑体" w:cs="Times New Roman"/>
          <w:sz w:val="21"/>
          <w:szCs w:val="21"/>
        </w:rPr>
        <w:t xml:space="preserve">-1 </w:t>
      </w:r>
      <w:r>
        <w:rPr>
          <w:rFonts w:eastAsia="黑体" w:cs="Times New Roman"/>
          <w:sz w:val="21"/>
          <w:szCs w:val="21"/>
        </w:rPr>
        <w:t>软件交付物表清单</w:t>
      </w:r>
    </w:p>
    <w:tbl>
      <w:tblPr>
        <w:tblStyle w:val="TableGrid"/>
        <w:tblW w:w="5000" w:type="pct"/>
        <w:tblLook w:val="04A0"/>
      </w:tblPr>
      <w:tblGrid>
        <w:gridCol w:w="1241"/>
        <w:gridCol w:w="7281"/>
      </w:tblGrid>
      <w:tr w:rsidTr="001572FB">
        <w:tblPrEx>
          <w:tblW w:w="5000" w:type="pct"/>
          <w:tblLook w:val="04A0"/>
        </w:tblPrEx>
        <w:trPr>
          <w:trHeight w:val="418"/>
        </w:trPr>
        <w:tc>
          <w:tcPr>
            <w:tcW w:w="728" w:type="pct"/>
            <w:vAlign w:val="center"/>
          </w:tcPr>
          <w:p w:rsidR="00FF197C" w:rsidP="001572FB">
            <w:pPr>
              <w:snapToGrid w:val="0"/>
              <w:jc w:val="center"/>
              <w:rPr>
                <w:rFonts w:ascii="Times New Roman" w:eastAsia="黑体" w:hAnsi="Times New Roman" w:cs="Times New Roman"/>
                <w:szCs w:val="21"/>
              </w:rPr>
            </w:pPr>
            <w:r>
              <w:rPr>
                <w:rFonts w:ascii="Times New Roman" w:eastAsia="黑体" w:hAnsi="Times New Roman" w:cs="Times New Roman"/>
                <w:szCs w:val="21"/>
              </w:rPr>
              <w:t>序号</w:t>
            </w:r>
          </w:p>
        </w:tc>
        <w:tc>
          <w:tcPr>
            <w:tcW w:w="4272" w:type="pct"/>
            <w:vAlign w:val="center"/>
          </w:tcPr>
          <w:p w:rsidR="00FF197C" w:rsidP="001572FB">
            <w:pPr>
              <w:snapToGrid w:val="0"/>
              <w:jc w:val="center"/>
              <w:rPr>
                <w:rFonts w:ascii="Times New Roman" w:eastAsia="黑体" w:hAnsi="Times New Roman" w:cs="Times New Roman"/>
                <w:szCs w:val="21"/>
              </w:rPr>
            </w:pPr>
            <w:r>
              <w:rPr>
                <w:rFonts w:ascii="Times New Roman" w:eastAsia="黑体" w:hAnsi="Times New Roman" w:cs="Times New Roman"/>
                <w:szCs w:val="21"/>
              </w:rPr>
              <w:t>交付名称</w:t>
            </w:r>
          </w:p>
        </w:tc>
      </w:tr>
      <w:tr w:rsidTr="001572FB">
        <w:tblPrEx>
          <w:tblW w:w="5000" w:type="pct"/>
          <w:tblLook w:val="04A0"/>
        </w:tblPrEx>
        <w:tc>
          <w:tcPr>
            <w:tcW w:w="728" w:type="pct"/>
            <w:vAlign w:val="center"/>
          </w:tcPr>
          <w:p w:rsidR="00FF197C" w:rsidP="001572FB">
            <w:pPr>
              <w:spacing w:line="560" w:lineRule="exact"/>
              <w:ind w:left="480"/>
              <w:rPr>
                <w:rFonts w:ascii="Times New Roman" w:hAnsi="Times New Roman" w:cs="Times New Roman"/>
                <w:bCs/>
                <w:szCs w:val="28"/>
              </w:rPr>
            </w:pPr>
            <w:r>
              <w:rPr>
                <w:rFonts w:ascii="Times New Roman" w:hAnsi="Times New Roman" w:cs="Times New Roman"/>
                <w:szCs w:val="21"/>
              </w:rPr>
              <w:t>1</w:t>
            </w:r>
          </w:p>
        </w:tc>
        <w:tc>
          <w:tcPr>
            <w:tcW w:w="4272" w:type="pct"/>
            <w:vAlign w:val="center"/>
          </w:tcPr>
          <w:p w:rsidR="00FF197C" w:rsidP="001572FB">
            <w:pPr>
              <w:spacing w:line="560" w:lineRule="exact"/>
              <w:rPr>
                <w:rFonts w:ascii="Times New Roman" w:hAnsi="Times New Roman" w:cs="Times New Roman"/>
                <w:bCs/>
                <w:szCs w:val="28"/>
              </w:rPr>
            </w:pPr>
            <w:r>
              <w:rPr>
                <w:rFonts w:ascii="Times New Roman" w:hAnsi="Times New Roman" w:cs="Times New Roman"/>
                <w:szCs w:val="21"/>
              </w:rPr>
              <w:t>应用软件安装包</w:t>
            </w:r>
          </w:p>
        </w:tc>
      </w:tr>
      <w:tr w:rsidTr="001572FB">
        <w:tblPrEx>
          <w:tblW w:w="5000" w:type="pct"/>
          <w:tblLook w:val="04A0"/>
        </w:tblPrEx>
        <w:tc>
          <w:tcPr>
            <w:tcW w:w="728" w:type="pct"/>
            <w:vAlign w:val="center"/>
          </w:tcPr>
          <w:p w:rsidR="00FF197C" w:rsidP="001572FB">
            <w:pPr>
              <w:spacing w:line="560" w:lineRule="exact"/>
              <w:ind w:left="480"/>
              <w:rPr>
                <w:rFonts w:ascii="Times New Roman" w:hAnsi="Times New Roman" w:cs="Times New Roman"/>
                <w:bCs/>
                <w:szCs w:val="28"/>
              </w:rPr>
            </w:pPr>
            <w:r>
              <w:rPr>
                <w:rFonts w:ascii="Times New Roman" w:hAnsi="Times New Roman" w:cs="Times New Roman"/>
                <w:szCs w:val="21"/>
              </w:rPr>
              <w:t>2</w:t>
            </w:r>
          </w:p>
        </w:tc>
        <w:tc>
          <w:tcPr>
            <w:tcW w:w="4272" w:type="pct"/>
            <w:vAlign w:val="center"/>
          </w:tcPr>
          <w:p w:rsidR="00FF197C" w:rsidP="001572FB">
            <w:pPr>
              <w:spacing w:line="560" w:lineRule="exact"/>
              <w:rPr>
                <w:rFonts w:ascii="Times New Roman" w:hAnsi="Times New Roman" w:cs="Times New Roman"/>
                <w:bCs/>
                <w:szCs w:val="28"/>
              </w:rPr>
            </w:pPr>
            <w:r>
              <w:rPr>
                <w:rFonts w:ascii="Times New Roman" w:hAnsi="Times New Roman" w:cs="Times New Roman"/>
                <w:szCs w:val="21"/>
              </w:rPr>
              <w:t>源代码、工程文件及程序说明</w:t>
            </w:r>
          </w:p>
        </w:tc>
      </w:tr>
    </w:tbl>
    <w:p w:rsidR="00FF197C" w:rsidP="00FF197C">
      <w:pP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2</w:t>
      </w:r>
      <w:r>
        <w:rPr>
          <w:rFonts w:ascii="Times New Roman" w:hAnsi="Times New Roman" w:cs="Times New Roman"/>
        </w:rPr>
        <w:t>）文档交付物</w:t>
      </w:r>
    </w:p>
    <w:p w:rsidR="00FF197C" w:rsidP="00FF197C">
      <w:pPr>
        <w:pStyle w:val="Caption"/>
        <w:ind w:left="480"/>
        <w:rPr>
          <w:rFonts w:eastAsia="黑体" w:cs="Times New Roman"/>
          <w:sz w:val="21"/>
          <w:szCs w:val="21"/>
        </w:rPr>
      </w:pPr>
      <w:r>
        <w:rPr>
          <w:rFonts w:eastAsia="黑体" w:cs="Times New Roman"/>
          <w:sz w:val="21"/>
          <w:szCs w:val="21"/>
        </w:rPr>
        <w:t>表</w:t>
      </w:r>
      <w:r>
        <w:rPr>
          <w:rFonts w:eastAsia="黑体" w:cs="Times New Roman" w:hint="eastAsia"/>
          <w:sz w:val="21"/>
          <w:szCs w:val="21"/>
        </w:rPr>
        <w:t>6</w:t>
      </w:r>
      <w:r>
        <w:rPr>
          <w:rFonts w:eastAsia="黑体" w:cs="Times New Roman"/>
          <w:sz w:val="21"/>
          <w:szCs w:val="21"/>
        </w:rPr>
        <w:t>-</w:t>
      </w:r>
      <w:r>
        <w:rPr>
          <w:rFonts w:eastAsia="黑体" w:cs="Times New Roman" w:hint="eastAsia"/>
          <w:sz w:val="21"/>
          <w:szCs w:val="21"/>
        </w:rPr>
        <w:t>4</w:t>
      </w:r>
      <w:r>
        <w:rPr>
          <w:rFonts w:eastAsia="黑体" w:cs="Times New Roman"/>
          <w:sz w:val="21"/>
          <w:szCs w:val="21"/>
        </w:rPr>
        <w:t xml:space="preserve"> </w:t>
      </w:r>
      <w:r>
        <w:rPr>
          <w:rFonts w:eastAsia="黑体" w:cs="Times New Roman"/>
          <w:sz w:val="21"/>
          <w:szCs w:val="21"/>
        </w:rPr>
        <w:t>文档交付物清单</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041"/>
        <w:gridCol w:w="6962"/>
      </w:tblGrid>
      <w:tr w:rsidTr="001572FB">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jc w:val="center"/>
        </w:trPr>
        <w:tc>
          <w:tcPr>
            <w:tcW w:w="1951" w:type="dxa"/>
            <w:shd w:val="pct10" w:color="auto" w:fill="auto"/>
            <w:vAlign w:val="center"/>
          </w:tcPr>
          <w:p w:rsidR="00FF197C" w:rsidP="001572FB">
            <w:pPr>
              <w:pStyle w:val="B"/>
              <w:spacing w:before="156" w:beforeLines="50"/>
              <w:rPr>
                <w:rFonts w:ascii="Times New Roman" w:eastAsia="宋体" w:hAnsi="Times New Roman" w:cs="Times New Roman"/>
              </w:rPr>
            </w:pPr>
            <w:r>
              <w:rPr>
                <w:rFonts w:ascii="Times New Roman" w:eastAsia="宋体" w:hAnsi="Times New Roman" w:cs="Times New Roman"/>
              </w:rPr>
              <w:t>项目阶段</w:t>
            </w:r>
          </w:p>
        </w:tc>
        <w:tc>
          <w:tcPr>
            <w:tcW w:w="6656" w:type="dxa"/>
            <w:shd w:val="pct10" w:color="auto" w:fill="auto"/>
            <w:vAlign w:val="center"/>
          </w:tcPr>
          <w:p w:rsidR="00FF197C" w:rsidP="001572FB">
            <w:pPr>
              <w:pStyle w:val="B"/>
              <w:spacing w:before="156" w:beforeLines="50"/>
              <w:rPr>
                <w:rFonts w:ascii="Times New Roman" w:eastAsia="宋体" w:hAnsi="Times New Roman" w:cs="Times New Roman"/>
              </w:rPr>
            </w:pPr>
            <w:r>
              <w:rPr>
                <w:rFonts w:ascii="Times New Roman" w:eastAsia="宋体" w:hAnsi="Times New Roman" w:cs="Times New Roman"/>
              </w:rPr>
              <w:t>文档成果</w:t>
            </w:r>
          </w:p>
        </w:tc>
      </w:tr>
      <w:tr w:rsidTr="001572FB">
        <w:tblPrEx>
          <w:tblW w:w="5000" w:type="pct"/>
          <w:jc w:val="center"/>
          <w:tblLayout w:type="fixed"/>
          <w:tblLook w:val="04A0"/>
        </w:tblPrEx>
        <w:trPr>
          <w:jc w:val="center"/>
        </w:trPr>
        <w:tc>
          <w:tcPr>
            <w:tcW w:w="1951"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需求分析</w:t>
            </w: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需求</w:t>
            </w:r>
            <w:r>
              <w:rPr>
                <w:rFonts w:ascii="Times New Roman" w:hAnsi="Times New Roman" w:cs="Times New Roman" w:hint="eastAsia"/>
                <w:szCs w:val="21"/>
              </w:rPr>
              <w:t>分析</w:t>
            </w:r>
            <w:r>
              <w:rPr>
                <w:rFonts w:ascii="Times New Roman" w:hAnsi="Times New Roman" w:cs="Times New Roman"/>
                <w:szCs w:val="21"/>
              </w:rPr>
              <w:t>说明书</w:t>
            </w:r>
          </w:p>
        </w:tc>
      </w:tr>
      <w:tr w:rsidTr="001572FB">
        <w:tblPrEx>
          <w:tblW w:w="5000" w:type="pct"/>
          <w:jc w:val="center"/>
          <w:tblLayout w:type="fixed"/>
          <w:tblLook w:val="04A0"/>
        </w:tblPrEx>
        <w:trPr>
          <w:jc w:val="center"/>
        </w:trPr>
        <w:tc>
          <w:tcPr>
            <w:tcW w:w="1951"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设计和开发</w:t>
            </w: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概要设计说明书</w:t>
            </w:r>
          </w:p>
        </w:tc>
      </w:tr>
      <w:tr w:rsidTr="001572FB">
        <w:tblPrEx>
          <w:tblW w:w="5000" w:type="pct"/>
          <w:jc w:val="center"/>
          <w:tblLayout w:type="fixed"/>
          <w:tblLook w:val="04A0"/>
        </w:tblPrEx>
        <w:trPr>
          <w:jc w:val="center"/>
        </w:trPr>
        <w:tc>
          <w:tcPr>
            <w:tcW w:w="1951"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方案设计</w:t>
            </w: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hint="eastAsia"/>
                <w:szCs w:val="21"/>
              </w:rPr>
              <w:t>详细设计说明书</w:t>
            </w:r>
          </w:p>
        </w:tc>
      </w:tr>
      <w:tr w:rsidTr="001572FB">
        <w:tblPrEx>
          <w:tblW w:w="5000" w:type="pct"/>
          <w:jc w:val="center"/>
          <w:tblLayout w:type="fixed"/>
          <w:tblLook w:val="04A0"/>
        </w:tblPrEx>
        <w:trPr>
          <w:jc w:val="center"/>
        </w:trPr>
        <w:tc>
          <w:tcPr>
            <w:tcW w:w="1951"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标准规范</w:t>
            </w:r>
          </w:p>
        </w:tc>
        <w:tc>
          <w:tcPr>
            <w:tcW w:w="6656" w:type="dxa"/>
            <w:vAlign w:val="center"/>
          </w:tcPr>
          <w:p w:rsidR="00FF197C" w:rsidP="001572FB">
            <w:pPr>
              <w:snapToGrid w:val="0"/>
              <w:spacing w:before="156" w:beforeLines="50"/>
              <w:rPr>
                <w:rFonts w:ascii="Times New Roman" w:hAnsi="Times New Roman" w:cs="Times New Roman"/>
                <w:szCs w:val="21"/>
              </w:rPr>
            </w:pPr>
            <w:r w:rsidRPr="000E30CE">
              <w:rPr>
                <w:rFonts w:ascii="Times New Roman" w:hAnsi="Times New Roman" w:cs="Times New Roman" w:hint="eastAsia"/>
                <w:szCs w:val="21"/>
              </w:rPr>
              <w:t>全国高级别预警强制提醒（闪信）发布业务运行</w:t>
            </w:r>
            <w:r>
              <w:rPr>
                <w:rFonts w:ascii="Times New Roman" w:hAnsi="Times New Roman" w:cs="Times New Roman" w:hint="eastAsia"/>
                <w:szCs w:val="21"/>
              </w:rPr>
              <w:t>规范、国家预警信息强制提醒触达平台共享服务接口规范</w:t>
            </w:r>
          </w:p>
        </w:tc>
      </w:tr>
      <w:tr w:rsidTr="001572FB">
        <w:tblPrEx>
          <w:tblW w:w="5000" w:type="pct"/>
          <w:jc w:val="center"/>
          <w:tblLayout w:type="fixed"/>
          <w:tblLook w:val="04A0"/>
        </w:tblPrEx>
        <w:trPr>
          <w:jc w:val="center"/>
        </w:trPr>
        <w:tc>
          <w:tcPr>
            <w:tcW w:w="1951" w:type="dxa"/>
            <w:vMerge w:val="restart"/>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szCs w:val="21"/>
              </w:rPr>
              <w:t>系统测试</w:t>
            </w: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系统测试方案及用例</w:t>
            </w:r>
          </w:p>
        </w:tc>
      </w:tr>
      <w:tr w:rsidTr="001572FB">
        <w:tblPrEx>
          <w:tblW w:w="5000" w:type="pct"/>
          <w:jc w:val="center"/>
          <w:tblLayout w:type="fixed"/>
          <w:tblLook w:val="04A0"/>
        </w:tblPrEx>
        <w:trPr>
          <w:jc w:val="center"/>
        </w:trPr>
        <w:tc>
          <w:tcPr>
            <w:tcW w:w="1951" w:type="dxa"/>
            <w:vMerge/>
            <w:vAlign w:val="center"/>
          </w:tcPr>
          <w:p w:rsidR="00FF197C" w:rsidP="001572FB">
            <w:pPr>
              <w:snapToGrid w:val="0"/>
              <w:spacing w:before="156" w:beforeLines="50"/>
              <w:ind w:left="480"/>
              <w:rPr>
                <w:rFonts w:ascii="Times New Roman" w:hAnsi="Times New Roman" w:cs="Times New Roman"/>
                <w:szCs w:val="21"/>
              </w:rPr>
            </w:pP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系统测试报告</w:t>
            </w:r>
          </w:p>
        </w:tc>
      </w:tr>
      <w:tr w:rsidTr="001572FB">
        <w:tblPrEx>
          <w:tblW w:w="5000" w:type="pct"/>
          <w:jc w:val="center"/>
          <w:tblLayout w:type="fixed"/>
          <w:tblLook w:val="04A0"/>
        </w:tblPrEx>
        <w:trPr>
          <w:jc w:val="center"/>
        </w:trPr>
        <w:tc>
          <w:tcPr>
            <w:tcW w:w="1951" w:type="dxa"/>
            <w:vMerge w:val="restart"/>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hint="eastAsia"/>
                <w:szCs w:val="21"/>
              </w:rPr>
              <w:t>系统测试</w:t>
            </w:r>
            <w:r>
              <w:rPr>
                <w:rFonts w:ascii="Times New Roman" w:hAnsi="Times New Roman" w:cs="Times New Roman"/>
                <w:szCs w:val="21"/>
              </w:rPr>
              <w:t>运行</w:t>
            </w: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用户手册</w:t>
            </w:r>
          </w:p>
        </w:tc>
      </w:tr>
      <w:tr w:rsidTr="001572FB">
        <w:tblPrEx>
          <w:tblW w:w="5000" w:type="pct"/>
          <w:jc w:val="center"/>
          <w:tblLayout w:type="fixed"/>
          <w:tblLook w:val="04A0"/>
        </w:tblPrEx>
        <w:trPr>
          <w:jc w:val="center"/>
        </w:trPr>
        <w:tc>
          <w:tcPr>
            <w:tcW w:w="1951" w:type="dxa"/>
            <w:vMerge/>
            <w:vAlign w:val="center"/>
          </w:tcPr>
          <w:p w:rsidR="00FF197C" w:rsidP="001572FB">
            <w:pPr>
              <w:snapToGrid w:val="0"/>
              <w:spacing w:before="156" w:beforeLines="50"/>
              <w:ind w:left="480"/>
              <w:rPr>
                <w:rFonts w:ascii="Times New Roman" w:hAnsi="Times New Roman" w:cs="Times New Roman"/>
                <w:szCs w:val="21"/>
              </w:rPr>
            </w:pP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运行维护手册</w:t>
            </w:r>
          </w:p>
        </w:tc>
      </w:tr>
      <w:tr w:rsidTr="001572FB">
        <w:tblPrEx>
          <w:tblW w:w="5000" w:type="pct"/>
          <w:jc w:val="center"/>
          <w:tblLayout w:type="fixed"/>
          <w:tblLook w:val="04A0"/>
        </w:tblPrEx>
        <w:trPr>
          <w:jc w:val="center"/>
        </w:trPr>
        <w:tc>
          <w:tcPr>
            <w:tcW w:w="1951" w:type="dxa"/>
            <w:vMerge/>
            <w:vAlign w:val="center"/>
          </w:tcPr>
          <w:p w:rsidR="00FF197C" w:rsidP="001572FB">
            <w:pPr>
              <w:snapToGrid w:val="0"/>
              <w:spacing w:before="156" w:beforeLines="50"/>
              <w:ind w:left="480"/>
              <w:rPr>
                <w:rFonts w:ascii="Times New Roman" w:hAnsi="Times New Roman" w:cs="Times New Roman"/>
                <w:szCs w:val="21"/>
              </w:rPr>
            </w:pP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部署手册</w:t>
            </w:r>
          </w:p>
        </w:tc>
      </w:tr>
      <w:tr w:rsidTr="001572FB">
        <w:tblPrEx>
          <w:tblW w:w="5000" w:type="pct"/>
          <w:jc w:val="center"/>
          <w:tblLayout w:type="fixed"/>
          <w:tblLook w:val="04A0"/>
        </w:tblPrEx>
        <w:trPr>
          <w:jc w:val="center"/>
        </w:trPr>
        <w:tc>
          <w:tcPr>
            <w:tcW w:w="1951" w:type="dxa"/>
            <w:vMerge/>
            <w:vAlign w:val="center"/>
          </w:tcPr>
          <w:p w:rsidR="00FF197C" w:rsidP="001572FB">
            <w:pPr>
              <w:snapToGrid w:val="0"/>
              <w:spacing w:before="156" w:beforeLines="50"/>
              <w:ind w:left="480"/>
              <w:rPr>
                <w:rFonts w:ascii="Times New Roman" w:hAnsi="Times New Roman" w:cs="Times New Roman"/>
                <w:szCs w:val="21"/>
              </w:rPr>
            </w:pP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hint="eastAsia"/>
                <w:szCs w:val="21"/>
              </w:rPr>
              <w:t>测试</w:t>
            </w:r>
            <w:r>
              <w:rPr>
                <w:rFonts w:ascii="Times New Roman" w:hAnsi="Times New Roman" w:cs="Times New Roman"/>
                <w:szCs w:val="21"/>
              </w:rPr>
              <w:t>运行方案</w:t>
            </w:r>
          </w:p>
        </w:tc>
      </w:tr>
      <w:tr w:rsidTr="001572FB">
        <w:tblPrEx>
          <w:tblW w:w="5000" w:type="pct"/>
          <w:jc w:val="center"/>
          <w:tblLayout w:type="fixed"/>
          <w:tblLook w:val="04A0"/>
        </w:tblPrEx>
        <w:trPr>
          <w:jc w:val="center"/>
        </w:trPr>
        <w:tc>
          <w:tcPr>
            <w:tcW w:w="1951" w:type="dxa"/>
            <w:vMerge/>
            <w:vAlign w:val="center"/>
          </w:tcPr>
          <w:p w:rsidR="00FF197C" w:rsidP="001572FB">
            <w:pPr>
              <w:snapToGrid w:val="0"/>
              <w:spacing w:before="156" w:beforeLines="50"/>
              <w:ind w:left="480"/>
              <w:rPr>
                <w:rFonts w:ascii="Times New Roman" w:hAnsi="Times New Roman" w:cs="Times New Roman"/>
                <w:szCs w:val="21"/>
              </w:rPr>
            </w:pP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hint="eastAsia"/>
                <w:szCs w:val="21"/>
              </w:rPr>
              <w:t>测试运行分析</w:t>
            </w:r>
            <w:r>
              <w:rPr>
                <w:rFonts w:ascii="Times New Roman" w:hAnsi="Times New Roman" w:cs="Times New Roman"/>
                <w:szCs w:val="21"/>
              </w:rPr>
              <w:t>报告</w:t>
            </w:r>
          </w:p>
        </w:tc>
      </w:tr>
      <w:tr w:rsidTr="001572FB">
        <w:tblPrEx>
          <w:tblW w:w="5000" w:type="pct"/>
          <w:jc w:val="center"/>
          <w:tblLayout w:type="fixed"/>
          <w:tblLook w:val="04A0"/>
        </w:tblPrEx>
        <w:trPr>
          <w:jc w:val="center"/>
        </w:trPr>
        <w:tc>
          <w:tcPr>
            <w:tcW w:w="1951" w:type="dxa"/>
            <w:vMerge/>
            <w:vAlign w:val="center"/>
          </w:tcPr>
          <w:p w:rsidR="00FF197C" w:rsidP="001572FB">
            <w:pPr>
              <w:snapToGrid w:val="0"/>
              <w:spacing w:before="156" w:beforeLines="50"/>
              <w:ind w:left="480"/>
              <w:rPr>
                <w:rFonts w:ascii="Times New Roman" w:hAnsi="Times New Roman" w:cs="Times New Roman"/>
                <w:szCs w:val="21"/>
              </w:rPr>
            </w:pP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培训教程</w:t>
            </w:r>
          </w:p>
        </w:tc>
      </w:tr>
      <w:tr w:rsidTr="001572FB">
        <w:tblPrEx>
          <w:tblW w:w="5000" w:type="pct"/>
          <w:jc w:val="center"/>
          <w:tblLayout w:type="fixed"/>
          <w:tblLook w:val="04A0"/>
        </w:tblPrEx>
        <w:trPr>
          <w:jc w:val="center"/>
        </w:trPr>
        <w:tc>
          <w:tcPr>
            <w:tcW w:w="1951" w:type="dxa"/>
            <w:vAlign w:val="center"/>
          </w:tcPr>
          <w:p w:rsidR="00FF197C" w:rsidP="001572FB">
            <w:pPr>
              <w:snapToGrid w:val="0"/>
              <w:spacing w:before="156" w:beforeLines="50"/>
              <w:ind w:left="480"/>
              <w:rPr>
                <w:rFonts w:ascii="Times New Roman" w:hAnsi="Times New Roman" w:cs="Times New Roman"/>
                <w:szCs w:val="21"/>
              </w:rPr>
            </w:pPr>
            <w:r>
              <w:rPr>
                <w:rFonts w:ascii="Times New Roman" w:hAnsi="Times New Roman" w:cs="Times New Roman" w:hint="eastAsia"/>
                <w:szCs w:val="21"/>
              </w:rPr>
              <w:t>验收</w:t>
            </w:r>
          </w:p>
        </w:tc>
        <w:tc>
          <w:tcPr>
            <w:tcW w:w="6656" w:type="dxa"/>
            <w:vAlign w:val="center"/>
          </w:tcPr>
          <w:p w:rsidR="00FF197C" w:rsidP="001572FB">
            <w:pPr>
              <w:snapToGrid w:val="0"/>
              <w:spacing w:before="156" w:beforeLines="50"/>
              <w:rPr>
                <w:rFonts w:ascii="Times New Roman" w:hAnsi="Times New Roman" w:cs="Times New Roman"/>
                <w:szCs w:val="21"/>
              </w:rPr>
            </w:pPr>
            <w:r>
              <w:rPr>
                <w:rFonts w:ascii="Times New Roman" w:hAnsi="Times New Roman" w:cs="Times New Roman"/>
                <w:szCs w:val="21"/>
              </w:rPr>
              <w:t>项目总结报告</w:t>
            </w:r>
          </w:p>
        </w:tc>
      </w:tr>
    </w:tbl>
    <w:p w:rsidR="00FF197C" w:rsidP="00FF197C">
      <w:pPr>
        <w:pStyle w:val="Heading2"/>
        <w:keepNext/>
        <w:keepLines/>
        <w:widowControl w:val="0"/>
        <w:numPr>
          <w:ilvl w:val="1"/>
          <w:numId w:val="4"/>
        </w:numPr>
        <w:spacing w:before="260" w:after="260" w:line="415" w:lineRule="auto"/>
        <w:ind w:left="576" w:hanging="576"/>
        <w:jc w:val="both"/>
      </w:pPr>
      <w:bookmarkStart w:id="198" w:name="_Toc219395437"/>
      <w:r>
        <w:t>培训要求</w:t>
      </w:r>
      <w:bookmarkEnd w:id="198"/>
    </w:p>
    <w:p w:rsidR="00FF197C" w:rsidP="00FF197C">
      <w:pPr>
        <w:ind w:firstLine="420"/>
        <w:rPr>
          <w:rFonts w:ascii="宋体" w:hAnsi="宋体" w:hint="eastAsia"/>
          <w:szCs w:val="21"/>
        </w:rPr>
      </w:pPr>
      <w:r>
        <w:rPr>
          <w:rFonts w:ascii="宋体" w:hAnsi="宋体" w:hint="eastAsia"/>
          <w:szCs w:val="21"/>
        </w:rPr>
        <w:t>供应商需要为采购人定制培训方案（包括：培训教材、培训对象、目标、方式、计划、反馈等）来满足采购人的需要。培训在采购人所在地，</w:t>
      </w:r>
      <w:r>
        <w:rPr>
          <w:rFonts w:ascii="宋体" w:hAnsi="宋体"/>
          <w:szCs w:val="21"/>
        </w:rPr>
        <w:t>以</w:t>
      </w:r>
      <w:r>
        <w:rPr>
          <w:rFonts w:ascii="宋体" w:hAnsi="宋体" w:hint="eastAsia"/>
          <w:szCs w:val="21"/>
        </w:rPr>
        <w:t>线下</w:t>
      </w:r>
      <w:r>
        <w:rPr>
          <w:rFonts w:ascii="宋体" w:hAnsi="宋体"/>
          <w:szCs w:val="21"/>
        </w:rPr>
        <w:t>课程方式</w:t>
      </w:r>
      <w:r>
        <w:rPr>
          <w:rFonts w:ascii="宋体" w:hAnsi="宋体" w:hint="eastAsia"/>
          <w:szCs w:val="21"/>
        </w:rPr>
        <w:t>进行，</w:t>
      </w:r>
      <w:r>
        <w:rPr>
          <w:rFonts w:ascii="宋体" w:hAnsi="宋体"/>
          <w:szCs w:val="21"/>
        </w:rPr>
        <w:t>每</w:t>
      </w:r>
      <w:r>
        <w:rPr>
          <w:rFonts w:ascii="宋体" w:hAnsi="宋体" w:hint="eastAsia"/>
          <w:szCs w:val="21"/>
        </w:rPr>
        <w:t>课时45分</w:t>
      </w:r>
      <w:r>
        <w:rPr>
          <w:rFonts w:ascii="宋体" w:hAnsi="宋体" w:hint="eastAsia"/>
          <w:szCs w:val="21"/>
        </w:rPr>
        <w:t>钟，培训课时不少于</w:t>
      </w:r>
      <w:r>
        <w:rPr>
          <w:rFonts w:ascii="宋体" w:hAnsi="宋体"/>
          <w:szCs w:val="21"/>
        </w:rPr>
        <w:t>6</w:t>
      </w:r>
      <w:r>
        <w:rPr>
          <w:rFonts w:ascii="宋体" w:hAnsi="宋体" w:hint="eastAsia"/>
          <w:szCs w:val="21"/>
        </w:rPr>
        <w:t>课时。培训工作由供应商承担，确保采购人有效的掌握系统的业务、管理、技术、开发与维护等知识。在培训之后，服务</w:t>
      </w:r>
      <w:r>
        <w:rPr>
          <w:rFonts w:ascii="宋体" w:hAnsi="宋体"/>
          <w:szCs w:val="21"/>
        </w:rPr>
        <w:t>期</w:t>
      </w:r>
      <w:r>
        <w:rPr>
          <w:rFonts w:ascii="宋体" w:hAnsi="宋体" w:hint="eastAsia"/>
          <w:szCs w:val="21"/>
        </w:rPr>
        <w:t>内仍需提供必要</w:t>
      </w:r>
      <w:r>
        <w:rPr>
          <w:rFonts w:ascii="宋体" w:hAnsi="宋体"/>
          <w:szCs w:val="21"/>
        </w:rPr>
        <w:t>的</w:t>
      </w:r>
      <w:r>
        <w:rPr>
          <w:rFonts w:ascii="宋体" w:hAnsi="宋体" w:hint="eastAsia"/>
          <w:szCs w:val="21"/>
        </w:rPr>
        <w:t>答疑</w:t>
      </w:r>
      <w:r>
        <w:rPr>
          <w:rFonts w:ascii="宋体" w:hAnsi="宋体"/>
          <w:szCs w:val="21"/>
        </w:rPr>
        <w:t>、咨询</w:t>
      </w:r>
      <w:r>
        <w:rPr>
          <w:rFonts w:ascii="宋体" w:hAnsi="宋体" w:hint="eastAsia"/>
          <w:szCs w:val="21"/>
        </w:rPr>
        <w:t>、</w:t>
      </w:r>
      <w:r>
        <w:rPr>
          <w:rFonts w:ascii="宋体" w:hAnsi="宋体"/>
          <w:szCs w:val="21"/>
        </w:rPr>
        <w:t>现场支持</w:t>
      </w:r>
      <w:r>
        <w:rPr>
          <w:rFonts w:ascii="宋体" w:hAnsi="宋体" w:hint="eastAsia"/>
          <w:szCs w:val="21"/>
        </w:rPr>
        <w:t>等技术指导。培训时间及内容要丰富，培训和知识转移的具体要求如下：</w:t>
      </w:r>
    </w:p>
    <w:p w:rsidR="00FF197C" w:rsidP="00FF197C">
      <w:pPr>
        <w:ind w:firstLine="420"/>
        <w:rPr>
          <w:rFonts w:ascii="宋体" w:hAnsi="宋体" w:hint="eastAsia"/>
          <w:szCs w:val="21"/>
        </w:rPr>
      </w:pPr>
      <w:r>
        <w:rPr>
          <w:rFonts w:ascii="宋体" w:hAnsi="宋体" w:hint="eastAsia"/>
          <w:szCs w:val="21"/>
        </w:rPr>
        <w:t>对于系统使用人员，需培训其明确项目设计思路、方案实现、以及基于角色的培训，帮助其正确操作和使用项目交付的功能。培训人数不限。</w:t>
      </w:r>
    </w:p>
    <w:p w:rsidR="00FF197C" w:rsidP="00FF197C">
      <w:pPr>
        <w:ind w:firstLine="420"/>
        <w:rPr>
          <w:rFonts w:ascii="宋体" w:hAnsi="宋体" w:hint="eastAsia"/>
          <w:szCs w:val="21"/>
        </w:rPr>
      </w:pPr>
      <w:r>
        <w:rPr>
          <w:rFonts w:ascii="宋体" w:hAnsi="宋体" w:hint="eastAsia"/>
          <w:szCs w:val="21"/>
        </w:rPr>
        <w:t>对于系统运维人员，培训内容包括但不限于系统总体设计、详细设计、数据库设计、程序设计及功能、接口设计、操作系统以及系统常见技故障解决方法等内容，同时供应商应提供关于系统开发平台（工具）的相关培训。</w:t>
      </w:r>
    </w:p>
    <w:p w:rsidR="00FF197C" w:rsidP="00FF197C">
      <w:pPr>
        <w:ind w:firstLine="420"/>
        <w:rPr>
          <w:rFonts w:ascii="宋体" w:hAnsi="宋体" w:hint="eastAsia"/>
          <w:szCs w:val="21"/>
        </w:rPr>
      </w:pPr>
      <w:r>
        <w:rPr>
          <w:rFonts w:ascii="宋体" w:hAnsi="宋体" w:hint="eastAsia"/>
          <w:szCs w:val="21"/>
        </w:rPr>
        <w:t>确保采购人能够有效的参与实施活动，保证系统实施后的平滑移交。确保用户方信息技术人员能够有效维护和管理系统，掌握诊断处理问题的方法论，合理有效的使用系统中所有功能，能够运行、支持、维护和增强系统。</w:t>
      </w:r>
    </w:p>
    <w:p w:rsidR="00FF197C" w:rsidP="00FF197C">
      <w:pPr>
        <w:ind w:firstLine="420" w:firstLineChars="200"/>
      </w:pPr>
      <w:r>
        <w:rPr>
          <w:rFonts w:ascii="宋体" w:hAnsi="宋体" w:hint="eastAsia"/>
          <w:szCs w:val="21"/>
        </w:rPr>
        <w:t>供应商需对培训及知识转移内容、方案、制度保障等方面进行阐述说明。</w:t>
      </w:r>
    </w:p>
    <w:p w:rsidR="00FF197C" w:rsidP="00FF197C">
      <w:pPr>
        <w:pStyle w:val="Heading2"/>
        <w:keepNext/>
        <w:keepLines/>
        <w:widowControl w:val="0"/>
        <w:numPr>
          <w:ilvl w:val="1"/>
          <w:numId w:val="4"/>
        </w:numPr>
        <w:spacing w:before="260" w:after="260" w:line="415" w:lineRule="auto"/>
        <w:ind w:left="576" w:hanging="576"/>
        <w:jc w:val="both"/>
      </w:pPr>
      <w:bookmarkStart w:id="199" w:name="_Toc219395438"/>
      <w:r>
        <w:rPr>
          <w:rFonts w:hint="eastAsia"/>
        </w:rPr>
        <w:t>项目运维要求</w:t>
      </w:r>
      <w:bookmarkEnd w:id="199"/>
    </w:p>
    <w:p w:rsidR="00FF197C" w:rsidP="00FF197C">
      <w:pPr>
        <w:ind w:firstLine="420" w:firstLineChars="200"/>
        <w:rPr>
          <w:rFonts w:ascii="宋体" w:hAnsi="宋体" w:hint="eastAsia"/>
          <w:szCs w:val="21"/>
        </w:rPr>
      </w:pPr>
      <w:r>
        <w:rPr>
          <w:rFonts w:ascii="宋体" w:hAnsi="宋体" w:hint="eastAsia"/>
          <w:szCs w:val="21"/>
        </w:rPr>
        <w:t>在项目正式合同验收后，提供三年免费的运行维护服务。</w:t>
      </w:r>
      <w:bookmarkEnd w:id="156"/>
      <w:bookmarkEnd w:id="157"/>
      <w:bookmarkEnd w:id="158"/>
      <w:bookmarkEnd w:id="159"/>
      <w:bookmarkEnd w:id="189"/>
      <w:bookmarkEnd w:id="190"/>
      <w:bookmarkEnd w:id="191"/>
      <w:bookmarkEnd w:id="192"/>
    </w:p>
    <w:p w:rsidR="00FF197C" w:rsidP="00FF197C">
      <w:pPr>
        <w:ind w:firstLine="420" w:firstLineChars="200"/>
        <w:rPr>
          <w:rFonts w:ascii="Times New Roman" w:hAnsi="Times New Roman" w:cs="Times New Roman"/>
        </w:rPr>
      </w:pPr>
      <w:r>
        <w:rPr>
          <w:rFonts w:ascii="Times New Roman" w:hAnsi="Times New Roman" w:cs="Times New Roman"/>
        </w:rPr>
        <w:t>对部署在中国气象局的系统提供售后保障服务，系统发生异常情况，在接到招标人的通知后，中标人技术人员应提供</w:t>
      </w:r>
      <w:r>
        <w:rPr>
          <w:rFonts w:ascii="Times New Roman" w:hAnsi="Times New Roman" w:cs="Times New Roman"/>
        </w:rPr>
        <w:t>7*24</w:t>
      </w:r>
      <w:r>
        <w:rPr>
          <w:rFonts w:ascii="Times New Roman" w:hAnsi="Times New Roman" w:cs="Times New Roman"/>
        </w:rPr>
        <w:t>小时的服务响应，随时进行电话应答；</w:t>
      </w:r>
      <w:r>
        <w:rPr>
          <w:rFonts w:ascii="Times New Roman" w:hAnsi="Times New Roman" w:cs="Times New Roman"/>
        </w:rPr>
        <w:t>30</w:t>
      </w:r>
      <w:r>
        <w:rPr>
          <w:rFonts w:ascii="Times New Roman" w:hAnsi="Times New Roman" w:cs="Times New Roman"/>
        </w:rPr>
        <w:t>分钟内完成远程登录诊断。需要现场解决的问题，中标人技术人员须在</w:t>
      </w:r>
      <w:r>
        <w:rPr>
          <w:rFonts w:ascii="Times New Roman" w:hAnsi="Times New Roman" w:cs="Times New Roman"/>
        </w:rPr>
        <w:t>2</w:t>
      </w:r>
      <w:r>
        <w:rPr>
          <w:rFonts w:ascii="Times New Roman" w:hAnsi="Times New Roman" w:cs="Times New Roman"/>
        </w:rPr>
        <w:t>小时内到达中国气象局现场。</w:t>
      </w:r>
    </w:p>
    <w:p w:rsidR="00FF197C" w:rsidP="00FF197C">
      <w:pPr>
        <w:ind w:firstLine="420" w:firstLineChars="200"/>
        <w:rPr>
          <w:rFonts w:ascii="Times New Roman" w:hAnsi="Times New Roman" w:cs="Times New Roman"/>
        </w:rPr>
      </w:pPr>
      <w:r>
        <w:rPr>
          <w:rFonts w:ascii="Times New Roman" w:hAnsi="Times New Roman" w:cs="Times New Roman"/>
        </w:rPr>
        <w:t>质量保证期后，中标人仍应根据合同要求向招标人提供技术服务，以合理价格提供软件功能改进技术服务。</w:t>
      </w:r>
    </w:p>
    <w:p w:rsidR="00FF197C" w:rsidP="00FF197C">
      <w:pPr>
        <w:ind w:firstLine="420" w:firstLineChars="200"/>
        <w:rPr>
          <w:rFonts w:ascii="Times New Roman" w:hAnsi="Times New Roman" w:cs="Times New Roman"/>
        </w:rPr>
      </w:pPr>
      <w:r>
        <w:rPr>
          <w:rFonts w:ascii="Times New Roman" w:hAnsi="Times New Roman" w:cs="Times New Roman"/>
        </w:rPr>
        <w:t>质量保证期间的维护服务不收取任何额外费用，质量保证期后按合同约定进行维护。</w:t>
      </w:r>
    </w:p>
    <w:p w:rsidR="00FF197C" w:rsidP="00FF197C">
      <w:pPr>
        <w:ind w:firstLine="420" w:firstLineChars="200"/>
      </w:pPr>
      <w:r>
        <w:rPr>
          <w:rFonts w:ascii="Times New Roman" w:hAnsi="Times New Roman" w:cs="Times New Roman"/>
        </w:rPr>
        <w:t>应用系统软件通过全部测试并终验后，投标方提供三年的免费保修，并负责免费修正软件本身的缺陷。</w:t>
      </w:r>
    </w:p>
    <w:p w:rsidR="005F25C7" w:rsidRPr="00FF197C">
      <w:pPr>
        <w:spacing w:line="360" w:lineRule="auto"/>
        <w:ind w:firstLine="420" w:firstLineChars="200"/>
        <w:rPr>
          <w:rFonts w:ascii="宋体" w:eastAsia="宋体" w:hAnsi="宋体" w:cs="Times New Roman" w:hint="eastAsia"/>
          <w:szCs w:val="21"/>
        </w:rPr>
      </w:pPr>
    </w:p>
    <w:p w:rsidR="00A77B3E"/>
    <w:p w:rsidR="005F25C7">
      <w:pPr>
        <w:spacing w:before="156" w:beforeLines="50" w:line="360" w:lineRule="auto"/>
        <w:jc w:val="center"/>
        <w:outlineLvl w:val="1"/>
        <w:rPr>
          <w:rFonts w:ascii="宋体" w:hAnsi="宋体" w:hint="eastAsia"/>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20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20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720C3">
      <w:pPr>
        <w:snapToGrid w:val="0"/>
        <w:spacing w:line="360" w:lineRule="auto"/>
        <w:rPr>
          <w:rFonts w:hint="eastAsia"/>
          <w:b/>
          <w:bCs/>
          <w:sz w:val="30"/>
          <w:szCs w:val="30"/>
        </w:rPr>
      </w:pPr>
      <w:bookmarkStart w:id="201" w:name="采购公告合同部分_ZBGGHT"/>
      <w:r>
        <w:rPr>
          <w:b/>
          <w:bCs/>
          <w:sz w:val="30"/>
          <w:szCs w:val="30"/>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 w:val="30"/>
          <w:szCs w:val="30"/>
        </w:rPr>
        <w:instrText>ADDIN CNKISM.UserStyle</w:instrText>
      </w:r>
      <w:r>
        <w:rPr>
          <w:b/>
          <w:bCs/>
          <w:sz w:val="30"/>
          <w:szCs w:val="30"/>
        </w:rPr>
        <w:fldChar w:fldCharType="separate"/>
      </w:r>
      <w:r>
        <w:rPr>
          <w:b/>
          <w:bCs/>
          <w:sz w:val="30"/>
          <w:szCs w:val="30"/>
        </w:rPr>
        <w:fldChar w:fldCharType="end"/>
      </w:r>
    </w:p>
    <w:p w:rsidR="00E720C3">
      <w:pPr>
        <w:snapToGrid w:val="0"/>
        <w:spacing w:line="360" w:lineRule="auto"/>
        <w:jc w:val="center"/>
        <w:rPr>
          <w:b/>
          <w:bCs/>
          <w:sz w:val="30"/>
          <w:szCs w:val="30"/>
        </w:rPr>
      </w:pPr>
    </w:p>
    <w:p w:rsidR="00E720C3" w:rsidRPr="003C7349" w:rsidP="003C7349">
      <w:pPr>
        <w:autoSpaceDE w:val="0"/>
        <w:autoSpaceDN w:val="0"/>
        <w:jc w:val="center"/>
        <w:rPr>
          <w:rFonts w:ascii="方正黑体简体" w:eastAsia="方正黑体简体" w:hAnsi="仿宋"/>
          <w:color w:val="0000FF"/>
          <w:kern w:val="20"/>
          <w:sz w:val="32"/>
          <w:szCs w:val="28"/>
          <w:lang w:val="zh-CN"/>
        </w:rPr>
      </w:pPr>
      <w:r w:rsidRPr="003C7349" w:rsidR="003C7349">
        <w:rPr>
          <w:rFonts w:ascii="方正黑体简体" w:eastAsia="方正黑体简体" w:hAnsi="仿宋" w:hint="eastAsia"/>
          <w:color w:val="0000FF"/>
          <w:kern w:val="20"/>
          <w:sz w:val="32"/>
          <w:szCs w:val="28"/>
          <w:lang w:val="zh-CN"/>
        </w:rPr>
        <w:t>智慧短临气象闪信预警信息发布平台建设项目-</w:t>
      </w:r>
    </w:p>
    <w:p w:rsidR="00E720C3">
      <w:pPr>
        <w:autoSpaceDE w:val="0"/>
        <w:autoSpaceDN w:val="0"/>
        <w:jc w:val="center"/>
        <w:rPr>
          <w:rFonts w:ascii="黑体" w:eastAsia="黑体" w:hAnsi="宋体" w:cs="宋体"/>
          <w:b/>
          <w:color w:val="000000"/>
          <w:kern w:val="0"/>
          <w:sz w:val="32"/>
          <w:szCs w:val="32"/>
        </w:rPr>
      </w:pPr>
      <w:r w:rsidRPr="00CB133D" w:rsidR="00CB133D">
        <w:rPr>
          <w:rFonts w:ascii="方正黑体简体" w:eastAsia="方正黑体简体" w:hAnsi="仿宋" w:hint="eastAsia"/>
          <w:color w:val="0000FF"/>
          <w:kern w:val="20"/>
          <w:sz w:val="32"/>
          <w:szCs w:val="28"/>
          <w:lang w:val="zh-CN"/>
        </w:rPr>
        <w:t>基于</w:t>
      </w:r>
      <w:r w:rsidRPr="00CB133D" w:rsidR="00CB133D">
        <w:rPr>
          <w:rFonts w:ascii="方正黑体简体" w:eastAsia="方正黑体简体" w:hAnsi="仿宋" w:hint="eastAsia"/>
          <w:color w:val="0000FF"/>
          <w:kern w:val="20"/>
          <w:sz w:val="32"/>
          <w:szCs w:val="28"/>
          <w:lang w:val="zh-CN"/>
        </w:rPr>
        <w:t>“</w:t>
      </w:r>
      <w:r w:rsidRPr="00CB133D" w:rsidR="00CB133D">
        <w:rPr>
          <w:rFonts w:ascii="方正黑体简体" w:eastAsia="方正黑体简体" w:hAnsi="仿宋" w:hint="eastAsia"/>
          <w:color w:val="0000FF"/>
          <w:kern w:val="20"/>
          <w:sz w:val="32"/>
          <w:szCs w:val="28"/>
          <w:lang w:val="zh-CN"/>
        </w:rPr>
        <w:t>闪信</w:t>
      </w:r>
      <w:r w:rsidRPr="00CB133D" w:rsidR="00CB133D">
        <w:rPr>
          <w:rFonts w:ascii="方正黑体简体" w:eastAsia="方正黑体简体" w:hAnsi="仿宋" w:hint="eastAsia"/>
          <w:color w:val="0000FF"/>
          <w:kern w:val="20"/>
          <w:sz w:val="32"/>
          <w:szCs w:val="28"/>
          <w:lang w:val="zh-CN"/>
        </w:rPr>
        <w:t>”</w:t>
      </w:r>
      <w:r w:rsidRPr="00CB133D" w:rsidR="00CB133D">
        <w:rPr>
          <w:rFonts w:ascii="方正黑体简体" w:eastAsia="方正黑体简体" w:hAnsi="仿宋" w:hint="eastAsia"/>
          <w:color w:val="0000FF"/>
          <w:kern w:val="20"/>
          <w:sz w:val="32"/>
          <w:szCs w:val="28"/>
          <w:lang w:val="zh-CN"/>
        </w:rPr>
        <w:t>的预警信息发布平台</w:t>
      </w:r>
    </w:p>
    <w:p w:rsidR="00E720C3">
      <w:pPr>
        <w:autoSpaceDE w:val="0"/>
        <w:autoSpaceDN w:val="0"/>
        <w:jc w:val="center"/>
        <w:rPr>
          <w:rFonts w:ascii="黑体" w:eastAsia="黑体" w:hAnsi="宋体" w:cs="宋体"/>
          <w:color w:val="000000"/>
          <w:kern w:val="0"/>
          <w:sz w:val="32"/>
          <w:szCs w:val="32"/>
        </w:rPr>
      </w:pPr>
    </w:p>
    <w:p w:rsidR="00E720C3">
      <w:pPr>
        <w:autoSpaceDE w:val="0"/>
        <w:autoSpaceDN w:val="0"/>
        <w:jc w:val="center"/>
        <w:rPr>
          <w:rFonts w:ascii="黑体" w:eastAsia="黑体" w:hAnsi="宋体" w:cs="宋体"/>
          <w:color w:val="000000"/>
          <w:kern w:val="0"/>
          <w:sz w:val="32"/>
          <w:szCs w:val="32"/>
        </w:rPr>
      </w:pPr>
    </w:p>
    <w:p w:rsidR="00E720C3">
      <w:pPr>
        <w:autoSpaceDE w:val="0"/>
        <w:autoSpaceDN w:val="0"/>
        <w:jc w:val="center"/>
        <w:rPr>
          <w:rFonts w:ascii="黑体" w:eastAsia="黑体" w:hAnsi="宋体" w:cs="宋体"/>
          <w:color w:val="000000"/>
          <w:kern w:val="0"/>
          <w:sz w:val="32"/>
          <w:szCs w:val="32"/>
        </w:rPr>
      </w:pPr>
      <w:r>
        <w:rPr>
          <w:rFonts w:ascii="黑体" w:eastAsia="黑体" w:hAnsi="宋体" w:cs="宋体" w:hint="eastAsia"/>
          <w:color w:val="000000"/>
          <w:kern w:val="0"/>
          <w:sz w:val="32"/>
          <w:szCs w:val="32"/>
        </w:rPr>
        <w:t>技术开发合同</w:t>
      </w:r>
    </w:p>
    <w:p w:rsidR="00E720C3">
      <w:pPr>
        <w:autoSpaceDE w:val="0"/>
        <w:autoSpaceDN w:val="0"/>
        <w:jc w:val="center"/>
        <w:rPr>
          <w:rFonts w:ascii="黑体" w:eastAsia="黑体" w:hAnsi="宋体" w:cs="宋体"/>
          <w:color w:val="000000"/>
          <w:kern w:val="0"/>
          <w:sz w:val="32"/>
          <w:szCs w:val="32"/>
        </w:rPr>
      </w:pPr>
    </w:p>
    <w:p w:rsidR="00E720C3">
      <w:pPr>
        <w:autoSpaceDE w:val="0"/>
        <w:autoSpaceDN w:val="0"/>
        <w:jc w:val="center"/>
        <w:rPr>
          <w:rFonts w:ascii="黑体" w:eastAsia="黑体" w:hAnsi="宋体" w:cs="宋体"/>
          <w:color w:val="000000"/>
          <w:kern w:val="0"/>
          <w:sz w:val="32"/>
          <w:szCs w:val="32"/>
        </w:rPr>
      </w:pPr>
    </w:p>
    <w:p w:rsidR="00E720C3">
      <w:pPr>
        <w:autoSpaceDE w:val="0"/>
        <w:autoSpaceDN w:val="0"/>
        <w:jc w:val="center"/>
        <w:rPr>
          <w:rFonts w:ascii="黑体" w:eastAsia="黑体" w:hAnsi="宋体" w:cs="宋体"/>
          <w:color w:val="000000"/>
          <w:kern w:val="0"/>
          <w:sz w:val="32"/>
          <w:szCs w:val="32"/>
        </w:rPr>
      </w:pPr>
    </w:p>
    <w:p w:rsidR="00E720C3">
      <w:pPr>
        <w:autoSpaceDE w:val="0"/>
        <w:autoSpaceDN w:val="0"/>
        <w:jc w:val="center"/>
        <w:rPr>
          <w:rFonts w:ascii="黑体" w:eastAsia="黑体" w:hAnsi="宋体" w:cs="宋体"/>
          <w:color w:val="000000"/>
          <w:kern w:val="0"/>
          <w:sz w:val="32"/>
          <w:szCs w:val="32"/>
        </w:rPr>
      </w:pPr>
    </w:p>
    <w:p w:rsidR="00E720C3">
      <w:pPr>
        <w:autoSpaceDE w:val="0"/>
        <w:autoSpaceDN w:val="0"/>
        <w:ind w:firstLine="2560" w:firstLineChars="800"/>
        <w:rPr>
          <w:rFonts w:ascii="黑体" w:eastAsia="黑体" w:hAnsi="宋体" w:cs="宋体"/>
          <w:color w:val="000000"/>
          <w:kern w:val="0"/>
          <w:sz w:val="32"/>
          <w:szCs w:val="32"/>
          <w:u w:val="single"/>
        </w:rPr>
      </w:pPr>
      <w:r>
        <w:rPr>
          <w:rFonts w:ascii="黑体" w:eastAsia="黑体" w:hAnsi="宋体" w:cs="宋体" w:hint="eastAsia"/>
          <w:color w:val="000000"/>
          <w:kern w:val="0"/>
          <w:sz w:val="32"/>
          <w:szCs w:val="32"/>
        </w:rPr>
        <w:t>项目编号：</w:t>
      </w:r>
      <w:r>
        <w:rPr>
          <w:rFonts w:ascii="黑体" w:eastAsia="黑体" w:hAnsi="宋体" w:cs="宋体" w:hint="eastAsia"/>
          <w:b/>
          <w:color w:val="000000"/>
          <w:kern w:val="0"/>
          <w:sz w:val="32"/>
          <w:szCs w:val="32"/>
          <w:u w:val="single"/>
        </w:rPr>
        <w:t xml:space="preserve">           </w:t>
      </w:r>
    </w:p>
    <w:p w:rsidR="00E720C3">
      <w:pPr>
        <w:autoSpaceDE w:val="0"/>
        <w:autoSpaceDN w:val="0"/>
        <w:ind w:firstLine="2560" w:firstLineChars="800"/>
        <w:rPr>
          <w:rFonts w:ascii="黑体" w:eastAsia="黑体" w:hAnsi="宋体" w:cs="宋体"/>
          <w:color w:val="000000"/>
          <w:kern w:val="0"/>
          <w:sz w:val="32"/>
          <w:szCs w:val="32"/>
        </w:rPr>
      </w:pPr>
      <w:r>
        <w:rPr>
          <w:rFonts w:ascii="黑体" w:eastAsia="黑体" w:hAnsi="宋体" w:cs="宋体" w:hint="eastAsia"/>
          <w:color w:val="000000"/>
          <w:kern w:val="0"/>
          <w:sz w:val="32"/>
          <w:szCs w:val="32"/>
        </w:rPr>
        <w:t>合同编号：</w:t>
      </w:r>
      <w:r>
        <w:rPr>
          <w:rFonts w:hint="eastAsia"/>
          <w:b/>
          <w:sz w:val="28"/>
          <w:szCs w:val="28"/>
          <w:u w:val="single"/>
        </w:rPr>
        <w:t xml:space="preserve">             </w:t>
      </w:r>
    </w:p>
    <w:p w:rsidR="00E720C3">
      <w:pPr>
        <w:snapToGrid w:val="0"/>
        <w:spacing w:line="360" w:lineRule="auto"/>
        <w:jc w:val="center"/>
        <w:rPr>
          <w:b/>
          <w:bCs/>
          <w:sz w:val="30"/>
          <w:szCs w:val="30"/>
        </w:rPr>
      </w:pPr>
    </w:p>
    <w:p w:rsidR="00E720C3">
      <w:pPr>
        <w:snapToGrid w:val="0"/>
        <w:spacing w:line="360" w:lineRule="auto"/>
        <w:jc w:val="center"/>
        <w:rPr>
          <w:b/>
          <w:bCs/>
          <w:sz w:val="30"/>
          <w:szCs w:val="30"/>
        </w:rPr>
      </w:pPr>
    </w:p>
    <w:p w:rsidR="00E720C3">
      <w:pPr>
        <w:snapToGrid w:val="0"/>
        <w:spacing w:line="360" w:lineRule="auto"/>
        <w:rPr>
          <w:b/>
          <w:bCs/>
          <w:sz w:val="30"/>
          <w:szCs w:val="30"/>
        </w:rPr>
      </w:pPr>
    </w:p>
    <w:p w:rsidR="00E720C3">
      <w:pPr>
        <w:autoSpaceDE w:val="0"/>
        <w:autoSpaceDN w:val="0"/>
        <w:ind w:firstLine="1960" w:firstLineChars="700"/>
        <w:rPr>
          <w:rFonts w:ascii="黑体" w:eastAsia="黑体" w:hAnsi="宋体" w:cs="宋体"/>
          <w:color w:val="000000"/>
          <w:kern w:val="0"/>
          <w:sz w:val="28"/>
          <w:szCs w:val="28"/>
        </w:rPr>
      </w:pPr>
      <w:r>
        <w:rPr>
          <w:rFonts w:ascii="黑体" w:eastAsia="黑体" w:hAnsi="宋体" w:cs="宋体" w:hint="eastAsia"/>
          <w:color w:val="000000"/>
          <w:kern w:val="0"/>
          <w:sz w:val="28"/>
          <w:szCs w:val="28"/>
        </w:rPr>
        <w:t>采购人（甲方）：</w:t>
      </w:r>
      <w:r>
        <w:rPr>
          <w:rFonts w:ascii="方正黑体简体" w:eastAsia="方正黑体简体" w:hAnsi="仿宋" w:hint="eastAsia"/>
          <w:color w:val="0000FF"/>
          <w:kern w:val="20"/>
          <w:sz w:val="32"/>
          <w:szCs w:val="28"/>
        </w:rPr>
        <w:t>中国气象局公共气象服务中心</w:t>
      </w:r>
      <w:r>
        <w:rPr>
          <w:rFonts w:ascii="黑体" w:eastAsia="黑体" w:hAnsi="宋体" w:cs="宋体" w:hint="eastAsia"/>
          <w:color w:val="000000"/>
          <w:kern w:val="0"/>
          <w:sz w:val="28"/>
          <w:szCs w:val="28"/>
        </w:rPr>
        <w:t xml:space="preserve">                  </w:t>
      </w:r>
    </w:p>
    <w:p w:rsidR="00E720C3">
      <w:pPr>
        <w:autoSpaceDE w:val="0"/>
        <w:autoSpaceDN w:val="0"/>
        <w:ind w:firstLine="1960" w:firstLineChars="700"/>
        <w:rPr>
          <w:rFonts w:ascii="黑体" w:eastAsia="黑体" w:hAnsi="宋体" w:cs="宋体"/>
          <w:color w:val="000000"/>
          <w:kern w:val="0"/>
          <w:sz w:val="28"/>
          <w:szCs w:val="28"/>
        </w:rPr>
      </w:pPr>
      <w:r>
        <w:rPr>
          <w:rFonts w:ascii="黑体" w:eastAsia="黑体" w:hAnsi="宋体" w:cs="宋体" w:hint="eastAsia"/>
          <w:color w:val="000000"/>
          <w:kern w:val="0"/>
          <w:sz w:val="28"/>
          <w:szCs w:val="28"/>
        </w:rPr>
        <w:t>中标人（乙方）：</w:t>
      </w:r>
      <w:r>
        <w:rPr>
          <w:rFonts w:ascii="方正黑体简体" w:eastAsia="方正黑体简体" w:hAnsi="仿宋" w:hint="eastAsia"/>
          <w:color w:val="0000FF"/>
          <w:kern w:val="20"/>
          <w:sz w:val="32"/>
          <w:szCs w:val="28"/>
          <w:lang w:val="zh-CN"/>
        </w:rPr>
        <w:t>XXXXXXX</w:t>
      </w:r>
    </w:p>
    <w:p w:rsidR="00E720C3">
      <w:pPr>
        <w:autoSpaceDE w:val="0"/>
        <w:autoSpaceDN w:val="0"/>
        <w:jc w:val="center"/>
        <w:rPr>
          <w:rFonts w:ascii="黑体" w:eastAsia="黑体" w:hAnsi="宋体" w:cs="宋体"/>
          <w:color w:val="000000"/>
          <w:kern w:val="0"/>
          <w:sz w:val="32"/>
          <w:szCs w:val="32"/>
        </w:rPr>
      </w:pPr>
    </w:p>
    <w:p w:rsidR="00E720C3">
      <w:pPr>
        <w:autoSpaceDE w:val="0"/>
        <w:autoSpaceDN w:val="0"/>
        <w:jc w:val="center"/>
        <w:rPr>
          <w:rFonts w:ascii="黑体" w:eastAsia="黑体" w:hAnsi="宋体" w:cs="宋体" w:hint="eastAsia"/>
          <w:color w:val="000000"/>
          <w:kern w:val="0"/>
          <w:sz w:val="32"/>
          <w:szCs w:val="32"/>
        </w:rPr>
      </w:pPr>
    </w:p>
    <w:p w:rsidR="00E720C3">
      <w:pPr>
        <w:autoSpaceDE w:val="0"/>
        <w:autoSpaceDN w:val="0"/>
        <w:jc w:val="center"/>
        <w:rPr>
          <w:rFonts w:ascii="黑体" w:eastAsia="黑体" w:hAnsi="宋体" w:cs="宋体" w:hint="eastAsia"/>
          <w:color w:val="000000"/>
          <w:kern w:val="0"/>
          <w:sz w:val="32"/>
          <w:szCs w:val="32"/>
        </w:rPr>
      </w:pPr>
    </w:p>
    <w:p w:rsidR="00E720C3">
      <w:pPr>
        <w:autoSpaceDE w:val="0"/>
        <w:autoSpaceDN w:val="0"/>
        <w:jc w:val="center"/>
        <w:rPr>
          <w:rFonts w:ascii="黑体" w:eastAsia="黑体" w:hAnsi="宋体" w:cs="宋体"/>
          <w:color w:val="000000"/>
          <w:kern w:val="0"/>
          <w:sz w:val="32"/>
          <w:szCs w:val="32"/>
        </w:rPr>
      </w:pPr>
    </w:p>
    <w:p w:rsidR="00E720C3">
      <w:pPr>
        <w:snapToGrid w:val="0"/>
        <w:spacing w:line="360" w:lineRule="auto"/>
        <w:jc w:val="center"/>
        <w:outlineLvl w:val="2"/>
        <w:rPr>
          <w:rFonts w:hint="eastAsia"/>
          <w:b/>
          <w:sz w:val="28"/>
          <w:szCs w:val="28"/>
        </w:rPr>
      </w:pPr>
    </w:p>
    <w:p w:rsidR="00E720C3">
      <w:pPr>
        <w:snapToGrid w:val="0"/>
        <w:spacing w:line="360" w:lineRule="auto"/>
        <w:jc w:val="center"/>
        <w:outlineLvl w:val="2"/>
        <w:rPr>
          <w:rFonts w:hint="eastAsia"/>
          <w:b/>
          <w:sz w:val="28"/>
          <w:szCs w:val="28"/>
        </w:rPr>
      </w:pPr>
    </w:p>
    <w:p w:rsidR="00E720C3">
      <w:pPr>
        <w:snapToGrid w:val="0"/>
        <w:spacing w:line="360" w:lineRule="auto"/>
        <w:jc w:val="center"/>
        <w:outlineLvl w:val="2"/>
        <w:rPr>
          <w:b/>
          <w:sz w:val="28"/>
          <w:szCs w:val="28"/>
        </w:rPr>
      </w:pPr>
      <w:r>
        <w:rPr>
          <w:rFonts w:hint="eastAsia"/>
          <w:b/>
          <w:sz w:val="28"/>
          <w:szCs w:val="28"/>
        </w:rPr>
        <w:t>第一部分合同条款通用部分</w:t>
      </w:r>
    </w:p>
    <w:p w:rsidR="00E720C3">
      <w:pPr>
        <w:tabs>
          <w:tab w:val="left" w:pos="1573"/>
        </w:tabs>
        <w:snapToGrid w:val="0"/>
        <w:spacing w:line="360" w:lineRule="auto"/>
        <w:jc w:val="center"/>
        <w:rPr>
          <w:rFonts w:ascii="宋体" w:hAnsi="宋体"/>
          <w:szCs w:val="21"/>
        </w:rPr>
      </w:pPr>
    </w:p>
    <w:p w:rsidR="00E720C3">
      <w:pPr>
        <w:tabs>
          <w:tab w:val="left" w:pos="1573"/>
        </w:tabs>
        <w:adjustRightInd w:val="0"/>
        <w:snapToGrid w:val="0"/>
        <w:spacing w:line="360" w:lineRule="auto"/>
        <w:ind w:firstLine="420"/>
        <w:rPr>
          <w:rFonts w:ascii="宋体" w:hAnsi="宋体"/>
          <w:szCs w:val="21"/>
        </w:rPr>
      </w:pPr>
      <w:r>
        <w:rPr>
          <w:rFonts w:ascii="宋体" w:hAnsi="宋体" w:hint="eastAsia"/>
          <w:szCs w:val="21"/>
        </w:rPr>
        <w:t xml:space="preserve">    甲方在本项目中所需货物和服务由中国气象局政府采购中心在境内进行公开招标，经评审委员会评定，确定乙方为中标人。甲乙双方</w:t>
      </w:r>
      <w:r>
        <w:rPr>
          <w:rFonts w:hint="eastAsia"/>
          <w:szCs w:val="21"/>
        </w:rPr>
        <w:t>根据《中华人民共和国政府采购法》、《中华人民共和国民法典》和《中华人民共和国招标投标法》等相关法律法规以及本项目招标文件的规定，经平等协商达成合同如下：</w:t>
      </w:r>
      <w:r>
        <w:rPr>
          <w:rFonts w:ascii="宋体" w:hAnsi="宋体" w:hint="eastAsia"/>
          <w:szCs w:val="21"/>
        </w:rPr>
        <w:t xml:space="preserve"> </w:t>
      </w:r>
    </w:p>
    <w:p w:rsidR="00E720C3">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本合同所附下列文件是构成本合同不可分割的部分，若各文件之间存在含糊不清或互相冲突之处，优先顺序应按下列文件顺序解释：</w:t>
      </w:r>
    </w:p>
    <w:p w:rsidR="00E720C3">
      <w:pPr>
        <w:numPr>
          <w:ilvl w:val="0"/>
          <w:numId w:val="6"/>
        </w:numPr>
        <w:snapToGrid w:val="0"/>
        <w:spacing w:line="360" w:lineRule="auto"/>
        <w:rPr>
          <w:rFonts w:ascii="宋体" w:hAnsi="宋体"/>
          <w:szCs w:val="21"/>
        </w:rPr>
      </w:pPr>
      <w:r>
        <w:rPr>
          <w:rFonts w:ascii="宋体" w:hAnsi="宋体" w:hint="eastAsia"/>
          <w:szCs w:val="21"/>
        </w:rPr>
        <w:t>中标通知书</w:t>
      </w:r>
    </w:p>
    <w:p w:rsidR="00E720C3">
      <w:pPr>
        <w:numPr>
          <w:ilvl w:val="0"/>
          <w:numId w:val="6"/>
        </w:numPr>
        <w:snapToGrid w:val="0"/>
        <w:spacing w:line="360" w:lineRule="auto"/>
        <w:rPr>
          <w:rFonts w:ascii="宋体" w:hAnsi="宋体"/>
          <w:szCs w:val="21"/>
        </w:rPr>
      </w:pPr>
      <w:r>
        <w:rPr>
          <w:rFonts w:ascii="宋体" w:hAnsi="宋体" w:hint="eastAsia"/>
          <w:szCs w:val="21"/>
        </w:rPr>
        <w:t>投标一览表及投标分项报价表</w:t>
      </w:r>
    </w:p>
    <w:p w:rsidR="00E720C3">
      <w:pPr>
        <w:numPr>
          <w:ilvl w:val="0"/>
          <w:numId w:val="6"/>
        </w:numPr>
        <w:snapToGrid w:val="0"/>
        <w:spacing w:line="360" w:lineRule="auto"/>
        <w:rPr>
          <w:rFonts w:ascii="宋体" w:hAnsi="宋体"/>
          <w:szCs w:val="21"/>
        </w:rPr>
      </w:pPr>
      <w:r>
        <w:rPr>
          <w:rFonts w:ascii="宋体" w:hAnsi="宋体" w:hint="eastAsia"/>
          <w:szCs w:val="21"/>
        </w:rPr>
        <w:t>商务和技术偏离表</w:t>
      </w:r>
    </w:p>
    <w:p w:rsidR="00E720C3">
      <w:pPr>
        <w:numPr>
          <w:ilvl w:val="0"/>
          <w:numId w:val="6"/>
        </w:numPr>
        <w:snapToGrid w:val="0"/>
        <w:spacing w:line="360" w:lineRule="auto"/>
        <w:rPr>
          <w:rFonts w:ascii="宋体" w:hAnsi="宋体"/>
          <w:szCs w:val="21"/>
        </w:rPr>
      </w:pPr>
      <w:r>
        <w:rPr>
          <w:rFonts w:ascii="宋体" w:hAnsi="宋体" w:hint="eastAsia"/>
          <w:szCs w:val="21"/>
        </w:rPr>
        <w:t>合同条款专用部分</w:t>
      </w:r>
    </w:p>
    <w:p w:rsidR="00E720C3">
      <w:pPr>
        <w:numPr>
          <w:ilvl w:val="0"/>
          <w:numId w:val="6"/>
        </w:numPr>
        <w:snapToGrid w:val="0"/>
        <w:spacing w:line="360" w:lineRule="auto"/>
        <w:rPr>
          <w:rFonts w:ascii="宋体" w:hAnsi="宋体"/>
          <w:szCs w:val="21"/>
        </w:rPr>
      </w:pPr>
      <w:r>
        <w:rPr>
          <w:rFonts w:ascii="宋体" w:hAnsi="宋体" w:hint="eastAsia"/>
          <w:szCs w:val="21"/>
        </w:rPr>
        <w:t>合同条款通用部分</w:t>
      </w:r>
    </w:p>
    <w:p w:rsidR="00E720C3">
      <w:pPr>
        <w:numPr>
          <w:ilvl w:val="0"/>
          <w:numId w:val="6"/>
        </w:numPr>
        <w:snapToGrid w:val="0"/>
        <w:spacing w:line="360" w:lineRule="auto"/>
        <w:rPr>
          <w:rFonts w:ascii="宋体" w:hAnsi="宋体"/>
          <w:szCs w:val="21"/>
        </w:rPr>
      </w:pPr>
      <w:r>
        <w:rPr>
          <w:rFonts w:ascii="宋体" w:hAnsi="宋体" w:hint="eastAsia"/>
          <w:szCs w:val="21"/>
        </w:rPr>
        <w:t>采购需求</w:t>
      </w:r>
    </w:p>
    <w:p w:rsidR="00E720C3">
      <w:pPr>
        <w:numPr>
          <w:ilvl w:val="0"/>
          <w:numId w:val="6"/>
        </w:numPr>
        <w:snapToGrid w:val="0"/>
        <w:spacing w:line="360" w:lineRule="auto"/>
        <w:rPr>
          <w:rFonts w:ascii="宋体" w:hAnsi="宋体"/>
          <w:szCs w:val="21"/>
        </w:rPr>
      </w:pPr>
      <w:r>
        <w:rPr>
          <w:rFonts w:ascii="宋体" w:hAnsi="宋体" w:hint="eastAsia"/>
          <w:szCs w:val="21"/>
        </w:rPr>
        <w:t>双方有关服务的洽商、变更等书面协议或文件</w:t>
      </w:r>
    </w:p>
    <w:p w:rsidR="00E720C3">
      <w:pPr>
        <w:numPr>
          <w:ilvl w:val="0"/>
          <w:numId w:val="6"/>
        </w:numPr>
        <w:snapToGrid w:val="0"/>
        <w:spacing w:line="360" w:lineRule="auto"/>
        <w:rPr>
          <w:rFonts w:ascii="宋体" w:hAnsi="宋体"/>
          <w:szCs w:val="21"/>
        </w:rPr>
      </w:pPr>
      <w:r>
        <w:rPr>
          <w:rFonts w:ascii="宋体" w:hAnsi="宋体" w:hint="eastAsia"/>
          <w:szCs w:val="21"/>
        </w:rPr>
        <w:t>投标文件、招标文件</w:t>
      </w:r>
    </w:p>
    <w:p w:rsidR="00E720C3">
      <w:pPr>
        <w:numPr>
          <w:ilvl w:val="0"/>
          <w:numId w:val="6"/>
        </w:numPr>
        <w:snapToGrid w:val="0"/>
        <w:spacing w:line="360" w:lineRule="auto"/>
        <w:rPr>
          <w:rFonts w:ascii="宋体" w:hAnsi="宋体"/>
          <w:szCs w:val="21"/>
        </w:rPr>
      </w:pPr>
      <w:r>
        <w:rPr>
          <w:rFonts w:ascii="宋体" w:hAnsi="宋体" w:hint="eastAsia"/>
          <w:szCs w:val="21"/>
        </w:rPr>
        <w:t>其他合同文本</w:t>
      </w:r>
    </w:p>
    <w:p w:rsidR="00E720C3">
      <w:pPr>
        <w:snapToGrid w:val="0"/>
        <w:spacing w:line="360" w:lineRule="auto"/>
        <w:ind w:firstLine="315" w:firstLineChars="150"/>
        <w:rPr>
          <w:rFonts w:ascii="宋体" w:hAnsi="宋体"/>
          <w:b/>
          <w:szCs w:val="21"/>
        </w:rPr>
      </w:pPr>
      <w:r>
        <w:rPr>
          <w:rFonts w:ascii="宋体" w:hAnsi="宋体" w:hint="eastAsia"/>
          <w:b/>
          <w:szCs w:val="21"/>
        </w:rPr>
        <w:t>一、定义</w:t>
      </w:r>
    </w:p>
    <w:p w:rsidR="00E720C3">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rsidR="00E720C3">
      <w:pPr>
        <w:adjustRightInd w:val="0"/>
        <w:snapToGrid w:val="0"/>
        <w:spacing w:line="360" w:lineRule="auto"/>
        <w:ind w:firstLine="420" w:firstLineChars="200"/>
        <w:rPr>
          <w:rFonts w:ascii="宋体" w:hAnsi="宋体"/>
          <w:szCs w:val="21"/>
        </w:rPr>
      </w:pPr>
      <w:r>
        <w:rPr>
          <w:rFonts w:ascii="宋体" w:hAnsi="宋体" w:hint="eastAsia"/>
          <w:kern w:val="0"/>
          <w:szCs w:val="21"/>
        </w:rPr>
        <w:t>1、</w:t>
      </w:r>
      <w:r>
        <w:rPr>
          <w:rFonts w:ascii="宋体" w:hAnsi="宋体" w:hint="eastAsia"/>
          <w:kern w:val="0"/>
          <w:szCs w:val="21"/>
        </w:rPr>
        <w:t>“</w:t>
      </w:r>
      <w:r>
        <w:rPr>
          <w:rFonts w:ascii="宋体" w:hAnsi="宋体" w:hint="eastAsia"/>
          <w:szCs w:val="21"/>
        </w:rPr>
        <w:t>合同</w:t>
      </w:r>
      <w:r>
        <w:rPr>
          <w:rFonts w:ascii="宋体" w:hAnsi="宋体" w:hint="eastAsia"/>
          <w:szCs w:val="21"/>
        </w:rPr>
        <w:t>”</w:t>
      </w:r>
      <w:r>
        <w:rPr>
          <w:rFonts w:ascii="宋体" w:hAnsi="宋体" w:hint="eastAsia"/>
          <w:szCs w:val="21"/>
        </w:rPr>
        <w:t>系指甲乙双</w:t>
      </w:r>
      <w:r>
        <w:rPr>
          <w:rFonts w:ascii="宋体" w:hAnsi="宋体" w:hint="eastAsia"/>
          <w:szCs w:val="21"/>
        </w:rPr>
        <w:t>方签署的、合同格式中载明的甲乙双方所达成的协议，包括所有的附件、附录和上述文件所提到的构成合同的所有文件。</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合同价</w:t>
      </w:r>
      <w:r>
        <w:rPr>
          <w:rFonts w:ascii="宋体" w:hAnsi="宋体" w:hint="eastAsia"/>
          <w:szCs w:val="21"/>
        </w:rPr>
        <w:t>”</w:t>
      </w:r>
      <w:r>
        <w:rPr>
          <w:rFonts w:ascii="宋体" w:hAnsi="宋体" w:hint="eastAsia"/>
          <w:szCs w:val="21"/>
        </w:rPr>
        <w:t>系指根据合同规定乙方在正确地完全履行合同义务后甲方应支付给乙方的价格．</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服务</w:t>
      </w:r>
      <w:r>
        <w:rPr>
          <w:rFonts w:ascii="宋体" w:hAnsi="宋体" w:hint="eastAsia"/>
          <w:szCs w:val="21"/>
        </w:rPr>
        <w:t>”</w:t>
      </w:r>
      <w:r>
        <w:rPr>
          <w:rFonts w:ascii="宋体" w:hAnsi="宋体" w:hint="eastAsia"/>
          <w:szCs w:val="21"/>
        </w:rPr>
        <w:t>系指如数据分析等技术文件中所描述的活动。服务亦包括技术文件中特别描述的其它形式的服务</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w:t>
      </w:r>
      <w:r>
        <w:rPr>
          <w:rFonts w:ascii="宋体" w:hAnsi="宋体" w:hint="eastAsia"/>
          <w:szCs w:val="21"/>
        </w:rPr>
        <w:t>资料</w:t>
      </w:r>
      <w:r>
        <w:rPr>
          <w:rFonts w:ascii="宋体" w:hAnsi="宋体" w:hint="eastAsia"/>
          <w:szCs w:val="21"/>
        </w:rPr>
        <w:t>”</w:t>
      </w:r>
      <w:r>
        <w:rPr>
          <w:rFonts w:ascii="宋体" w:hAnsi="宋体" w:hint="eastAsia"/>
          <w:szCs w:val="21"/>
        </w:rPr>
        <w:t>系指依据合同规定，由乙方提供数据、报告、图表等资料。</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w:t>
      </w:r>
      <w:r>
        <w:rPr>
          <w:rFonts w:ascii="宋体" w:hAnsi="宋体" w:hint="eastAsia"/>
          <w:szCs w:val="21"/>
        </w:rPr>
        <w:t>合同条款</w:t>
      </w:r>
      <w:r>
        <w:rPr>
          <w:rFonts w:ascii="宋体" w:hAnsi="宋体" w:hint="eastAsia"/>
          <w:szCs w:val="21"/>
        </w:rPr>
        <w:t>”</w:t>
      </w:r>
      <w:r>
        <w:rPr>
          <w:rFonts w:ascii="宋体" w:hAnsi="宋体" w:hint="eastAsia"/>
          <w:szCs w:val="21"/>
        </w:rPr>
        <w:t>是指本合同条款。</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w:t>
      </w:r>
      <w:r>
        <w:rPr>
          <w:rFonts w:ascii="宋体" w:hAnsi="宋体" w:hint="eastAsia"/>
          <w:szCs w:val="21"/>
        </w:rPr>
        <w:t>天</w:t>
      </w:r>
      <w:r>
        <w:rPr>
          <w:rFonts w:ascii="宋体" w:hAnsi="宋体" w:hint="eastAsia"/>
          <w:szCs w:val="21"/>
        </w:rPr>
        <w:t>”</w:t>
      </w:r>
      <w:r>
        <w:rPr>
          <w:rFonts w:ascii="宋体" w:hAnsi="宋体" w:hint="eastAsia"/>
          <w:szCs w:val="21"/>
        </w:rPr>
        <w:t>指日历天数。</w:t>
      </w:r>
    </w:p>
    <w:p w:rsidR="00E720C3">
      <w:pPr>
        <w:pStyle w:val="NormalIndent"/>
        <w:adjustRightInd w:val="0"/>
        <w:snapToGrid w:val="0"/>
        <w:spacing w:line="360" w:lineRule="auto"/>
        <w:ind w:left="210" w:firstLine="206" w:leftChars="100" w:firstLineChars="98"/>
        <w:rPr>
          <w:rFonts w:ascii="宋体" w:hAnsi="宋体"/>
          <w:b/>
          <w:szCs w:val="21"/>
        </w:rPr>
      </w:pPr>
      <w:r>
        <w:rPr>
          <w:rFonts w:ascii="宋体" w:hAnsi="宋体" w:hint="eastAsia"/>
          <w:b/>
          <w:szCs w:val="21"/>
        </w:rPr>
        <w:t>二、合同标的。</w:t>
      </w:r>
    </w:p>
    <w:p w:rsidR="00E720C3">
      <w:pPr>
        <w:pStyle w:val="NormalIndent"/>
        <w:numPr>
          <w:ilvl w:val="6"/>
          <w:numId w:val="0"/>
        </w:numPr>
        <w:adjustRightInd w:val="0"/>
        <w:snapToGrid w:val="0"/>
        <w:spacing w:line="360" w:lineRule="auto"/>
        <w:ind w:firstLine="420" w:firstLineChars="200"/>
        <w:rPr>
          <w:rFonts w:ascii="宋体" w:hAnsi="宋体"/>
          <w:szCs w:val="21"/>
        </w:rPr>
      </w:pPr>
      <w:r>
        <w:rPr>
          <w:rFonts w:ascii="宋体" w:hAnsi="宋体" w:hint="eastAsia"/>
          <w:szCs w:val="21"/>
        </w:rPr>
        <w:t>见第二部分合同专用部分。</w:t>
      </w:r>
    </w:p>
    <w:p w:rsidR="00E720C3">
      <w:pPr>
        <w:pStyle w:val="20"/>
        <w:adjustRightInd w:val="0"/>
        <w:snapToGrid w:val="0"/>
        <w:ind w:left="200" w:firstLine="225" w:leftChars="95" w:firstLineChars="107"/>
        <w:rPr>
          <w:b/>
          <w:sz w:val="21"/>
          <w:szCs w:val="21"/>
        </w:rPr>
      </w:pPr>
      <w:r>
        <w:rPr>
          <w:rFonts w:ascii="宋体" w:hAnsi="宋体" w:hint="eastAsia"/>
          <w:sz w:val="21"/>
          <w:szCs w:val="21"/>
        </w:rPr>
        <w:t>三、</w:t>
      </w:r>
      <w:bookmarkStart w:id="202" w:name="_Toc86202595"/>
      <w:r>
        <w:rPr>
          <w:rFonts w:hint="eastAsia"/>
          <w:b/>
          <w:sz w:val="21"/>
          <w:szCs w:val="21"/>
        </w:rPr>
        <w:t>合同价格</w:t>
      </w:r>
      <w:bookmarkEnd w:id="202"/>
    </w:p>
    <w:p w:rsidR="00E720C3">
      <w:pPr>
        <w:adjustRightInd w:val="0"/>
        <w:snapToGrid w:val="0"/>
        <w:spacing w:line="360" w:lineRule="auto"/>
        <w:ind w:firstLine="420" w:firstLineChars="200"/>
        <w:rPr>
          <w:rFonts w:ascii="宋体" w:hAnsi="宋体"/>
          <w:szCs w:val="21"/>
        </w:rPr>
      </w:pPr>
      <w:r>
        <w:rPr>
          <w:rFonts w:ascii="宋体" w:hAnsi="宋体" w:hint="eastAsia"/>
          <w:szCs w:val="21"/>
        </w:rPr>
        <w:t>1、合同总金额详见</w:t>
      </w:r>
      <w:r>
        <w:rPr>
          <w:rFonts w:ascii="黑体" w:eastAsia="黑体" w:hAnsi="黑体" w:hint="eastAsia"/>
          <w:b/>
          <w:bCs/>
          <w:szCs w:val="21"/>
        </w:rPr>
        <w:t>第二部分合同专用部分</w:t>
      </w:r>
      <w:r>
        <w:rPr>
          <w:rFonts w:ascii="宋体" w:hAnsi="宋体" w:hint="eastAsia"/>
          <w:szCs w:val="21"/>
        </w:rPr>
        <w:t>。</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2、本合同价格包括服务产品金额，是在项目交付前、交付时所发生或引起的本合同相关的全部成本、费用等，且为完税后价格。</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3、合同服务产品详细目录及价格见</w:t>
      </w:r>
      <w:r>
        <w:rPr>
          <w:rFonts w:ascii="黑体" w:eastAsia="黑体" w:hAnsi="黑体" w:hint="eastAsia"/>
          <w:b/>
          <w:bCs/>
          <w:szCs w:val="21"/>
        </w:rPr>
        <w:t>合同服务产品清单（同投标文件中服务产品清单）</w:t>
      </w:r>
      <w:r>
        <w:rPr>
          <w:rFonts w:ascii="宋体" w:hAnsi="宋体" w:hint="eastAsia"/>
          <w:szCs w:val="21"/>
        </w:rPr>
        <w:t>。</w:t>
      </w:r>
    </w:p>
    <w:p w:rsidR="00E720C3">
      <w:pPr>
        <w:adjustRightInd w:val="0"/>
        <w:snapToGrid w:val="0"/>
        <w:spacing w:line="360" w:lineRule="auto"/>
        <w:ind w:firstLine="412" w:firstLineChars="196"/>
        <w:rPr>
          <w:b/>
          <w:szCs w:val="21"/>
        </w:rPr>
      </w:pPr>
      <w:bookmarkStart w:id="203" w:name="_Toc86202596"/>
      <w:r>
        <w:rPr>
          <w:rFonts w:hint="eastAsia"/>
          <w:b/>
          <w:szCs w:val="21"/>
        </w:rPr>
        <w:t>四、支付和结算方式</w:t>
      </w:r>
      <w:bookmarkEnd w:id="203"/>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2、双方的帐户名称、开户银行及帐号以本合同提供的为准。</w:t>
      </w:r>
    </w:p>
    <w:p w:rsidR="00E720C3">
      <w:pPr>
        <w:tabs>
          <w:tab w:val="left" w:pos="1573"/>
        </w:tabs>
        <w:adjustRightInd w:val="0"/>
        <w:snapToGrid w:val="0"/>
        <w:spacing w:line="360" w:lineRule="auto"/>
        <w:ind w:firstLine="420" w:firstLineChars="200"/>
        <w:rPr>
          <w:rFonts w:hAnsi="宋体"/>
          <w:kern w:val="0"/>
          <w:szCs w:val="21"/>
        </w:rPr>
      </w:pPr>
      <w:r>
        <w:rPr>
          <w:rFonts w:ascii="宋体" w:hAnsi="宋体" w:hint="eastAsia"/>
          <w:szCs w:val="21"/>
        </w:rPr>
        <w:t>3、付款方式：</w:t>
      </w:r>
      <w:bookmarkStart w:id="204" w:name="_Toc86202597"/>
      <w:r>
        <w:rPr>
          <w:rFonts w:hAnsi="宋体" w:hint="eastAsia"/>
          <w:kern w:val="0"/>
          <w:szCs w:val="21"/>
        </w:rPr>
        <w:t xml:space="preserve"> </w:t>
      </w:r>
    </w:p>
    <w:p w:rsidR="00E720C3">
      <w:pPr>
        <w:pStyle w:val="PlainText"/>
        <w:tabs>
          <w:tab w:val="left" w:pos="1573"/>
        </w:tabs>
        <w:adjustRightInd w:val="0"/>
        <w:snapToGrid w:val="0"/>
        <w:spacing w:line="360" w:lineRule="auto"/>
        <w:ind w:firstLine="420" w:firstLineChars="200"/>
        <w:rPr>
          <w:rFonts w:hAnsi="宋体"/>
          <w:kern w:val="0"/>
          <w:szCs w:val="20"/>
        </w:rPr>
      </w:pPr>
      <w:r>
        <w:rPr>
          <w:rFonts w:hAnsi="宋体" w:hint="eastAsia"/>
          <w:kern w:val="0"/>
          <w:szCs w:val="20"/>
        </w:rPr>
        <w:t>详见</w:t>
      </w:r>
      <w:r>
        <w:rPr>
          <w:rFonts w:hAnsi="宋体" w:hint="eastAsia"/>
          <w:b/>
          <w:kern w:val="0"/>
          <w:szCs w:val="20"/>
        </w:rPr>
        <w:t>合同专用部分</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4、乙方在甲方支付每一笔付款前，应向甲方开具相应金额的商业发票。</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5、如乙方根据本合同约定有责任向甲方支付违约金、赔偿金时，甲方有权直接从上述付款中扣除该等款项并于事后通知乙方，该情形下应当视为甲方已经依约履行了合同义务，而所扣乙</w:t>
      </w:r>
      <w:r>
        <w:rPr>
          <w:rFonts w:ascii="宋体" w:hAnsi="宋体" w:hint="eastAsia"/>
          <w:szCs w:val="21"/>
        </w:rPr>
        <w:t>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E720C3">
      <w:pPr>
        <w:tabs>
          <w:tab w:val="left" w:pos="1573"/>
        </w:tabs>
        <w:adjustRightInd w:val="0"/>
        <w:snapToGrid w:val="0"/>
        <w:spacing w:line="360" w:lineRule="auto"/>
        <w:ind w:firstLine="420" w:firstLineChars="200"/>
        <w:rPr>
          <w:rFonts w:ascii="宋体" w:hAnsi="宋体"/>
          <w:b/>
          <w:szCs w:val="21"/>
        </w:rPr>
      </w:pPr>
      <w:r>
        <w:rPr>
          <w:rFonts w:ascii="宋体" w:hAnsi="宋体" w:hint="eastAsia"/>
          <w:b/>
          <w:szCs w:val="21"/>
        </w:rPr>
        <w:t>五、资料的使用</w:t>
      </w:r>
    </w:p>
    <w:p w:rsidR="00E720C3">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w:t>
      </w:r>
      <w:r>
        <w:rPr>
          <w:rFonts w:ascii="宋体" w:hAnsi="宋体" w:hint="eastAsia"/>
          <w:szCs w:val="21"/>
        </w:rPr>
        <w:t>供给乙方雇佣于履行本合同以外的任何其他人。即使向本合同的雇员提供，也应注意保密并限于履行合同必须的范围。</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3、没有甲方事先书面同意，乙方不得泄露与本项目有关的任何资料、数据及其它信息。</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甲方提供该乙方履行合同所需的资料清单见</w:t>
      </w:r>
      <w:r>
        <w:rPr>
          <w:rFonts w:ascii="黑体" w:eastAsia="黑体" w:hAnsi="黑体" w:hint="eastAsia"/>
          <w:b/>
          <w:bCs/>
          <w:szCs w:val="21"/>
        </w:rPr>
        <w:t>第二部分合同专用部分。</w:t>
      </w:r>
    </w:p>
    <w:p w:rsidR="00E720C3">
      <w:pPr>
        <w:pStyle w:val="NormalIndent"/>
        <w:adjustRightInd w:val="0"/>
        <w:snapToGrid w:val="0"/>
        <w:spacing w:line="360" w:lineRule="auto"/>
        <w:ind w:left="414" w:firstLine="422"/>
        <w:rPr>
          <w:rFonts w:ascii="宋体" w:hAnsi="宋体"/>
          <w:b/>
          <w:szCs w:val="21"/>
        </w:rPr>
      </w:pPr>
      <w:r>
        <w:rPr>
          <w:rFonts w:ascii="宋体" w:hAnsi="宋体" w:hint="eastAsia"/>
          <w:b/>
          <w:szCs w:val="21"/>
        </w:rPr>
        <w:t>六、知识产权</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w:t>
      </w:r>
      <w:r>
        <w:rPr>
          <w:rFonts w:ascii="宋体" w:hAnsi="宋体" w:hint="eastAsia"/>
          <w:szCs w:val="21"/>
        </w:rPr>
        <w:t>该等权利的一方。</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w:t>
      </w:r>
      <w:r>
        <w:rPr>
          <w:rFonts w:ascii="宋体" w:hAnsi="宋体" w:hint="eastAsia"/>
          <w:szCs w:val="21"/>
        </w:rPr>
        <w:t>生任何争议均应当由乙方独自承担全部及/或任何责任，包括但不限于应当承担其自身及甲方为排除任何争议或瑕疵所应当或所需要支付的一切相关及/或由此引起的费用。</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6、甲方将拥</w:t>
      </w:r>
      <w:r>
        <w:rPr>
          <w:rFonts w:ascii="宋体" w:hAnsi="宋体" w:hint="eastAsia"/>
          <w:szCs w:val="21"/>
        </w:rPr>
        <w:t>有其在本协议项下所从事的所有工作（包括各类纸质文档，电子文档及其他可交付物）中所包含的或与之相关的全部版权、专利、商业秘密、商标和其他知识产权以及所有权和其他权益。</w:t>
      </w:r>
    </w:p>
    <w:p w:rsidR="00E720C3">
      <w:pPr>
        <w:adjustRightInd w:val="0"/>
        <w:snapToGrid w:val="0"/>
        <w:spacing w:line="360" w:lineRule="auto"/>
        <w:ind w:firstLine="420" w:firstLineChars="200"/>
        <w:rPr>
          <w:rFonts w:ascii="宋体" w:hAnsi="宋体"/>
          <w:b/>
          <w:szCs w:val="21"/>
        </w:rPr>
      </w:pPr>
      <w:r>
        <w:rPr>
          <w:rFonts w:ascii="宋体" w:hAnsi="宋体" w:hint="eastAsia"/>
          <w:b/>
          <w:szCs w:val="21"/>
        </w:rPr>
        <w:t>七、权利和义务</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w:t>
      </w:r>
    </w:p>
    <w:p w:rsidR="00E720C3">
      <w:pPr>
        <w:pStyle w:val="NormalIndent"/>
        <w:adjustRightInd w:val="0"/>
        <w:snapToGrid w:val="0"/>
        <w:spacing w:line="360" w:lineRule="auto"/>
        <w:ind w:left="210" w:firstLine="206" w:leftChars="100" w:firstLineChars="98"/>
        <w:rPr>
          <w:rFonts w:ascii="宋体" w:hAnsi="宋体"/>
          <w:szCs w:val="21"/>
        </w:rPr>
      </w:pPr>
      <w:r>
        <w:rPr>
          <w:rFonts w:ascii="宋体" w:hAnsi="宋体" w:hint="eastAsia"/>
          <w:b/>
          <w:szCs w:val="21"/>
        </w:rPr>
        <w:t>4、</w:t>
      </w:r>
      <w:r>
        <w:rPr>
          <w:rFonts w:ascii="宋体" w:hAnsi="宋体" w:hint="eastAsia"/>
          <w:szCs w:val="21"/>
        </w:rPr>
        <w:t>甲方可对乙方的组织实施工作进行检查。</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5、甲方如对乙方工作有任何异议，应于服务产品提交后15日内以书面形式向乙方提出，对经乙方确认的异议，乙方应根据行业要求做出合理处理。逾期未提出书面异议，视同无异议。</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6、在履行合同过程中，甲方应给予乙方必要的配合，提供履行合同所必须的资料。</w:t>
      </w:r>
    </w:p>
    <w:p w:rsidR="00E720C3">
      <w:pPr>
        <w:tabs>
          <w:tab w:val="left" w:pos="1573"/>
        </w:tabs>
        <w:adjustRightInd w:val="0"/>
        <w:snapToGrid w:val="0"/>
        <w:spacing w:line="360" w:lineRule="auto"/>
        <w:ind w:firstLine="420" w:firstLineChars="200"/>
        <w:rPr>
          <w:b/>
          <w:szCs w:val="21"/>
        </w:rPr>
      </w:pPr>
      <w:r>
        <w:rPr>
          <w:rFonts w:ascii="宋体" w:hAnsi="宋体" w:hint="eastAsia"/>
          <w:b/>
          <w:szCs w:val="21"/>
        </w:rPr>
        <w:t>八、</w:t>
      </w:r>
      <w:r>
        <w:rPr>
          <w:rFonts w:hint="eastAsia"/>
          <w:b/>
          <w:szCs w:val="21"/>
        </w:rPr>
        <w:t>合同的补充、修改和变更</w:t>
      </w:r>
    </w:p>
    <w:p w:rsidR="00E720C3">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w:t>
      </w:r>
      <w:r>
        <w:rPr>
          <w:rFonts w:ascii="宋体" w:hAnsi="宋体" w:hint="eastAsia"/>
          <w:szCs w:val="21"/>
        </w:rPr>
        <w:t>履行本合同。</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w:t>
      </w:r>
      <w:r>
        <w:rPr>
          <w:rFonts w:ascii="宋体" w:hAnsi="宋体" w:hint="eastAsia"/>
          <w:szCs w:val="21"/>
        </w:rPr>
        <w:t>认，甲乙双方则按修改后的约定履行本合同。如甲方不同意乙方的上述建议，双方仍按原合同执行。</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rsidR="00E720C3">
      <w:pPr>
        <w:adjustRightInd w:val="0"/>
        <w:snapToGrid w:val="0"/>
        <w:spacing w:line="360" w:lineRule="auto"/>
        <w:ind w:left="420"/>
        <w:rPr>
          <w:rFonts w:ascii="宋体" w:hAnsi="宋体"/>
          <w:szCs w:val="21"/>
        </w:rPr>
      </w:pPr>
      <w:r>
        <w:rPr>
          <w:rFonts w:ascii="宋体" w:hAnsi="宋体" w:hint="eastAsia"/>
          <w:szCs w:val="21"/>
        </w:rPr>
        <w:t>7、任何对合同条件的变更或修改均须双方签订书面的修改书。</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w:t>
      </w:r>
      <w:r>
        <w:rPr>
          <w:rFonts w:ascii="宋体" w:hAnsi="宋体" w:hint="eastAsia"/>
          <w:szCs w:val="21"/>
        </w:rPr>
        <w:t>相同。</w:t>
      </w:r>
    </w:p>
    <w:p w:rsidR="00E720C3">
      <w:pPr>
        <w:pStyle w:val="NormalIndent"/>
        <w:adjustRightInd w:val="0"/>
        <w:snapToGrid w:val="0"/>
        <w:spacing w:line="360" w:lineRule="auto"/>
        <w:ind w:firstLine="412" w:firstLineChars="196"/>
        <w:rPr>
          <w:rFonts w:ascii="宋体" w:hAnsi="宋体"/>
          <w:b/>
          <w:szCs w:val="21"/>
        </w:rPr>
      </w:pPr>
      <w:r>
        <w:rPr>
          <w:rFonts w:ascii="宋体" w:hAnsi="宋体" w:hint="eastAsia"/>
          <w:b/>
          <w:szCs w:val="21"/>
        </w:rPr>
        <w:t>九、转包与分包</w:t>
      </w:r>
    </w:p>
    <w:p w:rsidR="00E720C3">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乙方签订合同后，未经甲方允许不得转包、分包，亦不得将合同全部及任何权利、义务向第三方转让，否则将被视为严重违约，甲方有权决定终止或解除合同，乙方应支付合同总金额3</w:t>
      </w:r>
      <w:r>
        <w:rPr>
          <w:rFonts w:ascii="宋体" w:hAnsi="宋体"/>
          <w:sz w:val="21"/>
          <w:szCs w:val="21"/>
        </w:rPr>
        <w:t>0%</w:t>
      </w:r>
      <w:r>
        <w:rPr>
          <w:rFonts w:ascii="宋体" w:hAnsi="宋体" w:hint="eastAsia"/>
          <w:sz w:val="21"/>
          <w:szCs w:val="21"/>
        </w:rPr>
        <w:t>作为违约金。该等情形即便由于任何原因实际存在，乙方将不被免除任何责任，且任何相关第三方由于合同转让、转包、分包所得到的知识产权均属无效取得，均应当归甲方所有。</w:t>
      </w:r>
    </w:p>
    <w:p w:rsidR="00E720C3">
      <w:pPr>
        <w:adjustRightInd w:val="0"/>
        <w:snapToGrid w:val="0"/>
        <w:spacing w:line="360" w:lineRule="auto"/>
        <w:ind w:firstLine="412" w:firstLineChars="196"/>
        <w:rPr>
          <w:b/>
          <w:szCs w:val="21"/>
        </w:rPr>
      </w:pPr>
      <w:r>
        <w:rPr>
          <w:rFonts w:hint="eastAsia"/>
          <w:b/>
          <w:szCs w:val="21"/>
        </w:rPr>
        <w:t>十、保密条款</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3、此外的其它</w:t>
      </w:r>
      <w:r>
        <w:rPr>
          <w:rFonts w:ascii="宋体" w:hAnsi="宋体" w:hint="eastAsia"/>
          <w:szCs w:val="21"/>
        </w:rPr>
        <w:t>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E720C3">
      <w:pPr>
        <w:tabs>
          <w:tab w:val="left" w:pos="1573"/>
        </w:tabs>
        <w:adjustRightInd w:val="0"/>
        <w:snapToGrid w:val="0"/>
        <w:spacing w:line="360" w:lineRule="auto"/>
        <w:ind w:firstLine="420" w:firstLineChars="200"/>
        <w:rPr>
          <w:rFonts w:ascii="宋体" w:hAnsi="宋体"/>
          <w:b/>
          <w:szCs w:val="21"/>
        </w:rPr>
      </w:pPr>
      <w:r>
        <w:rPr>
          <w:rFonts w:ascii="宋体" w:hAnsi="宋体" w:hint="eastAsia"/>
          <w:b/>
          <w:kern w:val="0"/>
          <w:szCs w:val="21"/>
        </w:rPr>
        <w:t>十一</w:t>
      </w:r>
      <w:r>
        <w:rPr>
          <w:rFonts w:ascii="宋体" w:hAnsi="宋体" w:hint="eastAsia"/>
          <w:b/>
          <w:szCs w:val="21"/>
        </w:rPr>
        <w:t>、进度要求</w:t>
      </w:r>
    </w:p>
    <w:p w:rsidR="00E720C3">
      <w:pPr>
        <w:pStyle w:val="NormalIndent"/>
        <w:numPr>
          <w:ilvl w:val="6"/>
          <w:numId w:val="0"/>
        </w:numPr>
        <w:adjustRightInd w:val="0"/>
        <w:snapToGrid w:val="0"/>
        <w:spacing w:line="360" w:lineRule="auto"/>
        <w:ind w:firstLine="420" w:firstLineChars="200"/>
        <w:rPr>
          <w:rFonts w:ascii="宋体" w:hAnsi="宋体"/>
          <w:b/>
          <w:szCs w:val="21"/>
        </w:rPr>
      </w:pPr>
      <w:r>
        <w:rPr>
          <w:rFonts w:ascii="宋体" w:hAnsi="宋体" w:hint="eastAsia"/>
          <w:b/>
          <w:szCs w:val="21"/>
        </w:rPr>
        <w:t>见第二部分合同专用部分。</w:t>
      </w:r>
    </w:p>
    <w:p w:rsidR="00E720C3">
      <w:pPr>
        <w:tabs>
          <w:tab w:val="left" w:pos="1573"/>
        </w:tabs>
        <w:adjustRightInd w:val="0"/>
        <w:snapToGrid w:val="0"/>
        <w:spacing w:line="360" w:lineRule="auto"/>
        <w:ind w:left="420" w:leftChars="200"/>
        <w:rPr>
          <w:b/>
          <w:szCs w:val="21"/>
        </w:rPr>
      </w:pPr>
      <w:r>
        <w:rPr>
          <w:rFonts w:ascii="宋体" w:hAnsi="宋体" w:hint="eastAsia"/>
          <w:b/>
          <w:szCs w:val="21"/>
        </w:rPr>
        <w:t>十二、</w:t>
      </w:r>
      <w:bookmarkStart w:id="205" w:name="_Toc86202601"/>
      <w:r>
        <w:rPr>
          <w:rFonts w:hint="eastAsia"/>
          <w:b/>
          <w:szCs w:val="21"/>
        </w:rPr>
        <w:t>技术服务和保修责任</w:t>
      </w:r>
      <w:bookmarkEnd w:id="205"/>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hint="eastAsia"/>
          <w:b/>
          <w:bCs/>
        </w:rPr>
        <w:t>第二部分合同专用部分</w:t>
      </w:r>
      <w:r>
        <w:rPr>
          <w:rFonts w:ascii="宋体" w:hAnsi="宋体" w:hint="eastAsia"/>
          <w:szCs w:val="21"/>
        </w:rPr>
        <w:t>。</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1、乙方对合同服务的质量保修期见</w:t>
      </w:r>
      <w:r>
        <w:rPr>
          <w:rFonts w:ascii="宋体" w:hAnsi="宋体" w:hint="eastAsia"/>
          <w:b/>
          <w:szCs w:val="21"/>
        </w:rPr>
        <w:t>第二部分合同专用部分</w:t>
      </w:r>
      <w:r>
        <w:rPr>
          <w:rFonts w:ascii="宋体" w:hAnsi="宋体" w:hint="eastAsia"/>
          <w:szCs w:val="21"/>
        </w:rPr>
        <w:t>。乙方应保证所提供的产品、服务，符合合同规定的技术要求。如不符时，乙方应负全责并尽快处理解决，由此造成的损失和相关费用由乙方负责，甲方保留终止合同及索赔的权利。</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2、乙方应保证通过执行合同中全部方案后，可以取得本合同规定的结果，达到本合同规定的预期目标。对任何情况下出现问题的，应尽快提出解决方案。</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3、如果乙方提供的产品、服务和解决方案不符合甲方要求，或在规定的时间内</w:t>
      </w:r>
      <w:r>
        <w:rPr>
          <w:rFonts w:ascii="宋体" w:hAnsi="宋体" w:hint="eastAsia"/>
          <w:szCs w:val="21"/>
        </w:rPr>
        <w:t>没有弥补缺陷，甲方有权采取一切必要的补救措施，由此产生的费用全部由乙方负责。</w:t>
      </w:r>
    </w:p>
    <w:p w:rsidR="00E720C3">
      <w:pPr>
        <w:tabs>
          <w:tab w:val="left" w:pos="1573"/>
        </w:tabs>
        <w:adjustRightInd w:val="0"/>
        <w:snapToGrid w:val="0"/>
        <w:spacing w:line="360" w:lineRule="auto"/>
        <w:ind w:left="420" w:leftChars="200"/>
        <w:rPr>
          <w:b/>
          <w:szCs w:val="21"/>
        </w:rPr>
      </w:pPr>
      <w:bookmarkEnd w:id="204"/>
      <w:r>
        <w:rPr>
          <w:rFonts w:ascii="宋体" w:hAnsi="宋体" w:hint="eastAsia"/>
          <w:b/>
          <w:szCs w:val="21"/>
        </w:rPr>
        <w:t>十三、</w:t>
      </w:r>
      <w:bookmarkStart w:id="206" w:name="_Toc86202602"/>
      <w:r>
        <w:rPr>
          <w:rFonts w:hint="eastAsia"/>
          <w:b/>
          <w:szCs w:val="21"/>
        </w:rPr>
        <w:t>履约保证金</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1、中标人应在收到中标通知书后规定时间内（具体时间</w:t>
      </w:r>
      <w:r>
        <w:rPr>
          <w:rFonts w:hint="eastAsia"/>
          <w:szCs w:val="21"/>
        </w:rPr>
        <w:t>见</w:t>
      </w:r>
      <w:r>
        <w:rPr>
          <w:rFonts w:ascii="黑体" w:eastAsia="黑体" w:hAnsi="黑体" w:hint="eastAsia"/>
          <w:b/>
          <w:bCs/>
          <w:szCs w:val="21"/>
        </w:rPr>
        <w:t>第二部分合同专用部分</w:t>
      </w:r>
      <w:r>
        <w:rPr>
          <w:rFonts w:ascii="宋体" w:hAnsi="宋体" w:hint="eastAsia"/>
          <w:szCs w:val="21"/>
        </w:rPr>
        <w:t>）内，以信汇、电汇或履约保函形式向甲方提供履约保证金，保证金金额：见</w:t>
      </w:r>
      <w:r>
        <w:rPr>
          <w:rFonts w:ascii="黑体" w:eastAsia="黑体" w:hAnsi="黑体" w:hint="eastAsia"/>
          <w:b/>
          <w:bCs/>
          <w:szCs w:val="21"/>
        </w:rPr>
        <w:t>第二部分合同专用部分</w:t>
      </w:r>
      <w:r>
        <w:rPr>
          <w:rFonts w:ascii="宋体" w:hAnsi="宋体" w:hint="eastAsia"/>
          <w:szCs w:val="21"/>
        </w:rPr>
        <w:t>。</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2、如果中标人没有按照上述规定执行，甲方将有充分理由取消该中标决定，并不予退还其投标保证金。在此情况下甲方可将合同授予排名第二的中标候选人，或重新招标。</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3、若本项目不允许分包或转包的，如果中标人在与甲方签定合同以后，将中标项目分包或转包给第三方，甲方将有充分理由终止合同，并不予退还其履约保证金。</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4、中标人的履约保证金将在合同服务试经甲方终验合格，履行完必要的审批手续后5个工作日内退还中标人。</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5、如乙方未能完全履行合同规定的义务，甲方有权从履约保证金中得到补偿。</w:t>
      </w:r>
    </w:p>
    <w:p w:rsidR="00E720C3">
      <w:pPr>
        <w:tabs>
          <w:tab w:val="left" w:pos="360"/>
          <w:tab w:val="left" w:pos="1573"/>
        </w:tabs>
        <w:adjustRightInd w:val="0"/>
        <w:snapToGrid w:val="0"/>
        <w:spacing w:line="360" w:lineRule="auto"/>
        <w:ind w:left="420" w:leftChars="200"/>
        <w:rPr>
          <w:b/>
          <w:szCs w:val="21"/>
        </w:rPr>
      </w:pPr>
      <w:r>
        <w:rPr>
          <w:rFonts w:hint="eastAsia"/>
          <w:b/>
          <w:szCs w:val="21"/>
        </w:rPr>
        <w:t>十四、审计及检查</w:t>
      </w:r>
    </w:p>
    <w:p w:rsidR="00E720C3">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如果采购人要求，中标人应允许采购人检查中标人与实施本合同有关的资金、帐户和记录，并由采购人指定的审计人员对其进行审计。</w:t>
      </w:r>
    </w:p>
    <w:p w:rsidR="00E720C3">
      <w:pPr>
        <w:adjustRightInd w:val="0"/>
        <w:snapToGrid w:val="0"/>
        <w:spacing w:line="360" w:lineRule="auto"/>
        <w:ind w:firstLine="412" w:firstLineChars="196"/>
        <w:rPr>
          <w:b/>
          <w:szCs w:val="21"/>
        </w:rPr>
      </w:pPr>
      <w:r>
        <w:rPr>
          <w:rFonts w:hint="eastAsia"/>
          <w:b/>
          <w:szCs w:val="21"/>
        </w:rPr>
        <w:t>十五、违约责任</w:t>
      </w:r>
      <w:bookmarkEnd w:id="206"/>
    </w:p>
    <w:p w:rsidR="00E720C3">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w:t>
      </w:r>
      <w:r>
        <w:rPr>
          <w:rFonts w:ascii="宋体" w:hAnsi="宋体" w:hint="eastAsia"/>
          <w:szCs w:val="21"/>
        </w:rPr>
        <w:t>，则应当被认为属于严重违约。若双方对某一违约是否属于严重违约仍有争议，可以由争议解决机构裁决认定。</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4、延期交货或延期付款的违约责任：如乙方延期交货或甲方延期付款，每逾期一天，违约方应按延期交付服务产品所折合的金额或延期付款金额的比例（详</w:t>
      </w:r>
      <w:r>
        <w:rPr>
          <w:rFonts w:hint="eastAsia"/>
          <w:szCs w:val="21"/>
        </w:rPr>
        <w:t>见</w:t>
      </w:r>
      <w:r>
        <w:rPr>
          <w:rFonts w:ascii="黑体" w:eastAsia="黑体" w:hAnsi="黑体" w:hint="eastAsia"/>
          <w:b/>
          <w:bCs/>
          <w:szCs w:val="21"/>
        </w:rPr>
        <w:t>第二部分合同专用部分</w:t>
      </w:r>
      <w:r>
        <w:rPr>
          <w:rFonts w:ascii="宋体" w:hAnsi="宋体" w:hint="eastAsia"/>
          <w:szCs w:val="21"/>
        </w:rPr>
        <w:t>）向对方支付违约金，但该违约金累计不得超过合同总金额的一定比例（详</w:t>
      </w:r>
      <w:r>
        <w:rPr>
          <w:rFonts w:hint="eastAsia"/>
          <w:szCs w:val="21"/>
        </w:rPr>
        <w:t>见</w:t>
      </w:r>
      <w:r>
        <w:rPr>
          <w:rFonts w:ascii="黑体" w:eastAsia="黑体" w:hAnsi="黑体" w:hint="eastAsia"/>
          <w:b/>
          <w:bCs/>
          <w:szCs w:val="21"/>
        </w:rPr>
        <w:t>第二部分合同专用部分</w:t>
      </w:r>
      <w:r>
        <w:rPr>
          <w:rFonts w:ascii="宋体" w:hAnsi="宋体" w:hint="eastAsia"/>
          <w:szCs w:val="21"/>
        </w:rPr>
        <w:t>）；上述逾期超过一定时间（详</w:t>
      </w:r>
      <w:r>
        <w:rPr>
          <w:rFonts w:hint="eastAsia"/>
          <w:szCs w:val="21"/>
        </w:rPr>
        <w:t>见</w:t>
      </w:r>
      <w:r>
        <w:rPr>
          <w:rFonts w:ascii="黑体" w:eastAsia="黑体" w:hAnsi="黑体" w:hint="eastAsia"/>
          <w:b/>
          <w:bCs/>
          <w:szCs w:val="21"/>
        </w:rPr>
        <w:t>第二部分合同专用部分</w:t>
      </w:r>
      <w:r>
        <w:rPr>
          <w:rFonts w:ascii="宋体" w:hAnsi="宋体" w:hint="eastAsia"/>
          <w:szCs w:val="21"/>
        </w:rPr>
        <w:t>），守约方有权解除合同，并要求违约方赔偿由此造成的损失。</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hint="eastAsia"/>
          <w:b/>
          <w:bCs/>
          <w:szCs w:val="21"/>
        </w:rPr>
        <w:t>第二部分合同专用部分</w:t>
      </w:r>
      <w:r>
        <w:rPr>
          <w:rFonts w:ascii="宋体" w:hAnsi="宋体" w:hint="eastAsia"/>
          <w:szCs w:val="21"/>
        </w:rPr>
        <w:t>。</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w:t>
      </w:r>
      <w:r>
        <w:rPr>
          <w:rFonts w:ascii="宋体" w:hAnsi="宋体" w:hint="eastAsia"/>
          <w:szCs w:val="21"/>
        </w:rPr>
        <w:t>付日期后10天内仍未能交付，则视为乙方不能交付，甲方有权解除合同，乙方若已经收取了甲方的定金则同时还应双倍返还已收取的定金。</w:t>
      </w:r>
      <w:bookmarkStart w:id="207" w:name="_Toc86202603"/>
    </w:p>
    <w:p w:rsidR="00E720C3">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rsidR="00E720C3">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2）未经甲方许可使用项目资料的；</w:t>
      </w:r>
    </w:p>
    <w:p w:rsidR="00E720C3">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3）项目完成后，乙方未经甲方许可保留项目资料的；</w:t>
      </w:r>
    </w:p>
    <w:p w:rsidR="00E720C3">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4）对项目资料保管不当，造成数据全部或者部分丢失、被窃的。</w:t>
      </w:r>
    </w:p>
    <w:p w:rsidR="00E720C3">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7、乙方在进行项目时违反有关保密规定的，依照《中华人民共和国保密法》等有关法律法规的规定处理。</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rsidR="00E720C3">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w:t>
      </w:r>
      <w:r>
        <w:rPr>
          <w:rFonts w:ascii="宋体" w:hAnsi="宋体" w:hint="eastAsia"/>
          <w:szCs w:val="21"/>
        </w:rPr>
        <w:t>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E720C3">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E720C3">
      <w:pPr>
        <w:pStyle w:val="20"/>
        <w:adjustRightInd w:val="0"/>
        <w:snapToGrid w:val="0"/>
        <w:spacing w:before="0" w:after="0"/>
        <w:ind w:left="0" w:firstLine="315" w:leftChars="0" w:firstLineChars="150"/>
        <w:rPr>
          <w:b/>
          <w:sz w:val="21"/>
          <w:szCs w:val="21"/>
        </w:rPr>
      </w:pPr>
      <w:r>
        <w:rPr>
          <w:rFonts w:ascii="宋体" w:hAnsi="宋体" w:hint="eastAsia"/>
          <w:b/>
          <w:sz w:val="21"/>
          <w:szCs w:val="21"/>
        </w:rPr>
        <w:t>十六、</w:t>
      </w:r>
      <w:r>
        <w:rPr>
          <w:rFonts w:hint="eastAsia"/>
          <w:b/>
          <w:sz w:val="21"/>
          <w:szCs w:val="21"/>
        </w:rPr>
        <w:t>不可抗力</w:t>
      </w:r>
      <w:bookmarkEnd w:id="207"/>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1、不可抗力指下列事件</w:t>
      </w:r>
      <w:r>
        <w:rPr>
          <w:rFonts w:ascii="宋体" w:hAnsi="宋体" w:hint="eastAsia"/>
          <w:szCs w:val="21"/>
        </w:rPr>
        <w:t>：战争、动乱、瘟疫、严重火灾、洪水、地震、风暴或其他自然灾害，以及本合同各方不可预见、不可防止并不能避免或克服的一切其他因素及事件。</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4、合同各方应根据不可抗力对本合同履行的影响程度，协商确定是否终止本合同，或是继续履行本合同。</w:t>
      </w:r>
    </w:p>
    <w:p w:rsidR="00E720C3">
      <w:pPr>
        <w:tabs>
          <w:tab w:val="left" w:pos="1573"/>
        </w:tabs>
        <w:adjustRightInd w:val="0"/>
        <w:snapToGrid w:val="0"/>
        <w:spacing w:line="360" w:lineRule="auto"/>
        <w:ind w:left="420" w:leftChars="200"/>
        <w:rPr>
          <w:b/>
          <w:szCs w:val="21"/>
        </w:rPr>
      </w:pPr>
      <w:r>
        <w:rPr>
          <w:rFonts w:ascii="宋体" w:hAnsi="宋体" w:hint="eastAsia"/>
          <w:b/>
          <w:szCs w:val="21"/>
        </w:rPr>
        <w:t>十七、</w:t>
      </w:r>
      <w:bookmarkStart w:id="208" w:name="_Toc86202604"/>
      <w:r>
        <w:rPr>
          <w:rFonts w:hint="eastAsia"/>
          <w:b/>
          <w:szCs w:val="21"/>
        </w:rPr>
        <w:t>联系方式</w:t>
      </w:r>
      <w:bookmarkEnd w:id="208"/>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w:t>
      </w:r>
      <w:r>
        <w:rPr>
          <w:rFonts w:ascii="宋体" w:hAnsi="宋体" w:hint="eastAsia"/>
          <w:szCs w:val="21"/>
        </w:rPr>
        <w:t>面方式予以确认。</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w:t>
      </w:r>
      <w:r>
        <w:rPr>
          <w:rFonts w:ascii="黑体" w:eastAsia="黑体" w:hAnsi="黑体" w:hint="eastAsia"/>
          <w:b/>
          <w:bCs/>
          <w:szCs w:val="21"/>
        </w:rPr>
        <w:t>第二部分合同专用部分</w:t>
      </w:r>
      <w:r>
        <w:rPr>
          <w:rFonts w:ascii="宋体" w:hAnsi="宋体" w:hint="eastAsia"/>
          <w:szCs w:val="21"/>
        </w:rPr>
        <w:t>中的通讯地址，付款或收款应使用</w:t>
      </w:r>
      <w:r>
        <w:rPr>
          <w:rFonts w:ascii="黑体" w:eastAsia="黑体" w:hAnsi="黑体" w:hint="eastAsia"/>
          <w:b/>
          <w:bCs/>
          <w:szCs w:val="21"/>
        </w:rPr>
        <w:t>第二部分合同专用部分</w:t>
      </w:r>
      <w:r>
        <w:rPr>
          <w:rFonts w:ascii="宋体" w:hAnsi="宋体" w:hint="eastAsia"/>
          <w:szCs w:val="21"/>
        </w:rPr>
        <w:t>中的帐号，一方变更通讯地址或帐号，应自变更之日起三个工作日内，将变更后的地址通知对方。变更方不履行通知义务的，应对此造成的一切后果承担法律责任。</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rsidR="00E720C3">
      <w:pPr>
        <w:tabs>
          <w:tab w:val="left" w:pos="1573"/>
        </w:tabs>
        <w:adjustRightInd w:val="0"/>
        <w:snapToGrid w:val="0"/>
        <w:spacing w:line="360" w:lineRule="auto"/>
        <w:ind w:left="420" w:leftChars="200"/>
        <w:rPr>
          <w:b/>
          <w:szCs w:val="21"/>
        </w:rPr>
      </w:pPr>
      <w:bookmarkStart w:id="209" w:name="_Toc86202606"/>
      <w:r>
        <w:rPr>
          <w:rFonts w:ascii="宋体" w:hAnsi="宋体" w:hint="eastAsia"/>
          <w:b/>
          <w:szCs w:val="21"/>
        </w:rPr>
        <w:t>十八、</w:t>
      </w:r>
      <w:r>
        <w:rPr>
          <w:rFonts w:hint="eastAsia"/>
          <w:b/>
          <w:szCs w:val="21"/>
        </w:rPr>
        <w:t>合同的解释和法律适用</w:t>
      </w:r>
      <w:bookmarkEnd w:id="209"/>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3、对本合同的任何解释均应以书面作出。</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rsidR="00E720C3">
      <w:pPr>
        <w:tabs>
          <w:tab w:val="left" w:pos="1573"/>
        </w:tabs>
        <w:adjustRightInd w:val="0"/>
        <w:snapToGrid w:val="0"/>
        <w:spacing w:line="360" w:lineRule="auto"/>
        <w:ind w:left="420" w:leftChars="200"/>
        <w:rPr>
          <w:b/>
          <w:szCs w:val="21"/>
        </w:rPr>
      </w:pPr>
      <w:bookmarkStart w:id="210" w:name="_Toc86202607"/>
      <w:r>
        <w:rPr>
          <w:rFonts w:ascii="宋体" w:hAnsi="宋体" w:hint="eastAsia"/>
          <w:b/>
          <w:szCs w:val="21"/>
        </w:rPr>
        <w:t>十九、</w:t>
      </w:r>
      <w:r>
        <w:rPr>
          <w:rFonts w:hint="eastAsia"/>
          <w:b/>
          <w:szCs w:val="21"/>
        </w:rPr>
        <w:t>合同的终止</w:t>
      </w:r>
      <w:bookmarkEnd w:id="210"/>
    </w:p>
    <w:p w:rsidR="00E720C3">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rsidR="00E720C3">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rsidR="00E720C3">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rsidR="00E720C3">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rsidR="00E720C3">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w:t>
      </w:r>
      <w:r>
        <w:rPr>
          <w:rFonts w:ascii="宋体" w:hAnsi="宋体" w:hint="eastAsia"/>
          <w:szCs w:val="21"/>
        </w:rPr>
        <w:t>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rsidR="00E720C3">
      <w:pPr>
        <w:tabs>
          <w:tab w:val="left" w:pos="1573"/>
        </w:tabs>
        <w:adjustRightInd w:val="0"/>
        <w:snapToGrid w:val="0"/>
        <w:spacing w:line="360" w:lineRule="auto"/>
        <w:ind w:left="420" w:leftChars="200"/>
        <w:rPr>
          <w:b/>
          <w:szCs w:val="21"/>
        </w:rPr>
      </w:pPr>
      <w:r>
        <w:rPr>
          <w:rFonts w:ascii="宋体" w:hAnsi="宋体" w:hint="eastAsia"/>
          <w:b/>
          <w:szCs w:val="21"/>
        </w:rPr>
        <w:t>二十、</w:t>
      </w:r>
      <w:bookmarkStart w:id="211" w:name="_Toc86202608"/>
      <w:r>
        <w:rPr>
          <w:rFonts w:hint="eastAsia"/>
          <w:b/>
          <w:szCs w:val="21"/>
        </w:rPr>
        <w:t>法律适用</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1、本合同及附件的订立、效力、解释、履行、争议的解决等适用本合同签订时有效的中华人民共和国法律、法规的有关规定。</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E720C3">
      <w:pPr>
        <w:tabs>
          <w:tab w:val="left" w:pos="1573"/>
        </w:tabs>
        <w:adjustRightInd w:val="0"/>
        <w:snapToGrid w:val="0"/>
        <w:spacing w:line="360" w:lineRule="auto"/>
        <w:ind w:left="420" w:leftChars="200"/>
        <w:rPr>
          <w:b/>
          <w:szCs w:val="21"/>
        </w:rPr>
      </w:pPr>
      <w:r>
        <w:rPr>
          <w:rFonts w:ascii="宋体" w:hAnsi="宋体" w:hint="eastAsia"/>
          <w:b/>
          <w:szCs w:val="21"/>
        </w:rPr>
        <w:t>二十一、</w:t>
      </w:r>
      <w:r>
        <w:rPr>
          <w:rFonts w:hint="eastAsia"/>
          <w:b/>
          <w:szCs w:val="21"/>
        </w:rPr>
        <w:t>权利的保留</w:t>
      </w:r>
      <w:bookmarkEnd w:id="211"/>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w:t>
      </w:r>
      <w:r>
        <w:rPr>
          <w:rFonts w:ascii="宋体" w:hAnsi="宋体" w:hint="eastAsia"/>
          <w:szCs w:val="21"/>
        </w:rPr>
        <w:t>的，本合同其他条款继续有效；同时，合同双方应根据现行有关法律、法规对该部分无效或无法履行的条款进行调整，使其依法成为有效条款，并尽量符合本合同所体现的原则和精神。</w:t>
      </w:r>
    </w:p>
    <w:p w:rsidR="00E720C3">
      <w:pPr>
        <w:tabs>
          <w:tab w:val="left" w:pos="1573"/>
        </w:tabs>
        <w:adjustRightInd w:val="0"/>
        <w:snapToGrid w:val="0"/>
        <w:spacing w:line="360" w:lineRule="auto"/>
        <w:ind w:left="420" w:leftChars="200"/>
        <w:rPr>
          <w:b/>
          <w:szCs w:val="21"/>
        </w:rPr>
      </w:pPr>
      <w:r>
        <w:rPr>
          <w:rFonts w:ascii="宋体" w:hAnsi="宋体" w:hint="eastAsia"/>
          <w:b/>
          <w:szCs w:val="21"/>
        </w:rPr>
        <w:t>二十二、</w:t>
      </w:r>
      <w:bookmarkStart w:id="212" w:name="_Toc86202609"/>
      <w:r>
        <w:rPr>
          <w:rFonts w:hint="eastAsia"/>
          <w:b/>
          <w:szCs w:val="21"/>
        </w:rPr>
        <w:t>争议的解决</w:t>
      </w:r>
      <w:bookmarkEnd w:id="212"/>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1、合同双方应通过友好协商解决因解释</w:t>
      </w:r>
      <w:r>
        <w:rPr>
          <w:rFonts w:ascii="宋体" w:hAnsi="宋体" w:hint="eastAsia"/>
          <w:szCs w:val="21"/>
        </w:rPr>
        <w:t>﹑</w:t>
      </w:r>
      <w:r>
        <w:rPr>
          <w:rFonts w:ascii="宋体" w:hAnsi="宋体" w:hint="eastAsia"/>
          <w:szCs w:val="21"/>
        </w:rPr>
        <w:t>执行本合同所发生的和本合同有关的一切争议。如果经协商不能达成协议，可向北京仲裁委员会申请仲裁，仲裁地点在中国北京。</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rsidR="00E720C3">
      <w:pPr>
        <w:tabs>
          <w:tab w:val="left" w:pos="1573"/>
        </w:tabs>
        <w:adjustRightInd w:val="0"/>
        <w:snapToGrid w:val="0"/>
        <w:spacing w:line="360" w:lineRule="auto"/>
        <w:ind w:left="420" w:leftChars="200"/>
        <w:rPr>
          <w:b/>
          <w:szCs w:val="21"/>
        </w:rPr>
      </w:pPr>
      <w:bookmarkStart w:id="213" w:name="_Toc86202611"/>
      <w:r>
        <w:rPr>
          <w:rFonts w:ascii="宋体" w:hAnsi="宋体" w:hint="eastAsia"/>
          <w:b/>
          <w:szCs w:val="21"/>
        </w:rPr>
        <w:t>二十三、</w:t>
      </w:r>
      <w:r>
        <w:rPr>
          <w:rFonts w:hint="eastAsia"/>
          <w:b/>
          <w:szCs w:val="21"/>
        </w:rPr>
        <w:t>合同的生效</w:t>
      </w:r>
      <w:bookmarkEnd w:id="213"/>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本合同经双方法定代表人（负责人）或授权代表签字并加盖单位公章后，并在甲方收到乙方提交的履约保证金或履约保函后生效。</w:t>
      </w:r>
    </w:p>
    <w:p w:rsidR="00E720C3">
      <w:pPr>
        <w:tabs>
          <w:tab w:val="left" w:pos="1573"/>
        </w:tabs>
        <w:adjustRightInd w:val="0"/>
        <w:snapToGrid w:val="0"/>
        <w:spacing w:line="360" w:lineRule="auto"/>
        <w:ind w:left="420" w:leftChars="200"/>
        <w:rPr>
          <w:b/>
          <w:szCs w:val="21"/>
        </w:rPr>
      </w:pPr>
      <w:r>
        <w:rPr>
          <w:rFonts w:ascii="宋体" w:hAnsi="宋体" w:hint="eastAsia"/>
          <w:b/>
          <w:szCs w:val="21"/>
        </w:rPr>
        <w:t>二十四、</w:t>
      </w:r>
      <w:bookmarkStart w:id="214" w:name="_Toc86202612"/>
      <w:r>
        <w:rPr>
          <w:rFonts w:hint="eastAsia"/>
          <w:b/>
          <w:szCs w:val="21"/>
        </w:rPr>
        <w:t>其它约定事项</w:t>
      </w:r>
      <w:bookmarkEnd w:id="214"/>
    </w:p>
    <w:p w:rsidR="00E720C3">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1、本合同中的附件均为本合同不可分割的部分，与本合同具有相同的法律效力。</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w:t>
      </w:r>
      <w:r>
        <w:rPr>
          <w:rFonts w:ascii="宋体" w:hAnsi="宋体" w:hint="eastAsia"/>
          <w:szCs w:val="21"/>
        </w:rPr>
        <w:t>法规；有关联合投标须在本次招标允许的情况下并须符合本次招标的全部规定。</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3、本合同正本一式肆份，甲、乙双方各执贰份，每份正本具有同等法律效力，副本报财政部备案。</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4、本合同涉及的招标文件和投标文件，正本由中国气象局政府采购中心保存。</w:t>
      </w:r>
    </w:p>
    <w:p w:rsidR="00E720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5、对本合同的补充、修改或变更必须以书面形式进行，并由乙方自签订补充合同之日起五日内报采购中心备案。</w:t>
      </w:r>
    </w:p>
    <w:p w:rsidR="00E720C3">
      <w:pPr>
        <w:snapToGrid w:val="0"/>
        <w:spacing w:line="360" w:lineRule="auto"/>
        <w:jc w:val="center"/>
        <w:outlineLvl w:val="2"/>
        <w:rPr>
          <w:rFonts w:hint="eastAsia"/>
          <w:b/>
          <w:sz w:val="28"/>
          <w:szCs w:val="28"/>
        </w:rPr>
      </w:pPr>
      <w:r>
        <w:rPr>
          <w:b/>
          <w:bCs/>
          <w:sz w:val="30"/>
          <w:szCs w:val="30"/>
        </w:rPr>
        <w:br w:type="page"/>
      </w:r>
      <w:r>
        <w:rPr>
          <w:rFonts w:hint="eastAsia"/>
          <w:b/>
          <w:sz w:val="28"/>
          <w:szCs w:val="28"/>
        </w:rPr>
        <w:t>第二部分合同条款专用部分</w:t>
      </w:r>
    </w:p>
    <w:p w:rsidR="00E720C3">
      <w:pPr>
        <w:snapToGrid w:val="0"/>
        <w:spacing w:line="360" w:lineRule="auto"/>
        <w:jc w:val="center"/>
        <w:outlineLvl w:val="2"/>
        <w:rPr>
          <w:rFonts w:ascii="宋体" w:hAnsi="宋体"/>
          <w:b/>
          <w:bCs/>
          <w:kern w:val="44"/>
          <w:szCs w:val="28"/>
        </w:rPr>
      </w:pPr>
    </w:p>
    <w:p w:rsidR="00E720C3">
      <w:pPr>
        <w:adjustRightInd w:val="0"/>
        <w:snapToGrid w:val="0"/>
        <w:spacing w:line="360" w:lineRule="auto"/>
        <w:ind w:firstLine="412" w:firstLineChars="196"/>
        <w:rPr>
          <w:rFonts w:ascii="宋体" w:hAnsi="Calibri" w:hint="eastAsia"/>
          <w:kern w:val="0"/>
          <w:szCs w:val="21"/>
        </w:rPr>
      </w:pPr>
      <w:r>
        <w:rPr>
          <w:rFonts w:ascii="宋体" w:hAnsi="Calibri" w:hint="eastAsia"/>
          <w:kern w:val="0"/>
          <w:szCs w:val="21"/>
        </w:rPr>
        <w:t>甲方（采购人）：</w:t>
      </w:r>
      <w:r>
        <w:rPr>
          <w:rFonts w:ascii="方正黑体简体" w:eastAsia="方正黑体简体" w:hAnsi="仿宋" w:hint="eastAsia"/>
          <w:color w:val="0000FF"/>
          <w:kern w:val="20"/>
          <w:sz w:val="32"/>
          <w:szCs w:val="28"/>
          <w:lang w:val="zh-CN"/>
        </w:rPr>
        <w:t>XXXXXXX</w:t>
      </w:r>
    </w:p>
    <w:p w:rsidR="00E720C3">
      <w:pPr>
        <w:adjustRightInd w:val="0"/>
        <w:snapToGrid w:val="0"/>
        <w:spacing w:line="360" w:lineRule="auto"/>
        <w:ind w:firstLine="412" w:firstLineChars="196"/>
        <w:rPr>
          <w:rFonts w:ascii="宋体" w:hAnsi="Calibri" w:hint="eastAsia"/>
          <w:kern w:val="0"/>
          <w:szCs w:val="21"/>
          <w:u w:val="single"/>
        </w:rPr>
      </w:pPr>
      <w:r>
        <w:rPr>
          <w:rFonts w:ascii="宋体" w:hAnsi="Calibri" w:hint="eastAsia"/>
          <w:kern w:val="0"/>
          <w:szCs w:val="21"/>
        </w:rPr>
        <w:t>乙方（中标人）：</w:t>
      </w:r>
      <w:r>
        <w:rPr>
          <w:rFonts w:ascii="方正黑体简体" w:eastAsia="方正黑体简体" w:hAnsi="仿宋" w:hint="eastAsia"/>
          <w:color w:val="0000FF"/>
          <w:kern w:val="20"/>
          <w:sz w:val="32"/>
          <w:szCs w:val="28"/>
          <w:lang w:val="zh-CN"/>
        </w:rPr>
        <w:t>XXXXXXX</w:t>
      </w:r>
    </w:p>
    <w:p w:rsidR="00E720C3">
      <w:pPr>
        <w:adjustRightInd w:val="0"/>
        <w:snapToGrid w:val="0"/>
        <w:spacing w:line="360" w:lineRule="auto"/>
        <w:ind w:firstLine="412" w:firstLineChars="196"/>
        <w:rPr>
          <w:rFonts w:hint="eastAsia"/>
          <w:b/>
        </w:rPr>
      </w:pPr>
      <w:r>
        <w:rPr>
          <w:rFonts w:ascii="宋体" w:hAnsi="Calibri"/>
          <w:kern w:val="0"/>
          <w:szCs w:val="21"/>
        </w:rPr>
        <w:t>甲乙双方根据《中华人民共和国政府采购法》、《中华人民共和国</w:t>
      </w:r>
      <w:r>
        <w:rPr>
          <w:rFonts w:ascii="宋体" w:hAnsi="Calibri" w:hint="eastAsia"/>
          <w:kern w:val="0"/>
          <w:szCs w:val="21"/>
        </w:rPr>
        <w:t>民法典</w:t>
      </w:r>
      <w:r>
        <w:rPr>
          <w:rFonts w:ascii="宋体" w:hAnsi="Calibri"/>
          <w:kern w:val="0"/>
          <w:szCs w:val="21"/>
        </w:rPr>
        <w:t>》和《中华人民共和国招标投标法》等相关法律法规以及本项目招标文件的规定，经平等协商达成合同如下：</w:t>
      </w:r>
    </w:p>
    <w:p w:rsidR="00E720C3">
      <w:pPr>
        <w:adjustRightInd w:val="0"/>
        <w:snapToGrid w:val="0"/>
        <w:spacing w:line="360" w:lineRule="auto"/>
        <w:ind w:firstLine="412" w:firstLineChars="196"/>
        <w:rPr>
          <w:b/>
        </w:rPr>
      </w:pPr>
      <w:r>
        <w:rPr>
          <w:rFonts w:hint="eastAsia"/>
          <w:b/>
        </w:rPr>
        <w:t>一、定义</w:t>
      </w:r>
    </w:p>
    <w:p w:rsidR="00E720C3">
      <w:pPr>
        <w:adjustRightInd w:val="0"/>
        <w:snapToGrid w:val="0"/>
        <w:spacing w:line="360" w:lineRule="auto"/>
        <w:ind w:firstLine="420" w:firstLineChars="200"/>
        <w:rPr>
          <w:bCs/>
          <w:szCs w:val="21"/>
        </w:rPr>
      </w:pPr>
      <w:r>
        <w:rPr>
          <w:rFonts w:hint="eastAsia"/>
          <w:szCs w:val="21"/>
        </w:rPr>
        <w:t>采购人名称：</w:t>
      </w:r>
      <w:r>
        <w:rPr>
          <w:rFonts w:ascii="方正黑体简体" w:eastAsia="方正黑体简体" w:hAnsi="仿宋" w:hint="eastAsia"/>
          <w:color w:val="0000FF"/>
          <w:kern w:val="20"/>
          <w:sz w:val="32"/>
          <w:szCs w:val="28"/>
          <w:lang w:val="zh-CN"/>
        </w:rPr>
        <w:t>XXXXXXX</w:t>
      </w:r>
    </w:p>
    <w:p w:rsidR="00E720C3">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rsidR="00E720C3">
      <w:pPr>
        <w:pStyle w:val="Default"/>
        <w:ind w:firstLine="420" w:firstLineChars="200"/>
        <w:rPr>
          <w:rFonts w:ascii="宋体" w:hAnsi="宋体"/>
          <w:bCs/>
          <w:sz w:val="21"/>
          <w:szCs w:val="21"/>
          <w:u w:val="single"/>
        </w:rPr>
      </w:pPr>
      <w:r>
        <w:rPr>
          <w:rFonts w:hint="eastAsia"/>
          <w:sz w:val="21"/>
          <w:szCs w:val="21"/>
        </w:rPr>
        <w:t>项目名称：</w:t>
      </w:r>
      <w:r>
        <w:rPr>
          <w:rFonts w:ascii="方正黑体简体" w:eastAsia="方正黑体简体" w:hint="eastAsia"/>
          <w:color w:val="0000FF"/>
          <w:kern w:val="20"/>
          <w:sz w:val="32"/>
          <w:szCs w:val="28"/>
          <w:lang w:val="zh-CN"/>
        </w:rPr>
        <w:t>XXXXXXX</w:t>
      </w:r>
    </w:p>
    <w:p w:rsidR="00E720C3">
      <w:pPr>
        <w:adjustRightInd w:val="0"/>
        <w:snapToGrid w:val="0"/>
        <w:spacing w:line="360" w:lineRule="auto"/>
        <w:ind w:firstLine="420" w:firstLineChars="200"/>
        <w:rPr>
          <w:rFonts w:ascii="宋体" w:hAnsi="宋体"/>
          <w:b/>
          <w:szCs w:val="28"/>
        </w:rPr>
      </w:pPr>
      <w:r>
        <w:rPr>
          <w:rFonts w:hint="eastAsia"/>
          <w:szCs w:val="21"/>
        </w:rPr>
        <w:t>二、</w:t>
      </w:r>
      <w:r>
        <w:rPr>
          <w:rFonts w:ascii="宋体" w:hAnsi="宋体" w:hint="eastAsia"/>
          <w:b/>
          <w:szCs w:val="28"/>
        </w:rPr>
        <w:t>合同标的</w:t>
      </w:r>
    </w:p>
    <w:p w:rsidR="00E720C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1、甲方同意从乙方购买，乙方同意向甲方出售下列设备：</w:t>
      </w:r>
    </w:p>
    <w:tbl>
      <w:tblPr>
        <w:tblStyle w:val="TableNormal"/>
        <w:tblW w:w="896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8"/>
        <w:gridCol w:w="2935"/>
        <w:gridCol w:w="735"/>
        <w:gridCol w:w="1318"/>
        <w:gridCol w:w="1938"/>
        <w:gridCol w:w="1275"/>
      </w:tblGrid>
      <w:tr>
        <w:tblPrEx>
          <w:tblW w:w="896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768" w:type="dxa"/>
            <w:vAlign w:val="center"/>
          </w:tcPr>
          <w:p w:rsidR="00E720C3">
            <w:pPr>
              <w:tabs>
                <w:tab w:val="left" w:pos="1573"/>
              </w:tabs>
              <w:autoSpaceDE w:val="0"/>
              <w:autoSpaceDN w:val="0"/>
              <w:adjustRightInd w:val="0"/>
              <w:snapToGrid w:val="0"/>
              <w:spacing w:line="360" w:lineRule="auto"/>
              <w:rPr>
                <w:szCs w:val="21"/>
              </w:rPr>
            </w:pPr>
            <w:r>
              <w:rPr>
                <w:rFonts w:ascii="宋体" w:hAnsi="宋体"/>
                <w:szCs w:val="21"/>
              </w:rPr>
              <w:t>No.</w:t>
            </w:r>
          </w:p>
        </w:tc>
        <w:tc>
          <w:tcPr>
            <w:tcW w:w="2935" w:type="dxa"/>
            <w:vAlign w:val="center"/>
          </w:tcPr>
          <w:p w:rsidR="00E720C3">
            <w:pPr>
              <w:tabs>
                <w:tab w:val="left" w:pos="1573"/>
              </w:tabs>
              <w:autoSpaceDE w:val="0"/>
              <w:autoSpaceDN w:val="0"/>
              <w:adjustRightInd w:val="0"/>
              <w:snapToGrid w:val="0"/>
              <w:spacing w:line="360" w:lineRule="auto"/>
              <w:rPr>
                <w:szCs w:val="21"/>
              </w:rPr>
            </w:pPr>
            <w:r>
              <w:rPr>
                <w:rFonts w:ascii="宋体" w:hAnsi="宋体" w:hint="eastAsia"/>
                <w:szCs w:val="21"/>
              </w:rPr>
              <w:t>货物名称及规格</w:t>
            </w:r>
          </w:p>
        </w:tc>
        <w:tc>
          <w:tcPr>
            <w:tcW w:w="735" w:type="dxa"/>
            <w:vAlign w:val="center"/>
          </w:tcPr>
          <w:p w:rsidR="00E720C3">
            <w:pPr>
              <w:tabs>
                <w:tab w:val="left" w:pos="1573"/>
              </w:tabs>
              <w:autoSpaceDE w:val="0"/>
              <w:autoSpaceDN w:val="0"/>
              <w:adjustRightInd w:val="0"/>
              <w:snapToGrid w:val="0"/>
              <w:spacing w:line="360" w:lineRule="auto"/>
              <w:rPr>
                <w:szCs w:val="21"/>
              </w:rPr>
            </w:pPr>
            <w:r>
              <w:rPr>
                <w:rFonts w:ascii="宋体" w:hAnsi="宋体" w:hint="eastAsia"/>
                <w:szCs w:val="21"/>
              </w:rPr>
              <w:t>数量</w:t>
            </w:r>
          </w:p>
        </w:tc>
        <w:tc>
          <w:tcPr>
            <w:tcW w:w="1318" w:type="dxa"/>
            <w:vAlign w:val="center"/>
          </w:tcPr>
          <w:p w:rsidR="00E720C3">
            <w:pPr>
              <w:tabs>
                <w:tab w:val="left" w:pos="1573"/>
              </w:tabs>
              <w:autoSpaceDE w:val="0"/>
              <w:autoSpaceDN w:val="0"/>
              <w:adjustRightInd w:val="0"/>
              <w:snapToGrid w:val="0"/>
              <w:spacing w:line="360" w:lineRule="auto"/>
              <w:rPr>
                <w:szCs w:val="21"/>
              </w:rPr>
            </w:pPr>
            <w:r>
              <w:rPr>
                <w:rFonts w:ascii="宋体" w:hAnsi="宋体" w:hint="eastAsia"/>
                <w:szCs w:val="21"/>
              </w:rPr>
              <w:t>产地及品牌</w:t>
            </w:r>
          </w:p>
        </w:tc>
        <w:tc>
          <w:tcPr>
            <w:tcW w:w="1938" w:type="dxa"/>
            <w:vAlign w:val="center"/>
          </w:tcPr>
          <w:p w:rsidR="00E720C3">
            <w:pPr>
              <w:tabs>
                <w:tab w:val="left" w:pos="1573"/>
              </w:tabs>
              <w:autoSpaceDE w:val="0"/>
              <w:autoSpaceDN w:val="0"/>
              <w:adjustRightInd w:val="0"/>
              <w:snapToGrid w:val="0"/>
              <w:spacing w:line="360" w:lineRule="auto"/>
              <w:rPr>
                <w:szCs w:val="21"/>
              </w:rPr>
            </w:pPr>
            <w:r>
              <w:rPr>
                <w:rFonts w:ascii="宋体" w:hAnsi="宋体" w:hint="eastAsia"/>
                <w:szCs w:val="21"/>
              </w:rPr>
              <w:t>单价</w:t>
            </w:r>
          </w:p>
        </w:tc>
        <w:tc>
          <w:tcPr>
            <w:tcW w:w="1275" w:type="dxa"/>
            <w:vAlign w:val="center"/>
          </w:tcPr>
          <w:p w:rsidR="00E720C3">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交货时间</w:t>
            </w:r>
          </w:p>
        </w:tc>
      </w:tr>
      <w:tr>
        <w:tblPrEx>
          <w:tblW w:w="8969" w:type="dxa"/>
          <w:jc w:val="center"/>
          <w:tblInd w:w="0" w:type="dxa"/>
          <w:tblLayout w:type="fixed"/>
          <w:tblLook w:val="0000"/>
        </w:tblPrEx>
        <w:trPr>
          <w:jc w:val="center"/>
        </w:trPr>
        <w:tc>
          <w:tcPr>
            <w:tcW w:w="768" w:type="dxa"/>
            <w:vAlign w:val="center"/>
          </w:tcPr>
          <w:p w:rsidR="00E720C3">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2935" w:type="dxa"/>
            <w:vAlign w:val="center"/>
          </w:tcPr>
          <w:p w:rsidR="00E720C3">
            <w:pPr>
              <w:tabs>
                <w:tab w:val="left" w:pos="1573"/>
              </w:tabs>
              <w:autoSpaceDE w:val="0"/>
              <w:autoSpaceDN w:val="0"/>
              <w:adjustRightInd w:val="0"/>
              <w:snapToGrid w:val="0"/>
              <w:spacing w:line="360" w:lineRule="auto"/>
              <w:rPr>
                <w:rFonts w:ascii="宋体" w:hAnsi="宋体"/>
                <w:szCs w:val="21"/>
              </w:rPr>
            </w:pPr>
            <w:r>
              <w:rPr>
                <w:rFonts w:ascii="方正黑体简体" w:eastAsia="方正黑体简体" w:hAnsi="仿宋" w:hint="eastAsia"/>
                <w:color w:val="0000FF"/>
                <w:kern w:val="20"/>
                <w:sz w:val="32"/>
                <w:szCs w:val="28"/>
                <w:lang w:val="zh-CN"/>
              </w:rPr>
              <w:t>XXXXXXX</w:t>
            </w:r>
          </w:p>
        </w:tc>
        <w:tc>
          <w:tcPr>
            <w:tcW w:w="735" w:type="dxa"/>
            <w:vAlign w:val="center"/>
          </w:tcPr>
          <w:p w:rsidR="00E720C3">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1套</w:t>
            </w:r>
          </w:p>
        </w:tc>
        <w:tc>
          <w:tcPr>
            <w:tcW w:w="1318" w:type="dxa"/>
            <w:vAlign w:val="center"/>
          </w:tcPr>
          <w:p w:rsidR="00E720C3">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 xml:space="preserve"> </w:t>
            </w:r>
          </w:p>
        </w:tc>
        <w:tc>
          <w:tcPr>
            <w:tcW w:w="1938" w:type="dxa"/>
            <w:vAlign w:val="center"/>
          </w:tcPr>
          <w:p w:rsidR="00E720C3">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 xml:space="preserve"> </w:t>
            </w:r>
          </w:p>
        </w:tc>
        <w:tc>
          <w:tcPr>
            <w:tcW w:w="1275" w:type="dxa"/>
            <w:vAlign w:val="center"/>
          </w:tcPr>
          <w:p w:rsidR="00E720C3">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2026.12.30</w:t>
            </w:r>
          </w:p>
        </w:tc>
      </w:tr>
    </w:tbl>
    <w:p w:rsidR="00E720C3">
      <w:pPr>
        <w:pStyle w:val="Default"/>
        <w:rPr>
          <w:rFonts w:ascii="宋体" w:hAnsi="宋体"/>
          <w:b/>
          <w:szCs w:val="28"/>
        </w:rPr>
      </w:pPr>
      <w:r>
        <w:rPr>
          <w:rFonts w:ascii="宋体" w:hAnsi="宋体" w:hint="eastAsia"/>
          <w:b/>
          <w:szCs w:val="28"/>
        </w:rPr>
        <w:t>三</w:t>
      </w:r>
      <w:r>
        <w:rPr>
          <w:rFonts w:hAnsi="宋体" w:hint="eastAsia"/>
        </w:rPr>
        <w:t>、</w:t>
      </w:r>
      <w:r>
        <w:rPr>
          <w:rFonts w:ascii="宋体" w:hAnsi="宋体"/>
          <w:b/>
          <w:szCs w:val="28"/>
        </w:rPr>
        <w:t>合同价格及付款方式</w:t>
      </w:r>
    </w:p>
    <w:p w:rsidR="00E720C3">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1、合同总金额为人民币</w:t>
      </w:r>
      <w:r>
        <w:rPr>
          <w:rFonts w:ascii="宋体" w:hAnsi="宋体" w:hint="eastAsia"/>
          <w:szCs w:val="21"/>
          <w:u w:val="single"/>
        </w:rPr>
        <w:t xml:space="preserve">               </w:t>
      </w:r>
      <w:r>
        <w:rPr>
          <w:rFonts w:ascii="仿宋_GB2312" w:eastAsia="仿宋_GB2312" w:hAnsi="仿宋_GB2312" w:cs="仿宋_GB2312" w:hint="eastAsia"/>
          <w:sz w:val="24"/>
          <w:szCs w:val="32"/>
          <w:u w:val="single"/>
        </w:rPr>
        <w:t xml:space="preserve">  </w:t>
      </w:r>
      <w:r>
        <w:rPr>
          <w:rFonts w:ascii="宋体" w:hAnsi="宋体"/>
          <w:szCs w:val="21"/>
        </w:rPr>
        <w:t>（大写）：</w:t>
      </w:r>
      <w:r>
        <w:rPr>
          <w:rFonts w:ascii="宋体" w:hAnsi="宋体" w:cs="宋体" w:hint="eastAsia"/>
          <w:kern w:val="0"/>
          <w:sz w:val="18"/>
          <w:szCs w:val="18"/>
          <w:u w:val="single"/>
        </w:rPr>
        <w:t xml:space="preserve">     </w:t>
      </w:r>
      <w:r>
        <w:rPr>
          <w:rFonts w:ascii="宋体" w:hAnsi="宋体" w:hint="eastAsia"/>
          <w:szCs w:val="21"/>
          <w:u w:val="single"/>
        </w:rPr>
        <w:t xml:space="preserve">      </w:t>
      </w:r>
      <w:r>
        <w:rPr>
          <w:rFonts w:ascii="宋体" w:hAnsi="宋体" w:cs="宋体" w:hint="eastAsia"/>
          <w:kern w:val="0"/>
          <w:sz w:val="18"/>
          <w:szCs w:val="18"/>
          <w:u w:val="single"/>
        </w:rPr>
        <w:t xml:space="preserve">           </w:t>
      </w:r>
      <w:r>
        <w:rPr>
          <w:rFonts w:ascii="宋体" w:hAnsi="宋体"/>
          <w:szCs w:val="21"/>
        </w:rPr>
        <w:t>元</w:t>
      </w:r>
      <w:r>
        <w:rPr>
          <w:rFonts w:ascii="宋体" w:hAnsi="宋体"/>
          <w:szCs w:val="21"/>
        </w:rPr>
        <w:t xml:space="preserve">（小写）。 </w:t>
      </w:r>
    </w:p>
    <w:p w:rsidR="00E720C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2、合同签署后10个工作日内，甲方向乙方支付合同总金额的</w:t>
      </w:r>
      <w:r w:rsidR="003C20D1">
        <w:rPr>
          <w:rFonts w:ascii="宋体" w:hAnsi="宋体"/>
          <w:szCs w:val="21"/>
        </w:rPr>
        <w:t>4</w:t>
      </w:r>
      <w:r w:rsidR="003C20D1">
        <w:rPr>
          <w:rFonts w:ascii="宋体" w:hAnsi="宋体" w:hint="eastAsia"/>
          <w:szCs w:val="21"/>
        </w:rPr>
        <w:t>0</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w:t>
      </w:r>
      <w:r>
        <w:rPr>
          <w:rFonts w:ascii="宋体" w:hAnsi="宋体"/>
          <w:szCs w:val="21"/>
        </w:rPr>
        <w:t>（大写）：</w:t>
      </w:r>
      <w:r>
        <w:rPr>
          <w:rFonts w:ascii="宋体" w:hAnsi="宋体" w:cs="宋体" w:hint="eastAsia"/>
          <w:kern w:val="0"/>
          <w:sz w:val="18"/>
          <w:szCs w:val="18"/>
          <w:u w:val="single"/>
        </w:rPr>
        <w:t xml:space="preserve">  </w:t>
      </w:r>
      <w:r>
        <w:rPr>
          <w:rFonts w:ascii="仿宋_GB2312" w:eastAsia="仿宋_GB2312" w:hAnsi="仿宋_GB2312" w:cs="仿宋_GB2312" w:hint="eastAsia"/>
          <w:sz w:val="24"/>
          <w:szCs w:val="32"/>
          <w:u w:val="single"/>
        </w:rPr>
        <w:t xml:space="preserve">           </w:t>
      </w:r>
      <w:r>
        <w:rPr>
          <w:rFonts w:ascii="宋体" w:hAnsi="宋体"/>
          <w:szCs w:val="21"/>
        </w:rPr>
        <w:t>（小写）。</w:t>
      </w:r>
    </w:p>
    <w:p w:rsidR="00FF3AE9">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3</w:t>
      </w:r>
      <w:r>
        <w:rPr>
          <w:rFonts w:ascii="宋体" w:hAnsi="宋体"/>
          <w:szCs w:val="21"/>
        </w:rPr>
        <w:t>、</w:t>
      </w:r>
      <w:r>
        <w:rPr>
          <w:rFonts w:ascii="宋体" w:hAnsi="宋体" w:hint="eastAsia"/>
          <w:szCs w:val="21"/>
        </w:rPr>
        <w:t>项目通过概要设计专家评审</w:t>
      </w:r>
      <w:r>
        <w:rPr>
          <w:rFonts w:ascii="宋体" w:hAnsi="宋体"/>
          <w:szCs w:val="21"/>
        </w:rPr>
        <w:t>后</w:t>
      </w:r>
      <w:r>
        <w:rPr>
          <w:rFonts w:ascii="宋体" w:hAnsi="宋体" w:hint="eastAsia"/>
          <w:szCs w:val="21"/>
        </w:rPr>
        <w:t>10</w:t>
      </w:r>
      <w:r>
        <w:rPr>
          <w:rFonts w:ascii="宋体" w:hAnsi="宋体"/>
          <w:szCs w:val="21"/>
        </w:rPr>
        <w:t>个工作日内，</w:t>
      </w:r>
      <w:r>
        <w:rPr>
          <w:rFonts w:ascii="宋体" w:hAnsi="宋体" w:hint="eastAsia"/>
          <w:szCs w:val="21"/>
        </w:rPr>
        <w:t>甲方向乙方支付合同总金额的</w:t>
      </w:r>
      <w:r>
        <w:rPr>
          <w:rFonts w:ascii="宋体" w:hAnsi="宋体"/>
          <w:szCs w:val="21"/>
        </w:rPr>
        <w:t>3</w:t>
      </w:r>
      <w:r>
        <w:rPr>
          <w:rFonts w:ascii="宋体" w:hAnsi="宋体" w:hint="eastAsia"/>
          <w:szCs w:val="21"/>
        </w:rPr>
        <w:t xml:space="preserve">0%，即人民币 </w:t>
      </w:r>
      <w:r>
        <w:rPr>
          <w:rStyle w:val="Strong"/>
          <w:rFonts w:ascii="宋体" w:hAnsi="宋体" w:hint="eastAsia"/>
          <w:b w:val="0"/>
          <w:bCs w:val="0"/>
          <w:color w:val="0F1115"/>
          <w:szCs w:val="21"/>
          <w:u w:val="single"/>
        </w:rPr>
        <w:t xml:space="preserve">      </w:t>
      </w:r>
      <w:r>
        <w:rPr>
          <w:rFonts w:ascii="宋体" w:hAnsi="宋体" w:hint="eastAsia"/>
          <w:szCs w:val="21"/>
          <w:u w:val="single"/>
        </w:rPr>
        <w:t xml:space="preserve">  </w:t>
      </w:r>
      <w:r>
        <w:rPr>
          <w:rFonts w:ascii="宋体" w:hAnsi="宋体" w:hint="eastAsia"/>
          <w:szCs w:val="21"/>
        </w:rPr>
        <w:t>元</w:t>
      </w:r>
      <w:r>
        <w:rPr>
          <w:rFonts w:ascii="宋体" w:hAnsi="宋体"/>
          <w:szCs w:val="21"/>
        </w:rPr>
        <w:t>（大写）：</w:t>
      </w:r>
      <w:r>
        <w:rPr>
          <w:rFonts w:ascii="宋体" w:hAnsi="宋体" w:cs="宋体" w:hint="eastAsia"/>
          <w:kern w:val="0"/>
          <w:sz w:val="18"/>
          <w:szCs w:val="18"/>
          <w:u w:val="single"/>
        </w:rPr>
        <w:t xml:space="preserve"> </w:t>
      </w:r>
      <w:r>
        <w:rPr>
          <w:rFonts w:ascii="宋体" w:hAnsi="宋体" w:hint="eastAsia"/>
          <w:szCs w:val="21"/>
          <w:u w:val="single"/>
        </w:rPr>
        <w:t xml:space="preserve">           </w:t>
      </w:r>
      <w:r>
        <w:rPr>
          <w:rFonts w:ascii="宋体" w:hAnsi="宋体" w:cs="宋体" w:hint="eastAsia"/>
          <w:kern w:val="0"/>
          <w:sz w:val="18"/>
          <w:szCs w:val="18"/>
          <w:u w:val="single"/>
        </w:rPr>
        <w:t xml:space="preserve">   </w:t>
      </w:r>
      <w:r>
        <w:rPr>
          <w:rFonts w:ascii="宋体" w:hAnsi="宋体"/>
          <w:szCs w:val="21"/>
        </w:rPr>
        <w:t>（小写）。</w:t>
      </w:r>
    </w:p>
    <w:p w:rsidR="00E720C3">
      <w:pPr>
        <w:tabs>
          <w:tab w:val="left" w:pos="1573"/>
        </w:tabs>
        <w:adjustRightInd w:val="0"/>
        <w:snapToGrid w:val="0"/>
        <w:spacing w:line="360" w:lineRule="auto"/>
        <w:ind w:firstLine="420" w:firstLineChars="200"/>
        <w:jc w:val="left"/>
        <w:rPr>
          <w:rFonts w:ascii="宋体" w:hAnsi="宋体"/>
          <w:szCs w:val="21"/>
        </w:rPr>
      </w:pPr>
      <w:r w:rsidR="00FF3AE9">
        <w:rPr>
          <w:rFonts w:ascii="宋体" w:hAnsi="宋体"/>
          <w:szCs w:val="21"/>
        </w:rPr>
        <w:t>4</w:t>
      </w:r>
      <w:r>
        <w:rPr>
          <w:rFonts w:ascii="宋体" w:hAnsi="宋体"/>
          <w:szCs w:val="21"/>
        </w:rPr>
        <w:t>、</w:t>
      </w:r>
      <w:r>
        <w:rPr>
          <w:rFonts w:ascii="宋体" w:hAnsi="宋体" w:hint="eastAsia"/>
          <w:szCs w:val="21"/>
        </w:rPr>
        <w:t>项目通过</w:t>
      </w:r>
      <w:r w:rsidR="000371CB">
        <w:rPr>
          <w:rFonts w:ascii="宋体" w:hAnsi="宋体" w:hint="eastAsia"/>
          <w:szCs w:val="21"/>
        </w:rPr>
        <w:t>系统</w:t>
      </w:r>
      <w:r w:rsidR="003041D8">
        <w:rPr>
          <w:rFonts w:ascii="宋体" w:hAnsi="宋体" w:hint="eastAsia"/>
          <w:szCs w:val="21"/>
        </w:rPr>
        <w:t>测试专家评审</w:t>
      </w:r>
      <w:r>
        <w:rPr>
          <w:rFonts w:ascii="宋体" w:hAnsi="宋体"/>
          <w:szCs w:val="21"/>
        </w:rPr>
        <w:t>后</w:t>
      </w:r>
      <w:r>
        <w:rPr>
          <w:rFonts w:ascii="宋体" w:hAnsi="宋体" w:hint="eastAsia"/>
          <w:szCs w:val="21"/>
        </w:rPr>
        <w:t>10</w:t>
      </w:r>
      <w:r>
        <w:rPr>
          <w:rFonts w:ascii="宋体" w:hAnsi="宋体"/>
          <w:szCs w:val="21"/>
        </w:rPr>
        <w:t>个工作日内，</w:t>
      </w:r>
      <w:r>
        <w:rPr>
          <w:rFonts w:ascii="宋体" w:hAnsi="宋体" w:hint="eastAsia"/>
          <w:szCs w:val="21"/>
        </w:rPr>
        <w:t>甲方向乙方支付合同总金额的</w:t>
      </w:r>
      <w:r w:rsidR="00FF3AE9">
        <w:rPr>
          <w:rFonts w:ascii="宋体" w:hAnsi="宋体"/>
          <w:szCs w:val="21"/>
        </w:rPr>
        <w:t>2</w:t>
      </w:r>
      <w:r w:rsidR="003C20D1">
        <w:rPr>
          <w:rFonts w:ascii="宋体" w:hAnsi="宋体" w:hint="eastAsia"/>
          <w:szCs w:val="21"/>
        </w:rPr>
        <w:t>0</w:t>
      </w:r>
      <w:r>
        <w:rPr>
          <w:rFonts w:ascii="宋体" w:hAnsi="宋体" w:hint="eastAsia"/>
          <w:szCs w:val="21"/>
        </w:rPr>
        <w:t>%，即人民币</w:t>
      </w:r>
      <w:r w:rsidRPr="005E2DE7">
        <w:rPr>
          <w:rFonts w:ascii="宋体" w:hAnsi="宋体" w:hint="eastAsia"/>
          <w:szCs w:val="21"/>
          <w:u w:val="single"/>
        </w:rPr>
        <w:t xml:space="preserve">      </w:t>
      </w:r>
      <w:r>
        <w:rPr>
          <w:rStyle w:val="Strong"/>
          <w:rFonts w:ascii="宋体" w:hAnsi="宋体" w:hint="eastAsia"/>
          <w:b w:val="0"/>
          <w:bCs w:val="0"/>
          <w:color w:val="0F1115"/>
          <w:szCs w:val="21"/>
          <w:u w:val="single"/>
        </w:rPr>
        <w:t xml:space="preserve">      </w:t>
      </w:r>
      <w:r>
        <w:rPr>
          <w:rFonts w:ascii="宋体" w:hAnsi="宋体" w:hint="eastAsia"/>
          <w:szCs w:val="21"/>
          <w:u w:val="single"/>
        </w:rPr>
        <w:t xml:space="preserve">  </w:t>
      </w:r>
      <w:r>
        <w:rPr>
          <w:rFonts w:ascii="宋体" w:hAnsi="宋体" w:hint="eastAsia"/>
          <w:szCs w:val="21"/>
        </w:rPr>
        <w:t>元</w:t>
      </w:r>
      <w:r>
        <w:rPr>
          <w:rFonts w:ascii="宋体" w:hAnsi="宋体"/>
          <w:szCs w:val="21"/>
        </w:rPr>
        <w:t>（大写）：</w:t>
      </w:r>
      <w:r>
        <w:rPr>
          <w:rFonts w:ascii="宋体" w:hAnsi="宋体" w:cs="宋体" w:hint="eastAsia"/>
          <w:kern w:val="0"/>
          <w:sz w:val="18"/>
          <w:szCs w:val="18"/>
          <w:u w:val="single"/>
        </w:rPr>
        <w:t xml:space="preserve"> </w:t>
      </w:r>
      <w:r>
        <w:rPr>
          <w:rFonts w:ascii="宋体" w:hAnsi="宋体" w:hint="eastAsia"/>
          <w:szCs w:val="21"/>
          <w:u w:val="single"/>
        </w:rPr>
        <w:t xml:space="preserve">           </w:t>
      </w:r>
      <w:r>
        <w:rPr>
          <w:rFonts w:ascii="宋体" w:hAnsi="宋体" w:cs="宋体" w:hint="eastAsia"/>
          <w:kern w:val="0"/>
          <w:sz w:val="18"/>
          <w:szCs w:val="18"/>
          <w:u w:val="single"/>
        </w:rPr>
        <w:t xml:space="preserve">   </w:t>
      </w:r>
      <w:r>
        <w:rPr>
          <w:rFonts w:ascii="宋体" w:hAnsi="宋体"/>
          <w:szCs w:val="21"/>
        </w:rPr>
        <w:t>（小写）。</w:t>
      </w:r>
    </w:p>
    <w:p w:rsidR="00E720C3">
      <w:pPr>
        <w:tabs>
          <w:tab w:val="left" w:pos="1573"/>
        </w:tabs>
        <w:adjustRightInd w:val="0"/>
        <w:snapToGrid w:val="0"/>
        <w:spacing w:line="360" w:lineRule="auto"/>
        <w:ind w:firstLine="420" w:firstLineChars="200"/>
        <w:jc w:val="left"/>
        <w:rPr>
          <w:rFonts w:ascii="宋体" w:hAnsi="宋体" w:hint="eastAsia"/>
          <w:szCs w:val="21"/>
        </w:rPr>
      </w:pPr>
      <w:r w:rsidR="00FF3AE9">
        <w:rPr>
          <w:rFonts w:ascii="宋体" w:hAnsi="宋体"/>
          <w:szCs w:val="21"/>
        </w:rPr>
        <w:t>5</w:t>
      </w:r>
      <w:r>
        <w:rPr>
          <w:rFonts w:ascii="宋体" w:hAnsi="宋体"/>
          <w:szCs w:val="21"/>
        </w:rPr>
        <w:t>、</w:t>
      </w:r>
      <w:r>
        <w:rPr>
          <w:rFonts w:ascii="宋体" w:hAnsi="宋体" w:hint="eastAsia"/>
          <w:szCs w:val="21"/>
        </w:rPr>
        <w:t>项目通过正式验收</w:t>
      </w:r>
      <w:r>
        <w:rPr>
          <w:rFonts w:ascii="宋体" w:hAnsi="宋体"/>
          <w:szCs w:val="21"/>
        </w:rPr>
        <w:t>后</w:t>
      </w:r>
      <w:r>
        <w:rPr>
          <w:rFonts w:ascii="宋体" w:hAnsi="宋体" w:hint="eastAsia"/>
          <w:szCs w:val="21"/>
        </w:rPr>
        <w:t>10</w:t>
      </w:r>
      <w:r>
        <w:rPr>
          <w:rFonts w:ascii="宋体" w:hAnsi="宋体"/>
          <w:szCs w:val="21"/>
        </w:rPr>
        <w:t>个工作日内</w:t>
      </w:r>
      <w:r>
        <w:rPr>
          <w:rFonts w:ascii="宋体" w:hAnsi="宋体" w:hint="eastAsia"/>
          <w:szCs w:val="21"/>
        </w:rPr>
        <w:t>，甲方向乙方支付合同总金额的</w:t>
      </w:r>
      <w:r w:rsidR="00FF3AE9">
        <w:rPr>
          <w:rFonts w:ascii="宋体" w:hAnsi="宋体"/>
          <w:szCs w:val="21"/>
        </w:rPr>
        <w:t>1</w:t>
      </w:r>
      <w:r w:rsidR="003C20D1">
        <w:rPr>
          <w:rFonts w:ascii="宋体" w:hAnsi="宋体" w:hint="eastAsia"/>
          <w:szCs w:val="21"/>
        </w:rPr>
        <w:t>0</w:t>
      </w:r>
      <w:r>
        <w:rPr>
          <w:rFonts w:ascii="宋体" w:hAnsi="宋体" w:hint="eastAsia"/>
          <w:szCs w:val="21"/>
        </w:rPr>
        <w:t>%，即</w:t>
      </w:r>
      <w:r>
        <w:rPr>
          <w:rFonts w:ascii="宋体" w:hAnsi="宋体" w:hint="eastAsia"/>
          <w:szCs w:val="21"/>
          <w:u w:val="single"/>
        </w:rPr>
        <w:t xml:space="preserve"> </w:t>
      </w:r>
      <w:r>
        <w:rPr>
          <w:rStyle w:val="Strong"/>
          <w:rFonts w:ascii="宋体" w:hAnsi="宋体" w:hint="eastAsia"/>
          <w:b w:val="0"/>
          <w:bCs w:val="0"/>
          <w:color w:val="0F1115"/>
          <w:szCs w:val="21"/>
          <w:u w:val="single"/>
        </w:rPr>
        <w:t xml:space="preserve">             </w:t>
      </w:r>
      <w:r>
        <w:rPr>
          <w:rFonts w:ascii="仿宋_GB2312" w:eastAsia="仿宋_GB2312" w:hAnsi="仿宋_GB2312" w:cs="仿宋_GB2312" w:hint="eastAsia"/>
          <w:sz w:val="24"/>
          <w:szCs w:val="32"/>
          <w:u w:val="single"/>
        </w:rPr>
        <w:t xml:space="preserve"> </w:t>
      </w:r>
      <w:r>
        <w:rPr>
          <w:rFonts w:ascii="宋体" w:hAnsi="宋体" w:hint="eastAsia"/>
          <w:szCs w:val="21"/>
        </w:rPr>
        <w:t>元</w:t>
      </w:r>
      <w:r>
        <w:rPr>
          <w:rFonts w:ascii="宋体" w:hAnsi="宋体"/>
          <w:szCs w:val="21"/>
        </w:rPr>
        <w:t>（大写）</w:t>
      </w:r>
      <w:r>
        <w:rPr>
          <w:rFonts w:ascii="宋体" w:hAnsi="宋体" w:hint="eastAsia"/>
          <w:szCs w:val="21"/>
        </w:rPr>
        <w:t>：</w:t>
      </w:r>
      <w:r>
        <w:rPr>
          <w:rFonts w:ascii="宋体" w:hAnsi="宋体" w:hint="eastAsia"/>
          <w:szCs w:val="21"/>
          <w:u w:val="single"/>
        </w:rPr>
        <w:t xml:space="preserve">                </w:t>
      </w:r>
      <w:r>
        <w:rPr>
          <w:rFonts w:ascii="宋体" w:hAnsi="宋体"/>
          <w:szCs w:val="21"/>
        </w:rPr>
        <w:t>元（小写）；</w:t>
      </w:r>
      <w:r>
        <w:rPr>
          <w:rFonts w:ascii="宋体" w:hAnsi="宋体" w:hint="eastAsia"/>
          <w:szCs w:val="21"/>
        </w:rPr>
        <w:t xml:space="preserve">同时乙方向甲方提交一年（以验收合格之日起算）的银行保函，保函金额为合同总额的3%，即人民币       </w:t>
      </w:r>
      <w:r>
        <w:rPr>
          <w:rStyle w:val="Strong"/>
          <w:rFonts w:ascii="宋体" w:hAnsi="宋体" w:hint="eastAsia"/>
          <w:b w:val="0"/>
          <w:bCs w:val="0"/>
          <w:color w:val="0F1115"/>
          <w:szCs w:val="21"/>
          <w:u w:val="single"/>
        </w:rPr>
        <w:t xml:space="preserve">       </w:t>
      </w:r>
      <w:r>
        <w:rPr>
          <w:rFonts w:ascii="宋体" w:hAnsi="宋体" w:hint="eastAsia"/>
          <w:szCs w:val="21"/>
        </w:rPr>
        <w:t xml:space="preserve"> 整，￥    元 ）。</w:t>
      </w:r>
    </w:p>
    <w:p w:rsidR="00E720C3">
      <w:pPr>
        <w:tabs>
          <w:tab w:val="left" w:pos="1573"/>
        </w:tabs>
        <w:adjustRightInd w:val="0"/>
        <w:snapToGrid w:val="0"/>
        <w:spacing w:line="360" w:lineRule="auto"/>
        <w:ind w:firstLine="420" w:firstLineChars="200"/>
        <w:jc w:val="left"/>
        <w:rPr>
          <w:rFonts w:ascii="宋体" w:hAnsi="宋体" w:hint="eastAsia"/>
          <w:b/>
          <w:szCs w:val="28"/>
        </w:rPr>
      </w:pPr>
      <w:r>
        <w:rPr>
          <w:rFonts w:ascii="宋体" w:hAnsi="宋体"/>
          <w:b/>
          <w:szCs w:val="28"/>
        </w:rPr>
        <w:t>四、甲方应向乙方提供的资料</w:t>
      </w:r>
    </w:p>
    <w:p w:rsidR="00E720C3">
      <w:pPr>
        <w:tabs>
          <w:tab w:val="left" w:pos="1573"/>
        </w:tabs>
        <w:adjustRightInd w:val="0"/>
        <w:snapToGrid w:val="0"/>
        <w:spacing w:line="360" w:lineRule="auto"/>
        <w:ind w:firstLine="420" w:firstLineChars="200"/>
        <w:jc w:val="left"/>
        <w:rPr>
          <w:rFonts w:ascii="宋体" w:hAnsi="Calibri" w:cs="宋体"/>
          <w:color w:val="000000"/>
          <w:kern w:val="0"/>
        </w:rPr>
      </w:pPr>
      <w:r>
        <w:rPr>
          <w:rFonts w:ascii="宋体" w:hAnsi="宋体" w:hint="eastAsia"/>
          <w:szCs w:val="21"/>
        </w:rPr>
        <w:t>提供相关完整文件资料一套。</w:t>
      </w:r>
    </w:p>
    <w:p w:rsidR="00E720C3">
      <w:pPr>
        <w:pStyle w:val="Default"/>
        <w:spacing w:line="360" w:lineRule="auto"/>
        <w:rPr>
          <w:rFonts w:ascii="宋体" w:hAnsi="宋体"/>
          <w:b/>
          <w:szCs w:val="28"/>
        </w:rPr>
      </w:pPr>
      <w:r>
        <w:rPr>
          <w:rFonts w:ascii="宋体" w:hAnsi="宋体"/>
          <w:b/>
          <w:szCs w:val="28"/>
        </w:rPr>
        <w:t>五、进度要求</w:t>
      </w:r>
      <w:r>
        <w:rPr>
          <w:rFonts w:ascii="宋体" w:hAnsi="宋体" w:hint="eastAsia"/>
          <w:b/>
          <w:szCs w:val="28"/>
        </w:rPr>
        <w:t>及</w:t>
      </w:r>
      <w:r>
        <w:rPr>
          <w:rFonts w:ascii="宋体" w:hAnsi="宋体"/>
          <w:b/>
          <w:szCs w:val="28"/>
        </w:rPr>
        <w:t xml:space="preserve">交付 </w:t>
      </w:r>
    </w:p>
    <w:p w:rsidR="00E720C3">
      <w:p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1、交付日期：</w:t>
      </w:r>
      <w:r>
        <w:rPr>
          <w:rFonts w:ascii="宋体" w:hAnsi="宋体" w:hint="eastAsia"/>
          <w:szCs w:val="21"/>
        </w:rPr>
        <w:t xml:space="preserve">    </w:t>
      </w:r>
      <w:r>
        <w:rPr>
          <w:rFonts w:ascii="宋体" w:hAnsi="宋体"/>
          <w:szCs w:val="21"/>
        </w:rPr>
        <w:t xml:space="preserve"> 。 </w:t>
      </w:r>
    </w:p>
    <w:p w:rsidR="00E720C3">
      <w:p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 xml:space="preserve">2、交付地点： </w:t>
      </w:r>
      <w:r>
        <w:rPr>
          <w:rFonts w:ascii="方正黑体简体" w:eastAsia="方正黑体简体" w:hAnsi="仿宋" w:hint="eastAsia"/>
          <w:color w:val="0000FF"/>
          <w:kern w:val="20"/>
          <w:sz w:val="32"/>
          <w:szCs w:val="28"/>
          <w:lang w:val="zh-CN"/>
        </w:rPr>
        <w:t>XXXXXXX</w:t>
      </w:r>
      <w:r>
        <w:rPr>
          <w:rFonts w:ascii="宋体" w:hAnsi="宋体"/>
          <w:szCs w:val="21"/>
          <w:u w:val="single"/>
        </w:rPr>
        <w:t xml:space="preserve"> </w:t>
      </w:r>
      <w:r>
        <w:rPr>
          <w:rFonts w:ascii="宋体" w:hAnsi="宋体" w:hint="eastAsia"/>
          <w:szCs w:val="21"/>
        </w:rPr>
        <w:t>。</w:t>
      </w:r>
      <w:r>
        <w:rPr>
          <w:rFonts w:ascii="宋体" w:hAnsi="宋体"/>
          <w:szCs w:val="21"/>
        </w:rPr>
        <w:t xml:space="preserve"> </w:t>
      </w:r>
    </w:p>
    <w:p w:rsidR="00E720C3">
      <w:p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3、其他约定事项：</w:t>
      </w:r>
      <w:r>
        <w:rPr>
          <w:rFonts w:ascii="宋体" w:hAnsi="宋体" w:hint="eastAsia"/>
          <w:szCs w:val="21"/>
          <w:u w:val="single"/>
        </w:rPr>
        <w:t>鉴于该设备包含专用软件内容，乙方设计方案需通过评审</w:t>
      </w:r>
      <w:r>
        <w:rPr>
          <w:rFonts w:ascii="宋体" w:hAnsi="宋体" w:hint="eastAsia"/>
          <w:szCs w:val="21"/>
        </w:rPr>
        <w:t>。</w:t>
      </w:r>
    </w:p>
    <w:p w:rsidR="00E720C3">
      <w:pPr>
        <w:pStyle w:val="Default"/>
        <w:spacing w:line="360" w:lineRule="auto"/>
        <w:rPr>
          <w:rFonts w:ascii="宋体" w:hAnsi="宋体"/>
          <w:b/>
          <w:szCs w:val="28"/>
        </w:rPr>
      </w:pPr>
      <w:r>
        <w:rPr>
          <w:rFonts w:ascii="宋体" w:hAnsi="宋体"/>
          <w:b/>
          <w:szCs w:val="28"/>
        </w:rPr>
        <w:t xml:space="preserve">六、技术服务和保修责任 </w:t>
      </w:r>
    </w:p>
    <w:p w:rsidR="00E720C3">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乙方对合同货物的质量保修期为</w:t>
      </w:r>
      <w:r>
        <w:rPr>
          <w:rFonts w:ascii="宋体" w:hAnsi="宋体" w:hint="eastAsia"/>
          <w:szCs w:val="21"/>
        </w:rPr>
        <w:t>项目通过正式验收</w:t>
      </w:r>
      <w:r>
        <w:rPr>
          <w:rFonts w:ascii="宋体" w:hAnsi="宋体"/>
          <w:szCs w:val="21"/>
        </w:rPr>
        <w:t>之日起</w:t>
      </w:r>
      <w:r>
        <w:rPr>
          <w:rFonts w:ascii="宋体" w:hAnsi="宋体" w:hint="eastAsia"/>
          <w:szCs w:val="21"/>
          <w:u w:val="single"/>
        </w:rPr>
        <w:t>12</w:t>
      </w:r>
      <w:r>
        <w:rPr>
          <w:rFonts w:ascii="宋体" w:hAnsi="宋体"/>
          <w:szCs w:val="21"/>
        </w:rPr>
        <w:t>个月。</w:t>
      </w:r>
    </w:p>
    <w:p w:rsidR="00E720C3">
      <w:pPr>
        <w:pStyle w:val="Default"/>
        <w:spacing w:line="360" w:lineRule="auto"/>
        <w:rPr>
          <w:rFonts w:ascii="宋体" w:hAnsi="宋体"/>
          <w:b/>
          <w:szCs w:val="28"/>
        </w:rPr>
      </w:pPr>
      <w:r>
        <w:rPr>
          <w:rFonts w:ascii="宋体" w:hAnsi="宋体"/>
          <w:b/>
          <w:szCs w:val="28"/>
        </w:rPr>
        <w:t xml:space="preserve">七、违约责任 </w:t>
      </w:r>
    </w:p>
    <w:p w:rsidR="00E720C3">
      <w:pPr>
        <w:autoSpaceDE w:val="0"/>
        <w:autoSpaceDN w:val="0"/>
        <w:adjustRightInd w:val="0"/>
        <w:spacing w:line="360" w:lineRule="auto"/>
        <w:ind w:firstLine="420" w:firstLineChars="200"/>
        <w:jc w:val="left"/>
        <w:rPr>
          <w:rFonts w:ascii="宋体" w:hAnsi="Calibri"/>
          <w:kern w:val="0"/>
          <w:szCs w:val="21"/>
        </w:rPr>
      </w:pPr>
      <w:r>
        <w:rPr>
          <w:rFonts w:ascii="宋体" w:hAnsi="Calibri"/>
          <w:kern w:val="0"/>
          <w:szCs w:val="21"/>
        </w:rPr>
        <w:t>1、延期交付或延期付款的违约责任：如乙方延期交付或甲方延期付款，每逾期一天，违约方应按延期交货所折合的金额或延期付款金额每天</w:t>
      </w:r>
      <w:r>
        <w:rPr>
          <w:rFonts w:ascii="宋体" w:hAnsi="Calibri"/>
          <w:kern w:val="0"/>
          <w:szCs w:val="21"/>
          <w:u w:val="single"/>
        </w:rPr>
        <w:t xml:space="preserve"> </w:t>
      </w:r>
      <w:r>
        <w:rPr>
          <w:rFonts w:ascii="宋体" w:hAnsi="Calibri" w:hint="eastAsia"/>
          <w:kern w:val="0"/>
          <w:szCs w:val="21"/>
          <w:u w:val="single"/>
        </w:rPr>
        <w:t xml:space="preserve">1 </w:t>
      </w:r>
      <w:r>
        <w:rPr>
          <w:rFonts w:ascii="宋体" w:hAnsi="Calibri"/>
          <w:kern w:val="0"/>
          <w:szCs w:val="21"/>
        </w:rPr>
        <w:t>‰ 的比例向对方支付违约金，但该违约金累计不得超过合同总金额的</w:t>
      </w:r>
      <w:r>
        <w:rPr>
          <w:rFonts w:ascii="宋体" w:hAnsi="Calibri"/>
          <w:kern w:val="0"/>
          <w:szCs w:val="21"/>
          <w:u w:val="single"/>
        </w:rPr>
        <w:t>3</w:t>
      </w:r>
      <w:r>
        <w:rPr>
          <w:rFonts w:ascii="宋体" w:hAnsi="Calibri" w:hint="eastAsia"/>
          <w:kern w:val="0"/>
          <w:szCs w:val="21"/>
          <w:u w:val="single"/>
        </w:rPr>
        <w:t>0</w:t>
      </w:r>
      <w:r>
        <w:rPr>
          <w:rFonts w:ascii="宋体" w:hAnsi="Calibri"/>
          <w:kern w:val="0"/>
          <w:szCs w:val="21"/>
          <w:u w:val="single"/>
        </w:rPr>
        <w:t xml:space="preserve"> </w:t>
      </w:r>
      <w:r>
        <w:rPr>
          <w:rFonts w:ascii="宋体" w:hAnsi="Calibri"/>
          <w:kern w:val="0"/>
          <w:szCs w:val="21"/>
        </w:rPr>
        <w:t>%；上述逾期超过</w:t>
      </w:r>
      <w:r>
        <w:rPr>
          <w:rFonts w:ascii="宋体" w:hAnsi="Calibri" w:hint="eastAsia"/>
          <w:kern w:val="0"/>
          <w:szCs w:val="21"/>
          <w:u w:val="single"/>
        </w:rPr>
        <w:t>90</w:t>
      </w:r>
      <w:r>
        <w:rPr>
          <w:rFonts w:ascii="宋体" w:hAnsi="Calibri"/>
          <w:kern w:val="0"/>
          <w:szCs w:val="21"/>
        </w:rPr>
        <w:t xml:space="preserve">天，守约方有权解除合同，并要求违约方赔偿由此造成的损失。 </w:t>
      </w:r>
    </w:p>
    <w:p w:rsidR="00E720C3">
      <w:pPr>
        <w:autoSpaceDE w:val="0"/>
        <w:autoSpaceDN w:val="0"/>
        <w:adjustRightInd w:val="0"/>
        <w:spacing w:line="360" w:lineRule="auto"/>
        <w:ind w:firstLine="420" w:firstLineChars="200"/>
        <w:jc w:val="left"/>
        <w:rPr>
          <w:rFonts w:ascii="宋体" w:hAnsi="Calibri"/>
          <w:kern w:val="0"/>
          <w:szCs w:val="21"/>
        </w:rPr>
      </w:pPr>
      <w:r>
        <w:rPr>
          <w:rFonts w:ascii="宋体" w:hAnsi="Calibri"/>
          <w:kern w:val="0"/>
          <w:szCs w:val="21"/>
        </w:rPr>
        <w:t xml:space="preserve">2、其它违约责任 </w:t>
      </w:r>
    </w:p>
    <w:p w:rsidR="00E720C3">
      <w:pPr>
        <w:autoSpaceDE w:val="0"/>
        <w:autoSpaceDN w:val="0"/>
        <w:adjustRightInd w:val="0"/>
        <w:spacing w:line="360" w:lineRule="auto"/>
        <w:ind w:firstLine="420" w:firstLineChars="200"/>
        <w:jc w:val="left"/>
        <w:rPr>
          <w:rFonts w:ascii="宋体" w:hAnsi="Calibri"/>
          <w:kern w:val="0"/>
          <w:szCs w:val="21"/>
        </w:rPr>
      </w:pPr>
      <w:r>
        <w:rPr>
          <w:rFonts w:ascii="宋体" w:hAnsi="Calibri"/>
          <w:kern w:val="0"/>
          <w:szCs w:val="21"/>
        </w:rPr>
        <w:t xml:space="preserve">违约方应就每一单项违约向对方支付合同总金额 </w:t>
      </w:r>
      <w:r>
        <w:rPr>
          <w:rFonts w:ascii="宋体" w:hAnsi="Calibri" w:hint="eastAsia"/>
          <w:kern w:val="0"/>
          <w:szCs w:val="21"/>
          <w:u w:val="single"/>
        </w:rPr>
        <w:t>5</w:t>
      </w:r>
      <w:r>
        <w:rPr>
          <w:rFonts w:ascii="宋体" w:hAnsi="Calibri"/>
          <w:kern w:val="0"/>
          <w:szCs w:val="21"/>
        </w:rPr>
        <w:t xml:space="preserve">%的违约金。 </w:t>
      </w:r>
    </w:p>
    <w:p w:rsidR="00E720C3">
      <w:pPr>
        <w:pStyle w:val="Default"/>
        <w:spacing w:line="360" w:lineRule="auto"/>
        <w:rPr>
          <w:rFonts w:ascii="宋体" w:hAnsi="宋体"/>
          <w:b/>
          <w:szCs w:val="28"/>
        </w:rPr>
      </w:pPr>
      <w:r>
        <w:rPr>
          <w:rFonts w:ascii="宋体" w:hAnsi="宋体"/>
          <w:b/>
          <w:szCs w:val="28"/>
        </w:rPr>
        <w:t xml:space="preserve">八、履约保证金 </w:t>
      </w:r>
    </w:p>
    <w:p w:rsidR="00E720C3">
      <w:pPr>
        <w:tabs>
          <w:tab w:val="left" w:pos="1573"/>
        </w:tabs>
        <w:adjustRightInd w:val="0"/>
        <w:snapToGrid w:val="0"/>
        <w:spacing w:line="360" w:lineRule="auto"/>
        <w:ind w:firstLine="420" w:firstLineChars="200"/>
        <w:jc w:val="left"/>
        <w:rPr>
          <w:rFonts w:ascii="宋体" w:hAnsi="Calibri" w:hint="eastAsia"/>
          <w:kern w:val="0"/>
          <w:szCs w:val="21"/>
        </w:rPr>
      </w:pPr>
      <w:r>
        <w:rPr>
          <w:rFonts w:ascii="宋体" w:hAnsi="Calibri" w:hint="eastAsia"/>
          <w:kern w:val="0"/>
          <w:szCs w:val="21"/>
        </w:rPr>
        <w:t>本合同需要履约保证金。</w:t>
      </w:r>
    </w:p>
    <w:p w:rsidR="00E720C3">
      <w:pPr>
        <w:pStyle w:val="Default"/>
        <w:spacing w:line="360" w:lineRule="auto"/>
        <w:rPr>
          <w:rFonts w:ascii="宋体" w:hAnsi="宋体"/>
          <w:b/>
          <w:szCs w:val="28"/>
        </w:rPr>
      </w:pPr>
      <w:r>
        <w:rPr>
          <w:rFonts w:ascii="宋体" w:hAnsi="宋体" w:hint="eastAsia"/>
          <w:b/>
          <w:szCs w:val="28"/>
        </w:rPr>
        <w:t>九</w:t>
      </w:r>
      <w:r>
        <w:rPr>
          <w:rFonts w:ascii="宋体" w:hAnsi="宋体"/>
          <w:b/>
          <w:szCs w:val="28"/>
        </w:rPr>
        <w:t xml:space="preserve">、履约保证金 </w:t>
      </w:r>
    </w:p>
    <w:p w:rsidR="00E720C3">
      <w:pPr>
        <w:tabs>
          <w:tab w:val="left" w:pos="1573"/>
        </w:tabs>
        <w:adjustRightInd w:val="0"/>
        <w:snapToGrid w:val="0"/>
        <w:spacing w:line="360" w:lineRule="auto"/>
        <w:jc w:val="left"/>
        <w:rPr>
          <w:rFonts w:ascii="宋体" w:hAnsi="Calibri"/>
          <w:kern w:val="0"/>
          <w:szCs w:val="21"/>
        </w:rPr>
      </w:pPr>
      <w:r>
        <w:rPr>
          <w:rFonts w:ascii="宋体" w:hAnsi="Calibri" w:hint="eastAsia"/>
          <w:kern w:val="0"/>
          <w:szCs w:val="21"/>
        </w:rPr>
        <w:t>待正式签订合同时根据实际情况约定。</w:t>
      </w:r>
    </w:p>
    <w:p w:rsidR="00E720C3">
      <w:pPr>
        <w:tabs>
          <w:tab w:val="left" w:pos="1573"/>
        </w:tabs>
        <w:adjustRightInd w:val="0"/>
        <w:snapToGrid w:val="0"/>
        <w:spacing w:line="360" w:lineRule="auto"/>
        <w:ind w:firstLine="420" w:firstLineChars="200"/>
        <w:jc w:val="left"/>
        <w:rPr>
          <w:rFonts w:ascii="宋体" w:hAnsi="Calibri" w:hint="eastAsia"/>
          <w:kern w:val="0"/>
          <w:szCs w:val="21"/>
        </w:rPr>
      </w:pPr>
    </w:p>
    <w:p w:rsidR="00E720C3">
      <w:pPr>
        <w:tabs>
          <w:tab w:val="left" w:pos="1573"/>
        </w:tabs>
        <w:adjustRightInd w:val="0"/>
        <w:snapToGrid w:val="0"/>
        <w:spacing w:line="360" w:lineRule="auto"/>
        <w:ind w:firstLine="420" w:firstLineChars="200"/>
        <w:jc w:val="left"/>
        <w:rPr>
          <w:rFonts w:ascii="宋体" w:hAnsi="Calibri" w:hint="eastAsia"/>
          <w:kern w:val="0"/>
          <w:szCs w:val="21"/>
        </w:rPr>
      </w:pPr>
    </w:p>
    <w:tbl>
      <w:tblPr>
        <w:tblStyle w:val="TableNormal"/>
        <w:tblW w:w="10124" w:type="dxa"/>
        <w:jc w:val="center"/>
        <w:tblInd w:w="0" w:type="dxa"/>
        <w:tblLook w:val="0000"/>
      </w:tblPr>
      <w:tblGrid>
        <w:gridCol w:w="1809"/>
        <w:gridCol w:w="3119"/>
        <w:gridCol w:w="1984"/>
        <w:gridCol w:w="3212"/>
      </w:tblGrid>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甲方：</w:t>
            </w:r>
          </w:p>
        </w:tc>
        <w:tc>
          <w:tcPr>
            <w:tcW w:w="3119" w:type="dxa"/>
          </w:tcPr>
          <w:p w:rsidR="00E720C3">
            <w:pPr>
              <w:autoSpaceDE w:val="0"/>
              <w:autoSpaceDN w:val="0"/>
              <w:adjustRightInd w:val="0"/>
              <w:jc w:val="left"/>
              <w:rPr>
                <w:rFonts w:ascii="宋体" w:hAnsi="Calibri" w:cs="宋体" w:hint="eastAsia"/>
                <w:color w:val="000000"/>
                <w:kern w:val="0"/>
              </w:rPr>
            </w:pPr>
            <w:r>
              <w:rPr>
                <w:rFonts w:ascii="宋体" w:hAnsi="宋体" w:hint="eastAsia"/>
                <w:szCs w:val="21"/>
              </w:rPr>
              <w:t>中国气象局公共气象服务中心</w:t>
            </w: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乙方：</w:t>
            </w:r>
          </w:p>
        </w:tc>
        <w:tc>
          <w:tcPr>
            <w:tcW w:w="3212" w:type="dxa"/>
          </w:tcPr>
          <w:p w:rsidR="00E720C3">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中标公司</w:t>
            </w: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单位名称（公章）</w:t>
            </w:r>
          </w:p>
        </w:tc>
        <w:tc>
          <w:tcPr>
            <w:tcW w:w="3119" w:type="dxa"/>
          </w:tcPr>
          <w:p w:rsidR="00E720C3">
            <w:pPr>
              <w:autoSpaceDE w:val="0"/>
              <w:autoSpaceDN w:val="0"/>
              <w:adjustRightInd w:val="0"/>
              <w:jc w:val="left"/>
              <w:rPr>
                <w:rFonts w:ascii="宋体" w:hAnsi="Calibri" w:cs="宋体" w:hint="eastAsia"/>
                <w:color w:val="000000"/>
                <w:kern w:val="0"/>
              </w:rPr>
            </w:pP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单位名称：（公章）</w:t>
            </w:r>
          </w:p>
        </w:tc>
        <w:tc>
          <w:tcPr>
            <w:tcW w:w="3212" w:type="dxa"/>
          </w:tcPr>
          <w:p w:rsidR="00E720C3">
            <w:pPr>
              <w:autoSpaceDE w:val="0"/>
              <w:autoSpaceDN w:val="0"/>
              <w:adjustRightInd w:val="0"/>
              <w:jc w:val="left"/>
              <w:rPr>
                <w:rFonts w:ascii="宋体" w:hAnsi="Calibri" w:cs="宋体" w:hint="eastAsia"/>
                <w:color w:val="000000"/>
                <w:kern w:val="0"/>
              </w:rPr>
            </w:pP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地址：</w:t>
            </w:r>
          </w:p>
        </w:tc>
        <w:tc>
          <w:tcPr>
            <w:tcW w:w="3119" w:type="dxa"/>
          </w:tcPr>
          <w:p w:rsidR="00E720C3">
            <w:pPr>
              <w:autoSpaceDE w:val="0"/>
              <w:autoSpaceDN w:val="0"/>
              <w:adjustRightInd w:val="0"/>
              <w:jc w:val="left"/>
              <w:rPr>
                <w:rFonts w:ascii="宋体" w:hAnsi="Calibri" w:cs="宋体" w:hint="eastAsia"/>
                <w:color w:val="000000"/>
                <w:kern w:val="0"/>
              </w:rPr>
            </w:pPr>
            <w:r>
              <w:rPr>
                <w:rFonts w:ascii="宋体" w:hAnsi="宋体" w:hint="eastAsia"/>
                <w:szCs w:val="21"/>
              </w:rPr>
              <w:t>北京海淀中关村南大街46号</w:t>
            </w: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地址：</w:t>
            </w:r>
          </w:p>
        </w:tc>
        <w:tc>
          <w:tcPr>
            <w:tcW w:w="3212" w:type="dxa"/>
          </w:tcPr>
          <w:p w:rsidR="00E720C3">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电话：</w:t>
            </w:r>
          </w:p>
        </w:tc>
        <w:tc>
          <w:tcPr>
            <w:tcW w:w="3119" w:type="dxa"/>
          </w:tcPr>
          <w:p w:rsidR="00E720C3">
            <w:pPr>
              <w:autoSpaceDE w:val="0"/>
              <w:autoSpaceDN w:val="0"/>
              <w:adjustRightInd w:val="0"/>
              <w:jc w:val="left"/>
              <w:rPr>
                <w:rFonts w:ascii="宋体" w:hAnsi="Calibri" w:cs="宋体" w:hint="eastAsia"/>
                <w:color w:val="000000"/>
                <w:kern w:val="0"/>
              </w:rPr>
            </w:pP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电话：</w:t>
            </w:r>
          </w:p>
        </w:tc>
        <w:tc>
          <w:tcPr>
            <w:tcW w:w="3212" w:type="dxa"/>
          </w:tcPr>
          <w:p w:rsidR="00E720C3">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传真：</w:t>
            </w:r>
          </w:p>
        </w:tc>
        <w:tc>
          <w:tcPr>
            <w:tcW w:w="3119" w:type="dxa"/>
          </w:tcPr>
          <w:p w:rsidR="00E720C3">
            <w:pPr>
              <w:autoSpaceDE w:val="0"/>
              <w:autoSpaceDN w:val="0"/>
              <w:adjustRightInd w:val="0"/>
              <w:jc w:val="left"/>
              <w:rPr>
                <w:rFonts w:ascii="宋体" w:hAnsi="Calibri" w:cs="宋体" w:hint="eastAsia"/>
                <w:color w:val="000000"/>
                <w:kern w:val="0"/>
              </w:rPr>
            </w:pP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传真：</w:t>
            </w:r>
          </w:p>
        </w:tc>
        <w:tc>
          <w:tcPr>
            <w:tcW w:w="3212" w:type="dxa"/>
          </w:tcPr>
          <w:p w:rsidR="00E720C3">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p>
        </w:tc>
        <w:tc>
          <w:tcPr>
            <w:tcW w:w="3119" w:type="dxa"/>
          </w:tcPr>
          <w:p w:rsidR="00E720C3">
            <w:pPr>
              <w:autoSpaceDE w:val="0"/>
              <w:autoSpaceDN w:val="0"/>
              <w:adjustRightInd w:val="0"/>
              <w:jc w:val="left"/>
              <w:rPr>
                <w:rFonts w:ascii="宋体" w:hAnsi="Calibri" w:cs="宋体" w:hint="eastAsia"/>
                <w:color w:val="000000"/>
                <w:kern w:val="0"/>
              </w:rPr>
            </w:pPr>
          </w:p>
        </w:tc>
        <w:tc>
          <w:tcPr>
            <w:tcW w:w="1984" w:type="dxa"/>
          </w:tcPr>
          <w:p w:rsidR="00E720C3">
            <w:pPr>
              <w:autoSpaceDE w:val="0"/>
              <w:autoSpaceDN w:val="0"/>
              <w:adjustRightInd w:val="0"/>
              <w:jc w:val="left"/>
              <w:rPr>
                <w:rFonts w:ascii="宋体" w:hAnsi="Calibri" w:hint="eastAsia"/>
                <w:kern w:val="0"/>
                <w:szCs w:val="21"/>
              </w:rPr>
            </w:pPr>
            <w:r>
              <w:rPr>
                <w:rFonts w:ascii="宋体" w:hAnsi="Calibri"/>
                <w:kern w:val="0"/>
                <w:szCs w:val="21"/>
              </w:rPr>
              <w:t>开户银行及帐号：</w:t>
            </w:r>
          </w:p>
          <w:p w:rsidR="00E720C3">
            <w:pPr>
              <w:autoSpaceDE w:val="0"/>
              <w:autoSpaceDN w:val="0"/>
              <w:adjustRightInd w:val="0"/>
              <w:jc w:val="left"/>
              <w:rPr>
                <w:rFonts w:ascii="宋体" w:hAnsi="Calibri" w:cs="宋体" w:hint="eastAsia"/>
                <w:color w:val="000000"/>
                <w:kern w:val="0"/>
              </w:rPr>
            </w:pPr>
          </w:p>
        </w:tc>
        <w:tc>
          <w:tcPr>
            <w:tcW w:w="3212" w:type="dxa"/>
          </w:tcPr>
          <w:p w:rsidR="00E720C3">
            <w:pPr>
              <w:autoSpaceDE w:val="0"/>
              <w:autoSpaceDN w:val="0"/>
              <w:adjustRightInd w:val="0"/>
              <w:ind w:firstLine="315" w:firstLineChars="150"/>
              <w:jc w:val="left"/>
              <w:rPr>
                <w:rFonts w:ascii="宋体" w:hAnsi="Calibri" w:cs="宋体" w:hint="eastAsia"/>
                <w:color w:val="000000"/>
                <w:kern w:val="0"/>
              </w:rPr>
            </w:pPr>
            <w:r>
              <w:rPr>
                <w:rFonts w:ascii="楷体_GB2312" w:eastAsia="楷体_GB2312" w:hint="eastAsia"/>
                <w:szCs w:val="21"/>
              </w:rPr>
              <w:t xml:space="preserve"> </w:t>
            </w: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法定代表人：</w:t>
            </w:r>
          </w:p>
        </w:tc>
        <w:tc>
          <w:tcPr>
            <w:tcW w:w="3119" w:type="dxa"/>
          </w:tcPr>
          <w:p w:rsidR="00E720C3">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法定代表人：</w:t>
            </w:r>
          </w:p>
        </w:tc>
        <w:tc>
          <w:tcPr>
            <w:tcW w:w="3212" w:type="dxa"/>
          </w:tcPr>
          <w:p w:rsidR="00E720C3">
            <w:pPr>
              <w:autoSpaceDE w:val="0"/>
              <w:autoSpaceDN w:val="0"/>
              <w:adjustRightInd w:val="0"/>
              <w:jc w:val="left"/>
              <w:rPr>
                <w:rFonts w:ascii="宋体" w:hAnsi="Calibri" w:cs="宋体" w:hint="eastAsia"/>
                <w:color w:val="000000"/>
                <w:kern w:val="0"/>
              </w:rPr>
            </w:pP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授权代表：</w:t>
            </w:r>
          </w:p>
        </w:tc>
        <w:tc>
          <w:tcPr>
            <w:tcW w:w="3119" w:type="dxa"/>
          </w:tcPr>
          <w:p w:rsidR="00E720C3">
            <w:pPr>
              <w:autoSpaceDE w:val="0"/>
              <w:autoSpaceDN w:val="0"/>
              <w:adjustRightInd w:val="0"/>
              <w:jc w:val="left"/>
              <w:rPr>
                <w:rFonts w:ascii="宋体" w:hAnsi="Calibri" w:cs="宋体" w:hint="eastAsia"/>
                <w:color w:val="000000"/>
                <w:kern w:val="0"/>
              </w:rPr>
            </w:pP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授权代表：</w:t>
            </w:r>
          </w:p>
        </w:tc>
        <w:tc>
          <w:tcPr>
            <w:tcW w:w="3212" w:type="dxa"/>
          </w:tcPr>
          <w:p w:rsidR="00E720C3">
            <w:pPr>
              <w:autoSpaceDE w:val="0"/>
              <w:autoSpaceDN w:val="0"/>
              <w:adjustRightInd w:val="0"/>
              <w:jc w:val="left"/>
              <w:rPr>
                <w:rFonts w:ascii="宋体" w:hAnsi="Calibri" w:cs="宋体" w:hint="eastAsia"/>
                <w:color w:val="000000"/>
                <w:kern w:val="0"/>
              </w:rPr>
            </w:pPr>
          </w:p>
        </w:tc>
      </w:tr>
      <w:tr>
        <w:tblPrEx>
          <w:tblW w:w="10124" w:type="dxa"/>
          <w:jc w:val="center"/>
          <w:tblInd w:w="0" w:type="dxa"/>
          <w:tblLook w:val="0000"/>
        </w:tblPrEx>
        <w:trPr>
          <w:jc w:val="center"/>
        </w:trPr>
        <w:tc>
          <w:tcPr>
            <w:tcW w:w="1809"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签约日期：</w:t>
            </w:r>
          </w:p>
        </w:tc>
        <w:tc>
          <w:tcPr>
            <w:tcW w:w="3119" w:type="dxa"/>
          </w:tcPr>
          <w:p w:rsidR="00E720C3">
            <w:pPr>
              <w:autoSpaceDE w:val="0"/>
              <w:autoSpaceDN w:val="0"/>
              <w:adjustRightInd w:val="0"/>
              <w:jc w:val="left"/>
              <w:rPr>
                <w:rFonts w:ascii="宋体" w:hAnsi="Calibri" w:cs="宋体" w:hint="eastAsia"/>
                <w:color w:val="000000"/>
                <w:kern w:val="0"/>
              </w:rPr>
            </w:pPr>
          </w:p>
        </w:tc>
        <w:tc>
          <w:tcPr>
            <w:tcW w:w="1984" w:type="dxa"/>
          </w:tcPr>
          <w:p w:rsidR="00E720C3">
            <w:pPr>
              <w:autoSpaceDE w:val="0"/>
              <w:autoSpaceDN w:val="0"/>
              <w:adjustRightInd w:val="0"/>
              <w:jc w:val="left"/>
              <w:rPr>
                <w:rFonts w:ascii="宋体" w:hAnsi="Calibri" w:cs="宋体" w:hint="eastAsia"/>
                <w:color w:val="000000"/>
                <w:kern w:val="0"/>
              </w:rPr>
            </w:pPr>
            <w:r>
              <w:rPr>
                <w:rFonts w:ascii="宋体" w:hAnsi="Calibri"/>
                <w:kern w:val="0"/>
                <w:szCs w:val="21"/>
              </w:rPr>
              <w:t>签约日期：</w:t>
            </w:r>
          </w:p>
        </w:tc>
        <w:tc>
          <w:tcPr>
            <w:tcW w:w="3212" w:type="dxa"/>
          </w:tcPr>
          <w:p w:rsidR="00E720C3">
            <w:pPr>
              <w:autoSpaceDE w:val="0"/>
              <w:autoSpaceDN w:val="0"/>
              <w:adjustRightInd w:val="0"/>
              <w:jc w:val="left"/>
              <w:rPr>
                <w:rFonts w:ascii="宋体" w:hAnsi="Calibri" w:cs="宋体" w:hint="eastAsia"/>
                <w:color w:val="000000"/>
                <w:kern w:val="0"/>
              </w:rPr>
            </w:pPr>
          </w:p>
        </w:tc>
      </w:tr>
    </w:tbl>
    <w:p w:rsidR="00E720C3">
      <w:pPr>
        <w:autoSpaceDE w:val="0"/>
        <w:autoSpaceDN w:val="0"/>
        <w:adjustRightInd w:val="0"/>
        <w:jc w:val="left"/>
        <w:rPr>
          <w:rFonts w:ascii="宋体" w:hAnsi="Calibri" w:cs="宋体" w:hint="eastAsia"/>
          <w:color w:val="000000"/>
          <w:kern w:val="0"/>
        </w:rPr>
      </w:pPr>
    </w:p>
    <w:p w:rsidR="00E720C3">
      <w:pPr>
        <w:autoSpaceDE w:val="0"/>
        <w:autoSpaceDN w:val="0"/>
        <w:adjustRightInd w:val="0"/>
        <w:jc w:val="left"/>
        <w:rPr>
          <w:rFonts w:ascii="宋体" w:hAnsi="Calibri" w:cs="宋体" w:hint="eastAsia"/>
          <w:color w:val="000000"/>
          <w:kern w:val="0"/>
        </w:rPr>
      </w:pPr>
    </w:p>
    <w:p w:rsidR="002F696E">
      <w:pPr>
        <w:snapToGrid w:val="0"/>
        <w:spacing w:line="360" w:lineRule="auto"/>
        <w:jc w:val="center"/>
        <w:outlineLvl w:val="2"/>
        <w:rPr>
          <w:rFonts w:hint="eastAsia"/>
          <w:b/>
          <w:sz w:val="28"/>
          <w:szCs w:val="28"/>
        </w:rPr>
      </w:pPr>
      <w:r w:rsidR="00E720C3">
        <w:rPr>
          <w:rFonts w:hint="eastAsia"/>
          <w:b/>
          <w:sz w:val="28"/>
          <w:szCs w:val="28"/>
        </w:rPr>
        <w:t xml:space="preserve"> </w:t>
      </w:r>
    </w:p>
    <w:p w:rsidR="00A77B3E"/>
    <w:p w:rsidR="00E720C3">
      <w:pPr>
        <w:snapToGrid w:val="0"/>
        <w:spacing w:line="360" w:lineRule="auto"/>
        <w:rPr>
          <w:rFonts w:hint="eastAsia"/>
          <w:b/>
          <w:bCs/>
          <w:sz w:val="30"/>
          <w:szCs w:val="30"/>
        </w:rPr>
      </w:pPr>
      <w:bookmarkEnd w:id="201"/>
    </w:p>
    <w:p>
      <w:pPr>
        <w:rPr>
          <w:rFonts w:ascii="Calibri" w:hAnsi="Calibri"/>
          <w:szCs w:val="22"/>
          <w:highlight w:val="none"/>
        </w:rPr>
      </w:pPr>
    </w:p>
    <w:p>
      <w:pPr>
        <w:spacing w:line="360" w:lineRule="auto"/>
        <w:jc w:val="left"/>
        <w:rPr>
          <w:b/>
          <w:bCs/>
          <w:sz w:val="44"/>
          <w:szCs w:val="44"/>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黑体简体">
    <w:altName w:val="微软雅黑"/>
    <w:panose1 w:val="02010601030101010101"/>
    <w:charset w:val="86"/>
    <w:family w:val="auto"/>
    <w:pitch w:val="default"/>
    <w:sig w:usb0="00000000" w:usb1="080E0000" w:usb2="00000010" w:usb3="00000000" w:csb0="00040000" w:csb1="00000000"/>
  </w:font>
  <w:font w:name="楷体_GB2312">
    <w:panose1 w:val="00000000000000000000"/>
    <w:charset w:val="86"/>
    <w:family w:val="modern"/>
    <w:pitch w:val="fixed"/>
    <w:sig w:usb0="00000001" w:usb1="080E0000" w:usb2="00000010" w:usb3="00000000" w:csb0="00040000" w:csb1="00000000"/>
  </w:font>
  <w:font w:name="New York">
    <w:panose1 w:val="02040503060506020304"/>
    <w:charset w:val="00"/>
    <w:family w:val="roman"/>
    <w:pitch w:val="variable"/>
    <w:sig w:usb0="00000003" w:usb1="00000000" w:usb2="00000000" w:usb3="00000000" w:csb0="00000001" w:csb1="00000000"/>
  </w:font>
  <w:font w:name="新宋体">
    <w:panose1 w:val="00000000000000000000"/>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
    <w:altName w:val="宋体"/>
    <w:panose1 w:val="00000000000000000000"/>
    <w:charset w:val="86"/>
    <w:family w:val="auto"/>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0ED354E"/>
    <w:multiLevelType w:val="multilevel"/>
    <w:tmpl w:val="00ED354E"/>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
    <w:nsid w:val="05C16563"/>
    <w:multiLevelType w:val="multilevel"/>
    <w:tmpl w:val="05C16563"/>
    <w:lvl w:ilvl="0">
      <w:start w:val="1"/>
      <w:numFmt w:val="decimal"/>
      <w:pStyle w:val="Heading1"/>
      <w:lvlText w:val="%1"/>
      <w:lvlJc w:val="left"/>
      <w:pPr>
        <w:ind w:left="432" w:hanging="432"/>
      </w:pPr>
      <w:rPr>
        <w:rFonts w:ascii="Times New Roman" w:hAnsi="Times New Roman" w:cs="Times New Roman" w:hint="default"/>
        <w:color w:val="auto"/>
      </w:rPr>
    </w:lvl>
    <w:lvl w:ilvl="1">
      <w:start w:val="1"/>
      <w:numFmt w:val="decimal"/>
      <w:pStyle w:val="Heading2"/>
      <w:lvlText w:val="%1.%2"/>
      <w:lvlJc w:val="left"/>
      <w:pPr>
        <w:ind w:left="4688" w:hanging="576"/>
      </w:pPr>
      <w:rPr>
        <w:color w:val="auto"/>
      </w:rPr>
    </w:lvl>
    <w:lvl w:ilvl="2">
      <w:start w:val="1"/>
      <w:numFmt w:val="decimal"/>
      <w:pStyle w:val="Heading3"/>
      <w:lvlText w:val="%1.%2.%3"/>
      <w:lvlJc w:val="left"/>
      <w:pPr>
        <w:ind w:left="720" w:hanging="720"/>
      </w:pPr>
      <w:rPr>
        <w:lang w:eastAsia="zh-CN"/>
      </w:rPr>
    </w:lvl>
    <w:lvl w:ilvl="3">
      <w:start w:val="1"/>
      <w:numFmt w:val="decimal"/>
      <w:pStyle w:val="Heading4"/>
      <w:lvlText w:val="%1.%2.%3.%4"/>
      <w:lvlJc w:val="left"/>
      <w:pPr>
        <w:ind w:left="1148" w:hanging="864"/>
      </w:pPr>
      <w:rPr>
        <w:rFonts w:ascii="Times New Roman" w:hAnsi="Times New Roman" w:cs="Times New Roman" w:hint="default"/>
        <w:lang w:val="en-U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1CB"/>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0CE"/>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4F5E"/>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572FB"/>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C82"/>
    <w:rsid w:val="002E2F72"/>
    <w:rsid w:val="002E3A13"/>
    <w:rsid w:val="002E5428"/>
    <w:rsid w:val="002E57D6"/>
    <w:rsid w:val="002E677C"/>
    <w:rsid w:val="002E776D"/>
    <w:rsid w:val="002F0E73"/>
    <w:rsid w:val="002F325A"/>
    <w:rsid w:val="002F3E2B"/>
    <w:rsid w:val="002F50C6"/>
    <w:rsid w:val="002F696E"/>
    <w:rsid w:val="002F770C"/>
    <w:rsid w:val="002F77A6"/>
    <w:rsid w:val="002F7B63"/>
    <w:rsid w:val="002F7C8A"/>
    <w:rsid w:val="002F7E2E"/>
    <w:rsid w:val="003009F4"/>
    <w:rsid w:val="00301941"/>
    <w:rsid w:val="003025E4"/>
    <w:rsid w:val="00302948"/>
    <w:rsid w:val="003041D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1A9"/>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0D1"/>
    <w:rsid w:val="003C2F03"/>
    <w:rsid w:val="003C36D6"/>
    <w:rsid w:val="003C49DD"/>
    <w:rsid w:val="003C550F"/>
    <w:rsid w:val="003C5FB5"/>
    <w:rsid w:val="003C67B5"/>
    <w:rsid w:val="003C7349"/>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5306"/>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0957"/>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18EB"/>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2F30"/>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2DE7"/>
    <w:rsid w:val="005E42B6"/>
    <w:rsid w:val="005F008A"/>
    <w:rsid w:val="005F17C9"/>
    <w:rsid w:val="005F1907"/>
    <w:rsid w:val="005F1925"/>
    <w:rsid w:val="005F25C7"/>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130"/>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452A"/>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5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A7AE4"/>
    <w:rsid w:val="009B02B0"/>
    <w:rsid w:val="009B0AAE"/>
    <w:rsid w:val="009B1FAD"/>
    <w:rsid w:val="009B22F2"/>
    <w:rsid w:val="009B2C9D"/>
    <w:rsid w:val="009B2CC7"/>
    <w:rsid w:val="009B42ED"/>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09B"/>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6ECE"/>
    <w:rsid w:val="00C9790E"/>
    <w:rsid w:val="00C97D85"/>
    <w:rsid w:val="00CA1268"/>
    <w:rsid w:val="00CA18C9"/>
    <w:rsid w:val="00CA446C"/>
    <w:rsid w:val="00CA46FC"/>
    <w:rsid w:val="00CA4972"/>
    <w:rsid w:val="00CA725C"/>
    <w:rsid w:val="00CA74D8"/>
    <w:rsid w:val="00CB0102"/>
    <w:rsid w:val="00CB080F"/>
    <w:rsid w:val="00CB133D"/>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09A"/>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20C3"/>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875E9"/>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7C"/>
    <w:rsid w:val="00FF19A7"/>
    <w:rsid w:val="00FF1D50"/>
    <w:rsid w:val="00FF219C"/>
    <w:rsid w:val="00FF260D"/>
    <w:rsid w:val="00FF39F3"/>
    <w:rsid w:val="00FF3AE9"/>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Indent"/>
    <w:link w:val="5"/>
    <w:qFormat/>
    <w:rsid w:val="00FF197C"/>
    <w:pPr>
      <w:keepNext/>
      <w:keepLines/>
      <w:numPr>
        <w:ilvl w:val="4"/>
        <w:numId w:val="4"/>
      </w:numPr>
      <w:tabs>
        <w:tab w:val="left" w:pos="432"/>
      </w:tabs>
      <w:spacing w:line="360" w:lineRule="auto"/>
      <w:ind w:left="1009" w:hanging="1009"/>
      <w:jc w:val="left"/>
      <w:outlineLvl w:val="4"/>
    </w:pPr>
    <w:rPr>
      <w:b/>
      <w:bCs/>
      <w:kern w:val="0"/>
      <w:sz w:val="24"/>
      <w:szCs w:val="24"/>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3"/>
    <w:qFormat/>
    <w:rsid w:val="00FF197C"/>
    <w:pPr>
      <w:keepNext/>
      <w:keepLines/>
      <w:numPr>
        <w:ilvl w:val="6"/>
        <w:numId w:val="4"/>
      </w:numPr>
      <w:tabs>
        <w:tab w:val="left" w:pos="432"/>
      </w:tabs>
      <w:spacing w:before="240" w:after="64" w:line="320" w:lineRule="auto"/>
      <w:outlineLvl w:val="6"/>
    </w:pPr>
    <w:rPr>
      <w:b/>
      <w:bCs/>
      <w:kern w:val="0"/>
      <w:sz w:val="24"/>
      <w:szCs w:val="24"/>
    </w:rPr>
  </w:style>
  <w:style w:type="paragraph" w:styleId="Heading8">
    <w:name w:val="heading 8"/>
    <w:basedOn w:val="Normal"/>
    <w:next w:val="Normal"/>
    <w:link w:val="8"/>
    <w:uiPriority w:val="3"/>
    <w:qFormat/>
    <w:rsid w:val="00FF197C"/>
    <w:pPr>
      <w:keepNext/>
      <w:keepLines/>
      <w:numPr>
        <w:ilvl w:val="7"/>
        <w:numId w:val="4"/>
      </w:numPr>
      <w:tabs>
        <w:tab w:val="left" w:pos="432"/>
      </w:tabs>
      <w:spacing w:before="240" w:after="64" w:line="320" w:lineRule="auto"/>
      <w:outlineLvl w:val="7"/>
    </w:pPr>
    <w:rPr>
      <w:rFonts w:ascii="Cambria" w:hAnsi="Cambria"/>
      <w:sz w:val="24"/>
      <w:szCs w:val="24"/>
    </w:rPr>
  </w:style>
  <w:style w:type="paragraph" w:styleId="Heading9">
    <w:name w:val="heading 9"/>
    <w:basedOn w:val="Normal"/>
    <w:next w:val="Normal"/>
    <w:link w:val="9"/>
    <w:uiPriority w:val="3"/>
    <w:qFormat/>
    <w:rsid w:val="00FF197C"/>
    <w:pPr>
      <w:keepNext/>
      <w:keepLines/>
      <w:numPr>
        <w:ilvl w:val="8"/>
        <w:numId w:val="4"/>
      </w:numPr>
      <w:tabs>
        <w:tab w:val="left" w:pos="432"/>
      </w:tabs>
      <w:spacing w:before="240" w:after="64" w:line="320" w:lineRule="auto"/>
      <w:outlineLvl w:val="8"/>
    </w:pPr>
    <w:rPr>
      <w:rFonts w:ascii="Cambria" w:hAnsi="Cambria"/>
      <w:sz w:val="24"/>
      <w:szCs w:val="21"/>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basedOn w:val="DefaultParagraphFont"/>
    <w:link w:val="BodyText"/>
    <w:uiPriority w:val="99"/>
    <w:qFormat/>
    <w:rPr>
      <w:rFonts w:asciiTheme="minorHAnsi" w:eastAsiaTheme="minorEastAsia" w:hAnsiTheme="minorHAnsi" w:cstheme="minorBidi"/>
      <w:kern w:val="2"/>
      <w:sz w:val="21"/>
      <w:szCs w:val="22"/>
      <w:lang w:eastAsia="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rsid w:val="00FF197C"/>
    <w:pPr>
      <w:ind w:firstLine="420" w:firstLineChars="200"/>
    </w:pPr>
    <w:rPr>
      <w:rFonts w:asciiTheme="minorHAnsi" w:eastAsiaTheme="minorEastAsia" w:hAnsiTheme="minorHAnsi" w:cstheme="minorBidi"/>
      <w:szCs w:val="22"/>
    </w:rPr>
  </w:style>
  <w:style w:type="character" w:customStyle="1" w:styleId="5">
    <w:name w:val="标题 5 字符"/>
    <w:basedOn w:val="DefaultParagraphFont"/>
    <w:link w:val="Heading5"/>
    <w:rsid w:val="00FF197C"/>
    <w:rPr>
      <w:b/>
      <w:bCs/>
      <w:sz w:val="24"/>
      <w:szCs w:val="24"/>
      <w:lang w:eastAsia="zh-CN"/>
    </w:rPr>
  </w:style>
  <w:style w:type="character" w:customStyle="1" w:styleId="7">
    <w:name w:val="标题 7 字符"/>
    <w:basedOn w:val="DefaultParagraphFont"/>
    <w:link w:val="Heading7"/>
    <w:uiPriority w:val="3"/>
    <w:rsid w:val="00FF197C"/>
    <w:rPr>
      <w:b/>
      <w:bCs/>
      <w:sz w:val="24"/>
      <w:szCs w:val="24"/>
      <w:lang w:eastAsia="zh-CN"/>
    </w:rPr>
  </w:style>
  <w:style w:type="character" w:customStyle="1" w:styleId="8">
    <w:name w:val="标题 8 字符"/>
    <w:basedOn w:val="DefaultParagraphFont"/>
    <w:link w:val="Heading8"/>
    <w:uiPriority w:val="3"/>
    <w:rsid w:val="00FF197C"/>
    <w:rPr>
      <w:rFonts w:ascii="Cambria" w:hAnsi="Cambria"/>
      <w:kern w:val="2"/>
      <w:sz w:val="24"/>
      <w:szCs w:val="24"/>
      <w:lang w:eastAsia="zh-CN"/>
    </w:rPr>
  </w:style>
  <w:style w:type="character" w:customStyle="1" w:styleId="9">
    <w:name w:val="标题 9 字符"/>
    <w:basedOn w:val="DefaultParagraphFont"/>
    <w:link w:val="Heading9"/>
    <w:uiPriority w:val="3"/>
    <w:rsid w:val="00FF197C"/>
    <w:rPr>
      <w:rFonts w:ascii="Cambria" w:hAnsi="Cambria"/>
      <w:kern w:val="2"/>
      <w:sz w:val="24"/>
      <w:szCs w:val="21"/>
      <w:lang w:eastAsia="zh-CN"/>
    </w:rPr>
  </w:style>
  <w:style w:type="paragraph" w:styleId="BodyTextFirstIndent">
    <w:name w:val="Body Text First Indent"/>
    <w:basedOn w:val="BodyText"/>
    <w:link w:val="a3"/>
    <w:qFormat/>
    <w:rsid w:val="00FF197C"/>
    <w:pPr>
      <w:widowControl w:val="0"/>
      <w:spacing w:before="100" w:beforeAutospacing="1" w:after="100" w:afterAutospacing="1" w:line="300" w:lineRule="auto"/>
      <w:ind w:firstLine="200" w:firstLineChars="200"/>
      <w:jc w:val="both"/>
    </w:pPr>
    <w:rPr>
      <w:rFonts w:ascii="Times New Roman" w:eastAsia="宋体" w:hAnsi="Times New Roman"/>
      <w:color w:val="auto"/>
      <w:kern w:val="0"/>
      <w:sz w:val="24"/>
      <w:szCs w:val="24"/>
      <w:lang w:val="en-US"/>
    </w:rPr>
  </w:style>
  <w:style w:type="character" w:customStyle="1" w:styleId="a2">
    <w:name w:val="正文文本 字符"/>
    <w:basedOn w:val="DefaultParagraphFont"/>
    <w:link w:val="BalloonText"/>
    <w:rsid w:val="00FF197C"/>
    <w:rPr>
      <w:rFonts w:asciiTheme="minorHAnsi" w:eastAsiaTheme="minorEastAsia" w:hAnsiTheme="minorHAnsi" w:cstheme="minorBidi"/>
      <w:kern w:val="2"/>
      <w:sz w:val="21"/>
      <w:szCs w:val="22"/>
      <w:lang w:eastAsia="zh-CN"/>
    </w:rPr>
  </w:style>
  <w:style w:type="character" w:customStyle="1" w:styleId="a3">
    <w:name w:val="正文文本首行缩进 字符"/>
    <w:basedOn w:val="a2"/>
    <w:link w:val="BodyTextFirstIndent"/>
    <w:qFormat/>
    <w:rsid w:val="00FF197C"/>
    <w:rPr>
      <w:rFonts w:ascii="Times New Roman" w:eastAsia="宋体" w:hAnsi="Times New Roman" w:cs="Times New Roman"/>
      <w:sz w:val="24"/>
      <w:szCs w:val="24"/>
    </w:rPr>
  </w:style>
  <w:style w:type="paragraph" w:styleId="Caption">
    <w:name w:val="caption"/>
    <w:basedOn w:val="Normal"/>
    <w:next w:val="Normal"/>
    <w:link w:val="13"/>
    <w:uiPriority w:val="35"/>
    <w:qFormat/>
    <w:rsid w:val="00FF197C"/>
    <w:pPr>
      <w:spacing w:line="360" w:lineRule="auto"/>
      <w:jc w:val="center"/>
    </w:pPr>
    <w:rPr>
      <w:rFonts w:cs="Arial"/>
      <w:sz w:val="24"/>
      <w:szCs w:val="24"/>
    </w:rPr>
  </w:style>
  <w:style w:type="character" w:customStyle="1" w:styleId="13">
    <w:name w:val="题注 字符1"/>
    <w:link w:val="Caption"/>
    <w:uiPriority w:val="35"/>
    <w:qFormat/>
    <w:rsid w:val="00FF197C"/>
    <w:rPr>
      <w:rFonts w:cs="Arial"/>
      <w:kern w:val="2"/>
      <w:sz w:val="24"/>
      <w:szCs w:val="24"/>
      <w:lang w:eastAsia="zh-CN"/>
    </w:rPr>
  </w:style>
  <w:style w:type="table" w:styleId="TableGrid">
    <w:name w:val="Table Grid"/>
    <w:basedOn w:val="TableNormal"/>
    <w:uiPriority w:val="59"/>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
    <w:name w:val="B表头样式"/>
    <w:next w:val="Normal"/>
    <w:qFormat/>
    <w:rsid w:val="00FF197C"/>
    <w:pPr>
      <w:jc w:val="center"/>
    </w:pPr>
    <w:rPr>
      <w:rFonts w:ascii="Calibri" w:eastAsia="黑体" w:hAnsi="Calibri" w:cs="Calibri"/>
      <w:b/>
      <w:kern w:val="2"/>
      <w:sz w:val="21"/>
      <w:szCs w:val="21"/>
      <w:lang w:eastAsia="zh-CN"/>
    </w:rPr>
  </w:style>
  <w:style w:type="paragraph" w:customStyle="1" w:styleId="20">
    <w:name w:val="正文字缩2字"/>
    <w:basedOn w:val="Normal"/>
    <w:link w:val="2Char"/>
    <w:pPr>
      <w:spacing w:before="60" w:after="60" w:line="360" w:lineRule="auto"/>
      <w:ind w:left="200" w:firstLine="200" w:leftChars="200" w:firstLineChars="200"/>
    </w:pPr>
    <w:rPr>
      <w:sz w:val="24"/>
      <w:szCs w:val="24"/>
    </w:rPr>
  </w:style>
  <w:style w:type="character" w:customStyle="1" w:styleId="2Char">
    <w:name w:val="正文字缩2字 Char"/>
    <w:link w:val="20"/>
    <w:rPr>
      <w:kern w:val="2"/>
      <w:sz w:val="24"/>
      <w:szCs w:val="24"/>
      <w:lang w:eastAsia="zh-CN"/>
    </w:rPr>
  </w:style>
  <w:style w:type="character" w:styleId="Strong">
    <w:name w:val="Strong"/>
    <w:uiPriority w:val="22"/>
    <w:qFormat/>
    <w:rPr>
      <w:rFonts w:cs="Times New Roman"/>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