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2025年四川等8省（区、市）微小型X波段天气雷达建设-甘肃省2部微小型X波段雷达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ZQCD-25471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甘肃省气象信息与技术装备保障中心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2025年四川等8省（区、市）微小型X波段天气雷达建设-甘肃省2部微小型X波段雷达</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ZQCD-25471</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甘肃省甘南藏族自治州卓尼县；甘肃省陇南市康县</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2025年12月10日 17:00:00</w:t>
      </w:r>
      <w:bookmarkEnd w:id="26"/>
      <w:r>
        <w:rPr>
          <w:rFonts w:ascii="宋体" w:hint="eastAsia"/>
          <w:szCs w:val="21"/>
          <w:highlight w:val="none"/>
        </w:rPr>
        <w:t>至</w:t>
      </w:r>
      <w:bookmarkStart w:id="27" w:name="项目公告_signUpLastTime"/>
      <w:r>
        <w:rPr>
          <w:rFonts w:ascii="宋体" w:hint="eastAsia"/>
          <w:szCs w:val="21"/>
          <w:highlight w:val="none"/>
        </w:rPr>
        <w:t>2025年12月17日 17:00:00</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2026年01月06日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张夏虹</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甘肃省气象信息与技术装备保障中心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高士禹</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0931-2402798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甘肃省兰州市城关区东岗东路2070号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甘肃省气象信息与技术装备保障中心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不允许（仅针对以下产品：微小型X波段多普勒天气雷达不允许代理商投标）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标的：微小型X波段多普勒天气雷达，属于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是，中标服务费：2.3万元。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195.000000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195.000000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销售合同必须包括微小型X波段多普勒天气雷达，每提供1份合同得1分，最多得5分。否则不得分。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针对本项目采购的微小型X波段多普勒天气雷达，承诺每提前10天交货的得1分，最多得1分。否则不得分。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针对微小型X波段多普勒天气雷达，每提供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针对微小型X波段多普勒天气雷达，测试报告应涵盖高低温、沙尘、盐雾试验等内容，每包含一项得1分，最多得3分。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240" w:lineRule="auto"/>
        <w:ind w:firstLine="560" w:firstLineChars="200"/>
        <w:outlineLvl w:val="2"/>
        <w:rPr>
          <w:rFonts w:ascii="仿宋_GB2312" w:eastAsia="仿宋_GB2312" w:hAnsi="仿宋_GB2312" w:cs="仿宋_GB2312" w:hint="eastAsia"/>
          <w:bCs/>
          <w:sz w:val="28"/>
          <w:szCs w:val="28"/>
        </w:rPr>
      </w:pPr>
      <w:r>
        <w:rPr>
          <w:rFonts w:ascii="仿宋" w:eastAsia="仿宋" w:hAnsi="仿宋" w:cs="仿宋" w:hint="eastAsia"/>
          <w:sz w:val="28"/>
          <w:szCs w:val="20"/>
        </w:rPr>
        <w:t>一</w:t>
      </w:r>
      <w:r>
        <w:rPr>
          <w:rFonts w:ascii="仿宋_GB2312" w:eastAsia="仿宋_GB2312" w:hAnsi="仿宋_GB2312" w:cs="仿宋_GB2312" w:hint="eastAsia"/>
          <w:bCs/>
          <w:sz w:val="28"/>
          <w:szCs w:val="28"/>
        </w:rPr>
        <w:t xml:space="preserve"> 项目概况及总体要求（详见采购需求-其他技术及商务需求）</w:t>
      </w:r>
    </w:p>
    <w:p>
      <w:pPr>
        <w:spacing w:line="240" w:lineRule="auto"/>
        <w:ind w:firstLine="560" w:firstLineChars="200"/>
        <w:outlineLvl w:val="2"/>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二 设备需求一览表（详见采购需求附表）</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三</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highlight w:val="none"/>
        </w:rPr>
        <w:t>技术性能指标</w:t>
      </w:r>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按照《微小型X波段双线偏振多普勒天气雷达系统功能规格需求书（试行）》（气测函〔2025〕65号）研制生产雷达。</w:t>
      </w:r>
    </w:p>
    <w:p>
      <w:pPr>
        <w:spacing w:line="240" w:lineRule="auto"/>
        <w:ind w:firstLine="560" w:firstLineChars="200"/>
        <w:outlineLvl w:val="3"/>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（一）分系统设计</w:t>
      </w:r>
    </w:p>
    <w:p>
      <w:pPr>
        <w:ind w:firstLine="560" w:firstLineChars="200"/>
        <w:outlineLvl w:val="4"/>
        <w:rPr>
          <w:rFonts w:ascii="仿宋_GB2312" w:eastAsia="仿宋_GB2312" w:hAnsi="仿宋_GB2312" w:cs="仿宋_GB2312" w:hint="eastAsia"/>
          <w:bCs/>
          <w:sz w:val="28"/>
          <w:szCs w:val="28"/>
        </w:rPr>
      </w:pPr>
      <w:bookmarkStart w:id="61" w:name="_Toc1647384446"/>
      <w:bookmarkStart w:id="62" w:name="_Toc13355"/>
      <w:bookmarkStart w:id="63" w:name="_Toc374091441"/>
      <w:r>
        <w:rPr>
          <w:rFonts w:ascii="仿宋_GB2312" w:eastAsia="仿宋_GB2312" w:hAnsi="仿宋_GB2312" w:cs="仿宋_GB2312" w:hint="eastAsia"/>
          <w:bCs/>
          <w:sz w:val="28"/>
          <w:szCs w:val="28"/>
        </w:rPr>
        <w:t>1</w:t>
      </w:r>
      <w:r>
        <w:rPr>
          <w:rFonts w:ascii="仿宋_GB2312" w:eastAsia="仿宋_GB2312" w:hAnsi="仿宋_GB2312" w:cs="仿宋_GB2312" w:hint="eastAsia"/>
          <w:sz w:val="28"/>
          <w:szCs w:val="28"/>
        </w:rPr>
        <w:t>.</w:t>
      </w:r>
      <w:r>
        <w:rPr>
          <w:rFonts w:ascii="仿宋_GB2312" w:eastAsia="仿宋_GB2312" w:hAnsi="仿宋_GB2312" w:cs="仿宋_GB2312" w:hint="eastAsia"/>
          <w:bCs/>
          <w:sz w:val="28"/>
          <w:szCs w:val="28"/>
        </w:rPr>
        <w:t>1天线罩</w:t>
      </w:r>
      <w:bookmarkEnd w:id="61"/>
    </w:p>
    <w:p>
      <w:pPr>
        <w:spacing w:line="570" w:lineRule="exact"/>
        <w:ind w:firstLine="560" w:firstLineChars="200"/>
        <w:rPr>
          <w:rFonts w:ascii="仿宋" w:eastAsia="仿宋" w:hAnsi="仿宋"/>
          <w:sz w:val="28"/>
          <w:szCs w:val="28"/>
        </w:rPr>
      </w:pPr>
      <w:r>
        <w:rPr>
          <w:rFonts w:ascii="仿宋" w:eastAsia="仿宋" w:hAnsi="仿宋" w:hint="eastAsia"/>
          <w:sz w:val="28"/>
          <w:szCs w:val="28"/>
        </w:rPr>
        <w:t>天线罩主要由罩体、底座等设施组成，罩体在电气性能上具有良好的电磁波穿透特性，机械性能上能经受外部恶劣环境。</w:t>
      </w:r>
    </w:p>
    <w:p>
      <w:pPr>
        <w:spacing w:line="570" w:lineRule="exact"/>
        <w:ind w:firstLine="560" w:firstLineChars="200"/>
        <w:rPr>
          <w:rFonts w:ascii="仿宋_GB2312"/>
          <w:sz w:val="28"/>
          <w:szCs w:val="28"/>
        </w:rPr>
      </w:pPr>
      <w:r>
        <w:rPr>
          <w:rFonts w:ascii="仿宋" w:eastAsia="仿宋" w:hAnsi="仿宋" w:hint="eastAsia"/>
          <w:sz w:val="28"/>
          <w:szCs w:val="28"/>
        </w:rPr>
        <w:t>天线罩其主要作用是保护雷达系统免受风雨、冰雪、沙尘和太阳辐射等的影响，减轻天线系统的磨损、腐蚀和老化，延长使用寿命。</w:t>
      </w:r>
    </w:p>
    <w:p>
      <w:pPr>
        <w:ind w:firstLine="560" w:firstLineChars="200"/>
        <w:outlineLvl w:val="4"/>
        <w:rPr>
          <w:rFonts w:ascii="仿宋_GB2312" w:eastAsia="仿宋_GB2312" w:hAnsi="仿宋_GB2312" w:cs="仿宋_GB2312" w:hint="eastAsia"/>
          <w:bCs/>
          <w:sz w:val="28"/>
          <w:szCs w:val="28"/>
        </w:rPr>
      </w:pPr>
      <w:bookmarkStart w:id="64" w:name="_Toc97932656"/>
      <w:r>
        <w:rPr>
          <w:rFonts w:ascii="仿宋_GB2312" w:eastAsia="仿宋_GB2312" w:hAnsi="仿宋_GB2312" w:cs="仿宋_GB2312" w:hint="eastAsia"/>
          <w:bCs/>
          <w:sz w:val="28"/>
          <w:szCs w:val="28"/>
        </w:rPr>
        <w:t>1.2天线</w:t>
      </w:r>
      <w:bookmarkEnd w:id="64"/>
    </w:p>
    <w:p>
      <w:pPr>
        <w:ind w:firstLine="560" w:firstLineChars="200"/>
        <w:outlineLvl w:val="9"/>
        <w:rPr>
          <w:rFonts w:ascii="仿宋" w:eastAsia="仿宋" w:hAnsi="仿宋" w:hint="eastAsia"/>
          <w:sz w:val="28"/>
          <w:szCs w:val="28"/>
        </w:rPr>
      </w:pPr>
      <w:r>
        <w:rPr>
          <w:rFonts w:ascii="仿宋" w:eastAsia="仿宋" w:hAnsi="仿宋" w:hint="eastAsia"/>
          <w:sz w:val="28"/>
          <w:szCs w:val="28"/>
        </w:rPr>
        <w:t>天线用于辐射微波能量和接收目标后向散射微波功率。</w:t>
      </w:r>
      <w:bookmarkStart w:id="65" w:name="_Toc1460331067"/>
    </w:p>
    <w:p>
      <w:pPr>
        <w:ind w:firstLine="560" w:firstLineChars="200"/>
        <w:outlineLvl w:val="4"/>
        <w:rPr>
          <w:rFonts w:ascii="仿宋_GB2312" w:hAnsi="仿宋_GB2312" w:cs="仿宋_GB2312"/>
          <w:bCs/>
          <w:sz w:val="28"/>
          <w:szCs w:val="28"/>
        </w:rPr>
      </w:pPr>
      <w:r>
        <w:rPr>
          <w:rFonts w:ascii="仿宋_GB2312" w:eastAsia="仿宋_GB2312" w:hAnsi="仿宋_GB2312" w:cs="仿宋_GB2312" w:hint="eastAsia"/>
          <w:bCs/>
          <w:sz w:val="28"/>
          <w:szCs w:val="28"/>
        </w:rPr>
        <w:t>1.3馈线</w:t>
      </w:r>
      <w:bookmarkEnd w:id="65"/>
    </w:p>
    <w:p>
      <w:pPr>
        <w:spacing w:line="48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馈线主要用于传输发射信号和接收信号。</w:t>
      </w:r>
    </w:p>
    <w:bookmarkEnd w:id="62"/>
    <w:bookmarkEnd w:id="63"/>
    <w:p>
      <w:pPr>
        <w:ind w:firstLine="560" w:firstLineChars="200"/>
        <w:outlineLvl w:val="4"/>
        <w:rPr>
          <w:rFonts w:ascii="仿宋_GB2312" w:eastAsia="仿宋_GB2312" w:hAnsi="仿宋_GB2312" w:cs="仿宋_GB2312" w:hint="eastAsia"/>
          <w:bCs/>
          <w:sz w:val="28"/>
          <w:szCs w:val="28"/>
        </w:rPr>
      </w:pPr>
      <w:bookmarkStart w:id="66" w:name="_Toc190723481"/>
      <w:bookmarkStart w:id="67" w:name="_Toc24935"/>
      <w:r>
        <w:rPr>
          <w:rFonts w:ascii="仿宋_GB2312" w:eastAsia="仿宋_GB2312" w:hAnsi="仿宋_GB2312" w:cs="仿宋_GB2312" w:hint="eastAsia"/>
          <w:bCs/>
          <w:sz w:val="28"/>
          <w:szCs w:val="28"/>
        </w:rPr>
        <w:t>1.4伺服转台</w:t>
      </w:r>
      <w:bookmarkEnd w:id="66"/>
    </w:p>
    <w:p>
      <w:pPr>
        <w:spacing w:line="480" w:lineRule="exact"/>
        <w:ind w:firstLine="560" w:firstLineChars="200"/>
        <w:rPr>
          <w:rFonts w:ascii="仿宋" w:eastAsia="仿宋" w:hAnsi="仿宋" w:hint="eastAsia"/>
          <w:sz w:val="28"/>
          <w:szCs w:val="28"/>
        </w:rPr>
      </w:pPr>
      <w:bookmarkStart w:id="68" w:name="_Hlk523992212"/>
      <w:bookmarkStart w:id="69" w:name="_Hlk522863903"/>
      <w:r>
        <w:rPr>
          <w:rFonts w:ascii="仿宋" w:eastAsia="仿宋" w:hAnsi="仿宋" w:hint="eastAsia"/>
          <w:sz w:val="28"/>
          <w:szCs w:val="28"/>
        </w:rPr>
        <w:t>天线控制具有机械限位功能；雷达伺服系统应支持平面位置扫描、距离高度扫描、体积扫描、扇形扫描、定点扫描等多种扫描方式，各种扫描方式均由软件控制完成。</w:t>
      </w:r>
    </w:p>
    <w:bookmarkEnd w:id="67"/>
    <w:bookmarkEnd w:id="68"/>
    <w:bookmarkEnd w:id="69"/>
    <w:p>
      <w:pPr>
        <w:ind w:firstLine="560" w:firstLineChars="200"/>
        <w:outlineLvl w:val="4"/>
        <w:rPr>
          <w:rFonts w:ascii="仿宋_GB2312" w:eastAsia="仿宋_GB2312" w:hAnsi="仿宋_GB2312" w:cs="仿宋_GB2312" w:hint="eastAsia"/>
          <w:bCs/>
          <w:sz w:val="28"/>
          <w:szCs w:val="28"/>
        </w:rPr>
      </w:pPr>
      <w:bookmarkStart w:id="70" w:name="_Toc773431488"/>
      <w:r>
        <w:rPr>
          <w:rFonts w:ascii="仿宋_GB2312" w:eastAsia="仿宋_GB2312" w:hAnsi="仿宋_GB2312" w:cs="仿宋_GB2312" w:hint="eastAsia"/>
          <w:bCs/>
          <w:sz w:val="28"/>
          <w:szCs w:val="28"/>
        </w:rPr>
        <w:t>1.5发射机</w:t>
      </w:r>
      <w:bookmarkEnd w:id="70"/>
    </w:p>
    <w:p>
      <w:pPr>
        <w:ind w:firstLine="560" w:firstLineChars="200"/>
        <w:outlineLvl w:val="9"/>
        <w:rPr>
          <w:rFonts w:ascii="仿宋" w:eastAsia="仿宋" w:hAnsi="仿宋" w:hint="eastAsia"/>
          <w:sz w:val="28"/>
          <w:szCs w:val="28"/>
        </w:rPr>
      </w:pPr>
      <w:r>
        <w:rPr>
          <w:rFonts w:ascii="仿宋" w:eastAsia="仿宋" w:hAnsi="仿宋" w:hint="eastAsia"/>
          <w:sz w:val="28"/>
          <w:szCs w:val="28"/>
        </w:rPr>
        <w:t>发射机将来自接收机的激励信号通过全固态功率放大后，输出大功率微波信号，通过天馈线向空间辐射；接收雷达监控单元的控制指令，完成对发射机的各种控制，并向监控单元反馈发射机的工作状态和故障信息。</w:t>
      </w:r>
      <w:bookmarkStart w:id="71" w:name="_Toc947362128"/>
      <w:bookmarkStart w:id="72" w:name="_Hlk522864094"/>
    </w:p>
    <w:p>
      <w:pPr>
        <w:ind w:firstLine="560" w:firstLineChars="200"/>
        <w:outlineLvl w:val="4"/>
        <w:rPr>
          <w:rFonts w:ascii="仿宋_GB2312" w:hAnsi="仿宋_GB2312" w:cs="仿宋_GB2312"/>
          <w:bCs/>
          <w:sz w:val="28"/>
          <w:szCs w:val="28"/>
        </w:rPr>
      </w:pPr>
      <w:r>
        <w:rPr>
          <w:rFonts w:ascii="仿宋_GB2312" w:eastAsia="仿宋_GB2312" w:hAnsi="仿宋_GB2312" w:cs="仿宋_GB2312" w:hint="eastAsia"/>
          <w:bCs/>
          <w:sz w:val="28"/>
          <w:szCs w:val="28"/>
        </w:rPr>
        <w:t>1.6接收机</w:t>
      </w:r>
      <w:bookmarkEnd w:id="71"/>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接收机接收气象目标回波信号，经放大、频率变换、滤波，输出中频信号，供数字中频单元进行信号处理。</w:t>
      </w:r>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接收机采用高集成度设计，由接收通道、频率源（本振）等组成。</w:t>
      </w:r>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接收通道主要完成回波信号的放大、滤波和下变频，并输出中频信号至数字中频模块。</w:t>
      </w:r>
    </w:p>
    <w:p>
      <w:pPr>
        <w:ind w:firstLine="560" w:firstLineChars="200"/>
        <w:outlineLvl w:val="9"/>
        <w:rPr>
          <w:rFonts w:ascii="仿宋" w:eastAsia="仿宋" w:hAnsi="仿宋" w:hint="eastAsia"/>
          <w:sz w:val="28"/>
          <w:szCs w:val="28"/>
        </w:rPr>
      </w:pPr>
      <w:r>
        <w:rPr>
          <w:rFonts w:ascii="仿宋" w:eastAsia="仿宋" w:hAnsi="仿宋" w:hint="eastAsia"/>
          <w:sz w:val="28"/>
          <w:szCs w:val="28"/>
        </w:rPr>
        <w:t>频率源为雷达各分机提供各种频率信号、本振信号、激励信号、参考时钟和测试信号，并以高稳定度的晶振作为频率基准。</w:t>
      </w:r>
      <w:bookmarkEnd w:id="72"/>
      <w:bookmarkStart w:id="73" w:name="_Toc28016954"/>
    </w:p>
    <w:p>
      <w:pPr>
        <w:ind w:firstLine="560" w:firstLineChars="200"/>
        <w:outlineLvl w:val="4"/>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1.7信号处理器</w:t>
      </w:r>
      <w:bookmarkEnd w:id="73"/>
    </w:p>
    <w:p>
      <w:pPr>
        <w:ind w:firstLine="560" w:firstLineChars="200"/>
        <w:outlineLvl w:val="5"/>
        <w:rPr>
          <w:rFonts w:ascii="仿宋_GB2312" w:hAnsi="仿宋_GB2312" w:cs="仿宋_GB2312"/>
          <w:sz w:val="28"/>
          <w:szCs w:val="28"/>
        </w:rPr>
      </w:pPr>
      <w:r>
        <w:rPr>
          <w:rFonts w:ascii="仿宋_GB2312" w:eastAsia="仿宋_GB2312" w:hAnsi="仿宋_GB2312" w:cs="仿宋_GB2312" w:hint="eastAsia"/>
          <w:sz w:val="28"/>
          <w:szCs w:val="28"/>
        </w:rPr>
        <w:t>1.7.1数字中频单元</w:t>
      </w:r>
    </w:p>
    <w:p>
      <w:pPr>
        <w:spacing w:line="570" w:lineRule="exact"/>
        <w:ind w:firstLine="560" w:firstLineChars="200"/>
        <w:rPr>
          <w:rFonts w:ascii="仿宋_GB2312"/>
          <w:sz w:val="28"/>
          <w:szCs w:val="28"/>
        </w:rPr>
      </w:pPr>
      <w:r>
        <w:rPr>
          <w:rFonts w:ascii="仿宋" w:eastAsia="仿宋" w:hAnsi="仿宋" w:hint="eastAsia"/>
          <w:sz w:val="28"/>
          <w:szCs w:val="28"/>
        </w:rPr>
        <w:t>数字中频单元实现雷达中频信号高速采集、提供雷达定时触发、脉冲压缩、接收角码数据、上传I/Q和角码数据，以及雷达下变频处理、动态范围、同步定时及控制等功能</w:t>
      </w:r>
      <w:r>
        <w:rPr>
          <w:rFonts w:ascii="仿宋_GB2312" w:hint="eastAsia"/>
          <w:sz w:val="28"/>
          <w:szCs w:val="28"/>
        </w:rPr>
        <w:t>。</w:t>
      </w:r>
    </w:p>
    <w:p>
      <w:pPr>
        <w:spacing w:line="570" w:lineRule="exact"/>
        <w:ind w:firstLine="560" w:firstLineChars="200"/>
        <w:rPr>
          <w:rFonts w:ascii="仿宋" w:eastAsia="仿宋" w:hAnsi="仿宋" w:hint="eastAsia"/>
          <w:color w:val="000000"/>
          <w:sz w:val="28"/>
          <w:szCs w:val="28"/>
        </w:rPr>
      </w:pPr>
      <w:r>
        <w:rPr>
          <w:rFonts w:ascii="仿宋" w:eastAsia="仿宋" w:hAnsi="仿宋" w:hint="eastAsia"/>
          <w:color w:val="000000"/>
          <w:sz w:val="28"/>
          <w:szCs w:val="28"/>
        </w:rPr>
        <w:t>数字中频单元布置于接收机内部。</w:t>
      </w:r>
    </w:p>
    <w:p>
      <w:pPr>
        <w:ind w:firstLine="560" w:firstLineChars="200"/>
        <w:outlineLvl w:val="5"/>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1.7.2信号处理软件</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信号处理软件具有多普勒信号的处理能力。雷达可输出信号的滤波前回波强度（T）、滤波后回波强度（Z）、径向速度（V）、速度谱宽（W）、信噪比（SNR）、差分反射率（Z</w:t>
      </w:r>
      <w:r>
        <w:rPr>
          <w:rFonts w:ascii="仿宋" w:eastAsia="仿宋" w:hAnsi="仿宋" w:hint="eastAsia"/>
          <w:sz w:val="28"/>
          <w:szCs w:val="28"/>
          <w:vertAlign w:val="baseline"/>
        </w:rPr>
        <w:t>DR</w:t>
      </w:r>
      <w:r>
        <w:rPr>
          <w:rFonts w:ascii="仿宋" w:eastAsia="仿宋" w:hAnsi="仿宋" w:hint="eastAsia"/>
          <w:sz w:val="28"/>
          <w:szCs w:val="28"/>
        </w:rPr>
        <w:t>）、差分传播相移（φ</w:t>
      </w:r>
      <w:r>
        <w:rPr>
          <w:rFonts w:ascii="仿宋" w:eastAsia="仿宋" w:hAnsi="仿宋" w:hint="eastAsia"/>
          <w:sz w:val="28"/>
          <w:szCs w:val="28"/>
          <w:vertAlign w:val="baseline"/>
        </w:rPr>
        <w:t>DP</w:t>
      </w:r>
      <w:r>
        <w:rPr>
          <w:rFonts w:ascii="仿宋" w:eastAsia="仿宋" w:hAnsi="仿宋" w:hint="eastAsia"/>
          <w:sz w:val="28"/>
          <w:szCs w:val="28"/>
        </w:rPr>
        <w:t>）、差分传播相移率（K</w:t>
      </w:r>
      <w:r>
        <w:rPr>
          <w:rFonts w:ascii="仿宋" w:eastAsia="仿宋" w:hAnsi="仿宋" w:hint="eastAsia"/>
          <w:sz w:val="28"/>
          <w:szCs w:val="28"/>
          <w:vertAlign w:val="baseline"/>
        </w:rPr>
        <w:t>DP</w:t>
      </w:r>
      <w:r>
        <w:rPr>
          <w:rFonts w:ascii="仿宋" w:eastAsia="仿宋" w:hAnsi="仿宋" w:hint="eastAsia"/>
          <w:sz w:val="28"/>
          <w:szCs w:val="28"/>
        </w:rPr>
        <w:t>）、相关系数（ρ</w:t>
      </w:r>
      <w:r>
        <w:rPr>
          <w:rFonts w:ascii="仿宋" w:eastAsia="仿宋" w:hAnsi="仿宋" w:hint="eastAsia"/>
          <w:sz w:val="28"/>
          <w:szCs w:val="28"/>
          <w:vertAlign w:val="baseline"/>
        </w:rPr>
        <w:t>hv</w:t>
      </w:r>
      <w:r>
        <w:rPr>
          <w:rFonts w:ascii="仿宋" w:eastAsia="仿宋" w:hAnsi="仿宋" w:hint="eastAsia"/>
          <w:sz w:val="28"/>
          <w:szCs w:val="28"/>
        </w:rPr>
        <w:t>）等参数，具有速度退模糊和距离退折叠的能力。可向终端提供观测数据和状态信息等。具有地物、电磁干扰、风电干扰等非气象回波识别和抑制的能力。</w:t>
      </w:r>
    </w:p>
    <w:p>
      <w:pPr>
        <w:spacing w:line="240" w:lineRule="auto"/>
        <w:ind w:firstLine="560" w:firstLineChars="200"/>
        <w:outlineLvl w:val="5"/>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1.7.3终端软件</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终端软件由雷达监控软件、雷达标校软件、雷达控制软件及雷达数据传输软件组成，其主要功能为雷达及附属设备监测、远程雷达控制、关键参数在线分析、基数据质控和显示、系统授时等。</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1）雷达监控软件具备雷达系统状态监控功能，以保障雷达数据质量、业务传输、数据管理和雷达设备安全。雷达监控系统采用统一远程控制接口，实现与国家级业务平台安全对接。</w:t>
      </w:r>
    </w:p>
    <w:p>
      <w:pPr>
        <w:spacing w:line="570" w:lineRule="exact"/>
        <w:ind w:firstLine="560" w:firstLineChars="200"/>
        <w:rPr>
          <w:rFonts w:ascii="仿宋" w:eastAsia="仿宋" w:hAnsi="仿宋" w:hint="eastAsia"/>
          <w:sz w:val="28"/>
          <w:szCs w:val="28"/>
        </w:rPr>
      </w:pPr>
      <w:r>
        <w:rPr>
          <w:rFonts w:ascii="仿宋_GB2312" w:hint="eastAsia"/>
          <w:sz w:val="28"/>
          <w:szCs w:val="28"/>
        </w:rPr>
        <w:t>2）</w:t>
      </w:r>
      <w:r>
        <w:rPr>
          <w:rFonts w:ascii="仿宋" w:eastAsia="仿宋" w:hAnsi="仿宋" w:hint="eastAsia"/>
          <w:sz w:val="28"/>
          <w:szCs w:val="28"/>
          <w:highlight w:val="none"/>
        </w:rPr>
        <w:t>雷达标校软件具备在线标校和离线标校功能</w:t>
      </w:r>
      <w:r>
        <w:rPr>
          <w:rFonts w:ascii="仿宋" w:eastAsia="仿宋" w:hAnsi="仿宋" w:hint="eastAsia"/>
          <w:sz w:val="28"/>
          <w:szCs w:val="28"/>
        </w:rPr>
        <w:t>，在线监测结果要有独立报警门限并在记录文件中保存，可以在雷达终端上查看雷达系统长期的监测记录。</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A）在线监测参数主要包括发射机峰值功率、接收机增益等；</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B）离线标校参数主要包括天线控制精度、天线波束指向误差、天线座水平度、发射脉冲宽度、输出峰值功率、频谱特性、发射机输出端极限改善因子及杂噪比、噪声系数、最小可测功率、动态范围、脉冲压缩比、脉冲压缩主副瓣比、地物对消能力、回波强度定标检验、径向速度测量检验、双偏振参数检验等，雷达应具有同步信号输出、网络通信等功能，还要具有相关测试参数设置，以及发射机重复频率、脉宽和测试信号控制等功能。主要包括：</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a）发射机脉冲宽度、峰值功率、频谱特性、输出端极限改善因子：发射机输出端测量；</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b）接收机噪声系数、最小可测功率、动态范围、回波强度定标检验、径向速度测量检验、双偏振参数检验：在接收机前端（低噪声放大器）注入信号，在A/D后测量，在终端显示测量结果；</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c）脉冲压缩主副瓣比：软件自动分别测试脉压比≥100和＜100的主副瓣比；</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d）地物对消能力：比较对消前和对消后的回波强度，检查系统对实际地物的抑制能力；</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e）天顶标定：采用小雨滴作为球形散射体检查两个通道的一致性；</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f）金属球法：采用金属球作为标准器检查回波强度、差分反射率等雷达关键指标的探测准确性；</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g）天线波束指向误差：采用太阳法或其他等效方法进行检查；</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lang w:val="en-US" w:eastAsia="zh-CN"/>
        </w:rPr>
        <w:t>h</w:t>
      </w:r>
      <w:r>
        <w:rPr>
          <w:rFonts w:ascii="仿宋" w:eastAsia="仿宋" w:hAnsi="仿宋" w:hint="eastAsia"/>
          <w:sz w:val="28"/>
          <w:szCs w:val="28"/>
        </w:rPr>
        <w:t>）天线座水平度：在伺服转台顶部预留测试位置或内置测试设备。</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highlight w:val="yellow"/>
        </w:rPr>
        <w:t>3）雷达控制软件有预置的多种观测模式#</w:t>
      </w:r>
      <w:r>
        <w:rPr>
          <w:rFonts w:ascii="仿宋" w:eastAsia="仿宋" w:hAnsi="仿宋" w:hint="eastAsia"/>
          <w:sz w:val="28"/>
          <w:szCs w:val="28"/>
        </w:rPr>
        <w:t>，同时支持自定义扫描任务功能，可进行仰角、天线转速、重复频率、采样数等参数配置，用户可以根据观测需要定制新任务。修改适配参数须输入密码并严格限制报警门限。在扇扫状态下，基数据双向记录。</w:t>
      </w:r>
    </w:p>
    <w:p>
      <w:pPr>
        <w:spacing w:line="570" w:lineRule="exact"/>
        <w:ind w:firstLine="552" w:firstLineChars="0"/>
        <w:rPr>
          <w:rFonts w:ascii="仿宋" w:eastAsia="仿宋" w:hAnsi="仿宋" w:hint="eastAsia"/>
          <w:sz w:val="28"/>
          <w:szCs w:val="28"/>
        </w:rPr>
      </w:pPr>
      <w:r>
        <w:rPr>
          <w:rFonts w:ascii="仿宋" w:eastAsia="仿宋" w:hAnsi="仿宋" w:hint="eastAsia"/>
          <w:sz w:val="28"/>
          <w:szCs w:val="28"/>
        </w:rPr>
        <w:t>4）雷达数据传输软件收集信号处理程序发送过来的I/Q数据和天气原始回波数据，这些数据具备实时保存功能，同时基数据也可以传输到用户指定地址。并可根据信号处理器接收到的雷达运行状态参数，形成状态和告警文件定时上传。</w:t>
      </w:r>
    </w:p>
    <w:p>
      <w:pPr>
        <w:ind w:left="420" w:leftChars="200"/>
        <w:outlineLvl w:val="6"/>
        <w:rPr>
          <w:rFonts w:ascii="仿宋_GB2312" w:eastAsia="仿宋_GB2312" w:hAnsi="仿宋_GB2312" w:cs="仿宋_GB2312" w:hint="eastAsia"/>
          <w:b w:val="0"/>
          <w:bCs w:val="0"/>
          <w:sz w:val="28"/>
          <w:szCs w:val="28"/>
        </w:rPr>
      </w:pPr>
      <w:bookmarkStart w:id="74" w:name="_Toc522018069"/>
      <w:bookmarkStart w:id="75" w:name="_Toc522018392"/>
      <w:r>
        <w:rPr>
          <w:rFonts w:ascii="仿宋_GB2312" w:eastAsia="仿宋_GB2312" w:hAnsi="仿宋_GB2312" w:cs="仿宋_GB2312" w:hint="eastAsia"/>
          <w:b w:val="0"/>
          <w:bCs w:val="0"/>
          <w:sz w:val="28"/>
          <w:szCs w:val="28"/>
          <w:highlight w:val="none"/>
        </w:rPr>
        <w:t>1.7.3.1雷达系统监测</w:t>
      </w:r>
    </w:p>
    <w:p>
      <w:pPr>
        <w:spacing w:line="570" w:lineRule="exact"/>
        <w:ind w:firstLine="560" w:firstLineChars="200"/>
        <w:rPr>
          <w:rFonts w:ascii="仿宋_GB2312"/>
          <w:sz w:val="28"/>
          <w:szCs w:val="28"/>
        </w:rPr>
      </w:pPr>
      <w:r>
        <w:rPr>
          <w:rFonts w:ascii="仿宋" w:eastAsia="仿宋" w:hAnsi="仿宋" w:hint="eastAsia"/>
          <w:sz w:val="28"/>
          <w:szCs w:val="28"/>
        </w:rPr>
        <w:t>1）具备本地和远程在线监测功能，可显示雷达自动测试结果，并上传基础参数，基础参数包括但不限于：雷达静态参数、雷达运行模式参数、雷达运行环境参数、雷达在线标校参数等，具体参数见下表。</w:t>
      </w:r>
    </w:p>
    <w:p>
      <w:pPr>
        <w:jc w:val="center"/>
        <w:rPr>
          <w:rFonts w:eastAsia="方正小标宋简体" w:hint="eastAsia"/>
          <w:sz w:val="28"/>
          <w:szCs w:val="28"/>
        </w:rPr>
      </w:pPr>
      <w:r>
        <w:rPr>
          <w:rFonts w:eastAsia="方正小标宋简体" w:hint="eastAsia"/>
          <w:sz w:val="28"/>
          <w:szCs w:val="28"/>
        </w:rPr>
        <w:t>上传参数列表</w:t>
      </w:r>
    </w:p>
    <w:tbl>
      <w:tblPr>
        <w:tblStyle w:val="TableNormal"/>
        <w:tblW w:w="8483" w:type="dxa"/>
        <w:jc w:val="center"/>
        <w:tblLayout w:type="fixed"/>
        <w:tblCellMar>
          <w:top w:w="0" w:type="dxa"/>
          <w:left w:w="108" w:type="dxa"/>
          <w:bottom w:w="0" w:type="dxa"/>
          <w:right w:w="108" w:type="dxa"/>
        </w:tblCellMar>
      </w:tblPr>
      <w:tblGrid>
        <w:gridCol w:w="1235"/>
        <w:gridCol w:w="3847"/>
        <w:gridCol w:w="3401"/>
      </w:tblGrid>
      <w:tr>
        <w:tblPrEx>
          <w:tblW w:w="8483" w:type="dxa"/>
          <w:jc w:val="center"/>
          <w:tblLayout w:type="fixed"/>
          <w:tblCellMar>
            <w:top w:w="0" w:type="dxa"/>
            <w:left w:w="108" w:type="dxa"/>
            <w:bottom w:w="0" w:type="dxa"/>
            <w:right w:w="108" w:type="dxa"/>
          </w:tblCellMar>
        </w:tblPrEx>
        <w:trPr>
          <w:trHeight w:val="397"/>
          <w:tblHeader/>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序号</w:t>
            </w:r>
          </w:p>
        </w:tc>
        <w:tc>
          <w:tcPr>
            <w:tcW w:w="3847"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上传参数</w:t>
            </w:r>
          </w:p>
        </w:tc>
        <w:tc>
          <w:tcPr>
            <w:tcW w:w="3401"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备注</w:t>
            </w: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雷达静态参数</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雷达站号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站点名称</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纬度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保留4位小数</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经度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保留4位小数</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天线馈源高度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单位：m</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地面高度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单位：m</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雷达型号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雷达数据采集终端版本号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工作频率</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单位：MHz</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水平天线增益</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垂直天线增益</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水平波束宽度H面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水平波束宽度E面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垂直波束宽度H面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垂直波束宽度E面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水平发射馈线损耗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垂直发射馈线损耗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水平接收馈线损耗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垂直接收馈线损耗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天线罩双程损耗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双程大气损耗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单位：dB，保留3位小数</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0.5μs匹配滤波器损耗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1μs匹配滤波器损耗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2μs匹配滤波器损耗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10μs匹配滤波器损耗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20μs匹配滤波器损耗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40μs匹配滤波器损耗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80μs匹配滤波器损耗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其他损耗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雷达运行模式参数</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日期</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格式：YYYYMMDD</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时间</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格式：HHmmss</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扫描模式</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控制权标志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系统状态</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正常运行、需维护、故障、正常关机、待机、异常关机</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状态数据格式版本号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雷达运行环境参数</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接收机温度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Ansi="宋体" w:cs="宋体" w:hint="eastAsia"/>
                <w:kern w:val="0"/>
                <w:sz w:val="24"/>
              </w:rPr>
              <w:t>℃</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天线罩内温度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Ansi="宋体" w:cs="宋体" w:hint="eastAsia"/>
                <w:kern w:val="0"/>
                <w:sz w:val="24"/>
              </w:rPr>
              <w:t>℃</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天线罩内相对湿度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sz w:val="24"/>
              </w:rPr>
              <w:t>在线监测参数</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39</w:t>
            </w:r>
          </w:p>
        </w:tc>
        <w:tc>
          <w:tcPr>
            <w:tcW w:w="3847" w:type="dxa"/>
            <w:tcBorders>
              <w:top w:val="nil"/>
              <w:left w:val="nil"/>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发射机峰值功率</w:t>
            </w:r>
          </w:p>
        </w:tc>
        <w:tc>
          <w:tcPr>
            <w:tcW w:w="3401" w:type="dxa"/>
            <w:tcBorders>
              <w:top w:val="nil"/>
              <w:left w:val="nil"/>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单位：kW</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0.5μs水平通道接收增益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1μs水平通道接收增益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2μs水平通道接收增益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10μs水平通道接收增益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20μs水平通道接收增益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470"/>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40μs水平通道接收增益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80μs水平通道接收增益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47</w:t>
            </w:r>
          </w:p>
        </w:tc>
        <w:tc>
          <w:tcPr>
            <w:tcW w:w="3847" w:type="dxa"/>
            <w:tcBorders>
              <w:top w:val="nil"/>
              <w:left w:val="nil"/>
              <w:bottom w:val="single" w:sz="4" w:space="0" w:color="auto"/>
              <w:right w:val="single" w:sz="4" w:space="0" w:color="auto"/>
            </w:tcBorders>
            <w:vAlign w:val="center"/>
          </w:tcPr>
          <w:p>
            <w:pPr>
              <w:widowControl/>
              <w:jc w:val="left"/>
              <w:rPr>
                <w:rFonts w:ascii="仿宋_GB2312"/>
              </w:rPr>
            </w:pPr>
            <w:r>
              <w:rPr>
                <w:rFonts w:ascii="仿宋_GB2312" w:hint="eastAsia"/>
                <w:sz w:val="24"/>
              </w:rPr>
              <w:t>0.5μs垂直通道接收增益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1μs垂直通道接收增益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2μs垂直通道接收增益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10μs垂直通道接收增益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20μs垂直通道接收增益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40μs垂直通道接收增益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80μs垂直通道接收增益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bl>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2）完整记录雷达维护维修信息、关键器件出厂测试重要参数及更换信息，其中维护维修信息包括适配参数变更、备件更换、软件更迭、监测结果等。</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3）雷达机内测试设备应实时监测对雷达工作有影响的因素，同时自动存储和上传工作状态和系统告警。</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4）可对天线罩内部雷达运行环境进行在线采集、监测、显示并记录上传，上传参数包括但不限于天线罩内温度、湿度等。</w:t>
      </w:r>
    </w:p>
    <w:p>
      <w:pPr>
        <w:ind w:firstLine="560" w:firstLineChars="200"/>
        <w:outlineLvl w:val="6"/>
        <w:rPr>
          <w:rFonts w:ascii="仿宋_GB2312" w:eastAsia="仿宋_GB2312" w:hAnsi="仿宋_GB2312" w:cs="仿宋_GB2312" w:hint="eastAsia"/>
          <w:b w:val="0"/>
          <w:bCs w:val="0"/>
          <w:sz w:val="28"/>
          <w:szCs w:val="28"/>
        </w:rPr>
      </w:pPr>
      <w:r>
        <w:rPr>
          <w:rFonts w:ascii="仿宋_GB2312" w:eastAsia="仿宋_GB2312" w:hAnsi="仿宋_GB2312" w:cs="仿宋_GB2312" w:hint="eastAsia"/>
          <w:b w:val="0"/>
          <w:bCs w:val="0"/>
          <w:sz w:val="28"/>
          <w:szCs w:val="28"/>
        </w:rPr>
        <w:t>1.7.3.2远程控制功能</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1）具有本地、远程监视和遥控能力，包括但不限于控制开关机、观测模式切换、查看监测结果、修改适配参数等。</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2）雷达系统具有远程软件升级功能。</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3）</w:t>
      </w:r>
      <w:r>
        <w:rPr>
          <w:rFonts w:ascii="仿宋" w:eastAsia="仿宋" w:hAnsi="仿宋" w:hint="eastAsia"/>
          <w:sz w:val="28"/>
          <w:szCs w:val="28"/>
        </w:rPr>
        <w:t>具备雷达运行与维护的远程支持能力，包括但不限于发射机峰值功率、接收通道增益等。</w:t>
      </w:r>
    </w:p>
    <w:bookmarkEnd w:id="74"/>
    <w:bookmarkEnd w:id="75"/>
    <w:p>
      <w:pPr>
        <w:ind w:firstLine="560" w:firstLineChars="200"/>
        <w:outlineLvl w:val="6"/>
        <w:rPr>
          <w:rFonts w:ascii="仿宋_GB2312" w:eastAsia="仿宋_GB2312" w:hAnsi="仿宋_GB2312" w:cs="仿宋_GB2312" w:hint="eastAsia"/>
          <w:b w:val="0"/>
          <w:bCs w:val="0"/>
          <w:sz w:val="28"/>
          <w:szCs w:val="28"/>
        </w:rPr>
      </w:pPr>
      <w:r>
        <w:rPr>
          <w:rFonts w:ascii="仿宋_GB2312" w:eastAsia="仿宋_GB2312" w:hAnsi="仿宋_GB2312" w:cs="仿宋_GB2312" w:hint="eastAsia"/>
          <w:b w:val="0"/>
          <w:bCs w:val="0"/>
          <w:sz w:val="28"/>
          <w:szCs w:val="28"/>
        </w:rPr>
        <w:t>1.7.3.3关键参数在线分析</w:t>
      </w:r>
    </w:p>
    <w:p>
      <w:pPr>
        <w:spacing w:line="570" w:lineRule="exact"/>
        <w:ind w:firstLine="560" w:firstLineChars="200"/>
        <w:rPr>
          <w:rFonts w:ascii="仿宋" w:eastAsia="仿宋" w:hAnsi="仿宋" w:hint="eastAsia"/>
          <w:sz w:val="28"/>
          <w:szCs w:val="28"/>
        </w:rPr>
      </w:pPr>
      <w:bookmarkStart w:id="76" w:name="_Hlk522871009"/>
      <w:r>
        <w:rPr>
          <w:rFonts w:ascii="仿宋" w:eastAsia="仿宋" w:hAnsi="仿宋" w:hint="eastAsia"/>
          <w:sz w:val="28"/>
          <w:szCs w:val="28"/>
        </w:rPr>
        <w:t>雷达应具有关键参数在线分析功能，应满足如下要求：</w:t>
      </w:r>
    </w:p>
    <w:bookmarkEnd w:id="76"/>
    <w:p>
      <w:pPr>
        <w:spacing w:line="570" w:lineRule="exact"/>
        <w:ind w:firstLine="560" w:firstLineChars="200"/>
        <w:rPr>
          <w:rFonts w:ascii="仿宋" w:eastAsia="仿宋" w:hAnsi="仿宋" w:hint="eastAsia"/>
          <w:sz w:val="28"/>
          <w:szCs w:val="28"/>
        </w:rPr>
      </w:pPr>
      <w:bookmarkStart w:id="77" w:name="_Toc524551142"/>
      <w:r>
        <w:rPr>
          <w:rFonts w:ascii="仿宋" w:eastAsia="仿宋" w:hAnsi="仿宋" w:hint="eastAsia"/>
          <w:sz w:val="28"/>
          <w:szCs w:val="28"/>
        </w:rPr>
        <w:t>1）具备关键参数记录功能。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2）具备监测到的所有实时参数超限告警提示功能。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3）具备监测参数和分析结果存储、显示、统计分析等功能。</w:t>
      </w:r>
    </w:p>
    <w:p>
      <w:pPr>
        <w:ind w:firstLine="560" w:firstLineChars="200"/>
        <w:outlineLvl w:val="6"/>
        <w:rPr>
          <w:rFonts w:ascii="仿宋_GB2312" w:eastAsia="仿宋_GB2312" w:hAnsi="仿宋_GB2312" w:cs="仿宋_GB2312" w:hint="eastAsia"/>
          <w:b w:val="0"/>
          <w:bCs w:val="0"/>
          <w:sz w:val="28"/>
          <w:szCs w:val="28"/>
        </w:rPr>
      </w:pPr>
      <w:r>
        <w:rPr>
          <w:rFonts w:ascii="仿宋_GB2312" w:eastAsia="仿宋_GB2312" w:hAnsi="仿宋_GB2312" w:cs="仿宋_GB2312" w:hint="eastAsia"/>
          <w:b w:val="0"/>
          <w:bCs w:val="0"/>
          <w:sz w:val="28"/>
          <w:szCs w:val="28"/>
        </w:rPr>
        <w:t>1.7.3.4基数据质控及显示</w:t>
      </w:r>
      <w:bookmarkEnd w:id="77"/>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对回波强度（Z）、径向速度（V）、速度谱宽（W）、差分反射率（Z</w:t>
      </w:r>
      <w:r>
        <w:rPr>
          <w:rFonts w:ascii="仿宋" w:eastAsia="仿宋" w:hAnsi="仿宋" w:hint="eastAsia"/>
          <w:sz w:val="28"/>
          <w:szCs w:val="28"/>
          <w:vertAlign w:val="baseline"/>
        </w:rPr>
        <w:t>DR</w:t>
      </w:r>
      <w:r>
        <w:rPr>
          <w:rFonts w:ascii="仿宋" w:eastAsia="仿宋" w:hAnsi="仿宋" w:hint="eastAsia"/>
          <w:sz w:val="28"/>
          <w:szCs w:val="28"/>
        </w:rPr>
        <w:t>）、差分传播相移（Φ</w:t>
      </w:r>
      <w:r>
        <w:rPr>
          <w:rFonts w:ascii="仿宋" w:eastAsia="仿宋" w:hAnsi="仿宋" w:hint="eastAsia"/>
          <w:sz w:val="28"/>
          <w:szCs w:val="28"/>
          <w:vertAlign w:val="baseline"/>
        </w:rPr>
        <w:t>DP</w:t>
      </w:r>
      <w:r>
        <w:rPr>
          <w:rFonts w:ascii="仿宋" w:eastAsia="仿宋" w:hAnsi="仿宋" w:hint="eastAsia"/>
          <w:sz w:val="28"/>
          <w:szCs w:val="28"/>
        </w:rPr>
        <w:t>）、差分传播相移率（K</w:t>
      </w:r>
      <w:r>
        <w:rPr>
          <w:rFonts w:ascii="仿宋" w:eastAsia="仿宋" w:hAnsi="仿宋" w:hint="eastAsia"/>
          <w:sz w:val="28"/>
          <w:szCs w:val="28"/>
          <w:vertAlign w:val="baseline"/>
        </w:rPr>
        <w:t>DP</w:t>
      </w:r>
      <w:r>
        <w:rPr>
          <w:rFonts w:ascii="仿宋" w:eastAsia="仿宋" w:hAnsi="仿宋" w:hint="eastAsia"/>
          <w:sz w:val="28"/>
          <w:szCs w:val="28"/>
        </w:rPr>
        <w:t>）、相关系数（ρ</w:t>
      </w:r>
      <w:r>
        <w:rPr>
          <w:rFonts w:ascii="仿宋" w:eastAsia="仿宋" w:hAnsi="仿宋" w:hint="eastAsia"/>
          <w:sz w:val="28"/>
          <w:szCs w:val="28"/>
          <w:vertAlign w:val="baseline"/>
        </w:rPr>
        <w:t>hv</w:t>
      </w:r>
      <w:r>
        <w:rPr>
          <w:rFonts w:ascii="仿宋" w:eastAsia="仿宋" w:hAnsi="仿宋" w:hint="eastAsia"/>
          <w:sz w:val="28"/>
          <w:szCs w:val="28"/>
        </w:rPr>
        <w:t>）等基本量进行质控，质控包括滤波、杂波校正因子（CCOR）门限、电磁干扰抑制、风电干扰抑制、速度退模糊、距离退折叠、异常回波标记等，</w:t>
      </w:r>
      <w:bookmarkStart w:id="78" w:name="_Hlk19004266"/>
      <w:r>
        <w:rPr>
          <w:rFonts w:ascii="仿宋" w:eastAsia="仿宋" w:hAnsi="仿宋" w:hint="eastAsia"/>
          <w:sz w:val="28"/>
          <w:szCs w:val="28"/>
        </w:rPr>
        <w:t>质控前后的基数据都具备存储功能。</w:t>
      </w:r>
      <w:bookmarkEnd w:id="78"/>
      <w:r>
        <w:rPr>
          <w:rFonts w:ascii="仿宋" w:eastAsia="仿宋" w:hAnsi="仿宋" w:hint="eastAsia"/>
          <w:sz w:val="28"/>
          <w:szCs w:val="28"/>
        </w:rPr>
        <w:t xml:space="preserve">在雷达终端上需具备以下功能： </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数据处理功能：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基数据自动处理，按照要求的格式进行存储，台站端至少可以存储近1年的基数据。</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显示功能：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1）回波数据种类、时间选择并显示；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2）监测的所有参数显示及超限告警提示显示；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3）鼠标悬浮显示；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4）数据分层控制显示；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5）图像处理显示，具有多仰角多要素同时显示。</w:t>
      </w:r>
    </w:p>
    <w:p>
      <w:pPr>
        <w:ind w:firstLine="560" w:firstLineChars="200"/>
        <w:outlineLvl w:val="6"/>
        <w:rPr>
          <w:rFonts w:ascii="仿宋_GB2312" w:eastAsia="仿宋_GB2312" w:hAnsi="仿宋_GB2312" w:cs="仿宋_GB2312"/>
          <w:b w:val="0"/>
          <w:bCs w:val="0"/>
          <w:sz w:val="28"/>
          <w:szCs w:val="28"/>
          <w:highlight w:val="yellow"/>
        </w:rPr>
      </w:pPr>
      <w:r>
        <w:rPr>
          <w:rFonts w:ascii="仿宋_GB2312" w:eastAsia="仿宋_GB2312" w:hAnsi="仿宋_GB2312" w:cs="仿宋_GB2312" w:hint="eastAsia"/>
          <w:b w:val="0"/>
          <w:bCs w:val="0"/>
          <w:sz w:val="28"/>
          <w:szCs w:val="28"/>
          <w:highlight w:val="yellow"/>
        </w:rPr>
        <w:t>1.7.3.5授时功能</w:t>
      </w:r>
      <w:r>
        <w:rPr>
          <w:rFonts w:ascii="仿宋_GB2312" w:eastAsia="仿宋_GB2312" w:hAnsi="仿宋_GB2312" w:cs="仿宋_GB2312" w:hint="eastAsia"/>
          <w:sz w:val="28"/>
          <w:szCs w:val="28"/>
          <w:highlight w:val="yellow"/>
        </w:rPr>
        <w:t>#</w:t>
      </w:r>
    </w:p>
    <w:p>
      <w:pPr>
        <w:widowControl/>
        <w:spacing w:line="570" w:lineRule="exact"/>
        <w:ind w:firstLine="560" w:firstLineChars="200"/>
        <w:jc w:val="left"/>
        <w:rPr>
          <w:rFonts w:ascii="仿宋_GB2312" w:hint="eastAsia"/>
          <w:sz w:val="28"/>
          <w:szCs w:val="28"/>
        </w:rPr>
      </w:pPr>
      <w:r>
        <w:rPr>
          <w:rFonts w:ascii="仿宋" w:eastAsia="仿宋" w:hAnsi="仿宋" w:hint="eastAsia"/>
          <w:sz w:val="28"/>
          <w:szCs w:val="28"/>
        </w:rPr>
        <w:t>雷达具备授时功能，可以通过网络授时或北斗卫星授时校准系统时间，授时精度优于1s。</w:t>
      </w:r>
    </w:p>
    <w:p>
      <w:pPr>
        <w:ind w:firstLine="560" w:firstLineChars="200"/>
        <w:outlineLvl w:val="4"/>
        <w:rPr>
          <w:rFonts w:ascii="仿宋_GB2312" w:eastAsia="仿宋_GB2312" w:hAnsi="仿宋_GB2312" w:cs="仿宋_GB2312" w:hint="eastAsia"/>
          <w:bCs/>
          <w:sz w:val="28"/>
          <w:szCs w:val="28"/>
          <w:highlight w:val="yellow"/>
        </w:rPr>
      </w:pPr>
      <w:r>
        <w:rPr>
          <w:rFonts w:ascii="仿宋_GB2312" w:eastAsia="仿宋_GB2312" w:hAnsi="仿宋_GB2312" w:cs="仿宋_GB2312" w:hint="eastAsia"/>
          <w:bCs/>
          <w:sz w:val="28"/>
          <w:szCs w:val="28"/>
          <w:highlight w:val="yellow"/>
        </w:rPr>
        <w:t>1.8产品软件功能</w:t>
      </w:r>
      <w:r>
        <w:rPr>
          <w:rFonts w:ascii="仿宋" w:eastAsia="仿宋" w:hAnsi="仿宋" w:cs="Times New Roman" w:hint="eastAsia"/>
          <w:color w:val="000000"/>
          <w:sz w:val="28"/>
          <w:szCs w:val="28"/>
          <w:highlight w:val="yellow"/>
          <w:lang w:val="en-US" w:eastAsia="zh-CN"/>
        </w:rPr>
        <w:t>#</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1）产品显示：平面位置产品、距离高度产品、等高面位置产品、二次产品等显示功能。</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2）分屏显示：二分屏、四分屏等分屏显示功能、支持光标联动信息显示。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3）垂直剖面：基本产品任意垂直剖面显示功能，支持折线剖面，可同时显示多个产品，可保存图像。</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4）最大值显示：体扫各层反射率垂直、东西、南北三个方向最大值可投影显示。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5）图形缩放、拖曳：产品图像可放大缩小，拖曳移动。</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6）图像保存：产品图像可保存为图片格式，分辨率可调。</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7）动态展示：支持产品时序播放、动图制作。</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8）地图加载：产品显示可加载离线地图文件，同时应支持API接口获取在线瓦片，底图包括但不限于地图、地形、影像，支持各级界线、名称显隐。</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9）测距功能：产品显示界面可显示两点间距离、折线距离。</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10）游标引导：游标所在点的经纬度、方位、距离、高度、产品数值、地理位置等信息显示。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11）产品色标：提供默认配色，支持自定义配色。</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12）阈值过滤：显示阈值范围内数据，过滤超限数据；可单一范围显隐；可调整产品透明度。</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13）自动刷新：可启停的自动显示最新产品数据。</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14）状态监控：包括数据接收、产品制作、产品传输状态监控。</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15）数据归档：本地或异地产品数据归档，支持定时清理。</w:t>
      </w:r>
    </w:p>
    <w:p>
      <w:pPr>
        <w:spacing w:line="570" w:lineRule="exact"/>
        <w:ind w:firstLine="560" w:firstLineChars="200"/>
        <w:jc w:val="left"/>
        <w:rPr>
          <w:rFonts w:ascii="仿宋" w:eastAsia="仿宋" w:hAnsi="仿宋" w:hint="eastAsia"/>
          <w:sz w:val="28"/>
          <w:szCs w:val="28"/>
          <w:highlight w:val="none"/>
        </w:rPr>
      </w:pPr>
      <w:r>
        <w:rPr>
          <w:rFonts w:ascii="仿宋" w:eastAsia="仿宋" w:hAnsi="仿宋" w:hint="eastAsia"/>
          <w:sz w:val="28"/>
          <w:szCs w:val="28"/>
          <w:highlight w:val="none"/>
        </w:rPr>
        <w:t>16）数据上传：产品数据多节点上传，支持恢复网络后自动补传、手动补传。</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17）算法参数：算法参数可本地化调整。</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18）算法接口：支持外部算法接入，使用统一数据接口调用。</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19）系统日志：包括软件运行日志、数据接收日志、产品生成日志、数据上传日志、告警日志、预警日志。</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20）日志查询：可按日期、类型、关键词等方式查询系统日志。</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21）多用户并发：每个产品生成终端应至少能够满足30位用户同时访问。</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22）数据库接口：可从数据库接口获取雷达基数据作为数据源。</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23）快捷操作：可通过键盘进行产品切换、时间切换、仰角层切换等快捷操作。</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24）关注点标记：设定不同类型的关注点，可设置备注信息并保存；可单选、多选、分类选择叠加在产品上进行显示；可设定关注点预警范围。支持关注点信息导入导出。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25）产品识别告警：依据识别类产品提供的信息，通过产品显示分析界面进行冰雹等强天气告警。</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26）传输网络兼容性：产品传输支持有线、4G/5G、DCP、北斗等方式，多种网络可并发，支持根据传输网络调整传输产品类型、产品格式（数据、文字）及传输判别条件。</w:t>
      </w:r>
    </w:p>
    <w:p>
      <w:pPr>
        <w:ind w:firstLine="560" w:firstLineChars="200"/>
        <w:outlineLvl w:val="4"/>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1.9其它功能</w:t>
      </w:r>
    </w:p>
    <w:p>
      <w:pPr>
        <w:ind w:firstLine="560" w:firstLineChars="200"/>
        <w:outlineLvl w:val="5"/>
        <w:rPr>
          <w:rFonts w:ascii="仿宋_GB2312" w:hAnsi="仿宋_GB2312" w:cs="仿宋_GB2312"/>
          <w:sz w:val="28"/>
          <w:szCs w:val="28"/>
        </w:rPr>
      </w:pPr>
      <w:r>
        <w:rPr>
          <w:rFonts w:ascii="仿宋_GB2312" w:eastAsia="仿宋_GB2312" w:hAnsi="仿宋_GB2312" w:cs="仿宋_GB2312" w:hint="eastAsia"/>
          <w:sz w:val="28"/>
          <w:szCs w:val="28"/>
        </w:rPr>
        <w:t>1.9.1供电设施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可采用市电或太阳能、风能等方式进行供电。</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太阳能、风能供电需满足无人值守要求，发电功率应大于雷达设备功耗。</w:t>
      </w:r>
    </w:p>
    <w:p>
      <w:pPr>
        <w:adjustRightInd w:val="0"/>
        <w:snapToGrid w:val="0"/>
        <w:ind w:firstLine="560" w:firstLineChars="200"/>
        <w:outlineLvl w:val="5"/>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1.9.2通信辅助设备</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雷达系统通信方式包括但不限于有线网络、4G/5G信号、数据收集平台（DCP）、北斗通讯等，用于基数据、产品文件、状态及告警文件等信息的上传，以及雷达控制指令的下行。</w:t>
      </w:r>
    </w:p>
    <w:p>
      <w:pPr>
        <w:numPr>
          <w:ilvl w:val="0"/>
          <w:numId w:val="4"/>
        </w:numPr>
        <w:spacing w:line="240" w:lineRule="auto"/>
        <w:ind w:firstLine="560" w:firstLineChars="200"/>
        <w:outlineLvl w:val="3"/>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技术指标</w:t>
      </w:r>
    </w:p>
    <w:p>
      <w:pPr>
        <w:jc w:val="center"/>
        <w:rPr>
          <w:rFonts w:eastAsia="方正小标宋简体"/>
          <w:sz w:val="28"/>
          <w:szCs w:val="28"/>
        </w:rPr>
      </w:pPr>
      <w:r>
        <w:rPr>
          <w:rFonts w:eastAsia="方正小标宋简体"/>
          <w:sz w:val="28"/>
          <w:szCs w:val="28"/>
        </w:rPr>
        <w:t xml:space="preserve"> </w:t>
      </w:r>
      <w:r>
        <w:rPr>
          <w:rFonts w:eastAsia="方正小标宋简体" w:hint="eastAsia"/>
          <w:sz w:val="28"/>
          <w:szCs w:val="28"/>
        </w:rPr>
        <w:t>总体技术指标</w:t>
      </w:r>
    </w:p>
    <w:tbl>
      <w:tblPr>
        <w:tblStyle w:val="TableNormal"/>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89"/>
        <w:gridCol w:w="2157"/>
        <w:gridCol w:w="5114"/>
      </w:tblGrid>
      <w:tr>
        <w:tblPrEx>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0"/>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项目</w:t>
            </w:r>
          </w:p>
        </w:tc>
        <w:tc>
          <w:tcPr>
            <w:tcW w:w="5114"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性能指标</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雷达体制</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全固态双线偏振多普勒体制</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工作频率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9.1～9.5GHz范围内，间隔5MHz可选</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整机寿命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≥15年</w:t>
            </w:r>
          </w:p>
        </w:tc>
      </w:tr>
      <w:tr>
        <w:tblPrEx>
          <w:tblW w:w="8760" w:type="dxa"/>
          <w:jc w:val="center"/>
          <w:tblLayout w:type="fixed"/>
          <w:tblCellMar>
            <w:top w:w="0" w:type="dxa"/>
            <w:left w:w="108" w:type="dxa"/>
            <w:bottom w:w="0" w:type="dxa"/>
            <w:right w:w="108" w:type="dxa"/>
          </w:tblCellMar>
        </w:tblPrEx>
        <w:trPr>
          <w:trHeight w:val="40"/>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探测距离范围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定量≥35km</w:t>
            </w:r>
          </w:p>
        </w:tc>
      </w:tr>
      <w:tr>
        <w:tblPrEx>
          <w:tblW w:w="8760" w:type="dxa"/>
          <w:jc w:val="center"/>
          <w:tblLayout w:type="fixed"/>
          <w:tblCellMar>
            <w:top w:w="0" w:type="dxa"/>
            <w:left w:w="108" w:type="dxa"/>
            <w:bottom w:w="0" w:type="dxa"/>
            <w:right w:w="108" w:type="dxa"/>
          </w:tblCellMar>
        </w:tblPrEx>
        <w:trPr>
          <w:trHeight w:val="65"/>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近距离盲区范围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≤500m</w:t>
            </w:r>
          </w:p>
        </w:tc>
      </w:tr>
      <w:tr>
        <w:tblPrEx>
          <w:tblW w:w="8760" w:type="dxa"/>
          <w:jc w:val="center"/>
          <w:tblLayout w:type="fixed"/>
          <w:tblCellMar>
            <w:top w:w="0" w:type="dxa"/>
            <w:left w:w="108" w:type="dxa"/>
            <w:bottom w:w="0" w:type="dxa"/>
            <w:right w:w="108" w:type="dxa"/>
          </w:tblCellMar>
        </w:tblPrEx>
        <w:trPr>
          <w:trHeight w:val="90"/>
          <w:jc w:val="center"/>
        </w:trPr>
        <w:tc>
          <w:tcPr>
            <w:tcW w:w="1489"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jc w:val="center"/>
              <w:rPr>
                <w:rFonts w:ascii="仿宋_GB2312"/>
              </w:rPr>
            </w:pPr>
            <w:r>
              <w:rPr>
                <w:rFonts w:ascii="仿宋_GB2312" w:hint="eastAsia"/>
                <w:sz w:val="24"/>
                <w:highlight w:val="yellow"/>
              </w:rPr>
              <w:t>分辨率</w:t>
            </w:r>
            <w:r>
              <w:rPr>
                <w:rFonts w:eastAsia="方正小标宋简体" w:hint="eastAsia"/>
                <w:sz w:val="28"/>
                <w:szCs w:val="28"/>
                <w:highlight w:val="yellow"/>
                <w:lang w:val="en-US" w:eastAsia="zh-CN"/>
              </w:rPr>
              <w:t>#</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距离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≤75m</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角度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≤2.7°</w:t>
            </w:r>
          </w:p>
        </w:tc>
      </w:tr>
      <w:tr>
        <w:tblPrEx>
          <w:tblW w:w="8760" w:type="dxa"/>
          <w:jc w:val="center"/>
          <w:tblLayout w:type="fixed"/>
          <w:tblCellMar>
            <w:top w:w="0" w:type="dxa"/>
            <w:left w:w="108" w:type="dxa"/>
            <w:bottom w:w="0" w:type="dxa"/>
            <w:right w:w="108" w:type="dxa"/>
          </w:tblCellMar>
        </w:tblPrEx>
        <w:trPr>
          <w:jc w:val="center"/>
        </w:trPr>
        <w:tc>
          <w:tcPr>
            <w:tcW w:w="1489"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rPr>
            </w:pPr>
            <w:r>
              <w:rPr>
                <w:rFonts w:ascii="仿宋_GB2312" w:hint="eastAsia"/>
                <w:sz w:val="24"/>
              </w:rPr>
              <w:t>测量范围</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0～+80dBZ</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±48m/s</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0～16m/s</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-7.9dB～+7.9dB</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-180°～+180°</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-2°/km～+10°/km</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0～1</w:t>
            </w:r>
          </w:p>
        </w:tc>
      </w:tr>
      <w:tr>
        <w:tblPrEx>
          <w:tblW w:w="8760" w:type="dxa"/>
          <w:jc w:val="center"/>
          <w:tblLayout w:type="fixed"/>
          <w:tblCellMar>
            <w:top w:w="0" w:type="dxa"/>
            <w:left w:w="108" w:type="dxa"/>
            <w:bottom w:w="0" w:type="dxa"/>
            <w:right w:w="108" w:type="dxa"/>
          </w:tblCellMar>
        </w:tblPrEx>
        <w:trPr>
          <w:jc w:val="center"/>
        </w:trPr>
        <w:tc>
          <w:tcPr>
            <w:tcW w:w="1489"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rPr>
            </w:pPr>
            <w:r>
              <w:rPr>
                <w:rFonts w:ascii="仿宋_GB2312" w:hint="eastAsia"/>
                <w:sz w:val="24"/>
                <w:highlight w:val="yellow"/>
              </w:rPr>
              <w:t>参数测量精度（标准差）</w:t>
            </w:r>
            <w:r>
              <w:rPr>
                <w:rFonts w:eastAsia="方正小标宋简体" w:hint="eastAsia"/>
                <w:sz w:val="28"/>
                <w:szCs w:val="28"/>
                <w:highlight w:val="yellow"/>
                <w:lang w:val="en-US" w:eastAsia="zh-CN"/>
              </w:rPr>
              <w:t>#</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≤1dB</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≤1m/s</w:t>
            </w:r>
          </w:p>
        </w:tc>
      </w:tr>
      <w:tr>
        <w:tblPrEx>
          <w:tblW w:w="8760" w:type="dxa"/>
          <w:jc w:val="center"/>
          <w:tblLayout w:type="fixed"/>
          <w:tblCellMar>
            <w:top w:w="0" w:type="dxa"/>
            <w:left w:w="108" w:type="dxa"/>
            <w:bottom w:w="0" w:type="dxa"/>
            <w:right w:w="108" w:type="dxa"/>
          </w:tblCellMar>
        </w:tblPrEx>
        <w:trPr>
          <w:trHeight w:val="361"/>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≤1m/s</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≤0.5dB</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≤3°</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≤0.2°/km</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≤0.01</w:t>
            </w:r>
          </w:p>
        </w:tc>
      </w:tr>
      <w:tr>
        <w:tblPrEx>
          <w:tblW w:w="8760" w:type="dxa"/>
          <w:jc w:val="center"/>
          <w:tblLayout w:type="fixed"/>
          <w:tblCellMar>
            <w:top w:w="0" w:type="dxa"/>
            <w:left w:w="108" w:type="dxa"/>
            <w:bottom w:w="0" w:type="dxa"/>
            <w:right w:w="108" w:type="dxa"/>
          </w:tblCellMar>
        </w:tblPrEx>
        <w:trPr>
          <w:trHeight w:val="740"/>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可探测的最小反射率因子（35km处，75m分辨率，同发同收）</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≤18dBZ</w:t>
            </w:r>
          </w:p>
        </w:tc>
      </w:tr>
      <w:tr>
        <w:tblPrEx>
          <w:tblW w:w="8760" w:type="dxa"/>
          <w:jc w:val="center"/>
          <w:tblLayout w:type="fixed"/>
          <w:tblCellMar>
            <w:top w:w="0" w:type="dxa"/>
            <w:left w:w="108" w:type="dxa"/>
            <w:bottom w:w="0" w:type="dxa"/>
            <w:right w:w="108" w:type="dxa"/>
          </w:tblCellMar>
        </w:tblPrEx>
        <w:trPr>
          <w:trHeight w:val="60"/>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实际地物抑制能力</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≥35dB</w:t>
            </w:r>
          </w:p>
        </w:tc>
      </w:tr>
      <w:tr>
        <w:tblPrEx>
          <w:tblW w:w="8760" w:type="dxa"/>
          <w:jc w:val="center"/>
          <w:tblLayout w:type="fixed"/>
          <w:tblCellMar>
            <w:top w:w="0" w:type="dxa"/>
            <w:left w:w="108" w:type="dxa"/>
            <w:bottom w:w="0" w:type="dxa"/>
            <w:right w:w="108" w:type="dxa"/>
          </w:tblCellMar>
        </w:tblPrEx>
        <w:trPr>
          <w:trHeight w:val="243"/>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highlight w:val="yellow"/>
              </w:rPr>
              <w:t>占用带宽</w:t>
            </w:r>
            <w:r>
              <w:rPr>
                <w:rFonts w:eastAsia="方正小标宋简体" w:hint="eastAsia"/>
                <w:sz w:val="28"/>
                <w:szCs w:val="28"/>
                <w:highlight w:val="yellow"/>
                <w:lang w:val="en-US" w:eastAsia="zh-CN"/>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≤30MHz</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输出参数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滤波前回波强度、滤波后回波强度、径向速度、速度谱宽、差分反射率、差分传播相移、差分传播相移率、相关系数、信噪比</w:t>
            </w:r>
          </w:p>
        </w:tc>
      </w:tr>
      <w:tr>
        <w:tblPrEx>
          <w:tblW w:w="8760" w:type="dxa"/>
          <w:jc w:val="center"/>
          <w:tblLayout w:type="fixed"/>
          <w:tblCellMar>
            <w:top w:w="0" w:type="dxa"/>
            <w:left w:w="108" w:type="dxa"/>
            <w:bottom w:w="0" w:type="dxa"/>
            <w:right w:w="108" w:type="dxa"/>
          </w:tblCellMar>
        </w:tblPrEx>
        <w:trPr>
          <w:trHeight w:val="760"/>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电源要求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单相AC220V±10%，或太阳能、风能等</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int="eastAsia"/>
              </w:rPr>
            </w:pPr>
            <w:r>
              <w:rPr>
                <w:rFonts w:ascii="仿宋_GB2312" w:hint="eastAsia"/>
                <w:sz w:val="24"/>
                <w:highlight w:val="yellow"/>
              </w:rPr>
              <w:t>重量（标准配置，参考值）</w:t>
            </w:r>
            <w:r>
              <w:rPr>
                <w:rFonts w:ascii="仿宋_GB2312" w:hint="eastAsia"/>
                <w:sz w:val="24"/>
                <w:highlight w:val="yellow"/>
                <w:lang w:val="en-US" w:eastAsia="zh-CN"/>
              </w:rPr>
              <w:t>#</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≤100kg（含天线罩）</w:t>
            </w:r>
          </w:p>
        </w:tc>
      </w:tr>
      <w:tr>
        <w:tblPrEx>
          <w:tblW w:w="8760" w:type="dxa"/>
          <w:jc w:val="center"/>
          <w:tblLayout w:type="fixed"/>
          <w:tblCellMar>
            <w:top w:w="0" w:type="dxa"/>
            <w:left w:w="108" w:type="dxa"/>
            <w:bottom w:w="0" w:type="dxa"/>
            <w:right w:w="108" w:type="dxa"/>
          </w:tblCellMar>
        </w:tblPrEx>
        <w:trPr>
          <w:jc w:val="center"/>
        </w:trPr>
        <w:tc>
          <w:tcPr>
            <w:tcW w:w="1489"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环境要求</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外界环境温度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-10～+40</w:t>
            </w:r>
            <w:r>
              <w:rPr>
                <w:rFonts w:ascii="仿宋_GB2312" w:hAnsi="宋体" w:cs="宋体" w:hint="eastAsia"/>
                <w:sz w:val="24"/>
              </w:rPr>
              <w:t>℃</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spacing w:line="380" w:lineRule="exac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贮存温度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-40～+60℃</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外界最大湿度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≤90%（+30</w:t>
            </w:r>
            <w:r>
              <w:rPr>
                <w:rFonts w:ascii="仿宋_GB2312" w:hAnsi="宋体" w:cs="宋体" w:hint="eastAsia"/>
                <w:sz w:val="24"/>
              </w:rPr>
              <w:t>℃</w:t>
            </w:r>
            <w:r>
              <w:rPr>
                <w:rFonts w:ascii="仿宋_GB2312" w:hint="eastAsia"/>
                <w:sz w:val="24"/>
              </w:rPr>
              <w:t>）</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工作高度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海拔≤5000m</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冲击、振动、淋雨</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符合国家有关部门规定，且满足野外运输要求</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抗干扰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电源干扰、电磁干扰、无线电频率干扰</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其它</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防水、防霉、防盐雾</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highlight w:val="yellow"/>
              </w:rPr>
              <w:t>整机功耗（峰值）</w:t>
            </w:r>
            <w:r>
              <w:rPr>
                <w:rFonts w:eastAsia="方正小标宋简体" w:hint="eastAsia"/>
                <w:sz w:val="28"/>
                <w:szCs w:val="28"/>
                <w:highlight w:val="yellow"/>
                <w:lang w:val="en-US" w:eastAsia="zh-CN"/>
              </w:rPr>
              <w:t>#</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≤800W</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发射机峰值功率月变化累计偏差（以现场安装后测试结果为基准，更换相关器件后重新标校）</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±2dB范围内</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szCs w:val="24"/>
              </w:rPr>
              <w:t>接收机增益月变化累计偏差</w:t>
            </w:r>
            <w:r>
              <w:rPr>
                <w:rFonts w:ascii="仿宋_GB2312" w:hint="eastAsia"/>
                <w:sz w:val="24"/>
              </w:rPr>
              <w:t>（以现场安装后测试结果为基准，更换相关器件后重新标校）</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±3dB范围内</w:t>
            </w:r>
          </w:p>
        </w:tc>
      </w:tr>
      <w:tr>
        <w:tblPrEx>
          <w:tblW w:w="8760" w:type="dxa"/>
          <w:jc w:val="center"/>
          <w:tblLayout w:type="fixed"/>
          <w:tblCellMar>
            <w:top w:w="0" w:type="dxa"/>
            <w:left w:w="108" w:type="dxa"/>
            <w:bottom w:w="0" w:type="dxa"/>
            <w:right w:w="108" w:type="dxa"/>
          </w:tblCellMar>
        </w:tblPrEx>
        <w:trPr>
          <w:trHeight w:val="68"/>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szCs w:val="24"/>
              </w:rPr>
              <w:t>平均严重故障间隔时间（MTBCF）</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≥5000h</w:t>
            </w:r>
          </w:p>
        </w:tc>
      </w:tr>
      <w:tr>
        <w:tblPrEx>
          <w:tblW w:w="8760" w:type="dxa"/>
          <w:jc w:val="center"/>
          <w:tblLayout w:type="fixed"/>
          <w:tblCellMar>
            <w:top w:w="0" w:type="dxa"/>
            <w:left w:w="108" w:type="dxa"/>
            <w:bottom w:w="0" w:type="dxa"/>
            <w:right w:w="108" w:type="dxa"/>
          </w:tblCellMar>
        </w:tblPrEx>
        <w:trPr>
          <w:trHeight w:val="68"/>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highlight w:val="yellow"/>
              </w:rPr>
              <w:t>外部接口</w:t>
            </w:r>
            <w:r>
              <w:rPr>
                <w:rFonts w:eastAsia="方正小标宋简体" w:hint="eastAsia"/>
                <w:sz w:val="28"/>
                <w:szCs w:val="28"/>
                <w:highlight w:val="yellow"/>
                <w:lang w:val="en-US" w:eastAsia="zh-CN"/>
              </w:rPr>
              <w:t>#</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市电供电接口*1（航空插座）</w:t>
            </w:r>
          </w:p>
          <w:p>
            <w:pPr>
              <w:spacing w:line="380" w:lineRule="exact"/>
              <w:rPr>
                <w:rFonts w:ascii="仿宋_GB2312"/>
              </w:rPr>
            </w:pPr>
            <w:r>
              <w:rPr>
                <w:rFonts w:ascii="仿宋_GB2312" w:hint="eastAsia"/>
                <w:sz w:val="24"/>
              </w:rPr>
              <w:t>光纤通信接口*1（航空插座）</w:t>
            </w:r>
          </w:p>
          <w:p>
            <w:pPr>
              <w:spacing w:line="380" w:lineRule="exact"/>
              <w:rPr>
                <w:rFonts w:ascii="仿宋_GB2312"/>
              </w:rPr>
            </w:pPr>
            <w:r>
              <w:rPr>
                <w:rFonts w:ascii="仿宋_GB2312" w:hint="eastAsia"/>
                <w:sz w:val="24"/>
              </w:rPr>
              <w:t>网络通信接口*1（航空插座）</w:t>
            </w:r>
          </w:p>
          <w:p>
            <w:pPr>
              <w:spacing w:line="380" w:lineRule="exact"/>
              <w:rPr>
                <w:rFonts w:ascii="仿宋_GB2312"/>
              </w:rPr>
            </w:pPr>
            <w:r>
              <w:rPr>
                <w:rFonts w:ascii="仿宋_GB2312" w:hint="eastAsia"/>
                <w:sz w:val="24"/>
              </w:rPr>
              <w:t>USB接口*2</w:t>
            </w:r>
          </w:p>
          <w:p>
            <w:pPr>
              <w:spacing w:line="380" w:lineRule="exact"/>
              <w:rPr>
                <w:rFonts w:ascii="仿宋_GB2312"/>
              </w:rPr>
            </w:pPr>
            <w:r>
              <w:rPr>
                <w:rFonts w:ascii="仿宋_GB2312" w:hint="eastAsia"/>
                <w:sz w:val="24"/>
              </w:rPr>
              <w:t>HDMI接口*1</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微波辐射安全性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雷达微波漏能功率密度应符合GJB5313-2004的要求。</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安全标识</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微波泄漏部位、机械转动部位、危险电压部位及超重设备（大于15kg）等应有清晰、醒目的安全警示标记。</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互换性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雷达备份零件、部件、组件和功能单元均能在现场更换，无需调整而正常工作。</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电磁兼容性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雷达具有市电滤波和防电磁干扰的能力，设置静电屏蔽、电磁屏蔽，模拟地线、数字地线和安全地线严格分开，避雷地线要单独接地。</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雷达应有安全性设计，确保雷达按规定条件进行制造、安装、运输、贮存、使用和维护时的人身安全和设备安全。雷达系统电源开关、伺服转台维护开关带自锁功能和指示灯。</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防雷要求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雷达电源线输入端应加装防雷滤波器，室外电缆一律采用屏蔽电缆或光缆。</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绝缘性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雷达各初级电源与大地间绝缘电阻应大于1MΩ。</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外观质量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雷达整体形象应协调一致。外表面应无凹痕、碰伤、裂痕和变形等缺陷；镀涂层不起泡、龟裂和脱落；金属零件无锈蚀、毛刺及其它机械损伤。</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标记与代号</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机箱、机箱、插件和线缆等应有统一的编号和标记，符合国家标准。</w:t>
            </w:r>
          </w:p>
          <w:p>
            <w:pPr>
              <w:spacing w:line="380" w:lineRule="exact"/>
              <w:rPr>
                <w:rFonts w:ascii="仿宋_GB2312"/>
              </w:rPr>
            </w:pPr>
            <w:r>
              <w:rPr>
                <w:rFonts w:ascii="仿宋_GB2312" w:hint="eastAsia"/>
                <w:sz w:val="24"/>
              </w:rPr>
              <w:t>印制板、主要元器件等应在相应位置印有与电路图中项目代号相符的标记。</w:t>
            </w:r>
          </w:p>
          <w:p>
            <w:pPr>
              <w:spacing w:line="380" w:lineRule="exact"/>
              <w:rPr>
                <w:rFonts w:ascii="仿宋_GB2312"/>
              </w:rPr>
            </w:pPr>
            <w:r>
              <w:rPr>
                <w:rFonts w:ascii="仿宋_GB2312" w:hint="eastAsia"/>
                <w:sz w:val="24"/>
              </w:rPr>
              <w:t>标记的文字、字母和符号应完整、规范、清晰和牢固，且便于识读。</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环境噪声要求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发射机和接收机的噪音应低于85dB。</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雷达应有的铭牌包括的内容</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雷达的名称、型号（代号）；出厂编号；出厂年月；制造厂商标。</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天线罩技术性能指标表</w:t>
      </w:r>
    </w:p>
    <w:tbl>
      <w:tblPr>
        <w:tblStyle w:val="TableNormal"/>
        <w:tblW w:w="8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494"/>
        <w:gridCol w:w="5325"/>
      </w:tblGrid>
      <w:tr>
        <w:tblPrEx>
          <w:tblW w:w="8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27"/>
          <w:jc w:val="center"/>
        </w:trPr>
        <w:tc>
          <w:tcPr>
            <w:tcW w:w="3494" w:type="dxa"/>
            <w:tcBorders>
              <w:top w:val="single" w:sz="4" w:space="0" w:color="auto"/>
              <w:left w:val="single" w:sz="4" w:space="0" w:color="auto"/>
              <w:right w:val="single" w:sz="4" w:space="0" w:color="auto"/>
            </w:tcBorders>
            <w:vAlign w:val="center"/>
          </w:tcPr>
          <w:p>
            <w:pPr>
              <w:adjustRightInd w:val="0"/>
              <w:snapToGrid w:val="0"/>
              <w:spacing w:line="240" w:lineRule="auto"/>
              <w:jc w:val="center"/>
              <w:rPr>
                <w:rFonts w:ascii="仿宋_GB2312"/>
              </w:rPr>
            </w:pPr>
            <w:r>
              <w:rPr>
                <w:rFonts w:ascii="仿宋_GB2312" w:hint="eastAsia"/>
                <w:b/>
                <w:bCs/>
                <w:sz w:val="24"/>
              </w:rPr>
              <w:t>项目</w:t>
            </w:r>
          </w:p>
        </w:tc>
        <w:tc>
          <w:tcPr>
            <w:tcW w:w="5325" w:type="dxa"/>
            <w:tcBorders>
              <w:top w:val="single" w:sz="4" w:space="0" w:color="auto"/>
              <w:left w:val="single" w:sz="4" w:space="0" w:color="auto"/>
              <w:right w:val="single" w:sz="4" w:space="0" w:color="auto"/>
            </w:tcBorders>
            <w:vAlign w:val="center"/>
          </w:tcPr>
          <w:p>
            <w:pPr>
              <w:adjustRightInd w:val="0"/>
              <w:snapToGrid w:val="0"/>
              <w:spacing w:line="240" w:lineRule="auto"/>
              <w:jc w:val="center"/>
              <w:rPr>
                <w:rFonts w:ascii="仿宋_GB2312"/>
                <w:b/>
                <w:bCs/>
              </w:rPr>
            </w:pPr>
            <w:r>
              <w:rPr>
                <w:rFonts w:ascii="仿宋_GB2312" w:hint="eastAsia"/>
                <w:b/>
                <w:bCs/>
                <w:sz w:val="24"/>
              </w:rPr>
              <w:t>性能指标</w:t>
            </w:r>
          </w:p>
        </w:tc>
      </w:tr>
      <w:tr>
        <w:tblPrEx>
          <w:tblW w:w="8819" w:type="dxa"/>
          <w:jc w:val="center"/>
          <w:tblLayout w:type="fixed"/>
          <w:tblCellMar>
            <w:top w:w="0" w:type="dxa"/>
            <w:left w:w="108" w:type="dxa"/>
            <w:bottom w:w="0" w:type="dxa"/>
            <w:right w:w="108" w:type="dxa"/>
          </w:tblCellMar>
        </w:tblPrEx>
        <w:trPr>
          <w:trHeight w:val="327"/>
          <w:jc w:val="center"/>
        </w:trPr>
        <w:tc>
          <w:tcPr>
            <w:tcW w:w="3494" w:type="dxa"/>
            <w:tcBorders>
              <w:top w:val="single" w:sz="4" w:space="0" w:color="auto"/>
              <w:left w:val="single" w:sz="4" w:space="0" w:color="auto"/>
              <w:right w:val="single" w:sz="4" w:space="0" w:color="auto"/>
            </w:tcBorders>
            <w:vAlign w:val="center"/>
          </w:tcPr>
          <w:p>
            <w:pPr>
              <w:adjustRightInd w:val="0"/>
              <w:snapToGrid w:val="0"/>
              <w:spacing w:line="240" w:lineRule="auto"/>
              <w:jc w:val="center"/>
              <w:rPr>
                <w:rFonts w:ascii="仿宋_GB2312"/>
              </w:rPr>
            </w:pPr>
            <w:r>
              <w:rPr>
                <w:rFonts w:ascii="仿宋_GB2312" w:hint="eastAsia"/>
                <w:sz w:val="24"/>
              </w:rPr>
              <w:t>天线罩直径</w:t>
            </w:r>
          </w:p>
        </w:tc>
        <w:tc>
          <w:tcPr>
            <w:tcW w:w="5325" w:type="dxa"/>
            <w:tcBorders>
              <w:top w:val="single" w:sz="4" w:space="0" w:color="auto"/>
              <w:left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≤1.3m</w:t>
            </w:r>
          </w:p>
        </w:tc>
      </w:tr>
      <w:tr>
        <w:tblPrEx>
          <w:tblW w:w="8819" w:type="dxa"/>
          <w:jc w:val="center"/>
          <w:tblLayout w:type="fixed"/>
          <w:tblCellMar>
            <w:top w:w="0" w:type="dxa"/>
            <w:left w:w="108" w:type="dxa"/>
            <w:bottom w:w="0" w:type="dxa"/>
            <w:right w:w="108" w:type="dxa"/>
          </w:tblCellMar>
        </w:tblPrEx>
        <w:trPr>
          <w:trHeight w:val="344"/>
          <w:jc w:val="center"/>
        </w:trPr>
        <w:tc>
          <w:tcPr>
            <w:tcW w:w="3494"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抗风能力（阵风）</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60m/s不损坏</w:t>
            </w:r>
          </w:p>
        </w:tc>
      </w:tr>
      <w:tr>
        <w:tblPrEx>
          <w:tblW w:w="8819" w:type="dxa"/>
          <w:jc w:val="center"/>
          <w:tblLayout w:type="fixed"/>
          <w:tblCellMar>
            <w:top w:w="0" w:type="dxa"/>
            <w:left w:w="108" w:type="dxa"/>
            <w:bottom w:w="0" w:type="dxa"/>
            <w:right w:w="108" w:type="dxa"/>
          </w:tblCellMar>
        </w:tblPrEx>
        <w:trPr>
          <w:trHeight w:val="327"/>
          <w:jc w:val="center"/>
        </w:trPr>
        <w:tc>
          <w:tcPr>
            <w:tcW w:w="3494"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射频损失</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≤1.2dB（双程）</w:t>
            </w:r>
          </w:p>
        </w:tc>
      </w:tr>
      <w:tr>
        <w:tblPrEx>
          <w:tblW w:w="8819" w:type="dxa"/>
          <w:jc w:val="center"/>
          <w:tblLayout w:type="fixed"/>
          <w:tblCellMar>
            <w:top w:w="0" w:type="dxa"/>
            <w:left w:w="108" w:type="dxa"/>
            <w:bottom w:w="0" w:type="dxa"/>
            <w:right w:w="108" w:type="dxa"/>
          </w:tblCellMar>
        </w:tblPrEx>
        <w:trPr>
          <w:trHeight w:val="327"/>
          <w:jc w:val="center"/>
        </w:trPr>
        <w:tc>
          <w:tcPr>
            <w:tcW w:w="3494"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引入波束偏差</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≤0.05°</w:t>
            </w:r>
          </w:p>
        </w:tc>
      </w:tr>
      <w:tr>
        <w:tblPrEx>
          <w:tblW w:w="8819" w:type="dxa"/>
          <w:jc w:val="center"/>
          <w:tblLayout w:type="fixed"/>
          <w:tblCellMar>
            <w:top w:w="0" w:type="dxa"/>
            <w:left w:w="108" w:type="dxa"/>
            <w:bottom w:w="0" w:type="dxa"/>
            <w:right w:w="108" w:type="dxa"/>
          </w:tblCellMar>
        </w:tblPrEx>
        <w:trPr>
          <w:trHeight w:val="327"/>
          <w:jc w:val="center"/>
        </w:trPr>
        <w:tc>
          <w:tcPr>
            <w:tcW w:w="3494"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引入波束展宽</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≤0.05°</w:t>
            </w:r>
          </w:p>
        </w:tc>
      </w:tr>
      <w:tr>
        <w:tblPrEx>
          <w:tblW w:w="8819" w:type="dxa"/>
          <w:jc w:val="center"/>
          <w:tblLayout w:type="fixed"/>
          <w:tblCellMar>
            <w:top w:w="0" w:type="dxa"/>
            <w:left w:w="108" w:type="dxa"/>
            <w:bottom w:w="0" w:type="dxa"/>
            <w:right w:w="108" w:type="dxa"/>
          </w:tblCellMar>
        </w:tblPrEx>
        <w:trPr>
          <w:trHeight w:val="337"/>
          <w:jc w:val="center"/>
        </w:trPr>
        <w:tc>
          <w:tcPr>
            <w:tcW w:w="3494"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引入交叉极化隔离度影响</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≤1.0dB</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天线技术性能指标表</w:t>
      </w:r>
    </w:p>
    <w:tbl>
      <w:tblPr>
        <w:tblStyle w:val="TableNormal"/>
        <w:tblW w:w="8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823"/>
        <w:gridCol w:w="4953"/>
      </w:tblGrid>
      <w:tr>
        <w:tblPrEx>
          <w:tblW w:w="8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2"/>
          <w:jc w:val="center"/>
        </w:trPr>
        <w:tc>
          <w:tcPr>
            <w:tcW w:w="3823"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项目</w:t>
            </w:r>
          </w:p>
        </w:tc>
        <w:tc>
          <w:tcPr>
            <w:tcW w:w="4953"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性能指标</w:t>
            </w:r>
          </w:p>
        </w:tc>
      </w:tr>
      <w:tr>
        <w:tblPrEx>
          <w:tblW w:w="8776" w:type="dxa"/>
          <w:jc w:val="center"/>
          <w:tblLayout w:type="fixed"/>
          <w:tblCellMar>
            <w:top w:w="0" w:type="dxa"/>
            <w:left w:w="108" w:type="dxa"/>
            <w:bottom w:w="0" w:type="dxa"/>
            <w:right w:w="108" w:type="dxa"/>
          </w:tblCellMar>
        </w:tblPrEx>
        <w:trPr>
          <w:trHeight w:val="321"/>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工作频率</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9.1～9.5GHz</w:t>
            </w:r>
          </w:p>
        </w:tc>
      </w:tr>
      <w:tr>
        <w:tblPrEx>
          <w:tblW w:w="8776" w:type="dxa"/>
          <w:jc w:val="center"/>
          <w:tblLayout w:type="fixed"/>
          <w:tblCellMar>
            <w:top w:w="0" w:type="dxa"/>
            <w:left w:w="108" w:type="dxa"/>
            <w:bottom w:w="0" w:type="dxa"/>
            <w:right w:w="108" w:type="dxa"/>
          </w:tblCellMar>
        </w:tblPrEx>
        <w:trPr>
          <w:trHeight w:val="328"/>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极化方式</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线性水平、垂直极化</w:t>
            </w:r>
          </w:p>
        </w:tc>
      </w:tr>
      <w:tr>
        <w:tblPrEx>
          <w:tblW w:w="8776" w:type="dxa"/>
          <w:jc w:val="center"/>
          <w:tblLayout w:type="fixed"/>
          <w:tblCellMar>
            <w:top w:w="0" w:type="dxa"/>
            <w:left w:w="108" w:type="dxa"/>
            <w:bottom w:w="0" w:type="dxa"/>
            <w:right w:w="108" w:type="dxa"/>
          </w:tblCellMar>
        </w:tblPrEx>
        <w:trPr>
          <w:trHeight w:val="328"/>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highlight w:val="yellow"/>
              </w:rPr>
              <w:t>反射面直径</w:t>
            </w:r>
            <w:r>
              <w:rPr>
                <w:rFonts w:eastAsia="方正小标宋简体" w:hint="eastAsia"/>
                <w:sz w:val="28"/>
                <w:szCs w:val="28"/>
                <w:highlight w:val="yellow"/>
                <w:lang w:val="en-US" w:eastAsia="zh-CN"/>
              </w:rPr>
              <w:t>#</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≤1m</w:t>
            </w:r>
          </w:p>
        </w:tc>
      </w:tr>
      <w:tr>
        <w:tblPrEx>
          <w:tblW w:w="8776" w:type="dxa"/>
          <w:jc w:val="center"/>
          <w:tblLayout w:type="fixed"/>
          <w:tblCellMar>
            <w:top w:w="0" w:type="dxa"/>
            <w:left w:w="108" w:type="dxa"/>
            <w:bottom w:w="0" w:type="dxa"/>
            <w:right w:w="108" w:type="dxa"/>
          </w:tblCellMar>
        </w:tblPrEx>
        <w:trPr>
          <w:trHeight w:val="207"/>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水平和垂直波束宽度（3dB）</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≤2.7°（含天线罩）</w:t>
            </w:r>
          </w:p>
        </w:tc>
      </w:tr>
      <w:tr>
        <w:tblPrEx>
          <w:tblW w:w="8776" w:type="dxa"/>
          <w:jc w:val="center"/>
          <w:tblLayout w:type="fixed"/>
          <w:tblCellMar>
            <w:top w:w="0" w:type="dxa"/>
            <w:left w:w="108" w:type="dxa"/>
            <w:bottom w:w="0" w:type="dxa"/>
            <w:right w:w="108" w:type="dxa"/>
          </w:tblCellMar>
        </w:tblPrEx>
        <w:trPr>
          <w:trHeight w:val="206"/>
          <w:jc w:val="center"/>
        </w:trPr>
        <w:tc>
          <w:tcPr>
            <w:tcW w:w="3823" w:type="dxa"/>
            <w:vMerge/>
            <w:tcBorders>
              <w:left w:val="single" w:sz="4" w:space="0" w:color="auto"/>
              <w:bottom w:val="single" w:sz="4" w:space="0" w:color="auto"/>
              <w:right w:val="single" w:sz="4" w:space="0" w:color="auto"/>
            </w:tcBorders>
            <w:vAlign w:val="center"/>
          </w:tcPr>
          <w:p>
            <w:pPr>
              <w:spacing w:line="380" w:lineRule="exact"/>
              <w:rPr>
                <w:rFonts w:ascii="仿宋_GB2312"/>
              </w:rPr>
            </w:pP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≤2.7°（不含天线罩）</w:t>
            </w:r>
          </w:p>
        </w:tc>
      </w:tr>
      <w:tr>
        <w:tblPrEx>
          <w:tblW w:w="8776" w:type="dxa"/>
          <w:jc w:val="center"/>
          <w:tblLayout w:type="fixed"/>
          <w:tblCellMar>
            <w:top w:w="0" w:type="dxa"/>
            <w:left w:w="108" w:type="dxa"/>
            <w:bottom w:w="0" w:type="dxa"/>
            <w:right w:w="108" w:type="dxa"/>
          </w:tblCellMar>
        </w:tblPrEx>
        <w:trPr>
          <w:trHeight w:val="410"/>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双极化波束宽度差异（3dB）</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≤0.1°</w:t>
            </w:r>
          </w:p>
        </w:tc>
      </w:tr>
      <w:tr>
        <w:tblPrEx>
          <w:tblW w:w="8776" w:type="dxa"/>
          <w:jc w:val="center"/>
          <w:tblLayout w:type="fixed"/>
          <w:tblCellMar>
            <w:top w:w="0" w:type="dxa"/>
            <w:left w:w="108" w:type="dxa"/>
            <w:bottom w:w="0" w:type="dxa"/>
            <w:right w:w="108" w:type="dxa"/>
          </w:tblCellMar>
        </w:tblPrEx>
        <w:trPr>
          <w:trHeight w:val="192"/>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增益（水平和垂直）</w:t>
            </w:r>
          </w:p>
        </w:tc>
        <w:tc>
          <w:tcPr>
            <w:tcW w:w="4953"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≥34.4dB（含天线罩）</w:t>
            </w:r>
          </w:p>
        </w:tc>
      </w:tr>
      <w:tr>
        <w:tblPrEx>
          <w:tblW w:w="8776" w:type="dxa"/>
          <w:jc w:val="center"/>
          <w:tblLayout w:type="fixed"/>
          <w:tblCellMar>
            <w:top w:w="0" w:type="dxa"/>
            <w:left w:w="108" w:type="dxa"/>
            <w:bottom w:w="0" w:type="dxa"/>
            <w:right w:w="108" w:type="dxa"/>
          </w:tblCellMar>
        </w:tblPrEx>
        <w:trPr>
          <w:trHeight w:val="191"/>
          <w:jc w:val="center"/>
        </w:trPr>
        <w:tc>
          <w:tcPr>
            <w:tcW w:w="3823" w:type="dxa"/>
            <w:vMerge/>
            <w:tcBorders>
              <w:left w:val="single" w:sz="4" w:space="0" w:color="auto"/>
              <w:right w:val="single" w:sz="4" w:space="0" w:color="auto"/>
            </w:tcBorders>
            <w:vAlign w:val="center"/>
          </w:tcPr>
          <w:p>
            <w:pPr>
              <w:spacing w:line="380" w:lineRule="exact"/>
              <w:rPr>
                <w:rFonts w:ascii="仿宋_GB2312"/>
              </w:rPr>
            </w:pPr>
          </w:p>
        </w:tc>
        <w:tc>
          <w:tcPr>
            <w:tcW w:w="4953"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≥35dB（不含天线罩）</w:t>
            </w:r>
          </w:p>
        </w:tc>
      </w:tr>
      <w:tr>
        <w:tblPrEx>
          <w:tblW w:w="8776" w:type="dxa"/>
          <w:jc w:val="center"/>
          <w:tblLayout w:type="fixed"/>
          <w:tblCellMar>
            <w:top w:w="0" w:type="dxa"/>
            <w:left w:w="108" w:type="dxa"/>
            <w:bottom w:w="0" w:type="dxa"/>
            <w:right w:w="108" w:type="dxa"/>
          </w:tblCellMar>
        </w:tblPrEx>
        <w:trPr>
          <w:trHeight w:val="178"/>
          <w:jc w:val="center"/>
        </w:trPr>
        <w:tc>
          <w:tcPr>
            <w:tcW w:w="3823" w:type="dxa"/>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双极化天线增益差（H面和E面）</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≤0.3dB</w:t>
            </w:r>
          </w:p>
        </w:tc>
      </w:tr>
      <w:tr>
        <w:tblPrEx>
          <w:tblW w:w="8776" w:type="dxa"/>
          <w:jc w:val="center"/>
          <w:tblLayout w:type="fixed"/>
          <w:tblCellMar>
            <w:top w:w="0" w:type="dxa"/>
            <w:left w:w="108" w:type="dxa"/>
            <w:bottom w:w="0" w:type="dxa"/>
            <w:right w:w="108" w:type="dxa"/>
          </w:tblCellMar>
        </w:tblPrEx>
        <w:trPr>
          <w:trHeight w:val="192"/>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最大副瓣电平</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≤-17dB（含天线罩）</w:t>
            </w:r>
          </w:p>
        </w:tc>
      </w:tr>
      <w:tr>
        <w:tblPrEx>
          <w:tblW w:w="8776" w:type="dxa"/>
          <w:jc w:val="center"/>
          <w:tblLayout w:type="fixed"/>
          <w:tblCellMar>
            <w:top w:w="0" w:type="dxa"/>
            <w:left w:w="108" w:type="dxa"/>
            <w:bottom w:w="0" w:type="dxa"/>
            <w:right w:w="108" w:type="dxa"/>
          </w:tblCellMar>
        </w:tblPrEx>
        <w:trPr>
          <w:trHeight w:val="191"/>
          <w:jc w:val="center"/>
        </w:trPr>
        <w:tc>
          <w:tcPr>
            <w:tcW w:w="3823" w:type="dxa"/>
            <w:vMerge/>
            <w:tcBorders>
              <w:left w:val="single" w:sz="4" w:space="0" w:color="auto"/>
              <w:bottom w:val="single" w:sz="4" w:space="0" w:color="auto"/>
              <w:right w:val="single" w:sz="4" w:space="0" w:color="auto"/>
            </w:tcBorders>
            <w:vAlign w:val="center"/>
          </w:tcPr>
          <w:p>
            <w:pPr>
              <w:spacing w:line="380" w:lineRule="exact"/>
              <w:rPr>
                <w:rFonts w:ascii="仿宋_GB2312"/>
              </w:rPr>
            </w:pP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≤-20dB（不含天线罩）</w:t>
            </w:r>
          </w:p>
        </w:tc>
      </w:tr>
      <w:tr>
        <w:tblPrEx>
          <w:tblW w:w="8776" w:type="dxa"/>
          <w:jc w:val="center"/>
          <w:tblLayout w:type="fixed"/>
          <w:tblCellMar>
            <w:top w:w="0" w:type="dxa"/>
            <w:left w:w="108" w:type="dxa"/>
            <w:bottom w:w="0" w:type="dxa"/>
            <w:right w:w="108" w:type="dxa"/>
          </w:tblCellMar>
        </w:tblPrEx>
        <w:trPr>
          <w:trHeight w:val="192"/>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交叉极化隔离度</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≥30dB（含天线罩）</w:t>
            </w:r>
          </w:p>
        </w:tc>
      </w:tr>
      <w:tr>
        <w:tblPrEx>
          <w:tblW w:w="8776" w:type="dxa"/>
          <w:jc w:val="center"/>
          <w:tblLayout w:type="fixed"/>
          <w:tblCellMar>
            <w:top w:w="0" w:type="dxa"/>
            <w:left w:w="108" w:type="dxa"/>
            <w:bottom w:w="0" w:type="dxa"/>
            <w:right w:w="108" w:type="dxa"/>
          </w:tblCellMar>
        </w:tblPrEx>
        <w:trPr>
          <w:trHeight w:val="191"/>
          <w:jc w:val="center"/>
        </w:trPr>
        <w:tc>
          <w:tcPr>
            <w:tcW w:w="3823" w:type="dxa"/>
            <w:vMerge/>
            <w:tcBorders>
              <w:left w:val="single" w:sz="4" w:space="0" w:color="auto"/>
              <w:bottom w:val="single" w:sz="4" w:space="0" w:color="auto"/>
              <w:right w:val="single" w:sz="4" w:space="0" w:color="auto"/>
            </w:tcBorders>
            <w:vAlign w:val="center"/>
          </w:tcPr>
          <w:p>
            <w:pPr>
              <w:spacing w:line="380" w:lineRule="exact"/>
              <w:rPr>
                <w:rFonts w:ascii="仿宋_GB2312"/>
              </w:rPr>
            </w:pP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≥30dB（不含天线罩）</w:t>
            </w:r>
          </w:p>
        </w:tc>
      </w:tr>
      <w:tr>
        <w:tblPrEx>
          <w:tblW w:w="8776" w:type="dxa"/>
          <w:jc w:val="center"/>
          <w:tblLayout w:type="fixed"/>
          <w:tblCellMar>
            <w:top w:w="0" w:type="dxa"/>
            <w:left w:w="108" w:type="dxa"/>
            <w:bottom w:w="0" w:type="dxa"/>
            <w:right w:w="108" w:type="dxa"/>
          </w:tblCellMar>
        </w:tblPrEx>
        <w:trPr>
          <w:trHeight w:val="85"/>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驻波比</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≤1.5（含馈线）</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馈线技术性能指标表</w:t>
      </w:r>
    </w:p>
    <w:tbl>
      <w:tblPr>
        <w:tblStyle w:val="TableNormal"/>
        <w:tblW w:w="8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4969"/>
        <w:gridCol w:w="3770"/>
      </w:tblGrid>
      <w:tr>
        <w:tblPrEx>
          <w:tblW w:w="8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87"/>
          <w:jc w:val="center"/>
        </w:trPr>
        <w:tc>
          <w:tcPr>
            <w:tcW w:w="4969"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项目</w:t>
            </w:r>
          </w:p>
        </w:tc>
        <w:tc>
          <w:tcPr>
            <w:tcW w:w="3770"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性能指标</w:t>
            </w:r>
          </w:p>
        </w:tc>
      </w:tr>
      <w:tr>
        <w:tblPrEx>
          <w:tblW w:w="8739" w:type="dxa"/>
          <w:jc w:val="center"/>
          <w:tblLayout w:type="fixed"/>
          <w:tblCellMar>
            <w:top w:w="0" w:type="dxa"/>
            <w:left w:w="108" w:type="dxa"/>
            <w:bottom w:w="0" w:type="dxa"/>
            <w:right w:w="108" w:type="dxa"/>
          </w:tblCellMar>
        </w:tblPrEx>
        <w:trPr>
          <w:trHeight w:val="387"/>
          <w:jc w:val="center"/>
        </w:trPr>
        <w:tc>
          <w:tcPr>
            <w:tcW w:w="496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损耗（单通道收发总损耗，不含功分器）</w:t>
            </w:r>
          </w:p>
        </w:tc>
        <w:tc>
          <w:tcPr>
            <w:tcW w:w="377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≤3dB</w:t>
            </w:r>
          </w:p>
        </w:tc>
      </w:tr>
      <w:tr>
        <w:tblPrEx>
          <w:tblW w:w="8739" w:type="dxa"/>
          <w:jc w:val="center"/>
          <w:tblLayout w:type="fixed"/>
          <w:tblCellMar>
            <w:top w:w="0" w:type="dxa"/>
            <w:left w:w="108" w:type="dxa"/>
            <w:bottom w:w="0" w:type="dxa"/>
            <w:right w:w="108" w:type="dxa"/>
          </w:tblCellMar>
        </w:tblPrEx>
        <w:trPr>
          <w:trHeight w:val="387"/>
          <w:jc w:val="center"/>
        </w:trPr>
        <w:tc>
          <w:tcPr>
            <w:tcW w:w="496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耦合度</w:t>
            </w:r>
          </w:p>
        </w:tc>
        <w:tc>
          <w:tcPr>
            <w:tcW w:w="377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40±1dB</w:t>
            </w:r>
          </w:p>
        </w:tc>
      </w:tr>
      <w:tr>
        <w:tblPrEx>
          <w:tblW w:w="8739" w:type="dxa"/>
          <w:jc w:val="center"/>
          <w:tblLayout w:type="fixed"/>
          <w:tblCellMar>
            <w:top w:w="0" w:type="dxa"/>
            <w:left w:w="108" w:type="dxa"/>
            <w:bottom w:w="0" w:type="dxa"/>
            <w:right w:w="108" w:type="dxa"/>
          </w:tblCellMar>
        </w:tblPrEx>
        <w:trPr>
          <w:trHeight w:val="397"/>
          <w:jc w:val="center"/>
        </w:trPr>
        <w:tc>
          <w:tcPr>
            <w:tcW w:w="496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驻波比</w:t>
            </w:r>
          </w:p>
        </w:tc>
        <w:tc>
          <w:tcPr>
            <w:tcW w:w="3770"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≤1.5</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 xml:space="preserve"> 伺服转台技术性能指标表</w:t>
      </w:r>
    </w:p>
    <w:tbl>
      <w:tblPr>
        <w:tblStyle w:val="TableNormal"/>
        <w:tblW w:w="8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151"/>
        <w:gridCol w:w="1225"/>
        <w:gridCol w:w="5291"/>
      </w:tblGrid>
      <w:tr>
        <w:tblPrEx>
          <w:tblW w:w="8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60"/>
          <w:jc w:val="center"/>
        </w:trPr>
        <w:tc>
          <w:tcPr>
            <w:tcW w:w="3376" w:type="dxa"/>
            <w:gridSpan w:val="2"/>
            <w:tcBorders>
              <w:top w:val="single" w:sz="4" w:space="0" w:color="auto"/>
              <w:left w:val="single" w:sz="4" w:space="0" w:color="auto"/>
              <w:right w:val="single" w:sz="4" w:space="0" w:color="auto"/>
            </w:tcBorders>
          </w:tcPr>
          <w:p>
            <w:pPr>
              <w:spacing w:line="460" w:lineRule="exact"/>
              <w:jc w:val="center"/>
              <w:rPr>
                <w:rFonts w:ascii="仿宋_GB2312"/>
                <w:b/>
                <w:bCs/>
              </w:rPr>
            </w:pPr>
            <w:r>
              <w:rPr>
                <w:rFonts w:ascii="仿宋_GB2312" w:hint="eastAsia"/>
                <w:b/>
                <w:bCs/>
                <w:sz w:val="24"/>
              </w:rPr>
              <w:t>项目</w:t>
            </w:r>
          </w:p>
        </w:tc>
        <w:tc>
          <w:tcPr>
            <w:tcW w:w="5291" w:type="dxa"/>
            <w:tcBorders>
              <w:top w:val="single" w:sz="4" w:space="0" w:color="auto"/>
              <w:left w:val="single" w:sz="4" w:space="0" w:color="auto"/>
              <w:bottom w:val="single" w:sz="4" w:space="0" w:color="auto"/>
              <w:right w:val="single" w:sz="4" w:space="0" w:color="auto"/>
            </w:tcBorders>
          </w:tcPr>
          <w:p>
            <w:pPr>
              <w:spacing w:line="460" w:lineRule="exact"/>
              <w:jc w:val="center"/>
              <w:rPr>
                <w:rFonts w:ascii="仿宋_GB2312"/>
                <w:b/>
                <w:bCs/>
              </w:rPr>
            </w:pPr>
            <w:r>
              <w:rPr>
                <w:rFonts w:ascii="仿宋_GB2312" w:hint="eastAsia"/>
                <w:b/>
                <w:bCs/>
                <w:sz w:val="24"/>
              </w:rPr>
              <w:t>性能指标</w:t>
            </w:r>
          </w:p>
        </w:tc>
      </w:tr>
      <w:tr>
        <w:tblPrEx>
          <w:tblW w:w="8667" w:type="dxa"/>
          <w:jc w:val="center"/>
          <w:tblLayout w:type="fixed"/>
          <w:tblCellMar>
            <w:top w:w="0" w:type="dxa"/>
            <w:left w:w="108" w:type="dxa"/>
            <w:bottom w:w="0" w:type="dxa"/>
            <w:right w:w="108" w:type="dxa"/>
          </w:tblCellMar>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天线扫描方式</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平面位置扫描、距离高度扫描、体积扫描、扇形扫描、定点扫描、任意指向扫描</w:t>
            </w:r>
          </w:p>
        </w:tc>
      </w:tr>
      <w:tr>
        <w:tblPrEx>
          <w:tblW w:w="8667" w:type="dxa"/>
          <w:jc w:val="center"/>
          <w:tblLayout w:type="fixed"/>
          <w:tblCellMar>
            <w:top w:w="0" w:type="dxa"/>
            <w:left w:w="108" w:type="dxa"/>
            <w:bottom w:w="0" w:type="dxa"/>
            <w:right w:w="108" w:type="dxa"/>
          </w:tblCellMar>
        </w:tblPrEx>
        <w:trPr>
          <w:trHeight w:val="160"/>
          <w:jc w:val="center"/>
        </w:trPr>
        <w:tc>
          <w:tcPr>
            <w:tcW w:w="2151" w:type="dxa"/>
            <w:vMerge w:val="restart"/>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天线扫描范围</w:t>
            </w:r>
          </w:p>
        </w:tc>
        <w:tc>
          <w:tcPr>
            <w:tcW w:w="1225"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方位</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0～360°连续扫描</w:t>
            </w:r>
          </w:p>
        </w:tc>
      </w:tr>
      <w:tr>
        <w:tblPrEx>
          <w:tblW w:w="8667" w:type="dxa"/>
          <w:jc w:val="center"/>
          <w:tblLayout w:type="fixed"/>
          <w:tblCellMar>
            <w:top w:w="0" w:type="dxa"/>
            <w:left w:w="108" w:type="dxa"/>
            <w:bottom w:w="0" w:type="dxa"/>
            <w:right w:w="108" w:type="dxa"/>
          </w:tblCellMar>
        </w:tblPrEx>
        <w:trPr>
          <w:trHeight w:val="160"/>
          <w:jc w:val="center"/>
        </w:trPr>
        <w:tc>
          <w:tcPr>
            <w:tcW w:w="2151"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1225"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-2～+92°往返扫描</w:t>
            </w:r>
          </w:p>
        </w:tc>
      </w:tr>
      <w:tr>
        <w:tblPrEx>
          <w:tblW w:w="8667" w:type="dxa"/>
          <w:jc w:val="center"/>
          <w:tblLayout w:type="fixed"/>
          <w:tblCellMar>
            <w:top w:w="0" w:type="dxa"/>
            <w:left w:w="108" w:type="dxa"/>
            <w:bottom w:w="0" w:type="dxa"/>
            <w:right w:w="108" w:type="dxa"/>
          </w:tblCellMar>
        </w:tblPrEx>
        <w:trPr>
          <w:trHeight w:val="315"/>
          <w:jc w:val="center"/>
        </w:trPr>
        <w:tc>
          <w:tcPr>
            <w:tcW w:w="2151" w:type="dxa"/>
            <w:vMerge w:val="restart"/>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highlight w:val="yellow"/>
              </w:rPr>
              <w:t>天线扫描速度</w:t>
            </w:r>
            <w:r>
              <w:rPr>
                <w:rFonts w:eastAsia="方正小标宋简体" w:hint="eastAsia"/>
                <w:sz w:val="28"/>
                <w:szCs w:val="28"/>
                <w:highlight w:val="yellow"/>
                <w:lang w:val="en-US" w:eastAsia="zh-CN"/>
              </w:rPr>
              <w:t>#</w:t>
            </w:r>
          </w:p>
        </w:tc>
        <w:tc>
          <w:tcPr>
            <w:tcW w:w="1225" w:type="dxa"/>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rPr>
              <w:t>方位</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≥36°/s，≥6°/s误差≤5%</w:t>
            </w:r>
          </w:p>
        </w:tc>
      </w:tr>
      <w:tr>
        <w:tblPrEx>
          <w:tblW w:w="8667" w:type="dxa"/>
          <w:jc w:val="center"/>
          <w:tblLayout w:type="fixed"/>
          <w:tblCellMar>
            <w:top w:w="0" w:type="dxa"/>
            <w:left w:w="108" w:type="dxa"/>
            <w:bottom w:w="0" w:type="dxa"/>
            <w:right w:w="108" w:type="dxa"/>
          </w:tblCellMar>
        </w:tblPrEx>
        <w:trPr>
          <w:trHeight w:val="315"/>
          <w:jc w:val="center"/>
        </w:trPr>
        <w:tc>
          <w:tcPr>
            <w:tcW w:w="2151" w:type="dxa"/>
            <w:vMerge/>
            <w:tcBorders>
              <w:left w:val="single" w:sz="4" w:space="0" w:color="auto"/>
              <w:bottom w:val="single" w:sz="4" w:space="0" w:color="auto"/>
              <w:right w:val="single" w:sz="4" w:space="0" w:color="auto"/>
            </w:tcBorders>
            <w:vAlign w:val="center"/>
          </w:tcPr>
          <w:p>
            <w:pPr>
              <w:spacing w:line="460" w:lineRule="exact"/>
              <w:rPr>
                <w:rFonts w:ascii="仿宋_GB2312"/>
              </w:rPr>
            </w:pPr>
          </w:p>
        </w:tc>
        <w:tc>
          <w:tcPr>
            <w:tcW w:w="1225" w:type="dxa"/>
            <w:tcBorders>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≥12°/s，≥6°/s误差≤5%</w:t>
            </w:r>
          </w:p>
        </w:tc>
      </w:tr>
      <w:tr>
        <w:tblPrEx>
          <w:tblW w:w="8667" w:type="dxa"/>
          <w:jc w:val="center"/>
          <w:tblLayout w:type="fixed"/>
          <w:tblCellMar>
            <w:top w:w="0" w:type="dxa"/>
            <w:left w:w="108" w:type="dxa"/>
            <w:bottom w:w="0" w:type="dxa"/>
            <w:right w:w="108" w:type="dxa"/>
          </w:tblCellMar>
        </w:tblPrEx>
        <w:trPr>
          <w:trHeight w:val="315"/>
          <w:jc w:val="center"/>
        </w:trPr>
        <w:tc>
          <w:tcPr>
            <w:tcW w:w="2151" w:type="dxa"/>
            <w:vMerge w:val="restart"/>
            <w:tcBorders>
              <w:left w:val="single" w:sz="4" w:space="0" w:color="auto"/>
              <w:right w:val="single" w:sz="4" w:space="0" w:color="auto"/>
            </w:tcBorders>
            <w:vAlign w:val="center"/>
          </w:tcPr>
          <w:p>
            <w:pPr>
              <w:spacing w:line="460" w:lineRule="exact"/>
              <w:rPr>
                <w:rFonts w:ascii="仿宋_GB2312"/>
              </w:rPr>
            </w:pPr>
            <w:r>
              <w:rPr>
                <w:rFonts w:ascii="仿宋_GB2312" w:hint="eastAsia"/>
                <w:sz w:val="24"/>
              </w:rPr>
              <w:t>天线扫描加速度</w:t>
            </w:r>
          </w:p>
        </w:tc>
        <w:tc>
          <w:tcPr>
            <w:tcW w:w="1225" w:type="dxa"/>
            <w:tcBorders>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方位</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≥30°/s</w:t>
            </w:r>
            <w:r>
              <w:rPr>
                <w:rFonts w:ascii="仿宋_GB2312" w:hint="eastAsia"/>
                <w:sz w:val="24"/>
                <w:vertAlign w:val="superscript"/>
              </w:rPr>
              <w:t>2</w:t>
            </w:r>
          </w:p>
        </w:tc>
      </w:tr>
      <w:tr>
        <w:tblPrEx>
          <w:tblW w:w="8667" w:type="dxa"/>
          <w:jc w:val="center"/>
          <w:tblLayout w:type="fixed"/>
          <w:tblCellMar>
            <w:top w:w="0" w:type="dxa"/>
            <w:left w:w="108" w:type="dxa"/>
            <w:bottom w:w="0" w:type="dxa"/>
            <w:right w:w="108" w:type="dxa"/>
          </w:tblCellMar>
        </w:tblPrEx>
        <w:trPr>
          <w:trHeight w:val="315"/>
          <w:jc w:val="center"/>
        </w:trPr>
        <w:tc>
          <w:tcPr>
            <w:tcW w:w="2151" w:type="dxa"/>
            <w:vMerge/>
            <w:tcBorders>
              <w:left w:val="single" w:sz="4" w:space="0" w:color="auto"/>
              <w:bottom w:val="single" w:sz="4" w:space="0" w:color="auto"/>
              <w:right w:val="single" w:sz="4" w:space="0" w:color="auto"/>
            </w:tcBorders>
            <w:vAlign w:val="center"/>
          </w:tcPr>
          <w:p>
            <w:pPr>
              <w:spacing w:line="460" w:lineRule="exact"/>
              <w:rPr>
                <w:rFonts w:ascii="仿宋_GB2312"/>
              </w:rPr>
            </w:pPr>
          </w:p>
        </w:tc>
        <w:tc>
          <w:tcPr>
            <w:tcW w:w="1225" w:type="dxa"/>
            <w:tcBorders>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≥10°/s</w:t>
            </w:r>
            <w:r>
              <w:rPr>
                <w:rFonts w:ascii="仿宋_GB2312" w:hint="eastAsia"/>
                <w:sz w:val="24"/>
                <w:vertAlign w:val="superscript"/>
              </w:rPr>
              <w:t>2</w:t>
            </w:r>
          </w:p>
        </w:tc>
      </w:tr>
      <w:tr>
        <w:tblPrEx>
          <w:tblW w:w="8667" w:type="dxa"/>
          <w:jc w:val="center"/>
          <w:tblLayout w:type="fixed"/>
          <w:tblCellMar>
            <w:top w:w="0" w:type="dxa"/>
            <w:left w:w="108" w:type="dxa"/>
            <w:bottom w:w="0" w:type="dxa"/>
            <w:right w:w="108" w:type="dxa"/>
          </w:tblCellMar>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天线控制方式</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预置全自动、人工干预自动/手动控制</w:t>
            </w:r>
          </w:p>
        </w:tc>
      </w:tr>
      <w:tr>
        <w:tblPrEx>
          <w:tblW w:w="8667" w:type="dxa"/>
          <w:jc w:val="center"/>
          <w:tblLayout w:type="fixed"/>
          <w:tblCellMar>
            <w:top w:w="0" w:type="dxa"/>
            <w:left w:w="108" w:type="dxa"/>
            <w:bottom w:w="0" w:type="dxa"/>
            <w:right w:w="108" w:type="dxa"/>
          </w:tblCellMar>
        </w:tblPrEx>
        <w:trPr>
          <w:trHeight w:val="490"/>
          <w:jc w:val="center"/>
        </w:trPr>
        <w:tc>
          <w:tcPr>
            <w:tcW w:w="3376" w:type="dxa"/>
            <w:gridSpan w:val="2"/>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rPr>
              <w:t>波束指向误差（方位和俯仰）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≤0.3°</w:t>
            </w:r>
          </w:p>
        </w:tc>
      </w:tr>
      <w:tr>
        <w:tblPrEx>
          <w:tblW w:w="8667" w:type="dxa"/>
          <w:jc w:val="center"/>
          <w:tblLayout w:type="fixed"/>
          <w:tblCellMar>
            <w:top w:w="0" w:type="dxa"/>
            <w:left w:w="108" w:type="dxa"/>
            <w:bottom w:w="0" w:type="dxa"/>
            <w:right w:w="108" w:type="dxa"/>
          </w:tblCellMar>
        </w:tblPrEx>
        <w:trPr>
          <w:trHeight w:val="450"/>
          <w:jc w:val="center"/>
        </w:trPr>
        <w:tc>
          <w:tcPr>
            <w:tcW w:w="3376" w:type="dxa"/>
            <w:gridSpan w:val="2"/>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rPr>
              <w:t>天线控制精度（方位和俯仰）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≤0.2°</w:t>
            </w:r>
          </w:p>
        </w:tc>
      </w:tr>
      <w:tr>
        <w:tblPrEx>
          <w:tblW w:w="8667" w:type="dxa"/>
          <w:jc w:val="center"/>
          <w:tblLayout w:type="fixed"/>
          <w:tblCellMar>
            <w:top w:w="0" w:type="dxa"/>
            <w:left w:w="108" w:type="dxa"/>
            <w:bottom w:w="0" w:type="dxa"/>
            <w:right w:w="108" w:type="dxa"/>
          </w:tblCellMar>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天线控制字长</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≥14位</w:t>
            </w:r>
          </w:p>
        </w:tc>
      </w:tr>
      <w:tr>
        <w:tblPrEx>
          <w:tblW w:w="8667" w:type="dxa"/>
          <w:jc w:val="center"/>
          <w:tblLayout w:type="fixed"/>
          <w:tblCellMar>
            <w:top w:w="0" w:type="dxa"/>
            <w:left w:w="108" w:type="dxa"/>
            <w:bottom w:w="0" w:type="dxa"/>
            <w:right w:w="108" w:type="dxa"/>
          </w:tblCellMar>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角度编码器字长</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≥14位</w:t>
            </w:r>
          </w:p>
        </w:tc>
      </w:tr>
      <w:tr>
        <w:tblPrEx>
          <w:tblW w:w="8667" w:type="dxa"/>
          <w:jc w:val="center"/>
          <w:tblLayout w:type="fixed"/>
          <w:tblCellMar>
            <w:top w:w="0" w:type="dxa"/>
            <w:left w:w="108" w:type="dxa"/>
            <w:bottom w:w="0" w:type="dxa"/>
            <w:right w:w="108" w:type="dxa"/>
          </w:tblCellMar>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安全与保护</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在方位、俯仰机构上应有电气、机械安全设施，以保护天线在工作与运输过程中的安全。方位、俯仰控制应有保护电路；天线在俯仰角最低和最高处应有机械安全开关，保证天线上仰不超过最高限位，下俯不低于最低限位；天线在方位和俯仰角上均应有机械锁定机构，防止天线在运输和架设过程中发生晃动。具有俯仰电源、方位电源故障监测等</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发射机技术性能指标表</w:t>
      </w:r>
    </w:p>
    <w:tbl>
      <w:tblPr>
        <w:tblStyle w:val="TableNormal"/>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702"/>
        <w:gridCol w:w="4961"/>
      </w:tblGrid>
      <w:tr>
        <w:tblPrEx>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41"/>
          <w:jc w:val="center"/>
        </w:trPr>
        <w:tc>
          <w:tcPr>
            <w:tcW w:w="3702" w:type="dxa"/>
            <w:tcBorders>
              <w:top w:val="single" w:sz="4" w:space="0" w:color="auto"/>
              <w:left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项目</w:t>
            </w:r>
          </w:p>
        </w:tc>
        <w:tc>
          <w:tcPr>
            <w:tcW w:w="4961" w:type="dxa"/>
            <w:tcBorders>
              <w:top w:val="single" w:sz="4" w:space="0" w:color="auto"/>
              <w:left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性能指标</w:t>
            </w:r>
          </w:p>
        </w:tc>
      </w:tr>
      <w:tr>
        <w:tblPrEx>
          <w:tblW w:w="8663" w:type="dxa"/>
          <w:jc w:val="center"/>
          <w:tblLayout w:type="fixed"/>
          <w:tblCellMar>
            <w:top w:w="0" w:type="dxa"/>
            <w:left w:w="108" w:type="dxa"/>
            <w:bottom w:w="0" w:type="dxa"/>
            <w:right w:w="108" w:type="dxa"/>
          </w:tblCellMar>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发射机类型</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全固态</w:t>
            </w:r>
          </w:p>
        </w:tc>
      </w:tr>
      <w:tr>
        <w:tblPrEx>
          <w:tblW w:w="8663" w:type="dxa"/>
          <w:jc w:val="center"/>
          <w:tblLayout w:type="fixed"/>
          <w:tblCellMar>
            <w:top w:w="0" w:type="dxa"/>
            <w:left w:w="108" w:type="dxa"/>
            <w:bottom w:w="0" w:type="dxa"/>
            <w:right w:w="108" w:type="dxa"/>
          </w:tblCellMar>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工作频率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9.1～9.5GHz</w:t>
            </w:r>
          </w:p>
        </w:tc>
      </w:tr>
      <w:tr>
        <w:tblPrEx>
          <w:tblW w:w="8663" w:type="dxa"/>
          <w:jc w:val="center"/>
          <w:tblLayout w:type="fixed"/>
          <w:tblCellMar>
            <w:top w:w="0" w:type="dxa"/>
            <w:left w:w="108" w:type="dxa"/>
            <w:bottom w:w="0" w:type="dxa"/>
            <w:right w:w="108" w:type="dxa"/>
          </w:tblCellMar>
        </w:tblPrEx>
        <w:trPr>
          <w:trHeight w:val="317"/>
          <w:jc w:val="center"/>
        </w:trPr>
        <w:tc>
          <w:tcPr>
            <w:tcW w:w="3702"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highlight w:val="yellow"/>
              </w:rPr>
              <w:t>脉冲峰值功率（总功率）</w:t>
            </w:r>
            <w:r>
              <w:rPr>
                <w:rFonts w:eastAsia="方正小标宋简体" w:hint="eastAsia"/>
                <w:sz w:val="28"/>
                <w:szCs w:val="28"/>
                <w:highlight w:val="yellow"/>
                <w:lang w:val="en-US" w:eastAsia="zh-CN"/>
              </w:rPr>
              <w:t>#</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200W～300W</w:t>
            </w:r>
          </w:p>
        </w:tc>
      </w:tr>
      <w:tr>
        <w:tblPrEx>
          <w:tblW w:w="8663" w:type="dxa"/>
          <w:jc w:val="center"/>
          <w:tblLayout w:type="fixed"/>
          <w:tblCellMar>
            <w:top w:w="0" w:type="dxa"/>
            <w:left w:w="108" w:type="dxa"/>
            <w:bottom w:w="0" w:type="dxa"/>
            <w:right w:w="108" w:type="dxa"/>
          </w:tblCellMar>
        </w:tblPrEx>
        <w:trPr>
          <w:trHeight w:val="317"/>
          <w:jc w:val="center"/>
        </w:trPr>
        <w:tc>
          <w:tcPr>
            <w:tcW w:w="3702"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机内外峰值功率最大偏差</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±0.2dB范围内</w:t>
            </w:r>
          </w:p>
        </w:tc>
      </w:tr>
      <w:tr>
        <w:tblPrEx>
          <w:tblW w:w="8663" w:type="dxa"/>
          <w:jc w:val="center"/>
          <w:tblLayout w:type="fixed"/>
          <w:tblCellMar>
            <w:top w:w="0" w:type="dxa"/>
            <w:left w:w="108" w:type="dxa"/>
            <w:bottom w:w="0" w:type="dxa"/>
            <w:right w:w="108" w:type="dxa"/>
          </w:tblCellMar>
        </w:tblPrEx>
        <w:trPr>
          <w:trHeight w:val="317"/>
          <w:jc w:val="center"/>
        </w:trPr>
        <w:tc>
          <w:tcPr>
            <w:tcW w:w="3702"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峰值功率波动（24小时，以现场安装后测试结果为基准，更换相关器件后重新标校）</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±1dB范围内</w:t>
            </w:r>
          </w:p>
        </w:tc>
      </w:tr>
      <w:tr>
        <w:tblPrEx>
          <w:tblW w:w="8663" w:type="dxa"/>
          <w:jc w:val="center"/>
          <w:tblLayout w:type="fixed"/>
          <w:tblCellMar>
            <w:top w:w="0" w:type="dxa"/>
            <w:left w:w="108" w:type="dxa"/>
            <w:bottom w:w="0" w:type="dxa"/>
            <w:right w:w="108" w:type="dxa"/>
          </w:tblCellMar>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highlight w:val="yellow"/>
              </w:rPr>
              <w:t>脉冲重复频率</w:t>
            </w:r>
            <w:r>
              <w:rPr>
                <w:rFonts w:eastAsia="方正小标宋简体" w:hint="eastAsia"/>
                <w:sz w:val="28"/>
                <w:szCs w:val="28"/>
                <w:highlight w:val="yellow"/>
                <w:lang w:val="en-US" w:eastAsia="zh-CN"/>
              </w:rPr>
              <w:t>#</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500Hz～3000Hz</w:t>
            </w:r>
          </w:p>
        </w:tc>
      </w:tr>
      <w:tr>
        <w:tblPrEx>
          <w:tblW w:w="8663" w:type="dxa"/>
          <w:jc w:val="center"/>
          <w:tblLayout w:type="fixed"/>
          <w:tblCellMar>
            <w:top w:w="0" w:type="dxa"/>
            <w:left w:w="108" w:type="dxa"/>
            <w:bottom w:w="0" w:type="dxa"/>
            <w:right w:w="108" w:type="dxa"/>
          </w:tblCellMar>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脉冲宽度</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0.5～200μs（可选）</w:t>
            </w:r>
          </w:p>
        </w:tc>
      </w:tr>
      <w:tr>
        <w:tblPrEx>
          <w:tblW w:w="8663" w:type="dxa"/>
          <w:jc w:val="center"/>
          <w:tblLayout w:type="fixed"/>
          <w:tblCellMar>
            <w:top w:w="0" w:type="dxa"/>
            <w:left w:w="108" w:type="dxa"/>
            <w:bottom w:w="0" w:type="dxa"/>
            <w:right w:w="108" w:type="dxa"/>
          </w:tblCellMar>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谐波和杂散抑制</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≥40dB</w:t>
            </w:r>
          </w:p>
        </w:tc>
      </w:tr>
      <w:tr>
        <w:tblPrEx>
          <w:tblW w:w="8663" w:type="dxa"/>
          <w:jc w:val="center"/>
          <w:tblLayout w:type="fixed"/>
          <w:tblCellMar>
            <w:top w:w="0" w:type="dxa"/>
            <w:left w:w="108" w:type="dxa"/>
            <w:bottom w:w="0" w:type="dxa"/>
            <w:right w:w="108" w:type="dxa"/>
          </w:tblCellMar>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故障检测和保护</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发生过温、过流等情况时可报警并实现自保；输出功率低时输出报警信号。</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接收机技术性能指标表</w:t>
      </w:r>
    </w:p>
    <w:tbl>
      <w:tblPr>
        <w:tblStyle w:val="TableNormal"/>
        <w:tblW w:w="8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838"/>
        <w:gridCol w:w="1355"/>
        <w:gridCol w:w="4475"/>
      </w:tblGrid>
      <w:tr>
        <w:tblPrEx>
          <w:tblW w:w="8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14"/>
          <w:jc w:val="center"/>
        </w:trPr>
        <w:tc>
          <w:tcPr>
            <w:tcW w:w="4193" w:type="dxa"/>
            <w:gridSpan w:val="2"/>
            <w:tcBorders>
              <w:top w:val="single" w:sz="4" w:space="0" w:color="auto"/>
              <w:left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项目</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性能指标</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工作频率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9.1～9.5GHz</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噪声系数（带宽1MHz）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≤3dB（机外）</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双通道噪声系数差异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±0.3dB范围内</w:t>
            </w:r>
          </w:p>
          <w:p>
            <w:pPr>
              <w:spacing w:line="360" w:lineRule="exact"/>
              <w:rPr>
                <w:rFonts w:ascii="仿宋_GB2312"/>
              </w:rPr>
            </w:pPr>
            <w:r>
              <w:rPr>
                <w:rFonts w:ascii="仿宋_GB2312" w:hint="eastAsia"/>
                <w:sz w:val="24"/>
              </w:rPr>
              <w:t>（机外）</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线性动态范围（带宽1MHz）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≥80dB（机外）</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highlight w:val="yellow"/>
              </w:rPr>
            </w:pPr>
            <w:r>
              <w:rPr>
                <w:rFonts w:ascii="仿宋_GB2312" w:hint="eastAsia"/>
                <w:sz w:val="24"/>
                <w:highlight w:val="yellow"/>
              </w:rPr>
              <w:t>最小可测功率（灵敏度）</w:t>
            </w:r>
            <w:r>
              <w:rPr>
                <w:rFonts w:eastAsia="方正小标宋简体" w:hint="eastAsia"/>
                <w:sz w:val="28"/>
                <w:szCs w:val="28"/>
                <w:highlight w:val="yellow"/>
                <w:lang w:val="en-US" w:eastAsia="zh-CN"/>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≤-110dBm（带宽1MHz）</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机内外接收增益最大偏差</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±2dB范围内</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接收增益波动（24小时，以现场安装后测试结果为基准，更换相关器件后重新标校）</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±2dB范围内</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中频输出杂散</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≤-40dBc</w:t>
            </w:r>
          </w:p>
        </w:tc>
      </w:tr>
      <w:tr>
        <w:tblPrEx>
          <w:tblW w:w="8668" w:type="dxa"/>
          <w:jc w:val="center"/>
          <w:tblLayout w:type="fixed"/>
          <w:tblCellMar>
            <w:top w:w="0" w:type="dxa"/>
            <w:left w:w="108" w:type="dxa"/>
            <w:bottom w:w="0" w:type="dxa"/>
            <w:right w:w="108" w:type="dxa"/>
          </w:tblCellMar>
        </w:tblPrEx>
        <w:trPr>
          <w:trHeight w:val="357"/>
          <w:jc w:val="center"/>
        </w:trPr>
        <w:tc>
          <w:tcPr>
            <w:tcW w:w="2838" w:type="dxa"/>
            <w:vMerge w:val="restart"/>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频率源射频输出相位噪声</w:t>
            </w:r>
          </w:p>
        </w:tc>
        <w:tc>
          <w:tcPr>
            <w:tcW w:w="135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 xml:space="preserve">≤-110dBc/Hz </w:t>
            </w:r>
          </w:p>
        </w:tc>
      </w:tr>
      <w:tr>
        <w:tblPrEx>
          <w:tblW w:w="8668" w:type="dxa"/>
          <w:jc w:val="center"/>
          <w:tblLayout w:type="fixed"/>
          <w:tblCellMar>
            <w:top w:w="0" w:type="dxa"/>
            <w:left w:w="108" w:type="dxa"/>
            <w:bottom w:w="0" w:type="dxa"/>
            <w:right w:w="108" w:type="dxa"/>
          </w:tblCellMar>
        </w:tblPrEx>
        <w:trPr>
          <w:trHeight w:val="418"/>
          <w:jc w:val="center"/>
        </w:trPr>
        <w:tc>
          <w:tcPr>
            <w:tcW w:w="2838" w:type="dxa"/>
            <w:vMerge/>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p>
        </w:tc>
        <w:tc>
          <w:tcPr>
            <w:tcW w:w="135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@10KHz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 xml:space="preserve">≤-115dBc/Hz </w:t>
            </w:r>
          </w:p>
        </w:tc>
      </w:tr>
      <w:tr>
        <w:tblPrEx>
          <w:tblW w:w="8668" w:type="dxa"/>
          <w:jc w:val="center"/>
          <w:tblLayout w:type="fixed"/>
          <w:tblCellMar>
            <w:top w:w="0" w:type="dxa"/>
            <w:left w:w="108" w:type="dxa"/>
            <w:bottom w:w="0" w:type="dxa"/>
            <w:right w:w="108" w:type="dxa"/>
          </w:tblCellMar>
        </w:tblPrEx>
        <w:trPr>
          <w:trHeight w:val="418"/>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highlight w:val="yellow"/>
              </w:rPr>
              <w:t>谐波和杂散抑制</w:t>
            </w:r>
            <w:r>
              <w:rPr>
                <w:rFonts w:eastAsia="方正小标宋简体" w:hint="eastAsia"/>
                <w:sz w:val="28"/>
                <w:szCs w:val="28"/>
                <w:highlight w:val="yellow"/>
                <w:lang w:val="en-US" w:eastAsia="zh-CN"/>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≥40dB</w:t>
            </w:r>
          </w:p>
        </w:tc>
      </w:tr>
      <w:tr>
        <w:tblPrEx>
          <w:tblW w:w="8668" w:type="dxa"/>
          <w:jc w:val="center"/>
          <w:tblLayout w:type="fixed"/>
          <w:tblCellMar>
            <w:top w:w="0" w:type="dxa"/>
            <w:left w:w="108" w:type="dxa"/>
            <w:bottom w:w="0" w:type="dxa"/>
            <w:right w:w="108" w:type="dxa"/>
          </w:tblCellMar>
        </w:tblPrEx>
        <w:trPr>
          <w:trHeight w:val="418"/>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本振中的射频信号抑制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≥40dB</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故障检测和保护</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 xml:space="preserve">发生本振故障、激励故障、时钟故障、RFD测量误差超限等情况时可报警。 </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数字中频单元技术性能指标表</w:t>
      </w:r>
    </w:p>
    <w:tbl>
      <w:tblPr>
        <w:tblStyle w:val="TableNormal"/>
        <w:tblW w:w="8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600"/>
        <w:gridCol w:w="5050"/>
      </w:tblGrid>
      <w:tr>
        <w:tblPrEx>
          <w:tblW w:w="8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14"/>
          <w:jc w:val="center"/>
        </w:trPr>
        <w:tc>
          <w:tcPr>
            <w:tcW w:w="3600" w:type="dxa"/>
            <w:tcBorders>
              <w:top w:val="single" w:sz="4" w:space="0" w:color="auto"/>
              <w:left w:val="single" w:sz="4" w:space="0" w:color="auto"/>
              <w:right w:val="single" w:sz="4" w:space="0" w:color="auto"/>
            </w:tcBorders>
            <w:vAlign w:val="center"/>
          </w:tcPr>
          <w:p>
            <w:pPr>
              <w:spacing w:line="320" w:lineRule="exact"/>
              <w:jc w:val="center"/>
              <w:rPr>
                <w:rFonts w:ascii="仿宋_GB2312"/>
                <w:b/>
                <w:bCs/>
              </w:rPr>
            </w:pPr>
            <w:r>
              <w:rPr>
                <w:rFonts w:ascii="仿宋_GB2312" w:hint="eastAsia"/>
                <w:b/>
                <w:bCs/>
                <w:sz w:val="24"/>
              </w:rPr>
              <w:t>项目</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20" w:lineRule="exact"/>
              <w:jc w:val="center"/>
              <w:rPr>
                <w:rFonts w:ascii="仿宋_GB2312"/>
                <w:b/>
                <w:bCs/>
              </w:rPr>
            </w:pPr>
            <w:r>
              <w:rPr>
                <w:rFonts w:ascii="仿宋_GB2312" w:hint="eastAsia"/>
                <w:b/>
                <w:bCs/>
                <w:sz w:val="24"/>
              </w:rPr>
              <w:t>性能指标</w:t>
            </w:r>
          </w:p>
        </w:tc>
      </w:tr>
      <w:tr>
        <w:tblPrEx>
          <w:tblW w:w="8650" w:type="dxa"/>
          <w:jc w:val="center"/>
          <w:tblLayout w:type="fixed"/>
          <w:tblCellMar>
            <w:top w:w="0" w:type="dxa"/>
            <w:left w:w="108" w:type="dxa"/>
            <w:bottom w:w="0" w:type="dxa"/>
            <w:right w:w="108" w:type="dxa"/>
          </w:tblCellMar>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hint="eastAsia"/>
              </w:rPr>
            </w:pPr>
            <w:r>
              <w:rPr>
                <w:rFonts w:ascii="仿宋_GB2312" w:hint="eastAsia"/>
                <w:sz w:val="24"/>
                <w:highlight w:val="yellow"/>
              </w:rPr>
              <w:t>脉冲压缩主副瓣比</w:t>
            </w:r>
            <w:r>
              <w:rPr>
                <w:rFonts w:ascii="仿宋_GB2312" w:hint="eastAsia"/>
                <w:sz w:val="24"/>
                <w:highlight w:val="yellow"/>
                <w:lang w:val="en-US" w:eastAsia="zh-CN"/>
              </w:rPr>
              <w:t>#</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脉压比≥100时，≥50dB</w:t>
            </w:r>
          </w:p>
        </w:tc>
      </w:tr>
      <w:tr>
        <w:tblPrEx>
          <w:tblW w:w="8650" w:type="dxa"/>
          <w:jc w:val="center"/>
          <w:tblLayout w:type="fixed"/>
          <w:tblCellMar>
            <w:top w:w="0" w:type="dxa"/>
            <w:left w:w="108" w:type="dxa"/>
            <w:bottom w:w="0" w:type="dxa"/>
            <w:right w:w="108" w:type="dxa"/>
          </w:tblCellMar>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距离库数</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≥500个</w:t>
            </w:r>
          </w:p>
        </w:tc>
      </w:tr>
      <w:tr>
        <w:tblPrEx>
          <w:tblW w:w="8650" w:type="dxa"/>
          <w:jc w:val="center"/>
          <w:tblLayout w:type="fixed"/>
          <w:tblCellMar>
            <w:top w:w="0" w:type="dxa"/>
            <w:left w:w="108" w:type="dxa"/>
            <w:bottom w:w="0" w:type="dxa"/>
            <w:right w:w="108" w:type="dxa"/>
          </w:tblCellMar>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相关系数处理方式</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一阶相关或多阶相关</w:t>
            </w:r>
          </w:p>
        </w:tc>
      </w:tr>
      <w:tr>
        <w:tblPrEx>
          <w:tblW w:w="8650" w:type="dxa"/>
          <w:jc w:val="center"/>
          <w:tblLayout w:type="fixed"/>
          <w:tblCellMar>
            <w:top w:w="0" w:type="dxa"/>
            <w:left w:w="108" w:type="dxa"/>
            <w:bottom w:w="0" w:type="dxa"/>
            <w:right w:w="108" w:type="dxa"/>
          </w:tblCellMar>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处理对数</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16、32、64、128、256等可选</w:t>
            </w:r>
          </w:p>
        </w:tc>
      </w:tr>
      <w:tr>
        <w:tblPrEx>
          <w:tblW w:w="8650" w:type="dxa"/>
          <w:jc w:val="center"/>
          <w:tblLayout w:type="fixed"/>
          <w:tblCellMar>
            <w:top w:w="0" w:type="dxa"/>
            <w:left w:w="108" w:type="dxa"/>
            <w:bottom w:w="0" w:type="dxa"/>
            <w:right w:w="108" w:type="dxa"/>
          </w:tblCellMar>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hint="eastAsia"/>
              </w:rPr>
            </w:pPr>
            <w:r>
              <w:rPr>
                <w:rFonts w:ascii="仿宋_GB2312" w:hint="eastAsia"/>
                <w:sz w:val="24"/>
                <w:highlight w:val="yellow"/>
              </w:rPr>
              <w:t>支持脉冲数</w:t>
            </w:r>
            <w:r>
              <w:rPr>
                <w:rFonts w:ascii="仿宋_GB2312" w:hint="eastAsia"/>
                <w:sz w:val="24"/>
                <w:highlight w:val="yellow"/>
                <w:lang w:val="en-US" w:eastAsia="zh-CN"/>
              </w:rPr>
              <w:t>#</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同一发射周期内最大支持3种脉冲宽度拼接补盲，可选脉冲宽度支持0.5μs</w:t>
            </w:r>
            <w:r>
              <w:rPr>
                <w:rFonts w:ascii="宋体" w:eastAsia="宋体" w:hAnsi="宋体" w:hint="eastAsia"/>
                <w:sz w:val="24"/>
              </w:rPr>
              <w:t>～</w:t>
            </w:r>
            <w:r>
              <w:rPr>
                <w:rFonts w:ascii="仿宋_GB2312" w:hint="eastAsia"/>
                <w:sz w:val="24"/>
              </w:rPr>
              <w:t>200μs</w:t>
            </w:r>
          </w:p>
        </w:tc>
      </w:tr>
      <w:tr>
        <w:tblPrEx>
          <w:tblW w:w="8650" w:type="dxa"/>
          <w:jc w:val="center"/>
          <w:tblLayout w:type="fixed"/>
          <w:tblCellMar>
            <w:top w:w="0" w:type="dxa"/>
            <w:left w:w="108" w:type="dxa"/>
            <w:bottom w:w="0" w:type="dxa"/>
            <w:right w:w="108" w:type="dxa"/>
          </w:tblCellMar>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距离退模糊方法</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相位编码或其它等效方法</w:t>
            </w:r>
          </w:p>
        </w:tc>
      </w:tr>
      <w:tr>
        <w:tblPrEx>
          <w:tblW w:w="8650" w:type="dxa"/>
          <w:jc w:val="center"/>
          <w:tblLayout w:type="fixed"/>
          <w:tblCellMar>
            <w:top w:w="0" w:type="dxa"/>
            <w:left w:w="108" w:type="dxa"/>
            <w:bottom w:w="0" w:type="dxa"/>
            <w:right w:w="108" w:type="dxa"/>
          </w:tblCellMar>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速度退模糊方法</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双重频或其它等效方法</w:t>
            </w:r>
          </w:p>
        </w:tc>
      </w:tr>
      <w:tr>
        <w:tblPrEx>
          <w:tblW w:w="8650" w:type="dxa"/>
          <w:jc w:val="center"/>
          <w:tblLayout w:type="fixed"/>
          <w:tblCellMar>
            <w:top w:w="0" w:type="dxa"/>
            <w:left w:w="108" w:type="dxa"/>
            <w:bottom w:w="0" w:type="dxa"/>
            <w:right w:w="108" w:type="dxa"/>
          </w:tblCellMar>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故障检测和保护</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IQ数据、数据丢包、参数输出等故障</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信号处理算法</w:t>
      </w:r>
    </w:p>
    <w:tbl>
      <w:tblPr>
        <w:tblStyle w:val="TableNormal"/>
        <w:tblW w:w="48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3"/>
        <w:gridCol w:w="2000"/>
        <w:gridCol w:w="5887"/>
      </w:tblGrid>
      <w:tr>
        <w:tblPrEx>
          <w:tblW w:w="48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b/>
                <w:bCs/>
                <w:kern w:val="0"/>
              </w:rPr>
            </w:pPr>
            <w:r>
              <w:rPr>
                <w:rFonts w:ascii="仿宋_GB2312" w:hAnsi="宋体" w:cs="宋体" w:hint="eastAsia"/>
                <w:b/>
                <w:bCs/>
                <w:kern w:val="0"/>
                <w:sz w:val="24"/>
                <w:szCs w:val="24"/>
              </w:rPr>
              <w:t>序号</w:t>
            </w:r>
          </w:p>
        </w:tc>
        <w:tc>
          <w:tcPr>
            <w:tcW w:w="4558" w:type="pct"/>
            <w:gridSpan w:val="2"/>
            <w:noWrap/>
            <w:vAlign w:val="center"/>
          </w:tcPr>
          <w:p>
            <w:pPr>
              <w:widowControl/>
              <w:adjustRightInd w:val="0"/>
              <w:snapToGrid w:val="0"/>
              <w:spacing w:line="400" w:lineRule="exact"/>
              <w:jc w:val="center"/>
              <w:rPr>
                <w:rFonts w:ascii="仿宋_GB2312" w:hAnsi="宋体" w:cs="宋体"/>
                <w:b/>
                <w:bCs/>
                <w:kern w:val="0"/>
              </w:rPr>
            </w:pPr>
            <w:r>
              <w:rPr>
                <w:rFonts w:ascii="仿宋_GB2312" w:hAnsi="宋体" w:cs="宋体" w:hint="eastAsia"/>
                <w:b/>
                <w:bCs/>
                <w:kern w:val="0"/>
                <w:sz w:val="24"/>
                <w:szCs w:val="24"/>
              </w:rPr>
              <w:t>算法名称</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w:t>
            </w:r>
          </w:p>
        </w:tc>
        <w:tc>
          <w:tcPr>
            <w:tcW w:w="1156"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highlight w:val="yellow"/>
              </w:rPr>
              <w:t>杂波抑制</w:t>
            </w:r>
            <w:r>
              <w:rPr>
                <w:rFonts w:eastAsia="方正小标宋简体" w:hint="eastAsia"/>
                <w:sz w:val="28"/>
                <w:szCs w:val="28"/>
                <w:highlight w:val="yellow"/>
                <w:lang w:val="en-US" w:eastAsia="zh-CN"/>
              </w:rPr>
              <w:t>#</w:t>
            </w: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电磁干扰识别</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电磁干扰抑制</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3</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风电干扰识别</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4</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风电干扰抑制</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5</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地杂波识别</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6</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地杂波抑制</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7</w:t>
            </w:r>
          </w:p>
        </w:tc>
        <w:tc>
          <w:tcPr>
            <w:tcW w:w="1156"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距离/速度退模糊</w:t>
            </w: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双重频（DPRF）</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8</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参差重频（SPRT）</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9</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随机相位调制</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10</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系统相位编码</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11</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批处理</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12</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分层处理</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13</w:t>
            </w:r>
          </w:p>
        </w:tc>
        <w:tc>
          <w:tcPr>
            <w:tcW w:w="1156"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参数估计</w:t>
            </w: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常规估计（反射率因子、径向速度、速度谱宽、差分反射率、差分传播相移、相关系数）</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14</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频域估计（反射率因子、径向速度、速度谱宽、差分反射率、差分传播相移、相关系数）</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15</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多阶相关估计（反射率因子、径向速度、速度谱宽、差分反射率、差分传播相移、相关系数）</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16</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线性规划估计、最小二乘估计等多种方式（差分传播相移率）</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17</w:t>
            </w:r>
          </w:p>
        </w:tc>
        <w:tc>
          <w:tcPr>
            <w:tcW w:w="1156"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门限设置</w:t>
            </w: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信号质量指数（SQI）</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18</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天气信号强度指数（SIG）</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19</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杂波订正指数（CCOR）</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20</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杂信比（CSR）</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21</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信噪比（LOG）</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22</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int="eastAsia"/>
                <w:sz w:val="24"/>
                <w:szCs w:val="24"/>
              </w:rPr>
              <w:t>偏振</w:t>
            </w:r>
            <w:r>
              <w:rPr>
                <w:rFonts w:ascii="仿宋_GB2312" w:hAnsi="宋体" w:cs="宋体" w:hint="eastAsia"/>
                <w:kern w:val="0"/>
                <w:sz w:val="24"/>
                <w:szCs w:val="24"/>
              </w:rPr>
              <w:t>量信噪比（DPLOG）</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highlight w:val="yellow"/>
        </w:rPr>
      </w:pPr>
      <w:r>
        <w:rPr>
          <w:rFonts w:ascii="Times New Roman" w:eastAsia="方正小标宋简体" w:hAnsi="Times New Roman" w:cs="Times New Roman" w:hint="eastAsia"/>
          <w:sz w:val="28"/>
          <w:szCs w:val="28"/>
          <w:highlight w:val="yellow"/>
        </w:rPr>
        <w:t>雷达终端配置</w:t>
      </w:r>
      <w:r>
        <w:rPr>
          <w:rFonts w:ascii="Times New Roman" w:eastAsia="方正小标宋简体" w:hAnsi="Times New Roman" w:cs="Times New Roman" w:hint="eastAsia"/>
          <w:sz w:val="28"/>
          <w:szCs w:val="28"/>
          <w:highlight w:val="yellow"/>
          <w:lang w:val="en-US" w:eastAsia="zh-CN"/>
        </w:rPr>
        <w:t>#</w:t>
      </w:r>
    </w:p>
    <w:tbl>
      <w:tblPr>
        <w:tblStyle w:val="TableNormal"/>
        <w:tblW w:w="8655" w:type="dxa"/>
        <w:jc w:val="center"/>
        <w:tblCellMar>
          <w:top w:w="0" w:type="dxa"/>
          <w:left w:w="108" w:type="dxa"/>
          <w:bottom w:w="0" w:type="dxa"/>
          <w:right w:w="108" w:type="dxa"/>
        </w:tblCellMar>
      </w:tblPr>
      <w:tblGrid>
        <w:gridCol w:w="878"/>
        <w:gridCol w:w="1896"/>
        <w:gridCol w:w="5881"/>
      </w:tblGrid>
      <w:tr>
        <w:tblPrEx>
          <w:tblW w:w="8655" w:type="dxa"/>
          <w:jc w:val="center"/>
          <w:tblCellMar>
            <w:top w:w="0" w:type="dxa"/>
            <w:left w:w="108" w:type="dxa"/>
            <w:bottom w:w="0" w:type="dxa"/>
            <w:right w:w="108" w:type="dxa"/>
          </w:tblCellMar>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spacing w:line="240" w:lineRule="auto"/>
              <w:jc w:val="center"/>
              <w:rPr>
                <w:rFonts w:ascii="仿宋_GB2312" w:hAnsi="仿宋" w:cs="宋体"/>
                <w:b/>
                <w:bCs/>
                <w:kern w:val="0"/>
              </w:rPr>
            </w:pPr>
            <w:r>
              <w:rPr>
                <w:rFonts w:ascii="仿宋_GB2312" w:hAnsi="仿宋" w:cs="宋体" w:hint="eastAsia"/>
                <w:b/>
                <w:bCs/>
                <w:kern w:val="0"/>
                <w:sz w:val="24"/>
                <w:szCs w:val="24"/>
              </w:rPr>
              <w:t>序号</w:t>
            </w:r>
          </w:p>
        </w:tc>
        <w:tc>
          <w:tcPr>
            <w:tcW w:w="1896" w:type="dxa"/>
            <w:tcBorders>
              <w:top w:val="single" w:sz="4" w:space="0" w:color="auto"/>
              <w:left w:val="single" w:sz="4" w:space="0" w:color="auto"/>
              <w:bottom w:val="single" w:sz="4" w:space="0" w:color="auto"/>
              <w:right w:val="nil"/>
            </w:tcBorders>
            <w:noWrap/>
            <w:vAlign w:val="center"/>
          </w:tcPr>
          <w:p>
            <w:pPr>
              <w:widowControl/>
              <w:spacing w:line="240" w:lineRule="auto"/>
              <w:jc w:val="center"/>
              <w:rPr>
                <w:rFonts w:ascii="仿宋_GB2312" w:hAnsi="仿宋" w:cs="宋体"/>
                <w:b/>
                <w:bCs/>
                <w:kern w:val="0"/>
              </w:rPr>
            </w:pPr>
            <w:r>
              <w:rPr>
                <w:rFonts w:ascii="仿宋_GB2312" w:hAnsi="仿宋" w:cs="宋体" w:hint="eastAsia"/>
                <w:b/>
                <w:bCs/>
                <w:kern w:val="0"/>
                <w:sz w:val="24"/>
                <w:szCs w:val="24"/>
              </w:rPr>
              <w:t>项目</w:t>
            </w:r>
          </w:p>
        </w:tc>
        <w:tc>
          <w:tcPr>
            <w:tcW w:w="5881"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b/>
                <w:bCs/>
              </w:rPr>
            </w:pPr>
            <w:r>
              <w:rPr>
                <w:rFonts w:ascii="仿宋_GB2312" w:hint="eastAsia"/>
                <w:b/>
                <w:bCs/>
                <w:sz w:val="24"/>
                <w:szCs w:val="24"/>
              </w:rPr>
              <w:t>性能指标</w:t>
            </w:r>
          </w:p>
        </w:tc>
      </w:tr>
      <w:tr>
        <w:tblPrEx>
          <w:tblW w:w="8655" w:type="dxa"/>
          <w:jc w:val="center"/>
          <w:tblCellMar>
            <w:top w:w="0" w:type="dxa"/>
            <w:left w:w="108" w:type="dxa"/>
            <w:bottom w:w="0" w:type="dxa"/>
            <w:right w:w="108" w:type="dxa"/>
          </w:tblCellMar>
        </w:tblPrEx>
        <w:trPr>
          <w:trHeight w:val="624"/>
          <w:jc w:val="center"/>
        </w:trPr>
        <w:tc>
          <w:tcPr>
            <w:tcW w:w="878" w:type="dxa"/>
            <w:tcBorders>
              <w:top w:val="nil"/>
              <w:left w:val="single" w:sz="4" w:space="0" w:color="auto"/>
              <w:bottom w:val="single" w:sz="4" w:space="0" w:color="auto"/>
              <w:right w:val="nil"/>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1</w:t>
            </w:r>
          </w:p>
        </w:tc>
        <w:tc>
          <w:tcPr>
            <w:tcW w:w="1896" w:type="dxa"/>
            <w:tcBorders>
              <w:top w:val="nil"/>
              <w:left w:val="single" w:sz="4" w:space="0" w:color="auto"/>
              <w:bottom w:val="single" w:sz="4" w:space="0" w:color="auto"/>
              <w:right w:val="nil"/>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CPU</w:t>
            </w:r>
          </w:p>
        </w:tc>
        <w:tc>
          <w:tcPr>
            <w:tcW w:w="5881" w:type="dxa"/>
            <w:tcBorders>
              <w:top w:val="nil"/>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不少于8核16线程，频率不低于2.8GHz</w:t>
            </w:r>
          </w:p>
        </w:tc>
      </w:tr>
      <w:tr>
        <w:tblPrEx>
          <w:tblW w:w="8655" w:type="dxa"/>
          <w:jc w:val="center"/>
          <w:tblCellMar>
            <w:top w:w="0" w:type="dxa"/>
            <w:left w:w="108" w:type="dxa"/>
            <w:bottom w:w="0" w:type="dxa"/>
            <w:right w:w="108" w:type="dxa"/>
          </w:tblCellMar>
        </w:tblPrEx>
        <w:trPr>
          <w:trHeight w:val="624"/>
          <w:jc w:val="center"/>
        </w:trPr>
        <w:tc>
          <w:tcPr>
            <w:tcW w:w="878" w:type="dxa"/>
            <w:tcBorders>
              <w:top w:val="nil"/>
              <w:left w:val="single" w:sz="4" w:space="0" w:color="auto"/>
              <w:bottom w:val="single" w:sz="4" w:space="0" w:color="auto"/>
              <w:right w:val="nil"/>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2</w:t>
            </w:r>
          </w:p>
        </w:tc>
        <w:tc>
          <w:tcPr>
            <w:tcW w:w="1896" w:type="dxa"/>
            <w:tcBorders>
              <w:top w:val="nil"/>
              <w:left w:val="single" w:sz="4" w:space="0" w:color="auto"/>
              <w:bottom w:val="single" w:sz="4" w:space="0" w:color="auto"/>
              <w:right w:val="nil"/>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内存</w:t>
            </w:r>
          </w:p>
        </w:tc>
        <w:tc>
          <w:tcPr>
            <w:tcW w:w="5881" w:type="dxa"/>
            <w:tcBorders>
              <w:top w:val="nil"/>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不低于16GB DDR4</w:t>
            </w:r>
          </w:p>
        </w:tc>
      </w:tr>
      <w:tr>
        <w:tblPrEx>
          <w:tblW w:w="8655" w:type="dxa"/>
          <w:jc w:val="center"/>
          <w:tblCellMar>
            <w:top w:w="0" w:type="dxa"/>
            <w:left w:w="108" w:type="dxa"/>
            <w:bottom w:w="0" w:type="dxa"/>
            <w:right w:w="108" w:type="dxa"/>
          </w:tblCellMar>
        </w:tblPrEx>
        <w:trPr>
          <w:trHeight w:val="624"/>
          <w:jc w:val="center"/>
        </w:trPr>
        <w:tc>
          <w:tcPr>
            <w:tcW w:w="878" w:type="dxa"/>
            <w:tcBorders>
              <w:top w:val="single" w:sz="4" w:space="0" w:color="auto"/>
              <w:left w:val="single" w:sz="4" w:space="0" w:color="auto"/>
              <w:bottom w:val="single" w:sz="4" w:space="0" w:color="auto"/>
              <w:right w:val="single" w:sz="4" w:space="0" w:color="auto"/>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3</w:t>
            </w:r>
          </w:p>
        </w:tc>
        <w:tc>
          <w:tcPr>
            <w:tcW w:w="1896"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固态硬盘</w:t>
            </w:r>
          </w:p>
        </w:tc>
        <w:tc>
          <w:tcPr>
            <w:tcW w:w="5881"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不低于512GB</w:t>
            </w:r>
          </w:p>
        </w:tc>
      </w:tr>
      <w:tr>
        <w:tblPrEx>
          <w:tblW w:w="8655" w:type="dxa"/>
          <w:jc w:val="center"/>
          <w:tblCellMar>
            <w:top w:w="0" w:type="dxa"/>
            <w:left w:w="108" w:type="dxa"/>
            <w:bottom w:w="0" w:type="dxa"/>
            <w:right w:w="108" w:type="dxa"/>
          </w:tblCellMar>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4</w:t>
            </w:r>
          </w:p>
        </w:tc>
        <w:tc>
          <w:tcPr>
            <w:tcW w:w="1896" w:type="dxa"/>
            <w:tcBorders>
              <w:top w:val="single" w:sz="4" w:space="0" w:color="auto"/>
              <w:left w:val="single" w:sz="4" w:space="0" w:color="auto"/>
              <w:bottom w:val="single" w:sz="4" w:space="0" w:color="auto"/>
              <w:right w:val="nil"/>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操作系统</w:t>
            </w:r>
          </w:p>
        </w:tc>
        <w:tc>
          <w:tcPr>
            <w:tcW w:w="5881"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国产信创系统</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highlight w:val="yellow"/>
        </w:rPr>
      </w:pPr>
      <w:r>
        <w:rPr>
          <w:rFonts w:ascii="Times New Roman" w:eastAsia="方正小标宋简体" w:hAnsi="Times New Roman" w:cs="Times New Roman" w:hint="eastAsia"/>
          <w:sz w:val="28"/>
          <w:szCs w:val="28"/>
          <w:highlight w:val="yellow"/>
        </w:rPr>
        <w:t>基本产品列表</w:t>
      </w:r>
      <w:r>
        <w:rPr>
          <w:rFonts w:ascii="Times New Roman" w:eastAsia="方正小标宋简体" w:hAnsi="Times New Roman" w:cs="Times New Roman" w:hint="eastAsia"/>
          <w:sz w:val="28"/>
          <w:szCs w:val="28"/>
          <w:highlight w:val="yellow"/>
          <w:lang w:val="en-US" w:eastAsia="zh-CN"/>
        </w:rPr>
        <w:t>#</w:t>
      </w:r>
    </w:p>
    <w:tbl>
      <w:tblPr>
        <w:tblStyle w:val="13"/>
        <w:tblW w:w="8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228"/>
        <w:gridCol w:w="2875"/>
        <w:gridCol w:w="3489"/>
      </w:tblGrid>
      <w:tr>
        <w:tblPrEx>
          <w:tblW w:w="8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jc w:val="center"/>
        </w:trPr>
        <w:tc>
          <w:tcPr>
            <w:tcW w:w="2228" w:type="dxa"/>
            <w:vAlign w:val="center"/>
          </w:tcPr>
          <w:p>
            <w:pPr>
              <w:spacing w:line="240" w:lineRule="auto"/>
              <w:jc w:val="center"/>
              <w:rPr>
                <w:rFonts w:ascii="仿宋_GB2312" w:hAnsi="等线"/>
                <w:b/>
              </w:rPr>
            </w:pPr>
            <w:r>
              <w:rPr>
                <w:rFonts w:ascii="仿宋_GB2312" w:hAnsi="等线" w:cs="Times New Roman" w:hint="eastAsia"/>
                <w:b/>
                <w:sz w:val="24"/>
                <w:szCs w:val="24"/>
              </w:rPr>
              <w:t>类别</w:t>
            </w:r>
          </w:p>
        </w:tc>
        <w:tc>
          <w:tcPr>
            <w:tcW w:w="2875" w:type="dxa"/>
            <w:vAlign w:val="center"/>
          </w:tcPr>
          <w:p>
            <w:pPr>
              <w:spacing w:line="240" w:lineRule="auto"/>
              <w:jc w:val="center"/>
              <w:rPr>
                <w:rFonts w:ascii="仿宋_GB2312" w:hAnsi="等线"/>
                <w:b/>
              </w:rPr>
            </w:pPr>
            <w:r>
              <w:rPr>
                <w:rFonts w:ascii="仿宋_GB2312" w:hAnsi="等线" w:cs="Times New Roman" w:hint="eastAsia"/>
                <w:b/>
                <w:sz w:val="24"/>
                <w:szCs w:val="24"/>
              </w:rPr>
              <w:t>产品名称</w:t>
            </w:r>
          </w:p>
        </w:tc>
        <w:tc>
          <w:tcPr>
            <w:tcW w:w="3489" w:type="dxa"/>
            <w:vAlign w:val="center"/>
          </w:tcPr>
          <w:p>
            <w:pPr>
              <w:spacing w:line="240" w:lineRule="auto"/>
              <w:jc w:val="center"/>
              <w:rPr>
                <w:rFonts w:ascii="仿宋_GB2312" w:hAnsi="等线"/>
                <w:b/>
              </w:rPr>
            </w:pPr>
            <w:r>
              <w:rPr>
                <w:rFonts w:ascii="仿宋_GB2312" w:hAnsi="等线" w:cs="Times New Roman" w:hint="eastAsia"/>
                <w:b/>
                <w:sz w:val="24"/>
                <w:szCs w:val="24"/>
              </w:rPr>
              <w:t>产品标识</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240" w:lineRule="auto"/>
              <w:jc w:val="center"/>
              <w:rPr>
                <w:rFonts w:ascii="仿宋_GB2312" w:hAnsi="等线"/>
              </w:rPr>
            </w:pPr>
            <w:r>
              <w:rPr>
                <w:rFonts w:ascii="仿宋_GB2312" w:hAnsi="等线" w:cs="Times New Roman" w:hint="eastAsia"/>
                <w:sz w:val="24"/>
                <w:szCs w:val="24"/>
              </w:rPr>
              <w:t>基础量</w:t>
            </w:r>
          </w:p>
          <w:p>
            <w:pPr>
              <w:spacing w:line="240" w:lineRule="auto"/>
              <w:jc w:val="center"/>
              <w:rPr>
                <w:rFonts w:ascii="仿宋_GB2312" w:hAnsi="等线"/>
              </w:rPr>
            </w:pPr>
            <w:r>
              <w:rPr>
                <w:rFonts w:ascii="仿宋_GB2312" w:hAnsi="等线" w:cs="Times New Roman" w:hint="eastAsia"/>
                <w:sz w:val="24"/>
                <w:szCs w:val="24"/>
              </w:rPr>
              <w:t>（9种）</w:t>
            </w: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滤波后反射率</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R</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径向速度</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V</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速度谱宽</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SW</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水平通道信噪比</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SNRH</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差分反射率</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ZDR</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差分传播相移</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PDP</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差分传播相移率</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KDP</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相关系数</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CC</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垂直通道信噪比</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SNRV</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240" w:lineRule="auto"/>
              <w:jc w:val="center"/>
              <w:rPr>
                <w:rFonts w:ascii="仿宋_GB2312" w:hAnsi="等线"/>
              </w:rPr>
            </w:pPr>
            <w:r>
              <w:rPr>
                <w:rFonts w:ascii="仿宋_GB2312" w:hAnsi="等线" w:cs="Times New Roman" w:hint="eastAsia"/>
                <w:sz w:val="24"/>
                <w:szCs w:val="24"/>
              </w:rPr>
              <w:t>物理量</w:t>
            </w:r>
          </w:p>
          <w:p>
            <w:pPr>
              <w:spacing w:line="240" w:lineRule="auto"/>
              <w:jc w:val="center"/>
              <w:rPr>
                <w:rFonts w:ascii="仿宋_GB2312" w:hAnsi="等线"/>
              </w:rPr>
            </w:pPr>
            <w:r>
              <w:rPr>
                <w:rFonts w:ascii="仿宋_GB2312" w:hAnsi="等线" w:cs="Times New Roman" w:hint="eastAsia"/>
                <w:sz w:val="24"/>
                <w:szCs w:val="24"/>
              </w:rPr>
              <w:t>（1</w:t>
            </w:r>
            <w:r>
              <w:rPr>
                <w:rFonts w:ascii="仿宋_GB2312" w:hAnsi="等线" w:cs="Times New Roman"/>
                <w:sz w:val="24"/>
                <w:szCs w:val="24"/>
              </w:rPr>
              <w:t>0</w:t>
            </w:r>
            <w:r>
              <w:rPr>
                <w:rFonts w:ascii="仿宋_GB2312" w:hAnsi="等线" w:cs="Times New Roman" w:hint="eastAsia"/>
                <w:sz w:val="24"/>
                <w:szCs w:val="24"/>
              </w:rPr>
              <w:t>种）</w:t>
            </w: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组合反射率</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CR</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垂直积分液态水</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VIL</w:t>
            </w:r>
          </w:p>
        </w:tc>
      </w:tr>
      <w:tr>
        <w:tblPrEx>
          <w:tblW w:w="8592"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回波顶高</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ET</w:t>
            </w:r>
          </w:p>
        </w:tc>
      </w:tr>
      <w:tr>
        <w:tblPrEx>
          <w:tblW w:w="8592"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分层组合反射率</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LCR</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风暴质心高度</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RCH</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速度方位显示风廓线</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VWP</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1小时累积降水量</w:t>
            </w:r>
          </w:p>
        </w:tc>
        <w:tc>
          <w:tcPr>
            <w:tcW w:w="3489" w:type="dxa"/>
            <w:vAlign w:val="center"/>
          </w:tcPr>
          <w:p>
            <w:pPr>
              <w:spacing w:line="240" w:lineRule="auto"/>
              <w:jc w:val="center"/>
              <w:rPr>
                <w:rFonts w:ascii="仿宋_GB2312" w:hAnsi="等线"/>
              </w:rPr>
            </w:pPr>
            <w:r>
              <w:rPr>
                <w:rFonts w:ascii="仿宋_GB2312" w:hAnsi="等线" w:cs="Times New Roman"/>
                <w:sz w:val="24"/>
                <w:szCs w:val="24"/>
              </w:rPr>
              <w:t>1</w:t>
            </w:r>
            <w:r>
              <w:rPr>
                <w:rFonts w:ascii="仿宋_GB2312" w:hAnsi="等线" w:cs="Times New Roman" w:hint="eastAsia"/>
                <w:sz w:val="24"/>
                <w:szCs w:val="24"/>
              </w:rPr>
              <w:t>HP</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sz w:val="24"/>
                <w:szCs w:val="24"/>
              </w:rPr>
              <w:t>2</w:t>
            </w:r>
            <w:r>
              <w:rPr>
                <w:rFonts w:ascii="仿宋_GB2312" w:hAnsi="等线" w:cs="Times New Roman" w:hint="eastAsia"/>
                <w:sz w:val="24"/>
                <w:szCs w:val="24"/>
              </w:rPr>
              <w:t>小时累积降水量</w:t>
            </w:r>
          </w:p>
        </w:tc>
        <w:tc>
          <w:tcPr>
            <w:tcW w:w="3489" w:type="dxa"/>
            <w:vAlign w:val="center"/>
          </w:tcPr>
          <w:p>
            <w:pPr>
              <w:spacing w:line="240" w:lineRule="auto"/>
              <w:jc w:val="center"/>
              <w:rPr>
                <w:rFonts w:ascii="仿宋_GB2312" w:hAnsi="等线"/>
              </w:rPr>
            </w:pPr>
            <w:r>
              <w:rPr>
                <w:rFonts w:ascii="仿宋_GB2312" w:hAnsi="等线" w:cs="Times New Roman"/>
                <w:sz w:val="24"/>
                <w:szCs w:val="24"/>
              </w:rPr>
              <w:t>2</w:t>
            </w:r>
            <w:r>
              <w:rPr>
                <w:rFonts w:ascii="仿宋_GB2312" w:hAnsi="等线" w:cs="Times New Roman" w:hint="eastAsia"/>
                <w:sz w:val="24"/>
                <w:szCs w:val="24"/>
              </w:rPr>
              <w:t>HP</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N小时累积降水量</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NHP</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风暴相对径向速度</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SRM</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240" w:lineRule="auto"/>
              <w:jc w:val="center"/>
              <w:rPr>
                <w:rFonts w:ascii="仿宋_GB2312" w:hAnsi="等线"/>
              </w:rPr>
            </w:pPr>
            <w:r>
              <w:rPr>
                <w:rFonts w:ascii="仿宋_GB2312" w:hAnsi="等线" w:cs="Times New Roman" w:hint="eastAsia"/>
                <w:sz w:val="24"/>
                <w:szCs w:val="24"/>
              </w:rPr>
              <w:t>识别产品</w:t>
            </w:r>
          </w:p>
          <w:p>
            <w:pPr>
              <w:spacing w:line="240" w:lineRule="auto"/>
              <w:jc w:val="center"/>
              <w:rPr>
                <w:rFonts w:ascii="仿宋_GB2312" w:hAnsi="等线"/>
              </w:rPr>
            </w:pPr>
            <w:r>
              <w:rPr>
                <w:rFonts w:ascii="仿宋_GB2312" w:hAnsi="等线" w:cs="Times New Roman" w:hint="eastAsia"/>
                <w:sz w:val="24"/>
                <w:szCs w:val="24"/>
              </w:rPr>
              <w:t>（6种）</w:t>
            </w: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冰雹指数</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HI</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风暴追踪信息</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STI</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中气旋</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M</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雷暴大风</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TD</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短时强降水</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HR</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水凝物分类</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HCL</w:t>
            </w:r>
          </w:p>
        </w:tc>
      </w:tr>
      <w:tr>
        <w:tblPrEx>
          <w:tblW w:w="8592" w:type="dxa"/>
          <w:jc w:val="center"/>
          <w:tblLayout w:type="fixed"/>
          <w:tblCellMar>
            <w:top w:w="0" w:type="dxa"/>
            <w:left w:w="108" w:type="dxa"/>
            <w:bottom w:w="0" w:type="dxa"/>
            <w:right w:w="108" w:type="dxa"/>
          </w:tblCellMar>
        </w:tblPrEx>
        <w:trPr>
          <w:cantSplit/>
          <w:trHeight w:val="424"/>
          <w:jc w:val="center"/>
        </w:trPr>
        <w:tc>
          <w:tcPr>
            <w:tcW w:w="2228" w:type="dxa"/>
            <w:vMerge w:val="restart"/>
            <w:vAlign w:val="center"/>
          </w:tcPr>
          <w:p>
            <w:pPr>
              <w:spacing w:line="240" w:lineRule="auto"/>
              <w:jc w:val="center"/>
              <w:rPr>
                <w:rFonts w:ascii="仿宋_GB2312" w:hAnsi="等线"/>
              </w:rPr>
            </w:pPr>
            <w:r>
              <w:rPr>
                <w:rFonts w:ascii="仿宋_GB2312" w:hAnsi="等线" w:cs="Times New Roman" w:hint="eastAsia"/>
                <w:sz w:val="24"/>
                <w:szCs w:val="24"/>
              </w:rPr>
              <w:t>告警产品</w:t>
            </w:r>
          </w:p>
          <w:p>
            <w:pPr>
              <w:spacing w:line="240" w:lineRule="auto"/>
              <w:jc w:val="center"/>
              <w:rPr>
                <w:rFonts w:ascii="仿宋_GB2312" w:hAnsi="等线"/>
              </w:rPr>
            </w:pPr>
            <w:r>
              <w:rPr>
                <w:rFonts w:ascii="仿宋_GB2312" w:hAnsi="等线" w:cs="Times New Roman" w:hint="eastAsia"/>
                <w:sz w:val="24"/>
                <w:szCs w:val="24"/>
              </w:rPr>
              <w:t>（2种）</w:t>
            </w:r>
          </w:p>
        </w:tc>
        <w:tc>
          <w:tcPr>
            <w:tcW w:w="2875" w:type="dxa"/>
            <w:vAlign w:val="center"/>
          </w:tcPr>
          <w:p>
            <w:pPr>
              <w:spacing w:line="240" w:lineRule="auto"/>
              <w:jc w:val="center"/>
              <w:rPr>
                <w:rFonts w:ascii="仿宋_GB2312" w:hAnsi="等线"/>
              </w:rPr>
            </w:pPr>
            <w:r>
              <w:rPr>
                <w:rFonts w:ascii="仿宋_GB2312" w:hAnsi="等线" w:cs="Times New Roman"/>
                <w:sz w:val="24"/>
                <w:szCs w:val="24"/>
              </w:rPr>
              <w:t>冰雹强度趋势</w:t>
            </w:r>
            <w:r>
              <w:rPr>
                <w:rFonts w:ascii="仿宋_GB2312" w:hAnsi="等线" w:cs="Times New Roman" w:hint="eastAsia"/>
                <w:sz w:val="24"/>
                <w:szCs w:val="24"/>
              </w:rPr>
              <w:t>告警</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MESHT</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降雨强度告警</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PIA</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产品终端配置</w:t>
      </w:r>
    </w:p>
    <w:p>
      <w:pPr>
        <w:spacing w:line="570" w:lineRule="exact"/>
        <w:ind w:firstLine="560" w:firstLineChars="200"/>
        <w:rPr>
          <w:rFonts w:ascii="仿宋" w:eastAsia="仿宋" w:hAnsi="仿宋" w:hint="eastAsia"/>
          <w:sz w:val="28"/>
          <w:szCs w:val="28"/>
          <w:highlight w:val="none"/>
        </w:rPr>
      </w:pPr>
      <w:r>
        <w:rPr>
          <w:rFonts w:ascii="仿宋" w:eastAsia="仿宋" w:hAnsi="仿宋" w:cs="Times New Roman" w:hint="eastAsia"/>
          <w:sz w:val="28"/>
          <w:szCs w:val="28"/>
          <w:highlight w:val="none"/>
        </w:rPr>
        <w:t>1）用户端至少配置2台产品终端，负责产品制作及数据归档。</w:t>
      </w:r>
    </w:p>
    <w:p>
      <w:pPr>
        <w:spacing w:line="570" w:lineRule="exact"/>
        <w:ind w:firstLine="560" w:firstLineChars="200"/>
        <w:rPr>
          <w:rFonts w:ascii="仿宋" w:eastAsia="仿宋" w:hAnsi="仿宋" w:hint="eastAsia"/>
          <w:sz w:val="28"/>
          <w:szCs w:val="28"/>
          <w:highlight w:val="none"/>
        </w:rPr>
      </w:pPr>
      <w:r>
        <w:rPr>
          <w:rFonts w:ascii="仿宋" w:eastAsia="仿宋" w:hAnsi="仿宋" w:cs="Times New Roman" w:hint="eastAsia"/>
          <w:sz w:val="28"/>
          <w:szCs w:val="28"/>
          <w:highlight w:val="none"/>
        </w:rPr>
        <w:t>2）终端应支持国产信创系统。</w:t>
      </w:r>
    </w:p>
    <w:p>
      <w:pPr>
        <w:spacing w:line="570" w:lineRule="exact"/>
        <w:ind w:firstLine="560" w:firstLineChars="200"/>
        <w:rPr>
          <w:rFonts w:ascii="仿宋" w:eastAsia="仿宋" w:hAnsi="仿宋" w:hint="eastAsia"/>
          <w:sz w:val="28"/>
          <w:szCs w:val="28"/>
          <w:highlight w:val="none"/>
        </w:rPr>
      </w:pPr>
      <w:r>
        <w:rPr>
          <w:rFonts w:ascii="仿宋" w:eastAsia="仿宋" w:hAnsi="仿宋" w:cs="Times New Roman" w:hint="eastAsia"/>
          <w:sz w:val="28"/>
          <w:szCs w:val="28"/>
          <w:highlight w:val="none"/>
        </w:rPr>
        <w:t>3）产品终端数据处理能力应满足产品制作整体耗时小于雷达最短体扫用时，避免造成数据积压。</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highlight w:val="none"/>
        </w:rPr>
        <w:t>4）产品终端能存储不少于1年的天气雷达标准格式基数据及3个月的雷达产品。</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四</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highlight w:val="none"/>
        </w:rPr>
        <w:t>质保服务要求</w:t>
      </w:r>
    </w:p>
    <w:p>
      <w:pPr>
        <w:spacing w:line="240" w:lineRule="auto"/>
        <w:ind w:firstLine="560" w:firstLineChars="200"/>
        <w:outlineLvl w:val="3"/>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4.1培训</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在采购方指定地点，中标方对相关技术人员进行不低于2人*5</w:t>
      </w:r>
      <w:r>
        <w:rPr>
          <w:rFonts w:ascii="仿宋" w:eastAsia="仿宋" w:hAnsi="仿宋" w:cs="Times New Roman" w:hint="eastAsia"/>
          <w:sz w:val="28"/>
          <w:szCs w:val="28"/>
        </w:rPr>
        <w:t>天</w:t>
      </w:r>
      <w:r>
        <w:rPr>
          <w:rFonts w:ascii="仿宋" w:eastAsia="仿宋" w:hAnsi="仿宋" w:cs="Times New Roman" w:hint="eastAsia"/>
          <w:sz w:val="28"/>
          <w:szCs w:val="28"/>
          <w:lang w:eastAsia="zh-CN"/>
        </w:rPr>
        <w:t>（</w:t>
      </w:r>
      <w:r>
        <w:rPr>
          <w:rFonts w:ascii="仿宋" w:eastAsia="仿宋" w:hAnsi="仿宋" w:cs="Times New Roman" w:hint="eastAsia"/>
          <w:sz w:val="28"/>
          <w:szCs w:val="28"/>
          <w:lang w:val="en-US" w:eastAsia="zh-CN"/>
        </w:rPr>
        <w:t>40课时</w:t>
      </w:r>
      <w:r>
        <w:rPr>
          <w:rFonts w:ascii="仿宋" w:eastAsia="仿宋" w:hAnsi="仿宋" w:cs="Times New Roman" w:hint="eastAsia"/>
          <w:sz w:val="28"/>
          <w:szCs w:val="28"/>
          <w:lang w:eastAsia="zh-CN"/>
        </w:rPr>
        <w:t>）</w:t>
      </w:r>
      <w:r>
        <w:rPr>
          <w:rFonts w:ascii="仿宋" w:eastAsia="仿宋" w:hAnsi="仿宋" w:cs="Times New Roman" w:hint="eastAsia"/>
          <w:sz w:val="28"/>
          <w:szCs w:val="28"/>
        </w:rPr>
        <w:t>的雷达使用培训和机务培训，使相关人员能够熟练掌握雷达基本操作、维护维修方法等，培训至少应包括以下内容：</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1）熟悉雷达系统工作原理；</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2）掌握雷达总体、各系统和配套设备的安装与布局位置；</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3）掌握雷达的结构和性能特点；</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4）在使用过程中，台站人员能熟练进行雷达操作；</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5）能完成雷达常见故障的判断；</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6）掌握雷达的日常维护、标定流程；</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7）具备雷达回波识别能力。</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8）掌握仪器仪表使用方法。</w:t>
      </w:r>
    </w:p>
    <w:p>
      <w:pPr>
        <w:spacing w:line="240" w:lineRule="auto"/>
        <w:ind w:firstLine="560" w:firstLineChars="200"/>
        <w:outlineLvl w:val="3"/>
        <w:rPr>
          <w:rFonts w:ascii="仿宋_GB2312" w:eastAsia="仿宋_GB2312" w:hAnsi="仿宋_GB2312" w:cs="仿宋_GB2312" w:hint="eastAsia"/>
          <w:bCs/>
          <w:sz w:val="28"/>
          <w:szCs w:val="28"/>
          <w:highlight w:val="yellow"/>
        </w:rPr>
      </w:pPr>
      <w:r>
        <w:rPr>
          <w:rFonts w:ascii="仿宋_GB2312" w:eastAsia="仿宋_GB2312" w:hAnsi="仿宋_GB2312" w:cs="仿宋_GB2312" w:hint="eastAsia"/>
          <w:bCs/>
          <w:sz w:val="28"/>
          <w:szCs w:val="28"/>
          <w:highlight w:val="yellow"/>
        </w:rPr>
        <w:t>4.2质保期服务</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中标方按照中国气象局有关要求和双方协商约定的内容</w:t>
      </w:r>
      <w:r>
        <w:rPr>
          <w:rFonts w:ascii="仿宋" w:eastAsia="仿宋" w:hAnsi="仿宋" w:cs="Times New Roman" w:hint="eastAsia"/>
          <w:sz w:val="28"/>
          <w:szCs w:val="28"/>
        </w:rPr>
        <w:t>提供服务，确保设备稳定运行，以及自验收合格后8年的整机及雷达分系统质保服务等。</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按照中国气象局有关业务规范要求，在三级及以上气象应急响应期间，24小时全天候现场值守保障，并定期编制和上报雷达运行状态及故障处置报告。</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备品备件按质保总额的20%比例配置。设备厂家以履约保函等形式支付20%担保金额，后续逐年返还。此外，设备厂家应按照雷达维修保障要求配置整机备品备件，确保维修保障时效内配送至雷达站。</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备品备件、维护标校、故障维修和巡检巡查等各项要求参照《X波段天气雷达观测规范（试行）》、《X波段天气雷达标校业务规范（试行）》等文件要求执行。</w:t>
      </w:r>
    </w:p>
    <w:p>
      <w:pPr>
        <w:spacing w:line="570" w:lineRule="exact"/>
        <w:ind w:firstLine="560" w:firstLineChars="200"/>
        <w:rPr>
          <w:rFonts w:ascii="仿宋" w:eastAsia="仿宋" w:hAnsi="仿宋" w:cs="仿宋" w:hint="eastAsia"/>
          <w:sz w:val="28"/>
          <w:szCs w:val="28"/>
        </w:rPr>
      </w:pPr>
      <w:r>
        <w:rPr>
          <w:rFonts w:ascii="仿宋" w:eastAsia="仿宋" w:hAnsi="仿宋" w:cs="Times New Roman" w:hint="eastAsia"/>
          <w:sz w:val="28"/>
          <w:szCs w:val="28"/>
        </w:rPr>
        <w:t>质保期服务提供相关承诺函</w:t>
      </w:r>
      <w:r>
        <w:rPr>
          <w:rFonts w:ascii="仿宋" w:eastAsia="仿宋" w:hAnsi="仿宋" w:cs="仿宋" w:hint="eastAsia"/>
          <w:sz w:val="28"/>
          <w:szCs w:val="28"/>
        </w:rPr>
        <w:t>。</w:t>
      </w:r>
    </w:p>
    <w:p>
      <w:pPr>
        <w:spacing w:line="240" w:lineRule="auto"/>
        <w:ind w:firstLine="560" w:firstLineChars="200"/>
        <w:outlineLvl w:val="3"/>
        <w:rPr>
          <w:rFonts w:ascii="仿宋" w:eastAsia="仿宋" w:hAnsi="仿宋" w:cs="仿宋" w:hint="eastAsia"/>
          <w:sz w:val="28"/>
          <w:szCs w:val="28"/>
          <w:highlight w:val="yellow"/>
        </w:rPr>
      </w:pPr>
      <w:r>
        <w:rPr>
          <w:rFonts w:ascii="仿宋_GB2312" w:eastAsia="仿宋_GB2312" w:hAnsi="仿宋_GB2312" w:cs="仿宋_GB2312" w:hint="eastAsia"/>
          <w:bCs/>
          <w:sz w:val="28"/>
          <w:szCs w:val="28"/>
          <w:highlight w:val="yellow"/>
        </w:rPr>
        <w:t>4.</w:t>
      </w:r>
      <w:r>
        <w:rPr>
          <w:rFonts w:ascii="仿宋_GB2312" w:eastAsia="仿宋_GB2312" w:hAnsi="仿宋_GB2312" w:cs="仿宋_GB2312" w:hint="eastAsia"/>
          <w:bCs/>
          <w:sz w:val="28"/>
          <w:szCs w:val="28"/>
          <w:highlight w:val="yellow"/>
          <w:lang w:val="en-US" w:eastAsia="zh-CN"/>
        </w:rPr>
        <w:t xml:space="preserve">3 </w:t>
      </w:r>
      <w:r>
        <w:rPr>
          <w:rFonts w:ascii="仿宋_GB2312" w:eastAsia="仿宋_GB2312" w:hAnsi="仿宋_GB2312" w:cs="仿宋_GB2312" w:hint="eastAsia"/>
          <w:bCs/>
          <w:sz w:val="28"/>
          <w:szCs w:val="28"/>
          <w:highlight w:val="yellow"/>
        </w:rPr>
        <w:t>软件调试</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中标方需配合采购方，完成配套软件的</w:t>
      </w:r>
      <w:r>
        <w:rPr>
          <w:rFonts w:ascii="仿宋" w:eastAsia="仿宋" w:hAnsi="仿宋" w:cs="Times New Roman" w:hint="eastAsia"/>
          <w:sz w:val="28"/>
          <w:szCs w:val="28"/>
        </w:rPr>
        <w:t>安装调试，保证上站后能够安全稳定运行。投标方须提供承诺函。</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五</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highlight w:val="none"/>
        </w:rPr>
        <w:t>验收要求（检验考核要求等）</w:t>
      </w:r>
    </w:p>
    <w:p>
      <w:pPr>
        <w:spacing w:line="570" w:lineRule="exact"/>
        <w:ind w:firstLine="560" w:firstLineChars="200"/>
        <w:rPr>
          <w:rFonts w:ascii="仿宋" w:eastAsia="仿宋" w:hAnsi="仿宋" w:hint="eastAsia"/>
          <w:sz w:val="28"/>
          <w:szCs w:val="28"/>
        </w:rPr>
      </w:pPr>
      <w:bookmarkStart w:id="79" w:name="_Hlk168594784"/>
      <w:r>
        <w:rPr>
          <w:rFonts w:ascii="仿宋" w:eastAsia="仿宋" w:hAnsi="仿宋" w:hint="eastAsia"/>
          <w:sz w:val="28"/>
          <w:szCs w:val="28"/>
        </w:rPr>
        <w:t>参照可行性研究报告、合同、《微小型X</w:t>
      </w:r>
      <w:r>
        <w:rPr>
          <w:rFonts w:ascii="仿宋" w:eastAsia="仿宋" w:hAnsi="仿宋" w:cs="Times New Roman" w:hint="eastAsia"/>
          <w:sz w:val="28"/>
          <w:szCs w:val="28"/>
        </w:rPr>
        <w:t>波段双线偏振多普勒天气雷达测试大纲（试行）》（气测函〔2025〕106号）、《气象监测预警补短板工程X</w:t>
      </w:r>
      <w:r>
        <w:rPr>
          <w:rFonts w:ascii="仿宋" w:eastAsia="仿宋" w:hAnsi="仿宋" w:cs="Times New Roman" w:hint="eastAsia"/>
          <w:color w:val="auto"/>
          <w:sz w:val="28"/>
          <w:szCs w:val="28"/>
        </w:rPr>
        <w:t>波段天气雷达现场验收规定（试行）》等文件的要求开展检验考核。同时，采购人可根据合同以及采购人的有关规定</w:t>
      </w:r>
      <w:r>
        <w:rPr>
          <w:rFonts w:ascii="仿宋" w:eastAsia="仿宋" w:hAnsi="仿宋" w:cs="Times New Roman" w:hint="eastAsia"/>
          <w:color w:val="auto"/>
          <w:sz w:val="28"/>
          <w:szCs w:val="28"/>
          <w:highlight w:val="none"/>
        </w:rPr>
        <w:t>修改完善验收文件</w:t>
      </w:r>
      <w:r>
        <w:rPr>
          <w:rFonts w:ascii="仿宋" w:eastAsia="仿宋" w:hAnsi="仿宋" w:hint="eastAsia"/>
          <w:color w:val="auto"/>
          <w:sz w:val="28"/>
          <w:szCs w:val="28"/>
        </w:rPr>
        <w:t>，经双方确认后作为验收依据</w:t>
      </w:r>
      <w:r>
        <w:rPr>
          <w:rFonts w:ascii="仿宋" w:eastAsia="仿宋" w:hAnsi="仿宋" w:cs="Times New Roman" w:hint="eastAsia"/>
          <w:color w:val="auto"/>
          <w:sz w:val="28"/>
          <w:szCs w:val="28"/>
          <w:highlight w:val="none"/>
        </w:rPr>
        <w:t>。</w:t>
      </w:r>
    </w:p>
    <w:bookmarkEnd w:id="79"/>
    <w:p>
      <w:pPr>
        <w:spacing w:line="240" w:lineRule="auto"/>
        <w:ind w:firstLine="560" w:firstLineChars="200"/>
        <w:outlineLvl w:val="2"/>
        <w:rPr>
          <w:rFonts w:ascii="仿宋" w:eastAsia="仿宋" w:hAnsi="仿宋" w:cs="仿宋" w:hint="eastAsia"/>
          <w:sz w:val="28"/>
          <w:szCs w:val="20"/>
        </w:rPr>
      </w:pPr>
      <w:r>
        <w:rPr>
          <w:rFonts w:ascii="仿宋_GB2312" w:eastAsia="仿宋_GB2312" w:hAnsi="仿宋_GB2312" w:cs="仿宋_GB2312" w:hint="eastAsia"/>
          <w:bCs/>
          <w:sz w:val="28"/>
          <w:szCs w:val="28"/>
          <w:highlight w:val="none"/>
        </w:rPr>
        <w:t>六 其他要求</w:t>
      </w:r>
      <w:r>
        <w:rPr>
          <w:rFonts w:ascii="仿宋" w:eastAsia="仿宋" w:hAnsi="仿宋" w:cs="仿宋" w:hint="eastAsia"/>
          <w:sz w:val="28"/>
          <w:szCs w:val="20"/>
        </w:rPr>
        <w:br/>
      </w:r>
      <w:r>
        <w:rPr>
          <w:rFonts w:ascii="仿宋" w:eastAsia="仿宋" w:hAnsi="仿宋" w:cs="仿宋" w:hint="eastAsia"/>
          <w:sz w:val="28"/>
          <w:szCs w:val="20"/>
        </w:rPr>
        <w:t xml:space="preserve">    </w:t>
      </w:r>
      <w:r>
        <w:rPr>
          <w:rFonts w:ascii="仿宋" w:eastAsia="仿宋" w:hAnsi="仿宋" w:hint="eastAsia"/>
          <w:sz w:val="28"/>
          <w:szCs w:val="28"/>
        </w:rPr>
        <w:t>详见采购需求-其他技术及商务需求。</w:t>
      </w:r>
    </w:p>
    <w:p>
      <w:pPr>
        <w:spacing w:line="560" w:lineRule="exact"/>
        <w:ind w:left="420" w:leftChars="200"/>
        <w:rPr>
          <w:rFonts w:ascii="仿宋" w:eastAsia="仿宋" w:hAnsi="仿宋" w:cs="仿宋" w:hint="eastAsia"/>
          <w:sz w:val="28"/>
          <w:szCs w:val="20"/>
        </w:rPr>
      </w:pPr>
    </w:p>
    <w:p>
      <w:pPr>
        <w:spacing w:line="560" w:lineRule="exact"/>
        <w:ind w:left="420" w:leftChars="200"/>
        <w:rPr>
          <w:rFonts w:ascii="仿宋" w:eastAsia="仿宋" w:hAnsi="仿宋" w:cs="仿宋" w:hint="eastAsia"/>
          <w:sz w:val="28"/>
          <w:szCs w:val="20"/>
        </w:rPr>
      </w:pPr>
    </w:p>
    <w:p>
      <w:pPr>
        <w:spacing w:line="570" w:lineRule="exact"/>
        <w:ind w:left="0" w:firstLine="560" w:leftChars="0" w:firstLineChars="200"/>
        <w:rPr>
          <w:rFonts w:ascii="仿宋" w:eastAsia="仿宋" w:hAnsi="仿宋" w:hint="eastAsia"/>
          <w:sz w:val="28"/>
          <w:szCs w:val="28"/>
        </w:rPr>
      </w:pPr>
      <w:r>
        <w:rPr>
          <w:rFonts w:ascii="仿宋" w:eastAsia="仿宋" w:hAnsi="仿宋" w:hint="eastAsia"/>
          <w:sz w:val="28"/>
          <w:szCs w:val="28"/>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82"/>
        <w:gridCol w:w="2008"/>
        <w:gridCol w:w="955"/>
        <w:gridCol w:w="1328"/>
        <w:gridCol w:w="1515"/>
        <w:gridCol w:w="955"/>
        <w:gridCol w:w="1218"/>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80" w:name="货物一览表_index"/>
            <w:r>
              <w:rPr>
                <w:rFonts w:asciiTheme="minorEastAsia" w:eastAsiaTheme="minorEastAsia" w:hAnsiTheme="minorEastAsia" w:cstheme="minorEastAsia" w:hint="eastAsia"/>
                <w:kern w:val="0"/>
                <w:szCs w:val="21"/>
              </w:rPr>
              <w:t>序号</w:t>
            </w:r>
            <w:bookmarkEnd w:id="80"/>
          </w:p>
        </w:tc>
        <w:tc>
          <w:tcPr>
            <w:tcW w:w="1135" w:type="dxa"/>
          </w:tcPr>
          <w:p>
            <w:pPr>
              <w:autoSpaceDE w:val="0"/>
              <w:jc w:val="center"/>
              <w:rPr>
                <w:rFonts w:asciiTheme="minorEastAsia" w:hAnsiTheme="minorEastAsia" w:cstheme="minorEastAsia"/>
                <w:kern w:val="0"/>
                <w:szCs w:val="21"/>
              </w:rPr>
            </w:pPr>
            <w:bookmarkStart w:id="81" w:name="货物一览表_goodsName"/>
            <w:r>
              <w:rPr>
                <w:rFonts w:asciiTheme="minorEastAsia" w:eastAsiaTheme="minorEastAsia" w:hAnsiTheme="minorEastAsia" w:cstheme="minorEastAsia" w:hint="eastAsia"/>
                <w:kern w:val="0"/>
                <w:szCs w:val="21"/>
              </w:rPr>
              <w:t>设备名称</w:t>
            </w:r>
            <w:bookmarkEnd w:id="81"/>
          </w:p>
        </w:tc>
        <w:tc>
          <w:tcPr>
            <w:tcW w:w="965" w:type="dxa"/>
          </w:tcPr>
          <w:p>
            <w:pPr>
              <w:autoSpaceDE w:val="0"/>
              <w:jc w:val="center"/>
              <w:rPr>
                <w:rFonts w:asciiTheme="minorEastAsia" w:hAnsiTheme="minorEastAsia" w:cstheme="minorEastAsia"/>
                <w:kern w:val="0"/>
                <w:szCs w:val="21"/>
              </w:rPr>
            </w:pPr>
            <w:bookmarkStart w:id="82" w:name="货物一览表_nums"/>
            <w:r>
              <w:rPr>
                <w:rFonts w:asciiTheme="minorEastAsia" w:eastAsiaTheme="minorEastAsia" w:hAnsiTheme="minorEastAsia" w:cstheme="minorEastAsia" w:hint="eastAsia"/>
                <w:kern w:val="0"/>
                <w:szCs w:val="21"/>
              </w:rPr>
              <w:t>采购数量</w:t>
            </w:r>
            <w:bookmarkEnd w:id="82"/>
          </w:p>
        </w:tc>
        <w:tc>
          <w:tcPr>
            <w:tcW w:w="1062" w:type="dxa"/>
          </w:tcPr>
          <w:p>
            <w:pPr>
              <w:autoSpaceDE w:val="0"/>
              <w:jc w:val="center"/>
              <w:rPr>
                <w:rFonts w:asciiTheme="minorEastAsia" w:hAnsiTheme="minorEastAsia" w:cstheme="minorEastAsia"/>
                <w:kern w:val="0"/>
                <w:szCs w:val="21"/>
              </w:rPr>
            </w:pPr>
            <w:bookmarkStart w:id="83" w:name="货物一览表_units"/>
            <w:r>
              <w:rPr>
                <w:rFonts w:asciiTheme="minorEastAsia" w:eastAsiaTheme="minorEastAsia" w:hAnsiTheme="minorEastAsia" w:cstheme="minorEastAsia" w:hint="eastAsia"/>
                <w:kern w:val="0"/>
                <w:szCs w:val="21"/>
              </w:rPr>
              <w:t>计量单位</w:t>
            </w:r>
            <w:bookmarkEnd w:id="83"/>
          </w:p>
        </w:tc>
        <w:tc>
          <w:tcPr>
            <w:tcW w:w="1220" w:type="dxa"/>
          </w:tcPr>
          <w:p>
            <w:pPr>
              <w:autoSpaceDE w:val="0"/>
              <w:jc w:val="center"/>
              <w:rPr>
                <w:rFonts w:asciiTheme="minorEastAsia" w:hAnsiTheme="minorEastAsia" w:cstheme="minorEastAsia"/>
                <w:kern w:val="0"/>
                <w:szCs w:val="21"/>
              </w:rPr>
            </w:pPr>
            <w:bookmarkStart w:id="84" w:name="货物一览表_procurementBudget"/>
            <w:r>
              <w:rPr>
                <w:rFonts w:asciiTheme="minorEastAsia" w:eastAsiaTheme="minorEastAsia" w:hAnsiTheme="minorEastAsia" w:cstheme="minorEastAsia" w:hint="eastAsia"/>
                <w:kern w:val="0"/>
                <w:szCs w:val="21"/>
              </w:rPr>
              <w:t>采购预算（元）</w:t>
            </w:r>
            <w:bookmarkEnd w:id="84"/>
          </w:p>
        </w:tc>
        <w:tc>
          <w:tcPr>
            <w:tcW w:w="1329" w:type="dxa"/>
          </w:tcPr>
          <w:p>
            <w:pPr>
              <w:autoSpaceDE w:val="0"/>
              <w:jc w:val="center"/>
              <w:rPr>
                <w:rFonts w:asciiTheme="minorEastAsia" w:hAnsiTheme="minorEastAsia" w:cstheme="minorEastAsia" w:hint="eastAsia"/>
                <w:kern w:val="0"/>
                <w:szCs w:val="21"/>
              </w:rPr>
            </w:pPr>
            <w:bookmarkStart w:id="8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8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86" w:name="货物一览表_remark"/>
            <w:r>
              <w:rPr>
                <w:rFonts w:asciiTheme="minorEastAsia" w:eastAsiaTheme="minorEastAsia" w:hAnsiTheme="minorEastAsia" w:cstheme="minorEastAsia" w:hint="eastAsia"/>
                <w:kern w:val="0"/>
                <w:szCs w:val="21"/>
              </w:rPr>
              <w:t>备注</w:t>
            </w:r>
            <w:bookmarkEnd w:id="8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X波段双线偏振多普勒天气雷达（简易型）</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1,950,000.00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r>
              <w:t>包含8年质保</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1,950,000.00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67"/>
        <w:gridCol w:w="1544"/>
        <w:gridCol w:w="1266"/>
        <w:gridCol w:w="367"/>
        <w:gridCol w:w="838"/>
        <w:gridCol w:w="698"/>
        <w:gridCol w:w="720"/>
        <w:gridCol w:w="272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8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气象探测室(001056008008)</w:t>
            </w:r>
          </w:p>
        </w:tc>
        <w:tc>
          <w:tcPr/>
          <w:p>
            <w:r>
              <w:t>X波段双线偏振多普勒天气雷达（简易型）</w:t>
            </w:r>
          </w:p>
        </w:tc>
        <w:tc>
          <w:tcPr/>
          <w:p>
            <w:r>
              <w:t>2</w:t>
            </w:r>
          </w:p>
        </w:tc>
        <w:tc>
          <w:tcPr/>
          <w:p>
            <w:r>
              <w:t>1950000.00</w:t>
            </w:r>
          </w:p>
        </w:tc>
        <w:tc>
          <w:tcPr/>
          <w:p>
            <w:r>
              <w:t xml:space="preserve">1950000.00  </w:t>
            </w:r>
          </w:p>
        </w:tc>
        <w:tc>
          <w:tcPr/>
          <w:p>
            <w:r>
              <w:t>卓尼、康县</w:t>
            </w:r>
          </w:p>
        </w:tc>
        <w:tc>
          <w:tcPr/>
          <w:p>
            <w:r>
              <w:t>卓尼县气象局，韩步龙，</w:t>
              <w:tab/>
              <w:t>18294793140；康县气象局，黄晓梅，13919578239</w:t>
            </w:r>
          </w:p>
        </w:tc>
      </w:tr>
    </w:tbl>
    <w:p w:rsidR="00A77B3E"/>
    <w:p>
      <w:pPr>
        <w:spacing w:line="360" w:lineRule="auto"/>
        <w:rPr>
          <w:rFonts w:ascii="宋体" w:hAnsi="宋体"/>
          <w:szCs w:val="21"/>
        </w:rPr>
      </w:pPr>
      <w:bookmarkEnd w:id="8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在</w:t>
      </w:r>
      <w:r>
        <w:rPr>
          <w:rFonts w:ascii="仿宋" w:eastAsia="仿宋" w:hAnsi="仿宋" w:cs="仿宋" w:hint="eastAsia"/>
          <w:sz w:val="28"/>
          <w:szCs w:val="20"/>
          <w:lang w:eastAsia="zh-CN"/>
        </w:rPr>
        <w:t>甘肃</w:t>
      </w:r>
      <w:r>
        <w:rPr>
          <w:rFonts w:ascii="仿宋" w:eastAsia="仿宋" w:hAnsi="仿宋" w:cs="仿宋" w:hint="eastAsia"/>
          <w:sz w:val="28"/>
          <w:szCs w:val="20"/>
        </w:rPr>
        <w:t>省山川、河谷等因海拔高差或地形导致小尺度天气灾害易发区</w:t>
      </w:r>
      <w:r>
        <w:rPr>
          <w:rFonts w:ascii="仿宋" w:eastAsia="仿宋" w:hAnsi="仿宋" w:cs="仿宋" w:hint="eastAsia"/>
          <w:sz w:val="28"/>
          <w:szCs w:val="20"/>
          <w:lang w:eastAsia="zh-CN"/>
        </w:rPr>
        <w:t>的卓尼县和康县</w:t>
      </w:r>
      <w:r>
        <w:rPr>
          <w:rFonts w:ascii="仿宋" w:eastAsia="仿宋" w:hAnsi="仿宋" w:cs="仿宋" w:hint="eastAsia"/>
          <w:sz w:val="28"/>
          <w:szCs w:val="20"/>
        </w:rPr>
        <w:t>，建设一种成本低、功耗小、轻巧的微小型X波段天气雷达，填补位置偏远、交通不便的主要天气系统上游地区监测盲区，提升流域、山地、丘陵等现有雷达观测盲区对特定方位灾害天气的监测能力，提高灾害易发区短时临近预报能力。</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除“质保服务要求4.1培训”的基本要求外，还应满足以下要求；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设备供应商对每套投标产品提供至少2次技术培</w:t>
      </w:r>
      <w:r>
        <w:rPr>
          <w:rFonts w:ascii="仿宋" w:eastAsia="仿宋" w:hAnsi="仿宋" w:cs="仿宋" w:hint="eastAsia"/>
          <w:color w:val="auto"/>
          <w:sz w:val="28"/>
          <w:szCs w:val="20"/>
          <w:highlight w:val="none"/>
        </w:rPr>
        <w:t>训，培训课时</w:t>
      </w:r>
      <w:r>
        <w:rPr>
          <w:rFonts w:ascii="仿宋" w:eastAsia="仿宋" w:hAnsi="仿宋" w:cs="仿宋"/>
          <w:color w:val="auto"/>
          <w:sz w:val="28"/>
          <w:szCs w:val="20"/>
          <w:highlight w:val="none"/>
        </w:rPr>
        <w:t>不少于</w:t>
      </w:r>
      <w:r>
        <w:rPr>
          <w:rFonts w:ascii="仿宋" w:eastAsia="仿宋" w:hAnsi="仿宋" w:cs="仿宋" w:hint="eastAsia"/>
          <w:color w:val="auto"/>
          <w:sz w:val="28"/>
          <w:szCs w:val="20"/>
          <w:highlight w:val="none"/>
          <w:lang w:val="en-US" w:eastAsia="zh-CN"/>
        </w:rPr>
        <w:t>40</w:t>
      </w:r>
      <w:r>
        <w:rPr>
          <w:rFonts w:ascii="仿宋" w:eastAsia="仿宋" w:hAnsi="仿宋" w:cs="仿宋" w:hint="eastAsia"/>
          <w:color w:val="auto"/>
          <w:sz w:val="28"/>
          <w:szCs w:val="20"/>
          <w:highlight w:val="none"/>
        </w:rPr>
        <w:t>个</w:t>
      </w:r>
      <w:r>
        <w:rPr>
          <w:rFonts w:ascii="仿宋" w:eastAsia="仿宋" w:hAnsi="仿宋" w:cs="仿宋"/>
          <w:color w:val="auto"/>
          <w:sz w:val="28"/>
          <w:szCs w:val="20"/>
          <w:highlight w:val="none"/>
        </w:rPr>
        <w:t>课时，培训人数不少于</w:t>
      </w:r>
      <w:r>
        <w:rPr>
          <w:rFonts w:ascii="仿宋" w:eastAsia="仿宋" w:hAnsi="仿宋" w:cs="仿宋" w:hint="eastAsia"/>
          <w:color w:val="auto"/>
          <w:sz w:val="28"/>
          <w:szCs w:val="20"/>
          <w:highlight w:val="none"/>
          <w:lang w:val="en-US" w:eastAsia="zh-CN"/>
        </w:rPr>
        <w:t>24</w:t>
      </w:r>
      <w:r>
        <w:rPr>
          <w:rFonts w:ascii="仿宋" w:eastAsia="仿宋" w:hAnsi="仿宋" w:cs="仿宋" w:hint="eastAsia"/>
          <w:color w:val="auto"/>
          <w:sz w:val="28"/>
          <w:szCs w:val="20"/>
          <w:highlight w:val="none"/>
        </w:rPr>
        <w:t>人</w:t>
      </w:r>
      <w:r>
        <w:rPr>
          <w:rFonts w:ascii="仿宋" w:eastAsia="仿宋" w:hAnsi="仿宋" w:cs="仿宋"/>
          <w:color w:val="auto"/>
          <w:sz w:val="28"/>
          <w:szCs w:val="20"/>
          <w:highlight w:val="none"/>
        </w:rPr>
        <w:t>。</w:t>
      </w:r>
      <w:r>
        <w:rPr>
          <w:rFonts w:ascii="仿宋" w:eastAsia="仿宋" w:hAnsi="仿宋" w:cs="仿宋" w:hint="eastAsia"/>
          <w:color w:val="auto"/>
          <w:sz w:val="28"/>
          <w:szCs w:val="20"/>
          <w:highlight w:val="none"/>
        </w:rPr>
        <w:t>培训内容包括</w:t>
      </w:r>
      <w:r>
        <w:rPr>
          <w:rFonts w:ascii="仿宋" w:eastAsia="仿宋" w:hAnsi="仿宋" w:cs="仿宋" w:hint="eastAsia"/>
          <w:sz w:val="28"/>
          <w:szCs w:val="20"/>
        </w:rPr>
        <w:t>设备安装、使用、日常维护、观测原理及产品应用，培训时间及地点双方协商确定。</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1、</w:t>
      </w:r>
      <w:r>
        <w:rPr>
          <w:rFonts w:ascii="仿宋" w:eastAsia="仿宋" w:hAnsi="仿宋" w:cs="仿宋" w:hint="eastAsia"/>
          <w:sz w:val="28"/>
          <w:szCs w:val="20"/>
        </w:rPr>
        <w:t>设备安装期间，中标单位须为用户单位指定的2-3名技术人员提供1次现场基础培训。培训内容聚焦设备基础操作、日常维护等基础技能，帮助技术人员快速构建设备认知体系，熟练掌握设备日常巡检、简易故障排查及应急处理等基础操作能力。</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设备试运行满3个月后，中标单位应组织用户单位技术人员前往设备生产厂家，开展为期7天的系统性进阶培训。培训内容围绕设备全生命周期管理，深度涵盖设备核心工作原理、标准操作流程、预防性维护规范、核心部件拆装、故障诊断及维修等专业技术。课程由具备设备研发经验的资深讲师授课，从软硬件技术原理、系统集成调试、全流程运维管理、数据价值挖掘等多维度展开教学，确保参训人员全面掌握设备安装部署、系统调试优化、日常运维管理及数据处理分析等核心技能。培训期间产生的食宿及培训费用均由中标单位承担。</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为持续强化用户单位技术团队能力，中标单位自设备交付验收合格起，每年应提供1次省内业务台站赴厂家的系统性培训服务。培训内容将参照上述基础培训与进阶培训的课程体系，结合设备技术迭代与行业实践动态优化，保障用户单位技术人员始终掌握设备最新操作与运维技能。</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eastAsia="zh-CN"/>
        </w:rPr>
        <w:t>卓尼县、康县</w:t>
      </w:r>
      <w:r>
        <w:rPr>
          <w:rFonts w:ascii="仿宋" w:eastAsia="仿宋" w:hAnsi="仿宋" w:cs="仿宋" w:hint="eastAsia"/>
          <w:sz w:val="28"/>
          <w:szCs w:val="20"/>
        </w:rPr>
        <w:t>（运输相关费用由供应商负责），并负责安装调试。</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ascii="仿宋" w:eastAsia="仿宋" w:hAnsi="仿宋" w:cs="仿宋"/>
          <w:b/>
          <w:bCs/>
          <w:sz w:val="28"/>
          <w:szCs w:val="20"/>
        </w:rPr>
      </w:pPr>
      <w:r>
        <w:rPr>
          <w:rFonts w:ascii="仿宋" w:eastAsia="仿宋" w:hAnsi="仿宋" w:cs="仿宋" w:hint="eastAsia"/>
          <w:sz w:val="28"/>
          <w:szCs w:val="20"/>
        </w:rPr>
        <w:t>合同签订后</w:t>
      </w:r>
      <w:r>
        <w:rPr>
          <w:rFonts w:ascii="仿宋" w:eastAsia="仿宋" w:hAnsi="仿宋" w:cs="仿宋" w:hint="eastAsia"/>
          <w:sz w:val="28"/>
          <w:szCs w:val="20"/>
          <w:lang w:val="en-US" w:eastAsia="zh-CN"/>
        </w:rPr>
        <w:t>90</w:t>
      </w:r>
      <w:r>
        <w:rPr>
          <w:rFonts w:ascii="仿宋" w:eastAsia="仿宋" w:hAnsi="仿宋" w:cs="仿宋" w:hint="eastAsia"/>
          <w:sz w:val="28"/>
          <w:szCs w:val="20"/>
        </w:rPr>
        <w:t>天内交货，30天内完成安装调试并具备验收条件，自完成合同验收之日起提供8年维保。</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hint="eastAsia"/>
          <w:sz w:val="28"/>
          <w:szCs w:val="20"/>
          <w:highlight w:val="none"/>
        </w:rPr>
      </w:pPr>
      <w:r>
        <w:rPr>
          <w:rFonts w:ascii="仿宋" w:eastAsia="仿宋" w:hAnsi="仿宋" w:cs="仿宋" w:hint="eastAsia"/>
          <w:sz w:val="28"/>
          <w:szCs w:val="20"/>
          <w:highlight w:val="none"/>
          <w:lang w:val="en-US" w:eastAsia="zh-CN"/>
        </w:rPr>
        <w:t>投标产品硬件需兼容性强，投标人对台站现有的运行设备型号有较强的兼容性。投标产品</w:t>
      </w:r>
      <w:r>
        <w:rPr>
          <w:rFonts w:ascii="仿宋" w:eastAsia="仿宋" w:hAnsi="仿宋" w:cs="仿宋" w:hint="eastAsia"/>
          <w:sz w:val="28"/>
          <w:szCs w:val="20"/>
          <w:highlight w:val="none"/>
        </w:rPr>
        <w:t>设备软件兼容性强，设备数据传输模式、数据格式、数据通讯协议满足国家局下发的</w:t>
      </w:r>
      <w:r>
        <w:rPr>
          <w:rFonts w:ascii="仿宋" w:eastAsia="仿宋" w:hAnsi="仿宋" w:cs="仿宋" w:hint="eastAsia"/>
          <w:sz w:val="28"/>
          <w:szCs w:val="20"/>
          <w:highlight w:val="none"/>
          <w:lang w:val="en-US" w:eastAsia="zh-CN"/>
        </w:rPr>
        <w:t>自动气象站</w:t>
      </w:r>
      <w:r>
        <w:rPr>
          <w:rFonts w:ascii="仿宋" w:eastAsia="仿宋" w:hAnsi="仿宋" w:cs="仿宋" w:hint="eastAsia"/>
          <w:sz w:val="28"/>
          <w:szCs w:val="20"/>
          <w:highlight w:val="none"/>
        </w:rPr>
        <w:t>主要性能指标要求，设备观测数据完全符合甲方相关要求和规范，保证其系统的兼容性和功能的完整性。</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1、质保期服务内容要求：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（1）质保期内，因设备故障，投标人进行设备维修保障或更换时，需自备维修保障耗材和更换配件。</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（2）每年需进行1次现场巡检，同时需提供必要的软件升级服务。</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（3）质保期满后，仍有义务提供远程技术服务等支持。</w:t>
      </w:r>
    </w:p>
    <w:p>
      <w:pPr>
        <w:ind w:firstLine="560" w:firstLineChars="200"/>
        <w:rPr>
          <w:rFonts w:ascii="仿宋" w:eastAsia="仿宋" w:hAnsi="仿宋" w:cs="仿宋" w:hint="eastAsia"/>
          <w:sz w:val="28"/>
          <w:szCs w:val="20"/>
        </w:rPr>
      </w:pPr>
    </w:p>
    <w:p>
      <w:pPr>
        <w:ind w:firstLine="560" w:firstLineChars="200"/>
        <w:rPr>
          <w:rFonts w:ascii="仿宋" w:eastAsia="仿宋" w:hAnsi="仿宋" w:cs="仿宋" w:hint="eastAsia"/>
          <w:sz w:val="28"/>
          <w:szCs w:val="20"/>
        </w:rPr>
      </w:pPr>
    </w:p>
    <w:p>
      <w:pPr>
        <w:ind w:firstLine="560" w:firstLineChars="200"/>
        <w:rPr>
          <w:rFonts w:ascii="仿宋" w:eastAsia="仿宋" w:hAnsi="仿宋" w:cs="仿宋" w:hint="eastAsia"/>
          <w:sz w:val="28"/>
          <w:szCs w:val="20"/>
        </w:rPr>
      </w:pPr>
    </w:p>
    <w:p>
      <w:pPr>
        <w:ind w:firstLine="560" w:firstLineChars="200"/>
        <w:rPr>
          <w:rFonts w:ascii="仿宋" w:eastAsia="仿宋" w:hAnsi="仿宋" w:cs="仿宋" w:hint="eastAsia"/>
          <w:sz w:val="28"/>
          <w:szCs w:val="20"/>
        </w:rPr>
      </w:pPr>
    </w:p>
    <w:p>
      <w:pPr>
        <w:jc w:val="center"/>
        <w:rPr>
          <w:rFonts w:ascii="仿宋" w:eastAsia="仿宋" w:hAnsi="仿宋" w:cs="仿宋" w:hint="eastAsia"/>
          <w:b/>
          <w:bCs/>
          <w:sz w:val="28"/>
          <w:szCs w:val="20"/>
        </w:rPr>
      </w:pPr>
      <w:r>
        <w:rPr>
          <w:rFonts w:ascii="仿宋" w:eastAsia="仿宋" w:hAnsi="仿宋" w:cs="仿宋" w:hint="eastAsia"/>
          <w:b/>
          <w:bCs/>
          <w:sz w:val="28"/>
          <w:szCs w:val="20"/>
          <w:lang w:val="en-US" w:eastAsia="zh-CN"/>
        </w:rPr>
        <w:t>采购清单</w:t>
      </w:r>
    </w:p>
    <w:tbl>
      <w:tblPr>
        <w:tblStyle w:val="TableNorm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66"/>
        <w:gridCol w:w="5132"/>
        <w:gridCol w:w="618"/>
        <w:gridCol w:w="819"/>
        <w:gridCol w:w="666"/>
        <w:gridCol w:w="821"/>
      </w:tblGrid>
      <w:tr>
        <w:tblPrEx>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270"/>
        </w:trPr>
        <w:tc>
          <w:tcPr>
            <w:tcW w:w="0" w:type="auto"/>
            <w:tcBorders>
              <w:top w:val="single" w:sz="4" w:space="0" w:color="000000"/>
              <w:left w:val="single" w:sz="8"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Times New Roman" w:eastAsia="宋体" w:hAnsi="Times New Roman" w:cs="Times New Roman" w:hint="default"/>
                <w:b/>
                <w:bCs/>
                <w:i w:val="0"/>
                <w:iCs w:val="0"/>
                <w:color w:val="000000"/>
                <w:sz w:val="20"/>
                <w:szCs w:val="20"/>
                <w:u w:val="none"/>
              </w:rPr>
            </w:pPr>
            <w:r>
              <w:rPr>
                <w:rFonts w:ascii="Times New Roman" w:eastAsia="宋体" w:hAnsi="Times New Roman" w:cs="Times New Roman" w:hint="default"/>
                <w:b/>
                <w:bCs/>
                <w:i w:val="0"/>
                <w:iCs w:val="0"/>
                <w:color w:val="000000"/>
                <w:kern w:val="0"/>
                <w:sz w:val="20"/>
                <w:szCs w:val="20"/>
                <w:u w:val="none"/>
                <w:lang w:val="en-US" w:eastAsia="zh-CN" w:bidi="ar"/>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工程费用</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Times New Roman" w:eastAsia="宋体" w:hAnsi="Times New Roman" w:cs="Times New Roman" w:hint="default"/>
                <w:i w:val="0"/>
                <w:iCs w:val="0"/>
                <w:color w:val="000000"/>
                <w:sz w:val="20"/>
                <w:szCs w:val="20"/>
                <w:u w:val="none"/>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Times New Roman" w:eastAsia="宋体" w:hAnsi="Times New Roman" w:cs="Times New Roman" w:hint="default"/>
                <w:i w:val="0"/>
                <w:iCs w:val="0"/>
                <w:color w:val="000000"/>
                <w:sz w:val="20"/>
                <w:szCs w:val="20"/>
                <w:u w:val="none"/>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Times New Roman" w:eastAsia="宋体" w:hAnsi="Times New Roman" w:cs="Times New Roman" w:hint="default"/>
                <w:i w:val="0"/>
                <w:iCs w:val="0"/>
                <w:color w:val="000000"/>
                <w:sz w:val="20"/>
                <w:szCs w:val="20"/>
                <w:u w:val="none"/>
              </w:rPr>
            </w:pPr>
          </w:p>
        </w:tc>
        <w:tc>
          <w:tcPr>
            <w:tcW w:w="0" w:type="auto"/>
            <w:tcBorders>
              <w:top w:val="single" w:sz="4" w:space="0" w:color="000000"/>
              <w:left w:val="single" w:sz="4" w:space="0" w:color="000000"/>
              <w:bottom w:val="single" w:sz="4" w:space="0" w:color="000000"/>
              <w:right w:val="single" w:sz="8" w:space="0" w:color="000000"/>
            </w:tcBorders>
            <w:shd w:val="clear" w:color="auto" w:fill="auto"/>
            <w:noWrap/>
            <w:vAlign w:val="center"/>
          </w:tcPr>
          <w:p>
            <w:pPr>
              <w:jc w:val="center"/>
              <w:rPr>
                <w:rFonts w:ascii="Times New Roman" w:eastAsia="宋体" w:hAnsi="Times New Roman" w:cs="Times New Roman" w:hint="default"/>
                <w:i w:val="0"/>
                <w:iCs w:val="0"/>
                <w:color w:val="000000"/>
                <w:sz w:val="20"/>
                <w:szCs w:val="20"/>
                <w:u w:val="none"/>
              </w:rPr>
            </w:pPr>
          </w:p>
        </w:tc>
      </w:tr>
      <w:tr>
        <w:tblPrEx>
          <w:tblW w:w="0" w:type="auto"/>
          <w:tblInd w:w="0" w:type="dxa"/>
          <w:shd w:val="clear" w:color="auto" w:fill="auto"/>
          <w:tblCellMar>
            <w:top w:w="0" w:type="dxa"/>
            <w:left w:w="108" w:type="dxa"/>
            <w:bottom w:w="0" w:type="dxa"/>
            <w:right w:w="108" w:type="dxa"/>
          </w:tblCellMar>
        </w:tblPrEx>
        <w:trPr>
          <w:trHeight w:val="270"/>
        </w:trPr>
        <w:tc>
          <w:tcPr>
            <w:tcW w:w="0" w:type="auto"/>
            <w:tcBorders>
              <w:top w:val="single" w:sz="4" w:space="0" w:color="000000"/>
              <w:left w:val="single" w:sz="8"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Times New Roman" w:eastAsia="宋体" w:hAnsi="Times New Roman" w:cs="Times New Roman" w:hint="default"/>
                <w:b/>
                <w:bCs/>
                <w:i w:val="0"/>
                <w:iCs w:val="0"/>
                <w:color w:val="000000"/>
                <w:sz w:val="20"/>
                <w:szCs w:val="20"/>
                <w:u w:val="none"/>
              </w:rPr>
            </w:pPr>
            <w:r>
              <w:rPr>
                <w:rFonts w:ascii="Times New Roman" w:eastAsia="宋体" w:hAnsi="Times New Roman" w:cs="Times New Roman" w:hint="default"/>
                <w:b/>
                <w:bCs/>
                <w:i w:val="0"/>
                <w:iCs w:val="0"/>
                <w:color w:val="000000"/>
                <w:kern w:val="0"/>
                <w:sz w:val="20"/>
                <w:szCs w:val="20"/>
                <w:u w:val="none"/>
                <w:lang w:val="en-US" w:eastAsia="zh-CN" w:bidi="ar"/>
              </w:rPr>
              <w:t>1.1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建筑与安装工程费</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单位</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工程量</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单价</w:t>
            </w:r>
          </w:p>
        </w:tc>
        <w:tc>
          <w:tcPr>
            <w:tcW w:w="0" w:type="auto"/>
            <w:tcBorders>
              <w:top w:val="single" w:sz="4" w:space="0" w:color="000000"/>
              <w:left w:val="single" w:sz="4" w:space="0" w:color="000000"/>
              <w:bottom w:val="single" w:sz="4" w:space="0" w:color="000000"/>
              <w:right w:val="single" w:sz="8"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合价</w:t>
            </w:r>
          </w:p>
        </w:tc>
      </w:tr>
      <w:tr>
        <w:tblPrEx>
          <w:tblW w:w="0" w:type="auto"/>
          <w:tblInd w:w="0" w:type="dxa"/>
          <w:shd w:val="clear" w:color="auto" w:fill="auto"/>
          <w:tblCellMar>
            <w:top w:w="0" w:type="dxa"/>
            <w:left w:w="108" w:type="dxa"/>
            <w:bottom w:w="0" w:type="dxa"/>
            <w:right w:w="108" w:type="dxa"/>
          </w:tblCellMar>
        </w:tblPrEx>
        <w:trPr>
          <w:trHeight w:val="720"/>
        </w:trPr>
        <w:tc>
          <w:tcPr>
            <w:tcW w:w="0" w:type="auto"/>
            <w:tcBorders>
              <w:top w:val="nil"/>
              <w:left w:val="single" w:sz="8" w:space="0" w:color="000000"/>
              <w:bottom w:val="single" w:sz="4" w:space="0" w:color="000000"/>
              <w:right w:val="single" w:sz="4" w:space="0" w:color="000000"/>
            </w:tcBorders>
            <w:shd w:val="clear" w:color="auto" w:fill="auto"/>
            <w:noWrap/>
            <w:vAlign w:val="center"/>
          </w:tcPr>
          <w:p>
            <w:pPr>
              <w:jc w:val="center"/>
              <w:rPr>
                <w:rFonts w:ascii="Times New Roman" w:eastAsia="宋体" w:hAnsi="Times New Roman" w:cs="Times New Roman" w:hint="default"/>
                <w:b/>
                <w:bCs/>
                <w:i w:val="0"/>
                <w:iCs w:val="0"/>
                <w:color w:val="000000"/>
                <w:sz w:val="20"/>
                <w:szCs w:val="20"/>
                <w:u w:val="none"/>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仿宋_GB2312" w:hAnsi="仿宋_GB2312" w:cs="仿宋_GB2312" w:hint="eastAsia"/>
                <w:szCs w:val="32"/>
              </w:rPr>
              <w:t>微小X波段雷达</w:t>
            </w:r>
            <w:r>
              <w:rPr>
                <w:rFonts w:ascii="宋体" w:eastAsia="宋体" w:hAnsi="宋体" w:cs="宋体" w:hint="eastAsia"/>
                <w:i w:val="0"/>
                <w:iCs w:val="0"/>
                <w:color w:val="000000"/>
                <w:kern w:val="0"/>
                <w:sz w:val="20"/>
                <w:szCs w:val="20"/>
                <w:u w:val="none"/>
                <w:lang w:val="en-US" w:eastAsia="zh-CN" w:bidi="ar"/>
              </w:rPr>
              <w:t>设备基础建设、安装、转运、防雷、供电供网改造等费</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站</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sz w:val="22"/>
                <w:szCs w:val="22"/>
                <w:u w:val="none"/>
              </w:rPr>
            </w:pPr>
            <w:r>
              <w:rPr>
                <w:rFonts w:ascii="Times New Roman" w:eastAsia="宋体" w:hAnsi="Times New Roman" w:cs="Times New Roman" w:hint="default"/>
                <w:i w:val="0"/>
                <w:iCs w:val="0"/>
                <w:color w:val="000000"/>
                <w:kern w:val="0"/>
                <w:sz w:val="22"/>
                <w:szCs w:val="22"/>
                <w:u w:val="none"/>
                <w:lang w:val="en-US" w:eastAsia="zh-CN" w:bidi="ar"/>
              </w:rPr>
              <w:t xml:space="preserve">6.40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sz w:val="22"/>
                <w:szCs w:val="22"/>
                <w:u w:val="none"/>
              </w:rPr>
            </w:pPr>
            <w:r>
              <w:rPr>
                <w:rFonts w:ascii="Times New Roman" w:eastAsia="宋体" w:hAnsi="Times New Roman" w:cs="Times New Roman" w:hint="default"/>
                <w:i w:val="0"/>
                <w:iCs w:val="0"/>
                <w:color w:val="000000"/>
                <w:kern w:val="0"/>
                <w:sz w:val="22"/>
                <w:szCs w:val="22"/>
                <w:u w:val="none"/>
                <w:lang w:val="en-US" w:eastAsia="zh-CN" w:bidi="ar"/>
              </w:rPr>
              <w:t xml:space="preserve">12.80 </w:t>
            </w:r>
          </w:p>
        </w:tc>
      </w:tr>
      <w:tr>
        <w:tblPrEx>
          <w:tblW w:w="0" w:type="auto"/>
          <w:tblInd w:w="0" w:type="dxa"/>
          <w:shd w:val="clear" w:color="auto" w:fill="auto"/>
          <w:tblCellMar>
            <w:top w:w="0" w:type="dxa"/>
            <w:left w:w="108" w:type="dxa"/>
            <w:bottom w:w="0" w:type="dxa"/>
            <w:right w:w="108" w:type="dxa"/>
          </w:tblCellMar>
        </w:tblPrEx>
        <w:trPr>
          <w:trHeight w:val="270"/>
        </w:trPr>
        <w:tc>
          <w:tcPr>
            <w:tcW w:w="0" w:type="auto"/>
            <w:tcBorders>
              <w:top w:val="single" w:sz="4" w:space="0" w:color="000000"/>
              <w:left w:val="single" w:sz="8"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Times New Roman" w:eastAsia="宋体" w:hAnsi="Times New Roman" w:cs="Times New Roman" w:hint="default"/>
                <w:b/>
                <w:bCs/>
                <w:i w:val="0"/>
                <w:iCs w:val="0"/>
                <w:color w:val="000000"/>
                <w:sz w:val="20"/>
                <w:szCs w:val="20"/>
                <w:u w:val="none"/>
              </w:rPr>
            </w:pPr>
            <w:r>
              <w:rPr>
                <w:rFonts w:ascii="Times New Roman" w:eastAsia="宋体" w:hAnsi="Times New Roman" w:cs="Times New Roman" w:hint="default"/>
                <w:b/>
                <w:bCs/>
                <w:i w:val="0"/>
                <w:iCs w:val="0"/>
                <w:color w:val="000000"/>
                <w:kern w:val="0"/>
                <w:sz w:val="20"/>
                <w:szCs w:val="20"/>
                <w:u w:val="none"/>
                <w:lang w:val="en-US" w:eastAsia="zh-CN" w:bidi="ar"/>
              </w:rPr>
              <w:t>1.2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设备购置费</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单位</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数量</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单价</w:t>
            </w:r>
          </w:p>
        </w:tc>
        <w:tc>
          <w:tcPr>
            <w:tcW w:w="0" w:type="auto"/>
            <w:tcBorders>
              <w:top w:val="single" w:sz="4" w:space="0" w:color="000000"/>
              <w:left w:val="single" w:sz="4" w:space="0" w:color="000000"/>
              <w:bottom w:val="single" w:sz="4" w:space="0" w:color="000000"/>
              <w:right w:val="single" w:sz="8"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合价</w:t>
            </w:r>
          </w:p>
        </w:tc>
      </w:tr>
      <w:tr>
        <w:tblPrEx>
          <w:tblW w:w="0" w:type="auto"/>
          <w:tblInd w:w="0" w:type="dxa"/>
          <w:shd w:val="clear" w:color="auto" w:fill="auto"/>
          <w:tblCellMar>
            <w:top w:w="0" w:type="dxa"/>
            <w:left w:w="108" w:type="dxa"/>
            <w:bottom w:w="0" w:type="dxa"/>
            <w:right w:w="108" w:type="dxa"/>
          </w:tblCellMar>
        </w:tblPrEx>
        <w:trPr>
          <w:trHeight w:val="300"/>
        </w:trPr>
        <w:tc>
          <w:tcPr>
            <w:tcW w:w="0" w:type="auto"/>
            <w:tcBorders>
              <w:top w:val="single" w:sz="4" w:space="0" w:color="000000"/>
              <w:left w:val="single" w:sz="8"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1.1</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仿宋_GB2312" w:hAnsi="仿宋_GB2312" w:cs="仿宋_GB2312" w:hint="eastAsia"/>
                <w:szCs w:val="32"/>
              </w:rPr>
              <w:t>微小X波段雷达</w:t>
            </w:r>
            <w:r>
              <w:rPr>
                <w:rFonts w:ascii="宋体" w:eastAsia="宋体" w:hAnsi="宋体" w:cs="宋体" w:hint="eastAsia"/>
                <w:i w:val="0"/>
                <w:iCs w:val="0"/>
                <w:color w:val="000000"/>
                <w:kern w:val="0"/>
                <w:sz w:val="20"/>
                <w:szCs w:val="20"/>
                <w:u w:val="none"/>
                <w:lang w:val="en-US" w:eastAsia="zh-CN" w:bidi="ar"/>
              </w:rPr>
              <w:t>主机设备</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80.00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sz w:val="22"/>
                <w:szCs w:val="22"/>
                <w:u w:val="none"/>
              </w:rPr>
            </w:pPr>
            <w:r>
              <w:rPr>
                <w:rFonts w:ascii="Times New Roman" w:eastAsia="宋体" w:hAnsi="Times New Roman" w:cs="Times New Roman" w:hint="default"/>
                <w:i w:val="0"/>
                <w:iCs w:val="0"/>
                <w:color w:val="000000"/>
                <w:kern w:val="0"/>
                <w:sz w:val="22"/>
                <w:szCs w:val="22"/>
                <w:u w:val="none"/>
                <w:lang w:val="en-US" w:eastAsia="zh-CN" w:bidi="ar"/>
              </w:rPr>
              <w:t xml:space="preserve">160.00 </w:t>
            </w:r>
          </w:p>
        </w:tc>
      </w:tr>
      <w:tr>
        <w:tblPrEx>
          <w:tblW w:w="0" w:type="auto"/>
          <w:tblInd w:w="0" w:type="dxa"/>
          <w:shd w:val="clear" w:color="auto" w:fill="auto"/>
          <w:tblCellMar>
            <w:top w:w="0" w:type="dxa"/>
            <w:left w:w="108" w:type="dxa"/>
            <w:bottom w:w="0" w:type="dxa"/>
            <w:right w:w="108" w:type="dxa"/>
          </w:tblCellMar>
        </w:tblPrEx>
        <w:trPr>
          <w:trHeight w:val="300"/>
        </w:trPr>
        <w:tc>
          <w:tcPr>
            <w:tcW w:w="0" w:type="auto"/>
            <w:tcBorders>
              <w:top w:val="single" w:sz="4" w:space="0" w:color="000000"/>
              <w:left w:val="single" w:sz="8"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1.2</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仿宋_GB2312" w:hAnsi="仿宋_GB2312" w:cs="仿宋_GB2312" w:hint="eastAsia"/>
                <w:szCs w:val="32"/>
              </w:rPr>
              <w:t>微小X波段雷达</w:t>
            </w:r>
            <w:r>
              <w:rPr>
                <w:rFonts w:ascii="宋体" w:eastAsia="宋体" w:hAnsi="宋体" w:cs="宋体" w:hint="eastAsia"/>
                <w:i w:val="0"/>
                <w:iCs w:val="0"/>
                <w:color w:val="000000"/>
                <w:kern w:val="0"/>
                <w:sz w:val="20"/>
                <w:szCs w:val="20"/>
                <w:u w:val="none"/>
                <w:lang w:val="en-US" w:eastAsia="zh-CN" w:bidi="ar"/>
              </w:rPr>
              <w:t>附属设备</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8.60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sz w:val="22"/>
                <w:szCs w:val="22"/>
                <w:u w:val="none"/>
              </w:rPr>
            </w:pPr>
            <w:r>
              <w:rPr>
                <w:rFonts w:ascii="Times New Roman" w:eastAsia="宋体" w:hAnsi="Times New Roman" w:cs="Times New Roman" w:hint="default"/>
                <w:i w:val="0"/>
                <w:iCs w:val="0"/>
                <w:color w:val="000000"/>
                <w:kern w:val="0"/>
                <w:sz w:val="22"/>
                <w:szCs w:val="22"/>
                <w:u w:val="none"/>
                <w:lang w:val="en-US" w:eastAsia="zh-CN" w:bidi="ar"/>
              </w:rPr>
              <w:t xml:space="preserve">17.20 </w:t>
            </w:r>
          </w:p>
        </w:tc>
      </w:tr>
      <w:tr>
        <w:tblPrEx>
          <w:tblW w:w="0" w:type="auto"/>
          <w:tblInd w:w="0" w:type="dxa"/>
          <w:shd w:val="clear" w:color="auto" w:fill="auto"/>
          <w:tblCellMar>
            <w:top w:w="0" w:type="dxa"/>
            <w:left w:w="108" w:type="dxa"/>
            <w:bottom w:w="0" w:type="dxa"/>
            <w:right w:w="108" w:type="dxa"/>
          </w:tblCellMar>
        </w:tblPrEx>
        <w:trPr>
          <w:trHeight w:val="270"/>
        </w:trPr>
        <w:tc>
          <w:tcPr>
            <w:tcW w:w="0" w:type="auto"/>
            <w:tcBorders>
              <w:top w:val="single" w:sz="4" w:space="0" w:color="000000"/>
              <w:left w:val="single" w:sz="8"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Times New Roman" w:eastAsia="宋体" w:hAnsi="Times New Roman" w:cs="Times New Roman" w:hint="default"/>
                <w:b/>
                <w:bCs/>
                <w:i w:val="0"/>
                <w:iCs w:val="0"/>
                <w:color w:val="000000"/>
                <w:sz w:val="20"/>
                <w:szCs w:val="20"/>
                <w:u w:val="none"/>
              </w:rPr>
            </w:pPr>
            <w:r>
              <w:rPr>
                <w:rFonts w:ascii="Times New Roman" w:eastAsia="宋体" w:hAnsi="Times New Roman" w:cs="Times New Roman" w:hint="default"/>
                <w:b/>
                <w:bCs/>
                <w:i w:val="0"/>
                <w:iCs w:val="0"/>
                <w:color w:val="000000"/>
                <w:kern w:val="0"/>
                <w:sz w:val="20"/>
                <w:szCs w:val="20"/>
                <w:u w:val="none"/>
                <w:lang w:val="en-US"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工程建设其他费用</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单位</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数量</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单价</w:t>
            </w:r>
          </w:p>
        </w:tc>
        <w:tc>
          <w:tcPr>
            <w:tcW w:w="0" w:type="auto"/>
            <w:tcBorders>
              <w:top w:val="single" w:sz="4" w:space="0" w:color="000000"/>
              <w:left w:val="single" w:sz="4" w:space="0" w:color="000000"/>
              <w:bottom w:val="single" w:sz="4" w:space="0" w:color="000000"/>
              <w:right w:val="single" w:sz="8"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合价</w:t>
            </w:r>
          </w:p>
        </w:tc>
      </w:tr>
      <w:tr>
        <w:tblPrEx>
          <w:tblW w:w="0" w:type="auto"/>
          <w:tblInd w:w="0" w:type="dxa"/>
          <w:shd w:val="clear" w:color="auto" w:fill="auto"/>
          <w:tblCellMar>
            <w:top w:w="0" w:type="dxa"/>
            <w:left w:w="108" w:type="dxa"/>
            <w:bottom w:w="0" w:type="dxa"/>
            <w:right w:w="108" w:type="dxa"/>
          </w:tblCellMar>
        </w:tblPrEx>
        <w:trPr>
          <w:trHeight w:val="300"/>
        </w:trPr>
        <w:tc>
          <w:tcPr>
            <w:tcW w:w="0" w:type="auto"/>
            <w:tcBorders>
              <w:top w:val="single" w:sz="4" w:space="0" w:color="000000"/>
              <w:left w:val="single" w:sz="8"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2.1</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仿宋_GB2312" w:hAnsi="仿宋_GB2312" w:cs="仿宋_GB2312" w:hint="eastAsia"/>
                <w:szCs w:val="32"/>
              </w:rPr>
              <w:t>微小X波段雷达</w:t>
            </w:r>
            <w:r>
              <w:rPr>
                <w:rFonts w:ascii="宋体" w:eastAsia="宋体" w:hAnsi="宋体" w:cs="宋体" w:hint="eastAsia"/>
                <w:i w:val="0"/>
                <w:iCs w:val="0"/>
                <w:color w:val="000000"/>
                <w:kern w:val="0"/>
                <w:sz w:val="20"/>
                <w:szCs w:val="20"/>
                <w:u w:val="none"/>
                <w:lang w:val="en-US" w:eastAsia="zh-CN" w:bidi="ar"/>
              </w:rPr>
              <w:t>建设单位管理费</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站</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sz w:val="22"/>
                <w:szCs w:val="22"/>
                <w:u w:val="none"/>
              </w:rPr>
            </w:pPr>
            <w:r>
              <w:rPr>
                <w:rFonts w:ascii="Times New Roman" w:eastAsia="宋体" w:hAnsi="Times New Roman" w:cs="Times New Roman" w:hint="default"/>
                <w:i w:val="0"/>
                <w:iCs w:val="0"/>
                <w:color w:val="000000"/>
                <w:kern w:val="0"/>
                <w:sz w:val="22"/>
                <w:szCs w:val="22"/>
                <w:u w:val="none"/>
                <w:lang w:val="en-US" w:eastAsia="zh-CN" w:bidi="ar"/>
              </w:rPr>
              <w:t xml:space="preserve">0.50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sz w:val="22"/>
                <w:szCs w:val="22"/>
                <w:u w:val="none"/>
              </w:rPr>
            </w:pPr>
            <w:r>
              <w:rPr>
                <w:rFonts w:ascii="Times New Roman" w:eastAsia="宋体" w:hAnsi="Times New Roman" w:cs="Times New Roman" w:hint="default"/>
                <w:i w:val="0"/>
                <w:iCs w:val="0"/>
                <w:color w:val="000000"/>
                <w:kern w:val="0"/>
                <w:sz w:val="22"/>
                <w:szCs w:val="22"/>
                <w:u w:val="none"/>
                <w:lang w:val="en-US" w:eastAsia="zh-CN" w:bidi="ar"/>
              </w:rPr>
              <w:t xml:space="preserve">1.00 </w:t>
            </w:r>
          </w:p>
        </w:tc>
      </w:tr>
      <w:tr>
        <w:tblPrEx>
          <w:tblW w:w="0" w:type="auto"/>
          <w:tblInd w:w="0" w:type="dxa"/>
          <w:shd w:val="clear" w:color="auto" w:fill="auto"/>
          <w:tblCellMar>
            <w:top w:w="0" w:type="dxa"/>
            <w:left w:w="108" w:type="dxa"/>
            <w:bottom w:w="0" w:type="dxa"/>
            <w:right w:w="108" w:type="dxa"/>
          </w:tblCellMar>
        </w:tblPrEx>
        <w:trPr>
          <w:trHeight w:val="720"/>
        </w:trPr>
        <w:tc>
          <w:tcPr>
            <w:tcW w:w="0" w:type="auto"/>
            <w:tcBorders>
              <w:top w:val="single" w:sz="4" w:space="0" w:color="000000"/>
              <w:left w:val="single" w:sz="8"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2.2</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仿宋_GB2312" w:hAnsi="仿宋_GB2312" w:cs="仿宋_GB2312" w:hint="eastAsia"/>
                <w:szCs w:val="32"/>
              </w:rPr>
              <w:t>微小X波段雷达</w:t>
            </w:r>
            <w:r>
              <w:rPr>
                <w:rFonts w:ascii="宋体" w:eastAsia="宋体" w:hAnsi="宋体" w:cs="宋体" w:hint="eastAsia"/>
                <w:i w:val="0"/>
                <w:iCs w:val="0"/>
                <w:color w:val="000000"/>
                <w:kern w:val="0"/>
                <w:sz w:val="20"/>
                <w:szCs w:val="20"/>
                <w:u w:val="none"/>
                <w:lang w:val="en-US" w:eastAsia="zh-CN" w:bidi="ar"/>
              </w:rPr>
              <w:t>电磁环境测试及地理信息测绘费、测试选址费</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sz w:val="22"/>
                <w:szCs w:val="22"/>
                <w:u w:val="none"/>
              </w:rPr>
            </w:pPr>
            <w:r>
              <w:rPr>
                <w:rFonts w:ascii="Times New Roman" w:eastAsia="宋体" w:hAnsi="Times New Roman" w:cs="Times New Roman" w:hint="default"/>
                <w:i w:val="0"/>
                <w:iCs w:val="0"/>
                <w:color w:val="000000"/>
                <w:kern w:val="0"/>
                <w:sz w:val="22"/>
                <w:szCs w:val="22"/>
                <w:u w:val="none"/>
                <w:lang w:val="en-US" w:eastAsia="zh-CN" w:bidi="ar"/>
              </w:rPr>
              <w:t xml:space="preserve">2.00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sz w:val="22"/>
                <w:szCs w:val="22"/>
                <w:u w:val="none"/>
              </w:rPr>
            </w:pPr>
            <w:r>
              <w:rPr>
                <w:rFonts w:ascii="Times New Roman" w:eastAsia="宋体" w:hAnsi="Times New Roman" w:cs="Times New Roman" w:hint="default"/>
                <w:i w:val="0"/>
                <w:iCs w:val="0"/>
                <w:color w:val="000000"/>
                <w:kern w:val="0"/>
                <w:sz w:val="22"/>
                <w:szCs w:val="22"/>
                <w:u w:val="none"/>
                <w:lang w:val="en-US" w:eastAsia="zh-CN" w:bidi="ar"/>
              </w:rPr>
              <w:t xml:space="preserve">4.00 </w:t>
            </w:r>
          </w:p>
        </w:tc>
      </w:tr>
      <w:tr>
        <w:tblPrEx>
          <w:tblW w:w="0" w:type="auto"/>
          <w:tblInd w:w="0" w:type="dxa"/>
          <w:shd w:val="clear" w:color="auto" w:fill="auto"/>
          <w:tblCellMar>
            <w:top w:w="0" w:type="dxa"/>
            <w:left w:w="108" w:type="dxa"/>
            <w:bottom w:w="0" w:type="dxa"/>
            <w:right w:w="108" w:type="dxa"/>
          </w:tblCellMar>
        </w:tblPrEx>
        <w:trPr>
          <w:trHeight w:val="270"/>
        </w:trPr>
        <w:tc>
          <w:tcPr>
            <w:tcW w:w="0" w:type="auto"/>
            <w:tcBorders>
              <w:top w:val="single" w:sz="4" w:space="0" w:color="000000"/>
              <w:left w:val="single" w:sz="8" w:space="0" w:color="000000"/>
              <w:bottom w:val="single" w:sz="4" w:space="0" w:color="000000"/>
              <w:right w:val="single" w:sz="4" w:space="0" w:color="000000"/>
            </w:tcBorders>
            <w:shd w:val="clear" w:color="auto" w:fill="auto"/>
            <w:noWrap/>
            <w:vAlign w:val="center"/>
          </w:tcPr>
          <w:p>
            <w:pPr>
              <w:jc w:val="center"/>
              <w:rPr>
                <w:rFonts w:ascii="Times New Roman" w:eastAsia="宋体" w:hAnsi="Times New Roman" w:cs="Times New Roman" w:hint="default"/>
                <w:b/>
                <w:bCs/>
                <w:i w:val="0"/>
                <w:iCs w:val="0"/>
                <w:color w:val="000000"/>
                <w:sz w:val="20"/>
                <w:szCs w:val="20"/>
                <w:u w:val="none"/>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合计</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Times New Roman" w:eastAsia="宋体" w:hAnsi="Times New Roman" w:cs="Times New Roman" w:hint="default"/>
                <w:b/>
                <w:bCs/>
                <w:i w:val="0"/>
                <w:iCs w:val="0"/>
                <w:color w:val="000000"/>
                <w:sz w:val="20"/>
                <w:szCs w:val="20"/>
                <w:u w:val="none"/>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Times New Roman" w:eastAsia="宋体" w:hAnsi="Times New Roman" w:cs="Times New Roman" w:hint="default"/>
                <w:b/>
                <w:bCs/>
                <w:i w:val="0"/>
                <w:iCs w:val="0"/>
                <w:color w:val="000000"/>
                <w:sz w:val="20"/>
                <w:szCs w:val="20"/>
                <w:u w:val="none"/>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Times New Roman" w:eastAsia="宋体" w:hAnsi="Times New Roman" w:cs="Times New Roman" w:hint="default"/>
                <w:b/>
                <w:bCs/>
                <w:i w:val="0"/>
                <w:iCs w:val="0"/>
                <w:color w:val="000000"/>
                <w:sz w:val="20"/>
                <w:szCs w:val="20"/>
                <w:u w:val="none"/>
              </w:rPr>
            </w:pPr>
          </w:p>
        </w:tc>
        <w:tc>
          <w:tcPr>
            <w:tcW w:w="0" w:type="auto"/>
            <w:tcBorders>
              <w:top w:val="single" w:sz="4" w:space="0" w:color="000000"/>
              <w:left w:val="single" w:sz="4" w:space="0" w:color="000000"/>
              <w:bottom w:val="single" w:sz="4" w:space="0" w:color="000000"/>
              <w:right w:val="single" w:sz="8" w:space="0" w:color="000000"/>
            </w:tcBorders>
            <w:shd w:val="clear" w:color="auto" w:fill="auto"/>
            <w:noWrap/>
            <w:vAlign w:val="center"/>
          </w:tcPr>
          <w:p>
            <w:pPr>
              <w:keepNext w:val="0"/>
              <w:keepLines w:val="0"/>
              <w:widowControl/>
              <w:suppressLineNumbers w:val="0"/>
              <w:jc w:val="center"/>
              <w:textAlignment w:val="center"/>
              <w:rPr>
                <w:rFonts w:ascii="Times New Roman" w:eastAsia="宋体" w:hAnsi="Times New Roman" w:cs="Times New Roman" w:hint="default"/>
                <w:b/>
                <w:bCs/>
                <w:i w:val="0"/>
                <w:iCs w:val="0"/>
                <w:color w:val="000000"/>
                <w:sz w:val="20"/>
                <w:szCs w:val="20"/>
                <w:u w:val="none"/>
              </w:rPr>
            </w:pPr>
            <w:r>
              <w:rPr>
                <w:rFonts w:ascii="Times New Roman" w:eastAsia="宋体" w:hAnsi="Times New Roman" w:cs="Times New Roman" w:hint="default"/>
                <w:b/>
                <w:bCs/>
                <w:i w:val="0"/>
                <w:iCs w:val="0"/>
                <w:color w:val="000000"/>
                <w:kern w:val="0"/>
                <w:sz w:val="20"/>
                <w:szCs w:val="20"/>
                <w:u w:val="none"/>
                <w:lang w:val="en-US" w:eastAsia="zh-CN" w:bidi="ar"/>
              </w:rPr>
              <w:t xml:space="preserve">195.00 </w:t>
            </w:r>
          </w:p>
        </w:tc>
      </w:tr>
    </w:tbl>
    <w:p>
      <w:pPr>
        <w:ind w:firstLine="560" w:firstLineChars="200"/>
        <w:rPr>
          <w:rFonts w:ascii="仿宋" w:eastAsia="仿宋" w:hAnsi="仿宋" w:cs="仿宋" w:hint="eastAsia"/>
          <w:sz w:val="28"/>
          <w:szCs w:val="20"/>
        </w:rPr>
      </w:pPr>
    </w:p>
    <w:p>
      <w:pPr>
        <w:ind w:firstLine="560" w:firstLineChars="200"/>
        <w:rPr>
          <w:rFonts w:ascii="仿宋" w:eastAsia="仿宋" w:hAnsi="仿宋" w:cs="仿宋"/>
          <w:sz w:val="28"/>
          <w:szCs w:val="20"/>
        </w:rPr>
      </w:pP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D6089F">
      <w:pPr>
        <w:tabs>
          <w:tab w:val="left" w:pos="1573"/>
        </w:tabs>
        <w:adjustRightInd w:val="0"/>
        <w:snapToGrid w:val="0"/>
        <w:spacing w:line="360" w:lineRule="auto"/>
        <w:jc w:val="center"/>
        <w:outlineLvl w:val="1"/>
        <w:rPr>
          <w:b/>
          <w:bCs/>
          <w:sz w:val="30"/>
          <w:szCs w:val="30"/>
        </w:rPr>
      </w:pPr>
      <w:bookmarkStart w:id="8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D6089F">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E57166">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D6089F">
            <w:pPr>
              <w:rPr>
                <w:sz w:val="18"/>
                <w:szCs w:val="18"/>
              </w:rPr>
            </w:pPr>
            <w:r>
              <w:rPr>
                <w:rFonts w:hint="eastAsia"/>
                <w:sz w:val="18"/>
                <w:szCs w:val="18"/>
              </w:rPr>
              <w:t>序号</w:t>
            </w:r>
          </w:p>
        </w:tc>
        <w:tc>
          <w:tcPr>
            <w:tcW w:w="898" w:type="dxa"/>
            <w:vAlign w:val="center"/>
          </w:tcPr>
          <w:p w:rsidR="00D6089F">
            <w:pPr>
              <w:jc w:val="center"/>
              <w:rPr>
                <w:sz w:val="18"/>
                <w:szCs w:val="18"/>
              </w:rPr>
            </w:pPr>
            <w:r>
              <w:rPr>
                <w:rFonts w:hint="eastAsia"/>
                <w:sz w:val="18"/>
                <w:szCs w:val="18"/>
              </w:rPr>
              <w:t>对应</w:t>
            </w:r>
          </w:p>
          <w:p w:rsidR="00D6089F">
            <w:pPr>
              <w:jc w:val="center"/>
              <w:rPr>
                <w:sz w:val="18"/>
                <w:szCs w:val="18"/>
              </w:rPr>
            </w:pPr>
            <w:r>
              <w:rPr>
                <w:rFonts w:hint="eastAsia"/>
                <w:sz w:val="18"/>
                <w:szCs w:val="18"/>
              </w:rPr>
              <w:t>条款号</w:t>
            </w:r>
          </w:p>
        </w:tc>
        <w:tc>
          <w:tcPr>
            <w:tcW w:w="7347" w:type="dxa"/>
            <w:vAlign w:val="center"/>
          </w:tcPr>
          <w:p w:rsidR="00D6089F">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E57166">
        <w:tblPrEx>
          <w:tblW w:w="8789" w:type="dxa"/>
          <w:tblLayout w:type="fixed"/>
          <w:tblLook w:val="04A0"/>
        </w:tblPrEx>
        <w:trPr>
          <w:cantSplit/>
        </w:trPr>
        <w:tc>
          <w:tcPr>
            <w:tcW w:w="8789" w:type="dxa"/>
            <w:gridSpan w:val="3"/>
            <w:vAlign w:val="center"/>
          </w:tcPr>
          <w:p w:rsidR="00D6089F">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E57166">
        <w:tblPrEx>
          <w:tblW w:w="8789" w:type="dxa"/>
          <w:tblLayout w:type="fixed"/>
          <w:tblLook w:val="04A0"/>
        </w:tblPrEx>
        <w:trPr>
          <w:cantSplit/>
        </w:trPr>
        <w:tc>
          <w:tcPr>
            <w:tcW w:w="544" w:type="dxa"/>
            <w:vAlign w:val="center"/>
          </w:tcPr>
          <w:p w:rsidR="00D6089F">
            <w:pPr>
              <w:numPr>
                <w:ilvl w:val="0"/>
                <w:numId w:val="14"/>
              </w:numPr>
              <w:rPr>
                <w:rFonts w:ascii="宋体" w:hAnsi="宋体"/>
                <w:sz w:val="18"/>
                <w:szCs w:val="18"/>
              </w:rPr>
            </w:pPr>
          </w:p>
        </w:tc>
        <w:tc>
          <w:tcPr>
            <w:tcW w:w="898" w:type="dxa"/>
            <w:vAlign w:val="center"/>
          </w:tcPr>
          <w:p w:rsidR="00D6089F">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D6089F">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rsidTr="00E57166">
        <w:tblPrEx>
          <w:tblW w:w="8789" w:type="dxa"/>
          <w:tblLayout w:type="fixed"/>
          <w:tblLook w:val="04A0"/>
        </w:tblPrEx>
        <w:trPr>
          <w:cantSplit/>
        </w:trPr>
        <w:tc>
          <w:tcPr>
            <w:tcW w:w="8789" w:type="dxa"/>
            <w:gridSpan w:val="3"/>
            <w:vAlign w:val="center"/>
          </w:tcPr>
          <w:p w:rsidR="00D6089F">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E57166">
        <w:tblPrEx>
          <w:tblW w:w="8789" w:type="dxa"/>
          <w:tblLayout w:type="fixed"/>
          <w:tblLook w:val="04A0"/>
        </w:tblPrEx>
        <w:trPr>
          <w:cantSplit/>
        </w:trPr>
        <w:tc>
          <w:tcPr>
            <w:tcW w:w="544" w:type="dxa"/>
            <w:vAlign w:val="center"/>
          </w:tcPr>
          <w:p w:rsidR="00D6089F">
            <w:pPr>
              <w:numPr>
                <w:ilvl w:val="0"/>
                <w:numId w:val="14"/>
              </w:numPr>
              <w:rPr>
                <w:rFonts w:ascii="宋体" w:hAnsi="宋体"/>
                <w:sz w:val="18"/>
                <w:szCs w:val="18"/>
              </w:rPr>
            </w:pPr>
          </w:p>
        </w:tc>
        <w:tc>
          <w:tcPr>
            <w:tcW w:w="898" w:type="dxa"/>
            <w:vAlign w:val="center"/>
          </w:tcPr>
          <w:p w:rsidR="00D6089F">
            <w:pPr>
              <w:jc w:val="center"/>
              <w:rPr>
                <w:rFonts w:ascii="宋体" w:hAnsi="宋体"/>
                <w:sz w:val="18"/>
                <w:szCs w:val="18"/>
              </w:rPr>
            </w:pPr>
            <w:r>
              <w:rPr>
                <w:rFonts w:ascii="宋体" w:hAnsi="宋体"/>
                <w:sz w:val="18"/>
                <w:szCs w:val="18"/>
              </w:rPr>
              <w:t>4.2</w:t>
            </w:r>
          </w:p>
        </w:tc>
        <w:tc>
          <w:tcPr>
            <w:tcW w:w="7347" w:type="dxa"/>
            <w:vAlign w:val="center"/>
          </w:tcPr>
          <w:p w:rsidR="00E57166" w:rsidRPr="00E57166" w:rsidP="00E57166">
            <w:pPr>
              <w:spacing w:line="340" w:lineRule="exact"/>
              <w:ind w:firstLine="480" w:firstLineChars="200"/>
              <w:outlineLvl w:val="3"/>
              <w:rPr>
                <w:rFonts w:ascii="仿宋_GB2312" w:eastAsia="仿宋_GB2312" w:hAnsi="仿宋_GB2312" w:cs="仿宋_GB2312"/>
                <w:bCs/>
                <w:szCs w:val="28"/>
                <w:highlight w:val="yellow"/>
              </w:rPr>
            </w:pPr>
            <w:r w:rsidRPr="00E57166">
              <w:rPr>
                <w:rFonts w:ascii="仿宋_GB2312" w:eastAsia="仿宋_GB2312" w:hAnsi="仿宋_GB2312" w:cs="仿宋_GB2312" w:hint="eastAsia"/>
                <w:bCs/>
                <w:sz w:val="24"/>
                <w:szCs w:val="28"/>
                <w:highlight w:val="yellow"/>
              </w:rPr>
              <w:t>质保期服务</w:t>
            </w:r>
          </w:p>
          <w:p w:rsidR="00D6089F" w:rsidRPr="00E57166" w:rsidP="00E57166">
            <w:pPr>
              <w:spacing w:line="340" w:lineRule="exact"/>
              <w:ind w:firstLine="480" w:firstLineChars="200"/>
              <w:rPr>
                <w:rFonts w:ascii="仿宋" w:eastAsia="仿宋" w:hAnsi="仿宋" w:hint="eastAsia"/>
                <w:sz w:val="28"/>
                <w:szCs w:val="28"/>
              </w:rPr>
            </w:pPr>
            <w:r w:rsidRPr="00E57166">
              <w:rPr>
                <w:rFonts w:ascii="仿宋" w:eastAsia="仿宋" w:hAnsi="仿宋" w:hint="eastAsia"/>
                <w:sz w:val="24"/>
                <w:szCs w:val="28"/>
                <w:highlight w:val="yellow"/>
              </w:rPr>
              <w:t>*中标方按照中国气象局有关要求和双方协商约定的内容提供服务，确保设备稳定运行，以及自验收合格后8年的整机及雷达分系统质保服务等。</w:t>
            </w:r>
          </w:p>
        </w:tc>
      </w:tr>
      <w:tr w:rsidTr="00E57166">
        <w:tblPrEx>
          <w:tblW w:w="8789" w:type="dxa"/>
          <w:tblLayout w:type="fixed"/>
          <w:tblLook w:val="04A0"/>
        </w:tblPrEx>
        <w:trPr>
          <w:cantSplit/>
        </w:trPr>
        <w:tc>
          <w:tcPr>
            <w:tcW w:w="544" w:type="dxa"/>
            <w:vAlign w:val="center"/>
          </w:tcPr>
          <w:p w:rsidR="00E57166">
            <w:pPr>
              <w:numPr>
                <w:ilvl w:val="0"/>
                <w:numId w:val="14"/>
              </w:numPr>
              <w:rPr>
                <w:rFonts w:ascii="宋体" w:hAnsi="宋体"/>
                <w:sz w:val="18"/>
                <w:szCs w:val="18"/>
              </w:rPr>
            </w:pPr>
          </w:p>
        </w:tc>
        <w:tc>
          <w:tcPr>
            <w:tcW w:w="898" w:type="dxa"/>
            <w:vAlign w:val="center"/>
          </w:tcPr>
          <w:p w:rsidR="00E57166">
            <w:pPr>
              <w:jc w:val="center"/>
              <w:rPr>
                <w:rFonts w:ascii="宋体" w:hAnsi="宋体"/>
                <w:sz w:val="18"/>
                <w:szCs w:val="18"/>
              </w:rPr>
            </w:pPr>
            <w:r>
              <w:rPr>
                <w:rFonts w:ascii="宋体" w:hAnsi="宋体" w:hint="eastAsia"/>
                <w:sz w:val="18"/>
                <w:szCs w:val="18"/>
              </w:rPr>
              <w:t>4.3</w:t>
            </w:r>
          </w:p>
        </w:tc>
        <w:tc>
          <w:tcPr>
            <w:tcW w:w="7347" w:type="dxa"/>
            <w:vAlign w:val="center"/>
          </w:tcPr>
          <w:p w:rsidR="00E57166" w:rsidRPr="00E57166" w:rsidP="00E57166">
            <w:pPr>
              <w:spacing w:line="340" w:lineRule="exact"/>
              <w:ind w:firstLine="480" w:firstLineChars="200"/>
              <w:outlineLvl w:val="3"/>
              <w:rPr>
                <w:rFonts w:ascii="仿宋" w:eastAsia="仿宋" w:hAnsi="仿宋" w:cs="仿宋"/>
                <w:szCs w:val="28"/>
                <w:highlight w:val="yellow"/>
              </w:rPr>
            </w:pPr>
            <w:r w:rsidRPr="00E57166">
              <w:rPr>
                <w:rFonts w:ascii="仿宋_GB2312" w:eastAsia="仿宋_GB2312" w:hAnsi="仿宋_GB2312" w:cs="仿宋_GB2312" w:hint="eastAsia"/>
                <w:bCs/>
                <w:sz w:val="24"/>
                <w:szCs w:val="28"/>
                <w:highlight w:val="yellow"/>
              </w:rPr>
              <w:t>软件调试</w:t>
            </w:r>
          </w:p>
          <w:p w:rsidR="00E57166" w:rsidRPr="00E57166" w:rsidP="00E57166">
            <w:pPr>
              <w:spacing w:line="340" w:lineRule="exact"/>
              <w:ind w:firstLine="480" w:firstLineChars="200"/>
              <w:rPr>
                <w:rFonts w:ascii="仿宋" w:eastAsia="仿宋" w:hAnsi="仿宋" w:hint="eastAsia"/>
                <w:szCs w:val="28"/>
              </w:rPr>
            </w:pPr>
            <w:r w:rsidRPr="00E57166">
              <w:rPr>
                <w:rFonts w:ascii="仿宋" w:eastAsia="仿宋" w:hAnsi="仿宋" w:hint="eastAsia"/>
                <w:sz w:val="24"/>
                <w:szCs w:val="28"/>
                <w:highlight w:val="yellow"/>
              </w:rPr>
              <w:t>*中标方需配合采</w:t>
            </w:r>
            <w:r w:rsidRPr="00E57166">
              <w:rPr>
                <w:rFonts w:ascii="仿宋" w:eastAsia="仿宋" w:hAnsi="仿宋" w:hint="eastAsia"/>
                <w:sz w:val="24"/>
                <w:szCs w:val="28"/>
                <w:highlight w:val="yellow"/>
              </w:rPr>
              <w:t>购方，完成配套软件的安装调试，保证上站后能够安全稳定运行。投标方须提供承诺函。</w:t>
            </w:r>
          </w:p>
        </w:tc>
      </w:tr>
    </w:tbl>
    <w:p w:rsidR="00D6089F">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8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89"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90"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w:t>
      </w:r>
      <w:r>
        <w:rPr>
          <w:rFonts w:ascii="仿宋_GB2312" w:eastAsia="仿宋_GB2312" w:hAnsi="仿宋_GB2312" w:cs="仿宋_GB2312" w:hint="eastAsia"/>
          <w:sz w:val="32"/>
          <w:szCs w:val="32"/>
          <w:highlight w:val="none"/>
        </w:rPr>
        <w:t>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90"/>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9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91"/>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yellow"/>
          <w:u w:val="single"/>
        </w:rPr>
      </w:pPr>
      <w:r>
        <w:rPr>
          <w:rFonts w:ascii="Wingdings" w:hAnsi="Wingdings"/>
          <w:szCs w:val="21"/>
          <w:highlight w:val="yellow"/>
        </w:rPr>
        <w:sym w:font="Wingdings" w:char="F0FE"/>
      </w:r>
      <w:r>
        <w:rPr>
          <w:rFonts w:ascii="宋体" w:hAnsi="宋体" w:hint="eastAsia"/>
          <w:szCs w:val="21"/>
          <w:highlight w:val="yellow"/>
        </w:rPr>
        <w:t>分期付款：</w:t>
      </w:r>
      <w:r>
        <w:rPr>
          <w:rFonts w:ascii="宋体" w:hAnsi="宋体" w:hint="eastAsia"/>
          <w:szCs w:val="21"/>
          <w:highlight w:val="yellow"/>
          <w:u w:val="single"/>
        </w:rPr>
        <w:t>签订合同后，甲方在收到乙方提供的合同总额90%的等额正式增值税普通发票之日起10个工作日内向乙方支付合同总价的90%。</w:t>
      </w:r>
    </w:p>
    <w:p>
      <w:pPr>
        <w:snapToGrid w:val="0"/>
        <w:spacing w:line="400" w:lineRule="exact"/>
        <w:ind w:firstLine="630" w:firstLineChars="300"/>
        <w:rPr>
          <w:rFonts w:ascii="宋体" w:hAnsi="宋体" w:hint="eastAsia"/>
          <w:szCs w:val="21"/>
          <w:highlight w:val="yellow"/>
          <w:u w:val="single"/>
        </w:rPr>
      </w:pPr>
      <w:r>
        <w:rPr>
          <w:rFonts w:ascii="宋体" w:hAnsi="宋体" w:hint="eastAsia"/>
          <w:szCs w:val="21"/>
          <w:highlight w:val="yellow"/>
          <w:u w:val="single"/>
        </w:rPr>
        <w:t>项目完成并经甲方终验合格后，凭验收合格单或验收合格报告，乙方向甲方提交合同总额10%的等额正式增值税普通发票，甲方在10个工作日内向乙方支付合同总价的10%。</w:t>
      </w:r>
    </w:p>
    <w:p>
      <w:pPr>
        <w:snapToGrid w:val="0"/>
        <w:spacing w:line="400" w:lineRule="exact"/>
        <w:ind w:firstLine="630" w:firstLineChars="300"/>
        <w:rPr>
          <w:highlight w:val="yellow"/>
        </w:rPr>
      </w:pPr>
      <w:r>
        <w:rPr>
          <w:rFonts w:ascii="宋体" w:hAnsi="宋体" w:hint="eastAsia"/>
          <w:szCs w:val="21"/>
          <w:highlight w:val="yellow"/>
          <w:u w:val="single"/>
        </w:rPr>
        <w:t>其中涉及预付款的：签订合同后，甲方在收到乙方提供的合同总额90%的等额正式增值税普通发票之日起10个工作日内向乙方支付合同总价的90%。</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eastAsia="宋体" w:hAnsi="宋体" w:cs="宋体"/>
          <w:szCs w:val="21"/>
        </w:rPr>
      </w:pPr>
      <w:r>
        <w:rPr>
          <w:rFonts w:ascii="宋体" w:hAnsi="宋体" w:cs="宋体" w:hint="eastAsia"/>
          <w:bCs/>
          <w:szCs w:val="21"/>
          <w:highlight w:val="none"/>
        </w:rPr>
        <w:t>（3）</w:t>
      </w:r>
      <w:r>
        <w:rPr>
          <w:rFonts w:ascii="宋体" w:eastAsia="宋体" w:hAnsi="宋体" w:cs="宋体" w:hint="eastAsia"/>
          <w:bCs/>
          <w:szCs w:val="21"/>
        </w:rPr>
        <w:t>履约担保：</w:t>
      </w:r>
      <w:r>
        <w:rPr>
          <w:rFonts w:ascii="宋体" w:eastAsia="宋体" w:hAnsi="宋体" w:cs="宋体" w:hint="eastAsia"/>
          <w:szCs w:val="20"/>
        </w:rPr>
        <w:t>是否收取履约保证金：</w:t>
      </w:r>
      <w:r>
        <w:rPr>
          <w:rFonts w:ascii="Wingdings 2" w:eastAsia="宋体" w:hAnsi="Wingdings 2" w:cs="宋体"/>
          <w:szCs w:val="21"/>
          <w:highlight w:val="yellow"/>
        </w:rPr>
        <w:sym w:font="Wingdings 2" w:char="F052"/>
      </w:r>
      <w:r>
        <w:rPr>
          <w:rFonts w:ascii="宋体" w:eastAsia="宋体" w:hAnsi="宋体" w:cs="宋体" w:hint="eastAsia"/>
          <w:szCs w:val="21"/>
          <w:highlight w:val="yellow"/>
        </w:rPr>
        <w:t>是</w:t>
      </w: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否</w:t>
      </w:r>
    </w:p>
    <w:p>
      <w:pPr>
        <w:pStyle w:val="AONormal"/>
        <w:rPr>
          <w:rFonts w:ascii="宋体" w:eastAsia="宋体" w:hAnsi="宋体" w:cs="宋体"/>
          <w:sz w:val="21"/>
          <w:highlight w:val="yellow"/>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highlight w:val="yellow"/>
        </w:rPr>
        <w:t>收取履约保证金形式：</w:t>
      </w:r>
      <w:r>
        <w:rPr>
          <w:rFonts w:ascii="宋体" w:eastAsia="宋体" w:hAnsi="宋体" w:cs="宋体" w:hint="eastAsia"/>
          <w:sz w:val="21"/>
          <w:highlight w:val="yellow"/>
          <w:u w:val="single"/>
        </w:rPr>
        <w:t>银行</w:t>
      </w:r>
      <w:r>
        <w:rPr>
          <w:rFonts w:ascii="宋体" w:eastAsia="宋体" w:hAnsi="宋体" w:cs="宋体" w:hint="eastAsia"/>
          <w:bCs/>
          <w:sz w:val="21"/>
          <w:highlight w:val="yellow"/>
          <w:u w:val="single"/>
        </w:rPr>
        <w:t>履约保函</w:t>
      </w:r>
    </w:p>
    <w:p>
      <w:pPr>
        <w:pStyle w:val="AONormal"/>
        <w:ind w:firstLine="420"/>
        <w:rPr>
          <w:rFonts w:ascii="宋体" w:eastAsia="宋体" w:hAnsi="宋体" w:cs="宋体"/>
          <w:sz w:val="21"/>
          <w:highlight w:val="yellow"/>
        </w:rPr>
      </w:pPr>
      <w:r>
        <w:rPr>
          <w:rFonts w:ascii="宋体" w:eastAsia="宋体" w:hAnsi="宋体" w:cs="宋体" w:hint="eastAsia"/>
          <w:sz w:val="21"/>
          <w:highlight w:val="yellow"/>
        </w:rPr>
        <w:t xml:space="preserve">    收取履约保证金金额：</w:t>
      </w:r>
      <w:r>
        <w:rPr>
          <w:rFonts w:ascii="宋体" w:eastAsia="宋体" w:hAnsi="宋体" w:cs="宋体" w:hint="eastAsia"/>
          <w:bCs/>
          <w:sz w:val="21"/>
          <w:highlight w:val="yellow"/>
          <w:u w:val="single"/>
        </w:rPr>
        <w:t>合同金额的10%。</w:t>
      </w:r>
    </w:p>
    <w:p>
      <w:pPr>
        <w:snapToGrid w:val="0"/>
        <w:spacing w:line="400" w:lineRule="exact"/>
        <w:ind w:firstLine="420" w:firstLineChars="200"/>
        <w:rPr>
          <w:rFonts w:ascii="宋体" w:eastAsia="宋体" w:hAnsi="宋体" w:cs="宋体"/>
          <w:szCs w:val="20"/>
        </w:rPr>
      </w:pPr>
      <w:r>
        <w:rPr>
          <w:rFonts w:ascii="宋体" w:eastAsia="宋体" w:hAnsi="宋体" w:cs="宋体" w:hint="eastAsia"/>
          <w:bCs/>
          <w:szCs w:val="21"/>
          <w:highlight w:val="yellow"/>
        </w:rPr>
        <w:t xml:space="preserve">    履约担保期限：</w:t>
      </w:r>
      <w:r>
        <w:rPr>
          <w:rFonts w:ascii="宋体" w:eastAsia="宋体" w:hAnsi="宋体" w:cs="宋体" w:hint="eastAsia"/>
          <w:bCs/>
          <w:szCs w:val="21"/>
          <w:highlight w:val="yellow"/>
          <w:u w:val="single"/>
        </w:rPr>
        <w:t>本项目乙方在签订合同后30日内按合同金额的10%向甲方缴纳为期2年的银行标准格式履约保函。</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92" w:name="_Toc27624"/>
      <w:r>
        <w:rPr>
          <w:rFonts w:ascii="黑体" w:hAnsi="黑体" w:hint="eastAsia"/>
          <w:b w:val="0"/>
          <w:bCs w:val="0"/>
          <w:sz w:val="28"/>
          <w:szCs w:val="28"/>
          <w:highlight w:val="none"/>
        </w:rPr>
        <w:t>第二节 政府采购合同通用条款</w:t>
      </w:r>
      <w:bookmarkEnd w:id="92"/>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9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93"/>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94"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9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89"/>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2010600030101010101"/>
    <w:charset w:val="86"/>
    <w:family w:val="script"/>
    <w:pitch w:val="default"/>
    <w:sig w:usb0="00000000" w:usb1="00000000" w:usb2="00000006" w:usb3="00000000" w:csb0="00040001"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WPSEMBED91">
    <w:panose1 w:val="02010609030101010101"/>
    <w:charset w:val="86"/>
    <w:family w:val="auto"/>
    <w:pitch w:val="default"/>
    <w:sig w:usb0="00000001" w:usb1="080E0000" w:usb2="00000000" w:usb3="00000000" w:csb0="00040000" w:csb1="00000000"/>
  </w:font>
  <w:font w:name="WPSEMBED92">
    <w:panose1 w:val="02010600010101010101"/>
    <w:charset w:val="86"/>
    <w:family w:val="auto"/>
    <w:pitch w:val="default"/>
    <w:sig w:usb0="00000001"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AA98919"/>
    <w:multiLevelType w:val="singleLevel"/>
    <w:tmpl w:val="BAA98919"/>
    <w:lvl w:ilvl="0">
      <w:start w:val="2"/>
      <w:numFmt w:val="chineseCounting"/>
      <w:suff w:val="nothing"/>
      <w:lvlText w:val="（%1）"/>
      <w:lvlJc w:val="left"/>
      <w:rPr>
        <w:rFonts w:hint="eastAsia"/>
      </w:rPr>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0"/>
  </w:num>
  <w:num w:numId="5">
    <w:abstractNumId w:val="12"/>
  </w:num>
  <w:num w:numId="6">
    <w:abstractNumId w:val="13"/>
  </w:num>
  <w:num w:numId="7">
    <w:abstractNumId w:val="2"/>
  </w:num>
  <w:num w:numId="8">
    <w:abstractNumId w:val="6"/>
  </w:num>
  <w:num w:numId="9">
    <w:abstractNumId w:val="4"/>
  </w:num>
  <w:num w:numId="10">
    <w:abstractNumId w:val="3"/>
  </w:num>
  <w:num w:numId="11">
    <w:abstractNumId w:val="11"/>
  </w:num>
  <w:num w:numId="12">
    <w:abstractNumId w:val="1"/>
  </w:num>
  <w:num w:numId="13">
    <w:abstractNumId w:val="5"/>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89F"/>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57166"/>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