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基于相控阵雷达的电磁干扰和风电杂波滤除算法及新一代天气雷达信号处理器的精细评估算法研究采购项目（重新招标）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ZQCD-25394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中国气象局气象探测中心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基于相控阵雷达的电磁干扰和风电杂波滤除算法及新一代天气雷达信号处理器的精细评估算法研究采购项目（重新招标）</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ZQCD-25394</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合同签订后12个月内完成开发部署并具备验收条件。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2025年11月10日 00:00:00</w:t>
      </w:r>
      <w:bookmarkEnd w:id="27"/>
      <w:r>
        <w:rPr>
          <w:rFonts w:ascii="宋体" w:hint="eastAsia"/>
          <w:szCs w:val="21"/>
          <w:highlight w:val="none"/>
        </w:rPr>
        <w:t>至</w:t>
      </w:r>
      <w:bookmarkStart w:id="28" w:name="项目公告_signUpLastTime"/>
      <w:r>
        <w:rPr>
          <w:rFonts w:ascii="宋体" w:hint="eastAsia"/>
          <w:szCs w:val="21"/>
          <w:highlight w:val="none"/>
        </w:rPr>
        <w:t>2025年11月17日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2025年12月01日 14:00:00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北京市海淀区中关村南大街46号中国气象局北区8号楼404会议室（科技大楼前草坪西侧），届时投标人的法定代表人或其授权的投标人授权代表可到场参加。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王妍</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010-68406642</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中国气象局气象探测中心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张帅</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010-68407417</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北京市海淀区中关村南大街46号北区27号楼</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中国气象局气象探测中心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是</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不需要</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否</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  基于相控阵雷达的电磁干扰和风电杂波滤除算法及新一代天气雷达信号处理器的精细评估算法研究，属于  软件和信息技术服务业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是，代理服务费：2.6万元。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241.500000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241.500000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0"/>
        <w:gridCol w:w="296"/>
        <w:gridCol w:w="1102"/>
        <w:gridCol w:w="296"/>
        <w:gridCol w:w="712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(2)</w:t>
            </w:r>
          </w:p>
        </w:tc>
        <w:tc>
          <w:tcPr/>
          <w:p>
            <w:r>
              <w:t>评审标准：</w:t>
            </w:r>
          </w:p>
          <w:p>
            <w:r>
              <w:t>提供 ISO9001 质量管理体系认证证书，提供证书得2分；不提供得0分。</w:t>
            </w:r>
          </w:p>
          <w:p>
            <w:r>
              <w:t>评审标准说明：</w:t>
            </w:r>
          </w:p>
          <w:p>
            <w:r>
              <w:t>须提供相关证书复印件，并加盖投标人公章。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提供与本项目相关的算法或软件开发合同，每提供1份合同得2分，最多得8分。否则不得分。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(8)</w:t>
            </w:r>
          </w:p>
        </w:tc>
        <w:tc>
          <w:tcPr/>
          <w:p>
            <w:r>
              <w:t>评审标准：</w:t>
            </w:r>
          </w:p>
          <w:p>
            <w:r>
              <w:t>每提供1份软件著作权证书得2分，最多得 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勾选打分</w:t>
            </w:r>
            <w:r>
              <w:t>(15)</w:t>
            </w:r>
          </w:p>
        </w:tc>
        <w:tc>
          <w:tcPr/>
          <w:p>
            <w:r>
              <w:t>评审标准：</w:t>
            </w:r>
          </w:p>
          <w:p>
            <w:r>
              <w:t>投标人应组成本项目开发服务团队，团队组织结构清晰，应设服务团队负责人（项目经理）、技术负责人、系统架构员，人员专业背景齐全。具体如下：</w:t>
              <w:cr/>
              <w:t>1、团队人数至少6人，其中至少1人具有至少1年以上雷达算法类软件开发的经验。完全满足得3分，否则不得分。</w:t>
              <w:cr/>
              <w:t>2、团队负责人必须具有电子信息或者软件类的高级职称证书，具有3年以上相关项目算法软件设计、开发和集成经验。完全满足得4分，否则不得分；</w:t>
              <w:cr/>
              <w:t>3、技术负责人必须具有电子信息或者软件类的高级职称证书，具有3年以上相关项目算法软件设计、开发和集成经验。完全满足得4分，否则不得分；</w:t>
              <w:cr/>
              <w:t>4、系统架构师必须具有电子信息或者软件类的高级职称证书，具有3年以上相关项目算法软件设计、开发和集成经验。完全满足得4分，否则不得分。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(4)</w:t>
            </w:r>
          </w:p>
        </w:tc>
        <w:tc>
          <w:tcPr/>
          <w:p>
            <w:r>
              <w:t>评审标准：</w:t>
            </w:r>
          </w:p>
          <w:p>
            <w:r>
              <w:t>提供书面承诺得4分。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(3)</w:t>
            </w:r>
          </w:p>
        </w:tc>
        <w:tc>
          <w:tcPr/>
          <w:p>
            <w:r>
              <w:t>评审标准：</w:t>
            </w:r>
          </w:p>
          <w:p>
            <w:r>
              <w:t>一档0分</w:t>
              <w:cr/>
              <w:t>二档1分</w:t>
              <w:cr/>
              <w:t>三档2分</w:t>
              <w:cr/>
              <w:t>四档3分</w:t>
            </w:r>
          </w:p>
          <w:p>
            <w:r>
              <w:t>评审标准说明：</w:t>
            </w:r>
          </w:p>
          <w:p>
            <w:r>
              <w:t>投标人应提供该项评审标准中要求的培训课时的承诺，以及培训方案。承诺的培训课时达不到要求，或者培训课时与培训方案中课表的课时不符，视同未承诺。具体标准评分如下：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(3)</w:t>
            </w:r>
          </w:p>
        </w:tc>
        <w:tc>
          <w:tcPr/>
          <w:p>
            <w:r>
              <w:t>评审标准：</w:t>
            </w:r>
          </w:p>
          <w:p>
            <w:r>
              <w:t>一档0分</w:t>
              <w:cr/>
              <w:t>二档1分</w:t>
              <w:cr/>
              <w:t>三档2分</w:t>
              <w:cr/>
              <w:t>四档3分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cr/>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软件开发需求分析（主观分）</w:t>
            </w:r>
          </w:p>
        </w:tc>
        <w:tc>
          <w:tcPr/>
          <w:p>
            <w:r>
              <w:t>勾选打分</w:t>
            </w:r>
            <w:r>
              <w:t>(2)</w:t>
            </w:r>
          </w:p>
        </w:tc>
        <w:tc>
          <w:tcPr/>
          <w:p>
            <w:r>
              <w:t>评审标准：</w:t>
            </w:r>
          </w:p>
          <w:p>
            <w:r>
              <w:t>一档0分</w:t>
              <w:cr/>
              <w:t>二档0.5分</w:t>
              <w:cr/>
              <w:t>三档1分</w:t>
              <w:cr/>
              <w:t>四档2分</w:t>
            </w:r>
          </w:p>
          <w:p>
            <w:r>
              <w:t>评审标准说明：</w:t>
            </w:r>
          </w:p>
          <w:p>
            <w:r>
              <w:t>提供软件系统各模块功能需求分析。具体评分标准如下：</w:t>
              <w:cr/>
              <w:t>一档：无软件开发需求分析；</w:t>
              <w:cr/>
              <w:t>二档：软件开发需求分析不完整，未对软件系统各模块进行功能需求拆分，分析不具体、不充分、不详细；</w:t>
              <w:cr/>
              <w:t>三档：软件开发需求分析较完整，对软件系统各模块进行功能需求拆分，分析具体，但不充分、不详细；</w:t>
              <w:cr/>
              <w:t>四档：软件开发需求分析完整，对软件系统各模块进行功能需求拆分，并对各个功能点进行详细功能需求分析，完全覆盖招标文件功能要求，需求分析完整详细合理。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软件数据及接口需求分析（主观分）</w:t>
            </w:r>
          </w:p>
        </w:tc>
        <w:tc>
          <w:tcPr/>
          <w:p>
            <w:r>
              <w:t>勾选打分</w:t>
            </w:r>
            <w:r>
              <w:t>(3)</w:t>
            </w:r>
          </w:p>
        </w:tc>
        <w:tc>
          <w:tcPr/>
          <w:p>
            <w:r>
              <w:t>评审标准：</w:t>
            </w:r>
          </w:p>
          <w:p>
            <w:r>
              <w:t>一档0分</w:t>
              <w:cr/>
              <w:t>二档1分</w:t>
              <w:cr/>
              <w:t>三档2分</w:t>
              <w:cr/>
              <w:t>四档3分</w:t>
            </w:r>
          </w:p>
          <w:p>
            <w:r>
              <w:t>评审标准说明：</w:t>
            </w:r>
          </w:p>
          <w:p>
            <w:r>
              <w:t>提供数据、需求分析内容，具体评分标准如下：</w:t>
              <w:cr/>
              <w:t>一档：无数据、接口需求分析。</w:t>
              <w:cr/>
              <w:t>二档：数据、接口需求分析覆盖不全面或分析欠合理。</w:t>
              <w:cr/>
              <w:t>三档：数据、接口需求分析覆盖较全面、合理，但分析简单、不充分。</w:t>
              <w:cr/>
              <w:t>四档：数据、接口需求分析涵盖全面、合理、详细、充分，完全覆盖招标文件要求。</w:t>
            </w:r>
          </w:p>
          <w:p/>
        </w:tc>
      </w:tr>
      <w:tr>
        <w:tblPrEx>
          <w:tblW w:w="5000" w:type="pct"/>
          <w:tblCellMar>
            <w:left w:w="108" w:type="dxa"/>
            <w:right w:w="108" w:type="dxa"/>
          </w:tblCellMar>
        </w:tblPrEx>
        <w:tc>
          <w:tcPr/>
          <w:p>
            <w:r>
              <w:t>14</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15</w:t>
            </w:r>
          </w:p>
        </w:tc>
        <w:tc>
          <w:tcPr>
            <w:vMerge/>
          </w:tcPr>
          <w:p>
            <w:r>
              <w:t>技术部分</w:t>
            </w:r>
          </w:p>
        </w:tc>
        <w:tc>
          <w:tcPr/>
          <w:p>
            <w:r>
              <w:t>系统整体架构技术方案（主观分）</w:t>
            </w:r>
          </w:p>
        </w:tc>
        <w:tc>
          <w:tcPr/>
          <w:p>
            <w:r>
              <w:t>勾选打分</w:t>
            </w:r>
            <w:r>
              <w:t>(3)</w:t>
            </w:r>
          </w:p>
        </w:tc>
        <w:tc>
          <w:tcPr/>
          <w:p>
            <w:r>
              <w:t>评审标准：</w:t>
            </w:r>
          </w:p>
          <w:p>
            <w:r>
              <w:t>一档0分</w:t>
              <w:cr/>
              <w:t>二档0.5分</w:t>
              <w:cr/>
              <w:t>三档1分</w:t>
              <w:cr/>
              <w:t>四档3分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16</w:t>
            </w:r>
          </w:p>
        </w:tc>
        <w:tc>
          <w:tcPr>
            <w:vMerge/>
          </w:tcPr>
          <w:p>
            <w:r>
              <w:t>技术部分</w:t>
            </w:r>
          </w:p>
        </w:tc>
        <w:tc>
          <w:tcPr/>
          <w:p>
            <w:r>
              <w:t>模块设计技术方案（主观分）</w:t>
            </w:r>
          </w:p>
        </w:tc>
        <w:tc>
          <w:tcPr/>
          <w:p>
            <w:r>
              <w:t>区间打分</w:t>
            </w:r>
            <w:r>
              <w:t>(24)</w:t>
            </w:r>
          </w:p>
        </w:tc>
        <w:tc>
          <w:tcPr/>
          <w:p>
            <w:r>
              <w:t>评审标准：</w:t>
            </w:r>
          </w:p>
          <w:p>
            <w:r>
              <w:t>提交如下模块技术方案：</w:t>
              <w:cr/>
              <w:t>1、基于相控阵雷达的电磁干扰算法模块，需要覆盖相控阵天气雷达风电干扰特征分析、识别、抑制及效果评估四大方面内容。</w:t>
              <w:cr/>
              <w:t>2、基于相控阵雷达的风电杂波滤除算法模块，需要覆盖相控阵天气雷达风电干扰特征分析、识别、抑制及效果评估四大方面内容。</w:t>
              <w:cr/>
              <w:t>3、新一代天气雷达信号处理器评估数据源生成算法模块，需要覆盖参数估计、地杂波抑制、退距离模糊，退速度模糊、同频干扰、风电干扰六大算法数据源生成内容。</w:t>
              <w:cr/>
              <w:t>4、新一代天气雷达信号处理器精细评估算法模块。需要覆盖参数估计、地杂波抑制、退距离模糊，退速度模糊、同频干扰、风电干扰六大算法数据源生成内容。</w:t>
              <w:cr/>
              <w:t>以上每个模块按以下评分，满分24分。</w:t>
              <w:cr/>
              <w:t>一档0分</w:t>
              <w:cr/>
              <w:t>二档2分</w:t>
              <w:cr/>
              <w:t>三档4分</w:t>
              <w:cr/>
              <w:t>四档6分</w:t>
            </w:r>
          </w:p>
          <w:p>
            <w:r>
              <w:t>评审标准说明：</w:t>
            </w:r>
          </w:p>
          <w:p>
            <w:r>
              <w:t>按模块提出技术方案，模块评分标准如下：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17</w:t>
            </w:r>
          </w:p>
        </w:tc>
        <w:tc>
          <w:tcPr>
            <w:vMerge/>
          </w:tcPr>
          <w:p>
            <w:r>
              <w:t>技术部分</w:t>
            </w:r>
          </w:p>
        </w:tc>
        <w:tc>
          <w:tcPr/>
          <w:p>
            <w:r>
              <w:t>项目需求理解及风险管理方案（主观分）</w:t>
            </w:r>
          </w:p>
        </w:tc>
        <w:tc>
          <w:tcPr/>
          <w:p>
            <w:r>
              <w:t>勾选打分</w:t>
            </w:r>
            <w:r>
              <w:t>(3)</w:t>
            </w:r>
          </w:p>
        </w:tc>
        <w:tc>
          <w:tcPr/>
          <w:p>
            <w:r>
              <w:t>评审标准：</w:t>
            </w:r>
          </w:p>
          <w:p>
            <w:r>
              <w:t>一档0分</w:t>
              <w:cr/>
              <w:t>二档1分</w:t>
              <w:cr/>
              <w:t>三档2分</w:t>
              <w:cr/>
              <w:t>四档3分</w:t>
            </w:r>
          </w:p>
          <w:p>
            <w:r>
              <w:t>评审标准说明：</w:t>
            </w:r>
          </w:p>
          <w:p>
            <w:r>
              <w:t>结合项目需求、背景、现状情况等对项目进行需求分析理解。针对项目实施过程中，因国家政策、实施环境、重大技术等发生变化可能带来的项目实施风险，拟定风险管控方案。</w:t>
              <w:cr/>
              <w:t>一档：未提供。</w:t>
              <w:cr/>
              <w:t>二档：对项目范围和内容及用户总体需求分析有一定偏差，未抓住重点、难点。风险管控方案方案简单，无针对性。</w:t>
              <w:cr/>
              <w:t>三档：对项目范围和内容及用户总体需求分析无偏差，能抓住重点、难点不突出，但未提出合理的解决方案。风险管控方案内容不全，详细程度一般，措施针对性可行性一般。</w:t>
              <w:cr/>
              <w:t>四档：对项目范围和内容理解清晰，对用户总体需求分析正确，重点、难点分析到位，问题描述清楚；能准确识别软件系统关键技术问题，并提出详细合理的解决方案。风险管控方案内容全面、详细合理、措施针对性强，切实可行。</w:t>
              <w:cr/>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pPr>
        <w:spacing w:before="156" w:beforeLines="50" w:line="360" w:lineRule="auto"/>
        <w:jc w:val="center"/>
        <w:outlineLvl w:val="1"/>
        <w:rPr>
          <w:rFonts w:ascii="宋体" w:hAnsi="宋体" w:hint="eastAsia"/>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pPr>
        <w:jc w:val="left"/>
        <w:rPr>
          <w:b/>
          <w:szCs w:val="21"/>
        </w:rPr>
      </w:pPr>
    </w:p>
    <w:p>
      <w:pPr>
        <w:spacing w:line="360" w:lineRule="auto"/>
        <w:ind w:firstLine="420" w:firstLineChars="200"/>
        <w:outlineLvl w:val="2"/>
      </w:pPr>
      <w:r>
        <w:rPr>
          <w:rFonts w:ascii="宋体" w:hAnsi="宋体" w:cs="宋体" w:hint="eastAsia"/>
          <w:b/>
          <w:bCs/>
          <w:color w:val="000000"/>
          <w:szCs w:val="21"/>
          <w:lang w:bidi="ar"/>
        </w:rPr>
        <w:t>一、采购内容</w:t>
      </w:r>
    </w:p>
    <w:p>
      <w:pPr>
        <w:adjustRightInd w:val="0"/>
        <w:snapToGrid w:val="0"/>
        <w:spacing w:line="360" w:lineRule="auto"/>
        <w:ind w:firstLine="420" w:firstLineChars="200"/>
        <w:rPr>
          <w:rFonts w:ascii="宋体" w:hAnsi="宋体"/>
          <w:szCs w:val="21"/>
        </w:rPr>
      </w:pPr>
      <w:r>
        <w:rPr>
          <w:rFonts w:cs="宋体" w:hint="eastAsia"/>
          <w:lang w:bidi="ar"/>
        </w:rPr>
        <w:t>建设雷达气象实验室预研项目——</w:t>
      </w:r>
      <w:r>
        <w:rPr>
          <w:rFonts w:ascii="宋体" w:hAnsi="宋体" w:hint="eastAsia"/>
          <w:szCs w:val="21"/>
        </w:rPr>
        <w:t>基于相控阵雷达的电磁干扰和风电杂波滤除算法及新一代天气雷达信号处理器的精细评估算法研究</w:t>
      </w:r>
      <w:r>
        <w:rPr>
          <w:rFonts w:ascii="宋体" w:hAnsi="宋体"/>
          <w:szCs w:val="21"/>
        </w:rPr>
        <w:t>。</w:t>
      </w:r>
    </w:p>
    <w:p>
      <w:pPr>
        <w:spacing w:line="360" w:lineRule="auto"/>
        <w:ind w:firstLine="420" w:firstLineChars="200"/>
        <w:outlineLvl w:val="2"/>
        <w:rPr>
          <w:rFonts w:ascii="宋体" w:hAnsi="宋体" w:cs="宋体" w:hint="eastAsia"/>
          <w:b/>
          <w:bCs/>
          <w:color w:val="000000"/>
          <w:szCs w:val="21"/>
        </w:rPr>
      </w:pPr>
      <w:r>
        <w:rPr>
          <w:rFonts w:ascii="宋体" w:hAnsi="宋体" w:cs="宋体" w:hint="eastAsia"/>
          <w:b/>
          <w:bCs/>
          <w:color w:val="000000"/>
          <w:szCs w:val="21"/>
          <w:lang w:bidi="ar"/>
        </w:rPr>
        <w:t>二、技术及性能要求</w:t>
      </w:r>
    </w:p>
    <w:p>
      <w:pPr>
        <w:snapToGrid w:val="0"/>
        <w:spacing w:line="360" w:lineRule="auto"/>
        <w:ind w:firstLine="567" w:firstLineChars="270"/>
        <w:jc w:val="left"/>
        <w:rPr>
          <w:rFonts w:ascii="宋体" w:hAnsi="宋体" w:cs="宋体" w:hint="eastAsia"/>
          <w:b/>
          <w:color w:val="000000"/>
          <w:kern w:val="0"/>
          <w:szCs w:val="21"/>
        </w:rPr>
      </w:pPr>
      <w:r>
        <w:rPr>
          <w:rFonts w:ascii="宋体" w:hAnsi="宋体" w:cs="宋体" w:hint="eastAsia"/>
          <w:b/>
          <w:color w:val="000000"/>
          <w:kern w:val="0"/>
          <w:szCs w:val="21"/>
        </w:rPr>
        <w:t>2.1 技术要求</w:t>
      </w:r>
    </w:p>
    <w:p>
      <w:pPr>
        <w:snapToGrid w:val="0"/>
        <w:spacing w:line="360" w:lineRule="auto"/>
        <w:ind w:firstLine="420" w:firstLineChars="200"/>
        <w:jc w:val="left"/>
        <w:rPr>
          <w:rFonts w:ascii="宋体" w:hAnsi="宋体" w:cs="宋体" w:hint="eastAsia"/>
          <w:szCs w:val="21"/>
        </w:rPr>
      </w:pPr>
      <w:r>
        <w:rPr>
          <w:rFonts w:ascii="宋体" w:hAnsi="宋体" w:cs="宋体" w:hint="eastAsia"/>
          <w:szCs w:val="21"/>
          <w:lang w:bidi="ar"/>
        </w:rPr>
        <w:t>开展</w:t>
      </w:r>
      <w:r>
        <w:rPr>
          <w:rFonts w:ascii="宋体" w:hAnsi="宋体" w:hint="eastAsia"/>
          <w:szCs w:val="21"/>
        </w:rPr>
        <w:t>基于相控阵雷达的电磁干扰和风电杂波滤除算法及新一代天气雷达信号处理器的精细评估算法研究</w:t>
      </w:r>
      <w:r>
        <w:rPr>
          <w:rFonts w:ascii="宋体" w:hAnsi="宋体" w:cs="宋体" w:hint="eastAsia"/>
          <w:szCs w:val="21"/>
          <w:lang w:bidi="ar"/>
        </w:rPr>
        <w:t>，研究工作包括算法设计、开发、测试、评估及工程化以及外场试验等工作。算法、系统等预研完成后，均集成到中国气象局气象探测中心现有业务平台。</w:t>
      </w:r>
    </w:p>
    <w:p>
      <w:pPr>
        <w:snapToGrid w:val="0"/>
        <w:spacing w:line="360" w:lineRule="auto"/>
        <w:ind w:firstLine="567" w:firstLineChars="270"/>
        <w:jc w:val="left"/>
        <w:rPr>
          <w:rFonts w:ascii="宋体" w:hAnsi="宋体" w:cs="宋体" w:hint="eastAsia"/>
          <w:b/>
          <w:color w:val="000000"/>
          <w:kern w:val="0"/>
          <w:szCs w:val="21"/>
        </w:rPr>
      </w:pPr>
      <w:r>
        <w:rPr>
          <w:rFonts w:ascii="宋体" w:hAnsi="宋体" w:cs="宋体" w:hint="eastAsia"/>
          <w:b/>
          <w:color w:val="000000"/>
          <w:kern w:val="0"/>
          <w:szCs w:val="21"/>
        </w:rPr>
        <w:t>2.2 功能要求</w:t>
      </w:r>
    </w:p>
    <w:p>
      <w:pPr>
        <w:snapToGrid w:val="0"/>
        <w:spacing w:line="360" w:lineRule="auto"/>
        <w:ind w:firstLine="567" w:firstLineChars="270"/>
        <w:jc w:val="left"/>
        <w:rPr>
          <w:rFonts w:cs="宋体" w:hint="eastAsia"/>
          <w:color w:val="000000"/>
          <w:szCs w:val="21"/>
          <w:lang w:bidi="ar"/>
        </w:rPr>
      </w:pPr>
      <w:r>
        <w:rPr>
          <w:rFonts w:cs="宋体" w:hint="eastAsia"/>
          <w:color w:val="000000"/>
          <w:szCs w:val="21"/>
          <w:lang w:bidi="ar"/>
        </w:rPr>
        <w:t>研发1套核心算法，涵盖干扰检测与识别、自适应滤波技术、杂波抑制策略等，增强雷达系统对电磁干扰、风电杂波等复杂环境的适应性。搭建1套实验平台，对算法进行严格的测试与验证，确保其效能与稳定性。将研发的算法软件集成至1种型号的雷达系统，并执行系统测试。开展观测试验，实际收集多种气象条件下的电磁干扰、风电杂波案例，评估算法在真实环境中的性能表现，包括干扰滤除效果、杂波抑制能力及对目标检测的影响。其中，风电及电磁干扰识别率大于80%；形成风电及电磁干扰算法说明书；形成风电及电磁干扰关键技术说明；形成算法函数接口及说明；形成试用分析报告。</w:t>
      </w:r>
    </w:p>
    <w:p>
      <w:pPr>
        <w:snapToGrid w:val="0"/>
        <w:spacing w:line="360" w:lineRule="auto"/>
        <w:ind w:firstLine="567" w:firstLineChars="270"/>
        <w:jc w:val="left"/>
        <w:rPr>
          <w:rFonts w:cs="宋体" w:hint="eastAsia"/>
          <w:color w:val="000000"/>
          <w:szCs w:val="21"/>
          <w:lang w:bidi="ar"/>
        </w:rPr>
      </w:pPr>
      <w:r>
        <w:rPr>
          <w:rFonts w:cs="宋体" w:hint="eastAsia"/>
          <w:color w:val="000000"/>
          <w:szCs w:val="21"/>
          <w:lang w:bidi="ar"/>
        </w:rPr>
        <w:t>研发1套数据源生成和信处精细化评估算法，涵盖参数估计、地杂波抑制、退距离模糊，退速度模糊、同频干扰、风电干扰六类算法等，提升新一代天气雷达的数据质量和数据一致性。开展新一代天气雷达信号处理算法的精细化评估，形成评估报告。其中，用于每类算法评估的数据源库，不少于20组个例；精细化评估指标，覆盖100%的信号处理算法考核指标；数据源生成和评估算法关键技术说明；开展至少三个以上厂家的新一代雷达信处算法评估；六类信处算法评估报告。</w:t>
      </w:r>
    </w:p>
    <w:p>
      <w:pPr>
        <w:snapToGrid w:val="0"/>
        <w:spacing w:line="360" w:lineRule="auto"/>
        <w:ind w:firstLine="567" w:firstLineChars="270"/>
        <w:jc w:val="left"/>
        <w:rPr>
          <w:b/>
          <w:szCs w:val="21"/>
        </w:rPr>
      </w:pPr>
      <w:r>
        <w:rPr>
          <w:rFonts w:ascii="宋体" w:hAnsi="宋体" w:cs="宋体"/>
          <w:b/>
          <w:color w:val="000000"/>
          <w:kern w:val="0"/>
          <w:szCs w:val="21"/>
        </w:rPr>
        <w:t>2.3</w:t>
      </w:r>
      <w:r>
        <w:rPr>
          <w:rFonts w:ascii="宋体" w:hAnsi="宋体" w:cs="宋体" w:hint="eastAsia"/>
          <w:b/>
          <w:color w:val="000000"/>
          <w:kern w:val="0"/>
          <w:szCs w:val="21"/>
        </w:rPr>
        <w:t>非功能性要求</w:t>
      </w:r>
    </w:p>
    <w:p>
      <w:pPr>
        <w:snapToGrid w:val="0"/>
        <w:spacing w:line="360" w:lineRule="auto"/>
        <w:ind w:firstLine="420" w:firstLineChars="200"/>
        <w:rPr>
          <w:color w:val="000000"/>
          <w:szCs w:val="21"/>
        </w:rPr>
      </w:pPr>
      <w:r>
        <w:rPr>
          <w:rFonts w:cs="宋体" w:hint="eastAsia"/>
          <w:color w:val="000000"/>
          <w:szCs w:val="21"/>
          <w:lang w:bidi="ar"/>
        </w:rPr>
        <w:t>1、稳定性要求</w:t>
      </w:r>
    </w:p>
    <w:p>
      <w:pPr>
        <w:snapToGrid w:val="0"/>
        <w:spacing w:line="360" w:lineRule="auto"/>
        <w:ind w:firstLine="420" w:firstLineChars="200"/>
        <w:rPr>
          <w:color w:val="000000"/>
          <w:szCs w:val="21"/>
        </w:rPr>
      </w:pPr>
      <w:r>
        <w:rPr>
          <w:rFonts w:cs="宋体" w:hint="eastAsia"/>
          <w:color w:val="000000"/>
          <w:szCs w:val="21"/>
          <w:lang w:bidi="ar"/>
        </w:rPr>
        <w:t>年故障总时间小于</w:t>
      </w:r>
      <w:r>
        <w:rPr>
          <w:color w:val="000000"/>
          <w:szCs w:val="21"/>
          <w:lang w:bidi="ar"/>
        </w:rPr>
        <w:t>12</w:t>
      </w:r>
      <w:r>
        <w:rPr>
          <w:rFonts w:cs="宋体" w:hint="eastAsia"/>
          <w:color w:val="000000"/>
          <w:szCs w:val="21"/>
          <w:lang w:bidi="ar"/>
        </w:rPr>
        <w:t>小时，故障恢复时间小于</w:t>
      </w:r>
      <w:r>
        <w:rPr>
          <w:color w:val="000000"/>
          <w:szCs w:val="21"/>
          <w:lang w:bidi="ar"/>
        </w:rPr>
        <w:t>1</w:t>
      </w:r>
      <w:r>
        <w:rPr>
          <w:rFonts w:cs="宋体" w:hint="eastAsia"/>
          <w:color w:val="000000"/>
          <w:szCs w:val="21"/>
          <w:lang w:bidi="ar"/>
        </w:rPr>
        <w:t>小时。</w:t>
      </w:r>
      <w:r>
        <w:rPr>
          <w:color w:val="000000"/>
          <w:szCs w:val="21"/>
          <w:lang w:bidi="ar"/>
        </w:rPr>
        <w:t>7×24</w:t>
      </w:r>
      <w:r>
        <w:rPr>
          <w:rFonts w:cs="宋体" w:hint="eastAsia"/>
          <w:color w:val="000000"/>
          <w:szCs w:val="21"/>
          <w:lang w:bidi="ar"/>
        </w:rPr>
        <w:t>小时运行期间，平均故障间隔时间不小于</w:t>
      </w:r>
      <w:r>
        <w:rPr>
          <w:color w:val="000000"/>
          <w:szCs w:val="21"/>
          <w:lang w:bidi="ar"/>
        </w:rPr>
        <w:t>1</w:t>
      </w:r>
      <w:r>
        <w:rPr>
          <w:rFonts w:cs="宋体" w:hint="eastAsia"/>
          <w:color w:val="000000"/>
          <w:szCs w:val="21"/>
          <w:lang w:bidi="ar"/>
        </w:rPr>
        <w:t>个月。</w:t>
      </w:r>
    </w:p>
    <w:p>
      <w:pPr>
        <w:snapToGrid w:val="0"/>
        <w:spacing w:line="360" w:lineRule="auto"/>
        <w:ind w:firstLine="420" w:firstLineChars="200"/>
        <w:rPr>
          <w:color w:val="000000"/>
          <w:szCs w:val="21"/>
        </w:rPr>
      </w:pPr>
      <w:r>
        <w:rPr>
          <w:rFonts w:cs="宋体" w:hint="eastAsia"/>
          <w:color w:val="000000"/>
          <w:szCs w:val="21"/>
          <w:lang w:bidi="ar"/>
        </w:rPr>
        <w:t>2、易用性要求</w:t>
      </w:r>
    </w:p>
    <w:p>
      <w:pPr>
        <w:snapToGrid w:val="0"/>
        <w:spacing w:line="360" w:lineRule="auto"/>
        <w:ind w:firstLine="420" w:firstLineChars="200"/>
        <w:rPr>
          <w:color w:val="000000"/>
          <w:szCs w:val="21"/>
        </w:rPr>
      </w:pPr>
      <w:r>
        <w:rPr>
          <w:rFonts w:cs="宋体" w:hint="eastAsia"/>
          <w:color w:val="000000"/>
          <w:szCs w:val="21"/>
          <w:lang w:bidi="ar"/>
        </w:rPr>
        <w:t>在日常的业务运行中，除每日少量的配置参数需要修改之外，所有功能软件模块无需人工干预。运行操作人员仅在系统报警提示的情况下，进行必要的人工干预和故障维修。所有的故障状态和信息都应自动记录和存储，便于事后的故障对策分析。</w:t>
      </w:r>
    </w:p>
    <w:p>
      <w:pPr>
        <w:snapToGrid w:val="0"/>
        <w:spacing w:line="360" w:lineRule="auto"/>
        <w:ind w:firstLine="420" w:firstLineChars="200"/>
        <w:rPr>
          <w:color w:val="000000"/>
          <w:szCs w:val="21"/>
        </w:rPr>
      </w:pPr>
      <w:r>
        <w:rPr>
          <w:rFonts w:cs="宋体" w:hint="eastAsia"/>
          <w:color w:val="000000"/>
          <w:szCs w:val="21"/>
          <w:lang w:bidi="ar"/>
        </w:rPr>
        <w:t>系统具备完备的用户操作手册，用户手册准确无误、易读易懂，能够帮助一般用户很快地了解和使用系统；备有帮助命令，具有检索和导引功能，能够很方便地查到系统的主要信息。</w:t>
      </w:r>
    </w:p>
    <w:p>
      <w:pPr>
        <w:snapToGrid w:val="0"/>
        <w:spacing w:line="360" w:lineRule="auto"/>
        <w:ind w:firstLine="420" w:firstLineChars="200"/>
        <w:rPr>
          <w:color w:val="000000"/>
          <w:szCs w:val="21"/>
        </w:rPr>
      </w:pPr>
      <w:r>
        <w:rPr>
          <w:rFonts w:cs="宋体" w:hint="eastAsia"/>
          <w:color w:val="000000"/>
          <w:szCs w:val="21"/>
          <w:lang w:bidi="ar"/>
        </w:rPr>
        <w:t>操作界面是图形化的，且具有菜单和快捷键及命令行等多种方式；操作命令或菜单选择是可导引的，即可引导用户输入正确、完整的命令或完成正确的菜单选择。</w:t>
      </w:r>
    </w:p>
    <w:p>
      <w:pPr>
        <w:snapToGrid w:val="0"/>
        <w:spacing w:line="360" w:lineRule="auto"/>
        <w:ind w:firstLine="420" w:firstLineChars="200"/>
        <w:rPr>
          <w:color w:val="000000"/>
          <w:szCs w:val="21"/>
        </w:rPr>
      </w:pPr>
      <w:r>
        <w:rPr>
          <w:rFonts w:cs="宋体" w:hint="eastAsia"/>
          <w:color w:val="000000"/>
          <w:szCs w:val="21"/>
          <w:lang w:bidi="ar"/>
        </w:rPr>
        <w:t>3、扩展性要求</w:t>
      </w:r>
    </w:p>
    <w:p>
      <w:pPr>
        <w:snapToGrid w:val="0"/>
        <w:spacing w:line="360" w:lineRule="auto"/>
        <w:ind w:firstLine="420" w:firstLineChars="200"/>
        <w:rPr>
          <w:rFonts w:cs="宋体"/>
          <w:color w:val="000000"/>
          <w:szCs w:val="21"/>
          <w:lang w:bidi="ar"/>
        </w:rPr>
      </w:pPr>
      <w:r>
        <w:rPr>
          <w:rFonts w:cs="宋体" w:hint="eastAsia"/>
          <w:color w:val="000000"/>
          <w:szCs w:val="21"/>
          <w:lang w:bidi="ar"/>
        </w:rPr>
        <w:t>系统能够适应将来可能出现的新数据业务的接入需求，在接入新增业务时不需要改造原软件系统，根据预留接口和业务参数驱动，能实现新业务功能模块的接入。满足不断增长的数据管理需求、终端用户需求、功能类型需求等。系统须具备良好的开放性，在标准接口和组件的支撑下，支持第三方用户的快速开发接入。</w:t>
      </w:r>
    </w:p>
    <w:p>
      <w:pPr>
        <w:snapToGrid w:val="0"/>
        <w:spacing w:line="360" w:lineRule="auto"/>
        <w:ind w:firstLine="420" w:firstLineChars="200"/>
        <w:rPr>
          <w:color w:val="000000"/>
          <w:szCs w:val="21"/>
        </w:rPr>
      </w:pPr>
      <w:r>
        <w:rPr>
          <w:rFonts w:hint="eastAsia"/>
          <w:color w:val="000000"/>
          <w:szCs w:val="21"/>
        </w:rPr>
        <w:t>核心算法及模块需支持通过配置参数、插件机制或API接口实现功能扩展，允许在不修改底层代码的前提下，通过增删算法组件或调整参数组合适应新业务场景。</w:t>
      </w:r>
    </w:p>
    <w:p>
      <w:pPr>
        <w:snapToGrid w:val="0"/>
        <w:spacing w:line="360" w:lineRule="auto"/>
        <w:ind w:firstLine="420" w:firstLineChars="200"/>
        <w:rPr>
          <w:color w:val="000000"/>
          <w:szCs w:val="21"/>
        </w:rPr>
      </w:pPr>
      <w:r>
        <w:rPr>
          <w:rFonts w:cs="宋体" w:hint="eastAsia"/>
          <w:color w:val="000000"/>
          <w:szCs w:val="21"/>
          <w:lang w:bidi="ar"/>
        </w:rPr>
        <w:t>4、维护性要求</w:t>
      </w:r>
    </w:p>
    <w:p>
      <w:pPr>
        <w:snapToGrid w:val="0"/>
        <w:spacing w:line="360" w:lineRule="auto"/>
        <w:ind w:firstLine="420" w:firstLineChars="200"/>
        <w:rPr>
          <w:color w:val="000000"/>
          <w:szCs w:val="21"/>
        </w:rPr>
      </w:pPr>
      <w:r>
        <w:rPr>
          <w:rFonts w:cs="宋体" w:hint="eastAsia"/>
          <w:color w:val="000000"/>
          <w:szCs w:val="21"/>
          <w:lang w:bidi="ar"/>
        </w:rPr>
        <w:t>提供详细的维护手册及开发文档，提供完整的核心算法扩展开发指南，包含示例代码、测试用例及调试工具包。</w:t>
      </w:r>
    </w:p>
    <w:p>
      <w:pPr>
        <w:snapToGrid w:val="0"/>
        <w:spacing w:line="360" w:lineRule="auto"/>
        <w:ind w:firstLine="420" w:firstLineChars="200"/>
        <w:rPr>
          <w:color w:val="000000"/>
          <w:szCs w:val="21"/>
        </w:rPr>
      </w:pPr>
      <w:r>
        <w:rPr>
          <w:rFonts w:cs="宋体" w:hint="eastAsia"/>
          <w:color w:val="000000"/>
          <w:szCs w:val="21"/>
          <w:lang w:bidi="ar"/>
        </w:rPr>
        <w:t>系统能够捕获到的计算机系统故障或应用软件错误并以适当的形式记录或向操作员发送错误状态报告；处理软件、模块的任务及其任务环境参数可从外部配置和修改，并可从数据库中自动生成。</w:t>
      </w:r>
    </w:p>
    <w:p>
      <w:pPr>
        <w:snapToGrid w:val="0"/>
        <w:spacing w:line="360" w:lineRule="auto"/>
        <w:ind w:firstLine="420" w:firstLineChars="200"/>
        <w:rPr>
          <w:color w:val="000000"/>
          <w:szCs w:val="21"/>
        </w:rPr>
      </w:pPr>
      <w:r>
        <w:rPr>
          <w:rFonts w:cs="宋体" w:hint="eastAsia"/>
          <w:color w:val="000000"/>
          <w:szCs w:val="21"/>
          <w:lang w:bidi="ar"/>
        </w:rPr>
        <w:t>5、安全性要求</w:t>
      </w:r>
    </w:p>
    <w:p>
      <w:pPr>
        <w:snapToGrid w:val="0"/>
        <w:spacing w:line="360" w:lineRule="auto"/>
        <w:ind w:firstLine="420" w:firstLineChars="200"/>
        <w:rPr>
          <w:rFonts w:cs="宋体"/>
          <w:color w:val="000000"/>
          <w:szCs w:val="21"/>
          <w:lang w:bidi="ar"/>
        </w:rPr>
      </w:pPr>
      <w:r>
        <w:rPr>
          <w:rFonts w:cs="宋体" w:hint="eastAsia"/>
          <w:color w:val="000000"/>
          <w:szCs w:val="21"/>
          <w:lang w:bidi="ar"/>
        </w:rPr>
        <w:t>系统需要具备抵御网络病毒、黑客袭击的措施与隔离攻击、快速恢复机制，具备多种、分级别的数据安全保护措施并形成有效运行机制。</w:t>
      </w:r>
    </w:p>
    <w:p>
      <w:pPr>
        <w:snapToGrid w:val="0"/>
        <w:spacing w:line="360" w:lineRule="auto"/>
        <w:ind w:firstLine="420" w:firstLineChars="200"/>
        <w:rPr>
          <w:color w:val="000000"/>
          <w:szCs w:val="21"/>
        </w:rPr>
      </w:pPr>
      <w:r>
        <w:rPr>
          <w:rFonts w:hint="eastAsia"/>
          <w:color w:val="000000"/>
          <w:szCs w:val="21"/>
        </w:rPr>
        <w:t>算法及模块处理需根据数据敏感程度按需采用加密传输及存储隔离机制，</w:t>
      </w:r>
      <w:r>
        <w:rPr>
          <w:color w:val="000000"/>
          <w:szCs w:val="21"/>
        </w:rPr>
        <w:t>运行时需实现最小权限原则，关键模块需支持实时异常行为监测与自动熔断</w:t>
      </w:r>
      <w:r>
        <w:rPr>
          <w:rFonts w:hint="eastAsia"/>
          <w:color w:val="000000"/>
          <w:szCs w:val="21"/>
        </w:rPr>
        <w:t>。</w:t>
      </w:r>
    </w:p>
    <w:p>
      <w:pPr>
        <w:snapToGrid w:val="0"/>
        <w:spacing w:line="360" w:lineRule="auto"/>
        <w:ind w:firstLine="420" w:firstLineChars="200"/>
        <w:rPr>
          <w:color w:val="000000"/>
          <w:szCs w:val="21"/>
        </w:rPr>
      </w:pPr>
      <w:r>
        <w:rPr>
          <w:rFonts w:cs="宋体" w:hint="eastAsia"/>
          <w:color w:val="000000"/>
          <w:szCs w:val="21"/>
          <w:lang w:bidi="ar"/>
        </w:rPr>
        <w:t>6、界面要求</w:t>
      </w:r>
    </w:p>
    <w:p>
      <w:pPr>
        <w:snapToGrid w:val="0"/>
        <w:spacing w:line="360" w:lineRule="auto"/>
        <w:ind w:firstLine="420" w:firstLineChars="200"/>
        <w:rPr>
          <w:rFonts w:ascii="宋体" w:hAnsi="宋体" w:cs="宋体" w:hint="eastAsia"/>
          <w:color w:val="000000"/>
          <w:szCs w:val="21"/>
        </w:rPr>
      </w:pPr>
      <w:r>
        <w:rPr>
          <w:rFonts w:ascii="宋体" w:hAnsi="宋体" w:cs="宋体" w:hint="eastAsia"/>
          <w:color w:val="000000"/>
          <w:szCs w:val="21"/>
          <w:lang w:bidi="ar"/>
        </w:rPr>
        <w:t>系统界面设计需要简洁、便于使用、便于理解、并能减少用户发生错误选择的可能性。系统能够保证用户在</w:t>
      </w:r>
      <w:r>
        <w:rPr>
          <w:color w:val="000000"/>
          <w:szCs w:val="21"/>
          <w:lang w:bidi="ar"/>
        </w:rPr>
        <w:t>10</w:t>
      </w:r>
      <w:r>
        <w:rPr>
          <w:rFonts w:ascii="宋体" w:hAnsi="宋体" w:cs="宋体" w:hint="eastAsia"/>
          <w:color w:val="000000"/>
          <w:szCs w:val="21"/>
          <w:lang w:bidi="ar"/>
        </w:rPr>
        <w:t>分钟内即能理解页面上的操作。</w:t>
      </w:r>
    </w:p>
    <w:p>
      <w:pPr>
        <w:snapToGrid w:val="0"/>
        <w:spacing w:line="360" w:lineRule="auto"/>
        <w:ind w:firstLine="420" w:firstLineChars="200"/>
        <w:rPr>
          <w:rFonts w:ascii="宋体" w:hAnsi="宋体" w:cs="宋体" w:hint="eastAsia"/>
          <w:color w:val="000000"/>
          <w:szCs w:val="21"/>
        </w:rPr>
      </w:pPr>
      <w:r>
        <w:rPr>
          <w:rFonts w:ascii="宋体" w:hAnsi="宋体" w:cs="宋体" w:hint="eastAsia"/>
          <w:color w:val="000000"/>
          <w:szCs w:val="21"/>
          <w:lang w:bidi="ar"/>
        </w:rPr>
        <w:t>系统界面要具备友好性、人性化的提示。</w:t>
      </w:r>
    </w:p>
    <w:p>
      <w:pPr>
        <w:spacing w:line="360" w:lineRule="auto"/>
        <w:ind w:firstLine="420" w:firstLineChars="200"/>
        <w:rPr>
          <w:rFonts w:ascii="宋体" w:hAnsi="宋体" w:cs="宋体" w:hint="eastAsia"/>
          <w:color w:val="000000"/>
          <w:szCs w:val="21"/>
        </w:rPr>
      </w:pPr>
      <w:r>
        <w:rPr>
          <w:rFonts w:ascii="宋体" w:hAnsi="宋体" w:cs="宋体" w:hint="eastAsia"/>
          <w:color w:val="000000"/>
          <w:szCs w:val="21"/>
          <w:lang w:bidi="ar"/>
        </w:rPr>
        <w:t>系统界面结构清晰且所用的术语要保持一致，风格必须与内容相一致，界面的色调字体也要保持一致。</w:t>
      </w:r>
    </w:p>
    <w:p>
      <w:pPr>
        <w:spacing w:line="360" w:lineRule="auto"/>
        <w:ind w:firstLine="420" w:firstLineChars="200"/>
        <w:outlineLvl w:val="2"/>
        <w:rPr>
          <w:rFonts w:ascii="宋体" w:hAnsi="宋体" w:cs="宋体" w:hint="eastAsia"/>
          <w:b/>
          <w:color w:val="000000"/>
          <w:kern w:val="0"/>
          <w:szCs w:val="21"/>
        </w:rPr>
      </w:pPr>
      <w:r>
        <w:rPr>
          <w:rFonts w:ascii="宋体" w:hAnsi="宋体" w:cs="宋体" w:hint="eastAsia"/>
          <w:b/>
          <w:color w:val="000000"/>
          <w:kern w:val="0"/>
          <w:szCs w:val="21"/>
          <w:lang w:bidi="ar"/>
        </w:rPr>
        <w:t>三、检验考核要求</w:t>
      </w:r>
    </w:p>
    <w:p>
      <w:pPr>
        <w:snapToGrid w:val="0"/>
        <w:spacing w:line="360" w:lineRule="auto"/>
        <w:ind w:firstLine="420" w:firstLineChars="200"/>
        <w:rPr>
          <w:rFonts w:ascii="宋体" w:hAnsi="宋体" w:cs="宋体" w:hint="eastAsia"/>
          <w:color w:val="000000"/>
          <w:szCs w:val="21"/>
        </w:rPr>
      </w:pPr>
      <w:r>
        <w:rPr>
          <w:rFonts w:cs="宋体" w:hint="eastAsia"/>
          <w:color w:val="000000"/>
          <w:szCs w:val="21"/>
          <w:lang w:bidi="ar"/>
        </w:rPr>
        <w:t>项目进入交付阶段后，供应商根据可行性研究报告、合同中涉及的相关技术指标形成验收方案。在采购方指定地点，供应商进行现场安装调试，并开展至少</w:t>
      </w:r>
      <w:r>
        <w:rPr>
          <w:color w:val="000000"/>
          <w:szCs w:val="21"/>
          <w:lang w:bidi="ar"/>
        </w:rPr>
        <w:t>1</w:t>
      </w:r>
      <w:r>
        <w:rPr>
          <w:rFonts w:ascii="宋体" w:hAnsi="宋体" w:cs="宋体" w:hint="eastAsia"/>
          <w:color w:val="000000"/>
          <w:szCs w:val="21"/>
          <w:lang w:bidi="ar"/>
        </w:rPr>
        <w:t>个月的试运行。试运行结束后，</w:t>
      </w:r>
      <w:r>
        <w:rPr>
          <w:rFonts w:cs="宋体" w:hint="eastAsia"/>
          <w:color w:val="000000"/>
          <w:szCs w:val="21"/>
          <w:lang w:bidi="ar"/>
        </w:rPr>
        <w:t>供应商</w:t>
      </w:r>
      <w:r>
        <w:rPr>
          <w:rFonts w:ascii="宋体" w:hAnsi="宋体" w:cs="宋体" w:hint="eastAsia"/>
          <w:color w:val="000000"/>
          <w:szCs w:val="21"/>
          <w:lang w:bidi="ar"/>
        </w:rPr>
        <w:t>提供自测试报告、使用手册等文件供招标方审查。审查通过后，在</w:t>
      </w:r>
      <w:r>
        <w:rPr>
          <w:rFonts w:cs="宋体" w:hint="eastAsia"/>
          <w:color w:val="000000"/>
          <w:szCs w:val="21"/>
          <w:lang w:bidi="ar"/>
        </w:rPr>
        <w:t>采购方</w:t>
      </w:r>
      <w:r>
        <w:rPr>
          <w:rFonts w:ascii="宋体" w:hAnsi="宋体" w:cs="宋体" w:hint="eastAsia"/>
          <w:color w:val="000000"/>
          <w:szCs w:val="21"/>
          <w:lang w:bidi="ar"/>
        </w:rPr>
        <w:t>代表在场的情况下，依据验收方案中相关要求和技术指标对各子项目进行测试并形成测试报告，如果未能通过测试，待</w:t>
      </w:r>
      <w:r>
        <w:rPr>
          <w:rFonts w:cs="宋体" w:hint="eastAsia"/>
          <w:color w:val="000000"/>
          <w:szCs w:val="21"/>
          <w:lang w:bidi="ar"/>
        </w:rPr>
        <w:t>供应商</w:t>
      </w:r>
      <w:r>
        <w:rPr>
          <w:rFonts w:ascii="宋体" w:hAnsi="宋体" w:cs="宋体" w:hint="eastAsia"/>
          <w:color w:val="000000"/>
          <w:szCs w:val="21"/>
          <w:lang w:bidi="ar"/>
        </w:rPr>
        <w:t>整改后择日重新进行测试和验收，由此增加的一切费用由</w:t>
      </w:r>
      <w:r>
        <w:rPr>
          <w:rFonts w:cs="宋体" w:hint="eastAsia"/>
          <w:color w:val="000000"/>
          <w:szCs w:val="21"/>
          <w:lang w:bidi="ar"/>
        </w:rPr>
        <w:t>供应商</w:t>
      </w:r>
      <w:r>
        <w:rPr>
          <w:rFonts w:ascii="宋体" w:hAnsi="宋体" w:cs="宋体" w:hint="eastAsia"/>
          <w:color w:val="000000"/>
          <w:szCs w:val="21"/>
          <w:lang w:bidi="ar"/>
        </w:rPr>
        <w:t>承担。</w:t>
      </w:r>
    </w:p>
    <w:p>
      <w:pPr>
        <w:spacing w:line="360" w:lineRule="auto"/>
        <w:ind w:firstLine="420" w:firstLineChars="200"/>
        <w:outlineLvl w:val="2"/>
        <w:rPr>
          <w:rFonts w:ascii="宋体" w:hAnsi="宋体" w:cs="宋体" w:hint="eastAsia"/>
          <w:b/>
          <w:color w:val="000000"/>
          <w:kern w:val="0"/>
          <w:szCs w:val="21"/>
        </w:rPr>
      </w:pPr>
      <w:r>
        <w:rPr>
          <w:rFonts w:ascii="宋体" w:hAnsi="宋体" w:cs="宋体" w:hint="eastAsia"/>
          <w:b/>
          <w:color w:val="000000"/>
          <w:kern w:val="0"/>
          <w:szCs w:val="21"/>
          <w:lang w:bidi="ar"/>
        </w:rPr>
        <w:t>四、培训</w:t>
      </w:r>
    </w:p>
    <w:p>
      <w:pPr>
        <w:snapToGrid w:val="0"/>
        <w:spacing w:line="360" w:lineRule="auto"/>
        <w:ind w:firstLine="420" w:firstLineChars="200"/>
        <w:rPr>
          <w:color w:val="000000"/>
          <w:szCs w:val="21"/>
        </w:rPr>
      </w:pPr>
      <w:r>
        <w:rPr>
          <w:color w:val="000000"/>
          <w:szCs w:val="21"/>
          <w:lang w:bidi="ar"/>
        </w:rPr>
        <w:t>1</w:t>
      </w:r>
      <w:r>
        <w:rPr>
          <w:rFonts w:cs="宋体" w:hint="eastAsia"/>
          <w:color w:val="000000"/>
          <w:szCs w:val="21"/>
          <w:lang w:bidi="ar"/>
        </w:rPr>
        <w:t>、培训方式为现场培训或在线培训。</w:t>
      </w:r>
    </w:p>
    <w:p>
      <w:pPr>
        <w:snapToGrid w:val="0"/>
        <w:spacing w:line="360" w:lineRule="auto"/>
        <w:ind w:firstLine="420" w:firstLineChars="200"/>
        <w:rPr>
          <w:color w:val="000000"/>
          <w:szCs w:val="21"/>
        </w:rPr>
      </w:pPr>
      <w:r>
        <w:rPr>
          <w:color w:val="000000"/>
          <w:szCs w:val="21"/>
          <w:lang w:bidi="ar"/>
        </w:rPr>
        <w:t>2</w:t>
      </w:r>
      <w:r>
        <w:rPr>
          <w:rFonts w:cs="宋体" w:hint="eastAsia"/>
          <w:color w:val="000000"/>
          <w:szCs w:val="21"/>
          <w:lang w:bidi="ar"/>
        </w:rPr>
        <w:t>、培训应确保采购方能够理解关键算法模块内的核心逻辑，并能够开展业务服务及二次开发；对具有交互界面的系统能独立、熟练地完成操作，并能够独立处理简单故障和进行功能调整。</w:t>
      </w:r>
    </w:p>
    <w:p>
      <w:pPr>
        <w:snapToGrid w:val="0"/>
        <w:spacing w:line="360" w:lineRule="auto"/>
        <w:ind w:firstLine="420" w:firstLineChars="200"/>
        <w:rPr>
          <w:color w:val="000000"/>
          <w:szCs w:val="21"/>
        </w:rPr>
      </w:pPr>
      <w:r>
        <w:rPr>
          <w:color w:val="000000"/>
          <w:szCs w:val="21"/>
          <w:lang w:bidi="ar"/>
        </w:rPr>
        <w:t>3</w:t>
      </w:r>
      <w:r>
        <w:rPr>
          <w:rFonts w:cs="宋体" w:hint="eastAsia"/>
          <w:color w:val="000000"/>
          <w:szCs w:val="21"/>
          <w:lang w:bidi="ar"/>
        </w:rPr>
        <w:t>、培训在采购方指定地点进行；培训讲师为项目主要开发人员；培训时间不少于</w:t>
      </w:r>
      <w:r>
        <w:rPr>
          <w:rFonts w:hint="eastAsia"/>
          <w:color w:val="000000"/>
          <w:szCs w:val="21"/>
          <w:lang w:bidi="ar"/>
        </w:rPr>
        <w:t>8</w:t>
      </w:r>
      <w:r>
        <w:rPr>
          <w:rFonts w:cs="宋体" w:hint="eastAsia"/>
          <w:color w:val="000000"/>
          <w:szCs w:val="21"/>
          <w:lang w:bidi="ar"/>
        </w:rPr>
        <w:t>课时，每课时</w:t>
      </w:r>
      <w:r>
        <w:rPr>
          <w:color w:val="000000"/>
          <w:szCs w:val="21"/>
          <w:lang w:bidi="ar"/>
        </w:rPr>
        <w:t>45</w:t>
      </w:r>
      <w:r>
        <w:rPr>
          <w:rFonts w:cs="宋体" w:hint="eastAsia"/>
          <w:color w:val="000000"/>
          <w:szCs w:val="21"/>
          <w:lang w:bidi="ar"/>
        </w:rPr>
        <w:t>分钟；培训内容包括算法原理、算法逻辑、常规操作、维护、常见故障排除、紧急情况处理等。</w:t>
      </w:r>
    </w:p>
    <w:p>
      <w:pPr>
        <w:snapToGrid w:val="0"/>
        <w:spacing w:line="360" w:lineRule="auto"/>
        <w:ind w:firstLine="420" w:firstLineChars="200"/>
        <w:rPr>
          <w:color w:val="000000"/>
          <w:szCs w:val="21"/>
        </w:rPr>
      </w:pPr>
      <w:r>
        <w:rPr>
          <w:color w:val="000000"/>
          <w:szCs w:val="21"/>
          <w:lang w:bidi="ar"/>
        </w:rPr>
        <w:t>4</w:t>
      </w:r>
      <w:r>
        <w:rPr>
          <w:rFonts w:cs="宋体" w:hint="eastAsia"/>
          <w:color w:val="000000"/>
          <w:szCs w:val="21"/>
          <w:lang w:bidi="ar"/>
        </w:rPr>
        <w:t>、供应商负责搭建培训所需的环境，并提供培训教材等相关用品。</w:t>
      </w:r>
    </w:p>
    <w:p>
      <w:pPr>
        <w:snapToGrid w:val="0"/>
        <w:spacing w:line="360" w:lineRule="auto"/>
        <w:ind w:firstLine="420" w:firstLineChars="200"/>
        <w:rPr>
          <w:color w:val="000000"/>
          <w:szCs w:val="21"/>
        </w:rPr>
      </w:pPr>
      <w:r>
        <w:rPr>
          <w:color w:val="000000"/>
          <w:szCs w:val="21"/>
          <w:lang w:bidi="ar"/>
        </w:rPr>
        <w:t>5</w:t>
      </w:r>
      <w:r>
        <w:rPr>
          <w:rFonts w:cs="宋体" w:hint="eastAsia"/>
          <w:color w:val="000000"/>
          <w:szCs w:val="21"/>
          <w:lang w:bidi="ar"/>
        </w:rPr>
        <w:t>、参加培训人员的差旅食宿费用自理，供应商承担培训产生的场地、教师、培训资料、消耗品等一切费用。</w:t>
      </w:r>
    </w:p>
    <w:p>
      <w:pPr>
        <w:spacing w:line="360" w:lineRule="auto"/>
        <w:ind w:firstLine="420" w:firstLineChars="200"/>
        <w:outlineLvl w:val="2"/>
        <w:rPr>
          <w:b/>
          <w:color w:val="000000"/>
          <w:kern w:val="0"/>
          <w:szCs w:val="21"/>
        </w:rPr>
      </w:pPr>
      <w:r>
        <w:rPr>
          <w:rFonts w:cs="宋体" w:hint="eastAsia"/>
          <w:b/>
          <w:color w:val="000000"/>
          <w:kern w:val="0"/>
          <w:szCs w:val="21"/>
          <w:lang w:bidi="ar"/>
        </w:rPr>
        <w:t>五、售后服务</w:t>
      </w:r>
    </w:p>
    <w:p>
      <w:pPr>
        <w:snapToGrid w:val="0"/>
        <w:spacing w:line="360" w:lineRule="auto"/>
        <w:ind w:firstLine="420" w:firstLineChars="200"/>
        <w:rPr>
          <w:rFonts w:cs="宋体" w:hint="eastAsia"/>
          <w:color w:val="000000"/>
          <w:szCs w:val="21"/>
          <w:lang w:bidi="ar"/>
        </w:rPr>
      </w:pPr>
      <w:r>
        <w:rPr>
          <w:rFonts w:cs="宋体" w:hint="eastAsia"/>
          <w:color w:val="000000"/>
          <w:szCs w:val="21"/>
          <w:lang w:bidi="ar"/>
        </w:rPr>
        <w:t>团队人数至少6人。</w:t>
      </w:r>
    </w:p>
    <w:p>
      <w:pPr>
        <w:snapToGrid w:val="0"/>
        <w:spacing w:line="360" w:lineRule="auto"/>
        <w:ind w:firstLine="420" w:firstLineChars="200"/>
        <w:rPr>
          <w:color w:val="000000"/>
          <w:szCs w:val="21"/>
        </w:rPr>
      </w:pPr>
      <w:r>
        <w:rPr>
          <w:rFonts w:cs="宋体" w:hint="eastAsia"/>
          <w:color w:val="000000"/>
          <w:szCs w:val="21"/>
          <w:lang w:bidi="ar"/>
        </w:rPr>
        <w:t>通过验收之日起，供应商提供</w:t>
      </w:r>
      <w:r>
        <w:rPr>
          <w:rFonts w:hint="eastAsia"/>
          <w:color w:val="000000"/>
          <w:szCs w:val="21"/>
          <w:lang w:bidi="ar"/>
        </w:rPr>
        <w:t>3</w:t>
      </w:r>
      <w:r>
        <w:rPr>
          <w:rFonts w:cs="宋体" w:hint="eastAsia"/>
          <w:color w:val="000000"/>
          <w:szCs w:val="21"/>
          <w:lang w:bidi="ar"/>
        </w:rPr>
        <w:t>年技术支持服务。</w:t>
      </w:r>
    </w:p>
    <w:p>
      <w:pPr>
        <w:snapToGrid w:val="0"/>
        <w:spacing w:line="360" w:lineRule="auto"/>
        <w:ind w:firstLine="420" w:firstLineChars="200"/>
        <w:rPr>
          <w:rFonts w:ascii="宋体" w:hAnsi="宋体" w:cs="宋体" w:hint="eastAsia"/>
          <w:color w:val="000000"/>
          <w:szCs w:val="21"/>
        </w:rPr>
      </w:pPr>
      <w:r>
        <w:rPr>
          <w:rFonts w:cs="宋体" w:hint="eastAsia"/>
          <w:color w:val="000000"/>
          <w:szCs w:val="21"/>
          <w:lang w:bidi="ar"/>
        </w:rPr>
        <w:t>供应商技术人员应随时进行电话应答；</w:t>
      </w:r>
      <w:r>
        <w:rPr>
          <w:rFonts w:hint="eastAsia"/>
          <w:color w:val="000000"/>
          <w:szCs w:val="21"/>
          <w:lang w:bidi="ar"/>
        </w:rPr>
        <w:t>60</w:t>
      </w:r>
      <w:r>
        <w:rPr>
          <w:rFonts w:cs="宋体" w:hint="eastAsia"/>
          <w:color w:val="000000"/>
          <w:szCs w:val="21"/>
          <w:lang w:bidi="ar"/>
        </w:rPr>
        <w:t>分钟内完成远程登陆诊断。需要现场解决的问题，供应商技术人员须在</w:t>
      </w:r>
      <w:r>
        <w:rPr>
          <w:color w:val="000000"/>
          <w:szCs w:val="21"/>
          <w:lang w:bidi="ar"/>
        </w:rPr>
        <w:t>24</w:t>
      </w:r>
      <w:r>
        <w:rPr>
          <w:rFonts w:cs="宋体" w:hint="eastAsia"/>
          <w:color w:val="000000"/>
          <w:szCs w:val="21"/>
          <w:lang w:bidi="ar"/>
        </w:rPr>
        <w:t>小时内达到中国气象局现场</w:t>
      </w:r>
      <w:r>
        <w:rPr>
          <w:rFonts w:ascii="宋体" w:hAnsi="宋体" w:cs="宋体" w:hint="eastAsia"/>
          <w:color w:val="000000"/>
          <w:szCs w:val="21"/>
          <w:lang w:bidi="ar"/>
        </w:rPr>
        <w:t>，技术人员所发生的差旅费由中标方承担。</w:t>
      </w:r>
    </w:p>
    <w:p>
      <w:pPr>
        <w:snapToGrid w:val="0"/>
        <w:spacing w:line="360" w:lineRule="auto"/>
        <w:ind w:firstLine="420" w:firstLineChars="200"/>
        <w:rPr>
          <w:rFonts w:ascii="宋体" w:hAnsi="宋体" w:cs="宋体" w:hint="eastAsia"/>
          <w:color w:val="000000"/>
          <w:szCs w:val="21"/>
        </w:rPr>
      </w:pPr>
      <w:r>
        <w:rPr>
          <w:rFonts w:ascii="宋体" w:hAnsi="宋体" w:cs="宋体" w:hint="eastAsia"/>
          <w:color w:val="000000"/>
          <w:szCs w:val="21"/>
          <w:lang w:bidi="ar"/>
        </w:rPr>
        <w:t>提供超过质保期后的技术跟踪服务，包含电话疑难问题解答、远程技术指导等。</w:t>
      </w:r>
    </w:p>
    <w:p>
      <w:pPr>
        <w:spacing w:line="360" w:lineRule="auto"/>
        <w:ind w:firstLine="420" w:firstLineChars="200"/>
        <w:outlineLvl w:val="2"/>
        <w:rPr>
          <w:b/>
          <w:color w:val="000000"/>
          <w:kern w:val="0"/>
          <w:szCs w:val="21"/>
        </w:rPr>
      </w:pPr>
      <w:r>
        <w:rPr>
          <w:rFonts w:cs="宋体" w:hint="eastAsia"/>
          <w:b/>
          <w:color w:val="000000"/>
          <w:kern w:val="0"/>
          <w:szCs w:val="21"/>
          <w:lang w:bidi="ar"/>
        </w:rPr>
        <w:t>六、知识产权原则</w:t>
      </w:r>
    </w:p>
    <w:p>
      <w:pPr>
        <w:snapToGrid w:val="0"/>
        <w:spacing w:line="360" w:lineRule="auto"/>
        <w:ind w:firstLine="420" w:firstLineChars="200"/>
        <w:rPr>
          <w:color w:val="000000"/>
        </w:rPr>
      </w:pPr>
      <w:r>
        <w:rPr>
          <w:color w:val="000000"/>
          <w:lang w:bidi="ar"/>
        </w:rPr>
        <w:t>1</w:t>
      </w:r>
      <w:r>
        <w:rPr>
          <w:rFonts w:cs="宋体" w:hint="eastAsia"/>
          <w:color w:val="000000"/>
          <w:lang w:bidi="ar"/>
        </w:rPr>
        <w:t>．符合法律规定及当事人约定的原则</w:t>
      </w:r>
    </w:p>
    <w:p>
      <w:pPr>
        <w:snapToGrid w:val="0"/>
        <w:spacing w:line="360" w:lineRule="auto"/>
        <w:ind w:firstLine="420" w:firstLineChars="200"/>
        <w:rPr>
          <w:color w:val="000000"/>
        </w:rPr>
      </w:pPr>
      <w:r>
        <w:rPr>
          <w:rFonts w:cs="宋体" w:hint="eastAsia"/>
          <w:color w:val="000000"/>
          <w:lang w:bidi="ar"/>
        </w:rPr>
        <w:t>任何相关事项均应当符合法律规定，及应当符合当事人的约定。</w:t>
      </w:r>
    </w:p>
    <w:p>
      <w:pPr>
        <w:snapToGrid w:val="0"/>
        <w:spacing w:line="360" w:lineRule="auto"/>
        <w:ind w:firstLine="420" w:firstLineChars="200"/>
        <w:rPr>
          <w:color w:val="000000"/>
        </w:rPr>
      </w:pPr>
      <w:r>
        <w:rPr>
          <w:color w:val="000000"/>
          <w:lang w:bidi="ar"/>
        </w:rPr>
        <w:t>2</w:t>
      </w:r>
      <w:r>
        <w:rPr>
          <w:rFonts w:cs="宋体" w:hint="eastAsia"/>
          <w:color w:val="000000"/>
          <w:lang w:bidi="ar"/>
        </w:rPr>
        <w:t>．开发成果归属清晰原则</w:t>
      </w:r>
    </w:p>
    <w:p>
      <w:pPr>
        <w:snapToGrid w:val="0"/>
        <w:spacing w:line="360" w:lineRule="auto"/>
        <w:ind w:firstLine="420" w:firstLineChars="200"/>
        <w:rPr>
          <w:color w:val="000000"/>
        </w:rPr>
      </w:pPr>
      <w:r>
        <w:rPr>
          <w:rFonts w:cs="宋体" w:hint="eastAsia"/>
          <w:color w:val="000000"/>
          <w:lang w:bidi="ar"/>
        </w:rPr>
        <w:t>全部及</w:t>
      </w:r>
      <w:r>
        <w:rPr>
          <w:color w:val="000000"/>
          <w:lang w:bidi="ar"/>
        </w:rPr>
        <w:t>/</w:t>
      </w:r>
      <w:r>
        <w:rPr>
          <w:rFonts w:cs="宋体" w:hint="eastAsia"/>
          <w:color w:val="000000"/>
          <w:lang w:bidi="ar"/>
        </w:rPr>
        <w:t>或任何部分的相关知识产权，包括相关权益，归甲方所有。</w:t>
      </w:r>
      <w:r>
        <w:rPr>
          <w:rFonts w:cs="宋体" w:hint="eastAsia"/>
          <w:color w:val="000000"/>
          <w:szCs w:val="21"/>
          <w:lang w:bidi="ar"/>
        </w:rPr>
        <w:t>供应商</w:t>
      </w:r>
      <w:r>
        <w:rPr>
          <w:rFonts w:cs="宋体" w:hint="eastAsia"/>
          <w:color w:val="000000"/>
          <w:lang w:bidi="ar"/>
        </w:rPr>
        <w:t>有不可争议的义务确保采购人依据本次采购所获得的知识产权不存在任何瑕疵并且可以不受限制地行使相关权利，包括各项延伸权利。若因此发生任何争议均应当由</w:t>
      </w:r>
      <w:r>
        <w:rPr>
          <w:rFonts w:cs="宋体" w:hint="eastAsia"/>
          <w:color w:val="000000"/>
          <w:szCs w:val="21"/>
          <w:lang w:bidi="ar"/>
        </w:rPr>
        <w:t>供应商</w:t>
      </w:r>
      <w:r>
        <w:rPr>
          <w:rFonts w:cs="宋体" w:hint="eastAsia"/>
          <w:color w:val="000000"/>
          <w:lang w:bidi="ar"/>
        </w:rPr>
        <w:t>独自承担全部及</w:t>
      </w:r>
      <w:r>
        <w:rPr>
          <w:color w:val="000000"/>
          <w:lang w:bidi="ar"/>
        </w:rPr>
        <w:t>/</w:t>
      </w:r>
      <w:r>
        <w:rPr>
          <w:rFonts w:cs="宋体" w:hint="eastAsia"/>
          <w:color w:val="000000"/>
          <w:lang w:bidi="ar"/>
        </w:rPr>
        <w:t>或任何责任，包括但不限于应当承担其自身及采购人为排除任何争议或瑕疵所应当或所需支付的一切相关</w:t>
      </w:r>
      <w:r>
        <w:rPr>
          <w:color w:val="000000"/>
          <w:lang w:bidi="ar"/>
        </w:rPr>
        <w:t>/</w:t>
      </w:r>
      <w:r>
        <w:rPr>
          <w:rFonts w:cs="宋体" w:hint="eastAsia"/>
          <w:color w:val="000000"/>
          <w:lang w:bidi="ar"/>
        </w:rPr>
        <w:t>或由此引起的费用。</w:t>
      </w:r>
    </w:p>
    <w:p>
      <w:pPr>
        <w:snapToGrid w:val="0"/>
        <w:spacing w:line="360" w:lineRule="auto"/>
        <w:ind w:firstLine="420" w:firstLineChars="200"/>
        <w:rPr>
          <w:color w:val="000000"/>
        </w:rPr>
      </w:pPr>
      <w:r>
        <w:rPr>
          <w:color w:val="000000"/>
          <w:lang w:bidi="ar"/>
        </w:rPr>
        <w:t>3</w:t>
      </w:r>
      <w:r>
        <w:rPr>
          <w:rFonts w:cs="宋体" w:hint="eastAsia"/>
          <w:color w:val="000000"/>
          <w:lang w:bidi="ar"/>
        </w:rPr>
        <w:t>．保护知识产权原则</w:t>
      </w:r>
    </w:p>
    <w:p>
      <w:pPr>
        <w:snapToGrid w:val="0"/>
        <w:spacing w:line="360" w:lineRule="auto"/>
        <w:ind w:firstLine="420" w:firstLineChars="200"/>
        <w:rPr>
          <w:rFonts w:cs="宋体"/>
          <w:color w:val="000000"/>
          <w:lang w:bidi="ar"/>
        </w:rPr>
      </w:pPr>
      <w:r>
        <w:rPr>
          <w:rFonts w:cs="宋体" w:hint="eastAsia"/>
          <w:color w:val="000000"/>
          <w:szCs w:val="21"/>
          <w:lang w:bidi="ar"/>
        </w:rPr>
        <w:t>供应商</w:t>
      </w:r>
      <w:r>
        <w:rPr>
          <w:rFonts w:cs="宋体" w:hint="eastAsia"/>
          <w:color w:val="000000"/>
          <w:lang w:bidi="ar"/>
        </w:rPr>
        <w:t>应当保证其有关参与本次采购相关的活动包括履行本次采购的任何行为，以及本次采购活动结束之后的任何涉及到本次采购的行为，均不会侵犯任何第三方的知识产权。若因此发生任何争议、侵权、均应当由</w:t>
      </w:r>
      <w:r>
        <w:rPr>
          <w:rFonts w:cs="宋体" w:hint="eastAsia"/>
          <w:color w:val="000000"/>
          <w:szCs w:val="21"/>
          <w:lang w:bidi="ar"/>
        </w:rPr>
        <w:t>供应商</w:t>
      </w:r>
      <w:r>
        <w:rPr>
          <w:rFonts w:cs="宋体" w:hint="eastAsia"/>
          <w:color w:val="000000"/>
          <w:lang w:bidi="ar"/>
        </w:rPr>
        <w:t>独自承担全部及</w:t>
      </w:r>
      <w:r>
        <w:rPr>
          <w:rFonts w:cs="宋体"/>
          <w:color w:val="000000"/>
          <w:lang w:bidi="ar"/>
        </w:rPr>
        <w:t>/</w:t>
      </w:r>
      <w:r>
        <w:rPr>
          <w:rFonts w:cs="宋体" w:hint="eastAsia"/>
          <w:color w:val="000000"/>
          <w:lang w:bidi="ar"/>
        </w:rPr>
        <w:t>或任何责任，包括但不限于应当承担其自身及采购中为排除任何争议及</w:t>
      </w:r>
      <w:r>
        <w:rPr>
          <w:rFonts w:cs="宋体"/>
          <w:color w:val="000000"/>
          <w:lang w:bidi="ar"/>
        </w:rPr>
        <w:t>/</w:t>
      </w:r>
      <w:r>
        <w:rPr>
          <w:rFonts w:cs="宋体" w:hint="eastAsia"/>
          <w:color w:val="000000"/>
          <w:lang w:bidi="ar"/>
        </w:rPr>
        <w:t>或赔偿侵权所应当或所需支付的一切相关及</w:t>
      </w:r>
      <w:r>
        <w:rPr>
          <w:rFonts w:cs="宋体"/>
          <w:color w:val="000000"/>
          <w:lang w:bidi="ar"/>
        </w:rPr>
        <w:t>/</w:t>
      </w:r>
      <w:r>
        <w:rPr>
          <w:rFonts w:cs="宋体" w:hint="eastAsia"/>
          <w:color w:val="000000"/>
          <w:lang w:bidi="ar"/>
        </w:rPr>
        <w:t>或由此引起的费用。</w:t>
      </w:r>
    </w:p>
    <w:p>
      <w:pPr>
        <w:spacing w:line="360" w:lineRule="auto"/>
        <w:ind w:firstLine="420" w:firstLineChars="200"/>
        <w:rPr>
          <w:rFonts w:ascii="宋体" w:hAnsi="宋体" w:hint="eastAsia"/>
          <w:szCs w:val="21"/>
        </w:rPr>
      </w:pPr>
    </w:p>
    <w:p w:rsidR="00A77B3E"/>
    <w:p>
      <w:pPr>
        <w:adjustRightInd w:val="0"/>
        <w:snapToGrid w:val="0"/>
        <w:spacing w:line="360" w:lineRule="auto"/>
        <w:jc w:val="center"/>
        <w:rPr>
          <w:rFonts w:ascii="宋体" w:hAnsi="宋体" w:hint="eastAsia"/>
          <w:b/>
          <w:sz w:val="30"/>
          <w:szCs w:val="30"/>
          <w:highlight w:val="none"/>
        </w:rPr>
        <w:sectPr>
          <w:footerReference w:type="default" r:id="rId6"/>
          <w:pgSz w:w="11906" w:h="16838"/>
          <w:pgMar w:top="1418" w:right="1418" w:bottom="1418" w:left="1701" w:header="851" w:footer="851" w:gutter="0"/>
          <w:cols w:space="708"/>
          <w:docGrid w:type="linesAndChars" w:linePitch="312"/>
        </w:sectPr>
      </w:pPr>
      <w:bookmarkEnd w:id="60"/>
    </w:p>
    <w:p w:rsidR="009040B8">
      <w:pPr>
        <w:spacing w:before="156" w:beforeLines="50" w:line="360" w:lineRule="auto"/>
        <w:jc w:val="center"/>
        <w:outlineLvl w:val="1"/>
        <w:rPr>
          <w:rFonts w:ascii="宋体" w:hAnsi="宋体" w:hint="eastAsia"/>
          <w:b/>
          <w:sz w:val="30"/>
          <w:szCs w:val="30"/>
        </w:rPr>
      </w:pPr>
      <w:bookmarkStart w:id="61" w:name="投标被拒绝条款专用部分_JJTK"/>
      <w:r>
        <w:rPr>
          <w:rFonts w:ascii="宋体" w:hAnsi="宋体" w:hint="eastAsia"/>
          <w:b/>
          <w:sz w:val="30"/>
          <w:szCs w:val="30"/>
        </w:rPr>
        <w:t>第八章  投标被拒绝条款专用部分</w:t>
      </w:r>
    </w:p>
    <w:p w:rsidR="009040B8">
      <w:pPr>
        <w:adjustRightInd w:val="0"/>
        <w:snapToGrid w:val="0"/>
        <w:spacing w:before="156" w:beforeLines="50" w:line="360" w:lineRule="auto"/>
        <w:ind w:firstLine="420" w:firstLineChars="20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4E0551">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9040B8">
            <w:pPr>
              <w:rPr>
                <w:sz w:val="18"/>
                <w:szCs w:val="18"/>
              </w:rPr>
            </w:pPr>
            <w:r>
              <w:rPr>
                <w:rFonts w:hint="eastAsia"/>
                <w:sz w:val="18"/>
                <w:szCs w:val="18"/>
              </w:rPr>
              <w:t>序号</w:t>
            </w:r>
          </w:p>
        </w:tc>
        <w:tc>
          <w:tcPr>
            <w:tcW w:w="898" w:type="dxa"/>
            <w:vAlign w:val="center"/>
          </w:tcPr>
          <w:p w:rsidR="009040B8">
            <w:pPr>
              <w:jc w:val="center"/>
              <w:rPr>
                <w:sz w:val="18"/>
                <w:szCs w:val="18"/>
              </w:rPr>
            </w:pPr>
            <w:r>
              <w:rPr>
                <w:rFonts w:hint="eastAsia"/>
                <w:sz w:val="18"/>
                <w:szCs w:val="18"/>
              </w:rPr>
              <w:t>对应</w:t>
            </w:r>
          </w:p>
          <w:p w:rsidR="009040B8">
            <w:pPr>
              <w:jc w:val="center"/>
              <w:rPr>
                <w:sz w:val="18"/>
                <w:szCs w:val="18"/>
              </w:rPr>
            </w:pPr>
            <w:r>
              <w:rPr>
                <w:rFonts w:hint="eastAsia"/>
                <w:sz w:val="18"/>
                <w:szCs w:val="18"/>
              </w:rPr>
              <w:t>条款号</w:t>
            </w:r>
          </w:p>
        </w:tc>
        <w:tc>
          <w:tcPr>
            <w:tcW w:w="7347" w:type="dxa"/>
            <w:vAlign w:val="center"/>
          </w:tcPr>
          <w:p w:rsidR="009040B8">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4E0551">
        <w:tblPrEx>
          <w:tblW w:w="8789" w:type="dxa"/>
          <w:tblLayout w:type="fixed"/>
          <w:tblLook w:val="04A0"/>
        </w:tblPrEx>
        <w:trPr>
          <w:cantSplit/>
        </w:trPr>
        <w:tc>
          <w:tcPr>
            <w:tcW w:w="8789" w:type="dxa"/>
            <w:gridSpan w:val="3"/>
            <w:vAlign w:val="center"/>
          </w:tcPr>
          <w:p w:rsidR="009040B8">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4E0551">
        <w:tblPrEx>
          <w:tblW w:w="8789" w:type="dxa"/>
          <w:tblLayout w:type="fixed"/>
          <w:tblLook w:val="04A0"/>
        </w:tblPrEx>
        <w:trPr>
          <w:cantSplit/>
        </w:trPr>
        <w:tc>
          <w:tcPr>
            <w:tcW w:w="544" w:type="dxa"/>
            <w:vAlign w:val="center"/>
          </w:tcPr>
          <w:p w:rsidR="009040B8">
            <w:pPr>
              <w:numPr>
                <w:ilvl w:val="0"/>
                <w:numId w:val="47"/>
              </w:numPr>
              <w:rPr>
                <w:rFonts w:ascii="宋体" w:hAnsi="宋体" w:hint="eastAsia"/>
                <w:sz w:val="18"/>
                <w:szCs w:val="18"/>
              </w:rPr>
            </w:pPr>
          </w:p>
        </w:tc>
        <w:tc>
          <w:tcPr>
            <w:tcW w:w="898" w:type="dxa"/>
            <w:vAlign w:val="center"/>
          </w:tcPr>
          <w:p w:rsidR="009040B8">
            <w:pPr>
              <w:jc w:val="center"/>
              <w:rPr>
                <w:rFonts w:ascii="宋体" w:hAnsi="宋体" w:hint="eastAsia"/>
                <w:sz w:val="18"/>
                <w:szCs w:val="18"/>
              </w:rPr>
            </w:pPr>
            <w:r>
              <w:rPr>
                <w:rFonts w:ascii="宋体" w:hAnsi="宋体" w:hint="eastAsia"/>
                <w:sz w:val="18"/>
                <w:szCs w:val="18"/>
              </w:rPr>
              <w:t>无</w:t>
            </w:r>
          </w:p>
        </w:tc>
        <w:tc>
          <w:tcPr>
            <w:tcW w:w="7347" w:type="dxa"/>
          </w:tcPr>
          <w:p w:rsidR="009040B8">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r w:rsidTr="004E0551">
        <w:tblPrEx>
          <w:tblW w:w="8789" w:type="dxa"/>
          <w:tblLayout w:type="fixed"/>
          <w:tblLook w:val="04A0"/>
        </w:tblPrEx>
        <w:trPr>
          <w:cantSplit/>
        </w:trPr>
        <w:tc>
          <w:tcPr>
            <w:tcW w:w="8789" w:type="dxa"/>
            <w:gridSpan w:val="3"/>
            <w:vAlign w:val="center"/>
          </w:tcPr>
          <w:p w:rsidR="009040B8">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4E0551">
        <w:tblPrEx>
          <w:tblW w:w="8789" w:type="dxa"/>
          <w:tblLayout w:type="fixed"/>
          <w:tblLook w:val="04A0"/>
        </w:tblPrEx>
        <w:trPr>
          <w:cantSplit/>
        </w:trPr>
        <w:tc>
          <w:tcPr>
            <w:tcW w:w="544" w:type="dxa"/>
            <w:vAlign w:val="center"/>
          </w:tcPr>
          <w:p w:rsidR="009040B8">
            <w:pPr>
              <w:numPr>
                <w:ilvl w:val="0"/>
                <w:numId w:val="47"/>
              </w:numPr>
              <w:rPr>
                <w:rFonts w:ascii="宋体" w:hAnsi="宋体" w:hint="eastAsia"/>
                <w:sz w:val="18"/>
                <w:szCs w:val="18"/>
              </w:rPr>
            </w:pPr>
          </w:p>
        </w:tc>
        <w:tc>
          <w:tcPr>
            <w:tcW w:w="898" w:type="dxa"/>
            <w:vAlign w:val="center"/>
          </w:tcPr>
          <w:p w:rsidR="009040B8">
            <w:pPr>
              <w:jc w:val="center"/>
              <w:rPr>
                <w:rFonts w:ascii="宋体" w:hAnsi="宋体" w:hint="eastAsia"/>
                <w:sz w:val="18"/>
                <w:szCs w:val="18"/>
              </w:rPr>
            </w:pPr>
            <w:r>
              <w:rPr>
                <w:rFonts w:ascii="宋体" w:hAnsi="宋体" w:hint="eastAsia"/>
                <w:sz w:val="18"/>
                <w:szCs w:val="18"/>
              </w:rPr>
              <w:t>无</w:t>
            </w:r>
          </w:p>
        </w:tc>
        <w:tc>
          <w:tcPr>
            <w:tcW w:w="7347" w:type="dxa"/>
            <w:vAlign w:val="center"/>
          </w:tcPr>
          <w:p w:rsidR="009040B8">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bl>
    <w:p w:rsidR="009040B8">
      <w:pPr>
        <w:spacing w:before="156" w:beforeLines="50" w:line="360" w:lineRule="auto"/>
        <w:rPr>
          <w:rFonts w:ascii="宋体" w:hAnsi="宋体" w:hint="eastAsia"/>
          <w:szCs w:val="21"/>
        </w:rPr>
      </w:pPr>
      <w:r>
        <w:rPr>
          <w:rFonts w:ascii="宋体" w:hAnsi="宋体" w:hint="eastAsia"/>
          <w:szCs w:val="21"/>
        </w:rPr>
        <w:t>注：根据项目具体情况，对投标人有具体要求，且投标人必须遵守的，逐条列出。</w:t>
      </w:r>
    </w:p>
    <w:p w:rsidR="009040B8">
      <w:pPr>
        <w:spacing w:before="156" w:beforeLines="50" w:line="360" w:lineRule="auto"/>
        <w:ind w:firstLine="420"/>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1"/>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EF64A4">
      <w:pPr>
        <w:spacing w:line="360" w:lineRule="auto"/>
        <w:ind w:firstLine="3066" w:firstLineChars="1460"/>
        <w:jc w:val="left"/>
        <w:rPr>
          <w:rFonts w:ascii="Times New Roman" w:eastAsia="宋体" w:hAnsi="Times New Roman" w:cs="Times New Roman"/>
          <w:b/>
          <w:bCs/>
          <w:szCs w:val="21"/>
        </w:rPr>
      </w:pPr>
      <w:bookmarkStart w:id="62" w:name="采购公告合同部分_ZBGGHT"/>
      <w:r>
        <w:rPr>
          <w:rFonts w:ascii="Times New Roman" w:eastAsia="宋体" w:hAnsi="Times New Roman" w:cs="Times New Roman" w:hint="eastAsia"/>
          <w:b/>
          <w:bCs/>
          <w:szCs w:val="21"/>
        </w:rPr>
        <w:t>第九章</w:t>
      </w:r>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EF64A4">
      <w:pPr>
        <w:spacing w:line="360" w:lineRule="auto"/>
        <w:ind w:right="-210" w:rightChars="-100"/>
        <w:jc w:val="center"/>
        <w:rPr>
          <w:rFonts w:ascii="方正小标宋简体" w:eastAsia="方正小标宋简体" w:hAnsi="方正小标宋简体" w:cs="方正小标宋简体" w:hint="eastAsia"/>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EF64A4">
      <w:pPr>
        <w:spacing w:line="360" w:lineRule="auto"/>
        <w:ind w:right="-210" w:rightChars="-100"/>
        <w:rPr>
          <w:rFonts w:ascii="宋体" w:eastAsia="宋体" w:hAnsi="宋体" w:cs="宋体" w:hint="eastAsia"/>
          <w:szCs w:val="21"/>
        </w:rPr>
      </w:pPr>
    </w:p>
    <w:p w:rsidR="00EF64A4">
      <w:pPr>
        <w:spacing w:line="360" w:lineRule="auto"/>
        <w:ind w:right="-210" w:rightChars="-100"/>
        <w:rPr>
          <w:rFonts w:ascii="宋体" w:eastAsia="宋体" w:hAnsi="宋体" w:cs="宋体" w:hint="eastAsia"/>
          <w:szCs w:val="21"/>
        </w:rPr>
      </w:pPr>
    </w:p>
    <w:p w:rsidR="00EF64A4">
      <w:pPr>
        <w:spacing w:line="360" w:lineRule="auto"/>
        <w:ind w:right="-210" w:rightChars="-100"/>
        <w:rPr>
          <w:rFonts w:ascii="宋体" w:eastAsia="宋体" w:hAnsi="宋体" w:cs="宋体" w:hint="eastAsia"/>
          <w:szCs w:val="21"/>
        </w:rPr>
      </w:pPr>
      <w:r>
        <w:rPr>
          <w:rFonts w:ascii="宋体" w:eastAsia="宋体" w:hAnsi="宋体" w:cs="宋体" w:hint="eastAsia"/>
          <w:szCs w:val="21"/>
        </w:rPr>
        <w:t>合同编号：</w:t>
      </w:r>
    </w:p>
    <w:p w:rsidR="00EF64A4">
      <w:pPr>
        <w:spacing w:line="360" w:lineRule="auto"/>
        <w:jc w:val="center"/>
        <w:rPr>
          <w:rFonts w:ascii="宋体" w:eastAsia="宋体" w:hAnsi="宋体" w:cs="宋体" w:hint="eastAsia"/>
          <w:szCs w:val="21"/>
        </w:rPr>
      </w:pPr>
    </w:p>
    <w:p w:rsidR="00EF64A4">
      <w:pPr>
        <w:spacing w:line="360" w:lineRule="auto"/>
        <w:jc w:val="center"/>
        <w:rPr>
          <w:rFonts w:ascii="宋体" w:eastAsia="宋体" w:hAnsi="宋体" w:cs="宋体" w:hint="eastAsia"/>
          <w:b/>
          <w:sz w:val="28"/>
          <w:szCs w:val="28"/>
        </w:rPr>
      </w:pPr>
      <w:r>
        <w:rPr>
          <w:rFonts w:ascii="宋体" w:eastAsia="宋体" w:hAnsi="宋体" w:cs="宋体" w:hint="eastAsia"/>
          <w:b/>
          <w:sz w:val="28"/>
          <w:szCs w:val="28"/>
        </w:rPr>
        <w:t>技术开发（委托）合同</w:t>
      </w:r>
    </w:p>
    <w:p w:rsidR="00EF64A4">
      <w:pPr>
        <w:spacing w:line="360" w:lineRule="auto"/>
        <w:jc w:val="center"/>
        <w:rPr>
          <w:rFonts w:ascii="宋体" w:eastAsia="宋体" w:hAnsi="宋体" w:cs="宋体" w:hint="eastAsia"/>
          <w:szCs w:val="21"/>
        </w:rPr>
      </w:pPr>
    </w:p>
    <w:p w:rsidR="00EF64A4">
      <w:pPr>
        <w:spacing w:line="360" w:lineRule="auto"/>
        <w:jc w:val="center"/>
        <w:rPr>
          <w:rFonts w:ascii="宋体" w:eastAsia="宋体" w:hAnsi="宋体" w:cs="宋体" w:hint="eastAsia"/>
          <w:szCs w:val="21"/>
        </w:rPr>
      </w:pPr>
    </w:p>
    <w:p w:rsidR="00EF64A4">
      <w:pPr>
        <w:spacing w:line="600" w:lineRule="auto"/>
        <w:ind w:right="-32" w:firstLine="420" w:rightChars="-15" w:firstLineChars="200"/>
        <w:rPr>
          <w:rFonts w:ascii="宋体" w:eastAsia="宋体" w:hAnsi="宋体" w:cs="宋体" w:hint="eastAsia"/>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spacing w:line="600" w:lineRule="auto"/>
        <w:ind w:right="-15" w:firstLine="420" w:firstLineChars="200"/>
        <w:rPr>
          <w:rFonts w:ascii="宋体" w:eastAsia="宋体" w:hAnsi="宋体" w:cs="宋体" w:hint="eastAsia"/>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spacing w:line="600" w:lineRule="auto"/>
        <w:ind w:right="-15" w:firstLine="420" w:firstLineChars="200"/>
        <w:rPr>
          <w:rFonts w:ascii="宋体" w:eastAsia="宋体" w:hAnsi="宋体" w:cs="宋体" w:hint="eastAsia"/>
          <w:b/>
          <w:bCs/>
          <w:szCs w:val="21"/>
          <w:u w:val="single"/>
        </w:rPr>
      </w:pPr>
    </w:p>
    <w:p w:rsidR="00EF64A4">
      <w:pPr>
        <w:spacing w:line="600" w:lineRule="auto"/>
        <w:ind w:right="-15" w:firstLine="420" w:firstLineChars="200"/>
        <w:rPr>
          <w:rFonts w:ascii="宋体" w:eastAsia="宋体" w:hAnsi="宋体" w:cs="宋体" w:hint="eastAsia"/>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spacing w:line="600" w:lineRule="auto"/>
        <w:ind w:left="-540" w:right="-15" w:firstLine="420" w:firstLineChars="200"/>
        <w:rPr>
          <w:rFonts w:ascii="宋体" w:eastAsia="宋体" w:hAnsi="宋体" w:cs="宋体" w:hint="eastAsia"/>
          <w:szCs w:val="21"/>
          <w:u w:val="single"/>
        </w:rPr>
      </w:pPr>
      <w:r>
        <w:rPr>
          <w:rFonts w:ascii="宋体" w:eastAsia="宋体" w:hAnsi="宋体" w:cs="宋体" w:hint="eastAsia"/>
          <w:szCs w:val="21"/>
        </w:rPr>
        <w:t xml:space="preserve">                   </w:t>
      </w:r>
    </w:p>
    <w:p w:rsidR="00EF64A4">
      <w:pPr>
        <w:spacing w:line="600" w:lineRule="auto"/>
        <w:ind w:left="-180" w:right="-15" w:firstLine="630" w:firstLineChars="300"/>
        <w:rPr>
          <w:rFonts w:ascii="宋体" w:eastAsia="宋体" w:hAnsi="宋体" w:cs="宋体" w:hint="eastAsia"/>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spacing w:line="600" w:lineRule="auto"/>
        <w:ind w:right="-15" w:firstLine="420" w:firstLineChars="200"/>
        <w:rPr>
          <w:rFonts w:ascii="宋体" w:eastAsia="宋体" w:hAnsi="宋体" w:cs="宋体" w:hint="eastAsia"/>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spacing w:line="600" w:lineRule="auto"/>
        <w:ind w:right="-15" w:firstLine="420" w:firstLineChars="200"/>
        <w:rPr>
          <w:rFonts w:ascii="宋体" w:eastAsia="宋体" w:hAnsi="宋体" w:cs="宋体" w:hint="eastAsia"/>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spacing w:line="360" w:lineRule="auto"/>
        <w:jc w:val="center"/>
        <w:rPr>
          <w:rFonts w:ascii="宋体" w:eastAsia="宋体" w:hAnsi="宋体" w:cs="宋体" w:hint="eastAsia"/>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EF64A4">
      <w:pPr>
        <w:spacing w:line="360" w:lineRule="auto"/>
        <w:ind w:firstLine="1680" w:firstLineChars="800"/>
        <w:rPr>
          <w:rFonts w:ascii="宋体" w:eastAsia="宋体" w:hAnsi="宋体" w:cs="宋体" w:hint="eastAsia"/>
          <w:szCs w:val="21"/>
        </w:rPr>
      </w:pPr>
    </w:p>
    <w:p w:rsidR="00EF64A4">
      <w:pPr>
        <w:spacing w:line="480" w:lineRule="auto"/>
        <w:rPr>
          <w:rFonts w:ascii="宋体" w:eastAsia="宋体" w:hAnsi="宋体" w:cs="宋体" w:hint="eastAsia"/>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rsidR="00EF64A4">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rsidR="00EF64A4">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rsidR="00EF64A4">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tabs>
          <w:tab w:val="left" w:pos="8100"/>
        </w:tabs>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EF64A4">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spacing w:line="480" w:lineRule="auto"/>
        <w:rPr>
          <w:rFonts w:ascii="宋体" w:eastAsia="宋体" w:hAnsi="宋体" w:cs="宋体" w:hint="eastAsia"/>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EF64A4">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rsidR="00EF64A4">
      <w:pPr>
        <w:tabs>
          <w:tab w:val="left" w:pos="8100"/>
        </w:tabs>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EF64A4">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ind w:firstLine="420" w:firstLineChars="200"/>
        <w:jc w:val="left"/>
        <w:rPr>
          <w:rFonts w:ascii="宋体" w:hAnsi="宋体" w:cs="宋体" w:hint="eastAsia"/>
          <w:szCs w:val="21"/>
        </w:rPr>
        <w:sectPr>
          <w:footerReference w:type="even" r:id="rId9"/>
          <w:footerReference w:type="default" r:id="rId10"/>
          <w:pgSz w:w="11906" w:h="16838"/>
          <w:pgMar w:top="1440" w:right="1800" w:bottom="1440" w:left="1800" w:header="851" w:footer="992" w:gutter="0"/>
          <w:cols w:space="720"/>
          <w:docGrid w:type="lines" w:linePitch="312"/>
        </w:sectPr>
      </w:pPr>
    </w:p>
    <w:p w:rsidR="00EF64A4">
      <w:pPr>
        <w:jc w:val="center"/>
        <w:rPr>
          <w:rFonts w:ascii="黑体" w:eastAsia="黑体" w:hAnsi="黑体" w:cs="黑体" w:hint="eastAsia"/>
          <w:sz w:val="32"/>
          <w:szCs w:val="32"/>
        </w:rPr>
      </w:pPr>
    </w:p>
    <w:p w:rsidR="00EF64A4">
      <w:pPr>
        <w:jc w:val="center"/>
        <w:rPr>
          <w:rFonts w:ascii="黑体" w:eastAsia="黑体" w:hAnsi="黑体" w:cs="黑体" w:hint="eastAsia"/>
          <w:sz w:val="32"/>
          <w:szCs w:val="32"/>
        </w:rPr>
      </w:pPr>
    </w:p>
    <w:p w:rsidR="00EF64A4">
      <w:pPr>
        <w:jc w:val="center"/>
        <w:rPr>
          <w:rFonts w:ascii="黑体" w:eastAsia="黑体" w:hAnsi="黑体" w:cs="黑体" w:hint="eastAsia"/>
          <w:sz w:val="32"/>
          <w:szCs w:val="32"/>
        </w:rPr>
      </w:pPr>
    </w:p>
    <w:p w:rsidR="00EF64A4">
      <w:pPr>
        <w:jc w:val="center"/>
        <w:rPr>
          <w:rFonts w:ascii="黑体" w:eastAsia="黑体" w:hAnsi="黑体" w:cs="黑体" w:hint="eastAsia"/>
          <w:sz w:val="32"/>
          <w:szCs w:val="32"/>
        </w:rPr>
      </w:pPr>
      <w:r>
        <w:rPr>
          <w:rFonts w:ascii="黑体" w:eastAsia="黑体" w:hAnsi="黑体" w:cs="黑体" w:hint="eastAsia"/>
          <w:sz w:val="32"/>
          <w:szCs w:val="32"/>
        </w:rPr>
        <w:t>使 用 说 明</w:t>
      </w:r>
    </w:p>
    <w:p w:rsidR="00EF64A4">
      <w:pPr>
        <w:jc w:val="center"/>
        <w:rPr>
          <w:rFonts w:ascii="黑体" w:eastAsia="黑体" w:hAnsi="黑体" w:cs="黑体" w:hint="eastAsia"/>
          <w:sz w:val="32"/>
          <w:szCs w:val="32"/>
        </w:rPr>
      </w:pPr>
    </w:p>
    <w:p w:rsidR="00EF64A4">
      <w:pPr>
        <w:numPr>
          <w:ilvl w:val="0"/>
          <w:numId w:val="4"/>
        </w:numPr>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本合同标准文本适用于气象部门需要供应商定</w:t>
      </w:r>
      <w:r>
        <w:rPr>
          <w:rFonts w:ascii="宋体" w:eastAsia="宋体" w:hAnsi="宋体" w:cs="宋体" w:hint="eastAsia"/>
          <w:sz w:val="28"/>
          <w:szCs w:val="28"/>
        </w:rPr>
        <w:t>制开发</w:t>
      </w:r>
      <w:r>
        <w:rPr>
          <w:rFonts w:ascii="宋体" w:eastAsia="宋体" w:hAnsi="宋体" w:cs="宋体" w:hint="eastAsia"/>
          <w:sz w:val="28"/>
          <w:szCs w:val="28"/>
        </w:rPr>
        <w:t>的气象业务软件采购项目。</w:t>
      </w:r>
    </w:p>
    <w:p w:rsidR="00EF64A4">
      <w:pPr>
        <w:numPr>
          <w:ilvl w:val="0"/>
          <w:numId w:val="4"/>
        </w:numPr>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EF64A4">
      <w:pPr>
        <w:numPr>
          <w:ilvl w:val="0"/>
          <w:numId w:val="4"/>
        </w:numPr>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EF64A4">
      <w:pPr>
        <w:ind w:firstLine="420" w:firstLineChars="200"/>
        <w:rPr>
          <w:rFonts w:ascii="宋体" w:eastAsia="宋体" w:hAnsi="宋体" w:cs="宋体" w:hint="eastAsia"/>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EF64A4">
      <w:pPr>
        <w:keepNext/>
        <w:keepLines/>
        <w:numPr>
          <w:ilvl w:val="0"/>
          <w:numId w:val="5"/>
        </w:numPr>
        <w:spacing w:before="60" w:after="60" w:line="360" w:lineRule="auto"/>
        <w:jc w:val="left"/>
        <w:outlineLvl w:val="1"/>
        <w:rPr>
          <w:rFonts w:ascii="宋体" w:eastAsia="宋体" w:hAnsi="宋体" w:cs="宋体" w:hint="eastAsia"/>
          <w:b/>
          <w:bCs/>
          <w:szCs w:val="21"/>
        </w:rPr>
      </w:pPr>
      <w:bookmarkStart w:id="63" w:name="_Toc150439537"/>
      <w:r>
        <w:rPr>
          <w:rFonts w:ascii="宋体" w:eastAsia="宋体" w:hAnsi="宋体" w:cs="宋体" w:hint="eastAsia"/>
          <w:b/>
          <w:bCs/>
          <w:szCs w:val="21"/>
        </w:rPr>
        <w:t>项目内容及概况</w:t>
      </w:r>
      <w:bookmarkEnd w:id="63"/>
      <w:r>
        <w:rPr>
          <w:rFonts w:ascii="宋体" w:eastAsia="宋体" w:hAnsi="宋体" w:cs="宋体" w:hint="eastAsia"/>
          <w:b/>
          <w:bCs/>
          <w:szCs w:val="21"/>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60"/>
        <w:gridCol w:w="747"/>
        <w:gridCol w:w="792"/>
        <w:gridCol w:w="1500"/>
        <w:gridCol w:w="1502"/>
        <w:gridCol w:w="15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EF64A4">
            <w:pPr>
              <w:jc w:val="left"/>
              <w:rPr>
                <w:rFonts w:ascii="宋体" w:eastAsia="宋体" w:hAnsi="宋体" w:cs="宋体" w:hint="eastAsia"/>
                <w:szCs w:val="21"/>
              </w:rPr>
            </w:pPr>
            <w:r>
              <w:rPr>
                <w:rFonts w:ascii="宋体" w:eastAsia="宋体" w:hAnsi="宋体" w:cs="宋体" w:hint="eastAsia"/>
                <w:szCs w:val="21"/>
              </w:rPr>
              <w:t>名称</w:t>
            </w:r>
          </w:p>
        </w:tc>
        <w:tc>
          <w:tcPr>
            <w:tcW w:w="415" w:type="pct"/>
          </w:tcPr>
          <w:p w:rsidR="00EF64A4">
            <w:pPr>
              <w:jc w:val="left"/>
              <w:rPr>
                <w:rFonts w:ascii="宋体" w:eastAsia="宋体" w:hAnsi="宋体" w:cs="宋体" w:hint="eastAsia"/>
                <w:szCs w:val="21"/>
              </w:rPr>
            </w:pPr>
            <w:r>
              <w:rPr>
                <w:rFonts w:ascii="宋体" w:eastAsia="宋体" w:hAnsi="宋体" w:cs="宋体" w:hint="eastAsia"/>
                <w:szCs w:val="21"/>
              </w:rPr>
              <w:t>数量</w:t>
            </w:r>
          </w:p>
        </w:tc>
        <w:tc>
          <w:tcPr>
            <w:tcW w:w="440" w:type="pct"/>
          </w:tcPr>
          <w:p w:rsidR="00EF64A4">
            <w:pPr>
              <w:jc w:val="left"/>
              <w:rPr>
                <w:rFonts w:ascii="宋体" w:eastAsia="宋体" w:hAnsi="宋体" w:cs="宋体" w:hint="eastAsia"/>
                <w:szCs w:val="21"/>
              </w:rPr>
            </w:pPr>
            <w:r>
              <w:rPr>
                <w:rFonts w:ascii="宋体" w:eastAsia="宋体" w:hAnsi="宋体" w:cs="宋体" w:hint="eastAsia"/>
                <w:szCs w:val="21"/>
              </w:rPr>
              <w:t>单位</w:t>
            </w:r>
          </w:p>
        </w:tc>
        <w:tc>
          <w:tcPr>
            <w:tcW w:w="833" w:type="pct"/>
          </w:tcPr>
          <w:p w:rsidR="00EF64A4">
            <w:pPr>
              <w:jc w:val="left"/>
              <w:rPr>
                <w:rFonts w:ascii="宋体" w:eastAsia="宋体" w:hAnsi="宋体" w:cs="宋体" w:hint="eastAsia"/>
                <w:szCs w:val="21"/>
              </w:rPr>
            </w:pPr>
            <w:r>
              <w:rPr>
                <w:rFonts w:ascii="宋体" w:eastAsia="宋体" w:hAnsi="宋体" w:cs="宋体" w:hint="eastAsia"/>
                <w:szCs w:val="21"/>
              </w:rPr>
              <w:t>单价（元）</w:t>
            </w:r>
          </w:p>
        </w:tc>
        <w:tc>
          <w:tcPr>
            <w:tcW w:w="834" w:type="pct"/>
          </w:tcPr>
          <w:p w:rsidR="00EF64A4">
            <w:pPr>
              <w:jc w:val="left"/>
              <w:rPr>
                <w:rFonts w:ascii="宋体" w:eastAsia="宋体" w:hAnsi="宋体" w:cs="宋体" w:hint="eastAsia"/>
                <w:szCs w:val="21"/>
              </w:rPr>
            </w:pPr>
            <w:r>
              <w:rPr>
                <w:rFonts w:ascii="宋体" w:eastAsia="宋体" w:hAnsi="宋体" w:cs="宋体" w:hint="eastAsia"/>
                <w:szCs w:val="21"/>
              </w:rPr>
              <w:t>合计（元）</w:t>
            </w:r>
          </w:p>
        </w:tc>
        <w:tc>
          <w:tcPr>
            <w:tcW w:w="834" w:type="pct"/>
          </w:tcPr>
          <w:p w:rsidR="00EF64A4">
            <w:pPr>
              <w:jc w:val="left"/>
              <w:rPr>
                <w:rFonts w:ascii="宋体" w:eastAsia="宋体" w:hAnsi="宋体" w:cs="宋体" w:hint="eastAsia"/>
                <w:szCs w:val="21"/>
              </w:rPr>
            </w:pPr>
            <w:r>
              <w:rPr>
                <w:rFonts w:ascii="宋体" w:eastAsia="宋体" w:hAnsi="宋体" w:cs="宋体" w:hint="eastAsia"/>
                <w:szCs w:val="21"/>
              </w:rPr>
              <w:t>备注</w:t>
            </w:r>
          </w:p>
        </w:tc>
      </w:tr>
      <w:tr>
        <w:tblPrEx>
          <w:tblW w:w="5000" w:type="pct"/>
          <w:tblLook w:val="04A0"/>
        </w:tblPrEx>
        <w:tc>
          <w:tcPr>
            <w:tcW w:w="1644" w:type="pct"/>
          </w:tcPr>
          <w:p w:rsidR="00EF64A4">
            <w:pPr>
              <w:jc w:val="left"/>
              <w:rPr>
                <w:rFonts w:ascii="宋体" w:eastAsia="宋体" w:hAnsi="宋体" w:cs="宋体" w:hint="eastAsia"/>
                <w:szCs w:val="21"/>
              </w:rPr>
            </w:pPr>
          </w:p>
        </w:tc>
        <w:tc>
          <w:tcPr>
            <w:tcW w:w="415" w:type="pct"/>
          </w:tcPr>
          <w:p w:rsidR="00EF64A4">
            <w:pPr>
              <w:jc w:val="left"/>
              <w:rPr>
                <w:rFonts w:ascii="宋体" w:eastAsia="宋体" w:hAnsi="宋体" w:cs="宋体" w:hint="eastAsia"/>
                <w:szCs w:val="21"/>
              </w:rPr>
            </w:pPr>
          </w:p>
        </w:tc>
        <w:tc>
          <w:tcPr>
            <w:tcW w:w="440" w:type="pct"/>
          </w:tcPr>
          <w:p w:rsidR="00EF64A4">
            <w:pPr>
              <w:jc w:val="left"/>
              <w:rPr>
                <w:rFonts w:ascii="宋体" w:eastAsia="宋体" w:hAnsi="宋体" w:cs="宋体" w:hint="eastAsia"/>
                <w:szCs w:val="21"/>
              </w:rPr>
            </w:pPr>
          </w:p>
        </w:tc>
        <w:tc>
          <w:tcPr>
            <w:tcW w:w="833" w:type="pct"/>
          </w:tcPr>
          <w:p w:rsidR="00EF64A4">
            <w:pPr>
              <w:jc w:val="left"/>
              <w:rPr>
                <w:rFonts w:ascii="宋体" w:eastAsia="宋体" w:hAnsi="宋体" w:cs="宋体" w:hint="eastAsia"/>
                <w:szCs w:val="21"/>
              </w:rPr>
            </w:pPr>
          </w:p>
        </w:tc>
        <w:tc>
          <w:tcPr>
            <w:tcW w:w="834" w:type="pct"/>
          </w:tcPr>
          <w:p w:rsidR="00EF64A4">
            <w:pPr>
              <w:jc w:val="left"/>
              <w:rPr>
                <w:rFonts w:ascii="宋体" w:eastAsia="宋体" w:hAnsi="宋体" w:cs="宋体" w:hint="eastAsia"/>
                <w:szCs w:val="21"/>
              </w:rPr>
            </w:pPr>
          </w:p>
        </w:tc>
        <w:tc>
          <w:tcPr>
            <w:tcW w:w="834" w:type="pct"/>
          </w:tcPr>
          <w:p w:rsidR="00EF64A4">
            <w:pPr>
              <w:jc w:val="left"/>
              <w:rPr>
                <w:rFonts w:ascii="宋体" w:eastAsia="宋体" w:hAnsi="宋体" w:cs="宋体" w:hint="eastAsia"/>
                <w:szCs w:val="21"/>
              </w:rPr>
            </w:pPr>
          </w:p>
        </w:tc>
      </w:tr>
      <w:tr>
        <w:tblPrEx>
          <w:tblW w:w="5000" w:type="pct"/>
          <w:tblLook w:val="04A0"/>
        </w:tblPrEx>
        <w:tc>
          <w:tcPr>
            <w:tcW w:w="1644" w:type="pct"/>
          </w:tcPr>
          <w:p w:rsidR="00EF64A4">
            <w:pPr>
              <w:jc w:val="left"/>
              <w:rPr>
                <w:rFonts w:ascii="宋体" w:eastAsia="宋体" w:hAnsi="宋体" w:cs="宋体" w:hint="eastAsia"/>
                <w:szCs w:val="21"/>
              </w:rPr>
            </w:pPr>
          </w:p>
        </w:tc>
        <w:tc>
          <w:tcPr>
            <w:tcW w:w="415" w:type="pct"/>
          </w:tcPr>
          <w:p w:rsidR="00EF64A4">
            <w:pPr>
              <w:jc w:val="left"/>
              <w:rPr>
                <w:rFonts w:ascii="宋体" w:eastAsia="宋体" w:hAnsi="宋体" w:cs="宋体" w:hint="eastAsia"/>
                <w:szCs w:val="21"/>
              </w:rPr>
            </w:pPr>
          </w:p>
        </w:tc>
        <w:tc>
          <w:tcPr>
            <w:tcW w:w="440" w:type="pct"/>
          </w:tcPr>
          <w:p w:rsidR="00EF64A4">
            <w:pPr>
              <w:jc w:val="left"/>
              <w:rPr>
                <w:rFonts w:ascii="宋体" w:eastAsia="宋体" w:hAnsi="宋体" w:cs="宋体" w:hint="eastAsia"/>
                <w:szCs w:val="21"/>
              </w:rPr>
            </w:pPr>
          </w:p>
        </w:tc>
        <w:tc>
          <w:tcPr>
            <w:tcW w:w="833" w:type="pct"/>
          </w:tcPr>
          <w:p w:rsidR="00EF64A4">
            <w:pPr>
              <w:jc w:val="left"/>
              <w:rPr>
                <w:rFonts w:ascii="宋体" w:eastAsia="宋体" w:hAnsi="宋体" w:cs="宋体" w:hint="eastAsia"/>
                <w:szCs w:val="21"/>
              </w:rPr>
            </w:pPr>
          </w:p>
        </w:tc>
        <w:tc>
          <w:tcPr>
            <w:tcW w:w="834" w:type="pct"/>
          </w:tcPr>
          <w:p w:rsidR="00EF64A4">
            <w:pPr>
              <w:jc w:val="left"/>
              <w:rPr>
                <w:rFonts w:ascii="宋体" w:eastAsia="宋体" w:hAnsi="宋体" w:cs="宋体" w:hint="eastAsia"/>
                <w:szCs w:val="21"/>
              </w:rPr>
            </w:pPr>
          </w:p>
        </w:tc>
        <w:tc>
          <w:tcPr>
            <w:tcW w:w="834" w:type="pct"/>
          </w:tcPr>
          <w:p w:rsidR="00EF64A4">
            <w:pPr>
              <w:jc w:val="left"/>
              <w:rPr>
                <w:rFonts w:ascii="宋体" w:eastAsia="宋体" w:hAnsi="宋体" w:cs="宋体" w:hint="eastAsia"/>
                <w:szCs w:val="21"/>
              </w:rPr>
            </w:pPr>
          </w:p>
        </w:tc>
      </w:tr>
      <w:tr>
        <w:tblPrEx>
          <w:tblW w:w="5000" w:type="pct"/>
          <w:tblLook w:val="04A0"/>
        </w:tblPrEx>
        <w:tc>
          <w:tcPr>
            <w:tcW w:w="5000" w:type="pct"/>
            <w:gridSpan w:val="6"/>
          </w:tcPr>
          <w:p w:rsidR="00EF64A4">
            <w:pPr>
              <w:jc w:val="left"/>
              <w:rPr>
                <w:rFonts w:ascii="宋体" w:eastAsia="宋体" w:hAnsi="宋体" w:cs="宋体" w:hint="eastAsia"/>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rsidR="00EF64A4">
      <w:pPr>
        <w:ind w:firstLine="420" w:firstLineChars="200"/>
        <w:jc w:val="left"/>
        <w:rPr>
          <w:rFonts w:ascii="宋体" w:eastAsia="宋体" w:hAnsi="宋体" w:cs="宋体" w:hint="eastAsia"/>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ind w:firstLine="420" w:firstLineChars="200"/>
        <w:jc w:val="left"/>
        <w:rPr>
          <w:rFonts w:ascii="宋体" w:eastAsia="宋体" w:hAnsi="宋体" w:cs="宋体" w:hint="eastAsia"/>
          <w:szCs w:val="21"/>
        </w:rPr>
      </w:pPr>
      <w:r>
        <w:rPr>
          <w:rFonts w:ascii="宋体" w:eastAsia="宋体" w:hAnsi="宋体" w:cs="宋体" w:hint="eastAsia"/>
          <w:szCs w:val="21"/>
        </w:rPr>
        <w:t>乙方承担的研究内容：</w:t>
      </w:r>
    </w:p>
    <w:p w:rsidR="00EF64A4">
      <w:pPr>
        <w:ind w:firstLine="420" w:firstLineChars="200"/>
        <w:jc w:val="left"/>
        <w:rPr>
          <w:rFonts w:ascii="宋体" w:eastAsia="宋体" w:hAnsi="宋体" w:cs="宋体" w:hint="eastAsia"/>
          <w:szCs w:val="21"/>
        </w:rPr>
      </w:pPr>
      <w:r>
        <w:rPr>
          <w:rFonts w:ascii="宋体" w:eastAsia="宋体" w:hAnsi="宋体" w:cs="宋体" w:hint="eastAsia"/>
          <w:szCs w:val="21"/>
        </w:rPr>
        <w:t>XXXX（技术交底部分）。</w:t>
      </w:r>
    </w:p>
    <w:p w:rsidR="00EF64A4">
      <w:pPr>
        <w:ind w:firstLine="420" w:firstLineChars="200"/>
        <w:jc w:val="left"/>
        <w:rPr>
          <w:rFonts w:ascii="宋体" w:eastAsia="宋体" w:hAnsi="宋体" w:cs="宋体" w:hint="eastAsia"/>
          <w:szCs w:val="21"/>
        </w:rPr>
      </w:pPr>
    </w:p>
    <w:p w:rsidR="00EF64A4">
      <w:pPr>
        <w:ind w:firstLine="420" w:firstLineChars="200"/>
        <w:jc w:val="left"/>
        <w:rPr>
          <w:rFonts w:ascii="宋体" w:eastAsia="宋体" w:hAnsi="宋体" w:cs="宋体" w:hint="eastAsia"/>
          <w:szCs w:val="21"/>
        </w:rPr>
      </w:pPr>
      <w:r>
        <w:rPr>
          <w:rFonts w:ascii="宋体" w:eastAsia="宋体" w:hAnsi="宋体" w:cs="宋体" w:hint="eastAsia"/>
          <w:szCs w:val="21"/>
        </w:rPr>
        <w:t>乙方主要研究人员</w:t>
      </w:r>
    </w:p>
    <w:p w:rsidR="00EF64A4">
      <w:pPr>
        <w:ind w:firstLine="420" w:firstLineChars="200"/>
        <w:jc w:val="left"/>
        <w:rPr>
          <w:rFonts w:ascii="宋体" w:eastAsia="宋体" w:hAnsi="宋体" w:cs="宋体" w:hint="eastAsia"/>
          <w:szCs w:val="21"/>
        </w:rPr>
      </w:pPr>
      <w:r>
        <w:rPr>
          <w:rFonts w:ascii="宋体" w:eastAsia="宋体" w:hAnsi="宋体" w:cs="宋体" w:hint="eastAsia"/>
          <w:szCs w:val="21"/>
        </w:rPr>
        <w:t xml:space="preserve"> XXXX。</w:t>
      </w:r>
    </w:p>
    <w:p w:rsidR="00EF64A4">
      <w:pPr>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F64A4">
      <w:pPr>
        <w:keepNext/>
        <w:keepLines/>
        <w:numPr>
          <w:ilvl w:val="0"/>
          <w:numId w:val="5"/>
        </w:numPr>
        <w:spacing w:before="60" w:after="60" w:line="360" w:lineRule="auto"/>
        <w:jc w:val="left"/>
        <w:outlineLvl w:val="1"/>
        <w:rPr>
          <w:rFonts w:ascii="宋体" w:eastAsia="宋体" w:hAnsi="宋体" w:cs="宋体" w:hint="eastAsia"/>
          <w:b/>
          <w:bCs/>
          <w:szCs w:val="21"/>
        </w:rPr>
      </w:pPr>
      <w:bookmarkStart w:id="64" w:name="_Toc150439540"/>
      <w:r>
        <w:rPr>
          <w:rFonts w:ascii="宋体" w:eastAsia="宋体" w:hAnsi="宋体" w:cs="宋体" w:hint="eastAsia"/>
          <w:b/>
          <w:bCs/>
          <w:szCs w:val="21"/>
        </w:rPr>
        <w:t>项目相关标准</w:t>
      </w:r>
      <w:bookmarkEnd w:id="64"/>
    </w:p>
    <w:p w:rsidR="00EF64A4">
      <w:pPr>
        <w:numPr>
          <w:ilvl w:val="0"/>
          <w:numId w:val="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技术标准</w:t>
      </w:r>
    </w:p>
    <w:p w:rsidR="00EF64A4">
      <w:pPr>
        <w:numPr>
          <w:ilvl w:val="0"/>
          <w:numId w:val="7"/>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国家政策文件</w:t>
      </w:r>
    </w:p>
    <w:p w:rsidR="00EF64A4">
      <w:pPr>
        <w:numPr>
          <w:ilvl w:val="1"/>
          <w:numId w:val="6"/>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rsidR="00EF64A4">
      <w:pPr>
        <w:numPr>
          <w:ilvl w:val="1"/>
          <w:numId w:val="6"/>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F64A4">
      <w:pPr>
        <w:numPr>
          <w:ilvl w:val="0"/>
          <w:numId w:val="7"/>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省厅政策文件</w:t>
      </w:r>
    </w:p>
    <w:p w:rsidR="00EF64A4">
      <w:pPr>
        <w:numPr>
          <w:ilvl w:val="0"/>
          <w:numId w:val="8"/>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F64A4">
      <w:pPr>
        <w:numPr>
          <w:ilvl w:val="0"/>
          <w:numId w:val="8"/>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F64A4">
      <w:pPr>
        <w:numPr>
          <w:ilvl w:val="0"/>
          <w:numId w:val="7"/>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地区政策文件</w:t>
      </w:r>
    </w:p>
    <w:p w:rsidR="00EF64A4">
      <w:pPr>
        <w:numPr>
          <w:ilvl w:val="1"/>
          <w:numId w:val="7"/>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F64A4">
      <w:pPr>
        <w:numPr>
          <w:ilvl w:val="1"/>
          <w:numId w:val="7"/>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F64A4">
      <w:pPr>
        <w:numPr>
          <w:ilvl w:val="0"/>
          <w:numId w:val="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标准规范</w:t>
      </w:r>
    </w:p>
    <w:p w:rsidR="00EF64A4">
      <w:pPr>
        <w:numPr>
          <w:ilvl w:val="0"/>
          <w:numId w:val="9"/>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EF64A4">
      <w:pPr>
        <w:numPr>
          <w:ilvl w:val="0"/>
          <w:numId w:val="9"/>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EF64A4">
      <w:pPr>
        <w:numPr>
          <w:ilvl w:val="0"/>
          <w:numId w:val="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国家法律法规</w:t>
      </w:r>
    </w:p>
    <w:p w:rsidR="00EF64A4">
      <w:pPr>
        <w:numPr>
          <w:ilvl w:val="0"/>
          <w:numId w:val="10"/>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《中华人民共和国政府采购法》            </w:t>
      </w:r>
    </w:p>
    <w:p w:rsidR="00EF64A4">
      <w:pPr>
        <w:numPr>
          <w:ilvl w:val="0"/>
          <w:numId w:val="10"/>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《中华人民共和国民法典》                </w:t>
      </w:r>
    </w:p>
    <w:p w:rsidR="00EF64A4">
      <w:pPr>
        <w:numPr>
          <w:ilvl w:val="0"/>
          <w:numId w:val="10"/>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EF64A4">
      <w:pPr>
        <w:numPr>
          <w:ilvl w:val="0"/>
          <w:numId w:val="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气象部门管理制度</w:t>
      </w:r>
    </w:p>
    <w:p w:rsidR="00EF64A4">
      <w:pPr>
        <w:numPr>
          <w:ilvl w:val="0"/>
          <w:numId w:val="11"/>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《气象业务软件外包风险监管办法（试行）》（气办发〔2023〕37号） </w:t>
      </w:r>
    </w:p>
    <w:p w:rsidR="00EF64A4">
      <w:pPr>
        <w:numPr>
          <w:ilvl w:val="0"/>
          <w:numId w:val="11"/>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F64A4">
      <w:pPr>
        <w:numPr>
          <w:ilvl w:val="0"/>
          <w:numId w:val="11"/>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《关于统筹集约建设气象业务软件的指导意见》（气发〔2024〕8号） </w:t>
      </w:r>
    </w:p>
    <w:p w:rsidR="00EF64A4">
      <w:pPr>
        <w:numPr>
          <w:ilvl w:val="0"/>
          <w:numId w:val="11"/>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w:t>
      </w:r>
      <w:r>
        <w:rPr>
          <w:rFonts w:ascii="宋体" w:eastAsia="宋体" w:hAnsi="宋体" w:cs="宋体"/>
          <w:szCs w:val="21"/>
          <w:u w:val="single"/>
        </w:rPr>
        <w:t>气预函</w:t>
      </w:r>
      <w:r>
        <w:rPr>
          <w:rFonts w:ascii="宋体" w:eastAsia="宋体" w:hAnsi="宋体" w:cs="宋体"/>
          <w:szCs w:val="21"/>
          <w:u w:val="single"/>
        </w:rPr>
        <w:t>〔2023〕76号）</w:t>
      </w:r>
    </w:p>
    <w:p w:rsidR="00EF64A4">
      <w:pPr>
        <w:numPr>
          <w:ilvl w:val="0"/>
          <w:numId w:val="11"/>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rsidR="00EF64A4">
      <w:pPr>
        <w:numPr>
          <w:ilvl w:val="0"/>
          <w:numId w:val="1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rsidR="00EF64A4">
      <w:pPr>
        <w:numPr>
          <w:ilvl w:val="0"/>
          <w:numId w:val="11"/>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《中国气象局网络安全管理办法（试行）》（气发〔2020〕41号）     </w:t>
      </w:r>
    </w:p>
    <w:p w:rsidR="00EF64A4">
      <w:pPr>
        <w:numPr>
          <w:ilvl w:val="0"/>
          <w:numId w:val="11"/>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EF64A4">
      <w:pPr>
        <w:ind w:firstLine="420" w:firstLineChars="200"/>
        <w:jc w:val="left"/>
        <w:rPr>
          <w:rFonts w:ascii="华文楷体" w:eastAsia="华文楷体" w:hAnsi="华文楷体" w:cs="华文楷体" w:hint="eastAsia"/>
          <w:szCs w:val="21"/>
        </w:rPr>
      </w:pPr>
      <w:r>
        <w:rPr>
          <w:rFonts w:ascii="华文楷体" w:eastAsia="华文楷体" w:hAnsi="华文楷体" w:cs="华文楷体" w:hint="eastAsia"/>
          <w:szCs w:val="21"/>
        </w:rPr>
        <w:t>注：上述气象部门管理制度应根据本合同签订时的实际情况进行更新和补充。</w:t>
      </w:r>
    </w:p>
    <w:p w:rsidR="00EF64A4">
      <w:pPr>
        <w:keepNext/>
        <w:keepLines/>
        <w:numPr>
          <w:ilvl w:val="0"/>
          <w:numId w:val="5"/>
        </w:numPr>
        <w:spacing w:before="60" w:after="60" w:line="360" w:lineRule="auto"/>
        <w:jc w:val="left"/>
        <w:outlineLvl w:val="1"/>
        <w:rPr>
          <w:rFonts w:ascii="宋体" w:eastAsia="宋体" w:hAnsi="宋体" w:cs="宋体" w:hint="eastAsia"/>
          <w:b/>
          <w:bCs/>
          <w:szCs w:val="21"/>
        </w:rPr>
      </w:pPr>
      <w:bookmarkStart w:id="65" w:name="_Toc150439542"/>
      <w:r>
        <w:rPr>
          <w:rFonts w:ascii="宋体" w:eastAsia="宋体" w:hAnsi="宋体" w:cs="宋体" w:hint="eastAsia"/>
          <w:b/>
          <w:bCs/>
          <w:szCs w:val="21"/>
        </w:rPr>
        <w:t>组成本合同的文件</w:t>
      </w:r>
      <w:bookmarkEnd w:id="65"/>
    </w:p>
    <w:p w:rsidR="00EF64A4">
      <w:pPr>
        <w:numPr>
          <w:ilvl w:val="0"/>
          <w:numId w:val="12"/>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本合同；</w:t>
      </w:r>
    </w:p>
    <w:p w:rsidR="00EF64A4">
      <w:pPr>
        <w:numPr>
          <w:ilvl w:val="0"/>
          <w:numId w:val="12"/>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中标通知书、招标文件、投标文件等；</w:t>
      </w:r>
    </w:p>
    <w:p w:rsidR="00EF64A4">
      <w:pPr>
        <w:numPr>
          <w:ilvl w:val="0"/>
          <w:numId w:val="12"/>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与履行本合同有关、经双方依法签字盖章确认后的下列技术文件：</w:t>
      </w:r>
    </w:p>
    <w:p w:rsidR="00EF64A4">
      <w:pPr>
        <w:numPr>
          <w:ilvl w:val="0"/>
          <w:numId w:val="13"/>
        </w:numPr>
        <w:spacing w:line="360" w:lineRule="auto"/>
        <w:ind w:hanging="5"/>
        <w:jc w:val="left"/>
        <w:rPr>
          <w:rFonts w:ascii="宋体" w:eastAsia="宋体" w:hAnsi="宋体" w:cs="宋体" w:hint="eastAsia"/>
          <w:szCs w:val="21"/>
        </w:rPr>
      </w:pPr>
      <w:r>
        <w:rPr>
          <w:rFonts w:ascii="宋体" w:eastAsia="宋体" w:hAnsi="宋体" w:cs="宋体" w:hint="eastAsia"/>
          <w:szCs w:val="21"/>
        </w:rPr>
        <w:t>技术背景资料；</w:t>
      </w:r>
    </w:p>
    <w:p w:rsidR="00EF64A4">
      <w:pPr>
        <w:numPr>
          <w:ilvl w:val="0"/>
          <w:numId w:val="13"/>
        </w:numPr>
        <w:spacing w:line="360" w:lineRule="auto"/>
        <w:ind w:hanging="5"/>
        <w:jc w:val="left"/>
        <w:rPr>
          <w:rFonts w:ascii="宋体" w:eastAsia="宋体" w:hAnsi="宋体" w:cs="宋体" w:hint="eastAsia"/>
          <w:szCs w:val="21"/>
        </w:rPr>
      </w:pPr>
      <w:r>
        <w:rPr>
          <w:rFonts w:ascii="宋体" w:eastAsia="宋体" w:hAnsi="宋体" w:cs="宋体" w:hint="eastAsia"/>
          <w:szCs w:val="21"/>
        </w:rPr>
        <w:t>可行性论证报告；</w:t>
      </w:r>
    </w:p>
    <w:p w:rsidR="00EF64A4">
      <w:pPr>
        <w:numPr>
          <w:ilvl w:val="0"/>
          <w:numId w:val="13"/>
        </w:numPr>
        <w:spacing w:line="360" w:lineRule="auto"/>
        <w:ind w:hanging="5"/>
        <w:jc w:val="left"/>
        <w:rPr>
          <w:rFonts w:ascii="宋体" w:eastAsia="宋体" w:hAnsi="宋体" w:cs="宋体" w:hint="eastAsia"/>
          <w:szCs w:val="21"/>
        </w:rPr>
      </w:pPr>
      <w:r>
        <w:rPr>
          <w:rFonts w:ascii="宋体" w:eastAsia="宋体" w:hAnsi="宋体" w:cs="宋体" w:hint="eastAsia"/>
          <w:szCs w:val="21"/>
        </w:rPr>
        <w:t>技术评价报告；</w:t>
      </w:r>
    </w:p>
    <w:p w:rsidR="00EF64A4">
      <w:pPr>
        <w:numPr>
          <w:ilvl w:val="0"/>
          <w:numId w:val="13"/>
        </w:numPr>
        <w:spacing w:line="360" w:lineRule="auto"/>
        <w:ind w:hanging="5"/>
        <w:jc w:val="left"/>
        <w:rPr>
          <w:rFonts w:ascii="宋体" w:eastAsia="宋体" w:hAnsi="宋体" w:cs="宋体" w:hint="eastAsia"/>
          <w:szCs w:val="21"/>
        </w:rPr>
      </w:pPr>
      <w:r>
        <w:rPr>
          <w:rFonts w:ascii="宋体" w:eastAsia="宋体" w:hAnsi="宋体" w:cs="宋体" w:hint="eastAsia"/>
          <w:szCs w:val="21"/>
        </w:rPr>
        <w:t>技术标准和规范；</w:t>
      </w:r>
    </w:p>
    <w:p w:rsidR="00EF64A4">
      <w:pPr>
        <w:numPr>
          <w:ilvl w:val="0"/>
          <w:numId w:val="13"/>
        </w:numPr>
        <w:spacing w:line="360" w:lineRule="auto"/>
        <w:ind w:hanging="5"/>
        <w:jc w:val="left"/>
        <w:rPr>
          <w:rFonts w:ascii="宋体" w:eastAsia="宋体" w:hAnsi="宋体" w:cs="宋体" w:hint="eastAsia"/>
          <w:szCs w:val="21"/>
        </w:rPr>
      </w:pPr>
      <w:r>
        <w:rPr>
          <w:rFonts w:ascii="宋体" w:eastAsia="宋体" w:hAnsi="宋体" w:cs="宋体"/>
          <w:szCs w:val="21"/>
        </w:rPr>
        <w:t>……</w:t>
      </w:r>
    </w:p>
    <w:p w:rsidR="00EF64A4">
      <w:pPr>
        <w:numPr>
          <w:ilvl w:val="0"/>
          <w:numId w:val="12"/>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安全保密承诺书（签字盖章）；</w:t>
      </w:r>
    </w:p>
    <w:p w:rsidR="00EF64A4">
      <w:pPr>
        <w:numPr>
          <w:ilvl w:val="0"/>
          <w:numId w:val="12"/>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乙方就该项目实施情况接受甲方监督检查的承诺书（签字盖章）；</w:t>
      </w:r>
    </w:p>
    <w:p w:rsidR="00EF64A4">
      <w:pPr>
        <w:numPr>
          <w:ilvl w:val="0"/>
          <w:numId w:val="12"/>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rsidR="00EF64A4">
      <w:pPr>
        <w:keepNext/>
        <w:keepLines/>
        <w:numPr>
          <w:ilvl w:val="0"/>
          <w:numId w:val="5"/>
        </w:numPr>
        <w:spacing w:before="60" w:after="60" w:line="360" w:lineRule="auto"/>
        <w:jc w:val="left"/>
        <w:outlineLvl w:val="1"/>
        <w:rPr>
          <w:rFonts w:ascii="宋体" w:eastAsia="宋体" w:hAnsi="宋体" w:cs="宋体" w:hint="eastAsia"/>
          <w:b/>
          <w:bCs/>
          <w:szCs w:val="21"/>
        </w:rPr>
      </w:pPr>
      <w:bookmarkStart w:id="66" w:name="_Toc150439545"/>
      <w:r>
        <w:rPr>
          <w:rFonts w:ascii="宋体" w:eastAsia="宋体" w:hAnsi="宋体" w:cs="宋体" w:hint="eastAsia"/>
          <w:b/>
          <w:bCs/>
          <w:szCs w:val="21"/>
        </w:rPr>
        <w:t>合同履行地点、合同服务期</w:t>
      </w:r>
      <w:bookmarkEnd w:id="66"/>
    </w:p>
    <w:p w:rsidR="00EF64A4">
      <w:pPr>
        <w:numPr>
          <w:ilvl w:val="0"/>
          <w:numId w:val="14"/>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rsidR="00EF64A4">
      <w:pPr>
        <w:numPr>
          <w:ilvl w:val="0"/>
          <w:numId w:val="14"/>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rsidR="00EF64A4">
      <w:pPr>
        <w:keepNext/>
        <w:keepLines/>
        <w:numPr>
          <w:ilvl w:val="0"/>
          <w:numId w:val="5"/>
        </w:numPr>
        <w:spacing w:before="60" w:after="60" w:line="360" w:lineRule="auto"/>
        <w:outlineLvl w:val="1"/>
        <w:rPr>
          <w:rFonts w:ascii="宋体" w:eastAsia="宋体" w:hAnsi="宋体" w:cs="宋体" w:hint="eastAsia"/>
          <w:b/>
          <w:bCs/>
          <w:szCs w:val="21"/>
        </w:rPr>
      </w:pPr>
      <w:bookmarkStart w:id="67" w:name="_Toc150439547"/>
      <w:r>
        <w:rPr>
          <w:rFonts w:ascii="宋体" w:eastAsia="宋体" w:hAnsi="宋体" w:cs="宋体" w:hint="eastAsia"/>
          <w:b/>
          <w:bCs/>
          <w:szCs w:val="21"/>
        </w:rPr>
        <w:t>服务范围及内容</w:t>
      </w:r>
      <w:bookmarkEnd w:id="67"/>
    </w:p>
    <w:p w:rsidR="00EF64A4">
      <w:pPr>
        <w:ind w:firstLine="420" w:firstLineChars="200"/>
        <w:rPr>
          <w:rFonts w:ascii="宋体" w:eastAsia="宋体" w:hAnsi="宋体" w:cs="宋体" w:hint="eastAsia"/>
          <w:szCs w:val="21"/>
        </w:rPr>
      </w:pPr>
      <w:r>
        <w:rPr>
          <w:rFonts w:ascii="宋体" w:eastAsia="宋体" w:hAnsi="宋体" w:cs="宋体" w:hint="eastAsia"/>
          <w:szCs w:val="21"/>
        </w:rPr>
        <w:t>本合同研究开发项目的要求如下：</w:t>
      </w:r>
    </w:p>
    <w:p w:rsidR="00EF64A4">
      <w:pPr>
        <w:numPr>
          <w:ilvl w:val="0"/>
          <w:numId w:val="15"/>
        </w:numPr>
        <w:spacing w:line="360" w:lineRule="auto"/>
        <w:ind w:firstLine="420"/>
        <w:jc w:val="left"/>
        <w:rPr>
          <w:rFonts w:ascii="宋体" w:eastAsia="宋体" w:hAnsi="宋体" w:cs="宋体" w:hint="eastAsia"/>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rsidR="00EF64A4">
      <w:pPr>
        <w:numPr>
          <w:ilvl w:val="0"/>
          <w:numId w:val="15"/>
        </w:numPr>
        <w:spacing w:line="360" w:lineRule="auto"/>
        <w:ind w:firstLine="420"/>
        <w:jc w:val="left"/>
        <w:rPr>
          <w:rFonts w:ascii="宋体" w:eastAsia="宋体" w:hAnsi="宋体" w:cs="宋体" w:hint="eastAsia"/>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EF64A4">
      <w:pPr>
        <w:numPr>
          <w:ilvl w:val="0"/>
          <w:numId w:val="15"/>
        </w:numPr>
        <w:spacing w:line="360" w:lineRule="auto"/>
        <w:jc w:val="left"/>
        <w:rPr>
          <w:rFonts w:ascii="宋体" w:eastAsia="宋体" w:hAnsi="宋体" w:cs="宋体" w:hint="eastAsia"/>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rsidR="00EF64A4">
      <w:pPr>
        <w:numPr>
          <w:ilvl w:val="0"/>
          <w:numId w:val="15"/>
        </w:numPr>
        <w:spacing w:line="360" w:lineRule="auto"/>
        <w:jc w:val="left"/>
        <w:rPr>
          <w:rFonts w:ascii="宋体" w:eastAsia="宋体" w:hAnsi="宋体" w:cs="宋体" w:hint="eastAsia"/>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EF64A4">
      <w:pPr>
        <w:numPr>
          <w:ilvl w:val="0"/>
          <w:numId w:val="15"/>
        </w:numPr>
        <w:spacing w:line="360" w:lineRule="auto"/>
        <w:jc w:val="left"/>
        <w:rPr>
          <w:rFonts w:ascii="宋体" w:eastAsia="宋体" w:hAnsi="宋体" w:cs="宋体" w:hint="eastAsia"/>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EF64A4">
      <w:pPr>
        <w:numPr>
          <w:ilvl w:val="0"/>
          <w:numId w:val="15"/>
        </w:numPr>
        <w:spacing w:line="360" w:lineRule="auto"/>
        <w:jc w:val="left"/>
        <w:rPr>
          <w:rFonts w:ascii="宋体" w:eastAsia="宋体" w:hAnsi="宋体" w:cs="宋体" w:hint="eastAsia"/>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EF64A4">
      <w:pPr>
        <w:numPr>
          <w:ilvl w:val="0"/>
          <w:numId w:val="15"/>
        </w:numPr>
        <w:spacing w:line="360" w:lineRule="auto"/>
        <w:rPr>
          <w:rFonts w:ascii="宋体" w:eastAsia="宋体" w:hAnsi="宋体" w:cs="宋体" w:hint="eastAsia"/>
          <w:szCs w:val="21"/>
        </w:rPr>
      </w:pPr>
      <w:r>
        <w:rPr>
          <w:rFonts w:ascii="宋体" w:eastAsia="宋体" w:hAnsi="宋体" w:cs="宋体" w:hint="eastAsia"/>
          <w:szCs w:val="21"/>
        </w:rPr>
        <w:t>进度安排：</w:t>
      </w:r>
    </w:p>
    <w:p w:rsidR="00EF64A4">
      <w:pPr>
        <w:ind w:firstLine="420" w:firstLineChars="200"/>
        <w:rPr>
          <w:rFonts w:ascii="宋体" w:eastAsia="宋体" w:hAnsi="宋体" w:cs="宋体" w:hint="eastAsia"/>
          <w:szCs w:val="21"/>
        </w:rPr>
      </w:pPr>
      <w:r>
        <w:rPr>
          <w:rFonts w:ascii="宋体" w:eastAsia="宋体" w:hAnsi="宋体" w:cs="宋体" w:hint="eastAsia"/>
          <w:szCs w:val="21"/>
        </w:rPr>
        <w:t>乙方应按下列进度完成研究开发工作：</w:t>
      </w:r>
    </w:p>
    <w:p w:rsidR="00EF64A4">
      <w:pPr>
        <w:numPr>
          <w:ilvl w:val="0"/>
          <w:numId w:val="1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w:t>
      </w:r>
      <w:r>
        <w:rPr>
          <w:rFonts w:ascii="宋体" w:eastAsia="宋体" w:hAnsi="宋体" w:cs="宋体" w:hint="eastAsia"/>
          <w:szCs w:val="21"/>
        </w:rPr>
        <w:t>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rsidR="00EF64A4">
      <w:pPr>
        <w:numPr>
          <w:ilvl w:val="0"/>
          <w:numId w:val="1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9"/>
        <w:gridCol w:w="634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477" w:type="pct"/>
            <w:vAlign w:val="center"/>
          </w:tcPr>
          <w:p w:rsidR="00EF64A4">
            <w:pPr>
              <w:jc w:val="center"/>
              <w:rPr>
                <w:rFonts w:ascii="宋体" w:eastAsia="宋体" w:hAnsi="宋体" w:cs="宋体" w:hint="eastAsia"/>
                <w:b/>
                <w:bCs/>
                <w:szCs w:val="21"/>
              </w:rPr>
            </w:pPr>
            <w:r>
              <w:rPr>
                <w:rFonts w:ascii="宋体" w:eastAsia="宋体" w:hAnsi="宋体" w:cs="宋体" w:hint="eastAsia"/>
                <w:b/>
                <w:bCs/>
                <w:szCs w:val="21"/>
              </w:rPr>
              <w:t>项目执行阶段</w:t>
            </w:r>
          </w:p>
        </w:tc>
        <w:tc>
          <w:tcPr>
            <w:tcW w:w="3523" w:type="pct"/>
            <w:vAlign w:val="center"/>
          </w:tcPr>
          <w:p w:rsidR="00EF64A4">
            <w:pPr>
              <w:jc w:val="center"/>
              <w:rPr>
                <w:rFonts w:ascii="宋体" w:eastAsia="宋体" w:hAnsi="宋体" w:cs="宋体" w:hint="eastAsia"/>
                <w:b/>
                <w:bCs/>
                <w:szCs w:val="21"/>
              </w:rPr>
            </w:pPr>
            <w:r>
              <w:rPr>
                <w:rFonts w:ascii="宋体" w:eastAsia="宋体" w:hAnsi="宋体" w:cs="宋体" w:hint="eastAsia"/>
                <w:b/>
                <w:bCs/>
                <w:szCs w:val="21"/>
              </w:rPr>
              <w:t>项目执行时间</w:t>
            </w:r>
          </w:p>
        </w:tc>
      </w:tr>
      <w:tr>
        <w:tblPrEx>
          <w:tblW w:w="5000" w:type="pct"/>
          <w:tblLook w:val="04A0"/>
        </w:tblPrEx>
        <w:tc>
          <w:tcPr>
            <w:tcW w:w="1477" w:type="pct"/>
            <w:vAlign w:val="center"/>
          </w:tcPr>
          <w:p w:rsidR="00EF64A4">
            <w:pPr>
              <w:jc w:val="center"/>
              <w:rPr>
                <w:rFonts w:ascii="宋体" w:eastAsia="宋体" w:hAnsi="宋体" w:cs="宋体" w:hint="eastAsia"/>
                <w:szCs w:val="21"/>
              </w:rPr>
            </w:pPr>
            <w:r>
              <w:rPr>
                <w:rFonts w:ascii="宋体" w:eastAsia="宋体" w:hAnsi="宋体" w:cs="宋体" w:hint="eastAsia"/>
                <w:szCs w:val="21"/>
              </w:rPr>
              <w:t>研究开发计划</w:t>
            </w:r>
          </w:p>
        </w:tc>
        <w:tc>
          <w:tcPr>
            <w:tcW w:w="3523" w:type="pct"/>
            <w:vAlign w:val="center"/>
          </w:tcPr>
          <w:p w:rsidR="00EF64A4">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EF64A4">
            <w:pPr>
              <w:jc w:val="center"/>
              <w:rPr>
                <w:rFonts w:ascii="宋体" w:eastAsia="宋体" w:hAnsi="宋体" w:cs="宋体" w:hint="eastAsia"/>
                <w:szCs w:val="21"/>
              </w:rPr>
            </w:pPr>
            <w:r>
              <w:rPr>
                <w:rFonts w:ascii="宋体" w:eastAsia="宋体" w:hAnsi="宋体" w:cs="宋体" w:hint="eastAsia"/>
                <w:szCs w:val="21"/>
              </w:rPr>
              <w:t xml:space="preserve"> 初设方案</w:t>
            </w:r>
          </w:p>
        </w:tc>
        <w:tc>
          <w:tcPr>
            <w:tcW w:w="3523" w:type="pct"/>
          </w:tcPr>
          <w:p w:rsidR="00EF64A4">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EF64A4">
            <w:pPr>
              <w:jc w:val="center"/>
              <w:rPr>
                <w:rFonts w:ascii="宋体" w:eastAsia="宋体" w:hAnsi="宋体" w:cs="宋体" w:hint="eastAsia"/>
                <w:szCs w:val="21"/>
              </w:rPr>
            </w:pPr>
            <w:r>
              <w:rPr>
                <w:rFonts w:ascii="宋体" w:eastAsia="宋体" w:hAnsi="宋体" w:cs="宋体" w:hint="eastAsia"/>
                <w:szCs w:val="21"/>
              </w:rPr>
              <w:t xml:space="preserve"> </w:t>
            </w:r>
          </w:p>
        </w:tc>
        <w:tc>
          <w:tcPr>
            <w:tcW w:w="3523" w:type="pct"/>
          </w:tcPr>
          <w:p w:rsidR="00EF64A4">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EF64A4">
            <w:pPr>
              <w:jc w:val="center"/>
              <w:rPr>
                <w:rFonts w:ascii="宋体" w:eastAsia="宋体" w:hAnsi="宋体" w:cs="宋体" w:hint="eastAsia"/>
                <w:szCs w:val="21"/>
              </w:rPr>
            </w:pPr>
            <w:r>
              <w:rPr>
                <w:rFonts w:ascii="宋体" w:eastAsia="宋体" w:hAnsi="宋体" w:cs="宋体" w:hint="eastAsia"/>
                <w:szCs w:val="21"/>
              </w:rPr>
              <w:t xml:space="preserve"> </w:t>
            </w:r>
          </w:p>
        </w:tc>
        <w:tc>
          <w:tcPr>
            <w:tcW w:w="3523" w:type="pct"/>
          </w:tcPr>
          <w:p w:rsidR="00EF64A4">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EF64A4">
            <w:pPr>
              <w:jc w:val="center"/>
              <w:rPr>
                <w:rFonts w:ascii="宋体" w:eastAsia="宋体" w:hAnsi="宋体" w:cs="宋体" w:hint="eastAsia"/>
                <w:szCs w:val="21"/>
              </w:rPr>
            </w:pPr>
            <w:r>
              <w:rPr>
                <w:rFonts w:ascii="宋体" w:eastAsia="宋体" w:hAnsi="宋体" w:cs="宋体" w:hint="eastAsia"/>
                <w:szCs w:val="21"/>
              </w:rPr>
              <w:t>安装、测试、培训</w:t>
            </w:r>
          </w:p>
        </w:tc>
        <w:tc>
          <w:tcPr>
            <w:tcW w:w="3523" w:type="pct"/>
          </w:tcPr>
          <w:p w:rsidR="00EF64A4">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EF64A4">
            <w:pPr>
              <w:jc w:val="center"/>
              <w:rPr>
                <w:rFonts w:ascii="宋体" w:eastAsia="宋体" w:hAnsi="宋体" w:cs="宋体" w:hint="eastAsia"/>
                <w:szCs w:val="21"/>
              </w:rPr>
            </w:pPr>
            <w:r>
              <w:rPr>
                <w:rFonts w:ascii="宋体" w:eastAsia="宋体" w:hAnsi="宋体" w:cs="宋体" w:hint="eastAsia"/>
                <w:szCs w:val="21"/>
              </w:rPr>
              <w:t>软件试运行</w:t>
            </w:r>
          </w:p>
        </w:tc>
        <w:tc>
          <w:tcPr>
            <w:tcW w:w="3523" w:type="pct"/>
          </w:tcPr>
          <w:p w:rsidR="00EF64A4">
            <w:pPr>
              <w:jc w:val="center"/>
              <w:rPr>
                <w:rFonts w:ascii="宋体" w:eastAsia="宋体" w:hAnsi="宋体" w:cs="宋体" w:hint="eastAsia"/>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EF64A4">
            <w:pPr>
              <w:jc w:val="center"/>
              <w:rPr>
                <w:rFonts w:ascii="宋体" w:eastAsia="宋体" w:hAnsi="宋体" w:cs="宋体" w:hint="eastAsia"/>
                <w:szCs w:val="21"/>
              </w:rPr>
            </w:pPr>
            <w:r>
              <w:rPr>
                <w:rFonts w:ascii="宋体" w:eastAsia="宋体" w:hAnsi="宋体" w:cs="宋体" w:hint="eastAsia"/>
                <w:szCs w:val="21"/>
              </w:rPr>
              <w:t>项目验收</w:t>
            </w:r>
          </w:p>
        </w:tc>
        <w:tc>
          <w:tcPr>
            <w:tcW w:w="3523" w:type="pct"/>
          </w:tcPr>
          <w:p w:rsidR="00EF64A4">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rsidR="00EF64A4">
      <w:pPr>
        <w:keepNext/>
        <w:keepLines/>
        <w:numPr>
          <w:ilvl w:val="0"/>
          <w:numId w:val="5"/>
        </w:numPr>
        <w:spacing w:before="60" w:after="60" w:line="360" w:lineRule="auto"/>
        <w:outlineLvl w:val="1"/>
        <w:rPr>
          <w:rFonts w:ascii="宋体" w:eastAsia="宋体" w:hAnsi="宋体" w:cs="宋体" w:hint="eastAsia"/>
          <w:b/>
          <w:bCs/>
          <w:szCs w:val="21"/>
        </w:rPr>
      </w:pPr>
      <w:bookmarkStart w:id="68" w:name="_Toc150439549"/>
      <w:r>
        <w:rPr>
          <w:rFonts w:ascii="宋体" w:eastAsia="宋体" w:hAnsi="宋体" w:cs="宋体" w:hint="eastAsia"/>
          <w:b/>
          <w:bCs/>
          <w:szCs w:val="21"/>
        </w:rPr>
        <w:t>乙方的权利与义务</w:t>
      </w:r>
      <w:bookmarkEnd w:id="68"/>
    </w:p>
    <w:p w:rsidR="00EF64A4">
      <w:pPr>
        <w:numPr>
          <w:ilvl w:val="0"/>
          <w:numId w:val="17"/>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为保证履行合同，乙方承诺以下事项：</w:t>
      </w:r>
    </w:p>
    <w:p w:rsidR="00EF64A4">
      <w:pPr>
        <w:numPr>
          <w:ilvl w:val="0"/>
          <w:numId w:val="18"/>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rsidR="00EF64A4">
      <w:pPr>
        <w:numPr>
          <w:ilvl w:val="0"/>
          <w:numId w:val="18"/>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开发团队中X人需驻场开发，驻场地址为           ；                       </w:t>
      </w:r>
    </w:p>
    <w:p w:rsidR="00EF64A4">
      <w:pPr>
        <w:numPr>
          <w:ilvl w:val="0"/>
          <w:numId w:val="18"/>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投入所必需的XXX等软硬件设施资源及XXX场地；                         </w:t>
      </w:r>
    </w:p>
    <w:p w:rsidR="00EF64A4">
      <w:pPr>
        <w:numPr>
          <w:ilvl w:val="0"/>
          <w:numId w:val="18"/>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制定针对本项目的备份恢复措施和应急预案；                             </w:t>
      </w:r>
    </w:p>
    <w:p w:rsidR="00EF64A4">
      <w:pPr>
        <w:numPr>
          <w:ilvl w:val="0"/>
          <w:numId w:val="18"/>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具有XXX等内控、保密和管理制度。                                     </w:t>
      </w:r>
    </w:p>
    <w:p w:rsidR="00EF64A4">
      <w:pPr>
        <w:numPr>
          <w:ilvl w:val="0"/>
          <w:numId w:val="18"/>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                                                                     </w:t>
      </w:r>
    </w:p>
    <w:p w:rsidR="00EF64A4">
      <w:pPr>
        <w:numPr>
          <w:ilvl w:val="0"/>
          <w:numId w:val="17"/>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对非驻场软件开发，乙方承诺以下事项：</w:t>
      </w:r>
    </w:p>
    <w:p w:rsidR="00EF64A4">
      <w:pPr>
        <w:numPr>
          <w:ilvl w:val="0"/>
          <w:numId w:val="19"/>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用于本项目的设施、系统和数据与其他项目有明确、清晰的边界；            </w:t>
      </w:r>
    </w:p>
    <w:p w:rsidR="00EF64A4">
      <w:pPr>
        <w:numPr>
          <w:ilvl w:val="0"/>
          <w:numId w:val="19"/>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对用于本项目的乙方服务器、存储、网络设备、操作系统、数据库、中间件等软</w:t>
      </w:r>
      <w:r>
        <w:rPr>
          <w:rFonts w:ascii="宋体" w:eastAsia="宋体" w:hAnsi="宋体" w:cs="宋体" w:hint="eastAsia"/>
          <w:szCs w:val="21"/>
          <w:u w:val="single"/>
        </w:rPr>
        <w:t xml:space="preserve">硬件设施具有最高管理权限；                                                  </w:t>
      </w:r>
    </w:p>
    <w:p w:rsidR="00EF64A4">
      <w:pPr>
        <w:numPr>
          <w:ilvl w:val="0"/>
          <w:numId w:val="19"/>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不存在规避监管的情形。                                                </w:t>
      </w:r>
    </w:p>
    <w:p w:rsidR="00EF64A4">
      <w:pPr>
        <w:numPr>
          <w:ilvl w:val="0"/>
          <w:numId w:val="17"/>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rsidR="00EF64A4">
      <w:pPr>
        <w:numPr>
          <w:ilvl w:val="0"/>
          <w:numId w:val="17"/>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工作日内向甲方提交研究开发计划。研究开发计划应包括以下主要内容：</w:t>
      </w:r>
    </w:p>
    <w:p w:rsidR="00EF64A4">
      <w:pPr>
        <w:numPr>
          <w:ilvl w:val="0"/>
          <w:numId w:val="20"/>
        </w:numPr>
        <w:spacing w:line="360" w:lineRule="auto"/>
        <w:ind w:hanging="5"/>
        <w:jc w:val="left"/>
        <w:rPr>
          <w:rFonts w:ascii="宋体" w:eastAsia="宋体" w:hAnsi="宋体" w:cs="宋体" w:hint="eastAsia"/>
          <w:szCs w:val="21"/>
        </w:rPr>
      </w:pPr>
      <w:r>
        <w:rPr>
          <w:rFonts w:ascii="宋体" w:eastAsia="宋体" w:hAnsi="宋体" w:cs="宋体" w:hint="eastAsia"/>
          <w:szCs w:val="21"/>
        </w:rPr>
        <w:t>项目功能清单；</w:t>
      </w:r>
    </w:p>
    <w:p w:rsidR="00EF64A4">
      <w:pPr>
        <w:numPr>
          <w:ilvl w:val="0"/>
          <w:numId w:val="20"/>
        </w:numPr>
        <w:spacing w:line="360" w:lineRule="auto"/>
        <w:ind w:hanging="5"/>
        <w:jc w:val="left"/>
        <w:rPr>
          <w:rFonts w:ascii="宋体" w:eastAsia="宋体" w:hAnsi="宋体" w:cs="宋体" w:hint="eastAsia"/>
          <w:szCs w:val="21"/>
        </w:rPr>
      </w:pPr>
      <w:r>
        <w:rPr>
          <w:rFonts w:ascii="宋体" w:eastAsia="宋体" w:hAnsi="宋体" w:cs="宋体" w:hint="eastAsia"/>
          <w:szCs w:val="21"/>
        </w:rPr>
        <w:t>项目实施方案。</w:t>
      </w:r>
    </w:p>
    <w:p w:rsidR="00EF64A4">
      <w:pPr>
        <w:numPr>
          <w:ilvl w:val="0"/>
          <w:numId w:val="17"/>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乙方在软件开发实施中，应在招标文件范围内，根据甲方需求持续改进，直到最终用户确认满意。</w:t>
      </w:r>
    </w:p>
    <w:p w:rsidR="00EF64A4">
      <w:pPr>
        <w:numPr>
          <w:ilvl w:val="0"/>
          <w:numId w:val="21"/>
        </w:numPr>
        <w:spacing w:line="360" w:lineRule="auto"/>
        <w:ind w:firstLine="420"/>
        <w:jc w:val="left"/>
        <w:rPr>
          <w:rFonts w:ascii="宋体" w:eastAsia="宋体" w:hAnsi="宋体" w:cs="宋体" w:hint="eastAsia"/>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rsidR="00EF64A4">
      <w:pPr>
        <w:numPr>
          <w:ilvl w:val="0"/>
          <w:numId w:val="21"/>
        </w:numPr>
        <w:spacing w:line="360" w:lineRule="auto"/>
        <w:ind w:firstLine="420"/>
        <w:jc w:val="left"/>
        <w:rPr>
          <w:rFonts w:ascii="宋体" w:eastAsia="宋体" w:hAnsi="宋体" w:cs="宋体" w:hint="eastAsia"/>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rsidR="00EF64A4">
      <w:pPr>
        <w:numPr>
          <w:ilvl w:val="0"/>
          <w:numId w:val="21"/>
        </w:numPr>
        <w:spacing w:line="360" w:lineRule="auto"/>
        <w:ind w:firstLine="420"/>
        <w:jc w:val="left"/>
        <w:rPr>
          <w:rFonts w:ascii="宋体" w:eastAsia="宋体" w:hAnsi="宋体" w:cs="宋体" w:hint="eastAsia"/>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rsidR="00EF64A4">
      <w:pPr>
        <w:numPr>
          <w:ilvl w:val="0"/>
          <w:numId w:val="17"/>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rsidR="00EF64A4">
      <w:pPr>
        <w:numPr>
          <w:ilvl w:val="0"/>
          <w:numId w:val="17"/>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乙方承诺接受甲方对本项目执行工作的监督、检查和评价。</w:t>
      </w:r>
    </w:p>
    <w:p w:rsidR="00EF64A4">
      <w:pPr>
        <w:numPr>
          <w:ilvl w:val="0"/>
          <w:numId w:val="17"/>
        </w:numPr>
        <w:spacing w:line="360" w:lineRule="auto"/>
        <w:ind w:firstLine="420" w:firstLineChars="200"/>
        <w:rPr>
          <w:rFonts w:ascii="宋体" w:eastAsia="宋体" w:hAnsi="宋体" w:cs="Times New Roman" w:hint="eastAsia"/>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rsidR="00EF64A4">
      <w:pPr>
        <w:numPr>
          <w:ilvl w:val="0"/>
          <w:numId w:val="17"/>
        </w:numPr>
        <w:spacing w:line="360" w:lineRule="auto"/>
        <w:ind w:firstLine="420" w:firstLineChars="200"/>
        <w:rPr>
          <w:rFonts w:ascii="宋体" w:eastAsia="宋体" w:hAnsi="宋体" w:cs="宋体" w:hint="eastAsia"/>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EF64A4">
      <w:pPr>
        <w:numPr>
          <w:ilvl w:val="0"/>
          <w:numId w:val="17"/>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乙方必须遵守国家法律法规及气象部门管理制度的要求。乙方在本项目执行过程</w:t>
      </w:r>
      <w:r>
        <w:rPr>
          <w:rFonts w:ascii="宋体" w:eastAsia="宋体" w:hAnsi="宋体" w:cs="宋体" w:hint="eastAsia"/>
          <w:szCs w:val="21"/>
        </w:rPr>
        <w:t>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rsidR="00EF64A4">
      <w:pPr>
        <w:numPr>
          <w:ilvl w:val="0"/>
          <w:numId w:val="17"/>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w:t>
      </w:r>
      <w:r>
        <w:rPr>
          <w:rFonts w:ascii="宋体" w:eastAsia="宋体" w:hAnsi="宋体" w:cs="宋体" w:hint="eastAsia"/>
          <w:szCs w:val="21"/>
        </w:rPr>
        <w:t>原人员</w:t>
      </w:r>
      <w:r>
        <w:rPr>
          <w:rFonts w:ascii="宋体" w:eastAsia="宋体" w:hAnsi="宋体" w:cs="宋体" w:hint="eastAsia"/>
          <w:szCs w:val="21"/>
        </w:rPr>
        <w:t>相当。如甲方认为需要调整项目经理、技术负责人和软件开发人员的，应与乙方协商一致后调整。</w:t>
      </w:r>
    </w:p>
    <w:p w:rsidR="00EF64A4">
      <w:pPr>
        <w:keepNext/>
        <w:keepLines/>
        <w:numPr>
          <w:ilvl w:val="0"/>
          <w:numId w:val="5"/>
        </w:numPr>
        <w:spacing w:before="60" w:after="60" w:line="360" w:lineRule="auto"/>
        <w:ind w:left="0" w:firstLine="420" w:firstLineChars="200"/>
        <w:outlineLvl w:val="1"/>
        <w:rPr>
          <w:rFonts w:ascii="宋体" w:eastAsia="宋体" w:hAnsi="宋体" w:cs="宋体" w:hint="eastAsia"/>
          <w:b/>
          <w:bCs/>
          <w:szCs w:val="21"/>
        </w:rPr>
      </w:pPr>
      <w:bookmarkStart w:id="69" w:name="_Toc150439565"/>
      <w:r>
        <w:rPr>
          <w:rFonts w:ascii="宋体" w:eastAsia="宋体" w:hAnsi="宋体" w:cs="宋体" w:hint="eastAsia"/>
          <w:b/>
          <w:bCs/>
          <w:szCs w:val="21"/>
        </w:rPr>
        <w:t>甲方</w:t>
      </w:r>
      <w:r>
        <w:rPr>
          <w:rFonts w:ascii="宋体" w:eastAsia="宋体" w:hAnsi="宋体" w:cs="宋体"/>
          <w:b/>
          <w:bCs/>
          <w:szCs w:val="21"/>
        </w:rPr>
        <w:t>的权利与义务</w:t>
      </w:r>
      <w:bookmarkEnd w:id="69"/>
    </w:p>
    <w:p w:rsidR="00EF64A4">
      <w:pPr>
        <w:numPr>
          <w:ilvl w:val="0"/>
          <w:numId w:val="22"/>
        </w:numPr>
        <w:spacing w:line="360" w:lineRule="auto"/>
        <w:ind w:firstLine="420" w:firstLineChars="200"/>
        <w:rPr>
          <w:rFonts w:ascii="宋体" w:eastAsia="宋体" w:hAnsi="宋体" w:cs="宋体" w:hint="eastAsia"/>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rsidR="00EF64A4">
      <w:pPr>
        <w:numPr>
          <w:ilvl w:val="0"/>
          <w:numId w:val="23"/>
        </w:numPr>
        <w:tabs>
          <w:tab w:val="left" w:pos="540"/>
        </w:tabs>
        <w:spacing w:line="360" w:lineRule="auto"/>
        <w:ind w:hanging="5"/>
        <w:rPr>
          <w:rFonts w:ascii="宋体" w:eastAsia="宋体" w:hAnsi="宋体" w:cs="宋体" w:hint="eastAsia"/>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F64A4">
      <w:pPr>
        <w:numPr>
          <w:ilvl w:val="0"/>
          <w:numId w:val="23"/>
        </w:numPr>
        <w:spacing w:line="360" w:lineRule="auto"/>
        <w:ind w:hanging="5"/>
        <w:rPr>
          <w:rFonts w:ascii="宋体" w:eastAsia="宋体" w:hAnsi="宋体" w:cs="宋体" w:hint="eastAsia"/>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F64A4">
      <w:pPr>
        <w:numPr>
          <w:ilvl w:val="0"/>
          <w:numId w:val="23"/>
        </w:numPr>
        <w:spacing w:line="360" w:lineRule="auto"/>
        <w:ind w:hanging="5"/>
        <w:rPr>
          <w:rFonts w:ascii="宋体" w:eastAsia="宋体" w:hAnsi="宋体" w:cs="宋体" w:hint="eastAsia"/>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F64A4">
      <w:pPr>
        <w:ind w:firstLine="420" w:firstLineChars="200"/>
        <w:rPr>
          <w:rFonts w:ascii="宋体" w:eastAsia="宋体" w:hAnsi="宋体" w:cs="宋体" w:hint="eastAsia"/>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F64A4">
      <w:pPr>
        <w:numPr>
          <w:ilvl w:val="0"/>
          <w:numId w:val="22"/>
        </w:numPr>
        <w:spacing w:line="360" w:lineRule="auto"/>
        <w:ind w:firstLine="420" w:firstLineChars="200"/>
        <w:rPr>
          <w:rFonts w:ascii="宋体" w:eastAsia="宋体" w:hAnsi="宋体" w:cs="宋体" w:hint="eastAsia"/>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rsidR="00EF64A4">
      <w:pPr>
        <w:numPr>
          <w:ilvl w:val="0"/>
          <w:numId w:val="22"/>
        </w:numPr>
        <w:spacing w:line="360" w:lineRule="auto"/>
        <w:ind w:firstLine="420" w:firstLineChars="200"/>
        <w:rPr>
          <w:rFonts w:ascii="宋体" w:eastAsia="宋体" w:hAnsi="宋体" w:cs="宋体" w:hint="eastAsia"/>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EF64A4">
      <w:pPr>
        <w:numPr>
          <w:ilvl w:val="0"/>
          <w:numId w:val="22"/>
        </w:numPr>
        <w:spacing w:line="360" w:lineRule="auto"/>
        <w:ind w:firstLine="420" w:firstLineChars="200"/>
        <w:rPr>
          <w:rFonts w:ascii="宋体" w:eastAsia="宋体" w:hAnsi="宋体" w:cs="宋体" w:hint="eastAsia"/>
          <w:spacing w:val="7"/>
          <w:szCs w:val="21"/>
        </w:rPr>
      </w:pPr>
      <w:r>
        <w:rPr>
          <w:rFonts w:ascii="宋体" w:eastAsia="宋体" w:hAnsi="宋体" w:cs="宋体" w:hint="eastAsia"/>
          <w:szCs w:val="21"/>
        </w:rPr>
        <w:t>甲方必须遵守国家法律法规及气象部门管理制度的要求。</w:t>
      </w:r>
    </w:p>
    <w:p w:rsidR="00EF64A4">
      <w:pPr>
        <w:keepNext/>
        <w:keepLines/>
        <w:numPr>
          <w:ilvl w:val="0"/>
          <w:numId w:val="5"/>
        </w:numPr>
        <w:spacing w:before="60" w:after="60" w:line="360" w:lineRule="auto"/>
        <w:ind w:left="0" w:firstLine="420" w:firstLineChars="200"/>
        <w:outlineLvl w:val="1"/>
        <w:rPr>
          <w:rFonts w:ascii="宋体" w:eastAsia="宋体" w:hAnsi="宋体" w:cs="宋体" w:hint="eastAsia"/>
          <w:b/>
          <w:bCs/>
          <w:szCs w:val="21"/>
        </w:rPr>
      </w:pPr>
      <w:r>
        <w:rPr>
          <w:rFonts w:ascii="宋体" w:eastAsia="宋体" w:hAnsi="宋体" w:cs="宋体" w:hint="eastAsia"/>
          <w:b/>
          <w:bCs/>
          <w:szCs w:val="21"/>
        </w:rPr>
        <w:t>知识产权归属</w:t>
      </w:r>
    </w:p>
    <w:p w:rsidR="00EF64A4">
      <w:pPr>
        <w:numPr>
          <w:ilvl w:val="0"/>
          <w:numId w:val="24"/>
        </w:numPr>
        <w:spacing w:line="360" w:lineRule="auto"/>
        <w:ind w:firstLine="420" w:firstLineChars="200"/>
        <w:rPr>
          <w:rFonts w:ascii="宋体" w:eastAsia="宋体" w:hAnsi="宋体" w:cs="宋体" w:hint="eastAsia"/>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rsidR="00EF64A4">
      <w:pPr>
        <w:numPr>
          <w:ilvl w:val="0"/>
          <w:numId w:val="24"/>
        </w:numPr>
        <w:spacing w:line="360" w:lineRule="auto"/>
        <w:ind w:firstLine="420" w:firstLineChars="200"/>
        <w:rPr>
          <w:rFonts w:ascii="宋体" w:eastAsia="宋体" w:hAnsi="宋体" w:cs="宋体" w:hint="eastAsia"/>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rsidR="00EF64A4">
      <w:pPr>
        <w:numPr>
          <w:ilvl w:val="0"/>
          <w:numId w:val="24"/>
        </w:numPr>
        <w:spacing w:line="360" w:lineRule="auto"/>
        <w:ind w:firstLine="420" w:firstLineChars="200"/>
        <w:rPr>
          <w:rFonts w:ascii="宋体" w:eastAsia="宋体" w:hAnsi="宋体" w:cs="宋体" w:hint="eastAsia"/>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rsidR="00EF64A4">
      <w:pPr>
        <w:numPr>
          <w:ilvl w:val="0"/>
          <w:numId w:val="24"/>
        </w:numPr>
        <w:spacing w:line="360" w:lineRule="auto"/>
        <w:ind w:firstLine="420" w:firstLineChars="200"/>
        <w:rPr>
          <w:rFonts w:ascii="宋体" w:eastAsia="宋体" w:hAnsi="宋体" w:cs="宋体" w:hint="eastAsia"/>
          <w:szCs w:val="21"/>
        </w:rPr>
      </w:pPr>
      <w:r>
        <w:rPr>
          <w:rFonts w:ascii="宋体" w:eastAsia="宋体" w:hAnsi="宋体" w:cs="宋体"/>
          <w:szCs w:val="21"/>
        </w:rPr>
        <w:t>乙方利用研究开发经费所购置与研究开发工作有关的设备、器材、资料等财产，归甲方所有。</w:t>
      </w:r>
    </w:p>
    <w:p w:rsidR="00EF64A4">
      <w:pPr>
        <w:numPr>
          <w:ilvl w:val="0"/>
          <w:numId w:val="24"/>
        </w:numPr>
        <w:spacing w:line="360" w:lineRule="auto"/>
        <w:ind w:firstLine="420" w:firstLineChars="200"/>
        <w:rPr>
          <w:rFonts w:ascii="宋体" w:eastAsia="宋体" w:hAnsi="宋体" w:cs="宋体" w:hint="eastAsia"/>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rsidR="00EF64A4">
      <w:pPr>
        <w:keepNext/>
        <w:keepLines/>
        <w:numPr>
          <w:ilvl w:val="0"/>
          <w:numId w:val="5"/>
        </w:numPr>
        <w:spacing w:before="60" w:after="60" w:line="360" w:lineRule="auto"/>
        <w:ind w:left="0" w:firstLine="420" w:firstLineChars="200"/>
        <w:outlineLvl w:val="1"/>
        <w:rPr>
          <w:rFonts w:ascii="宋体" w:eastAsia="宋体" w:hAnsi="宋体" w:cs="宋体" w:hint="eastAsia"/>
          <w:b/>
          <w:bCs/>
          <w:szCs w:val="21"/>
        </w:rPr>
      </w:pPr>
      <w:r>
        <w:rPr>
          <w:rFonts w:ascii="宋体" w:eastAsia="宋体" w:hAnsi="宋体" w:cs="宋体" w:hint="eastAsia"/>
          <w:b/>
          <w:bCs/>
          <w:szCs w:val="21"/>
        </w:rPr>
        <w:t>项目联系人及相关约定</w:t>
      </w:r>
    </w:p>
    <w:p w:rsidR="00EF64A4">
      <w:pPr>
        <w:numPr>
          <w:ilvl w:val="0"/>
          <w:numId w:val="25"/>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联系人及职责</w:t>
      </w:r>
    </w:p>
    <w:p w:rsidR="00EF64A4">
      <w:pPr>
        <w:ind w:left="420"/>
        <w:rPr>
          <w:rFonts w:ascii="宋体" w:eastAsia="宋体" w:hAnsi="宋体" w:cs="宋体" w:hint="eastAsia"/>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rsidR="00EF64A4">
      <w:pPr>
        <w:rPr>
          <w:rFonts w:ascii="宋体" w:eastAsia="宋体" w:hAnsi="宋体" w:cs="宋体" w:hint="eastAsia"/>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rsidR="00EF64A4">
      <w:pPr>
        <w:numPr>
          <w:ilvl w:val="0"/>
          <w:numId w:val="26"/>
        </w:numPr>
        <w:spacing w:line="360" w:lineRule="auto"/>
        <w:ind w:hanging="5"/>
        <w:rPr>
          <w:rFonts w:ascii="宋体" w:eastAsia="宋体" w:hAnsi="宋体" w:cs="宋体" w:hint="eastAsia"/>
          <w:szCs w:val="21"/>
          <w:u w:val="single"/>
        </w:rPr>
      </w:pPr>
      <w:r>
        <w:rPr>
          <w:rFonts w:ascii="宋体" w:eastAsia="宋体" w:hAnsi="宋体" w:cs="宋体" w:hint="eastAsia"/>
          <w:szCs w:val="21"/>
          <w:u w:val="single"/>
        </w:rPr>
        <w:t xml:space="preserve">                                                               ；</w:t>
      </w:r>
    </w:p>
    <w:p w:rsidR="00EF64A4">
      <w:pPr>
        <w:numPr>
          <w:ilvl w:val="0"/>
          <w:numId w:val="26"/>
        </w:numPr>
        <w:spacing w:line="360" w:lineRule="auto"/>
        <w:ind w:hanging="5"/>
        <w:rPr>
          <w:rFonts w:ascii="宋体" w:eastAsia="宋体" w:hAnsi="宋体" w:cs="宋体" w:hint="eastAsia"/>
          <w:szCs w:val="21"/>
          <w:u w:val="single"/>
        </w:rPr>
      </w:pPr>
      <w:r>
        <w:rPr>
          <w:rFonts w:ascii="宋体" w:eastAsia="宋体" w:hAnsi="宋体" w:cs="宋体" w:hint="eastAsia"/>
          <w:szCs w:val="21"/>
          <w:u w:val="single"/>
        </w:rPr>
        <w:t xml:space="preserve">                                                               ； </w:t>
      </w:r>
    </w:p>
    <w:p w:rsidR="00EF64A4">
      <w:pPr>
        <w:numPr>
          <w:ilvl w:val="0"/>
          <w:numId w:val="26"/>
        </w:numPr>
        <w:spacing w:line="360" w:lineRule="auto"/>
        <w:ind w:hanging="5"/>
        <w:rPr>
          <w:rFonts w:ascii="宋体" w:eastAsia="宋体" w:hAnsi="宋体" w:cs="宋体" w:hint="eastAsia"/>
          <w:szCs w:val="21"/>
          <w:u w:val="single"/>
        </w:rPr>
      </w:pPr>
      <w:r>
        <w:rPr>
          <w:rFonts w:ascii="宋体" w:eastAsia="宋体" w:hAnsi="宋体" w:cs="宋体" w:hint="eastAsia"/>
          <w:szCs w:val="21"/>
          <w:u w:val="single"/>
        </w:rPr>
        <w:t xml:space="preserve">                                                               ；</w:t>
      </w:r>
    </w:p>
    <w:p w:rsidR="00EF64A4">
      <w:pPr>
        <w:numPr>
          <w:ilvl w:val="0"/>
          <w:numId w:val="26"/>
        </w:numPr>
        <w:spacing w:line="360" w:lineRule="auto"/>
        <w:ind w:hanging="5"/>
        <w:rPr>
          <w:rFonts w:ascii="宋体" w:eastAsia="宋体" w:hAnsi="宋体" w:cs="宋体" w:hint="eastAsia"/>
          <w:szCs w:val="21"/>
          <w:u w:val="single"/>
        </w:rPr>
      </w:pPr>
      <w:r>
        <w:rPr>
          <w:rFonts w:ascii="Arial" w:eastAsia="宋体" w:hAnsi="Arial" w:cs="Arial" w:hint="eastAsia"/>
          <w:szCs w:val="21"/>
          <w:u w:val="single"/>
        </w:rPr>
        <w:t xml:space="preserve">                                                                 </w:t>
      </w:r>
    </w:p>
    <w:p w:rsidR="00EF64A4">
      <w:pPr>
        <w:numPr>
          <w:ilvl w:val="0"/>
          <w:numId w:val="25"/>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联系人变更约定</w:t>
      </w:r>
    </w:p>
    <w:p w:rsidR="00EF64A4">
      <w:pPr>
        <w:numPr>
          <w:ilvl w:val="0"/>
          <w:numId w:val="27"/>
        </w:numPr>
        <w:spacing w:line="360" w:lineRule="auto"/>
        <w:ind w:left="5" w:firstLine="415"/>
        <w:rPr>
          <w:rFonts w:ascii="宋体" w:eastAsia="宋体" w:hAnsi="宋体" w:cs="宋体" w:hint="eastAsia"/>
          <w:szCs w:val="21"/>
        </w:rPr>
      </w:pPr>
      <w:r>
        <w:rPr>
          <w:rFonts w:ascii="宋体" w:eastAsia="宋体" w:hAnsi="宋体" w:cs="宋体"/>
          <w:szCs w:val="21"/>
        </w:rPr>
        <w:t>一方变更项目联系人的，应当及时以书面形式通知另一方。未及时通知并影响本合同履行或造成损失的，应承担相应的责任。</w:t>
      </w:r>
    </w:p>
    <w:p w:rsidR="00EF64A4">
      <w:pPr>
        <w:numPr>
          <w:ilvl w:val="0"/>
          <w:numId w:val="27"/>
        </w:numPr>
        <w:spacing w:line="360" w:lineRule="auto"/>
        <w:ind w:left="5" w:firstLine="415"/>
        <w:rPr>
          <w:rFonts w:ascii="宋体" w:eastAsia="宋体" w:hAnsi="宋体" w:cs="宋体" w:hint="eastAsia"/>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rsidR="00EF64A4">
      <w:pPr>
        <w:numPr>
          <w:ilvl w:val="0"/>
          <w:numId w:val="27"/>
        </w:numPr>
        <w:spacing w:line="360" w:lineRule="auto"/>
        <w:ind w:left="5" w:firstLine="415"/>
        <w:rPr>
          <w:rFonts w:ascii="宋体" w:eastAsia="宋体" w:hAnsi="宋体" w:cs="宋体" w:hint="eastAsia"/>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rsidR="00EF64A4">
      <w:pPr>
        <w:keepNext/>
        <w:keepLines/>
        <w:numPr>
          <w:ilvl w:val="0"/>
          <w:numId w:val="5"/>
        </w:numPr>
        <w:spacing w:before="60" w:after="60" w:line="360" w:lineRule="auto"/>
        <w:ind w:left="0" w:firstLine="420" w:firstLineChars="200"/>
        <w:outlineLvl w:val="1"/>
        <w:rPr>
          <w:rFonts w:ascii="宋体" w:eastAsia="宋体" w:hAnsi="宋体" w:cs="宋体" w:hint="eastAsia"/>
          <w:b/>
          <w:bCs/>
          <w:szCs w:val="21"/>
        </w:rPr>
      </w:pPr>
      <w:bookmarkStart w:id="70" w:name="_Toc150439567"/>
      <w:r>
        <w:rPr>
          <w:rFonts w:ascii="宋体" w:eastAsia="宋体" w:hAnsi="宋体" w:cs="宋体" w:hint="eastAsia"/>
          <w:b/>
          <w:bCs/>
          <w:szCs w:val="21"/>
        </w:rPr>
        <w:t>项目交付</w:t>
      </w:r>
      <w:bookmarkEnd w:id="70"/>
    </w:p>
    <w:p w:rsidR="00EF64A4">
      <w:pPr>
        <w:numPr>
          <w:ilvl w:val="0"/>
          <w:numId w:val="28"/>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乙方应当按以下方式向甲方交付研究开发成果：</w:t>
      </w:r>
    </w:p>
    <w:p w:rsidR="00EF64A4">
      <w:pPr>
        <w:numPr>
          <w:ilvl w:val="0"/>
          <w:numId w:val="29"/>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rPr>
        <w:t>研究开发成果交付内容：</w:t>
      </w:r>
    </w:p>
    <w:p w:rsidR="00EF64A4">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需求分析、需求规格说明书、系统原型；    </w:t>
      </w:r>
    </w:p>
    <w:p w:rsidR="00EF64A4">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概要设计、详细设计方案；                </w:t>
      </w:r>
    </w:p>
    <w:p w:rsidR="00EF64A4">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运行正常的系统；                        </w:t>
      </w:r>
    </w:p>
    <w:p w:rsidR="00EF64A4">
      <w:pPr>
        <w:ind w:firstLine="420" w:firstLineChars="200"/>
        <w:rPr>
          <w:rFonts w:ascii="宋体" w:eastAsia="宋体" w:hAnsi="宋体" w:cs="宋体" w:hint="eastAsia"/>
          <w:szCs w:val="21"/>
          <w:u w:val="single"/>
        </w:rPr>
      </w:pPr>
      <w:r>
        <w:rPr>
          <w:rFonts w:ascii="宋体" w:eastAsia="宋体" w:hAnsi="宋体" w:cs="宋体" w:hint="eastAsia"/>
          <w:szCs w:val="21"/>
          <w:u w:val="single"/>
        </w:rPr>
        <w:t>完整的软件源代码、可执行程序、安装程序；</w:t>
      </w:r>
    </w:p>
    <w:p w:rsidR="00EF64A4">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软件使用手册；                          </w:t>
      </w:r>
    </w:p>
    <w:p w:rsidR="00EF64A4">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软件技术说明；                          </w:t>
      </w:r>
    </w:p>
    <w:p w:rsidR="00EF64A4">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软件测试大纲、测试报告；                </w:t>
      </w:r>
    </w:p>
    <w:p w:rsidR="00EF64A4">
      <w:pPr>
        <w:ind w:firstLine="420" w:firstLineChars="200"/>
        <w:rPr>
          <w:rFonts w:ascii="宋体" w:eastAsia="宋体" w:hAnsi="宋体" w:cs="宋体" w:hint="eastAsia"/>
          <w:szCs w:val="21"/>
          <w:u w:val="single"/>
        </w:rPr>
      </w:pPr>
      <w:r>
        <w:rPr>
          <w:rFonts w:ascii="宋体" w:eastAsia="宋体" w:hAnsi="宋体" w:cs="宋体" w:hint="eastAsia"/>
          <w:szCs w:val="21"/>
          <w:u w:val="single"/>
        </w:rPr>
        <w:t>其他按照《气象软件工程规范》要求的文档；</w:t>
      </w:r>
    </w:p>
    <w:p w:rsidR="00EF64A4">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                                        。</w:t>
      </w:r>
    </w:p>
    <w:p w:rsidR="00EF64A4">
      <w:pPr>
        <w:ind w:firstLine="420" w:firstLineChars="200"/>
        <w:rPr>
          <w:rFonts w:ascii="宋体" w:eastAsia="宋体" w:hAnsi="宋体" w:cs="宋体" w:hint="eastAsia"/>
          <w:szCs w:val="21"/>
          <w:u w:val="single"/>
        </w:rPr>
      </w:pPr>
      <w:r>
        <w:rPr>
          <w:rFonts w:ascii="宋体" w:eastAsia="宋体" w:hAnsi="宋体" w:cs="宋体" w:hint="eastAsia"/>
          <w:szCs w:val="21"/>
          <w:u w:val="single"/>
        </w:rPr>
        <w:t>（以上文档提供电子版x套，硬拷贝x套）。</w:t>
      </w:r>
    </w:p>
    <w:p w:rsidR="00EF64A4">
      <w:pPr>
        <w:numPr>
          <w:ilvl w:val="0"/>
          <w:numId w:val="29"/>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研究开发成果交付的时间及地点：             在            交付。</w:t>
      </w:r>
    </w:p>
    <w:p w:rsidR="00EF64A4">
      <w:pPr>
        <w:numPr>
          <w:ilvl w:val="0"/>
          <w:numId w:val="29"/>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乙方应向甲方交付的其他文档资料及协作事项如下：</w:t>
      </w:r>
    </w:p>
    <w:p w:rsidR="00EF64A4">
      <w:pPr>
        <w:ind w:firstLine="420" w:firstLineChars="200"/>
        <w:rPr>
          <w:rFonts w:ascii="宋体" w:eastAsia="宋体" w:hAnsi="宋体" w:cs="宋体" w:hint="eastAsia"/>
          <w:szCs w:val="21"/>
        </w:rPr>
      </w:pPr>
      <w:r>
        <w:rPr>
          <w:rFonts w:ascii="宋体" w:eastAsia="宋体" w:hAnsi="宋体" w:cs="宋体" w:hint="eastAsia"/>
          <w:szCs w:val="21"/>
        </w:rPr>
        <w:t>资料清单:______________________</w:t>
      </w:r>
    </w:p>
    <w:p w:rsidR="00EF64A4">
      <w:pPr>
        <w:ind w:firstLine="420" w:firstLineChars="200"/>
        <w:rPr>
          <w:rFonts w:ascii="宋体" w:eastAsia="宋体" w:hAnsi="宋体" w:cs="宋体" w:hint="eastAsia"/>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rsidR="00EF64A4">
      <w:pPr>
        <w:numPr>
          <w:ilvl w:val="0"/>
          <w:numId w:val="28"/>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安装调试</w:t>
      </w:r>
    </w:p>
    <w:p w:rsidR="00EF64A4">
      <w:pPr>
        <w:ind w:firstLine="420" w:firstLineChars="200"/>
        <w:rPr>
          <w:rFonts w:ascii="宋体" w:eastAsia="宋体" w:hAnsi="宋体" w:cs="宋体" w:hint="eastAsia"/>
          <w:szCs w:val="21"/>
        </w:rPr>
      </w:pPr>
      <w:r>
        <w:rPr>
          <w:rFonts w:ascii="宋体" w:eastAsia="宋体" w:hAnsi="宋体" w:cs="宋体" w:hint="eastAsia"/>
          <w:szCs w:val="21"/>
        </w:rPr>
        <w:t>乙方负责项目系统的安装及调试，内容如下：</w:t>
      </w:r>
    </w:p>
    <w:p w:rsidR="00EF64A4">
      <w:pPr>
        <w:numPr>
          <w:ilvl w:val="0"/>
          <w:numId w:val="3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确保达到系统正常运行条件和相关技术标准及业务要求；</w:t>
      </w:r>
    </w:p>
    <w:p w:rsidR="00EF64A4">
      <w:pPr>
        <w:numPr>
          <w:ilvl w:val="0"/>
          <w:numId w:val="3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系统数据达到规范要求，运行正常；</w:t>
      </w:r>
    </w:p>
    <w:p w:rsidR="00EF64A4">
      <w:pPr>
        <w:numPr>
          <w:ilvl w:val="0"/>
          <w:numId w:val="3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系统运行保证安全稳定；</w:t>
      </w:r>
    </w:p>
    <w:p w:rsidR="00EF64A4">
      <w:pPr>
        <w:numPr>
          <w:ilvl w:val="0"/>
          <w:numId w:val="3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平台业务运行机制要完整。</w:t>
      </w:r>
    </w:p>
    <w:p w:rsidR="00EF64A4">
      <w:pPr>
        <w:numPr>
          <w:ilvl w:val="0"/>
          <w:numId w:val="28"/>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培训</w:t>
      </w:r>
    </w:p>
    <w:p w:rsidR="00EF64A4">
      <w:pPr>
        <w:ind w:firstLine="420" w:firstLineChars="200"/>
        <w:rPr>
          <w:rFonts w:ascii="宋体" w:eastAsia="宋体" w:hAnsi="宋体" w:cs="宋体" w:hint="eastAsia"/>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rsidR="00EF64A4">
      <w:pPr>
        <w:ind w:firstLine="420" w:firstLineChars="200"/>
        <w:rPr>
          <w:rFonts w:ascii="宋体" w:eastAsia="宋体" w:hAnsi="宋体" w:cs="宋体" w:hint="eastAsia"/>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rsidR="00EF64A4">
      <w:pPr>
        <w:ind w:firstLine="420" w:firstLineChars="200"/>
        <w:rPr>
          <w:rFonts w:ascii="宋体" w:eastAsia="宋体" w:hAnsi="宋体" w:cs="宋体" w:hint="eastAsia"/>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rsidR="00EF64A4">
      <w:pPr>
        <w:keepNext/>
        <w:keepLines/>
        <w:numPr>
          <w:ilvl w:val="0"/>
          <w:numId w:val="5"/>
        </w:numPr>
        <w:spacing w:before="60" w:after="60" w:line="360" w:lineRule="auto"/>
        <w:ind w:left="0" w:firstLine="420" w:firstLineChars="200"/>
        <w:outlineLvl w:val="1"/>
        <w:rPr>
          <w:rFonts w:ascii="宋体" w:eastAsia="宋体" w:hAnsi="宋体" w:cs="宋体" w:hint="eastAsia"/>
          <w:b/>
          <w:bCs/>
          <w:szCs w:val="21"/>
        </w:rPr>
      </w:pPr>
      <w:r>
        <w:rPr>
          <w:rFonts w:ascii="宋体" w:eastAsia="宋体" w:hAnsi="宋体" w:cs="宋体" w:hint="eastAsia"/>
          <w:b/>
          <w:bCs/>
          <w:szCs w:val="21"/>
        </w:rPr>
        <w:t>支付方式</w:t>
      </w:r>
    </w:p>
    <w:p w:rsidR="00EF64A4">
      <w:pPr>
        <w:ind w:firstLine="420" w:firstLineChars="200"/>
        <w:rPr>
          <w:rFonts w:ascii="宋体" w:eastAsia="宋体" w:hAnsi="宋体" w:cs="宋体" w:hint="eastAsia"/>
          <w:szCs w:val="21"/>
        </w:rPr>
      </w:pPr>
      <w:r>
        <w:rPr>
          <w:rFonts w:ascii="宋体" w:eastAsia="宋体" w:hAnsi="宋体" w:cs="宋体" w:hint="eastAsia"/>
          <w:szCs w:val="21"/>
        </w:rPr>
        <w:t>甲方应按以下方式支付研究开发经费和报酬：</w:t>
      </w:r>
    </w:p>
    <w:p w:rsidR="00EF64A4">
      <w:pPr>
        <w:numPr>
          <w:ilvl w:val="0"/>
          <w:numId w:val="31"/>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rsidR="00EF64A4">
      <w:pPr>
        <w:numPr>
          <w:ilvl w:val="0"/>
          <w:numId w:val="32"/>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EF64A4">
      <w:pPr>
        <w:numPr>
          <w:ilvl w:val="0"/>
          <w:numId w:val="32"/>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EF64A4">
      <w:pPr>
        <w:numPr>
          <w:ilvl w:val="0"/>
          <w:numId w:val="32"/>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EF64A4">
      <w:pPr>
        <w:numPr>
          <w:ilvl w:val="0"/>
          <w:numId w:val="32"/>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p>
    <w:p w:rsidR="00EF64A4">
      <w:pPr>
        <w:numPr>
          <w:ilvl w:val="0"/>
          <w:numId w:val="31"/>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 xml:space="preserve">研究开发经费由甲方分期支付给乙方。具体支付方式和时间如下： </w:t>
      </w:r>
    </w:p>
    <w:p w:rsidR="00EF64A4">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rsidR="00EF64A4">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  】</w:t>
      </w:r>
      <w:r>
        <w:rPr>
          <w:rFonts w:ascii="宋体" w:eastAsia="宋体" w:hAnsi="宋体" w:cs="宋体" w:hint="eastAsia"/>
          <w:szCs w:val="21"/>
        </w:rPr>
        <w:t>个</w:t>
      </w:r>
      <w:r>
        <w:rPr>
          <w:rFonts w:ascii="宋体" w:eastAsia="宋体" w:hAnsi="宋体" w:cs="宋体" w:hint="eastAsia"/>
          <w:szCs w:val="21"/>
        </w:rPr>
        <w:t>工作日内，甲方向乙方支付本合同首付款至乙方指定账户，首付款为合同总额</w:t>
      </w:r>
      <w:r w:rsidRPr="00A8300B" w:rsidR="00A8300B">
        <w:rPr>
          <w:rFonts w:ascii="宋体" w:eastAsia="宋体" w:hAnsi="宋体" w:cs="宋体" w:hint="eastAsia"/>
          <w:szCs w:val="21"/>
          <w:highlight w:val="yellow"/>
        </w:rPr>
        <w:t>的</w:t>
      </w:r>
      <w:r w:rsidRPr="00A8300B" w:rsidR="00A8300B">
        <w:rPr>
          <w:rFonts w:ascii="宋体" w:eastAsia="宋体" w:hAnsi="宋体" w:cs="宋体" w:hint="eastAsia"/>
          <w:szCs w:val="21"/>
          <w:highlight w:val="yellow"/>
          <w:u w:val="single"/>
        </w:rPr>
        <w:t xml:space="preserve">  </w:t>
      </w:r>
      <w:r w:rsidRPr="00A8300B" w:rsidR="00A8300B">
        <w:rPr>
          <w:rFonts w:ascii="宋体" w:eastAsia="宋体" w:hAnsi="宋体" w:cs="宋体" w:hint="eastAsia"/>
          <w:szCs w:val="21"/>
          <w:highlight w:val="yellow"/>
          <w:u w:val="single"/>
        </w:rPr>
        <w:t>9</w:t>
      </w:r>
      <w:r w:rsidRPr="00A8300B" w:rsidR="00A8300B">
        <w:rPr>
          <w:rFonts w:ascii="宋体" w:eastAsia="宋体" w:hAnsi="宋体" w:cs="宋体" w:hint="eastAsia"/>
          <w:szCs w:val="21"/>
          <w:highlight w:val="yellow"/>
          <w:u w:val="single"/>
        </w:rPr>
        <w:t>0  %</w:t>
      </w:r>
      <w:r>
        <w:rPr>
          <w:rFonts w:ascii="宋体" w:eastAsia="宋体" w:hAnsi="宋体" w:cs="宋体" w:hint="eastAsia"/>
          <w:szCs w:val="21"/>
        </w:rPr>
        <w:t>，即：</w:t>
      </w:r>
      <w:r>
        <w:rPr>
          <w:rFonts w:ascii="宋体" w:eastAsia="宋体" w:hAnsi="宋体" w:cs="宋体" w:hint="eastAsia"/>
          <w:szCs w:val="21"/>
          <w:u w:val="single"/>
        </w:rPr>
        <w:t>￥    元（大写：人民币    元整）；</w:t>
      </w:r>
    </w:p>
    <w:p w:rsidR="00EF64A4">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第二阶段：乙方完成</w:t>
      </w:r>
      <w:r>
        <w:rPr>
          <w:rFonts w:ascii="宋体" w:eastAsia="宋体" w:hAnsi="宋体" w:cs="宋体" w:hint="eastAsia"/>
          <w:szCs w:val="21"/>
          <w:u w:val="single"/>
        </w:rPr>
        <w:t xml:space="preserve">                                 </w:t>
      </w:r>
      <w:r>
        <w:rPr>
          <w:rFonts w:ascii="宋体" w:eastAsia="宋体" w:hAnsi="宋体" w:cs="宋体" w:hint="eastAsia"/>
          <w:szCs w:val="21"/>
        </w:rPr>
        <w:t>，甲方向乙方支付本合同总额的</w:t>
      </w:r>
      <w:r>
        <w:rPr>
          <w:rFonts w:ascii="宋体" w:eastAsia="宋体" w:hAnsi="宋体" w:cs="宋体" w:hint="eastAsia"/>
          <w:szCs w:val="21"/>
          <w:u w:val="single"/>
        </w:rPr>
        <w:t>_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w:t>
      </w:r>
    </w:p>
    <w:p w:rsidR="00EF64A4">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第X阶段：乙方完成</w:t>
      </w:r>
      <w:r>
        <w:rPr>
          <w:rFonts w:ascii="宋体" w:eastAsia="宋体" w:hAnsi="宋体" w:cs="宋体" w:hint="eastAsia"/>
          <w:szCs w:val="21"/>
          <w:u w:val="single"/>
        </w:rPr>
        <w:t xml:space="preserve">                                 </w:t>
      </w:r>
      <w:r>
        <w:rPr>
          <w:rFonts w:ascii="宋体" w:eastAsia="宋体" w:hAnsi="宋体" w:cs="宋体" w:hint="eastAsia"/>
          <w:szCs w:val="21"/>
        </w:rPr>
        <w:t>，甲方向乙方支付本合同总额的</w:t>
      </w:r>
      <w:r>
        <w:rPr>
          <w:rFonts w:ascii="宋体" w:eastAsia="宋体" w:hAnsi="宋体" w:cs="宋体" w:hint="eastAsia"/>
          <w:szCs w:val="21"/>
          <w:u w:val="single"/>
        </w:rPr>
        <w:t>_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w:t>
      </w:r>
    </w:p>
    <w:p w:rsidR="00EF64A4">
      <w:pPr>
        <w:tabs>
          <w:tab w:val="left" w:pos="720"/>
        </w:tabs>
        <w:ind w:firstLine="420" w:firstLineChars="200"/>
        <w:rPr>
          <w:rFonts w:ascii="宋体" w:eastAsia="宋体" w:hAnsi="宋体" w:cs="宋体" w:hint="eastAsia"/>
          <w:szCs w:val="21"/>
        </w:rPr>
      </w:pPr>
      <w:r>
        <w:rPr>
          <w:rFonts w:ascii="Arial" w:eastAsia="仿宋_GB2312" w:hAnsi="Arial" w:cs="Arial"/>
          <w:szCs w:val="21"/>
        </w:rPr>
        <w:t>………</w:t>
      </w:r>
    </w:p>
    <w:p w:rsidR="00EF64A4">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第X阶段：最后一次付款额应为本合同总额</w:t>
      </w:r>
      <w:r w:rsidRPr="00A8300B">
        <w:rPr>
          <w:rFonts w:ascii="宋体" w:eastAsia="宋体" w:hAnsi="宋体" w:cs="宋体" w:hint="eastAsia"/>
          <w:szCs w:val="21"/>
          <w:highlight w:val="yellow"/>
        </w:rPr>
        <w:t>的</w:t>
      </w:r>
      <w:r w:rsidRPr="00A8300B">
        <w:rPr>
          <w:rFonts w:ascii="宋体" w:eastAsia="宋体" w:hAnsi="宋体" w:cs="宋体" w:hint="eastAsia"/>
          <w:szCs w:val="21"/>
          <w:highlight w:val="yellow"/>
          <w:u w:val="single"/>
        </w:rPr>
        <w:t xml:space="preserve">  </w:t>
      </w:r>
      <w:r w:rsidRPr="00A8300B" w:rsidR="00A8300B">
        <w:rPr>
          <w:rFonts w:ascii="宋体" w:eastAsia="宋体" w:hAnsi="宋体" w:cs="宋体" w:hint="eastAsia"/>
          <w:szCs w:val="21"/>
          <w:highlight w:val="yellow"/>
          <w:u w:val="single"/>
        </w:rPr>
        <w:t>10</w:t>
      </w:r>
      <w:r w:rsidRPr="00A8300B">
        <w:rPr>
          <w:rFonts w:ascii="宋体" w:eastAsia="宋体" w:hAnsi="宋体" w:cs="宋体" w:hint="eastAsia"/>
          <w:szCs w:val="21"/>
          <w:highlight w:val="yellow"/>
          <w:u w:val="single"/>
        </w:rPr>
        <w:t xml:space="preserve">  %</w:t>
      </w:r>
      <w:r>
        <w:rPr>
          <w:rFonts w:ascii="宋体" w:eastAsia="宋体" w:hAnsi="宋体" w:cs="宋体" w:hint="eastAsia"/>
          <w:szCs w:val="21"/>
        </w:rPr>
        <w:t>，甲方应在乙方完成</w:t>
      </w:r>
      <w:r>
        <w:rPr>
          <w:rFonts w:ascii="宋体" w:eastAsia="宋体" w:hAnsi="宋体" w:cs="宋体" w:hint="eastAsia"/>
          <w:szCs w:val="21"/>
          <w:u w:val="single"/>
        </w:rPr>
        <w:t xml:space="preserve">           ，</w:t>
      </w:r>
      <w:r>
        <w:rPr>
          <w:rFonts w:ascii="宋体" w:eastAsia="宋体" w:hAnsi="宋体" w:cs="宋体" w:hint="eastAsia"/>
          <w:szCs w:val="21"/>
        </w:rPr>
        <w:t>并完全履行合同约定全部义务后</w:t>
      </w:r>
      <w:r>
        <w:rPr>
          <w:rFonts w:ascii="宋体" w:eastAsia="宋体" w:hAnsi="宋体" w:cs="宋体" w:hint="eastAsia"/>
          <w:szCs w:val="21"/>
          <w:u w:val="single"/>
        </w:rPr>
        <w:t>【   】</w:t>
      </w:r>
      <w:r>
        <w:rPr>
          <w:rFonts w:ascii="宋体" w:eastAsia="宋体" w:hAnsi="宋体" w:cs="宋体" w:hint="eastAsia"/>
          <w:szCs w:val="21"/>
        </w:rPr>
        <w:t>日内付给乙方。</w:t>
      </w:r>
    </w:p>
    <w:p w:rsidR="00EF64A4">
      <w:pPr>
        <w:numPr>
          <w:ilvl w:val="0"/>
          <w:numId w:val="31"/>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履约保证金</w:t>
      </w:r>
    </w:p>
    <w:p w:rsidR="00EF64A4">
      <w:pPr>
        <w:numPr>
          <w:ilvl w:val="0"/>
          <w:numId w:val="33"/>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合同签订后</w:t>
      </w:r>
      <w:r>
        <w:rPr>
          <w:rFonts w:ascii="宋体" w:eastAsia="宋体" w:hAnsi="宋体" w:cs="宋体" w:hint="eastAsia"/>
          <w:szCs w:val="21"/>
          <w:u w:val="single"/>
        </w:rPr>
        <w:t>【   】</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如果乙方未按合同要求履行合同，或因乙方原因导致本合同解除的，甲方将不予归还履约保证金。如乙方未按前述约定支付保证金，甲方有权直接在研究开发经费和报酬中扣除相应费用。</w:t>
      </w:r>
    </w:p>
    <w:p w:rsidR="00EF64A4">
      <w:pPr>
        <w:numPr>
          <w:ilvl w:val="0"/>
          <w:numId w:val="33"/>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质</w:t>
      </w:r>
      <w:r>
        <w:rPr>
          <w:rFonts w:ascii="宋体" w:eastAsia="宋体" w:hAnsi="宋体" w:cs="宋体" w:hint="eastAsia"/>
          <w:szCs w:val="21"/>
        </w:rPr>
        <w:t>保阶段</w:t>
      </w:r>
      <w:r>
        <w:rPr>
          <w:rFonts w:ascii="宋体" w:eastAsia="宋体" w:hAnsi="宋体" w:cs="宋体" w:hint="eastAsia"/>
          <w:szCs w:val="21"/>
        </w:rPr>
        <w:t>结束后</w:t>
      </w:r>
      <w:r>
        <w:rPr>
          <w:rFonts w:ascii="宋体" w:eastAsia="宋体" w:hAnsi="宋体" w:cs="宋体" w:hint="eastAsia"/>
          <w:szCs w:val="21"/>
          <w:u w:val="single"/>
        </w:rPr>
        <w:t>【   】</w:t>
      </w:r>
      <w:r>
        <w:rPr>
          <w:rFonts w:ascii="宋体" w:eastAsia="宋体" w:hAnsi="宋体" w:cs="宋体" w:hint="eastAsia"/>
          <w:szCs w:val="21"/>
        </w:rPr>
        <w:t>个</w:t>
      </w:r>
      <w:r>
        <w:rPr>
          <w:rFonts w:ascii="宋体" w:eastAsia="宋体" w:hAnsi="宋体" w:cs="宋体" w:hint="eastAsia"/>
          <w:szCs w:val="21"/>
        </w:rPr>
        <w:t>工作日内，无息返还履约保证金。如乙方在质</w:t>
      </w:r>
      <w:r>
        <w:rPr>
          <w:rFonts w:ascii="宋体" w:eastAsia="宋体" w:hAnsi="宋体" w:cs="宋体" w:hint="eastAsia"/>
          <w:szCs w:val="21"/>
        </w:rPr>
        <w:t>保期间</w:t>
      </w:r>
      <w:r>
        <w:rPr>
          <w:rFonts w:ascii="宋体" w:eastAsia="宋体" w:hAnsi="宋体" w:cs="宋体" w:hint="eastAsia"/>
          <w:szCs w:val="21"/>
        </w:rPr>
        <w:t>内发生被甲方索赔款项，则相应金额从履约保证金中扣除，累计超过履约保证金数额的由乙方另外支付。如在补偿上述损失后合同继续履行的，乙方应在合同继续履行或甲方书面通知后【   】日内补齐履约保证金。</w:t>
      </w:r>
    </w:p>
    <w:p w:rsidR="00EF64A4">
      <w:pPr>
        <w:numPr>
          <w:ilvl w:val="0"/>
          <w:numId w:val="33"/>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履约保证金应用本合同货币。</w:t>
      </w:r>
    </w:p>
    <w:p w:rsidR="00EF64A4">
      <w:pPr>
        <w:numPr>
          <w:ilvl w:val="0"/>
          <w:numId w:val="31"/>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1"/>
        <w:gridCol w:w="45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EF64A4">
            <w:pPr>
              <w:tabs>
                <w:tab w:val="left" w:pos="720"/>
              </w:tabs>
              <w:ind w:firstLine="200"/>
              <w:rPr>
                <w:rFonts w:ascii="宋体" w:eastAsia="宋体" w:hAnsi="宋体" w:cs="宋体" w:hint="eastAsia"/>
                <w:szCs w:val="21"/>
              </w:rPr>
            </w:pPr>
            <w:r>
              <w:rPr>
                <w:rFonts w:ascii="宋体" w:eastAsia="宋体" w:hAnsi="宋体" w:cs="宋体" w:hint="eastAsia"/>
                <w:szCs w:val="21"/>
              </w:rPr>
              <w:t>甲方开户银行名称、地址和账号为：</w:t>
            </w:r>
          </w:p>
        </w:tc>
        <w:tc>
          <w:tcPr>
            <w:tcW w:w="2500" w:type="pct"/>
          </w:tcPr>
          <w:p w:rsidR="00EF64A4">
            <w:pPr>
              <w:tabs>
                <w:tab w:val="left" w:pos="720"/>
              </w:tabs>
              <w:ind w:firstLine="200"/>
              <w:rPr>
                <w:rFonts w:ascii="宋体" w:eastAsia="宋体" w:hAnsi="宋体" w:cs="宋体" w:hint="eastAsia"/>
                <w:szCs w:val="21"/>
              </w:rPr>
            </w:pPr>
            <w:r>
              <w:rPr>
                <w:rFonts w:ascii="宋体" w:eastAsia="宋体" w:hAnsi="宋体" w:cs="宋体" w:hint="eastAsia"/>
                <w:szCs w:val="21"/>
              </w:rPr>
              <w:t>乙方开户银行名称、地址和账号为：</w:t>
            </w:r>
          </w:p>
        </w:tc>
      </w:tr>
      <w:tr>
        <w:tblPrEx>
          <w:tblW w:w="5000" w:type="pct"/>
          <w:tblLook w:val="04A0"/>
        </w:tblPrEx>
        <w:tc>
          <w:tcPr>
            <w:tcW w:w="2500" w:type="pct"/>
          </w:tcPr>
          <w:p w:rsidR="00EF64A4">
            <w:pPr>
              <w:tabs>
                <w:tab w:val="left" w:pos="720"/>
              </w:tabs>
              <w:ind w:firstLine="200"/>
              <w:rPr>
                <w:rFonts w:ascii="宋体" w:eastAsia="宋体" w:hAnsi="宋体" w:cs="宋体" w:hint="eastAsia"/>
                <w:szCs w:val="21"/>
              </w:rPr>
            </w:pPr>
            <w:r>
              <w:rPr>
                <w:rFonts w:ascii="宋体" w:eastAsia="宋体" w:hAnsi="宋体" w:cs="宋体" w:hint="eastAsia"/>
                <w:szCs w:val="21"/>
              </w:rPr>
              <w:t>开户银行：</w:t>
            </w:r>
          </w:p>
        </w:tc>
        <w:tc>
          <w:tcPr>
            <w:tcW w:w="2500" w:type="pct"/>
          </w:tcPr>
          <w:p w:rsidR="00EF64A4">
            <w:pPr>
              <w:tabs>
                <w:tab w:val="left" w:pos="720"/>
              </w:tabs>
              <w:ind w:firstLine="200"/>
              <w:rPr>
                <w:rFonts w:ascii="宋体" w:eastAsia="宋体" w:hAnsi="宋体" w:cs="宋体" w:hint="eastAsia"/>
                <w:szCs w:val="21"/>
              </w:rPr>
            </w:pPr>
            <w:r>
              <w:rPr>
                <w:rFonts w:ascii="宋体" w:eastAsia="宋体" w:hAnsi="宋体" w:cs="宋体" w:hint="eastAsia"/>
                <w:szCs w:val="21"/>
              </w:rPr>
              <w:t>开户银行：</w:t>
            </w:r>
          </w:p>
        </w:tc>
      </w:tr>
      <w:tr>
        <w:tblPrEx>
          <w:tblW w:w="5000" w:type="pct"/>
          <w:tblLook w:val="04A0"/>
        </w:tblPrEx>
        <w:tc>
          <w:tcPr>
            <w:tcW w:w="2500" w:type="pct"/>
          </w:tcPr>
          <w:p w:rsidR="00EF64A4">
            <w:pPr>
              <w:tabs>
                <w:tab w:val="left" w:pos="720"/>
              </w:tabs>
              <w:ind w:firstLine="200"/>
              <w:rPr>
                <w:rFonts w:ascii="宋体" w:eastAsia="宋体" w:hAnsi="宋体" w:cs="宋体" w:hint="eastAsia"/>
                <w:szCs w:val="21"/>
              </w:rPr>
            </w:pPr>
            <w:r>
              <w:rPr>
                <w:rFonts w:ascii="宋体" w:eastAsia="宋体" w:hAnsi="宋体" w:cs="宋体" w:hint="eastAsia"/>
                <w:szCs w:val="21"/>
              </w:rPr>
              <w:t>地址：</w:t>
            </w:r>
          </w:p>
        </w:tc>
        <w:tc>
          <w:tcPr>
            <w:tcW w:w="2500" w:type="pct"/>
          </w:tcPr>
          <w:p w:rsidR="00EF64A4">
            <w:pPr>
              <w:tabs>
                <w:tab w:val="left" w:pos="720"/>
              </w:tabs>
              <w:ind w:firstLine="200"/>
              <w:rPr>
                <w:rFonts w:ascii="宋体" w:eastAsia="宋体" w:hAnsi="宋体" w:cs="宋体" w:hint="eastAsia"/>
                <w:szCs w:val="21"/>
              </w:rPr>
            </w:pPr>
            <w:r>
              <w:rPr>
                <w:rFonts w:ascii="宋体" w:eastAsia="宋体" w:hAnsi="宋体" w:cs="宋体" w:hint="eastAsia"/>
                <w:szCs w:val="21"/>
              </w:rPr>
              <w:t>地址：</w:t>
            </w:r>
          </w:p>
        </w:tc>
      </w:tr>
      <w:tr>
        <w:tblPrEx>
          <w:tblW w:w="5000" w:type="pct"/>
          <w:tblLook w:val="04A0"/>
        </w:tblPrEx>
        <w:tc>
          <w:tcPr>
            <w:tcW w:w="2500" w:type="pct"/>
          </w:tcPr>
          <w:p w:rsidR="00EF64A4">
            <w:pPr>
              <w:tabs>
                <w:tab w:val="left" w:pos="720"/>
              </w:tabs>
              <w:ind w:firstLine="200"/>
              <w:rPr>
                <w:rFonts w:ascii="宋体" w:eastAsia="宋体" w:hAnsi="宋体" w:cs="宋体" w:hint="eastAsia"/>
                <w:szCs w:val="21"/>
              </w:rPr>
            </w:pPr>
            <w:r>
              <w:rPr>
                <w:rFonts w:ascii="宋体" w:eastAsia="宋体" w:hAnsi="宋体" w:cs="宋体" w:hint="eastAsia"/>
                <w:szCs w:val="21"/>
              </w:rPr>
              <w:t>账号：</w:t>
            </w:r>
          </w:p>
        </w:tc>
        <w:tc>
          <w:tcPr>
            <w:tcW w:w="2500" w:type="pct"/>
          </w:tcPr>
          <w:p w:rsidR="00EF64A4">
            <w:pPr>
              <w:tabs>
                <w:tab w:val="left" w:pos="720"/>
              </w:tabs>
              <w:ind w:firstLine="200"/>
              <w:rPr>
                <w:rFonts w:ascii="宋体" w:eastAsia="宋体" w:hAnsi="宋体" w:cs="宋体" w:hint="eastAsia"/>
                <w:szCs w:val="21"/>
              </w:rPr>
            </w:pPr>
            <w:r>
              <w:rPr>
                <w:rFonts w:ascii="宋体" w:eastAsia="宋体" w:hAnsi="宋体" w:cs="宋体" w:hint="eastAsia"/>
                <w:szCs w:val="21"/>
              </w:rPr>
              <w:t>账号：</w:t>
            </w:r>
          </w:p>
        </w:tc>
      </w:tr>
    </w:tbl>
    <w:p w:rsidR="00EF64A4">
      <w:pPr>
        <w:numPr>
          <w:ilvl w:val="0"/>
          <w:numId w:val="31"/>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拒付条件</w:t>
      </w:r>
    </w:p>
    <w:p w:rsidR="00EF64A4">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凡构成下列条件之一，甲方均有权拒付相应后续服务报酬：</w:t>
      </w:r>
    </w:p>
    <w:p w:rsidR="00EF64A4">
      <w:pPr>
        <w:numPr>
          <w:ilvl w:val="0"/>
          <w:numId w:val="34"/>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乙方丧失继续完成本合同的基本条件或能力时；</w:t>
      </w:r>
    </w:p>
    <w:p w:rsidR="00EF64A4">
      <w:pPr>
        <w:numPr>
          <w:ilvl w:val="0"/>
          <w:numId w:val="34"/>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乙方开展技术服务的进度严重后拖，已使合同规定的总进度及对应的条款失去执行意义时；</w:t>
      </w:r>
    </w:p>
    <w:p w:rsidR="00EF64A4">
      <w:pPr>
        <w:numPr>
          <w:ilvl w:val="0"/>
          <w:numId w:val="34"/>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乙方出现严重违约行为时（如擅自更改甲方所规定的技术要求等）；</w:t>
      </w:r>
    </w:p>
    <w:p w:rsidR="00EF64A4">
      <w:pPr>
        <w:numPr>
          <w:ilvl w:val="0"/>
          <w:numId w:val="34"/>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rsidR="00EF64A4">
      <w:pPr>
        <w:keepNext/>
        <w:keepLines/>
        <w:numPr>
          <w:ilvl w:val="0"/>
          <w:numId w:val="5"/>
        </w:numPr>
        <w:spacing w:before="60" w:after="60" w:line="360" w:lineRule="auto"/>
        <w:ind w:left="0" w:firstLine="420" w:firstLineChars="200"/>
        <w:outlineLvl w:val="1"/>
        <w:rPr>
          <w:rFonts w:ascii="宋体" w:eastAsia="宋体" w:hAnsi="宋体" w:cs="宋体" w:hint="eastAsia"/>
          <w:b/>
          <w:bCs/>
          <w:szCs w:val="21"/>
        </w:rPr>
      </w:pPr>
      <w:r>
        <w:rPr>
          <w:rFonts w:ascii="宋体" w:eastAsia="宋体" w:hAnsi="宋体" w:cs="宋体"/>
          <w:b/>
          <w:bCs/>
          <w:szCs w:val="21"/>
        </w:rPr>
        <w:t>税务条款</w:t>
      </w:r>
    </w:p>
    <w:p w:rsidR="00EF64A4">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EF64A4">
      <w:pPr>
        <w:keepNext/>
        <w:keepLines/>
        <w:numPr>
          <w:ilvl w:val="0"/>
          <w:numId w:val="5"/>
        </w:numPr>
        <w:spacing w:before="60" w:after="60" w:line="360" w:lineRule="auto"/>
        <w:ind w:left="0" w:firstLine="420" w:firstLineChars="200"/>
        <w:outlineLvl w:val="1"/>
        <w:rPr>
          <w:rFonts w:ascii="宋体" w:eastAsia="宋体" w:hAnsi="宋体" w:cs="宋体" w:hint="eastAsia"/>
          <w:b/>
          <w:bCs/>
          <w:szCs w:val="21"/>
        </w:rPr>
      </w:pPr>
      <w:bookmarkStart w:id="71" w:name="_Toc150439569"/>
      <w:r>
        <w:rPr>
          <w:rFonts w:ascii="宋体" w:eastAsia="宋体" w:hAnsi="宋体" w:cs="宋体" w:hint="eastAsia"/>
          <w:b/>
          <w:bCs/>
          <w:szCs w:val="21"/>
        </w:rPr>
        <w:t>项目验收</w:t>
      </w:r>
      <w:bookmarkEnd w:id="71"/>
    </w:p>
    <w:p w:rsidR="00EF64A4">
      <w:pPr>
        <w:ind w:firstLine="420" w:firstLineChars="200"/>
        <w:rPr>
          <w:rFonts w:ascii="宋体" w:eastAsia="宋体" w:hAnsi="宋体" w:cs="宋体" w:hint="eastAsia"/>
          <w:szCs w:val="21"/>
        </w:rPr>
      </w:pPr>
      <w:r>
        <w:rPr>
          <w:rFonts w:ascii="宋体" w:eastAsia="宋体" w:hAnsi="宋体" w:cs="宋体" w:hint="eastAsia"/>
          <w:szCs w:val="21"/>
        </w:rPr>
        <w:t>1.系统测试</w:t>
      </w:r>
    </w:p>
    <w:p w:rsidR="00EF64A4">
      <w:pPr>
        <w:ind w:firstLine="420" w:firstLineChars="200"/>
        <w:rPr>
          <w:rFonts w:ascii="宋体" w:eastAsia="宋体" w:hAnsi="宋体" w:cs="宋体" w:hint="eastAsia"/>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rsidR="00EF64A4">
      <w:pPr>
        <w:numPr>
          <w:ilvl w:val="0"/>
          <w:numId w:val="35"/>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rsidR="00EF64A4">
      <w:pPr>
        <w:numPr>
          <w:ilvl w:val="0"/>
          <w:numId w:val="35"/>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rsidR="00EF64A4">
      <w:pPr>
        <w:numPr>
          <w:ilvl w:val="0"/>
          <w:numId w:val="35"/>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全部源代码（电子版）；                                                      </w:t>
      </w:r>
    </w:p>
    <w:p w:rsidR="00EF64A4">
      <w:pPr>
        <w:numPr>
          <w:ilvl w:val="0"/>
          <w:numId w:val="35"/>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                                                                           </w:t>
      </w:r>
    </w:p>
    <w:p w:rsidR="00EF64A4">
      <w:pPr>
        <w:ind w:firstLine="420" w:firstLineChars="200"/>
        <w:rPr>
          <w:rFonts w:ascii="宋体" w:eastAsia="宋体" w:hAnsi="宋体" w:cs="宋体" w:hint="eastAsia"/>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EF64A4">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甲方应在审核通过测试申请后的【   】</w:t>
      </w:r>
      <w:r>
        <w:rPr>
          <w:rFonts w:ascii="宋体" w:eastAsia="宋体" w:hAnsi="宋体" w:cs="宋体" w:hint="eastAsia"/>
          <w:szCs w:val="21"/>
        </w:rPr>
        <w:t>个</w:t>
      </w:r>
      <w:r>
        <w:rPr>
          <w:rFonts w:ascii="宋体" w:eastAsia="宋体" w:hAnsi="宋体" w:cs="宋体" w:hint="eastAsia"/>
          <w:szCs w:val="21"/>
        </w:rPr>
        <w:t>工作日内组织由甲方或甲方委托的第三方主持的软件测试，乙方参加，对软件进行测试。测试时应有甲方现场确认交付的全部源代码通过编译获得可执行程序的环节。</w:t>
      </w:r>
    </w:p>
    <w:p w:rsidR="00EF64A4">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确认其符合甲方要求的测试标准后，甲方签字确认。</w:t>
      </w:r>
    </w:p>
    <w:p w:rsidR="00EF64A4">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2.项目初验</w:t>
      </w:r>
    </w:p>
    <w:p w:rsidR="00EF64A4">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rsidR="00EF64A4">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3.系统试运行</w:t>
      </w:r>
    </w:p>
    <w:p w:rsidR="00EF64A4">
      <w:pPr>
        <w:ind w:firstLine="420" w:firstLineChars="200"/>
        <w:rPr>
          <w:rFonts w:ascii="宋体" w:eastAsia="宋体" w:hAnsi="宋体" w:cs="宋体" w:hint="eastAsia"/>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 xml:space="preserve">月的试运行权利。试运行期间，乙方应进行全程跟踪，提供全面技术支持服务，及时修改、完善、补充系统功能，确保试运行的顺利进行。   </w:t>
      </w:r>
    </w:p>
    <w:p w:rsidR="00EF64A4">
      <w:pPr>
        <w:ind w:firstLine="420" w:firstLineChars="200"/>
        <w:rPr>
          <w:rFonts w:ascii="宋体" w:eastAsia="宋体" w:hAnsi="宋体" w:cs="宋体" w:hint="eastAsia"/>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rsidR="00EF64A4">
      <w:pPr>
        <w:ind w:firstLine="420" w:firstLineChars="200"/>
        <w:rPr>
          <w:rFonts w:ascii="宋体" w:eastAsia="宋体" w:hAnsi="宋体" w:cs="宋体" w:hint="eastAsia"/>
          <w:szCs w:val="21"/>
        </w:rPr>
      </w:pPr>
      <w:r>
        <w:rPr>
          <w:rFonts w:ascii="宋体" w:eastAsia="宋体" w:hAnsi="宋体" w:cs="宋体" w:hint="eastAsia"/>
          <w:szCs w:val="21"/>
        </w:rPr>
        <w:t>4.项目终验</w:t>
      </w:r>
    </w:p>
    <w:p w:rsidR="00EF64A4">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w:t>
      </w:r>
      <w:r>
        <w:rPr>
          <w:rFonts w:ascii="宋体" w:eastAsia="宋体" w:hAnsi="宋体" w:cs="宋体" w:hint="eastAsia"/>
          <w:szCs w:val="21"/>
        </w:rPr>
        <w:t>验通过</w:t>
      </w:r>
      <w:r>
        <w:rPr>
          <w:rFonts w:ascii="宋体" w:eastAsia="宋体" w:hAnsi="宋体" w:cs="宋体" w:hint="eastAsia"/>
          <w:szCs w:val="21"/>
        </w:rPr>
        <w:t>后签署终验报告。</w:t>
      </w:r>
    </w:p>
    <w:p w:rsidR="00EF64A4">
      <w:pPr>
        <w:ind w:firstLine="420" w:firstLineChars="200"/>
        <w:rPr>
          <w:rFonts w:ascii="宋体" w:eastAsia="宋体" w:hAnsi="宋体" w:cs="宋体" w:hint="eastAsia"/>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rsidR="00EF64A4">
      <w:pPr>
        <w:keepNext/>
        <w:keepLines/>
        <w:numPr>
          <w:ilvl w:val="0"/>
          <w:numId w:val="5"/>
        </w:numPr>
        <w:spacing w:before="60" w:after="60" w:line="360" w:lineRule="auto"/>
        <w:ind w:left="0" w:firstLine="420" w:firstLineChars="200"/>
        <w:outlineLvl w:val="1"/>
        <w:rPr>
          <w:rFonts w:ascii="宋体" w:eastAsia="宋体" w:hAnsi="宋体" w:cs="宋体" w:hint="eastAsia"/>
          <w:b/>
          <w:bCs/>
          <w:szCs w:val="21"/>
        </w:rPr>
      </w:pPr>
      <w:bookmarkStart w:id="72" w:name="_Toc150439566"/>
      <w:r>
        <w:rPr>
          <w:rFonts w:ascii="宋体" w:eastAsia="宋体" w:hAnsi="宋体" w:cs="宋体" w:hint="eastAsia"/>
          <w:b/>
          <w:bCs/>
          <w:szCs w:val="21"/>
        </w:rPr>
        <w:t>质量保证</w:t>
      </w:r>
      <w:bookmarkEnd w:id="72"/>
    </w:p>
    <w:p w:rsidR="00EF64A4">
      <w:pPr>
        <w:ind w:firstLine="420" w:firstLineChars="200"/>
        <w:rPr>
          <w:rFonts w:ascii="宋体" w:eastAsia="宋体" w:hAnsi="宋体" w:cs="宋体" w:hint="eastAsia"/>
          <w:szCs w:val="21"/>
        </w:rPr>
      </w:pPr>
      <w:r>
        <w:rPr>
          <w:rFonts w:ascii="宋体" w:eastAsia="宋体" w:hAnsi="宋体" w:cs="宋体" w:hint="eastAsia"/>
          <w:szCs w:val="21"/>
        </w:rPr>
        <w:t>项目通过终验后，软件进入质量保证期。软件质量标准按照国标的软件工程化和质量保证要求执行。</w:t>
      </w:r>
    </w:p>
    <w:p w:rsidR="00EF64A4">
      <w:pPr>
        <w:numPr>
          <w:ilvl w:val="0"/>
          <w:numId w:val="36"/>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rsidR="00EF64A4">
      <w:pPr>
        <w:numPr>
          <w:ilvl w:val="0"/>
          <w:numId w:val="36"/>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rsidR="00EF64A4">
      <w:pPr>
        <w:numPr>
          <w:ilvl w:val="0"/>
          <w:numId w:val="36"/>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rsidR="00EF64A4">
      <w:pPr>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rsidR="00EF64A4">
      <w:pPr>
        <w:numPr>
          <w:ilvl w:val="0"/>
          <w:numId w:val="36"/>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EF64A4">
      <w:pPr>
        <w:numPr>
          <w:ilvl w:val="0"/>
          <w:numId w:val="36"/>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rsidR="00EF64A4">
      <w:pPr>
        <w:keepNext/>
        <w:keepLines/>
        <w:numPr>
          <w:ilvl w:val="0"/>
          <w:numId w:val="5"/>
        </w:numPr>
        <w:spacing w:before="60" w:after="60" w:line="360" w:lineRule="auto"/>
        <w:ind w:left="0" w:firstLine="420" w:firstLineChars="200"/>
        <w:outlineLvl w:val="1"/>
        <w:rPr>
          <w:rFonts w:ascii="宋体" w:eastAsia="宋体" w:hAnsi="宋体" w:cs="宋体" w:hint="eastAsia"/>
          <w:b/>
          <w:bCs/>
          <w:szCs w:val="21"/>
        </w:rPr>
      </w:pPr>
      <w:bookmarkStart w:id="73" w:name="_Toc150439612"/>
      <w:r>
        <w:rPr>
          <w:rFonts w:ascii="宋体" w:eastAsia="宋体" w:hAnsi="宋体" w:cs="宋体" w:hint="eastAsia"/>
          <w:b/>
          <w:bCs/>
          <w:szCs w:val="21"/>
        </w:rPr>
        <w:t>保密条款（保密协议）</w:t>
      </w:r>
      <w:bookmarkEnd w:id="73"/>
    </w:p>
    <w:p w:rsidR="00EF64A4">
      <w:pPr>
        <w:ind w:firstLine="420" w:firstLineChars="200"/>
        <w:rPr>
          <w:rFonts w:ascii="宋体" w:eastAsia="宋体" w:hAnsi="宋体" w:cs="宋体" w:hint="eastAsia"/>
          <w:szCs w:val="21"/>
        </w:rPr>
      </w:pPr>
      <w:r>
        <w:rPr>
          <w:rFonts w:ascii="宋体" w:eastAsia="宋体" w:hAnsi="宋体" w:cs="宋体" w:hint="eastAsia"/>
          <w:szCs w:val="21"/>
        </w:rPr>
        <w:t>甲方因履行本合同应遵守的保密义务如下：</w:t>
      </w:r>
    </w:p>
    <w:p w:rsidR="00EF64A4">
      <w:pPr>
        <w:numPr>
          <w:ilvl w:val="0"/>
          <w:numId w:val="37"/>
        </w:numPr>
        <w:spacing w:line="360" w:lineRule="auto"/>
        <w:ind w:firstLine="420" w:firstLineChars="200"/>
        <w:rPr>
          <w:rFonts w:ascii="宋体" w:eastAsia="宋体" w:hAnsi="宋体" w:cs="宋体" w:hint="eastAsia"/>
          <w:szCs w:val="21"/>
        </w:rPr>
      </w:pPr>
      <w:bookmarkStart w:id="74"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EF64A4">
      <w:pPr>
        <w:numPr>
          <w:ilvl w:val="0"/>
          <w:numId w:val="37"/>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rsidR="00EF64A4">
      <w:pPr>
        <w:numPr>
          <w:ilvl w:val="0"/>
          <w:numId w:val="37"/>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rsidR="00EF64A4">
      <w:pPr>
        <w:numPr>
          <w:ilvl w:val="0"/>
          <w:numId w:val="37"/>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74"/>
    <w:p w:rsidR="00EF64A4">
      <w:pPr>
        <w:ind w:firstLine="420" w:firstLineChars="200"/>
        <w:rPr>
          <w:rFonts w:ascii="宋体" w:eastAsia="宋体" w:hAnsi="宋体" w:cs="宋体" w:hint="eastAsia"/>
          <w:szCs w:val="21"/>
        </w:rPr>
      </w:pPr>
      <w:r>
        <w:rPr>
          <w:rFonts w:ascii="宋体" w:eastAsia="宋体" w:hAnsi="宋体" w:cs="宋体" w:hint="eastAsia"/>
          <w:szCs w:val="21"/>
        </w:rPr>
        <w:t>乙方因履行本合同应遵守的保密义务如下：</w:t>
      </w:r>
    </w:p>
    <w:p w:rsidR="00EF64A4">
      <w:pPr>
        <w:numPr>
          <w:ilvl w:val="0"/>
          <w:numId w:val="38"/>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保密内容（包括技术信息和经营信息）：</w:t>
      </w:r>
    </w:p>
    <w:p w:rsidR="00EF64A4">
      <w:pPr>
        <w:numPr>
          <w:ilvl w:val="0"/>
          <w:numId w:val="39"/>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rsidR="00EF64A4">
      <w:pPr>
        <w:numPr>
          <w:ilvl w:val="0"/>
          <w:numId w:val="39"/>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rsidR="00EF64A4">
      <w:pPr>
        <w:numPr>
          <w:ilvl w:val="0"/>
          <w:numId w:val="39"/>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涉及国家秘密和安全的 ，依照有关保密规定执行。                          </w:t>
      </w:r>
    </w:p>
    <w:p w:rsidR="00EF64A4">
      <w:pPr>
        <w:numPr>
          <w:ilvl w:val="0"/>
          <w:numId w:val="38"/>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rsidR="00EF64A4">
      <w:pPr>
        <w:numPr>
          <w:ilvl w:val="0"/>
          <w:numId w:val="38"/>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保密期限：</w:t>
      </w:r>
      <w:bookmarkStart w:id="75" w:name="_Hlk150343509"/>
      <w:r>
        <w:rPr>
          <w:rFonts w:ascii="宋体" w:eastAsia="宋体" w:hAnsi="宋体" w:cs="宋体" w:hint="eastAsia"/>
          <w:szCs w:val="21"/>
          <w:u w:val="single"/>
        </w:rPr>
        <w:t xml:space="preserve">                             </w:t>
      </w:r>
      <w:bookmarkEnd w:id="75"/>
      <w:r>
        <w:rPr>
          <w:rFonts w:ascii="宋体" w:eastAsia="宋体" w:hAnsi="宋体" w:cs="宋体" w:hint="eastAsia"/>
          <w:szCs w:val="21"/>
          <w:u w:val="single"/>
        </w:rPr>
        <w:t xml:space="preserve">                                </w:t>
      </w:r>
    </w:p>
    <w:p w:rsidR="00EF64A4">
      <w:pPr>
        <w:numPr>
          <w:ilvl w:val="0"/>
          <w:numId w:val="38"/>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rsidR="00EF64A4">
      <w:pPr>
        <w:ind w:firstLine="420" w:firstLineChars="200"/>
        <w:rPr>
          <w:rFonts w:ascii="宋体" w:eastAsia="宋体" w:hAnsi="宋体" w:cs="宋体" w:hint="eastAsia"/>
          <w:szCs w:val="21"/>
        </w:rPr>
      </w:pPr>
      <w:r>
        <w:rPr>
          <w:rFonts w:ascii="宋体" w:eastAsia="宋体" w:hAnsi="宋体" w:cs="宋体" w:hint="eastAsia"/>
          <w:color w:val="000000"/>
          <w:szCs w:val="21"/>
        </w:rPr>
        <w:t>本合同的解除或终止</w:t>
      </w:r>
      <w:r>
        <w:rPr>
          <w:rFonts w:ascii="宋体" w:eastAsia="宋体" w:hAnsi="宋体" w:cs="宋体" w:hint="eastAsia"/>
          <w:color w:val="000000"/>
          <w:szCs w:val="21"/>
        </w:rPr>
        <w:t>不</w:t>
      </w:r>
      <w:r>
        <w:rPr>
          <w:rFonts w:ascii="宋体" w:eastAsia="宋体" w:hAnsi="宋体" w:cs="宋体" w:hint="eastAsia"/>
          <w:color w:val="000000"/>
          <w:szCs w:val="21"/>
        </w:rPr>
        <w:t>免除甲乙双方应承担的保密义务。</w:t>
      </w:r>
    </w:p>
    <w:p w:rsidR="00EF64A4">
      <w:pPr>
        <w:keepNext/>
        <w:keepLines/>
        <w:numPr>
          <w:ilvl w:val="0"/>
          <w:numId w:val="5"/>
        </w:numPr>
        <w:spacing w:before="60" w:after="60" w:line="360" w:lineRule="auto"/>
        <w:ind w:left="0" w:firstLine="420" w:firstLineChars="200"/>
        <w:outlineLvl w:val="1"/>
        <w:rPr>
          <w:rFonts w:ascii="宋体" w:eastAsia="宋体" w:hAnsi="宋体" w:cs="宋体" w:hint="eastAsia"/>
          <w:b/>
          <w:bCs/>
          <w:szCs w:val="21"/>
        </w:rPr>
      </w:pPr>
      <w:bookmarkStart w:id="76" w:name="_Toc150439618"/>
      <w:r>
        <w:rPr>
          <w:rFonts w:ascii="宋体" w:eastAsia="宋体" w:hAnsi="宋体" w:cs="宋体" w:hint="eastAsia"/>
          <w:b/>
          <w:bCs/>
          <w:szCs w:val="21"/>
        </w:rPr>
        <w:t>违约</w:t>
      </w:r>
      <w:r>
        <w:rPr>
          <w:rFonts w:ascii="宋体" w:eastAsia="宋体" w:hAnsi="宋体" w:cs="宋体"/>
          <w:b/>
          <w:bCs/>
          <w:szCs w:val="21"/>
        </w:rPr>
        <w:t>责任及赔偿</w:t>
      </w:r>
      <w:bookmarkEnd w:id="76"/>
    </w:p>
    <w:p w:rsidR="00EF64A4">
      <w:pPr>
        <w:ind w:firstLine="420" w:firstLineChars="200"/>
        <w:rPr>
          <w:rFonts w:ascii="宋体" w:eastAsia="宋体" w:hAnsi="宋体" w:cs="宋体" w:hint="eastAsia"/>
          <w:szCs w:val="21"/>
        </w:rPr>
      </w:pPr>
      <w:r>
        <w:rPr>
          <w:rFonts w:ascii="宋体" w:eastAsia="宋体" w:hAnsi="宋体" w:cs="宋体" w:hint="eastAsia"/>
          <w:szCs w:val="21"/>
        </w:rPr>
        <w:t>任何一方违反本合同约定，造成研究开发工作停滞、延误或失败的，按以下约定承担违约责任：</w:t>
      </w:r>
    </w:p>
    <w:p w:rsidR="00EF64A4">
      <w:pPr>
        <w:numPr>
          <w:ilvl w:val="0"/>
          <w:numId w:val="40"/>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w:t>
      </w:r>
      <w:r>
        <w:rPr>
          <w:rFonts w:ascii="宋体" w:eastAsia="宋体" w:hAnsi="宋体" w:cs="宋体" w:hint="eastAsia"/>
          <w:szCs w:val="21"/>
        </w:rPr>
        <w:t>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rsidR="00EF64A4">
      <w:pPr>
        <w:numPr>
          <w:ilvl w:val="0"/>
          <w:numId w:val="40"/>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w:t>
      </w:r>
      <w:r>
        <w:rPr>
          <w:rFonts w:ascii="宋体" w:eastAsia="宋体" w:hAnsi="宋体" w:cs="宋体" w:hint="eastAsia"/>
          <w:szCs w:val="21"/>
        </w:rPr>
        <w:t>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EF64A4">
      <w:pPr>
        <w:numPr>
          <w:ilvl w:val="0"/>
          <w:numId w:val="40"/>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EF64A4">
      <w:pPr>
        <w:numPr>
          <w:ilvl w:val="0"/>
          <w:numId w:val="40"/>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rsidR="00EF64A4">
      <w:pPr>
        <w:numPr>
          <w:ilvl w:val="0"/>
          <w:numId w:val="40"/>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EF64A4">
      <w:pPr>
        <w:numPr>
          <w:ilvl w:val="0"/>
          <w:numId w:val="40"/>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rsidR="00EF64A4">
      <w:pPr>
        <w:numPr>
          <w:ilvl w:val="0"/>
          <w:numId w:val="40"/>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rsidR="00EF64A4">
      <w:pPr>
        <w:keepNext/>
        <w:keepLines/>
        <w:numPr>
          <w:ilvl w:val="0"/>
          <w:numId w:val="5"/>
        </w:numPr>
        <w:spacing w:before="60" w:after="60" w:line="360" w:lineRule="auto"/>
        <w:ind w:left="0" w:firstLine="420" w:firstLineChars="200"/>
        <w:outlineLvl w:val="1"/>
        <w:rPr>
          <w:rFonts w:ascii="宋体" w:eastAsia="宋体" w:hAnsi="宋体" w:cs="宋体" w:hint="eastAsia"/>
          <w:b/>
          <w:bCs/>
          <w:szCs w:val="21"/>
        </w:rPr>
      </w:pPr>
      <w:bookmarkStart w:id="77" w:name="_Toc150439619"/>
      <w:r>
        <w:rPr>
          <w:rFonts w:ascii="宋体" w:eastAsia="宋体" w:hAnsi="宋体" w:cs="宋体" w:hint="eastAsia"/>
          <w:b/>
          <w:bCs/>
          <w:szCs w:val="21"/>
        </w:rPr>
        <w:t>争议的解决</w:t>
      </w:r>
      <w:bookmarkEnd w:id="77"/>
    </w:p>
    <w:p w:rsidR="00EF64A4">
      <w:pPr>
        <w:ind w:firstLine="420" w:firstLineChars="200"/>
        <w:rPr>
          <w:rFonts w:ascii="宋体" w:eastAsia="宋体" w:hAnsi="宋体" w:cs="宋体" w:hint="eastAsia"/>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rsidR="00EF64A4">
      <w:pPr>
        <w:numPr>
          <w:ilvl w:val="0"/>
          <w:numId w:val="41"/>
        </w:numPr>
        <w:spacing w:line="360" w:lineRule="auto"/>
        <w:ind w:hanging="5"/>
        <w:rPr>
          <w:rFonts w:ascii="宋体" w:eastAsia="宋体" w:hAnsi="宋体" w:cs="宋体" w:hint="eastAsia"/>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rsidR="00EF64A4">
      <w:pPr>
        <w:numPr>
          <w:ilvl w:val="0"/>
          <w:numId w:val="41"/>
        </w:numPr>
        <w:spacing w:line="360" w:lineRule="auto"/>
        <w:ind w:hanging="5"/>
        <w:rPr>
          <w:rFonts w:ascii="宋体" w:eastAsia="宋体" w:hAnsi="宋体" w:cs="宋体" w:hint="eastAsia"/>
          <w:szCs w:val="21"/>
        </w:rPr>
      </w:pPr>
      <w:r>
        <w:rPr>
          <w:rFonts w:ascii="宋体" w:eastAsia="宋体" w:hAnsi="宋体" w:cs="宋体" w:hint="eastAsia"/>
          <w:szCs w:val="21"/>
        </w:rPr>
        <w:t>依法向甲方所在地人民法院起诉。</w:t>
      </w:r>
    </w:p>
    <w:p w:rsidR="00EF64A4">
      <w:pPr>
        <w:keepNext/>
        <w:keepLines/>
        <w:numPr>
          <w:ilvl w:val="0"/>
          <w:numId w:val="5"/>
        </w:numPr>
        <w:spacing w:before="60" w:after="60" w:line="360" w:lineRule="auto"/>
        <w:ind w:left="0" w:firstLine="420" w:firstLineChars="200"/>
        <w:outlineLvl w:val="1"/>
        <w:rPr>
          <w:rFonts w:ascii="宋体" w:eastAsia="宋体" w:hAnsi="宋体" w:cs="宋体" w:hint="eastAsia"/>
          <w:b/>
          <w:bCs/>
          <w:szCs w:val="21"/>
        </w:rPr>
      </w:pPr>
      <w:bookmarkStart w:id="78" w:name="_Toc150439621"/>
      <w:r>
        <w:rPr>
          <w:rFonts w:ascii="宋体" w:eastAsia="宋体" w:hAnsi="宋体" w:cs="宋体" w:hint="eastAsia"/>
          <w:b/>
          <w:bCs/>
          <w:szCs w:val="21"/>
        </w:rPr>
        <w:t>不可抗力</w:t>
      </w:r>
      <w:bookmarkEnd w:id="78"/>
    </w:p>
    <w:p w:rsidR="00EF64A4">
      <w:pPr>
        <w:numPr>
          <w:ilvl w:val="0"/>
          <w:numId w:val="4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w:t>
      </w:r>
      <w:r>
        <w:rPr>
          <w:rFonts w:ascii="宋体" w:eastAsia="宋体" w:hAnsi="宋体" w:cs="宋体" w:hint="eastAsia"/>
          <w:szCs w:val="21"/>
        </w:rPr>
        <w:t>当包括技术风险的存在、范围、程度及损失大小等。认定技术风险的基本条件是：</w:t>
      </w:r>
    </w:p>
    <w:p w:rsidR="00EF64A4">
      <w:pPr>
        <w:numPr>
          <w:ilvl w:val="0"/>
          <w:numId w:val="43"/>
        </w:numPr>
        <w:spacing w:line="360" w:lineRule="auto"/>
        <w:ind w:hanging="5"/>
        <w:rPr>
          <w:rFonts w:ascii="宋体" w:eastAsia="宋体" w:hAnsi="宋体" w:cs="宋体" w:hint="eastAsia"/>
          <w:szCs w:val="21"/>
        </w:rPr>
      </w:pPr>
      <w:r>
        <w:rPr>
          <w:rFonts w:ascii="宋体" w:eastAsia="宋体" w:hAnsi="宋体" w:cs="宋体" w:hint="eastAsia"/>
          <w:szCs w:val="21"/>
        </w:rPr>
        <w:t>本合同项目在现有技术水平条件下具有足够的难度；</w:t>
      </w:r>
    </w:p>
    <w:p w:rsidR="00EF64A4">
      <w:pPr>
        <w:numPr>
          <w:ilvl w:val="0"/>
          <w:numId w:val="43"/>
        </w:numPr>
        <w:spacing w:line="360" w:lineRule="auto"/>
        <w:ind w:hanging="5"/>
        <w:rPr>
          <w:rFonts w:ascii="宋体" w:eastAsia="宋体" w:hAnsi="宋体" w:cs="宋体" w:hint="eastAsia"/>
          <w:szCs w:val="21"/>
        </w:rPr>
      </w:pPr>
      <w:r>
        <w:rPr>
          <w:rFonts w:ascii="宋体" w:eastAsia="宋体" w:hAnsi="宋体" w:cs="宋体" w:hint="eastAsia"/>
          <w:szCs w:val="21"/>
        </w:rPr>
        <w:t>乙方在主观上无过错且经认定研究开发失败为合理的失败。</w:t>
      </w:r>
    </w:p>
    <w:p w:rsidR="00EF64A4">
      <w:pPr>
        <w:ind w:firstLine="420" w:firstLineChars="200"/>
        <w:rPr>
          <w:rFonts w:ascii="宋体" w:eastAsia="宋体" w:hAnsi="宋体" w:cs="宋体" w:hint="eastAsia"/>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F64A4">
      <w:pPr>
        <w:rPr>
          <w:rFonts w:ascii="宋体" w:eastAsia="宋体" w:hAnsi="宋体" w:cs="宋体" w:hint="eastAsia"/>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rsidR="00EF64A4">
      <w:pPr>
        <w:numPr>
          <w:ilvl w:val="0"/>
          <w:numId w:val="4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rsidR="00EF64A4">
      <w:pPr>
        <w:numPr>
          <w:ilvl w:val="0"/>
          <w:numId w:val="4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双方确定出现下列情形，致使本合同的履行成为不必要或不可能的，一方可以通知另一方解除本合同；</w:t>
      </w:r>
    </w:p>
    <w:p w:rsidR="00EF64A4">
      <w:pPr>
        <w:numPr>
          <w:ilvl w:val="0"/>
          <w:numId w:val="44"/>
        </w:numPr>
        <w:spacing w:line="360" w:lineRule="auto"/>
        <w:ind w:hanging="5"/>
        <w:rPr>
          <w:rFonts w:ascii="宋体" w:eastAsia="宋体" w:hAnsi="宋体" w:cs="宋体" w:hint="eastAsia"/>
          <w:szCs w:val="21"/>
        </w:rPr>
      </w:pPr>
      <w:r>
        <w:rPr>
          <w:rFonts w:ascii="宋体" w:eastAsia="宋体" w:hAnsi="宋体" w:cs="宋体" w:hint="eastAsia"/>
          <w:szCs w:val="21"/>
        </w:rPr>
        <w:t>因发生不可抗力或技术风险；</w:t>
      </w:r>
    </w:p>
    <w:p w:rsidR="00EF64A4">
      <w:pPr>
        <w:numPr>
          <w:ilvl w:val="0"/>
          <w:numId w:val="44"/>
        </w:numPr>
        <w:spacing w:line="360" w:lineRule="auto"/>
        <w:ind w:hanging="5"/>
        <w:rPr>
          <w:rFonts w:ascii="宋体" w:eastAsia="宋体" w:hAnsi="宋体" w:cs="宋体" w:hint="eastAsia"/>
          <w:szCs w:val="21"/>
        </w:rPr>
      </w:pPr>
      <w:r>
        <w:rPr>
          <w:rFonts w:ascii="宋体" w:eastAsia="宋体" w:hAnsi="宋体" w:cs="宋体" w:hint="eastAsia"/>
          <w:szCs w:val="21"/>
        </w:rPr>
        <w:t>因一方未按约定履行合同义务支付款项的；</w:t>
      </w:r>
    </w:p>
    <w:p w:rsidR="00EF64A4">
      <w:pPr>
        <w:numPr>
          <w:ilvl w:val="0"/>
          <w:numId w:val="44"/>
        </w:numPr>
        <w:spacing w:line="360" w:lineRule="auto"/>
        <w:ind w:hanging="5"/>
        <w:rPr>
          <w:rFonts w:ascii="宋体" w:eastAsia="宋体" w:hAnsi="宋体" w:cs="宋体" w:hint="eastAsia"/>
          <w:szCs w:val="21"/>
        </w:rPr>
      </w:pPr>
      <w:r>
        <w:rPr>
          <w:rFonts w:ascii="宋体" w:eastAsia="宋体" w:hAnsi="宋体" w:cs="宋体" w:hint="eastAsia"/>
          <w:szCs w:val="21"/>
        </w:rPr>
        <w:t>因一方未按期完成合同约定的项目开发任务。</w:t>
      </w:r>
    </w:p>
    <w:p w:rsidR="00EF64A4">
      <w:pPr>
        <w:keepNext/>
        <w:keepLines/>
        <w:numPr>
          <w:ilvl w:val="0"/>
          <w:numId w:val="5"/>
        </w:numPr>
        <w:spacing w:before="60" w:after="60" w:line="360" w:lineRule="auto"/>
        <w:ind w:left="0" w:firstLine="420" w:firstLineChars="200"/>
        <w:outlineLvl w:val="1"/>
        <w:rPr>
          <w:rFonts w:ascii="宋体" w:eastAsia="宋体" w:hAnsi="宋体" w:cs="宋体" w:hint="eastAsia"/>
          <w:b/>
          <w:bCs/>
          <w:szCs w:val="21"/>
        </w:rPr>
      </w:pPr>
      <w:bookmarkStart w:id="79" w:name="_Toc150439624"/>
      <w:r>
        <w:rPr>
          <w:rFonts w:ascii="宋体" w:eastAsia="宋体" w:hAnsi="宋体" w:cs="宋体" w:hint="eastAsia"/>
          <w:b/>
          <w:bCs/>
          <w:szCs w:val="21"/>
        </w:rPr>
        <w:t>本合同的变更</w:t>
      </w:r>
      <w:bookmarkEnd w:id="79"/>
    </w:p>
    <w:p w:rsidR="00EF64A4">
      <w:pPr>
        <w:numPr>
          <w:ilvl w:val="0"/>
          <w:numId w:val="45"/>
        </w:numPr>
        <w:spacing w:before="221" w:line="360" w:lineRule="auto"/>
        <w:ind w:firstLine="420" w:firstLineChars="200"/>
        <w:rPr>
          <w:rFonts w:ascii="宋体" w:eastAsia="宋体" w:hAnsi="宋体" w:cs="宋体" w:hint="eastAsia"/>
          <w:szCs w:val="21"/>
        </w:rPr>
      </w:pPr>
      <w:r>
        <w:rPr>
          <w:rFonts w:ascii="宋体" w:eastAsia="宋体" w:hAnsi="宋体" w:cs="宋体" w:hint="eastAsia"/>
          <w:szCs w:val="21"/>
        </w:rPr>
        <w:t>合同一经签订，不得随意变更、调整、中止或终止。对确需变更、调整或者中止、终止合同的，应按规定履行相应的手续。</w:t>
      </w:r>
    </w:p>
    <w:p w:rsidR="00EF64A4">
      <w:pPr>
        <w:numPr>
          <w:ilvl w:val="0"/>
          <w:numId w:val="45"/>
        </w:numPr>
        <w:spacing w:before="221" w:line="360" w:lineRule="auto"/>
        <w:ind w:firstLine="420" w:firstLineChars="200"/>
        <w:rPr>
          <w:rFonts w:ascii="宋体" w:eastAsia="宋体" w:hAnsi="宋体" w:cs="宋体" w:hint="eastAsia"/>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rsidR="00EF64A4">
      <w:pPr>
        <w:spacing w:before="221"/>
        <w:ind w:left="420" w:leftChars="200"/>
        <w:rPr>
          <w:rFonts w:ascii="宋体" w:eastAsia="宋体" w:hAnsi="宋体" w:cs="宋体" w:hint="eastAsia"/>
          <w:szCs w:val="21"/>
          <w:u w:val="single"/>
        </w:rPr>
      </w:pPr>
      <w:r>
        <w:rPr>
          <w:rFonts w:ascii="宋体" w:eastAsia="宋体" w:hAnsi="宋体" w:cs="宋体" w:hint="eastAsia"/>
          <w:szCs w:val="21"/>
          <w:u w:val="single"/>
        </w:rPr>
        <w:t xml:space="preserve">                                                              </w:t>
      </w:r>
    </w:p>
    <w:p w:rsidR="00EF64A4">
      <w:pPr>
        <w:keepNext/>
        <w:keepLines/>
        <w:numPr>
          <w:ilvl w:val="0"/>
          <w:numId w:val="5"/>
        </w:numPr>
        <w:spacing w:before="60" w:after="60" w:line="360" w:lineRule="auto"/>
        <w:ind w:left="0" w:firstLine="420" w:firstLineChars="200"/>
        <w:outlineLvl w:val="1"/>
        <w:rPr>
          <w:rFonts w:ascii="宋体" w:eastAsia="宋体" w:hAnsi="宋体" w:cs="宋体" w:hint="eastAsia"/>
          <w:b/>
          <w:bCs/>
          <w:szCs w:val="21"/>
        </w:rPr>
      </w:pPr>
      <w:bookmarkStart w:id="80" w:name="_Toc150439623"/>
      <w:r>
        <w:rPr>
          <w:rFonts w:ascii="宋体" w:eastAsia="宋体" w:hAnsi="宋体" w:cs="宋体" w:hint="eastAsia"/>
          <w:b/>
          <w:bCs/>
          <w:szCs w:val="21"/>
        </w:rPr>
        <w:t>其它</w:t>
      </w:r>
      <w:bookmarkEnd w:id="80"/>
    </w:p>
    <w:p w:rsidR="00EF64A4">
      <w:pPr>
        <w:ind w:left="420" w:leftChars="200"/>
        <w:rPr>
          <w:rFonts w:ascii="宋体" w:eastAsia="宋体" w:hAnsi="宋体" w:cs="宋体" w:hint="eastAsia"/>
          <w:szCs w:val="21"/>
        </w:rPr>
      </w:pPr>
      <w:r>
        <w:rPr>
          <w:rFonts w:ascii="宋体" w:eastAsia="宋体" w:hAnsi="宋体" w:cs="宋体" w:hint="eastAsia"/>
          <w:szCs w:val="21"/>
        </w:rPr>
        <w:t>本合同未尽事宜，由双方协商后按有关程序办理，并以书面形式进行确定。</w:t>
      </w:r>
    </w:p>
    <w:p w:rsidR="00EF64A4">
      <w:pPr>
        <w:keepNext/>
        <w:keepLines/>
        <w:numPr>
          <w:ilvl w:val="0"/>
          <w:numId w:val="5"/>
        </w:numPr>
        <w:spacing w:before="60" w:after="60" w:line="360" w:lineRule="auto"/>
        <w:ind w:left="0" w:firstLine="420" w:firstLineChars="200"/>
        <w:outlineLvl w:val="1"/>
        <w:rPr>
          <w:rFonts w:ascii="宋体" w:eastAsia="宋体" w:hAnsi="宋体" w:cs="宋体" w:hint="eastAsia"/>
          <w:b/>
          <w:bCs/>
          <w:szCs w:val="21"/>
        </w:rPr>
      </w:pPr>
      <w:bookmarkStart w:id="81" w:name="_Toc150439626"/>
      <w:r>
        <w:rPr>
          <w:rFonts w:ascii="宋体" w:eastAsia="宋体" w:hAnsi="宋体" w:cs="宋体" w:hint="eastAsia"/>
          <w:b/>
          <w:bCs/>
          <w:szCs w:val="21"/>
        </w:rPr>
        <w:t>合同生效</w:t>
      </w:r>
      <w:bookmarkEnd w:id="81"/>
    </w:p>
    <w:p w:rsidR="00EF64A4">
      <w:pPr>
        <w:numPr>
          <w:ilvl w:val="0"/>
          <w:numId w:val="46"/>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本合同经双方法定代表人或授权代表签字盖章后生效，</w:t>
      </w:r>
      <w:r>
        <w:rPr>
          <w:rFonts w:ascii="宋体" w:eastAsia="宋体" w:hAnsi="宋体" w:cs="宋体" w:hint="eastAsia"/>
          <w:szCs w:val="21"/>
        </w:rPr>
        <w:t>至质保期</w:t>
      </w:r>
      <w:r>
        <w:rPr>
          <w:rFonts w:ascii="宋体" w:eastAsia="宋体" w:hAnsi="宋体" w:cs="宋体" w:hint="eastAsia"/>
          <w:szCs w:val="21"/>
        </w:rPr>
        <w:t>结束终止。</w:t>
      </w:r>
    </w:p>
    <w:p w:rsidR="00EF64A4">
      <w:pPr>
        <w:numPr>
          <w:ilvl w:val="0"/>
          <w:numId w:val="46"/>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rsidR="00EF64A4">
      <w:pPr>
        <w:ind w:firstLine="420" w:firstLineChars="200"/>
        <w:jc w:val="left"/>
        <w:rPr>
          <w:rFonts w:ascii="宋体" w:eastAsia="宋体" w:hAnsi="宋体" w:cs="宋体" w:hint="eastAsia"/>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rsidR="00EF64A4">
      <w:pPr>
        <w:ind w:firstLine="420" w:firstLineChars="200"/>
        <w:rPr>
          <w:rFonts w:ascii="宋体" w:eastAsia="宋体" w:hAnsi="宋体" w:cs="宋体" w:hint="eastAsia"/>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EF64A4">
      <w:pPr>
        <w:ind w:firstLine="420" w:firstLineChars="200"/>
        <w:rPr>
          <w:rFonts w:ascii="宋体" w:eastAsia="宋体" w:hAnsi="宋体" w:cs="宋体" w:hint="eastAsia"/>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EF64A4">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 xml:space="preserve">                                          年     月     日</w:t>
      </w:r>
    </w:p>
    <w:p w:rsidR="00EF64A4">
      <w:p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rsidR="00EF64A4">
      <w:p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EF64A4">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rsidR="00EF64A4">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 xml:space="preserve">                                          年     月     日</w:t>
      </w:r>
    </w:p>
    <w:p w:rsidR="00EF64A4"/>
    <w:p w:rsidR="00A77B3E"/>
    <w:p>
      <w:pPr>
        <w:spacing w:line="360" w:lineRule="auto"/>
        <w:ind w:firstLine="3066" w:firstLineChars="1460"/>
        <w:jc w:val="left"/>
        <w:rPr>
          <w:b/>
          <w:bCs/>
          <w:szCs w:val="21"/>
          <w:highlight w:val="none"/>
        </w:rPr>
      </w:pPr>
      <w:bookmarkEnd w:id="62"/>
    </w:p>
    <w:p>
      <w:pPr>
        <w:rPr>
          <w:rFonts w:ascii="Calibri" w:hAnsi="Calibri"/>
          <w:szCs w:val="22"/>
          <w:highlight w:val="none"/>
        </w:rPr>
      </w:pPr>
    </w:p>
    <w:p>
      <w:pPr>
        <w:spacing w:line="360" w:lineRule="auto"/>
        <w:jc w:val="left"/>
        <w:rPr>
          <w:b/>
          <w:bCs/>
          <w:sz w:val="44"/>
          <w:szCs w:val="44"/>
          <w:highlight w:val="none"/>
        </w:rPr>
      </w:pPr>
    </w:p>
    <w:sectPr>
      <w:headerReference w:type="even" r:id="rId11"/>
      <w:headerReference w:type="default" r:id="rId12"/>
      <w:footerReference w:type="default" r:id="rId13"/>
      <w:headerReference w:type="first" r:id="rId14"/>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altName w:val="方正舒体"/>
    <w:charset w:val="86"/>
    <w:family w:val="auto"/>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4A4">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EF64A4">
    <w:pPr>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4A4">
    <w:pPr>
      <w:snapToGrid w:val="0"/>
      <w:jc w:val="center"/>
      <w:rPr>
        <w:rFonts w:ascii="宋体" w:eastAsia="宋体" w:hAnsi="宋体" w:cs="Times New Roman" w:hint="eastAsia"/>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Pr>
        <w:rFonts w:ascii="宋体" w:eastAsia="宋体" w:hAnsi="宋体" w:cs="Times New Roman"/>
        <w:szCs w:val="21"/>
        <w:lang w:val="zh-CN"/>
      </w:rPr>
      <w:t>2</w:t>
    </w:r>
    <w:r>
      <w:rPr>
        <w:rFonts w:ascii="宋体" w:eastAsia="宋体" w:hAnsi="宋体" w:cs="Times New Roman"/>
        <w:szCs w:val="21"/>
        <w:lang w:val="zh-CN"/>
      </w:rPr>
      <w:t>4</w:t>
    </w:r>
    <w:r>
      <w:rPr>
        <w:rFonts w:ascii="宋体" w:eastAsia="宋体" w:hAnsi="宋体" w:cs="Times New Roman"/>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DBF5E33"/>
    <w:multiLevelType w:val="singleLevel"/>
    <w:tmpl w:val="FDBF5E33"/>
    <w:lvl w:ilvl="0">
      <w:start w:val="1"/>
      <w:numFmt w:val="decimal"/>
      <w:lvlText w:val="%1."/>
      <w:lvlJc w:val="left"/>
      <w:pPr>
        <w:ind w:left="425" w:hanging="425"/>
      </w:pPr>
      <w:rPr>
        <w:rFonts w:hint="default"/>
      </w:rPr>
    </w:lvl>
  </w:abstractNum>
  <w:abstractNum w:abstractNumId="12">
    <w:nsid w:val="FF3F1685"/>
    <w:multiLevelType w:val="singleLevel"/>
    <w:tmpl w:val="FF3F1685"/>
    <w:lvl w:ilvl="0">
      <w:start w:val="1"/>
      <w:numFmt w:val="decimal"/>
      <w:lvlText w:val="%1)"/>
      <w:lvlJc w:val="left"/>
      <w:pPr>
        <w:ind w:left="425" w:hanging="425"/>
      </w:pPr>
      <w:rPr>
        <w:rFonts w:hint="default"/>
      </w:rPr>
    </w:lvl>
  </w:abstractNum>
  <w:abstractNum w:abstractNumId="13">
    <w:nsid w:val="FFFEE893"/>
    <w:multiLevelType w:val="singleLevel"/>
    <w:tmpl w:val="FFFEE893"/>
    <w:lvl w:ilvl="0">
      <w:start w:val="1"/>
      <w:numFmt w:val="decimal"/>
      <w:lvlText w:val="%1)"/>
      <w:lvlJc w:val="left"/>
      <w:pPr>
        <w:ind w:left="425" w:hanging="425"/>
      </w:pPr>
      <w:rPr>
        <w:rFonts w:hint="default"/>
      </w:rPr>
    </w:lvl>
  </w:abstractNum>
  <w:abstractNum w:abstractNumId="14">
    <w:nsid w:val="FFFEFF75"/>
    <w:multiLevelType w:val="singleLevel"/>
    <w:tmpl w:val="FFFEFF75"/>
    <w:lvl w:ilvl="0">
      <w:start w:val="1"/>
      <w:numFmt w:val="decimal"/>
      <w:lvlText w:val="%1)"/>
      <w:lvlJc w:val="left"/>
      <w:pPr>
        <w:ind w:left="425" w:hanging="425"/>
      </w:pPr>
      <w:rPr>
        <w:rFonts w:hint="default"/>
      </w:rPr>
    </w:lvl>
  </w:abstractNum>
  <w:abstractNum w:abstractNumId="15">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7">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8">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7">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8">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4C7A993F"/>
    <w:multiLevelType w:val="singleLevel"/>
    <w:tmpl w:val="4C7A993F"/>
    <w:lvl w:ilvl="0">
      <w:start w:val="1"/>
      <w:numFmt w:val="decimal"/>
      <w:lvlText w:val="%1)"/>
      <w:lvlJc w:val="left"/>
      <w:pPr>
        <w:ind w:left="425" w:hanging="425"/>
      </w:pPr>
      <w:rPr>
        <w:rFonts w:hint="default"/>
      </w:rPr>
    </w:lvl>
  </w:abstractNum>
  <w:abstractNum w:abstractNumId="31">
    <w:nsid w:val="57FFC18B"/>
    <w:multiLevelType w:val="singleLevel"/>
    <w:tmpl w:val="57FFC18B"/>
    <w:lvl w:ilvl="0">
      <w:start w:val="1"/>
      <w:numFmt w:val="decimal"/>
      <w:lvlText w:val="%1)"/>
      <w:lvlJc w:val="left"/>
      <w:pPr>
        <w:ind w:left="425" w:hanging="425"/>
      </w:pPr>
      <w:rPr>
        <w:rFonts w:hint="default"/>
      </w:rPr>
    </w:lvl>
  </w:abstractNum>
  <w:abstractNum w:abstractNumId="32">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4">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5">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38">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79F8DDAB"/>
    <w:multiLevelType w:val="singleLevel"/>
    <w:tmpl w:val="79F8DDAB"/>
    <w:lvl w:ilvl="0">
      <w:start w:val="1"/>
      <w:numFmt w:val="decimal"/>
      <w:lvlText w:val="%1)"/>
      <w:lvlJc w:val="left"/>
      <w:pPr>
        <w:ind w:left="425" w:hanging="425"/>
      </w:pPr>
      <w:rPr>
        <w:rFonts w:hint="default"/>
      </w:rPr>
    </w:lvl>
  </w:abstractNum>
  <w:abstractNum w:abstractNumId="42">
    <w:nsid w:val="7BF79D3F"/>
    <w:multiLevelType w:val="singleLevel"/>
    <w:tmpl w:val="7BF79D3F"/>
    <w:lvl w:ilvl="0">
      <w:start w:val="1"/>
      <w:numFmt w:val="decimal"/>
      <w:lvlText w:val="%1)"/>
      <w:lvlJc w:val="left"/>
      <w:pPr>
        <w:ind w:left="425" w:hanging="425"/>
      </w:pPr>
      <w:rPr>
        <w:rFonts w:hint="default"/>
      </w:rPr>
    </w:lvl>
  </w:abstractNum>
  <w:abstractNum w:abstractNumId="43">
    <w:nsid w:val="7FAFA353"/>
    <w:multiLevelType w:val="singleLevel"/>
    <w:tmpl w:val="7FAFA353"/>
    <w:lvl w:ilvl="0">
      <w:start w:val="1"/>
      <w:numFmt w:val="decimal"/>
      <w:lvlText w:val="%1)"/>
      <w:lvlJc w:val="left"/>
      <w:pPr>
        <w:ind w:left="425" w:hanging="425"/>
      </w:pPr>
      <w:rPr>
        <w:rFonts w:hint="default"/>
      </w:rPr>
    </w:lvl>
  </w:abstractNum>
  <w:abstractNum w:abstractNumId="44">
    <w:nsid w:val="7FDAC479"/>
    <w:multiLevelType w:val="singleLevel"/>
    <w:tmpl w:val="7FDAC479"/>
    <w:lvl w:ilvl="0">
      <w:start w:val="1"/>
      <w:numFmt w:val="decimal"/>
      <w:lvlText w:val="%1)"/>
      <w:lvlJc w:val="left"/>
      <w:pPr>
        <w:ind w:left="425" w:hanging="425"/>
      </w:pPr>
      <w:rPr>
        <w:rFonts w:hint="default"/>
      </w:rPr>
    </w:lvl>
  </w:abstractNum>
  <w:abstractNum w:abstractNumId="45">
    <w:nsid w:val="7FF73EAD"/>
    <w:multiLevelType w:val="singleLevel"/>
    <w:tmpl w:val="7FF73EAD"/>
    <w:lvl w:ilvl="0">
      <w:start w:val="1"/>
      <w:numFmt w:val="decimal"/>
      <w:lvlText w:val="%1)"/>
      <w:lvlJc w:val="left"/>
      <w:pPr>
        <w:ind w:left="425" w:hanging="425"/>
      </w:pPr>
      <w:rPr>
        <w:rFonts w:hint="default"/>
      </w:rPr>
    </w:lvl>
  </w:abstractNum>
  <w:abstractNum w:abstractNumId="46">
    <w:nsid w:val="7FFFA005"/>
    <w:multiLevelType w:val="singleLevel"/>
    <w:tmpl w:val="7FFFA005"/>
    <w:lvl w:ilvl="0">
      <w:start w:val="1"/>
      <w:numFmt w:val="decimal"/>
      <w:lvlText w:val="%1)"/>
      <w:lvlJc w:val="left"/>
      <w:pPr>
        <w:ind w:left="425" w:hanging="425"/>
      </w:pPr>
      <w:rPr>
        <w:rFonts w:hint="default"/>
      </w:rPr>
    </w:lvl>
  </w:abstractNum>
  <w:num w:numId="1">
    <w:abstractNumId w:val="16"/>
  </w:num>
  <w:num w:numId="2">
    <w:abstractNumId w:val="15"/>
  </w:num>
  <w:num w:numId="3">
    <w:abstractNumId w:val="19"/>
  </w:num>
  <w:num w:numId="4">
    <w:abstractNumId w:val="0"/>
  </w:num>
  <w:num w:numId="5">
    <w:abstractNumId w:val="24"/>
  </w:num>
  <w:num w:numId="6">
    <w:abstractNumId w:val="37"/>
  </w:num>
  <w:num w:numId="7">
    <w:abstractNumId w:val="23"/>
  </w:num>
  <w:num w:numId="8">
    <w:abstractNumId w:val="40"/>
  </w:num>
  <w:num w:numId="9">
    <w:abstractNumId w:val="3"/>
  </w:num>
  <w:num w:numId="10">
    <w:abstractNumId w:val="45"/>
  </w:num>
  <w:num w:numId="11">
    <w:abstractNumId w:val="6"/>
  </w:num>
  <w:num w:numId="12">
    <w:abstractNumId w:val="36"/>
  </w:num>
  <w:num w:numId="13">
    <w:abstractNumId w:val="13"/>
  </w:num>
  <w:num w:numId="14">
    <w:abstractNumId w:val="35"/>
  </w:num>
  <w:num w:numId="15">
    <w:abstractNumId w:val="34"/>
  </w:num>
  <w:num w:numId="16">
    <w:abstractNumId w:val="18"/>
  </w:num>
  <w:num w:numId="17">
    <w:abstractNumId w:val="39"/>
  </w:num>
  <w:num w:numId="18">
    <w:abstractNumId w:val="2"/>
  </w:num>
  <w:num w:numId="19">
    <w:abstractNumId w:val="41"/>
  </w:num>
  <w:num w:numId="20">
    <w:abstractNumId w:val="42"/>
  </w:num>
  <w:num w:numId="21">
    <w:abstractNumId w:val="31"/>
  </w:num>
  <w:num w:numId="22">
    <w:abstractNumId w:val="26"/>
  </w:num>
  <w:num w:numId="23">
    <w:abstractNumId w:val="8"/>
  </w:num>
  <w:num w:numId="24">
    <w:abstractNumId w:val="1"/>
  </w:num>
  <w:num w:numId="25">
    <w:abstractNumId w:val="21"/>
  </w:num>
  <w:num w:numId="26">
    <w:abstractNumId w:val="43"/>
  </w:num>
  <w:num w:numId="27">
    <w:abstractNumId w:val="30"/>
  </w:num>
  <w:num w:numId="28">
    <w:abstractNumId w:val="27"/>
  </w:num>
  <w:num w:numId="29">
    <w:abstractNumId w:val="44"/>
  </w:num>
  <w:num w:numId="30">
    <w:abstractNumId w:val="7"/>
  </w:num>
  <w:num w:numId="31">
    <w:abstractNumId w:val="38"/>
  </w:num>
  <w:num w:numId="32">
    <w:abstractNumId w:val="9"/>
  </w:num>
  <w:num w:numId="33">
    <w:abstractNumId w:val="5"/>
  </w:num>
  <w:num w:numId="34">
    <w:abstractNumId w:val="46"/>
  </w:num>
  <w:num w:numId="35">
    <w:abstractNumId w:val="12"/>
  </w:num>
  <w:num w:numId="36">
    <w:abstractNumId w:val="29"/>
  </w:num>
  <w:num w:numId="37">
    <w:abstractNumId w:val="32"/>
  </w:num>
  <w:num w:numId="38">
    <w:abstractNumId w:val="20"/>
  </w:num>
  <w:num w:numId="39">
    <w:abstractNumId w:val="14"/>
  </w:num>
  <w:num w:numId="40">
    <w:abstractNumId w:val="22"/>
  </w:num>
  <w:num w:numId="41">
    <w:abstractNumId w:val="11"/>
  </w:num>
  <w:num w:numId="42">
    <w:abstractNumId w:val="33"/>
  </w:num>
  <w:num w:numId="43">
    <w:abstractNumId w:val="4"/>
  </w:num>
  <w:num w:numId="44">
    <w:abstractNumId w:val="10"/>
  </w:num>
  <w:num w:numId="45">
    <w:abstractNumId w:val="17"/>
  </w:num>
  <w:num w:numId="46">
    <w:abstractNumId w:val="28"/>
  </w:num>
  <w:num w:numId="47">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40B8"/>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00B"/>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EF64A4"/>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