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2025年广西蒸散量观测系统建设项目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ZQCD-25333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广西壮族自治区气象技术装备中心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2025年广西蒸散量观测系统建设项目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ZQCD-25333</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广西壮族自治区百色市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2025年10月20日 12:00:00</w:t>
      </w:r>
      <w:bookmarkEnd w:id="26"/>
      <w:r>
        <w:rPr>
          <w:rFonts w:ascii="宋体" w:hint="eastAsia"/>
          <w:szCs w:val="21"/>
          <w:highlight w:val="none"/>
        </w:rPr>
        <w:t>至</w:t>
      </w:r>
      <w:bookmarkStart w:id="27" w:name="项目公告_signUpLastTime"/>
      <w:r>
        <w:rPr>
          <w:rFonts w:ascii="宋体" w:hint="eastAsia"/>
          <w:szCs w:val="21"/>
          <w:highlight w:val="none"/>
        </w:rPr>
        <w:t>2025年10月28日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广西壮族自治区气象技术装备中心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张喜鸿</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0771-5851119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广西壮族自治区南宁市新竹路30号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广西壮族自治区气象技术装备中心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不允许（仅针对以下产品：蒸散量观测系统不允许代理商投标）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必须，以下产品需要提供至投标截止日仍有效的《气象专用技术装备使用许可证》：蒸散量观测系统（红外闪烁法）</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蒸散量观测系统  ，属于 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116.200000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116.200000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销售合同必须包括蒸散量观测系统，每提供1份合同得1分，最多得5分。否则不得分。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针对本项目采购的蒸散量观测系统，承诺每提前10天交货的得0.5分，最多得1分。否则不得分。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针对蒸散量观测系统，每提供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针对蒸散量观测系统，测试报告应涵低温试验、高温试验、低气压试验等工作环境内容，每包含一项得1分，最多得3分。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2"/>
        </w:rPr>
      </w:pPr>
      <w:r>
        <w:rPr>
          <w:rFonts w:ascii="仿宋" w:eastAsia="仿宋" w:hAnsi="仿宋" w:cs="仿宋" w:hint="eastAsia"/>
          <w:sz w:val="28"/>
          <w:szCs w:val="22"/>
        </w:rPr>
        <w:t>3.1观测设备具备数据质量控制，包括剔除 达到饱和的数据、剔除稳定条件下的弱湍流数据、剔除高风速强湍流数据等控制算法。</w:t>
      </w:r>
    </w:p>
    <w:p>
      <w:pPr>
        <w:spacing w:line="560" w:lineRule="exact"/>
        <w:jc w:val="center"/>
        <w:rPr>
          <w:rFonts w:ascii="仿宋_GB2312" w:eastAsia="仿宋_GB2312" w:hAnsi="仿宋_GB2312" w:cs="仿宋_GB2312" w:hint="eastAsia"/>
          <w:b/>
          <w:bCs/>
          <w:sz w:val="28"/>
          <w:szCs w:val="22"/>
        </w:rPr>
      </w:pPr>
      <w:r>
        <w:rPr>
          <w:rFonts w:ascii="仿宋" w:eastAsia="仿宋" w:hAnsi="仿宋" w:cs="仿宋" w:hint="eastAsia"/>
          <w:b/>
          <w:bCs/>
          <w:sz w:val="28"/>
          <w:szCs w:val="20"/>
        </w:rPr>
        <w:t>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仿宋" w:eastAsia="仿宋" w:hAnsi="仿宋" w:cs="仿宋" w:hint="eastAsia"/>
              </w:rPr>
            </w:pPr>
            <w:r>
              <w:rPr>
                <w:rStyle w:val="font11"/>
                <w:rFonts w:ascii="仿宋" w:eastAsia="仿宋" w:hAnsi="仿宋" w:cs="仿宋" w:hint="default"/>
                <w:sz w:val="24"/>
                <w:szCs w:val="24"/>
              </w:rPr>
              <w:t>序号</w:t>
            </w:r>
          </w:p>
        </w:tc>
        <w:tc>
          <w:tcPr>
            <w:tcW w:w="1384" w:type="dxa"/>
            <w:vAlign w:val="center"/>
          </w:tcPr>
          <w:p>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7229" w:type="dxa"/>
            <w:vAlign w:val="center"/>
          </w:tcPr>
          <w:p>
            <w:pPr>
              <w:jc w:val="center"/>
              <w:rPr>
                <w:rFonts w:ascii="仿宋" w:eastAsia="仿宋" w:hAnsi="仿宋" w:cs="仿宋" w:hint="eastAsia"/>
              </w:rPr>
            </w:pPr>
            <w:r>
              <w:rPr>
                <w:rStyle w:val="font11"/>
                <w:rFonts w:ascii="仿宋" w:eastAsia="仿宋" w:hAnsi="仿宋" w:cs="仿宋"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0"/>
              <w:numPr>
                <w:ilvl w:val="0"/>
                <w:numId w:val="4"/>
              </w:numPr>
              <w:ind w:left="0" w:firstLine="0" w:firstLineChars="0"/>
              <w:rPr>
                <w:rFonts w:ascii="仿宋" w:eastAsia="仿宋" w:hAnsi="仿宋" w:cs="仿宋" w:hint="eastAsia"/>
                <w:sz w:val="24"/>
                <w:szCs w:val="24"/>
              </w:rPr>
            </w:pPr>
          </w:p>
        </w:tc>
        <w:tc>
          <w:tcPr>
            <w:tcW w:w="1384" w:type="dxa"/>
            <w:vAlign w:val="center"/>
          </w:tcPr>
          <w:p>
            <w:pPr>
              <w:rPr>
                <w:rFonts w:ascii="仿宋" w:eastAsia="仿宋" w:hAnsi="仿宋" w:cs="仿宋" w:hint="eastAsia"/>
              </w:rPr>
            </w:pPr>
            <w:r>
              <w:rPr>
                <w:rFonts w:ascii="仿宋" w:eastAsia="仿宋" w:hAnsi="仿宋" w:cs="仿宋" w:hint="eastAsia"/>
                <w:sz w:val="24"/>
              </w:rPr>
              <w:t>蒸散量观测系统（红外闪烁法）</w:t>
            </w:r>
          </w:p>
        </w:tc>
        <w:tc>
          <w:tcPr>
            <w:tcW w:w="7229" w:type="dxa"/>
            <w:vAlign w:val="center"/>
          </w:tcPr>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（1）大口径闪烁仪性能要求</w:t>
            </w:r>
          </w:p>
          <w:p>
            <w:pPr>
              <w:rPr>
                <w:rFonts w:ascii="仿宋" w:eastAsia="仿宋" w:hAnsi="仿宋" w:cs="仿宋" w:hint="eastAsia"/>
              </w:rPr>
            </w:pPr>
            <w:r>
              <w:rPr>
                <w:rFonts w:ascii="仿宋" w:eastAsia="仿宋" w:hAnsi="仿宋" w:cs="仿宋" w:hint="eastAsia"/>
                <w:sz w:val="24"/>
              </w:rPr>
              <w:t>大口径闪烁仪性能符合下列要求：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a）测量路径长度（能见度大于4km）：250m-4.5km（加装光阑：100m-1km）</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b）系统有效口径：100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1mm（有光阑）；150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1mm（无光阑）</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c）发光功率范围：4mW-160mW（四档可调）</w:t>
            </w:r>
          </w:p>
          <w:p>
            <w:pPr>
              <w:pStyle w:val="14"/>
              <w:ind w:firstLine="0" w:firstLineChars="0"/>
              <w:rPr>
                <w:rFonts w:ascii="仿宋" w:eastAsia="仿宋" w:hAnsi="仿宋" w:cs="仿宋" w:hint="eastAsia"/>
                <w:sz w:val="24"/>
                <w:szCs w:val="24"/>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d）工作波长：850nm（40nm半波宽度）</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kern w:val="0"/>
                <w:sz w:val="24"/>
                <w:szCs w:val="24"/>
                <w:highlight w:val="yellow"/>
                <w:lang w:bidi="ar"/>
              </w:rPr>
              <w:t>#</w:t>
            </w:r>
            <w:r>
              <w:rPr>
                <w:rFonts w:ascii="仿宋" w:eastAsia="仿宋" w:hAnsi="仿宋" w:cs="仿宋" w:hint="eastAsia"/>
                <w:sz w:val="24"/>
                <w:szCs w:val="24"/>
                <w:highlight w:val="yellow"/>
              </w:rPr>
              <w:t>e）载波频率：8</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0.5kHz</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f）大气折射率结构参数范围：10</w:t>
            </w:r>
            <w:r>
              <w:rPr>
                <w:rFonts w:ascii="仿宋" w:eastAsia="仿宋" w:hAnsi="仿宋" w:cs="仿宋" w:hint="eastAsia"/>
                <w:sz w:val="24"/>
                <w:szCs w:val="24"/>
                <w:vertAlign w:val="superscript"/>
              </w:rPr>
              <w:t>-17</w:t>
            </w:r>
            <w:r>
              <w:rPr>
                <w:rFonts w:ascii="仿宋" w:eastAsia="仿宋" w:hAnsi="仿宋" w:cs="仿宋" w:hint="eastAsia"/>
                <w:color w:val="000000"/>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-11</w:t>
            </w:r>
            <w:r>
              <w:rPr>
                <w:rFonts w:ascii="仿宋" w:eastAsia="仿宋" w:hAnsi="仿宋" w:cs="仿宋" w:hint="eastAsia"/>
                <w:sz w:val="24"/>
                <w:szCs w:val="24"/>
              </w:rPr>
              <w:t>m</w:t>
            </w:r>
            <w:r>
              <w:rPr>
                <w:rFonts w:ascii="仿宋" w:eastAsia="仿宋" w:hAnsi="仿宋" w:cs="仿宋" w:hint="eastAsia"/>
                <w:sz w:val="24"/>
                <w:szCs w:val="24"/>
                <w:vertAlign w:val="superscript"/>
              </w:rPr>
              <w:t>-2/3</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g）使用温度范围：-40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h）使用湿度范围：0-100%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i）供电电源：</w:t>
            </w:r>
            <w:r>
              <w:rPr>
                <w:rFonts w:ascii="仿宋" w:eastAsia="仿宋" w:hAnsi="仿宋" w:cs="仿宋" w:hint="eastAsia"/>
                <w:sz w:val="24"/>
                <w:szCs w:val="24"/>
              </w:rPr>
              <w:br/>
            </w:r>
            <w:r>
              <w:rPr>
                <w:rFonts w:ascii="仿宋" w:eastAsia="仿宋" w:hAnsi="仿宋" w:cs="仿宋" w:hint="eastAsia"/>
                <w:sz w:val="24"/>
                <w:szCs w:val="24"/>
              </w:rPr>
              <w:t>电压：典型值：12VDC，10VDC-36VDC</w:t>
            </w:r>
            <w:r>
              <w:rPr>
                <w:rFonts w:ascii="仿宋" w:eastAsia="仿宋" w:hAnsi="仿宋" w:cs="仿宋" w:hint="eastAsia"/>
                <w:sz w:val="24"/>
                <w:szCs w:val="24"/>
              </w:rPr>
              <w:br/>
            </w:r>
            <w:r>
              <w:rPr>
                <w:rFonts w:ascii="仿宋" w:eastAsia="仿宋" w:hAnsi="仿宋" w:cs="仿宋" w:hint="eastAsia"/>
                <w:sz w:val="24"/>
                <w:szCs w:val="24"/>
              </w:rPr>
              <w:t>电流：最大值：5A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j）功耗：系统功耗</w:t>
            </w:r>
            <w:r>
              <w:rPr>
                <w:rFonts w:ascii="仿宋" w:eastAsia="仿宋" w:hAnsi="仿宋" w:cs="仿宋" w:hint="eastAsia"/>
                <w:sz w:val="24"/>
                <w:szCs w:val="24"/>
              </w:rPr>
              <w:t>≤</w:t>
            </w:r>
            <w:r>
              <w:rPr>
                <w:rFonts w:ascii="仿宋" w:eastAsia="仿宋" w:hAnsi="仿宋" w:cs="仿宋" w:hint="eastAsia"/>
                <w:sz w:val="24"/>
                <w:szCs w:val="24"/>
              </w:rPr>
              <w:t>12W，开启加热功耗</w:t>
            </w:r>
            <w:r>
              <w:rPr>
                <w:rFonts w:ascii="仿宋" w:eastAsia="仿宋" w:hAnsi="仿宋" w:cs="仿宋" w:hint="eastAsia"/>
                <w:sz w:val="24"/>
                <w:szCs w:val="24"/>
              </w:rPr>
              <w:t>≤</w:t>
            </w:r>
            <w:r>
              <w:rPr>
                <w:rFonts w:ascii="仿宋" w:eastAsia="仿宋" w:hAnsi="仿宋" w:cs="仿宋" w:hint="eastAsia"/>
                <w:sz w:val="24"/>
                <w:szCs w:val="24"/>
              </w:rPr>
              <w:t>48W</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k）外形尺寸(长x宽x高）：400mmX220mmX318mm</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l）重量：</w:t>
            </w:r>
            <w:r>
              <w:rPr>
                <w:rFonts w:ascii="仿宋" w:eastAsia="仿宋" w:hAnsi="仿宋" w:cs="仿宋" w:hint="eastAsia"/>
                <w:sz w:val="24"/>
                <w:szCs w:val="24"/>
              </w:rPr>
              <w:t>≤</w:t>
            </w:r>
            <w:r>
              <w:rPr>
                <w:rFonts w:ascii="仿宋" w:eastAsia="仿宋" w:hAnsi="仿宋" w:cs="仿宋" w:hint="eastAsia"/>
                <w:sz w:val="24"/>
                <w:szCs w:val="24"/>
              </w:rPr>
              <w:t>15kg</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m）信号输出方式：数字型传感器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n）接口标准：RS-232、RS-422</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（2）气压传感器</w:t>
            </w:r>
          </w:p>
          <w:p>
            <w:pPr>
              <w:rPr>
                <w:rFonts w:ascii="仿宋" w:eastAsia="仿宋" w:hAnsi="仿宋" w:cs="仿宋" w:hint="eastAsia"/>
              </w:rPr>
            </w:pPr>
            <w:r>
              <w:rPr>
                <w:rFonts w:ascii="仿宋" w:eastAsia="仿宋" w:hAnsi="仿宋" w:cs="仿宋" w:hint="eastAsia"/>
                <w:sz w:val="24"/>
              </w:rPr>
              <w:t>气压传感器性能符合下列要求：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a）测量范围：500hPa～1100hPa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b）分辨力：0.1hPa</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0.3hPa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电流：平均值小于30mA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依据《GB/T35225-2017地面气象观测规范气压》</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（3）气温传感器</w:t>
            </w:r>
          </w:p>
          <w:p>
            <w:pPr>
              <w:pStyle w:val="5"/>
              <w:spacing w:beforeLines="0" w:afterLines="0" w:line="240" w:lineRule="auto"/>
              <w:ind w:left="0" w:right="0" w:firstLine="0"/>
              <w:rPr>
                <w:rFonts w:ascii="仿宋" w:eastAsia="仿宋" w:hAnsi="仿宋" w:cs="仿宋" w:hint="eastAsia"/>
                <w:sz w:val="24"/>
                <w:szCs w:val="24"/>
              </w:rPr>
            </w:pPr>
            <w:r>
              <w:rPr>
                <w:rFonts w:ascii="仿宋" w:eastAsia="仿宋" w:hAnsi="仿宋" w:cs="仿宋" w:hint="eastAsia"/>
                <w:sz w:val="24"/>
                <w:szCs w:val="24"/>
              </w:rPr>
              <w:t>气温传感器采用Pt100铂电阻温度传感器。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b）分辨力：0.1</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e）信号输出方式：数字型传感器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（4）湿度传感器</w:t>
            </w:r>
          </w:p>
          <w:p>
            <w:pPr>
              <w:rPr>
                <w:rFonts w:ascii="仿宋" w:eastAsia="仿宋" w:hAnsi="仿宋" w:cs="仿宋" w:hint="eastAsia"/>
              </w:rPr>
            </w:pPr>
            <w:r>
              <w:rPr>
                <w:rFonts w:ascii="仿宋" w:eastAsia="仿宋" w:hAnsi="仿宋" w:cs="仿宋" w:hint="eastAsia"/>
                <w:sz w:val="24"/>
              </w:rPr>
              <w:t>湿度传感器采用电容式湿度传感器：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a）测量范围：5%～100%RH</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b）分辨力：1%RH</w:t>
            </w:r>
          </w:p>
          <w:p>
            <w:pPr>
              <w:pStyle w:val="14"/>
              <w:ind w:firstLine="0" w:firstLineChars="0"/>
              <w:rPr>
                <w:rFonts w:ascii="仿宋" w:eastAsia="仿宋" w:hAnsi="仿宋" w:cs="仿宋" w:hint="eastAsia"/>
                <w:sz w:val="24"/>
                <w:szCs w:val="24"/>
                <w:highlight w:val="yellow"/>
              </w:rPr>
            </w:pPr>
            <w:r>
              <w:rPr>
                <w:rFonts w:ascii="仿宋" w:eastAsia="仿宋" w:hAnsi="仿宋" w:cs="仿宋" w:hint="eastAsia"/>
                <w:sz w:val="24"/>
                <w:szCs w:val="24"/>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rPr>
              <w:t>±</w:t>
            </w:r>
            <w:r>
              <w:rPr>
                <w:rFonts w:ascii="仿宋" w:eastAsia="仿宋" w:hAnsi="仿宋" w:cs="仿宋" w:hint="eastAsia"/>
                <w:sz w:val="24"/>
                <w:szCs w:val="24"/>
              </w:rPr>
              <w:t>4%RH（</w:t>
            </w:r>
            <w:r>
              <w:rPr>
                <w:rFonts w:ascii="仿宋" w:eastAsia="仿宋" w:hAnsi="仿宋" w:cs="仿宋" w:hint="eastAsia"/>
                <w:sz w:val="24"/>
                <w:szCs w:val="24"/>
              </w:rPr>
              <w:t>≤</w:t>
            </w:r>
            <w:r>
              <w:rPr>
                <w:rFonts w:ascii="仿宋" w:eastAsia="仿宋" w:hAnsi="仿宋" w:cs="仿宋" w:hint="eastAsia"/>
                <w:sz w:val="24"/>
                <w:szCs w:val="24"/>
              </w:rPr>
              <w:t>80%）</w:t>
            </w:r>
            <w:r>
              <w:rPr>
                <w:rFonts w:ascii="仿宋" w:eastAsia="仿宋" w:hAnsi="仿宋" w:cs="仿宋" w:hint="eastAsia"/>
                <w:sz w:val="24"/>
                <w:szCs w:val="24"/>
              </w:rPr>
              <w:br/>
            </w:r>
            <w:r>
              <w:rPr>
                <w:rFonts w:ascii="仿宋" w:eastAsia="仿宋" w:hAnsi="仿宋" w:cs="仿宋" w:hint="eastAsia"/>
                <w:sz w:val="24"/>
                <w:szCs w:val="24"/>
              </w:rPr>
              <w:t>±</w:t>
            </w:r>
            <w:r>
              <w:rPr>
                <w:rFonts w:ascii="仿宋" w:eastAsia="仿宋" w:hAnsi="仿宋" w:cs="仿宋" w:hint="eastAsia"/>
                <w:sz w:val="24"/>
                <w:szCs w:val="24"/>
              </w:rPr>
              <w:t>8%RH（&gt;80%）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2）V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依据《GB/T35226-2017地面气象观测规范空气温度和湿度》</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（5）三维超声波风传感器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w:t>
            </w:r>
            <w:r>
              <w:rPr>
                <w:rFonts w:ascii="仿宋" w:eastAsia="仿宋" w:hAnsi="仿宋" w:cs="仿宋" w:hint="eastAsia"/>
                <w:sz w:val="24"/>
                <w:szCs w:val="24"/>
              </w:rPr>
              <w:br/>
            </w:r>
            <w:r>
              <w:rPr>
                <w:rFonts w:ascii="仿宋" w:eastAsia="仿宋" w:hAnsi="仿宋" w:cs="仿宋" w:hint="eastAsia"/>
                <w:sz w:val="24"/>
                <w:szCs w:val="24"/>
              </w:rPr>
              <w:t>风向：方位角：0</w:t>
            </w:r>
            <w:r>
              <w:rPr>
                <w:rFonts w:ascii="仿宋" w:eastAsia="仿宋" w:hAnsi="仿宋" w:cs="仿宋" w:hint="eastAsia"/>
                <w:color w:val="000000"/>
                <w:sz w:val="24"/>
                <w:szCs w:val="24"/>
              </w:rPr>
              <w:t>～</w:t>
            </w:r>
            <w:r>
              <w:rPr>
                <w:rFonts w:ascii="仿宋" w:eastAsia="仿宋" w:hAnsi="仿宋" w:cs="仿宋" w:hint="eastAsia"/>
                <w:sz w:val="24"/>
                <w:szCs w:val="24"/>
              </w:rPr>
              <w:t>360</w:t>
            </w:r>
            <w:r>
              <w:rPr>
                <w:rFonts w:ascii="仿宋" w:eastAsia="仿宋" w:hAnsi="仿宋" w:cs="仿宋" w:hint="eastAsia"/>
                <w:sz w:val="24"/>
                <w:szCs w:val="24"/>
              </w:rPr>
              <w:t>°</w:t>
            </w:r>
            <w:r>
              <w:rPr>
                <w:rFonts w:ascii="仿宋" w:eastAsia="仿宋" w:hAnsi="仿宋" w:cs="仿宋" w:hint="eastAsia"/>
                <w:sz w:val="24"/>
                <w:szCs w:val="24"/>
              </w:rPr>
              <w:t>；仰角：-90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90</w:t>
            </w:r>
            <w:r>
              <w:rPr>
                <w:rFonts w:ascii="仿宋" w:eastAsia="仿宋" w:hAnsi="仿宋" w:cs="仿宋" w:hint="eastAsia"/>
                <w:sz w:val="24"/>
                <w:szCs w:val="24"/>
              </w:rPr>
              <w:t>°</w:t>
            </w:r>
            <w:r>
              <w:rPr>
                <w:rFonts w:ascii="仿宋" w:eastAsia="仿宋" w:hAnsi="仿宋" w:cs="仿宋" w:hint="eastAsia"/>
                <w:sz w:val="24"/>
                <w:szCs w:val="24"/>
              </w:rPr>
              <w:br/>
            </w:r>
            <w:r>
              <w:rPr>
                <w:rFonts w:ascii="仿宋" w:eastAsia="仿宋" w:hAnsi="仿宋" w:cs="仿宋" w:hint="eastAsia"/>
                <w:sz w:val="24"/>
                <w:szCs w:val="24"/>
              </w:rPr>
              <w:t>水平风速：0m/s～40m/s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垂直风速：0m/s～8m/s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#b）分辨力：</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风向：1</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风速：0.1m/s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#c）最大允许误差：</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风向：</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br/>
            </w:r>
            <w:r>
              <w:rPr>
                <w:rFonts w:ascii="仿宋" w:eastAsia="仿宋" w:hAnsi="仿宋" w:cs="仿宋" w:hint="eastAsia"/>
                <w:sz w:val="24"/>
                <w:szCs w:val="24"/>
                <w:highlight w:val="yellow"/>
              </w:rPr>
              <w:t>风速：</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e）供电电源：</w:t>
            </w:r>
            <w:r>
              <w:rPr>
                <w:rFonts w:ascii="仿宋" w:eastAsia="仿宋" w:hAnsi="仿宋" w:cs="仿宋" w:hint="eastAsia"/>
                <w:sz w:val="24"/>
                <w:szCs w:val="24"/>
              </w:rPr>
              <w:br/>
            </w:r>
            <w:r>
              <w:rPr>
                <w:rFonts w:ascii="仿宋" w:eastAsia="仿宋" w:hAnsi="仿宋" w:cs="仿宋" w:hint="eastAsia"/>
                <w:sz w:val="24"/>
                <w:szCs w:val="24"/>
              </w:rPr>
              <w:t>电压：DC(24</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g）接口标准：RS-232或RS-485</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（6）四分量辐射传感器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长波辐射表：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b）不稳定性：</w:t>
            </w:r>
            <w:r>
              <w:rPr>
                <w:rFonts w:ascii="仿宋" w:eastAsia="仿宋" w:hAnsi="仿宋" w:cs="仿宋" w:hint="eastAsia"/>
                <w:sz w:val="24"/>
                <w:szCs w:val="24"/>
              </w:rPr>
              <w:t>±</w:t>
            </w:r>
            <w:r>
              <w:rPr>
                <w:rFonts w:ascii="仿宋" w:eastAsia="仿宋" w:hAnsi="仿宋" w:cs="仿宋" w:hint="eastAsia"/>
                <w:sz w:val="24"/>
                <w:szCs w:val="24"/>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c）灵敏度：</w:t>
            </w:r>
            <w:r>
              <w:rPr>
                <w:rFonts w:ascii="仿宋" w:eastAsia="仿宋" w:hAnsi="仿宋" w:cs="仿宋" w:hint="eastAsia"/>
                <w:sz w:val="24"/>
                <w:szCs w:val="24"/>
              </w:rPr>
              <w:t>≥</w:t>
            </w:r>
            <w:r>
              <w:rPr>
                <w:rFonts w:ascii="仿宋" w:eastAsia="仿宋" w:hAnsi="仿宋" w:cs="仿宋" w:hint="eastAsia"/>
                <w:sz w:val="24"/>
                <w:szCs w:val="24"/>
              </w:rPr>
              <w:t>4</w:t>
            </w:r>
            <w:r>
              <w:rPr>
                <w:rFonts w:ascii="仿宋" w:eastAsia="仿宋" w:hAnsi="仿宋" w:cs="仿宋" w:hint="eastAsia"/>
                <w:sz w:val="24"/>
                <w:szCs w:val="24"/>
              </w:rPr>
              <w:t>μ</w:t>
            </w:r>
            <w:r>
              <w:rPr>
                <w:rFonts w:ascii="仿宋" w:eastAsia="仿宋" w:hAnsi="仿宋" w:cs="仿宋"/>
                <w:sz w:val="24"/>
                <w:szCs w:val="24"/>
              </w:rPr>
              <w:t>V</w:t>
            </w:r>
            <w:r>
              <w:rPr>
                <w:rFonts w:ascii="Cambria Math" w:eastAsia="仿宋" w:hAnsi="Cambria Math" w:cs="Cambria Math"/>
                <w:sz w:val="24"/>
                <w:szCs w:val="24"/>
              </w:rPr>
              <w:t>∙</w:t>
            </w:r>
            <w:r>
              <w:rPr>
                <w:rFonts w:ascii="仿宋" w:eastAsia="仿宋" w:hAnsi="仿宋" w:cs="仿宋"/>
                <w:sz w:val="24"/>
                <w:szCs w:val="24"/>
              </w:rPr>
              <w:t>W</w:t>
            </w:r>
            <w:r>
              <w:rPr>
                <w:rFonts w:ascii="仿宋" w:eastAsia="仿宋" w:hAnsi="仿宋" w:cs="仿宋"/>
                <w:sz w:val="24"/>
                <w:szCs w:val="24"/>
                <w:vertAlign w:val="superscript"/>
              </w:rPr>
              <w:t>-1</w:t>
            </w:r>
            <w:r>
              <w:rPr>
                <w:rFonts w:ascii="Cambria Math" w:eastAsia="仿宋" w:hAnsi="Cambria Math" w:cs="Cambria Math"/>
                <w:sz w:val="24"/>
                <w:szCs w:val="24"/>
                <w:vertAlign w:val="superscript"/>
              </w:rPr>
              <w:t>∙</w:t>
            </w:r>
            <w:r>
              <w:rPr>
                <w:rFonts w:ascii="仿宋" w:eastAsia="仿宋" w:hAnsi="仿宋" w:cs="仿宋"/>
                <w:sz w:val="24"/>
                <w:szCs w:val="24"/>
              </w:rPr>
              <w:t>m</w:t>
            </w:r>
            <w:r>
              <w:rPr>
                <w:rFonts w:ascii="仿宋" w:eastAsia="仿宋" w:hAnsi="仿宋" w:cs="仿宋"/>
                <w:sz w:val="24"/>
                <w:szCs w:val="24"/>
                <w:vertAlign w:val="superscript"/>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短波辐射表：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highlight w:val="yellow"/>
              </w:rPr>
              <w:t>#a）响应时间：&lt;30s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b）方向性相应误差：</w:t>
            </w:r>
            <w:r>
              <w:rPr>
                <w:rFonts w:ascii="仿宋" w:eastAsia="仿宋" w:hAnsi="仿宋" w:cs="仿宋" w:hint="eastAsia"/>
                <w:sz w:val="24"/>
                <w:szCs w:val="24"/>
              </w:rPr>
              <w:t>≤</w:t>
            </w:r>
            <w:r>
              <w:rPr>
                <w:rFonts w:ascii="仿宋" w:eastAsia="仿宋" w:hAnsi="仿宋" w:cs="仿宋" w:hint="eastAsia"/>
                <w:sz w:val="24"/>
                <w:szCs w:val="24"/>
              </w:rPr>
              <w:t>30W/m</w:t>
            </w:r>
            <w:r>
              <w:rPr>
                <w:rFonts w:ascii="仿宋" w:eastAsia="仿宋" w:hAnsi="仿宋" w:cs="仿宋" w:hint="eastAsia"/>
                <w:sz w:val="24"/>
                <w:szCs w:val="24"/>
                <w:vertAlign w:val="superscript"/>
              </w:rPr>
              <w:t>2</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pt;height:1pt">
                  <v:imagedata r:id="rId6"/>
                </v:shape>
              </w:pic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c）温度响应：</w:t>
            </w:r>
            <w:r>
              <w:rPr>
                <w:rFonts w:ascii="仿宋" w:eastAsia="仿宋" w:hAnsi="仿宋" w:cs="仿宋" w:hint="eastAsia"/>
                <w:sz w:val="24"/>
                <w:szCs w:val="24"/>
              </w:rPr>
              <w:t>≤</w:t>
            </w:r>
            <w:r>
              <w:rPr>
                <w:rFonts w:ascii="仿宋" w:eastAsia="仿宋" w:hAnsi="仿宋" w:cs="仿宋" w:hint="eastAsia"/>
                <w:sz w:val="24"/>
                <w:szCs w:val="24"/>
              </w:rPr>
              <w:t>8%</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f）接口标准：RS232/485</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g）四分量辐射传感器总功率：</w:t>
            </w:r>
            <w:r>
              <w:rPr>
                <w:rFonts w:ascii="仿宋" w:eastAsia="仿宋" w:hAnsi="仿宋" w:cs="仿宋" w:hint="eastAsia"/>
                <w:sz w:val="24"/>
                <w:szCs w:val="24"/>
              </w:rPr>
              <w:t>≤</w:t>
            </w:r>
            <w:r>
              <w:rPr>
                <w:rFonts w:ascii="仿宋" w:eastAsia="仿宋" w:hAnsi="仿宋" w:cs="仿宋" w:hint="eastAsia"/>
                <w:sz w:val="24"/>
                <w:szCs w:val="24"/>
              </w:rPr>
              <w:t>1.2W</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依据《GB/T19565-2017总辐射表》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依据《GB/T33701-2017长波辐射表》</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（7）净辐射传感器（选配）</w:t>
            </w:r>
          </w:p>
          <w:p>
            <w:pPr>
              <w:rPr>
                <w:rFonts w:ascii="仿宋" w:eastAsia="仿宋" w:hAnsi="仿宋" w:cs="仿宋" w:hint="eastAsia"/>
              </w:rPr>
            </w:pPr>
            <w:r>
              <w:rPr>
                <w:rFonts w:ascii="仿宋" w:eastAsia="仿宋" w:hAnsi="仿宋" w:cs="仿宋" w:hint="eastAsia"/>
                <w:sz w:val="24"/>
              </w:rPr>
              <w:t>净辐射传感器性能符合下列要求：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a）响应时间：</w:t>
            </w:r>
            <w:r>
              <w:rPr>
                <w:rFonts w:ascii="仿宋" w:eastAsia="仿宋" w:hAnsi="仿宋" w:cs="仿宋" w:hint="eastAsia"/>
                <w:sz w:val="24"/>
                <w:szCs w:val="24"/>
              </w:rPr>
              <w:t>≤</w:t>
            </w:r>
            <w:r>
              <w:rPr>
                <w:rFonts w:ascii="仿宋" w:eastAsia="仿宋" w:hAnsi="仿宋" w:cs="仿宋" w:hint="eastAsia"/>
                <w:sz w:val="24"/>
                <w:szCs w:val="24"/>
              </w:rPr>
              <w:t>90s</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b）温度响应（-10</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+40</w:t>
            </w:r>
            <w:r>
              <w:rPr>
                <w:rFonts w:ascii="仿宋" w:eastAsia="仿宋" w:hAnsi="仿宋" w:cs="仿宋" w:hint="eastAsia"/>
                <w:sz w:val="24"/>
                <w:szCs w:val="24"/>
              </w:rPr>
              <w:t>℃</w:t>
            </w:r>
            <w:r>
              <w:rPr>
                <w:rFonts w:ascii="仿宋" w:eastAsia="仿宋" w:hAnsi="仿宋" w:cs="仿宋" w:hint="eastAsia"/>
                <w:sz w:val="24"/>
                <w:szCs w:val="24"/>
              </w:rPr>
              <w:t>）：</w:t>
            </w:r>
            <w:r>
              <w:rPr>
                <w:rFonts w:ascii="仿宋" w:eastAsia="仿宋" w:hAnsi="仿宋" w:cs="仿宋" w:hint="eastAsia"/>
                <w:sz w:val="24"/>
                <w:szCs w:val="24"/>
              </w:rPr>
              <w:t>≤</w:t>
            </w:r>
            <w:r>
              <w:rPr>
                <w:rFonts w:ascii="仿宋" w:eastAsia="仿宋" w:hAnsi="仿宋" w:cs="仿宋" w:hint="eastAsia"/>
                <w:sz w:val="24"/>
                <w:szCs w:val="24"/>
              </w:rPr>
              <w:t>10%</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pPr>
              <w:pStyle w:val="Heading3"/>
              <w:spacing w:before="0" w:after="0" w:line="240" w:lineRule="auto"/>
              <w:rPr>
                <w:rFonts w:ascii="仿宋" w:eastAsia="仿宋" w:hAnsi="仿宋" w:cs="仿宋" w:hint="eastAsia"/>
                <w:sz w:val="24"/>
                <w:szCs w:val="24"/>
              </w:rPr>
            </w:pPr>
            <w:r>
              <w:rPr>
                <w:rFonts w:ascii="仿宋" w:eastAsia="仿宋" w:hAnsi="仿宋" w:cs="仿宋" w:hint="eastAsia"/>
                <w:b w:val="0"/>
                <w:sz w:val="24"/>
                <w:szCs w:val="24"/>
              </w:rPr>
              <w:t>（8）土壤热通量传感器</w:t>
            </w:r>
          </w:p>
          <w:p>
            <w:pPr>
              <w:rPr>
                <w:rFonts w:ascii="仿宋" w:eastAsia="仿宋" w:hAnsi="仿宋" w:cs="仿宋" w:hint="eastAsia"/>
              </w:rPr>
            </w:pPr>
            <w:r>
              <w:rPr>
                <w:rFonts w:ascii="仿宋" w:eastAsia="仿宋" w:hAnsi="仿宋" w:cs="仿宋" w:hint="eastAsia"/>
                <w:sz w:val="24"/>
              </w:rPr>
              <w:t>土壤热通量传感器性能符合下列要求：</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a）测量范围：-800W/m</w:t>
            </w:r>
            <w:r>
              <w:rPr>
                <w:rFonts w:ascii="仿宋" w:eastAsia="仿宋" w:hAnsi="仿宋" w:cs="仿宋" w:hint="eastAsia"/>
                <w:sz w:val="24"/>
                <w:szCs w:val="24"/>
                <w:vertAlign w:val="superscript"/>
              </w:rPr>
              <w:t>2</w:t>
            </w:r>
            <w:r>
              <w:rPr>
                <w:rFonts w:ascii="仿宋" w:eastAsia="仿宋" w:hAnsi="仿宋" w:cs="仿宋" w:hint="eastAsia"/>
                <w:color w:val="000000"/>
                <w:sz w:val="24"/>
                <w:szCs w:val="24"/>
              </w:rPr>
              <w:t>～</w:t>
            </w:r>
            <w:r>
              <w:rPr>
                <w:rFonts w:ascii="仿宋" w:eastAsia="仿宋" w:hAnsi="仿宋" w:cs="仿宋" w:hint="eastAsia"/>
                <w:sz w:val="24"/>
                <w:szCs w:val="24"/>
              </w:rPr>
              <w:t>800W/m</w:t>
            </w:r>
            <w:r>
              <w:rPr>
                <w:rFonts w:ascii="仿宋" w:eastAsia="仿宋" w:hAnsi="仿宋" w:cs="仿宋" w:hint="eastAsia"/>
                <w:sz w:val="24"/>
                <w:szCs w:val="24"/>
                <w:vertAlign w:val="superscript"/>
              </w:rPr>
              <w:t>2</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b）灵敏度范围：5.0</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r>
              <w:rPr>
                <w:rFonts w:ascii="仿宋" w:eastAsia="仿宋" w:hAnsi="仿宋" w:cs="仿宋" w:hint="eastAsia"/>
                <w:color w:val="000000"/>
                <w:sz w:val="24"/>
                <w:szCs w:val="24"/>
              </w:rPr>
              <w:t>～</w:t>
            </w:r>
            <w:r>
              <w:rPr>
                <w:rFonts w:ascii="仿宋" w:eastAsia="仿宋" w:hAnsi="仿宋" w:cs="仿宋" w:hint="eastAsia"/>
                <w:sz w:val="24"/>
                <w:szCs w:val="24"/>
              </w:rPr>
              <w:t>12.0</w:t>
            </w:r>
            <w:r>
              <w:rPr>
                <w:rFonts w:ascii="仿宋" w:eastAsia="仿宋" w:hAnsi="仿宋" w:cs="仿宋" w:hint="eastAsia"/>
                <w:sz w:val="24"/>
                <w:szCs w:val="24"/>
              </w:rPr>
              <w:t>×</w:t>
            </w:r>
            <w:r>
              <w:rPr>
                <w:rFonts w:ascii="仿宋" w:eastAsia="仿宋" w:hAnsi="仿宋" w:cs="仿宋" w:hint="eastAsia"/>
                <w:sz w:val="24"/>
                <w:szCs w:val="24"/>
              </w:rPr>
              <w:t>10</w:t>
            </w:r>
            <w:r>
              <w:rPr>
                <w:rFonts w:ascii="仿宋" w:eastAsia="仿宋" w:hAnsi="仿宋" w:cs="仿宋" w:hint="eastAsia"/>
                <w:sz w:val="24"/>
                <w:szCs w:val="24"/>
                <w:vertAlign w:val="superscript"/>
              </w:rPr>
              <w:t>−</w:t>
            </w:r>
            <w:r>
              <w:rPr>
                <w:rFonts w:ascii="仿宋" w:eastAsia="仿宋" w:hAnsi="仿宋" w:cs="仿宋" w:hint="eastAsia"/>
                <w:sz w:val="24"/>
                <w:szCs w:val="24"/>
                <w:vertAlign w:val="superscript"/>
              </w:rPr>
              <w:t>5</w:t>
            </w:r>
            <w:r>
              <w:rPr>
                <w:rFonts w:ascii="仿宋" w:eastAsia="仿宋" w:hAnsi="仿宋" w:cs="仿宋" w:hint="eastAsia"/>
                <w:sz w:val="24"/>
                <w:szCs w:val="24"/>
              </w:rPr>
              <w:t>V/(W/m</w:t>
            </w:r>
            <w:r>
              <w:rPr>
                <w:rFonts w:ascii="仿宋" w:eastAsia="仿宋" w:hAnsi="仿宋" w:cs="仿宋" w:hint="eastAsia"/>
                <w:sz w:val="24"/>
                <w:szCs w:val="24"/>
                <w:vertAlign w:val="superscript"/>
              </w:rPr>
              <w:t>2</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c）使用温度范围：-40</w:t>
            </w:r>
            <w:r>
              <w:rPr>
                <w:rFonts w:ascii="仿宋" w:eastAsia="仿宋" w:hAnsi="仿宋" w:cs="仿宋" w:hint="eastAsia"/>
                <w:sz w:val="24"/>
                <w:szCs w:val="24"/>
              </w:rPr>
              <w:t>℃</w:t>
            </w:r>
            <w:r>
              <w:rPr>
                <w:rFonts w:ascii="仿宋" w:eastAsia="仿宋" w:hAnsi="仿宋" w:cs="仿宋" w:hint="eastAsia"/>
                <w:sz w:val="24"/>
                <w:szCs w:val="24"/>
              </w:rPr>
              <w:t>～60</w:t>
            </w:r>
            <w:r>
              <w:rPr>
                <w:rFonts w:ascii="仿宋" w:eastAsia="仿宋" w:hAnsi="仿宋" w:cs="仿宋" w:hint="eastAsia"/>
                <w:sz w:val="24"/>
                <w:szCs w:val="24"/>
              </w:rPr>
              <w:t>℃</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d）供电电源：</w:t>
            </w:r>
            <w:r>
              <w:rPr>
                <w:rFonts w:ascii="仿宋" w:eastAsia="仿宋" w:hAnsi="仿宋" w:cs="仿宋" w:hint="eastAsia"/>
                <w:sz w:val="24"/>
                <w:szCs w:val="24"/>
              </w:rPr>
              <w:br/>
            </w:r>
            <w:r>
              <w:rPr>
                <w:rFonts w:ascii="仿宋" w:eastAsia="仿宋" w:hAnsi="仿宋" w:cs="仿宋" w:hint="eastAsia"/>
                <w:sz w:val="24"/>
                <w:szCs w:val="24"/>
              </w:rPr>
              <w:t>电压：DC(12</w:t>
            </w:r>
            <w:r>
              <w:rPr>
                <w:rFonts w:ascii="仿宋" w:eastAsia="仿宋" w:hAnsi="仿宋" w:cs="仿宋" w:hint="eastAsia"/>
                <w:sz w:val="24"/>
                <w:szCs w:val="24"/>
              </w:rPr>
              <w:t>±</w:t>
            </w:r>
            <w:r>
              <w:rPr>
                <w:rFonts w:ascii="仿宋" w:eastAsia="仿宋" w:hAnsi="仿宋" w:cs="仿宋" w:hint="eastAsia"/>
                <w:sz w:val="24"/>
                <w:szCs w:val="24"/>
              </w:rPr>
              <w:t>3）V</w:t>
            </w:r>
            <w:r>
              <w:rPr>
                <w:rFonts w:ascii="仿宋" w:eastAsia="仿宋" w:hAnsi="仿宋" w:cs="仿宋" w:hint="eastAsia"/>
                <w:sz w:val="24"/>
                <w:szCs w:val="24"/>
              </w:rPr>
              <w:br/>
            </w:r>
            <w:r>
              <w:rPr>
                <w:rFonts w:ascii="仿宋" w:eastAsia="仿宋" w:hAnsi="仿宋" w:cs="仿宋" w:hint="eastAsia"/>
                <w:sz w:val="24"/>
                <w:szCs w:val="24"/>
              </w:rPr>
              <w:t>电流：平均值小于20mA</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e）输出方式：数字型传感器</w:t>
            </w:r>
          </w:p>
          <w:p>
            <w:pPr>
              <w:pStyle w:val="14"/>
              <w:ind w:firstLine="0" w:firstLineChars="0"/>
              <w:rPr>
                <w:rFonts w:ascii="仿宋" w:eastAsia="仿宋" w:hAnsi="仿宋" w:cs="仿宋" w:hint="eastAsia"/>
                <w:sz w:val="24"/>
                <w:szCs w:val="24"/>
              </w:rPr>
            </w:pPr>
            <w:r>
              <w:rPr>
                <w:rFonts w:ascii="仿宋" w:eastAsia="仿宋" w:hAnsi="仿宋" w:cs="仿宋" w:hint="eastAsia"/>
                <w:sz w:val="24"/>
                <w:szCs w:val="24"/>
              </w:rPr>
              <w:t>f）接口标准：RS-232/RS485</w:t>
            </w:r>
          </w:p>
          <w:p>
            <w:pPr>
              <w:rPr>
                <w:rFonts w:ascii="仿宋" w:eastAsia="仿宋" w:hAnsi="仿宋" w:cs="仿宋" w:hint="eastAsia"/>
                <w:bCs/>
              </w:rPr>
            </w:pPr>
            <w:r>
              <w:rPr>
                <w:rFonts w:ascii="仿宋" w:eastAsia="仿宋" w:hAnsi="仿宋" w:cs="仿宋" w:hint="eastAsia"/>
                <w:bCs/>
                <w:sz w:val="24"/>
              </w:rPr>
              <w:t>（9）数据采集器</w:t>
            </w:r>
          </w:p>
          <w:p>
            <w:pPr>
              <w:rPr>
                <w:rFonts w:ascii="仿宋" w:eastAsia="仿宋" w:hAnsi="仿宋" w:cs="仿宋" w:hint="eastAsia"/>
              </w:rPr>
            </w:pPr>
            <w:r>
              <w:rPr>
                <w:rFonts w:ascii="仿宋" w:eastAsia="仿宋" w:hAnsi="仿宋" w:cs="仿宋" w:hint="eastAsia"/>
                <w:sz w:val="24"/>
              </w:rPr>
              <w:t>a）与传感器时钟最大允许误差：</w:t>
            </w:r>
            <w:r>
              <w:rPr>
                <w:rFonts w:ascii="仿宋" w:eastAsia="仿宋" w:hAnsi="仿宋" w:cs="仿宋" w:hint="eastAsia"/>
                <w:sz w:val="24"/>
              </w:rPr>
              <w:t>±</w:t>
            </w:r>
            <w:r>
              <w:rPr>
                <w:rFonts w:ascii="仿宋" w:eastAsia="仿宋" w:hAnsi="仿宋" w:cs="仿宋" w:hint="eastAsia"/>
                <w:sz w:val="24"/>
              </w:rPr>
              <w:t>15s（月累计）；对通信命令的响应延迟不超过1秒。</w:t>
            </w:r>
          </w:p>
          <w:p>
            <w:pPr>
              <w:rPr>
                <w:rFonts w:ascii="仿宋" w:eastAsia="仿宋" w:hAnsi="仿宋" w:cs="仿宋" w:hint="eastAsia"/>
              </w:rPr>
            </w:pPr>
            <w:r>
              <w:rPr>
                <w:rFonts w:ascii="仿宋" w:eastAsia="仿宋" w:hAnsi="仿宋" w:cs="仿宋" w:hint="eastAsia"/>
                <w:sz w:val="24"/>
                <w:highlight w:val="yellow"/>
              </w:rPr>
              <w:t>#b）数据采集器功率：</w:t>
            </w:r>
            <w:r>
              <w:rPr>
                <w:rFonts w:ascii="仿宋" w:eastAsia="仿宋" w:hAnsi="仿宋" w:cs="仿宋" w:hint="eastAsia"/>
                <w:sz w:val="24"/>
                <w:highlight w:val="yellow"/>
              </w:rPr>
              <w:t>≤</w:t>
            </w:r>
            <w:r>
              <w:rPr>
                <w:rFonts w:ascii="仿宋" w:eastAsia="仿宋" w:hAnsi="仿宋" w:cs="仿宋" w:hint="eastAsia"/>
                <w:sz w:val="24"/>
                <w:highlight w:val="yellow"/>
              </w:rPr>
              <w:t>10W</w:t>
            </w:r>
          </w:p>
          <w:p>
            <w:pPr>
              <w:rPr>
                <w:rFonts w:ascii="仿宋" w:eastAsia="仿宋" w:hAnsi="仿宋" w:cs="仿宋" w:hint="eastAsia"/>
                <w:bCs/>
              </w:rPr>
            </w:pPr>
            <w:r>
              <w:rPr>
                <w:rFonts w:ascii="仿宋" w:eastAsia="仿宋" w:hAnsi="仿宋" w:cs="仿宋" w:hint="eastAsia"/>
                <w:bCs/>
                <w:sz w:val="24"/>
              </w:rPr>
              <w:t>（10）通信系统</w:t>
            </w:r>
          </w:p>
          <w:p>
            <w:pPr>
              <w:rPr>
                <w:rFonts w:ascii="仿宋" w:eastAsia="仿宋" w:hAnsi="仿宋" w:cs="仿宋" w:hint="eastAsia"/>
              </w:rPr>
            </w:pPr>
            <w:r>
              <w:rPr>
                <w:rFonts w:ascii="仿宋" w:eastAsia="仿宋" w:hAnsi="仿宋" w:cs="仿宋" w:hint="eastAsia"/>
                <w:sz w:val="24"/>
              </w:rPr>
              <w:t>与数据采集器以RS-232/RS-485进行连接，可实现无线或有线传输和组网。</w:t>
            </w:r>
          </w:p>
          <w:p>
            <w:pPr>
              <w:rPr>
                <w:rFonts w:ascii="仿宋" w:eastAsia="仿宋" w:hAnsi="仿宋" w:cs="仿宋" w:hint="eastAsia"/>
                <w:bCs/>
              </w:rPr>
            </w:pPr>
            <w:r>
              <w:rPr>
                <w:rFonts w:ascii="仿宋" w:eastAsia="仿宋" w:hAnsi="仿宋" w:cs="仿宋" w:hint="eastAsia"/>
                <w:bCs/>
                <w:sz w:val="24"/>
              </w:rPr>
              <w:t>（11）供电系统</w:t>
            </w:r>
          </w:p>
          <w:p>
            <w:pPr>
              <w:rPr>
                <w:rFonts w:ascii="仿宋" w:eastAsia="仿宋" w:hAnsi="仿宋" w:cs="仿宋" w:hint="eastAsia"/>
              </w:rPr>
            </w:pPr>
            <w:r>
              <w:rPr>
                <w:rFonts w:ascii="仿宋" w:eastAsia="仿宋" w:hAnsi="仿宋" w:cs="仿宋" w:hint="eastAsia"/>
                <w:sz w:val="24"/>
              </w:rPr>
              <w:t>采用标称12V的免维护蓄电池为系统供电，并支持交流电源以及太阳能等为蓄电池充电。蓄电池在脱离辅助电源的条件下可连续工作7天。</w:t>
            </w:r>
          </w:p>
          <w:p>
            <w:pPr>
              <w:rPr>
                <w:rFonts w:ascii="仿宋" w:eastAsia="仿宋" w:hAnsi="仿宋" w:cs="仿宋" w:hint="eastAsia"/>
              </w:rPr>
            </w:pPr>
            <w:r>
              <w:rPr>
                <w:rFonts w:ascii="仿宋" w:eastAsia="仿宋" w:hAnsi="仿宋" w:cs="仿宋" w:hint="eastAsia"/>
                <w:sz w:val="24"/>
              </w:rPr>
              <w:t>设备总功耗在传感器不开启加热的情况下不大于28W。</w:t>
            </w:r>
          </w:p>
          <w:p>
            <w:pPr>
              <w:rPr>
                <w:rFonts w:ascii="仿宋" w:eastAsia="仿宋" w:hAnsi="仿宋" w:cs="仿宋" w:hint="eastAsia"/>
                <w:bCs/>
              </w:rPr>
            </w:pPr>
            <w:r>
              <w:rPr>
                <w:rFonts w:ascii="仿宋" w:eastAsia="仿宋" w:hAnsi="仿宋" w:cs="仿宋" w:hint="eastAsia"/>
                <w:bCs/>
                <w:sz w:val="24"/>
              </w:rPr>
              <w:t>（12）配套设备</w:t>
            </w:r>
          </w:p>
          <w:p>
            <w:pPr>
              <w:rPr>
                <w:rFonts w:ascii="仿宋" w:eastAsia="仿宋" w:hAnsi="仿宋" w:cs="仿宋" w:hint="eastAsia"/>
              </w:rPr>
            </w:pPr>
            <w:r>
              <w:rPr>
                <w:rFonts w:ascii="仿宋" w:eastAsia="仿宋" w:hAnsi="仿宋" w:cs="仿宋" w:hint="eastAsia"/>
                <w:sz w:val="24"/>
              </w:rPr>
              <w:t>标配为两座10米观测塔，结合场地条件，根据地形选择不同规格的铁塔。铁塔爬梯需设置在铁塔内部，保证安装人员安全。</w:t>
            </w:r>
          </w:p>
          <w:p>
            <w:pPr>
              <w:pStyle w:val="a2"/>
              <w:spacing w:after="0" w:line="240" w:lineRule="auto"/>
              <w:ind w:firstLine="0" w:firstLineChars="0"/>
              <w:rPr>
                <w:rFonts w:ascii="仿宋" w:eastAsia="仿宋" w:hAnsi="仿宋" w:cs="仿宋" w:hint="eastAsia"/>
                <w:color w:val="000000"/>
                <w:sz w:val="24"/>
                <w:szCs w:val="24"/>
                <w:lang w:eastAsia="zh-CN"/>
              </w:rPr>
            </w:pPr>
            <w:r>
              <w:rPr>
                <w:rFonts w:ascii="仿宋" w:eastAsia="仿宋" w:hAnsi="仿宋" w:cs="仿宋" w:hint="eastAsia"/>
                <w:sz w:val="24"/>
                <w:szCs w:val="24"/>
                <w:lang w:eastAsia="zh-CN"/>
              </w:rPr>
              <w:t>铁塔上设置与铁塔相绝缘的避雷针，避雷针引下线入地位置必须单独制作垂直接地体；除特殊（高山、海岛）地域外，观测场地网和接地体的接地电阻不宜大于4</w:t>
            </w:r>
            <w:r>
              <w:rPr>
                <w:rFonts w:ascii="仿宋" w:eastAsia="仿宋" w:hAnsi="仿宋" w:cs="仿宋" w:hint="eastAsia"/>
                <w:sz w:val="24"/>
                <w:szCs w:val="24"/>
              </w:rPr>
              <w:t>Ω</w:t>
            </w:r>
            <w:r>
              <w:rPr>
                <w:rFonts w:ascii="仿宋" w:eastAsia="仿宋" w:hAnsi="仿宋" w:cs="仿宋" w:hint="eastAsia"/>
                <w:sz w:val="24"/>
                <w:szCs w:val="24"/>
                <w:lang w:eastAsia="zh-CN"/>
              </w:rPr>
              <w:t>。</w:t>
            </w:r>
          </w:p>
        </w:tc>
      </w:tr>
    </w:tbl>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3.2算法要求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供应商提供的设备嵌入式软件采用国家级业务数据处理算法。</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3.3数据要求</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供应商提供的设备传输数据能够接入国家级业务运行平台。</w:t>
      </w:r>
    </w:p>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8"/>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11"/>
        <w:gridCol w:w="1589"/>
        <w:gridCol w:w="1002"/>
        <w:gridCol w:w="1393"/>
        <w:gridCol w:w="1589"/>
        <w:gridCol w:w="1002"/>
        <w:gridCol w:w="137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蒸散量观测系统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1,162,000.00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r>
              <w:t>广西区百色市</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1,162,000.00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86"/>
        <w:gridCol w:w="1652"/>
        <w:gridCol w:w="1263"/>
        <w:gridCol w:w="486"/>
        <w:gridCol w:w="1108"/>
        <w:gridCol w:w="923"/>
        <w:gridCol w:w="1108"/>
        <w:gridCol w:w="149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装备中心(001049022)</w:t>
            </w:r>
          </w:p>
        </w:tc>
        <w:tc>
          <w:tcPr/>
          <w:p>
            <w:r>
              <w:t>蒸散量观测系统</w:t>
            </w:r>
          </w:p>
        </w:tc>
        <w:tc>
          <w:tcPr/>
          <w:p>
            <w:r>
              <w:t>1</w:t>
            </w:r>
          </w:p>
        </w:tc>
        <w:tc>
          <w:tcPr/>
          <w:p>
            <w:r>
              <w:t>1162000.00</w:t>
            </w:r>
          </w:p>
        </w:tc>
        <w:tc>
          <w:tcPr/>
          <w:p>
            <w:r>
              <w:t xml:space="preserve">1162000.00  </w:t>
            </w:r>
          </w:p>
        </w:tc>
        <w:tc>
          <w:tcPr/>
          <w:p>
            <w:r>
              <w:t>广西区百色市</w:t>
            </w:r>
          </w:p>
        </w:tc>
        <w:tc>
          <w:tcPr/>
          <w:p>
            <w:r>
              <w:t>张喜鸿15994370121</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依据2025年</w:t>
      </w:r>
      <w:r>
        <w:rPr>
          <w:rFonts w:ascii="仿宋" w:eastAsia="仿宋" w:hAnsi="仿宋" w:cs="仿宋" w:hint="eastAsia"/>
          <w:sz w:val="28"/>
          <w:szCs w:val="20"/>
          <w:lang w:eastAsia="zh-CN"/>
        </w:rPr>
        <w:t>站网工程</w:t>
      </w:r>
      <w:r>
        <w:rPr>
          <w:rFonts w:ascii="仿宋" w:eastAsia="仿宋" w:hAnsi="仿宋" w:cs="仿宋" w:hint="eastAsia"/>
          <w:sz w:val="28"/>
          <w:szCs w:val="20"/>
        </w:rPr>
        <w:t>建设项目的要求，需在</w:t>
      </w:r>
      <w:r>
        <w:rPr>
          <w:rFonts w:ascii="仿宋" w:eastAsia="仿宋" w:hAnsi="仿宋" w:cs="仿宋" w:hint="eastAsia"/>
          <w:sz w:val="28"/>
          <w:szCs w:val="20"/>
          <w:lang w:eastAsia="zh-CN"/>
        </w:rPr>
        <w:t>广西区百色市</w:t>
      </w:r>
      <w:r>
        <w:rPr>
          <w:rFonts w:ascii="仿宋" w:eastAsia="仿宋" w:hAnsi="仿宋" w:cs="仿宋" w:hint="eastAsia"/>
          <w:sz w:val="28"/>
          <w:szCs w:val="20"/>
        </w:rPr>
        <w:t>，建设</w:t>
      </w:r>
      <w:r>
        <w:rPr>
          <w:rFonts w:ascii="仿宋" w:eastAsia="仿宋" w:hAnsi="仿宋" w:cs="仿宋" w:hint="eastAsia"/>
          <w:sz w:val="28"/>
          <w:szCs w:val="20"/>
          <w:lang w:val="en-US" w:eastAsia="zh-CN"/>
        </w:rPr>
        <w:t>1</w:t>
      </w:r>
      <w:r>
        <w:rPr>
          <w:rFonts w:ascii="仿宋" w:eastAsia="仿宋" w:hAnsi="仿宋" w:cs="仿宋" w:hint="eastAsia"/>
          <w:sz w:val="28"/>
          <w:szCs w:val="20"/>
        </w:rPr>
        <w:t>套蒸散量观测系统。该系统采用以大孔径闪烁仪和湍流度测试分析仪为主的蒸散设备观测，组成综合的蒸散观测系统，进行长期连续观测，获取能量平衡和蒸发量监测实时数据。</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设备供应商对每套投标产品提供至少2次技术培训，培训课时不少于24个课时，培训人数不少于16人。培训内容包括设备安装、使用、日常维护、观测原理及产品应用，培训时间及地点双方协商确定。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广西区百色市</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合同签订后120天内完成供货</w:t>
      </w:r>
      <w:r>
        <w:rPr>
          <w:rFonts w:ascii="仿宋" w:eastAsia="仿宋" w:hAnsi="仿宋" w:cs="仿宋" w:hint="eastAsia"/>
          <w:sz w:val="28"/>
          <w:szCs w:val="20"/>
          <w:lang w:eastAsia="zh-CN"/>
        </w:rPr>
        <w:t>，</w:t>
      </w:r>
      <w:r>
        <w:rPr>
          <w:rFonts w:ascii="仿宋" w:eastAsia="仿宋" w:hAnsi="仿宋" w:cs="仿宋" w:hint="eastAsia"/>
          <w:sz w:val="28"/>
          <w:szCs w:val="20"/>
          <w:lang w:val="en-US" w:eastAsia="zh-CN"/>
        </w:rPr>
        <w:t>180天内</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下发的相关要求，可无缝接入气象业务内网网络系统，实现与气象业务内网网络系统、天元、天衡天衍、天擎及省级业务平台无缝接入，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rPr>
        <w:t xml:space="preserve"> </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0D633C">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0D633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D633C">
            <w:pPr>
              <w:rPr>
                <w:sz w:val="18"/>
                <w:szCs w:val="18"/>
              </w:rPr>
            </w:pPr>
            <w:r>
              <w:rPr>
                <w:rFonts w:hint="eastAsia"/>
                <w:sz w:val="18"/>
                <w:szCs w:val="18"/>
              </w:rPr>
              <w:t>序号</w:t>
            </w:r>
          </w:p>
        </w:tc>
        <w:tc>
          <w:tcPr>
            <w:tcW w:w="898" w:type="dxa"/>
            <w:vAlign w:val="center"/>
          </w:tcPr>
          <w:p w:rsidR="000D633C">
            <w:pPr>
              <w:jc w:val="center"/>
              <w:rPr>
                <w:sz w:val="18"/>
                <w:szCs w:val="18"/>
              </w:rPr>
            </w:pPr>
            <w:r>
              <w:rPr>
                <w:rFonts w:hint="eastAsia"/>
                <w:sz w:val="18"/>
                <w:szCs w:val="18"/>
              </w:rPr>
              <w:t>对应</w:t>
            </w:r>
          </w:p>
          <w:p w:rsidR="000D633C">
            <w:pPr>
              <w:jc w:val="center"/>
              <w:rPr>
                <w:sz w:val="18"/>
                <w:szCs w:val="18"/>
              </w:rPr>
            </w:pPr>
            <w:r>
              <w:rPr>
                <w:rFonts w:hint="eastAsia"/>
                <w:sz w:val="18"/>
                <w:szCs w:val="18"/>
              </w:rPr>
              <w:t>条款号</w:t>
            </w:r>
          </w:p>
        </w:tc>
        <w:tc>
          <w:tcPr>
            <w:tcW w:w="7347" w:type="dxa"/>
            <w:vAlign w:val="center"/>
          </w:tcPr>
          <w:p w:rsidR="000D633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0D633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0D633C">
            <w:pPr>
              <w:numPr>
                <w:ilvl w:val="0"/>
                <w:numId w:val="14"/>
              </w:numPr>
              <w:rPr>
                <w:rFonts w:ascii="宋体" w:hAnsi="宋体"/>
                <w:sz w:val="18"/>
                <w:szCs w:val="18"/>
              </w:rPr>
            </w:pPr>
          </w:p>
        </w:tc>
        <w:tc>
          <w:tcPr>
            <w:tcW w:w="898" w:type="dxa"/>
            <w:vAlign w:val="center"/>
          </w:tcPr>
          <w:p w:rsidR="000D633C">
            <w:pPr>
              <w:jc w:val="center"/>
              <w:rPr>
                <w:rFonts w:ascii="宋体" w:hAnsi="宋体"/>
                <w:sz w:val="18"/>
                <w:szCs w:val="18"/>
              </w:rPr>
            </w:pPr>
            <w:r>
              <w:rPr>
                <w:rFonts w:hint="eastAsia"/>
                <w:szCs w:val="21"/>
              </w:rPr>
              <w:t>5.7</w:t>
            </w:r>
          </w:p>
        </w:tc>
        <w:tc>
          <w:tcPr>
            <w:tcW w:w="7347" w:type="dxa"/>
            <w:vAlign w:val="center"/>
          </w:tcPr>
          <w:p w:rsidR="000D633C">
            <w:pPr>
              <w:rPr>
                <w:rFonts w:cs="微软雅黑"/>
                <w:b/>
                <w:color w:val="0000FF"/>
                <w:kern w:val="0"/>
                <w:sz w:val="18"/>
                <w:szCs w:val="18"/>
              </w:rPr>
            </w:pPr>
            <w:r>
              <w:rPr>
                <w:rFonts w:ascii="宋体" w:hAnsi="宋体" w:cs="微软雅黑" w:hint="eastAsia"/>
                <w:b/>
                <w:color w:val="0000FF"/>
                <w:kern w:val="0"/>
                <w:sz w:val="18"/>
                <w:szCs w:val="18"/>
              </w:rPr>
              <w:t>投标的货物必须取得《气象专用技术装备使用许可证》：蒸散量观测系统（红外闪烁法）</w:t>
            </w:r>
          </w:p>
        </w:tc>
      </w:tr>
      <w:tr>
        <w:tblPrEx>
          <w:tblW w:w="8789" w:type="dxa"/>
          <w:tblLayout w:type="fixed"/>
          <w:tblLook w:val="04A0"/>
        </w:tblPrEx>
        <w:trPr>
          <w:cantSplit/>
        </w:trPr>
        <w:tc>
          <w:tcPr>
            <w:tcW w:w="8789" w:type="dxa"/>
            <w:gridSpan w:val="3"/>
            <w:vAlign w:val="center"/>
          </w:tcPr>
          <w:p w:rsidR="000D633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0D633C">
            <w:pPr>
              <w:numPr>
                <w:ilvl w:val="0"/>
                <w:numId w:val="14"/>
              </w:numPr>
              <w:rPr>
                <w:rFonts w:ascii="宋体" w:hAnsi="宋体"/>
                <w:sz w:val="18"/>
                <w:szCs w:val="18"/>
              </w:rPr>
            </w:pPr>
          </w:p>
        </w:tc>
        <w:tc>
          <w:tcPr>
            <w:tcW w:w="898" w:type="dxa"/>
            <w:vAlign w:val="center"/>
          </w:tcPr>
          <w:p w:rsidR="000D633C">
            <w:pPr>
              <w:jc w:val="center"/>
              <w:rPr>
                <w:rFonts w:ascii="宋体" w:hAnsi="宋体"/>
                <w:sz w:val="18"/>
                <w:szCs w:val="18"/>
              </w:rPr>
            </w:pPr>
            <w:r>
              <w:rPr>
                <w:rFonts w:ascii="宋体" w:hAnsi="宋体" w:hint="eastAsia"/>
                <w:sz w:val="18"/>
                <w:szCs w:val="18"/>
              </w:rPr>
              <w:t>第七章第四部分质保服务要求</w:t>
            </w:r>
          </w:p>
        </w:tc>
        <w:tc>
          <w:tcPr>
            <w:tcW w:w="7347" w:type="dxa"/>
            <w:vAlign w:val="center"/>
          </w:tcPr>
          <w:p w:rsidR="000D633C">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设备供应商对所有设备提供自验收合格后</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年的质保服务</w:t>
            </w:r>
            <w:r>
              <w:rPr>
                <w:rFonts w:ascii="宋体" w:hAnsi="宋体" w:cs="微软雅黑" w:hint="eastAsia"/>
                <w:b/>
                <w:color w:val="0000FF"/>
                <w:kern w:val="0"/>
                <w:sz w:val="18"/>
                <w:szCs w:val="18"/>
              </w:rPr>
              <w:t>*</w:t>
            </w:r>
          </w:p>
        </w:tc>
      </w:tr>
    </w:tbl>
    <w:p w:rsidR="000D633C">
      <w:pPr>
        <w:spacing w:before="156" w:beforeLines="50" w:line="360" w:lineRule="auto"/>
        <w:ind w:firstLine="420"/>
      </w:pPr>
      <w:r>
        <w:rPr>
          <w:rFonts w:ascii="宋体" w:hAnsi="宋体" w:hint="eastAsia"/>
          <w:szCs w:val="21"/>
        </w:rPr>
        <w:t>注：根据项目具体情况，对投标人有具体要求，且投标人必须遵守的，逐条列出。</w:t>
      </w:r>
    </w:p>
    <w:p w:rsidR="000D633C">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FE"/>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双方签订合同后，</w:t>
      </w:r>
      <w:r>
        <w:rPr>
          <w:rFonts w:ascii="宋体" w:hAnsi="宋体" w:hint="eastAsia"/>
          <w:szCs w:val="21"/>
          <w:highlight w:val="none"/>
          <w:u w:val="single"/>
          <w:lang w:val="en-US" w:eastAsia="zh-CN"/>
        </w:rPr>
        <w:t>10</w:t>
      </w:r>
      <w:r>
        <w:rPr>
          <w:rFonts w:ascii="宋体" w:hAnsi="宋体" w:hint="eastAsia"/>
          <w:szCs w:val="21"/>
          <w:highlight w:val="none"/>
          <w:u w:val="single"/>
        </w:rPr>
        <w:t>个工作日内，甲方向乙方支付合同总金额的</w:t>
      </w:r>
      <w:r>
        <w:rPr>
          <w:rFonts w:ascii="宋体" w:hAnsi="宋体" w:hint="eastAsia"/>
          <w:szCs w:val="21"/>
          <w:highlight w:val="none"/>
          <w:u w:val="single"/>
          <w:lang w:val="en-US" w:eastAsia="zh-CN"/>
        </w:rPr>
        <w:t>90</w:t>
      </w:r>
      <w:r>
        <w:rPr>
          <w:rFonts w:ascii="宋体" w:hAnsi="宋体" w:hint="eastAsia"/>
          <w:szCs w:val="21"/>
          <w:highlight w:val="none"/>
          <w:u w:val="single"/>
        </w:rPr>
        <w:t>%，到货检验后，双方签订验收报告后，付款合同尾款1</w:t>
      </w:r>
      <w:r>
        <w:rPr>
          <w:rFonts w:ascii="宋体" w:hAnsi="宋体" w:hint="eastAsia"/>
          <w:szCs w:val="21"/>
          <w:highlight w:val="none"/>
          <w:u w:val="single"/>
          <w:lang w:val="en-US" w:eastAsia="zh-CN"/>
        </w:rPr>
        <w:t>0</w:t>
      </w:r>
      <w:r>
        <w:rPr>
          <w:rFonts w:ascii="宋体" w:hAnsi="宋体" w:hint="eastAsia"/>
          <w:szCs w:val="21"/>
          <w:highlight w:val="none"/>
          <w:u w:val="single"/>
        </w:rPr>
        <w:t xml:space="preserve">%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0"/>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33C"/>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14">
    <w:name w:val="列表段落1"/>
    <w:basedOn w:val="Normal"/>
    <w:qFormat/>
    <w:pPr>
      <w:ind w:firstLine="420" w:firstLineChars="200"/>
    </w:pPr>
    <w:rPr>
      <w:rFonts w:ascii="Calibri" w:eastAsia="方正仿宋" w:hAnsi="Calibri"/>
      <w:sz w:val="32"/>
      <w:szCs w:val="21"/>
    </w:rPr>
  </w:style>
  <w:style w:type="paragraph" w:styleId="NormalIndent">
    <w:name w:val="Normal Indent"/>
    <w:basedOn w:val="Normal"/>
    <w:pPr>
      <w:ind w:firstLine="420"/>
    </w:pPr>
    <w:rPr>
      <w:rFonts w:eastAsia="方正仿宋"/>
      <w:sz w:val="32"/>
    </w:rPr>
  </w:style>
  <w:style w:type="paragraph" w:customStyle="1" w:styleId="5">
    <w:name w:val="样式5"/>
    <w:basedOn w:val="NormalIndent"/>
    <w:qFormat/>
    <w:pPr>
      <w:spacing w:beforeLines="50" w:afterLines="50" w:line="360" w:lineRule="auto"/>
      <w:ind w:left="856" w:right="-17"/>
    </w:pPr>
    <w:rPr>
      <w:sz w:val="28"/>
      <w:szCs w:val="28"/>
    </w:rPr>
  </w:style>
  <w:style w:type="paragraph" w:customStyle="1" w:styleId="a2">
    <w:name w:val="段"/>
    <w:qFormat/>
    <w:pPr>
      <w:autoSpaceDE w:val="0"/>
      <w:autoSpaceDN w:val="0"/>
      <w:spacing w:after="200" w:line="276" w:lineRule="auto"/>
      <w:ind w:firstLine="200" w:firstLineChars="200"/>
      <w:jc w:val="both"/>
    </w:pPr>
    <w:rPr>
      <w:rFonts w:ascii="宋体" w:hAnsi="Calibri"/>
      <w:sz w:val="21"/>
      <w:szCs w:val="22"/>
      <w:lang w:bidi="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ADMINI~1/AppData/Local/Temp/ksohtml14700/wps4.jpg" TargetMode="Externa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