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2025年海南和厦门等3市地基遥感垂直观测系统（微波辐射计）建设项目（重新招标）</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ZQCD-25312</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2025年09月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海南省三亚市气象局；海南省海口市气象局；厦门市气象灾害防御技术中心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2025年海南和厦门等3市地基遥感垂直观测系统（微波辐射计）建设项目（重新招标）</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ZQCD-25312</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合同签订后45天内交货，90天内完成安装调试并具备验收条件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甲方指定地点</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2025年10月10日 00:00:00</w:t>
      </w:r>
      <w:bookmarkEnd w:id="26"/>
      <w:r>
        <w:rPr>
          <w:rFonts w:ascii="宋体" w:hint="eastAsia"/>
          <w:szCs w:val="21"/>
          <w:highlight w:val="none"/>
        </w:rPr>
        <w:t>至</w:t>
      </w:r>
      <w:bookmarkStart w:id="27" w:name="项目公告_signUpLastTime"/>
      <w:r>
        <w:rPr>
          <w:rFonts w:ascii="宋体" w:hint="eastAsia"/>
          <w:szCs w:val="21"/>
          <w:highlight w:val="none"/>
        </w:rPr>
        <w:t>2025年10月15日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2025年10月30日 14:30:00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杜建君</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01058995155</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海南省三亚市气象局；海南省海口市气象局；厦门市气象灾害防御技术中心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方勉</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0898-88200700</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海南省三亚市吉阳区榆亚路426号三亚市气象局</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海南省三亚市气象局；海南省海口市气象局；厦门市气象灾害防御技术中心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不允许（仅针对以下产品：1、微波辐射计。不允许代理商投标）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必须，以下产品需要提供至投标截止日仍有效的《气象专用技术装备使用许可证》：1、微波辐射计。</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（1）标的：微波辐射计    ，属于工业行业；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是，中标服务费：4.7万元。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510.000000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510.000000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合同签订45天内交货，90天内完成安装调试并具备验收条件</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销售合同必须包括微波辐射计，每提供1份合同得1分，最多得5分。否则不得分。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针对本项目采购的微波辐射计，</w:t>
              <w:cr/>
              <w:t>承诺每提前5天交货的得0.5分，最多得1分。否则不得分。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针对微波辐射计设备，每提供1份用户证明材料得0.5分，最多得3分。否则不得分。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2、除项目经理外至少3人具有2年及以上相关工作经验的，得2分；为本项目派出的技术人员至少2人具有1年及以上相关工作经验的，得1分；其他不得分。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针对微波辐射计设备，测试报告应涵盖电磁环境测试、气候环境、工作环境等内容，每包含一项得1分，最多得3分。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一、项目概况及总体要求（详见采购需求-其他技术及商务需求）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三、技术性能指标</w:t>
      </w:r>
    </w:p>
    <w:p>
      <w:pPr>
        <w:spacing w:line="560" w:lineRule="exact"/>
        <w:jc w:val="center"/>
        <w:rPr>
          <w:rFonts w:ascii="仿宋" w:eastAsia="仿宋" w:hAnsi="仿宋" w:cs="仿宋" w:hint="eastAsia"/>
          <w:b/>
          <w:bCs/>
          <w:sz w:val="28"/>
          <w:szCs w:val="20"/>
        </w:rPr>
      </w:pPr>
      <w:r>
        <w:rPr>
          <w:rFonts w:ascii="仿宋" w:eastAsia="仿宋" w:hAnsi="仿宋" w:cs="仿宋" w:hint="eastAsia"/>
          <w:b/>
          <w:bCs/>
          <w:sz w:val="28"/>
          <w:szCs w:val="20"/>
        </w:rPr>
        <w:t>技术性能指标</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729"/>
        <w:gridCol w:w="993"/>
        <w:gridCol w:w="1784"/>
        <w:gridCol w:w="2967"/>
        <w:gridCol w:w="2530"/>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cantSplit/>
          <w:trHeight w:val="90"/>
          <w:jc w:val="center"/>
        </w:trPr>
        <w:tc>
          <w:tcPr>
            <w:tcW w:w="405" w:type="pct"/>
            <w:vAlign w:val="center"/>
          </w:tcPr>
          <w:p>
            <w:pPr>
              <w:pStyle w:val="NormalIndent"/>
              <w:tabs>
                <w:tab w:val="left" w:pos="3119"/>
              </w:tabs>
              <w:ind w:firstLine="0"/>
              <w:jc w:val="center"/>
              <w:rPr>
                <w:rFonts w:ascii="仿宋" w:eastAsia="仿宋" w:hAnsi="仿宋" w:cs="仿宋" w:hint="eastAsia"/>
                <w:b/>
                <w:kern w:val="0"/>
                <w:sz w:val="24"/>
                <w:szCs w:val="24"/>
              </w:rPr>
            </w:pPr>
            <w:r>
              <w:rPr>
                <w:rFonts w:ascii="仿宋" w:eastAsia="仿宋" w:hAnsi="仿宋" w:cs="仿宋" w:hint="eastAsia"/>
                <w:b/>
                <w:kern w:val="0"/>
                <w:sz w:val="24"/>
                <w:szCs w:val="24"/>
              </w:rPr>
              <w:t>序号</w:t>
            </w:r>
          </w:p>
        </w:tc>
        <w:tc>
          <w:tcPr>
            <w:tcW w:w="1542" w:type="pct"/>
            <w:gridSpan w:val="2"/>
            <w:vAlign w:val="center"/>
          </w:tcPr>
          <w:p>
            <w:pPr>
              <w:pStyle w:val="NormalIndent"/>
              <w:tabs>
                <w:tab w:val="left" w:pos="3119"/>
              </w:tabs>
              <w:ind w:firstLine="0"/>
              <w:jc w:val="center"/>
              <w:rPr>
                <w:rFonts w:ascii="仿宋" w:eastAsia="仿宋" w:hAnsi="仿宋" w:cs="仿宋" w:hint="eastAsia"/>
                <w:b/>
                <w:kern w:val="0"/>
                <w:sz w:val="24"/>
                <w:szCs w:val="24"/>
              </w:rPr>
            </w:pPr>
            <w:r>
              <w:rPr>
                <w:rFonts w:ascii="仿宋" w:eastAsia="仿宋" w:hAnsi="仿宋" w:cs="仿宋" w:hint="eastAsia"/>
                <w:b/>
                <w:kern w:val="0"/>
                <w:sz w:val="24"/>
                <w:szCs w:val="24"/>
              </w:rPr>
              <w:t>项目</w:t>
            </w:r>
          </w:p>
        </w:tc>
        <w:tc>
          <w:tcPr>
            <w:tcW w:w="3052" w:type="pct"/>
            <w:gridSpan w:val="2"/>
            <w:vAlign w:val="center"/>
          </w:tcPr>
          <w:p>
            <w:pPr>
              <w:pStyle w:val="NormalIndent"/>
              <w:tabs>
                <w:tab w:val="left" w:pos="3119"/>
              </w:tabs>
              <w:ind w:firstLine="0"/>
              <w:jc w:val="center"/>
              <w:rPr>
                <w:rFonts w:ascii="仿宋" w:eastAsia="仿宋" w:hAnsi="仿宋" w:cs="仿宋" w:hint="eastAsia"/>
                <w:b/>
                <w:kern w:val="0"/>
                <w:sz w:val="24"/>
                <w:szCs w:val="24"/>
              </w:rPr>
            </w:pPr>
            <w:r>
              <w:rPr>
                <w:rFonts w:ascii="仿宋" w:eastAsia="仿宋" w:hAnsi="仿宋" w:cs="仿宋" w:hint="eastAsia"/>
                <w:b/>
                <w:kern w:val="0"/>
                <w:sz w:val="24"/>
                <w:szCs w:val="24"/>
              </w:rPr>
              <w:t>技术指标</w:t>
            </w:r>
          </w:p>
        </w:tc>
      </w:tr>
      <w:tr>
        <w:tblPrEx>
          <w:tblW w:w="5000" w:type="pct"/>
          <w:jc w:val="center"/>
          <w:tblCellMar>
            <w:top w:w="0" w:type="dxa"/>
            <w:left w:w="108" w:type="dxa"/>
            <w:bottom w:w="0" w:type="dxa"/>
            <w:right w:w="108" w:type="dxa"/>
          </w:tblCellMar>
          <w:tblLook w:val="0000"/>
        </w:tblPrEx>
        <w:trPr>
          <w:cantSplit/>
          <w:trHeight w:val="1226"/>
          <w:jc w:val="center"/>
        </w:trPr>
        <w:tc>
          <w:tcPr>
            <w:tcW w:w="405" w:type="pc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w:t>
            </w:r>
          </w:p>
        </w:tc>
        <w:tc>
          <w:tcPr>
            <w:tcW w:w="1542" w:type="pct"/>
            <w:gridSpan w:val="2"/>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主要功能</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通过实时测量大气微波辐射信号，综合实现大气温度、湿度、云水辐射信号的多通道探测，全中文界面，终端可显示实时温湿廓线图、时间剖面图，运行状态实时监控、自动记录、自动报警，远程控制，具有断电自动恢复能力及历史数据回放功能。</w:t>
            </w:r>
          </w:p>
        </w:tc>
      </w:tr>
      <w:tr>
        <w:tblPrEx>
          <w:tblW w:w="5000" w:type="pct"/>
          <w:jc w:val="center"/>
          <w:tblCellMar>
            <w:top w:w="0" w:type="dxa"/>
            <w:left w:w="108" w:type="dxa"/>
            <w:bottom w:w="0" w:type="dxa"/>
            <w:right w:w="108" w:type="dxa"/>
          </w:tblCellMar>
          <w:tblLook w:val="0000"/>
        </w:tblPrEx>
        <w:trPr>
          <w:cantSplit/>
          <w:jc w:val="center"/>
        </w:trPr>
        <w:tc>
          <w:tcPr>
            <w:tcW w:w="405" w:type="pc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2</w:t>
            </w:r>
          </w:p>
        </w:tc>
        <w:tc>
          <w:tcPr>
            <w:tcW w:w="1542" w:type="pct"/>
            <w:gridSpan w:val="2"/>
            <w:vAlign w:val="center"/>
          </w:tcPr>
          <w:p>
            <w:pPr>
              <w:pStyle w:val="NormalIndent"/>
              <w:tabs>
                <w:tab w:val="left" w:pos="3119"/>
              </w:tabs>
              <w:ind w:firstLine="0"/>
              <w:jc w:val="center"/>
              <w:rPr>
                <w:rFonts w:ascii="仿宋" w:eastAsia="仿宋" w:hAnsi="仿宋" w:cs="仿宋" w:hint="eastAsia"/>
                <w:bCs/>
                <w:kern w:val="0"/>
                <w:sz w:val="24"/>
                <w:szCs w:val="24"/>
              </w:rPr>
            </w:pPr>
            <w:r>
              <w:rPr>
                <w:rFonts w:ascii="仿宋" w:eastAsia="仿宋" w:hAnsi="仿宋" w:cs="仿宋" w:hint="eastAsia"/>
                <w:bCs/>
                <w:kern w:val="0"/>
                <w:sz w:val="24"/>
                <w:szCs w:val="24"/>
              </w:rPr>
              <w:t>基本数据产品</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大气辐射亮温，大气温度廓线，边界层温度廓线，水汽密度廓线，相对湿度廓线，液态水廓线，积分水汽，积分液态水，降雨标志，云底温度和云底高度等。</w:t>
            </w:r>
          </w:p>
        </w:tc>
      </w:tr>
      <w:tr>
        <w:tblPrEx>
          <w:tblW w:w="5000" w:type="pct"/>
          <w:jc w:val="center"/>
          <w:tblCellMar>
            <w:top w:w="0" w:type="dxa"/>
            <w:left w:w="108" w:type="dxa"/>
            <w:bottom w:w="0" w:type="dxa"/>
            <w:right w:w="108" w:type="dxa"/>
          </w:tblCellMar>
          <w:tblLook w:val="0000"/>
        </w:tblPrEx>
        <w:trPr>
          <w:cantSplit/>
          <w:jc w:val="center"/>
        </w:trPr>
        <w:tc>
          <w:tcPr>
            <w:tcW w:w="405" w:type="pc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3</w:t>
            </w:r>
          </w:p>
        </w:tc>
        <w:tc>
          <w:tcPr>
            <w:tcW w:w="1542" w:type="pct"/>
            <w:gridSpan w:val="2"/>
            <w:vAlign w:val="center"/>
          </w:tcPr>
          <w:p>
            <w:pPr>
              <w:pStyle w:val="NormalIndent"/>
              <w:tabs>
                <w:tab w:val="left" w:pos="3119"/>
              </w:tabs>
              <w:ind w:firstLine="0"/>
              <w:jc w:val="center"/>
              <w:rPr>
                <w:rFonts w:ascii="仿宋" w:eastAsia="仿宋" w:hAnsi="仿宋" w:cs="仿宋" w:hint="eastAsia"/>
                <w:bCs/>
                <w:kern w:val="0"/>
                <w:sz w:val="24"/>
                <w:szCs w:val="24"/>
              </w:rPr>
            </w:pPr>
            <w:r>
              <w:rPr>
                <w:rFonts w:ascii="仿宋" w:eastAsia="仿宋" w:hAnsi="仿宋" w:cs="仿宋" w:hint="eastAsia"/>
                <w:bCs/>
                <w:kern w:val="0"/>
                <w:sz w:val="24"/>
                <w:szCs w:val="24"/>
              </w:rPr>
              <w:t>数据质控</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具有亮温、地面辅助观测数据和气象产品数据质量的自动检测和质量控制功能。</w:t>
            </w:r>
          </w:p>
        </w:tc>
      </w:tr>
      <w:tr>
        <w:tblPrEx>
          <w:tblW w:w="5000" w:type="pct"/>
          <w:jc w:val="center"/>
          <w:tblCellMar>
            <w:top w:w="0" w:type="dxa"/>
            <w:left w:w="108" w:type="dxa"/>
            <w:bottom w:w="0" w:type="dxa"/>
            <w:right w:w="108" w:type="dxa"/>
          </w:tblCellMar>
          <w:tblLook w:val="0000"/>
        </w:tblPrEx>
        <w:trPr>
          <w:cantSplit/>
          <w:jc w:val="center"/>
        </w:trPr>
        <w:tc>
          <w:tcPr>
            <w:tcW w:w="405" w:type="pc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4</w:t>
            </w:r>
          </w:p>
        </w:tc>
        <w:tc>
          <w:tcPr>
            <w:tcW w:w="1542" w:type="pct"/>
            <w:gridSpan w:val="2"/>
            <w:vAlign w:val="center"/>
          </w:tcPr>
          <w:p>
            <w:pPr>
              <w:pStyle w:val="NormalIndent"/>
              <w:tabs>
                <w:tab w:val="left" w:pos="3119"/>
              </w:tabs>
              <w:ind w:firstLine="0"/>
              <w:jc w:val="center"/>
              <w:rPr>
                <w:rFonts w:ascii="仿宋" w:eastAsia="仿宋" w:hAnsi="仿宋" w:cs="仿宋" w:hint="eastAsia"/>
                <w:bCs/>
                <w:kern w:val="0"/>
                <w:sz w:val="24"/>
                <w:szCs w:val="24"/>
              </w:rPr>
            </w:pPr>
            <w:r>
              <w:rPr>
                <w:rFonts w:ascii="仿宋" w:eastAsia="仿宋" w:hAnsi="仿宋" w:cs="仿宋" w:hint="eastAsia"/>
                <w:bCs/>
                <w:kern w:val="0"/>
                <w:sz w:val="24"/>
                <w:szCs w:val="24"/>
              </w:rPr>
              <w:t>廓线采样速率</w:t>
            </w:r>
          </w:p>
        </w:tc>
        <w:tc>
          <w:tcPr>
            <w:tcW w:w="3052" w:type="pct"/>
            <w:gridSpan w:val="2"/>
            <w:vAlign w:val="center"/>
          </w:tcPr>
          <w:p>
            <w:pPr>
              <w:pStyle w:val="NormalIndent"/>
              <w:tabs>
                <w:tab w:val="left" w:pos="3119"/>
              </w:tabs>
              <w:ind w:firstLine="0"/>
              <w:rPr>
                <w:rFonts w:ascii="仿宋" w:eastAsia="仿宋" w:hAnsi="仿宋" w:cs="仿宋" w:hint="eastAsia"/>
                <w:bCs/>
                <w:kern w:val="0"/>
                <w:sz w:val="24"/>
                <w:szCs w:val="24"/>
              </w:rPr>
            </w:pPr>
            <w:r>
              <w:rPr>
                <w:rFonts w:ascii="仿宋" w:eastAsia="仿宋" w:hAnsi="仿宋" w:cs="仿宋" w:hint="eastAsia"/>
                <w:bCs/>
                <w:kern w:val="0"/>
                <w:sz w:val="24"/>
                <w:szCs w:val="24"/>
              </w:rPr>
              <w:t>≤</w:t>
            </w:r>
            <w:r>
              <w:rPr>
                <w:rFonts w:ascii="仿宋" w:eastAsia="仿宋" w:hAnsi="仿宋" w:cs="仿宋" w:hint="eastAsia"/>
                <w:bCs/>
                <w:kern w:val="0"/>
                <w:sz w:val="24"/>
                <w:szCs w:val="24"/>
              </w:rPr>
              <w:t>2min</w:t>
            </w:r>
          </w:p>
        </w:tc>
      </w:tr>
      <w:tr>
        <w:tblPrEx>
          <w:tblW w:w="5000" w:type="pct"/>
          <w:jc w:val="center"/>
          <w:tblCellMar>
            <w:top w:w="0" w:type="dxa"/>
            <w:left w:w="108" w:type="dxa"/>
            <w:bottom w:w="0" w:type="dxa"/>
            <w:right w:w="108" w:type="dxa"/>
          </w:tblCellMar>
          <w:tblLook w:val="0000"/>
        </w:tblPrEx>
        <w:trPr>
          <w:cantSplit/>
          <w:jc w:val="center"/>
        </w:trPr>
        <w:tc>
          <w:tcPr>
            <w:tcW w:w="405" w:type="pc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5</w:t>
            </w:r>
          </w:p>
        </w:tc>
        <w:tc>
          <w:tcPr>
            <w:tcW w:w="1542" w:type="pct"/>
            <w:gridSpan w:val="2"/>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探测高度</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10km</w:t>
            </w:r>
          </w:p>
        </w:tc>
      </w:tr>
      <w:tr>
        <w:tblPrEx>
          <w:tblW w:w="5000" w:type="pct"/>
          <w:jc w:val="center"/>
          <w:tblCellMar>
            <w:top w:w="0" w:type="dxa"/>
            <w:left w:w="108" w:type="dxa"/>
            <w:bottom w:w="0" w:type="dxa"/>
            <w:right w:w="108" w:type="dxa"/>
          </w:tblCellMar>
          <w:tblLook w:val="0000"/>
        </w:tblPrEx>
        <w:trPr>
          <w:cantSplit/>
          <w:trHeight w:val="308"/>
          <w:jc w:val="center"/>
        </w:trPr>
        <w:tc>
          <w:tcPr>
            <w:tcW w:w="405" w:type="pct"/>
            <w:vMerge w:val="restar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6</w:t>
            </w:r>
          </w:p>
        </w:tc>
        <w:tc>
          <w:tcPr>
            <w:tcW w:w="551" w:type="pct"/>
            <w:vMerge w:val="restart"/>
            <w:vAlign w:val="center"/>
          </w:tcPr>
          <w:p>
            <w:pPr>
              <w:pStyle w:val="NormalIndent"/>
              <w:tabs>
                <w:tab w:val="left" w:pos="3119"/>
              </w:tabs>
              <w:ind w:firstLine="0"/>
              <w:jc w:val="center"/>
              <w:rPr>
                <w:rFonts w:ascii="仿宋" w:eastAsia="仿宋" w:hAnsi="仿宋" w:cs="仿宋" w:hint="eastAsia"/>
                <w:bCs/>
                <w:kern w:val="0"/>
                <w:sz w:val="24"/>
                <w:szCs w:val="24"/>
              </w:rPr>
            </w:pPr>
            <w:r>
              <w:rPr>
                <w:rFonts w:ascii="仿宋" w:eastAsia="仿宋" w:hAnsi="仿宋" w:cs="仿宋" w:hint="eastAsia"/>
                <w:bCs/>
                <w:kern w:val="0"/>
                <w:sz w:val="24"/>
                <w:szCs w:val="24"/>
              </w:rPr>
              <w:t>温度廓线垂直分辨力</w:t>
            </w: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highlight w:val="yellow"/>
              </w:rPr>
              <w:t>#天线半功率波束宽度</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水汽通道</w:t>
            </w:r>
            <w:r>
              <w:rPr>
                <w:rFonts w:ascii="仿宋" w:eastAsia="仿宋" w:hAnsi="仿宋" w:cs="仿宋" w:hint="eastAsia"/>
                <w:bCs/>
                <w:kern w:val="0"/>
                <w:sz w:val="24"/>
              </w:rPr>
              <w:t>≤</w:t>
            </w:r>
            <w:r>
              <w:rPr>
                <w:rFonts w:ascii="仿宋" w:eastAsia="仿宋" w:hAnsi="仿宋" w:cs="仿宋" w:hint="eastAsia"/>
                <w:bCs/>
                <w:kern w:val="0"/>
                <w:sz w:val="24"/>
              </w:rPr>
              <w:t>5</w:t>
            </w:r>
            <w:r>
              <w:rPr>
                <w:rFonts w:ascii="仿宋" w:eastAsia="仿宋" w:hAnsi="仿宋" w:cs="仿宋" w:hint="eastAsia"/>
                <w:bCs/>
                <w:kern w:val="0"/>
                <w:sz w:val="24"/>
              </w:rPr>
              <w:t>°</w:t>
            </w:r>
            <w:r>
              <w:rPr>
                <w:rFonts w:ascii="仿宋" w:eastAsia="仿宋" w:hAnsi="仿宋" w:cs="仿宋" w:hint="eastAsia"/>
                <w:bCs/>
                <w:kern w:val="0"/>
                <w:sz w:val="24"/>
              </w:rPr>
              <w:t>，温度通道</w:t>
            </w:r>
            <w:r>
              <w:rPr>
                <w:rFonts w:ascii="仿宋" w:eastAsia="仿宋" w:hAnsi="仿宋" w:cs="仿宋" w:hint="eastAsia"/>
                <w:bCs/>
                <w:kern w:val="0"/>
                <w:sz w:val="24"/>
              </w:rPr>
              <w:t>≤</w:t>
            </w:r>
            <w:r>
              <w:rPr>
                <w:rFonts w:ascii="仿宋" w:eastAsia="仿宋" w:hAnsi="仿宋" w:cs="仿宋" w:hint="eastAsia"/>
                <w:bCs/>
                <w:kern w:val="0"/>
                <w:sz w:val="24"/>
              </w:rPr>
              <w:t>3</w:t>
            </w:r>
            <w:r>
              <w:rPr>
                <w:rFonts w:ascii="仿宋" w:eastAsia="仿宋" w:hAnsi="仿宋" w:cs="仿宋" w:hint="eastAsia"/>
                <w:bCs/>
                <w:kern w:val="0"/>
                <w:sz w:val="24"/>
              </w:rPr>
              <w:t>°</w:t>
            </w:r>
          </w:p>
        </w:tc>
      </w:tr>
      <w:tr>
        <w:tblPrEx>
          <w:tblW w:w="5000" w:type="pct"/>
          <w:jc w:val="center"/>
          <w:tblCellMar>
            <w:top w:w="0" w:type="dxa"/>
            <w:left w:w="108" w:type="dxa"/>
            <w:bottom w:w="0" w:type="dxa"/>
            <w:right w:w="108" w:type="dxa"/>
          </w:tblCellMar>
          <w:tblLook w:val="0000"/>
        </w:tblPrEx>
        <w:trPr>
          <w:cantSplit/>
          <w:trHeight w:val="308"/>
          <w:jc w:val="center"/>
        </w:trPr>
        <w:tc>
          <w:tcPr>
            <w:tcW w:w="405" w:type="pct"/>
            <w:vMerge/>
            <w:vAlign w:val="center"/>
          </w:tcPr>
          <w:p>
            <w:pPr>
              <w:pStyle w:val="NormalIndent"/>
              <w:tabs>
                <w:tab w:val="left" w:pos="3119"/>
              </w:tabs>
              <w:ind w:firstLine="0"/>
              <w:jc w:val="center"/>
              <w:rPr>
                <w:rFonts w:ascii="仿宋" w:eastAsia="仿宋" w:hAnsi="仿宋" w:cs="仿宋" w:hint="eastAsia"/>
                <w:bCs/>
                <w:kern w:val="0"/>
                <w:sz w:val="24"/>
                <w:szCs w:val="24"/>
              </w:rPr>
            </w:pPr>
          </w:p>
        </w:tc>
        <w:tc>
          <w:tcPr>
            <w:tcW w:w="551" w:type="pct"/>
            <w:vMerge/>
            <w:vAlign w:val="center"/>
          </w:tcPr>
          <w:p>
            <w:pPr>
              <w:pStyle w:val="NormalIndent"/>
              <w:tabs>
                <w:tab w:val="left" w:pos="3119"/>
              </w:tabs>
              <w:ind w:firstLine="0"/>
              <w:jc w:val="center"/>
              <w:rPr>
                <w:rFonts w:ascii="仿宋" w:eastAsia="仿宋" w:hAnsi="仿宋" w:cs="仿宋" w:hint="eastAsia"/>
                <w:bCs/>
                <w:kern w:val="0"/>
                <w:sz w:val="24"/>
                <w:szCs w:val="24"/>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highlight w:val="yellow"/>
              </w:rPr>
              <w:t>#天线旁瓣电平</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水汽通道＜-25 dB，温度通道＜-28dB</w:t>
            </w:r>
          </w:p>
        </w:tc>
      </w:tr>
      <w:tr>
        <w:tblPrEx>
          <w:tblW w:w="5000" w:type="pct"/>
          <w:jc w:val="center"/>
          <w:tblCellMar>
            <w:top w:w="0" w:type="dxa"/>
            <w:left w:w="108" w:type="dxa"/>
            <w:bottom w:w="0" w:type="dxa"/>
            <w:right w:w="108" w:type="dxa"/>
          </w:tblCellMar>
          <w:tblLook w:val="0000"/>
        </w:tblPrEx>
        <w:trPr>
          <w:cantSplit/>
          <w:trHeight w:val="308"/>
          <w:jc w:val="center"/>
        </w:trPr>
        <w:tc>
          <w:tcPr>
            <w:tcW w:w="405" w:type="pct"/>
            <w:vMerge/>
            <w:vAlign w:val="center"/>
          </w:tcPr>
          <w:p>
            <w:pPr>
              <w:pStyle w:val="NormalIndent"/>
              <w:tabs>
                <w:tab w:val="left" w:pos="3119"/>
              </w:tabs>
              <w:ind w:firstLine="0"/>
              <w:jc w:val="center"/>
              <w:rPr>
                <w:rFonts w:ascii="仿宋" w:eastAsia="仿宋" w:hAnsi="仿宋" w:cs="仿宋" w:hint="eastAsia"/>
                <w:bCs/>
                <w:kern w:val="0"/>
                <w:sz w:val="24"/>
                <w:szCs w:val="24"/>
              </w:rPr>
            </w:pPr>
          </w:p>
        </w:tc>
        <w:tc>
          <w:tcPr>
            <w:tcW w:w="551" w:type="pct"/>
            <w:vMerge/>
            <w:vAlign w:val="center"/>
          </w:tcPr>
          <w:p>
            <w:pPr>
              <w:pStyle w:val="NormalIndent"/>
              <w:tabs>
                <w:tab w:val="left" w:pos="3119"/>
              </w:tabs>
              <w:ind w:firstLine="0"/>
              <w:jc w:val="center"/>
              <w:rPr>
                <w:rFonts w:ascii="仿宋" w:eastAsia="仿宋" w:hAnsi="仿宋" w:cs="仿宋" w:hint="eastAsia"/>
                <w:bCs/>
                <w:kern w:val="0"/>
                <w:sz w:val="24"/>
                <w:szCs w:val="24"/>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天线罩损耗</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0.1dB</w:t>
            </w:r>
          </w:p>
        </w:tc>
      </w:tr>
      <w:tr>
        <w:tblPrEx>
          <w:tblW w:w="5000" w:type="pct"/>
          <w:jc w:val="center"/>
          <w:tblCellMar>
            <w:top w:w="0" w:type="dxa"/>
            <w:left w:w="108" w:type="dxa"/>
            <w:bottom w:w="0" w:type="dxa"/>
            <w:right w:w="108" w:type="dxa"/>
          </w:tblCellMar>
          <w:tblLook w:val="0000"/>
        </w:tblPrEx>
        <w:trPr>
          <w:cantSplit/>
          <w:trHeight w:val="68"/>
          <w:jc w:val="center"/>
        </w:trPr>
        <w:tc>
          <w:tcPr>
            <w:tcW w:w="405" w:type="pct"/>
            <w:vMerge w:val="restar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7</w:t>
            </w:r>
          </w:p>
        </w:tc>
        <w:tc>
          <w:tcPr>
            <w:tcW w:w="551" w:type="pct"/>
            <w:vMerge w:val="restar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接收单元</w:t>
            </w: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技术体制</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直接检波或混频检波</w:t>
            </w:r>
          </w:p>
        </w:tc>
      </w:tr>
      <w:tr>
        <w:tblPrEx>
          <w:tblW w:w="5000" w:type="pct"/>
          <w:jc w:val="center"/>
          <w:tblCellMar>
            <w:top w:w="0" w:type="dxa"/>
            <w:left w:w="108" w:type="dxa"/>
            <w:bottom w:w="0" w:type="dxa"/>
            <w:right w:w="108" w:type="dxa"/>
          </w:tblCellMar>
          <w:tblLook w:val="0000"/>
        </w:tblPrEx>
        <w:trPr>
          <w:cantSplit/>
          <w:trHeight w:val="68"/>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工作频率</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水汽通道 22～32GHz ，温度通道 51～59GHz</w:t>
            </w:r>
          </w:p>
        </w:tc>
      </w:tr>
      <w:tr>
        <w:tblPrEx>
          <w:tblW w:w="5000" w:type="pct"/>
          <w:jc w:val="center"/>
          <w:tblCellMar>
            <w:top w:w="0" w:type="dxa"/>
            <w:left w:w="108" w:type="dxa"/>
            <w:bottom w:w="0" w:type="dxa"/>
            <w:right w:w="108" w:type="dxa"/>
          </w:tblCellMar>
          <w:tblLook w:val="0000"/>
        </w:tblPrEx>
        <w:trPr>
          <w:cantSplit/>
          <w:trHeight w:val="307"/>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Merge w:val="restar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通道数量</w:t>
            </w:r>
          </w:p>
        </w:tc>
        <w:tc>
          <w:tcPr>
            <w:tcW w:w="3052" w:type="pct"/>
            <w:gridSpan w:val="2"/>
            <w:vAlign w:val="center"/>
          </w:tcPr>
          <w:p>
            <w:pPr>
              <w:widowControl/>
              <w:jc w:val="left"/>
              <w:rPr>
                <w:rFonts w:hint="eastAsia"/>
              </w:rPr>
            </w:pPr>
            <w:r>
              <w:rPr>
                <w:rFonts w:ascii="仿宋" w:eastAsia="仿宋" w:hAnsi="仿宋" w:cs="仿宋" w:hint="eastAsia"/>
                <w:bCs/>
                <w:kern w:val="0"/>
                <w:sz w:val="24"/>
              </w:rPr>
              <w:t>温度通道</w:t>
            </w:r>
            <w:r>
              <w:rPr>
                <w:rFonts w:ascii="仿宋" w:eastAsia="仿宋" w:hAnsi="仿宋" w:cs="仿宋" w:hint="eastAsia"/>
                <w:bCs/>
                <w:kern w:val="0"/>
                <w:sz w:val="24"/>
              </w:rPr>
              <w:t>≥</w:t>
            </w:r>
            <w:r>
              <w:rPr>
                <w:rFonts w:ascii="仿宋" w:eastAsia="仿宋" w:hAnsi="仿宋" w:cs="仿宋" w:hint="eastAsia"/>
                <w:bCs/>
                <w:kern w:val="0"/>
                <w:sz w:val="24"/>
              </w:rPr>
              <w:t>7个</w:t>
            </w:r>
          </w:p>
        </w:tc>
      </w:tr>
      <w:tr>
        <w:tblPrEx>
          <w:tblW w:w="5000" w:type="pct"/>
          <w:jc w:val="center"/>
          <w:tblCellMar>
            <w:top w:w="0" w:type="dxa"/>
            <w:left w:w="108" w:type="dxa"/>
            <w:bottom w:w="0" w:type="dxa"/>
            <w:right w:w="108" w:type="dxa"/>
          </w:tblCellMar>
          <w:tblLook w:val="0000"/>
        </w:tblPrEx>
        <w:trPr>
          <w:cantSplit/>
          <w:trHeight w:val="307"/>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Merge/>
            <w:vAlign w:val="center"/>
          </w:tcPr>
          <w:p>
            <w:pPr>
              <w:widowControl/>
              <w:jc w:val="center"/>
              <w:rPr>
                <w:rFonts w:ascii="仿宋" w:eastAsia="仿宋" w:hAnsi="仿宋" w:cs="仿宋" w:hint="eastAsia"/>
                <w:bCs/>
                <w:kern w:val="0"/>
              </w:rPr>
            </w:pP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水汽通道</w:t>
            </w:r>
            <w:r>
              <w:rPr>
                <w:rFonts w:ascii="仿宋" w:eastAsia="仿宋" w:hAnsi="仿宋" w:cs="仿宋" w:hint="eastAsia"/>
                <w:bCs/>
                <w:kern w:val="0"/>
                <w:sz w:val="24"/>
              </w:rPr>
              <w:t>≥</w:t>
            </w:r>
            <w:r>
              <w:rPr>
                <w:rFonts w:ascii="仿宋" w:eastAsia="仿宋" w:hAnsi="仿宋" w:cs="仿宋" w:hint="eastAsia"/>
                <w:bCs/>
                <w:kern w:val="0"/>
                <w:sz w:val="24"/>
              </w:rPr>
              <w:t>7个</w:t>
            </w:r>
          </w:p>
        </w:tc>
      </w:tr>
      <w:tr>
        <w:tblPrEx>
          <w:tblW w:w="5000" w:type="pct"/>
          <w:jc w:val="center"/>
          <w:tblCellMar>
            <w:top w:w="0" w:type="dxa"/>
            <w:left w:w="108" w:type="dxa"/>
            <w:bottom w:w="0" w:type="dxa"/>
            <w:right w:w="108" w:type="dxa"/>
          </w:tblCellMar>
          <w:tblLook w:val="0000"/>
        </w:tblPrEx>
        <w:trPr>
          <w:cantSplit/>
          <w:trHeight w:val="68"/>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highlight w:val="yellow"/>
              </w:rPr>
              <w:t>#噪声系数</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水汽通道</w:t>
            </w:r>
            <w:r>
              <w:rPr>
                <w:rFonts w:ascii="仿宋" w:eastAsia="仿宋" w:hAnsi="仿宋" w:cs="仿宋" w:hint="eastAsia"/>
                <w:bCs/>
                <w:kern w:val="0"/>
                <w:sz w:val="24"/>
              </w:rPr>
              <w:t>≤</w:t>
            </w:r>
            <w:r>
              <w:rPr>
                <w:rFonts w:ascii="仿宋" w:eastAsia="仿宋" w:hAnsi="仿宋" w:cs="仿宋" w:hint="eastAsia"/>
                <w:bCs/>
                <w:kern w:val="0"/>
                <w:sz w:val="24"/>
              </w:rPr>
              <w:t>4dB，温度通道</w:t>
            </w:r>
            <w:r>
              <w:rPr>
                <w:rFonts w:ascii="仿宋" w:eastAsia="仿宋" w:hAnsi="仿宋" w:cs="仿宋" w:hint="eastAsia"/>
                <w:bCs/>
                <w:kern w:val="0"/>
                <w:sz w:val="24"/>
              </w:rPr>
              <w:t>≤</w:t>
            </w:r>
            <w:r>
              <w:rPr>
                <w:rFonts w:ascii="仿宋" w:eastAsia="仿宋" w:hAnsi="仿宋" w:cs="仿宋" w:hint="eastAsia"/>
                <w:bCs/>
                <w:kern w:val="0"/>
                <w:sz w:val="24"/>
              </w:rPr>
              <w:t>6dB</w:t>
            </w:r>
          </w:p>
        </w:tc>
      </w:tr>
      <w:tr>
        <w:tblPrEx>
          <w:tblW w:w="5000" w:type="pct"/>
          <w:jc w:val="center"/>
          <w:tblCellMar>
            <w:top w:w="0" w:type="dxa"/>
            <w:left w:w="108" w:type="dxa"/>
            <w:bottom w:w="0" w:type="dxa"/>
            <w:right w:w="108" w:type="dxa"/>
          </w:tblCellMar>
          <w:tblLook w:val="0000"/>
        </w:tblPrEx>
        <w:trPr>
          <w:cantSplit/>
          <w:trHeight w:val="68"/>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亮温测量范围</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0K～400K</w:t>
            </w:r>
          </w:p>
        </w:tc>
      </w:tr>
      <w:tr>
        <w:tblPrEx>
          <w:tblW w:w="5000" w:type="pct"/>
          <w:jc w:val="center"/>
          <w:tblCellMar>
            <w:top w:w="0" w:type="dxa"/>
            <w:left w:w="108" w:type="dxa"/>
            <w:bottom w:w="0" w:type="dxa"/>
            <w:right w:w="108" w:type="dxa"/>
          </w:tblCellMar>
          <w:tblLook w:val="0000"/>
        </w:tblPrEx>
        <w:trPr>
          <w:cantSplit/>
          <w:trHeight w:val="68"/>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亮温灵敏度</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水汽通道</w:t>
            </w:r>
            <w:r>
              <w:rPr>
                <w:rFonts w:ascii="仿宋" w:eastAsia="仿宋" w:hAnsi="仿宋" w:cs="仿宋" w:hint="eastAsia"/>
                <w:bCs/>
                <w:kern w:val="0"/>
                <w:sz w:val="24"/>
              </w:rPr>
              <w:t>≤</w:t>
            </w:r>
            <w:r>
              <w:rPr>
                <w:rFonts w:ascii="仿宋" w:eastAsia="仿宋" w:hAnsi="仿宋" w:cs="仿宋" w:hint="eastAsia"/>
                <w:bCs/>
                <w:kern w:val="0"/>
                <w:sz w:val="24"/>
              </w:rPr>
              <w:t>0.2K（1s 积分时间）</w:t>
            </w:r>
          </w:p>
          <w:p>
            <w:pPr>
              <w:widowControl/>
              <w:jc w:val="left"/>
              <w:rPr>
                <w:rFonts w:ascii="仿宋" w:eastAsia="仿宋" w:hAnsi="仿宋" w:cs="仿宋" w:hint="eastAsia"/>
                <w:bCs/>
                <w:kern w:val="0"/>
              </w:rPr>
            </w:pPr>
            <w:r>
              <w:rPr>
                <w:rFonts w:ascii="仿宋" w:eastAsia="仿宋" w:hAnsi="仿宋" w:cs="仿宋" w:hint="eastAsia"/>
                <w:bCs/>
                <w:kern w:val="0"/>
                <w:sz w:val="24"/>
              </w:rPr>
              <w:t>氧气通道</w:t>
            </w:r>
            <w:r>
              <w:rPr>
                <w:rFonts w:ascii="仿宋" w:eastAsia="仿宋" w:hAnsi="仿宋" w:cs="仿宋" w:hint="eastAsia"/>
                <w:bCs/>
                <w:kern w:val="0"/>
                <w:sz w:val="24"/>
              </w:rPr>
              <w:t>≤</w:t>
            </w:r>
            <w:r>
              <w:rPr>
                <w:rFonts w:ascii="仿宋" w:eastAsia="仿宋" w:hAnsi="仿宋" w:cs="仿宋" w:hint="eastAsia"/>
                <w:bCs/>
                <w:kern w:val="0"/>
                <w:sz w:val="24"/>
              </w:rPr>
              <w:t>0.3K（1s 积分时间）</w:t>
            </w:r>
          </w:p>
        </w:tc>
      </w:tr>
      <w:tr>
        <w:tblPrEx>
          <w:tblW w:w="5000" w:type="pct"/>
          <w:jc w:val="center"/>
          <w:tblCellMar>
            <w:top w:w="0" w:type="dxa"/>
            <w:left w:w="108" w:type="dxa"/>
            <w:bottom w:w="0" w:type="dxa"/>
            <w:right w:w="108" w:type="dxa"/>
          </w:tblCellMar>
          <w:tblLook w:val="0000"/>
        </w:tblPrEx>
        <w:trPr>
          <w:cantSplit/>
          <w:trHeight w:val="68"/>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highlight w:val="yellow"/>
              </w:rPr>
            </w:pPr>
            <w:r>
              <w:rPr>
                <w:rFonts w:ascii="仿宋" w:eastAsia="仿宋" w:hAnsi="仿宋" w:cs="仿宋" w:hint="eastAsia"/>
                <w:bCs/>
                <w:kern w:val="0"/>
                <w:sz w:val="24"/>
                <w:highlight w:val="yellow"/>
              </w:rPr>
              <w:t>#亮温测量误差</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1K RMS</w:t>
            </w:r>
          </w:p>
        </w:tc>
      </w:tr>
      <w:tr>
        <w:tblPrEx>
          <w:tblW w:w="5000" w:type="pct"/>
          <w:jc w:val="center"/>
          <w:tblCellMar>
            <w:top w:w="0" w:type="dxa"/>
            <w:left w:w="108" w:type="dxa"/>
            <w:bottom w:w="0" w:type="dxa"/>
            <w:right w:w="108" w:type="dxa"/>
          </w:tblCellMar>
          <w:tblLook w:val="0000"/>
        </w:tblPrEx>
        <w:trPr>
          <w:cantSplit/>
          <w:trHeight w:val="68"/>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highlight w:val="yellow"/>
              </w:rPr>
            </w:pPr>
            <w:r>
              <w:rPr>
                <w:rFonts w:ascii="仿宋" w:eastAsia="仿宋" w:hAnsi="仿宋" w:cs="仿宋" w:hint="eastAsia"/>
                <w:bCs/>
                <w:kern w:val="0"/>
                <w:sz w:val="24"/>
                <w:highlight w:val="yellow"/>
              </w:rPr>
              <w:t>#检波器线性度</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0.9999</w:t>
            </w:r>
          </w:p>
        </w:tc>
      </w:tr>
      <w:tr>
        <w:tblPrEx>
          <w:tblW w:w="5000" w:type="pct"/>
          <w:jc w:val="center"/>
          <w:tblCellMar>
            <w:top w:w="0" w:type="dxa"/>
            <w:left w:w="108" w:type="dxa"/>
            <w:bottom w:w="0" w:type="dxa"/>
            <w:right w:w="108" w:type="dxa"/>
          </w:tblCellMar>
          <w:tblLook w:val="0000"/>
        </w:tblPrEx>
        <w:trPr>
          <w:cantSplit/>
          <w:trHeight w:val="307"/>
          <w:jc w:val="center"/>
        </w:trPr>
        <w:tc>
          <w:tcPr>
            <w:tcW w:w="405" w:type="pct"/>
            <w:vMerge w:val="restar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8</w:t>
            </w:r>
          </w:p>
        </w:tc>
        <w:tc>
          <w:tcPr>
            <w:tcW w:w="551" w:type="pct"/>
            <w:vMerge w:val="restar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定标单元</w:t>
            </w:r>
          </w:p>
        </w:tc>
        <w:tc>
          <w:tcPr>
            <w:tcW w:w="991" w:type="pct"/>
            <w:vAlign w:val="center"/>
          </w:tcPr>
          <w:p>
            <w:pPr>
              <w:widowControl/>
              <w:jc w:val="center"/>
              <w:rPr>
                <w:rFonts w:ascii="仿宋" w:eastAsia="仿宋" w:hAnsi="仿宋" w:cs="仿宋" w:hint="eastAsia"/>
                <w:bCs/>
                <w:kern w:val="0"/>
                <w:highlight w:val="yellow"/>
              </w:rPr>
            </w:pPr>
            <w:r>
              <w:rPr>
                <w:rFonts w:ascii="仿宋" w:eastAsia="仿宋" w:hAnsi="仿宋" w:cs="仿宋" w:hint="eastAsia"/>
                <w:bCs/>
                <w:kern w:val="0"/>
                <w:sz w:val="24"/>
                <w:highlight w:val="yellow"/>
              </w:rPr>
              <w:t>#内置黑体温度均匀性</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0.5K</w:t>
            </w:r>
          </w:p>
        </w:tc>
      </w:tr>
      <w:tr>
        <w:tblPrEx>
          <w:tblW w:w="5000" w:type="pct"/>
          <w:jc w:val="center"/>
          <w:tblCellMar>
            <w:top w:w="0" w:type="dxa"/>
            <w:left w:w="108" w:type="dxa"/>
            <w:bottom w:w="0" w:type="dxa"/>
            <w:right w:w="108" w:type="dxa"/>
          </w:tblCellMar>
          <w:tblLook w:val="0000"/>
        </w:tblPrEx>
        <w:trPr>
          <w:cantSplit/>
          <w:trHeight w:val="307"/>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黑体内置温度传感器误差</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0.2K</w:t>
            </w:r>
          </w:p>
        </w:tc>
      </w:tr>
      <w:tr>
        <w:tblPrEx>
          <w:tblW w:w="5000" w:type="pct"/>
          <w:jc w:val="center"/>
          <w:tblCellMar>
            <w:top w:w="0" w:type="dxa"/>
            <w:left w:w="108" w:type="dxa"/>
            <w:bottom w:w="0" w:type="dxa"/>
            <w:right w:w="108" w:type="dxa"/>
          </w:tblCellMar>
          <w:tblLook w:val="0000"/>
        </w:tblPrEx>
        <w:trPr>
          <w:cantSplit/>
          <w:trHeight w:val="122"/>
          <w:jc w:val="center"/>
        </w:trPr>
        <w:tc>
          <w:tcPr>
            <w:tcW w:w="405" w:type="pct"/>
            <w:vMerge w:val="restar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9</w:t>
            </w:r>
          </w:p>
        </w:tc>
        <w:tc>
          <w:tcPr>
            <w:tcW w:w="551" w:type="pct"/>
            <w:vMerge w:val="restar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地面参数测量单元</w:t>
            </w: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地面温度传感器</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测量范围：-50</w:t>
            </w:r>
            <w:r>
              <w:rPr>
                <w:rFonts w:ascii="仿宋" w:eastAsia="仿宋" w:hAnsi="仿宋" w:cs="仿宋" w:hint="eastAsia"/>
                <w:bCs/>
                <w:kern w:val="0"/>
                <w:sz w:val="24"/>
              </w:rPr>
              <w:t>℃</w:t>
            </w:r>
            <w:r>
              <w:rPr>
                <w:rFonts w:ascii="仿宋" w:eastAsia="仿宋" w:hAnsi="仿宋" w:cs="仿宋" w:hint="eastAsia"/>
                <w:bCs/>
                <w:kern w:val="0"/>
                <w:sz w:val="24"/>
              </w:rPr>
              <w:t>～50</w:t>
            </w:r>
            <w:r>
              <w:rPr>
                <w:rFonts w:ascii="仿宋" w:eastAsia="仿宋" w:hAnsi="仿宋" w:cs="仿宋" w:hint="eastAsia"/>
                <w:bCs/>
                <w:kern w:val="0"/>
                <w:sz w:val="24"/>
              </w:rPr>
              <w:t>℃</w:t>
            </w:r>
            <w:r>
              <w:rPr>
                <w:rFonts w:ascii="仿宋" w:eastAsia="仿宋" w:hAnsi="仿宋" w:cs="仿宋" w:hint="eastAsia"/>
                <w:bCs/>
                <w:kern w:val="0"/>
                <w:sz w:val="24"/>
              </w:rPr>
              <w:t>；</w:t>
            </w:r>
          </w:p>
          <w:p>
            <w:pPr>
              <w:widowControl/>
              <w:jc w:val="left"/>
              <w:rPr>
                <w:rFonts w:ascii="仿宋" w:eastAsia="仿宋" w:hAnsi="仿宋" w:cs="仿宋" w:hint="eastAsia"/>
                <w:bCs/>
                <w:kern w:val="0"/>
              </w:rPr>
            </w:pPr>
            <w:r>
              <w:rPr>
                <w:rFonts w:ascii="仿宋" w:eastAsia="仿宋" w:hAnsi="仿宋" w:cs="仿宋" w:hint="eastAsia"/>
                <w:bCs/>
                <w:kern w:val="0"/>
                <w:sz w:val="24"/>
              </w:rPr>
              <w:t>允许误差：</w:t>
            </w:r>
            <w:r>
              <w:rPr>
                <w:rFonts w:ascii="仿宋" w:eastAsia="仿宋" w:hAnsi="仿宋" w:cs="仿宋" w:hint="eastAsia"/>
                <w:bCs/>
                <w:kern w:val="0"/>
                <w:sz w:val="24"/>
              </w:rPr>
              <w:t>≤</w:t>
            </w:r>
            <w:r>
              <w:rPr>
                <w:rFonts w:ascii="仿宋" w:eastAsia="仿宋" w:hAnsi="仿宋" w:cs="仿宋" w:hint="eastAsia"/>
                <w:bCs/>
                <w:kern w:val="0"/>
                <w:sz w:val="24"/>
              </w:rPr>
              <w:t>0.2</w:t>
            </w:r>
            <w:r>
              <w:rPr>
                <w:rFonts w:ascii="仿宋" w:eastAsia="仿宋" w:hAnsi="仿宋" w:cs="仿宋" w:hint="eastAsia"/>
                <w:bCs/>
                <w:kern w:val="0"/>
                <w:sz w:val="24"/>
              </w:rPr>
              <w:t>℃</w:t>
            </w:r>
          </w:p>
        </w:tc>
      </w:tr>
      <w:tr>
        <w:tblPrEx>
          <w:tblW w:w="5000" w:type="pct"/>
          <w:jc w:val="center"/>
          <w:tblCellMar>
            <w:top w:w="0" w:type="dxa"/>
            <w:left w:w="108" w:type="dxa"/>
            <w:bottom w:w="0" w:type="dxa"/>
            <w:right w:w="108" w:type="dxa"/>
          </w:tblCellMar>
          <w:tblLook w:val="0000"/>
        </w:tblPrEx>
        <w:trPr>
          <w:cantSplit/>
          <w:trHeight w:val="122"/>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地面湿度传感器</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测量范围：5%～100%RH；</w:t>
            </w:r>
          </w:p>
          <w:p>
            <w:pPr>
              <w:widowControl/>
              <w:jc w:val="left"/>
              <w:rPr>
                <w:rFonts w:ascii="仿宋" w:eastAsia="仿宋" w:hAnsi="仿宋" w:cs="仿宋" w:hint="eastAsia"/>
                <w:bCs/>
                <w:kern w:val="0"/>
              </w:rPr>
            </w:pPr>
            <w:r>
              <w:rPr>
                <w:rFonts w:ascii="仿宋" w:eastAsia="仿宋" w:hAnsi="仿宋" w:cs="仿宋" w:hint="eastAsia"/>
                <w:bCs/>
                <w:kern w:val="0"/>
                <w:sz w:val="24"/>
              </w:rPr>
              <w:t>允许误差：</w:t>
            </w:r>
            <w:r>
              <w:rPr>
                <w:rFonts w:ascii="仿宋" w:eastAsia="仿宋" w:hAnsi="仿宋" w:cs="仿宋" w:hint="eastAsia"/>
                <w:bCs/>
                <w:kern w:val="0"/>
                <w:sz w:val="24"/>
              </w:rPr>
              <w:t>≤</w:t>
            </w:r>
            <w:r>
              <w:rPr>
                <w:rFonts w:ascii="仿宋" w:eastAsia="仿宋" w:hAnsi="仿宋" w:cs="仿宋" w:hint="eastAsia"/>
                <w:bCs/>
                <w:kern w:val="0"/>
                <w:sz w:val="24"/>
              </w:rPr>
              <w:t>3%（</w:t>
            </w:r>
            <w:r>
              <w:rPr>
                <w:rFonts w:ascii="仿宋" w:eastAsia="仿宋" w:hAnsi="仿宋" w:cs="仿宋" w:hint="eastAsia"/>
                <w:bCs/>
                <w:kern w:val="0"/>
                <w:sz w:val="24"/>
              </w:rPr>
              <w:t>≤</w:t>
            </w:r>
            <w:r>
              <w:rPr>
                <w:rFonts w:ascii="仿宋" w:eastAsia="仿宋" w:hAnsi="仿宋" w:cs="仿宋" w:hint="eastAsia"/>
                <w:bCs/>
                <w:kern w:val="0"/>
                <w:sz w:val="24"/>
              </w:rPr>
              <w:t>80%）；</w:t>
            </w:r>
            <w:r>
              <w:rPr>
                <w:rFonts w:ascii="仿宋" w:eastAsia="仿宋" w:hAnsi="仿宋" w:cs="仿宋" w:hint="eastAsia"/>
                <w:bCs/>
                <w:kern w:val="0"/>
                <w:sz w:val="24"/>
              </w:rPr>
              <w:t>≤</w:t>
            </w:r>
            <w:r>
              <w:rPr>
                <w:rFonts w:ascii="仿宋" w:eastAsia="仿宋" w:hAnsi="仿宋" w:cs="仿宋" w:hint="eastAsia"/>
                <w:bCs/>
                <w:kern w:val="0"/>
                <w:sz w:val="24"/>
              </w:rPr>
              <w:t>5%（＞80%）</w:t>
            </w:r>
          </w:p>
        </w:tc>
      </w:tr>
      <w:tr>
        <w:tblPrEx>
          <w:tblW w:w="5000" w:type="pct"/>
          <w:jc w:val="center"/>
          <w:tblCellMar>
            <w:top w:w="0" w:type="dxa"/>
            <w:left w:w="108" w:type="dxa"/>
            <w:bottom w:w="0" w:type="dxa"/>
            <w:right w:w="108" w:type="dxa"/>
          </w:tblCellMar>
          <w:tblLook w:val="0000"/>
        </w:tblPrEx>
        <w:trPr>
          <w:cantSplit/>
          <w:trHeight w:val="122"/>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地面气压传感器</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测量范围：500hPa～1060hPa；</w:t>
            </w:r>
          </w:p>
          <w:p>
            <w:pPr>
              <w:widowControl/>
              <w:jc w:val="left"/>
              <w:rPr>
                <w:rFonts w:ascii="仿宋" w:eastAsia="仿宋" w:hAnsi="仿宋" w:cs="仿宋" w:hint="eastAsia"/>
                <w:bCs/>
                <w:kern w:val="0"/>
              </w:rPr>
            </w:pPr>
            <w:r>
              <w:rPr>
                <w:rFonts w:ascii="仿宋" w:eastAsia="仿宋" w:hAnsi="仿宋" w:cs="仿宋" w:hint="eastAsia"/>
                <w:bCs/>
                <w:kern w:val="0"/>
                <w:sz w:val="24"/>
              </w:rPr>
              <w:t>允许误差：</w:t>
            </w:r>
            <w:r>
              <w:rPr>
                <w:rFonts w:ascii="仿宋" w:eastAsia="仿宋" w:hAnsi="仿宋" w:cs="仿宋" w:hint="eastAsia"/>
                <w:bCs/>
                <w:kern w:val="0"/>
                <w:sz w:val="24"/>
              </w:rPr>
              <w:t>≤</w:t>
            </w:r>
            <w:r>
              <w:rPr>
                <w:rFonts w:ascii="仿宋" w:eastAsia="仿宋" w:hAnsi="仿宋" w:cs="仿宋" w:hint="eastAsia"/>
                <w:bCs/>
                <w:kern w:val="0"/>
                <w:sz w:val="24"/>
              </w:rPr>
              <w:t>0.3hPa</w:t>
            </w:r>
          </w:p>
        </w:tc>
      </w:tr>
      <w:tr>
        <w:tblPrEx>
          <w:tblW w:w="5000" w:type="pct"/>
          <w:jc w:val="center"/>
          <w:tblCellMar>
            <w:top w:w="0" w:type="dxa"/>
            <w:left w:w="108" w:type="dxa"/>
            <w:bottom w:w="0" w:type="dxa"/>
            <w:right w:w="108" w:type="dxa"/>
          </w:tblCellMar>
          <w:tblLook w:val="0000"/>
        </w:tblPrEx>
        <w:trPr>
          <w:cantSplit/>
          <w:jc w:val="center"/>
        </w:trPr>
        <w:tc>
          <w:tcPr>
            <w:tcW w:w="405" w:type="pc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10</w:t>
            </w:r>
          </w:p>
        </w:tc>
        <w:tc>
          <w:tcPr>
            <w:tcW w:w="55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采集与控制单元</w:t>
            </w: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存储</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满足 1 年以上基数据和产品等数据存储要求</w:t>
            </w:r>
          </w:p>
        </w:tc>
      </w:tr>
      <w:tr>
        <w:tblPrEx>
          <w:tblW w:w="5000" w:type="pct"/>
          <w:jc w:val="center"/>
          <w:tblCellMar>
            <w:top w:w="0" w:type="dxa"/>
            <w:left w:w="108" w:type="dxa"/>
            <w:bottom w:w="0" w:type="dxa"/>
            <w:right w:w="108" w:type="dxa"/>
          </w:tblCellMar>
          <w:tblLook w:val="0000"/>
        </w:tblPrEx>
        <w:trPr>
          <w:cantSplit/>
          <w:trHeight w:val="75"/>
          <w:jc w:val="center"/>
        </w:trPr>
        <w:tc>
          <w:tcPr>
            <w:tcW w:w="405" w:type="pct"/>
            <w:vMerge w:val="restar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11</w:t>
            </w:r>
          </w:p>
        </w:tc>
        <w:tc>
          <w:tcPr>
            <w:tcW w:w="551" w:type="pct"/>
            <w:vMerge w:val="restar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观测性能</w:t>
            </w:r>
          </w:p>
        </w:tc>
        <w:tc>
          <w:tcPr>
            <w:tcW w:w="991" w:type="pct"/>
            <w:vAlign w:val="center"/>
          </w:tcPr>
          <w:p>
            <w:pPr>
              <w:widowControl/>
              <w:jc w:val="center"/>
              <w:rPr>
                <w:rFonts w:ascii="仿宋" w:eastAsia="仿宋" w:hAnsi="仿宋" w:cs="仿宋" w:hint="eastAsia"/>
                <w:bCs/>
                <w:kern w:val="0"/>
                <w:highlight w:val="yellow"/>
              </w:rPr>
            </w:pPr>
            <w:r>
              <w:rPr>
                <w:rFonts w:ascii="仿宋" w:eastAsia="仿宋" w:hAnsi="仿宋" w:cs="仿宋" w:hint="eastAsia"/>
                <w:bCs/>
                <w:kern w:val="0"/>
                <w:sz w:val="24"/>
                <w:highlight w:val="yellow"/>
              </w:rPr>
              <w:t>#相对湿度廓线</w:t>
            </w:r>
          </w:p>
        </w:tc>
        <w:tc>
          <w:tcPr>
            <w:tcW w:w="1647" w:type="pct"/>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垂直分辨率：</w:t>
            </w:r>
          </w:p>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50m（0m～500m）；</w:t>
            </w:r>
          </w:p>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100m（500m～2000m）；</w:t>
            </w:r>
          </w:p>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250m（2km～10km）</w:t>
            </w:r>
          </w:p>
        </w:tc>
        <w:tc>
          <w:tcPr>
            <w:tcW w:w="1404" w:type="pct"/>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均方根误差：</w:t>
            </w:r>
            <w:r>
              <w:rPr>
                <w:rFonts w:ascii="仿宋" w:eastAsia="仿宋" w:hAnsi="仿宋" w:cs="仿宋" w:hint="eastAsia"/>
                <w:bCs/>
                <w:kern w:val="0"/>
                <w:sz w:val="24"/>
              </w:rPr>
              <w:t>≤</w:t>
            </w:r>
            <w:r>
              <w:rPr>
                <w:rFonts w:ascii="仿宋" w:eastAsia="仿宋" w:hAnsi="仿宋" w:cs="仿宋" w:hint="eastAsia"/>
                <w:bCs/>
                <w:kern w:val="0"/>
                <w:sz w:val="24"/>
              </w:rPr>
              <w:t>15%RH</w:t>
            </w:r>
          </w:p>
        </w:tc>
      </w:tr>
      <w:tr>
        <w:tblPrEx>
          <w:tblW w:w="5000" w:type="pct"/>
          <w:jc w:val="center"/>
          <w:tblCellMar>
            <w:top w:w="0" w:type="dxa"/>
            <w:left w:w="108" w:type="dxa"/>
            <w:bottom w:w="0" w:type="dxa"/>
            <w:right w:w="108" w:type="dxa"/>
          </w:tblCellMar>
          <w:tblLook w:val="0000"/>
        </w:tblPrEx>
        <w:trPr>
          <w:cantSplit/>
          <w:trHeight w:val="75"/>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highlight w:val="yellow"/>
              </w:rPr>
            </w:pPr>
            <w:r>
              <w:rPr>
                <w:rFonts w:ascii="仿宋" w:eastAsia="仿宋" w:hAnsi="仿宋" w:cs="仿宋" w:hint="eastAsia"/>
                <w:bCs/>
                <w:kern w:val="0"/>
                <w:sz w:val="24"/>
                <w:highlight w:val="yellow"/>
              </w:rPr>
              <w:t>#水汽密度廓线</w:t>
            </w:r>
          </w:p>
        </w:tc>
        <w:tc>
          <w:tcPr>
            <w:tcW w:w="1647" w:type="pct"/>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垂直分辨率：</w:t>
            </w:r>
          </w:p>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50m（0m～500m）；</w:t>
            </w:r>
          </w:p>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100m（500m～2000m）；</w:t>
            </w:r>
          </w:p>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250m（2km～10km）</w:t>
            </w:r>
          </w:p>
        </w:tc>
        <w:tc>
          <w:tcPr>
            <w:tcW w:w="1404" w:type="pct"/>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均方根误差：</w:t>
            </w:r>
            <w:r>
              <w:rPr>
                <w:rFonts w:ascii="仿宋" w:eastAsia="仿宋" w:hAnsi="仿宋" w:cs="仿宋" w:hint="eastAsia"/>
                <w:bCs/>
                <w:kern w:val="0"/>
                <w:sz w:val="24"/>
              </w:rPr>
              <w:t>≤</w:t>
            </w:r>
            <w:r>
              <w:rPr>
                <w:rFonts w:ascii="仿宋" w:eastAsia="仿宋" w:hAnsi="仿宋" w:cs="仿宋" w:hint="eastAsia"/>
                <w:bCs/>
                <w:kern w:val="0"/>
                <w:sz w:val="24"/>
              </w:rPr>
              <w:t>0.8g/m3</w:t>
            </w:r>
          </w:p>
        </w:tc>
      </w:tr>
      <w:tr>
        <w:tblPrEx>
          <w:tblW w:w="5000" w:type="pct"/>
          <w:jc w:val="center"/>
          <w:tblCellMar>
            <w:top w:w="0" w:type="dxa"/>
            <w:left w:w="108" w:type="dxa"/>
            <w:bottom w:w="0" w:type="dxa"/>
            <w:right w:w="108" w:type="dxa"/>
          </w:tblCellMar>
          <w:tblLook w:val="0000"/>
        </w:tblPrEx>
        <w:trPr>
          <w:cantSplit/>
          <w:trHeight w:val="75"/>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highlight w:val="yellow"/>
              </w:rPr>
            </w:pPr>
            <w:r>
              <w:rPr>
                <w:rFonts w:ascii="仿宋" w:eastAsia="仿宋" w:hAnsi="仿宋" w:cs="仿宋" w:hint="eastAsia"/>
                <w:bCs/>
                <w:kern w:val="0"/>
                <w:sz w:val="24"/>
                <w:highlight w:val="yellow"/>
              </w:rPr>
              <w:t>#温度廓线</w:t>
            </w:r>
          </w:p>
        </w:tc>
        <w:tc>
          <w:tcPr>
            <w:tcW w:w="1647" w:type="pct"/>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垂直分辨率：</w:t>
            </w:r>
          </w:p>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25m（0m～500m）；</w:t>
            </w:r>
          </w:p>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50m（500m～2000m）；</w:t>
            </w:r>
          </w:p>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250m（2km～10km）</w:t>
            </w:r>
          </w:p>
        </w:tc>
        <w:tc>
          <w:tcPr>
            <w:tcW w:w="1404" w:type="pct"/>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当高度＞2000m时，均方根误差：</w:t>
            </w:r>
            <w:r>
              <w:rPr>
                <w:rFonts w:ascii="仿宋" w:eastAsia="仿宋" w:hAnsi="仿宋" w:cs="仿宋" w:hint="eastAsia"/>
                <w:bCs/>
                <w:kern w:val="0"/>
                <w:sz w:val="24"/>
              </w:rPr>
              <w:t>≤</w:t>
            </w:r>
            <w:r>
              <w:rPr>
                <w:rFonts w:ascii="仿宋" w:eastAsia="仿宋" w:hAnsi="仿宋" w:cs="仿宋" w:hint="eastAsia"/>
                <w:bCs/>
                <w:kern w:val="0"/>
                <w:sz w:val="24"/>
              </w:rPr>
              <w:t>1.8K；</w:t>
            </w:r>
          </w:p>
          <w:p>
            <w:pPr>
              <w:widowControl/>
              <w:jc w:val="left"/>
              <w:rPr>
                <w:rFonts w:ascii="仿宋" w:eastAsia="仿宋" w:hAnsi="仿宋" w:cs="仿宋" w:hint="eastAsia"/>
                <w:bCs/>
                <w:kern w:val="0"/>
              </w:rPr>
            </w:pPr>
            <w:r>
              <w:rPr>
                <w:rFonts w:ascii="仿宋" w:eastAsia="仿宋" w:hAnsi="仿宋" w:cs="仿宋" w:hint="eastAsia"/>
                <w:bCs/>
                <w:kern w:val="0"/>
                <w:sz w:val="24"/>
              </w:rPr>
              <w:t>当高度</w:t>
            </w:r>
            <w:r>
              <w:rPr>
                <w:rFonts w:ascii="仿宋" w:eastAsia="仿宋" w:hAnsi="仿宋" w:cs="仿宋" w:hint="eastAsia"/>
                <w:bCs/>
                <w:kern w:val="0"/>
                <w:sz w:val="24"/>
              </w:rPr>
              <w:t>≤</w:t>
            </w:r>
            <w:r>
              <w:rPr>
                <w:rFonts w:ascii="仿宋" w:eastAsia="仿宋" w:hAnsi="仿宋" w:cs="仿宋" w:hint="eastAsia"/>
                <w:bCs/>
                <w:kern w:val="0"/>
                <w:sz w:val="24"/>
              </w:rPr>
              <w:t>2000m时，均方根误差：</w:t>
            </w:r>
            <w:r>
              <w:rPr>
                <w:rFonts w:ascii="仿宋" w:eastAsia="仿宋" w:hAnsi="仿宋" w:cs="仿宋" w:hint="eastAsia"/>
                <w:bCs/>
                <w:kern w:val="0"/>
                <w:sz w:val="24"/>
              </w:rPr>
              <w:t>≤</w:t>
            </w:r>
            <w:r>
              <w:rPr>
                <w:rFonts w:ascii="仿宋" w:eastAsia="仿宋" w:hAnsi="仿宋" w:cs="仿宋" w:hint="eastAsia"/>
                <w:bCs/>
                <w:kern w:val="0"/>
                <w:sz w:val="24"/>
              </w:rPr>
              <w:t>1K</w:t>
            </w:r>
          </w:p>
        </w:tc>
      </w:tr>
      <w:tr>
        <w:tblPrEx>
          <w:tblW w:w="5000" w:type="pct"/>
          <w:jc w:val="center"/>
          <w:tblCellMar>
            <w:top w:w="0" w:type="dxa"/>
            <w:left w:w="108" w:type="dxa"/>
            <w:bottom w:w="0" w:type="dxa"/>
            <w:right w:w="108" w:type="dxa"/>
          </w:tblCellMar>
          <w:tblLook w:val="0000"/>
        </w:tblPrEx>
        <w:trPr>
          <w:cantSplit/>
          <w:trHeight w:val="75"/>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highlight w:val="yellow"/>
              </w:rPr>
            </w:pPr>
            <w:r>
              <w:rPr>
                <w:rFonts w:ascii="仿宋" w:eastAsia="仿宋" w:hAnsi="仿宋" w:cs="仿宋" w:hint="eastAsia"/>
                <w:bCs/>
                <w:kern w:val="0"/>
                <w:sz w:val="24"/>
                <w:highlight w:val="yellow"/>
              </w:rPr>
              <w:t>#积分水汽含量</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均方根误差</w:t>
            </w:r>
            <w:r>
              <w:rPr>
                <w:rFonts w:ascii="仿宋" w:eastAsia="仿宋" w:hAnsi="仿宋" w:cs="仿宋" w:hint="eastAsia"/>
                <w:bCs/>
                <w:kern w:val="0"/>
                <w:sz w:val="24"/>
              </w:rPr>
              <w:t>≤</w:t>
            </w:r>
            <w:r>
              <w:rPr>
                <w:rFonts w:ascii="仿宋" w:eastAsia="仿宋" w:hAnsi="仿宋" w:cs="仿宋" w:hint="eastAsia"/>
                <w:bCs/>
                <w:kern w:val="0"/>
                <w:sz w:val="24"/>
              </w:rPr>
              <w:t>4mm</w:t>
            </w:r>
          </w:p>
        </w:tc>
      </w:tr>
      <w:tr>
        <w:tblPrEx>
          <w:tblW w:w="5000" w:type="pct"/>
          <w:jc w:val="center"/>
          <w:tblCellMar>
            <w:top w:w="0" w:type="dxa"/>
            <w:left w:w="108" w:type="dxa"/>
            <w:bottom w:w="0" w:type="dxa"/>
            <w:right w:w="108" w:type="dxa"/>
          </w:tblCellMar>
          <w:tblLook w:val="0000"/>
        </w:tblPrEx>
        <w:trPr>
          <w:cantSplit/>
          <w:trHeight w:val="307"/>
          <w:jc w:val="center"/>
        </w:trPr>
        <w:tc>
          <w:tcPr>
            <w:tcW w:w="405" w:type="pct"/>
            <w:vMerge w:val="restar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12</w:t>
            </w:r>
          </w:p>
        </w:tc>
        <w:tc>
          <w:tcPr>
            <w:tcW w:w="551" w:type="pct"/>
            <w:vMerge w:val="restar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供电</w:t>
            </w: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供电</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220V、50Hz，电压变化－15％～10％，频率变化</w:t>
            </w:r>
            <w:r>
              <w:rPr>
                <w:rFonts w:ascii="仿宋" w:eastAsia="仿宋" w:hAnsi="仿宋" w:cs="仿宋" w:hint="eastAsia"/>
                <w:bCs/>
                <w:kern w:val="0"/>
                <w:sz w:val="24"/>
              </w:rPr>
              <w:t>±</w:t>
            </w:r>
            <w:r>
              <w:rPr>
                <w:rFonts w:ascii="仿宋" w:eastAsia="仿宋" w:hAnsi="仿宋" w:cs="仿宋" w:hint="eastAsia"/>
                <w:bCs/>
                <w:kern w:val="0"/>
                <w:sz w:val="24"/>
              </w:rPr>
              <w:t>3％时，系统能正常工作</w:t>
            </w:r>
          </w:p>
        </w:tc>
      </w:tr>
      <w:tr>
        <w:tblPrEx>
          <w:tblW w:w="5000" w:type="pct"/>
          <w:jc w:val="center"/>
          <w:tblCellMar>
            <w:top w:w="0" w:type="dxa"/>
            <w:left w:w="108" w:type="dxa"/>
            <w:bottom w:w="0" w:type="dxa"/>
            <w:right w:w="108" w:type="dxa"/>
          </w:tblCellMar>
          <w:tblLook w:val="0000"/>
        </w:tblPrEx>
        <w:trPr>
          <w:cantSplit/>
          <w:trHeight w:val="307"/>
          <w:jc w:val="center"/>
        </w:trPr>
        <w:tc>
          <w:tcPr>
            <w:tcW w:w="405" w:type="pct"/>
            <w:vMerge/>
            <w:vAlign w:val="center"/>
          </w:tcPr>
          <w:p>
            <w:pPr>
              <w:pStyle w:val="NormalIndent"/>
              <w:tabs>
                <w:tab w:val="left" w:pos="3119"/>
              </w:tabs>
              <w:ind w:firstLine="0"/>
              <w:jc w:val="center"/>
              <w:rPr>
                <w:rFonts w:ascii="仿宋" w:eastAsia="仿宋" w:hAnsi="仿宋" w:cs="仿宋" w:hint="eastAsia"/>
                <w:bCs/>
                <w:kern w:val="0"/>
                <w:sz w:val="24"/>
                <w:szCs w:val="24"/>
              </w:rPr>
            </w:pPr>
          </w:p>
        </w:tc>
        <w:tc>
          <w:tcPr>
            <w:tcW w:w="551" w:type="pct"/>
            <w:vMerge/>
            <w:vAlign w:val="center"/>
          </w:tcPr>
          <w:p>
            <w:pPr>
              <w:pStyle w:val="NormalIndent"/>
              <w:tabs>
                <w:tab w:val="left" w:pos="3119"/>
              </w:tabs>
              <w:ind w:firstLine="0"/>
              <w:jc w:val="center"/>
              <w:rPr>
                <w:rFonts w:ascii="仿宋" w:eastAsia="仿宋" w:hAnsi="仿宋" w:cs="仿宋" w:hint="eastAsia"/>
                <w:bCs/>
                <w:kern w:val="0"/>
                <w:sz w:val="24"/>
                <w:szCs w:val="24"/>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功耗</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未开启防雾干燥系统加热模块时，整机功耗应</w:t>
            </w:r>
            <w:r>
              <w:rPr>
                <w:rFonts w:ascii="仿宋" w:eastAsia="仿宋" w:hAnsi="仿宋" w:cs="仿宋" w:hint="eastAsia"/>
                <w:bCs/>
                <w:kern w:val="0"/>
                <w:sz w:val="24"/>
              </w:rPr>
              <w:t>≤</w:t>
            </w:r>
            <w:r>
              <w:rPr>
                <w:rFonts w:ascii="仿宋" w:eastAsia="仿宋" w:hAnsi="仿宋" w:cs="仿宋" w:hint="eastAsia"/>
                <w:bCs/>
                <w:kern w:val="0"/>
                <w:sz w:val="24"/>
              </w:rPr>
              <w:t>600W；</w:t>
            </w:r>
          </w:p>
          <w:p>
            <w:pPr>
              <w:widowControl/>
              <w:jc w:val="left"/>
              <w:rPr>
                <w:rFonts w:ascii="仿宋" w:eastAsia="仿宋" w:hAnsi="仿宋" w:cs="仿宋" w:hint="eastAsia"/>
                <w:bCs/>
                <w:kern w:val="0"/>
              </w:rPr>
            </w:pPr>
            <w:r>
              <w:rPr>
                <w:rFonts w:ascii="仿宋" w:eastAsia="仿宋" w:hAnsi="仿宋" w:cs="仿宋" w:hint="eastAsia"/>
                <w:bCs/>
                <w:kern w:val="0"/>
                <w:sz w:val="24"/>
              </w:rPr>
              <w:t>最大允许功耗应</w:t>
            </w:r>
            <w:r>
              <w:rPr>
                <w:rFonts w:ascii="仿宋" w:eastAsia="仿宋" w:hAnsi="仿宋" w:cs="仿宋" w:hint="eastAsia"/>
                <w:bCs/>
                <w:kern w:val="0"/>
                <w:sz w:val="24"/>
              </w:rPr>
              <w:t>≤</w:t>
            </w:r>
            <w:r>
              <w:rPr>
                <w:rFonts w:ascii="仿宋" w:eastAsia="仿宋" w:hAnsi="仿宋" w:cs="仿宋" w:hint="eastAsia"/>
                <w:bCs/>
                <w:kern w:val="0"/>
                <w:sz w:val="24"/>
              </w:rPr>
              <w:t>2100W</w:t>
            </w:r>
          </w:p>
        </w:tc>
      </w:tr>
      <w:tr>
        <w:tblPrEx>
          <w:tblW w:w="5000" w:type="pct"/>
          <w:jc w:val="center"/>
          <w:tblCellMar>
            <w:top w:w="0" w:type="dxa"/>
            <w:left w:w="108" w:type="dxa"/>
            <w:bottom w:w="0" w:type="dxa"/>
            <w:right w:w="108" w:type="dxa"/>
          </w:tblCellMar>
          <w:tblLook w:val="0000"/>
        </w:tblPrEx>
        <w:trPr>
          <w:cantSplit/>
          <w:trHeight w:val="122"/>
          <w:jc w:val="center"/>
        </w:trPr>
        <w:tc>
          <w:tcPr>
            <w:tcW w:w="405" w:type="pct"/>
            <w:vMerge w:val="restar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13</w:t>
            </w:r>
          </w:p>
        </w:tc>
        <w:tc>
          <w:tcPr>
            <w:tcW w:w="551" w:type="pct"/>
            <w:vMerge w:val="restar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环境适应性</w:t>
            </w: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温度</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工作温度：</w:t>
            </w:r>
            <w:r>
              <w:rPr>
                <w:rFonts w:ascii="仿宋" w:eastAsia="仿宋" w:hAnsi="仿宋" w:cs="仿宋" w:hint="eastAsia"/>
                <w:bCs/>
                <w:kern w:val="0"/>
                <w:sz w:val="24"/>
              </w:rPr>
              <w:t>−</w:t>
            </w:r>
            <w:r>
              <w:rPr>
                <w:rFonts w:ascii="仿宋" w:eastAsia="仿宋" w:hAnsi="仿宋" w:cs="仿宋" w:hint="eastAsia"/>
                <w:bCs/>
                <w:kern w:val="0"/>
                <w:sz w:val="24"/>
              </w:rPr>
              <w:t>40</w:t>
            </w:r>
            <w:r>
              <w:rPr>
                <w:rFonts w:ascii="仿宋" w:eastAsia="仿宋" w:hAnsi="仿宋" w:cs="仿宋" w:hint="eastAsia"/>
                <w:bCs/>
                <w:kern w:val="0"/>
                <w:sz w:val="24"/>
              </w:rPr>
              <w:t>℃</w:t>
            </w:r>
            <w:r>
              <w:rPr>
                <w:rFonts w:ascii="仿宋" w:eastAsia="仿宋" w:hAnsi="仿宋" w:cs="仿宋" w:hint="eastAsia"/>
                <w:bCs/>
                <w:kern w:val="0"/>
                <w:sz w:val="24"/>
              </w:rPr>
              <w:t>～50</w:t>
            </w:r>
            <w:r>
              <w:rPr>
                <w:rFonts w:ascii="仿宋" w:eastAsia="仿宋" w:hAnsi="仿宋" w:cs="仿宋" w:hint="eastAsia"/>
                <w:bCs/>
                <w:kern w:val="0"/>
                <w:sz w:val="24"/>
              </w:rPr>
              <w:t>℃</w:t>
            </w:r>
            <w:r>
              <w:rPr>
                <w:rFonts w:ascii="仿宋" w:eastAsia="仿宋" w:hAnsi="仿宋" w:cs="仿宋" w:hint="eastAsia"/>
                <w:bCs/>
                <w:kern w:val="0"/>
                <w:sz w:val="24"/>
              </w:rPr>
              <w:t>（室外设备），0</w:t>
            </w:r>
            <w:r>
              <w:rPr>
                <w:rFonts w:ascii="仿宋" w:eastAsia="仿宋" w:hAnsi="仿宋" w:cs="仿宋" w:hint="eastAsia"/>
                <w:bCs/>
                <w:kern w:val="0"/>
                <w:sz w:val="24"/>
              </w:rPr>
              <w:t>℃</w:t>
            </w:r>
            <w:r>
              <w:rPr>
                <w:rFonts w:ascii="仿宋" w:eastAsia="仿宋" w:hAnsi="仿宋" w:cs="仿宋" w:hint="eastAsia"/>
                <w:bCs/>
                <w:kern w:val="0"/>
                <w:sz w:val="24"/>
              </w:rPr>
              <w:t>～40</w:t>
            </w:r>
            <w:r>
              <w:rPr>
                <w:rFonts w:ascii="仿宋" w:eastAsia="仿宋" w:hAnsi="仿宋" w:cs="仿宋" w:hint="eastAsia"/>
                <w:bCs/>
                <w:kern w:val="0"/>
                <w:sz w:val="24"/>
              </w:rPr>
              <w:t>℃</w:t>
            </w:r>
            <w:r>
              <w:rPr>
                <w:rFonts w:ascii="仿宋" w:eastAsia="仿宋" w:hAnsi="仿宋" w:cs="仿宋" w:hint="eastAsia"/>
                <w:bCs/>
                <w:kern w:val="0"/>
                <w:sz w:val="24"/>
              </w:rPr>
              <w:t>（室内设备）；</w:t>
            </w:r>
          </w:p>
          <w:p>
            <w:pPr>
              <w:widowControl/>
              <w:jc w:val="left"/>
              <w:rPr>
                <w:rFonts w:ascii="仿宋" w:eastAsia="仿宋" w:hAnsi="仿宋" w:cs="仿宋" w:hint="eastAsia"/>
                <w:bCs/>
                <w:kern w:val="0"/>
              </w:rPr>
            </w:pPr>
            <w:r>
              <w:rPr>
                <w:rFonts w:ascii="仿宋" w:eastAsia="仿宋" w:hAnsi="仿宋" w:cs="仿宋" w:hint="eastAsia"/>
                <w:bCs/>
                <w:kern w:val="0"/>
                <w:sz w:val="24"/>
              </w:rPr>
              <w:t>贮存温度：</w:t>
            </w:r>
            <w:r>
              <w:rPr>
                <w:rFonts w:ascii="仿宋" w:eastAsia="仿宋" w:hAnsi="仿宋" w:cs="仿宋" w:hint="eastAsia"/>
                <w:bCs/>
                <w:kern w:val="0"/>
                <w:sz w:val="24"/>
              </w:rPr>
              <w:t>−</w:t>
            </w:r>
            <w:r>
              <w:rPr>
                <w:rFonts w:ascii="仿宋" w:eastAsia="仿宋" w:hAnsi="仿宋" w:cs="仿宋" w:hint="eastAsia"/>
                <w:bCs/>
                <w:kern w:val="0"/>
                <w:sz w:val="24"/>
              </w:rPr>
              <w:t>50</w:t>
            </w:r>
            <w:r>
              <w:rPr>
                <w:rFonts w:ascii="仿宋" w:eastAsia="仿宋" w:hAnsi="仿宋" w:cs="仿宋" w:hint="eastAsia"/>
                <w:bCs/>
                <w:kern w:val="0"/>
                <w:sz w:val="24"/>
              </w:rPr>
              <w:t>℃</w:t>
            </w:r>
            <w:r>
              <w:rPr>
                <w:rFonts w:ascii="仿宋" w:eastAsia="仿宋" w:hAnsi="仿宋" w:cs="仿宋" w:hint="eastAsia"/>
                <w:bCs/>
                <w:kern w:val="0"/>
                <w:sz w:val="24"/>
              </w:rPr>
              <w:t>～55</w:t>
            </w:r>
            <w:r>
              <w:rPr>
                <w:rFonts w:ascii="仿宋" w:eastAsia="仿宋" w:hAnsi="仿宋" w:cs="仿宋" w:hint="eastAsia"/>
                <w:bCs/>
                <w:kern w:val="0"/>
                <w:sz w:val="24"/>
              </w:rPr>
              <w:t>℃</w:t>
            </w:r>
            <w:r>
              <w:rPr>
                <w:rFonts w:ascii="仿宋" w:eastAsia="仿宋" w:hAnsi="仿宋" w:cs="仿宋" w:hint="eastAsia"/>
                <w:bCs/>
                <w:kern w:val="0"/>
                <w:sz w:val="24"/>
              </w:rPr>
              <w:t>。</w:t>
            </w:r>
          </w:p>
        </w:tc>
      </w:tr>
      <w:tr>
        <w:tblPrEx>
          <w:tblW w:w="5000" w:type="pct"/>
          <w:jc w:val="center"/>
          <w:tblCellMar>
            <w:top w:w="0" w:type="dxa"/>
            <w:left w:w="108" w:type="dxa"/>
            <w:bottom w:w="0" w:type="dxa"/>
            <w:right w:w="108" w:type="dxa"/>
          </w:tblCellMar>
          <w:tblLook w:val="0000"/>
        </w:tblPrEx>
        <w:trPr>
          <w:cantSplit/>
          <w:trHeight w:val="122"/>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恒定湿热</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室外设备相对湿度95%，环境温度35</w:t>
            </w:r>
            <w:r>
              <w:rPr>
                <w:rFonts w:ascii="仿宋" w:eastAsia="仿宋" w:hAnsi="仿宋" w:cs="仿宋" w:hint="eastAsia"/>
                <w:bCs/>
                <w:kern w:val="0"/>
                <w:sz w:val="24"/>
              </w:rPr>
              <w:t>℃</w:t>
            </w:r>
            <w:r>
              <w:rPr>
                <w:rFonts w:ascii="仿宋" w:eastAsia="仿宋" w:hAnsi="仿宋" w:cs="仿宋" w:hint="eastAsia"/>
                <w:bCs/>
                <w:kern w:val="0"/>
                <w:sz w:val="24"/>
              </w:rPr>
              <w:t>，试验时间48h</w:t>
            </w:r>
          </w:p>
        </w:tc>
      </w:tr>
      <w:tr>
        <w:tblPrEx>
          <w:tblW w:w="5000" w:type="pct"/>
          <w:jc w:val="center"/>
          <w:tblCellMar>
            <w:top w:w="0" w:type="dxa"/>
            <w:left w:w="108" w:type="dxa"/>
            <w:bottom w:w="0" w:type="dxa"/>
            <w:right w:w="108" w:type="dxa"/>
          </w:tblCellMar>
          <w:tblLook w:val="0000"/>
        </w:tblPrEx>
        <w:trPr>
          <w:cantSplit/>
          <w:trHeight w:val="122"/>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气压</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500～1060hPa。</w:t>
            </w:r>
          </w:p>
        </w:tc>
      </w:tr>
      <w:tr>
        <w:tblPrEx>
          <w:tblW w:w="5000" w:type="pct"/>
          <w:jc w:val="center"/>
          <w:tblCellMar>
            <w:top w:w="0" w:type="dxa"/>
            <w:left w:w="108" w:type="dxa"/>
            <w:bottom w:w="0" w:type="dxa"/>
            <w:right w:w="108" w:type="dxa"/>
          </w:tblCellMar>
          <w:tblLook w:val="0000"/>
        </w:tblPrEx>
        <w:trPr>
          <w:cantSplit/>
          <w:trHeight w:val="122"/>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外壳防护</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室外设备外壳防护等级应达到IP55。</w:t>
            </w:r>
          </w:p>
        </w:tc>
      </w:tr>
      <w:tr>
        <w:tblPrEx>
          <w:tblW w:w="5000" w:type="pct"/>
          <w:jc w:val="center"/>
          <w:tblCellMar>
            <w:top w:w="0" w:type="dxa"/>
            <w:left w:w="108" w:type="dxa"/>
            <w:bottom w:w="0" w:type="dxa"/>
            <w:right w:w="108" w:type="dxa"/>
          </w:tblCellMar>
          <w:tblLook w:val="0000"/>
        </w:tblPrEx>
        <w:trPr>
          <w:cantSplit/>
          <w:trHeight w:val="122"/>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抗盐雾腐</w:t>
            </w:r>
          </w:p>
          <w:p>
            <w:pPr>
              <w:widowControl/>
              <w:jc w:val="center"/>
              <w:rPr>
                <w:rFonts w:ascii="仿宋" w:eastAsia="仿宋" w:hAnsi="仿宋" w:cs="仿宋" w:hint="eastAsia"/>
                <w:bCs/>
                <w:kern w:val="0"/>
              </w:rPr>
            </w:pPr>
            <w:r>
              <w:rPr>
                <w:rFonts w:ascii="仿宋" w:eastAsia="仿宋" w:hAnsi="仿宋" w:cs="仿宋" w:hint="eastAsia"/>
                <w:bCs/>
                <w:kern w:val="0"/>
                <w:sz w:val="24"/>
              </w:rPr>
              <w:t>蚀</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外露零件镀层耐48小时盐雾沉降试验。</w:t>
            </w:r>
          </w:p>
        </w:tc>
      </w:tr>
      <w:tr>
        <w:tblPrEx>
          <w:tblW w:w="5000" w:type="pct"/>
          <w:jc w:val="center"/>
          <w:tblCellMar>
            <w:top w:w="0" w:type="dxa"/>
            <w:left w:w="108" w:type="dxa"/>
            <w:bottom w:w="0" w:type="dxa"/>
            <w:right w:w="108" w:type="dxa"/>
          </w:tblCellMar>
          <w:tblLook w:val="0000"/>
        </w:tblPrEx>
        <w:trPr>
          <w:cantSplit/>
          <w:jc w:val="center"/>
        </w:trPr>
        <w:tc>
          <w:tcPr>
            <w:tcW w:w="405" w:type="pc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14</w:t>
            </w:r>
          </w:p>
        </w:tc>
        <w:tc>
          <w:tcPr>
            <w:tcW w:w="55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机械</w:t>
            </w:r>
          </w:p>
          <w:p>
            <w:pPr>
              <w:widowControl/>
              <w:jc w:val="center"/>
              <w:rPr>
                <w:rFonts w:ascii="仿宋" w:eastAsia="仿宋" w:hAnsi="仿宋" w:cs="仿宋" w:hint="eastAsia"/>
                <w:bCs/>
                <w:kern w:val="0"/>
              </w:rPr>
            </w:pPr>
            <w:r>
              <w:rPr>
                <w:rFonts w:ascii="仿宋" w:eastAsia="仿宋" w:hAnsi="仿宋" w:cs="仿宋" w:hint="eastAsia"/>
                <w:bCs/>
                <w:kern w:val="0"/>
                <w:sz w:val="24"/>
              </w:rPr>
              <w:t>条件</w:t>
            </w: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冲击振动</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在产品规定包装条件下，宽带随机振动试验应达到2M3等级（参考标准GB/T 4798.2-2008）。</w:t>
            </w:r>
          </w:p>
        </w:tc>
      </w:tr>
      <w:tr>
        <w:tblPrEx>
          <w:tblW w:w="5000" w:type="pct"/>
          <w:jc w:val="center"/>
          <w:tblCellMar>
            <w:top w:w="0" w:type="dxa"/>
            <w:left w:w="108" w:type="dxa"/>
            <w:bottom w:w="0" w:type="dxa"/>
            <w:right w:w="108" w:type="dxa"/>
          </w:tblCellMar>
          <w:tblLook w:val="0000"/>
        </w:tblPrEx>
        <w:trPr>
          <w:cantSplit/>
          <w:jc w:val="center"/>
        </w:trPr>
        <w:tc>
          <w:tcPr>
            <w:tcW w:w="405" w:type="pc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15</w:t>
            </w:r>
          </w:p>
        </w:tc>
        <w:tc>
          <w:tcPr>
            <w:tcW w:w="55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电磁兼容性</w:t>
            </w: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电磁抗扰度</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满足GB/T17626.2-2018 静电放电抗扰度要求</w:t>
            </w:r>
          </w:p>
          <w:p>
            <w:pPr>
              <w:widowControl/>
              <w:jc w:val="left"/>
              <w:rPr>
                <w:rFonts w:ascii="仿宋" w:eastAsia="仿宋" w:hAnsi="仿宋" w:cs="仿宋" w:hint="eastAsia"/>
                <w:bCs/>
                <w:kern w:val="0"/>
              </w:rPr>
            </w:pPr>
            <w:r>
              <w:rPr>
                <w:rFonts w:ascii="仿宋" w:eastAsia="仿宋" w:hAnsi="仿宋" w:cs="仿宋" w:hint="eastAsia"/>
                <w:bCs/>
                <w:kern w:val="0"/>
                <w:sz w:val="24"/>
              </w:rPr>
              <w:t>满足GB/T17626.4-2018 电快速瞬变脉冲群抗扰度要求</w:t>
            </w:r>
          </w:p>
          <w:p>
            <w:pPr>
              <w:widowControl/>
              <w:jc w:val="left"/>
              <w:rPr>
                <w:rFonts w:ascii="仿宋" w:eastAsia="仿宋" w:hAnsi="仿宋" w:cs="仿宋" w:hint="eastAsia"/>
                <w:bCs/>
                <w:kern w:val="0"/>
              </w:rPr>
            </w:pPr>
            <w:r>
              <w:rPr>
                <w:rFonts w:ascii="仿宋" w:eastAsia="仿宋" w:hAnsi="仿宋" w:cs="仿宋" w:hint="eastAsia"/>
                <w:bCs/>
                <w:kern w:val="0"/>
                <w:sz w:val="24"/>
              </w:rPr>
              <w:t>满足GB/T17626.5-2018 浪涌（冲击）抗扰度要求</w:t>
            </w:r>
          </w:p>
          <w:p>
            <w:pPr>
              <w:widowControl/>
              <w:jc w:val="left"/>
              <w:rPr>
                <w:rFonts w:ascii="仿宋" w:eastAsia="仿宋" w:hAnsi="仿宋" w:cs="仿宋" w:hint="eastAsia"/>
                <w:bCs/>
                <w:kern w:val="0"/>
              </w:rPr>
            </w:pPr>
            <w:r>
              <w:rPr>
                <w:rFonts w:ascii="仿宋" w:eastAsia="仿宋" w:hAnsi="仿宋" w:cs="仿宋" w:hint="eastAsia"/>
                <w:bCs/>
                <w:kern w:val="0"/>
                <w:sz w:val="24"/>
              </w:rPr>
              <w:t>提供投标产品的电磁兼容检测报告</w:t>
            </w:r>
          </w:p>
        </w:tc>
      </w:tr>
      <w:tr>
        <w:tblPrEx>
          <w:tblW w:w="5000" w:type="pct"/>
          <w:jc w:val="center"/>
          <w:tblCellMar>
            <w:top w:w="0" w:type="dxa"/>
            <w:left w:w="108" w:type="dxa"/>
            <w:bottom w:w="0" w:type="dxa"/>
            <w:right w:w="108" w:type="dxa"/>
          </w:tblCellMar>
          <w:tblLook w:val="0000"/>
        </w:tblPrEx>
        <w:trPr>
          <w:cantSplit/>
          <w:trHeight w:val="307"/>
          <w:jc w:val="center"/>
        </w:trPr>
        <w:tc>
          <w:tcPr>
            <w:tcW w:w="405" w:type="pct"/>
            <w:vMerge w:val="restar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16</w:t>
            </w:r>
          </w:p>
        </w:tc>
        <w:tc>
          <w:tcPr>
            <w:tcW w:w="551" w:type="pct"/>
            <w:vMerge w:val="restar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其他</w:t>
            </w: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天线罩性能</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微波天线罩具有雨、雪、尘土等防护作用</w:t>
            </w:r>
          </w:p>
        </w:tc>
      </w:tr>
      <w:tr>
        <w:tblPrEx>
          <w:tblW w:w="5000" w:type="pct"/>
          <w:jc w:val="center"/>
          <w:tblCellMar>
            <w:top w:w="0" w:type="dxa"/>
            <w:left w:w="108" w:type="dxa"/>
            <w:bottom w:w="0" w:type="dxa"/>
            <w:right w:w="108" w:type="dxa"/>
          </w:tblCellMar>
          <w:tblLook w:val="0000"/>
        </w:tblPrEx>
        <w:trPr>
          <w:cantSplit/>
          <w:trHeight w:val="441"/>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自动观测</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投标产品具备无人值守观测方式，要求投标产品具备内定标技术，实现自动定标观测能力</w:t>
            </w:r>
          </w:p>
        </w:tc>
      </w:tr>
      <w:tr>
        <w:tblPrEx>
          <w:tblW w:w="5000" w:type="pct"/>
          <w:jc w:val="center"/>
          <w:tblCellMar>
            <w:top w:w="0" w:type="dxa"/>
            <w:left w:w="108" w:type="dxa"/>
            <w:bottom w:w="0" w:type="dxa"/>
            <w:right w:w="108" w:type="dxa"/>
          </w:tblCellMar>
          <w:tblLook w:val="0000"/>
        </w:tblPrEx>
        <w:trPr>
          <w:cantSplit/>
          <w:jc w:val="center"/>
        </w:trPr>
        <w:tc>
          <w:tcPr>
            <w:tcW w:w="405" w:type="pc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17</w:t>
            </w:r>
          </w:p>
        </w:tc>
        <w:tc>
          <w:tcPr>
            <w:tcW w:w="1542" w:type="pct"/>
            <w:gridSpan w:val="2"/>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标准输出控制单元</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具备数据采集、处理、存储、通讯，以及产品显示、质量控制、业务过程、状态监控等功能（满足中国局《气象监测预警补短板工程建设技术指南（修订）》要求）</w:t>
            </w:r>
          </w:p>
        </w:tc>
      </w:tr>
    </w:tbl>
    <w:p>
      <w:pPr>
        <w:spacing w:line="560" w:lineRule="exact"/>
        <w:jc w:val="center"/>
        <w:rPr>
          <w:rFonts w:ascii="仿宋_GB2312" w:eastAsia="仿宋_GB2312" w:hAnsi="仿宋_GB2312" w:cs="仿宋_GB2312" w:hint="eastAsia"/>
          <w:b/>
          <w:bCs/>
          <w:szCs w:val="21"/>
        </w:rPr>
      </w:pPr>
      <w:r>
        <w:rPr>
          <w:rFonts w:ascii="仿宋_GB2312" w:eastAsia="仿宋_GB2312" w:hAnsi="仿宋_GB2312" w:cs="仿宋_GB2312" w:hint="eastAsia"/>
          <w:b/>
          <w:bCs/>
          <w:szCs w:val="21"/>
        </w:rPr>
        <w:t>配置要求</w:t>
      </w:r>
    </w:p>
    <w:tbl>
      <w:tblPr>
        <w:tblStyle w:val="TableNormal"/>
        <w:tblW w:w="9097"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 w:type="dxa"/>
          <w:bottom w:w="0" w:type="dxa"/>
          <w:right w:w="10" w:type="dxa"/>
        </w:tblCellMar>
        <w:tblLook w:val="0000"/>
      </w:tblPr>
      <w:tblGrid>
        <w:gridCol w:w="558"/>
        <w:gridCol w:w="1846"/>
        <w:gridCol w:w="709"/>
        <w:gridCol w:w="709"/>
        <w:gridCol w:w="3823"/>
        <w:gridCol w:w="1452"/>
      </w:tblGrid>
      <w:tr>
        <w:tblPrEx>
          <w:tblW w:w="9097"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 w:type="dxa"/>
            <w:bottom w:w="0" w:type="dxa"/>
            <w:right w:w="10" w:type="dxa"/>
          </w:tblCellMar>
          <w:tblLook w:val="0000"/>
        </w:tblPrEx>
        <w:trPr>
          <w:trHeight w:val="503"/>
          <w:jc w:val="center"/>
        </w:trPr>
        <w:tc>
          <w:tcPr>
            <w:tcW w:w="558" w:type="dxa"/>
            <w:vAlign w:val="center"/>
          </w:tcPr>
          <w:p>
            <w:pPr>
              <w:widowControl/>
              <w:jc w:val="center"/>
              <w:rPr>
                <w:rFonts w:ascii="仿宋" w:eastAsia="仿宋" w:hAnsi="仿宋" w:cs="仿宋" w:hint="eastAsia"/>
                <w:b/>
                <w:kern w:val="0"/>
              </w:rPr>
            </w:pPr>
            <w:r>
              <w:rPr>
                <w:rFonts w:ascii="仿宋" w:eastAsia="仿宋" w:hAnsi="仿宋" w:cs="仿宋" w:hint="eastAsia"/>
                <w:b/>
                <w:kern w:val="0"/>
                <w:sz w:val="24"/>
              </w:rPr>
              <w:t>序号</w:t>
            </w:r>
          </w:p>
        </w:tc>
        <w:tc>
          <w:tcPr>
            <w:tcW w:w="1846" w:type="dxa"/>
            <w:vAlign w:val="center"/>
          </w:tcPr>
          <w:p>
            <w:pPr>
              <w:widowControl/>
              <w:jc w:val="center"/>
              <w:rPr>
                <w:rFonts w:ascii="仿宋" w:eastAsia="仿宋" w:hAnsi="仿宋" w:cs="仿宋" w:hint="eastAsia"/>
                <w:b/>
                <w:kern w:val="0"/>
              </w:rPr>
            </w:pPr>
            <w:r>
              <w:rPr>
                <w:rFonts w:ascii="仿宋" w:eastAsia="仿宋" w:hAnsi="仿宋" w:cs="仿宋" w:hint="eastAsia"/>
                <w:b/>
                <w:kern w:val="0"/>
                <w:sz w:val="24"/>
              </w:rPr>
              <w:t>设备名称</w:t>
            </w:r>
          </w:p>
        </w:tc>
        <w:tc>
          <w:tcPr>
            <w:tcW w:w="709" w:type="dxa"/>
            <w:vAlign w:val="center"/>
          </w:tcPr>
          <w:p>
            <w:pPr>
              <w:widowControl/>
              <w:jc w:val="center"/>
              <w:rPr>
                <w:rFonts w:ascii="仿宋" w:eastAsia="仿宋" w:hAnsi="仿宋" w:cs="仿宋" w:hint="eastAsia"/>
                <w:b/>
                <w:kern w:val="0"/>
              </w:rPr>
            </w:pPr>
            <w:r>
              <w:rPr>
                <w:rFonts w:ascii="仿宋" w:eastAsia="仿宋" w:hAnsi="仿宋" w:cs="仿宋" w:hint="eastAsia"/>
                <w:b/>
                <w:kern w:val="0"/>
                <w:sz w:val="24"/>
              </w:rPr>
              <w:t>单位</w:t>
            </w:r>
          </w:p>
        </w:tc>
        <w:tc>
          <w:tcPr>
            <w:tcW w:w="709" w:type="dxa"/>
            <w:vAlign w:val="center"/>
          </w:tcPr>
          <w:p>
            <w:pPr>
              <w:widowControl/>
              <w:jc w:val="center"/>
              <w:rPr>
                <w:rFonts w:ascii="仿宋" w:eastAsia="仿宋" w:hAnsi="仿宋" w:cs="仿宋" w:hint="eastAsia"/>
                <w:b/>
                <w:kern w:val="0"/>
              </w:rPr>
            </w:pPr>
            <w:r>
              <w:rPr>
                <w:rFonts w:ascii="仿宋" w:eastAsia="仿宋" w:hAnsi="仿宋" w:cs="仿宋" w:hint="eastAsia"/>
                <w:b/>
                <w:kern w:val="0"/>
                <w:sz w:val="24"/>
              </w:rPr>
              <w:t>数量</w:t>
            </w:r>
          </w:p>
        </w:tc>
        <w:tc>
          <w:tcPr>
            <w:tcW w:w="3823" w:type="dxa"/>
            <w:vAlign w:val="center"/>
          </w:tcPr>
          <w:p>
            <w:pPr>
              <w:widowControl/>
              <w:jc w:val="center"/>
              <w:rPr>
                <w:rFonts w:ascii="仿宋" w:eastAsia="仿宋" w:hAnsi="仿宋" w:cs="仿宋" w:hint="eastAsia"/>
                <w:b/>
                <w:kern w:val="0"/>
              </w:rPr>
            </w:pPr>
            <w:r>
              <w:rPr>
                <w:rFonts w:ascii="仿宋" w:eastAsia="仿宋" w:hAnsi="仿宋" w:cs="仿宋" w:hint="eastAsia"/>
                <w:b/>
                <w:kern w:val="0"/>
                <w:sz w:val="24"/>
              </w:rPr>
              <w:t>主要功能</w:t>
            </w:r>
          </w:p>
        </w:tc>
        <w:tc>
          <w:tcPr>
            <w:tcW w:w="1452" w:type="dxa"/>
            <w:vAlign w:val="center"/>
          </w:tcPr>
          <w:p>
            <w:pPr>
              <w:widowControl/>
              <w:jc w:val="center"/>
              <w:rPr>
                <w:rFonts w:ascii="仿宋" w:eastAsia="仿宋" w:hAnsi="仿宋" w:cs="仿宋" w:hint="eastAsia"/>
                <w:b/>
                <w:kern w:val="0"/>
              </w:rPr>
            </w:pPr>
            <w:r>
              <w:rPr>
                <w:rFonts w:ascii="仿宋" w:eastAsia="仿宋" w:hAnsi="仿宋" w:cs="仿宋" w:hint="eastAsia"/>
                <w:b/>
                <w:kern w:val="0"/>
                <w:sz w:val="24"/>
              </w:rPr>
              <w:t>备注</w:t>
            </w:r>
          </w:p>
        </w:tc>
      </w:tr>
      <w:tr>
        <w:tblPrEx>
          <w:tblW w:w="9097" w:type="dxa"/>
          <w:jc w:val="center"/>
          <w:tblLayout w:type="fixed"/>
          <w:tblCellMar>
            <w:top w:w="0" w:type="dxa"/>
            <w:left w:w="10" w:type="dxa"/>
            <w:bottom w:w="0" w:type="dxa"/>
            <w:right w:w="10" w:type="dxa"/>
          </w:tblCellMar>
          <w:tblLook w:val="0000"/>
        </w:tblPrEx>
        <w:trPr>
          <w:trHeight w:val="1260"/>
          <w:jc w:val="center"/>
        </w:trPr>
        <w:tc>
          <w:tcPr>
            <w:tcW w:w="558"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1</w:t>
            </w:r>
          </w:p>
        </w:tc>
        <w:tc>
          <w:tcPr>
            <w:tcW w:w="1846"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微波辐射计室外主机</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台</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1</w:t>
            </w:r>
          </w:p>
        </w:tc>
        <w:tc>
          <w:tcPr>
            <w:tcW w:w="3823" w:type="dxa"/>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具备温度、水汽多通道复合大气微波辐射及云红外辐射接收能力，同时还能监测工作现场的温度、湿度、气压、降水等气象要素以及设备工作状态信息。</w:t>
            </w:r>
          </w:p>
        </w:tc>
        <w:tc>
          <w:tcPr>
            <w:tcW w:w="1452" w:type="dxa"/>
            <w:vMerge w:val="restart"/>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包含设备运输、安装、调试、验收等。</w:t>
            </w:r>
          </w:p>
        </w:tc>
      </w:tr>
      <w:tr>
        <w:tblPrEx>
          <w:tblW w:w="9097" w:type="dxa"/>
          <w:jc w:val="center"/>
          <w:tblLayout w:type="fixed"/>
          <w:tblCellMar>
            <w:top w:w="0" w:type="dxa"/>
            <w:left w:w="10" w:type="dxa"/>
            <w:bottom w:w="0" w:type="dxa"/>
            <w:right w:w="10" w:type="dxa"/>
          </w:tblCellMar>
          <w:tblLook w:val="0000"/>
        </w:tblPrEx>
        <w:trPr>
          <w:trHeight w:val="638"/>
          <w:jc w:val="center"/>
        </w:trPr>
        <w:tc>
          <w:tcPr>
            <w:tcW w:w="558"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2</w:t>
            </w:r>
          </w:p>
        </w:tc>
        <w:tc>
          <w:tcPr>
            <w:tcW w:w="1846"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辅助单元</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套</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1</w:t>
            </w:r>
          </w:p>
        </w:tc>
        <w:tc>
          <w:tcPr>
            <w:tcW w:w="3823" w:type="dxa"/>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外部液氮标定组件、防雨雾干燥组件、加热组件、地面气象观测要素观测组件。</w:t>
            </w:r>
          </w:p>
        </w:tc>
        <w:tc>
          <w:tcPr>
            <w:tcW w:w="1452" w:type="dxa"/>
            <w:vMerge/>
            <w:vAlign w:val="center"/>
          </w:tcPr>
          <w:p>
            <w:pPr>
              <w:widowControl/>
              <w:jc w:val="left"/>
              <w:rPr>
                <w:rFonts w:ascii="仿宋" w:eastAsia="仿宋" w:hAnsi="仿宋" w:cs="仿宋" w:hint="eastAsia"/>
                <w:bCs/>
                <w:kern w:val="0"/>
              </w:rPr>
            </w:pPr>
          </w:p>
        </w:tc>
      </w:tr>
      <w:tr>
        <w:tblPrEx>
          <w:tblW w:w="9097" w:type="dxa"/>
          <w:jc w:val="center"/>
          <w:tblLayout w:type="fixed"/>
          <w:tblCellMar>
            <w:top w:w="0" w:type="dxa"/>
            <w:left w:w="10" w:type="dxa"/>
            <w:bottom w:w="0" w:type="dxa"/>
            <w:right w:w="10" w:type="dxa"/>
          </w:tblCellMar>
          <w:tblLook w:val="0000"/>
        </w:tblPrEx>
        <w:trPr>
          <w:trHeight w:val="638"/>
          <w:jc w:val="center"/>
        </w:trPr>
        <w:tc>
          <w:tcPr>
            <w:tcW w:w="558"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3</w:t>
            </w:r>
          </w:p>
        </w:tc>
        <w:tc>
          <w:tcPr>
            <w:tcW w:w="1846"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辐射计管理应用软件</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套</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1</w:t>
            </w:r>
          </w:p>
        </w:tc>
        <w:tc>
          <w:tcPr>
            <w:tcW w:w="3823" w:type="dxa"/>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运算生成大气温湿度廓线等多种气象产品，控制和监测辐射计主机及附属设备的工作状态。</w:t>
            </w:r>
          </w:p>
        </w:tc>
        <w:tc>
          <w:tcPr>
            <w:tcW w:w="1452" w:type="dxa"/>
            <w:vMerge/>
            <w:vAlign w:val="center"/>
          </w:tcPr>
          <w:p>
            <w:pPr>
              <w:widowControl/>
              <w:jc w:val="left"/>
              <w:rPr>
                <w:rFonts w:ascii="仿宋" w:eastAsia="仿宋" w:hAnsi="仿宋" w:cs="仿宋" w:hint="eastAsia"/>
                <w:bCs/>
                <w:kern w:val="0"/>
              </w:rPr>
            </w:pPr>
          </w:p>
        </w:tc>
      </w:tr>
      <w:tr>
        <w:tblPrEx>
          <w:tblW w:w="9097" w:type="dxa"/>
          <w:jc w:val="center"/>
          <w:tblLayout w:type="fixed"/>
          <w:tblCellMar>
            <w:top w:w="0" w:type="dxa"/>
            <w:left w:w="10" w:type="dxa"/>
            <w:bottom w:w="0" w:type="dxa"/>
            <w:right w:w="10" w:type="dxa"/>
          </w:tblCellMar>
          <w:tblLook w:val="0000"/>
        </w:tblPrEx>
        <w:trPr>
          <w:trHeight w:val="327"/>
          <w:jc w:val="center"/>
        </w:trPr>
        <w:tc>
          <w:tcPr>
            <w:tcW w:w="558"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4</w:t>
            </w:r>
          </w:p>
        </w:tc>
        <w:tc>
          <w:tcPr>
            <w:tcW w:w="1846"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标准输出控制单元</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套</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1</w:t>
            </w:r>
          </w:p>
        </w:tc>
        <w:tc>
          <w:tcPr>
            <w:tcW w:w="3823" w:type="dxa"/>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辐射计数据质量监测单元。</w:t>
            </w:r>
          </w:p>
        </w:tc>
        <w:tc>
          <w:tcPr>
            <w:tcW w:w="1452" w:type="dxa"/>
            <w:vMerge/>
            <w:vAlign w:val="center"/>
          </w:tcPr>
          <w:p>
            <w:pPr>
              <w:widowControl/>
              <w:jc w:val="left"/>
              <w:rPr>
                <w:rFonts w:ascii="仿宋" w:eastAsia="仿宋" w:hAnsi="仿宋" w:cs="仿宋" w:hint="eastAsia"/>
                <w:bCs/>
                <w:kern w:val="0"/>
              </w:rPr>
            </w:pPr>
          </w:p>
        </w:tc>
      </w:tr>
      <w:tr>
        <w:tblPrEx>
          <w:tblW w:w="9097" w:type="dxa"/>
          <w:jc w:val="center"/>
          <w:tblLayout w:type="fixed"/>
          <w:tblCellMar>
            <w:top w:w="0" w:type="dxa"/>
            <w:left w:w="10" w:type="dxa"/>
            <w:bottom w:w="0" w:type="dxa"/>
            <w:right w:w="10" w:type="dxa"/>
          </w:tblCellMar>
          <w:tblLook w:val="0000"/>
        </w:tblPrEx>
        <w:trPr>
          <w:trHeight w:val="327"/>
          <w:jc w:val="center"/>
        </w:trPr>
        <w:tc>
          <w:tcPr>
            <w:tcW w:w="558"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5</w:t>
            </w:r>
          </w:p>
        </w:tc>
        <w:tc>
          <w:tcPr>
            <w:tcW w:w="1846"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室外支架</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台</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1</w:t>
            </w:r>
          </w:p>
        </w:tc>
        <w:tc>
          <w:tcPr>
            <w:tcW w:w="3823" w:type="dxa"/>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室外主机安装。</w:t>
            </w:r>
          </w:p>
        </w:tc>
        <w:tc>
          <w:tcPr>
            <w:tcW w:w="1452" w:type="dxa"/>
            <w:vMerge/>
            <w:vAlign w:val="center"/>
          </w:tcPr>
          <w:p>
            <w:pPr>
              <w:widowControl/>
              <w:jc w:val="left"/>
              <w:rPr>
                <w:rFonts w:ascii="仿宋" w:eastAsia="仿宋" w:hAnsi="仿宋" w:cs="仿宋" w:hint="eastAsia"/>
                <w:bCs/>
                <w:kern w:val="0"/>
              </w:rPr>
            </w:pPr>
          </w:p>
        </w:tc>
      </w:tr>
      <w:tr>
        <w:tblPrEx>
          <w:tblW w:w="9097" w:type="dxa"/>
          <w:jc w:val="center"/>
          <w:tblLayout w:type="fixed"/>
          <w:tblCellMar>
            <w:top w:w="0" w:type="dxa"/>
            <w:left w:w="10" w:type="dxa"/>
            <w:bottom w:w="0" w:type="dxa"/>
            <w:right w:w="10" w:type="dxa"/>
          </w:tblCellMar>
          <w:tblLook w:val="0000"/>
        </w:tblPrEx>
        <w:trPr>
          <w:trHeight w:val="638"/>
          <w:jc w:val="center"/>
        </w:trPr>
        <w:tc>
          <w:tcPr>
            <w:tcW w:w="558"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6</w:t>
            </w:r>
          </w:p>
        </w:tc>
        <w:tc>
          <w:tcPr>
            <w:tcW w:w="1846"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产品技术手册</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套</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1</w:t>
            </w:r>
          </w:p>
        </w:tc>
        <w:tc>
          <w:tcPr>
            <w:tcW w:w="3823" w:type="dxa"/>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产品技术说明书、软件使用操作说明书、产品维护说明书。</w:t>
            </w:r>
          </w:p>
        </w:tc>
        <w:tc>
          <w:tcPr>
            <w:tcW w:w="1452" w:type="dxa"/>
            <w:vMerge/>
            <w:vAlign w:val="center"/>
          </w:tcPr>
          <w:p>
            <w:pPr>
              <w:widowControl/>
              <w:jc w:val="left"/>
              <w:rPr>
                <w:rFonts w:ascii="仿宋" w:eastAsia="仿宋" w:hAnsi="仿宋" w:cs="仿宋" w:hint="eastAsia"/>
                <w:bCs/>
                <w:kern w:val="0"/>
              </w:rPr>
            </w:pPr>
          </w:p>
        </w:tc>
      </w:tr>
      <w:tr>
        <w:tblPrEx>
          <w:tblW w:w="9097" w:type="dxa"/>
          <w:jc w:val="center"/>
          <w:tblLayout w:type="fixed"/>
          <w:tblCellMar>
            <w:top w:w="0" w:type="dxa"/>
            <w:left w:w="10" w:type="dxa"/>
            <w:bottom w:w="0" w:type="dxa"/>
            <w:right w:w="10" w:type="dxa"/>
          </w:tblCellMar>
          <w:tblLook w:val="0000"/>
        </w:tblPrEx>
        <w:trPr>
          <w:trHeight w:val="342"/>
          <w:jc w:val="center"/>
        </w:trPr>
        <w:tc>
          <w:tcPr>
            <w:tcW w:w="558"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7</w:t>
            </w:r>
          </w:p>
        </w:tc>
        <w:tc>
          <w:tcPr>
            <w:tcW w:w="1846"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随机附件备件</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套</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1</w:t>
            </w:r>
          </w:p>
        </w:tc>
        <w:tc>
          <w:tcPr>
            <w:tcW w:w="3823" w:type="dxa"/>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随机备件一套。</w:t>
            </w:r>
          </w:p>
        </w:tc>
        <w:tc>
          <w:tcPr>
            <w:tcW w:w="1452" w:type="dxa"/>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随机免费提供</w:t>
            </w:r>
          </w:p>
        </w:tc>
      </w:tr>
    </w:tbl>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四、质保服务要求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4.1 设备建设</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设备供应商对投标产品技术指标要求、采购人质量服务要求及项目建设特点应有全面、深入的理解。设备供应商需提供详细项目建设方案，包括但不限于：产品质量检测方案、设备安装建设方案、建设工期安排、工期保证措施等。由设备供应商负责设备安装、调试等工作，用户方负责提供安装场地、供电及通讯，设备安装调试、验收等相关工作,费用由设备供应商负责。设备不合格或不符合质量要求，供应商除无条件退货、返工外，还应承担采购人的一切损失。</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4.2技术服务</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（1）设备供应商需提供详细技术服务方案，包括但不限于：设备安装建设规范、设备工作原理、设备部件结构组成、设备操作手册、设备运行维护手册、设备软件使用手册、相关产品算法说明文档等。</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（2）设备供应商需提供详细售后服务方案，包括设备售后服务组织机构、人员组成、技术支持文档等。其中，售后服务组织机构设置合理，人员技术能力强，技术文档内容全面。</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（3）设备供应商对每套投标产品提供至少2次技术培训，培训内容包括设备安装、使用、日常维护、观测原理及产品应用，培训时间及地点双方协商确定。</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4.3 质保期服务</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w:t>
      </w:r>
      <w:r>
        <w:rPr>
          <w:rFonts w:ascii="仿宋" w:eastAsia="仿宋" w:hAnsi="仿宋" w:cs="仿宋" w:hint="eastAsia"/>
          <w:sz w:val="28"/>
          <w:szCs w:val="20"/>
          <w:highlight w:val="yellow"/>
        </w:rPr>
        <w:t>设备供应商对所有设备提供自验收合格后8年的免费维护维修服务*，</w:t>
      </w:r>
      <w:r>
        <w:rPr>
          <w:rFonts w:ascii="仿宋" w:eastAsia="仿宋" w:hAnsi="仿宋" w:cs="仿宋" w:hint="eastAsia"/>
          <w:sz w:val="28"/>
          <w:szCs w:val="20"/>
        </w:rPr>
        <w:t>并提供相关承诺函。按照业务运行规范要求执行，确保设备可稳定运行，主要工作包括：汛前巡检、周维护、月维护、年维护等巡检巡查工作，以及关键器件及系统故障的维修等。故障维修和巡检巡查等需按照《2022年度补短板工程新上设备建设及质保指导意见（地基遥感垂直观测系统）》要求执行。</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（2）在质保期内，设备供应商服务时间应为 7</w:t>
      </w:r>
      <w:r>
        <w:rPr>
          <w:rFonts w:ascii="仿宋" w:eastAsia="仿宋" w:hAnsi="仿宋" w:cs="仿宋" w:hint="eastAsia"/>
          <w:sz w:val="28"/>
          <w:szCs w:val="20"/>
        </w:rPr>
        <w:t>×</w:t>
      </w:r>
      <w:r>
        <w:rPr>
          <w:rFonts w:ascii="仿宋" w:eastAsia="仿宋" w:hAnsi="仿宋" w:cs="仿宋" w:hint="eastAsia"/>
          <w:sz w:val="28"/>
          <w:szCs w:val="20"/>
        </w:rPr>
        <w:t>24小时，当投标产品或软件遭到损坏或出现故障时，要在用户报修之时起4小时内做出响应，并在48小时内到达现场，开展维修维护工作，视情况双方协商设备恢复正常运行时限。</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（3）质保期过后，设备供应商仍有义务提供技术服务（包括提供设备维护、备件等）。</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五、验收要求（检验考核要求等）</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参照《地基微波辐射计功能规格需求书》《地基微波辐射计测试大纲》和《地基遥感垂直观测系统测试大纲》以及中国气象局最新业务管理规定等有关文件要求开展检验考核。</w:t>
      </w:r>
    </w:p>
    <w:p>
      <w:pPr>
        <w:spacing w:line="560" w:lineRule="exact"/>
        <w:ind w:left="420" w:leftChars="200"/>
        <w:rPr>
          <w:rFonts w:ascii="仿宋" w:eastAsia="仿宋" w:hAnsi="仿宋" w:cs="仿宋" w:hint="eastAsia"/>
          <w:sz w:val="28"/>
          <w:szCs w:val="20"/>
        </w:rPr>
      </w:pPr>
      <w:r>
        <w:rPr>
          <w:rFonts w:ascii="仿宋" w:eastAsia="仿宋" w:hAnsi="仿宋" w:cs="仿宋" w:hint="eastAsia"/>
          <w:sz w:val="28"/>
          <w:szCs w:val="20"/>
        </w:rPr>
        <w:t>六、其他要求</w:t>
      </w:r>
      <w:r>
        <w:rPr>
          <w:rFonts w:ascii="仿宋" w:eastAsia="仿宋" w:hAnsi="仿宋" w:cs="仿宋" w:hint="eastAsia"/>
          <w:sz w:val="28"/>
          <w:szCs w:val="20"/>
        </w:rPr>
        <w:br/>
      </w:r>
      <w:r>
        <w:rPr>
          <w:rFonts w:ascii="仿宋" w:eastAsia="仿宋" w:hAnsi="仿宋" w:cs="仿宋" w:hint="eastAsia"/>
          <w:sz w:val="28"/>
          <w:szCs w:val="20"/>
        </w:rPr>
        <w:t>详见采购需求-其他技术及商务需求。</w:t>
      </w:r>
    </w:p>
    <w:p>
      <w:pPr>
        <w:spacing w:line="240" w:lineRule="auto"/>
        <w:outlineLvl w:val="9"/>
        <w:rPr>
          <w:rFonts w:ascii="Times New Roman" w:hAnsi="Times New Roman" w:hint="default"/>
          <w:bCs w:val="0"/>
          <w:snapToGrid/>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517"/>
        <w:gridCol w:w="1013"/>
        <w:gridCol w:w="847"/>
        <w:gridCol w:w="1178"/>
        <w:gridCol w:w="1343"/>
        <w:gridCol w:w="847"/>
        <w:gridCol w:w="2816"/>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1" w:name="货物一览表_index"/>
            <w:r>
              <w:rPr>
                <w:rFonts w:asciiTheme="minorEastAsia" w:eastAsiaTheme="minorEastAsia" w:hAnsiTheme="minorEastAsia" w:cstheme="minorEastAsia" w:hint="eastAsia"/>
                <w:kern w:val="0"/>
                <w:szCs w:val="21"/>
              </w:rPr>
              <w:t>序号</w:t>
            </w:r>
            <w:bookmarkEnd w:id="61"/>
          </w:p>
        </w:tc>
        <w:tc>
          <w:tcPr>
            <w:tcW w:w="1135" w:type="dxa"/>
          </w:tcPr>
          <w:p>
            <w:pPr>
              <w:autoSpaceDE w:val="0"/>
              <w:jc w:val="center"/>
              <w:rPr>
                <w:rFonts w:asciiTheme="minorEastAsia" w:hAnsiTheme="minorEastAsia" w:cstheme="minorEastAsia"/>
                <w:kern w:val="0"/>
                <w:szCs w:val="21"/>
              </w:rPr>
            </w:pPr>
            <w:bookmarkStart w:id="62" w:name="货物一览表_goodsName"/>
            <w:r>
              <w:rPr>
                <w:rFonts w:asciiTheme="minorEastAsia" w:eastAsiaTheme="minorEastAsia" w:hAnsiTheme="minorEastAsia" w:cstheme="minorEastAsia" w:hint="eastAsia"/>
                <w:kern w:val="0"/>
                <w:szCs w:val="21"/>
              </w:rPr>
              <w:t>设备名称</w:t>
            </w:r>
            <w:bookmarkEnd w:id="62"/>
          </w:p>
        </w:tc>
        <w:tc>
          <w:tcPr>
            <w:tcW w:w="965" w:type="dxa"/>
          </w:tcPr>
          <w:p>
            <w:pPr>
              <w:autoSpaceDE w:val="0"/>
              <w:jc w:val="center"/>
              <w:rPr>
                <w:rFonts w:asciiTheme="minorEastAsia" w:hAnsiTheme="minorEastAsia" w:cstheme="minorEastAsia"/>
                <w:kern w:val="0"/>
                <w:szCs w:val="21"/>
              </w:rPr>
            </w:pPr>
            <w:bookmarkStart w:id="63" w:name="货物一览表_nums"/>
            <w:r>
              <w:rPr>
                <w:rFonts w:asciiTheme="minorEastAsia" w:eastAsiaTheme="minorEastAsia" w:hAnsiTheme="minorEastAsia" w:cstheme="minorEastAsia" w:hint="eastAsia"/>
                <w:kern w:val="0"/>
                <w:szCs w:val="21"/>
              </w:rPr>
              <w:t>采购数量</w:t>
            </w:r>
            <w:bookmarkEnd w:id="63"/>
          </w:p>
        </w:tc>
        <w:tc>
          <w:tcPr>
            <w:tcW w:w="1062" w:type="dxa"/>
          </w:tcPr>
          <w:p>
            <w:pPr>
              <w:autoSpaceDE w:val="0"/>
              <w:jc w:val="center"/>
              <w:rPr>
                <w:rFonts w:asciiTheme="minorEastAsia" w:hAnsiTheme="minorEastAsia" w:cstheme="minorEastAsia"/>
                <w:kern w:val="0"/>
                <w:szCs w:val="21"/>
              </w:rPr>
            </w:pPr>
            <w:bookmarkStart w:id="64" w:name="货物一览表_units"/>
            <w:r>
              <w:rPr>
                <w:rFonts w:asciiTheme="minorEastAsia" w:eastAsiaTheme="minorEastAsia" w:hAnsiTheme="minorEastAsia" w:cstheme="minorEastAsia" w:hint="eastAsia"/>
                <w:kern w:val="0"/>
                <w:szCs w:val="21"/>
              </w:rPr>
              <w:t>计量单位</w:t>
            </w:r>
            <w:bookmarkEnd w:id="64"/>
          </w:p>
        </w:tc>
        <w:tc>
          <w:tcPr>
            <w:tcW w:w="1220" w:type="dxa"/>
          </w:tcPr>
          <w:p>
            <w:pPr>
              <w:autoSpaceDE w:val="0"/>
              <w:jc w:val="center"/>
              <w:rPr>
                <w:rFonts w:asciiTheme="minorEastAsia" w:hAnsiTheme="minorEastAsia" w:cstheme="minorEastAsia"/>
                <w:kern w:val="0"/>
                <w:szCs w:val="21"/>
              </w:rPr>
            </w:pPr>
            <w:bookmarkStart w:id="65" w:name="货物一览表_procurementBudget"/>
            <w:r>
              <w:rPr>
                <w:rFonts w:asciiTheme="minorEastAsia" w:eastAsiaTheme="minorEastAsia" w:hAnsiTheme="minorEastAsia" w:cstheme="minorEastAsia" w:hint="eastAsia"/>
                <w:kern w:val="0"/>
                <w:szCs w:val="21"/>
              </w:rPr>
              <w:t>采购预算（元）</w:t>
            </w:r>
            <w:bookmarkEnd w:id="65"/>
          </w:p>
        </w:tc>
        <w:tc>
          <w:tcPr>
            <w:tcW w:w="1329" w:type="dxa"/>
          </w:tcPr>
          <w:p>
            <w:pPr>
              <w:autoSpaceDE w:val="0"/>
              <w:jc w:val="center"/>
              <w:rPr>
                <w:rFonts w:asciiTheme="minorEastAsia" w:hAnsiTheme="minorEastAsia" w:cstheme="minorEastAsia" w:hint="eastAsia"/>
                <w:kern w:val="0"/>
                <w:szCs w:val="21"/>
              </w:rPr>
            </w:pPr>
            <w:bookmarkStart w:id="6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6"/>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7" w:name="货物一览表_remark"/>
            <w:r>
              <w:rPr>
                <w:rFonts w:asciiTheme="minorEastAsia" w:eastAsiaTheme="minorEastAsia" w:hAnsiTheme="minorEastAsia" w:cstheme="minorEastAsia" w:hint="eastAsia"/>
                <w:kern w:val="0"/>
                <w:szCs w:val="21"/>
              </w:rPr>
              <w:t>备注</w:t>
            </w:r>
            <w:bookmarkEnd w:id="67"/>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微波辐射计</w:t>
            </w:r>
          </w:p>
        </w:tc>
        <w:tc>
          <w:tcPr/>
          <w:p>
            <w:pPr>
              <w:autoSpaceDE w:val="0"/>
              <w:jc w:val="center"/>
              <w:rPr>
                <w:rFonts w:asciiTheme="minorEastAsia" w:hAnsiTheme="minorEastAsia" w:cstheme="minorEastAsia"/>
                <w:kern w:val="0"/>
                <w:szCs w:val="21"/>
              </w:rPr>
            </w:pPr>
            <w:r>
              <w:t>3</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5,100,000.00</w:t>
            </w:r>
          </w:p>
        </w:tc>
        <w:tc>
          <w:tcPr/>
          <w:p>
            <w:pPr>
              <w:autoSpaceDE w:val="0"/>
              <w:jc w:val="center"/>
              <w:rPr>
                <w:rFonts w:asciiTheme="minorEastAsia" w:hAnsiTheme="minorEastAsia" w:cstheme="minorEastAsia" w:hint="eastAsia"/>
                <w:kern w:val="0"/>
                <w:szCs w:val="21"/>
              </w:rPr>
            </w:pPr>
            <w:r>
              <w:t>30</w:t>
            </w:r>
          </w:p>
        </w:tc>
        <w:tc>
          <w:tcPr/>
          <w:p>
            <w:pPr>
              <w:autoSpaceDE w:val="0"/>
              <w:autoSpaceDN w:val="0"/>
              <w:adjustRightInd w:val="0"/>
              <w:spacing w:before="48"/>
              <w:ind w:right="-20"/>
              <w:jc w:val="center"/>
              <w:rPr>
                <w:rFonts w:asciiTheme="minorEastAsia" w:hAnsiTheme="minorEastAsia" w:cstheme="minorEastAsia"/>
                <w:kern w:val="0"/>
                <w:szCs w:val="21"/>
              </w:rPr>
            </w:pPr>
            <w:r>
              <w:t>交货期从采购合同签订之日起计算。</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5,100,000.00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321"/>
        <w:gridCol w:w="1814"/>
        <w:gridCol w:w="630"/>
        <w:gridCol w:w="321"/>
        <w:gridCol w:w="733"/>
        <w:gridCol w:w="611"/>
        <w:gridCol w:w="733"/>
        <w:gridCol w:w="335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8"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灾防中心(001043026009)</w:t>
            </w:r>
          </w:p>
        </w:tc>
        <w:tc>
          <w:tcPr/>
          <w:p>
            <w:r>
              <w:t>微波辐射计</w:t>
            </w:r>
          </w:p>
        </w:tc>
        <w:tc>
          <w:tcPr/>
          <w:p>
            <w:r>
              <w:t>1</w:t>
            </w:r>
          </w:p>
        </w:tc>
        <w:tc>
          <w:tcPr/>
          <w:p>
            <w:r>
              <w:t>1700000.00</w:t>
            </w:r>
          </w:p>
        </w:tc>
        <w:tc>
          <w:tcPr/>
          <w:p>
            <w:r>
              <w:t xml:space="preserve">1700000.00  </w:t>
            </w:r>
          </w:p>
        </w:tc>
        <w:tc>
          <w:tcPr/>
          <w:p>
            <w:r>
              <w:t>甲方指定地点</w:t>
            </w:r>
          </w:p>
        </w:tc>
        <w:tc>
          <w:tcPr/>
          <w:p>
            <w:r>
              <w:t>采购人全称：厦门市气象灾害防御技术中心，联系人：陈赛15105972580</w:t>
            </w:r>
          </w:p>
        </w:tc>
      </w:tr>
      <w:tr>
        <w:tblPrEx>
          <w:tblW w:w="5000" w:type="pct"/>
          <w:tblCellMar>
            <w:left w:w="108" w:type="dxa"/>
            <w:right w:w="108" w:type="dxa"/>
          </w:tblCellMar>
        </w:tblPrEx>
        <w:tc>
          <w:tcPr/>
          <w:p>
            <w:r>
              <w:t>2</w:t>
            </w:r>
          </w:p>
        </w:tc>
        <w:tc>
          <w:tcPr/>
          <w:p>
            <w:r>
              <w:t>海口市局（橡胶台）(001050022)</w:t>
            </w:r>
          </w:p>
        </w:tc>
        <w:tc>
          <w:tcPr/>
          <w:p>
            <w:r>
              <w:t>微波辐射计</w:t>
            </w:r>
          </w:p>
        </w:tc>
        <w:tc>
          <w:tcPr/>
          <w:p>
            <w:r>
              <w:t>1</w:t>
            </w:r>
          </w:p>
        </w:tc>
        <w:tc>
          <w:tcPr/>
          <w:p>
            <w:r>
              <w:t>1700000.00</w:t>
            </w:r>
          </w:p>
        </w:tc>
        <w:tc>
          <w:tcPr/>
          <w:p>
            <w:r>
              <w:t xml:space="preserve">1700000.00 </w:t>
            </w:r>
          </w:p>
        </w:tc>
        <w:tc>
          <w:tcPr/>
          <w:p>
            <w:r>
              <w:t>甲方指定地点</w:t>
            </w:r>
          </w:p>
        </w:tc>
        <w:tc>
          <w:tcPr/>
          <w:p>
            <w:r>
              <w:t>采购人全称：海南省海口市气象局，联系人：王淞18289361663</w:t>
            </w:r>
          </w:p>
        </w:tc>
      </w:tr>
      <w:tr>
        <w:tblPrEx>
          <w:tblW w:w="5000" w:type="pct"/>
          <w:tblCellMar>
            <w:left w:w="108" w:type="dxa"/>
            <w:right w:w="108" w:type="dxa"/>
          </w:tblCellMar>
        </w:tblPrEx>
        <w:tc>
          <w:tcPr/>
          <w:p>
            <w:r>
              <w:t>3</w:t>
            </w:r>
          </w:p>
        </w:tc>
        <w:tc>
          <w:tcPr/>
          <w:p>
            <w:r>
              <w:t>三亚市局（南滨农气站）(001050023)</w:t>
            </w:r>
          </w:p>
        </w:tc>
        <w:tc>
          <w:tcPr/>
          <w:p>
            <w:r>
              <w:t>微波辐射计</w:t>
            </w:r>
          </w:p>
        </w:tc>
        <w:tc>
          <w:tcPr/>
          <w:p>
            <w:r>
              <w:t>1</w:t>
            </w:r>
          </w:p>
        </w:tc>
        <w:tc>
          <w:tcPr/>
          <w:p>
            <w:r>
              <w:t>1700000.00</w:t>
            </w:r>
          </w:p>
        </w:tc>
        <w:tc>
          <w:tcPr/>
          <w:p>
            <w:r>
              <w:t xml:space="preserve">1700000.00  </w:t>
            </w:r>
          </w:p>
        </w:tc>
        <w:tc>
          <w:tcPr/>
          <w:p>
            <w:r>
              <w:t>甲方指定地点</w:t>
            </w:r>
          </w:p>
        </w:tc>
        <w:tc>
          <w:tcPr/>
          <w:p>
            <w:r>
              <w:t>采购人全称：海南省三亚市气象局，联系人：方勉15008033136</w:t>
            </w:r>
          </w:p>
        </w:tc>
      </w:tr>
    </w:tbl>
    <w:p w:rsidR="00A77B3E"/>
    <w:p>
      <w:pPr>
        <w:spacing w:line="360" w:lineRule="auto"/>
        <w:rPr>
          <w:rFonts w:ascii="宋体" w:hAnsi="宋体"/>
          <w:szCs w:val="21"/>
        </w:rPr>
      </w:pPr>
      <w:bookmarkEnd w:id="68"/>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pPr>
        <w:ind w:firstLine="560" w:firstLineChars="200"/>
        <w:rPr>
          <w:rFonts w:ascii="仿宋" w:eastAsia="仿宋" w:hAnsi="仿宋" w:cs="仿宋"/>
          <w:sz w:val="28"/>
          <w:szCs w:val="20"/>
        </w:rPr>
      </w:pPr>
      <w:bookmarkStart w:id="69" w:name="_Hlk168594550"/>
      <w:r>
        <w:rPr>
          <w:rFonts w:ascii="仿宋" w:eastAsia="仿宋" w:hAnsi="仿宋" w:cs="仿宋" w:hint="eastAsia"/>
          <w:sz w:val="28"/>
          <w:szCs w:val="20"/>
        </w:rPr>
        <w:t>依据</w:t>
      </w:r>
      <w:r>
        <w:rPr>
          <w:rFonts w:ascii="仿宋" w:eastAsia="仿宋" w:hAnsi="仿宋" w:cs="仿宋" w:hint="eastAsia"/>
          <w:sz w:val="28"/>
          <w:szCs w:val="20"/>
          <w:highlight w:val="yellow"/>
        </w:rPr>
        <w:t>2025年甘肃、海南2省地基遥感垂直观测系统</w:t>
      </w:r>
      <w:r>
        <w:rPr>
          <w:rFonts w:ascii="仿宋" w:eastAsia="仿宋" w:hAnsi="仿宋" w:cs="仿宋" w:hint="eastAsia"/>
          <w:sz w:val="28"/>
          <w:szCs w:val="20"/>
        </w:rPr>
        <w:t>（微波辐射计+气溶胶激光观测仪）建设项目和</w:t>
      </w:r>
      <w:r>
        <w:rPr>
          <w:rFonts w:ascii="仿宋" w:eastAsia="仿宋" w:hAnsi="仿宋" w:cs="仿宋" w:hint="eastAsia"/>
          <w:sz w:val="28"/>
          <w:szCs w:val="20"/>
          <w:highlight w:val="yellow"/>
        </w:rPr>
        <w:t>2025年新疆和大连等3市地基遥感垂直观测系统建设项目</w:t>
      </w:r>
      <w:r>
        <w:rPr>
          <w:rFonts w:ascii="仿宋" w:eastAsia="仿宋" w:hAnsi="仿宋" w:cs="仿宋" w:hint="eastAsia"/>
          <w:sz w:val="28"/>
          <w:szCs w:val="20"/>
        </w:rPr>
        <w:t>（毫米波测云仪、微波辐射计、气溶胶激光观测仪）的要求，需在海南</w:t>
      </w:r>
      <w:r>
        <w:rPr>
          <w:rFonts w:ascii="仿宋" w:eastAsia="仿宋" w:hAnsi="仿宋" w:cs="仿宋" w:hint="eastAsia"/>
          <w:sz w:val="28"/>
          <w:szCs w:val="20"/>
          <w:highlight w:val="yellow"/>
        </w:rPr>
        <w:t>三亚、海口、厦门</w:t>
      </w:r>
      <w:r>
        <w:rPr>
          <w:rFonts w:ascii="仿宋" w:eastAsia="仿宋" w:hAnsi="仿宋" w:cs="仿宋" w:hint="eastAsia"/>
          <w:sz w:val="28"/>
          <w:szCs w:val="20"/>
        </w:rPr>
        <w:t>等3个探空站</w:t>
      </w:r>
      <w:bookmarkEnd w:id="69"/>
      <w:r>
        <w:rPr>
          <w:rFonts w:ascii="仿宋" w:eastAsia="仿宋" w:hAnsi="仿宋" w:cs="仿宋" w:hint="eastAsia"/>
          <w:sz w:val="28"/>
          <w:szCs w:val="20"/>
        </w:rPr>
        <w:t>同址布设微波辐射计获取温度、相对湿度、水汽密度廓线等参数与其他地基遥感设备组建地基遥感垂直观测系统，形成大气温、湿、风、气溶胶和水凝物等气象要素三维立体监测网，解决当前探测系统的观测对影响中小尺度灾害性天气事件发生、发展的垂直结构观测能力薄弱的问题，目前对大气热力场和动力场的演变过程垂直观测能力彰显不足，仅依靠探空站，观测时间间隔12小时，未形成针对灾害性天气过程大气的温、湿、风、水凝物、水汽以及气溶胶的连续廓线监测，而灾害性天气过程尤其强对流天气（大风、冰雹、龙卷风、局部强降雨等）属于中小尺度天气系统，空间尺度小，其生命史短暂并带有明显的突发性，飑线和中尺度对流辐合体等中尺度对流系统的生命周期约为一小时至十几小时；而热对流和龙卷等中小尺度强对流单体的生命周期仅有几分钟至一小时。因此通过加密布设地基遥感垂直观测系统使观测时间从十几小时提升至分钟，提高捕捉中小尺度灾害性天气过程的探测能力。</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pPr>
        <w:ind w:firstLine="560" w:firstLineChars="200"/>
        <w:rPr>
          <w:rFonts w:ascii="仿宋" w:eastAsia="仿宋" w:hAnsi="仿宋" w:cs="仿宋"/>
          <w:sz w:val="28"/>
          <w:szCs w:val="20"/>
        </w:rPr>
      </w:pPr>
      <w:r>
        <w:rPr>
          <w:rFonts w:ascii="仿宋" w:eastAsia="仿宋" w:hAnsi="仿宋" w:cs="仿宋" w:hint="eastAsia"/>
          <w:sz w:val="28"/>
          <w:szCs w:val="20"/>
        </w:rPr>
        <w:t>（1）供应商须为最终用户提供7×24小时热线服务和长期的免费技术支持，负责解答用户在产品使用中遇到的问题，并及时提出解决问题的建议和操作方法，技术服务热线支持应是中文服务。</w:t>
      </w:r>
    </w:p>
    <w:p>
      <w:pPr>
        <w:ind w:firstLine="560" w:firstLineChars="200"/>
        <w:rPr>
          <w:rFonts w:ascii="仿宋" w:eastAsia="仿宋" w:hAnsi="仿宋" w:cs="仿宋"/>
          <w:sz w:val="28"/>
          <w:szCs w:val="20"/>
        </w:rPr>
      </w:pPr>
      <w:r>
        <w:rPr>
          <w:rFonts w:ascii="仿宋" w:eastAsia="仿宋" w:hAnsi="仿宋" w:cs="仿宋" w:hint="eastAsia"/>
          <w:sz w:val="28"/>
          <w:szCs w:val="20"/>
        </w:rPr>
        <w:t>（2）保证售后维修的及时、快捷。在收到采购人服务通知时，供应商能在1小时内响应，4小时内到现场响应，24小时内处理完毕。</w:t>
      </w:r>
    </w:p>
    <w:p>
      <w:pPr>
        <w:ind w:firstLine="560" w:firstLineChars="200"/>
        <w:rPr>
          <w:rFonts w:ascii="仿宋" w:eastAsia="仿宋" w:hAnsi="仿宋" w:cs="仿宋"/>
          <w:sz w:val="28"/>
          <w:szCs w:val="20"/>
        </w:rPr>
      </w:pPr>
      <w:r>
        <w:rPr>
          <w:rFonts w:ascii="仿宋" w:eastAsia="仿宋" w:hAnsi="仿宋" w:cs="仿宋" w:hint="eastAsia"/>
          <w:sz w:val="28"/>
          <w:szCs w:val="20"/>
        </w:rPr>
        <w:t>（3）质保期内，服务方式均为供应商上门保修，即由供应商派员到设备使用现场维修，由此产生的一切费用均由供应商承担。当投标货物发生非人为因素严重故障时，供应商应当免费在7日内补充或者更换货物运抵发生故障的货物所在地，由此产生的一切相关费用由供应商承担。</w:t>
      </w:r>
    </w:p>
    <w:p>
      <w:pPr>
        <w:ind w:firstLine="560" w:firstLineChars="200"/>
        <w:rPr>
          <w:rFonts w:ascii="仿宋" w:eastAsia="仿宋" w:hAnsi="仿宋" w:cs="仿宋"/>
          <w:sz w:val="28"/>
          <w:szCs w:val="20"/>
        </w:rPr>
      </w:pPr>
      <w:r>
        <w:rPr>
          <w:rFonts w:ascii="仿宋" w:eastAsia="仿宋" w:hAnsi="仿宋" w:cs="仿宋" w:hint="eastAsia"/>
          <w:sz w:val="28"/>
          <w:szCs w:val="20"/>
        </w:rPr>
        <w:t>（4）中标供应商提供的产品在使用直至报废前，如气象主管部门发布了新版设备规格功能需求书或数据格式上传等通知要求，中标供应商应根据要求完成设备数据文件格式转化及数据传输等内容，费用包含在总价内。</w:t>
      </w:r>
    </w:p>
    <w:p>
      <w:pPr>
        <w:ind w:firstLine="560" w:firstLineChars="200"/>
        <w:rPr>
          <w:rFonts w:ascii="仿宋" w:eastAsia="仿宋" w:hAnsi="仿宋" w:cs="仿宋"/>
          <w:sz w:val="28"/>
          <w:szCs w:val="20"/>
        </w:rPr>
      </w:pPr>
      <w:r>
        <w:rPr>
          <w:rFonts w:ascii="仿宋" w:eastAsia="仿宋" w:hAnsi="仿宋" w:cs="仿宋" w:hint="eastAsia"/>
          <w:sz w:val="28"/>
          <w:szCs w:val="20"/>
        </w:rPr>
        <w:t>（5）质保期内，根据采购人业务工作需求，中标供应商须提供一次免费移机服务，由此产生的一切相关费用由供应商承担。</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设备供应商对每套投标产品提供至少2次技术培训，</w:t>
      </w:r>
      <w:r>
        <w:rPr>
          <w:rFonts w:ascii="仿宋" w:eastAsia="仿宋" w:hAnsi="仿宋" w:cs="仿宋" w:hint="eastAsia"/>
          <w:sz w:val="28"/>
          <w:szCs w:val="20"/>
          <w:highlight w:val="yellow"/>
        </w:rPr>
        <w:t>培训课时</w:t>
      </w:r>
      <w:r>
        <w:rPr>
          <w:rFonts w:ascii="仿宋" w:eastAsia="仿宋" w:hAnsi="仿宋" w:cs="仿宋"/>
          <w:sz w:val="28"/>
          <w:szCs w:val="20"/>
          <w:highlight w:val="yellow"/>
        </w:rPr>
        <w:t>不少于</w:t>
      </w:r>
      <w:r>
        <w:rPr>
          <w:rFonts w:ascii="仿宋" w:eastAsia="仿宋" w:hAnsi="仿宋" w:cs="仿宋" w:hint="eastAsia"/>
          <w:sz w:val="28"/>
          <w:szCs w:val="20"/>
          <w:highlight w:val="yellow"/>
        </w:rPr>
        <w:t>32个</w:t>
      </w:r>
      <w:r>
        <w:rPr>
          <w:rFonts w:ascii="仿宋" w:eastAsia="仿宋" w:hAnsi="仿宋" w:cs="仿宋"/>
          <w:sz w:val="28"/>
          <w:szCs w:val="20"/>
          <w:highlight w:val="yellow"/>
        </w:rPr>
        <w:t>课时，培训人数不少于</w:t>
      </w:r>
      <w:r>
        <w:rPr>
          <w:rFonts w:ascii="仿宋" w:eastAsia="仿宋" w:hAnsi="仿宋" w:cs="仿宋" w:hint="eastAsia"/>
          <w:sz w:val="28"/>
          <w:szCs w:val="20"/>
          <w:highlight w:val="yellow"/>
        </w:rPr>
        <w:t>8人</w:t>
      </w:r>
      <w:r>
        <w:rPr>
          <w:rFonts w:ascii="仿宋" w:eastAsia="仿宋" w:hAnsi="仿宋" w:cs="仿宋"/>
          <w:sz w:val="28"/>
          <w:szCs w:val="20"/>
          <w:highlight w:val="yellow"/>
        </w:rPr>
        <w:t>。</w:t>
      </w:r>
      <w:r>
        <w:rPr>
          <w:rFonts w:ascii="仿宋" w:eastAsia="仿宋" w:hAnsi="仿宋" w:cs="仿宋" w:hint="eastAsia"/>
          <w:sz w:val="28"/>
          <w:szCs w:val="20"/>
        </w:rPr>
        <w:t>培训内容包括设备安装、使用、日常维护、观测原理及产品应用，培训时间及地点双方协商确定。</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中标供应商将所有设备运送至甲方指定地点（运输相关费用由供应商负责），并负责安装调试。</w:t>
      </w:r>
    </w:p>
    <w:p>
      <w:pPr>
        <w:ind w:left="559" w:leftChars="266"/>
        <w:rPr>
          <w:rFonts w:ascii="仿宋" w:eastAsia="仿宋" w:hAnsi="仿宋" w:cs="仿宋"/>
          <w:b/>
          <w:bCs/>
          <w:sz w:val="28"/>
          <w:szCs w:val="20"/>
        </w:rPr>
      </w:pPr>
      <w:r>
        <w:rPr>
          <w:rFonts w:ascii="仿宋" w:eastAsia="仿宋" w:hAnsi="仿宋" w:cs="仿宋" w:hint="eastAsia"/>
          <w:sz w:val="28"/>
          <w:szCs w:val="20"/>
        </w:rPr>
        <w:t>合同签订后</w:t>
      </w:r>
      <w:r>
        <w:rPr>
          <w:rFonts w:ascii="仿宋" w:eastAsia="仿宋" w:hAnsi="仿宋" w:cs="仿宋" w:hint="eastAsia"/>
          <w:sz w:val="28"/>
          <w:szCs w:val="20"/>
          <w:lang w:val="en-US" w:eastAsia="zh-CN"/>
        </w:rPr>
        <w:t>45</w:t>
      </w:r>
      <w:r>
        <w:rPr>
          <w:rFonts w:ascii="仿宋" w:eastAsia="仿宋" w:hAnsi="仿宋" w:cs="仿宋" w:hint="eastAsia"/>
          <w:sz w:val="28"/>
          <w:szCs w:val="20"/>
        </w:rPr>
        <w:t>天内交货，</w:t>
      </w:r>
      <w:r>
        <w:rPr>
          <w:rFonts w:ascii="仿宋" w:eastAsia="仿宋" w:hAnsi="仿宋" w:cs="仿宋" w:hint="eastAsia"/>
          <w:sz w:val="28"/>
          <w:szCs w:val="20"/>
          <w:lang w:val="en-US" w:eastAsia="zh-CN"/>
        </w:rPr>
        <w:t>90</w:t>
      </w:r>
      <w:r>
        <w:rPr>
          <w:rFonts w:ascii="仿宋" w:eastAsia="仿宋" w:hAnsi="仿宋" w:cs="仿宋" w:hint="eastAsia"/>
          <w:sz w:val="28"/>
          <w:szCs w:val="20"/>
        </w:rPr>
        <w:t>天内完成安装调试并具备验收条件。</w:t>
      </w:r>
      <w:r>
        <w:rPr>
          <w:rFonts w:ascii="仿宋" w:eastAsia="仿宋" w:hAnsi="仿宋" w:cs="仿宋" w:hint="eastAsia"/>
          <w:sz w:val="28"/>
          <w:szCs w:val="20"/>
        </w:rPr>
        <w:br/>
      </w:r>
      <w:r>
        <w:rPr>
          <w:rFonts w:ascii="仿宋" w:eastAsia="仿宋" w:hAnsi="仿宋" w:cs="仿宋" w:hint="eastAsia"/>
          <w:b/>
          <w:bCs/>
          <w:sz w:val="28"/>
          <w:szCs w:val="20"/>
        </w:rPr>
        <w:t>五、服务团队要求</w:t>
      </w:r>
    </w:p>
    <w:p>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pPr>
        <w:ind w:firstLine="560" w:firstLineChars="200"/>
        <w:rPr>
          <w:rFonts w:ascii="仿宋" w:eastAsia="仿宋" w:hAnsi="仿宋" w:cs="仿宋"/>
          <w:sz w:val="28"/>
          <w:szCs w:val="20"/>
        </w:rPr>
      </w:pPr>
      <w:r>
        <w:rPr>
          <w:rFonts w:ascii="仿宋" w:eastAsia="仿宋" w:hAnsi="仿宋" w:cs="仿宋" w:hint="eastAsia"/>
          <w:sz w:val="28"/>
          <w:szCs w:val="20"/>
        </w:rPr>
        <w:t>设备支持 FTP协议，可无缝接入省级网络系统，实现与省级和国家级</w:t>
      </w:r>
      <w:r>
        <w:rPr>
          <w:rFonts w:ascii="仿宋" w:eastAsia="仿宋" w:hAnsi="仿宋" w:cs="仿宋" w:hint="eastAsia"/>
          <w:sz w:val="28"/>
          <w:szCs w:val="20"/>
          <w:highlight w:val="yellow"/>
        </w:rPr>
        <w:t>大数据云平台</w:t>
      </w:r>
      <w:r>
        <w:rPr>
          <w:rFonts w:ascii="仿宋" w:eastAsia="仿宋" w:hAnsi="仿宋" w:cs="仿宋" w:hint="eastAsia"/>
          <w:sz w:val="28"/>
          <w:szCs w:val="20"/>
        </w:rPr>
        <w:t>、</w:t>
      </w:r>
      <w:r>
        <w:rPr>
          <w:rFonts w:ascii="仿宋" w:eastAsia="仿宋" w:hAnsi="仿宋" w:cs="仿宋" w:hint="eastAsia"/>
          <w:sz w:val="28"/>
          <w:szCs w:val="20"/>
          <w:highlight w:val="yellow"/>
        </w:rPr>
        <w:t>综合气象观测业务信息化平台</w:t>
      </w:r>
      <w:r>
        <w:rPr>
          <w:rFonts w:ascii="仿宋" w:eastAsia="仿宋" w:hAnsi="仿宋" w:cs="仿宋" w:hint="eastAsia"/>
          <w:sz w:val="28"/>
          <w:szCs w:val="20"/>
        </w:rPr>
        <w:t>无缝接入，完全符合甲方相关要求和规范，保证其系统的兼容性和功能的完整性。</w:t>
      </w:r>
    </w:p>
    <w:p>
      <w:pPr>
        <w:ind w:firstLine="560" w:firstLineChars="200"/>
        <w:rPr>
          <w:rFonts w:ascii="仿宋" w:eastAsia="仿宋" w:hAnsi="仿宋" w:cs="仿宋"/>
          <w:sz w:val="28"/>
          <w:szCs w:val="20"/>
        </w:rPr>
      </w:pPr>
      <w:r>
        <w:rPr>
          <w:rFonts w:ascii="仿宋" w:eastAsia="仿宋" w:hAnsi="仿宋" w:cs="仿宋" w:hint="eastAsia"/>
          <w:b/>
          <w:bCs/>
          <w:sz w:val="28"/>
          <w:szCs w:val="20"/>
        </w:rPr>
        <w:t>七、其他</w:t>
      </w:r>
    </w:p>
    <w:p>
      <w:pPr>
        <w:ind w:firstLine="560" w:firstLineChars="200"/>
        <w:rPr>
          <w:rFonts w:ascii="仿宋" w:eastAsia="仿宋" w:hAnsi="仿宋" w:cs="仿宋"/>
          <w:sz w:val="28"/>
          <w:szCs w:val="20"/>
        </w:rPr>
      </w:pPr>
      <w:r>
        <w:rPr>
          <w:rFonts w:ascii="仿宋" w:eastAsia="仿宋" w:hAnsi="仿宋" w:cs="仿宋" w:hint="eastAsia"/>
          <w:sz w:val="28"/>
          <w:szCs w:val="20"/>
        </w:rPr>
        <w:t>项目现场验收前，中标人同型号软硬件产品如有升级，需同步将已交付的产品升级，保证交付招标人的产品均为同型号且最新批次产品。</w:t>
      </w:r>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9"/>
    </w:p>
    <w:p w:rsidR="005D3D75">
      <w:pPr>
        <w:tabs>
          <w:tab w:val="left" w:pos="1573"/>
        </w:tabs>
        <w:adjustRightInd w:val="0"/>
        <w:snapToGrid w:val="0"/>
        <w:spacing w:line="360" w:lineRule="auto"/>
        <w:jc w:val="center"/>
        <w:outlineLvl w:val="1"/>
        <w:rPr>
          <w:b/>
          <w:bCs/>
          <w:sz w:val="30"/>
          <w:szCs w:val="30"/>
        </w:rPr>
      </w:pPr>
      <w:bookmarkStart w:id="70"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5D3D75">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5D3D75">
            <w:pPr>
              <w:rPr>
                <w:sz w:val="18"/>
                <w:szCs w:val="18"/>
              </w:rPr>
            </w:pPr>
            <w:r>
              <w:rPr>
                <w:rFonts w:hint="eastAsia"/>
                <w:sz w:val="18"/>
                <w:szCs w:val="18"/>
              </w:rPr>
              <w:t>序号</w:t>
            </w:r>
          </w:p>
        </w:tc>
        <w:tc>
          <w:tcPr>
            <w:tcW w:w="898" w:type="dxa"/>
            <w:vAlign w:val="center"/>
          </w:tcPr>
          <w:p w:rsidR="005D3D75">
            <w:pPr>
              <w:jc w:val="center"/>
              <w:rPr>
                <w:sz w:val="18"/>
                <w:szCs w:val="18"/>
              </w:rPr>
            </w:pPr>
            <w:r>
              <w:rPr>
                <w:rFonts w:hint="eastAsia"/>
                <w:sz w:val="18"/>
                <w:szCs w:val="18"/>
              </w:rPr>
              <w:t>对应</w:t>
            </w:r>
          </w:p>
          <w:p w:rsidR="005D3D75">
            <w:pPr>
              <w:jc w:val="center"/>
              <w:rPr>
                <w:sz w:val="18"/>
                <w:szCs w:val="18"/>
              </w:rPr>
            </w:pPr>
            <w:r>
              <w:rPr>
                <w:rFonts w:hint="eastAsia"/>
                <w:sz w:val="18"/>
                <w:szCs w:val="18"/>
              </w:rPr>
              <w:t>条款号</w:t>
            </w:r>
          </w:p>
        </w:tc>
        <w:tc>
          <w:tcPr>
            <w:tcW w:w="7347" w:type="dxa"/>
            <w:vAlign w:val="center"/>
          </w:tcPr>
          <w:p w:rsidR="005D3D75">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tblPrEx>
          <w:tblW w:w="0" w:type="auto"/>
          <w:tblLayout w:type="fixed"/>
          <w:tblLook w:val="04A0"/>
        </w:tblPrEx>
        <w:trPr>
          <w:cantSplit/>
        </w:trPr>
        <w:tc>
          <w:tcPr>
            <w:tcW w:w="8789" w:type="dxa"/>
            <w:gridSpan w:val="3"/>
            <w:vAlign w:val="center"/>
          </w:tcPr>
          <w:p w:rsidR="005D3D75">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tblPrEx>
          <w:tblW w:w="0" w:type="auto"/>
          <w:tblLayout w:type="fixed"/>
          <w:tblLook w:val="04A0"/>
        </w:tblPrEx>
        <w:trPr>
          <w:cantSplit/>
        </w:trPr>
        <w:tc>
          <w:tcPr>
            <w:tcW w:w="544" w:type="dxa"/>
            <w:vAlign w:val="center"/>
          </w:tcPr>
          <w:p w:rsidR="005D3D75">
            <w:pPr>
              <w:numPr>
                <w:ilvl w:val="0"/>
                <w:numId w:val="13"/>
              </w:numPr>
              <w:rPr>
                <w:rFonts w:ascii="宋体" w:hAnsi="宋体"/>
                <w:sz w:val="18"/>
                <w:szCs w:val="18"/>
              </w:rPr>
            </w:pPr>
          </w:p>
        </w:tc>
        <w:tc>
          <w:tcPr>
            <w:tcW w:w="898" w:type="dxa"/>
            <w:vAlign w:val="center"/>
          </w:tcPr>
          <w:p w:rsidR="005D3D75" w:rsidRPr="00505490" w:rsidP="00505490">
            <w:pPr>
              <w:tabs>
                <w:tab w:val="left" w:pos="709"/>
              </w:tabs>
              <w:spacing w:line="360" w:lineRule="auto"/>
              <w:jc w:val="left"/>
              <w:rPr>
                <w:rFonts w:ascii="仿宋" w:eastAsia="仿宋" w:hAnsi="仿宋" w:cs="仿宋"/>
                <w:sz w:val="28"/>
                <w:highlight w:val="yellow"/>
              </w:rPr>
            </w:pPr>
          </w:p>
        </w:tc>
        <w:tc>
          <w:tcPr>
            <w:tcW w:w="7347" w:type="dxa"/>
          </w:tcPr>
          <w:p w:rsidR="005D3D75" w:rsidRPr="00505490" w:rsidP="00505490">
            <w:pPr>
              <w:tabs>
                <w:tab w:val="left" w:pos="709"/>
              </w:tabs>
              <w:spacing w:line="360" w:lineRule="auto"/>
              <w:jc w:val="left"/>
              <w:rPr>
                <w:rFonts w:ascii="仿宋" w:eastAsia="仿宋" w:hAnsi="仿宋" w:cs="仿宋"/>
                <w:sz w:val="28"/>
                <w:highlight w:val="yellow"/>
              </w:rPr>
            </w:pPr>
            <w:r w:rsidRPr="00505490">
              <w:rPr>
                <w:rFonts w:ascii="仿宋" w:eastAsia="仿宋" w:hAnsi="仿宋" w:cs="仿宋" w:hint="eastAsia"/>
                <w:sz w:val="28"/>
                <w:highlight w:val="yellow"/>
              </w:rPr>
              <w:t>投标人应具有以下到投标截止日仍在有效期内的资质：微波辐射计</w:t>
            </w:r>
          </w:p>
        </w:tc>
      </w:tr>
      <w:tr>
        <w:tblPrEx>
          <w:tblW w:w="0" w:type="auto"/>
          <w:tblLayout w:type="fixed"/>
          <w:tblLook w:val="04A0"/>
        </w:tblPrEx>
        <w:trPr>
          <w:cantSplit/>
        </w:trPr>
        <w:tc>
          <w:tcPr>
            <w:tcW w:w="544" w:type="dxa"/>
            <w:vAlign w:val="center"/>
          </w:tcPr>
          <w:p w:rsidR="005D3D75">
            <w:pPr>
              <w:numPr>
                <w:ilvl w:val="0"/>
                <w:numId w:val="13"/>
              </w:numPr>
              <w:rPr>
                <w:rFonts w:ascii="宋体" w:hAnsi="宋体"/>
                <w:sz w:val="18"/>
                <w:szCs w:val="18"/>
              </w:rPr>
            </w:pPr>
          </w:p>
        </w:tc>
        <w:tc>
          <w:tcPr>
            <w:tcW w:w="898" w:type="dxa"/>
            <w:vAlign w:val="center"/>
          </w:tcPr>
          <w:p w:rsidR="005D3D75">
            <w:pPr>
              <w:jc w:val="center"/>
              <w:rPr>
                <w:rFonts w:ascii="宋体" w:hAnsi="宋体"/>
                <w:sz w:val="18"/>
                <w:szCs w:val="18"/>
              </w:rPr>
            </w:pPr>
            <w:r>
              <w:rPr>
                <w:rFonts w:ascii="宋体" w:hAnsi="宋体"/>
                <w:sz w:val="18"/>
                <w:szCs w:val="18"/>
              </w:rPr>
              <w:t>……</w:t>
            </w:r>
          </w:p>
        </w:tc>
        <w:tc>
          <w:tcPr>
            <w:tcW w:w="7347" w:type="dxa"/>
            <w:vAlign w:val="center"/>
          </w:tcPr>
          <w:p w:rsidR="005D3D75">
            <w:pPr>
              <w:rPr>
                <w:rFonts w:cs="微软雅黑"/>
                <w:b/>
                <w:color w:val="0000FF"/>
                <w:kern w:val="0"/>
                <w:sz w:val="18"/>
                <w:szCs w:val="18"/>
              </w:rPr>
            </w:pPr>
            <w:r>
              <w:rPr>
                <w:rFonts w:cs="微软雅黑"/>
                <w:b/>
                <w:color w:val="0000FF"/>
                <w:kern w:val="0"/>
                <w:sz w:val="18"/>
                <w:szCs w:val="18"/>
              </w:rPr>
              <w:t>……</w:t>
            </w:r>
          </w:p>
        </w:tc>
      </w:tr>
      <w:tr>
        <w:tblPrEx>
          <w:tblW w:w="0" w:type="auto"/>
          <w:tblLayout w:type="fixed"/>
          <w:tblLook w:val="04A0"/>
        </w:tblPrEx>
        <w:trPr>
          <w:cantSplit/>
        </w:trPr>
        <w:tc>
          <w:tcPr>
            <w:tcW w:w="544" w:type="dxa"/>
            <w:vAlign w:val="center"/>
          </w:tcPr>
          <w:p w:rsidR="005D3D75">
            <w:pPr>
              <w:numPr>
                <w:ilvl w:val="0"/>
                <w:numId w:val="13"/>
              </w:numPr>
              <w:rPr>
                <w:rFonts w:ascii="宋体" w:hAnsi="宋体"/>
                <w:sz w:val="18"/>
                <w:szCs w:val="18"/>
              </w:rPr>
            </w:pPr>
          </w:p>
        </w:tc>
        <w:tc>
          <w:tcPr>
            <w:tcW w:w="898" w:type="dxa"/>
            <w:vAlign w:val="center"/>
          </w:tcPr>
          <w:p w:rsidR="005D3D75">
            <w:pPr>
              <w:jc w:val="center"/>
              <w:rPr>
                <w:rFonts w:ascii="宋体" w:hAnsi="宋体"/>
                <w:sz w:val="18"/>
                <w:szCs w:val="18"/>
              </w:rPr>
            </w:pPr>
            <w:r>
              <w:rPr>
                <w:rFonts w:ascii="宋体" w:hAnsi="宋体"/>
                <w:sz w:val="18"/>
                <w:szCs w:val="18"/>
              </w:rPr>
              <w:t>……</w:t>
            </w:r>
          </w:p>
        </w:tc>
        <w:tc>
          <w:tcPr>
            <w:tcW w:w="7347" w:type="dxa"/>
            <w:vAlign w:val="center"/>
          </w:tcPr>
          <w:p w:rsidR="005D3D75">
            <w:pPr>
              <w:tabs>
                <w:tab w:val="left" w:pos="709"/>
              </w:tabs>
              <w:spacing w:line="360" w:lineRule="auto"/>
              <w:jc w:val="left"/>
              <w:rPr>
                <w:rFonts w:ascii="宋体" w:hAnsi="宋体" w:cs="微软雅黑"/>
                <w:b/>
                <w:color w:val="0000FF"/>
                <w:kern w:val="0"/>
                <w:sz w:val="18"/>
                <w:szCs w:val="18"/>
              </w:rPr>
            </w:pPr>
            <w:r>
              <w:rPr>
                <w:rFonts w:ascii="宋体" w:hAnsi="宋体" w:cs="微软雅黑"/>
                <w:b/>
                <w:color w:val="0000FF"/>
                <w:kern w:val="0"/>
                <w:sz w:val="18"/>
                <w:szCs w:val="18"/>
              </w:rPr>
              <w:t>……</w:t>
            </w:r>
          </w:p>
        </w:tc>
      </w:tr>
      <w:tr>
        <w:tblPrEx>
          <w:tblW w:w="0" w:type="auto"/>
          <w:tblLayout w:type="fixed"/>
          <w:tblLook w:val="04A0"/>
        </w:tblPrEx>
        <w:trPr>
          <w:cantSplit/>
        </w:trPr>
        <w:tc>
          <w:tcPr>
            <w:tcW w:w="544" w:type="dxa"/>
            <w:vAlign w:val="center"/>
          </w:tcPr>
          <w:p w:rsidR="005D3D75">
            <w:pPr>
              <w:numPr>
                <w:ilvl w:val="0"/>
                <w:numId w:val="13"/>
              </w:numPr>
              <w:rPr>
                <w:rFonts w:ascii="宋体" w:hAnsi="宋体"/>
                <w:sz w:val="18"/>
                <w:szCs w:val="18"/>
              </w:rPr>
            </w:pPr>
          </w:p>
        </w:tc>
        <w:tc>
          <w:tcPr>
            <w:tcW w:w="898" w:type="dxa"/>
            <w:vAlign w:val="center"/>
          </w:tcPr>
          <w:p w:rsidR="005D3D75">
            <w:pPr>
              <w:jc w:val="center"/>
              <w:rPr>
                <w:rFonts w:ascii="宋体" w:hAnsi="宋体"/>
                <w:sz w:val="18"/>
                <w:szCs w:val="18"/>
              </w:rPr>
            </w:pPr>
            <w:r>
              <w:rPr>
                <w:rFonts w:ascii="宋体" w:hAnsi="宋体"/>
                <w:sz w:val="18"/>
                <w:szCs w:val="18"/>
              </w:rPr>
              <w:t>……</w:t>
            </w:r>
          </w:p>
        </w:tc>
        <w:tc>
          <w:tcPr>
            <w:tcW w:w="7347" w:type="dxa"/>
            <w:vAlign w:val="center"/>
          </w:tcPr>
          <w:p w:rsidR="005D3D75">
            <w:pPr>
              <w:tabs>
                <w:tab w:val="left" w:pos="709"/>
              </w:tabs>
              <w:spacing w:line="360" w:lineRule="auto"/>
              <w:jc w:val="left"/>
              <w:rPr>
                <w:rFonts w:ascii="宋体" w:hAnsi="宋体" w:cs="微软雅黑"/>
                <w:b/>
                <w:color w:val="0000FF"/>
                <w:kern w:val="0"/>
                <w:sz w:val="18"/>
                <w:szCs w:val="18"/>
              </w:rPr>
            </w:pPr>
            <w:r>
              <w:rPr>
                <w:rFonts w:ascii="宋体" w:hAnsi="宋体" w:cs="微软雅黑"/>
                <w:b/>
                <w:color w:val="0000FF"/>
                <w:kern w:val="0"/>
                <w:sz w:val="18"/>
                <w:szCs w:val="18"/>
              </w:rPr>
              <w:t>……</w:t>
            </w:r>
          </w:p>
        </w:tc>
      </w:tr>
      <w:tr>
        <w:tblPrEx>
          <w:tblW w:w="0" w:type="auto"/>
          <w:tblLayout w:type="fixed"/>
          <w:tblLook w:val="04A0"/>
        </w:tblPrEx>
        <w:trPr>
          <w:cantSplit/>
        </w:trPr>
        <w:tc>
          <w:tcPr>
            <w:tcW w:w="544" w:type="dxa"/>
            <w:vAlign w:val="center"/>
          </w:tcPr>
          <w:p w:rsidR="005D3D75">
            <w:pPr>
              <w:numPr>
                <w:ilvl w:val="0"/>
                <w:numId w:val="13"/>
              </w:numPr>
              <w:rPr>
                <w:rFonts w:ascii="宋体" w:hAnsi="宋体"/>
                <w:sz w:val="18"/>
                <w:szCs w:val="18"/>
              </w:rPr>
            </w:pPr>
          </w:p>
        </w:tc>
        <w:tc>
          <w:tcPr>
            <w:tcW w:w="898" w:type="dxa"/>
            <w:vAlign w:val="center"/>
          </w:tcPr>
          <w:p w:rsidR="005D3D75">
            <w:pPr>
              <w:jc w:val="center"/>
              <w:rPr>
                <w:rFonts w:ascii="宋体" w:hAnsi="宋体"/>
                <w:sz w:val="18"/>
                <w:szCs w:val="18"/>
              </w:rPr>
            </w:pPr>
            <w:r>
              <w:rPr>
                <w:rFonts w:ascii="宋体" w:hAnsi="宋体"/>
                <w:sz w:val="18"/>
                <w:szCs w:val="18"/>
              </w:rPr>
              <w:t>……</w:t>
            </w:r>
          </w:p>
        </w:tc>
        <w:tc>
          <w:tcPr>
            <w:tcW w:w="7347" w:type="dxa"/>
            <w:vAlign w:val="center"/>
          </w:tcPr>
          <w:p w:rsidR="005D3D75">
            <w:pPr>
              <w:tabs>
                <w:tab w:val="left" w:pos="709"/>
              </w:tabs>
              <w:spacing w:line="360" w:lineRule="auto"/>
              <w:jc w:val="left"/>
              <w:rPr>
                <w:rFonts w:ascii="宋体" w:hAnsi="宋体" w:cs="微软雅黑"/>
                <w:b/>
                <w:color w:val="0000FF"/>
                <w:kern w:val="0"/>
                <w:sz w:val="18"/>
                <w:szCs w:val="18"/>
              </w:rPr>
            </w:pPr>
            <w:r>
              <w:rPr>
                <w:rFonts w:ascii="宋体" w:hAnsi="宋体" w:cs="微软雅黑" w:hint="eastAsia"/>
                <w:b/>
                <w:color w:val="0000FF"/>
                <w:kern w:val="0"/>
                <w:sz w:val="18"/>
                <w:szCs w:val="18"/>
              </w:rPr>
              <w:t>……</w:t>
            </w:r>
            <w:r>
              <w:rPr>
                <w:rFonts w:ascii="宋体" w:hAnsi="宋体" w:cs="微软雅黑"/>
                <w:b/>
                <w:color w:val="0000FF"/>
                <w:kern w:val="0"/>
                <w:sz w:val="18"/>
                <w:szCs w:val="18"/>
              </w:rPr>
              <w:t xml:space="preserve">      ……            ……</w:t>
            </w:r>
          </w:p>
        </w:tc>
      </w:tr>
      <w:tr>
        <w:tblPrEx>
          <w:tblW w:w="0" w:type="auto"/>
          <w:tblLayout w:type="fixed"/>
          <w:tblLook w:val="04A0"/>
        </w:tblPrEx>
        <w:trPr>
          <w:cantSplit/>
        </w:trPr>
        <w:tc>
          <w:tcPr>
            <w:tcW w:w="8789" w:type="dxa"/>
            <w:gridSpan w:val="3"/>
            <w:vAlign w:val="center"/>
          </w:tcPr>
          <w:p w:rsidR="005D3D75">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tblPrEx>
          <w:tblW w:w="0" w:type="auto"/>
          <w:tblLayout w:type="fixed"/>
          <w:tblLook w:val="04A0"/>
        </w:tblPrEx>
        <w:trPr>
          <w:cantSplit/>
        </w:trPr>
        <w:tc>
          <w:tcPr>
            <w:tcW w:w="544" w:type="dxa"/>
            <w:vAlign w:val="center"/>
          </w:tcPr>
          <w:p w:rsidR="005D3D75">
            <w:pPr>
              <w:numPr>
                <w:ilvl w:val="0"/>
                <w:numId w:val="13"/>
              </w:numPr>
              <w:rPr>
                <w:rFonts w:ascii="宋体" w:hAnsi="宋体"/>
                <w:sz w:val="18"/>
                <w:szCs w:val="18"/>
              </w:rPr>
            </w:pPr>
          </w:p>
        </w:tc>
        <w:tc>
          <w:tcPr>
            <w:tcW w:w="898" w:type="dxa"/>
            <w:vAlign w:val="center"/>
          </w:tcPr>
          <w:p w:rsidR="005D3D75" w:rsidP="00E528D3">
            <w:pPr>
              <w:rPr>
                <w:rFonts w:ascii="宋体" w:hAnsi="宋体"/>
                <w:sz w:val="18"/>
                <w:szCs w:val="18"/>
              </w:rPr>
            </w:pPr>
          </w:p>
        </w:tc>
        <w:tc>
          <w:tcPr>
            <w:tcW w:w="7347" w:type="dxa"/>
            <w:vAlign w:val="center"/>
          </w:tcPr>
          <w:p w:rsidR="005D3D75">
            <w:pPr>
              <w:tabs>
                <w:tab w:val="left" w:pos="709"/>
              </w:tabs>
              <w:spacing w:line="360" w:lineRule="auto"/>
              <w:jc w:val="left"/>
              <w:rPr>
                <w:rFonts w:ascii="宋体" w:hAnsi="宋体"/>
                <w:sz w:val="18"/>
                <w:szCs w:val="18"/>
              </w:rPr>
            </w:pPr>
            <w:r>
              <w:rPr>
                <w:rFonts w:ascii="仿宋" w:eastAsia="仿宋" w:hAnsi="仿宋" w:cs="仿宋" w:hint="eastAsia"/>
                <w:sz w:val="28"/>
                <w:highlight w:val="yellow"/>
              </w:rPr>
              <w:t>设备供应商对所有设备提供自验收合格后8年的免费维护维修服务*</w:t>
            </w:r>
          </w:p>
        </w:tc>
      </w:tr>
    </w:tbl>
    <w:p w:rsidR="005D3D75">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70"/>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4"/>
        </w:numPr>
        <w:spacing w:line="360" w:lineRule="auto"/>
        <w:ind w:firstLine="3066" w:firstLineChars="1460"/>
        <w:jc w:val="left"/>
        <w:rPr>
          <w:rFonts w:hint="eastAsia"/>
          <w:b/>
          <w:bCs/>
          <w:szCs w:val="21"/>
          <w:highlight w:val="none"/>
        </w:rPr>
      </w:pPr>
      <w:bookmarkStart w:id="71"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2"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2"/>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3"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3"/>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6"/>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highlight w:val="none"/>
        </w:rPr>
      </w:pPr>
      <w:r>
        <w:rPr>
          <w:rFonts w:ascii="Wingdings" w:hAnsi="Wingdings"/>
          <w:szCs w:val="21"/>
          <w:highlight w:val="none"/>
        </w:rPr>
        <w:sym w:font="Wingdings" w:char="F0FE"/>
      </w:r>
      <w:r>
        <w:rPr>
          <w:rFonts w:ascii="宋体" w:hAnsi="宋体" w:hint="eastAsia"/>
          <w:szCs w:val="21"/>
          <w:highlight w:val="none"/>
        </w:rPr>
        <w:t>分期付款：</w:t>
      </w:r>
      <w:r>
        <w:rPr>
          <w:rFonts w:ascii="宋体" w:hAnsi="宋体" w:hint="eastAsia"/>
          <w:szCs w:val="21"/>
          <w:highlight w:val="none"/>
          <w:u w:val="single"/>
        </w:rPr>
        <w:t xml:space="preserve">  </w:t>
      </w:r>
      <w:r>
        <w:rPr>
          <w:rFonts w:ascii="宋体" w:hAnsi="宋体" w:hint="eastAsia"/>
          <w:szCs w:val="21"/>
          <w:highlight w:val="yellow"/>
          <w:u w:val="single"/>
          <w:lang w:val="en-US" w:eastAsia="zh-CN"/>
        </w:rPr>
        <w:t>双方合同签订后，收到乙方开具的发票，7个工作日内甲方一次性支付合同金额90%，项目建设完成并验收通过，</w:t>
      </w:r>
      <w:r>
        <w:rPr>
          <w:rFonts w:ascii="宋体" w:hAnsi="宋体" w:hint="eastAsia"/>
          <w:szCs w:val="21"/>
          <w:highlight w:val="yellow"/>
          <w:u w:val="single"/>
          <w:lang w:val="en-US" w:eastAsia="zh-CN"/>
        </w:rPr>
        <w:t>甲方向乙方支付剩余10%，同时乙方开具相应金额的发票。</w:t>
      </w:r>
      <w:r>
        <w:rPr>
          <w:rFonts w:ascii="宋体" w:hAnsi="宋体" w:hint="eastAsia"/>
          <w:szCs w:val="21"/>
          <w:highlight w:val="yellow"/>
          <w:u w:val="single"/>
        </w:rPr>
        <w:t xml:space="preserve"> </w:t>
      </w:r>
      <w:r>
        <w:rPr>
          <w:rFonts w:ascii="宋体" w:hAnsi="宋体" w:hint="eastAsia"/>
          <w:szCs w:val="21"/>
          <w:highlight w:val="yellow"/>
        </w:rPr>
        <w:t>，</w:t>
      </w:r>
      <w:r>
        <w:rPr>
          <w:rFonts w:ascii="宋体" w:hAnsi="宋体" w:hint="eastAsia"/>
          <w:szCs w:val="21"/>
          <w:highlight w:val="none"/>
        </w:rPr>
        <w:t>其中涉及预付款的：</w:t>
      </w:r>
      <w:r>
        <w:rPr>
          <w:rFonts w:ascii="宋体" w:hAnsi="宋体" w:hint="eastAsia"/>
          <w:szCs w:val="21"/>
          <w:highlight w:val="none"/>
          <w:u w:val="single"/>
        </w:rPr>
        <w:t xml:space="preserve"> （应明确预付款的支付比例和支付条件） </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5"/>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7"/>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998"/>
        <w:gridCol w:w="2548"/>
        <w:gridCol w:w="2090"/>
        <w:gridCol w:w="2236"/>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4" w:name="_Toc27624"/>
      <w:r>
        <w:rPr>
          <w:rFonts w:ascii="黑体" w:hAnsi="黑体" w:hint="eastAsia"/>
          <w:b w:val="0"/>
          <w:bCs w:val="0"/>
          <w:sz w:val="28"/>
          <w:szCs w:val="28"/>
          <w:highlight w:val="none"/>
        </w:rPr>
        <w:t>第二节 政府采购合同通用条款</w:t>
      </w:r>
      <w:bookmarkEnd w:id="74"/>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8"/>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9"/>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5"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5"/>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0"/>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1"/>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2"/>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6"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6"/>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spacing w:line="360" w:lineRule="auto"/>
        <w:ind w:firstLine="3066" w:firstLineChars="1460"/>
        <w:jc w:val="left"/>
        <w:rPr>
          <w:b/>
          <w:bCs/>
          <w:szCs w:val="21"/>
          <w:highlight w:val="none"/>
        </w:rPr>
      </w:pPr>
      <w:bookmarkEnd w:id="71"/>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fixed"/>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panose1 w:val="02000000000000000000"/>
    <w:charset w:val="86"/>
    <w:family w:val="script"/>
    <w:pitch w:val="default"/>
    <w:sig w:usb0="A00002BF" w:usb1="184F6CFA" w:usb2="00000012" w:usb3="00000000" w:csb0="00040001" w:csb1="00000000"/>
  </w:font>
  <w:font w:name="Verdana">
    <w:panose1 w:val="020B0604030504040204"/>
    <w:charset w:val="00"/>
    <w:family w:val="swiss"/>
    <w:pitch w:val="default"/>
    <w:sig w:usb0="A00006FF" w:usb1="4000205B" w:usb2="00000010" w:usb3="00000000" w:csb0="2000019F"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3A08313"/>
    <w:multiLevelType w:val="singleLevel"/>
    <w:tmpl w:val="53A08313"/>
    <w:lvl w:ilvl="0">
      <w:start w:val="9"/>
      <w:numFmt w:val="chineseCounting"/>
      <w:suff w:val="space"/>
      <w:lvlText w:val="第%1章"/>
      <w:lvlJc w:val="left"/>
      <w:rPr>
        <w:rFonts w:hint="eastAsia"/>
      </w:rPr>
    </w:lvl>
  </w:abstractNum>
  <w:abstractNum w:abstractNumId="12">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1"/>
  </w:num>
  <w:num w:numId="5">
    <w:abstractNumId w:val="12"/>
  </w:num>
  <w:num w:numId="6">
    <w:abstractNumId w:val="1"/>
  </w:num>
  <w:num w:numId="7">
    <w:abstractNumId w:val="5"/>
  </w:num>
  <w:num w:numId="8">
    <w:abstractNumId w:val="3"/>
  </w:num>
  <w:num w:numId="9">
    <w:abstractNumId w:val="2"/>
  </w:num>
  <w:num w:numId="10">
    <w:abstractNumId w:val="10"/>
  </w:num>
  <w:num w:numId="11">
    <w:abstractNumId w:val="0"/>
  </w:num>
  <w:num w:numId="12">
    <w:abstractNumId w:val="4"/>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5490"/>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3D75"/>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28D3"/>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styleId="NormalIndent">
    <w:name w:val="Normal Indent"/>
    <w:basedOn w:val="Normal"/>
    <w:pPr>
      <w:ind w:firstLine="420"/>
    </w:pPr>
    <w:rPr>
      <w:rFonts w:eastAsia="方正仿宋"/>
      <w:sz w:val="3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